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5DA9D">
      <w:pPr>
        <w:pStyle w:val="20"/>
        <w:rPr>
          <w:rFonts w:ascii="Times New Roman"/>
          <w:sz w:val="20"/>
          <w:lang w:eastAsia="zh-CN"/>
        </w:rPr>
      </w:pPr>
    </w:p>
    <w:p w14:paraId="22F3B59A">
      <w:pPr>
        <w:pStyle w:val="20"/>
        <w:rPr>
          <w:rFonts w:ascii="Times New Roman"/>
          <w:sz w:val="20"/>
        </w:rPr>
      </w:pPr>
    </w:p>
    <w:p w14:paraId="3F4A76E4">
      <w:pPr>
        <w:pStyle w:val="20"/>
        <w:rPr>
          <w:rFonts w:ascii="Times New Roman"/>
          <w:sz w:val="20"/>
        </w:rPr>
      </w:pPr>
    </w:p>
    <w:p w14:paraId="57C5D521">
      <w:pPr>
        <w:pStyle w:val="20"/>
        <w:rPr>
          <w:rFonts w:ascii="Times New Roman"/>
          <w:sz w:val="20"/>
        </w:rPr>
      </w:pPr>
    </w:p>
    <w:p w14:paraId="1F5AB486">
      <w:pPr>
        <w:pStyle w:val="20"/>
        <w:rPr>
          <w:rFonts w:ascii="Times New Roman"/>
          <w:sz w:val="20"/>
        </w:rPr>
      </w:pPr>
    </w:p>
    <w:p w14:paraId="4C45C259">
      <w:pPr>
        <w:pStyle w:val="20"/>
        <w:spacing w:before="5"/>
        <w:rPr>
          <w:rFonts w:ascii="Times New Roman"/>
          <w:sz w:val="20"/>
        </w:rPr>
      </w:pPr>
    </w:p>
    <w:p w14:paraId="0611A0D2">
      <w:pPr>
        <w:pStyle w:val="20"/>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72D0F0D2">
      <w:pPr>
        <w:spacing w:line="480" w:lineRule="auto"/>
        <w:ind w:firstLine="880" w:firstLineChars="200"/>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val="en-US" w:eastAsia="zh-CN"/>
        </w:rPr>
        <w:t>PTA</w:t>
      </w:r>
      <w:r>
        <w:rPr>
          <w:rFonts w:hint="eastAsia" w:ascii="微软雅黑" w:eastAsia="微软雅黑"/>
          <w:b/>
          <w:sz w:val="44"/>
          <w:szCs w:val="44"/>
          <w:u w:val="single"/>
          <w:lang w:eastAsia="zh-CN"/>
        </w:rPr>
        <w:t>废</w:t>
      </w:r>
      <w:r>
        <w:rPr>
          <w:rFonts w:hint="eastAsia" w:ascii="微软雅黑" w:eastAsia="微软雅黑"/>
          <w:b/>
          <w:sz w:val="44"/>
          <w:szCs w:val="44"/>
          <w:u w:val="single"/>
          <w:lang w:val="en-US" w:eastAsia="zh-CN"/>
        </w:rPr>
        <w:t>料</w:t>
      </w:r>
      <w:r>
        <w:rPr>
          <w:rFonts w:hint="eastAsia" w:ascii="微软雅黑" w:eastAsia="微软雅黑"/>
          <w:b/>
          <w:sz w:val="44"/>
          <w:szCs w:val="44"/>
          <w:u w:val="single"/>
          <w:lang w:eastAsia="zh-CN"/>
        </w:rPr>
        <w:t>委外处置</w:t>
      </w:r>
      <w:bookmarkEnd w:id="0"/>
      <w:r>
        <w:rPr>
          <w:rFonts w:hint="eastAsia" w:ascii="微软雅黑" w:eastAsia="微软雅黑"/>
          <w:b/>
          <w:sz w:val="44"/>
          <w:szCs w:val="44"/>
          <w:u w:val="single"/>
          <w:lang w:val="en-US" w:eastAsia="zh-CN"/>
        </w:rPr>
        <w:t>询</w:t>
      </w:r>
      <w:r>
        <w:rPr>
          <w:rFonts w:hint="eastAsia" w:ascii="微软雅黑" w:eastAsia="微软雅黑"/>
          <w:b/>
          <w:sz w:val="44"/>
          <w:szCs w:val="44"/>
          <w:u w:val="single"/>
          <w:lang w:eastAsia="zh-CN"/>
        </w:rPr>
        <w:t>比文件</w:t>
      </w:r>
    </w:p>
    <w:p w14:paraId="66129BF0">
      <w:pPr>
        <w:pStyle w:val="2"/>
        <w:jc w:val="center"/>
        <w:rPr>
          <w:sz w:val="28"/>
          <w:szCs w:val="28"/>
        </w:rPr>
      </w:pPr>
      <w:r>
        <w:rPr>
          <w:rFonts w:hint="eastAsia"/>
          <w:sz w:val="28"/>
          <w:szCs w:val="28"/>
        </w:rPr>
        <w:t>（文件编号：QGB-20260811000022）</w:t>
      </w:r>
    </w:p>
    <w:p w14:paraId="417B4B51">
      <w:pPr>
        <w:pStyle w:val="20"/>
        <w:tabs>
          <w:tab w:val="left" w:pos="6983"/>
        </w:tabs>
        <w:rPr>
          <w:rFonts w:ascii="微软雅黑"/>
          <w:b/>
          <w:sz w:val="32"/>
          <w:szCs w:val="32"/>
          <w:lang w:eastAsia="zh-CN"/>
        </w:rPr>
      </w:pPr>
      <w:r>
        <w:rPr>
          <w:rFonts w:ascii="微软雅黑"/>
          <w:b/>
          <w:sz w:val="94"/>
          <w:lang w:eastAsia="zh-CN"/>
        </w:rPr>
        <w:tab/>
      </w:r>
    </w:p>
    <w:p w14:paraId="615F2528">
      <w:pPr>
        <w:pStyle w:val="20"/>
        <w:rPr>
          <w:rFonts w:ascii="微软雅黑"/>
          <w:b/>
          <w:sz w:val="32"/>
          <w:szCs w:val="32"/>
          <w:lang w:eastAsia="zh-CN"/>
        </w:rPr>
      </w:pPr>
    </w:p>
    <w:p w14:paraId="6FC0248A">
      <w:pPr>
        <w:pStyle w:val="20"/>
        <w:rPr>
          <w:rFonts w:ascii="微软雅黑"/>
          <w:b/>
          <w:sz w:val="32"/>
          <w:szCs w:val="32"/>
          <w:lang w:eastAsia="zh-CN"/>
        </w:rPr>
      </w:pPr>
    </w:p>
    <w:p w14:paraId="4882B28E">
      <w:pPr>
        <w:pStyle w:val="20"/>
        <w:rPr>
          <w:rFonts w:ascii="微软雅黑"/>
          <w:b/>
          <w:sz w:val="32"/>
          <w:szCs w:val="32"/>
          <w:lang w:eastAsia="zh-CN"/>
        </w:rPr>
      </w:pPr>
    </w:p>
    <w:p w14:paraId="2829BAA6">
      <w:pPr>
        <w:pStyle w:val="20"/>
        <w:rPr>
          <w:rFonts w:ascii="微软雅黑"/>
          <w:b/>
          <w:sz w:val="32"/>
          <w:szCs w:val="32"/>
          <w:lang w:eastAsia="zh-CN"/>
        </w:rPr>
      </w:pPr>
    </w:p>
    <w:p w14:paraId="27A6F5ED">
      <w:pPr>
        <w:pStyle w:val="20"/>
        <w:rPr>
          <w:rFonts w:ascii="微软雅黑"/>
          <w:b/>
          <w:sz w:val="32"/>
          <w:szCs w:val="32"/>
          <w:lang w:eastAsia="zh-CN"/>
        </w:rPr>
      </w:pPr>
    </w:p>
    <w:p w14:paraId="2438D8CE">
      <w:pPr>
        <w:pStyle w:val="20"/>
        <w:rPr>
          <w:rFonts w:ascii="微软雅黑"/>
          <w:b/>
          <w:sz w:val="32"/>
          <w:szCs w:val="32"/>
          <w:lang w:eastAsia="zh-CN"/>
        </w:rPr>
      </w:pPr>
    </w:p>
    <w:p w14:paraId="38E15E6B">
      <w:pPr>
        <w:pStyle w:val="20"/>
        <w:rPr>
          <w:rFonts w:ascii="微软雅黑"/>
          <w:b/>
          <w:sz w:val="32"/>
          <w:szCs w:val="32"/>
          <w:lang w:eastAsia="zh-CN"/>
        </w:rPr>
      </w:pPr>
    </w:p>
    <w:p w14:paraId="57A6AA75">
      <w:pPr>
        <w:pStyle w:val="20"/>
        <w:rPr>
          <w:rFonts w:ascii="微软雅黑"/>
          <w:b/>
          <w:sz w:val="32"/>
          <w:szCs w:val="32"/>
          <w:lang w:eastAsia="zh-CN"/>
        </w:rPr>
      </w:pPr>
    </w:p>
    <w:p w14:paraId="4CF343F5">
      <w:pPr>
        <w:pStyle w:val="2"/>
        <w:jc w:val="center"/>
        <w:rPr>
          <w:rFonts w:ascii="微软雅黑" w:hAnsi="微软雅黑" w:eastAsia="微软雅黑"/>
          <w:b/>
          <w:sz w:val="32"/>
          <w:szCs w:val="32"/>
        </w:rPr>
      </w:pPr>
      <w:r>
        <w:rPr>
          <w:rFonts w:hint="eastAsia" w:ascii="微软雅黑" w:hAnsi="微软雅黑" w:eastAsia="微软雅黑"/>
          <w:b/>
          <w:sz w:val="32"/>
          <w:szCs w:val="32"/>
        </w:rPr>
        <w:t>福建</w:t>
      </w:r>
      <w:r>
        <w:rPr>
          <w:rFonts w:ascii="微软雅黑" w:hAnsi="微软雅黑" w:eastAsia="微软雅黑"/>
          <w:b/>
          <w:sz w:val="32"/>
          <w:szCs w:val="32"/>
        </w:rPr>
        <w:t>福海创石油化工有限公司</w:t>
      </w:r>
      <w:r>
        <w:rPr>
          <w:rFonts w:hint="eastAsia" w:ascii="微软雅黑" w:hAnsi="微软雅黑" w:eastAsia="微软雅黑"/>
          <w:b/>
          <w:sz w:val="32"/>
          <w:szCs w:val="32"/>
        </w:rPr>
        <w:t>编制</w:t>
      </w:r>
    </w:p>
    <w:p w14:paraId="666EAEFA">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w:t>
      </w:r>
      <w:r>
        <w:rPr>
          <w:rFonts w:hint="eastAsia" w:ascii="微软雅黑" w:eastAsia="微软雅黑"/>
          <w:b/>
          <w:w w:val="95"/>
          <w:sz w:val="32"/>
          <w:lang w:val="en-US" w:eastAsia="zh-CN"/>
        </w:rPr>
        <w:t>六</w:t>
      </w:r>
      <w:r>
        <w:rPr>
          <w:rFonts w:hint="eastAsia" w:ascii="微软雅黑" w:eastAsia="微软雅黑"/>
          <w:b/>
          <w:w w:val="95"/>
          <w:sz w:val="32"/>
          <w:lang w:eastAsia="zh-CN"/>
        </w:rPr>
        <w:t>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14:paraId="1275B03F">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426BD8DC">
      <w:pPr>
        <w:widowControl/>
        <w:autoSpaceDE/>
        <w:autoSpaceDN/>
        <w:rPr>
          <w:rFonts w:ascii="黑体" w:eastAsia="黑体"/>
          <w:sz w:val="32"/>
          <w:lang w:eastAsia="zh-CN"/>
        </w:rPr>
      </w:pPr>
      <w:r>
        <w:rPr>
          <w:rFonts w:ascii="黑体" w:eastAsia="黑体"/>
          <w:sz w:val="32"/>
          <w:lang w:eastAsia="zh-CN"/>
        </w:rPr>
        <w:br w:type="page"/>
      </w:r>
    </w:p>
    <w:p w14:paraId="4FF885C2">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val="en-US" w:eastAsia="zh-CN"/>
        </w:rPr>
        <w:t xml:space="preserve"> </w:t>
      </w:r>
      <w:r>
        <w:rPr>
          <w:rFonts w:hint="eastAsia" w:ascii="黑体" w:eastAsia="黑体"/>
          <w:sz w:val="32"/>
          <w:lang w:eastAsia="zh-CN"/>
        </w:rPr>
        <w:t>录</w:t>
      </w:r>
    </w:p>
    <w:p w14:paraId="3F5F576B">
      <w:pPr>
        <w:pStyle w:val="20"/>
        <w:rPr>
          <w:rFonts w:ascii="黑体"/>
          <w:sz w:val="20"/>
          <w:lang w:eastAsia="zh-CN"/>
        </w:rPr>
      </w:pPr>
    </w:p>
    <w:p w14:paraId="163CDD2A">
      <w:pPr>
        <w:pStyle w:val="20"/>
        <w:rPr>
          <w:rFonts w:ascii="黑体"/>
          <w:sz w:val="20"/>
          <w:lang w:eastAsia="zh-CN"/>
        </w:rPr>
      </w:pPr>
    </w:p>
    <w:p w14:paraId="4AC619DB">
      <w:pPr>
        <w:pStyle w:val="20"/>
        <w:spacing w:before="9"/>
        <w:rPr>
          <w:rFonts w:ascii="黑体"/>
          <w:lang w:eastAsia="zh-CN"/>
        </w:rPr>
      </w:pPr>
    </w:p>
    <w:p w14:paraId="485BD2EF">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43C7305A">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4B9FEDF5">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参比文件</w:t>
      </w:r>
      <w:r>
        <w:rPr>
          <w:sz w:val="24"/>
          <w:szCs w:val="24"/>
          <w:lang w:eastAsia="zh-CN"/>
        </w:rPr>
        <w:t>的编制</w:t>
      </w:r>
    </w:p>
    <w:p w14:paraId="4A22FD3B">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0F333CFE">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5A3F06F5">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7B14CDE2">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07BA8946">
      <w:pPr>
        <w:tabs>
          <w:tab w:val="left" w:pos="709"/>
        </w:tabs>
        <w:spacing w:line="360" w:lineRule="auto"/>
        <w:ind w:firstLine="480" w:firstLineChars="200"/>
        <w:rPr>
          <w:sz w:val="24"/>
          <w:szCs w:val="24"/>
          <w:lang w:eastAsia="zh-CN"/>
        </w:rPr>
      </w:pPr>
    </w:p>
    <w:p w14:paraId="7DB9311E">
      <w:pPr>
        <w:tabs>
          <w:tab w:val="left" w:pos="709"/>
        </w:tabs>
        <w:spacing w:line="360" w:lineRule="auto"/>
        <w:ind w:firstLine="480" w:firstLineChars="200"/>
        <w:rPr>
          <w:sz w:val="24"/>
          <w:szCs w:val="24"/>
          <w:lang w:eastAsia="zh-CN"/>
        </w:rPr>
      </w:pPr>
    </w:p>
    <w:p w14:paraId="387D91D6">
      <w:pPr>
        <w:tabs>
          <w:tab w:val="left" w:pos="709"/>
        </w:tabs>
        <w:spacing w:line="360" w:lineRule="auto"/>
        <w:ind w:firstLine="480" w:firstLineChars="200"/>
        <w:rPr>
          <w:sz w:val="24"/>
          <w:szCs w:val="24"/>
          <w:lang w:eastAsia="zh-CN"/>
        </w:rPr>
      </w:pPr>
    </w:p>
    <w:p w14:paraId="7874E617">
      <w:pPr>
        <w:tabs>
          <w:tab w:val="left" w:pos="709"/>
        </w:tabs>
        <w:spacing w:line="360" w:lineRule="auto"/>
        <w:ind w:firstLine="480" w:firstLineChars="200"/>
        <w:rPr>
          <w:sz w:val="24"/>
          <w:szCs w:val="24"/>
          <w:lang w:eastAsia="zh-CN"/>
        </w:rPr>
      </w:pPr>
    </w:p>
    <w:p w14:paraId="48AAF458">
      <w:pPr>
        <w:tabs>
          <w:tab w:val="left" w:pos="709"/>
        </w:tabs>
        <w:spacing w:line="360" w:lineRule="auto"/>
        <w:ind w:firstLine="480" w:firstLineChars="200"/>
        <w:rPr>
          <w:sz w:val="24"/>
          <w:szCs w:val="24"/>
          <w:lang w:eastAsia="zh-CN"/>
        </w:rPr>
      </w:pPr>
    </w:p>
    <w:p w14:paraId="6885F512">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14:paraId="0DD93AB4">
      <w:pPr>
        <w:tabs>
          <w:tab w:val="left" w:pos="709"/>
        </w:tabs>
        <w:spacing w:line="360" w:lineRule="auto"/>
        <w:ind w:firstLine="480" w:firstLineChars="200"/>
        <w:rPr>
          <w:sz w:val="24"/>
          <w:szCs w:val="24"/>
          <w:lang w:eastAsia="zh-CN"/>
        </w:rPr>
      </w:pPr>
      <w:r>
        <w:rPr>
          <w:sz w:val="24"/>
          <w:szCs w:val="24"/>
          <w:lang w:eastAsia="zh-CN"/>
        </w:rPr>
        <w:t>附件二：</w:t>
      </w:r>
      <w:r>
        <w:rPr>
          <w:rFonts w:hint="eastAsia"/>
          <w:sz w:val="24"/>
          <w:szCs w:val="24"/>
          <w:lang w:eastAsia="zh-CN"/>
        </w:rPr>
        <w:t>参比文件</w:t>
      </w:r>
      <w:r>
        <w:rPr>
          <w:sz w:val="24"/>
          <w:szCs w:val="24"/>
          <w:lang w:eastAsia="zh-CN"/>
        </w:rPr>
        <w:t>（范本）</w:t>
      </w:r>
    </w:p>
    <w:p w14:paraId="1A0C100C">
      <w:pPr>
        <w:widowControl/>
        <w:autoSpaceDE/>
        <w:autoSpaceDN/>
        <w:rPr>
          <w:sz w:val="28"/>
          <w:lang w:eastAsia="zh-CN"/>
        </w:rPr>
      </w:pPr>
      <w:r>
        <w:rPr>
          <w:sz w:val="28"/>
          <w:lang w:eastAsia="zh-CN"/>
        </w:rPr>
        <w:br w:type="page"/>
      </w:r>
    </w:p>
    <w:p w14:paraId="67BC5981">
      <w:pPr>
        <w:keepNext w:val="0"/>
        <w:keepLines w:val="0"/>
        <w:pageBreakBefore w:val="0"/>
        <w:widowControl w:val="0"/>
        <w:tabs>
          <w:tab w:val="left" w:pos="1272"/>
        </w:tabs>
        <w:kinsoku/>
        <w:wordWrap/>
        <w:overflowPunct/>
        <w:topLinePunct w:val="0"/>
        <w:autoSpaceDE w:val="0"/>
        <w:autoSpaceDN w:val="0"/>
        <w:bidi w:val="0"/>
        <w:adjustRightInd/>
        <w:snapToGrid/>
        <w:spacing w:before="0" w:beforeLines="50" w:after="0" w:afterLines="50" w:line="355" w:lineRule="exact"/>
        <w:ind w:left="11"/>
        <w:jc w:val="center"/>
        <w:textAlignment w:val="auto"/>
        <w:rPr>
          <w:lang w:eastAsia="zh-CN"/>
        </w:rPr>
      </w:pPr>
      <w:r>
        <w:rPr>
          <w:b/>
          <w:sz w:val="36"/>
          <w:szCs w:val="36"/>
          <w:lang w:eastAsia="zh-CN"/>
        </w:rPr>
        <w:t>第一章</w:t>
      </w:r>
      <w:r>
        <w:rPr>
          <w:b/>
          <w:sz w:val="36"/>
          <w:szCs w:val="36"/>
          <w:lang w:eastAsia="zh-CN"/>
        </w:rPr>
        <w:tab/>
      </w:r>
      <w:r>
        <w:rPr>
          <w:rFonts w:hint="eastAsia"/>
          <w:b/>
          <w:sz w:val="36"/>
          <w:szCs w:val="36"/>
          <w:lang w:val="en-US" w:eastAsia="zh-CN"/>
        </w:rPr>
        <w:t>询</w:t>
      </w:r>
      <w:r>
        <w:rPr>
          <w:b/>
          <w:spacing w:val="-1"/>
          <w:w w:val="95"/>
          <w:sz w:val="36"/>
          <w:szCs w:val="36"/>
          <w:lang w:eastAsia="zh-CN"/>
        </w:rPr>
        <w:t>比公</w:t>
      </w:r>
      <w:r>
        <w:rPr>
          <w:b/>
          <w:w w:val="95"/>
          <w:sz w:val="36"/>
          <w:szCs w:val="36"/>
          <w:lang w:eastAsia="zh-CN"/>
        </w:rPr>
        <w:t>告</w:t>
      </w:r>
      <w:r>
        <w:rPr>
          <w:rFonts w:hint="eastAsia"/>
          <w:sz w:val="36"/>
          <w:szCs w:val="36"/>
          <w:lang w:eastAsia="zh-CN"/>
        </w:rPr>
        <w:t xml:space="preserve"> </w:t>
      </w:r>
      <w:r>
        <w:rPr>
          <w:rFonts w:hint="eastAsia"/>
          <w:lang w:eastAsia="zh-CN"/>
        </w:rPr>
        <w:t xml:space="preserve">   </w:t>
      </w:r>
    </w:p>
    <w:p w14:paraId="50E09CB3">
      <w:pPr>
        <w:jc w:val="center"/>
        <w:rPr>
          <w:b/>
          <w:bCs/>
          <w:sz w:val="32"/>
          <w:lang w:eastAsia="zh-CN"/>
        </w:rPr>
      </w:pPr>
      <w:r>
        <w:rPr>
          <w:rFonts w:hint="eastAsia"/>
          <w:b/>
          <w:bCs/>
          <w:sz w:val="32"/>
          <w:lang w:eastAsia="zh-CN"/>
        </w:rPr>
        <w:t>福建福海创石油化工有限公司</w:t>
      </w:r>
    </w:p>
    <w:p w14:paraId="2422600C">
      <w:pPr>
        <w:keepNext w:val="0"/>
        <w:keepLines w:val="0"/>
        <w:pageBreakBefore w:val="0"/>
        <w:widowControl w:val="0"/>
        <w:kinsoku/>
        <w:wordWrap/>
        <w:overflowPunct/>
        <w:topLinePunct w:val="0"/>
        <w:autoSpaceDE w:val="0"/>
        <w:autoSpaceDN w:val="0"/>
        <w:bidi w:val="0"/>
        <w:adjustRightInd/>
        <w:snapToGrid/>
        <w:spacing w:after="0" w:afterLines="50"/>
        <w:jc w:val="center"/>
        <w:textAlignment w:val="auto"/>
        <w:rPr>
          <w:bCs/>
          <w:szCs w:val="21"/>
          <w:lang w:eastAsia="zh-CN"/>
        </w:rPr>
      </w:pPr>
      <w:r>
        <w:rPr>
          <w:rFonts w:hint="eastAsia" w:cs="宋体"/>
          <w:b/>
          <w:bCs/>
          <w:i w:val="0"/>
          <w:iCs w:val="0"/>
          <w:caps w:val="0"/>
          <w:color w:val="auto"/>
          <w:spacing w:val="0"/>
          <w:sz w:val="32"/>
          <w:szCs w:val="32"/>
          <w:shd w:val="clear" w:fill="auto"/>
          <w:lang w:val="en-US" w:eastAsia="zh-CN"/>
        </w:rPr>
        <w:t>PTA废料委外处置</w:t>
      </w:r>
      <w:r>
        <w:rPr>
          <w:b/>
          <w:bCs/>
          <w:sz w:val="32"/>
          <w:szCs w:val="32"/>
          <w:lang w:eastAsia="zh-CN"/>
        </w:rPr>
        <w:t>发包</w:t>
      </w:r>
      <w:r>
        <w:rPr>
          <w:rFonts w:hint="eastAsia"/>
          <w:b/>
          <w:bCs/>
          <w:sz w:val="32"/>
          <w:lang w:val="en-US" w:eastAsia="zh-CN"/>
        </w:rPr>
        <w:t>询</w:t>
      </w:r>
      <w:r>
        <w:rPr>
          <w:rFonts w:hint="eastAsia"/>
          <w:b/>
          <w:bCs/>
          <w:sz w:val="32"/>
          <w:lang w:eastAsia="zh-CN"/>
        </w:rPr>
        <w:t>比公告</w:t>
      </w:r>
    </w:p>
    <w:p w14:paraId="505219B1">
      <w:pPr>
        <w:keepNext w:val="0"/>
        <w:keepLines w:val="0"/>
        <w:pageBreakBefore w:val="0"/>
        <w:widowControl w:val="0"/>
        <w:numPr>
          <w:ilvl w:val="0"/>
          <w:numId w:val="0"/>
        </w:numPr>
        <w:kinsoku/>
        <w:wordWrap/>
        <w:overflowPunct/>
        <w:topLinePunct w:val="0"/>
        <w:bidi w:val="0"/>
        <w:snapToGrid/>
        <w:spacing w:line="360" w:lineRule="auto"/>
        <w:ind w:right="220" w:rightChars="100" w:firstLine="440" w:firstLineChars="200"/>
        <w:rPr>
          <w:bCs/>
          <w:szCs w:val="21"/>
          <w:lang w:eastAsia="zh-CN"/>
        </w:rPr>
      </w:pPr>
      <w:r>
        <w:rPr>
          <w:rFonts w:hint="eastAsia"/>
          <w:bCs/>
          <w:szCs w:val="21"/>
          <w:lang w:eastAsia="zh-CN"/>
        </w:rPr>
        <w:t>福建福海创石油化工有限公司就</w:t>
      </w:r>
      <w:r>
        <w:rPr>
          <w:rFonts w:hint="eastAsia"/>
          <w:bCs/>
          <w:szCs w:val="21"/>
          <w:u w:val="single"/>
          <w:lang w:eastAsia="zh-CN"/>
        </w:rPr>
        <w:t xml:space="preserve"> “PT</w:t>
      </w:r>
      <w:r>
        <w:rPr>
          <w:rFonts w:hint="eastAsia"/>
          <w:bCs/>
          <w:szCs w:val="21"/>
          <w:u w:val="single"/>
          <w:lang w:val="en-US" w:eastAsia="zh-CN"/>
        </w:rPr>
        <w:t>A废料委外处置</w:t>
      </w:r>
      <w:r>
        <w:rPr>
          <w:rFonts w:hint="eastAsia"/>
          <w:bCs/>
          <w:szCs w:val="21"/>
          <w:u w:val="single"/>
          <w:lang w:eastAsia="zh-CN"/>
        </w:rPr>
        <w:t>（项目编号：QGB-20260811000022</w:t>
      </w:r>
      <w:r>
        <w:rPr>
          <w:rFonts w:hint="eastAsia"/>
          <w:bCs/>
          <w:szCs w:val="21"/>
          <w:u w:val="single"/>
          <w:lang w:val="en-US" w:eastAsia="zh-CN"/>
        </w:rPr>
        <w:t>）”</w:t>
      </w:r>
      <w:r>
        <w:rPr>
          <w:rFonts w:hint="eastAsia"/>
          <w:bCs/>
          <w:szCs w:val="21"/>
          <w:lang w:eastAsia="zh-CN"/>
        </w:rPr>
        <w:t>进行国内公开</w:t>
      </w:r>
      <w:bookmarkStart w:id="2" w:name="_GoBack"/>
      <w:bookmarkEnd w:id="2"/>
      <w:r>
        <w:rPr>
          <w:rFonts w:hint="eastAsia"/>
          <w:bCs/>
          <w:szCs w:val="21"/>
          <w:lang w:eastAsia="zh-CN"/>
        </w:rPr>
        <w:t>比选，</w:t>
      </w:r>
      <w:r>
        <w:rPr>
          <w:rFonts w:hint="eastAsia"/>
          <w:bCs/>
          <w:spacing w:val="-2"/>
          <w:szCs w:val="21"/>
          <w:lang w:eastAsia="zh-CN"/>
        </w:rPr>
        <w:t>欢迎国内符合条件的承揽商积极参</w:t>
      </w:r>
      <w:r>
        <w:rPr>
          <w:rFonts w:hint="eastAsia"/>
          <w:bCs/>
          <w:spacing w:val="-2"/>
          <w:szCs w:val="21"/>
          <w:lang w:val="en-US" w:eastAsia="zh-CN"/>
        </w:rPr>
        <w:t>比</w:t>
      </w:r>
      <w:r>
        <w:rPr>
          <w:rFonts w:hint="eastAsia"/>
          <w:bCs/>
          <w:spacing w:val="-2"/>
          <w:szCs w:val="21"/>
          <w:lang w:eastAsia="zh-CN"/>
        </w:rPr>
        <w:t>。</w:t>
      </w:r>
    </w:p>
    <w:p w14:paraId="19D64671">
      <w:pPr>
        <w:pStyle w:val="71"/>
        <w:keepNext w:val="0"/>
        <w:keepLines w:val="0"/>
        <w:pageBreakBefore w:val="0"/>
        <w:widowControl w:val="0"/>
        <w:numPr>
          <w:ilvl w:val="0"/>
          <w:numId w:val="6"/>
        </w:numPr>
        <w:kinsoku/>
        <w:wordWrap/>
        <w:overflowPunct/>
        <w:topLinePunct w:val="0"/>
        <w:autoSpaceDE/>
        <w:autoSpaceDN/>
        <w:bidi w:val="0"/>
        <w:snapToGrid/>
        <w:spacing w:before="0" w:line="360" w:lineRule="auto"/>
        <w:ind w:left="412" w:firstLine="0"/>
        <w:jc w:val="both"/>
        <w:rPr>
          <w:b/>
          <w:bCs/>
          <w:szCs w:val="21"/>
        </w:rPr>
      </w:pPr>
      <w:r>
        <w:rPr>
          <w:rFonts w:hint="eastAsia"/>
          <w:b/>
          <w:bCs/>
          <w:szCs w:val="21"/>
        </w:rPr>
        <w:t>项目概况</w:t>
      </w:r>
    </w:p>
    <w:p w14:paraId="7836B59C">
      <w:pPr>
        <w:keepNext w:val="0"/>
        <w:keepLines w:val="0"/>
        <w:pageBreakBefore w:val="0"/>
        <w:widowControl w:val="0"/>
        <w:numPr>
          <w:ilvl w:val="0"/>
          <w:numId w:val="7"/>
        </w:numPr>
        <w:kinsoku/>
        <w:wordWrap/>
        <w:overflowPunct/>
        <w:topLinePunct w:val="0"/>
        <w:bidi w:val="0"/>
        <w:snapToGrid/>
        <w:spacing w:line="360" w:lineRule="auto"/>
        <w:ind w:firstLine="420" w:firstLineChars="20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项目名称：PTA废料委外处置。</w:t>
      </w:r>
    </w:p>
    <w:p w14:paraId="1A84FA6D">
      <w:pPr>
        <w:keepNext w:val="0"/>
        <w:keepLines w:val="0"/>
        <w:pageBreakBefore w:val="0"/>
        <w:widowControl w:val="0"/>
        <w:numPr>
          <w:ilvl w:val="0"/>
          <w:numId w:val="7"/>
        </w:numPr>
        <w:kinsoku/>
        <w:wordWrap/>
        <w:overflowPunct/>
        <w:topLinePunct w:val="0"/>
        <w:bidi w:val="0"/>
        <w:snapToGrid/>
        <w:spacing w:line="360" w:lineRule="auto"/>
        <w:ind w:firstLine="420" w:firstLineChars="200"/>
        <w:rPr>
          <w:rFonts w:hint="eastAsia" w:asciiTheme="minorEastAsia" w:hAnsiTheme="minorEastAsia" w:eastAsiaTheme="minorEastAsia"/>
          <w:spacing w:val="8"/>
          <w:sz w:val="24"/>
          <w:szCs w:val="24"/>
          <w:lang w:eastAsia="zh-CN"/>
        </w:rPr>
      </w:pPr>
      <w:r>
        <w:rPr>
          <w:rFonts w:hint="eastAsia" w:ascii="Times New Roman" w:hAnsi="Times New Roman" w:cs="Times New Roman" w:eastAsiaTheme="minorEastAsia"/>
          <w:sz w:val="21"/>
          <w:szCs w:val="21"/>
          <w:lang w:val="en-US" w:eastAsia="zh-CN" w:bidi="ar-SA"/>
        </w:rPr>
        <w:t>参比范围及内容：PTA废料（预估量75吨：其中PTA结晶料约60吨，PTA水沟料约10吨</w:t>
      </w:r>
      <w:r>
        <w:rPr>
          <w:rFonts w:hint="eastAsia" w:asciiTheme="minorEastAsia" w:hAnsiTheme="minorEastAsia" w:eastAsiaTheme="minorEastAsia"/>
          <w:spacing w:val="8"/>
          <w:sz w:val="24"/>
          <w:szCs w:val="24"/>
          <w:lang w:eastAsia="zh-CN"/>
        </w:rPr>
        <w:t>）；</w:t>
      </w:r>
    </w:p>
    <w:p w14:paraId="28911264">
      <w:pPr>
        <w:keepNext w:val="0"/>
        <w:keepLines w:val="0"/>
        <w:pageBreakBefore w:val="0"/>
        <w:widowControl w:val="0"/>
        <w:numPr>
          <w:ilvl w:val="0"/>
          <w:numId w:val="7"/>
        </w:numPr>
        <w:kinsoku/>
        <w:wordWrap/>
        <w:overflowPunct/>
        <w:topLinePunct w:val="0"/>
        <w:bidi w:val="0"/>
        <w:snapToGrid/>
        <w:spacing w:line="360" w:lineRule="auto"/>
        <w:ind w:firstLine="420" w:firstLineChars="20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处置方式：一次性处置，买方自行上门提货；处置数量按实际过磅数量为准。</w:t>
      </w:r>
    </w:p>
    <w:p w14:paraId="3A2AF1D5">
      <w:pPr>
        <w:pStyle w:val="71"/>
        <w:keepNext w:val="0"/>
        <w:keepLines w:val="0"/>
        <w:pageBreakBefore w:val="0"/>
        <w:widowControl w:val="0"/>
        <w:numPr>
          <w:ilvl w:val="0"/>
          <w:numId w:val="6"/>
        </w:numPr>
        <w:kinsoku/>
        <w:wordWrap/>
        <w:overflowPunct/>
        <w:topLinePunct w:val="0"/>
        <w:autoSpaceDE/>
        <w:autoSpaceDN/>
        <w:bidi w:val="0"/>
        <w:snapToGrid/>
        <w:spacing w:before="0" w:line="360" w:lineRule="auto"/>
        <w:ind w:left="412" w:leftChars="0" w:firstLine="0" w:firstLineChars="0"/>
        <w:jc w:val="both"/>
        <w:rPr>
          <w:rFonts w:hint="eastAsia"/>
          <w:b/>
          <w:bCs/>
          <w:szCs w:val="21"/>
        </w:rPr>
      </w:pPr>
      <w:r>
        <w:rPr>
          <w:rFonts w:hint="eastAsia"/>
          <w:b/>
          <w:bCs/>
          <w:szCs w:val="21"/>
          <w:lang w:eastAsia="zh-CN"/>
        </w:rPr>
        <w:t>参比人</w:t>
      </w:r>
      <w:r>
        <w:rPr>
          <w:rFonts w:hint="eastAsia"/>
          <w:b/>
          <w:bCs/>
          <w:szCs w:val="21"/>
        </w:rPr>
        <w:t>资格要求</w:t>
      </w:r>
    </w:p>
    <w:p w14:paraId="7C32BFD0">
      <w:pPr>
        <w:keepNext w:val="0"/>
        <w:keepLines w:val="0"/>
        <w:pageBreakBefore w:val="0"/>
        <w:widowControl w:val="0"/>
        <w:numPr>
          <w:ilvl w:val="0"/>
          <w:numId w:val="8"/>
        </w:numPr>
        <w:kinsoku/>
        <w:wordWrap/>
        <w:overflowPunct/>
        <w:topLinePunct w:val="0"/>
        <w:bidi w:val="0"/>
        <w:snapToGrid/>
        <w:spacing w:line="360" w:lineRule="auto"/>
        <w:ind w:left="441" w:leftChars="190" w:hanging="23" w:hangingChars="11"/>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具备独立法人资格、具备有效的企业法人营业执照。</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2、无失信黑名单记录（以最高院失信被执行人系统发布信息为准）。</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3、与采购人无诉讼纠纷。</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4、本项目不接受联合体参选，不许非法分包、杜绝转包。</w:t>
      </w:r>
    </w:p>
    <w:p w14:paraId="5951AAB8">
      <w:pPr>
        <w:keepNext w:val="0"/>
        <w:keepLines w:val="0"/>
        <w:pageBreakBefore w:val="0"/>
        <w:widowControl w:val="0"/>
        <w:numPr>
          <w:ilvl w:val="0"/>
          <w:numId w:val="0"/>
        </w:numPr>
        <w:kinsoku/>
        <w:wordWrap/>
        <w:overflowPunct/>
        <w:topLinePunct w:val="0"/>
        <w:bidi w:val="0"/>
        <w:snapToGrid/>
        <w:spacing w:line="360" w:lineRule="auto"/>
        <w:ind w:leftChars="179"/>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三、采购文件的获取</w:t>
      </w:r>
    </w:p>
    <w:p w14:paraId="1177B46E">
      <w:pPr>
        <w:keepNext w:val="0"/>
        <w:keepLines w:val="0"/>
        <w:pageBreakBefore w:val="0"/>
        <w:widowControl w:val="0"/>
        <w:numPr>
          <w:ilvl w:val="0"/>
          <w:numId w:val="0"/>
        </w:numPr>
        <w:kinsoku/>
        <w:wordWrap/>
        <w:overflowPunct/>
        <w:topLinePunct w:val="0"/>
        <w:bidi w:val="0"/>
        <w:snapToGrid/>
        <w:spacing w:line="360" w:lineRule="auto"/>
        <w:ind w:leftChars="19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1、凡有意愿参加的单位，请在</w:t>
      </w:r>
      <w:r>
        <w:rPr>
          <w:rFonts w:hint="eastAsia" w:ascii="Times New Roman" w:hAnsi="Times New Roman" w:cs="Times New Roman" w:eastAsiaTheme="minorEastAsia"/>
          <w:sz w:val="21"/>
          <w:szCs w:val="21"/>
          <w:lang w:val="en-US" w:eastAsia="zh-CN" w:bidi="ar-SA"/>
        </w:rPr>
        <w:fldChar w:fldCharType="begin"/>
      </w:r>
      <w:r>
        <w:rPr>
          <w:rFonts w:hint="eastAsia" w:ascii="Times New Roman" w:hAnsi="Times New Roman" w:cs="Times New Roman" w:eastAsiaTheme="minorEastAsia"/>
          <w:sz w:val="21"/>
          <w:szCs w:val="21"/>
          <w:lang w:val="en-US" w:eastAsia="zh-CN" w:bidi="ar-SA"/>
        </w:rPr>
        <w:instrText xml:space="preserve"> HYPERLINK "http://www.fhcpec.com.cn/" </w:instrText>
      </w:r>
      <w:r>
        <w:rPr>
          <w:rFonts w:hint="eastAsia" w:ascii="Times New Roman" w:hAnsi="Times New Roman" w:cs="Times New Roman" w:eastAsiaTheme="minorEastAsia"/>
          <w:sz w:val="21"/>
          <w:szCs w:val="21"/>
          <w:lang w:val="en-US" w:eastAsia="zh-CN" w:bidi="ar-SA"/>
        </w:rPr>
        <w:fldChar w:fldCharType="separate"/>
      </w:r>
      <w:r>
        <w:rPr>
          <w:rFonts w:hint="eastAsia" w:ascii="Times New Roman" w:hAnsi="Times New Roman" w:cs="Times New Roman" w:eastAsiaTheme="minorEastAsia"/>
          <w:sz w:val="21"/>
          <w:szCs w:val="21"/>
          <w:lang w:val="en-US" w:eastAsia="zh-CN" w:bidi="ar-SA"/>
        </w:rPr>
        <w:t>http://www.fhcpec.com.cn/</w:t>
      </w:r>
      <w:r>
        <w:rPr>
          <w:rFonts w:hint="eastAsia" w:ascii="Times New Roman" w:hAnsi="Times New Roman" w:cs="Times New Roman" w:eastAsiaTheme="minorEastAsia"/>
          <w:sz w:val="21"/>
          <w:szCs w:val="21"/>
          <w:lang w:val="en-US" w:eastAsia="zh-CN" w:bidi="ar-SA"/>
        </w:rPr>
        <w:fldChar w:fldCharType="end"/>
      </w:r>
      <w:r>
        <w:rPr>
          <w:rFonts w:hint="eastAsia" w:ascii="Times New Roman" w:hAnsi="Times New Roman" w:cs="Times New Roman" w:eastAsiaTheme="minorEastAsia"/>
          <w:sz w:val="21"/>
          <w:szCs w:val="21"/>
          <w:lang w:val="en-US" w:eastAsia="zh-CN" w:bidi="ar-SA"/>
        </w:rPr>
        <w:t>（福海创官网）自行下载。</w:t>
      </w:r>
    </w:p>
    <w:p w14:paraId="4EBC9BF7">
      <w:pPr>
        <w:keepNext w:val="0"/>
        <w:keepLines w:val="0"/>
        <w:pageBreakBefore w:val="0"/>
        <w:widowControl w:val="0"/>
        <w:numPr>
          <w:ilvl w:val="0"/>
          <w:numId w:val="0"/>
        </w:numPr>
        <w:kinsoku/>
        <w:wordWrap/>
        <w:overflowPunct/>
        <w:topLinePunct w:val="0"/>
        <w:bidi w:val="0"/>
        <w:snapToGrid/>
        <w:spacing w:line="360" w:lineRule="auto"/>
        <w:ind w:firstLine="420" w:firstLineChars="20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2、本项目不收取文件下载费用</w:t>
      </w:r>
    </w:p>
    <w:p w14:paraId="3F70E24A">
      <w:pPr>
        <w:keepNext w:val="0"/>
        <w:keepLines w:val="0"/>
        <w:pageBreakBefore w:val="0"/>
        <w:widowControl w:val="0"/>
        <w:tabs>
          <w:tab w:val="left" w:pos="709"/>
        </w:tabs>
        <w:kinsoku/>
        <w:wordWrap/>
        <w:overflowPunct/>
        <w:topLinePunct w:val="0"/>
        <w:bidi w:val="0"/>
        <w:snapToGrid/>
        <w:spacing w:line="360" w:lineRule="auto"/>
        <w:ind w:firstLine="480"/>
        <w:rPr>
          <w:b/>
          <w:snapToGrid w:val="0"/>
          <w:spacing w:val="8"/>
          <w:szCs w:val="21"/>
        </w:rPr>
      </w:pPr>
      <w:r>
        <w:rPr>
          <w:rFonts w:hint="eastAsia"/>
          <w:b/>
          <w:snapToGrid w:val="0"/>
          <w:spacing w:val="8"/>
          <w:szCs w:val="21"/>
        </w:rPr>
        <w:t>四、报名及报价方式</w:t>
      </w:r>
    </w:p>
    <w:p w14:paraId="56D33ABA">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报名时间：</w:t>
      </w:r>
      <w:r>
        <w:rPr>
          <w:rFonts w:hint="eastAsia"/>
          <w:color w:val="000000" w:themeColor="text1"/>
          <w:szCs w:val="21"/>
          <w:lang w:val="en-US" w:eastAsia="zh-CN"/>
          <w14:textFill>
            <w14:solidFill>
              <w14:schemeClr w14:val="tx1"/>
            </w14:solidFill>
          </w14:textFill>
        </w:rPr>
        <w:t>自公告之日起至2026年9月10日</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）前</w:t>
      </w:r>
      <w:r>
        <w:rPr>
          <w:rFonts w:hint="eastAsia"/>
          <w:color w:val="000000" w:themeColor="text1"/>
          <w:szCs w:val="21"/>
          <w14:textFill>
            <w14:solidFill>
              <w14:schemeClr w14:val="tx1"/>
            </w14:solidFill>
          </w14:textFill>
        </w:rPr>
        <w:t>。</w:t>
      </w:r>
    </w:p>
    <w:p w14:paraId="2DDBEBD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报名方式：参比人在报名时间内将报名文件发送至邮箱huangmq@f</w:t>
      </w:r>
      <w:r>
        <w:rPr>
          <w:rFonts w:hint="eastAsia"/>
          <w:color w:val="000000" w:themeColor="text1"/>
          <w:szCs w:val="21"/>
          <w:lang w:val="en-US" w:eastAsia="zh-CN"/>
          <w14:textFill>
            <w14:solidFill>
              <w14:schemeClr w14:val="tx1"/>
            </w14:solidFill>
          </w14:textFill>
        </w:rPr>
        <w:t>u</w:t>
      </w:r>
      <w:r>
        <w:rPr>
          <w:color w:val="000000" w:themeColor="text1"/>
          <w:szCs w:val="21"/>
          <w14:textFill>
            <w14:solidFill>
              <w14:schemeClr w14:val="tx1"/>
            </w14:solidFill>
          </w14:textFill>
        </w:rPr>
        <w:t>j</w:t>
      </w:r>
      <w:r>
        <w:rPr>
          <w:rFonts w:hint="eastAsia"/>
          <w:color w:val="000000" w:themeColor="text1"/>
          <w:szCs w:val="21"/>
          <w:lang w:val="en-US" w:eastAsia="zh-CN"/>
          <w14:textFill>
            <w14:solidFill>
              <w14:schemeClr w14:val="tx1"/>
            </w14:solidFill>
          </w14:textFill>
        </w:rPr>
        <w:t>ianep</w:t>
      </w:r>
      <w:r>
        <w:rPr>
          <w:rFonts w:hint="eastAsia"/>
          <w:color w:val="000000" w:themeColor="text1"/>
          <w:szCs w:val="21"/>
          <w14:textFill>
            <w14:solidFill>
              <w14:schemeClr w14:val="tx1"/>
            </w14:solidFill>
          </w14:textFill>
        </w:rPr>
        <w:t>.com，报名文件包含：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①</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eastAsia"/>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②</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营业执照（扫描件）。</w:t>
      </w:r>
    </w:p>
    <w:p w14:paraId="42A3E22C">
      <w:pPr>
        <w:pStyle w:val="2"/>
        <w:keepNext w:val="0"/>
        <w:keepLines w:val="0"/>
        <w:pageBreakBefore w:val="0"/>
        <w:widowControl w:val="0"/>
        <w:kinsoku/>
        <w:wordWrap/>
        <w:overflowPunct/>
        <w:topLinePunct w:val="0"/>
        <w:bidi w:val="0"/>
        <w:snapToGrid/>
        <w:spacing w:line="360" w:lineRule="auto"/>
        <w:ind w:left="0" w:leftChars="0" w:firstLine="99" w:firstLineChars="45"/>
        <w:rPr>
          <w:color w:val="000000" w:themeColor="text1"/>
          <w:szCs w:val="21"/>
          <w:highlight w:val="yellow"/>
          <w14:textFill>
            <w14:solidFill>
              <w14:schemeClr w14:val="tx1"/>
            </w14:solidFill>
          </w14:textFill>
        </w:rPr>
      </w:pPr>
      <w:r>
        <w:rPr>
          <w:rFonts w:hint="eastAsia" w:ascii="宋体" w:hAnsi="宋体" w:eastAsia="宋体" w:cs="宋体"/>
          <w:color w:val="000000" w:themeColor="text1"/>
          <w:sz w:val="22"/>
          <w:szCs w:val="21"/>
          <w:highlight w:val="yellow"/>
          <w:lang w:val="en-US" w:eastAsia="zh-CN" w:bidi="ar-SA"/>
          <w14:textFill>
            <w14:solidFill>
              <w14:schemeClr w14:val="tx1"/>
            </w14:solidFill>
          </w14:textFill>
        </w:rPr>
        <w:t xml:space="preserve">   </w:t>
      </w:r>
      <w:r>
        <w:rPr>
          <w:rFonts w:hint="eastAsia" w:ascii="宋体" w:hAnsi="宋体" w:eastAsia="宋体" w:cs="宋体"/>
          <w:color w:val="000000" w:themeColor="text1"/>
          <w:sz w:val="22"/>
          <w:szCs w:val="21"/>
          <w:highlight w:val="yellow"/>
          <w:lang w:val="en-US" w:eastAsia="en-US" w:bidi="ar-SA"/>
          <w14:textFill>
            <w14:solidFill>
              <w14:schemeClr w14:val="tx1"/>
            </w14:solidFill>
          </w14:textFill>
        </w:rPr>
        <w:t>报名成功后，参比人可与现场技术人员进行技术交流</w:t>
      </w:r>
      <w:r>
        <w:rPr>
          <w:rFonts w:hint="eastAsia" w:ascii="宋体" w:hAnsi="宋体" w:eastAsia="宋体" w:cs="宋体"/>
          <w:color w:val="000000" w:themeColor="text1"/>
          <w:sz w:val="22"/>
          <w:szCs w:val="21"/>
          <w:highlight w:val="yellow"/>
          <w:lang w:val="en-US" w:eastAsia="zh-CN" w:bidi="ar-SA"/>
          <w14:textFill>
            <w14:solidFill>
              <w14:schemeClr w14:val="tx1"/>
            </w14:solidFill>
          </w14:textFill>
        </w:rPr>
        <w:t>及到现场勘察货物</w:t>
      </w:r>
      <w:r>
        <w:rPr>
          <w:rFonts w:hint="eastAsia" w:ascii="宋体" w:hAnsi="宋体" w:eastAsia="宋体" w:cs="宋体"/>
          <w:color w:val="000000" w:themeColor="text1"/>
          <w:sz w:val="22"/>
          <w:szCs w:val="21"/>
          <w:highlight w:val="yellow"/>
          <w:lang w:val="en-US" w:eastAsia="en-US" w:bidi="ar-SA"/>
          <w14:textFill>
            <w14:solidFill>
              <w14:schemeClr w14:val="tx1"/>
            </w14:solidFill>
          </w14:textFill>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firstLine="44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w:t>
      </w:r>
      <w:r>
        <w:fldChar w:fldCharType="begin"/>
      </w:r>
      <w:r>
        <w:instrText xml:space="preserve"> HYPERLINK "http://www.fhcpec.com.cn/" </w:instrText>
      </w:r>
      <w:r>
        <w:fldChar w:fldCharType="separate"/>
      </w:r>
      <w:r>
        <w:rPr>
          <w:rStyle w:val="54"/>
          <w:szCs w:val="21"/>
        </w:rPr>
        <w:t>http://www.fhcpec.com.cn/</w:t>
      </w:r>
      <w:r>
        <w:rPr>
          <w:rStyle w:val="54"/>
          <w:szCs w:val="21"/>
        </w:rPr>
        <w:fldChar w:fldCharType="end"/>
      </w:r>
      <w:r>
        <w:rPr>
          <w:rStyle w:val="54"/>
          <w:rFonts w:hint="eastAsia"/>
          <w:szCs w:val="21"/>
          <w:lang w:val="en-US" w:eastAsia="zh-CN"/>
        </w:rPr>
        <w:t>(福海创官网）</w:t>
      </w:r>
      <w:r>
        <w:rPr>
          <w:rStyle w:val="54"/>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6B7B96A4">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参比文件递交地点：福建省漳州市古雷开发区纵四路西侧福化古雷运营中心17楼 福海创综合采购团队收件人：黄梅钦13806001925。</w:t>
      </w:r>
    </w:p>
    <w:p w14:paraId="6C11DC2F">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w:t>
      </w:r>
      <w:r>
        <w:rPr>
          <w:rFonts w:hint="eastAsia"/>
          <w:color w:val="000000" w:themeColor="text1"/>
          <w:szCs w:val="21"/>
          <w:lang w:val="en-US" w:eastAsia="zh-CN"/>
          <w14:textFill>
            <w14:solidFill>
              <w14:schemeClr w14:val="tx1"/>
            </w14:solidFill>
          </w14:textFill>
        </w:rPr>
        <w:t>自公告之日起至2026年9月12日</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）止</w:t>
      </w:r>
      <w:r>
        <w:rPr>
          <w:rFonts w:hint="eastAsia"/>
          <w:color w:val="000000" w:themeColor="text1"/>
          <w:szCs w:val="21"/>
          <w14:textFill>
            <w14:solidFill>
              <w14:schemeClr w14:val="tx1"/>
            </w14:solidFill>
          </w14:textFill>
        </w:rPr>
        <w:t>内送达采购人指定地点。</w:t>
      </w:r>
    </w:p>
    <w:p w14:paraId="186AE2BB">
      <w:pPr>
        <w:keepNext w:val="0"/>
        <w:keepLines w:val="0"/>
        <w:pageBreakBefore w:val="0"/>
        <w:widowControl w:val="0"/>
        <w:tabs>
          <w:tab w:val="left" w:pos="709"/>
        </w:tabs>
        <w:kinsoku/>
        <w:wordWrap/>
        <w:overflowPunct/>
        <w:topLinePunct w:val="0"/>
        <w:bidi w:val="0"/>
        <w:snapToGrid/>
        <w:spacing w:line="360" w:lineRule="auto"/>
        <w:ind w:firstLine="442" w:firstLineChars="200"/>
        <w:rPr>
          <w:rFonts w:hint="eastAsia"/>
          <w:szCs w:val="21"/>
        </w:rPr>
      </w:pPr>
      <w:r>
        <w:rPr>
          <w:rFonts w:hint="eastAsia"/>
          <w:b/>
          <w:szCs w:val="21"/>
        </w:rPr>
        <w:t>六、发布公告的媒介：</w:t>
      </w:r>
      <w:r>
        <w:rPr>
          <w:rStyle w:val="54"/>
          <w:szCs w:val="21"/>
        </w:rPr>
        <w:t xml:space="preserve">http://www.fhcpec.com.cn/ </w:t>
      </w:r>
      <w:r>
        <w:rPr>
          <w:szCs w:val="21"/>
        </w:rPr>
        <w:t>（</w:t>
      </w:r>
      <w:r>
        <w:fldChar w:fldCharType="begin"/>
      </w:r>
      <w:r>
        <w:instrText xml:space="preserve"> HYPERLINK "http://www.fhcpec.com.cn/" </w:instrText>
      </w:r>
      <w:r>
        <w:fldChar w:fldCharType="separate"/>
      </w:r>
      <w:r>
        <w:rPr>
          <w:rStyle w:val="54"/>
          <w:szCs w:val="21"/>
        </w:rPr>
        <w:t>福建福海创石油化工有限公司</w:t>
      </w:r>
      <w:r>
        <w:rPr>
          <w:rStyle w:val="54"/>
          <w:szCs w:val="21"/>
        </w:rPr>
        <w:fldChar w:fldCharType="end"/>
      </w:r>
      <w:r>
        <w:rPr>
          <w:rStyle w:val="54"/>
          <w:rFonts w:hint="eastAsia"/>
          <w:szCs w:val="21"/>
          <w:lang w:val="en-US" w:eastAsia="zh-CN"/>
        </w:rPr>
        <w:t>官网</w:t>
      </w:r>
      <w:r>
        <w:rPr>
          <w:rFonts w:hint="eastAsia"/>
          <w:szCs w:val="21"/>
        </w:rPr>
        <w:t>）</w:t>
      </w:r>
    </w:p>
    <w:p w14:paraId="7E9C5067">
      <w:pPr>
        <w:pStyle w:val="10"/>
        <w:snapToGrid w:val="0"/>
        <w:spacing w:line="360" w:lineRule="auto"/>
        <w:rPr>
          <w:rFonts w:hint="eastAsia"/>
          <w:color w:val="000000" w:themeColor="text1"/>
          <w:sz w:val="22"/>
          <w:szCs w:val="22"/>
          <w:lang w:val="en-US" w:eastAsia="zh-CN"/>
          <w14:textFill>
            <w14:solidFill>
              <w14:schemeClr w14:val="tx1"/>
            </w14:solidFill>
          </w14:textFill>
        </w:rPr>
      </w:pPr>
      <w:r>
        <w:rPr>
          <w:rFonts w:hint="eastAsia"/>
          <w:color w:val="000000" w:themeColor="text1"/>
          <w:sz w:val="22"/>
          <w:szCs w:val="22"/>
          <w:lang w:val="en-US" w:eastAsia="zh-CN"/>
          <w14:textFill>
            <w14:solidFill>
              <w14:schemeClr w14:val="tx1"/>
            </w14:solidFill>
          </w14:textFill>
        </w:rPr>
        <w:t>七、本项目PTA废料委外处置单价均实行浮动定价，定价模式如下:</w:t>
      </w:r>
    </w:p>
    <w:p w14:paraId="04A8FABE">
      <w:pPr>
        <w:pStyle w:val="10"/>
        <w:snapToGrid w:val="0"/>
        <w:spacing w:line="360" w:lineRule="auto"/>
        <w:rPr>
          <w:rFonts w:hint="eastAsia" w:ascii="Times New Roman" w:hAnsi="Times New Roman" w:cs="Times New Roman" w:eastAsiaTheme="minorEastAsia"/>
          <w:sz w:val="21"/>
          <w:szCs w:val="21"/>
          <w:highlight w:val="green"/>
          <w:lang w:val="en-US" w:eastAsia="zh-CN" w:bidi="ar-SA"/>
        </w:rPr>
      </w:pPr>
      <w:r>
        <w:rPr>
          <w:rFonts w:hint="eastAsia"/>
          <w:color w:val="000000" w:themeColor="text1"/>
          <w:sz w:val="22"/>
          <w:szCs w:val="22"/>
          <w:lang w:val="en-US" w:eastAsia="zh-CN"/>
          <w14:textFill>
            <w14:solidFill>
              <w14:schemeClr w14:val="tx1"/>
            </w14:solidFill>
          </w14:textFill>
        </w:rPr>
        <w:t>基准价格：双方约定结算基准价格以每批次PTA废粉出厂日期的上个月26日至本月25日中国化纤网（CCF）PTA华东内盘日均价为基准价格(网址: https://www.ccfei.com)。结算价格按该公式进行结算: 基准价格*折旧率*吨数。</w:t>
      </w:r>
    </w:p>
    <w:p w14:paraId="0E0D9F38">
      <w:pPr>
        <w:pStyle w:val="10"/>
        <w:snapToGrid w:val="0"/>
        <w:spacing w:line="360" w:lineRule="auto"/>
        <w:rPr>
          <w:rFonts w:hint="eastAsia"/>
          <w:color w:val="000000" w:themeColor="text1"/>
          <w:sz w:val="22"/>
          <w:szCs w:val="22"/>
          <w:lang w:val="en-US" w:eastAsia="zh-CN"/>
          <w14:textFill>
            <w14:solidFill>
              <w14:schemeClr w14:val="tx1"/>
            </w14:solidFill>
          </w14:textFill>
        </w:rPr>
      </w:pPr>
      <w:r>
        <w:rPr>
          <w:rFonts w:hint="eastAsia"/>
          <w:color w:val="000000" w:themeColor="text1"/>
          <w:sz w:val="22"/>
          <w:szCs w:val="22"/>
          <w:lang w:val="en-US" w:eastAsia="zh-CN"/>
          <w14:textFill>
            <w14:solidFill>
              <w14:schemeClr w14:val="tx1"/>
            </w14:solidFill>
          </w14:textFill>
        </w:rPr>
        <w:t>八、本项目采用最高价中选法，暂定总报价最高者作为中选单位，参比报价暂定基准价格为2026年8月CCF  PTA华东内盘日均价为人民币6064.32元/吨(含税)，暂定总价等于各项“基准价格*折旧率*吨数”之和。</w:t>
      </w:r>
    </w:p>
    <w:p w14:paraId="77781190">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九</w:t>
      </w:r>
      <w:r>
        <w:rPr>
          <w:rFonts w:hint="eastAsia"/>
          <w:color w:val="000000" w:themeColor="text1"/>
          <w:szCs w:val="21"/>
          <w:lang w:eastAsia="zh-CN"/>
          <w14:textFill>
            <w14:solidFill>
              <w14:schemeClr w14:val="tx1"/>
            </w14:solidFill>
          </w14:textFill>
        </w:rPr>
        <w:t>、本项目参选保证金：</w:t>
      </w:r>
      <w:r>
        <w:rPr>
          <w:rFonts w:hint="eastAsia"/>
          <w:color w:val="000000" w:themeColor="text1"/>
          <w:szCs w:val="21"/>
          <w:lang w:val="en-US" w:eastAsia="zh-CN"/>
          <w14:textFill>
            <w14:solidFill>
              <w14:schemeClr w14:val="tx1"/>
            </w14:solidFill>
          </w14:textFill>
        </w:rPr>
        <w:t>3000元</w:t>
      </w:r>
      <w:r>
        <w:rPr>
          <w:rFonts w:hint="eastAsia"/>
          <w:color w:val="000000" w:themeColor="text1"/>
          <w:szCs w:val="21"/>
          <w:lang w:eastAsia="zh-CN"/>
          <w14:textFill>
            <w14:solidFill>
              <w14:schemeClr w14:val="tx1"/>
            </w14:solidFill>
          </w14:textFill>
        </w:rPr>
        <w:t>。</w:t>
      </w:r>
    </w:p>
    <w:p w14:paraId="6E7FE8BB">
      <w:pPr>
        <w:tabs>
          <w:tab w:val="left" w:pos="709"/>
        </w:tabs>
        <w:spacing w:line="360" w:lineRule="auto"/>
        <w:ind w:firstLine="474" w:firstLineChars="200"/>
        <w:rPr>
          <w:szCs w:val="21"/>
        </w:rPr>
      </w:pPr>
      <w:r>
        <w:rPr>
          <w:rFonts w:hint="eastAsia"/>
          <w:b/>
          <w:bCs/>
          <w:snapToGrid w:val="0"/>
          <w:spacing w:val="8"/>
          <w:szCs w:val="21"/>
          <w:lang w:val="en-US" w:eastAsia="zh-CN"/>
        </w:rPr>
        <w:t>十</w:t>
      </w:r>
      <w:r>
        <w:rPr>
          <w:rFonts w:hint="eastAsia"/>
          <w:b/>
          <w:bCs/>
          <w:snapToGrid w:val="0"/>
          <w:spacing w:val="8"/>
          <w:szCs w:val="21"/>
        </w:rPr>
        <w:t>、联系方式</w:t>
      </w:r>
      <w:r>
        <w:rPr>
          <w:rFonts w:hint="eastAsia"/>
          <w:szCs w:val="21"/>
        </w:rPr>
        <w:t xml:space="preserve"> </w:t>
      </w:r>
    </w:p>
    <w:p w14:paraId="743C436F">
      <w:pPr>
        <w:tabs>
          <w:tab w:val="left" w:pos="709"/>
        </w:tabs>
        <w:spacing w:line="360" w:lineRule="auto"/>
        <w:ind w:firstLine="440" w:firstLineChars="200"/>
        <w:rPr>
          <w:szCs w:val="21"/>
        </w:rPr>
      </w:pPr>
      <w:r>
        <w:rPr>
          <w:rFonts w:hint="eastAsia"/>
          <w:szCs w:val="21"/>
        </w:rPr>
        <w:t>商务联系人：黄梅钦 电话：</w:t>
      </w:r>
      <w:r>
        <w:rPr>
          <w:rFonts w:hint="eastAsia"/>
          <w:szCs w:val="21"/>
          <w:lang w:val="en-US" w:eastAsia="zh-CN"/>
        </w:rPr>
        <w:t>13806001925</w:t>
      </w:r>
      <w:r>
        <w:rPr>
          <w:rFonts w:hint="eastAsia"/>
          <w:szCs w:val="21"/>
        </w:rPr>
        <w:t xml:space="preserve"> 邮箱：</w:t>
      </w:r>
      <w:r>
        <w:fldChar w:fldCharType="begin"/>
      </w:r>
      <w:r>
        <w:instrText xml:space="preserve"> HYPERLINK "mailto:huangmq@fjpec.com.cn" </w:instrText>
      </w:r>
      <w:r>
        <w:fldChar w:fldCharType="separate"/>
      </w:r>
      <w:r>
        <w:rPr>
          <w:rFonts w:hint="eastAsia"/>
        </w:rPr>
        <w:t>hu</w:t>
      </w:r>
      <w:r>
        <w:t>angmq</w:t>
      </w:r>
      <w:r>
        <w:rPr>
          <w:rFonts w:hint="eastAsia"/>
        </w:rPr>
        <w:t>@f</w:t>
      </w:r>
      <w:r>
        <w:rPr>
          <w:rFonts w:hint="eastAsia"/>
          <w:lang w:val="en-US" w:eastAsia="zh-CN"/>
        </w:rPr>
        <w:t>u</w:t>
      </w:r>
      <w:r>
        <w:t>j</w:t>
      </w:r>
      <w:r>
        <w:rPr>
          <w:rFonts w:hint="eastAsia"/>
          <w:lang w:val="en-US" w:eastAsia="zh-CN"/>
        </w:rPr>
        <w:t>ianep</w:t>
      </w:r>
      <w:r>
        <w:rPr>
          <w:rFonts w:hint="eastAsia"/>
        </w:rPr>
        <w:t>.com</w:t>
      </w:r>
      <w:r>
        <w:rPr>
          <w:rFonts w:hint="eastAsia"/>
        </w:rPr>
        <w:fldChar w:fldCharType="end"/>
      </w:r>
    </w:p>
    <w:p w14:paraId="7D6C6092">
      <w:pPr>
        <w:widowControl/>
        <w:spacing w:line="360" w:lineRule="auto"/>
        <w:ind w:firstLine="440" w:firstLineChars="200"/>
      </w:pPr>
      <w:r>
        <w:rPr>
          <w:szCs w:val="21"/>
        </w:rPr>
        <w:t>技术联系人：</w:t>
      </w:r>
      <w:r>
        <w:rPr>
          <w:rFonts w:hint="eastAsia"/>
          <w:lang w:val="en-US" w:eastAsia="zh-CN"/>
        </w:rPr>
        <w:t>陈郑锋</w:t>
      </w:r>
      <w:r>
        <w:rPr>
          <w:rFonts w:hint="eastAsia"/>
          <w:lang w:eastAsia="zh-CN"/>
        </w:rPr>
        <w:t xml:space="preserve"> 电话：</w:t>
      </w:r>
      <w:r>
        <w:rPr>
          <w:rFonts w:hint="eastAsia"/>
          <w:lang w:val="en-US" w:eastAsia="zh-CN"/>
        </w:rPr>
        <w:t xml:space="preserve">13666063908 </w:t>
      </w:r>
      <w:r>
        <w:rPr>
          <w:rFonts w:hint="eastAsia"/>
          <w:lang w:eastAsia="zh-CN"/>
        </w:rPr>
        <w:t xml:space="preserve"> </w:t>
      </w:r>
      <w:r>
        <w:rPr>
          <w:lang w:eastAsia="zh-CN"/>
        </w:rPr>
        <w:t>邮箱：</w:t>
      </w:r>
      <w:r>
        <w:rPr>
          <w:lang w:val="en-US" w:eastAsia="zh-CN"/>
        </w:rPr>
        <w:t>309726385@qq.com</w:t>
      </w:r>
      <w:r>
        <w:rPr>
          <w:rFonts w:hint="default"/>
          <w:lang w:val="en-US" w:eastAsia="zh-CN"/>
        </w:rPr>
        <w:t> </w:t>
      </w:r>
      <w:r>
        <w:rPr>
          <w:rFonts w:hint="eastAsia"/>
        </w:rPr>
        <w:t xml:space="preserve"> </w:t>
      </w:r>
      <w:r>
        <w:t> </w:t>
      </w:r>
    </w:p>
    <w:p w14:paraId="067C45BB">
      <w:pPr>
        <w:tabs>
          <w:tab w:val="left" w:pos="709"/>
        </w:tabs>
        <w:spacing w:line="360" w:lineRule="auto"/>
        <w:ind w:firstLine="440" w:firstLineChars="200"/>
        <w:rPr>
          <w:szCs w:val="21"/>
        </w:rPr>
      </w:pPr>
      <w:r>
        <w:rPr>
          <w:rFonts w:hint="eastAsia"/>
          <w:szCs w:val="21"/>
        </w:rPr>
        <w:t xml:space="preserve">纪检监察室电话：0596-6311774  </w:t>
      </w:r>
    </w:p>
    <w:p w14:paraId="33BD52DF">
      <w:pPr>
        <w:tabs>
          <w:tab w:val="left" w:pos="709"/>
        </w:tabs>
        <w:spacing w:line="360" w:lineRule="auto"/>
        <w:ind w:left="440" w:leftChars="200" w:firstLine="0" w:firstLineChars="0"/>
        <w:rPr>
          <w:szCs w:val="21"/>
        </w:rPr>
      </w:pPr>
      <w:r>
        <w:rPr>
          <w:rFonts w:hint="eastAsia"/>
          <w:szCs w:val="21"/>
        </w:rPr>
        <w:t>联系地址：</w:t>
      </w:r>
      <w:r>
        <w:rPr>
          <w:rFonts w:hint="eastAsia"/>
          <w:color w:val="000000" w:themeColor="text1"/>
          <w:szCs w:val="21"/>
          <w14:textFill>
            <w14:solidFill>
              <w14:schemeClr w14:val="tx1"/>
            </w14:solidFill>
          </w14:textFill>
        </w:rPr>
        <w:t>福建省漳州市古雷开发区纵四路西侧福化古雷运营中心17楼</w:t>
      </w:r>
    </w:p>
    <w:p w14:paraId="63BE32F9">
      <w:pPr>
        <w:tabs>
          <w:tab w:val="left" w:pos="709"/>
        </w:tabs>
        <w:spacing w:line="360" w:lineRule="auto"/>
        <w:ind w:left="440" w:leftChars="200" w:firstLine="77" w:firstLineChars="35"/>
        <w:rPr>
          <w:szCs w:val="21"/>
        </w:rPr>
      </w:pPr>
      <w:r>
        <w:rPr>
          <w:rFonts w:hint="eastAsia"/>
          <w:szCs w:val="21"/>
        </w:rPr>
        <w:t>邮  编：363216</w:t>
      </w:r>
    </w:p>
    <w:p w14:paraId="76AE10D6">
      <w:pPr>
        <w:spacing w:line="360" w:lineRule="auto"/>
        <w:rPr>
          <w:szCs w:val="21"/>
        </w:rPr>
      </w:pPr>
    </w:p>
    <w:p w14:paraId="5B137A11">
      <w:pPr>
        <w:spacing w:line="360" w:lineRule="auto"/>
        <w:ind w:firstLine="44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50A38016">
      <w:pPr>
        <w:spacing w:line="360" w:lineRule="auto"/>
        <w:ind w:firstLine="440" w:firstLineChars="200"/>
        <w:rPr>
          <w:rFonts w:hint="eastAsia"/>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rFonts w:hint="eastAsia"/>
          <w:szCs w:val="21"/>
          <w:lang w:val="en-US" w:eastAsia="zh-CN"/>
        </w:rPr>
        <w:t>09</w:t>
      </w:r>
      <w:r>
        <w:rPr>
          <w:rFonts w:hint="eastAsia"/>
          <w:szCs w:val="21"/>
        </w:rPr>
        <w:t>月</w:t>
      </w:r>
      <w:r>
        <w:rPr>
          <w:rFonts w:hint="eastAsia"/>
          <w:szCs w:val="21"/>
          <w:lang w:val="en-US" w:eastAsia="zh-CN"/>
        </w:rPr>
        <w:t>01</w:t>
      </w:r>
      <w:r>
        <w:rPr>
          <w:rFonts w:hint="eastAsia"/>
          <w:szCs w:val="21"/>
        </w:rPr>
        <w:t>日</w:t>
      </w:r>
    </w:p>
    <w:p w14:paraId="2B68CFCE">
      <w:pPr>
        <w:pStyle w:val="2"/>
        <w:rPr>
          <w:rFonts w:hint="eastAsia"/>
          <w:szCs w:val="21"/>
        </w:rPr>
      </w:pPr>
    </w:p>
    <w:p w14:paraId="0BE309BA">
      <w:pPr>
        <w:pStyle w:val="2"/>
        <w:rPr>
          <w:sz w:val="21"/>
          <w:szCs w:val="21"/>
        </w:rPr>
      </w:pPr>
    </w:p>
    <w:p w14:paraId="622E1421">
      <w:pPr>
        <w:pStyle w:val="2"/>
        <w:rPr>
          <w:sz w:val="21"/>
          <w:szCs w:val="21"/>
        </w:rPr>
      </w:pPr>
    </w:p>
    <w:p w14:paraId="67579ED5">
      <w:pPr>
        <w:pStyle w:val="2"/>
        <w:rPr>
          <w:sz w:val="21"/>
          <w:szCs w:val="21"/>
        </w:rPr>
      </w:pPr>
    </w:p>
    <w:p w14:paraId="4112C77B">
      <w:pPr>
        <w:pStyle w:val="2"/>
        <w:rPr>
          <w:sz w:val="21"/>
          <w:szCs w:val="21"/>
        </w:rPr>
      </w:pPr>
    </w:p>
    <w:p w14:paraId="7B7DFF9B">
      <w:pPr>
        <w:pStyle w:val="2"/>
        <w:rPr>
          <w:sz w:val="21"/>
          <w:szCs w:val="21"/>
        </w:rPr>
      </w:pPr>
    </w:p>
    <w:p w14:paraId="58D116B5">
      <w:pPr>
        <w:pStyle w:val="2"/>
        <w:rPr>
          <w:sz w:val="21"/>
          <w:szCs w:val="21"/>
        </w:rPr>
      </w:pPr>
    </w:p>
    <w:p w14:paraId="235F8B40">
      <w:pPr>
        <w:pStyle w:val="2"/>
        <w:rPr>
          <w:sz w:val="21"/>
          <w:szCs w:val="21"/>
        </w:rPr>
      </w:pPr>
    </w:p>
    <w:p w14:paraId="561FF32F">
      <w:pPr>
        <w:pStyle w:val="2"/>
        <w:rPr>
          <w:sz w:val="21"/>
          <w:szCs w:val="21"/>
        </w:rPr>
      </w:pPr>
    </w:p>
    <w:p w14:paraId="4EE351F2">
      <w:pPr>
        <w:pStyle w:val="2"/>
        <w:rPr>
          <w:sz w:val="21"/>
          <w:szCs w:val="21"/>
        </w:rPr>
      </w:pPr>
    </w:p>
    <w:p w14:paraId="6E6AA8AD">
      <w:pPr>
        <w:pStyle w:val="2"/>
        <w:rPr>
          <w:sz w:val="21"/>
          <w:szCs w:val="21"/>
        </w:rPr>
      </w:pPr>
    </w:p>
    <w:p w14:paraId="3240C057">
      <w:pPr>
        <w:pStyle w:val="2"/>
        <w:rPr>
          <w:sz w:val="21"/>
          <w:szCs w:val="21"/>
        </w:rPr>
      </w:pPr>
    </w:p>
    <w:p w14:paraId="559B49AA">
      <w:pPr>
        <w:pStyle w:val="2"/>
        <w:rPr>
          <w:sz w:val="21"/>
          <w:szCs w:val="21"/>
        </w:rPr>
      </w:pPr>
    </w:p>
    <w:p w14:paraId="14C0DC50">
      <w:pPr>
        <w:pStyle w:val="2"/>
        <w:rPr>
          <w:sz w:val="21"/>
          <w:szCs w:val="21"/>
        </w:rPr>
      </w:pPr>
    </w:p>
    <w:p w14:paraId="2AFD19A8">
      <w:pPr>
        <w:pStyle w:val="2"/>
        <w:rPr>
          <w:sz w:val="21"/>
          <w:szCs w:val="21"/>
        </w:rPr>
      </w:pPr>
    </w:p>
    <w:p w14:paraId="48992EC3">
      <w:pPr>
        <w:pStyle w:val="2"/>
        <w:rPr>
          <w:sz w:val="21"/>
          <w:szCs w:val="21"/>
        </w:rPr>
      </w:pPr>
    </w:p>
    <w:p w14:paraId="0F5D9A57">
      <w:pPr>
        <w:pStyle w:val="2"/>
        <w:rPr>
          <w:sz w:val="21"/>
          <w:szCs w:val="21"/>
        </w:rPr>
      </w:pPr>
    </w:p>
    <w:p w14:paraId="45253845">
      <w:pPr>
        <w:pStyle w:val="2"/>
        <w:rPr>
          <w:sz w:val="21"/>
          <w:szCs w:val="21"/>
        </w:rPr>
      </w:pPr>
    </w:p>
    <w:p w14:paraId="10552190">
      <w:pPr>
        <w:pStyle w:val="2"/>
        <w:rPr>
          <w:sz w:val="21"/>
          <w:szCs w:val="21"/>
        </w:rPr>
      </w:pPr>
    </w:p>
    <w:p w14:paraId="5130C164">
      <w:pPr>
        <w:pStyle w:val="2"/>
        <w:rPr>
          <w:sz w:val="21"/>
          <w:szCs w:val="21"/>
        </w:rPr>
      </w:pPr>
    </w:p>
    <w:p w14:paraId="63B283B6">
      <w:pPr>
        <w:pStyle w:val="2"/>
        <w:rPr>
          <w:sz w:val="21"/>
          <w:szCs w:val="21"/>
        </w:rPr>
      </w:pPr>
    </w:p>
    <w:p w14:paraId="092DDAC7">
      <w:pPr>
        <w:pStyle w:val="2"/>
        <w:rPr>
          <w:sz w:val="21"/>
          <w:szCs w:val="21"/>
        </w:rPr>
      </w:pPr>
    </w:p>
    <w:p w14:paraId="2A23AE83">
      <w:pPr>
        <w:pStyle w:val="2"/>
        <w:rPr>
          <w:sz w:val="21"/>
          <w:szCs w:val="21"/>
        </w:rPr>
      </w:pPr>
    </w:p>
    <w:p w14:paraId="4509E238">
      <w:pPr>
        <w:pStyle w:val="2"/>
        <w:rPr>
          <w:sz w:val="21"/>
          <w:szCs w:val="21"/>
        </w:rPr>
      </w:pPr>
    </w:p>
    <w:p w14:paraId="47E1612A">
      <w:pPr>
        <w:pStyle w:val="2"/>
        <w:rPr>
          <w:sz w:val="21"/>
          <w:szCs w:val="21"/>
        </w:rPr>
      </w:pPr>
    </w:p>
    <w:p w14:paraId="5BB45748">
      <w:pPr>
        <w:pStyle w:val="2"/>
        <w:rPr>
          <w:sz w:val="21"/>
          <w:szCs w:val="21"/>
        </w:rPr>
      </w:pPr>
    </w:p>
    <w:p w14:paraId="5A7D013F">
      <w:pPr>
        <w:pStyle w:val="2"/>
        <w:rPr>
          <w:sz w:val="21"/>
          <w:szCs w:val="21"/>
        </w:rPr>
      </w:pPr>
    </w:p>
    <w:p w14:paraId="4A3F3305">
      <w:pPr>
        <w:pStyle w:val="2"/>
        <w:rPr>
          <w:sz w:val="21"/>
          <w:szCs w:val="21"/>
        </w:rPr>
      </w:pPr>
    </w:p>
    <w:p w14:paraId="542795A1">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4B18E6F">
      <w:pPr>
        <w:jc w:val="center"/>
        <w:outlineLvl w:val="0"/>
        <w:rPr>
          <w:rFonts w:ascii="黑体" w:hAnsi="黑体" w:eastAsia="黑体"/>
        </w:rPr>
      </w:pPr>
    </w:p>
    <w:p w14:paraId="29438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lang w:eastAsia="zh-CN"/>
        </w:rPr>
        <w:t>“</w:t>
      </w:r>
      <w:r>
        <w:rPr>
          <w:rFonts w:hint="eastAsia" w:hAnsi="Calibri" w:cs="黑体"/>
          <w:sz w:val="24"/>
          <w:szCs w:val="24"/>
          <w:u w:val="single"/>
          <w:lang w:val="en-US" w:eastAsia="zh-CN"/>
        </w:rPr>
        <w:t>PTA废料委外处置项目</w:t>
      </w:r>
      <w:r>
        <w:rPr>
          <w:rFonts w:hint="eastAsia" w:hAnsi="Calibri" w:cs="黑体"/>
          <w:sz w:val="24"/>
          <w:szCs w:val="24"/>
          <w:u w:val="single"/>
          <w:lang w:eastAsia="zh-CN"/>
        </w:rPr>
        <w:t>（项目编号</w:t>
      </w:r>
      <w:r>
        <w:rPr>
          <w:rFonts w:hint="eastAsia" w:hAnsi="Calibri" w:cs="黑体"/>
          <w:sz w:val="24"/>
          <w:szCs w:val="24"/>
          <w:u w:val="single"/>
          <w:lang w:val="en-US" w:eastAsia="zh-CN"/>
        </w:rPr>
        <w:t>：QGB-20260811000022</w:t>
      </w:r>
      <w:r>
        <w:rPr>
          <w:rFonts w:hint="eastAsia" w:hAnsi="Calibri" w:cs="黑体"/>
          <w:sz w:val="24"/>
          <w:szCs w:val="24"/>
          <w:u w:val="single"/>
          <w:lang w:eastAsia="zh-CN"/>
        </w:rPr>
        <w:t>）”</w:t>
      </w:r>
      <w:r>
        <w:rPr>
          <w:rFonts w:hint="eastAsia" w:hAnsi="Calibri" w:cs="黑体"/>
          <w:sz w:val="24"/>
          <w:szCs w:val="24"/>
        </w:rPr>
        <w:t>的询比活动，并代表我方全权处理一切与之有关的具体事务和签署相关文件，我均予以承认。</w:t>
      </w:r>
    </w:p>
    <w:p w14:paraId="3C99A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3404C52E">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F85DCAC">
      <w:pPr>
        <w:spacing w:line="360" w:lineRule="auto"/>
        <w:ind w:firstLine="480" w:firstLineChars="200"/>
        <w:rPr>
          <w:rFonts w:hAnsi="Calibri" w:cs="黑体"/>
          <w:sz w:val="24"/>
          <w:szCs w:val="24"/>
        </w:rPr>
      </w:pPr>
      <w:r>
        <w:rPr>
          <w:rFonts w:hint="eastAsia" w:hAnsi="Calibri" w:cs="黑体"/>
          <w:sz w:val="24"/>
          <w:szCs w:val="24"/>
        </w:rPr>
        <w:t>特此声明。</w:t>
      </w:r>
    </w:p>
    <w:p w14:paraId="44E696EE">
      <w:pPr>
        <w:rPr>
          <w:rFonts w:hAnsi="Calibri" w:cs="黑体"/>
          <w:sz w:val="24"/>
          <w:szCs w:val="24"/>
        </w:rPr>
      </w:pPr>
    </w:p>
    <w:p w14:paraId="38779B66">
      <w:pPr>
        <w:spacing w:line="360" w:lineRule="auto"/>
        <w:ind w:left="440" w:leftChars="200" w:firstLine="0" w:firstLineChars="0"/>
        <w:rPr>
          <w:rFonts w:hAnsi="Calibri" w:cs="黑体"/>
          <w:sz w:val="24"/>
          <w:szCs w:val="24"/>
        </w:rPr>
      </w:pPr>
      <w:r>
        <w:rPr>
          <w:rFonts w:hint="eastAsia" w:hAnsi="Calibri" w:cs="黑体"/>
          <w:sz w:val="24"/>
          <w:szCs w:val="24"/>
        </w:rPr>
        <w:t>参比人（公章）：</w:t>
      </w:r>
    </w:p>
    <w:p w14:paraId="67CC401A">
      <w:pPr>
        <w:spacing w:line="360" w:lineRule="auto"/>
        <w:ind w:left="440" w:leftChars="200" w:firstLine="0" w:firstLineChars="0"/>
        <w:rPr>
          <w:rFonts w:hAnsi="Calibri" w:cs="黑体"/>
          <w:sz w:val="24"/>
          <w:szCs w:val="24"/>
        </w:rPr>
      </w:pPr>
      <w:r>
        <w:rPr>
          <w:rFonts w:hint="eastAsia" w:hAnsi="Calibri" w:cs="黑体"/>
          <w:sz w:val="24"/>
          <w:szCs w:val="24"/>
        </w:rPr>
        <w:t>法定代表人（授权人）签字或盖章：</w:t>
      </w:r>
    </w:p>
    <w:p w14:paraId="428B25CA">
      <w:pPr>
        <w:spacing w:line="360" w:lineRule="auto"/>
        <w:ind w:left="440" w:leftChars="200" w:firstLine="0" w:firstLineChars="0"/>
        <w:rPr>
          <w:rFonts w:hAnsi="Calibri" w:cs="黑体"/>
          <w:sz w:val="24"/>
          <w:szCs w:val="24"/>
        </w:rPr>
      </w:pPr>
      <w:r>
        <w:rPr>
          <w:rFonts w:hint="eastAsia" w:hAnsi="Calibri" w:cs="黑体"/>
          <w:sz w:val="24"/>
          <w:szCs w:val="24"/>
        </w:rPr>
        <w:t>参比人代表（被授权人）签字或盖章：</w:t>
      </w:r>
    </w:p>
    <w:p w14:paraId="31B772D1">
      <w:pPr>
        <w:spacing w:line="360" w:lineRule="auto"/>
        <w:ind w:left="440" w:leftChars="200" w:firstLine="0" w:firstLineChars="0"/>
        <w:rPr>
          <w:rFonts w:hint="eastAsia" w:hAnsi="Calibri" w:cs="黑体"/>
          <w:sz w:val="24"/>
          <w:szCs w:val="24"/>
        </w:rPr>
      </w:pPr>
    </w:p>
    <w:p w14:paraId="0E038BEA">
      <w:pPr>
        <w:spacing w:line="360" w:lineRule="auto"/>
        <w:ind w:left="440" w:leftChars="200" w:firstLine="0" w:firstLineChars="0"/>
        <w:rPr>
          <w:rFonts w:hint="eastAsia" w:hAnsi="Calibri" w:cs="黑体"/>
          <w:sz w:val="24"/>
          <w:szCs w:val="24"/>
        </w:rPr>
      </w:pPr>
    </w:p>
    <w:p w14:paraId="53DC926D">
      <w:pPr>
        <w:spacing w:line="360" w:lineRule="auto"/>
        <w:ind w:left="440" w:leftChars="200" w:firstLine="0" w:firstLineChars="0"/>
        <w:rPr>
          <w:rFonts w:hAnsi="Calibri" w:cs="黑体"/>
          <w:sz w:val="24"/>
          <w:szCs w:val="24"/>
        </w:rPr>
      </w:pPr>
      <w:r>
        <w:rPr>
          <w:rFonts w:hint="eastAsia" w:hAnsi="Calibri" w:cs="黑体"/>
          <w:sz w:val="24"/>
          <w:szCs w:val="24"/>
        </w:rPr>
        <w:t>日期：</w:t>
      </w:r>
    </w:p>
    <w:p w14:paraId="32C1D0A8">
      <w:pPr>
        <w:ind w:left="440" w:leftChars="200" w:firstLine="0" w:firstLineChars="0"/>
        <w:rPr>
          <w:rFonts w:hAnsi="Calibri" w:cs="黑体"/>
          <w:sz w:val="24"/>
          <w:szCs w:val="24"/>
        </w:rPr>
      </w:pPr>
    </w:p>
    <w:p w14:paraId="7706FA30">
      <w:pPr>
        <w:ind w:left="440" w:leftChars="200" w:firstLine="0" w:firstLineChars="0"/>
        <w:rPr>
          <w:rFonts w:hAnsi="Calibri" w:cs="黑体"/>
          <w:sz w:val="24"/>
          <w:szCs w:val="24"/>
        </w:rPr>
      </w:pPr>
      <w:r>
        <w:rPr>
          <w:rFonts w:hint="eastAsia" w:hAnsi="Calibri" w:cs="黑体"/>
          <w:sz w:val="24"/>
          <w:szCs w:val="24"/>
        </w:rPr>
        <w:t>参比人代表（被授权人）身份证正面和反面复印件</w:t>
      </w:r>
    </w:p>
    <w:p w14:paraId="29A5CFEA">
      <w:pPr>
        <w:pStyle w:val="2"/>
        <w:sectPr>
          <w:pgSz w:w="11910" w:h="16840"/>
          <w:pgMar w:top="1500" w:right="1020" w:bottom="740" w:left="1134" w:header="0" w:footer="551" w:gutter="0"/>
          <w:cols w:space="720" w:num="1"/>
        </w:sectPr>
      </w:pPr>
    </w:p>
    <w:p w14:paraId="2944A208">
      <w:pPr>
        <w:spacing w:line="360" w:lineRule="auto"/>
        <w:ind w:firstLine="482" w:firstLineChars="200"/>
        <w:jc w:val="right"/>
        <w:rPr>
          <w:b/>
          <w:bCs/>
          <w:sz w:val="24"/>
          <w:szCs w:val="24"/>
          <w:lang w:eastAsia="zh-CN"/>
        </w:rPr>
      </w:pPr>
    </w:p>
    <w:p w14:paraId="64814529">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val="en-US" w:eastAsia="zh-CN"/>
        </w:rPr>
        <w:t>询比</w:t>
      </w:r>
      <w:r>
        <w:rPr>
          <w:spacing w:val="-1"/>
          <w:w w:val="95"/>
          <w:lang w:eastAsia="zh-CN"/>
        </w:rPr>
        <w:t>须</w:t>
      </w:r>
      <w:r>
        <w:rPr>
          <w:w w:val="95"/>
          <w:lang w:eastAsia="zh-CN"/>
        </w:rPr>
        <w:t>知</w:t>
      </w:r>
    </w:p>
    <w:p w14:paraId="20530B8A">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14:paraId="39FFEE6E">
      <w:pPr>
        <w:pStyle w:val="20"/>
        <w:spacing w:line="360" w:lineRule="auto"/>
        <w:ind w:left="515" w:leftChars="89" w:right="121" w:hanging="319" w:hangingChars="152"/>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1、</w:t>
      </w:r>
      <w:r>
        <w:rPr>
          <w:rFonts w:hint="eastAsia" w:ascii="Times New Roman" w:hAnsi="Times New Roman" w:cs="Times New Roman" w:eastAsiaTheme="minorEastAsia"/>
          <w:sz w:val="21"/>
          <w:szCs w:val="21"/>
          <w:lang w:eastAsia="zh-CN"/>
        </w:rPr>
        <w:t>项目名称：</w:t>
      </w:r>
      <w:r>
        <w:rPr>
          <w:rFonts w:hint="eastAsia" w:ascii="Times New Roman" w:hAnsi="Times New Roman" w:cs="Times New Roman" w:eastAsiaTheme="minorEastAsia"/>
          <w:sz w:val="21"/>
          <w:szCs w:val="21"/>
          <w:lang w:val="en-US" w:eastAsia="zh-CN"/>
        </w:rPr>
        <w:t>一批PTA废料委外处置项目</w:t>
      </w:r>
      <w:r>
        <w:rPr>
          <w:rFonts w:hint="eastAsia" w:ascii="Times New Roman" w:hAnsi="Times New Roman" w:cs="Times New Roman" w:eastAsiaTheme="minorEastAsia"/>
          <w:sz w:val="21"/>
          <w:szCs w:val="21"/>
          <w:lang w:eastAsia="zh-CN"/>
        </w:rPr>
        <w:t>。</w:t>
      </w:r>
    </w:p>
    <w:p w14:paraId="29961423">
      <w:pPr>
        <w:numPr>
          <w:ilvl w:val="0"/>
          <w:numId w:val="0"/>
        </w:numPr>
        <w:spacing w:line="276" w:lineRule="auto"/>
        <w:ind w:firstLine="210" w:firstLineChars="100"/>
        <w:rPr>
          <w:rFonts w:hint="eastAsia" w:asciiTheme="minorEastAsia" w:hAnsiTheme="minorEastAsia" w:eastAsiaTheme="minorEastAsia"/>
          <w:spacing w:val="8"/>
          <w:sz w:val="24"/>
          <w:szCs w:val="24"/>
          <w:lang w:eastAsia="zh-CN"/>
        </w:rPr>
      </w:pPr>
      <w:r>
        <w:rPr>
          <w:rFonts w:hint="eastAsia" w:ascii="Times New Roman" w:hAnsi="Times New Roman" w:cs="Times New Roman" w:eastAsiaTheme="minorEastAsia"/>
          <w:sz w:val="21"/>
          <w:szCs w:val="21"/>
          <w:lang w:val="en-US" w:eastAsia="zh-CN"/>
        </w:rPr>
        <w:t>2、</w:t>
      </w:r>
      <w:r>
        <w:rPr>
          <w:rFonts w:hint="eastAsia" w:ascii="Times New Roman" w:hAnsi="Times New Roman" w:cs="Times New Roman" w:eastAsiaTheme="minorEastAsia"/>
          <w:sz w:val="21"/>
          <w:szCs w:val="21"/>
          <w:lang w:eastAsia="zh-CN"/>
        </w:rPr>
        <w:t>比选项目简要说明：</w:t>
      </w:r>
      <w:r>
        <w:rPr>
          <w:rFonts w:hint="eastAsia" w:ascii="Times New Roman" w:hAnsi="Times New Roman" w:cs="Times New Roman" w:eastAsiaTheme="minorEastAsia"/>
          <w:sz w:val="21"/>
          <w:szCs w:val="21"/>
          <w:lang w:val="en-US" w:eastAsia="zh-CN"/>
        </w:rPr>
        <w:t>一批</w:t>
      </w:r>
      <w:r>
        <w:rPr>
          <w:rFonts w:hint="eastAsia" w:ascii="Times New Roman" w:hAnsi="Times New Roman" w:cs="Times New Roman" w:eastAsiaTheme="minorEastAsia"/>
          <w:sz w:val="21"/>
          <w:szCs w:val="21"/>
          <w:lang w:val="en-US" w:eastAsia="zh-CN" w:bidi="ar-SA"/>
        </w:rPr>
        <w:t>PTA废料委外处置（预估量75吨：其中PTA结晶料约60吨，水沟料约10吨</w:t>
      </w:r>
      <w:r>
        <w:rPr>
          <w:rFonts w:hint="eastAsia" w:asciiTheme="minorEastAsia" w:hAnsiTheme="minorEastAsia" w:eastAsiaTheme="minorEastAsia"/>
          <w:spacing w:val="8"/>
          <w:sz w:val="24"/>
          <w:szCs w:val="24"/>
          <w:lang w:eastAsia="zh-CN"/>
        </w:rPr>
        <w:t>）；</w:t>
      </w:r>
    </w:p>
    <w:p w14:paraId="79A50701">
      <w:pPr>
        <w:pStyle w:val="20"/>
        <w:spacing w:line="360" w:lineRule="auto"/>
        <w:ind w:left="515" w:leftChars="89" w:right="121" w:hanging="319" w:hangingChars="152"/>
        <w:jc w:val="both"/>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3、处置数量：暂估75吨，</w:t>
      </w:r>
      <w:r>
        <w:rPr>
          <w:rFonts w:hint="eastAsia" w:ascii="Times New Roman" w:hAnsi="Times New Roman" w:cs="Times New Roman" w:eastAsiaTheme="minorEastAsia"/>
          <w:sz w:val="21"/>
          <w:szCs w:val="21"/>
          <w:lang w:val="en-US" w:eastAsia="zh-CN" w:bidi="ar-SA"/>
        </w:rPr>
        <w:t>其中PTA结晶料约60吨，PTA结晶料约10吨。</w:t>
      </w:r>
    </w:p>
    <w:p w14:paraId="38C134C7">
      <w:pPr>
        <w:pStyle w:val="20"/>
        <w:spacing w:line="360" w:lineRule="auto"/>
        <w:ind w:left="515" w:leftChars="89" w:right="121" w:hanging="319" w:hangingChars="152"/>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color w:val="auto"/>
          <w:sz w:val="21"/>
          <w:szCs w:val="21"/>
          <w:lang w:val="en-US" w:eastAsia="zh-CN"/>
        </w:rPr>
        <w:t>4、</w:t>
      </w:r>
      <w:r>
        <w:rPr>
          <w:rFonts w:hint="eastAsia" w:ascii="Times New Roman" w:hAnsi="Times New Roman" w:cs="Times New Roman" w:eastAsiaTheme="minorEastAsia"/>
          <w:sz w:val="21"/>
          <w:szCs w:val="21"/>
          <w:lang w:eastAsia="zh-CN"/>
        </w:rPr>
        <w:t>合同</w:t>
      </w:r>
      <w:r>
        <w:rPr>
          <w:rFonts w:ascii="Times New Roman" w:hAnsi="Times New Roman" w:cs="Times New Roman" w:eastAsiaTheme="minorEastAsia"/>
          <w:sz w:val="21"/>
          <w:szCs w:val="21"/>
          <w:lang w:eastAsia="zh-CN"/>
        </w:rPr>
        <w:t>期限：</w:t>
      </w:r>
      <w:r>
        <w:rPr>
          <w:rFonts w:hint="eastAsia" w:ascii="Times New Roman" w:hAnsi="Times New Roman" w:cs="Times New Roman" w:eastAsiaTheme="minorEastAsia"/>
          <w:sz w:val="21"/>
          <w:szCs w:val="21"/>
          <w:lang w:eastAsia="zh-CN"/>
        </w:rPr>
        <w:t>合同签订后3</w:t>
      </w:r>
      <w:r>
        <w:rPr>
          <w:rFonts w:ascii="Times New Roman" w:hAnsi="Times New Roman" w:cs="Times New Roman" w:eastAsiaTheme="minorEastAsia"/>
          <w:sz w:val="21"/>
          <w:szCs w:val="21"/>
          <w:lang w:eastAsia="zh-CN"/>
        </w:rPr>
        <w:t>0个日历日内完成</w:t>
      </w:r>
      <w:r>
        <w:rPr>
          <w:rFonts w:hint="eastAsia" w:ascii="Times New Roman" w:hAnsi="Times New Roman" w:cs="Times New Roman" w:eastAsiaTheme="minorEastAsia"/>
          <w:sz w:val="21"/>
          <w:szCs w:val="21"/>
          <w:lang w:eastAsia="zh-CN"/>
        </w:rPr>
        <w:t>。</w:t>
      </w:r>
    </w:p>
    <w:p w14:paraId="5A1A41AC">
      <w:pPr>
        <w:pStyle w:val="20"/>
        <w:spacing w:line="360" w:lineRule="auto"/>
        <w:ind w:left="515" w:leftChars="89" w:right="121" w:hanging="319" w:hangingChars="152"/>
        <w:jc w:val="both"/>
        <w:rPr>
          <w:rFonts w:hint="eastAsia" w:ascii="Times New Roman" w:hAnsi="Times New Roman" w:cs="Times New Roman" w:eastAsiaTheme="minorEastAsia"/>
          <w:sz w:val="21"/>
          <w:szCs w:val="21"/>
          <w:highlight w:val="none"/>
          <w:lang w:val="en-US" w:eastAsia="zh-CN" w:bidi="ar-SA"/>
        </w:rPr>
      </w:pPr>
      <w:r>
        <w:rPr>
          <w:rFonts w:hint="eastAsia" w:ascii="Times New Roman" w:hAnsi="Times New Roman" w:cs="Times New Roman" w:eastAsiaTheme="minorEastAsia"/>
          <w:sz w:val="21"/>
          <w:szCs w:val="21"/>
          <w:highlight w:val="none"/>
          <w:lang w:val="en-US" w:eastAsia="zh-CN"/>
        </w:rPr>
        <w:t>5、</w:t>
      </w:r>
      <w:r>
        <w:rPr>
          <w:rFonts w:hint="eastAsia" w:ascii="Times New Roman" w:hAnsi="Times New Roman" w:cs="Times New Roman" w:eastAsiaTheme="minorEastAsia"/>
          <w:b w:val="0"/>
          <w:bCs w:val="0"/>
          <w:sz w:val="21"/>
          <w:szCs w:val="21"/>
          <w:highlight w:val="yellow"/>
          <w:lang w:val="en-US" w:eastAsia="zh-CN" w:bidi="ar-SA"/>
        </w:rPr>
        <w:t>项目要求：参比人可到业主方现场实地勘查货物，若中选不得</w:t>
      </w:r>
      <w:r>
        <w:rPr>
          <w:rFonts w:hint="default" w:ascii="Times New Roman" w:hAnsi="Times New Roman" w:cs="Times New Roman" w:eastAsiaTheme="minorEastAsia"/>
          <w:b w:val="0"/>
          <w:bCs w:val="0"/>
          <w:sz w:val="21"/>
          <w:szCs w:val="21"/>
          <w:highlight w:val="yellow"/>
          <w:lang w:val="en-US" w:eastAsia="zh-CN" w:bidi="ar-SA"/>
        </w:rPr>
        <w:t>对</w:t>
      </w:r>
      <w:r>
        <w:rPr>
          <w:rFonts w:hint="eastAsia" w:ascii="Times New Roman" w:hAnsi="Times New Roman" w:cs="Times New Roman" w:eastAsiaTheme="minorEastAsia"/>
          <w:b w:val="0"/>
          <w:bCs w:val="0"/>
          <w:sz w:val="21"/>
          <w:szCs w:val="21"/>
          <w:highlight w:val="yellow"/>
          <w:lang w:val="en-US" w:eastAsia="zh-CN" w:bidi="ar-SA"/>
        </w:rPr>
        <w:t>该批次PTA废料</w:t>
      </w:r>
      <w:r>
        <w:rPr>
          <w:rFonts w:hint="default" w:ascii="Times New Roman" w:hAnsi="Times New Roman" w:cs="Times New Roman" w:eastAsiaTheme="minorEastAsia"/>
          <w:b w:val="0"/>
          <w:bCs w:val="0"/>
          <w:sz w:val="21"/>
          <w:szCs w:val="21"/>
          <w:highlight w:val="yellow"/>
          <w:lang w:val="en-US" w:eastAsia="zh-CN" w:bidi="ar-SA"/>
        </w:rPr>
        <w:t>进行挑剔或剔除</w:t>
      </w:r>
      <w:r>
        <w:rPr>
          <w:rFonts w:hint="eastAsia" w:ascii="Times New Roman" w:hAnsi="Times New Roman" w:cs="Times New Roman" w:eastAsiaTheme="minorEastAsia"/>
          <w:b w:val="0"/>
          <w:bCs w:val="0"/>
          <w:sz w:val="21"/>
          <w:szCs w:val="21"/>
          <w:highlight w:val="yellow"/>
          <w:lang w:val="en-US" w:eastAsia="zh-CN" w:bidi="ar-SA"/>
        </w:rPr>
        <w:t>；出厂过磅数量时不扣除包装物。</w:t>
      </w:r>
    </w:p>
    <w:p w14:paraId="35BBA00D">
      <w:pPr>
        <w:spacing w:before="15" w:line="360" w:lineRule="auto"/>
        <w:rPr>
          <w:rFonts w:ascii="Times New Roman" w:hAnsi="Times New Roman" w:cs="Times New Roman"/>
          <w:b/>
          <w:w w:val="95"/>
          <w:szCs w:val="21"/>
        </w:rPr>
      </w:pPr>
      <w:r>
        <w:rPr>
          <w:rFonts w:hint="eastAsia"/>
          <w:b/>
          <w:w w:val="95"/>
          <w:sz w:val="28"/>
          <w:lang w:eastAsia="zh-CN"/>
        </w:rPr>
        <w:t xml:space="preserve">    </w:t>
      </w:r>
      <w:r>
        <w:rPr>
          <w:rFonts w:ascii="Times New Roman" w:hAnsi="Times New Roman" w:cs="Times New Roman"/>
          <w:b/>
          <w:w w:val="95"/>
          <w:szCs w:val="21"/>
        </w:rPr>
        <w:t xml:space="preserve"> 二、定义和解释</w:t>
      </w:r>
    </w:p>
    <w:p w14:paraId="4734E69B">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“采购人”系福建福海创石油化工有限公司，即业主方。</w:t>
      </w:r>
    </w:p>
    <w:p w14:paraId="2FCEF95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“参比人”系指向采购人报名并接受邀请，领取采购文件，且已经提交或准备提交本次询比文件的法人。</w:t>
      </w:r>
    </w:p>
    <w:p w14:paraId="65D4684D">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“参比人代表”系指全权代表参比人参加本次询比活动并签署询比文件的人，如果参比人代表不是参比人的法定代表人，须持有《法定代表人授权委托书》详见附件。</w:t>
      </w:r>
    </w:p>
    <w:p w14:paraId="70F1B3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w:t>
      </w:r>
      <w:r>
        <w:rPr>
          <w:rFonts w:hint="eastAsia" w:ascii="Times New Roman" w:hAnsi="Times New Roman" w:cs="Times New Roman"/>
          <w:b/>
          <w:w w:val="95"/>
          <w:szCs w:val="21"/>
          <w:lang w:eastAsia="zh-CN"/>
        </w:rPr>
        <w:t>参比文件</w:t>
      </w:r>
      <w:r>
        <w:rPr>
          <w:rFonts w:ascii="Times New Roman" w:hAnsi="Times New Roman" w:cs="Times New Roman"/>
          <w:b/>
          <w:w w:val="95"/>
          <w:szCs w:val="21"/>
        </w:rPr>
        <w:t>组成</w:t>
      </w:r>
    </w:p>
    <w:p w14:paraId="5ED63775">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采购文件包括下列内容：询比公告、询比须知、项目内容、合同书格式、报价单、承诺函等。</w:t>
      </w:r>
    </w:p>
    <w:p w14:paraId="01FFD4B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采购文件除1中内容外，采购人在询比期间发出的书面文件和其他修改或补充函件，均是采购文件不可分割的组成部分。</w:t>
      </w:r>
    </w:p>
    <w:p w14:paraId="67E21E35">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40C0F68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6194CF02">
      <w:pPr>
        <w:pStyle w:val="20"/>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43ABF11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0A4BE95C">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320437A6">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为使参比人在准备参比文件时有合理的时间考虑采购文件的修改，采购人可酌情推迟参比选截止时间和开评时间，并以书面形式通知已获得采购文件的每一参比人。</w:t>
      </w:r>
    </w:p>
    <w:p w14:paraId="0D0E95F1">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采购文件的修改书将构成采购文件的一部分，对参比人具有约束作用。</w:t>
      </w:r>
    </w:p>
    <w:p w14:paraId="3EA72AC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0A1B1206">
      <w:pPr>
        <w:numPr>
          <w:ilvl w:val="0"/>
          <w:numId w:val="0"/>
        </w:numPr>
        <w:spacing w:line="276" w:lineRule="auto"/>
        <w:ind w:leftChars="179"/>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1、具备独立法人资格、具备有效的企业法人营业执照。</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2、无失信黑名单记录（以最高院失信被执行人系统发布信息为准）。</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3、与采购人无诉讼纠纷。</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4、本项目不接受联合体参选，不许非法分包、杜绝转包。</w:t>
      </w:r>
    </w:p>
    <w:p w14:paraId="584E60F4">
      <w:pPr>
        <w:pStyle w:val="20"/>
        <w:spacing w:line="360" w:lineRule="auto"/>
        <w:ind w:right="121"/>
        <w:jc w:val="both"/>
        <w:rPr>
          <w:rFonts w:hint="eastAsia" w:ascii="Times New Roman" w:hAnsi="Times New Roman" w:cs="Times New Roman" w:eastAsiaTheme="minorEastAsia"/>
          <w:b/>
          <w:bCs/>
          <w:color w:val="auto"/>
          <w:sz w:val="21"/>
          <w:szCs w:val="21"/>
          <w:lang w:val="en-US" w:eastAsia="zh-CN"/>
        </w:rPr>
      </w:pPr>
      <w:r>
        <w:rPr>
          <w:rFonts w:hint="eastAsia"/>
          <w:b/>
          <w:color w:val="auto"/>
          <w:w w:val="95"/>
          <w:sz w:val="28"/>
          <w:lang w:eastAsia="zh-CN"/>
        </w:rPr>
        <w:t xml:space="preserve"> </w:t>
      </w:r>
      <w:r>
        <w:rPr>
          <w:rFonts w:ascii="Times New Roman" w:hAnsi="Times New Roman" w:cs="Times New Roman" w:eastAsiaTheme="minorEastAsia"/>
          <w:b/>
          <w:bCs/>
          <w:color w:val="auto"/>
          <w:sz w:val="21"/>
          <w:szCs w:val="21"/>
          <w:lang w:eastAsia="zh-CN"/>
        </w:rPr>
        <w:t>七、参</w:t>
      </w:r>
      <w:r>
        <w:rPr>
          <w:rFonts w:hint="eastAsia" w:ascii="Times New Roman" w:hAnsi="Times New Roman" w:cs="Times New Roman" w:eastAsiaTheme="minorEastAsia"/>
          <w:b/>
          <w:bCs/>
          <w:color w:val="auto"/>
          <w:sz w:val="21"/>
          <w:szCs w:val="21"/>
          <w:lang w:eastAsia="zh-CN"/>
        </w:rPr>
        <w:t>比</w:t>
      </w:r>
      <w:r>
        <w:rPr>
          <w:rFonts w:ascii="Times New Roman" w:hAnsi="Times New Roman" w:cs="Times New Roman" w:eastAsiaTheme="minorEastAsia"/>
          <w:b/>
          <w:bCs/>
          <w:color w:val="auto"/>
          <w:sz w:val="21"/>
          <w:szCs w:val="21"/>
          <w:lang w:eastAsia="zh-CN"/>
        </w:rPr>
        <w:t>保证金</w:t>
      </w:r>
      <w:r>
        <w:rPr>
          <w:rFonts w:hint="eastAsia" w:ascii="Times New Roman" w:hAnsi="Times New Roman" w:cs="Times New Roman" w:eastAsiaTheme="minorEastAsia"/>
          <w:b/>
          <w:bCs/>
          <w:color w:val="auto"/>
          <w:sz w:val="21"/>
          <w:szCs w:val="21"/>
          <w:lang w:eastAsia="zh-CN"/>
        </w:rPr>
        <w:t>：</w:t>
      </w:r>
    </w:p>
    <w:p w14:paraId="59F939A2">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1.参比单位应缴纳参比保证金，保证金金</w:t>
      </w:r>
      <w:r>
        <w:rPr>
          <w:rFonts w:hint="eastAsia"/>
          <w:color w:val="auto"/>
          <w:sz w:val="21"/>
          <w:szCs w:val="21"/>
          <w:highlight w:val="none"/>
          <w:lang w:eastAsia="zh-CN"/>
        </w:rPr>
        <w:t>额</w:t>
      </w:r>
      <w:r>
        <w:rPr>
          <w:rFonts w:hint="eastAsia"/>
          <w:color w:val="auto"/>
          <w:sz w:val="21"/>
          <w:szCs w:val="21"/>
          <w:highlight w:val="none"/>
          <w:lang w:val="en-US" w:eastAsia="zh-CN"/>
        </w:rPr>
        <w:t>3</w:t>
      </w:r>
      <w:r>
        <w:rPr>
          <w:color w:val="auto"/>
          <w:sz w:val="21"/>
          <w:szCs w:val="21"/>
          <w:highlight w:val="none"/>
          <w:lang w:eastAsia="zh-CN"/>
        </w:rPr>
        <w:t>000</w:t>
      </w:r>
      <w:r>
        <w:rPr>
          <w:rFonts w:hint="eastAsia"/>
          <w:color w:val="auto"/>
          <w:sz w:val="21"/>
          <w:szCs w:val="21"/>
          <w:highlight w:val="none"/>
          <w:lang w:eastAsia="zh-CN"/>
        </w:rPr>
        <w:t>元整</w:t>
      </w:r>
      <w:r>
        <w:rPr>
          <w:rFonts w:hint="eastAsia"/>
          <w:sz w:val="21"/>
          <w:szCs w:val="21"/>
          <w:highlight w:val="none"/>
          <w:lang w:eastAsia="zh-CN"/>
        </w:rPr>
        <w:t>，</w:t>
      </w:r>
      <w:r>
        <w:rPr>
          <w:rFonts w:hint="eastAsia"/>
          <w:sz w:val="21"/>
          <w:szCs w:val="21"/>
          <w:lang w:eastAsia="zh-CN"/>
        </w:rPr>
        <w:t>参比单位应按照要求从参比单位基本账户转入采购单位的账户，询比单位账户信息如下：</w:t>
      </w:r>
    </w:p>
    <w:p w14:paraId="5D855BD9">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sz w:val="21"/>
          <w:szCs w:val="21"/>
          <w:lang w:eastAsia="zh-CN"/>
        </w:rPr>
        <w:t xml:space="preserve"> </w:t>
      </w:r>
      <w:r>
        <w:rPr>
          <w:rFonts w:hint="eastAsia"/>
          <w:color w:val="auto"/>
          <w:sz w:val="21"/>
          <w:szCs w:val="21"/>
          <w:lang w:eastAsia="zh-CN"/>
        </w:rPr>
        <w:t xml:space="preserve">   开户名称：福建福海创石油化工有限公司</w:t>
      </w:r>
    </w:p>
    <w:p w14:paraId="098388CD">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color w:val="auto"/>
          <w:sz w:val="21"/>
          <w:szCs w:val="21"/>
          <w:lang w:eastAsia="zh-CN"/>
        </w:rPr>
        <w:t xml:space="preserve">    开户银行：中国银行漳州古雷经济开发区支行</w:t>
      </w:r>
    </w:p>
    <w:p w14:paraId="300328A4">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color w:val="auto"/>
          <w:sz w:val="21"/>
          <w:szCs w:val="21"/>
          <w:lang w:eastAsia="zh-CN"/>
        </w:rPr>
        <w:t xml:space="preserve">    帐  号：</w:t>
      </w:r>
      <w:r>
        <w:rPr>
          <w:color w:val="auto"/>
          <w:sz w:val="21"/>
          <w:szCs w:val="21"/>
          <w:lang w:eastAsia="zh-CN"/>
        </w:rPr>
        <w:t>406574816628</w:t>
      </w:r>
    </w:p>
    <w:p w14:paraId="1B9F7588">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color w:val="auto"/>
          <w:sz w:val="21"/>
          <w:szCs w:val="21"/>
          <w:lang w:eastAsia="zh-CN"/>
        </w:rPr>
        <w:t xml:space="preserve">    注明用途：PTA废粉</w:t>
      </w:r>
      <w:r>
        <w:rPr>
          <w:rFonts w:hint="eastAsia"/>
          <w:color w:val="auto"/>
          <w:sz w:val="21"/>
          <w:szCs w:val="21"/>
          <w:lang w:val="en-US" w:eastAsia="zh-CN"/>
        </w:rPr>
        <w:t>处置</w:t>
      </w:r>
      <w:r>
        <w:rPr>
          <w:rFonts w:hint="eastAsia"/>
          <w:color w:val="auto"/>
          <w:sz w:val="21"/>
          <w:szCs w:val="21"/>
          <w:lang w:eastAsia="zh-CN"/>
        </w:rPr>
        <w:t>参比保证金</w:t>
      </w:r>
    </w:p>
    <w:p w14:paraId="65B3EBF2">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参比保证金有效期：</w:t>
      </w:r>
      <w:r>
        <w:rPr>
          <w:sz w:val="21"/>
          <w:szCs w:val="21"/>
          <w:lang w:eastAsia="zh-CN"/>
        </w:rPr>
        <w:t>90</w:t>
      </w:r>
      <w:r>
        <w:rPr>
          <w:rFonts w:hint="eastAsia"/>
          <w:sz w:val="21"/>
          <w:szCs w:val="21"/>
          <w:lang w:eastAsia="zh-CN"/>
        </w:rPr>
        <w:t>日历天。</w:t>
      </w:r>
    </w:p>
    <w:p w14:paraId="560F42DF">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21F9D23F">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2.对于未能按要求提交保证金的询比文件，采购单位可以视为不符合上面采购要求而予以拒绝；</w:t>
      </w:r>
    </w:p>
    <w:p w14:paraId="56D5537E">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3.询比结束退还未中选者的询比保证金（无息），最迟不超过规定的询比有效期满后的20天；</w:t>
      </w:r>
    </w:p>
    <w:p w14:paraId="14AA27F7">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000000" w:themeColor="text1"/>
          <w:sz w:val="21"/>
          <w:szCs w:val="21"/>
          <w:lang w:eastAsia="zh-CN"/>
          <w14:textFill>
            <w14:solidFill>
              <w14:schemeClr w14:val="tx1"/>
            </w14:solidFill>
          </w14:textFill>
        </w:rPr>
      </w:pPr>
      <w:r>
        <w:rPr>
          <w:rFonts w:hint="eastAsia"/>
          <w:sz w:val="21"/>
          <w:szCs w:val="21"/>
          <w:lang w:eastAsia="zh-CN"/>
        </w:rPr>
        <w:t xml:space="preserve">    4.中选者的参比保证金（无息），将在合同签订后归还；</w:t>
      </w:r>
    </w:p>
    <w:p w14:paraId="325FAE47">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5.如有下列情况发生，将被没收参比保证金：</w:t>
      </w:r>
    </w:p>
    <w:p w14:paraId="0697CD27">
      <w:pPr>
        <w:pStyle w:val="20"/>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（1）参比单位在参选有效期内撤回询比文件；</w:t>
      </w:r>
    </w:p>
    <w:p w14:paraId="541987B8">
      <w:pPr>
        <w:keepNext w:val="0"/>
        <w:keepLines w:val="0"/>
        <w:pageBreakBefore w:val="0"/>
        <w:widowControl w:val="0"/>
        <w:kinsoku/>
        <w:wordWrap/>
        <w:overflowPunct/>
        <w:topLinePunct w:val="0"/>
        <w:autoSpaceDE w:val="0"/>
        <w:autoSpaceDN w:val="0"/>
        <w:bidi w:val="0"/>
        <w:adjustRightInd/>
        <w:snapToGrid/>
        <w:spacing w:after="157" w:afterLines="50" w:line="240" w:lineRule="auto"/>
        <w:ind w:firstLine="420"/>
        <w:textAlignment w:val="auto"/>
        <w:rPr>
          <w:rFonts w:hint="eastAsia"/>
          <w:sz w:val="21"/>
          <w:szCs w:val="21"/>
          <w:lang w:eastAsia="zh-CN"/>
        </w:rPr>
      </w:pPr>
      <w:r>
        <w:rPr>
          <w:rFonts w:hint="eastAsia"/>
          <w:sz w:val="21"/>
          <w:szCs w:val="21"/>
          <w:lang w:eastAsia="zh-CN"/>
        </w:rPr>
        <w:t>（2）参比单位未能按接到中标通知书后规定的时间内签定合同。</w:t>
      </w:r>
    </w:p>
    <w:p w14:paraId="0A2CF8B1">
      <w:pPr>
        <w:spacing w:line="360" w:lineRule="auto"/>
        <w:ind w:firstLine="420" w:firstLineChars="200"/>
        <w:rPr>
          <w:rFonts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八、</w:t>
      </w:r>
      <w:r>
        <w:rPr>
          <w:rFonts w:ascii="Times New Roman" w:hAnsi="Times New Roman" w:cs="Times New Roman" w:eastAsiaTheme="minorEastAsia"/>
          <w:sz w:val="21"/>
          <w:szCs w:val="21"/>
          <w:lang w:val="en-US" w:eastAsia="zh-CN" w:bidi="ar-SA"/>
        </w:rPr>
        <w:t>本</w:t>
      </w:r>
      <w:r>
        <w:rPr>
          <w:rFonts w:hint="eastAsia" w:ascii="Times New Roman" w:hAnsi="Times New Roman" w:cs="Times New Roman" w:eastAsiaTheme="minorEastAsia"/>
          <w:sz w:val="21"/>
          <w:szCs w:val="21"/>
          <w:lang w:val="en-US" w:eastAsia="zh-CN" w:bidi="ar-SA"/>
        </w:rPr>
        <w:t>项目PTA废料委外处置</w:t>
      </w:r>
      <w:r>
        <w:rPr>
          <w:rFonts w:ascii="Times New Roman" w:hAnsi="Times New Roman" w:cs="Times New Roman" w:eastAsiaTheme="minorEastAsia"/>
          <w:sz w:val="21"/>
          <w:szCs w:val="21"/>
          <w:lang w:val="en-US" w:eastAsia="zh-CN" w:bidi="ar-SA"/>
        </w:rPr>
        <w:t>单价均实行浮动定价，定价模式如下:</w:t>
      </w:r>
    </w:p>
    <w:p w14:paraId="3074DD31">
      <w:pPr>
        <w:spacing w:line="360" w:lineRule="auto"/>
        <w:ind w:firstLine="420" w:firstLineChars="200"/>
        <w:rPr>
          <w:rFonts w:ascii="Times New Roman" w:hAnsi="Times New Roman" w:cs="Times New Roman" w:eastAsiaTheme="minorEastAsia"/>
          <w:sz w:val="21"/>
          <w:szCs w:val="21"/>
          <w:lang w:val="en-US" w:eastAsia="zh-CN" w:bidi="ar-SA"/>
        </w:rPr>
      </w:pPr>
      <w:r>
        <w:rPr>
          <w:rFonts w:ascii="Times New Roman" w:hAnsi="Times New Roman" w:cs="Times New Roman" w:eastAsiaTheme="minorEastAsia"/>
          <w:sz w:val="21"/>
          <w:szCs w:val="21"/>
          <w:lang w:val="en-US" w:eastAsia="zh-CN" w:bidi="ar-SA"/>
        </w:rPr>
        <w:t>基准价格</w:t>
      </w:r>
      <w:r>
        <w:rPr>
          <w:rFonts w:hint="eastAsia" w:ascii="Times New Roman" w:hAnsi="Times New Roman" w:cs="Times New Roman" w:eastAsiaTheme="minorEastAsia"/>
          <w:sz w:val="21"/>
          <w:szCs w:val="21"/>
          <w:lang w:val="en-US" w:eastAsia="zh-CN" w:bidi="ar-SA"/>
        </w:rPr>
        <w:t>：</w:t>
      </w:r>
      <w:r>
        <w:rPr>
          <w:rFonts w:ascii="Times New Roman" w:hAnsi="Times New Roman" w:cs="Times New Roman" w:eastAsiaTheme="minorEastAsia"/>
          <w:sz w:val="21"/>
          <w:szCs w:val="21"/>
          <w:lang w:val="en-US" w:eastAsia="zh-CN" w:bidi="ar-SA"/>
        </w:rPr>
        <w:t>双方约定结算基准价格以每批次</w:t>
      </w:r>
      <w:r>
        <w:rPr>
          <w:rFonts w:hint="eastAsia" w:ascii="Times New Roman" w:hAnsi="Times New Roman" w:cs="Times New Roman" w:eastAsiaTheme="minorEastAsia"/>
          <w:sz w:val="21"/>
          <w:szCs w:val="21"/>
          <w:lang w:val="en-US" w:eastAsia="zh-CN" w:bidi="ar-SA"/>
        </w:rPr>
        <w:t>PTA废粉</w:t>
      </w:r>
      <w:r>
        <w:rPr>
          <w:rFonts w:ascii="Times New Roman" w:hAnsi="Times New Roman" w:cs="Times New Roman" w:eastAsiaTheme="minorEastAsia"/>
          <w:sz w:val="21"/>
          <w:szCs w:val="21"/>
          <w:lang w:val="en-US" w:eastAsia="zh-CN" w:bidi="ar-SA"/>
        </w:rPr>
        <w:t>出厂日期的上个月26日至</w:t>
      </w:r>
      <w:r>
        <w:rPr>
          <w:rFonts w:hint="eastAsia" w:ascii="Times New Roman" w:hAnsi="Times New Roman" w:cs="Times New Roman" w:eastAsiaTheme="minorEastAsia"/>
          <w:sz w:val="21"/>
          <w:szCs w:val="21"/>
          <w:lang w:val="en-US" w:eastAsia="zh-CN" w:bidi="ar-SA"/>
        </w:rPr>
        <w:t>本</w:t>
      </w:r>
      <w:r>
        <w:rPr>
          <w:rFonts w:ascii="Times New Roman" w:hAnsi="Times New Roman" w:cs="Times New Roman" w:eastAsiaTheme="minorEastAsia"/>
          <w:sz w:val="21"/>
          <w:szCs w:val="21"/>
          <w:lang w:val="en-US" w:eastAsia="zh-CN" w:bidi="ar-SA"/>
        </w:rPr>
        <w:t>月25日</w:t>
      </w:r>
      <w:r>
        <w:rPr>
          <w:rFonts w:hint="eastAsia" w:ascii="Times New Roman" w:hAnsi="Times New Roman" w:cs="Times New Roman" w:eastAsiaTheme="minorEastAsia"/>
          <w:sz w:val="21"/>
          <w:szCs w:val="21"/>
          <w:lang w:val="en-US" w:eastAsia="zh-CN" w:bidi="ar-SA"/>
        </w:rPr>
        <w:t>中国化纤网（</w:t>
      </w:r>
      <w:r>
        <w:rPr>
          <w:rFonts w:ascii="Times New Roman" w:hAnsi="Times New Roman" w:cs="Times New Roman" w:eastAsiaTheme="minorEastAsia"/>
          <w:sz w:val="21"/>
          <w:szCs w:val="21"/>
          <w:lang w:val="en-US" w:eastAsia="zh-CN" w:bidi="ar-SA"/>
        </w:rPr>
        <w:t>CCF</w:t>
      </w:r>
      <w:r>
        <w:rPr>
          <w:rFonts w:hint="eastAsia" w:ascii="Times New Roman" w:hAnsi="Times New Roman" w:cs="Times New Roman" w:eastAsiaTheme="minorEastAsia"/>
          <w:sz w:val="21"/>
          <w:szCs w:val="21"/>
          <w:lang w:val="en-US" w:eastAsia="zh-CN" w:bidi="ar-SA"/>
        </w:rPr>
        <w:t>）</w:t>
      </w:r>
      <w:r>
        <w:rPr>
          <w:rFonts w:ascii="Times New Roman" w:hAnsi="Times New Roman" w:cs="Times New Roman" w:eastAsiaTheme="minorEastAsia"/>
          <w:sz w:val="21"/>
          <w:szCs w:val="21"/>
          <w:lang w:val="en-US" w:eastAsia="zh-CN" w:bidi="ar-SA"/>
        </w:rPr>
        <w:t>PTA华东内盘日均价为基准价格(网</w:t>
      </w:r>
      <w:r>
        <w:rPr>
          <w:rFonts w:hint="eastAsia" w:ascii="Times New Roman" w:hAnsi="Times New Roman" w:cs="Times New Roman" w:eastAsiaTheme="minorEastAsia"/>
          <w:sz w:val="21"/>
          <w:szCs w:val="21"/>
          <w:lang w:val="en-US" w:eastAsia="zh-CN" w:bidi="ar-SA"/>
        </w:rPr>
        <w:t>址</w:t>
      </w:r>
      <w:r>
        <w:rPr>
          <w:rFonts w:ascii="Times New Roman" w:hAnsi="Times New Roman" w:cs="Times New Roman" w:eastAsiaTheme="minorEastAsia"/>
          <w:sz w:val="21"/>
          <w:szCs w:val="21"/>
          <w:lang w:val="en-US" w:eastAsia="zh-CN" w:bidi="ar-SA"/>
        </w:rPr>
        <w:t>:</w:t>
      </w:r>
      <w:r>
        <w:rPr>
          <w:rFonts w:hint="eastAsia" w:ascii="Times New Roman" w:hAnsi="Times New Roman" w:cs="Times New Roman" w:eastAsiaTheme="minorEastAsia"/>
          <w:sz w:val="21"/>
          <w:szCs w:val="21"/>
          <w:lang w:val="en-US" w:eastAsia="zh-CN" w:bidi="ar-SA"/>
        </w:rPr>
        <w:t xml:space="preserve"> </w:t>
      </w:r>
      <w:r>
        <w:rPr>
          <w:rFonts w:ascii="Times New Roman" w:hAnsi="Times New Roman" w:cs="Times New Roman" w:eastAsiaTheme="minorEastAsia"/>
          <w:sz w:val="21"/>
          <w:szCs w:val="21"/>
          <w:lang w:val="en-US" w:eastAsia="zh-CN" w:bidi="ar-SA"/>
        </w:rPr>
        <w:t>https://www.ccfei.com)。结算价格按该公式进行结算: 基准价格*折旧率*吨数</w:t>
      </w:r>
      <w:r>
        <w:rPr>
          <w:rFonts w:hint="eastAsia" w:ascii="Times New Roman" w:hAnsi="Times New Roman" w:cs="Times New Roman" w:eastAsiaTheme="minorEastAsia"/>
          <w:sz w:val="21"/>
          <w:szCs w:val="21"/>
          <w:lang w:val="en-US" w:eastAsia="zh-CN" w:bidi="ar-SA"/>
        </w:rPr>
        <w:t>。</w:t>
      </w:r>
    </w:p>
    <w:p w14:paraId="0FF41CA6">
      <w:pPr>
        <w:pStyle w:val="10"/>
        <w:snapToGrid w:val="0"/>
        <w:spacing w:line="360" w:lineRule="auto"/>
        <w:rPr>
          <w:rFonts w:ascii="Times New Roman" w:hAnsi="Times New Roman" w:cs="Times New Roman" w:eastAsiaTheme="minorEastAsia"/>
          <w:sz w:val="21"/>
          <w:szCs w:val="21"/>
          <w:highlight w:val="green"/>
          <w:lang w:val="en-US" w:eastAsia="zh-CN" w:bidi="ar-SA"/>
        </w:rPr>
      </w:pPr>
      <w:r>
        <w:rPr>
          <w:rFonts w:hint="eastAsia" w:cs="Times New Roman" w:eastAsiaTheme="minorEastAsia"/>
          <w:sz w:val="21"/>
          <w:szCs w:val="21"/>
          <w:highlight w:val="green"/>
          <w:lang w:val="en-US" w:eastAsia="zh-CN" w:bidi="ar-SA"/>
        </w:rPr>
        <w:t>九</w:t>
      </w:r>
      <w:r>
        <w:rPr>
          <w:rFonts w:hint="eastAsia" w:ascii="Times New Roman" w:hAnsi="Times New Roman" w:cs="Times New Roman" w:eastAsiaTheme="minorEastAsia"/>
          <w:sz w:val="21"/>
          <w:szCs w:val="21"/>
          <w:highlight w:val="green"/>
          <w:lang w:val="en-US" w:eastAsia="zh-CN" w:bidi="ar-SA"/>
        </w:rPr>
        <w:t>、中选原则：暂定总价最高者中选，</w:t>
      </w:r>
      <w:r>
        <w:rPr>
          <w:rFonts w:hint="eastAsia" w:cs="Times New Roman" w:eastAsiaTheme="minorEastAsia"/>
          <w:sz w:val="21"/>
          <w:szCs w:val="21"/>
          <w:highlight w:val="green"/>
          <w:lang w:val="en-US" w:eastAsia="zh-CN" w:bidi="ar-SA"/>
        </w:rPr>
        <w:t>参比</w:t>
      </w:r>
      <w:r>
        <w:rPr>
          <w:rFonts w:hint="eastAsia" w:ascii="Times New Roman" w:hAnsi="Times New Roman" w:cs="Times New Roman" w:eastAsiaTheme="minorEastAsia"/>
          <w:sz w:val="21"/>
          <w:szCs w:val="21"/>
          <w:highlight w:val="green"/>
          <w:lang w:val="en-US" w:eastAsia="zh-CN" w:bidi="ar-SA"/>
        </w:rPr>
        <w:t>报价暂定基准价格为2026年8月CCF</w:t>
      </w:r>
      <w:r>
        <w:rPr>
          <w:rFonts w:hint="eastAsia" w:cs="Times New Roman" w:eastAsiaTheme="minorEastAsia"/>
          <w:sz w:val="21"/>
          <w:szCs w:val="21"/>
          <w:highlight w:val="green"/>
          <w:lang w:val="en-US" w:eastAsia="zh-CN" w:bidi="ar-SA"/>
        </w:rPr>
        <w:t xml:space="preserve">  </w:t>
      </w:r>
      <w:r>
        <w:rPr>
          <w:rFonts w:hint="eastAsia" w:ascii="Times New Roman" w:hAnsi="Times New Roman" w:cs="Times New Roman" w:eastAsiaTheme="minorEastAsia"/>
          <w:sz w:val="21"/>
          <w:szCs w:val="21"/>
          <w:highlight w:val="green"/>
          <w:lang w:val="en-US" w:eastAsia="zh-CN" w:bidi="ar-SA"/>
        </w:rPr>
        <w:t>PTA华东内盘日均价为人民币</w:t>
      </w:r>
      <w:r>
        <w:rPr>
          <w:rFonts w:hint="eastAsia" w:hAnsi="宋体" w:cs="宋体" w:eastAsiaTheme="minorEastAsia"/>
          <w:sz w:val="22"/>
          <w:highlight w:val="green"/>
          <w:lang w:val="en-US" w:eastAsia="zh-CN"/>
        </w:rPr>
        <w:t>6064.32</w:t>
      </w:r>
      <w:r>
        <w:rPr>
          <w:rFonts w:hint="eastAsia" w:ascii="Times New Roman" w:hAnsi="Times New Roman" w:cs="Times New Roman" w:eastAsiaTheme="minorEastAsia"/>
          <w:sz w:val="21"/>
          <w:szCs w:val="21"/>
          <w:highlight w:val="green"/>
          <w:lang w:val="en-US" w:eastAsia="zh-CN" w:bidi="ar-SA"/>
        </w:rPr>
        <w:t>元/吨(含税)，暂定总价等于各项“基准价格*折旧率*吨数”之和。</w:t>
      </w:r>
    </w:p>
    <w:p w14:paraId="673DA2E5">
      <w:pPr>
        <w:pStyle w:val="20"/>
        <w:spacing w:line="360" w:lineRule="auto"/>
        <w:ind w:right="121"/>
        <w:jc w:val="both"/>
        <w:rPr>
          <w:rFonts w:ascii="Times New Roman" w:hAnsi="Times New Roman" w:cs="Times New Roman" w:eastAsiaTheme="minorEastAsia"/>
          <w:b/>
          <w:bCs/>
          <w:spacing w:val="4"/>
          <w:sz w:val="21"/>
          <w:szCs w:val="21"/>
          <w:lang w:eastAsia="zh-CN"/>
        </w:rPr>
      </w:pPr>
      <w:r>
        <w:rPr>
          <w:rFonts w:hint="eastAsia"/>
          <w:highlight w:val="none"/>
          <w:lang w:eastAsia="zh-CN"/>
        </w:rPr>
        <w:t xml:space="preserve"> </w:t>
      </w:r>
      <w:r>
        <w:rPr>
          <w:rFonts w:hint="eastAsia" w:ascii="Times New Roman" w:hAnsi="Times New Roman" w:cs="Times New Roman" w:eastAsiaTheme="minorEastAsia"/>
          <w:b/>
          <w:bCs/>
          <w:sz w:val="21"/>
          <w:szCs w:val="21"/>
          <w:lang w:val="en-US" w:eastAsia="zh-CN"/>
        </w:rPr>
        <w:t>十</w:t>
      </w:r>
      <w:r>
        <w:rPr>
          <w:rFonts w:ascii="Times New Roman" w:hAnsi="Times New Roman" w:cs="Times New Roman" w:eastAsiaTheme="minorEastAsia"/>
          <w:b/>
          <w:bCs/>
          <w:sz w:val="21"/>
          <w:szCs w:val="21"/>
          <w:lang w:eastAsia="zh-CN"/>
        </w:rPr>
        <w:t>、参比文件的递交：</w:t>
      </w:r>
    </w:p>
    <w:p w14:paraId="0AA8ECB4">
      <w:pPr>
        <w:pStyle w:val="4"/>
        <w:tabs>
          <w:tab w:val="left" w:pos="6879"/>
        </w:tabs>
        <w:spacing w:line="360" w:lineRule="auto"/>
        <w:ind w:left="0" w:leftChars="0" w:right="106" w:firstLine="219" w:firstLineChars="1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r>
        <w:rPr>
          <w:rFonts w:hint="eastAsia" w:ascii="Times New Roman" w:hAnsi="Times New Roman" w:cs="Times New Roman" w:eastAsiaTheme="minorEastAsia"/>
          <w:spacing w:val="4"/>
          <w:sz w:val="21"/>
          <w:szCs w:val="21"/>
          <w:lang w:eastAsia="zh-CN"/>
        </w:rPr>
        <w:t>、</w:t>
      </w:r>
      <w:r>
        <w:rPr>
          <w:rFonts w:ascii="Times New Roman" w:hAnsi="Times New Roman" w:cs="Times New Roman" w:eastAsiaTheme="minorEastAsia"/>
          <w:spacing w:val="4"/>
          <w:sz w:val="21"/>
          <w:szCs w:val="21"/>
          <w:lang w:eastAsia="zh-CN"/>
        </w:rPr>
        <w:t>参比文件递交的截止时间：</w:t>
      </w:r>
      <w:r>
        <w:rPr>
          <w:rFonts w:hint="eastAsia" w:ascii="Times New Roman" w:hAnsi="Times New Roman" w:cs="Times New Roman" w:eastAsiaTheme="minorEastAsia"/>
          <w:spacing w:val="4"/>
          <w:sz w:val="21"/>
          <w:szCs w:val="21"/>
          <w:lang w:eastAsia="zh-CN"/>
        </w:rPr>
        <w:t>自公告之日起</w:t>
      </w:r>
      <w:r>
        <w:rPr>
          <w:rFonts w:hint="eastAsia" w:ascii="Times New Roman" w:hAnsi="Times New Roman" w:cs="Times New Roman" w:eastAsiaTheme="minorEastAsia"/>
          <w:spacing w:val="4"/>
          <w:sz w:val="21"/>
          <w:szCs w:val="21"/>
          <w:lang w:val="en-US" w:eastAsia="zh-CN"/>
        </w:rPr>
        <w:t>至2026年9月12</w:t>
      </w:r>
      <w:r>
        <w:rPr>
          <w:rFonts w:hint="eastAsia" w:ascii="Times New Roman" w:hAnsi="Times New Roman" w:cs="Times New Roman" w:eastAsiaTheme="minorEastAsia"/>
          <w:spacing w:val="4"/>
          <w:sz w:val="21"/>
          <w:szCs w:val="21"/>
          <w:lang w:eastAsia="zh-CN"/>
        </w:rPr>
        <w:t>日（含当日）</w:t>
      </w:r>
      <w:r>
        <w:rPr>
          <w:rFonts w:hint="eastAsia" w:ascii="Times New Roman" w:hAnsi="Times New Roman" w:cs="Times New Roman" w:eastAsiaTheme="minorEastAsia"/>
          <w:spacing w:val="4"/>
          <w:sz w:val="21"/>
          <w:szCs w:val="21"/>
          <w:lang w:val="en-US" w:eastAsia="zh-CN"/>
        </w:rPr>
        <w:t>止</w:t>
      </w:r>
      <w:r>
        <w:rPr>
          <w:rFonts w:ascii="Times New Roman" w:hAnsi="Times New Roman" w:cs="Times New Roman" w:eastAsiaTheme="minorEastAsia"/>
          <w:spacing w:val="4"/>
          <w:sz w:val="21"/>
          <w:szCs w:val="21"/>
          <w:lang w:eastAsia="zh-CN"/>
        </w:rPr>
        <w:t>。</w:t>
      </w:r>
    </w:p>
    <w:p w14:paraId="1683421D">
      <w:pPr>
        <w:pStyle w:val="4"/>
        <w:tabs>
          <w:tab w:val="left" w:pos="6879"/>
        </w:tabs>
        <w:spacing w:line="360" w:lineRule="auto"/>
        <w:ind w:left="0" w:right="106" w:firstLine="210"/>
        <w:rPr>
          <w:rFonts w:hint="eastAsia"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w:t>
      </w:r>
      <w:r>
        <w:rPr>
          <w:rFonts w:hint="eastAsia" w:ascii="Times New Roman" w:hAnsi="Times New Roman" w:cs="Times New Roman" w:eastAsiaTheme="minorEastAsia"/>
          <w:spacing w:val="4"/>
          <w:sz w:val="21"/>
          <w:szCs w:val="21"/>
          <w:lang w:eastAsia="zh-CN"/>
        </w:rPr>
        <w:t>福建省漳州市古雷开发区纵四路西侧福化古雷运营中心17楼</w:t>
      </w:r>
    </w:p>
    <w:p w14:paraId="54552D1D">
      <w:pPr>
        <w:pStyle w:val="4"/>
        <w:tabs>
          <w:tab w:val="left" w:pos="6879"/>
        </w:tabs>
        <w:spacing w:line="360" w:lineRule="auto"/>
        <w:ind w:left="0" w:right="106" w:firstLine="210"/>
        <w:rPr>
          <w:rFonts w:ascii="Times New Roman" w:hAnsi="Times New Roman" w:cs="Times New Roman" w:eastAsiaTheme="minorEastAsia"/>
          <w:spacing w:val="-4"/>
          <w:sz w:val="21"/>
          <w:szCs w:val="21"/>
          <w:lang w:eastAsia="zh-CN"/>
        </w:rPr>
      </w:pPr>
      <w:r>
        <w:rPr>
          <w:rFonts w:hint="eastAsia" w:ascii="Times New Roman" w:hAnsi="Times New Roman" w:cs="Times New Roman" w:eastAsiaTheme="minorEastAsia"/>
          <w:spacing w:val="4"/>
          <w:sz w:val="21"/>
          <w:szCs w:val="21"/>
          <w:lang w:val="en-US" w:eastAsia="zh-CN"/>
        </w:rPr>
        <w:t>福海创</w:t>
      </w:r>
      <w:r>
        <w:rPr>
          <w:rFonts w:ascii="Times New Roman" w:hAnsi="Times New Roman" w:cs="Times New Roman" w:eastAsiaTheme="minorEastAsia"/>
          <w:spacing w:val="4"/>
          <w:sz w:val="21"/>
          <w:szCs w:val="21"/>
          <w:lang w:eastAsia="zh-CN"/>
        </w:rPr>
        <w:t>综合采购团队</w:t>
      </w:r>
      <w:r>
        <w:rPr>
          <w:rFonts w:ascii="Times New Roman" w:hAnsi="Times New Roman" w:cs="Times New Roman" w:eastAsiaTheme="minorEastAsia"/>
          <w:spacing w:val="-57"/>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ascii="Times New Roman" w:hAnsi="Times New Roman" w:cs="Times New Roman" w:eastAsiaTheme="minorEastAsia"/>
          <w:sz w:val="21"/>
          <w:szCs w:val="21"/>
          <w:lang w:eastAsia="zh-CN"/>
        </w:rPr>
        <w:t>黄梅钦，联系电话</w:t>
      </w:r>
      <w:r>
        <w:rPr>
          <w:rFonts w:ascii="Times New Roman" w:hAnsi="Times New Roman" w:cs="Times New Roman" w:eastAsiaTheme="minorEastAsia"/>
          <w:spacing w:val="-4"/>
          <w:sz w:val="21"/>
          <w:szCs w:val="21"/>
          <w:lang w:eastAsia="zh-CN"/>
        </w:rPr>
        <w:t>：</w:t>
      </w:r>
      <w:r>
        <w:rPr>
          <w:rFonts w:hint="eastAsia" w:ascii="Times New Roman" w:hAnsi="Times New Roman" w:cs="Times New Roman" w:eastAsiaTheme="minorEastAsia"/>
          <w:spacing w:val="-4"/>
          <w:sz w:val="21"/>
          <w:szCs w:val="21"/>
          <w:lang w:val="en-US" w:eastAsia="zh-CN"/>
        </w:rPr>
        <w:t>13806001925</w:t>
      </w:r>
      <w:r>
        <w:rPr>
          <w:rFonts w:ascii="Times New Roman" w:hAnsi="Times New Roman" w:cs="Times New Roman" w:eastAsiaTheme="minorEastAsia"/>
          <w:spacing w:val="-4"/>
          <w:sz w:val="21"/>
          <w:szCs w:val="21"/>
          <w:lang w:eastAsia="zh-CN"/>
        </w:rPr>
        <w:t>。</w:t>
      </w:r>
    </w:p>
    <w:p w14:paraId="2546A537">
      <w:pPr>
        <w:pStyle w:val="4"/>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243D652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只允许参比人有一个参比方案，否则将被视为无效参比。</w:t>
      </w:r>
    </w:p>
    <w:p w14:paraId="3C0A5477">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逾期送达的或未送达指定地点或参比文件密封不符合规定要求的参比文件，采购人不予受理。参比人所提交的</w:t>
      </w:r>
      <w:r>
        <w:rPr>
          <w:rFonts w:hint="eastAsia" w:ascii="Times New Roman" w:hAnsi="Times New Roman" w:cs="Times New Roman" w:eastAsiaTheme="minorEastAsia"/>
          <w:sz w:val="21"/>
          <w:szCs w:val="21"/>
          <w:lang w:eastAsia="zh-CN"/>
        </w:rPr>
        <w:t>参比文件</w:t>
      </w:r>
      <w:r>
        <w:rPr>
          <w:rFonts w:ascii="Times New Roman" w:hAnsi="Times New Roman" w:cs="Times New Roman" w:eastAsiaTheme="minorEastAsia"/>
          <w:sz w:val="21"/>
          <w:szCs w:val="21"/>
          <w:lang w:eastAsia="zh-CN"/>
        </w:rPr>
        <w:t>在评选结束后，无论中选与否都不退还。</w:t>
      </w:r>
    </w:p>
    <w:p w14:paraId="47341A4C">
      <w:pPr>
        <w:pStyle w:val="20"/>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参比人收到</w:t>
      </w:r>
      <w:r>
        <w:rPr>
          <w:rFonts w:hint="eastAsia" w:ascii="Times New Roman" w:hAnsi="Times New Roman" w:cs="Times New Roman" w:eastAsiaTheme="minorEastAsia"/>
          <w:sz w:val="21"/>
          <w:szCs w:val="21"/>
          <w:lang w:eastAsia="zh-CN"/>
        </w:rPr>
        <w:t>参比文件</w:t>
      </w:r>
      <w:r>
        <w:rPr>
          <w:rFonts w:ascii="Times New Roman" w:hAnsi="Times New Roman" w:cs="Times New Roman" w:eastAsiaTheme="minorEastAsia"/>
          <w:sz w:val="21"/>
          <w:szCs w:val="21"/>
          <w:lang w:eastAsia="zh-CN"/>
        </w:rPr>
        <w:t>后，如有疑问需要澄清，请以书面形式在规定时间内报采购人汇总。</w:t>
      </w:r>
    </w:p>
    <w:p w14:paraId="581CF1F4">
      <w:pPr>
        <w:pStyle w:val="20"/>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参比人对采购人提供的</w:t>
      </w:r>
      <w:r>
        <w:rPr>
          <w:rFonts w:hint="eastAsia" w:ascii="Times New Roman" w:hAnsi="Times New Roman" w:cs="Times New Roman" w:eastAsiaTheme="minorEastAsia"/>
          <w:sz w:val="21"/>
          <w:szCs w:val="21"/>
          <w:lang w:eastAsia="zh-CN"/>
        </w:rPr>
        <w:t>参比文件</w:t>
      </w:r>
      <w:r>
        <w:rPr>
          <w:rFonts w:ascii="Times New Roman" w:hAnsi="Times New Roman" w:cs="Times New Roman" w:eastAsiaTheme="minorEastAsia"/>
          <w:sz w:val="21"/>
          <w:szCs w:val="21"/>
          <w:lang w:eastAsia="zh-CN"/>
        </w:rPr>
        <w:t>所做出的推论、解释和结论，采购人概不负责。参比人由于对采购文件的任何推论和误解以及比选对有关问题的口头解释所造成的后果，均由参比人负责。</w:t>
      </w:r>
    </w:p>
    <w:p w14:paraId="7474B968">
      <w:pPr>
        <w:pStyle w:val="20"/>
        <w:spacing w:line="348" w:lineRule="auto"/>
        <w:ind w:right="121" w:firstLine="420"/>
        <w:jc w:val="both"/>
        <w:rPr>
          <w:sz w:val="21"/>
          <w:szCs w:val="21"/>
          <w:lang w:eastAsia="zh-CN"/>
        </w:rPr>
      </w:pPr>
    </w:p>
    <w:p w14:paraId="6601ACE7">
      <w:pPr>
        <w:pStyle w:val="3"/>
        <w:tabs>
          <w:tab w:val="left" w:pos="4627"/>
        </w:tabs>
        <w:spacing w:line="355" w:lineRule="exact"/>
        <w:ind w:left="3363"/>
        <w:rPr>
          <w:lang w:eastAsia="zh-CN"/>
        </w:rPr>
      </w:pPr>
    </w:p>
    <w:p w14:paraId="779A7996">
      <w:pPr>
        <w:pStyle w:val="3"/>
        <w:tabs>
          <w:tab w:val="left" w:pos="4627"/>
        </w:tabs>
        <w:spacing w:line="355" w:lineRule="exact"/>
        <w:ind w:left="3363"/>
        <w:rPr>
          <w:lang w:eastAsia="zh-CN"/>
        </w:rPr>
      </w:pPr>
    </w:p>
    <w:p w14:paraId="0F63030B">
      <w:pPr>
        <w:rPr>
          <w:lang w:eastAsia="zh-CN"/>
        </w:rPr>
      </w:pPr>
    </w:p>
    <w:p w14:paraId="22CCE636">
      <w:pPr>
        <w:pStyle w:val="2"/>
        <w:rPr>
          <w:lang w:eastAsia="zh-CN"/>
        </w:rPr>
      </w:pPr>
    </w:p>
    <w:p w14:paraId="2B261CB7">
      <w:pPr>
        <w:pStyle w:val="2"/>
        <w:rPr>
          <w:lang w:eastAsia="zh-CN"/>
        </w:rPr>
      </w:pPr>
    </w:p>
    <w:p w14:paraId="43BE79D5">
      <w:pPr>
        <w:pStyle w:val="2"/>
        <w:rPr>
          <w:lang w:eastAsia="zh-CN"/>
        </w:rPr>
      </w:pPr>
    </w:p>
    <w:p w14:paraId="0768E5EE">
      <w:pPr>
        <w:pStyle w:val="2"/>
        <w:rPr>
          <w:lang w:eastAsia="zh-CN"/>
        </w:rPr>
      </w:pPr>
    </w:p>
    <w:p w14:paraId="3E804631">
      <w:pPr>
        <w:pStyle w:val="2"/>
        <w:rPr>
          <w:lang w:eastAsia="zh-CN"/>
        </w:rPr>
      </w:pPr>
    </w:p>
    <w:p w14:paraId="2BAB2923">
      <w:pPr>
        <w:pStyle w:val="2"/>
        <w:rPr>
          <w:lang w:eastAsia="zh-CN"/>
        </w:rPr>
      </w:pPr>
    </w:p>
    <w:p w14:paraId="2C161AA0">
      <w:pPr>
        <w:pStyle w:val="2"/>
        <w:rPr>
          <w:lang w:eastAsia="zh-CN"/>
        </w:rPr>
      </w:pPr>
    </w:p>
    <w:p w14:paraId="7B679555">
      <w:pPr>
        <w:pStyle w:val="2"/>
        <w:rPr>
          <w:lang w:eastAsia="zh-CN"/>
        </w:rPr>
      </w:pPr>
    </w:p>
    <w:p w14:paraId="4F4ABEBA">
      <w:pPr>
        <w:pStyle w:val="2"/>
        <w:rPr>
          <w:lang w:eastAsia="zh-CN"/>
        </w:rPr>
      </w:pPr>
    </w:p>
    <w:p w14:paraId="48533A06">
      <w:pPr>
        <w:pStyle w:val="3"/>
        <w:tabs>
          <w:tab w:val="left" w:pos="4627"/>
        </w:tabs>
        <w:spacing w:line="355" w:lineRule="exact"/>
        <w:ind w:left="3363"/>
        <w:rPr>
          <w:lang w:eastAsia="zh-CN"/>
        </w:rPr>
      </w:pPr>
    </w:p>
    <w:p w14:paraId="47591ABD">
      <w:pPr>
        <w:pStyle w:val="3"/>
        <w:tabs>
          <w:tab w:val="left" w:pos="4627"/>
        </w:tabs>
        <w:spacing w:line="355" w:lineRule="exact"/>
        <w:ind w:left="3363"/>
        <w:rPr>
          <w:lang w:eastAsia="zh-CN"/>
        </w:rPr>
      </w:pPr>
    </w:p>
    <w:p w14:paraId="0672F081">
      <w:pPr>
        <w:rPr>
          <w:lang w:eastAsia="zh-CN"/>
        </w:rPr>
      </w:pPr>
    </w:p>
    <w:p w14:paraId="52C03329">
      <w:pPr>
        <w:pStyle w:val="2"/>
        <w:rPr>
          <w:lang w:eastAsia="zh-CN"/>
        </w:rPr>
      </w:pPr>
    </w:p>
    <w:p w14:paraId="7A4B978E">
      <w:pPr>
        <w:rPr>
          <w:lang w:eastAsia="zh-CN"/>
        </w:rPr>
      </w:pPr>
    </w:p>
    <w:p w14:paraId="74BF0DAE">
      <w:pPr>
        <w:rPr>
          <w:lang w:eastAsia="zh-CN"/>
        </w:rPr>
      </w:pPr>
    </w:p>
    <w:p w14:paraId="5C37E3E9">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5DBAE6E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727329A">
      <w:pPr>
        <w:pStyle w:val="20"/>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7"/>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1069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tcPr>
          <w:p w14:paraId="38FE86A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7089EC3">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153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8512E6B">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333BD40B">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1D3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401D0F">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1BD8FCD1">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77A1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2169179">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3FCBD32B">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2AC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5D32FE5">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2AAAFE8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6E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D63134">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075B7F9E">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72AF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5C3FDD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675AB8DA">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1C7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58CB5E8">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4C996C8A">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406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781F2419">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54EA968C">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5F0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17DC6F8">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w:t>
            </w:r>
            <w:r>
              <w:rPr>
                <w:rFonts w:hint="eastAsia" w:cs="Times New Roman" w:asciiTheme="minorEastAsia" w:hAnsiTheme="minorEastAsia"/>
                <w:szCs w:val="21"/>
                <w:lang w:eastAsia="zh-CN"/>
              </w:rPr>
              <w:t>采购人</w:t>
            </w:r>
            <w:r>
              <w:rPr>
                <w:rFonts w:cs="Times New Roman" w:asciiTheme="minorEastAsia" w:hAnsiTheme="minorEastAsia"/>
                <w:szCs w:val="21"/>
              </w:rPr>
              <w:t>有权取消其中选资格。</w:t>
            </w:r>
          </w:p>
        </w:tc>
      </w:tr>
    </w:tbl>
    <w:p w14:paraId="5C688459">
      <w:pPr>
        <w:pStyle w:val="20"/>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0C148C5C">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5C276B63">
      <w:pPr>
        <w:pStyle w:val="20"/>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2491D395">
      <w:pPr>
        <w:spacing w:before="15" w:line="360" w:lineRule="auto"/>
        <w:ind w:firstLine="458" w:firstLineChars="200"/>
        <w:rPr>
          <w:b/>
          <w:w w:val="95"/>
          <w:sz w:val="24"/>
          <w:szCs w:val="24"/>
        </w:rPr>
      </w:pPr>
      <w:r>
        <w:rPr>
          <w:b/>
          <w:w w:val="95"/>
          <w:sz w:val="24"/>
          <w:szCs w:val="24"/>
        </w:rPr>
        <w:t>二、参比书格式内容</w:t>
      </w:r>
    </w:p>
    <w:p w14:paraId="7CFB7A91">
      <w:pPr>
        <w:pStyle w:val="20"/>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40F1C72B">
      <w:pPr>
        <w:spacing w:before="15" w:line="360" w:lineRule="auto"/>
        <w:ind w:firstLine="458" w:firstLineChars="200"/>
        <w:rPr>
          <w:b/>
          <w:w w:val="95"/>
          <w:sz w:val="24"/>
          <w:szCs w:val="24"/>
        </w:rPr>
      </w:pPr>
      <w:r>
        <w:rPr>
          <w:b/>
          <w:w w:val="95"/>
          <w:sz w:val="24"/>
          <w:szCs w:val="24"/>
        </w:rPr>
        <w:t>三、参比报价</w:t>
      </w:r>
    </w:p>
    <w:p w14:paraId="1508C1A0">
      <w:pPr>
        <w:pStyle w:val="20"/>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1941C6A3">
      <w:pPr>
        <w:spacing w:before="15" w:line="360" w:lineRule="auto"/>
        <w:ind w:firstLine="458" w:firstLineChars="200"/>
        <w:rPr>
          <w:b/>
          <w:w w:val="95"/>
          <w:sz w:val="24"/>
          <w:szCs w:val="24"/>
        </w:rPr>
      </w:pPr>
      <w:r>
        <w:rPr>
          <w:b/>
          <w:w w:val="95"/>
          <w:sz w:val="24"/>
          <w:szCs w:val="24"/>
        </w:rPr>
        <w:t>四、特别说明</w:t>
      </w:r>
    </w:p>
    <w:p w14:paraId="7073EA9B">
      <w:pPr>
        <w:pStyle w:val="20"/>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1.参比人应承担所有与准备和参加比选有关的费用。不论比选的结果如何，比选机构和采购人均无义务和责任承担这些费用。</w:t>
      </w:r>
    </w:p>
    <w:p w14:paraId="467FCC6A">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val="en-US" w:eastAsia="zh-CN"/>
        </w:rPr>
        <w:t>参比人</w:t>
      </w:r>
      <w:r>
        <w:rPr>
          <w:sz w:val="21"/>
          <w:szCs w:val="21"/>
          <w:lang w:eastAsia="zh-CN"/>
        </w:rPr>
        <w:t>收到</w:t>
      </w:r>
      <w:r>
        <w:rPr>
          <w:rFonts w:hint="eastAsia"/>
          <w:sz w:val="21"/>
          <w:szCs w:val="21"/>
          <w:lang w:eastAsia="zh-CN"/>
        </w:rPr>
        <w:t>参比文件</w:t>
      </w:r>
      <w:r>
        <w:rPr>
          <w:sz w:val="21"/>
          <w:szCs w:val="21"/>
          <w:lang w:eastAsia="zh-CN"/>
        </w:rPr>
        <w:t>后，如有疑问需要澄清，请以书面形式在规定时间内报采购人汇总。</w:t>
      </w:r>
    </w:p>
    <w:p w14:paraId="0FEF84A7">
      <w:pPr>
        <w:pStyle w:val="20"/>
        <w:spacing w:line="360" w:lineRule="auto"/>
        <w:ind w:right="121" w:firstLine="420" w:firstLineChars="200"/>
        <w:jc w:val="both"/>
        <w:rPr>
          <w:sz w:val="21"/>
          <w:szCs w:val="21"/>
          <w:lang w:eastAsia="zh-CN"/>
        </w:rPr>
      </w:pPr>
      <w:r>
        <w:rPr>
          <w:sz w:val="21"/>
          <w:szCs w:val="21"/>
          <w:lang w:eastAsia="zh-CN"/>
        </w:rPr>
        <w:t>3.参比人对采购人提供的</w:t>
      </w:r>
      <w:r>
        <w:rPr>
          <w:rFonts w:hint="eastAsia"/>
          <w:sz w:val="21"/>
          <w:szCs w:val="21"/>
          <w:lang w:eastAsia="zh-CN"/>
        </w:rPr>
        <w:t>参比文件</w:t>
      </w:r>
      <w:r>
        <w:rPr>
          <w:sz w:val="21"/>
          <w:szCs w:val="21"/>
          <w:lang w:eastAsia="zh-CN"/>
        </w:rPr>
        <w:t>所做出的推论、解释和结论，采购人概不负责。参比人由于对采购文件的任何推论和误解以及比选对有关问题的口头解释所造成的后果，均由参比人负责。</w:t>
      </w:r>
    </w:p>
    <w:p w14:paraId="228E43BE">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AC58CBC">
      <w:pPr>
        <w:spacing w:before="15" w:line="360" w:lineRule="auto"/>
        <w:ind w:firstLine="401" w:firstLineChars="150"/>
        <w:rPr>
          <w:b/>
          <w:w w:val="95"/>
          <w:sz w:val="28"/>
          <w:lang w:eastAsia="zh-CN"/>
        </w:rPr>
      </w:pPr>
      <w:r>
        <w:rPr>
          <w:b/>
          <w:w w:val="95"/>
          <w:sz w:val="28"/>
          <w:lang w:eastAsia="zh-CN"/>
        </w:rPr>
        <w:t>一、规则</w:t>
      </w:r>
    </w:p>
    <w:p w14:paraId="6D0C44EE">
      <w:pPr>
        <w:pStyle w:val="20"/>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val="en-US" w:eastAsia="zh-CN"/>
        </w:rPr>
        <w:t>采购人</w:t>
      </w:r>
      <w:r>
        <w:rPr>
          <w:sz w:val="21"/>
          <w:szCs w:val="21"/>
          <w:lang w:eastAsia="zh-CN"/>
        </w:rPr>
        <w:t>在评选时，将</w:t>
      </w:r>
      <w:r>
        <w:rPr>
          <w:rFonts w:hint="eastAsia"/>
          <w:sz w:val="21"/>
          <w:szCs w:val="21"/>
          <w:lang w:eastAsia="zh-CN"/>
        </w:rPr>
        <w:t>优先对技术参比文件进行评选，技术参比文件符合业主要求方可进行下一轮商务报价评选。</w:t>
      </w:r>
    </w:p>
    <w:p w14:paraId="39553021">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参比人</w:t>
      </w:r>
      <w:r>
        <w:rPr>
          <w:sz w:val="21"/>
          <w:szCs w:val="21"/>
          <w:lang w:eastAsia="zh-CN"/>
        </w:rPr>
        <w:t>串选、相互勾结故意压低标价以排挤竞争对手的公平竞争的，其参选无效。</w:t>
      </w:r>
    </w:p>
    <w:p w14:paraId="737C30A6">
      <w:pPr>
        <w:pStyle w:val="20"/>
        <w:spacing w:line="360" w:lineRule="auto"/>
        <w:ind w:right="121" w:firstLine="420" w:firstLineChars="200"/>
        <w:jc w:val="both"/>
        <w:rPr>
          <w:sz w:val="21"/>
          <w:szCs w:val="21"/>
          <w:lang w:eastAsia="zh-CN"/>
        </w:rPr>
      </w:pPr>
      <w:r>
        <w:rPr>
          <w:sz w:val="21"/>
          <w:szCs w:val="21"/>
          <w:lang w:eastAsia="zh-CN"/>
        </w:rPr>
        <w:t>3.替补候选人的设定与使用：在合同签订前，比选单位发现</w:t>
      </w:r>
      <w:r>
        <w:rPr>
          <w:rFonts w:hint="eastAsia"/>
          <w:sz w:val="21"/>
          <w:szCs w:val="21"/>
          <w:lang w:eastAsia="zh-CN"/>
        </w:rPr>
        <w:t>参比人</w:t>
      </w:r>
      <w:r>
        <w:rPr>
          <w:sz w:val="21"/>
          <w:szCs w:val="21"/>
          <w:lang w:eastAsia="zh-CN"/>
        </w:rPr>
        <w:t>的参选报价或供货范围有缺漏、实际应标产品或服务存在重大偏差、或参选材料存在欺诈行为时、或</w:t>
      </w:r>
      <w:r>
        <w:rPr>
          <w:rFonts w:hint="eastAsia"/>
          <w:sz w:val="21"/>
          <w:szCs w:val="21"/>
          <w:lang w:eastAsia="zh-CN"/>
        </w:rPr>
        <w:t>参比人</w:t>
      </w:r>
      <w:r>
        <w:rPr>
          <w:sz w:val="21"/>
          <w:szCs w:val="21"/>
          <w:lang w:eastAsia="zh-CN"/>
        </w:rPr>
        <w:t>因不可抗力或自身原因不能履行合同的，将有理由取消中选人资格，保留依法追究的权利；并将依法确定排名第二名的中选候选人为本项目的中选人</w:t>
      </w:r>
      <w:r>
        <w:rPr>
          <w:rFonts w:hint="eastAsia"/>
          <w:sz w:val="21"/>
          <w:szCs w:val="21"/>
          <w:lang w:eastAsia="zh-CN"/>
        </w:rPr>
        <w:t>或重新组织比选</w:t>
      </w:r>
      <w:r>
        <w:rPr>
          <w:sz w:val="21"/>
          <w:szCs w:val="21"/>
          <w:lang w:eastAsia="zh-CN"/>
        </w:rPr>
        <w:t>。</w:t>
      </w:r>
    </w:p>
    <w:p w14:paraId="2A2E3141">
      <w:pPr>
        <w:spacing w:before="15" w:line="360" w:lineRule="auto"/>
        <w:ind w:firstLine="534" w:firstLineChars="200"/>
        <w:rPr>
          <w:b/>
          <w:w w:val="95"/>
          <w:sz w:val="28"/>
          <w:lang w:eastAsia="zh-CN"/>
        </w:rPr>
      </w:pPr>
      <w:r>
        <w:rPr>
          <w:b/>
          <w:w w:val="95"/>
          <w:sz w:val="28"/>
          <w:lang w:eastAsia="zh-CN"/>
        </w:rPr>
        <w:t>二、资格审查</w:t>
      </w:r>
    </w:p>
    <w:p w14:paraId="726B85EA">
      <w:pPr>
        <w:pStyle w:val="20"/>
        <w:spacing w:line="360" w:lineRule="auto"/>
        <w:ind w:right="121" w:firstLine="420" w:firstLineChars="200"/>
        <w:jc w:val="both"/>
        <w:rPr>
          <w:sz w:val="21"/>
          <w:szCs w:val="21"/>
          <w:lang w:eastAsia="zh-CN"/>
        </w:rPr>
      </w:pPr>
      <w:r>
        <w:rPr>
          <w:sz w:val="21"/>
          <w:szCs w:val="21"/>
          <w:lang w:eastAsia="zh-CN"/>
        </w:rPr>
        <w:t>由</w:t>
      </w:r>
      <w:r>
        <w:rPr>
          <w:rFonts w:hint="eastAsia"/>
          <w:sz w:val="21"/>
          <w:szCs w:val="21"/>
          <w:lang w:eastAsia="zh-CN"/>
        </w:rPr>
        <w:t>采购人</w:t>
      </w:r>
      <w:r>
        <w:rPr>
          <w:sz w:val="21"/>
          <w:szCs w:val="21"/>
          <w:lang w:eastAsia="zh-CN"/>
        </w:rPr>
        <w:t>依法组建的评选委员会将按照第二章比选须知第六点“</w:t>
      </w:r>
      <w:r>
        <w:rPr>
          <w:rFonts w:hint="eastAsia"/>
          <w:sz w:val="21"/>
          <w:szCs w:val="21"/>
          <w:lang w:eastAsia="zh-CN"/>
        </w:rPr>
        <w:t>参比人</w:t>
      </w:r>
      <w:r>
        <w:rPr>
          <w:sz w:val="21"/>
          <w:szCs w:val="21"/>
          <w:lang w:eastAsia="zh-CN"/>
        </w:rPr>
        <w:t>资格”的要求对</w:t>
      </w:r>
      <w:r>
        <w:rPr>
          <w:rFonts w:hint="eastAsia"/>
          <w:sz w:val="21"/>
          <w:szCs w:val="21"/>
          <w:lang w:eastAsia="zh-CN"/>
        </w:rPr>
        <w:t>参比人</w:t>
      </w:r>
      <w:r>
        <w:rPr>
          <w:sz w:val="21"/>
          <w:szCs w:val="21"/>
          <w:lang w:eastAsia="zh-CN"/>
        </w:rPr>
        <w:t>进行资格审查，以确定是否为符合</w:t>
      </w:r>
      <w:r>
        <w:rPr>
          <w:rFonts w:hint="eastAsia"/>
          <w:sz w:val="21"/>
          <w:szCs w:val="21"/>
          <w:lang w:eastAsia="zh-CN"/>
        </w:rPr>
        <w:t>参比文件</w:t>
      </w:r>
      <w:r>
        <w:rPr>
          <w:sz w:val="21"/>
          <w:szCs w:val="21"/>
          <w:lang w:eastAsia="zh-CN"/>
        </w:rPr>
        <w:t>规定要求的合格</w:t>
      </w:r>
      <w:r>
        <w:rPr>
          <w:rFonts w:hint="eastAsia"/>
          <w:sz w:val="21"/>
          <w:szCs w:val="21"/>
          <w:lang w:eastAsia="zh-CN"/>
        </w:rPr>
        <w:t>参比人</w:t>
      </w:r>
      <w:r>
        <w:rPr>
          <w:sz w:val="21"/>
          <w:szCs w:val="21"/>
          <w:lang w:eastAsia="zh-CN"/>
        </w:rPr>
        <w:t>，同时，评选委员会将依据</w:t>
      </w:r>
      <w:r>
        <w:rPr>
          <w:rFonts w:hint="eastAsia"/>
          <w:sz w:val="21"/>
          <w:szCs w:val="21"/>
          <w:lang w:eastAsia="zh-CN"/>
        </w:rPr>
        <w:t>参比人</w:t>
      </w:r>
      <w:r>
        <w:rPr>
          <w:sz w:val="21"/>
          <w:szCs w:val="21"/>
          <w:lang w:eastAsia="zh-CN"/>
        </w:rPr>
        <w:t>提供的资格证明文件审查</w:t>
      </w:r>
      <w:r>
        <w:rPr>
          <w:rFonts w:hint="eastAsia"/>
          <w:sz w:val="21"/>
          <w:szCs w:val="21"/>
          <w:lang w:eastAsia="zh-CN"/>
        </w:rPr>
        <w:t>参比人</w:t>
      </w:r>
      <w:r>
        <w:rPr>
          <w:sz w:val="21"/>
          <w:szCs w:val="21"/>
          <w:lang w:eastAsia="zh-CN"/>
        </w:rPr>
        <w:t>的法人资格、营业范围、财务，以确定</w:t>
      </w:r>
      <w:r>
        <w:rPr>
          <w:rFonts w:hint="eastAsia"/>
          <w:sz w:val="21"/>
          <w:szCs w:val="21"/>
          <w:lang w:eastAsia="zh-CN"/>
        </w:rPr>
        <w:t>参比人</w:t>
      </w:r>
      <w:r>
        <w:rPr>
          <w:sz w:val="21"/>
          <w:szCs w:val="21"/>
          <w:lang w:eastAsia="zh-CN"/>
        </w:rPr>
        <w:t>是否有资格履行合同。经上述资格审查合格的</w:t>
      </w:r>
      <w:r>
        <w:rPr>
          <w:rFonts w:hint="eastAsia"/>
          <w:sz w:val="21"/>
          <w:szCs w:val="21"/>
          <w:lang w:eastAsia="zh-CN"/>
        </w:rPr>
        <w:t>参比人</w:t>
      </w:r>
      <w:r>
        <w:rPr>
          <w:sz w:val="21"/>
          <w:szCs w:val="21"/>
          <w:lang w:eastAsia="zh-CN"/>
        </w:rPr>
        <w:t>进入下一程序的评审，经上述资格审查不合格的</w:t>
      </w:r>
      <w:r>
        <w:rPr>
          <w:rFonts w:hint="eastAsia"/>
          <w:sz w:val="21"/>
          <w:szCs w:val="21"/>
          <w:lang w:eastAsia="zh-CN"/>
        </w:rPr>
        <w:t>参比文件</w:t>
      </w:r>
      <w:r>
        <w:rPr>
          <w:sz w:val="21"/>
          <w:szCs w:val="21"/>
          <w:lang w:eastAsia="zh-CN"/>
        </w:rPr>
        <w:t>，其参选资格将被评选委员会予以否决。</w:t>
      </w:r>
    </w:p>
    <w:p w14:paraId="521F25D2">
      <w:pPr>
        <w:spacing w:before="15" w:line="360" w:lineRule="auto"/>
        <w:ind w:firstLine="534" w:firstLineChars="200"/>
        <w:rPr>
          <w:b/>
          <w:w w:val="95"/>
          <w:sz w:val="28"/>
          <w:lang w:eastAsia="zh-CN"/>
        </w:rPr>
      </w:pPr>
      <w:r>
        <w:rPr>
          <w:b/>
          <w:w w:val="95"/>
          <w:sz w:val="28"/>
          <w:lang w:eastAsia="zh-CN"/>
        </w:rPr>
        <w:t>三、评选办法</w:t>
      </w:r>
    </w:p>
    <w:p w14:paraId="7A204F42">
      <w:pPr>
        <w:pStyle w:val="10"/>
        <w:snapToGrid w:val="0"/>
        <w:spacing w:line="360" w:lineRule="auto"/>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评比工作小组将对通过资格及实质响应性审查的各合格参比人，根据参比人报价进行评比，中选原则：以报价暂定总价最高者中选单位，</w:t>
      </w:r>
      <w:r>
        <w:rPr>
          <w:rFonts w:hint="eastAsia" w:ascii="宋体" w:hAnsi="宋体" w:cs="宋体"/>
          <w:sz w:val="21"/>
          <w:szCs w:val="21"/>
          <w:lang w:val="en-US" w:eastAsia="zh-CN" w:bidi="ar-SA"/>
        </w:rPr>
        <w:t>参比</w:t>
      </w:r>
      <w:r>
        <w:rPr>
          <w:rFonts w:hint="eastAsia" w:ascii="宋体" w:hAnsi="宋体" w:eastAsia="宋体" w:cs="宋体"/>
          <w:sz w:val="21"/>
          <w:szCs w:val="21"/>
          <w:lang w:val="en-US" w:eastAsia="zh-CN" w:bidi="ar-SA"/>
        </w:rPr>
        <w:t>报价暂定基准价格为2026年8月CCFPTA华东内盘日均价为人民币</w:t>
      </w:r>
      <w:r>
        <w:rPr>
          <w:rFonts w:hint="eastAsia" w:hAnsi="宋体" w:cs="宋体"/>
          <w:sz w:val="22"/>
          <w:highlight w:val="none"/>
          <w:lang w:val="en-US" w:eastAsia="zh-CN"/>
        </w:rPr>
        <w:t>6064.32</w:t>
      </w:r>
      <w:r>
        <w:rPr>
          <w:rFonts w:hint="eastAsia" w:ascii="宋体" w:hAnsi="宋体" w:eastAsia="宋体" w:cs="宋体"/>
          <w:sz w:val="21"/>
          <w:szCs w:val="21"/>
          <w:highlight w:val="none"/>
          <w:lang w:val="en-US" w:eastAsia="zh-CN" w:bidi="ar-SA"/>
        </w:rPr>
        <w:t>元</w:t>
      </w:r>
      <w:r>
        <w:rPr>
          <w:rFonts w:hint="eastAsia" w:ascii="宋体" w:hAnsi="宋体" w:eastAsia="宋体" w:cs="宋体"/>
          <w:sz w:val="21"/>
          <w:szCs w:val="21"/>
          <w:lang w:val="en-US" w:eastAsia="zh-CN" w:bidi="ar-SA"/>
        </w:rPr>
        <w:t>/吨(含税)，暂定总价等于各项“基准价格*折旧率*吨数”之和。</w:t>
      </w:r>
    </w:p>
    <w:p w14:paraId="0B2D9B8E">
      <w:pPr>
        <w:spacing w:before="15" w:line="360" w:lineRule="auto"/>
        <w:ind w:firstLine="534" w:firstLineChars="200"/>
        <w:rPr>
          <w:b/>
          <w:w w:val="95"/>
          <w:sz w:val="28"/>
          <w:lang w:eastAsia="zh-CN"/>
        </w:rPr>
      </w:pPr>
      <w:r>
        <w:rPr>
          <w:b/>
          <w:w w:val="95"/>
          <w:sz w:val="28"/>
          <w:lang w:eastAsia="zh-CN"/>
        </w:rPr>
        <w:t>四、以下情况作废选处理</w:t>
      </w:r>
    </w:p>
    <w:p w14:paraId="2392F08D">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对</w:t>
      </w:r>
      <w:r>
        <w:rPr>
          <w:rFonts w:hint="eastAsia" w:cs="宋体"/>
          <w:sz w:val="21"/>
          <w:szCs w:val="21"/>
          <w:lang w:val="en-US" w:eastAsia="zh-CN" w:bidi="ar-SA"/>
        </w:rPr>
        <w:t>参比文件</w:t>
      </w:r>
      <w:r>
        <w:rPr>
          <w:rFonts w:hint="eastAsia" w:ascii="宋体" w:hAnsi="宋体" w:eastAsia="宋体" w:cs="宋体"/>
          <w:sz w:val="21"/>
          <w:szCs w:val="21"/>
          <w:lang w:val="en-US" w:eastAsia="zh-CN" w:bidi="ar-SA"/>
        </w:rPr>
        <w:t>提出的实质性要求和条件，</w:t>
      </w:r>
      <w:r>
        <w:rPr>
          <w:rFonts w:hint="eastAsia" w:cs="宋体"/>
          <w:sz w:val="21"/>
          <w:szCs w:val="21"/>
          <w:lang w:val="en-US" w:eastAsia="zh-CN" w:bidi="ar-SA"/>
        </w:rPr>
        <w:t>参比文件</w:t>
      </w:r>
      <w:r>
        <w:rPr>
          <w:rFonts w:hint="eastAsia" w:ascii="宋体" w:hAnsi="宋体" w:eastAsia="宋体" w:cs="宋体"/>
          <w:sz w:val="21"/>
          <w:szCs w:val="21"/>
          <w:lang w:val="en-US" w:eastAsia="zh-CN" w:bidi="ar-SA"/>
        </w:rPr>
        <w:t>未能在实质上响应的。</w:t>
      </w:r>
    </w:p>
    <w:p w14:paraId="028DAEDB">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、参比文件</w:t>
      </w:r>
      <w:r>
        <w:rPr>
          <w:rFonts w:hint="eastAsia" w:ascii="宋体" w:hAnsi="宋体" w:eastAsia="宋体" w:cs="宋体"/>
          <w:sz w:val="21"/>
          <w:szCs w:val="21"/>
          <w:lang w:val="en-US" w:eastAsia="zh-CN" w:bidi="ar-SA"/>
        </w:rPr>
        <w:t>存在重大偏差的。</w:t>
      </w:r>
    </w:p>
    <w:p w14:paraId="145F7225">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违反规定影响开选评选工作或采取其他方式对</w:t>
      </w:r>
      <w:r>
        <w:rPr>
          <w:rFonts w:hint="eastAsia" w:cs="宋体"/>
          <w:sz w:val="21"/>
          <w:szCs w:val="21"/>
          <w:lang w:val="en-US" w:eastAsia="zh-CN" w:bidi="ar-SA"/>
        </w:rPr>
        <w:t>采购人</w:t>
      </w:r>
      <w:r>
        <w:rPr>
          <w:rFonts w:hint="eastAsia" w:ascii="宋体" w:hAnsi="宋体" w:eastAsia="宋体" w:cs="宋体"/>
          <w:sz w:val="21"/>
          <w:szCs w:val="21"/>
          <w:lang w:val="en-US" w:eastAsia="zh-CN" w:bidi="ar-SA"/>
        </w:rPr>
        <w:t>施加影响的。</w:t>
      </w:r>
    </w:p>
    <w:p w14:paraId="54303911">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、参比人</w:t>
      </w:r>
      <w:r>
        <w:rPr>
          <w:rFonts w:hint="eastAsia" w:ascii="宋体" w:hAnsi="宋体" w:eastAsia="宋体" w:cs="宋体"/>
          <w:sz w:val="21"/>
          <w:szCs w:val="21"/>
          <w:lang w:val="en-US" w:eastAsia="zh-CN" w:bidi="ar-SA"/>
        </w:rPr>
        <w:t>串标、相互勾结故意压低标价以排挤竞争对手的公平竞争的，其参选无效。</w:t>
      </w:r>
    </w:p>
    <w:p w14:paraId="0787D470">
      <w:pPr>
        <w:spacing w:before="15" w:line="360" w:lineRule="auto"/>
        <w:ind w:firstLine="534" w:firstLineChars="200"/>
        <w:rPr>
          <w:b/>
          <w:w w:val="95"/>
          <w:sz w:val="28"/>
          <w:lang w:eastAsia="zh-CN"/>
        </w:rPr>
      </w:pPr>
      <w:r>
        <w:rPr>
          <w:b/>
          <w:w w:val="95"/>
          <w:sz w:val="28"/>
          <w:lang w:eastAsia="zh-CN"/>
        </w:rPr>
        <w:t>五、评选</w:t>
      </w:r>
    </w:p>
    <w:p w14:paraId="503F9249">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、采购人</w:t>
      </w:r>
      <w:r>
        <w:rPr>
          <w:rFonts w:hint="eastAsia" w:ascii="宋体" w:hAnsi="宋体" w:eastAsia="宋体" w:cs="宋体"/>
          <w:sz w:val="21"/>
          <w:szCs w:val="21"/>
          <w:lang w:val="en-US" w:eastAsia="zh-CN" w:bidi="ar-SA"/>
        </w:rPr>
        <w:t>将在</w:t>
      </w:r>
      <w:r>
        <w:rPr>
          <w:rFonts w:hint="eastAsia" w:cs="宋体"/>
          <w:sz w:val="21"/>
          <w:szCs w:val="21"/>
          <w:lang w:val="en-US" w:eastAsia="zh-CN" w:bidi="ar-SA"/>
        </w:rPr>
        <w:t>参比文件</w:t>
      </w:r>
      <w:r>
        <w:rPr>
          <w:rFonts w:hint="eastAsia" w:ascii="宋体" w:hAnsi="宋体" w:eastAsia="宋体" w:cs="宋体"/>
          <w:sz w:val="21"/>
          <w:szCs w:val="21"/>
          <w:lang w:val="en-US" w:eastAsia="zh-CN" w:bidi="ar-SA"/>
        </w:rPr>
        <w:t>截止日期后另行择日组织比选会，</w:t>
      </w:r>
      <w:r>
        <w:rPr>
          <w:rFonts w:hint="eastAsia" w:cs="宋体"/>
          <w:sz w:val="21"/>
          <w:szCs w:val="21"/>
          <w:lang w:val="en-US" w:eastAsia="zh-CN" w:bidi="ar-SA"/>
        </w:rPr>
        <w:t>参比人</w:t>
      </w:r>
      <w:r>
        <w:rPr>
          <w:rFonts w:hint="eastAsia" w:ascii="宋体" w:hAnsi="宋体" w:eastAsia="宋体" w:cs="宋体"/>
          <w:sz w:val="21"/>
          <w:szCs w:val="21"/>
          <w:lang w:val="en-US" w:eastAsia="zh-CN" w:bidi="ar-SA"/>
        </w:rPr>
        <w:t>选定工作在</w:t>
      </w:r>
      <w:r>
        <w:rPr>
          <w:rFonts w:hint="eastAsia" w:cs="宋体"/>
          <w:sz w:val="21"/>
          <w:szCs w:val="21"/>
          <w:lang w:val="en-US" w:eastAsia="zh-CN" w:bidi="ar-SA"/>
        </w:rPr>
        <w:t>采购人</w:t>
      </w:r>
      <w:r>
        <w:rPr>
          <w:rFonts w:hint="eastAsia" w:ascii="宋体" w:hAnsi="宋体" w:eastAsia="宋体" w:cs="宋体"/>
          <w:sz w:val="21"/>
          <w:szCs w:val="21"/>
          <w:lang w:val="en-US" w:eastAsia="zh-CN" w:bidi="ar-SA"/>
        </w:rPr>
        <w:t>有关部门监督下，由</w:t>
      </w:r>
      <w:r>
        <w:rPr>
          <w:rFonts w:hint="eastAsia" w:cs="宋体"/>
          <w:sz w:val="21"/>
          <w:szCs w:val="21"/>
          <w:lang w:val="en-US" w:eastAsia="zh-CN" w:bidi="ar-SA"/>
        </w:rPr>
        <w:t>采购人</w:t>
      </w:r>
      <w:r>
        <w:rPr>
          <w:rFonts w:hint="eastAsia" w:ascii="宋体" w:hAnsi="宋体" w:eastAsia="宋体" w:cs="宋体"/>
          <w:sz w:val="21"/>
          <w:szCs w:val="21"/>
          <w:lang w:val="en-US" w:eastAsia="zh-CN" w:bidi="ar-SA"/>
        </w:rPr>
        <w:t>依法组建的评选委员会负责。</w:t>
      </w:r>
    </w:p>
    <w:p w14:paraId="7E6ED6BA">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在开选时没有启封和读出的</w:t>
      </w:r>
      <w:r>
        <w:rPr>
          <w:rFonts w:hint="eastAsia" w:cs="宋体"/>
          <w:sz w:val="21"/>
          <w:szCs w:val="21"/>
          <w:lang w:val="en-US" w:eastAsia="zh-CN" w:bidi="ar-SA"/>
        </w:rPr>
        <w:t>参比文件</w:t>
      </w:r>
      <w:r>
        <w:rPr>
          <w:rFonts w:hint="eastAsia" w:ascii="宋体" w:hAnsi="宋体" w:eastAsia="宋体" w:cs="宋体"/>
          <w:sz w:val="21"/>
          <w:szCs w:val="21"/>
          <w:lang w:val="en-US" w:eastAsia="zh-CN" w:bidi="ar-SA"/>
        </w:rPr>
        <w:t>，在评选时将不予考虑。</w:t>
      </w:r>
    </w:p>
    <w:p w14:paraId="6665338E">
      <w:pPr>
        <w:pStyle w:val="20"/>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、采购人</w:t>
      </w:r>
      <w:r>
        <w:rPr>
          <w:rFonts w:hint="eastAsia" w:ascii="宋体" w:hAnsi="宋体" w:eastAsia="宋体" w:cs="宋体"/>
          <w:sz w:val="21"/>
          <w:szCs w:val="21"/>
          <w:lang w:val="en-US" w:eastAsia="zh-CN" w:bidi="ar-SA"/>
        </w:rPr>
        <w:t>将做开选记录。</w:t>
      </w:r>
    </w:p>
    <w:p w14:paraId="2D218EB1">
      <w:pPr>
        <w:pStyle w:val="20"/>
        <w:spacing w:line="360" w:lineRule="auto"/>
        <w:ind w:right="121" w:firstLine="420" w:firstLineChars="200"/>
        <w:jc w:val="both"/>
        <w:rPr>
          <w:lang w:eastAsia="zh-CN"/>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业主将根据评选结果与中选人签订合同。</w:t>
      </w:r>
      <w:r>
        <w:rPr>
          <w:lang w:eastAsia="zh-CN"/>
        </w:rPr>
        <w:br w:type="page"/>
      </w:r>
    </w:p>
    <w:p w14:paraId="5388C988">
      <w:pPr>
        <w:spacing w:before="15" w:line="360" w:lineRule="auto"/>
        <w:jc w:val="center"/>
        <w:rPr>
          <w:b/>
          <w:w w:val="95"/>
          <w:sz w:val="28"/>
          <w:lang w:eastAsia="zh-CN"/>
        </w:rPr>
      </w:pPr>
      <w:r>
        <w:rPr>
          <w:b/>
          <w:w w:val="95"/>
          <w:sz w:val="28"/>
          <w:lang w:eastAsia="zh-CN"/>
        </w:rPr>
        <w:t>第五章  合同授予</w:t>
      </w:r>
    </w:p>
    <w:p w14:paraId="1729228D">
      <w:pPr>
        <w:pStyle w:val="20"/>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采购人</w:t>
      </w:r>
      <w:r>
        <w:rPr>
          <w:sz w:val="21"/>
          <w:szCs w:val="21"/>
          <w:lang w:eastAsia="zh-CN"/>
        </w:rPr>
        <w:t>将把合同授予中选人；在授予前，仍需进行资格审查。</w:t>
      </w:r>
    </w:p>
    <w:p w14:paraId="77A60B74">
      <w:pPr>
        <w:keepNext w:val="0"/>
        <w:keepLines w:val="0"/>
        <w:pageBreakBefore w:val="0"/>
        <w:widowControl w:val="0"/>
        <w:tabs>
          <w:tab w:val="left" w:pos="709"/>
        </w:tabs>
        <w:kinsoku/>
        <w:wordWrap/>
        <w:overflowPunct/>
        <w:topLinePunct w:val="0"/>
        <w:bidi w:val="0"/>
        <w:snapToGrid/>
        <w:spacing w:line="360" w:lineRule="auto"/>
        <w:ind w:firstLine="420" w:firstLineChars="200"/>
        <w:rPr>
          <w:sz w:val="21"/>
          <w:szCs w:val="21"/>
          <w:lang w:eastAsia="zh-CN"/>
        </w:rPr>
      </w:pPr>
      <w:r>
        <w:rPr>
          <w:sz w:val="21"/>
          <w:szCs w:val="21"/>
          <w:lang w:eastAsia="zh-CN"/>
        </w:rPr>
        <w:t>2.中选人确定后，</w:t>
      </w:r>
      <w:r>
        <w:rPr>
          <w:rFonts w:hint="eastAsia"/>
          <w:sz w:val="21"/>
          <w:szCs w:val="21"/>
          <w:lang w:eastAsia="zh-CN"/>
        </w:rPr>
        <w:t>采购人</w:t>
      </w:r>
      <w:r>
        <w:rPr>
          <w:sz w:val="21"/>
          <w:szCs w:val="21"/>
          <w:lang w:eastAsia="zh-CN"/>
        </w:rPr>
        <w:t>将通知中选人，并将中选结果公示在</w:t>
      </w:r>
      <w:r>
        <w:rPr>
          <w:rStyle w:val="54"/>
          <w:szCs w:val="21"/>
        </w:rPr>
        <w:t xml:space="preserve">http://www.fhcpec.com.cn/ </w:t>
      </w:r>
      <w:r>
        <w:rPr>
          <w:szCs w:val="21"/>
        </w:rPr>
        <w:t>（</w:t>
      </w:r>
      <w:r>
        <w:fldChar w:fldCharType="begin"/>
      </w:r>
      <w:r>
        <w:instrText xml:space="preserve"> HYPERLINK "http://www.fhcpec.com.cn/" </w:instrText>
      </w:r>
      <w:r>
        <w:fldChar w:fldCharType="separate"/>
      </w:r>
      <w:r>
        <w:rPr>
          <w:rStyle w:val="54"/>
          <w:szCs w:val="21"/>
        </w:rPr>
        <w:t>福建福海创石油化工有限公司</w:t>
      </w:r>
      <w:r>
        <w:rPr>
          <w:rStyle w:val="54"/>
          <w:szCs w:val="21"/>
        </w:rPr>
        <w:fldChar w:fldCharType="end"/>
      </w:r>
      <w:r>
        <w:rPr>
          <w:rStyle w:val="54"/>
          <w:rFonts w:hint="eastAsia"/>
          <w:szCs w:val="21"/>
          <w:lang w:val="en-US" w:eastAsia="zh-CN"/>
        </w:rPr>
        <w:t>官网</w:t>
      </w:r>
      <w:r>
        <w:rPr>
          <w:rFonts w:hint="eastAsia"/>
          <w:szCs w:val="21"/>
        </w:rPr>
        <w:t>）</w:t>
      </w:r>
      <w:r>
        <w:rPr>
          <w:sz w:val="21"/>
          <w:szCs w:val="21"/>
          <w:lang w:eastAsia="zh-CN"/>
        </w:rPr>
        <w:t>。</w:t>
      </w:r>
    </w:p>
    <w:p w14:paraId="49D0C6EE">
      <w:pPr>
        <w:pStyle w:val="20"/>
        <w:spacing w:line="360" w:lineRule="auto"/>
        <w:ind w:right="121" w:firstLine="420" w:firstLineChars="200"/>
        <w:jc w:val="both"/>
        <w:rPr>
          <w:sz w:val="21"/>
          <w:szCs w:val="21"/>
          <w:lang w:eastAsia="zh-CN"/>
        </w:rPr>
      </w:pPr>
      <w:r>
        <w:rPr>
          <w:sz w:val="21"/>
          <w:szCs w:val="21"/>
          <w:lang w:eastAsia="zh-CN"/>
        </w:rPr>
        <w:t>3.中选通知对</w:t>
      </w:r>
      <w:r>
        <w:rPr>
          <w:rFonts w:hint="eastAsia"/>
          <w:sz w:val="21"/>
          <w:szCs w:val="21"/>
          <w:lang w:eastAsia="zh-CN"/>
        </w:rPr>
        <w:t>采购人</w:t>
      </w:r>
      <w:r>
        <w:rPr>
          <w:sz w:val="21"/>
          <w:szCs w:val="21"/>
          <w:lang w:eastAsia="zh-CN"/>
        </w:rPr>
        <w:t>和</w:t>
      </w:r>
      <w:r>
        <w:rPr>
          <w:rFonts w:hint="eastAsia"/>
          <w:sz w:val="21"/>
          <w:szCs w:val="21"/>
          <w:lang w:eastAsia="zh-CN"/>
        </w:rPr>
        <w:t>参比人</w:t>
      </w:r>
      <w:r>
        <w:rPr>
          <w:sz w:val="21"/>
          <w:szCs w:val="21"/>
          <w:lang w:eastAsia="zh-CN"/>
        </w:rPr>
        <w:t>具有法律效力。</w:t>
      </w:r>
      <w:r>
        <w:rPr>
          <w:rStyle w:val="50"/>
          <w:rFonts w:hint="eastAsia"/>
          <w:color w:val="FF0000"/>
          <w:sz w:val="21"/>
          <w:szCs w:val="21"/>
          <w:lang w:eastAsia="zh-CN"/>
        </w:rPr>
        <w:t>福建福海创石油化工有限公司作为合同执行主体，将于中选结果公示流程结束之日起30日内与中选人完成合同签订事宜。</w:t>
      </w:r>
      <w:r>
        <w:rPr>
          <w:sz w:val="21"/>
          <w:szCs w:val="21"/>
          <w:lang w:eastAsia="zh-CN"/>
        </w:rPr>
        <w:t>若因中选单位原因未在规定的时间和地点与</w:t>
      </w:r>
      <w:r>
        <w:rPr>
          <w:rFonts w:hint="eastAsia"/>
          <w:sz w:val="21"/>
          <w:szCs w:val="21"/>
          <w:lang w:eastAsia="zh-CN"/>
        </w:rPr>
        <w:t>采购人</w:t>
      </w:r>
      <w:r>
        <w:rPr>
          <w:sz w:val="21"/>
          <w:szCs w:val="21"/>
          <w:lang w:eastAsia="zh-CN"/>
        </w:rPr>
        <w:t>签署合同，</w:t>
      </w:r>
      <w:r>
        <w:rPr>
          <w:rFonts w:hint="eastAsia"/>
          <w:sz w:val="21"/>
          <w:szCs w:val="21"/>
          <w:lang w:eastAsia="zh-CN"/>
        </w:rPr>
        <w:t>采购人</w:t>
      </w:r>
      <w:r>
        <w:rPr>
          <w:sz w:val="21"/>
          <w:szCs w:val="21"/>
          <w:lang w:eastAsia="zh-CN"/>
        </w:rPr>
        <w:t>有权单方取消中选单位的资格。同时，由此给</w:t>
      </w:r>
      <w:r>
        <w:rPr>
          <w:rFonts w:hint="eastAsia"/>
          <w:sz w:val="21"/>
          <w:szCs w:val="21"/>
          <w:lang w:eastAsia="zh-CN"/>
        </w:rPr>
        <w:t>采购人</w:t>
      </w:r>
      <w:r>
        <w:rPr>
          <w:sz w:val="21"/>
          <w:szCs w:val="21"/>
          <w:lang w:eastAsia="zh-CN"/>
        </w:rPr>
        <w:t>造成的损失，</w:t>
      </w:r>
      <w:r>
        <w:rPr>
          <w:rFonts w:hint="eastAsia"/>
          <w:sz w:val="21"/>
          <w:szCs w:val="21"/>
          <w:lang w:eastAsia="zh-CN"/>
        </w:rPr>
        <w:t>采购人</w:t>
      </w:r>
      <w:r>
        <w:rPr>
          <w:sz w:val="21"/>
          <w:szCs w:val="21"/>
          <w:lang w:eastAsia="zh-CN"/>
        </w:rPr>
        <w:t>有权追究中选单位的全部责任。</w:t>
      </w:r>
    </w:p>
    <w:p w14:paraId="350C1985">
      <w:pPr>
        <w:pStyle w:val="20"/>
        <w:spacing w:line="360" w:lineRule="auto"/>
        <w:ind w:right="121" w:firstLine="420" w:firstLineChars="200"/>
        <w:jc w:val="both"/>
        <w:rPr>
          <w:sz w:val="21"/>
          <w:szCs w:val="21"/>
          <w:lang w:eastAsia="zh-CN"/>
        </w:rPr>
      </w:pPr>
      <w:r>
        <w:rPr>
          <w:sz w:val="21"/>
          <w:szCs w:val="21"/>
          <w:lang w:eastAsia="zh-CN"/>
        </w:rPr>
        <w:t>4.中选人签署合同后必须履行合同要求。若因中选单位原因未在规定的时间内完成</w:t>
      </w:r>
      <w:r>
        <w:rPr>
          <w:rFonts w:hint="eastAsia"/>
          <w:sz w:val="21"/>
          <w:szCs w:val="21"/>
          <w:lang w:eastAsia="zh-CN"/>
        </w:rPr>
        <w:t>合同</w:t>
      </w:r>
      <w:r>
        <w:rPr>
          <w:sz w:val="21"/>
          <w:szCs w:val="21"/>
          <w:lang w:eastAsia="zh-CN"/>
        </w:rPr>
        <w:t>约定等相关工作，则</w:t>
      </w:r>
      <w:r>
        <w:rPr>
          <w:rFonts w:hint="eastAsia"/>
          <w:sz w:val="21"/>
          <w:szCs w:val="21"/>
          <w:lang w:eastAsia="zh-CN"/>
        </w:rPr>
        <w:t>采购人</w:t>
      </w:r>
      <w:r>
        <w:rPr>
          <w:sz w:val="21"/>
          <w:szCs w:val="21"/>
          <w:lang w:eastAsia="zh-CN"/>
        </w:rPr>
        <w:t>有权单方面取消中选单位的资格。并取消</w:t>
      </w:r>
      <w:r>
        <w:rPr>
          <w:rFonts w:hint="eastAsia"/>
          <w:sz w:val="21"/>
          <w:szCs w:val="21"/>
          <w:lang w:eastAsia="zh-CN"/>
        </w:rPr>
        <w:t>参比人</w:t>
      </w:r>
      <w:r>
        <w:rPr>
          <w:sz w:val="21"/>
          <w:szCs w:val="21"/>
          <w:lang w:eastAsia="zh-CN"/>
        </w:rPr>
        <w:t>三年内在</w:t>
      </w:r>
      <w:r>
        <w:rPr>
          <w:rFonts w:hint="eastAsia"/>
          <w:sz w:val="21"/>
          <w:szCs w:val="21"/>
          <w:lang w:eastAsia="zh-CN"/>
        </w:rPr>
        <w:t>采购人</w:t>
      </w:r>
      <w:r>
        <w:rPr>
          <w:sz w:val="21"/>
          <w:szCs w:val="21"/>
          <w:lang w:eastAsia="zh-CN"/>
        </w:rPr>
        <w:t>的业务中的参选资格，由此给</w:t>
      </w:r>
      <w:r>
        <w:rPr>
          <w:rFonts w:hint="eastAsia"/>
          <w:sz w:val="21"/>
          <w:szCs w:val="21"/>
          <w:lang w:eastAsia="zh-CN"/>
        </w:rPr>
        <w:t>采购人</w:t>
      </w:r>
      <w:r>
        <w:rPr>
          <w:sz w:val="21"/>
          <w:szCs w:val="21"/>
          <w:lang w:eastAsia="zh-CN"/>
        </w:rPr>
        <w:t>造成的损失，</w:t>
      </w:r>
      <w:r>
        <w:rPr>
          <w:rFonts w:hint="eastAsia"/>
          <w:sz w:val="21"/>
          <w:szCs w:val="21"/>
          <w:lang w:eastAsia="zh-CN"/>
        </w:rPr>
        <w:t>采购人</w:t>
      </w:r>
      <w:r>
        <w:rPr>
          <w:sz w:val="21"/>
          <w:szCs w:val="21"/>
          <w:lang w:eastAsia="zh-CN"/>
        </w:rPr>
        <w:t>有权追究中选方的全部责任。</w:t>
      </w:r>
    </w:p>
    <w:p w14:paraId="5B88D49A">
      <w:pPr>
        <w:pStyle w:val="20"/>
        <w:spacing w:line="360" w:lineRule="auto"/>
        <w:ind w:right="121" w:firstLine="420" w:firstLineChars="200"/>
        <w:jc w:val="both"/>
        <w:rPr>
          <w:sz w:val="21"/>
          <w:szCs w:val="21"/>
          <w:lang w:eastAsia="zh-CN"/>
        </w:rPr>
      </w:pPr>
      <w:r>
        <w:rPr>
          <w:sz w:val="21"/>
          <w:szCs w:val="21"/>
          <w:lang w:eastAsia="zh-CN"/>
        </w:rPr>
        <w:t>5.</w:t>
      </w:r>
      <w:r>
        <w:rPr>
          <w:rFonts w:hint="eastAsia"/>
          <w:sz w:val="21"/>
          <w:szCs w:val="21"/>
          <w:lang w:eastAsia="zh-CN"/>
        </w:rPr>
        <w:t>参比文件</w:t>
      </w:r>
      <w:r>
        <w:rPr>
          <w:sz w:val="21"/>
          <w:szCs w:val="21"/>
          <w:lang w:eastAsia="zh-CN"/>
        </w:rPr>
        <w:t>与合同附件作为签订合同的条款，</w:t>
      </w:r>
      <w:r>
        <w:rPr>
          <w:rFonts w:hint="eastAsia"/>
          <w:sz w:val="21"/>
          <w:szCs w:val="21"/>
          <w:lang w:eastAsia="zh-CN"/>
        </w:rPr>
        <w:t>参比文件</w:t>
      </w:r>
      <w:r>
        <w:rPr>
          <w:sz w:val="21"/>
          <w:szCs w:val="21"/>
          <w:lang w:eastAsia="zh-CN"/>
        </w:rPr>
        <w:t xml:space="preserve">合同条款中没有规定的内容， </w:t>
      </w:r>
      <w:r>
        <w:rPr>
          <w:rFonts w:hint="eastAsia"/>
          <w:sz w:val="21"/>
          <w:szCs w:val="21"/>
          <w:lang w:eastAsia="zh-CN"/>
        </w:rPr>
        <w:t>采购人</w:t>
      </w:r>
      <w:r>
        <w:rPr>
          <w:sz w:val="21"/>
          <w:szCs w:val="21"/>
          <w:lang w:eastAsia="zh-CN"/>
        </w:rPr>
        <w:t>、</w:t>
      </w:r>
      <w:r>
        <w:rPr>
          <w:rFonts w:hint="eastAsia"/>
          <w:sz w:val="21"/>
          <w:szCs w:val="21"/>
          <w:lang w:eastAsia="zh-CN"/>
        </w:rPr>
        <w:t>参比人</w:t>
      </w:r>
      <w:r>
        <w:rPr>
          <w:sz w:val="21"/>
          <w:szCs w:val="21"/>
          <w:lang w:eastAsia="zh-CN"/>
        </w:rPr>
        <w:t>认为有必要进行补充，可另行商定解决。</w:t>
      </w:r>
    </w:p>
    <w:p w14:paraId="1DD1C7EA">
      <w:pPr>
        <w:pStyle w:val="20"/>
        <w:spacing w:line="360" w:lineRule="auto"/>
        <w:ind w:right="121" w:firstLine="420" w:firstLineChars="200"/>
        <w:jc w:val="both"/>
        <w:rPr>
          <w:sz w:val="21"/>
          <w:szCs w:val="21"/>
          <w:lang w:eastAsia="zh-CN"/>
        </w:rPr>
      </w:pPr>
      <w:r>
        <w:rPr>
          <w:sz w:val="21"/>
          <w:szCs w:val="21"/>
          <w:lang w:eastAsia="zh-CN"/>
        </w:rPr>
        <w:t>6.接受和拒绝任何或所有参选的权利：比选机构和</w:t>
      </w:r>
      <w:r>
        <w:rPr>
          <w:rFonts w:hint="eastAsia"/>
          <w:sz w:val="21"/>
          <w:szCs w:val="21"/>
          <w:lang w:eastAsia="zh-CN"/>
        </w:rPr>
        <w:t>采购人</w:t>
      </w:r>
      <w:r>
        <w:rPr>
          <w:sz w:val="21"/>
          <w:szCs w:val="21"/>
          <w:lang w:eastAsia="zh-CN"/>
        </w:rPr>
        <w:t>保留在授标之前任何时候接受或拒绝任何比选，以及宣布比选程序无效或拒绝所有参选的权利，对受影响的</w:t>
      </w:r>
      <w:r>
        <w:rPr>
          <w:rFonts w:hint="eastAsia"/>
          <w:sz w:val="21"/>
          <w:szCs w:val="21"/>
          <w:lang w:eastAsia="zh-CN"/>
        </w:rPr>
        <w:t>参比人</w:t>
      </w:r>
      <w:r>
        <w:rPr>
          <w:sz w:val="21"/>
          <w:szCs w:val="21"/>
          <w:lang w:eastAsia="zh-CN"/>
        </w:rPr>
        <w:t>不承担任何责任。</w:t>
      </w:r>
    </w:p>
    <w:p w14:paraId="6B570CB4">
      <w:pPr>
        <w:rPr>
          <w:sz w:val="21"/>
          <w:szCs w:val="21"/>
          <w:lang w:eastAsia="zh-CN"/>
        </w:rPr>
      </w:pPr>
    </w:p>
    <w:p w14:paraId="3711B8AB">
      <w:pPr>
        <w:widowControl/>
        <w:autoSpaceDE/>
        <w:autoSpaceDN/>
        <w:rPr>
          <w:lang w:eastAsia="zh-CN"/>
        </w:rPr>
      </w:pPr>
    </w:p>
    <w:p w14:paraId="12377639">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565C89EB">
      <w:pPr>
        <w:pStyle w:val="20"/>
        <w:spacing w:line="360" w:lineRule="auto"/>
        <w:ind w:right="121" w:firstLine="420" w:firstLineChars="200"/>
        <w:jc w:val="both"/>
        <w:rPr>
          <w:sz w:val="21"/>
          <w:szCs w:val="21"/>
          <w:lang w:eastAsia="zh-CN"/>
        </w:rPr>
      </w:pPr>
      <w:r>
        <w:rPr>
          <w:sz w:val="21"/>
          <w:szCs w:val="21"/>
          <w:lang w:eastAsia="zh-CN"/>
        </w:rPr>
        <w:t>1.中选单位要服从</w:t>
      </w:r>
      <w:r>
        <w:rPr>
          <w:rFonts w:hint="eastAsia"/>
          <w:sz w:val="21"/>
          <w:szCs w:val="21"/>
          <w:lang w:eastAsia="zh-CN"/>
        </w:rPr>
        <w:t>采购人</w:t>
      </w:r>
      <w:r>
        <w:rPr>
          <w:sz w:val="21"/>
          <w:szCs w:val="21"/>
          <w:lang w:eastAsia="zh-CN"/>
        </w:rPr>
        <w:t>的管理规定，不得影响</w:t>
      </w:r>
      <w:r>
        <w:rPr>
          <w:rFonts w:hint="eastAsia"/>
          <w:sz w:val="21"/>
          <w:szCs w:val="21"/>
          <w:lang w:eastAsia="zh-CN"/>
        </w:rPr>
        <w:t>采购人</w:t>
      </w:r>
      <w:r>
        <w:rPr>
          <w:sz w:val="21"/>
          <w:szCs w:val="21"/>
          <w:lang w:eastAsia="zh-CN"/>
        </w:rPr>
        <w:t>的生产运行，如有违反，取消中选单位的继续履行合同的资格，同时，由此给</w:t>
      </w:r>
      <w:r>
        <w:rPr>
          <w:rFonts w:hint="eastAsia"/>
          <w:sz w:val="21"/>
          <w:szCs w:val="21"/>
          <w:lang w:eastAsia="zh-CN"/>
        </w:rPr>
        <w:t>采购人</w:t>
      </w:r>
      <w:r>
        <w:rPr>
          <w:sz w:val="21"/>
          <w:szCs w:val="21"/>
          <w:lang w:eastAsia="zh-CN"/>
        </w:rPr>
        <w:t>造成的损失，</w:t>
      </w:r>
      <w:r>
        <w:rPr>
          <w:rFonts w:hint="eastAsia"/>
          <w:sz w:val="21"/>
          <w:szCs w:val="21"/>
          <w:lang w:eastAsia="zh-CN"/>
        </w:rPr>
        <w:t>采购人</w:t>
      </w:r>
      <w:r>
        <w:rPr>
          <w:sz w:val="21"/>
          <w:szCs w:val="21"/>
          <w:lang w:eastAsia="zh-CN"/>
        </w:rPr>
        <w:t>有权追究中选单位的全部责任。</w:t>
      </w:r>
    </w:p>
    <w:p w14:paraId="1F0BE910">
      <w:pPr>
        <w:pStyle w:val="20"/>
        <w:spacing w:line="360" w:lineRule="auto"/>
        <w:ind w:right="121" w:firstLine="420" w:firstLineChars="200"/>
        <w:jc w:val="both"/>
        <w:rPr>
          <w:sz w:val="21"/>
          <w:szCs w:val="21"/>
          <w:lang w:eastAsia="zh-CN"/>
        </w:rPr>
      </w:pPr>
      <w:r>
        <w:rPr>
          <w:sz w:val="21"/>
          <w:szCs w:val="21"/>
          <w:lang w:eastAsia="zh-CN"/>
        </w:rPr>
        <w:t>2.中选单位必须严格执行</w:t>
      </w:r>
      <w:r>
        <w:rPr>
          <w:rFonts w:hint="eastAsia"/>
          <w:sz w:val="21"/>
          <w:szCs w:val="21"/>
          <w:lang w:eastAsia="zh-CN"/>
        </w:rPr>
        <w:t>参比文件中合同</w:t>
      </w:r>
      <w:r>
        <w:rPr>
          <w:sz w:val="21"/>
          <w:szCs w:val="21"/>
          <w:lang w:eastAsia="zh-CN"/>
        </w:rPr>
        <w:t>（详见附件一）的规定。</w:t>
      </w:r>
    </w:p>
    <w:p w14:paraId="482BAC6B">
      <w:pPr>
        <w:pStyle w:val="20"/>
        <w:spacing w:line="360" w:lineRule="auto"/>
        <w:ind w:right="121" w:firstLine="420" w:firstLineChars="200"/>
        <w:jc w:val="both"/>
        <w:rPr>
          <w:sz w:val="21"/>
          <w:szCs w:val="21"/>
          <w:lang w:eastAsia="zh-CN"/>
        </w:rPr>
      </w:pPr>
      <w:r>
        <w:rPr>
          <w:sz w:val="21"/>
          <w:szCs w:val="21"/>
          <w:lang w:eastAsia="zh-CN"/>
        </w:rPr>
        <w:t>3.中选单位需遵守</w:t>
      </w:r>
      <w:r>
        <w:rPr>
          <w:rFonts w:hint="eastAsia"/>
          <w:sz w:val="21"/>
          <w:szCs w:val="21"/>
          <w:lang w:eastAsia="zh-CN"/>
        </w:rPr>
        <w:t>采购人</w:t>
      </w:r>
      <w:r>
        <w:rPr>
          <w:sz w:val="21"/>
          <w:szCs w:val="21"/>
          <w:lang w:eastAsia="zh-CN"/>
        </w:rPr>
        <w:t>的各项管理规章制度。如违反相关条例者则按福建福海创石油化工有限公司相应条款进行处罚。</w:t>
      </w:r>
    </w:p>
    <w:p w14:paraId="30DEA57F">
      <w:pPr>
        <w:spacing w:before="15" w:line="360" w:lineRule="auto"/>
        <w:jc w:val="center"/>
        <w:rPr>
          <w:b/>
          <w:w w:val="95"/>
          <w:sz w:val="28"/>
          <w:lang w:eastAsia="zh-CN"/>
        </w:rPr>
      </w:pPr>
    </w:p>
    <w:p w14:paraId="403C9D43">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1DE2ECE5">
      <w:pPr>
        <w:pStyle w:val="20"/>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eastAsia="zh-CN"/>
        </w:rPr>
        <w:t>参比人</w:t>
      </w:r>
      <w:r>
        <w:rPr>
          <w:sz w:val="21"/>
          <w:szCs w:val="21"/>
          <w:lang w:eastAsia="zh-CN"/>
        </w:rPr>
        <w:t>的</w:t>
      </w:r>
      <w:r>
        <w:rPr>
          <w:rFonts w:hint="eastAsia"/>
          <w:sz w:val="21"/>
          <w:szCs w:val="21"/>
          <w:lang w:eastAsia="zh-CN"/>
        </w:rPr>
        <w:t>参比文件</w:t>
      </w:r>
      <w:r>
        <w:rPr>
          <w:sz w:val="21"/>
          <w:szCs w:val="21"/>
          <w:lang w:eastAsia="zh-CN"/>
        </w:rPr>
        <w:t>无论其是否中选，均不退回。</w:t>
      </w:r>
    </w:p>
    <w:p w14:paraId="04E59D56">
      <w:pPr>
        <w:pStyle w:val="20"/>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采购人</w:t>
      </w:r>
      <w:r>
        <w:rPr>
          <w:sz w:val="21"/>
          <w:szCs w:val="21"/>
          <w:lang w:eastAsia="zh-CN"/>
        </w:rPr>
        <w:t>郑重承诺：</w:t>
      </w:r>
      <w:r>
        <w:rPr>
          <w:rFonts w:hint="eastAsia"/>
          <w:sz w:val="21"/>
          <w:szCs w:val="21"/>
          <w:lang w:eastAsia="zh-CN"/>
        </w:rPr>
        <w:t>参比人</w:t>
      </w:r>
      <w:r>
        <w:rPr>
          <w:sz w:val="21"/>
          <w:szCs w:val="21"/>
          <w:lang w:eastAsia="zh-CN"/>
        </w:rPr>
        <w:t>所提交的</w:t>
      </w:r>
      <w:r>
        <w:rPr>
          <w:rFonts w:hint="eastAsia"/>
          <w:sz w:val="21"/>
          <w:szCs w:val="21"/>
          <w:lang w:eastAsia="zh-CN"/>
        </w:rPr>
        <w:t>参比文件</w:t>
      </w:r>
      <w:r>
        <w:rPr>
          <w:sz w:val="21"/>
          <w:szCs w:val="21"/>
          <w:lang w:eastAsia="zh-CN"/>
        </w:rPr>
        <w:t>及相关资料不向第三方泄露。</w:t>
      </w:r>
    </w:p>
    <w:p w14:paraId="704B5586">
      <w:pPr>
        <w:pStyle w:val="20"/>
        <w:spacing w:line="360" w:lineRule="auto"/>
        <w:ind w:right="121" w:firstLine="420" w:firstLineChars="200"/>
        <w:jc w:val="both"/>
        <w:rPr>
          <w:sz w:val="21"/>
          <w:szCs w:val="21"/>
          <w:lang w:eastAsia="zh-CN"/>
        </w:rPr>
      </w:pPr>
      <w:r>
        <w:rPr>
          <w:sz w:val="21"/>
          <w:szCs w:val="21"/>
          <w:lang w:eastAsia="zh-CN"/>
        </w:rPr>
        <w:t>3.本</w:t>
      </w:r>
      <w:r>
        <w:rPr>
          <w:rFonts w:hint="eastAsia"/>
          <w:sz w:val="21"/>
          <w:szCs w:val="21"/>
          <w:lang w:eastAsia="zh-CN"/>
        </w:rPr>
        <w:t>参比文件</w:t>
      </w:r>
      <w:r>
        <w:rPr>
          <w:sz w:val="21"/>
          <w:szCs w:val="21"/>
          <w:lang w:eastAsia="zh-CN"/>
        </w:rPr>
        <w:t>的解释权归福建福海创石油化工有限公司。</w:t>
      </w:r>
    </w:p>
    <w:p w14:paraId="49576D5E">
      <w:pPr>
        <w:pStyle w:val="20"/>
        <w:spacing w:line="360" w:lineRule="auto"/>
        <w:ind w:left="215"/>
        <w:rPr>
          <w:lang w:eastAsia="zh-CN"/>
        </w:rPr>
      </w:pPr>
      <w:r>
        <w:rPr>
          <w:lang w:eastAsia="zh-CN"/>
        </w:rPr>
        <w:br w:type="page"/>
      </w:r>
    </w:p>
    <w:p w14:paraId="3EF7B1CF">
      <w:pPr>
        <w:pStyle w:val="20"/>
        <w:rPr>
          <w:rFonts w:ascii="Times New Roman"/>
          <w:b/>
          <w:bCs/>
          <w:lang w:eastAsia="zh-CN"/>
        </w:rPr>
      </w:pPr>
      <w:r>
        <w:rPr>
          <w:rFonts w:hint="eastAsia" w:ascii="Times New Roman"/>
          <w:b/>
          <w:bCs/>
          <w:lang w:eastAsia="zh-CN"/>
        </w:rPr>
        <w:t>附件一、合同格式书</w:t>
      </w:r>
    </w:p>
    <w:p w14:paraId="1A32E944">
      <w:pPr>
        <w:pStyle w:val="20"/>
        <w:rPr>
          <w:rFonts w:ascii="Times New Roman"/>
          <w:b/>
          <w:bCs/>
          <w:lang w:eastAsia="zh-CN"/>
        </w:rPr>
      </w:pPr>
    </w:p>
    <w:p w14:paraId="3AE8F208">
      <w:pPr>
        <w:spacing w:line="480" w:lineRule="exact"/>
        <w:jc w:val="center"/>
        <w:rPr>
          <w:rFonts w:hint="default" w:ascii="Times New Roman" w:hAnsi="Times New Roman" w:eastAsia="宋体" w:cs="Times New Roman"/>
          <w:sz w:val="28"/>
          <w:szCs w:val="28"/>
          <w:lang w:eastAsia="zh-CN"/>
        </w:rPr>
      </w:pPr>
      <w:bookmarkStart w:id="1" w:name="_Toc251742852"/>
      <w:r>
        <w:rPr>
          <w:rFonts w:hint="default" w:ascii="Times New Roman" w:hAnsi="Times New Roman" w:eastAsia="宋体" w:cs="Times New Roman"/>
          <w:sz w:val="28"/>
          <w:szCs w:val="28"/>
          <w:lang w:eastAsia="zh-CN"/>
        </w:rPr>
        <w:t>PTA废料</w:t>
      </w:r>
      <w:r>
        <w:rPr>
          <w:rFonts w:hint="eastAsia" w:ascii="Times New Roman" w:hAnsi="Times New Roman" w:cs="Times New Roman"/>
          <w:sz w:val="28"/>
          <w:szCs w:val="28"/>
          <w:lang w:val="en-US" w:eastAsia="zh-CN"/>
        </w:rPr>
        <w:t>处置</w:t>
      </w:r>
      <w:r>
        <w:rPr>
          <w:rFonts w:hint="default" w:ascii="Times New Roman" w:hAnsi="Times New Roman" w:eastAsia="宋体" w:cs="Times New Roman"/>
          <w:sz w:val="28"/>
          <w:szCs w:val="28"/>
          <w:lang w:eastAsia="zh-CN"/>
        </w:rPr>
        <w:t>合同</w:t>
      </w:r>
    </w:p>
    <w:tbl>
      <w:tblPr>
        <w:tblStyle w:val="48"/>
        <w:tblW w:w="3827"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14:paraId="3D262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0349FCB9">
            <w:pPr>
              <w:spacing w:line="276" w:lineRule="auto"/>
              <w:rPr>
                <w:rFonts w:hint="default" w:ascii="Times New Roman" w:hAnsi="Times New Roman" w:eastAsia="宋体" w:cs="Times New Roman"/>
                <w:sz w:val="21"/>
                <w:szCs w:val="21"/>
                <w:lang w:eastAsia="zh-CN"/>
              </w:rPr>
            </w:pPr>
          </w:p>
        </w:tc>
      </w:tr>
      <w:tr w14:paraId="17FD6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2788AE8D">
            <w:pPr>
              <w:spacing w:line="276"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合同编号：</w:t>
            </w:r>
            <w:r>
              <w:rPr>
                <w:rFonts w:ascii="Segoe UI" w:hAnsi="Segoe UI" w:eastAsia="Segoe UI" w:cs="Segoe UI"/>
                <w:i w:val="0"/>
                <w:iCs w:val="0"/>
                <w:caps w:val="0"/>
                <w:color w:val="000000"/>
                <w:spacing w:val="0"/>
                <w:sz w:val="21"/>
                <w:szCs w:val="21"/>
                <w:shd w:val="clear" w:fill="F8F8F8"/>
              </w:rPr>
              <w:t>FH</w:t>
            </w:r>
            <w:r>
              <w:rPr>
                <w:rFonts w:hint="eastAsia" w:ascii="Segoe UI" w:hAnsi="Segoe UI" w:eastAsia="宋体" w:cs="Segoe UI"/>
                <w:i w:val="0"/>
                <w:iCs w:val="0"/>
                <w:caps w:val="0"/>
                <w:color w:val="000000"/>
                <w:spacing w:val="0"/>
                <w:sz w:val="21"/>
                <w:szCs w:val="21"/>
                <w:shd w:val="clear" w:fill="F8F8F8"/>
                <w:lang w:eastAsia="zh-CN"/>
              </w:rPr>
              <w:t>2026</w:t>
            </w:r>
            <w:r>
              <w:rPr>
                <w:rFonts w:ascii="Segoe UI" w:hAnsi="Segoe UI" w:eastAsia="Segoe UI" w:cs="Segoe UI"/>
                <w:i w:val="0"/>
                <w:iCs w:val="0"/>
                <w:caps w:val="0"/>
                <w:color w:val="000000"/>
                <w:spacing w:val="0"/>
                <w:sz w:val="21"/>
                <w:szCs w:val="21"/>
                <w:shd w:val="clear" w:fill="F8F8F8"/>
              </w:rPr>
              <w:t>FHCXS00</w:t>
            </w:r>
          </w:p>
        </w:tc>
      </w:tr>
      <w:tr w14:paraId="417E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089F8E6C">
            <w:pPr>
              <w:spacing w:line="276" w:lineRule="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签订地点：漳州古雷</w:t>
            </w:r>
          </w:p>
        </w:tc>
      </w:tr>
      <w:tr w14:paraId="1D058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14:paraId="15DA91A2">
            <w:pPr>
              <w:spacing w:line="276"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签订时间：</w:t>
            </w:r>
            <w:r>
              <w:rPr>
                <w:rFonts w:hint="eastAsia" w:ascii="Times New Roman" w:hAnsi="Times New Roman" w:cs="Times New Roman"/>
                <w:sz w:val="21"/>
                <w:szCs w:val="21"/>
                <w:lang w:eastAsia="zh-CN"/>
              </w:rPr>
              <w:t>2026</w:t>
            </w:r>
            <w:r>
              <w:rPr>
                <w:rFonts w:hint="default" w:ascii="Times New Roman" w:hAnsi="Times New Roman" w:eastAsia="宋体" w:cs="Times New Roman"/>
                <w:sz w:val="21"/>
                <w:szCs w:val="21"/>
              </w:rPr>
              <w:t>年</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月</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日</w:t>
            </w:r>
          </w:p>
        </w:tc>
      </w:tr>
    </w:tbl>
    <w:p w14:paraId="293EFD1C">
      <w:pPr>
        <w:spacing w:line="480" w:lineRule="exact"/>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甲方：</w:t>
      </w:r>
      <w:r>
        <w:rPr>
          <w:rFonts w:hint="eastAsia" w:ascii="Times New Roman" w:hAnsi="Times New Roman" w:eastAsia="宋体" w:cs="Times New Roman"/>
          <w:sz w:val="24"/>
          <w:szCs w:val="24"/>
          <w:lang w:val="en-US" w:eastAsia="zh-CN"/>
        </w:rPr>
        <w:t>福建福海创石油化工有限公司</w:t>
      </w:r>
    </w:p>
    <w:p w14:paraId="4332DDBD">
      <w:pPr>
        <w:spacing w:line="48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乙方： </w:t>
      </w:r>
    </w:p>
    <w:p w14:paraId="41262275">
      <w:pPr>
        <w:spacing w:line="480" w:lineRule="exact"/>
        <w:ind w:firstLine="480" w:firstLineChars="200"/>
        <w:rPr>
          <w:rFonts w:hint="default" w:ascii="Times New Roman" w:hAnsi="Times New Roman" w:eastAsia="宋体" w:cs="Times New Roman"/>
          <w:sz w:val="24"/>
          <w:szCs w:val="24"/>
          <w:lang w:eastAsia="zh-CN"/>
        </w:rPr>
      </w:pPr>
    </w:p>
    <w:p w14:paraId="110D7DB7">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依照《中华人民共和国民法典》及其他有关法律、行政法规，遵循平等、自愿、公平和诚实信用的原则，双方就</w:t>
      </w:r>
      <w:r>
        <w:rPr>
          <w:rFonts w:hint="default" w:ascii="Times New Roman" w:hAnsi="Times New Roman" w:eastAsia="宋体" w:cs="Times New Roman"/>
          <w:sz w:val="24"/>
          <w:szCs w:val="24"/>
          <w:u w:val="single"/>
          <w:lang w:eastAsia="zh-CN"/>
        </w:rPr>
        <w:t>PTA废料</w:t>
      </w:r>
      <w:r>
        <w:rPr>
          <w:rFonts w:hint="eastAsia" w:ascii="Times New Roman" w:hAnsi="Times New Roman" w:cs="Times New Roman"/>
          <w:sz w:val="24"/>
          <w:szCs w:val="24"/>
          <w:u w:val="none"/>
          <w:lang w:val="en-US" w:eastAsia="zh-CN"/>
        </w:rPr>
        <w:t>委外处置</w:t>
      </w:r>
      <w:r>
        <w:rPr>
          <w:rFonts w:hint="default" w:ascii="Times New Roman" w:hAnsi="Times New Roman" w:eastAsia="宋体" w:cs="Times New Roman"/>
          <w:sz w:val="24"/>
          <w:szCs w:val="24"/>
          <w:lang w:eastAsia="zh-CN"/>
        </w:rPr>
        <w:t>事项，经协商一致，订立本合同。</w:t>
      </w:r>
    </w:p>
    <w:p w14:paraId="0A89C382">
      <w:pPr>
        <w:numPr>
          <w:ilvl w:val="0"/>
          <w:numId w:val="9"/>
        </w:numPr>
        <w:spacing w:line="360" w:lineRule="auto"/>
        <w:ind w:left="121" w:leftChars="55" w:firstLine="360" w:firstLineChars="150"/>
        <w:rPr>
          <w:rFonts w:ascii="Times New Roman" w:hAnsi="Times New Roman" w:cs="Times New Roman"/>
          <w:sz w:val="24"/>
          <w:szCs w:val="24"/>
          <w:lang w:eastAsia="zh-CN"/>
        </w:rPr>
      </w:pPr>
      <w:r>
        <w:rPr>
          <w:rFonts w:hint="eastAsia"/>
          <w:sz w:val="24"/>
          <w:szCs w:val="24"/>
          <w:lang w:val="en-US" w:eastAsia="zh-CN"/>
        </w:rPr>
        <w:t>合同</w:t>
      </w:r>
      <w:r>
        <w:rPr>
          <w:rFonts w:hint="eastAsia"/>
          <w:sz w:val="24"/>
          <w:szCs w:val="24"/>
          <w:lang w:eastAsia="zh-CN"/>
        </w:rPr>
        <w:t>价格：乙方向甲方购买</w:t>
      </w:r>
      <w:r>
        <w:rPr>
          <w:rFonts w:hint="default" w:ascii="Times New Roman" w:hAnsi="Times New Roman" w:eastAsia="宋体" w:cs="Times New Roman"/>
          <w:sz w:val="24"/>
          <w:szCs w:val="24"/>
          <w:lang w:eastAsia="zh-CN"/>
        </w:rPr>
        <w:t>PTA结晶料</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暂</w:t>
      </w:r>
      <w:r>
        <w:rPr>
          <w:rFonts w:hint="default" w:ascii="Times New Roman" w:hAnsi="Times New Roman" w:eastAsia="宋体" w:cs="Times New Roman"/>
          <w:sz w:val="24"/>
          <w:szCs w:val="24"/>
          <w:lang w:eastAsia="zh-CN"/>
        </w:rPr>
        <w:t>估量</w:t>
      </w:r>
      <w:r>
        <w:rPr>
          <w:rFonts w:hint="eastAsia" w:ascii="Times New Roman" w:hAnsi="Times New Roman" w:cs="Times New Roman"/>
          <w:sz w:val="24"/>
          <w:szCs w:val="24"/>
          <w:lang w:val="en-US" w:eastAsia="zh-CN"/>
        </w:rPr>
        <w:t>60</w:t>
      </w:r>
      <w:r>
        <w:rPr>
          <w:rFonts w:hint="default" w:ascii="Times New Roman" w:hAnsi="Times New Roman" w:eastAsia="宋体" w:cs="Times New Roman"/>
          <w:sz w:val="24"/>
          <w:szCs w:val="24"/>
          <w:lang w:eastAsia="zh-CN"/>
        </w:rPr>
        <w:t>吨</w:t>
      </w:r>
      <w:r>
        <w:rPr>
          <w:rFonts w:hint="eastAsia"/>
          <w:sz w:val="24"/>
          <w:szCs w:val="24"/>
          <w:lang w:eastAsia="zh-CN"/>
        </w:rPr>
        <w:t>，购买含税单价为</w:t>
      </w:r>
      <w:r>
        <w:rPr>
          <w:rFonts w:hint="eastAsia"/>
          <w:b/>
          <w:bCs/>
          <w:sz w:val="24"/>
          <w:szCs w:val="24"/>
          <w:u w:val="single"/>
          <w:lang w:eastAsia="zh-CN"/>
        </w:rPr>
        <w:t>基准</w:t>
      </w:r>
      <w:r>
        <w:rPr>
          <w:rFonts w:ascii="Times New Roman" w:hAnsi="Times New Roman" w:cs="Times New Roman"/>
          <w:b/>
          <w:bCs/>
          <w:sz w:val="24"/>
          <w:szCs w:val="24"/>
          <w:u w:val="single"/>
          <w:lang w:eastAsia="zh-CN"/>
        </w:rPr>
        <w:t>价格*折旧率</w:t>
      </w:r>
      <w:r>
        <w:rPr>
          <w:rFonts w:hint="eastAsia" w:ascii="Times New Roman" w:hAnsi="Times New Roman" w:cs="Times New Roman"/>
          <w:sz w:val="24"/>
          <w:szCs w:val="24"/>
          <w:lang w:eastAsia="zh-CN"/>
        </w:rPr>
        <w:t>；</w:t>
      </w:r>
      <w:r>
        <w:rPr>
          <w:rFonts w:hint="default" w:ascii="Times New Roman" w:hAnsi="Times New Roman" w:eastAsia="宋体" w:cs="Times New Roman"/>
          <w:b w:val="0"/>
          <w:bCs w:val="0"/>
          <w:sz w:val="24"/>
          <w:szCs w:val="24"/>
          <w:lang w:eastAsia="zh-CN"/>
        </w:rPr>
        <w:t>PTA水沟料</w:t>
      </w:r>
      <w:r>
        <w:rPr>
          <w:rFonts w:hint="eastAsia" w:ascii="Times New Roman" w:hAnsi="Times New Roman" w:cs="Times New Roman"/>
          <w:b w:val="0"/>
          <w:bCs w:val="0"/>
          <w:sz w:val="24"/>
          <w:szCs w:val="24"/>
          <w:lang w:val="en-US" w:eastAsia="zh-CN"/>
        </w:rPr>
        <w:t>暂</w:t>
      </w:r>
      <w:r>
        <w:rPr>
          <w:rFonts w:hint="default" w:ascii="Times New Roman" w:hAnsi="Times New Roman" w:eastAsia="宋体" w:cs="Times New Roman"/>
          <w:b w:val="0"/>
          <w:bCs w:val="0"/>
          <w:sz w:val="24"/>
          <w:szCs w:val="24"/>
          <w:lang w:eastAsia="zh-CN"/>
        </w:rPr>
        <w:t>估量</w:t>
      </w:r>
      <w:r>
        <w:rPr>
          <w:rFonts w:hint="eastAsia" w:ascii="Times New Roman" w:hAnsi="Times New Roman" w:cs="Times New Roman"/>
          <w:b w:val="0"/>
          <w:bCs w:val="0"/>
          <w:sz w:val="24"/>
          <w:szCs w:val="24"/>
          <w:lang w:val="en-US" w:eastAsia="zh-CN"/>
        </w:rPr>
        <w:t>10</w:t>
      </w:r>
      <w:r>
        <w:rPr>
          <w:rFonts w:hint="default" w:ascii="Times New Roman" w:hAnsi="Times New Roman" w:eastAsia="宋体" w:cs="Times New Roman"/>
          <w:b w:val="0"/>
          <w:bCs w:val="0"/>
          <w:sz w:val="24"/>
          <w:szCs w:val="24"/>
          <w:lang w:eastAsia="zh-CN"/>
        </w:rPr>
        <w:t>吨</w:t>
      </w:r>
      <w:r>
        <w:rPr>
          <w:rFonts w:hint="eastAsia" w:ascii="Times New Roman" w:hAnsi="Times New Roman" w:cs="Times New Roman"/>
          <w:b w:val="0"/>
          <w:bCs w:val="0"/>
          <w:sz w:val="24"/>
          <w:szCs w:val="24"/>
          <w:lang w:eastAsia="zh-CN"/>
        </w:rPr>
        <w:t>，</w:t>
      </w:r>
      <w:r>
        <w:rPr>
          <w:rFonts w:hint="eastAsia"/>
          <w:sz w:val="24"/>
          <w:szCs w:val="24"/>
          <w:lang w:eastAsia="zh-CN"/>
        </w:rPr>
        <w:t>购买含税单价为</w:t>
      </w:r>
      <w:r>
        <w:rPr>
          <w:rFonts w:hint="eastAsia"/>
          <w:b/>
          <w:bCs/>
          <w:sz w:val="24"/>
          <w:szCs w:val="24"/>
          <w:u w:val="single"/>
          <w:lang w:eastAsia="zh-CN"/>
        </w:rPr>
        <w:t>基准</w:t>
      </w:r>
      <w:r>
        <w:rPr>
          <w:rFonts w:ascii="Times New Roman" w:hAnsi="Times New Roman" w:cs="Times New Roman"/>
          <w:b/>
          <w:bCs/>
          <w:sz w:val="24"/>
          <w:szCs w:val="24"/>
          <w:u w:val="single"/>
          <w:lang w:eastAsia="zh-CN"/>
        </w:rPr>
        <w:t>价格*折旧率</w:t>
      </w:r>
      <w:r>
        <w:rPr>
          <w:rFonts w:ascii="Times New Roman" w:hAnsi="Times New Roman" w:cs="Times New Roman"/>
          <w:sz w:val="24"/>
          <w:szCs w:val="24"/>
          <w:lang w:eastAsia="zh-CN"/>
        </w:rPr>
        <w:t>。</w:t>
      </w:r>
    </w:p>
    <w:p w14:paraId="6000B89C">
      <w:pPr>
        <w:spacing w:line="360" w:lineRule="auto"/>
        <w:ind w:left="-20" w:firstLine="723" w:firstLineChars="300"/>
        <w:rPr>
          <w:rFonts w:ascii="Times New Roman" w:hAnsi="Times New Roman" w:cs="Times New Roman"/>
          <w:b/>
          <w:bCs/>
          <w:sz w:val="24"/>
          <w:szCs w:val="24"/>
          <w:lang w:eastAsia="zh-CN"/>
        </w:rPr>
      </w:pPr>
      <w:r>
        <w:rPr>
          <w:rFonts w:ascii="Times New Roman" w:hAnsi="Times New Roman" w:cs="Times New Roman"/>
          <w:b/>
          <w:bCs/>
          <w:sz w:val="24"/>
          <w:szCs w:val="24"/>
          <w:lang w:eastAsia="zh-CN"/>
        </w:rPr>
        <w:t>本合同PTA废</w:t>
      </w:r>
      <w:r>
        <w:rPr>
          <w:rFonts w:hint="eastAsia" w:ascii="Times New Roman" w:hAnsi="Times New Roman" w:cs="Times New Roman"/>
          <w:b/>
          <w:bCs/>
          <w:sz w:val="24"/>
          <w:szCs w:val="24"/>
          <w:lang w:eastAsia="zh-CN"/>
        </w:rPr>
        <w:t>粉</w:t>
      </w:r>
      <w:r>
        <w:rPr>
          <w:rFonts w:hint="eastAsia" w:ascii="Times New Roman" w:hAnsi="Times New Roman" w:cs="Times New Roman"/>
          <w:b/>
          <w:bCs/>
          <w:sz w:val="24"/>
          <w:szCs w:val="24"/>
          <w:lang w:val="en-US" w:eastAsia="zh-CN"/>
        </w:rPr>
        <w:t>料委外处置</w:t>
      </w:r>
      <w:r>
        <w:rPr>
          <w:rFonts w:ascii="Times New Roman" w:hAnsi="Times New Roman" w:cs="Times New Roman"/>
          <w:b/>
          <w:bCs/>
          <w:sz w:val="24"/>
          <w:szCs w:val="24"/>
          <w:lang w:eastAsia="zh-CN"/>
        </w:rPr>
        <w:t>单价均实行浮动定价，定价模式如下:</w:t>
      </w:r>
    </w:p>
    <w:p w14:paraId="516ECF02">
      <w:pPr>
        <w:spacing w:line="360" w:lineRule="auto"/>
        <w:ind w:left="0" w:leftChars="0" w:firstLine="229" w:firstLineChars="95"/>
        <w:rPr>
          <w:rFonts w:ascii="Times New Roman" w:hAnsi="Times New Roman" w:cs="Times New Roman"/>
          <w:sz w:val="24"/>
          <w:szCs w:val="24"/>
          <w:lang w:eastAsia="zh-CN"/>
        </w:rPr>
      </w:pPr>
      <w:r>
        <w:rPr>
          <w:rFonts w:ascii="Times New Roman" w:hAnsi="Times New Roman" w:cs="Times New Roman"/>
          <w:b/>
          <w:bCs/>
          <w:sz w:val="24"/>
          <w:szCs w:val="24"/>
        </w:rPr>
        <w:t>基准价格:</w:t>
      </w:r>
      <w:r>
        <w:rPr>
          <w:rFonts w:ascii="Times New Roman" w:hAnsi="Times New Roman" w:cs="Times New Roman"/>
          <w:sz w:val="24"/>
          <w:szCs w:val="24"/>
          <w:lang w:eastAsia="zh-CN"/>
        </w:rPr>
        <w:t>双方约定结算基准价格以每批次</w:t>
      </w:r>
      <w:r>
        <w:rPr>
          <w:rFonts w:hint="eastAsia" w:ascii="Times New Roman" w:hAnsi="Times New Roman" w:cs="Times New Roman"/>
          <w:sz w:val="24"/>
          <w:szCs w:val="24"/>
          <w:lang w:eastAsia="zh-CN"/>
        </w:rPr>
        <w:t>PTA废</w:t>
      </w:r>
      <w:r>
        <w:rPr>
          <w:rFonts w:hint="eastAsia" w:ascii="Times New Roman" w:hAnsi="Times New Roman" w:cs="Times New Roman"/>
          <w:sz w:val="24"/>
          <w:szCs w:val="24"/>
          <w:lang w:val="en-US" w:eastAsia="zh-CN"/>
        </w:rPr>
        <w:t>料</w:t>
      </w:r>
      <w:r>
        <w:rPr>
          <w:rFonts w:ascii="Times New Roman" w:hAnsi="Times New Roman" w:cs="Times New Roman"/>
          <w:sz w:val="24"/>
          <w:szCs w:val="24"/>
          <w:lang w:eastAsia="zh-CN"/>
        </w:rPr>
        <w:t>出厂日期的上个月26日至</w:t>
      </w:r>
      <w:r>
        <w:rPr>
          <w:rFonts w:hint="eastAsia" w:ascii="Times New Roman" w:hAnsi="Times New Roman" w:cs="Times New Roman"/>
          <w:sz w:val="24"/>
          <w:szCs w:val="24"/>
          <w:lang w:val="en-US" w:eastAsia="zh-CN"/>
        </w:rPr>
        <w:t>本</w:t>
      </w:r>
      <w:r>
        <w:rPr>
          <w:rFonts w:ascii="Times New Roman" w:hAnsi="Times New Roman" w:cs="Times New Roman"/>
          <w:sz w:val="24"/>
          <w:szCs w:val="24"/>
          <w:lang w:eastAsia="zh-CN"/>
        </w:rPr>
        <w:t>月25日</w:t>
      </w:r>
      <w:r>
        <w:rPr>
          <w:rFonts w:hint="eastAsia" w:ascii="Times New Roman" w:hAnsi="Times New Roman" w:cs="Times New Roman"/>
          <w:sz w:val="24"/>
          <w:szCs w:val="24"/>
          <w:lang w:eastAsia="zh-CN"/>
        </w:rPr>
        <w:t>中国化纤网（</w:t>
      </w:r>
      <w:r>
        <w:rPr>
          <w:rFonts w:ascii="Times New Roman" w:hAnsi="Times New Roman" w:cs="Times New Roman"/>
          <w:sz w:val="24"/>
          <w:szCs w:val="24"/>
          <w:lang w:eastAsia="zh-CN"/>
        </w:rPr>
        <w:t>CCF</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PTA华东内盘日均价为基准价格(网</w:t>
      </w:r>
      <w:r>
        <w:rPr>
          <w:rFonts w:hint="eastAsia" w:ascii="Times New Roman" w:hAnsi="Times New Roman" w:cs="Times New Roman"/>
          <w:sz w:val="24"/>
          <w:szCs w:val="24"/>
          <w:lang w:val="en-US" w:eastAsia="zh-CN"/>
        </w:rPr>
        <w:t>址</w:t>
      </w:r>
      <w:r>
        <w:rPr>
          <w:rFonts w:ascii="Times New Roman" w:hAnsi="Times New Roman" w:cs="Times New Roman"/>
          <w:sz w:val="24"/>
          <w:szCs w:val="24"/>
          <w:lang w:eastAsia="zh-CN"/>
        </w:rPr>
        <w:t xml:space="preserve">:https://www.ccfei.com)。结算价格按该公式进行结算: </w:t>
      </w:r>
      <w:r>
        <w:rPr>
          <w:rFonts w:ascii="Times New Roman" w:hAnsi="Times New Roman" w:cs="Times New Roman"/>
          <w:b/>
          <w:bCs/>
          <w:sz w:val="24"/>
          <w:szCs w:val="24"/>
          <w:u w:val="single"/>
          <w:lang w:eastAsia="zh-CN"/>
        </w:rPr>
        <w:t>基准价格*折旧率*吨数</w:t>
      </w:r>
      <w:r>
        <w:rPr>
          <w:rFonts w:hint="eastAsia" w:ascii="Times New Roman" w:hAnsi="Times New Roman" w:cs="Times New Roman"/>
          <w:b/>
          <w:bCs/>
          <w:sz w:val="24"/>
          <w:szCs w:val="24"/>
          <w:u w:val="single"/>
          <w:lang w:eastAsia="zh-CN"/>
        </w:rPr>
        <w:t>。</w:t>
      </w:r>
    </w:p>
    <w:p w14:paraId="3D6A13ED">
      <w:pPr>
        <w:spacing w:line="360" w:lineRule="auto"/>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二</w:t>
      </w:r>
      <w:r>
        <w:rPr>
          <w:rFonts w:ascii="Times New Roman" w:hAnsi="Times New Roman" w:cs="Times New Roman"/>
          <w:sz w:val="24"/>
          <w:szCs w:val="24"/>
          <w:lang w:eastAsia="zh-CN"/>
        </w:rPr>
        <w:t>、</w:t>
      </w:r>
      <w:r>
        <w:rPr>
          <w:rFonts w:hint="eastAsia" w:ascii="Times New Roman" w:hAnsi="Times New Roman" w:cs="Times New Roman"/>
          <w:sz w:val="24"/>
          <w:szCs w:val="24"/>
          <w:lang w:val="en-US" w:eastAsia="zh-CN"/>
        </w:rPr>
        <w:t>处置</w:t>
      </w:r>
      <w:r>
        <w:rPr>
          <w:rFonts w:ascii="Times New Roman" w:hAnsi="Times New Roman" w:cs="Times New Roman"/>
          <w:sz w:val="24"/>
          <w:szCs w:val="24"/>
          <w:lang w:eastAsia="zh-CN"/>
        </w:rPr>
        <w:t>方式：双方约定采取下列第</w:t>
      </w:r>
      <w:r>
        <w:rPr>
          <w:rFonts w:ascii="Times New Roman" w:hAnsi="Times New Roman" w:cs="Times New Roman"/>
          <w:sz w:val="24"/>
          <w:szCs w:val="24"/>
          <w:u w:val="single"/>
          <w:lang w:eastAsia="zh-CN"/>
        </w:rPr>
        <w:t xml:space="preserve">  1  </w:t>
      </w:r>
      <w:r>
        <w:rPr>
          <w:rFonts w:ascii="Times New Roman" w:hAnsi="Times New Roman" w:cs="Times New Roman"/>
          <w:sz w:val="24"/>
          <w:szCs w:val="24"/>
          <w:lang w:eastAsia="zh-CN"/>
        </w:rPr>
        <w:t>种</w:t>
      </w:r>
      <w:r>
        <w:rPr>
          <w:rFonts w:hint="eastAsia" w:ascii="Times New Roman" w:hAnsi="Times New Roman" w:cs="Times New Roman"/>
          <w:sz w:val="24"/>
          <w:szCs w:val="24"/>
          <w:lang w:eastAsia="zh-CN"/>
        </w:rPr>
        <w:t>处置</w:t>
      </w:r>
      <w:r>
        <w:rPr>
          <w:rFonts w:ascii="Times New Roman" w:hAnsi="Times New Roman" w:cs="Times New Roman"/>
          <w:sz w:val="24"/>
          <w:szCs w:val="24"/>
          <w:lang w:eastAsia="zh-CN"/>
        </w:rPr>
        <w:t>方式：</w:t>
      </w:r>
    </w:p>
    <w:p w14:paraId="45B7A78B">
      <w:pPr>
        <w:spacing w:line="480" w:lineRule="exact"/>
        <w:ind w:firstLine="480" w:firstLineChars="200"/>
        <w:rPr>
          <w:sz w:val="24"/>
          <w:szCs w:val="24"/>
          <w:lang w:eastAsia="zh-CN"/>
        </w:rPr>
      </w:pPr>
      <w:r>
        <w:rPr>
          <w:rFonts w:hint="eastAsia"/>
          <w:sz w:val="24"/>
          <w:szCs w:val="24"/>
          <w:lang w:eastAsia="zh-CN"/>
        </w:rPr>
        <w:t>1、一次性处置；（数量为预估量，结算于实际过磅重为准）</w:t>
      </w:r>
    </w:p>
    <w:p w14:paraId="2D529540">
      <w:pPr>
        <w:pStyle w:val="2"/>
        <w:rPr>
          <w:rFonts w:hint="eastAsia" w:ascii="Times New Roman" w:hAnsi="Times New Roman" w:cs="Times New Roman"/>
          <w:b w:val="0"/>
          <w:bCs w:val="0"/>
          <w:sz w:val="24"/>
          <w:szCs w:val="24"/>
          <w:u w:val="none"/>
          <w:lang w:val="en-US" w:eastAsia="zh-CN"/>
        </w:rPr>
      </w:pPr>
    </w:p>
    <w:p w14:paraId="51C27DD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三</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val="en-US" w:eastAsia="zh-CN"/>
        </w:rPr>
        <w:t>处置</w:t>
      </w:r>
      <w:r>
        <w:rPr>
          <w:rFonts w:hint="default" w:ascii="Times New Roman" w:hAnsi="Times New Roman" w:eastAsia="宋体" w:cs="Times New Roman"/>
          <w:sz w:val="24"/>
          <w:szCs w:val="24"/>
          <w:lang w:eastAsia="zh-CN"/>
        </w:rPr>
        <w:t>方式：双方约定采取下列第</w:t>
      </w:r>
      <w:r>
        <w:rPr>
          <w:rFonts w:hint="default" w:ascii="Times New Roman" w:hAnsi="Times New Roman" w:eastAsia="宋体" w:cs="Times New Roman"/>
          <w:sz w:val="24"/>
          <w:szCs w:val="24"/>
          <w:u w:val="single"/>
          <w:lang w:eastAsia="zh-CN"/>
        </w:rPr>
        <w:t xml:space="preserve">  1  </w:t>
      </w:r>
      <w:r>
        <w:rPr>
          <w:rFonts w:hint="default" w:ascii="Times New Roman" w:hAnsi="Times New Roman" w:eastAsia="宋体" w:cs="Times New Roman"/>
          <w:sz w:val="24"/>
          <w:szCs w:val="24"/>
          <w:lang w:eastAsia="zh-CN"/>
        </w:rPr>
        <w:t>种</w:t>
      </w:r>
      <w:r>
        <w:rPr>
          <w:rFonts w:hint="eastAsia" w:ascii="Times New Roman" w:hAnsi="Times New Roman" w:cs="Times New Roman"/>
          <w:sz w:val="24"/>
          <w:szCs w:val="24"/>
          <w:lang w:val="en-US" w:eastAsia="zh-CN"/>
        </w:rPr>
        <w:t>处置</w:t>
      </w:r>
      <w:r>
        <w:rPr>
          <w:rFonts w:hint="default" w:ascii="Times New Roman" w:hAnsi="Times New Roman" w:eastAsia="宋体" w:cs="Times New Roman"/>
          <w:sz w:val="24"/>
          <w:szCs w:val="24"/>
          <w:lang w:eastAsia="zh-CN"/>
        </w:rPr>
        <w:t>方式：</w:t>
      </w:r>
    </w:p>
    <w:p w14:paraId="7201CACA">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1、一次性</w:t>
      </w:r>
      <w:r>
        <w:rPr>
          <w:rFonts w:hint="eastAsia" w:ascii="Times New Roman" w:hAnsi="Times New Roman" w:cs="Times New Roman"/>
          <w:sz w:val="24"/>
          <w:szCs w:val="24"/>
          <w:lang w:val="en-US" w:eastAsia="zh-CN"/>
        </w:rPr>
        <w:t>委外处置</w:t>
      </w:r>
      <w:r>
        <w:rPr>
          <w:rFonts w:hint="default" w:ascii="Times New Roman" w:hAnsi="Times New Roman" w:eastAsia="宋体" w:cs="Times New Roman"/>
          <w:sz w:val="24"/>
          <w:szCs w:val="24"/>
          <w:lang w:eastAsia="zh-CN"/>
        </w:rPr>
        <w:t>；（数量为预估量，结算</w:t>
      </w:r>
      <w:r>
        <w:rPr>
          <w:rFonts w:hint="eastAsia" w:ascii="Times New Roman" w:hAnsi="Times New Roman" w:cs="Times New Roman"/>
          <w:sz w:val="24"/>
          <w:szCs w:val="24"/>
          <w:lang w:val="en-US" w:eastAsia="zh-CN"/>
        </w:rPr>
        <w:t>数量为</w:t>
      </w:r>
      <w:r>
        <w:rPr>
          <w:rFonts w:hint="default" w:ascii="Times New Roman" w:hAnsi="Times New Roman" w:eastAsia="宋体" w:cs="Times New Roman"/>
          <w:sz w:val="24"/>
          <w:szCs w:val="24"/>
          <w:lang w:eastAsia="zh-CN"/>
        </w:rPr>
        <w:t>实际</w:t>
      </w:r>
      <w:r>
        <w:rPr>
          <w:rFonts w:hint="eastAsia" w:ascii="Times New Roman" w:hAnsi="Times New Roman" w:cs="Times New Roman"/>
          <w:sz w:val="24"/>
          <w:szCs w:val="24"/>
          <w:lang w:val="en-US" w:eastAsia="zh-CN"/>
        </w:rPr>
        <w:t>甲方厂内</w:t>
      </w:r>
      <w:r>
        <w:rPr>
          <w:rFonts w:hint="default" w:ascii="Times New Roman" w:hAnsi="Times New Roman" w:eastAsia="宋体" w:cs="Times New Roman"/>
          <w:sz w:val="24"/>
          <w:szCs w:val="24"/>
          <w:lang w:eastAsia="zh-CN"/>
        </w:rPr>
        <w:t>过磅重</w:t>
      </w:r>
      <w:r>
        <w:rPr>
          <w:rFonts w:hint="eastAsia" w:ascii="Times New Roman" w:hAnsi="Times New Roman" w:cs="Times New Roman"/>
          <w:sz w:val="24"/>
          <w:szCs w:val="24"/>
          <w:lang w:val="en-US" w:eastAsia="zh-CN"/>
        </w:rPr>
        <w:t>量</w:t>
      </w:r>
      <w:r>
        <w:rPr>
          <w:rFonts w:hint="default" w:ascii="Times New Roman" w:hAnsi="Times New Roman" w:eastAsia="宋体" w:cs="Times New Roman"/>
          <w:sz w:val="24"/>
          <w:szCs w:val="24"/>
          <w:lang w:eastAsia="zh-CN"/>
        </w:rPr>
        <w:t>为准）</w:t>
      </w:r>
    </w:p>
    <w:p w14:paraId="40CE18B8">
      <w:pPr>
        <w:spacing w:line="480" w:lineRule="exact"/>
        <w:ind w:firstLine="480" w:firstLineChars="200"/>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四</w:t>
      </w:r>
      <w:r>
        <w:rPr>
          <w:rFonts w:hint="default" w:ascii="Times New Roman" w:hAnsi="Times New Roman" w:eastAsia="宋体" w:cs="Times New Roman"/>
          <w:sz w:val="24"/>
          <w:szCs w:val="24"/>
          <w:lang w:eastAsia="zh-CN"/>
        </w:rPr>
        <w:t>、结算、交付方式：</w:t>
      </w:r>
    </w:p>
    <w:p w14:paraId="5BBF5343">
      <w:pPr>
        <w:spacing w:line="520" w:lineRule="exact"/>
        <w:ind w:left="0" w:leftChars="0" w:firstLine="458" w:firstLineChars="191"/>
        <w:rPr>
          <w:rFonts w:hint="default" w:ascii="Times New Roman" w:hAnsi="Times New Roman" w:eastAsia="宋体" w:cs="Times New Roman"/>
          <w:sz w:val="24"/>
          <w:szCs w:val="24"/>
          <w:highlight w:val="yellow"/>
          <w:lang w:val="en-US" w:eastAsia="zh-CN"/>
        </w:rPr>
      </w:pPr>
      <w:r>
        <w:rPr>
          <w:rFonts w:hint="default" w:ascii="Times New Roman" w:hAnsi="Times New Roman" w:eastAsia="宋体" w:cs="Times New Roman"/>
          <w:sz w:val="24"/>
          <w:szCs w:val="24"/>
          <w:highlight w:val="yellow"/>
          <w:lang w:eastAsia="zh-CN"/>
        </w:rPr>
        <w:t>1、</w:t>
      </w:r>
      <w:r>
        <w:rPr>
          <w:rFonts w:hint="default" w:ascii="Times New Roman" w:hAnsi="Times New Roman" w:eastAsia="宋体" w:cs="Times New Roman"/>
          <w:sz w:val="24"/>
          <w:szCs w:val="24"/>
          <w:highlight w:val="yellow"/>
          <w:lang w:val="en-US" w:eastAsia="zh-CN"/>
        </w:rPr>
        <w:t>履约保证金：乙方</w:t>
      </w:r>
      <w:r>
        <w:rPr>
          <w:rFonts w:hint="eastAsia" w:ascii="Times New Roman" w:hAnsi="Times New Roman" w:cs="Times New Roman"/>
          <w:sz w:val="24"/>
          <w:szCs w:val="24"/>
          <w:highlight w:val="yellow"/>
          <w:lang w:val="en-US" w:eastAsia="zh-CN"/>
        </w:rPr>
        <w:t>缴纳的参比保证金人民币3000元整直接转为合同履约保证金</w:t>
      </w:r>
      <w:r>
        <w:rPr>
          <w:rFonts w:hint="default" w:ascii="Times New Roman" w:hAnsi="Times New Roman" w:eastAsia="宋体" w:cs="Times New Roman"/>
          <w:sz w:val="24"/>
          <w:szCs w:val="24"/>
          <w:highlight w:val="yellow"/>
          <w:lang w:val="en-US" w:eastAsia="zh-CN"/>
        </w:rPr>
        <w:t>，合同期限内，乙方执行情况良好，无违约行为，则履约保证金于合同执行完毕后30日内全额无息退还。</w:t>
      </w:r>
    </w:p>
    <w:p w14:paraId="2095B0AC">
      <w:pPr>
        <w:spacing w:line="520" w:lineRule="exact"/>
        <w:ind w:left="0" w:leftChars="0" w:firstLine="458" w:firstLineChars="19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2、乙方应在</w:t>
      </w:r>
      <w:r>
        <w:rPr>
          <w:rFonts w:hint="eastAsia" w:ascii="Times New Roman" w:hAnsi="Times New Roman" w:cs="Times New Roman"/>
          <w:sz w:val="24"/>
          <w:szCs w:val="24"/>
          <w:lang w:val="en-US" w:eastAsia="zh-CN"/>
        </w:rPr>
        <w:t>合同签订</w:t>
      </w:r>
      <w:r>
        <w:rPr>
          <w:rFonts w:hint="default" w:ascii="Times New Roman" w:hAnsi="Times New Roman" w:eastAsia="宋体" w:cs="Times New Roman"/>
          <w:sz w:val="24"/>
          <w:szCs w:val="24"/>
          <w:lang w:val="en-US" w:eastAsia="zh-CN"/>
        </w:rPr>
        <w:t>后 3日内向甲方支付预估量预估的全额货款（即：</w:t>
      </w:r>
      <w:r>
        <w:rPr>
          <w:rFonts w:hint="default" w:ascii="Times New Roman" w:hAnsi="Times New Roman" w:eastAsia="宋体" w:cs="Times New Roman"/>
          <w:sz w:val="24"/>
          <w:szCs w:val="24"/>
          <w:u w:val="single"/>
          <w:lang w:val="en-US" w:eastAsia="zh-CN"/>
        </w:rPr>
        <w:t>人民币</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val="en-US" w:eastAsia="zh-CN"/>
        </w:rPr>
        <w:t>元整</w:t>
      </w:r>
      <w:r>
        <w:rPr>
          <w:rFonts w:hint="default" w:ascii="Times New Roman" w:hAnsi="Times New Roman" w:eastAsia="宋体" w:cs="Times New Roman"/>
          <w:sz w:val="24"/>
          <w:szCs w:val="24"/>
          <w:lang w:val="en-US" w:eastAsia="zh-CN"/>
        </w:rPr>
        <w:t>）。</w:t>
      </w:r>
    </w:p>
    <w:p w14:paraId="608FBBD6">
      <w:pPr>
        <w:spacing w:line="520" w:lineRule="exact"/>
        <w:ind w:left="0" w:leftChars="0" w:firstLine="458" w:firstLineChars="19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3、货款以甲方实际交付的货物数量为依据据实结算，双方在乙方提货时或者提货后多退少补。</w:t>
      </w:r>
    </w:p>
    <w:p w14:paraId="4C8AAE31">
      <w:pPr>
        <w:spacing w:line="520" w:lineRule="exact"/>
        <w:ind w:left="0" w:leftChars="0" w:firstLine="458" w:firstLineChars="19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4、根据实际</w:t>
      </w:r>
      <w:r>
        <w:rPr>
          <w:rFonts w:hint="eastAsia" w:ascii="Times New Roman" w:hAnsi="Times New Roman" w:cs="Times New Roman"/>
          <w:sz w:val="24"/>
          <w:szCs w:val="24"/>
          <w:lang w:val="en-US" w:eastAsia="zh-CN"/>
        </w:rPr>
        <w:t>处置</w:t>
      </w:r>
      <w:r>
        <w:rPr>
          <w:rFonts w:hint="default" w:ascii="Times New Roman" w:hAnsi="Times New Roman" w:eastAsia="宋体" w:cs="Times New Roman"/>
          <w:sz w:val="24"/>
          <w:szCs w:val="24"/>
          <w:lang w:val="en-US" w:eastAsia="zh-CN"/>
        </w:rPr>
        <w:t>数量，甲方提供13%增值税专用发票。</w:t>
      </w:r>
    </w:p>
    <w:p w14:paraId="68C5696C">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四、提货方式</w:t>
      </w:r>
    </w:p>
    <w:p w14:paraId="33218B62">
      <w:pPr>
        <w:spacing w:line="480" w:lineRule="exact"/>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1、乙方按照本合同约定支付货款，</w:t>
      </w:r>
      <w:r>
        <w:rPr>
          <w:rFonts w:hint="default" w:ascii="Times New Roman" w:hAnsi="Times New Roman" w:eastAsia="宋体" w:cs="Times New Roman"/>
          <w:sz w:val="24"/>
          <w:szCs w:val="24"/>
          <w:highlight w:val="none"/>
          <w:lang w:val="en-US" w:eastAsia="zh-CN"/>
        </w:rPr>
        <w:t>并</w:t>
      </w:r>
      <w:r>
        <w:rPr>
          <w:rFonts w:hint="default" w:ascii="Times New Roman" w:hAnsi="Times New Roman" w:eastAsia="宋体" w:cs="Times New Roman"/>
          <w:sz w:val="24"/>
          <w:szCs w:val="24"/>
          <w:highlight w:val="none"/>
          <w:lang w:eastAsia="zh-CN"/>
        </w:rPr>
        <w:t>应根据甲方的提货通知</w:t>
      </w:r>
      <w:r>
        <w:rPr>
          <w:rFonts w:hint="default" w:ascii="Times New Roman" w:hAnsi="Times New Roman" w:eastAsia="宋体" w:cs="Times New Roman"/>
          <w:sz w:val="24"/>
          <w:szCs w:val="24"/>
          <w:highlight w:val="none"/>
          <w:lang w:val="en-US" w:eastAsia="zh-CN"/>
        </w:rPr>
        <w:t>及</w:t>
      </w:r>
      <w:r>
        <w:rPr>
          <w:rFonts w:hint="default" w:ascii="Times New Roman" w:hAnsi="Times New Roman" w:eastAsia="宋体" w:cs="Times New Roman"/>
          <w:sz w:val="24"/>
          <w:szCs w:val="24"/>
          <w:highlight w:val="none"/>
          <w:lang w:eastAsia="zh-CN"/>
        </w:rPr>
        <w:t>时提取货物。</w:t>
      </w:r>
    </w:p>
    <w:p w14:paraId="68F114AF">
      <w:pPr>
        <w:spacing w:line="480" w:lineRule="exact"/>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2、货物由乙方自备运输工具自提。</w:t>
      </w:r>
    </w:p>
    <w:p w14:paraId="495A3232">
      <w:pPr>
        <w:spacing w:line="480" w:lineRule="exact"/>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五、</w:t>
      </w:r>
      <w:r>
        <w:rPr>
          <w:rFonts w:hint="default" w:ascii="Times New Roman" w:hAnsi="Times New Roman" w:eastAsia="宋体" w:cs="Times New Roman"/>
          <w:sz w:val="24"/>
          <w:szCs w:val="24"/>
          <w:highlight w:val="none"/>
          <w:lang w:eastAsia="zh-CN"/>
        </w:rPr>
        <w:t>工期:合同签订之日起</w:t>
      </w:r>
      <w:r>
        <w:rPr>
          <w:rFonts w:hint="eastAsia" w:ascii="Times New Roman" w:hAnsi="Times New Roman" w:cs="Times New Roman"/>
          <w:sz w:val="24"/>
          <w:szCs w:val="24"/>
          <w:highlight w:val="none"/>
          <w:lang w:val="en-US" w:eastAsia="zh-CN"/>
        </w:rPr>
        <w:t>45</w:t>
      </w:r>
      <w:r>
        <w:rPr>
          <w:rFonts w:hint="default" w:ascii="Times New Roman" w:hAnsi="Times New Roman" w:eastAsia="宋体" w:cs="Times New Roman"/>
          <w:sz w:val="24"/>
          <w:szCs w:val="24"/>
          <w:highlight w:val="none"/>
          <w:lang w:eastAsia="zh-CN"/>
        </w:rPr>
        <w:t>天内清理完本合同约定范围内的全部物资。</w:t>
      </w:r>
    </w:p>
    <w:p w14:paraId="24512ADD">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六</w:t>
      </w:r>
      <w:r>
        <w:rPr>
          <w:rFonts w:hint="default" w:ascii="Times New Roman" w:hAnsi="Times New Roman" w:eastAsia="宋体" w:cs="Times New Roman"/>
          <w:sz w:val="24"/>
          <w:szCs w:val="24"/>
          <w:lang w:eastAsia="zh-CN"/>
        </w:rPr>
        <w:t>、计量方式：货物装车后，应在甲方厂区内的地磅上过磅，实际交付数量以过磅单为准。过磅单由乙方司机签收，乙方认可该签收行为视同乙方对货物的接收以及对交货数量的认可。</w:t>
      </w:r>
    </w:p>
    <w:p w14:paraId="17F6803F">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七</w:t>
      </w:r>
      <w:r>
        <w:rPr>
          <w:rFonts w:hint="default" w:ascii="Times New Roman" w:hAnsi="Times New Roman" w:eastAsia="宋体" w:cs="Times New Roman"/>
          <w:sz w:val="24"/>
          <w:szCs w:val="24"/>
          <w:lang w:eastAsia="zh-CN"/>
        </w:rPr>
        <w:t>、双方责任：</w:t>
      </w:r>
    </w:p>
    <w:p w14:paraId="312EBE41">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（一）甲方责任：</w:t>
      </w:r>
    </w:p>
    <w:p w14:paraId="07C35A3A">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1、甲方负责在乙方提货时给予指挥协调，协助乙方及时装运货物。</w:t>
      </w:r>
    </w:p>
    <w:p w14:paraId="519DFB54">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2、甲方负责根据自身生产情况，合理调度，提前</w:t>
      </w:r>
      <w:r>
        <w:rPr>
          <w:rFonts w:hint="default" w:ascii="Times New Roman" w:hAnsi="Times New Roman" w:eastAsia="宋体" w:cs="Times New Roman"/>
          <w:sz w:val="24"/>
          <w:szCs w:val="24"/>
          <w:u w:val="single"/>
          <w:lang w:eastAsia="zh-CN"/>
        </w:rPr>
        <w:t xml:space="preserve"> 2 </w:t>
      </w:r>
      <w:r>
        <w:rPr>
          <w:rFonts w:hint="default" w:ascii="Times New Roman" w:hAnsi="Times New Roman" w:eastAsia="宋体" w:cs="Times New Roman"/>
          <w:sz w:val="24"/>
          <w:szCs w:val="24"/>
          <w:lang w:eastAsia="zh-CN"/>
        </w:rPr>
        <w:t>日通知乙方提货。</w:t>
      </w:r>
    </w:p>
    <w:p w14:paraId="31875B58">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（二）乙方责任：</w:t>
      </w:r>
    </w:p>
    <w:p w14:paraId="6C4DCEC8">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1、乙方应根据甲方现场条件决定所派运输车的数量、吨位和车号，如有更改必须提前通知甲方，经甲方同意后方可进厂提货。</w:t>
      </w:r>
    </w:p>
    <w:p w14:paraId="4FF700D7">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2、乙方应听从甲方调度指令前来提货，如因特殊情况不能及时提货应说明情况，在不影响甲方正常生产的情况下经甲方同意可适当顺延提货，具体顺延时间双方另定。</w:t>
      </w:r>
    </w:p>
    <w:p w14:paraId="0E64B578">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14:paraId="45C9EC86">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八</w:t>
      </w:r>
      <w:r>
        <w:rPr>
          <w:rFonts w:hint="default" w:ascii="Times New Roman" w:hAnsi="Times New Roman" w:eastAsia="宋体" w:cs="Times New Roman"/>
          <w:sz w:val="24"/>
          <w:szCs w:val="24"/>
          <w:lang w:eastAsia="zh-CN"/>
        </w:rPr>
        <w:t>、违约责任：</w:t>
      </w:r>
    </w:p>
    <w:p w14:paraId="6964AC09">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（一）乙方如不能根据甲方通知及时提货，或不听从甲方调度指挥、危害甲方安全生产或甲方利益的，给甲方造成的一切损失由乙方负责赔偿，甲方有权每次收取乙方违约金RMB</w:t>
      </w:r>
      <w:r>
        <w:rPr>
          <w:rFonts w:hint="default" w:ascii="Times New Roman" w:hAnsi="Times New Roman" w:eastAsia="宋体" w:cs="Times New Roman"/>
          <w:sz w:val="24"/>
          <w:szCs w:val="24"/>
          <w:u w:val="single"/>
          <w:lang w:eastAsia="zh-CN"/>
        </w:rPr>
        <w:t>伍仟</w:t>
      </w:r>
      <w:r>
        <w:rPr>
          <w:rFonts w:hint="default" w:ascii="Times New Roman" w:hAnsi="Times New Roman" w:eastAsia="宋体" w:cs="Times New Roman"/>
          <w:sz w:val="24"/>
          <w:szCs w:val="24"/>
          <w:lang w:eastAsia="zh-CN"/>
        </w:rPr>
        <w:t>元（￥</w:t>
      </w:r>
      <w:r>
        <w:rPr>
          <w:rFonts w:hint="default" w:ascii="Times New Roman" w:hAnsi="Times New Roman" w:eastAsia="宋体" w:cs="Times New Roman"/>
          <w:sz w:val="24"/>
          <w:szCs w:val="24"/>
          <w:u w:val="single"/>
          <w:lang w:eastAsia="zh-CN"/>
        </w:rPr>
        <w:t>5000</w:t>
      </w:r>
      <w:r>
        <w:rPr>
          <w:rFonts w:hint="default" w:ascii="Times New Roman" w:hAnsi="Times New Roman" w:eastAsia="宋体" w:cs="Times New Roman"/>
          <w:sz w:val="24"/>
          <w:szCs w:val="24"/>
          <w:lang w:eastAsia="zh-CN"/>
        </w:rPr>
        <w:t>元），违约金从乙方缴纳的履约保证金中扣除；情节特别严重的，如提货不及时造成甲方仓库满溢或乙方多次违约拒不改正等，甲方有权视情况提前解除合同，并没收乙方已经支付的货款及履约保证金。</w:t>
      </w:r>
    </w:p>
    <w:p w14:paraId="344B69E9">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14:paraId="2A6AD750">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（三）乙方无故未按约定提货，甲方连续两次联系乙方无结果，甲方有权提前解除本合同，并没收乙方已经支付的货款及履约保证金。</w:t>
      </w:r>
    </w:p>
    <w:p w14:paraId="182A8F94">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九</w:t>
      </w:r>
      <w:r>
        <w:rPr>
          <w:rFonts w:hint="default" w:ascii="Times New Roman" w:hAnsi="Times New Roman" w:eastAsia="宋体" w:cs="Times New Roman"/>
          <w:sz w:val="24"/>
          <w:szCs w:val="24"/>
          <w:lang w:eastAsia="zh-CN"/>
        </w:rPr>
        <w:t>、本合同期满，如甲方通过公开招标方式选择合作方，乙方可参与投标。</w:t>
      </w:r>
    </w:p>
    <w:p w14:paraId="2D982968">
      <w:pPr>
        <w:spacing w:line="48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szCs w:val="24"/>
          <w:lang w:val="en-US" w:eastAsia="zh-CN"/>
        </w:rPr>
        <w:t>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69FE4A8">
      <w:pPr>
        <w:tabs>
          <w:tab w:val="left" w:pos="2010"/>
        </w:tabs>
        <w:spacing w:line="52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双方确定，甲方指</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bCs/>
          <w:sz w:val="24"/>
          <w:szCs w:val="24"/>
          <w:u w:val="single"/>
          <w:lang w:val="en-US" w:eastAsia="zh-CN" w:bidi="ar-SA"/>
        </w:rPr>
        <w:t>陈郑锋</w:t>
      </w:r>
      <w:r>
        <w:rPr>
          <w:rFonts w:hint="eastAsia" w:ascii="Times New Roman" w:hAnsi="Times New Roman" w:eastAsia="宋体" w:cs="Times New Roman"/>
          <w:bCs/>
          <w:sz w:val="24"/>
          <w:szCs w:val="24"/>
          <w:u w:val="single"/>
          <w:lang w:val="en-US" w:eastAsia="zh-CN" w:bidi="ar-SA"/>
        </w:rPr>
        <w:t xml:space="preserve">   电话</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u w:val="single"/>
          <w:lang w:eastAsia="zh-CN"/>
        </w:rPr>
        <w:t>13666063908 </w:t>
      </w:r>
      <w:r>
        <w:rPr>
          <w:rFonts w:hint="default" w:ascii="Times New Roman" w:hAnsi="Times New Roman" w:eastAsia="宋体" w:cs="Times New Roman"/>
          <w:sz w:val="24"/>
          <w:szCs w:val="24"/>
          <w:lang w:eastAsia="zh-CN"/>
        </w:rPr>
        <w:t>，邮箱</w:t>
      </w:r>
      <w:r>
        <w:rPr>
          <w:rFonts w:hint="default" w:ascii="Times New Roman" w:hAnsi="Times New Roman" w:eastAsia="宋体" w:cs="Times New Roman"/>
          <w:sz w:val="24"/>
          <w:szCs w:val="24"/>
          <w:u w:val="none"/>
          <w:lang w:eastAsia="zh-CN"/>
        </w:rPr>
        <w:t>：</w:t>
      </w:r>
      <w:r>
        <w:rPr>
          <w:rFonts w:hint="default" w:ascii="Times New Roman" w:hAnsi="Times New Roman" w:eastAsia="宋体" w:cs="Times New Roman"/>
          <w:sz w:val="24"/>
          <w:szCs w:val="24"/>
          <w:u w:val="single"/>
          <w:lang w:eastAsia="zh-CN"/>
        </w:rPr>
        <w:t>309726385@qq.com</w:t>
      </w:r>
      <w:r>
        <w:rPr>
          <w:rFonts w:hint="default" w:ascii="Times New Roman" w:hAnsi="Times New Roman" w:eastAsia="宋体" w:cs="Times New Roman"/>
          <w:sz w:val="24"/>
          <w:szCs w:val="24"/>
          <w:lang w:eastAsia="zh-CN"/>
        </w:rPr>
        <w:t>为甲方项目联系人，乙方指定</w:t>
      </w:r>
      <w:r>
        <w:rPr>
          <w:rFonts w:hint="default" w:ascii="Times New Roman" w:hAnsi="Times New Roman" w:eastAsia="宋体" w:cs="Times New Roman"/>
          <w:sz w:val="24"/>
          <w:szCs w:val="24"/>
          <w:u w:val="single"/>
          <w:lang w:eastAsia="zh-CN"/>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，电话：</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，邮箱：</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为乙方项目联系人。乙方应派有经验人员为项目经理，总体负责进度、工安及施工质量。</w:t>
      </w:r>
    </w:p>
    <w:p w14:paraId="46D0DB64">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十</w:t>
      </w:r>
      <w:r>
        <w:rPr>
          <w:rFonts w:hint="default" w:ascii="Times New Roman" w:hAnsi="Times New Roman" w:eastAsia="宋体" w:cs="Times New Roman"/>
          <w:sz w:val="24"/>
          <w:szCs w:val="24"/>
          <w:lang w:val="en-US" w:eastAsia="zh-CN"/>
        </w:rPr>
        <w:t>一</w:t>
      </w:r>
      <w:r>
        <w:rPr>
          <w:rFonts w:hint="default" w:ascii="Times New Roman" w:hAnsi="Times New Roman" w:eastAsia="宋体" w:cs="Times New Roman"/>
          <w:sz w:val="24"/>
          <w:szCs w:val="24"/>
          <w:lang w:eastAsia="zh-CN"/>
        </w:rPr>
        <w:t>、本合同经双方签订后生效。本合同一式六份，甲方四份、乙方两份。履行中如有争议，双方协商解决。如协商不成可诉诸法律，提请甲方所在地法院诉讼解决。</w:t>
      </w:r>
    </w:p>
    <w:p w14:paraId="5DFB5DF2">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十</w:t>
      </w:r>
      <w:r>
        <w:rPr>
          <w:rFonts w:hint="default" w:ascii="Times New Roman" w:hAnsi="Times New Roman" w:eastAsia="宋体" w:cs="Times New Roman"/>
          <w:sz w:val="24"/>
          <w:szCs w:val="24"/>
          <w:lang w:val="en-US" w:eastAsia="zh-CN"/>
        </w:rPr>
        <w:t>二</w:t>
      </w:r>
      <w:r>
        <w:rPr>
          <w:rFonts w:hint="default" w:ascii="Times New Roman" w:hAnsi="Times New Roman" w:eastAsia="宋体" w:cs="Times New Roman"/>
          <w:sz w:val="24"/>
          <w:szCs w:val="24"/>
          <w:lang w:eastAsia="zh-CN"/>
        </w:rPr>
        <w:t>、合同</w:t>
      </w:r>
      <w:r>
        <w:rPr>
          <w:rFonts w:hint="default" w:ascii="Times New Roman" w:hAnsi="Times New Roman" w:eastAsia="宋体" w:cs="Times New Roman"/>
          <w:sz w:val="24"/>
          <w:szCs w:val="24"/>
          <w:lang w:val="en-US" w:eastAsia="zh-CN"/>
        </w:rPr>
        <w:t>附件</w:t>
      </w:r>
      <w:r>
        <w:rPr>
          <w:rFonts w:hint="default" w:ascii="Times New Roman" w:hAnsi="Times New Roman" w:eastAsia="宋体" w:cs="Times New Roman"/>
          <w:sz w:val="24"/>
          <w:szCs w:val="24"/>
          <w:lang w:eastAsia="zh-CN"/>
        </w:rPr>
        <w:t>：</w:t>
      </w:r>
    </w:p>
    <w:p w14:paraId="2245750E">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附件1、《安全环保协议书》</w:t>
      </w:r>
    </w:p>
    <w:p w14:paraId="43B4BAB9">
      <w:pPr>
        <w:spacing w:line="48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附件2、《人员、车辆入厂安全管理协议》</w:t>
      </w:r>
    </w:p>
    <w:p w14:paraId="6FF0C7AF">
      <w:pPr>
        <w:spacing w:line="48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p>
    <w:p w14:paraId="6ECC6076">
      <w:pPr>
        <w:spacing w:line="480" w:lineRule="exact"/>
        <w:rPr>
          <w:rFonts w:hint="default" w:ascii="Times New Roman" w:hAnsi="Times New Roman" w:eastAsia="宋体" w:cs="Times New Roman"/>
          <w:sz w:val="24"/>
          <w:szCs w:val="24"/>
          <w:lang w:eastAsia="zh-CN"/>
        </w:rPr>
      </w:pPr>
    </w:p>
    <w:p w14:paraId="78CD9F7E">
      <w:pPr>
        <w:spacing w:line="480" w:lineRule="exact"/>
        <w:rPr>
          <w:rFonts w:hint="default" w:ascii="Times New Roman" w:hAnsi="Times New Roman" w:eastAsia="宋体" w:cs="Times New Roman"/>
          <w:sz w:val="24"/>
          <w:szCs w:val="24"/>
          <w:lang w:eastAsia="zh-CN"/>
        </w:rPr>
      </w:pPr>
    </w:p>
    <w:p w14:paraId="58C6DB3B">
      <w:pPr>
        <w:spacing w:line="480" w:lineRule="exact"/>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甲方：</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r>
        <w:rPr>
          <w:rFonts w:hint="default" w:ascii="Times New Roman" w:hAnsi="Times New Roman" w:eastAsia="宋体" w:cs="Times New Roman"/>
          <w:b/>
          <w:bCs/>
          <w:sz w:val="24"/>
          <w:szCs w:val="24"/>
          <w:lang w:eastAsia="zh-CN"/>
        </w:rPr>
        <w:t xml:space="preserve">   </w:t>
      </w:r>
      <w:r>
        <w:rPr>
          <w:rFonts w:hint="eastAsia"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lang w:eastAsia="zh-CN"/>
        </w:rPr>
        <w:t xml:space="preserve"> 乙方：</w:t>
      </w:r>
    </w:p>
    <w:p w14:paraId="0C96C3E6">
      <w:pPr>
        <w:spacing w:line="480" w:lineRule="exact"/>
        <w:ind w:firstLine="720" w:firstLineChars="3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（盖章）                        </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（盖章）</w:t>
      </w:r>
    </w:p>
    <w:p w14:paraId="549A6AFC">
      <w:pPr>
        <w:spacing w:line="480" w:lineRule="exact"/>
        <w:ind w:left="5880" w:hanging="5880" w:hangingChars="245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联系地址：古雷经济开发区腾龙路8</w:t>
      </w: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CN"/>
        </w:rPr>
        <w:t xml:space="preserve">号   </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 联系地址：</w:t>
      </w:r>
    </w:p>
    <w:p w14:paraId="03668B43">
      <w:pPr>
        <w:spacing w:line="48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传真：                                </w:t>
      </w:r>
      <w:r>
        <w:rPr>
          <w:rFonts w:hint="eastAsia"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 </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传真：</w:t>
      </w:r>
    </w:p>
    <w:p w14:paraId="42A2B627">
      <w:pPr>
        <w:spacing w:line="48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电子邮箱： </w:t>
      </w:r>
      <w:r>
        <w:rPr>
          <w:rFonts w:hint="eastAsia" w:ascii="Times New Roman" w:hAnsi="Times New Roman" w:cs="Times New Roman"/>
          <w:sz w:val="24"/>
          <w:szCs w:val="24"/>
          <w:lang w:val="en-US" w:eastAsia="zh-CN"/>
        </w:rPr>
        <w:t>huangmq@fjpec.com.cn</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 xml:space="preserve">  电子邮箱：</w:t>
      </w:r>
      <w:r>
        <w:rPr>
          <w:rFonts w:hint="default" w:ascii="Times New Roman" w:hAnsi="Times New Roman" w:eastAsia="宋体" w:cs="Times New Roman"/>
          <w:sz w:val="24"/>
          <w:szCs w:val="24"/>
          <w:u w:val="single"/>
          <w:lang w:eastAsia="zh-CN"/>
        </w:rPr>
        <w:t xml:space="preserve"> </w:t>
      </w:r>
    </w:p>
    <w:p w14:paraId="7AC468C3">
      <w:pPr>
        <w:spacing w:line="360" w:lineRule="auto"/>
        <w:ind w:left="5520" w:hanging="5520" w:hangingChars="23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开户银行：</w:t>
      </w:r>
      <w:r>
        <w:rPr>
          <w:rFonts w:hint="eastAsia" w:ascii="Times New Roman" w:hAnsi="Times New Roman" w:cs="Times New Roman"/>
          <w:sz w:val="24"/>
          <w:lang w:val="en-US" w:eastAsia="zh-CN"/>
        </w:rPr>
        <w:t xml:space="preserve">       </w:t>
      </w:r>
      <w:r>
        <w:rPr>
          <w:rFonts w:hint="eastAsia" w:ascii="Times New Roman" w:hAnsi="Times New Roman" w:cs="Times New Roman"/>
          <w:color w:val="000000"/>
          <w:sz w:val="24"/>
          <w:lang w:val="en-US" w:eastAsia="zh-CN"/>
        </w:rPr>
        <w:t xml:space="preserve"> </w:t>
      </w:r>
      <w:r>
        <w:rPr>
          <w:rFonts w:hint="default" w:ascii="Times New Roman" w:hAnsi="Times New Roman" w:eastAsia="宋体" w:cs="Times New Roman"/>
          <w:sz w:val="24"/>
          <w:lang w:eastAsia="zh-CN"/>
        </w:rPr>
        <w:t xml:space="preserve">      </w:t>
      </w:r>
      <w:r>
        <w:rPr>
          <w:rFonts w:hint="eastAsia" w:ascii="Times New Roman" w:hAnsi="Times New Roman" w:eastAsia="宋体" w:cs="Times New Roman"/>
          <w:sz w:val="24"/>
          <w:lang w:val="en-US" w:eastAsia="zh-CN"/>
        </w:rPr>
        <w:t xml:space="preserve">      </w:t>
      </w:r>
      <w:r>
        <w:rPr>
          <w:rFonts w:hint="eastAsia" w:ascii="Times New Roman" w:hAnsi="Times New Roman" w:cs="Times New Roman"/>
          <w:sz w:val="24"/>
          <w:lang w:val="en-US" w:eastAsia="zh-CN"/>
        </w:rPr>
        <w:t xml:space="preserve">                                 </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 xml:space="preserve">  开户银行： </w:t>
      </w:r>
    </w:p>
    <w:p w14:paraId="3CCEE0FC">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账号：            </w:t>
      </w:r>
      <w:r>
        <w:rPr>
          <w:rFonts w:hint="eastAsia" w:ascii="Times New Roman" w:hAnsi="Times New Roman" w:cs="Times New Roman"/>
          <w:sz w:val="24"/>
          <w:lang w:val="en-US" w:eastAsia="zh-CN"/>
        </w:rPr>
        <w:t xml:space="preserve">  </w:t>
      </w:r>
      <w:r>
        <w:rPr>
          <w:rFonts w:hint="default" w:ascii="Times New Roman" w:hAnsi="Times New Roman" w:eastAsia="宋体" w:cs="Times New Roman"/>
          <w:sz w:val="24"/>
          <w:lang w:eastAsia="zh-CN"/>
        </w:rPr>
        <w:t xml:space="preserve"> </w:t>
      </w:r>
      <w:r>
        <w:rPr>
          <w:rFonts w:hint="eastAsia" w:ascii="Times New Roman" w:hAnsi="Times New Roman" w:eastAsia="宋体" w:cs="Times New Roman"/>
          <w:sz w:val="24"/>
          <w:lang w:val="en-US" w:eastAsia="zh-CN"/>
        </w:rPr>
        <w:t xml:space="preserve">                 </w:t>
      </w:r>
      <w:r>
        <w:rPr>
          <w:rFonts w:hint="eastAsia" w:ascii="Times New Roman" w:hAnsi="Times New Roman" w:cs="Times New Roman"/>
          <w:sz w:val="24"/>
          <w:lang w:val="en-US" w:eastAsia="zh-CN"/>
        </w:rPr>
        <w:t xml:space="preserve">                                    </w:t>
      </w:r>
      <w:r>
        <w:rPr>
          <w:rFonts w:hint="default" w:ascii="Times New Roman" w:hAnsi="Times New Roman" w:eastAsia="宋体" w:cs="Times New Roman"/>
          <w:sz w:val="24"/>
          <w:lang w:eastAsia="zh-CN"/>
        </w:rPr>
        <w:t>账号：</w:t>
      </w:r>
    </w:p>
    <w:p w14:paraId="015646D7">
      <w:pPr>
        <w:widowControl/>
        <w:rPr>
          <w:rFonts w:hint="default" w:ascii="Times New Roman" w:hAnsi="Times New Roman" w:eastAsia="宋体" w:cs="Times New Roman"/>
          <w:sz w:val="24"/>
          <w:szCs w:val="32"/>
          <w:lang w:eastAsia="zh-CN"/>
        </w:rPr>
      </w:pPr>
      <w:r>
        <w:rPr>
          <w:rFonts w:hint="default" w:ascii="Times New Roman" w:hAnsi="Times New Roman" w:eastAsia="宋体" w:cs="Times New Roman"/>
          <w:sz w:val="24"/>
          <w:szCs w:val="32"/>
          <w:lang w:eastAsia="zh-CN"/>
        </w:rPr>
        <w:br w:type="page"/>
      </w:r>
    </w:p>
    <w:p w14:paraId="195F67F6">
      <w:pPr>
        <w:pStyle w:val="25"/>
        <w:spacing w:after="468" w:afterLines="150" w:line="276" w:lineRule="auto"/>
        <w:ind w:left="-496" w:leftChars="-339" w:hanging="250" w:hangingChars="89"/>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lang w:val="en-US" w:eastAsia="zh-CN"/>
        </w:rPr>
        <w:t>附件1、</w:t>
      </w:r>
      <w:r>
        <w:rPr>
          <w:rFonts w:hint="default" w:ascii="Times New Roman" w:hAnsi="Times New Roman" w:eastAsia="宋体" w:cs="Times New Roman"/>
          <w:b/>
          <w:sz w:val="28"/>
          <w:szCs w:val="28"/>
        </w:rPr>
        <w:t>安全环保协议书</w:t>
      </w:r>
    </w:p>
    <w:p w14:paraId="34D9F9B6">
      <w:pPr>
        <w:spacing w:line="480" w:lineRule="exact"/>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Cs w:val="21"/>
          <w:highlight w:val="none"/>
        </w:rPr>
        <w:t>发包单位（以下简称甲方）：</w:t>
      </w:r>
      <w:r>
        <w:rPr>
          <w:rFonts w:hint="default" w:ascii="Times New Roman" w:hAnsi="Times New Roman" w:eastAsia="宋体" w:cs="Times New Roman"/>
          <w:szCs w:val="21"/>
          <w:highlight w:val="none"/>
          <w:u w:val="single"/>
        </w:rPr>
        <w:t xml:space="preserve"> </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p>
    <w:p w14:paraId="3C3F42C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承包单位（以下简称乙方）：</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 xml:space="preserve">                     </w:t>
      </w:r>
    </w:p>
    <w:p w14:paraId="03E06A73">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    双方就</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u w:val="single"/>
          <w:lang w:val="en-US" w:eastAsia="zh-CN"/>
        </w:rPr>
        <w:t xml:space="preserve">PTA废料 </w:t>
      </w:r>
      <w:r>
        <w:rPr>
          <w:rFonts w:hint="default" w:ascii="Times New Roman" w:hAnsi="Times New Roman" w:eastAsia="宋体" w:cs="Times New Roman"/>
          <w:szCs w:val="21"/>
          <w:highlight w:val="none"/>
        </w:rPr>
        <w:t>项目签订了</w:t>
      </w:r>
      <w:r>
        <w:rPr>
          <w:rFonts w:hint="default" w:ascii="Times New Roman" w:hAnsi="Times New Roman" w:eastAsia="宋体" w:cs="Times New Roman"/>
          <w:szCs w:val="21"/>
          <w:highlight w:val="none"/>
          <w:u w:val="single"/>
        </w:rPr>
        <w:t xml:space="preserve"> </w:t>
      </w:r>
      <w:r>
        <w:rPr>
          <w:rFonts w:hint="eastAsia" w:ascii="Times New Roman" w:hAnsi="Times New Roman" w:cs="Times New Roman"/>
          <w:szCs w:val="21"/>
          <w:highlight w:val="none"/>
          <w:u w:val="single"/>
          <w:lang w:val="en-US" w:eastAsia="zh-CN"/>
        </w:rPr>
        <w:t>委外处置</w:t>
      </w:r>
      <w:r>
        <w:rPr>
          <w:rFonts w:hint="default" w:ascii="Times New Roman" w:hAnsi="Times New Roman" w:eastAsia="宋体" w:cs="Times New Roman"/>
          <w:szCs w:val="21"/>
          <w:highlight w:val="none"/>
          <w:u w:val="single"/>
        </w:rPr>
        <w:t xml:space="preserve"> </w:t>
      </w:r>
      <w:r>
        <w:rPr>
          <w:rFonts w:hint="default" w:ascii="Times New Roman" w:hAnsi="Times New Roman" w:eastAsia="宋体" w:cs="Times New Roman"/>
          <w:szCs w:val="21"/>
          <w:highlight w:val="none"/>
        </w:rPr>
        <w:t>合同，为进一步明确甲乙双方在</w:t>
      </w:r>
      <w:r>
        <w:rPr>
          <w:rFonts w:hint="eastAsia" w:ascii="Times New Roman" w:hAnsi="Times New Roman" w:cs="Times New Roman"/>
          <w:szCs w:val="21"/>
          <w:highlight w:val="none"/>
          <w:lang w:val="en-US" w:eastAsia="zh-CN"/>
        </w:rPr>
        <w:t>委外处置</w:t>
      </w:r>
      <w:r>
        <w:rPr>
          <w:rFonts w:hint="default" w:ascii="Times New Roman" w:hAnsi="Times New Roman" w:eastAsia="宋体" w:cs="Times New Roman"/>
          <w:szCs w:val="21"/>
          <w:highlight w:val="none"/>
        </w:rPr>
        <w:t>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2F00372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b/>
          <w:szCs w:val="21"/>
          <w:highlight w:val="none"/>
        </w:rPr>
        <w:t>一、甲方的权利和义务：</w:t>
      </w:r>
    </w:p>
    <w:p w14:paraId="0C6C1D77">
      <w:pPr>
        <w:pStyle w:val="71"/>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 甲方有权对乙方的资质进行审查，确认其符合且具备进厂条件，方可进厂施工。</w:t>
      </w:r>
    </w:p>
    <w:p w14:paraId="67C97758">
      <w:pPr>
        <w:pStyle w:val="71"/>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 甲方有权要求乙方维护好甲方相关的安全环保设施、设备和器材。</w:t>
      </w:r>
    </w:p>
    <w:p w14:paraId="28237A6D">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3B71D041">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396E3299">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 甲方有权对乙方不服从管理和严重违章者，驱逐出施工现场，列入黑名单。</w:t>
      </w:r>
    </w:p>
    <w:p w14:paraId="7123B8D7">
      <w:pPr>
        <w:pStyle w:val="71"/>
        <w:spacing w:line="360" w:lineRule="auto"/>
        <w:ind w:left="0" w:leftChars="0" w:firstLine="0" w:firstLineChars="0"/>
        <w:rPr>
          <w:rFonts w:hint="default" w:ascii="Times New Roman" w:hAnsi="Times New Roman" w:eastAsia="宋体" w:cs="Times New Roman"/>
          <w:b/>
          <w:szCs w:val="21"/>
          <w:highlight w:val="none"/>
        </w:rPr>
      </w:pPr>
      <w:r>
        <w:rPr>
          <w:rFonts w:hint="default" w:ascii="Times New Roman" w:hAnsi="Times New Roman" w:eastAsia="宋体" w:cs="Times New Roman"/>
          <w:szCs w:val="21"/>
          <w:highlight w:val="none"/>
        </w:rPr>
        <w:t>6、 甲方负责对乙方进行厂级和部门级安全培训教育和考核，考核合格方可办理入厂手续。</w:t>
      </w:r>
    </w:p>
    <w:p w14:paraId="76AEEE8E">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7、 甲方负责各装置的工艺处理、退料、置换、吹扫及盲板隔离工作，为本项目提供安全的施工条件。</w:t>
      </w:r>
    </w:p>
    <w:p w14:paraId="6C04E623">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 甲方应向乙方提供与乙方作业相关的甲方有毒有害、易燃易爆物品的数据</w:t>
      </w:r>
      <w:r>
        <w:rPr>
          <w:rFonts w:hint="default" w:ascii="Times New Roman" w:hAnsi="Times New Roman" w:eastAsia="宋体" w:cs="Times New Roman"/>
          <w:sz w:val="32"/>
          <w:szCs w:val="32"/>
          <w:highlight w:val="none"/>
        </w:rPr>
        <w:t>。</w:t>
      </w:r>
    </w:p>
    <w:p w14:paraId="1AB49AD0">
      <w:pPr>
        <w:tabs>
          <w:tab w:val="left" w:pos="360"/>
          <w:tab w:val="left" w:pos="840"/>
        </w:tabs>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9、 甲方在开工前必须对乙方进行全面的安全技术及文明施工交底。</w:t>
      </w:r>
    </w:p>
    <w:p w14:paraId="0B80CB78">
      <w:pPr>
        <w:spacing w:line="360" w:lineRule="auto"/>
        <w:ind w:left="0" w:leftChars="0" w:firstLine="0" w:firstLineChars="0"/>
        <w:rPr>
          <w:rFonts w:hint="default" w:ascii="Times New Roman" w:hAnsi="Times New Roman" w:eastAsia="宋体" w:cs="Times New Roman"/>
          <w:b/>
          <w:szCs w:val="21"/>
          <w:highlight w:val="none"/>
        </w:rPr>
      </w:pPr>
      <w:r>
        <w:rPr>
          <w:rFonts w:hint="default" w:ascii="Times New Roman" w:hAnsi="Times New Roman" w:eastAsia="宋体" w:cs="Times New Roman"/>
          <w:b/>
          <w:szCs w:val="21"/>
          <w:highlight w:val="none"/>
        </w:rPr>
        <w:t>二、乙方的权利和义务：</w:t>
      </w:r>
    </w:p>
    <w:p w14:paraId="3F134A4B">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2BF7131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  乙方有权对甲方安全管理工作提出合理化建议或改进措施。</w:t>
      </w:r>
    </w:p>
    <w:p w14:paraId="1B20EFE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 xml:space="preserve">3、 乙方对甲方管理人员违章指挥、强令冒险作业、有权拒绝执行。对打击和报复行为有权向上级和有关部门汇报。 </w:t>
      </w:r>
    </w:p>
    <w:p w14:paraId="2EE5CEF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 乙方对危及生命安全和身体健康的施工作业条件和环境，有权提出整改建议或拒绝施工作业。</w:t>
      </w:r>
    </w:p>
    <w:p w14:paraId="75724B5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 乙方施工过程中在发生严重危及作业人员生命安全的不可抗拒紧急情况时，有权采取必要的避险措施，并立即向管理部门报告。</w:t>
      </w:r>
    </w:p>
    <w:p w14:paraId="496F4470">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6、 乙方有权要求甲方提供与其工作相关的安全资料，如八大票证管理制度等。</w:t>
      </w:r>
    </w:p>
    <w:p w14:paraId="76172689">
      <w:pPr>
        <w:spacing w:line="360" w:lineRule="auto"/>
        <w:ind w:left="0" w:leftChars="0" w:firstLine="0" w:firstLineChars="0"/>
        <w:rPr>
          <w:rFonts w:hint="default" w:ascii="Times New Roman" w:hAnsi="Times New Roman" w:eastAsia="宋体" w:cs="Times New Roman"/>
          <w:b/>
          <w:szCs w:val="21"/>
          <w:highlight w:val="none"/>
        </w:rPr>
      </w:pPr>
      <w:r>
        <w:rPr>
          <w:rFonts w:hint="default" w:ascii="Times New Roman" w:hAnsi="Times New Roman" w:eastAsia="宋体" w:cs="Times New Roman"/>
          <w:szCs w:val="21"/>
          <w:highlight w:val="none"/>
        </w:rPr>
        <w:t xml:space="preserve">7、 </w:t>
      </w:r>
      <w:r>
        <w:rPr>
          <w:rFonts w:hint="default" w:ascii="Times New Roman" w:hAnsi="Times New Roman" w:eastAsia="宋体" w:cs="Times New Roman"/>
          <w:highlight w:val="none"/>
        </w:rPr>
        <w:t>乙方必须建立健全HSE管理网络、HSE保证体系和HSE责任制，成立专职HSE管理机构</w:t>
      </w:r>
      <w:r>
        <w:rPr>
          <w:rFonts w:hint="default" w:ascii="Times New Roman" w:hAnsi="Times New Roman" w:eastAsia="宋体" w:cs="Times New Roman"/>
          <w:szCs w:val="21"/>
          <w:highlight w:val="none"/>
        </w:rPr>
        <w:t>，依照《安全生产法》的要求配备专职或兼职安全生产管理人员，安全管理人员配备比例不等小于50比1（最少1名），</w:t>
      </w:r>
      <w:r>
        <w:rPr>
          <w:rFonts w:hint="default" w:ascii="Times New Roman" w:hAnsi="Times New Roman" w:eastAsia="宋体" w:cs="Times New Roman"/>
          <w:highlight w:val="none"/>
        </w:rPr>
        <w:t>并佩戴明显标志；编制和实施各安全环保施工方案和专项应急预案。</w:t>
      </w:r>
    </w:p>
    <w:p w14:paraId="171FDAB6">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045CCE9B">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9、 在工程开工前，乙方必须对全体人员</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lang w:val="en-US" w:eastAsia="zh-CN"/>
        </w:rPr>
        <w:t>含监护人</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分工种进行安全教育、技能考试，合格后方可进行作业。作业前，必须向作业人员进行安全环保技术交底，掌握工程特点及施工安全环保措施。</w:t>
      </w:r>
    </w:p>
    <w:p w14:paraId="43EDDD0A">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E04E13A">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1</w:t>
      </w:r>
      <w:r>
        <w:rPr>
          <w:rFonts w:hint="default" w:ascii="Times New Roman" w:hAnsi="Times New Roman" w:eastAsia="宋体" w:cs="Times New Roman"/>
          <w:szCs w:val="21"/>
          <w:highlight w:val="none"/>
        </w:rPr>
        <w:t>、 乙方必须按国家有关规定，为施工人员办理工伤保险、意外伤害保险（</w:t>
      </w:r>
      <w:r>
        <w:rPr>
          <w:rFonts w:hint="default" w:ascii="Times New Roman" w:hAnsi="Times New Roman" w:eastAsia="宋体" w:cs="Times New Roman"/>
          <w:highlight w:val="none"/>
        </w:rPr>
        <w:t>承包商应为其</w:t>
      </w:r>
      <w:r>
        <w:rPr>
          <w:rFonts w:hint="default" w:ascii="Times New Roman" w:hAnsi="Times New Roman" w:eastAsia="宋体" w:cs="Times New Roman"/>
          <w:highlight w:val="none"/>
          <w:lang w:val="en-US" w:eastAsia="zh-CN"/>
        </w:rPr>
        <w:t>员工</w:t>
      </w:r>
      <w:r>
        <w:rPr>
          <w:rFonts w:hint="default" w:ascii="Times New Roman" w:hAnsi="Times New Roman" w:eastAsia="宋体" w:cs="Times New Roman"/>
          <w:highlight w:val="none"/>
        </w:rPr>
        <w:t>购买不低于100万/人的人身意外伤害责任险或者工伤+不低于23万/人的人身意外伤害险</w:t>
      </w:r>
      <w:r>
        <w:rPr>
          <w:rFonts w:hint="default" w:ascii="Times New Roman" w:hAnsi="Times New Roman" w:eastAsia="宋体" w:cs="Times New Roman"/>
          <w:szCs w:val="21"/>
          <w:highlight w:val="none"/>
        </w:rPr>
        <w:t>），为施工人员配备合格的劳动防护用品、安全用具及应急救援设施，并保证施工工具、器械使用安全。</w:t>
      </w:r>
    </w:p>
    <w:p w14:paraId="00C390B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2</w:t>
      </w:r>
      <w:r>
        <w:rPr>
          <w:rFonts w:hint="default" w:ascii="Times New Roman" w:hAnsi="Times New Roman" w:eastAsia="宋体" w:cs="Times New Roman"/>
          <w:szCs w:val="21"/>
          <w:highlight w:val="none"/>
        </w:rPr>
        <w:t>、 乙方需建立安全检查制度，指定专人负责现场安全监督检查工作，认真开展安全检查，发现作业过程中不安全行为、隐患、重大险情，应采取有效措施及时处理并报告甲方。</w:t>
      </w:r>
    </w:p>
    <w:p w14:paraId="6D6EE204">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3</w:t>
      </w:r>
      <w:r>
        <w:rPr>
          <w:rFonts w:hint="default" w:ascii="Times New Roman" w:hAnsi="Times New Roman" w:eastAsia="宋体" w:cs="Times New Roman"/>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5FA38141">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4</w:t>
      </w:r>
      <w:r>
        <w:rPr>
          <w:rFonts w:hint="default" w:ascii="Times New Roman" w:hAnsi="Times New Roman" w:eastAsia="宋体" w:cs="Times New Roman"/>
          <w:szCs w:val="21"/>
          <w:highlight w:val="none"/>
        </w:rPr>
        <w:t>、 乙方进入现场的施工人员，严禁动用装置区机泵、容器、塔、加热炉等任何部位阀门，防止误开误关，造成意外事故。如确实需用，经与装置有关人员联系，同意后，由操作人员启闭阀门。</w:t>
      </w:r>
    </w:p>
    <w:p w14:paraId="6B02A381">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5</w:t>
      </w:r>
      <w:r>
        <w:rPr>
          <w:rFonts w:hint="default" w:ascii="Times New Roman" w:hAnsi="Times New Roman" w:eastAsia="宋体" w:cs="Times New Roman"/>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2D88032">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w:t>
      </w:r>
      <w:r>
        <w:rPr>
          <w:rFonts w:hint="default" w:ascii="Times New Roman" w:hAnsi="Times New Roman" w:eastAsia="宋体" w:cs="Times New Roman"/>
          <w:szCs w:val="21"/>
          <w:highlight w:val="none"/>
          <w:lang w:val="en-US" w:eastAsia="zh-CN"/>
        </w:rPr>
        <w:t>6</w:t>
      </w: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bCs/>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4DB06166">
      <w:pPr>
        <w:spacing w:line="360" w:lineRule="auto"/>
        <w:ind w:left="0" w:leftChars="0" w:firstLine="0" w:firstLineChars="0"/>
        <w:rPr>
          <w:rFonts w:hint="default" w:ascii="Times New Roman" w:hAnsi="Times New Roman" w:eastAsia="宋体" w:cs="Times New Roman"/>
          <w:bCs/>
          <w:highlight w:val="none"/>
        </w:rPr>
      </w:pPr>
      <w:r>
        <w:rPr>
          <w:rFonts w:hint="default" w:ascii="Times New Roman" w:hAnsi="Times New Roman" w:eastAsia="宋体" w:cs="Times New Roman"/>
          <w:bCs/>
          <w:highlight w:val="none"/>
        </w:rPr>
        <w:t>1</w:t>
      </w:r>
      <w:r>
        <w:rPr>
          <w:rFonts w:hint="default" w:ascii="Times New Roman" w:hAnsi="Times New Roman" w:eastAsia="宋体" w:cs="Times New Roman"/>
          <w:bCs/>
          <w:highlight w:val="none"/>
          <w:lang w:val="en-US" w:eastAsia="zh-CN"/>
        </w:rPr>
        <w:t>7</w:t>
      </w:r>
      <w:r>
        <w:rPr>
          <w:rFonts w:hint="default" w:ascii="Times New Roman" w:hAnsi="Times New Roman" w:eastAsia="宋体" w:cs="Times New Roman"/>
          <w:bCs/>
          <w:highlight w:val="none"/>
        </w:rPr>
        <w:t xml:space="preserve">、 </w:t>
      </w:r>
      <w:r>
        <w:rPr>
          <w:rFonts w:hint="default" w:ascii="Times New Roman" w:hAnsi="Times New Roman" w:eastAsia="宋体" w:cs="Times New Roman"/>
          <w:szCs w:val="21"/>
          <w:highlight w:val="none"/>
        </w:rPr>
        <w:t>乙方</w:t>
      </w:r>
      <w:r>
        <w:rPr>
          <w:rFonts w:hint="default" w:ascii="Times New Roman" w:hAnsi="Times New Roman" w:eastAsia="宋体" w:cs="Times New Roman"/>
          <w:bCs/>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highlight w:val="none"/>
        </w:rPr>
        <w:t>GB 2894-2008）</w:t>
      </w:r>
      <w:r>
        <w:rPr>
          <w:rFonts w:hint="default" w:ascii="Times New Roman" w:hAnsi="Times New Roman" w:eastAsia="宋体" w:cs="Times New Roman"/>
          <w:bCs/>
          <w:highlight w:val="none"/>
        </w:rPr>
        <w:t>的规定。</w:t>
      </w:r>
    </w:p>
    <w:p w14:paraId="62E5605C">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bCs/>
          <w:highlight w:val="none"/>
        </w:rPr>
        <w:t>1</w:t>
      </w:r>
      <w:r>
        <w:rPr>
          <w:rFonts w:hint="default" w:ascii="Times New Roman" w:hAnsi="Times New Roman" w:eastAsia="宋体" w:cs="Times New Roman"/>
          <w:bCs/>
          <w:highlight w:val="none"/>
          <w:lang w:val="en-US" w:eastAsia="zh-CN"/>
        </w:rPr>
        <w:t>8</w:t>
      </w:r>
      <w:r>
        <w:rPr>
          <w:rFonts w:hint="default" w:ascii="Times New Roman" w:hAnsi="Times New Roman" w:eastAsia="宋体" w:cs="Times New Roman"/>
          <w:bCs/>
          <w:highlight w:val="none"/>
        </w:rPr>
        <w:t>、</w:t>
      </w:r>
      <w:r>
        <w:rPr>
          <w:rFonts w:hint="default" w:ascii="Times New Roman" w:hAnsi="Times New Roman" w:eastAsia="宋体" w:cs="Times New Roman"/>
          <w:szCs w:val="21"/>
          <w:highlight w:val="none"/>
        </w:rPr>
        <w:t>乙方</w:t>
      </w:r>
      <w:r>
        <w:rPr>
          <w:rFonts w:hint="default" w:ascii="Times New Roman" w:hAnsi="Times New Roman" w:eastAsia="宋体" w:cs="Times New Roman"/>
          <w:bCs/>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716F93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19</w:t>
      </w:r>
      <w:r>
        <w:rPr>
          <w:rFonts w:hint="default" w:ascii="Times New Roman" w:hAnsi="Times New Roman" w:eastAsia="宋体" w:cs="Times New Roman"/>
          <w:szCs w:val="21"/>
          <w:highlight w:val="none"/>
        </w:rPr>
        <w:t>、 乙方施工产生的</w:t>
      </w:r>
      <w:r>
        <w:rPr>
          <w:rFonts w:hint="default" w:ascii="Times New Roman" w:hAnsi="Times New Roman" w:eastAsia="宋体" w:cs="Times New Roman"/>
          <w:bCs/>
          <w:highlight w:val="none"/>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Cs w:val="21"/>
          <w:highlight w:val="none"/>
        </w:rPr>
        <w:t>产生的废物应进行鉴别，一般固废和危险废物应妥善包装、分类堆放，并及时清理</w:t>
      </w:r>
      <w:r>
        <w:rPr>
          <w:rFonts w:hint="default" w:ascii="Times New Roman" w:hAnsi="Times New Roman" w:eastAsia="宋体" w:cs="Times New Roman"/>
          <w:sz w:val="24"/>
          <w:highlight w:val="none"/>
        </w:rPr>
        <w:t>。</w:t>
      </w:r>
      <w:r>
        <w:rPr>
          <w:rFonts w:hint="default" w:ascii="Times New Roman" w:hAnsi="Times New Roman" w:eastAsia="宋体" w:cs="Times New Roman"/>
          <w:szCs w:val="21"/>
          <w:highlight w:val="none"/>
        </w:rPr>
        <w:t>不能任意排放和丢弃。不依法合规处置固体废物，在厂外随意丢弃的，直接解除合同，清除出厂。</w:t>
      </w:r>
    </w:p>
    <w:p w14:paraId="4DC3BA11">
      <w:pPr>
        <w:spacing w:line="360" w:lineRule="auto"/>
        <w:ind w:left="0" w:leftChars="0" w:firstLine="0" w:firstLineChars="0"/>
        <w:rPr>
          <w:rFonts w:hint="default" w:ascii="Times New Roman" w:hAnsi="Times New Roman" w:eastAsia="宋体" w:cs="Times New Roman"/>
          <w:sz w:val="24"/>
          <w:highlight w:val="none"/>
        </w:rPr>
      </w:pPr>
      <w:r>
        <w:rPr>
          <w:rFonts w:hint="default" w:ascii="Times New Roman" w:hAnsi="Times New Roman" w:eastAsia="宋体" w:cs="Times New Roman"/>
          <w:szCs w:val="21"/>
          <w:highlight w:val="none"/>
        </w:rPr>
        <w:t>2</w:t>
      </w:r>
      <w:r>
        <w:rPr>
          <w:rFonts w:hint="default" w:ascii="Times New Roman" w:hAnsi="Times New Roman" w:eastAsia="宋体" w:cs="Times New Roman"/>
          <w:szCs w:val="21"/>
          <w:highlight w:val="none"/>
          <w:lang w:val="en-US" w:eastAsia="zh-CN"/>
        </w:rPr>
        <w:t>0</w:t>
      </w:r>
      <w:r>
        <w:rPr>
          <w:rFonts w:hint="default" w:ascii="Times New Roman" w:hAnsi="Times New Roman" w:eastAsia="宋体" w:cs="Times New Roman"/>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F2478CC">
      <w:pPr>
        <w:spacing w:line="360" w:lineRule="auto"/>
        <w:ind w:left="0" w:leftChars="0" w:firstLine="0" w:firstLineChars="0"/>
        <w:rPr>
          <w:rFonts w:hint="default" w:ascii="Times New Roman" w:hAnsi="Times New Roman" w:eastAsia="宋体" w:cs="Times New Roman"/>
          <w:bCs/>
          <w:highlight w:val="none"/>
        </w:rPr>
      </w:pPr>
      <w:r>
        <w:rPr>
          <w:rFonts w:hint="default" w:ascii="Times New Roman" w:hAnsi="Times New Roman" w:eastAsia="宋体" w:cs="Times New Roman"/>
          <w:szCs w:val="21"/>
          <w:highlight w:val="none"/>
        </w:rPr>
        <w:t>2</w:t>
      </w:r>
      <w:r>
        <w:rPr>
          <w:rFonts w:hint="default" w:ascii="Times New Roman" w:hAnsi="Times New Roman" w:eastAsia="宋体" w:cs="Times New Roman"/>
          <w:szCs w:val="21"/>
          <w:highlight w:val="none"/>
          <w:lang w:val="en-US" w:eastAsia="zh-CN"/>
        </w:rPr>
        <w:t>1</w:t>
      </w:r>
      <w:r>
        <w:rPr>
          <w:rFonts w:hint="default" w:ascii="Times New Roman" w:hAnsi="Times New Roman" w:eastAsia="宋体" w:cs="Times New Roman"/>
          <w:szCs w:val="21"/>
          <w:highlight w:val="none"/>
        </w:rPr>
        <w:t xml:space="preserve">、 </w:t>
      </w:r>
      <w:r>
        <w:rPr>
          <w:rFonts w:hint="default" w:ascii="Times New Roman" w:hAnsi="Times New Roman" w:eastAsia="宋体" w:cs="Times New Roman"/>
          <w:bCs/>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6B3A306">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lang w:val="en-US" w:eastAsia="zh-CN"/>
        </w:rPr>
        <w:t>22</w:t>
      </w:r>
      <w:r>
        <w:rPr>
          <w:rFonts w:hint="default" w:ascii="Times New Roman" w:hAnsi="Times New Roman" w:eastAsia="宋体" w:cs="Times New Roman"/>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default" w:ascii="Times New Roman" w:hAnsi="Times New Roman" w:eastAsia="宋体" w:cs="Times New Roman"/>
          <w:szCs w:val="21"/>
          <w:highlight w:val="none"/>
        </w:rPr>
        <w:br w:type="textWrapping"/>
      </w:r>
      <w:r>
        <w:rPr>
          <w:rFonts w:hint="default" w:ascii="Times New Roman" w:hAnsi="Times New Roman" w:eastAsia="宋体" w:cs="Times New Roman"/>
          <w:szCs w:val="21"/>
          <w:highlight w:val="none"/>
        </w:rPr>
        <w:t>2</w:t>
      </w:r>
      <w:r>
        <w:rPr>
          <w:rFonts w:hint="default" w:ascii="Times New Roman" w:hAnsi="Times New Roman" w:eastAsia="宋体" w:cs="Times New Roman"/>
          <w:szCs w:val="21"/>
          <w:highlight w:val="none"/>
          <w:lang w:val="en-US" w:eastAsia="zh-CN"/>
        </w:rPr>
        <w:t>3</w:t>
      </w:r>
      <w:r>
        <w:rPr>
          <w:rFonts w:hint="default" w:ascii="Times New Roman" w:hAnsi="Times New Roman" w:eastAsia="宋体" w:cs="Times New Roman"/>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default" w:ascii="Times New Roman" w:hAnsi="Times New Roman" w:eastAsia="宋体" w:cs="Times New Roman"/>
          <w:szCs w:val="21"/>
          <w:highlight w:val="none"/>
        </w:rPr>
        <w:br w:type="textWrapping"/>
      </w:r>
      <w:r>
        <w:rPr>
          <w:rFonts w:hint="default" w:ascii="Times New Roman" w:hAnsi="Times New Roman" w:eastAsia="宋体" w:cs="Times New Roman"/>
          <w:szCs w:val="21"/>
          <w:highlight w:val="none"/>
          <w:lang w:val="en-US" w:eastAsia="zh-CN"/>
        </w:rPr>
        <w:t>24</w:t>
      </w:r>
      <w:r>
        <w:rPr>
          <w:rFonts w:hint="default" w:ascii="Times New Roman" w:hAnsi="Times New Roman" w:eastAsia="宋体" w:cs="Times New Roman"/>
          <w:szCs w:val="21"/>
          <w:highlight w:val="none"/>
        </w:rPr>
        <w:t>、承包商应根据各个岗位各种作业时的有害因素制定相应的劳动防护用品配发标准，为施工人员定期配发符合国家规定的相应的劳动防护用品。</w:t>
      </w:r>
      <w:r>
        <w:rPr>
          <w:rFonts w:hint="default" w:ascii="Times New Roman" w:hAnsi="Times New Roman" w:eastAsia="宋体" w:cs="Times New Roman"/>
          <w:szCs w:val="21"/>
          <w:highlight w:val="none"/>
        </w:rPr>
        <w:br w:type="textWrapping"/>
      </w:r>
      <w:r>
        <w:rPr>
          <w:rFonts w:hint="default" w:ascii="Times New Roman" w:hAnsi="Times New Roman" w:eastAsia="宋体" w:cs="Times New Roman"/>
          <w:szCs w:val="21"/>
          <w:highlight w:val="none"/>
          <w:lang w:val="en-US" w:eastAsia="zh-CN"/>
        </w:rPr>
        <w:t>25</w:t>
      </w:r>
      <w:r>
        <w:rPr>
          <w:rFonts w:hint="default" w:ascii="Times New Roman" w:hAnsi="Times New Roman" w:eastAsia="宋体" w:cs="Times New Roman"/>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default" w:ascii="Times New Roman" w:hAnsi="Times New Roman" w:eastAsia="宋体" w:cs="Times New Roman"/>
          <w:szCs w:val="21"/>
          <w:highlight w:val="none"/>
          <w:lang w:val="en-US" w:eastAsia="zh-CN"/>
        </w:rPr>
        <w:t>和</w:t>
      </w:r>
      <w:r>
        <w:rPr>
          <w:rFonts w:hint="default" w:ascii="Times New Roman" w:hAnsi="Times New Roman" w:eastAsia="宋体" w:cs="Times New Roman"/>
          <w:szCs w:val="21"/>
          <w:highlight w:val="none"/>
        </w:rPr>
        <w:t>有职业禁忌的施工人员从事其所禁忌的作业。</w:t>
      </w:r>
    </w:p>
    <w:p w14:paraId="5B28E6FF">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三、违约责任及处理</w:t>
      </w:r>
    </w:p>
    <w:p w14:paraId="0BCB55CA">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1、乙方不得转包、违法分包及挂靠等违法行为，若存在违法行为，甲方有权解除合同；未经福海创许可，不得将工程分包。</w:t>
      </w:r>
    </w:p>
    <w:p w14:paraId="2933266D">
      <w:pPr>
        <w:spacing w:line="360" w:lineRule="auto"/>
        <w:ind w:left="0" w:leftChars="0" w:firstLine="0" w:firstLineChars="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2、发生安全事故时，甲乙双方均有抢险、救灾的义务，所发生的费用由责任方承担。</w:t>
      </w:r>
    </w:p>
    <w:p w14:paraId="14F3E17B">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highlight w:val="none"/>
        </w:rPr>
        <w:t>3、发生安全事故，由甲方或者政府安全管理机构按事故调查处</w:t>
      </w:r>
      <w:r>
        <w:rPr>
          <w:rFonts w:hint="default" w:ascii="Times New Roman" w:hAnsi="Times New Roman" w:eastAsia="宋体" w:cs="Times New Roman"/>
          <w:szCs w:val="21"/>
        </w:rPr>
        <w:t>理的，乙方参与配合调查。因乙方主要责任造成的人身伤亡、设备损坏事故及其造成的经济损失,一切责任及损失由乙方承担，并由乙方上报有关政府部门调查处理、统计上报。</w:t>
      </w:r>
    </w:p>
    <w:p w14:paraId="3F4E925E">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4、甲方违约造成的事故，甲方承担全部责任，并按规定追究有关人员责任及上报。</w:t>
      </w:r>
    </w:p>
    <w:p w14:paraId="7FE35844">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363436A1">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33BCDD4">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7、 对乙方发生事故后弄虚作假、隐瞒不报、迟报或谎报，一经查出，按有关规定处罚，并向所有在甲方范围内施工的其它承包商进行通报，并将通报送达承包商。情节严重的，取消其进入甲方的市场资格。</w:t>
      </w:r>
    </w:p>
    <w:p w14:paraId="16DDE70E">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四、 不可抗力：</w:t>
      </w:r>
    </w:p>
    <w:p w14:paraId="5298A7A7">
      <w:pPr>
        <w:spacing w:line="550" w:lineRule="exact"/>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 xml:space="preserve">    由于不可抗力造成合同项目施工作业事故及产生的损失，甲乙双方各自承担相应的损失。</w:t>
      </w:r>
    </w:p>
    <w:p w14:paraId="640B4580">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五、本协议书一式</w:t>
      </w:r>
      <w:r>
        <w:rPr>
          <w:rFonts w:hint="default" w:ascii="Times New Roman" w:hAnsi="Times New Roman" w:eastAsia="宋体" w:cs="Times New Roman"/>
          <w:b/>
          <w:szCs w:val="21"/>
          <w:lang w:val="en-US" w:eastAsia="zh-CN"/>
        </w:rPr>
        <w:t>陆</w:t>
      </w:r>
      <w:r>
        <w:rPr>
          <w:rFonts w:hint="default" w:ascii="Times New Roman" w:hAnsi="Times New Roman" w:eastAsia="宋体" w:cs="Times New Roman"/>
          <w:b/>
          <w:szCs w:val="21"/>
        </w:rPr>
        <w:t>份，甲</w:t>
      </w:r>
      <w:r>
        <w:rPr>
          <w:rFonts w:hint="default" w:ascii="Times New Roman" w:hAnsi="Times New Roman" w:eastAsia="宋体" w:cs="Times New Roman"/>
          <w:b/>
          <w:szCs w:val="21"/>
          <w:lang w:val="en-US" w:eastAsia="zh-CN"/>
        </w:rPr>
        <w:t>方执四份，</w:t>
      </w:r>
      <w:r>
        <w:rPr>
          <w:rFonts w:hint="default" w:ascii="Times New Roman" w:hAnsi="Times New Roman" w:eastAsia="宋体" w:cs="Times New Roman"/>
          <w:b/>
          <w:szCs w:val="21"/>
        </w:rPr>
        <w:t>乙</w:t>
      </w:r>
      <w:r>
        <w:rPr>
          <w:rFonts w:hint="default" w:ascii="Times New Roman" w:hAnsi="Times New Roman" w:eastAsia="宋体" w:cs="Times New Roman"/>
          <w:b/>
          <w:szCs w:val="21"/>
          <w:lang w:val="en-US" w:eastAsia="zh-CN"/>
        </w:rPr>
        <w:t>方</w:t>
      </w:r>
      <w:r>
        <w:rPr>
          <w:rFonts w:hint="default" w:ascii="Times New Roman" w:hAnsi="Times New Roman" w:eastAsia="宋体" w:cs="Times New Roman"/>
          <w:b/>
          <w:szCs w:val="21"/>
        </w:rPr>
        <w:t>执</w:t>
      </w:r>
      <w:r>
        <w:rPr>
          <w:rFonts w:hint="default" w:ascii="Times New Roman" w:hAnsi="Times New Roman" w:eastAsia="宋体" w:cs="Times New Roman"/>
          <w:b/>
          <w:szCs w:val="21"/>
          <w:lang w:val="en-US" w:eastAsia="zh-CN"/>
        </w:rPr>
        <w:t>二</w:t>
      </w:r>
      <w:r>
        <w:rPr>
          <w:rFonts w:hint="default" w:ascii="Times New Roman" w:hAnsi="Times New Roman" w:eastAsia="宋体" w:cs="Times New Roman"/>
          <w:b/>
          <w:szCs w:val="21"/>
        </w:rPr>
        <w:t>份。</w:t>
      </w:r>
    </w:p>
    <w:p w14:paraId="21FE9109">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六、本协议书经双方盖章后生效。</w:t>
      </w:r>
    </w:p>
    <w:p w14:paraId="3477AE71">
      <w:pPr>
        <w:spacing w:line="550" w:lineRule="exact"/>
        <w:ind w:left="0" w:leftChars="0" w:firstLine="0" w:firstLineChars="0"/>
        <w:rPr>
          <w:rFonts w:hint="default" w:ascii="Times New Roman" w:hAnsi="Times New Roman" w:eastAsia="宋体" w:cs="Times New Roman"/>
          <w:b/>
          <w:szCs w:val="21"/>
        </w:rPr>
      </w:pPr>
      <w:r>
        <w:rPr>
          <w:rFonts w:hint="default" w:ascii="Times New Roman" w:hAnsi="Times New Roman" w:eastAsia="宋体" w:cs="Times New Roman"/>
          <w:b/>
          <w:szCs w:val="21"/>
        </w:rPr>
        <w:t>七、协议期限：</w:t>
      </w:r>
    </w:p>
    <w:p w14:paraId="269784ED">
      <w:pPr>
        <w:spacing w:line="550" w:lineRule="exact"/>
        <w:ind w:left="0" w:leftChars="0" w:firstLine="660" w:firstLineChars="300"/>
        <w:rPr>
          <w:rFonts w:hint="default" w:ascii="Times New Roman" w:hAnsi="Times New Roman" w:eastAsia="宋体" w:cs="Times New Roman"/>
          <w:szCs w:val="21"/>
        </w:rPr>
      </w:pPr>
      <w:r>
        <w:rPr>
          <w:rFonts w:hint="default" w:ascii="Times New Roman" w:hAnsi="Times New Roman" w:eastAsia="宋体" w:cs="Times New Roman"/>
          <w:szCs w:val="21"/>
        </w:rPr>
        <w:t>本协议期限应与主合同期限一致。如果主合同因故需要变更期限，本合同应与主同变更至相同期限。</w:t>
      </w:r>
    </w:p>
    <w:p w14:paraId="06B32377">
      <w:pPr>
        <w:spacing w:line="360"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（以下无正文）</w:t>
      </w:r>
    </w:p>
    <w:p w14:paraId="26D2E6D3">
      <w:pPr>
        <w:spacing w:line="276" w:lineRule="auto"/>
        <w:ind w:left="0" w:leftChars="0" w:firstLine="0" w:firstLineChars="0"/>
        <w:rPr>
          <w:rFonts w:hint="default" w:ascii="Times New Roman" w:hAnsi="Times New Roman" w:eastAsia="宋体" w:cs="Times New Roman"/>
          <w:szCs w:val="21"/>
        </w:rPr>
      </w:pPr>
    </w:p>
    <w:p w14:paraId="4A752F8E">
      <w:pPr>
        <w:spacing w:line="276" w:lineRule="auto"/>
        <w:ind w:left="0" w:leftChars="0" w:firstLine="0" w:firstLineChars="0"/>
        <w:rPr>
          <w:rFonts w:hint="default" w:ascii="Times New Roman" w:hAnsi="Times New Roman" w:eastAsia="宋体" w:cs="Times New Roman"/>
          <w:szCs w:val="21"/>
        </w:rPr>
      </w:pPr>
    </w:p>
    <w:p w14:paraId="73B6F2D6">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甲方 (章)：</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乙方(章)：</w:t>
      </w:r>
    </w:p>
    <w:p w14:paraId="6C10A9C1">
      <w:pPr>
        <w:spacing w:line="276" w:lineRule="auto"/>
        <w:ind w:left="0" w:leftChars="0" w:firstLine="0" w:firstLineChars="0"/>
        <w:rPr>
          <w:rFonts w:hint="default" w:ascii="Times New Roman" w:hAnsi="Times New Roman" w:eastAsia="宋体" w:cs="Times New Roman"/>
          <w:szCs w:val="21"/>
        </w:rPr>
      </w:pPr>
    </w:p>
    <w:p w14:paraId="489D0EC1">
      <w:pPr>
        <w:spacing w:line="276" w:lineRule="auto"/>
        <w:ind w:left="0" w:leftChars="0" w:firstLine="0" w:firstLineChars="0"/>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 xml:space="preserve"> </w:t>
      </w:r>
    </w:p>
    <w:p w14:paraId="78295320">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 xml:space="preserve">法人代表: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 法人代表:</w:t>
      </w:r>
    </w:p>
    <w:p w14:paraId="509D6E27">
      <w:pPr>
        <w:spacing w:line="276" w:lineRule="auto"/>
        <w:ind w:left="0" w:leftChars="0" w:firstLine="0" w:firstLineChars="0"/>
        <w:rPr>
          <w:rFonts w:hint="default" w:ascii="Times New Roman" w:hAnsi="Times New Roman" w:eastAsia="宋体" w:cs="Times New Roman"/>
          <w:szCs w:val="21"/>
        </w:rPr>
      </w:pPr>
    </w:p>
    <w:p w14:paraId="55418A3E">
      <w:pPr>
        <w:spacing w:line="276" w:lineRule="auto"/>
        <w:ind w:left="0" w:leftChars="0" w:firstLine="0" w:firstLineChars="0"/>
        <w:rPr>
          <w:rFonts w:hint="default" w:ascii="Times New Roman" w:hAnsi="Times New Roman" w:eastAsia="宋体" w:cs="Times New Roman"/>
          <w:szCs w:val="21"/>
        </w:rPr>
      </w:pPr>
    </w:p>
    <w:p w14:paraId="1471DB50">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 xml:space="preserve">法人委托代理人 :                              </w:t>
      </w:r>
      <w:r>
        <w:rPr>
          <w:rFonts w:hint="eastAsia" w:ascii="Times New Roman" w:hAnsi="Times New Roman" w:eastAsia="宋体" w:cs="Times New Roman"/>
          <w:szCs w:val="21"/>
          <w:lang w:val="en-US" w:eastAsia="zh-CN"/>
        </w:rPr>
        <w:t xml:space="preserve">                 </w:t>
      </w:r>
      <w:r>
        <w:rPr>
          <w:rFonts w:hint="eastAsia" w:ascii="Times New Roman" w:hAnsi="Times New Roman" w:cs="Times New Roman"/>
          <w:szCs w:val="21"/>
          <w:lang w:val="en-US" w:eastAsia="zh-CN"/>
        </w:rPr>
        <w:t xml:space="preserve">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法人委托代理人:</w:t>
      </w:r>
    </w:p>
    <w:p w14:paraId="4305D397">
      <w:pPr>
        <w:spacing w:line="276" w:lineRule="auto"/>
        <w:ind w:left="0" w:leftChars="0" w:firstLine="0" w:firstLineChars="0"/>
        <w:rPr>
          <w:rFonts w:hint="default" w:ascii="Times New Roman" w:hAnsi="Times New Roman" w:eastAsia="宋体" w:cs="Times New Roman"/>
          <w:szCs w:val="21"/>
        </w:rPr>
      </w:pPr>
    </w:p>
    <w:p w14:paraId="00CD2C72">
      <w:pPr>
        <w:spacing w:line="276" w:lineRule="auto"/>
        <w:ind w:left="0" w:leftChars="0" w:firstLine="0" w:firstLineChars="0"/>
        <w:rPr>
          <w:rFonts w:hint="default" w:ascii="Times New Roman" w:hAnsi="Times New Roman" w:eastAsia="宋体" w:cs="Times New Roman"/>
          <w:szCs w:val="21"/>
        </w:rPr>
      </w:pPr>
    </w:p>
    <w:p w14:paraId="6235B50D">
      <w:pPr>
        <w:spacing w:line="276" w:lineRule="auto"/>
        <w:ind w:left="0" w:leftChars="0" w:firstLine="0" w:firstLineChars="0"/>
        <w:rPr>
          <w:rFonts w:hint="default" w:ascii="Times New Roman" w:hAnsi="Times New Roman" w:eastAsia="宋体" w:cs="Times New Roman"/>
          <w:szCs w:val="21"/>
        </w:rPr>
      </w:pPr>
    </w:p>
    <w:p w14:paraId="5FEECD22">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 xml:space="preserve">6年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6</w:t>
      </w:r>
      <w:r>
        <w:rPr>
          <w:rFonts w:hint="default" w:ascii="Times New Roman" w:hAnsi="Times New Roman" w:eastAsia="宋体" w:cs="Times New Roman"/>
          <w:szCs w:val="21"/>
        </w:rPr>
        <w:t>年</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p>
    <w:p w14:paraId="2B3E458C">
      <w:pPr>
        <w:spacing w:line="276" w:lineRule="auto"/>
        <w:rPr>
          <w:rFonts w:hint="default" w:ascii="Times New Roman" w:hAnsi="Times New Roman" w:eastAsia="宋体" w:cs="Times New Roman"/>
          <w:szCs w:val="21"/>
        </w:rPr>
      </w:pPr>
    </w:p>
    <w:p w14:paraId="6D16A123">
      <w:pPr>
        <w:rPr>
          <w:rFonts w:hint="default" w:ascii="Times New Roman" w:hAnsi="Times New Roman" w:eastAsia="宋体" w:cs="Times New Roman"/>
        </w:rPr>
      </w:pPr>
    </w:p>
    <w:p w14:paraId="3F4255A3">
      <w:pPr>
        <w:rPr>
          <w:rFonts w:hint="default" w:ascii="Times New Roman" w:hAnsi="Times New Roman" w:eastAsia="宋体" w:cs="Times New Roman"/>
        </w:rPr>
      </w:pPr>
    </w:p>
    <w:p w14:paraId="40C73769">
      <w:pPr>
        <w:rPr>
          <w:rFonts w:hint="default" w:ascii="Times New Roman" w:hAnsi="Times New Roman" w:eastAsia="宋体" w:cs="Times New Roman"/>
        </w:rPr>
      </w:pPr>
    </w:p>
    <w:p w14:paraId="4247866D">
      <w:pPr>
        <w:rPr>
          <w:rFonts w:hint="default" w:ascii="Times New Roman" w:hAnsi="Times New Roman" w:eastAsia="宋体" w:cs="Times New Roman"/>
        </w:rPr>
      </w:pPr>
    </w:p>
    <w:p w14:paraId="145EFF3D">
      <w:pPr>
        <w:rPr>
          <w:rFonts w:hint="default" w:ascii="Times New Roman" w:hAnsi="Times New Roman" w:eastAsia="宋体" w:cs="Times New Roman"/>
        </w:rPr>
      </w:pPr>
    </w:p>
    <w:p w14:paraId="22B33C21">
      <w:pPr>
        <w:rPr>
          <w:rFonts w:hint="default" w:ascii="Times New Roman" w:hAnsi="Times New Roman" w:eastAsia="宋体" w:cs="Times New Roman"/>
        </w:rPr>
      </w:pPr>
    </w:p>
    <w:p w14:paraId="124A676D">
      <w:pPr>
        <w:rPr>
          <w:rFonts w:hint="default" w:ascii="Times New Roman" w:hAnsi="Times New Roman" w:eastAsia="宋体" w:cs="Times New Roman"/>
        </w:rPr>
      </w:pPr>
    </w:p>
    <w:p w14:paraId="02D8852A">
      <w:pPr>
        <w:rPr>
          <w:rFonts w:hint="default" w:ascii="Times New Roman" w:hAnsi="Times New Roman" w:eastAsia="宋体" w:cs="Times New Roman"/>
        </w:rPr>
      </w:pPr>
    </w:p>
    <w:p w14:paraId="0BC9A0A1">
      <w:pPr>
        <w:rPr>
          <w:rFonts w:hint="default" w:ascii="Times New Roman" w:hAnsi="Times New Roman" w:eastAsia="宋体" w:cs="Times New Roman"/>
        </w:rPr>
      </w:pPr>
    </w:p>
    <w:p w14:paraId="02DA1D92">
      <w:pPr>
        <w:rPr>
          <w:rFonts w:hint="default" w:ascii="Times New Roman" w:hAnsi="Times New Roman" w:eastAsia="宋体" w:cs="Times New Roman"/>
        </w:rPr>
      </w:pPr>
    </w:p>
    <w:p w14:paraId="268FD8D4">
      <w:pPr>
        <w:rPr>
          <w:rFonts w:hint="default" w:ascii="Times New Roman" w:hAnsi="Times New Roman" w:eastAsia="宋体" w:cs="Times New Roman"/>
        </w:rPr>
      </w:pPr>
    </w:p>
    <w:p w14:paraId="0A997BA7">
      <w:pPr>
        <w:rPr>
          <w:rFonts w:hint="default" w:ascii="Times New Roman" w:hAnsi="Times New Roman" w:eastAsia="宋体" w:cs="Times New Roman"/>
        </w:rPr>
      </w:pPr>
    </w:p>
    <w:p w14:paraId="6744454D">
      <w:pPr>
        <w:rPr>
          <w:rFonts w:hint="default" w:ascii="Times New Roman" w:hAnsi="Times New Roman" w:eastAsia="宋体" w:cs="Times New Roman"/>
        </w:rPr>
      </w:pPr>
    </w:p>
    <w:p w14:paraId="761A9581">
      <w:pPr>
        <w:rPr>
          <w:rFonts w:hint="default" w:ascii="Times New Roman" w:hAnsi="Times New Roman" w:eastAsia="宋体" w:cs="Times New Roman"/>
        </w:rPr>
      </w:pPr>
    </w:p>
    <w:p w14:paraId="1FB97DF2">
      <w:pPr>
        <w:rPr>
          <w:rFonts w:hint="default" w:ascii="Times New Roman" w:hAnsi="Times New Roman" w:eastAsia="宋体" w:cs="Times New Roman"/>
        </w:rPr>
      </w:pPr>
    </w:p>
    <w:p w14:paraId="29B1700F">
      <w:pPr>
        <w:rPr>
          <w:rFonts w:hint="default" w:ascii="Times New Roman" w:hAnsi="Times New Roman" w:eastAsia="宋体" w:cs="Times New Roman"/>
        </w:rPr>
      </w:pPr>
    </w:p>
    <w:p w14:paraId="6CD33067">
      <w:pPr>
        <w:rPr>
          <w:rFonts w:hint="default" w:ascii="Times New Roman" w:hAnsi="Times New Roman" w:eastAsia="宋体" w:cs="Times New Roman"/>
        </w:rPr>
      </w:pPr>
    </w:p>
    <w:p w14:paraId="5CA73392">
      <w:pPr>
        <w:rPr>
          <w:rFonts w:hint="default" w:ascii="Times New Roman" w:hAnsi="Times New Roman" w:eastAsia="宋体" w:cs="Times New Roman"/>
        </w:rPr>
      </w:pPr>
    </w:p>
    <w:p w14:paraId="44B8F3CB">
      <w:pPr>
        <w:rPr>
          <w:rFonts w:hint="default" w:ascii="Times New Roman" w:hAnsi="Times New Roman" w:eastAsia="宋体" w:cs="Times New Roman"/>
        </w:rPr>
      </w:pPr>
    </w:p>
    <w:p w14:paraId="7B47B32E">
      <w:pPr>
        <w:rPr>
          <w:rFonts w:hint="default" w:ascii="Times New Roman" w:hAnsi="Times New Roman" w:eastAsia="宋体" w:cs="Times New Roman"/>
        </w:rPr>
      </w:pPr>
    </w:p>
    <w:p w14:paraId="55CE794B">
      <w:pPr>
        <w:rPr>
          <w:rFonts w:hint="default" w:ascii="Times New Roman" w:hAnsi="Times New Roman" w:eastAsia="宋体" w:cs="Times New Roman"/>
        </w:rPr>
      </w:pPr>
    </w:p>
    <w:p w14:paraId="119006D4">
      <w:pPr>
        <w:rPr>
          <w:rFonts w:hint="default" w:ascii="Times New Roman" w:hAnsi="Times New Roman" w:eastAsia="宋体" w:cs="Times New Roman"/>
        </w:rPr>
      </w:pPr>
    </w:p>
    <w:p w14:paraId="0584CD4C">
      <w:pPr>
        <w:rPr>
          <w:rFonts w:hint="default" w:ascii="Times New Roman" w:hAnsi="Times New Roman" w:eastAsia="宋体" w:cs="Times New Roman"/>
        </w:rPr>
      </w:pPr>
    </w:p>
    <w:p w14:paraId="0C03C83E">
      <w:pPr>
        <w:rPr>
          <w:rFonts w:hint="default" w:ascii="Times New Roman" w:hAnsi="Times New Roman" w:eastAsia="宋体" w:cs="Times New Roman"/>
        </w:rPr>
      </w:pPr>
    </w:p>
    <w:p w14:paraId="64D6C4DE">
      <w:pPr>
        <w:rPr>
          <w:rFonts w:hint="default" w:ascii="Times New Roman" w:hAnsi="Times New Roman" w:eastAsia="宋体" w:cs="Times New Roman"/>
        </w:rPr>
      </w:pPr>
    </w:p>
    <w:p w14:paraId="0B547335">
      <w:pPr>
        <w:rPr>
          <w:rFonts w:hint="default" w:ascii="Times New Roman" w:hAnsi="Times New Roman" w:eastAsia="宋体" w:cs="Times New Roman"/>
        </w:rPr>
      </w:pPr>
    </w:p>
    <w:p w14:paraId="146D6C70">
      <w:pPr>
        <w:pStyle w:val="71"/>
        <w:numPr>
          <w:ilvl w:val="0"/>
          <w:numId w:val="0"/>
        </w:numPr>
        <w:ind w:leftChars="0"/>
        <w:jc w:val="left"/>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附件2</w:t>
      </w:r>
    </w:p>
    <w:p w14:paraId="3F4DA7EB">
      <w:pPr>
        <w:pStyle w:val="71"/>
        <w:numPr>
          <w:ilvl w:val="0"/>
          <w:numId w:val="0"/>
        </w:numPr>
        <w:ind w:leftChars="0"/>
        <w:jc w:val="center"/>
        <w:rPr>
          <w:rFonts w:hint="default" w:ascii="Times New Roman" w:hAnsi="Times New Roman" w:eastAsia="宋体" w:cs="Times New Roman"/>
          <w:b/>
          <w:bCs/>
          <w:sz w:val="32"/>
          <w:szCs w:val="36"/>
          <w:lang w:val="en-US" w:eastAsia="zh-CN"/>
        </w:rPr>
      </w:pPr>
      <w:r>
        <w:rPr>
          <w:rFonts w:hint="default" w:ascii="Times New Roman" w:hAnsi="Times New Roman" w:eastAsia="宋体" w:cs="Times New Roman"/>
          <w:b/>
          <w:bCs/>
          <w:sz w:val="32"/>
          <w:szCs w:val="36"/>
          <w:lang w:val="en-US" w:eastAsia="zh-CN"/>
        </w:rPr>
        <w:t>人员、车辆入厂安全管理协议</w:t>
      </w:r>
    </w:p>
    <w:p w14:paraId="3D5872C7">
      <w:pPr>
        <w:spacing w:line="480" w:lineRule="exact"/>
        <w:rPr>
          <w:rFonts w:hint="default" w:ascii="Times New Roman" w:hAnsi="Times New Roman" w:eastAsia="宋体" w:cs="Times New Roman"/>
          <w:b/>
          <w:bCs/>
          <w:sz w:val="24"/>
          <w:szCs w:val="24"/>
          <w:u w:val="single"/>
          <w:lang w:eastAsia="zh-CN"/>
        </w:rPr>
      </w:pPr>
      <w:r>
        <w:rPr>
          <w:rFonts w:hint="default" w:ascii="Times New Roman" w:hAnsi="Times New Roman" w:eastAsia="宋体" w:cs="Times New Roman"/>
          <w:b/>
          <w:bCs/>
          <w:sz w:val="24"/>
          <w:szCs w:val="24"/>
          <w:u w:val="single"/>
          <w:lang w:eastAsia="zh-CN"/>
        </w:rPr>
        <w:t>甲方：</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p>
    <w:p w14:paraId="022BF037">
      <w:pPr>
        <w:keepNext w:val="0"/>
        <w:keepLines w:val="0"/>
        <w:pageBreakBefore w:val="0"/>
        <w:widowControl w:val="0"/>
        <w:kinsoku/>
        <w:wordWrap/>
        <w:overflowPunct/>
        <w:topLinePunct w:val="0"/>
        <w:autoSpaceDE w:val="0"/>
        <w:autoSpaceDN w:val="0"/>
        <w:bidi w:val="0"/>
        <w:adjustRightInd/>
        <w:snapToGrid/>
        <w:spacing w:before="157" w:beforeLines="50" w:after="313" w:afterLines="100" w:line="360" w:lineRule="auto"/>
        <w:ind w:left="-526" w:leftChars="-239" w:firstLine="508" w:firstLineChars="211"/>
        <w:textAlignment w:val="auto"/>
        <w:rPr>
          <w:rFonts w:hint="default" w:ascii="Times New Roman" w:hAnsi="Times New Roman" w:eastAsia="宋体" w:cs="Times New Roman"/>
          <w:b/>
          <w:bCs/>
          <w:sz w:val="24"/>
          <w:szCs w:val="24"/>
          <w:u w:val="single"/>
          <w:lang w:eastAsia="zh-CN"/>
        </w:rPr>
      </w:pPr>
      <w:r>
        <w:rPr>
          <w:rFonts w:hint="default" w:ascii="Times New Roman" w:hAnsi="Times New Roman" w:eastAsia="宋体" w:cs="Times New Roman"/>
          <w:b/>
          <w:bCs/>
          <w:sz w:val="24"/>
          <w:szCs w:val="24"/>
          <w:u w:val="single"/>
          <w:lang w:eastAsia="zh-CN"/>
        </w:rPr>
        <w:t>乙方：</w:t>
      </w:r>
      <w:r>
        <w:rPr>
          <w:rFonts w:hint="eastAsia" w:ascii="Times New Roman" w:hAnsi="Times New Roman" w:cs="Times New Roman"/>
          <w:b/>
          <w:bCs/>
          <w:sz w:val="24"/>
          <w:szCs w:val="24"/>
          <w:u w:val="single"/>
          <w:lang w:val="en-US" w:eastAsia="zh-CN"/>
        </w:rPr>
        <w:t xml:space="preserve">                                              </w:t>
      </w:r>
      <w:r>
        <w:rPr>
          <w:rFonts w:hint="default" w:ascii="Times New Roman" w:hAnsi="Times New Roman" w:eastAsia="宋体" w:cs="Times New Roman"/>
          <w:b/>
          <w:bCs/>
          <w:sz w:val="24"/>
          <w:szCs w:val="24"/>
          <w:u w:val="single"/>
          <w:lang w:eastAsia="zh-CN"/>
        </w:rPr>
        <w:t xml:space="preserve"> </w:t>
      </w:r>
    </w:p>
    <w:p w14:paraId="091D4A24">
      <w:pPr>
        <w:spacing w:line="360" w:lineRule="auto"/>
        <w:ind w:left="-526" w:leftChars="-239" w:firstLine="464" w:firstLineChars="211"/>
        <w:rPr>
          <w:rFonts w:hint="default" w:ascii="Times New Roman" w:hAnsi="Times New Roman" w:eastAsia="宋体" w:cs="Times New Roman"/>
          <w:szCs w:val="21"/>
        </w:rPr>
      </w:pPr>
      <w:r>
        <w:rPr>
          <w:rFonts w:hint="default" w:ascii="Times New Roman" w:hAnsi="Times New Roman" w:eastAsia="宋体" w:cs="Times New Roman"/>
          <w:szCs w:val="21"/>
        </w:rPr>
        <w:t>为进一步明确甲乙双方在合同履行过程中的</w:t>
      </w:r>
      <w:r>
        <w:rPr>
          <w:rFonts w:hint="default" w:ascii="Times New Roman" w:hAnsi="Times New Roman" w:eastAsia="宋体" w:cs="Times New Roman"/>
          <w:szCs w:val="21"/>
          <w:lang w:val="en-US" w:eastAsia="zh-CN"/>
        </w:rPr>
        <w:t>安全生产</w:t>
      </w:r>
      <w:r>
        <w:rPr>
          <w:rFonts w:hint="default" w:ascii="Times New Roman" w:hAnsi="Times New Roman" w:eastAsia="宋体" w:cs="Times New Roman"/>
          <w:szCs w:val="21"/>
        </w:rPr>
        <w:t>权利和义务及责任，经双方协商，双方自愿签订本协议，作为主合同的附件。</w:t>
      </w:r>
    </w:p>
    <w:p w14:paraId="5F863851">
      <w:pPr>
        <w:numPr>
          <w:ilvl w:val="0"/>
          <w:numId w:val="10"/>
        </w:numPr>
        <w:spacing w:line="360" w:lineRule="auto"/>
        <w:ind w:left="-526" w:leftChars="-239" w:firstLine="466" w:firstLineChars="211"/>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甲方的权利和义务</w:t>
      </w:r>
    </w:p>
    <w:p w14:paraId="3C409AA7">
      <w:pPr>
        <w:numPr>
          <w:ilvl w:val="0"/>
          <w:numId w:val="11"/>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甲方负责向乙方提供乙方需遵守的安全环保管理规定，并在入厂前向需要进入甲方厂区的人员进行安全告知。</w:t>
      </w:r>
    </w:p>
    <w:p w14:paraId="6172BBA6">
      <w:pPr>
        <w:numPr>
          <w:ilvl w:val="0"/>
          <w:numId w:val="11"/>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甲方应为乙方指定甲方厂区内的安全行车路线。</w:t>
      </w:r>
    </w:p>
    <w:p w14:paraId="5B424FDA">
      <w:pPr>
        <w:numPr>
          <w:ilvl w:val="0"/>
          <w:numId w:val="11"/>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甲方负责对乙方的入厂车辆和人员进行安全资质、车辆完好情况及人员健康情况进行检查，禁止不合格的车辆和人员入厂。</w:t>
      </w:r>
    </w:p>
    <w:p w14:paraId="55BAB0E8">
      <w:pPr>
        <w:numPr>
          <w:ilvl w:val="0"/>
          <w:numId w:val="11"/>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甲方对乙方车辆在甲方厂区门口、停车场及厂区内停放和行驶情况进行监督检查，有权对违规的车辆和人员按照甲方的规定进行处罚。</w:t>
      </w:r>
    </w:p>
    <w:p w14:paraId="5CB1BAAB">
      <w:pPr>
        <w:numPr>
          <w:ilvl w:val="0"/>
          <w:numId w:val="11"/>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甲方业务主管部门应全程委托专门人员引导乙方车辆和人员按指定的路线进入厂区、到达指定位置。</w:t>
      </w:r>
    </w:p>
    <w:p w14:paraId="0E067343">
      <w:pPr>
        <w:numPr>
          <w:ilvl w:val="0"/>
          <w:numId w:val="10"/>
        </w:numPr>
        <w:spacing w:line="360" w:lineRule="auto"/>
        <w:ind w:left="-526" w:leftChars="-239" w:firstLine="466" w:firstLineChars="211"/>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乙方的权利和义务</w:t>
      </w:r>
    </w:p>
    <w:p w14:paraId="2D357CF8">
      <w:pPr>
        <w:numPr>
          <w:ilvl w:val="0"/>
          <w:numId w:val="12"/>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32C61134">
      <w:pPr>
        <w:numPr>
          <w:ilvl w:val="0"/>
          <w:numId w:val="12"/>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乙方应为需进入甲方厂区的人员提供符合甲方要求的安全帽、劳保服、劳保鞋等劳动防护用品，并督促入厂人员规范佩戴和使用。</w:t>
      </w:r>
    </w:p>
    <w:p w14:paraId="274EA3A4">
      <w:pPr>
        <w:numPr>
          <w:ilvl w:val="0"/>
          <w:numId w:val="12"/>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034F1DC7">
      <w:pPr>
        <w:numPr>
          <w:ilvl w:val="0"/>
          <w:numId w:val="12"/>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A1412FE">
      <w:pPr>
        <w:numPr>
          <w:ilvl w:val="0"/>
          <w:numId w:val="12"/>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在厂区内卸货过程应根据甲方的要求进行卸货，积极接受甲方的现场管理，开具相应的作业许可证，并按甲方的操作规程进行卸货及作业。</w:t>
      </w:r>
    </w:p>
    <w:p w14:paraId="2C5086EF">
      <w:pPr>
        <w:numPr>
          <w:ilvl w:val="0"/>
          <w:numId w:val="12"/>
        </w:numPr>
        <w:spacing w:line="360" w:lineRule="auto"/>
        <w:ind w:leftChars="-28"/>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对于甲方在安全生产监管中发现的问题，乙方应按要求落实整改。</w:t>
      </w:r>
    </w:p>
    <w:p w14:paraId="3E197707">
      <w:pPr>
        <w:numPr>
          <w:ilvl w:val="0"/>
          <w:numId w:val="10"/>
        </w:numPr>
        <w:spacing w:line="550" w:lineRule="exact"/>
        <w:ind w:left="-526" w:leftChars="-239" w:firstLine="466" w:firstLineChars="211"/>
        <w:rPr>
          <w:rFonts w:hint="default" w:ascii="Times New Roman" w:hAnsi="Times New Roman" w:eastAsia="宋体" w:cs="Times New Roman"/>
          <w:b/>
          <w:szCs w:val="21"/>
        </w:rPr>
      </w:pPr>
      <w:r>
        <w:rPr>
          <w:rFonts w:hint="default" w:ascii="Times New Roman" w:hAnsi="Times New Roman" w:eastAsia="宋体" w:cs="Times New Roman"/>
          <w:b/>
          <w:szCs w:val="21"/>
        </w:rPr>
        <w:t>违约责任及处理</w:t>
      </w:r>
    </w:p>
    <w:p w14:paraId="18452185">
      <w:pPr>
        <w:numPr>
          <w:ilvl w:val="0"/>
          <w:numId w:val="13"/>
        </w:numPr>
        <w:spacing w:line="550" w:lineRule="exact"/>
        <w:ind w:leftChars="-28"/>
        <w:rPr>
          <w:rFonts w:hint="default" w:ascii="Times New Roman" w:hAnsi="Times New Roman" w:eastAsia="宋体" w:cs="Times New Roman"/>
          <w:szCs w:val="21"/>
        </w:rPr>
      </w:pPr>
      <w:r>
        <w:rPr>
          <w:rFonts w:hint="default" w:ascii="Times New Roman" w:hAnsi="Times New Roman" w:eastAsia="宋体" w:cs="Times New Roman"/>
          <w:szCs w:val="21"/>
        </w:rPr>
        <w:t>发生安全事故时，甲乙双方均有抢险、救灾的义务，所发生的费用由责任方承担。</w:t>
      </w:r>
    </w:p>
    <w:p w14:paraId="38366B70">
      <w:pPr>
        <w:numPr>
          <w:ilvl w:val="0"/>
          <w:numId w:val="13"/>
        </w:numPr>
        <w:spacing w:line="550" w:lineRule="exact"/>
        <w:ind w:leftChars="-28"/>
        <w:rPr>
          <w:rFonts w:hint="default" w:ascii="Times New Roman" w:hAnsi="Times New Roman" w:eastAsia="宋体" w:cs="Times New Roman"/>
          <w:szCs w:val="21"/>
        </w:rPr>
      </w:pPr>
      <w:r>
        <w:rPr>
          <w:rFonts w:hint="default" w:ascii="Times New Roman" w:hAnsi="Times New Roman" w:eastAsia="宋体" w:cs="Times New Roman"/>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4E5CABC">
      <w:pPr>
        <w:numPr>
          <w:ilvl w:val="0"/>
          <w:numId w:val="13"/>
        </w:numPr>
        <w:spacing w:line="550" w:lineRule="exact"/>
        <w:ind w:leftChars="-28"/>
        <w:rPr>
          <w:rFonts w:hint="default" w:ascii="Times New Roman" w:hAnsi="Times New Roman" w:eastAsia="宋体" w:cs="Times New Roman"/>
          <w:szCs w:val="21"/>
        </w:rPr>
      </w:pPr>
      <w:r>
        <w:rPr>
          <w:rFonts w:hint="default" w:ascii="Times New Roman" w:hAnsi="Times New Roman" w:eastAsia="宋体" w:cs="Times New Roman"/>
          <w:szCs w:val="21"/>
        </w:rPr>
        <w:t>甲方违约造成的事故，甲方承担全部责任，并按规定追究有关人员责任及上报。</w:t>
      </w:r>
    </w:p>
    <w:p w14:paraId="68ED1CEA">
      <w:pPr>
        <w:numPr>
          <w:ilvl w:val="0"/>
          <w:numId w:val="13"/>
        </w:numPr>
        <w:spacing w:line="550" w:lineRule="exact"/>
        <w:ind w:leftChars="-28"/>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 乙方在</w:t>
      </w:r>
      <w:r>
        <w:rPr>
          <w:rFonts w:hint="default" w:ascii="Times New Roman" w:hAnsi="Times New Roman" w:eastAsia="宋体" w:cs="Times New Roman"/>
          <w:color w:val="auto"/>
          <w:szCs w:val="21"/>
          <w:lang w:val="en-US" w:eastAsia="zh-CN"/>
        </w:rPr>
        <w:t>厂区内</w:t>
      </w:r>
      <w:r>
        <w:rPr>
          <w:rFonts w:hint="default" w:ascii="Times New Roman" w:hAnsi="Times New Roman" w:eastAsia="宋体" w:cs="Times New Roman"/>
          <w:color w:val="auto"/>
          <w:szCs w:val="21"/>
        </w:rPr>
        <w:t>中如果有违法、违规和违章行为，甲方将按照按国家法律、法规和甲方的HSE管理制度进行处罚。处罚款由乙方</w:t>
      </w:r>
      <w:r>
        <w:rPr>
          <w:rFonts w:hint="default" w:ascii="Times New Roman" w:hAnsi="Times New Roman" w:eastAsia="宋体" w:cs="Times New Roman"/>
          <w:color w:val="auto"/>
          <w:szCs w:val="21"/>
          <w:lang w:val="en-US" w:eastAsia="zh-CN"/>
        </w:rPr>
        <w:t>按甲方要求</w:t>
      </w:r>
      <w:r>
        <w:rPr>
          <w:rFonts w:hint="default" w:ascii="Times New Roman" w:hAnsi="Times New Roman" w:eastAsia="宋体" w:cs="Times New Roman"/>
          <w:color w:val="auto"/>
          <w:szCs w:val="21"/>
        </w:rPr>
        <w:t>交到甲方</w:t>
      </w:r>
      <w:r>
        <w:rPr>
          <w:rFonts w:hint="default" w:ascii="Times New Roman" w:hAnsi="Times New Roman" w:eastAsia="宋体" w:cs="Times New Roman"/>
          <w:color w:val="auto"/>
          <w:szCs w:val="21"/>
          <w:lang w:val="en-US" w:eastAsia="zh-CN"/>
        </w:rPr>
        <w:t>指定部门或账户</w:t>
      </w:r>
      <w:r>
        <w:rPr>
          <w:rFonts w:hint="default" w:ascii="Times New Roman" w:hAnsi="Times New Roman" w:eastAsia="宋体" w:cs="Times New Roman"/>
          <w:color w:val="auto"/>
          <w:szCs w:val="21"/>
        </w:rPr>
        <w:t>，对不按时缴纳罚款的，甲方可以从乙方</w:t>
      </w:r>
      <w:r>
        <w:rPr>
          <w:rFonts w:hint="default" w:ascii="Times New Roman" w:hAnsi="Times New Roman" w:eastAsia="宋体" w:cs="Times New Roman"/>
          <w:color w:val="auto"/>
          <w:szCs w:val="21"/>
          <w:lang w:val="en-US" w:eastAsia="zh-CN"/>
        </w:rPr>
        <w:t>合同</w:t>
      </w:r>
      <w:r>
        <w:rPr>
          <w:rFonts w:hint="default" w:ascii="Times New Roman" w:hAnsi="Times New Roman" w:eastAsia="宋体" w:cs="Times New Roman"/>
          <w:color w:val="auto"/>
          <w:szCs w:val="21"/>
        </w:rPr>
        <w:t>款双倍扣除。</w:t>
      </w:r>
    </w:p>
    <w:p w14:paraId="0A9366EC">
      <w:pPr>
        <w:numPr>
          <w:ilvl w:val="0"/>
          <w:numId w:val="13"/>
        </w:numPr>
        <w:spacing w:line="550" w:lineRule="exact"/>
        <w:ind w:leftChars="-28"/>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 乙方违约造成的事故，乙方承担全部责任；由于乙方</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服务质量及</w:t>
      </w:r>
      <w:r>
        <w:rPr>
          <w:rFonts w:hint="default" w:ascii="Times New Roman" w:hAnsi="Times New Roman" w:eastAsia="宋体" w:cs="Times New Roman"/>
          <w:color w:val="auto"/>
          <w:szCs w:val="21"/>
          <w:lang w:val="en-US" w:eastAsia="zh-CN"/>
        </w:rPr>
        <w:t>货物</w:t>
      </w:r>
      <w:r>
        <w:rPr>
          <w:rFonts w:hint="default" w:ascii="Times New Roman" w:hAnsi="Times New Roman" w:eastAsia="宋体" w:cs="Times New Roman"/>
          <w:color w:val="auto"/>
          <w:szCs w:val="21"/>
        </w:rPr>
        <w:t>质量导致的事故，由乙方承担全部责任构成犯罪的，依法追究刑事责任。</w:t>
      </w:r>
    </w:p>
    <w:p w14:paraId="6D3EC3C8">
      <w:pPr>
        <w:numPr>
          <w:ilvl w:val="0"/>
          <w:numId w:val="13"/>
        </w:numPr>
        <w:spacing w:line="550" w:lineRule="exact"/>
        <w:ind w:leftChars="-28"/>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对乙方发生事故后弄虚作假、隐瞒不报、迟报或谎报，一经查出，按有关规定处罚</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情节严重的，取消其进入甲方的市场资格。</w:t>
      </w:r>
    </w:p>
    <w:p w14:paraId="03A79A24">
      <w:pPr>
        <w:spacing w:line="550" w:lineRule="exact"/>
        <w:ind w:left="-526" w:leftChars="-239" w:firstLine="466" w:firstLineChars="211"/>
        <w:rPr>
          <w:rFonts w:hint="default" w:ascii="Times New Roman" w:hAnsi="Times New Roman" w:eastAsia="宋体" w:cs="Times New Roman"/>
          <w:b/>
          <w:szCs w:val="21"/>
        </w:rPr>
      </w:pPr>
      <w:r>
        <w:rPr>
          <w:rFonts w:hint="default" w:ascii="Times New Roman" w:hAnsi="Times New Roman" w:eastAsia="宋体" w:cs="Times New Roman"/>
          <w:b/>
          <w:szCs w:val="21"/>
        </w:rPr>
        <w:t>四、 不可抗力：</w:t>
      </w:r>
    </w:p>
    <w:p w14:paraId="4B1EB727">
      <w:pPr>
        <w:spacing w:line="550" w:lineRule="exact"/>
        <w:ind w:left="-551" w:leftChars="-339" w:hanging="195" w:hangingChars="89"/>
        <w:rPr>
          <w:rFonts w:hint="default" w:ascii="Times New Roman" w:hAnsi="Times New Roman" w:eastAsia="宋体" w:cs="Times New Roman"/>
          <w:szCs w:val="21"/>
        </w:rPr>
      </w:pP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由于不可抗力造成事故及产生的损失，甲乙双方各自承担相应的损失。</w:t>
      </w:r>
    </w:p>
    <w:p w14:paraId="378640D1">
      <w:pPr>
        <w:spacing w:line="360" w:lineRule="auto"/>
        <w:ind w:left="-526" w:leftChars="-239" w:firstLine="466" w:firstLineChars="211"/>
        <w:rPr>
          <w:rFonts w:hint="default" w:ascii="Times New Roman" w:hAnsi="Times New Roman" w:eastAsia="宋体" w:cs="Times New Roman"/>
          <w:szCs w:val="21"/>
        </w:rPr>
      </w:pPr>
      <w:r>
        <w:rPr>
          <w:rFonts w:hint="default" w:ascii="Times New Roman" w:hAnsi="Times New Roman" w:eastAsia="宋体" w:cs="Times New Roman"/>
          <w:b/>
          <w:szCs w:val="21"/>
        </w:rPr>
        <w:t>五、</w:t>
      </w:r>
      <w:r>
        <w:rPr>
          <w:rFonts w:hint="default" w:ascii="Times New Roman" w:hAnsi="Times New Roman" w:eastAsia="宋体" w:cs="Times New Roman"/>
          <w:szCs w:val="21"/>
        </w:rPr>
        <w:t>本协议书一式</w:t>
      </w:r>
      <w:r>
        <w:rPr>
          <w:rFonts w:hint="default" w:ascii="Times New Roman" w:hAnsi="Times New Roman" w:eastAsia="宋体" w:cs="Times New Roman"/>
          <w:szCs w:val="21"/>
          <w:lang w:val="en-US" w:eastAsia="zh-CN"/>
        </w:rPr>
        <w:t>陆</w:t>
      </w:r>
      <w:r>
        <w:rPr>
          <w:rFonts w:hint="default" w:ascii="Times New Roman" w:hAnsi="Times New Roman" w:eastAsia="宋体" w:cs="Times New Roman"/>
          <w:szCs w:val="21"/>
        </w:rPr>
        <w:t>份，甲</w:t>
      </w:r>
      <w:r>
        <w:rPr>
          <w:rFonts w:hint="default" w:ascii="Times New Roman" w:hAnsi="Times New Roman" w:eastAsia="宋体" w:cs="Times New Roman"/>
          <w:szCs w:val="21"/>
          <w:lang w:val="en-US" w:eastAsia="zh-CN"/>
        </w:rPr>
        <w:t>方执四份，</w:t>
      </w:r>
      <w:r>
        <w:rPr>
          <w:rFonts w:hint="default" w:ascii="Times New Roman" w:hAnsi="Times New Roman" w:eastAsia="宋体" w:cs="Times New Roman"/>
          <w:szCs w:val="21"/>
        </w:rPr>
        <w:t>乙方执</w:t>
      </w:r>
      <w:r>
        <w:rPr>
          <w:rFonts w:hint="default" w:ascii="Times New Roman" w:hAnsi="Times New Roman" w:eastAsia="宋体" w:cs="Times New Roman"/>
          <w:szCs w:val="21"/>
          <w:lang w:val="en-US" w:eastAsia="zh-CN"/>
        </w:rPr>
        <w:t>二</w:t>
      </w:r>
      <w:r>
        <w:rPr>
          <w:rFonts w:hint="default" w:ascii="Times New Roman" w:hAnsi="Times New Roman" w:eastAsia="宋体" w:cs="Times New Roman"/>
          <w:szCs w:val="21"/>
        </w:rPr>
        <w:t>份。</w:t>
      </w:r>
    </w:p>
    <w:p w14:paraId="35D21F0E">
      <w:pPr>
        <w:spacing w:line="360" w:lineRule="auto"/>
        <w:ind w:left="-526" w:leftChars="-239" w:firstLine="466" w:firstLineChars="211"/>
        <w:rPr>
          <w:rFonts w:hint="default" w:ascii="Times New Roman" w:hAnsi="Times New Roman" w:eastAsia="宋体" w:cs="Times New Roman"/>
          <w:szCs w:val="21"/>
        </w:rPr>
      </w:pPr>
      <w:r>
        <w:rPr>
          <w:rFonts w:hint="default" w:ascii="Times New Roman" w:hAnsi="Times New Roman" w:eastAsia="宋体" w:cs="Times New Roman"/>
          <w:b/>
          <w:szCs w:val="21"/>
        </w:rPr>
        <w:t>六、</w:t>
      </w:r>
      <w:r>
        <w:rPr>
          <w:rFonts w:hint="default" w:ascii="Times New Roman" w:hAnsi="Times New Roman" w:eastAsia="宋体" w:cs="Times New Roman"/>
          <w:szCs w:val="21"/>
        </w:rPr>
        <w:t>本协议书经双方盖章后生效。</w:t>
      </w:r>
    </w:p>
    <w:p w14:paraId="650545B6">
      <w:pPr>
        <w:spacing w:line="550" w:lineRule="exact"/>
        <w:ind w:left="-526" w:leftChars="-239" w:firstLine="466" w:firstLineChars="211"/>
        <w:rPr>
          <w:rFonts w:hint="default" w:ascii="Times New Roman" w:hAnsi="Times New Roman" w:eastAsia="宋体" w:cs="Times New Roman"/>
          <w:b/>
          <w:szCs w:val="21"/>
        </w:rPr>
      </w:pPr>
      <w:r>
        <w:rPr>
          <w:rFonts w:hint="default" w:ascii="Times New Roman" w:hAnsi="Times New Roman" w:eastAsia="宋体" w:cs="Times New Roman"/>
          <w:b/>
          <w:szCs w:val="21"/>
        </w:rPr>
        <w:t>七、协议期限：</w:t>
      </w:r>
    </w:p>
    <w:p w14:paraId="0C49C300">
      <w:pPr>
        <w:spacing w:line="550" w:lineRule="exact"/>
        <w:ind w:left="0" w:leftChars="0" w:firstLine="550" w:firstLineChars="250"/>
        <w:rPr>
          <w:rFonts w:hint="default" w:ascii="Times New Roman" w:hAnsi="Times New Roman" w:eastAsia="宋体" w:cs="Times New Roman"/>
          <w:szCs w:val="21"/>
        </w:rPr>
      </w:pPr>
      <w:r>
        <w:rPr>
          <w:rFonts w:hint="default" w:ascii="Times New Roman" w:hAnsi="Times New Roman" w:eastAsia="宋体" w:cs="Times New Roman"/>
          <w:szCs w:val="21"/>
        </w:rPr>
        <w:t>本协议期限应与主合同期限一致。如果主合同因故需要变更期限，本合同应与主同变更至相同期限。</w:t>
      </w:r>
    </w:p>
    <w:p w14:paraId="3F58B0C2">
      <w:pPr>
        <w:spacing w:line="360" w:lineRule="auto"/>
        <w:ind w:left="0" w:leftChars="0" w:firstLine="550" w:firstLineChars="250"/>
        <w:rPr>
          <w:rFonts w:hint="default" w:ascii="Times New Roman" w:hAnsi="Times New Roman" w:eastAsia="宋体" w:cs="Times New Roman"/>
          <w:szCs w:val="21"/>
        </w:rPr>
      </w:pPr>
      <w:r>
        <w:rPr>
          <w:rFonts w:hint="default" w:ascii="Times New Roman" w:hAnsi="Times New Roman" w:eastAsia="宋体" w:cs="Times New Roman"/>
          <w:szCs w:val="21"/>
        </w:rPr>
        <w:t>（以下无正文）</w:t>
      </w:r>
    </w:p>
    <w:p w14:paraId="6FECCF4E">
      <w:pPr>
        <w:spacing w:line="276" w:lineRule="auto"/>
        <w:ind w:left="0" w:leftChars="0" w:firstLine="550" w:firstLineChars="250"/>
        <w:rPr>
          <w:rFonts w:hint="default" w:ascii="Times New Roman" w:hAnsi="Times New Roman" w:eastAsia="宋体" w:cs="Times New Roman"/>
          <w:szCs w:val="21"/>
        </w:rPr>
      </w:pPr>
    </w:p>
    <w:p w14:paraId="3C0D26FC">
      <w:pPr>
        <w:spacing w:line="276" w:lineRule="auto"/>
        <w:ind w:left="0" w:leftChars="0" w:firstLine="0" w:firstLineChars="0"/>
        <w:rPr>
          <w:rFonts w:hint="default" w:ascii="Times New Roman" w:hAnsi="Times New Roman" w:eastAsia="宋体" w:cs="Times New Roman"/>
          <w:szCs w:val="21"/>
        </w:rPr>
      </w:pPr>
      <w:r>
        <w:rPr>
          <w:rFonts w:hint="default" w:ascii="Times New Roman" w:hAnsi="Times New Roman" w:eastAsia="宋体" w:cs="Times New Roman"/>
          <w:szCs w:val="21"/>
        </w:rPr>
        <w:t>甲方 (章)：</w:t>
      </w:r>
      <w:r>
        <w:rPr>
          <w:rFonts w:hint="eastAsia" w:ascii="Times New Roman" w:hAnsi="Times New Roman" w:eastAsia="宋体" w:cs="Times New Roman"/>
          <w:b/>
          <w:bCs/>
          <w:sz w:val="24"/>
          <w:szCs w:val="24"/>
          <w:u w:val="single"/>
          <w:lang w:val="en-US" w:eastAsia="zh-CN"/>
        </w:rPr>
        <w:t>福建福海创石油化工</w:t>
      </w:r>
      <w:r>
        <w:rPr>
          <w:rFonts w:hint="default" w:ascii="Times New Roman" w:hAnsi="Times New Roman" w:eastAsia="宋体" w:cs="Times New Roman"/>
          <w:b/>
          <w:bCs/>
          <w:sz w:val="24"/>
          <w:szCs w:val="24"/>
          <w:u w:val="single"/>
          <w:lang w:eastAsia="zh-CN"/>
        </w:rPr>
        <w:t>有限公司</w:t>
      </w: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乙方(章)：</w:t>
      </w:r>
    </w:p>
    <w:p w14:paraId="176A253C">
      <w:pPr>
        <w:spacing w:line="276" w:lineRule="auto"/>
        <w:ind w:left="0" w:leftChars="0" w:firstLine="0" w:firstLineChars="0"/>
        <w:rPr>
          <w:rFonts w:hint="default" w:ascii="Times New Roman" w:hAnsi="Times New Roman" w:eastAsia="宋体" w:cs="Times New Roman"/>
          <w:szCs w:val="21"/>
        </w:rPr>
      </w:pPr>
    </w:p>
    <w:p w14:paraId="334ACB02">
      <w:pPr>
        <w:widowControl/>
        <w:autoSpaceDE/>
        <w:autoSpaceDN/>
        <w:rPr>
          <w:rFonts w:hAnsi="Calibri" w:cs="Times New Roman"/>
          <w:b/>
          <w:bCs/>
          <w:sz w:val="24"/>
          <w:szCs w:val="24"/>
          <w:lang w:eastAsia="zh-CN"/>
        </w:rPr>
      </w:pPr>
      <w:r>
        <w:rPr>
          <w:rFonts w:hint="default" w:ascii="Times New Roman" w:hAnsi="Times New Roman" w:eastAsia="宋体" w:cs="Times New Roman"/>
          <w:szCs w:val="21"/>
        </w:rPr>
        <w:t>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6</w:t>
      </w:r>
      <w:r>
        <w:rPr>
          <w:rFonts w:hint="default" w:ascii="Times New Roman" w:hAnsi="Times New Roman" w:eastAsia="宋体" w:cs="Times New Roman"/>
          <w:szCs w:val="21"/>
        </w:rPr>
        <w:t>年</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签定日期：</w:t>
      </w:r>
      <w:r>
        <w:rPr>
          <w:rFonts w:hint="default" w:ascii="Times New Roman" w:hAnsi="Times New Roman" w:eastAsia="宋体" w:cs="Times New Roman"/>
          <w:szCs w:val="21"/>
          <w:lang w:val="en-US" w:eastAsia="zh-CN"/>
        </w:rPr>
        <w:t>202</w:t>
      </w:r>
      <w:r>
        <w:rPr>
          <w:rFonts w:hint="eastAsia" w:ascii="Times New Roman" w:hAnsi="Times New Roman" w:cs="Times New Roman"/>
          <w:szCs w:val="21"/>
          <w:lang w:val="en-US" w:eastAsia="zh-CN"/>
        </w:rPr>
        <w:t>6</w:t>
      </w:r>
      <w:r>
        <w:rPr>
          <w:rFonts w:hint="default" w:ascii="Times New Roman" w:hAnsi="Times New Roman" w:eastAsia="宋体" w:cs="Times New Roman"/>
          <w:szCs w:val="21"/>
        </w:rPr>
        <w:t>年</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月</w:t>
      </w:r>
      <w:r>
        <w:rPr>
          <w:rFonts w:hint="eastAsia" w:ascii="Times New Roman" w:hAnsi="Times New Roman" w:cs="Times New Roman"/>
          <w:szCs w:val="21"/>
          <w:lang w:val="en-US" w:eastAsia="zh-CN"/>
        </w:rPr>
        <w:t xml:space="preserve">    </w:t>
      </w:r>
      <w:r>
        <w:rPr>
          <w:rFonts w:hint="default" w:ascii="Times New Roman" w:hAnsi="Times New Roman" w:eastAsia="宋体" w:cs="Times New Roman"/>
          <w:szCs w:val="21"/>
        </w:rPr>
        <w:t xml:space="preserve">日  </w:t>
      </w:r>
      <w:r>
        <w:rPr>
          <w:b/>
          <w:bCs/>
          <w:sz w:val="24"/>
          <w:szCs w:val="24"/>
          <w:lang w:eastAsia="zh-CN"/>
        </w:rPr>
        <w:br w:type="page"/>
      </w:r>
    </w:p>
    <w:p w14:paraId="2B13B45E">
      <w:pPr>
        <w:pStyle w:val="2"/>
        <w:rPr>
          <w:b/>
          <w:bCs/>
          <w:sz w:val="24"/>
          <w:szCs w:val="24"/>
        </w:rPr>
      </w:pPr>
      <w:r>
        <w:rPr>
          <w:rFonts w:hint="eastAsia"/>
          <w:b/>
          <w:bCs/>
          <w:sz w:val="24"/>
          <w:szCs w:val="24"/>
        </w:rPr>
        <w:t>附件二、</w:t>
      </w:r>
      <w:r>
        <w:rPr>
          <w:rFonts w:hint="eastAsia"/>
          <w:b/>
          <w:bCs/>
          <w:sz w:val="24"/>
          <w:szCs w:val="24"/>
          <w:lang w:eastAsia="zh-CN"/>
        </w:rPr>
        <w:t>参比文件</w:t>
      </w:r>
      <w:r>
        <w:rPr>
          <w:rFonts w:hint="eastAsia"/>
          <w:b/>
          <w:bCs/>
          <w:sz w:val="24"/>
          <w:szCs w:val="24"/>
        </w:rPr>
        <w:t>范本</w:t>
      </w:r>
    </w:p>
    <w:p w14:paraId="1CEA5E9A">
      <w:pPr>
        <w:widowControl/>
        <w:autoSpaceDE/>
        <w:autoSpaceDN/>
        <w:rPr>
          <w:rFonts w:ascii="方正小标宋简体" w:hAnsi="方正小标宋简体" w:eastAsia="方正小标宋简体" w:cs="方正小标宋简体"/>
          <w:b/>
          <w:sz w:val="44"/>
          <w:szCs w:val="44"/>
          <w:lang w:eastAsia="zh-CN"/>
        </w:rPr>
      </w:pPr>
    </w:p>
    <w:p w14:paraId="0410D776">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133CDB03">
      <w:pPr>
        <w:pStyle w:val="25"/>
        <w:spacing w:line="615" w:lineRule="exact"/>
        <w:jc w:val="center"/>
        <w:rPr>
          <w:rFonts w:ascii="方正小标宋简体" w:hAnsi="方正小标宋简体" w:eastAsia="方正小标宋简体" w:cs="方正小标宋简体"/>
          <w:b/>
          <w:sz w:val="44"/>
          <w:szCs w:val="44"/>
          <w:lang w:eastAsia="zh-CN"/>
        </w:rPr>
      </w:pPr>
    </w:p>
    <w:p w14:paraId="582F68E4">
      <w:pPr>
        <w:pStyle w:val="25"/>
        <w:spacing w:line="615" w:lineRule="exact"/>
        <w:jc w:val="center"/>
        <w:rPr>
          <w:rFonts w:ascii="方正小标宋简体" w:hAnsi="方正小标宋简体" w:eastAsia="方正小标宋简体" w:cs="方正小标宋简体"/>
          <w:b/>
          <w:sz w:val="44"/>
          <w:szCs w:val="44"/>
          <w:lang w:eastAsia="zh-CN"/>
        </w:rPr>
      </w:pPr>
    </w:p>
    <w:p w14:paraId="4861ADA1">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PTA</w:t>
      </w:r>
      <w:r>
        <w:rPr>
          <w:rFonts w:hint="eastAsia" w:ascii="方正小标宋简体" w:hAnsi="方正小标宋简体" w:eastAsia="方正小标宋简体" w:cs="方正小标宋简体"/>
          <w:b/>
          <w:sz w:val="44"/>
          <w:szCs w:val="44"/>
          <w:lang w:eastAsia="zh-CN"/>
        </w:rPr>
        <w:t>废</w:t>
      </w:r>
      <w:r>
        <w:rPr>
          <w:rFonts w:hint="eastAsia" w:ascii="方正小标宋简体" w:hAnsi="方正小标宋简体" w:eastAsia="方正小标宋简体" w:cs="方正小标宋简体"/>
          <w:b/>
          <w:sz w:val="44"/>
          <w:szCs w:val="44"/>
          <w:lang w:val="en-US" w:eastAsia="zh-CN"/>
        </w:rPr>
        <w:t>料</w:t>
      </w:r>
      <w:r>
        <w:rPr>
          <w:rFonts w:hint="eastAsia" w:ascii="方正小标宋简体" w:hAnsi="方正小标宋简体" w:eastAsia="方正小标宋简体" w:cs="方正小标宋简体"/>
          <w:b/>
          <w:sz w:val="44"/>
          <w:szCs w:val="44"/>
          <w:lang w:eastAsia="zh-CN"/>
        </w:rPr>
        <w:t>委外处置项目</w:t>
      </w:r>
    </w:p>
    <w:p w14:paraId="3989E2E1">
      <w:pPr>
        <w:pStyle w:val="25"/>
        <w:spacing w:line="615" w:lineRule="exact"/>
        <w:jc w:val="center"/>
        <w:rPr>
          <w:rFonts w:ascii="方正小标宋简体" w:hAnsi="方正小标宋简体" w:eastAsia="方正小标宋简体" w:cs="方正小标宋简体"/>
          <w:b/>
          <w:sz w:val="44"/>
          <w:szCs w:val="44"/>
          <w:lang w:eastAsia="zh-CN"/>
        </w:rPr>
      </w:pPr>
    </w:p>
    <w:p w14:paraId="1AF4B90D">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询比</w:t>
      </w:r>
      <w:r>
        <w:rPr>
          <w:rFonts w:ascii="方正小标宋简体" w:hAnsi="方正小标宋简体" w:eastAsia="方正小标宋简体" w:cs="方正小标宋简体"/>
          <w:b/>
          <w:sz w:val="44"/>
          <w:szCs w:val="44"/>
          <w:lang w:eastAsia="zh-CN"/>
        </w:rPr>
        <w:t>文件</w:t>
      </w:r>
    </w:p>
    <w:p w14:paraId="14BAF963">
      <w:pPr>
        <w:pStyle w:val="2"/>
      </w:pPr>
    </w:p>
    <w:p w14:paraId="7B12EAE3">
      <w:pPr>
        <w:pStyle w:val="25"/>
        <w:rPr>
          <w:rFonts w:ascii="Times New Roman" w:hAnsi="Times New Roman"/>
          <w:lang w:eastAsia="zh-CN"/>
        </w:rPr>
      </w:pPr>
    </w:p>
    <w:p w14:paraId="22A4755B">
      <w:pPr>
        <w:pStyle w:val="25"/>
        <w:rPr>
          <w:rFonts w:ascii="Times New Roman" w:hAnsi="Times New Roman"/>
          <w:lang w:eastAsia="zh-CN"/>
        </w:rPr>
      </w:pPr>
    </w:p>
    <w:p w14:paraId="07A6D52D">
      <w:pPr>
        <w:pStyle w:val="25"/>
        <w:rPr>
          <w:rFonts w:ascii="Times New Roman" w:hAnsi="Times New Roman"/>
          <w:lang w:eastAsia="zh-CN"/>
        </w:rPr>
      </w:pPr>
    </w:p>
    <w:p w14:paraId="6CD42B4D">
      <w:pPr>
        <w:pStyle w:val="25"/>
        <w:rPr>
          <w:rFonts w:ascii="Times New Roman" w:hAnsi="Times New Roman"/>
          <w:lang w:eastAsia="zh-CN"/>
        </w:rPr>
      </w:pPr>
    </w:p>
    <w:p w14:paraId="517309E9">
      <w:pPr>
        <w:pStyle w:val="25"/>
        <w:rPr>
          <w:rFonts w:ascii="Times New Roman" w:hAnsi="Times New Roman"/>
          <w:b/>
          <w:bCs/>
          <w:sz w:val="32"/>
          <w:szCs w:val="32"/>
          <w:lang w:eastAsia="zh-CN"/>
        </w:rPr>
      </w:pPr>
    </w:p>
    <w:p w14:paraId="46481DF5">
      <w:pPr>
        <w:pStyle w:val="25"/>
        <w:rPr>
          <w:rFonts w:ascii="Times New Roman" w:hAnsi="Times New Roman"/>
          <w:b/>
          <w:bCs/>
          <w:sz w:val="32"/>
          <w:szCs w:val="32"/>
          <w:lang w:eastAsia="zh-CN"/>
        </w:rPr>
      </w:pPr>
    </w:p>
    <w:p w14:paraId="256CC06A">
      <w:pPr>
        <w:pStyle w:val="25"/>
        <w:rPr>
          <w:rFonts w:ascii="Times New Roman" w:hAnsi="Times New Roman"/>
          <w:b/>
          <w:bCs/>
          <w:sz w:val="32"/>
          <w:szCs w:val="32"/>
          <w:lang w:eastAsia="zh-CN"/>
        </w:rPr>
      </w:pPr>
    </w:p>
    <w:p w14:paraId="069938D9">
      <w:pPr>
        <w:pStyle w:val="25"/>
        <w:rPr>
          <w:rFonts w:ascii="Times New Roman" w:hAnsi="Times New Roman"/>
          <w:b/>
          <w:bCs/>
          <w:sz w:val="32"/>
          <w:szCs w:val="36"/>
          <w:lang w:eastAsia="zh-CN"/>
        </w:rPr>
      </w:pPr>
    </w:p>
    <w:p w14:paraId="7A9DD4EC">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参比人</w:t>
      </w:r>
      <w:r>
        <w:rPr>
          <w:rFonts w:ascii="Times New Roman" w:hAnsi="Times New Roman"/>
          <w:b/>
          <w:bCs/>
          <w:w w:val="95"/>
          <w:sz w:val="32"/>
          <w:szCs w:val="32"/>
          <w:lang w:eastAsia="zh-CN"/>
        </w:rPr>
        <w:t>：</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2"/>
      </w:pPr>
    </w:p>
    <w:p w14:paraId="62AFBF3A">
      <w:pPr>
        <w:pStyle w:val="2"/>
      </w:pPr>
    </w:p>
    <w:p w14:paraId="73E5C37B">
      <w:pPr>
        <w:pStyle w:val="2"/>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1．参比人应按规定，向采购人递交参比文件，正本一份、副本一份，当正本与副本有不一致时，以正本为准。</w:t>
      </w:r>
    </w:p>
    <w:p w14:paraId="2B0164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6EAB819D">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3.提交参比文件时提供两个包装，商务参比文件（报价单）一个包装、技术参比文件一个包装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商务参比文件和技术参比文件（盖章扫描后P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电子拷贝U盘一份（随商务参比文件包装）</w:t>
      </w:r>
      <w:r>
        <w:rPr>
          <w:rFonts w:hint="eastAsia" w:cs="Times New Roman"/>
          <w:bCs w:val="0"/>
          <w:color w:val="C00000"/>
          <w:sz w:val="24"/>
          <w:szCs w:val="24"/>
          <w:lang w:eastAsia="zh-CN"/>
        </w:rPr>
        <w:t>。</w:t>
      </w:r>
    </w:p>
    <w:p w14:paraId="57CC46B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56F47F1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5.参比文件正本必须逐页或骑缝加盖参比人公章或由法人代表或法人代表授权人逐页签字方视为有效，同时应注明提交日期，否则因不合要求而引起的一切后果，由参比人自行负责。</w:t>
      </w:r>
    </w:p>
    <w:p w14:paraId="197D7DF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val="en-US" w:eastAsia="zh-CN"/>
                              </w:rPr>
                              <w:t>参</w:t>
                            </w:r>
                            <w:r>
                              <w:rPr>
                                <w:rFonts w:hint="eastAsia" w:cs="Arial"/>
                                <w:sz w:val="24"/>
                                <w:szCs w:val="24"/>
                                <w:lang w:eastAsia="zh-CN"/>
                              </w:rPr>
                              <w:t>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val="en-US" w:eastAsia="zh-CN"/>
                              </w:rPr>
                              <w:t>参</w:t>
                            </w:r>
                            <w:r>
                              <w:rPr>
                                <w:rFonts w:hint="eastAsia" w:cs="Arial"/>
                                <w:sz w:val="24"/>
                                <w:szCs w:val="24"/>
                                <w:lang w:eastAsia="zh-CN"/>
                              </w:rPr>
                              <w:t>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val="en-US" w:eastAsia="zh-CN"/>
                        </w:rPr>
                        <w:t>参</w:t>
                      </w:r>
                      <w:r>
                        <w:rPr>
                          <w:rFonts w:hint="eastAsia" w:cs="Arial"/>
                          <w:sz w:val="24"/>
                          <w:szCs w:val="24"/>
                          <w:lang w:eastAsia="zh-CN"/>
                        </w:rPr>
                        <w:t>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val="en-US" w:eastAsia="zh-CN"/>
                        </w:rPr>
                        <w:t>参</w:t>
                      </w:r>
                      <w:r>
                        <w:rPr>
                          <w:rFonts w:hint="eastAsia" w:cs="Arial"/>
                          <w:sz w:val="24"/>
                          <w:szCs w:val="24"/>
                          <w:lang w:eastAsia="zh-CN"/>
                        </w:rPr>
                        <w:t>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2"/>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86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D5E7AB">
            <w:pPr>
              <w:spacing w:line="500" w:lineRule="exact"/>
              <w:jc w:val="center"/>
              <w:rPr>
                <w:sz w:val="24"/>
              </w:rPr>
            </w:pPr>
            <w:r>
              <w:rPr>
                <w:rFonts w:hint="eastAsia"/>
                <w:sz w:val="24"/>
              </w:rPr>
              <w:t>7</w:t>
            </w:r>
          </w:p>
        </w:tc>
        <w:tc>
          <w:tcPr>
            <w:tcW w:w="6282" w:type="dxa"/>
          </w:tcPr>
          <w:p w14:paraId="4591A979">
            <w:pPr>
              <w:spacing w:line="500" w:lineRule="exact"/>
              <w:rPr>
                <w:lang w:eastAsia="zh-CN"/>
              </w:rPr>
            </w:pPr>
            <w:r>
              <w:rPr>
                <w:lang w:eastAsia="zh-CN"/>
              </w:rPr>
              <w:t>相关资质要求</w:t>
            </w:r>
            <w:r>
              <w:rPr>
                <w:rFonts w:hint="eastAsia"/>
                <w:lang w:eastAsia="zh-CN"/>
              </w:rPr>
              <w:t>证明材料</w:t>
            </w:r>
          </w:p>
        </w:tc>
        <w:tc>
          <w:tcPr>
            <w:tcW w:w="1843" w:type="dxa"/>
          </w:tcPr>
          <w:p w14:paraId="2DA5C7FA">
            <w:pPr>
              <w:spacing w:line="500" w:lineRule="exact"/>
              <w:jc w:val="center"/>
              <w:rPr>
                <w:sz w:val="24"/>
                <w:lang w:eastAsia="zh-CN"/>
              </w:rPr>
            </w:pPr>
          </w:p>
        </w:tc>
      </w:tr>
      <w:tr w14:paraId="39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CE089C">
            <w:pPr>
              <w:spacing w:line="500" w:lineRule="exact"/>
              <w:jc w:val="center"/>
              <w:rPr>
                <w:sz w:val="24"/>
                <w:lang w:eastAsia="zh-CN"/>
              </w:rPr>
            </w:pPr>
            <w:r>
              <w:rPr>
                <w:sz w:val="24"/>
                <w:lang w:eastAsia="zh-CN"/>
              </w:rPr>
              <w:t>8</w:t>
            </w:r>
          </w:p>
        </w:tc>
        <w:tc>
          <w:tcPr>
            <w:tcW w:w="6282" w:type="dxa"/>
          </w:tcPr>
          <w:p w14:paraId="17143B43">
            <w:pPr>
              <w:spacing w:line="500" w:lineRule="exact"/>
              <w:rPr>
                <w:lang w:eastAsia="zh-CN"/>
              </w:rPr>
            </w:pPr>
            <w:r>
              <w:rPr>
                <w:rFonts w:hint="eastAsia"/>
                <w:lang w:eastAsia="zh-CN"/>
              </w:rPr>
              <w:t>其他相关资料（如有）</w:t>
            </w:r>
          </w:p>
        </w:tc>
        <w:tc>
          <w:tcPr>
            <w:tcW w:w="1843" w:type="dxa"/>
          </w:tcPr>
          <w:p w14:paraId="4C74A9C1">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sz w:val="24"/>
                <w:lang w:eastAsia="zh-CN"/>
              </w:rPr>
              <w:t>9</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sz w:val="24"/>
                <w:lang w:eastAsia="zh-CN"/>
              </w:rPr>
              <w:t>10</w:t>
            </w:r>
          </w:p>
        </w:tc>
        <w:tc>
          <w:tcPr>
            <w:tcW w:w="6282" w:type="dxa"/>
          </w:tcPr>
          <w:p w14:paraId="2CB0D78F">
            <w:pPr>
              <w:spacing w:line="500" w:lineRule="exact"/>
              <w:rPr>
                <w:lang w:eastAsia="zh-CN"/>
              </w:rPr>
            </w:pPr>
            <w:r>
              <w:rPr>
                <w:rFonts w:hint="eastAsia"/>
                <w:lang w:eastAsia="zh-CN"/>
              </w:rPr>
              <w:t>参选报价单</w:t>
            </w:r>
          </w:p>
        </w:tc>
        <w:tc>
          <w:tcPr>
            <w:tcW w:w="1843" w:type="dxa"/>
          </w:tcPr>
          <w:p w14:paraId="4F4BDC0D">
            <w:pPr>
              <w:spacing w:line="500" w:lineRule="exact"/>
              <w:jc w:val="center"/>
              <w:rPr>
                <w:sz w:val="24"/>
              </w:rPr>
            </w:pPr>
            <w:r>
              <w:rPr>
                <w:sz w:val="24"/>
              </w:rPr>
              <w:t>商务</w:t>
            </w:r>
            <w:r>
              <w:rPr>
                <w:rFonts w:hint="eastAsia"/>
                <w:sz w:val="24"/>
                <w:lang w:eastAsia="zh-CN"/>
              </w:rPr>
              <w:t>参比文件</w:t>
            </w:r>
          </w:p>
        </w:tc>
      </w:tr>
    </w:tbl>
    <w:p w14:paraId="2084BB8C">
      <w:pPr>
        <w:spacing w:line="500" w:lineRule="exact"/>
        <w:jc w:val="center"/>
        <w:rPr>
          <w:b/>
          <w:bCs/>
          <w:sz w:val="24"/>
        </w:rPr>
      </w:pPr>
    </w:p>
    <w:p w14:paraId="430F5E35">
      <w:pPr>
        <w:pStyle w:val="2"/>
        <w:rPr>
          <w:b/>
          <w:bCs/>
          <w:sz w:val="36"/>
          <w:szCs w:val="36"/>
        </w:rPr>
      </w:pPr>
    </w:p>
    <w:p w14:paraId="4C99D564">
      <w:pPr>
        <w:pStyle w:val="2"/>
        <w:rPr>
          <w:b/>
          <w:bCs/>
          <w:sz w:val="36"/>
          <w:szCs w:val="36"/>
        </w:rPr>
      </w:pPr>
    </w:p>
    <w:p w14:paraId="799C6693">
      <w:pPr>
        <w:pStyle w:val="2"/>
        <w:rPr>
          <w:b/>
          <w:bCs/>
          <w:sz w:val="36"/>
          <w:szCs w:val="36"/>
        </w:rPr>
      </w:pPr>
    </w:p>
    <w:p w14:paraId="74B87878">
      <w:pPr>
        <w:spacing w:line="500" w:lineRule="exact"/>
        <w:rPr>
          <w:b/>
          <w:bCs/>
          <w:sz w:val="36"/>
          <w:szCs w:val="36"/>
          <w:lang w:eastAsia="zh-CN"/>
        </w:rPr>
      </w:pPr>
    </w:p>
    <w:p w14:paraId="1594D448">
      <w:pPr>
        <w:pStyle w:val="2"/>
        <w:rPr>
          <w:b/>
          <w:bCs/>
          <w:sz w:val="36"/>
          <w:szCs w:val="36"/>
        </w:rPr>
      </w:pPr>
    </w:p>
    <w:p w14:paraId="5155E7C2">
      <w:pPr>
        <w:pStyle w:val="2"/>
        <w:rPr>
          <w:b/>
          <w:bCs/>
          <w:sz w:val="36"/>
          <w:szCs w:val="36"/>
        </w:rPr>
      </w:pPr>
    </w:p>
    <w:p w14:paraId="444803A7">
      <w:pPr>
        <w:pStyle w:val="2"/>
      </w:pPr>
    </w:p>
    <w:p w14:paraId="4FD792FB">
      <w:pPr>
        <w:pStyle w:val="2"/>
      </w:pPr>
    </w:p>
    <w:p w14:paraId="2092CCB6">
      <w:pPr>
        <w:pStyle w:val="2"/>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致：福建福海创石油化工有限公司</w:t>
      </w:r>
    </w:p>
    <w:p w14:paraId="0F9F81B0">
      <w:pPr>
        <w:spacing w:line="500" w:lineRule="exact"/>
        <w:ind w:firstLine="480" w:firstLineChars="200"/>
        <w:rPr>
          <w:sz w:val="24"/>
          <w:lang w:eastAsia="zh-CN"/>
        </w:rPr>
      </w:pPr>
      <w:r>
        <w:rPr>
          <w:rFonts w:hint="eastAsia"/>
          <w:sz w:val="24"/>
          <w:lang w:eastAsia="zh-CN"/>
        </w:rPr>
        <w:t xml:space="preserve"> 根据贵方的参比文件，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（1）参比文件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2、我方将履行参比文件规定的每一项要求：如业主中选，将严格按照服务合同约定履行各项义务。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3、我公司报价有效期为参比文件收取时间截止期后30个工作日，如中选，有效期将延长至合同执行完毕。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2"/>
      </w:pPr>
    </w:p>
    <w:p w14:paraId="4B15DA13">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2"/>
        <w:jc w:val="center"/>
      </w:pPr>
    </w:p>
    <w:p w14:paraId="32C9D77C">
      <w:pPr>
        <w:pStyle w:val="2"/>
        <w:jc w:val="center"/>
      </w:pPr>
    </w:p>
    <w:p w14:paraId="0A2301AF">
      <w:pPr>
        <w:pStyle w:val="2"/>
        <w:jc w:val="center"/>
      </w:pPr>
    </w:p>
    <w:p w14:paraId="2B66F150">
      <w:pPr>
        <w:pStyle w:val="2"/>
        <w:jc w:val="center"/>
      </w:pPr>
    </w:p>
    <w:p w14:paraId="40605839">
      <w:pPr>
        <w:pStyle w:val="2"/>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2"/>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rFonts w:hint="eastAsia"/>
          <w:b/>
          <w:sz w:val="24"/>
          <w:u w:val="single"/>
          <w:lang w:val="en-US" w:eastAsia="zh-CN"/>
        </w:rPr>
        <w:t>PTA</w:t>
      </w:r>
      <w:r>
        <w:rPr>
          <w:rFonts w:hint="eastAsia"/>
          <w:b/>
          <w:bCs/>
          <w:sz w:val="24"/>
          <w:szCs w:val="22"/>
          <w:u w:val="single"/>
          <w:lang w:eastAsia="zh-CN"/>
        </w:rPr>
        <w:t>废</w:t>
      </w:r>
      <w:r>
        <w:rPr>
          <w:rFonts w:hint="eastAsia"/>
          <w:b/>
          <w:bCs/>
          <w:sz w:val="24"/>
          <w:szCs w:val="22"/>
          <w:u w:val="single"/>
          <w:lang w:val="en-US" w:eastAsia="zh-CN"/>
        </w:rPr>
        <w:t>料</w:t>
      </w:r>
      <w:r>
        <w:rPr>
          <w:rFonts w:hint="eastAsia"/>
          <w:b/>
          <w:bCs/>
          <w:sz w:val="24"/>
          <w:szCs w:val="22"/>
          <w:u w:val="single"/>
          <w:lang w:eastAsia="zh-CN"/>
        </w:rPr>
        <w:t>委外处置项目</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26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2"/>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2"/>
      </w:pPr>
    </w:p>
    <w:p w14:paraId="202FDF33">
      <w:pPr>
        <w:pStyle w:val="2"/>
      </w:pPr>
    </w:p>
    <w:p w14:paraId="7310FBF1">
      <w:pPr>
        <w:pStyle w:val="2"/>
      </w:pPr>
    </w:p>
    <w:p w14:paraId="014DAF12">
      <w:pPr>
        <w:pStyle w:val="2"/>
      </w:pPr>
    </w:p>
    <w:p w14:paraId="1B317C33">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2"/>
        <w:jc w:val="center"/>
        <w:rPr>
          <w:color w:val="4E6127"/>
        </w:rPr>
      </w:pPr>
    </w:p>
    <w:p w14:paraId="68D739EE">
      <w:pPr>
        <w:pStyle w:val="2"/>
        <w:jc w:val="center"/>
      </w:pPr>
    </w:p>
    <w:p w14:paraId="03AFB918">
      <w:pPr>
        <w:pStyle w:val="2"/>
        <w:jc w:val="center"/>
      </w:pPr>
    </w:p>
    <w:p w14:paraId="20EAFF32">
      <w:pPr>
        <w:pStyle w:val="2"/>
        <w:jc w:val="center"/>
      </w:pPr>
    </w:p>
    <w:p w14:paraId="1209A3BF">
      <w:pPr>
        <w:widowControl/>
        <w:autoSpaceDE/>
        <w:autoSpaceDN/>
        <w:rPr>
          <w:rFonts w:hAnsi="Calibri" w:cs="Times New Roman"/>
          <w:sz w:val="34"/>
          <w:lang w:eastAsia="zh-CN"/>
        </w:rPr>
      </w:pPr>
      <w:r>
        <w:rPr>
          <w:lang w:eastAsia="zh-CN"/>
        </w:rPr>
        <w:br w:type="page"/>
      </w:r>
    </w:p>
    <w:p w14:paraId="68FAD425">
      <w:pPr>
        <w:pStyle w:val="2"/>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2"/>
        <w:jc w:val="center"/>
        <w:rPr>
          <w:b/>
          <w:bCs/>
          <w:color w:val="4E6127"/>
          <w:sz w:val="36"/>
          <w:szCs w:val="36"/>
        </w:rPr>
      </w:pPr>
    </w:p>
    <w:p w14:paraId="2213A33A">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2"/>
        <w:jc w:val="center"/>
        <w:rPr>
          <w:b/>
          <w:bCs/>
          <w:sz w:val="36"/>
          <w:szCs w:val="36"/>
        </w:rPr>
      </w:pPr>
    </w:p>
    <w:p w14:paraId="489197E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2"/>
        <w:jc w:val="center"/>
        <w:rPr>
          <w:rFonts w:ascii="Times New Roman" w:hAnsi="Times New Roman"/>
          <w:b/>
          <w:bCs/>
          <w:sz w:val="36"/>
          <w:szCs w:val="36"/>
        </w:rPr>
      </w:pPr>
    </w:p>
    <w:p w14:paraId="30DD67A8">
      <w:pPr>
        <w:pStyle w:val="2"/>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2"/>
        <w:jc w:val="center"/>
        <w:rPr>
          <w:rFonts w:ascii="Times New Roman" w:hAnsi="Times New Roman"/>
          <w:b/>
          <w:bCs/>
          <w:sz w:val="36"/>
          <w:szCs w:val="36"/>
        </w:rPr>
      </w:pPr>
    </w:p>
    <w:p w14:paraId="1517D8A9">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3"/>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sz w:val="24"/>
          <w:lang w:eastAsia="zh-CN"/>
        </w:rPr>
      </w:pPr>
      <w:r>
        <w:rPr>
          <w:rFonts w:hint="eastAsia"/>
          <w:sz w:val="24"/>
          <w:lang w:eastAsia="zh-CN"/>
        </w:rPr>
        <w:t>致：福建福海创石油化工有限公司</w:t>
      </w:r>
    </w:p>
    <w:p w14:paraId="4F025599">
      <w:pPr>
        <w:pStyle w:val="2"/>
        <w:spacing w:line="480" w:lineRule="auto"/>
      </w:pP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default"/>
          <w:b/>
          <w:sz w:val="24"/>
          <w:u w:val="single"/>
          <w:lang w:eastAsia="zh-CN"/>
        </w:rPr>
        <w:t xml:space="preserve"> </w:t>
      </w:r>
      <w:r>
        <w:rPr>
          <w:rFonts w:hint="eastAsia"/>
          <w:b/>
          <w:sz w:val="24"/>
          <w:u w:val="single"/>
          <w:lang w:val="en-US" w:eastAsia="zh-CN"/>
        </w:rPr>
        <w:t>PTA</w:t>
      </w:r>
      <w:r>
        <w:rPr>
          <w:rFonts w:hint="eastAsia"/>
          <w:b/>
          <w:sz w:val="24"/>
          <w:szCs w:val="22"/>
          <w:u w:val="single"/>
          <w:lang w:eastAsia="zh-CN"/>
        </w:rPr>
        <w:t>废</w:t>
      </w:r>
      <w:r>
        <w:rPr>
          <w:rFonts w:hint="eastAsia"/>
          <w:b/>
          <w:sz w:val="24"/>
          <w:szCs w:val="22"/>
          <w:u w:val="single"/>
          <w:lang w:val="en-US" w:eastAsia="zh-CN"/>
        </w:rPr>
        <w:t>料</w:t>
      </w:r>
      <w:r>
        <w:rPr>
          <w:rFonts w:hint="eastAsia"/>
          <w:b/>
          <w:sz w:val="24"/>
          <w:szCs w:val="22"/>
          <w:u w:val="single"/>
          <w:lang w:eastAsia="zh-CN"/>
        </w:rPr>
        <w:t>委外处置</w:t>
      </w:r>
      <w:r>
        <w:rPr>
          <w:rFonts w:hint="eastAsia"/>
          <w:b/>
          <w:sz w:val="24"/>
          <w:u w:val="single"/>
          <w:lang w:eastAsia="zh-CN"/>
        </w:rPr>
        <w:t xml:space="preserve"> </w:t>
      </w:r>
      <w:r>
        <w:rPr>
          <w:b/>
          <w:sz w:val="24"/>
          <w:u w:val="single"/>
          <w:lang w:eastAsia="zh-CN"/>
        </w:rPr>
        <w:t xml:space="preserve"> </w:t>
      </w:r>
      <w:r>
        <w:rPr>
          <w:rFonts w:hint="eastAsia"/>
          <w:b/>
          <w:sz w:val="24"/>
          <w:u w:val="single"/>
          <w:lang w:val="en-US" w:eastAsia="zh-CN"/>
        </w:rPr>
        <w:t>询比</w:t>
      </w:r>
      <w:r>
        <w:rPr>
          <w:rFonts w:hint="eastAsia"/>
          <w:sz w:val="24"/>
          <w:lang w:eastAsia="zh-CN"/>
        </w:rPr>
        <w:t>文件中有关要求完全响应，完全满足供应商合格条件。如我公司能在本次中选，我公司郑重承诺如下：</w:t>
      </w:r>
    </w:p>
    <w:p w14:paraId="7E787E56">
      <w:pPr>
        <w:spacing w:line="480" w:lineRule="auto"/>
        <w:ind w:firstLine="480" w:firstLineChars="200"/>
        <w:rPr>
          <w:sz w:val="24"/>
          <w:lang w:eastAsia="zh-CN"/>
        </w:rPr>
      </w:pPr>
      <w:r>
        <w:rPr>
          <w:rFonts w:hint="eastAsia"/>
          <w:sz w:val="24"/>
          <w:lang w:eastAsia="zh-CN"/>
        </w:rPr>
        <w:t>1、我公司将按照用户需求至上原则，保证提供优质的服务。</w:t>
      </w:r>
    </w:p>
    <w:p w14:paraId="6A15861F">
      <w:pPr>
        <w:spacing w:line="480" w:lineRule="auto"/>
        <w:ind w:firstLine="480" w:firstLineChars="200"/>
        <w:rPr>
          <w:sz w:val="24"/>
          <w:lang w:eastAsia="zh-CN"/>
        </w:rPr>
      </w:pPr>
      <w:r>
        <w:rPr>
          <w:rFonts w:hint="eastAsia"/>
          <w:sz w:val="24"/>
          <w:lang w:eastAsia="zh-CN"/>
        </w:rPr>
        <w:t>2、我公司将严格按照参比文件、参比文件及合同的要求履行自身义务。</w:t>
      </w:r>
    </w:p>
    <w:p w14:paraId="03C29D7A">
      <w:pPr>
        <w:pStyle w:val="2"/>
        <w:spacing w:line="480" w:lineRule="auto"/>
        <w:ind w:firstLine="601" w:firstLineChars="188"/>
        <w:rPr>
          <w:rFonts w:ascii="Times New Roman" w:hAnsi="Times New Roman" w:eastAsia="仿宋_GB2312"/>
          <w:kern w:val="2"/>
          <w:sz w:val="32"/>
          <w:szCs w:val="32"/>
        </w:rPr>
      </w:pPr>
    </w:p>
    <w:p w14:paraId="047230D4">
      <w:pPr>
        <w:pStyle w:val="2"/>
        <w:ind w:firstLine="601" w:firstLineChars="188"/>
        <w:rPr>
          <w:rFonts w:ascii="Times New Roman" w:hAnsi="Times New Roman" w:eastAsia="仿宋_GB2312"/>
          <w:kern w:val="2"/>
          <w:sz w:val="32"/>
          <w:szCs w:val="32"/>
        </w:rPr>
      </w:pPr>
    </w:p>
    <w:p w14:paraId="15C2E4C8">
      <w:pPr>
        <w:pStyle w:val="73"/>
        <w:spacing w:beforeLines="0" w:afterLines="0" w:line="560" w:lineRule="exact"/>
        <w:ind w:firstLine="640"/>
        <w:rPr>
          <w:rFonts w:ascii="Times New Roman" w:hAnsi="Times New Roman" w:eastAsia="仿宋_GB2312"/>
          <w:sz w:val="32"/>
          <w:szCs w:val="32"/>
          <w:lang w:eastAsia="zh-CN"/>
        </w:rPr>
      </w:pPr>
    </w:p>
    <w:p w14:paraId="5E138120">
      <w:pPr>
        <w:pStyle w:val="2"/>
        <w:ind w:firstLine="601" w:firstLineChars="188"/>
        <w:rPr>
          <w:rFonts w:ascii="Times New Roman" w:hAnsi="Times New Roman" w:eastAsia="仿宋_GB2312"/>
          <w:kern w:val="2"/>
          <w:sz w:val="32"/>
          <w:szCs w:val="32"/>
        </w:rPr>
      </w:pPr>
    </w:p>
    <w:p w14:paraId="18EE5BC3">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lang w:eastAsia="zh-CN"/>
        </w:rPr>
        <w:t>参比人</w:t>
      </w:r>
      <w:r>
        <w:rPr>
          <w:rFonts w:hint="eastAsia" w:hAnsi="宋体" w:cs="宋体"/>
          <w:kern w:val="2"/>
          <w:sz w:val="24"/>
          <w:szCs w:val="24"/>
        </w:rPr>
        <w:t>：单位名称</w:t>
      </w:r>
      <w:r>
        <w:rPr>
          <w:rFonts w:hint="eastAsia" w:hAnsi="宋体" w:cs="宋体"/>
          <w:color w:val="00B050"/>
          <w:kern w:val="2"/>
          <w:sz w:val="24"/>
          <w:szCs w:val="24"/>
        </w:rPr>
        <w:t>（盖单位公章）</w:t>
      </w:r>
    </w:p>
    <w:p w14:paraId="6363F23C">
      <w:pPr>
        <w:pStyle w:val="2"/>
        <w:ind w:firstLine="451" w:firstLineChars="188"/>
        <w:jc w:val="center"/>
        <w:rPr>
          <w:rFonts w:hAnsi="宋体" w:cs="宋体"/>
          <w:kern w:val="2"/>
          <w:sz w:val="24"/>
          <w:szCs w:val="24"/>
        </w:rPr>
      </w:pPr>
      <w:r>
        <w:rPr>
          <w:rFonts w:hint="eastAsia" w:hAnsi="宋体" w:cs="宋体"/>
          <w:kern w:val="2"/>
          <w:sz w:val="24"/>
          <w:szCs w:val="24"/>
        </w:rPr>
        <w:t>年  月  日</w:t>
      </w:r>
    </w:p>
    <w:p w14:paraId="49B0E439">
      <w:pPr>
        <w:pStyle w:val="2"/>
      </w:pPr>
    </w:p>
    <w:p w14:paraId="73F93237">
      <w:pPr>
        <w:pStyle w:val="2"/>
        <w:rPr>
          <w:rFonts w:hAnsi="宋体"/>
          <w:b/>
          <w:sz w:val="40"/>
          <w:szCs w:val="40"/>
        </w:rPr>
      </w:pPr>
    </w:p>
    <w:p w14:paraId="2CC7FBF7">
      <w:pPr>
        <w:rPr>
          <w:lang w:eastAsia="zh-CN"/>
        </w:rPr>
      </w:pPr>
    </w:p>
    <w:p w14:paraId="5117EBEA">
      <w:pPr>
        <w:pStyle w:val="20"/>
        <w:spacing w:before="106"/>
        <w:ind w:left="218"/>
        <w:rPr>
          <w:lang w:eastAsia="zh-CN"/>
        </w:rPr>
      </w:pPr>
    </w:p>
    <w:p w14:paraId="2AD0DA3B">
      <w:pPr>
        <w:widowControl/>
        <w:autoSpaceDE/>
        <w:autoSpaceDN/>
        <w:rPr>
          <w:rFonts w:ascii="Times New Roman" w:hAnsi="Times New Roman" w:cs="Times New Roman"/>
          <w:b/>
          <w:sz w:val="36"/>
          <w:szCs w:val="36"/>
          <w:lang w:eastAsia="zh-CN"/>
        </w:rPr>
      </w:pPr>
    </w:p>
    <w:p w14:paraId="3F1B7286">
      <w:pPr>
        <w:widowControl/>
        <w:autoSpaceDE/>
        <w:autoSpaceDN/>
        <w:rPr>
          <w:rFonts w:ascii="Times New Roman" w:hAnsi="Times New Roman" w:cs="Times New Roman"/>
          <w:b/>
          <w:sz w:val="36"/>
          <w:szCs w:val="36"/>
          <w:lang w:eastAsia="zh-CN"/>
        </w:rPr>
      </w:pPr>
    </w:p>
    <w:p w14:paraId="4E3A812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1E760D32">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14:paraId="48BBB5C1">
      <w:pPr>
        <w:pStyle w:val="2"/>
        <w:spacing w:line="360" w:lineRule="auto"/>
      </w:pPr>
    </w:p>
    <w:p w14:paraId="02242231">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6C2540DA">
      <w:pPr>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PTA</w:t>
      </w:r>
      <w:r>
        <w:rPr>
          <w:rFonts w:hint="eastAsia" w:ascii="Times New Roman" w:hAnsi="ˎ̥"/>
          <w:b/>
          <w:bCs/>
          <w:sz w:val="28"/>
          <w:szCs w:val="28"/>
          <w:u w:val="single"/>
          <w:lang w:eastAsia="zh-CN"/>
        </w:rPr>
        <w:t>废</w:t>
      </w:r>
      <w:r>
        <w:rPr>
          <w:rFonts w:hint="eastAsia" w:ascii="Times New Roman" w:hAnsi="ˎ̥"/>
          <w:b/>
          <w:bCs/>
          <w:sz w:val="28"/>
          <w:szCs w:val="28"/>
          <w:u w:val="single"/>
          <w:lang w:val="en-US" w:eastAsia="zh-CN"/>
        </w:rPr>
        <w:t>料</w:t>
      </w:r>
      <w:r>
        <w:rPr>
          <w:rFonts w:hint="eastAsia" w:ascii="Times New Roman" w:hAnsi="ˎ̥"/>
          <w:b/>
          <w:bCs/>
          <w:sz w:val="28"/>
          <w:szCs w:val="28"/>
          <w:u w:val="single"/>
          <w:lang w:eastAsia="zh-CN"/>
        </w:rPr>
        <w:t>委外处置</w:t>
      </w:r>
      <w:r>
        <w:rPr>
          <w:rFonts w:ascii="Times New Roman" w:hAnsi="ˎ̥"/>
          <w:b/>
          <w:sz w:val="28"/>
          <w:szCs w:val="28"/>
          <w:u w:val="single"/>
          <w:lang w:eastAsia="zh-CN"/>
        </w:rPr>
        <w:t xml:space="preserve">发包 </w:t>
      </w:r>
      <w:r>
        <w:rPr>
          <w:rFonts w:ascii="Times New Roman" w:hAnsi="ˎ̥"/>
          <w:sz w:val="28"/>
          <w:szCs w:val="28"/>
          <w:u w:val="single"/>
          <w:lang w:eastAsia="zh-CN"/>
        </w:rPr>
        <w:t xml:space="preserve"> </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val="en-US" w:eastAsia="zh-CN"/>
        </w:rPr>
        <w:t>询比</w:t>
      </w:r>
      <w:r>
        <w:rPr>
          <w:rFonts w:hint="eastAsia" w:ascii="Times New Roman" w:hAnsi="ˎ̥"/>
          <w:sz w:val="28"/>
          <w:szCs w:val="28"/>
          <w:lang w:eastAsia="zh-CN"/>
        </w:rPr>
        <w:t>文件的全部内容后，我方愿以以下价格报价，严格按照自主</w:t>
      </w:r>
      <w:r>
        <w:rPr>
          <w:rFonts w:hint="eastAsia" w:ascii="Times New Roman" w:hAnsi="ˎ̥"/>
          <w:sz w:val="28"/>
          <w:szCs w:val="28"/>
          <w:lang w:val="en-US" w:eastAsia="zh-CN"/>
        </w:rPr>
        <w:t>询</w:t>
      </w:r>
      <w:r>
        <w:rPr>
          <w:rFonts w:hint="eastAsia" w:ascii="Times New Roman" w:hAnsi="ˎ̥"/>
          <w:sz w:val="28"/>
          <w:szCs w:val="28"/>
          <w:lang w:eastAsia="zh-CN"/>
        </w:rPr>
        <w:t>比文件的要求，参与本项目的</w:t>
      </w:r>
      <w:r>
        <w:rPr>
          <w:rFonts w:hint="eastAsia" w:ascii="Times New Roman" w:hAnsi="ˎ̥"/>
          <w:sz w:val="28"/>
          <w:szCs w:val="28"/>
          <w:lang w:val="en-US" w:eastAsia="zh-CN"/>
        </w:rPr>
        <w:t>询</w:t>
      </w:r>
      <w:r>
        <w:rPr>
          <w:rFonts w:hint="eastAsia" w:ascii="Times New Roman" w:hAnsi="ˎ̥"/>
          <w:sz w:val="28"/>
          <w:szCs w:val="28"/>
          <w:lang w:eastAsia="zh-CN"/>
        </w:rPr>
        <w:t>比。</w:t>
      </w:r>
    </w:p>
    <w:tbl>
      <w:tblPr>
        <w:tblStyle w:val="47"/>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363"/>
        <w:gridCol w:w="1890"/>
        <w:gridCol w:w="1020"/>
        <w:gridCol w:w="2025"/>
        <w:gridCol w:w="1467"/>
      </w:tblGrid>
      <w:tr w14:paraId="74D9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5BC611B">
            <w:pPr>
              <w:spacing w:line="360" w:lineRule="auto"/>
              <w:jc w:val="center"/>
              <w:rPr>
                <w:sz w:val="24"/>
                <w:szCs w:val="24"/>
              </w:rPr>
            </w:pPr>
            <w:r>
              <w:rPr>
                <w:rFonts w:hint="eastAsia"/>
                <w:sz w:val="24"/>
                <w:szCs w:val="24"/>
              </w:rPr>
              <w:t>序号</w:t>
            </w:r>
          </w:p>
        </w:tc>
        <w:tc>
          <w:tcPr>
            <w:tcW w:w="2363" w:type="dxa"/>
            <w:vAlign w:val="center"/>
          </w:tcPr>
          <w:p w14:paraId="6A8C6C93">
            <w:pPr>
              <w:spacing w:line="360" w:lineRule="auto"/>
              <w:jc w:val="center"/>
              <w:rPr>
                <w:sz w:val="24"/>
                <w:szCs w:val="24"/>
              </w:rPr>
            </w:pPr>
            <w:r>
              <w:rPr>
                <w:rFonts w:hint="eastAsia"/>
                <w:sz w:val="24"/>
                <w:szCs w:val="24"/>
                <w:lang w:eastAsia="zh-CN"/>
              </w:rPr>
              <w:t>名称</w:t>
            </w:r>
          </w:p>
        </w:tc>
        <w:tc>
          <w:tcPr>
            <w:tcW w:w="1890" w:type="dxa"/>
            <w:vAlign w:val="center"/>
          </w:tcPr>
          <w:p w14:paraId="59346C58">
            <w:pPr>
              <w:spacing w:line="240" w:lineRule="auto"/>
              <w:ind w:firstLine="0" w:firstLineChars="0"/>
              <w:jc w:val="center"/>
              <w:rPr>
                <w:rFonts w:hint="eastAsia"/>
                <w:sz w:val="24"/>
                <w:szCs w:val="24"/>
                <w:lang w:eastAsia="zh-CN"/>
              </w:rPr>
            </w:pPr>
            <w:r>
              <w:rPr>
                <w:rFonts w:hint="eastAsia"/>
                <w:sz w:val="24"/>
                <w:szCs w:val="24"/>
                <w:lang w:val="en-US" w:eastAsia="zh-CN"/>
              </w:rPr>
              <w:t>暂估</w:t>
            </w:r>
            <w:r>
              <w:rPr>
                <w:rFonts w:hint="eastAsia"/>
                <w:sz w:val="24"/>
                <w:szCs w:val="24"/>
                <w:lang w:eastAsia="zh-CN"/>
              </w:rPr>
              <w:t>数量</w:t>
            </w:r>
          </w:p>
          <w:p w14:paraId="0F468B71">
            <w:pPr>
              <w:pStyle w:val="2"/>
              <w:jc w:val="center"/>
              <w:rPr>
                <w:rFonts w:hint="default"/>
                <w:lang w:val="en-US"/>
              </w:rPr>
            </w:pPr>
            <w:r>
              <w:rPr>
                <w:rFonts w:hint="eastAsia"/>
                <w:sz w:val="24"/>
                <w:szCs w:val="24"/>
                <w:lang w:eastAsia="zh-CN"/>
              </w:rPr>
              <w:t>（</w:t>
            </w:r>
            <w:r>
              <w:rPr>
                <w:rFonts w:hint="eastAsia"/>
                <w:sz w:val="24"/>
                <w:szCs w:val="24"/>
                <w:lang w:val="en-US" w:eastAsia="zh-CN"/>
              </w:rPr>
              <w:t>吨）</w:t>
            </w:r>
          </w:p>
        </w:tc>
        <w:tc>
          <w:tcPr>
            <w:tcW w:w="1020" w:type="dxa"/>
            <w:vAlign w:val="center"/>
          </w:tcPr>
          <w:p w14:paraId="30C15C51">
            <w:pPr>
              <w:spacing w:line="360" w:lineRule="auto"/>
              <w:jc w:val="center"/>
              <w:rPr>
                <w:sz w:val="24"/>
                <w:szCs w:val="24"/>
              </w:rPr>
            </w:pPr>
            <w:r>
              <w:rPr>
                <w:rFonts w:hint="eastAsia"/>
                <w:sz w:val="24"/>
                <w:szCs w:val="24"/>
              </w:rPr>
              <w:t>单位</w:t>
            </w:r>
          </w:p>
        </w:tc>
        <w:tc>
          <w:tcPr>
            <w:tcW w:w="2025" w:type="dxa"/>
            <w:vAlign w:val="center"/>
          </w:tcPr>
          <w:p w14:paraId="042D1C78">
            <w:pPr>
              <w:jc w:val="center"/>
            </w:pPr>
            <w:r>
              <w:rPr>
                <w:rFonts w:hint="eastAsia"/>
                <w:lang w:eastAsia="zh-CN"/>
              </w:rPr>
              <w:t>含税</w:t>
            </w:r>
            <w:r>
              <w:rPr>
                <w:rFonts w:hint="eastAsia"/>
              </w:rPr>
              <w:t>单价</w:t>
            </w:r>
          </w:p>
          <w:p w14:paraId="1D8D519F">
            <w:pPr>
              <w:spacing w:line="240" w:lineRule="auto"/>
              <w:ind w:firstLine="0" w:firstLineChars="0"/>
              <w:jc w:val="center"/>
              <w:rPr>
                <w:rFonts w:hint="eastAsia" w:hAnsi="宋体" w:eastAsia="宋体" w:cs="宋体"/>
                <w:sz w:val="24"/>
                <w:szCs w:val="24"/>
                <w:lang w:eastAsia="zh-CN"/>
              </w:rPr>
            </w:pPr>
            <w:r>
              <w:rPr>
                <w:rFonts w:hint="eastAsia"/>
                <w:lang w:eastAsia="zh-CN"/>
              </w:rPr>
              <w:t>（元/吨）</w:t>
            </w:r>
          </w:p>
        </w:tc>
        <w:tc>
          <w:tcPr>
            <w:tcW w:w="1467" w:type="dxa"/>
            <w:vAlign w:val="center"/>
          </w:tcPr>
          <w:p w14:paraId="2DD89D68">
            <w:pPr>
              <w:spacing w:line="240" w:lineRule="auto"/>
              <w:ind w:firstLine="0" w:firstLineChars="0"/>
              <w:jc w:val="center"/>
              <w:rPr>
                <w:sz w:val="24"/>
                <w:szCs w:val="24"/>
                <w:lang w:eastAsia="zh-CN"/>
              </w:rPr>
            </w:pPr>
            <w:r>
              <w:rPr>
                <w:rFonts w:hint="eastAsia"/>
                <w:sz w:val="24"/>
                <w:szCs w:val="24"/>
                <w:lang w:val="en-US" w:eastAsia="zh-CN"/>
              </w:rPr>
              <w:t>暂估总额</w:t>
            </w:r>
          </w:p>
          <w:p w14:paraId="1B475F6A">
            <w:pPr>
              <w:spacing w:line="240" w:lineRule="auto"/>
              <w:ind w:firstLine="0" w:firstLineChars="0"/>
              <w:jc w:val="center"/>
              <w:rPr>
                <w:rFonts w:hint="eastAsia" w:hAnsi="宋体" w:eastAsia="宋体" w:cs="宋体"/>
                <w:sz w:val="24"/>
                <w:szCs w:val="24"/>
                <w:lang w:eastAsia="zh-CN"/>
              </w:rPr>
            </w:pPr>
            <w:r>
              <w:rPr>
                <w:rFonts w:hint="eastAsia"/>
                <w:sz w:val="24"/>
                <w:szCs w:val="24"/>
                <w:lang w:eastAsia="zh-CN"/>
              </w:rPr>
              <w:t>（</w:t>
            </w:r>
            <w:r>
              <w:rPr>
                <w:sz w:val="24"/>
                <w:szCs w:val="24"/>
                <w:lang w:eastAsia="zh-CN"/>
              </w:rPr>
              <w:t>元</w:t>
            </w:r>
            <w:r>
              <w:rPr>
                <w:rFonts w:hint="eastAsia"/>
                <w:sz w:val="24"/>
                <w:szCs w:val="24"/>
                <w:lang w:eastAsia="zh-CN"/>
              </w:rPr>
              <w:t>）</w:t>
            </w:r>
          </w:p>
        </w:tc>
      </w:tr>
      <w:tr w14:paraId="7AA0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51" w:type="dxa"/>
            <w:vAlign w:val="center"/>
          </w:tcPr>
          <w:p w14:paraId="3DC245EE">
            <w:pPr>
              <w:spacing w:line="360" w:lineRule="auto"/>
              <w:jc w:val="center"/>
              <w:rPr>
                <w:sz w:val="24"/>
                <w:szCs w:val="24"/>
              </w:rPr>
            </w:pPr>
            <w:r>
              <w:rPr>
                <w:rFonts w:hint="eastAsia"/>
                <w:sz w:val="24"/>
                <w:szCs w:val="24"/>
              </w:rPr>
              <w:t>1</w:t>
            </w:r>
          </w:p>
        </w:tc>
        <w:tc>
          <w:tcPr>
            <w:tcW w:w="2363" w:type="dxa"/>
            <w:vAlign w:val="center"/>
          </w:tcPr>
          <w:p w14:paraId="10B94877">
            <w:pPr>
              <w:spacing w:line="360" w:lineRule="auto"/>
              <w:jc w:val="center"/>
              <w:rPr>
                <w:rFonts w:hint="default"/>
                <w:sz w:val="24"/>
                <w:szCs w:val="24"/>
                <w:lang w:val="en-US"/>
              </w:rPr>
            </w:pPr>
            <w:r>
              <w:rPr>
                <w:rFonts w:hint="eastAsia"/>
                <w:sz w:val="24"/>
                <w:szCs w:val="24"/>
                <w:u w:val="none"/>
                <w:lang w:val="en-US" w:eastAsia="zh-CN"/>
              </w:rPr>
              <w:t>PTA结晶料</w:t>
            </w:r>
          </w:p>
        </w:tc>
        <w:tc>
          <w:tcPr>
            <w:tcW w:w="1890" w:type="dxa"/>
            <w:vAlign w:val="center"/>
          </w:tcPr>
          <w:p w14:paraId="7B861821">
            <w:pPr>
              <w:spacing w:line="360" w:lineRule="auto"/>
              <w:jc w:val="center"/>
              <w:rPr>
                <w:rFonts w:hint="default" w:eastAsia="宋体"/>
                <w:sz w:val="24"/>
                <w:szCs w:val="24"/>
                <w:lang w:val="en-US" w:eastAsia="zh-CN"/>
              </w:rPr>
            </w:pPr>
            <w:r>
              <w:rPr>
                <w:rFonts w:hint="eastAsia"/>
                <w:lang w:val="en-US" w:eastAsia="zh-CN"/>
              </w:rPr>
              <w:t>60</w:t>
            </w:r>
          </w:p>
        </w:tc>
        <w:tc>
          <w:tcPr>
            <w:tcW w:w="1020" w:type="dxa"/>
            <w:vAlign w:val="center"/>
          </w:tcPr>
          <w:p w14:paraId="4FF7B03C">
            <w:pPr>
              <w:spacing w:line="360" w:lineRule="auto"/>
              <w:jc w:val="center"/>
              <w:rPr>
                <w:rFonts w:hint="eastAsia" w:eastAsia="宋体"/>
                <w:sz w:val="24"/>
                <w:szCs w:val="24"/>
                <w:lang w:val="en-US" w:eastAsia="zh-CN"/>
              </w:rPr>
            </w:pPr>
            <w:r>
              <w:rPr>
                <w:rFonts w:hint="eastAsia"/>
                <w:sz w:val="24"/>
                <w:szCs w:val="24"/>
                <w:lang w:val="en-US" w:eastAsia="zh-CN"/>
              </w:rPr>
              <w:t>吨</w:t>
            </w:r>
          </w:p>
        </w:tc>
        <w:tc>
          <w:tcPr>
            <w:tcW w:w="2025" w:type="dxa"/>
            <w:vAlign w:val="center"/>
          </w:tcPr>
          <w:p w14:paraId="1C90B036">
            <w:pPr>
              <w:spacing w:line="360" w:lineRule="auto"/>
              <w:jc w:val="center"/>
              <w:rPr>
                <w:sz w:val="24"/>
                <w:szCs w:val="24"/>
              </w:rPr>
            </w:pPr>
            <w:r>
              <w:rPr>
                <w:rFonts w:hint="eastAsia"/>
              </w:rPr>
              <w:t>基准价</w:t>
            </w:r>
            <w:r>
              <w:rPr>
                <w:rFonts w:hint="eastAsia"/>
                <w:lang w:eastAsia="zh-CN"/>
              </w:rPr>
              <w:t>格*</w:t>
            </w:r>
            <w:r>
              <w:rPr>
                <w:rFonts w:hint="eastAsia"/>
                <w:u w:val="single"/>
                <w:lang w:eastAsia="zh-CN"/>
              </w:rPr>
              <w:t xml:space="preserve">    %</w:t>
            </w:r>
          </w:p>
        </w:tc>
        <w:tc>
          <w:tcPr>
            <w:tcW w:w="1467" w:type="dxa"/>
            <w:vAlign w:val="center"/>
          </w:tcPr>
          <w:p w14:paraId="3DF61E57">
            <w:pPr>
              <w:spacing w:line="360" w:lineRule="auto"/>
              <w:jc w:val="center"/>
              <w:rPr>
                <w:sz w:val="24"/>
                <w:szCs w:val="24"/>
              </w:rPr>
            </w:pPr>
          </w:p>
        </w:tc>
      </w:tr>
      <w:tr w14:paraId="5D2F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51" w:type="dxa"/>
            <w:vAlign w:val="center"/>
          </w:tcPr>
          <w:p w14:paraId="25B54983">
            <w:pPr>
              <w:spacing w:line="360" w:lineRule="auto"/>
              <w:jc w:val="center"/>
              <w:rPr>
                <w:rFonts w:hint="eastAsia" w:eastAsia="宋体"/>
                <w:sz w:val="24"/>
                <w:szCs w:val="24"/>
                <w:lang w:val="en-US" w:eastAsia="zh-CN"/>
              </w:rPr>
            </w:pPr>
            <w:r>
              <w:rPr>
                <w:rFonts w:hint="eastAsia"/>
                <w:sz w:val="24"/>
                <w:szCs w:val="24"/>
                <w:lang w:val="en-US" w:eastAsia="zh-CN"/>
              </w:rPr>
              <w:t>2</w:t>
            </w:r>
          </w:p>
        </w:tc>
        <w:tc>
          <w:tcPr>
            <w:tcW w:w="2363" w:type="dxa"/>
            <w:vAlign w:val="center"/>
          </w:tcPr>
          <w:p w14:paraId="3E90FE57">
            <w:pPr>
              <w:spacing w:line="360" w:lineRule="auto"/>
              <w:jc w:val="center"/>
              <w:rPr>
                <w:rFonts w:hint="default"/>
                <w:sz w:val="24"/>
                <w:szCs w:val="24"/>
                <w:u w:val="none"/>
                <w:lang w:val="en-US" w:eastAsia="zh-CN"/>
              </w:rPr>
            </w:pPr>
            <w:r>
              <w:rPr>
                <w:rFonts w:hint="eastAsia"/>
                <w:sz w:val="24"/>
                <w:szCs w:val="24"/>
                <w:u w:val="none"/>
                <w:lang w:val="en-US" w:eastAsia="zh-CN"/>
              </w:rPr>
              <w:t>PTA地沟料</w:t>
            </w:r>
          </w:p>
        </w:tc>
        <w:tc>
          <w:tcPr>
            <w:tcW w:w="1890" w:type="dxa"/>
            <w:vAlign w:val="center"/>
          </w:tcPr>
          <w:p w14:paraId="6DEEA615">
            <w:pPr>
              <w:spacing w:line="360" w:lineRule="auto"/>
              <w:jc w:val="center"/>
              <w:rPr>
                <w:rFonts w:hint="default"/>
                <w:lang w:val="en-US" w:eastAsia="zh-CN"/>
              </w:rPr>
            </w:pPr>
            <w:r>
              <w:rPr>
                <w:rFonts w:hint="eastAsia"/>
                <w:lang w:val="en-US" w:eastAsia="zh-CN"/>
              </w:rPr>
              <w:t>100</w:t>
            </w:r>
          </w:p>
        </w:tc>
        <w:tc>
          <w:tcPr>
            <w:tcW w:w="1020" w:type="dxa"/>
            <w:vAlign w:val="center"/>
          </w:tcPr>
          <w:p w14:paraId="75A7E213">
            <w:pPr>
              <w:spacing w:line="360" w:lineRule="auto"/>
              <w:jc w:val="center"/>
              <w:rPr>
                <w:rFonts w:hint="eastAsia"/>
                <w:sz w:val="24"/>
                <w:szCs w:val="24"/>
                <w:lang w:val="en-US" w:eastAsia="zh-CN"/>
              </w:rPr>
            </w:pPr>
            <w:r>
              <w:rPr>
                <w:rFonts w:hint="eastAsia"/>
                <w:sz w:val="24"/>
                <w:szCs w:val="24"/>
                <w:lang w:val="en-US" w:eastAsia="zh-CN"/>
              </w:rPr>
              <w:t>吨</w:t>
            </w:r>
          </w:p>
        </w:tc>
        <w:tc>
          <w:tcPr>
            <w:tcW w:w="2025" w:type="dxa"/>
            <w:vAlign w:val="center"/>
          </w:tcPr>
          <w:p w14:paraId="39B877C2">
            <w:pPr>
              <w:spacing w:line="360" w:lineRule="auto"/>
              <w:jc w:val="center"/>
              <w:rPr>
                <w:sz w:val="24"/>
                <w:szCs w:val="24"/>
              </w:rPr>
            </w:pPr>
            <w:r>
              <w:rPr>
                <w:rFonts w:hint="eastAsia"/>
              </w:rPr>
              <w:t>基准价</w:t>
            </w:r>
            <w:r>
              <w:rPr>
                <w:rFonts w:hint="eastAsia"/>
                <w:lang w:eastAsia="zh-CN"/>
              </w:rPr>
              <w:t>格*</w:t>
            </w:r>
            <w:r>
              <w:rPr>
                <w:rFonts w:hint="eastAsia"/>
                <w:u w:val="single"/>
                <w:lang w:eastAsia="zh-CN"/>
              </w:rPr>
              <w:t xml:space="preserve">    %</w:t>
            </w:r>
          </w:p>
        </w:tc>
        <w:tc>
          <w:tcPr>
            <w:tcW w:w="1467" w:type="dxa"/>
            <w:vAlign w:val="center"/>
          </w:tcPr>
          <w:p w14:paraId="485FFBD4">
            <w:pPr>
              <w:spacing w:line="360" w:lineRule="auto"/>
              <w:jc w:val="center"/>
              <w:rPr>
                <w:sz w:val="24"/>
                <w:szCs w:val="24"/>
              </w:rPr>
            </w:pPr>
          </w:p>
        </w:tc>
      </w:tr>
      <w:tr w14:paraId="75FA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616" w:type="dxa"/>
            <w:gridSpan w:val="6"/>
            <w:vAlign w:val="center"/>
          </w:tcPr>
          <w:p w14:paraId="6894FD3F">
            <w:pPr>
              <w:widowControl/>
              <w:ind w:left="257" w:leftChars="-9" w:hanging="277" w:hangingChars="126"/>
            </w:pPr>
            <w:r>
              <w:rPr>
                <w:rFonts w:hint="eastAsia"/>
              </w:rPr>
              <w:t>说明：</w:t>
            </w:r>
          </w:p>
          <w:p w14:paraId="6C38EF97">
            <w:pPr>
              <w:widowControl/>
              <w:numPr>
                <w:ilvl w:val="0"/>
                <w:numId w:val="14"/>
              </w:numPr>
              <w:autoSpaceDE/>
              <w:autoSpaceDN/>
              <w:ind w:left="257" w:leftChars="-9" w:hanging="277" w:hangingChars="126"/>
              <w:rPr>
                <w:lang w:eastAsia="zh-CN"/>
              </w:rPr>
            </w:pPr>
            <w:r>
              <w:rPr>
                <w:rFonts w:hint="eastAsia"/>
                <w:lang w:eastAsia="zh-CN"/>
              </w:rPr>
              <w:t xml:space="preserve">地点：漳州市古雷经济开发区福海创PTA厂区 </w:t>
            </w:r>
          </w:p>
          <w:p w14:paraId="03664EBE">
            <w:pPr>
              <w:widowControl/>
              <w:numPr>
                <w:ilvl w:val="0"/>
                <w:numId w:val="14"/>
              </w:numPr>
              <w:autoSpaceDE/>
              <w:autoSpaceDN/>
              <w:ind w:left="257" w:leftChars="-9" w:hanging="277" w:hangingChars="126"/>
              <w:rPr>
                <w:lang w:eastAsia="zh-CN"/>
              </w:rPr>
            </w:pPr>
            <w:r>
              <w:rPr>
                <w:rFonts w:hint="eastAsia"/>
                <w:lang w:eastAsia="zh-CN"/>
              </w:rPr>
              <w:t xml:space="preserve">工期：合同签订之日起30天内全部清运。 </w:t>
            </w:r>
          </w:p>
          <w:p w14:paraId="4C863928">
            <w:pPr>
              <w:widowControl/>
              <w:numPr>
                <w:ilvl w:val="0"/>
                <w:numId w:val="14"/>
              </w:numPr>
              <w:autoSpaceDE/>
              <w:autoSpaceDN/>
              <w:ind w:left="257" w:leftChars="-9" w:hanging="277" w:hangingChars="126"/>
              <w:rPr>
                <w:lang w:eastAsia="zh-CN"/>
              </w:rPr>
            </w:pPr>
            <w:r>
              <w:rPr>
                <w:rFonts w:hint="eastAsia"/>
                <w:lang w:eastAsia="zh-CN"/>
              </w:rPr>
              <w:t>发票：报价为含税价；</w:t>
            </w:r>
            <w:r>
              <w:rPr>
                <w:rFonts w:hint="eastAsia"/>
                <w:lang w:val="en-US" w:eastAsia="zh-CN"/>
              </w:rPr>
              <w:t>甲方</w:t>
            </w:r>
            <w:r>
              <w:rPr>
                <w:rFonts w:hint="eastAsia"/>
                <w:lang w:eastAsia="zh-CN"/>
              </w:rPr>
              <w:t>出具</w:t>
            </w:r>
            <w:r>
              <w:rPr>
                <w:lang w:eastAsia="zh-CN"/>
              </w:rPr>
              <w:t>13</w:t>
            </w:r>
            <w:r>
              <w:rPr>
                <w:rFonts w:hint="eastAsia"/>
                <w:lang w:eastAsia="zh-CN"/>
              </w:rPr>
              <w:t>%增值税发票。</w:t>
            </w:r>
          </w:p>
          <w:p w14:paraId="3ABC1120">
            <w:pPr>
              <w:widowControl/>
              <w:numPr>
                <w:ilvl w:val="0"/>
                <w:numId w:val="14"/>
              </w:numPr>
              <w:autoSpaceDE/>
              <w:autoSpaceDN/>
              <w:ind w:left="257" w:leftChars="-9" w:hanging="277" w:hangingChars="126"/>
              <w:rPr>
                <w:lang w:eastAsia="zh-CN"/>
              </w:rPr>
            </w:pPr>
            <w:r>
              <w:rPr>
                <w:rFonts w:hint="eastAsia"/>
                <w:lang w:eastAsia="zh-CN"/>
              </w:rPr>
              <w:t>付款条件：乙方应在合同生效后 3日内向甲方支付合同暂估的全额货款，并依据实际过磅数量在出厂前需缴交足额货款，方可出厂；双方结算以多退少补的方式进行。（重量依据：PTA厂区过磅室过磅单为准）</w:t>
            </w:r>
          </w:p>
          <w:p w14:paraId="1F71E121">
            <w:pPr>
              <w:widowControl/>
              <w:numPr>
                <w:ilvl w:val="0"/>
                <w:numId w:val="14"/>
              </w:numPr>
              <w:ind w:left="257" w:leftChars="-9" w:hanging="277" w:hangingChars="126"/>
              <w:rPr>
                <w:lang w:eastAsia="zh-CN"/>
              </w:rPr>
            </w:pPr>
            <w:r>
              <w:rPr>
                <w:rFonts w:hint="eastAsia"/>
                <w:lang w:eastAsia="zh-CN"/>
              </w:rPr>
              <w:t>报价视同了解现场PTA废粉</w:t>
            </w:r>
            <w:r>
              <w:rPr>
                <w:rFonts w:hint="eastAsia"/>
                <w:lang w:val="en-US" w:eastAsia="zh-CN"/>
              </w:rPr>
              <w:t>料</w:t>
            </w:r>
            <w:r>
              <w:rPr>
                <w:rFonts w:hint="eastAsia"/>
                <w:lang w:eastAsia="zh-CN"/>
              </w:rPr>
              <w:t>品质，运输时不得挑拣，报价请充分考虑。</w:t>
            </w:r>
          </w:p>
          <w:p w14:paraId="08771E62">
            <w:pPr>
              <w:numPr>
                <w:ilvl w:val="0"/>
                <w:numId w:val="14"/>
              </w:numPr>
              <w:ind w:left="280" w:hanging="300"/>
              <w:rPr>
                <w:lang w:eastAsia="zh-CN"/>
              </w:rPr>
            </w:pPr>
            <w:r>
              <w:rPr>
                <w:rFonts w:hint="eastAsia"/>
                <w:lang w:eastAsia="zh-CN"/>
              </w:rPr>
              <w:t>上表3项PTA废粉</w:t>
            </w:r>
            <w:r>
              <w:rPr>
                <w:rFonts w:hint="eastAsia"/>
                <w:lang w:val="en-US" w:eastAsia="zh-CN"/>
              </w:rPr>
              <w:t>料</w:t>
            </w:r>
            <w:r>
              <w:rPr>
                <w:rFonts w:hint="eastAsia"/>
                <w:lang w:eastAsia="zh-CN"/>
              </w:rPr>
              <w:t>外售单价均实行浮动定价，定价模式如下:</w:t>
            </w:r>
          </w:p>
          <w:p w14:paraId="6D883E15">
            <w:pPr>
              <w:ind w:left="270" w:leftChars="118" w:hanging="10"/>
              <w:rPr>
                <w:b/>
                <w:bCs/>
                <w:u w:val="single"/>
                <w:lang w:eastAsia="zh-CN"/>
              </w:rPr>
            </w:pPr>
            <w:r>
              <w:rPr>
                <w:rFonts w:hint="eastAsia"/>
                <w:b/>
                <w:bCs/>
              </w:rPr>
              <w:t>基准价格:</w:t>
            </w:r>
            <w:r>
              <w:rPr>
                <w:rFonts w:hint="eastAsia"/>
                <w:lang w:eastAsia="zh-CN"/>
              </w:rPr>
              <w:t>双方约定结算基准价格以每批次PTA废</w:t>
            </w:r>
            <w:r>
              <w:rPr>
                <w:rFonts w:hint="eastAsia"/>
                <w:lang w:val="en-US" w:eastAsia="zh-CN"/>
              </w:rPr>
              <w:t>料</w:t>
            </w:r>
            <w:r>
              <w:rPr>
                <w:rFonts w:hint="eastAsia"/>
                <w:lang w:eastAsia="zh-CN"/>
              </w:rPr>
              <w:t>出厂日期的上个月26日至</w:t>
            </w:r>
            <w:r>
              <w:rPr>
                <w:rFonts w:hint="eastAsia"/>
                <w:lang w:val="en-US" w:eastAsia="zh-CN"/>
              </w:rPr>
              <w:t>本</w:t>
            </w:r>
            <w:r>
              <w:rPr>
                <w:rFonts w:hint="eastAsia"/>
                <w:lang w:eastAsia="zh-CN"/>
              </w:rPr>
              <w:t>月25日中国化纤网（</w:t>
            </w:r>
            <w:r>
              <w:rPr>
                <w:lang w:eastAsia="zh-CN"/>
              </w:rPr>
              <w:t>CCF</w:t>
            </w:r>
            <w:r>
              <w:rPr>
                <w:rFonts w:hint="eastAsia"/>
                <w:lang w:eastAsia="zh-CN"/>
              </w:rPr>
              <w:t xml:space="preserve">）PTA华东内盘日均价为基准价格(网址:https://www.ccfei.com)。结算价格按该公式进行结算: </w:t>
            </w:r>
            <w:r>
              <w:rPr>
                <w:rFonts w:hint="eastAsia"/>
                <w:b/>
                <w:bCs/>
                <w:u w:val="single"/>
                <w:lang w:eastAsia="zh-CN"/>
              </w:rPr>
              <w:t>基准价格*折旧率*吨数。</w:t>
            </w:r>
          </w:p>
          <w:p w14:paraId="6DED237C">
            <w:pPr>
              <w:numPr>
                <w:ilvl w:val="-1"/>
                <w:numId w:val="0"/>
              </w:numPr>
              <w:spacing w:before="157" w:beforeLines="50" w:after="157" w:afterLines="50" w:line="360" w:lineRule="auto"/>
              <w:ind w:left="0" w:firstLine="0" w:firstLineChars="0"/>
              <w:jc w:val="left"/>
              <w:rPr>
                <w:rFonts w:hint="default" w:ascii="宋体" w:hAnsi="宋体" w:eastAsia="宋体" w:cs="宋体"/>
                <w:i w:val="0"/>
                <w:iCs w:val="0"/>
                <w:caps w:val="0"/>
                <w:spacing w:val="0"/>
                <w:sz w:val="24"/>
                <w:szCs w:val="24"/>
                <w:shd w:val="clear"/>
                <w:lang w:eastAsia="zh-CN"/>
              </w:rPr>
            </w:pPr>
            <w:r>
              <w:rPr>
                <w:rFonts w:hint="eastAsia" w:hAnsi="宋体" w:cs="宋体"/>
                <w:sz w:val="22"/>
              </w:rPr>
              <w:t>7.中选原则:暂定总价最高者中选,投标报价暂定基准价格为202</w:t>
            </w:r>
            <w:r>
              <w:rPr>
                <w:rFonts w:hint="eastAsia" w:cs="宋体"/>
                <w:sz w:val="22"/>
                <w:lang w:val="en-US" w:eastAsia="zh-CN"/>
              </w:rPr>
              <w:t>6</w:t>
            </w:r>
            <w:r>
              <w:rPr>
                <w:rFonts w:hint="eastAsia" w:hAnsi="宋体" w:cs="宋体"/>
                <w:sz w:val="22"/>
              </w:rPr>
              <w:t>年</w:t>
            </w:r>
            <w:r>
              <w:rPr>
                <w:rFonts w:hint="eastAsia" w:cs="宋体"/>
                <w:sz w:val="22"/>
                <w:lang w:val="en-US" w:eastAsia="zh-CN"/>
              </w:rPr>
              <w:t>8</w:t>
            </w:r>
            <w:r>
              <w:rPr>
                <w:rFonts w:hint="eastAsia" w:hAnsi="宋体" w:cs="宋体"/>
                <w:sz w:val="22"/>
              </w:rPr>
              <w:t>月</w:t>
            </w:r>
            <w:r>
              <w:rPr>
                <w:rFonts w:hint="eastAsia" w:cs="宋体"/>
                <w:sz w:val="22"/>
                <w:lang w:val="en-US" w:eastAsia="zh-CN"/>
              </w:rPr>
              <w:t xml:space="preserve">CCF </w:t>
            </w:r>
            <w:r>
              <w:rPr>
                <w:rFonts w:hint="eastAsia" w:hAnsi="宋体" w:cs="宋体"/>
                <w:sz w:val="22"/>
              </w:rPr>
              <w:t>PTA</w:t>
            </w:r>
            <w:r>
              <w:rPr>
                <w:rFonts w:hint="eastAsia" w:cs="宋体"/>
                <w:sz w:val="22"/>
                <w:lang w:val="en-US" w:eastAsia="zh-CN"/>
              </w:rPr>
              <w:t>华东内盘日</w:t>
            </w:r>
            <w:r>
              <w:rPr>
                <w:rFonts w:hint="eastAsia" w:hAnsi="宋体" w:cs="宋体"/>
                <w:sz w:val="22"/>
              </w:rPr>
              <w:t>均价为</w:t>
            </w:r>
            <w:r>
              <w:rPr>
                <w:rFonts w:hint="eastAsia" w:cs="宋体"/>
                <w:sz w:val="22"/>
                <w:highlight w:val="green"/>
                <w:lang w:val="en-US" w:eastAsia="zh-CN"/>
              </w:rPr>
              <w:t>6064.32</w:t>
            </w:r>
            <w:r>
              <w:rPr>
                <w:rFonts w:hint="eastAsia" w:hAnsi="宋体" w:cs="宋体"/>
                <w:sz w:val="22"/>
                <w:highlight w:val="green"/>
              </w:rPr>
              <w:t>元/吨(含税)</w:t>
            </w:r>
            <w:r>
              <w:rPr>
                <w:rFonts w:hint="eastAsia" w:hAnsi="宋体" w:cs="宋体"/>
                <w:sz w:val="22"/>
              </w:rPr>
              <w:t>，暂定总价等于各项“基准价格*折旧率*吨数”之和。</w:t>
            </w:r>
          </w:p>
        </w:tc>
      </w:tr>
    </w:tbl>
    <w:p w14:paraId="0F80A459">
      <w:pPr>
        <w:spacing w:line="360" w:lineRule="auto"/>
        <w:rPr>
          <w:lang w:eastAsia="zh-CN"/>
        </w:rPr>
      </w:pPr>
      <w:r>
        <w:rPr>
          <w:rFonts w:hint="eastAsia"/>
          <w:lang w:eastAsia="zh-CN"/>
        </w:rPr>
        <w:t>报价说明：</w:t>
      </w:r>
    </w:p>
    <w:p w14:paraId="1DFE86D3">
      <w:pPr>
        <w:pStyle w:val="71"/>
        <w:keepNext w:val="0"/>
        <w:keepLines w:val="0"/>
        <w:pageBreakBefore w:val="0"/>
        <w:widowControl w:val="0"/>
        <w:numPr>
          <w:ilvl w:val="0"/>
          <w:numId w:val="15"/>
        </w:numPr>
        <w:kinsoku/>
        <w:wordWrap/>
        <w:overflowPunct/>
        <w:topLinePunct w:val="0"/>
        <w:autoSpaceDE w:val="0"/>
        <w:autoSpaceDN w:val="0"/>
        <w:bidi w:val="0"/>
        <w:adjustRightInd/>
        <w:snapToGrid/>
        <w:spacing w:before="0" w:line="240" w:lineRule="auto"/>
        <w:ind w:left="363" w:hanging="363"/>
        <w:textAlignment w:val="auto"/>
        <w:rPr>
          <w:lang w:eastAsia="zh-CN"/>
        </w:rPr>
      </w:pPr>
      <w:r>
        <w:rPr>
          <w:rFonts w:hint="eastAsia"/>
          <w:lang w:eastAsia="zh-CN"/>
        </w:rPr>
        <w:t>以上报价为含税自提价，买方自行到卖方指定地点（</w:t>
      </w:r>
      <w:r>
        <w:rPr>
          <w:rFonts w:hint="eastAsia"/>
          <w:b w:val="0"/>
          <w:sz w:val="22"/>
          <w:szCs w:val="22"/>
          <w:lang w:eastAsia="zh-CN"/>
        </w:rPr>
        <w:t>漳州古雷港经济开发区腾龙路8</w:t>
      </w:r>
      <w:r>
        <w:rPr>
          <w:rFonts w:hint="eastAsia"/>
          <w:b w:val="0"/>
          <w:sz w:val="22"/>
          <w:szCs w:val="22"/>
          <w:lang w:val="en-US" w:eastAsia="zh-CN"/>
        </w:rPr>
        <w:t>6</w:t>
      </w:r>
      <w:r>
        <w:rPr>
          <w:rFonts w:hint="eastAsia"/>
          <w:b w:val="0"/>
          <w:sz w:val="22"/>
          <w:szCs w:val="22"/>
          <w:lang w:eastAsia="zh-CN"/>
        </w:rPr>
        <w:t>号</w:t>
      </w:r>
      <w:r>
        <w:rPr>
          <w:rFonts w:hint="eastAsia"/>
          <w:b w:val="0"/>
          <w:sz w:val="22"/>
          <w:szCs w:val="22"/>
          <w:lang w:val="en-US" w:eastAsia="zh-CN"/>
        </w:rPr>
        <w:t>PTA厂区</w:t>
      </w:r>
      <w:r>
        <w:rPr>
          <w:rFonts w:hint="eastAsia"/>
          <w:lang w:eastAsia="zh-CN"/>
        </w:rPr>
        <w:t>）自行提货，卖方开具的发票类型：增值税专用发票，税率13%。</w:t>
      </w:r>
    </w:p>
    <w:p w14:paraId="3A75CD91">
      <w:pPr>
        <w:pStyle w:val="71"/>
        <w:keepNext w:val="0"/>
        <w:keepLines w:val="0"/>
        <w:pageBreakBefore w:val="0"/>
        <w:widowControl w:val="0"/>
        <w:numPr>
          <w:ilvl w:val="0"/>
          <w:numId w:val="15"/>
        </w:numPr>
        <w:kinsoku/>
        <w:wordWrap/>
        <w:overflowPunct/>
        <w:topLinePunct w:val="0"/>
        <w:autoSpaceDE w:val="0"/>
        <w:autoSpaceDN w:val="0"/>
        <w:bidi w:val="0"/>
        <w:adjustRightInd/>
        <w:snapToGrid/>
        <w:spacing w:line="240" w:lineRule="auto"/>
        <w:ind w:left="363" w:hanging="363"/>
        <w:textAlignment w:val="auto"/>
        <w:rPr>
          <w:lang w:eastAsia="zh-CN"/>
        </w:rPr>
      </w:pPr>
      <w:r>
        <w:rPr>
          <w:rFonts w:hint="eastAsia"/>
          <w:lang w:eastAsia="zh-CN"/>
        </w:rPr>
        <w:t>卖方不集中组织踏勘，如有需要，买方请自行踏勘现场，联系人：</w:t>
      </w:r>
      <w:r>
        <w:rPr>
          <w:rFonts w:hint="eastAsia"/>
          <w:lang w:val="en-US" w:eastAsia="zh-CN"/>
        </w:rPr>
        <w:t>陈郑锋</w:t>
      </w:r>
      <w:r>
        <w:rPr>
          <w:lang w:eastAsia="zh-CN"/>
        </w:rPr>
        <w:t>。</w:t>
      </w:r>
      <w:r>
        <w:rPr>
          <w:rFonts w:hint="eastAsia"/>
          <w:lang w:eastAsia="zh-CN"/>
        </w:rPr>
        <w:t xml:space="preserve"> </w:t>
      </w:r>
    </w:p>
    <w:p w14:paraId="6CC81CF2">
      <w:pPr>
        <w:pStyle w:val="71"/>
        <w:keepNext w:val="0"/>
        <w:keepLines w:val="0"/>
        <w:pageBreakBefore w:val="0"/>
        <w:widowControl w:val="0"/>
        <w:numPr>
          <w:ilvl w:val="0"/>
          <w:numId w:val="15"/>
        </w:numPr>
        <w:kinsoku/>
        <w:wordWrap/>
        <w:overflowPunct/>
        <w:topLinePunct w:val="0"/>
        <w:autoSpaceDE w:val="0"/>
        <w:autoSpaceDN w:val="0"/>
        <w:bidi w:val="0"/>
        <w:adjustRightInd/>
        <w:snapToGrid/>
        <w:spacing w:before="0" w:line="240" w:lineRule="auto"/>
        <w:ind w:left="363" w:hanging="363"/>
        <w:textAlignment w:val="auto"/>
        <w:rPr>
          <w:lang w:eastAsia="zh-CN"/>
        </w:rPr>
      </w:pPr>
      <w:r>
        <w:rPr>
          <w:rFonts w:hint="eastAsia"/>
          <w:lang w:eastAsia="zh-CN"/>
        </w:rPr>
        <w:t>合同条款：详见</w:t>
      </w:r>
      <w:r>
        <w:rPr>
          <w:rFonts w:hint="eastAsia"/>
          <w:lang w:val="en-US" w:eastAsia="zh-CN"/>
        </w:rPr>
        <w:t>询</w:t>
      </w:r>
      <w:r>
        <w:rPr>
          <w:rFonts w:hint="eastAsia"/>
          <w:lang w:eastAsia="zh-CN"/>
        </w:rPr>
        <w:t>比文件附件一“合同格式书”。</w:t>
      </w:r>
    </w:p>
    <w:p w14:paraId="69AB0AAD">
      <w:pPr>
        <w:spacing w:line="360" w:lineRule="auto"/>
        <w:ind w:firstLine="2969" w:firstLineChars="1414"/>
        <w:rPr>
          <w:sz w:val="21"/>
          <w:szCs w:val="21"/>
          <w:u w:val="single"/>
          <w:lang w:eastAsia="zh-CN"/>
        </w:rPr>
      </w:pPr>
      <w:r>
        <w:rPr>
          <w:rFonts w:hint="eastAsia"/>
          <w:sz w:val="21"/>
          <w:szCs w:val="21"/>
          <w:lang w:val="en-US" w:eastAsia="zh-CN"/>
        </w:rPr>
        <w:t>参比人</w:t>
      </w:r>
      <w:r>
        <w:rPr>
          <w:rFonts w:hint="eastAsia"/>
          <w:sz w:val="21"/>
          <w:szCs w:val="21"/>
          <w:lang w:eastAsia="zh-CN"/>
        </w:rPr>
        <w:t>：</w:t>
      </w:r>
      <w:r>
        <w:rPr>
          <w:rFonts w:hint="eastAsia"/>
          <w:sz w:val="21"/>
          <w:szCs w:val="21"/>
          <w:u w:val="single"/>
          <w:lang w:eastAsia="zh-CN"/>
        </w:rPr>
        <w:t xml:space="preserve">   </w:t>
      </w:r>
      <w:r>
        <w:rPr>
          <w:sz w:val="21"/>
          <w:szCs w:val="21"/>
          <w:u w:val="single"/>
          <w:lang w:eastAsia="zh-CN"/>
        </w:rPr>
        <w:t xml:space="preserve">    单位名称</w:t>
      </w:r>
      <w:r>
        <w:rPr>
          <w:rFonts w:hint="eastAsia"/>
          <w:sz w:val="21"/>
          <w:szCs w:val="21"/>
          <w:u w:val="single"/>
          <w:lang w:eastAsia="zh-CN"/>
        </w:rPr>
        <w:t xml:space="preserve">   </w:t>
      </w:r>
      <w:r>
        <w:rPr>
          <w:rFonts w:hint="eastAsia"/>
          <w:color w:val="00B050"/>
          <w:sz w:val="21"/>
          <w:szCs w:val="21"/>
          <w:lang w:eastAsia="zh-CN"/>
        </w:rPr>
        <w:t>（加盖参选单位章）</w:t>
      </w:r>
    </w:p>
    <w:p w14:paraId="0AF98840">
      <w:pPr>
        <w:spacing w:line="360" w:lineRule="auto"/>
        <w:ind w:firstLine="2969" w:firstLineChars="1414"/>
        <w:rPr>
          <w:color w:val="00B050"/>
          <w:sz w:val="21"/>
          <w:szCs w:val="21"/>
          <w:lang w:eastAsia="zh-CN"/>
        </w:rPr>
      </w:pPr>
      <w:r>
        <w:rPr>
          <w:rFonts w:hint="eastAsia"/>
          <w:sz w:val="21"/>
          <w:szCs w:val="21"/>
          <w:lang w:eastAsia="zh-CN"/>
        </w:rPr>
        <w:t>法定代表人：</w:t>
      </w:r>
      <w:r>
        <w:rPr>
          <w:rFonts w:hint="eastAsia"/>
          <w:sz w:val="21"/>
          <w:szCs w:val="21"/>
          <w:u w:val="single"/>
          <w:lang w:eastAsia="zh-CN"/>
        </w:rPr>
        <w:t xml:space="preserve">                 </w:t>
      </w:r>
      <w:r>
        <w:rPr>
          <w:rFonts w:hint="eastAsia"/>
          <w:color w:val="00B050"/>
          <w:sz w:val="21"/>
          <w:szCs w:val="21"/>
          <w:lang w:eastAsia="zh-CN"/>
        </w:rPr>
        <w:t>（签字）</w:t>
      </w:r>
    </w:p>
    <w:p w14:paraId="36AC674E">
      <w:pPr>
        <w:spacing w:line="360" w:lineRule="auto"/>
        <w:ind w:firstLine="2969" w:firstLineChars="1414"/>
        <w:rPr>
          <w:color w:val="C00000"/>
          <w:sz w:val="21"/>
          <w:szCs w:val="21"/>
          <w:u w:val="single"/>
          <w:lang w:eastAsia="zh-CN"/>
        </w:rPr>
      </w:pPr>
      <w:r>
        <w:rPr>
          <w:rFonts w:hint="eastAsia"/>
          <w:sz w:val="21"/>
          <w:szCs w:val="21"/>
          <w:lang w:eastAsia="zh-CN"/>
        </w:rPr>
        <w:t>或其授权委托代理人：</w:t>
      </w:r>
      <w:r>
        <w:rPr>
          <w:rFonts w:hint="eastAsia"/>
          <w:sz w:val="21"/>
          <w:szCs w:val="21"/>
          <w:u w:val="single"/>
          <w:lang w:eastAsia="zh-CN"/>
        </w:rPr>
        <w:t xml:space="preserve">                 </w:t>
      </w:r>
      <w:r>
        <w:rPr>
          <w:sz w:val="21"/>
          <w:szCs w:val="21"/>
          <w:lang w:eastAsia="zh-CN"/>
        </w:rPr>
        <w:t>_</w:t>
      </w:r>
      <w:r>
        <w:rPr>
          <w:rFonts w:hint="eastAsia"/>
          <w:color w:val="00B050"/>
          <w:sz w:val="21"/>
          <w:szCs w:val="21"/>
          <w:lang w:eastAsia="zh-CN"/>
        </w:rPr>
        <w:t>（签字）</w:t>
      </w:r>
    </w:p>
    <w:p w14:paraId="155D7901">
      <w:pPr>
        <w:pStyle w:val="2"/>
        <w:spacing w:line="360" w:lineRule="auto"/>
        <w:ind w:firstLine="2969" w:firstLineChars="1414"/>
        <w:rPr>
          <w:sz w:val="21"/>
          <w:szCs w:val="21"/>
        </w:rPr>
      </w:pPr>
      <w:r>
        <w:rPr>
          <w:rFonts w:hint="eastAsia" w:hAnsi="宋体" w:cs="宋体"/>
          <w:sz w:val="21"/>
          <w:szCs w:val="21"/>
        </w:rPr>
        <w:t>联系电话及邮箱：</w:t>
      </w:r>
      <w:r>
        <w:rPr>
          <w:rFonts w:hint="eastAsia"/>
          <w:sz w:val="21"/>
          <w:szCs w:val="21"/>
          <w:u w:val="single"/>
        </w:rPr>
        <w:t xml:space="preserve">         </w:t>
      </w:r>
      <w:r>
        <w:rPr>
          <w:sz w:val="21"/>
          <w:szCs w:val="21"/>
          <w:u w:val="single"/>
        </w:rPr>
        <w:t xml:space="preserve">  </w:t>
      </w:r>
      <w:r>
        <w:rPr>
          <w:rFonts w:hint="eastAsia"/>
          <w:sz w:val="21"/>
          <w:szCs w:val="21"/>
          <w:u w:val="single"/>
        </w:rPr>
        <w:t xml:space="preserve">         </w:t>
      </w:r>
    </w:p>
    <w:p w14:paraId="705BA5FC">
      <w:pPr>
        <w:ind w:firstLine="2969" w:firstLineChars="1414"/>
        <w:rPr>
          <w:sz w:val="21"/>
          <w:szCs w:val="21"/>
          <w:u w:val="single"/>
          <w:lang w:eastAsia="zh-CN"/>
        </w:rPr>
      </w:pPr>
      <w:r>
        <w:rPr>
          <w:rFonts w:hint="eastAsia"/>
          <w:sz w:val="21"/>
          <w:szCs w:val="21"/>
          <w:lang w:eastAsia="zh-CN"/>
        </w:rPr>
        <w:t xml:space="preserve">编制时间： </w:t>
      </w:r>
      <w:r>
        <w:rPr>
          <w:rFonts w:hint="eastAsia"/>
          <w:sz w:val="21"/>
          <w:szCs w:val="21"/>
          <w:u w:val="single"/>
          <w:lang w:eastAsia="zh-CN"/>
        </w:rPr>
        <w:t xml:space="preserve">      年   月   日</w:t>
      </w:r>
      <w:bookmarkEnd w:id="1"/>
    </w:p>
    <w:sectPr>
      <w:footerReference r:id="rId3" w:type="default"/>
      <w:pgSz w:w="11910" w:h="16840"/>
      <w:pgMar w:top="1418" w:right="1316" w:bottom="851" w:left="135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KSOFBFDA8B98">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14:paraId="1A4EB1BB">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7BC49F3E">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44769"/>
    <w:multiLevelType w:val="singleLevel"/>
    <w:tmpl w:val="80744769"/>
    <w:lvl w:ilvl="0" w:tentative="0">
      <w:start w:val="1"/>
      <w:numFmt w:val="chineseCounting"/>
      <w:suff w:val="nothing"/>
      <w:lvlText w:val="%1、"/>
      <w:lvlJc w:val="left"/>
      <w:pPr>
        <w:ind w:left="-41"/>
      </w:pPr>
      <w:rPr>
        <w:rFonts w:hint="eastAsia"/>
      </w:r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BE05127E"/>
    <w:multiLevelType w:val="singleLevel"/>
    <w:tmpl w:val="BE05127E"/>
    <w:lvl w:ilvl="0" w:tentative="0">
      <w:start w:val="1"/>
      <w:numFmt w:val="chineseCounting"/>
      <w:suff w:val="space"/>
      <w:lvlText w:val="%1、"/>
      <w:lvlJc w:val="left"/>
      <w:rPr>
        <w:rFonts w:hint="eastAsia"/>
      </w:rPr>
    </w:lvl>
  </w:abstractNum>
  <w:abstractNum w:abstractNumId="3">
    <w:nsid w:val="CEB101E9"/>
    <w:multiLevelType w:val="singleLevel"/>
    <w:tmpl w:val="CEB101E9"/>
    <w:lvl w:ilvl="0" w:tentative="0">
      <w:start w:val="1"/>
      <w:numFmt w:val="chineseCounting"/>
      <w:suff w:val="nothing"/>
      <w:lvlText w:val="%1、"/>
      <w:lvlJc w:val="left"/>
      <w:rPr>
        <w:rFonts w:hint="eastAsia"/>
      </w:rPr>
    </w:lvl>
  </w:abstractNum>
  <w:abstractNum w:abstractNumId="4">
    <w:nsid w:val="F43C8E24"/>
    <w:multiLevelType w:val="singleLevel"/>
    <w:tmpl w:val="F43C8E24"/>
    <w:lvl w:ilvl="0" w:tentative="0">
      <w:start w:val="1"/>
      <w:numFmt w:val="decimal"/>
      <w:suff w:val="nothing"/>
      <w:lvlText w:val="%1、"/>
      <w:lvlJc w:val="left"/>
    </w:lvl>
  </w:abstractNum>
  <w:abstractNum w:abstractNumId="5">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6">
    <w:nsid w:val="0F3E6214"/>
    <w:multiLevelType w:val="multilevel"/>
    <w:tmpl w:val="0F3E62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114600F"/>
    <w:multiLevelType w:val="singleLevel"/>
    <w:tmpl w:val="1114600F"/>
    <w:lvl w:ilvl="0" w:tentative="0">
      <w:start w:val="1"/>
      <w:numFmt w:val="decimal"/>
      <w:suff w:val="nothing"/>
      <w:lvlText w:val="%1、"/>
      <w:lvlJc w:val="left"/>
    </w:lvl>
  </w:abstractNum>
  <w:abstractNum w:abstractNumId="8">
    <w:nsid w:val="2B86DC3C"/>
    <w:multiLevelType w:val="singleLevel"/>
    <w:tmpl w:val="2B86DC3C"/>
    <w:lvl w:ilvl="0" w:tentative="0">
      <w:start w:val="1"/>
      <w:numFmt w:val="decimal"/>
      <w:suff w:val="nothing"/>
      <w:lvlText w:val="%1、"/>
      <w:lvlJc w:val="left"/>
    </w:lvl>
  </w:abstractNum>
  <w:abstractNum w:abstractNumId="9">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0">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1">
    <w:nsid w:val="36288327"/>
    <w:multiLevelType w:val="singleLevel"/>
    <w:tmpl w:val="36288327"/>
    <w:lvl w:ilvl="0" w:tentative="0">
      <w:start w:val="1"/>
      <w:numFmt w:val="decimal"/>
      <w:suff w:val="nothing"/>
      <w:lvlText w:val="%1、"/>
      <w:lvlJc w:val="left"/>
    </w:lvl>
  </w:abstractNum>
  <w:abstractNum w:abstractNumId="12">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4">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5"/>
  </w:num>
  <w:num w:numId="3">
    <w:abstractNumId w:val="9"/>
  </w:num>
  <w:num w:numId="4">
    <w:abstractNumId w:val="10"/>
  </w:num>
  <w:num w:numId="5">
    <w:abstractNumId w:val="12"/>
  </w:num>
  <w:num w:numId="6">
    <w:abstractNumId w:val="2"/>
  </w:num>
  <w:num w:numId="7">
    <w:abstractNumId w:val="11"/>
  </w:num>
  <w:num w:numId="8">
    <w:abstractNumId w:val="7"/>
  </w:num>
  <w:num w:numId="9">
    <w:abstractNumId w:val="0"/>
  </w:num>
  <w:num w:numId="10">
    <w:abstractNumId w:val="3"/>
  </w:num>
  <w:num w:numId="11">
    <w:abstractNumId w:val="8"/>
  </w:num>
  <w:num w:numId="12">
    <w:abstractNumId w:val="1"/>
  </w:num>
  <w:num w:numId="13">
    <w:abstractNumId w:val="4"/>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B23"/>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365"/>
    <w:rsid w:val="00185C58"/>
    <w:rsid w:val="00186053"/>
    <w:rsid w:val="001861E4"/>
    <w:rsid w:val="00190E02"/>
    <w:rsid w:val="00191171"/>
    <w:rsid w:val="00192465"/>
    <w:rsid w:val="00193470"/>
    <w:rsid w:val="001937BF"/>
    <w:rsid w:val="00193817"/>
    <w:rsid w:val="00195D79"/>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481E"/>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7B8"/>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9794F"/>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37DED"/>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A6E23"/>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76305"/>
    <w:rsid w:val="00B81287"/>
    <w:rsid w:val="00B83008"/>
    <w:rsid w:val="00B84124"/>
    <w:rsid w:val="00B841E6"/>
    <w:rsid w:val="00B908A4"/>
    <w:rsid w:val="00B912C6"/>
    <w:rsid w:val="00B9186B"/>
    <w:rsid w:val="00B92794"/>
    <w:rsid w:val="00B936AF"/>
    <w:rsid w:val="00B93AEA"/>
    <w:rsid w:val="00B947B9"/>
    <w:rsid w:val="00B95323"/>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63A7"/>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367315B"/>
    <w:rsid w:val="061139E5"/>
    <w:rsid w:val="06F50B00"/>
    <w:rsid w:val="076E1278"/>
    <w:rsid w:val="08D1141D"/>
    <w:rsid w:val="08F06F35"/>
    <w:rsid w:val="0AAC60CF"/>
    <w:rsid w:val="0AB77148"/>
    <w:rsid w:val="0B296DE2"/>
    <w:rsid w:val="0E465D21"/>
    <w:rsid w:val="10294AA3"/>
    <w:rsid w:val="10CB491B"/>
    <w:rsid w:val="10E40CA0"/>
    <w:rsid w:val="118D27A4"/>
    <w:rsid w:val="136130D9"/>
    <w:rsid w:val="14A10B0A"/>
    <w:rsid w:val="18DD4F7E"/>
    <w:rsid w:val="195B58A2"/>
    <w:rsid w:val="19E57796"/>
    <w:rsid w:val="1E085A14"/>
    <w:rsid w:val="1F462C7A"/>
    <w:rsid w:val="1FF43DDB"/>
    <w:rsid w:val="206132EB"/>
    <w:rsid w:val="21933AA2"/>
    <w:rsid w:val="233937FB"/>
    <w:rsid w:val="23640DBF"/>
    <w:rsid w:val="237C4C1C"/>
    <w:rsid w:val="25A37556"/>
    <w:rsid w:val="25BF356F"/>
    <w:rsid w:val="25DB0C2D"/>
    <w:rsid w:val="269469E7"/>
    <w:rsid w:val="29FC3B14"/>
    <w:rsid w:val="2B11792E"/>
    <w:rsid w:val="2B862E35"/>
    <w:rsid w:val="2DE97352"/>
    <w:rsid w:val="31C54755"/>
    <w:rsid w:val="3216608C"/>
    <w:rsid w:val="32484C70"/>
    <w:rsid w:val="333E78F7"/>
    <w:rsid w:val="346E39E7"/>
    <w:rsid w:val="34CE14C6"/>
    <w:rsid w:val="34D84CEC"/>
    <w:rsid w:val="35C0683E"/>
    <w:rsid w:val="36580506"/>
    <w:rsid w:val="375D338A"/>
    <w:rsid w:val="37AF5AB7"/>
    <w:rsid w:val="3956072C"/>
    <w:rsid w:val="3AC54CA3"/>
    <w:rsid w:val="3B1C3371"/>
    <w:rsid w:val="3B353023"/>
    <w:rsid w:val="3CC23198"/>
    <w:rsid w:val="3DDF4815"/>
    <w:rsid w:val="3FE669E5"/>
    <w:rsid w:val="459E6B0A"/>
    <w:rsid w:val="4B0C4228"/>
    <w:rsid w:val="4D5A4AA0"/>
    <w:rsid w:val="4F6E30B7"/>
    <w:rsid w:val="50F63E28"/>
    <w:rsid w:val="5221007F"/>
    <w:rsid w:val="52926B5A"/>
    <w:rsid w:val="52DA1D7C"/>
    <w:rsid w:val="532375D0"/>
    <w:rsid w:val="545C5E51"/>
    <w:rsid w:val="5486175B"/>
    <w:rsid w:val="548E50B1"/>
    <w:rsid w:val="559F0ACD"/>
    <w:rsid w:val="56230F26"/>
    <w:rsid w:val="565A37C4"/>
    <w:rsid w:val="57667D24"/>
    <w:rsid w:val="57CE5BC3"/>
    <w:rsid w:val="590A0C69"/>
    <w:rsid w:val="5AE1516A"/>
    <w:rsid w:val="5B6A3A79"/>
    <w:rsid w:val="5B8B6467"/>
    <w:rsid w:val="5C1A5F7B"/>
    <w:rsid w:val="60011A2A"/>
    <w:rsid w:val="63337C6E"/>
    <w:rsid w:val="645771F8"/>
    <w:rsid w:val="647A4386"/>
    <w:rsid w:val="6750686D"/>
    <w:rsid w:val="6A321D4B"/>
    <w:rsid w:val="6A54112D"/>
    <w:rsid w:val="6AA035AE"/>
    <w:rsid w:val="6AB6358E"/>
    <w:rsid w:val="6E0F2E14"/>
    <w:rsid w:val="6F1E141D"/>
    <w:rsid w:val="6F5354F8"/>
    <w:rsid w:val="740A2BDE"/>
    <w:rsid w:val="751839E0"/>
    <w:rsid w:val="76274F93"/>
    <w:rsid w:val="76F605C0"/>
    <w:rsid w:val="7948722E"/>
    <w:rsid w:val="79EB3F2F"/>
    <w:rsid w:val="7A372880"/>
    <w:rsid w:val="7B11789E"/>
    <w:rsid w:val="7BB67714"/>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1"/>
    <w:link w:val="208"/>
    <w:semiHidden/>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1"/>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99"/>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99"/>
    <w:rPr>
      <w:kern w:val="2"/>
      <w:sz w:val="21"/>
    </w:rPr>
  </w:style>
  <w:style w:type="character" w:customStyle="1" w:styleId="83">
    <w:name w:val="批注框文本 Char"/>
    <w:basedOn w:val="49"/>
    <w:link w:val="29"/>
    <w:qFormat/>
    <w:uiPriority w:val="99"/>
    <w:rPr>
      <w:kern w:val="2"/>
      <w:sz w:val="18"/>
      <w:szCs w:val="18"/>
    </w:rPr>
  </w:style>
  <w:style w:type="character" w:customStyle="1" w:styleId="84">
    <w:name w:val="正文文本缩进 3 Char"/>
    <w:basedOn w:val="49"/>
    <w:link w:val="35"/>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99"/>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3"/>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0"/>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99"/>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39"/>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9"/>
    <w:qFormat/>
    <w:uiPriority w:val="0"/>
  </w:style>
  <w:style w:type="character" w:customStyle="1" w:styleId="208">
    <w:name w:val="正文首行缩进 2 Char"/>
    <w:basedOn w:val="90"/>
    <w:link w:val="46"/>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9"/>
    <w:qFormat/>
    <w:uiPriority w:val="0"/>
    <w:rPr>
      <w:rFonts w:hint="eastAsia" w:ascii="宋体" w:hAnsi="宋体" w:eastAsia="宋体" w:cs="宋体"/>
      <w:color w:val="000000"/>
      <w:sz w:val="24"/>
      <w:szCs w:val="24"/>
      <w:u w:val="none"/>
    </w:rPr>
  </w:style>
  <w:style w:type="character" w:customStyle="1" w:styleId="211">
    <w:name w:val="大纲3 Char"/>
    <w:basedOn w:val="49"/>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9"/>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9"/>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9"/>
    <w:qFormat/>
    <w:uiPriority w:val="0"/>
  </w:style>
  <w:style w:type="character" w:customStyle="1" w:styleId="219">
    <w:name w:val="新规程正文（不带编号） Char"/>
    <w:basedOn w:val="49"/>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9"/>
    <w:link w:val="134"/>
    <w:qFormat/>
    <w:uiPriority w:val="0"/>
    <w:rPr>
      <w:rFonts w:ascii="宋体" w:hAnsi="宋体"/>
      <w:b/>
      <w:color w:val="000000"/>
      <w:sz w:val="24"/>
      <w:szCs w:val="24"/>
    </w:rPr>
  </w:style>
  <w:style w:type="character" w:customStyle="1" w:styleId="222">
    <w:name w:val="样式2 Char1"/>
    <w:basedOn w:val="49"/>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56407-529D-4452-81DF-6FF2D2022D3B}">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29</Pages>
  <Words>5498</Words>
  <Characters>5969</Characters>
  <Lines>107</Lines>
  <Paragraphs>30</Paragraphs>
  <TotalTime>6</TotalTime>
  <ScaleCrop>false</ScaleCrop>
  <LinksUpToDate>false</LinksUpToDate>
  <CharactersWithSpaces>6404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2023-05-14T09:06:00Z</dcterms:created>
  <dc:creator>CGC</dc:creator>
  <cp:lastModifiedBy>mqhuang</cp:lastModifiedBy>
  <dcterms:modified xsi:type="dcterms:W3CDTF">2026-09-01T01:29:57Z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2052-12.1.0.28043</vt:lpwstr>
  </property>
  <property fmtid="{D5CDD505-2E9C-101B-9397-08002B2CF9AE}" pid="6" name="ICV">
    <vt:lpwstr>E6B531DBB10B4F4CBBE10EBFB51886C5_13</vt:lpwstr>
  </property>
  <property fmtid="{D5CDD505-2E9C-101B-9397-08002B2CF9AE}" pid="7" name="KSOTemplateDocerSaveRecord">
    <vt:lpwstr>eyJoZGlkIjoiMDAwZGE1YzMwMDlmOTIxMTA2ZTkzZTJhZThjODRkZDQiLCJ1c2VySWQiOiI5ODEyNzgwOTAifQ==</vt:lpwstr>
  </property>
</Properties>
</file>