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5B69E">
      <w:pPr>
        <w:spacing w:before="120" w:beforeLines="50" w:after="120" w:afterLines="50" w:line="300" w:lineRule="auto"/>
        <w:jc w:val="center"/>
        <w:rPr>
          <w:b/>
          <w:sz w:val="32"/>
          <w:szCs w:val="32"/>
        </w:rPr>
      </w:pPr>
      <w:r>
        <w:rPr>
          <w:b/>
          <w:sz w:val="32"/>
          <w:szCs w:val="32"/>
        </w:rPr>
        <w:t xml:space="preserve"> </w:t>
      </w:r>
    </w:p>
    <w:p w14:paraId="5EDB9D5E">
      <w:pPr>
        <w:spacing w:before="120" w:beforeLines="50" w:after="120" w:afterLines="50" w:line="300" w:lineRule="auto"/>
        <w:jc w:val="center"/>
        <w:rPr>
          <w:b/>
          <w:sz w:val="32"/>
          <w:szCs w:val="32"/>
        </w:rPr>
      </w:pPr>
    </w:p>
    <w:tbl>
      <w:tblPr>
        <w:tblStyle w:val="16"/>
        <w:tblW w:w="0" w:type="auto"/>
        <w:tblInd w:w="0" w:type="dxa"/>
        <w:tblBorders>
          <w:top w:val="thickThinLargeGap" w:color="auto" w:sz="24" w:space="0"/>
          <w:left w:val="none" w:color="auto" w:sz="0" w:space="0"/>
          <w:bottom w:val="thickThinLargeGap" w:color="auto" w:sz="2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80"/>
      </w:tblGrid>
      <w:tr w14:paraId="7C89387F">
        <w:tblPrEx>
          <w:tblBorders>
            <w:top w:val="thickThinLargeGap" w:color="auto" w:sz="24" w:space="0"/>
            <w:left w:val="none" w:color="auto" w:sz="0" w:space="0"/>
            <w:bottom w:val="thickThinLargeGap" w:color="auto"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280" w:type="dxa"/>
            <w:shd w:val="clear" w:color="auto" w:fill="auto"/>
          </w:tcPr>
          <w:p w14:paraId="2A31146A">
            <w:pPr>
              <w:spacing w:before="600" w:beforeLines="250" w:after="600" w:afterLines="250" w:line="300" w:lineRule="auto"/>
              <w:jc w:val="center"/>
              <w:rPr>
                <w:rFonts w:eastAsiaTheme="minorEastAsia"/>
                <w:b/>
                <w:kern w:val="2"/>
                <w:sz w:val="48"/>
                <w:szCs w:val="48"/>
              </w:rPr>
            </w:pPr>
          </w:p>
          <w:p w14:paraId="37E8E440">
            <w:pPr>
              <w:spacing w:before="600" w:beforeLines="250" w:after="600" w:afterLines="250" w:line="300" w:lineRule="auto"/>
              <w:jc w:val="center"/>
              <w:rPr>
                <w:b/>
                <w:kern w:val="2"/>
                <w:sz w:val="48"/>
                <w:szCs w:val="48"/>
              </w:rPr>
            </w:pPr>
            <w:r>
              <w:rPr>
                <w:b/>
                <w:kern w:val="0"/>
                <w:sz w:val="48"/>
                <w:szCs w:val="48"/>
              </w:rPr>
              <w:t>土地使用权租赁协议</w:t>
            </w:r>
          </w:p>
        </w:tc>
      </w:tr>
    </w:tbl>
    <w:p w14:paraId="37496AC1">
      <w:pPr>
        <w:spacing w:before="120" w:beforeLines="50" w:after="120" w:afterLines="50" w:line="300" w:lineRule="auto"/>
        <w:jc w:val="center"/>
        <w:rPr>
          <w:rFonts w:eastAsia="黑体"/>
          <w:b/>
          <w:sz w:val="28"/>
          <w:szCs w:val="28"/>
        </w:rPr>
      </w:pPr>
    </w:p>
    <w:p w14:paraId="5EBBAAB9">
      <w:pPr>
        <w:spacing w:before="120" w:beforeLines="50" w:after="120" w:afterLines="50" w:line="300" w:lineRule="auto"/>
        <w:jc w:val="center"/>
        <w:rPr>
          <w:b/>
          <w:sz w:val="28"/>
          <w:szCs w:val="28"/>
        </w:rPr>
      </w:pPr>
      <w:r>
        <w:rPr>
          <w:b/>
          <w:sz w:val="28"/>
          <w:szCs w:val="28"/>
        </w:rPr>
        <w:t>腾龙芳烃（漳州）有限公司</w:t>
      </w:r>
    </w:p>
    <w:p w14:paraId="60917543">
      <w:pPr>
        <w:spacing w:before="120" w:beforeLines="50" w:after="120" w:afterLines="50" w:line="300" w:lineRule="auto"/>
        <w:jc w:val="center"/>
        <w:rPr>
          <w:b/>
          <w:sz w:val="28"/>
          <w:szCs w:val="28"/>
        </w:rPr>
      </w:pPr>
    </w:p>
    <w:p w14:paraId="53793417">
      <w:pPr>
        <w:spacing w:before="120" w:beforeLines="50" w:after="120" w:afterLines="50" w:line="300" w:lineRule="auto"/>
        <w:jc w:val="center"/>
        <w:rPr>
          <w:b/>
          <w:sz w:val="28"/>
          <w:szCs w:val="28"/>
        </w:rPr>
      </w:pPr>
      <w:r>
        <w:rPr>
          <w:b/>
          <w:sz w:val="28"/>
          <w:szCs w:val="28"/>
        </w:rPr>
        <w:t>与</w:t>
      </w:r>
    </w:p>
    <w:p w14:paraId="2B37B8B5">
      <w:pPr>
        <w:spacing w:before="120" w:beforeLines="50" w:after="120" w:afterLines="50" w:line="300" w:lineRule="auto"/>
        <w:jc w:val="both"/>
        <w:rPr>
          <w:rFonts w:hint="default" w:eastAsia="黑体"/>
          <w:b w:val="0"/>
          <w:bCs/>
          <w:sz w:val="48"/>
          <w:szCs w:val="48"/>
          <w:u w:val="single"/>
          <w:lang w:val="en-US" w:eastAsia="zh-CN"/>
        </w:rPr>
      </w:pPr>
      <w:r>
        <w:rPr>
          <w:rFonts w:hint="eastAsia" w:eastAsia="黑体"/>
          <w:b/>
          <w:sz w:val="28"/>
          <w:szCs w:val="28"/>
          <w:lang w:val="en-US" w:eastAsia="zh-CN"/>
        </w:rPr>
        <w:t xml:space="preserve">                  </w:t>
      </w:r>
      <w:r>
        <w:rPr>
          <w:rFonts w:hint="eastAsia" w:eastAsia="黑体"/>
          <w:b w:val="0"/>
          <w:bCs/>
          <w:sz w:val="48"/>
          <w:szCs w:val="48"/>
          <w:u w:val="single"/>
          <w:lang w:val="en-US" w:eastAsia="zh-CN"/>
        </w:rPr>
        <w:t xml:space="preserve">                  </w:t>
      </w:r>
    </w:p>
    <w:p w14:paraId="13B5BA38">
      <w:pPr>
        <w:spacing w:before="120" w:beforeLines="50" w:after="120" w:afterLines="50" w:line="288" w:lineRule="auto"/>
        <w:rPr>
          <w:sz w:val="24"/>
        </w:rPr>
      </w:pPr>
      <w:r>
        <w:rPr>
          <w:sz w:val="24"/>
        </w:rPr>
        <w:br w:type="page"/>
      </w:r>
      <w:r>
        <w:rPr>
          <w:sz w:val="24"/>
        </w:rPr>
        <w:t>本土地使用权租赁协议（以下简称“</w:t>
      </w:r>
      <w:r>
        <w:rPr>
          <w:b/>
          <w:sz w:val="24"/>
        </w:rPr>
        <w:t>本协议</w:t>
      </w:r>
      <w:r>
        <w:rPr>
          <w:sz w:val="24"/>
        </w:rPr>
        <w:t>”）由以下</w:t>
      </w:r>
      <w:r>
        <w:rPr>
          <w:rFonts w:hint="eastAsia"/>
          <w:sz w:val="24"/>
        </w:rPr>
        <w:t>双</w:t>
      </w:r>
      <w:r>
        <w:rPr>
          <w:sz w:val="24"/>
        </w:rPr>
        <w:t>方于【】年【】月【】日签订：</w:t>
      </w:r>
    </w:p>
    <w:p w14:paraId="7DEA4754">
      <w:pPr>
        <w:spacing w:before="120" w:beforeLines="50" w:after="120" w:afterLines="50" w:line="288" w:lineRule="auto"/>
        <w:rPr>
          <w:sz w:val="24"/>
        </w:rPr>
      </w:pPr>
    </w:p>
    <w:p w14:paraId="0A1218AB">
      <w:pPr>
        <w:spacing w:before="120" w:beforeLines="50" w:after="120" w:afterLines="50" w:line="288" w:lineRule="auto"/>
        <w:rPr>
          <w:sz w:val="24"/>
        </w:rPr>
      </w:pPr>
      <w:r>
        <w:rPr>
          <w:b/>
          <w:sz w:val="24"/>
        </w:rPr>
        <w:t>出租方</w:t>
      </w:r>
      <w:r>
        <w:rPr>
          <w:sz w:val="24"/>
        </w:rPr>
        <w:t>：</w:t>
      </w:r>
      <w:r>
        <w:rPr>
          <w:rFonts w:hint="eastAsia"/>
          <w:sz w:val="24"/>
        </w:rPr>
        <w:t>腾龙芳烃</w:t>
      </w:r>
      <w:r>
        <w:rPr>
          <w:sz w:val="24"/>
        </w:rPr>
        <w:t>（漳州）有限公司（“</w:t>
      </w:r>
      <w:r>
        <w:rPr>
          <w:b/>
          <w:bCs/>
          <w:sz w:val="24"/>
        </w:rPr>
        <w:t>出租方</w:t>
      </w:r>
      <w:r>
        <w:rPr>
          <w:sz w:val="24"/>
        </w:rPr>
        <w:t>”）</w:t>
      </w:r>
    </w:p>
    <w:p w14:paraId="734913E9">
      <w:pPr>
        <w:spacing w:before="120" w:beforeLines="50" w:after="120" w:afterLines="50" w:line="288" w:lineRule="auto"/>
        <w:rPr>
          <w:sz w:val="24"/>
        </w:rPr>
      </w:pPr>
    </w:p>
    <w:p w14:paraId="3C6D86F1">
      <w:pPr>
        <w:spacing w:before="120" w:beforeLines="50" w:after="120" w:afterLines="50" w:line="288" w:lineRule="auto"/>
        <w:rPr>
          <w:sz w:val="24"/>
        </w:rPr>
      </w:pPr>
      <w:r>
        <w:rPr>
          <w:b/>
          <w:bCs/>
          <w:sz w:val="24"/>
        </w:rPr>
        <w:t>承租方</w:t>
      </w:r>
      <w:r>
        <w:rPr>
          <w:sz w:val="24"/>
        </w:rPr>
        <w:t>：</w:t>
      </w:r>
      <w:r>
        <w:rPr>
          <w:rFonts w:hint="eastAsia"/>
          <w:sz w:val="24"/>
          <w:lang w:val="en-US" w:eastAsia="zh-CN"/>
        </w:rPr>
        <w:t xml:space="preserve">                        </w:t>
      </w:r>
      <w:r>
        <w:rPr>
          <w:sz w:val="24"/>
        </w:rPr>
        <w:t>（“</w:t>
      </w:r>
      <w:r>
        <w:rPr>
          <w:b/>
          <w:bCs/>
          <w:sz w:val="24"/>
        </w:rPr>
        <w:t>承租方</w:t>
      </w:r>
      <w:r>
        <w:rPr>
          <w:sz w:val="24"/>
        </w:rPr>
        <w:t>”）</w:t>
      </w:r>
    </w:p>
    <w:p w14:paraId="50DEA3F7">
      <w:pPr>
        <w:pStyle w:val="54"/>
        <w:snapToGrid w:val="0"/>
        <w:spacing w:before="120" w:beforeLines="50" w:after="120" w:afterLines="50" w:line="288" w:lineRule="auto"/>
        <w:rPr>
          <w:rFonts w:ascii="Times New Roman" w:hAnsi="Times New Roman"/>
          <w:color w:val="000000"/>
          <w:shd w:val="clear" w:color="auto" w:fill="FFFFFF"/>
        </w:rPr>
      </w:pPr>
    </w:p>
    <w:p w14:paraId="5F216077">
      <w:pPr>
        <w:pStyle w:val="54"/>
        <w:snapToGrid w:val="0"/>
        <w:spacing w:before="120" w:beforeLines="50" w:after="120" w:afterLines="50" w:line="288" w:lineRule="auto"/>
        <w:rPr>
          <w:rFonts w:ascii="Times New Roman" w:hAnsi="Times New Roman" w:eastAsiaTheme="majorEastAsia"/>
          <w:color w:val="000000"/>
        </w:rPr>
      </w:pPr>
      <w:r>
        <w:rPr>
          <w:rFonts w:ascii="Times New Roman" w:hAnsi="Times New Roman" w:eastAsiaTheme="majorEastAsia"/>
          <w:color w:val="000000"/>
        </w:rPr>
        <w:t>（以下合称为“</w:t>
      </w:r>
      <w:r>
        <w:rPr>
          <w:rFonts w:ascii="Times New Roman" w:hAnsi="Times New Roman" w:eastAsiaTheme="majorEastAsia"/>
          <w:b/>
          <w:bCs/>
          <w:color w:val="000000"/>
        </w:rPr>
        <w:t>双方</w:t>
      </w:r>
      <w:r>
        <w:rPr>
          <w:rFonts w:ascii="Times New Roman" w:hAnsi="Times New Roman" w:eastAsiaTheme="majorEastAsia"/>
          <w:color w:val="000000"/>
        </w:rPr>
        <w:t>”，单独成为“</w:t>
      </w:r>
      <w:r>
        <w:rPr>
          <w:rFonts w:ascii="Times New Roman" w:hAnsi="Times New Roman" w:eastAsiaTheme="majorEastAsia"/>
          <w:b/>
          <w:bCs/>
          <w:color w:val="000000"/>
        </w:rPr>
        <w:t>一方</w:t>
      </w:r>
      <w:r>
        <w:rPr>
          <w:rFonts w:ascii="Times New Roman" w:hAnsi="Times New Roman" w:eastAsiaTheme="majorEastAsia"/>
          <w:color w:val="000000"/>
        </w:rPr>
        <w:t>”）</w:t>
      </w:r>
    </w:p>
    <w:p w14:paraId="1E7EA2B4">
      <w:pPr>
        <w:pStyle w:val="54"/>
        <w:snapToGrid w:val="0"/>
        <w:spacing w:before="120" w:beforeLines="50" w:after="120" w:afterLines="50" w:line="288" w:lineRule="auto"/>
        <w:rPr>
          <w:rFonts w:ascii="Times New Roman" w:hAnsi="Times New Roman" w:eastAsiaTheme="majorEastAsia"/>
          <w:color w:val="000000"/>
        </w:rPr>
      </w:pPr>
    </w:p>
    <w:p w14:paraId="0DAE0117">
      <w:pPr>
        <w:pStyle w:val="54"/>
        <w:snapToGrid w:val="0"/>
        <w:spacing w:before="120" w:beforeLines="50" w:after="120" w:afterLines="50" w:line="288" w:lineRule="auto"/>
        <w:ind w:left="440"/>
        <w:rPr>
          <w:rFonts w:ascii="Times New Roman" w:hAnsi="Times New Roman" w:eastAsiaTheme="majorEastAsia"/>
          <w:color w:val="000000"/>
        </w:rPr>
      </w:pPr>
      <w:r>
        <w:rPr>
          <w:rFonts w:hint="eastAsia" w:ascii="Times New Roman" w:hAnsi="Times New Roman" w:eastAsiaTheme="majorEastAsia"/>
          <w:color w:val="000000"/>
          <w:lang w:val="en-US" w:eastAsia="zh-CN"/>
        </w:rPr>
        <w:t>出租方与承租方</w:t>
      </w:r>
      <w:r>
        <w:rPr>
          <w:rFonts w:ascii="Times New Roman" w:hAnsi="Times New Roman" w:eastAsiaTheme="majorEastAsia"/>
          <w:color w:val="000000"/>
        </w:rPr>
        <w:t>经友好协商达成本土地使用权租赁协议如下。</w:t>
      </w:r>
    </w:p>
    <w:p w14:paraId="676C93EA">
      <w:pPr>
        <w:spacing w:before="120" w:beforeLines="50" w:after="120" w:afterLines="50" w:line="288" w:lineRule="auto"/>
        <w:rPr>
          <w:sz w:val="24"/>
        </w:rPr>
      </w:pPr>
      <w:r>
        <w:rPr>
          <w:sz w:val="24"/>
        </w:rPr>
        <w:t xml:space="preserve"> </w:t>
      </w:r>
    </w:p>
    <w:p w14:paraId="4B735990">
      <w:pPr>
        <w:spacing w:before="120" w:beforeLines="50" w:after="120" w:afterLines="50" w:line="288" w:lineRule="auto"/>
        <w:rPr>
          <w:sz w:val="24"/>
        </w:rPr>
      </w:pPr>
    </w:p>
    <w:p w14:paraId="63089FFD">
      <w:pPr>
        <w:pStyle w:val="2"/>
        <w:numPr>
          <w:ilvl w:val="0"/>
          <w:numId w:val="0"/>
        </w:numPr>
        <w:spacing w:before="50" w:after="50" w:line="288" w:lineRule="auto"/>
        <w:ind w:right="0"/>
        <w:rPr>
          <w:rFonts w:ascii="Times New Roman" w:hAnsi="Times New Roman" w:cs="Times New Roman"/>
          <w:b w:val="0"/>
          <w:iCs/>
          <w:caps w:val="0"/>
          <w:lang w:eastAsia="zh-CN"/>
        </w:rPr>
      </w:pPr>
      <w:r>
        <w:rPr>
          <w:rFonts w:ascii="Times New Roman" w:hAnsi="Times New Roman" w:cs="Times New Roman"/>
          <w:lang w:eastAsia="zh-CN"/>
        </w:rPr>
        <w:t>第一条</w:t>
      </w:r>
      <w:r>
        <w:rPr>
          <w:rFonts w:ascii="Times New Roman" w:hAnsi="Times New Roman" w:cs="Times New Roman"/>
          <w:lang w:eastAsia="zh-CN"/>
        </w:rPr>
        <w:br w:type="textWrapping"/>
      </w:r>
      <w:r>
        <w:rPr>
          <w:rFonts w:ascii="Times New Roman" w:hAnsi="Times New Roman" w:cs="Times New Roman"/>
          <w:lang w:eastAsia="zh-CN"/>
        </w:rPr>
        <w:t>出租标的</w:t>
      </w:r>
    </w:p>
    <w:p w14:paraId="4D49BCAC">
      <w:pPr>
        <w:spacing w:before="120" w:beforeLines="50" w:after="120" w:afterLines="50" w:line="288" w:lineRule="auto"/>
        <w:rPr>
          <w:sz w:val="24"/>
        </w:rPr>
      </w:pPr>
    </w:p>
    <w:p w14:paraId="1F957417">
      <w:pPr>
        <w:numPr>
          <w:ilvl w:val="0"/>
          <w:numId w:val="0"/>
        </w:numPr>
        <w:spacing w:before="120" w:beforeLines="50" w:after="120" w:afterLines="50" w:line="288" w:lineRule="auto"/>
        <w:ind w:leftChars="0"/>
        <w:rPr>
          <w:sz w:val="24"/>
        </w:rPr>
      </w:pPr>
      <w:r>
        <w:rPr>
          <w:rFonts w:hint="eastAsia"/>
          <w:sz w:val="24"/>
          <w:lang w:val="en-US" w:eastAsia="zh-CN"/>
        </w:rPr>
        <w:t xml:space="preserve">1.1  </w:t>
      </w:r>
      <w:r>
        <w:rPr>
          <w:sz w:val="24"/>
        </w:rPr>
        <w:t>本协议出租标的为：位于【</w:t>
      </w:r>
      <w:r>
        <w:rPr>
          <w:rFonts w:hint="eastAsia"/>
          <w:sz w:val="24"/>
          <w:highlight w:val="yellow"/>
        </w:rPr>
        <w:t>古雷镇杏仔村和半湖村</w:t>
      </w:r>
      <w:r>
        <w:rPr>
          <w:sz w:val="24"/>
        </w:rPr>
        <w:t>】、总面积为【</w:t>
      </w:r>
      <w:r>
        <w:rPr>
          <w:sz w:val="24"/>
          <w:highlight w:val="yellow"/>
        </w:rPr>
        <w:t>1463.91</w:t>
      </w:r>
      <w:r>
        <w:rPr>
          <w:sz w:val="24"/>
        </w:rPr>
        <w:t>】平方米的土地（以下简称“</w:t>
      </w:r>
      <w:r>
        <w:rPr>
          <w:b/>
          <w:bCs/>
          <w:sz w:val="24"/>
        </w:rPr>
        <w:t>出租土地</w:t>
      </w:r>
      <w:r>
        <w:rPr>
          <w:sz w:val="24"/>
        </w:rPr>
        <w:t>”）所对应的使用权</w:t>
      </w:r>
      <w:r>
        <w:rPr>
          <w:rFonts w:eastAsiaTheme="majorEastAsia"/>
          <w:sz w:val="24"/>
        </w:rPr>
        <w:t>，具体情况见本协议</w:t>
      </w:r>
      <w:r>
        <w:rPr>
          <w:sz w:val="24"/>
        </w:rPr>
        <w:t>附件一）。</w:t>
      </w:r>
    </w:p>
    <w:p w14:paraId="33ACA659">
      <w:pPr>
        <w:numPr>
          <w:ilvl w:val="0"/>
          <w:numId w:val="0"/>
        </w:numPr>
        <w:spacing w:before="120" w:beforeLines="50" w:after="120" w:afterLines="50" w:line="288" w:lineRule="auto"/>
        <w:ind w:leftChars="0"/>
        <w:rPr>
          <w:sz w:val="24"/>
        </w:rPr>
      </w:pPr>
      <w:r>
        <w:rPr>
          <w:rFonts w:hint="eastAsia"/>
          <w:sz w:val="24"/>
          <w:lang w:val="en-US" w:eastAsia="zh-CN"/>
        </w:rPr>
        <w:t xml:space="preserve">1.2  </w:t>
      </w:r>
      <w:r>
        <w:rPr>
          <w:sz w:val="24"/>
        </w:rPr>
        <w:t>出租方已取得出租土地</w:t>
      </w:r>
      <w:r>
        <w:rPr>
          <w:rFonts w:hint="eastAsia"/>
          <w:sz w:val="24"/>
        </w:rPr>
        <w:t>的土地</w:t>
      </w:r>
      <w:r>
        <w:rPr>
          <w:sz w:val="24"/>
        </w:rPr>
        <w:t>使用权证，该土地用途为【</w:t>
      </w:r>
      <w:r>
        <w:rPr>
          <w:rFonts w:hint="eastAsia"/>
          <w:sz w:val="24"/>
          <w:highlight w:val="yellow"/>
        </w:rPr>
        <w:t>工业用地</w:t>
      </w:r>
      <w:r>
        <w:rPr>
          <w:sz w:val="24"/>
        </w:rPr>
        <w:t>】。出租方</w:t>
      </w:r>
      <w:r>
        <w:rPr>
          <w:rFonts w:hint="eastAsia"/>
          <w:sz w:val="24"/>
        </w:rPr>
        <w:t>现</w:t>
      </w:r>
      <w:r>
        <w:rPr>
          <w:sz w:val="24"/>
        </w:rPr>
        <w:t>将</w:t>
      </w:r>
      <w:r>
        <w:rPr>
          <w:rFonts w:hint="eastAsia"/>
          <w:sz w:val="24"/>
        </w:rPr>
        <w:t>该土地的</w:t>
      </w:r>
      <w:r>
        <w:rPr>
          <w:sz w:val="24"/>
        </w:rPr>
        <w:t>土地使用权出租给承租方</w:t>
      </w:r>
      <w:r>
        <w:rPr>
          <w:rFonts w:hint="eastAsia"/>
          <w:sz w:val="24"/>
        </w:rPr>
        <w:t>，承租方应将该土地用于</w:t>
      </w:r>
      <w:r>
        <w:rPr>
          <w:sz w:val="24"/>
        </w:rPr>
        <w:t>【</w:t>
      </w:r>
      <w:r>
        <w:rPr>
          <w:rFonts w:hint="eastAsia"/>
          <w:sz w:val="24"/>
          <w:lang w:val="en-US" w:eastAsia="zh-CN"/>
        </w:rPr>
        <w:t xml:space="preserve">           </w:t>
      </w:r>
      <w:r>
        <w:rPr>
          <w:sz w:val="24"/>
        </w:rPr>
        <w:t>】。</w:t>
      </w:r>
    </w:p>
    <w:p w14:paraId="01766E4A">
      <w:pPr>
        <w:spacing w:before="120" w:beforeLines="50" w:after="120" w:afterLines="50" w:line="288" w:lineRule="auto"/>
        <w:ind w:left="680"/>
        <w:rPr>
          <w:sz w:val="24"/>
        </w:rPr>
      </w:pPr>
    </w:p>
    <w:p w14:paraId="3771CB13">
      <w:pPr>
        <w:pStyle w:val="55"/>
        <w:spacing w:before="120" w:beforeLines="50" w:after="120" w:afterLines="50" w:line="288" w:lineRule="auto"/>
        <w:ind w:left="680" w:firstLine="0" w:firstLineChars="0"/>
        <w:rPr>
          <w:sz w:val="24"/>
        </w:rPr>
      </w:pPr>
    </w:p>
    <w:p w14:paraId="4321B2F0">
      <w:pPr>
        <w:pStyle w:val="2"/>
        <w:numPr>
          <w:ilvl w:val="0"/>
          <w:numId w:val="0"/>
        </w:numPr>
        <w:tabs>
          <w:tab w:val="left" w:pos="851"/>
          <w:tab w:val="clear" w:pos="720"/>
        </w:tabs>
        <w:spacing w:before="50" w:after="50" w:line="288" w:lineRule="auto"/>
        <w:ind w:right="0"/>
        <w:rPr>
          <w:rFonts w:ascii="Times New Roman" w:hAnsi="Times New Roman" w:cs="Times New Roman"/>
          <w:b w:val="0"/>
          <w:iCs/>
          <w:caps w:val="0"/>
          <w:lang w:eastAsia="zh-CN"/>
        </w:rPr>
      </w:pPr>
      <w:r>
        <w:rPr>
          <w:rFonts w:ascii="Times New Roman" w:hAnsi="Times New Roman" w:cs="Times New Roman"/>
          <w:lang w:eastAsia="zh-CN"/>
        </w:rPr>
        <w:t>第二条</w:t>
      </w:r>
      <w:r>
        <w:rPr>
          <w:rFonts w:ascii="Times New Roman" w:hAnsi="Times New Roman" w:cs="Times New Roman"/>
          <w:lang w:eastAsia="zh-CN"/>
        </w:rPr>
        <w:br w:type="textWrapping"/>
      </w:r>
      <w:r>
        <w:rPr>
          <w:rFonts w:ascii="Times New Roman" w:hAnsi="Times New Roman" w:cs="Times New Roman"/>
          <w:lang w:eastAsia="zh-CN"/>
        </w:rPr>
        <w:t>出租期限</w:t>
      </w:r>
    </w:p>
    <w:p w14:paraId="6A033826">
      <w:pPr>
        <w:spacing w:before="120" w:beforeLines="50" w:after="120" w:afterLines="50" w:line="288" w:lineRule="auto"/>
        <w:ind w:left="720" w:hanging="720" w:hangingChars="300"/>
        <w:rPr>
          <w:rFonts w:hint="eastAsia" w:ascii="宋体" w:hAnsi="宋体" w:eastAsia="宋体" w:cs="宋体"/>
          <w:sz w:val="24"/>
          <w:szCs w:val="24"/>
          <w:lang w:eastAsia="zh-CN"/>
        </w:rPr>
      </w:pPr>
      <w:r>
        <w:rPr>
          <w:rFonts w:hint="eastAsia"/>
          <w:sz w:val="24"/>
        </w:rPr>
        <w:t>2.1</w:t>
      </w:r>
      <w:r>
        <w:rPr>
          <w:rFonts w:hint="eastAsia"/>
          <w:sz w:val="24"/>
          <w:lang w:val="en-US" w:eastAsia="zh-CN"/>
        </w:rPr>
        <w:t xml:space="preserve">  </w:t>
      </w:r>
      <w:r>
        <w:rPr>
          <w:rFonts w:hint="eastAsia" w:ascii="宋体" w:hAnsi="宋体" w:eastAsia="宋体" w:cs="宋体"/>
          <w:sz w:val="24"/>
          <w:szCs w:val="24"/>
          <w:lang w:eastAsia="zh-CN"/>
        </w:rPr>
        <w:t>本协议项下的出租土地使用权的租赁期限为[10]年，自本协议生效之日起算（“租</w:t>
      </w:r>
    </w:p>
    <w:p w14:paraId="5B5645A1">
      <w:pPr>
        <w:spacing w:before="120" w:beforeLines="50" w:after="120" w:afterLines="50" w:line="288" w:lineRule="auto"/>
        <w:ind w:left="720" w:hanging="720" w:hangingChars="300"/>
        <w:rPr>
          <w:rFonts w:hint="eastAsia" w:ascii="宋体" w:hAnsi="宋体" w:eastAsia="宋体" w:cs="宋体"/>
          <w:sz w:val="24"/>
          <w:szCs w:val="24"/>
          <w:lang w:eastAsia="zh-CN"/>
        </w:rPr>
      </w:pPr>
      <w:r>
        <w:rPr>
          <w:rFonts w:hint="eastAsia" w:ascii="宋体" w:hAnsi="宋体" w:eastAsia="宋体" w:cs="宋体"/>
          <w:sz w:val="24"/>
          <w:szCs w:val="24"/>
          <w:lang w:eastAsia="zh-CN"/>
        </w:rPr>
        <w:t>期”）。</w:t>
      </w:r>
    </w:p>
    <w:p w14:paraId="19460683">
      <w:pPr>
        <w:spacing w:before="120" w:beforeLines="50" w:after="120" w:afterLines="50" w:line="288" w:lineRule="auto"/>
        <w:ind w:left="720" w:hanging="720" w:hangingChars="300"/>
        <w:rPr>
          <w:sz w:val="24"/>
        </w:rPr>
      </w:pPr>
    </w:p>
    <w:p w14:paraId="0CA7261E">
      <w:pPr>
        <w:pStyle w:val="49"/>
        <w:numPr>
          <w:ilvl w:val="0"/>
          <w:numId w:val="0"/>
        </w:numPr>
        <w:spacing w:before="120" w:beforeLines="50" w:after="120" w:afterLines="50" w:line="288" w:lineRule="auto"/>
        <w:ind w:left="0" w:leftChars="0" w:firstLine="720" w:firstLineChars="0"/>
        <w:jc w:val="center"/>
      </w:pPr>
      <w:r>
        <w:rPr>
          <w:sz w:val="24"/>
        </w:rPr>
        <w:t> </w:t>
      </w:r>
    </w:p>
    <w:p w14:paraId="036DF357">
      <w:pPr>
        <w:pStyle w:val="2"/>
        <w:numPr>
          <w:ilvl w:val="0"/>
          <w:numId w:val="0"/>
        </w:numPr>
        <w:spacing w:before="50" w:after="50" w:line="288" w:lineRule="auto"/>
        <w:ind w:right="0"/>
        <w:rPr>
          <w:rFonts w:ascii="Times New Roman" w:hAnsi="Times New Roman" w:cs="Times New Roman"/>
          <w:b w:val="0"/>
          <w:iCs/>
          <w:caps w:val="0"/>
          <w:lang w:eastAsia="zh-CN"/>
        </w:rPr>
      </w:pPr>
      <w:r>
        <w:rPr>
          <w:rFonts w:ascii="Times New Roman" w:hAnsi="Times New Roman" w:cs="Times New Roman"/>
          <w:lang w:eastAsia="zh-CN"/>
        </w:rPr>
        <w:t>第三条</w:t>
      </w:r>
      <w:r>
        <w:rPr>
          <w:rFonts w:ascii="Times New Roman" w:hAnsi="Times New Roman" w:cs="Times New Roman"/>
          <w:lang w:eastAsia="zh-CN"/>
        </w:rPr>
        <w:br w:type="textWrapping"/>
      </w:r>
      <w:r>
        <w:rPr>
          <w:rFonts w:ascii="Times New Roman" w:hAnsi="Times New Roman" w:cs="Times New Roman"/>
          <w:lang w:eastAsia="zh-CN"/>
        </w:rPr>
        <w:t>租金及支付方式</w:t>
      </w:r>
    </w:p>
    <w:p w14:paraId="713DBF45">
      <w:pPr>
        <w:pStyle w:val="47"/>
        <w:numPr>
          <w:ilvl w:val="1"/>
          <w:numId w:val="0"/>
        </w:numPr>
        <w:tabs>
          <w:tab w:val="clear" w:pos="1146"/>
        </w:tabs>
        <w:spacing w:before="120" w:beforeLines="50" w:after="120" w:afterLines="50" w:line="288" w:lineRule="auto"/>
        <w:rPr>
          <w:lang w:eastAsia="zh-CN"/>
        </w:rPr>
      </w:pPr>
      <w:r>
        <w:rPr>
          <w:rFonts w:hint="eastAsia" w:cs="Times New Roman"/>
          <w:b w:val="0"/>
          <w:i w:val="0"/>
          <w:caps w:val="0"/>
          <w:strike w:val="0"/>
          <w:dstrike w:val="0"/>
          <w:vanish w:val="0"/>
          <w:color w:val="auto"/>
          <w:kern w:val="2"/>
          <w:sz w:val="24"/>
          <w:szCs w:val="24"/>
          <w:u w:val="none"/>
          <w:vertAlign w:val="baseline"/>
          <w:lang w:val="en-US" w:eastAsia="zh-CN" w:bidi="ar-SA"/>
        </w:rPr>
        <w:t>3</w:t>
      </w:r>
      <w:r>
        <w:rPr>
          <w:rFonts w:hint="eastAsia" w:ascii="Times New Roman" w:hAnsi="Times New Roman" w:eastAsia="宋体" w:cs="Times New Roman"/>
          <w:b w:val="0"/>
          <w:i w:val="0"/>
          <w:caps w:val="0"/>
          <w:strike w:val="0"/>
          <w:dstrike w:val="0"/>
          <w:vanish w:val="0"/>
          <w:color w:val="auto"/>
          <w:kern w:val="2"/>
          <w:sz w:val="24"/>
          <w:szCs w:val="24"/>
          <w:u w:val="none"/>
          <w:vertAlign w:val="baseline"/>
          <w:lang w:val="en-US" w:eastAsia="zh-CN" w:bidi="ar-SA"/>
        </w:rPr>
        <w:t>.1</w:t>
      </w:r>
      <w:r>
        <w:rPr>
          <w:rFonts w:hint="eastAsia" w:cs="Times New Roman"/>
          <w:b w:val="0"/>
          <w:i w:val="0"/>
          <w:caps w:val="0"/>
          <w:strike w:val="0"/>
          <w:dstrike w:val="0"/>
          <w:vanish w:val="0"/>
          <w:color w:val="auto"/>
          <w:kern w:val="2"/>
          <w:sz w:val="24"/>
          <w:szCs w:val="24"/>
          <w:u w:val="none"/>
          <w:vertAlign w:val="baseline"/>
          <w:lang w:val="en-US" w:eastAsia="zh-CN" w:bidi="ar-SA"/>
        </w:rPr>
        <w:t xml:space="preserve">  </w:t>
      </w:r>
      <w:r>
        <w:rPr>
          <w:lang w:eastAsia="zh-CN"/>
        </w:rPr>
        <w:t>本协议项下出租土地使用权的年租金为人民币【】元</w:t>
      </w:r>
      <w:r>
        <w:rPr>
          <w:rFonts w:eastAsiaTheme="minorEastAsia"/>
          <w:lang w:eastAsia="zh-CN"/>
        </w:rPr>
        <w:t>（不含税价）。</w:t>
      </w:r>
    </w:p>
    <w:p w14:paraId="69F6DB04">
      <w:pPr>
        <w:pStyle w:val="47"/>
        <w:numPr>
          <w:ilvl w:val="1"/>
          <w:numId w:val="0"/>
        </w:numPr>
        <w:tabs>
          <w:tab w:val="clear" w:pos="1146"/>
        </w:tabs>
        <w:spacing w:before="120" w:beforeLines="50" w:after="120" w:afterLines="50" w:line="288" w:lineRule="auto"/>
        <w:rPr>
          <w:lang w:eastAsia="zh-CN"/>
        </w:rPr>
      </w:pPr>
      <w:r>
        <w:rPr>
          <w:rFonts w:hint="eastAsia" w:cs="Times New Roman"/>
          <w:b w:val="0"/>
          <w:i w:val="0"/>
          <w:caps w:val="0"/>
          <w:strike w:val="0"/>
          <w:dstrike w:val="0"/>
          <w:vanish w:val="0"/>
          <w:color w:val="auto"/>
          <w:kern w:val="0"/>
          <w:sz w:val="24"/>
          <w:szCs w:val="24"/>
          <w:u w:val="none"/>
          <w:shd w:val="clear" w:fill="FFFFFF"/>
          <w:vertAlign w:val="baseline"/>
          <w:lang w:val="en-US" w:eastAsia="zh-CN" w:bidi="ar-SA"/>
        </w:rPr>
        <w:t>3</w:t>
      </w:r>
      <w:r>
        <w:rPr>
          <w:rFonts w:hint="eastAsia" w:ascii="Times New Roman" w:hAnsi="Times New Roman" w:eastAsia="宋体" w:cs="Times New Roman"/>
          <w:b w:val="0"/>
          <w:i w:val="0"/>
          <w:caps w:val="0"/>
          <w:strike w:val="0"/>
          <w:dstrike w:val="0"/>
          <w:vanish w:val="0"/>
          <w:color w:val="auto"/>
          <w:kern w:val="0"/>
          <w:sz w:val="24"/>
          <w:szCs w:val="24"/>
          <w:u w:val="none"/>
          <w:shd w:val="clear" w:fill="FFFFFF"/>
          <w:vertAlign w:val="baseline"/>
          <w:lang w:val="en-US" w:eastAsia="en-US" w:bidi="ar-SA"/>
        </w:rPr>
        <w:t>.2</w:t>
      </w:r>
      <w:r>
        <w:rPr>
          <w:rFonts w:hint="eastAsia"/>
          <w:color w:val="000000"/>
          <w:shd w:val="clear" w:color="auto" w:fill="FFFFFF"/>
          <w:lang w:eastAsia="zh-CN"/>
        </w:rPr>
        <w:t xml:space="preserve"> </w:t>
      </w:r>
      <w:r>
        <w:rPr>
          <w:rFonts w:hint="eastAsia"/>
          <w:color w:val="000000"/>
          <w:shd w:val="clear" w:color="auto" w:fill="FFFFFF"/>
          <w:lang w:val="en-US" w:eastAsia="zh-CN"/>
        </w:rPr>
        <w:t xml:space="preserve"> </w:t>
      </w:r>
      <w:r>
        <w:rPr>
          <w:lang w:eastAsia="zh-CN"/>
        </w:rPr>
        <w:t>租金支付方式：按【年】支付(先付后用），以银行转账方式支付</w:t>
      </w:r>
      <w:r>
        <w:rPr>
          <w:rFonts w:hint="eastAsia"/>
          <w:lang w:eastAsia="zh-CN"/>
        </w:rPr>
        <w:t>至出租方指定账户</w:t>
      </w:r>
      <w:r>
        <w:rPr>
          <w:lang w:eastAsia="zh-CN"/>
        </w:rPr>
        <w:t>（不接受银行汇票形式支付），本协议生效之日起15日内支付首期租金，后续每期在每期开始之日前10个工作日内付清当期租金。</w:t>
      </w:r>
    </w:p>
    <w:p w14:paraId="48314A87">
      <w:pPr>
        <w:pStyle w:val="47"/>
        <w:numPr>
          <w:ilvl w:val="1"/>
          <w:numId w:val="0"/>
        </w:numPr>
        <w:tabs>
          <w:tab w:val="clear" w:pos="1146"/>
        </w:tabs>
        <w:spacing w:before="50" w:after="50" w:line="288" w:lineRule="auto"/>
        <w:rPr>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3</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.3</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自本协议生效日起，双方应每年调整一次租金金额。</w:t>
      </w:r>
      <w:r>
        <w:rPr>
          <w:rFonts w:hint="eastAsia"/>
          <w:lang w:eastAsia="zh-CN"/>
        </w:rPr>
        <w:t>根据本协议生效日甲方主管国有资产管理部门的要求，租金应每年递增3%。</w:t>
      </w:r>
    </w:p>
    <w:p w14:paraId="53A70F52">
      <w:pPr>
        <w:rPr>
          <w:rFonts w:hint="eastAsia"/>
        </w:rPr>
      </w:pPr>
    </w:p>
    <w:p w14:paraId="08950EA5">
      <w:pPr>
        <w:pStyle w:val="2"/>
        <w:numPr>
          <w:ilvl w:val="0"/>
          <w:numId w:val="0"/>
        </w:numPr>
        <w:spacing w:before="50" w:after="50" w:line="288" w:lineRule="auto"/>
        <w:ind w:right="0"/>
        <w:rPr>
          <w:rFonts w:ascii="Times New Roman" w:hAnsi="Times New Roman" w:cs="Times New Roman"/>
          <w:b w:val="0"/>
          <w:iCs/>
          <w:caps w:val="0"/>
          <w:lang w:eastAsia="zh-CN"/>
        </w:rPr>
      </w:pPr>
      <w:r>
        <w:rPr>
          <w:rFonts w:ascii="Times New Roman" w:hAnsi="Times New Roman" w:cs="Times New Roman"/>
          <w:lang w:eastAsia="zh-CN"/>
        </w:rPr>
        <w:t>第四条</w:t>
      </w:r>
      <w:r>
        <w:rPr>
          <w:rFonts w:ascii="Times New Roman" w:hAnsi="Times New Roman" w:cs="Times New Roman"/>
          <w:lang w:eastAsia="zh-CN"/>
        </w:rPr>
        <w:br w:type="textWrapping"/>
      </w:r>
      <w:r>
        <w:rPr>
          <w:rFonts w:ascii="Times New Roman" w:hAnsi="Times New Roman" w:cs="Times New Roman"/>
          <w:lang w:eastAsia="zh-CN"/>
        </w:rPr>
        <w:t>土地的交付及使用</w:t>
      </w:r>
    </w:p>
    <w:p w14:paraId="42A895DE">
      <w:pPr>
        <w:spacing w:before="120" w:beforeLines="50" w:after="120" w:afterLines="50" w:line="288" w:lineRule="auto"/>
        <w:rPr>
          <w:color w:val="000000"/>
          <w:kern w:val="0"/>
          <w:sz w:val="24"/>
          <w:shd w:val="clear" w:color="auto" w:fill="FFFFFF"/>
        </w:rPr>
      </w:pPr>
      <w:r>
        <w:rPr>
          <w:rFonts w:hint="eastAsia"/>
          <w:color w:val="000000"/>
          <w:kern w:val="0"/>
          <w:sz w:val="24"/>
          <w:shd w:val="clear" w:color="auto" w:fill="FFFFFF"/>
          <w:lang w:val="en-US" w:eastAsia="zh-CN"/>
        </w:rPr>
        <w:t xml:space="preserve">4.1  </w:t>
      </w:r>
      <w:r>
        <w:rPr>
          <w:color w:val="000000"/>
          <w:kern w:val="0"/>
          <w:sz w:val="24"/>
          <w:shd w:val="clear" w:color="auto" w:fill="FFFFFF"/>
        </w:rPr>
        <w:t>出租方应在</w:t>
      </w:r>
      <w:r>
        <w:rPr>
          <w:rFonts w:hint="eastAsia"/>
          <w:color w:val="000000"/>
          <w:kern w:val="0"/>
          <w:sz w:val="24"/>
          <w:shd w:val="clear" w:color="auto" w:fill="FFFFFF"/>
        </w:rPr>
        <w:t>租金支付</w:t>
      </w:r>
      <w:r>
        <w:rPr>
          <w:color w:val="000000"/>
          <w:kern w:val="0"/>
          <w:sz w:val="24"/>
          <w:shd w:val="clear" w:color="auto" w:fill="FFFFFF"/>
        </w:rPr>
        <w:t>后的[</w:t>
      </w:r>
      <w:r>
        <w:rPr>
          <w:rFonts w:hint="eastAsia"/>
          <w:color w:val="000000"/>
          <w:kern w:val="0"/>
          <w:sz w:val="24"/>
          <w:shd w:val="clear" w:color="auto" w:fill="FFFFFF"/>
        </w:rPr>
        <w:t xml:space="preserve">7 </w:t>
      </w:r>
      <w:r>
        <w:rPr>
          <w:color w:val="000000"/>
          <w:kern w:val="0"/>
          <w:sz w:val="24"/>
          <w:shd w:val="clear" w:color="auto" w:fill="FFFFFF"/>
        </w:rPr>
        <w:t>]个工作日内，将出租土地交付给承租方使用。</w:t>
      </w:r>
    </w:p>
    <w:p w14:paraId="3A82AF05">
      <w:pPr>
        <w:pStyle w:val="2"/>
        <w:numPr>
          <w:ilvl w:val="0"/>
          <w:numId w:val="0"/>
        </w:numPr>
        <w:spacing w:before="50" w:after="50" w:line="288" w:lineRule="auto"/>
        <w:ind w:right="0"/>
        <w:rPr>
          <w:rFonts w:ascii="Times New Roman" w:hAnsi="Times New Roman" w:cs="Times New Roman"/>
          <w:b w:val="0"/>
          <w:iCs/>
          <w:caps w:val="0"/>
          <w:lang w:eastAsia="zh-CN"/>
        </w:rPr>
      </w:pPr>
      <w:r>
        <w:rPr>
          <w:rFonts w:ascii="Times New Roman" w:hAnsi="Times New Roman" w:cs="Times New Roman"/>
          <w:lang w:eastAsia="zh-CN"/>
        </w:rPr>
        <w:t>第五条</w:t>
      </w:r>
      <w:r>
        <w:rPr>
          <w:rFonts w:ascii="Times New Roman" w:hAnsi="Times New Roman" w:cs="Times New Roman"/>
          <w:lang w:eastAsia="zh-CN"/>
        </w:rPr>
        <w:br w:type="textWrapping"/>
      </w:r>
      <w:r>
        <w:rPr>
          <w:rFonts w:ascii="Times New Roman" w:hAnsi="Times New Roman" w:cs="Times New Roman"/>
          <w:lang w:eastAsia="zh-CN"/>
        </w:rPr>
        <w:t>双方的权利和义务</w:t>
      </w:r>
    </w:p>
    <w:p w14:paraId="6EDD6EBF">
      <w:pPr>
        <w:pStyle w:val="47"/>
        <w:numPr>
          <w:ilvl w:val="1"/>
          <w:numId w:val="0"/>
        </w:numPr>
        <w:tabs>
          <w:tab w:val="clear" w:pos="1146"/>
        </w:tabs>
        <w:spacing w:before="50" w:after="50" w:line="288" w:lineRule="auto"/>
      </w:pPr>
      <w:r>
        <w:rPr>
          <w:rFonts w:hint="eastAsia" w:cs="Times New Roman"/>
          <w:b w:val="0"/>
          <w:i w:val="0"/>
          <w:caps w:val="0"/>
          <w:strike w:val="0"/>
          <w:dstrike w:val="0"/>
          <w:vanish w:val="0"/>
          <w:color w:val="auto"/>
          <w:kern w:val="0"/>
          <w:sz w:val="24"/>
          <w:szCs w:val="24"/>
          <w:u w:val="none"/>
          <w:vertAlign w:val="baseline"/>
          <w:lang w:val="en-US" w:eastAsia="zh-CN" w:bidi="ar-SA"/>
        </w:rPr>
        <w:t>5</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t>出租方的权利和义务</w:t>
      </w:r>
    </w:p>
    <w:p w14:paraId="3CD9CB9A">
      <w:pPr>
        <w:pStyle w:val="55"/>
        <w:numPr>
          <w:ilvl w:val="0"/>
          <w:numId w:val="0"/>
        </w:numPr>
        <w:spacing w:before="120" w:beforeLines="50" w:after="120" w:afterLines="50" w:line="288" w:lineRule="auto"/>
        <w:ind w:left="1134" w:leftChars="0" w:hanging="440" w:firstLineChars="0"/>
        <w:rPr>
          <w:sz w:val="24"/>
        </w:rPr>
      </w:pPr>
      <w:r>
        <w:rPr>
          <w:rFonts w:hint="eastAsia" w:ascii="Times New Roman" w:hAnsi="Times New Roman" w:eastAsia="宋体" w:cs="Times New Roman"/>
          <w:kern w:val="2"/>
          <w:sz w:val="24"/>
          <w:szCs w:val="24"/>
          <w:lang w:val="en-US" w:eastAsia="zh-CN" w:bidi="ar-SA"/>
        </w:rPr>
        <w:t>(a)</w:t>
      </w:r>
      <w:r>
        <w:rPr>
          <w:rFonts w:hint="eastAsia" w:cs="Times New Roman"/>
          <w:kern w:val="2"/>
          <w:sz w:val="24"/>
          <w:szCs w:val="24"/>
          <w:lang w:val="en-US" w:eastAsia="zh-CN" w:bidi="ar-SA"/>
        </w:rPr>
        <w:t xml:space="preserve"> </w:t>
      </w:r>
      <w:r>
        <w:rPr>
          <w:sz w:val="24"/>
        </w:rPr>
        <w:t>出租方有权根据本协议约定收取租金；</w:t>
      </w:r>
    </w:p>
    <w:p w14:paraId="548FFDD1">
      <w:pPr>
        <w:pStyle w:val="55"/>
        <w:numPr>
          <w:ilvl w:val="0"/>
          <w:numId w:val="0"/>
        </w:numPr>
        <w:spacing w:before="120" w:beforeLines="50" w:after="120" w:afterLines="50" w:line="288" w:lineRule="auto"/>
        <w:ind w:left="1134" w:leftChars="0" w:hanging="440" w:firstLineChars="0"/>
        <w:rPr>
          <w:sz w:val="24"/>
        </w:rPr>
      </w:pPr>
      <w:r>
        <w:rPr>
          <w:rFonts w:hint="eastAsia" w:ascii="Times New Roman" w:hAnsi="Times New Roman" w:eastAsia="宋体" w:cs="Times New Roman"/>
          <w:kern w:val="2"/>
          <w:sz w:val="24"/>
          <w:szCs w:val="24"/>
          <w:lang w:val="en-US" w:eastAsia="zh-CN" w:bidi="ar-SA"/>
        </w:rPr>
        <w:t>(b)</w:t>
      </w:r>
      <w:r>
        <w:rPr>
          <w:rFonts w:hint="eastAsia" w:cs="Times New Roman"/>
          <w:kern w:val="2"/>
          <w:sz w:val="24"/>
          <w:szCs w:val="24"/>
          <w:lang w:val="en-US" w:eastAsia="zh-CN" w:bidi="ar-SA"/>
        </w:rPr>
        <w:t xml:space="preserve"> </w:t>
      </w:r>
      <w:r>
        <w:rPr>
          <w:sz w:val="24"/>
        </w:rPr>
        <w:t>出租方应根据本协议的约定，及时、完整地向承租方提供出租土地使用权；</w:t>
      </w:r>
    </w:p>
    <w:p w14:paraId="0214AAD9">
      <w:pPr>
        <w:pStyle w:val="55"/>
        <w:numPr>
          <w:ilvl w:val="0"/>
          <w:numId w:val="0"/>
        </w:numPr>
        <w:spacing w:before="120" w:beforeLines="50" w:after="120" w:afterLines="50" w:line="288" w:lineRule="auto"/>
        <w:ind w:left="1134" w:leftChars="0" w:hanging="440" w:firstLineChars="0"/>
        <w:rPr>
          <w:sz w:val="24"/>
        </w:rPr>
      </w:pPr>
      <w:r>
        <w:rPr>
          <w:rFonts w:hint="eastAsia" w:ascii="Times New Roman" w:hAnsi="Times New Roman" w:eastAsia="宋体" w:cs="Times New Roman"/>
          <w:kern w:val="2"/>
          <w:sz w:val="24"/>
          <w:szCs w:val="24"/>
          <w:lang w:val="en-US" w:eastAsia="zh-CN" w:bidi="ar-SA"/>
        </w:rPr>
        <w:t>(c)</w:t>
      </w:r>
      <w:r>
        <w:rPr>
          <w:rFonts w:hint="eastAsia" w:cs="Times New Roman"/>
          <w:kern w:val="2"/>
          <w:sz w:val="24"/>
          <w:szCs w:val="24"/>
          <w:lang w:val="en-US" w:eastAsia="zh-CN" w:bidi="ar-SA"/>
        </w:rPr>
        <w:t xml:space="preserve"> </w:t>
      </w:r>
      <w:r>
        <w:rPr>
          <w:sz w:val="24"/>
        </w:rPr>
        <w:t>除非本协议另有约定，出租方不得单方面终止本协议；</w:t>
      </w:r>
    </w:p>
    <w:p w14:paraId="63E781D9">
      <w:pPr>
        <w:pStyle w:val="55"/>
        <w:numPr>
          <w:ilvl w:val="0"/>
          <w:numId w:val="0"/>
        </w:numPr>
        <w:spacing w:before="120" w:beforeLines="50" w:after="120" w:afterLines="50" w:line="288" w:lineRule="auto"/>
        <w:ind w:left="1134" w:leftChars="0" w:hanging="440" w:firstLineChars="0"/>
        <w:jc w:val="both"/>
        <w:rPr>
          <w:sz w:val="24"/>
        </w:rPr>
      </w:pPr>
      <w:r>
        <w:rPr>
          <w:rFonts w:hint="eastAsia" w:ascii="Times New Roman" w:hAnsi="Times New Roman" w:eastAsia="宋体" w:cs="Times New Roman"/>
          <w:color w:val="000000"/>
          <w:kern w:val="2"/>
          <w:sz w:val="24"/>
          <w:szCs w:val="24"/>
          <w:shd w:val="clear" w:fill="FFFFFF"/>
          <w:lang w:val="en-US" w:eastAsia="zh-CN" w:bidi="ar-SA"/>
        </w:rPr>
        <w:t>(d)</w:t>
      </w:r>
      <w:r>
        <w:rPr>
          <w:rFonts w:hint="eastAsia" w:cs="Times New Roman"/>
          <w:color w:val="000000"/>
          <w:kern w:val="2"/>
          <w:sz w:val="24"/>
          <w:szCs w:val="24"/>
          <w:shd w:val="clear" w:fill="FFFFFF"/>
          <w:lang w:val="en-US" w:eastAsia="zh-CN" w:bidi="ar-SA"/>
        </w:rPr>
        <w:t xml:space="preserve"> </w:t>
      </w:r>
      <w:r>
        <w:rPr>
          <w:sz w:val="24"/>
        </w:rPr>
        <w:t>如承租方需要在出租土地上新建地上设施时，出租方应予以配合并办理相关</w:t>
      </w:r>
    </w:p>
    <w:p w14:paraId="27AF1E90">
      <w:pPr>
        <w:pStyle w:val="55"/>
        <w:numPr>
          <w:ilvl w:val="0"/>
          <w:numId w:val="0"/>
        </w:numPr>
        <w:spacing w:before="120" w:beforeLines="50" w:after="120" w:afterLines="50" w:line="288" w:lineRule="auto"/>
        <w:ind w:left="1134" w:leftChars="0" w:hanging="440" w:firstLineChars="0"/>
        <w:jc w:val="both"/>
        <w:rPr>
          <w:sz w:val="24"/>
        </w:rPr>
      </w:pPr>
      <w:r>
        <w:rPr>
          <w:sz w:val="24"/>
        </w:rPr>
        <w:t>批准和登记等手续。本协议终止时，出租方有权收回本协议项下的出租土地使用</w:t>
      </w:r>
    </w:p>
    <w:p w14:paraId="72CAE077">
      <w:pPr>
        <w:pStyle w:val="55"/>
        <w:numPr>
          <w:ilvl w:val="0"/>
          <w:numId w:val="0"/>
        </w:numPr>
        <w:spacing w:before="120" w:beforeLines="50" w:after="120" w:afterLines="50" w:line="288" w:lineRule="auto"/>
        <w:ind w:left="1134" w:leftChars="0" w:hanging="440" w:firstLineChars="0"/>
        <w:jc w:val="both"/>
        <w:rPr>
          <w:rFonts w:hint="eastAsia"/>
          <w:sz w:val="24"/>
        </w:rPr>
      </w:pPr>
      <w:r>
        <w:rPr>
          <w:sz w:val="24"/>
        </w:rPr>
        <w:t>权，</w:t>
      </w:r>
      <w:r>
        <w:rPr>
          <w:rFonts w:hint="eastAsia"/>
          <w:sz w:val="24"/>
        </w:rPr>
        <w:t>如果出租方需要使用地上设施的，出租方应对承租方地上设施予以适当补偿。</w:t>
      </w:r>
    </w:p>
    <w:p w14:paraId="6B019554">
      <w:pPr>
        <w:pStyle w:val="55"/>
        <w:numPr>
          <w:ilvl w:val="0"/>
          <w:numId w:val="0"/>
        </w:numPr>
        <w:spacing w:before="120" w:beforeLines="50" w:after="120" w:afterLines="50" w:line="288" w:lineRule="auto"/>
        <w:ind w:left="1134" w:leftChars="0" w:hanging="440" w:firstLineChars="0"/>
        <w:jc w:val="both"/>
        <w:rPr>
          <w:sz w:val="24"/>
        </w:rPr>
      </w:pPr>
      <w:r>
        <w:rPr>
          <w:rFonts w:hint="eastAsia"/>
          <w:sz w:val="24"/>
        </w:rPr>
        <w:t>如果出租方不需要使用地上设施，承租方应负责恢复原状。</w:t>
      </w:r>
    </w:p>
    <w:p w14:paraId="70D3114A">
      <w:pPr>
        <w:pStyle w:val="55"/>
        <w:spacing w:before="120" w:beforeLines="50" w:after="120" w:afterLines="50" w:line="288" w:lineRule="auto"/>
        <w:ind w:left="1198" w:leftChars="342" w:hanging="480" w:hangingChars="200"/>
        <w:rPr>
          <w:sz w:val="24"/>
        </w:rPr>
      </w:pPr>
      <w:r>
        <w:rPr>
          <w:rFonts w:hint="eastAsia" w:ascii="Times New Roman" w:hAnsi="Times New Roman" w:eastAsia="宋体" w:cs="Times New Roman"/>
          <w:kern w:val="2"/>
          <w:sz w:val="24"/>
          <w:szCs w:val="24"/>
          <w:lang w:val="en-US" w:eastAsia="zh-CN" w:bidi="ar-SA"/>
        </w:rPr>
        <w:t>(e)</w:t>
      </w:r>
      <w:r>
        <w:rPr>
          <w:rFonts w:hint="eastAsia" w:cs="Times New Roman"/>
          <w:kern w:val="2"/>
          <w:sz w:val="24"/>
          <w:szCs w:val="24"/>
          <w:lang w:val="en-US" w:eastAsia="zh-CN" w:bidi="ar-SA"/>
        </w:rPr>
        <w:t xml:space="preserve"> </w:t>
      </w:r>
      <w:r>
        <w:rPr>
          <w:sz w:val="24"/>
        </w:rPr>
        <w:t>在租赁期间内，未经承租方事先书面同意，出租方不得全部或部分转让出租</w:t>
      </w:r>
    </w:p>
    <w:p w14:paraId="1681876D">
      <w:pPr>
        <w:pStyle w:val="55"/>
        <w:spacing w:before="120" w:beforeLines="50" w:after="120" w:afterLines="50" w:line="288" w:lineRule="auto"/>
        <w:ind w:left="1198" w:leftChars="342" w:hanging="480" w:hangingChars="200"/>
        <w:rPr>
          <w:strike/>
          <w:sz w:val="24"/>
        </w:rPr>
      </w:pPr>
      <w:r>
        <w:rPr>
          <w:sz w:val="24"/>
        </w:rPr>
        <w:t>土地使用权。</w:t>
      </w:r>
    </w:p>
    <w:p w14:paraId="3AF219E3">
      <w:pPr>
        <w:pStyle w:val="55"/>
        <w:numPr>
          <w:ilvl w:val="0"/>
          <w:numId w:val="0"/>
        </w:numPr>
        <w:spacing w:before="120" w:beforeLines="50" w:after="120" w:afterLines="50" w:line="288" w:lineRule="auto"/>
        <w:ind w:left="1134" w:leftChars="0" w:hanging="440" w:firstLineChars="0"/>
        <w:rPr>
          <w:rFonts w:hint="eastAsia"/>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f</w:t>
      </w:r>
      <w:r>
        <w:rPr>
          <w:rFonts w:hint="eastAsia" w:ascii="Times New Roman" w:hAnsi="Times New Roman" w:eastAsia="宋体" w:cs="Times New Roman"/>
          <w:kern w:val="2"/>
          <w:sz w:val="24"/>
          <w:szCs w:val="24"/>
          <w:lang w:val="en-US" w:eastAsia="zh-CN" w:bidi="ar-SA"/>
        </w:rPr>
        <w:t>)</w:t>
      </w:r>
      <w:r>
        <w:rPr>
          <w:sz w:val="24"/>
        </w:rPr>
        <w:t>在租赁期间内，</w:t>
      </w:r>
      <w:r>
        <w:rPr>
          <w:rFonts w:hint="eastAsia"/>
          <w:sz w:val="24"/>
        </w:rPr>
        <w:t>如出租方的融资银行在出租土地上的抵押权被解除，或融资银</w:t>
      </w:r>
    </w:p>
    <w:p w14:paraId="030DCD79">
      <w:pPr>
        <w:pStyle w:val="55"/>
        <w:numPr>
          <w:ilvl w:val="0"/>
          <w:numId w:val="0"/>
        </w:numPr>
        <w:spacing w:before="120" w:beforeLines="50" w:after="120" w:afterLines="50" w:line="288" w:lineRule="auto"/>
        <w:ind w:left="1134" w:leftChars="0" w:hanging="440" w:firstLineChars="0"/>
        <w:rPr>
          <w:rFonts w:hint="eastAsia"/>
          <w:sz w:val="24"/>
        </w:rPr>
      </w:pPr>
      <w:r>
        <w:rPr>
          <w:rFonts w:hint="eastAsia"/>
          <w:sz w:val="24"/>
        </w:rPr>
        <w:t>行同意出租方向承租方转让出租土地的土地使用权，出租方应及时通知承租方，</w:t>
      </w:r>
    </w:p>
    <w:p w14:paraId="0FA6DC33">
      <w:pPr>
        <w:pStyle w:val="55"/>
        <w:numPr>
          <w:ilvl w:val="0"/>
          <w:numId w:val="0"/>
        </w:numPr>
        <w:spacing w:before="120" w:beforeLines="50" w:after="120" w:afterLines="50" w:line="288" w:lineRule="auto"/>
        <w:ind w:left="1134" w:leftChars="0" w:hanging="440" w:firstLineChars="0"/>
        <w:rPr>
          <w:rFonts w:hint="eastAsia"/>
          <w:sz w:val="24"/>
        </w:rPr>
      </w:pPr>
      <w:r>
        <w:rPr>
          <w:rFonts w:hint="eastAsia"/>
          <w:sz w:val="24"/>
        </w:rPr>
        <w:t>双方将就出租土地的土地使用权转让给承租方进行协商，出租方应就此提供一切</w:t>
      </w:r>
    </w:p>
    <w:p w14:paraId="3DFFB9C4">
      <w:pPr>
        <w:pStyle w:val="55"/>
        <w:numPr>
          <w:ilvl w:val="0"/>
          <w:numId w:val="0"/>
        </w:numPr>
        <w:spacing w:before="120" w:beforeLines="50" w:after="120" w:afterLines="50" w:line="288" w:lineRule="auto"/>
        <w:ind w:left="1134" w:leftChars="0" w:hanging="440" w:firstLineChars="0"/>
        <w:rPr>
          <w:rFonts w:hint="eastAsia"/>
          <w:sz w:val="24"/>
        </w:rPr>
      </w:pPr>
      <w:r>
        <w:rPr>
          <w:rFonts w:hint="eastAsia"/>
          <w:sz w:val="24"/>
        </w:rPr>
        <w:t>必要的协助。</w:t>
      </w:r>
    </w:p>
    <w:p w14:paraId="789B9989">
      <w:pPr>
        <w:pStyle w:val="55"/>
        <w:numPr>
          <w:ilvl w:val="0"/>
          <w:numId w:val="0"/>
        </w:numPr>
        <w:spacing w:before="120" w:beforeLines="50" w:after="120" w:afterLines="50" w:line="288" w:lineRule="auto"/>
      </w:pPr>
      <w:r>
        <w:rPr>
          <w:rFonts w:hint="eastAsia" w:cs="Times New Roman"/>
          <w:b w:val="0"/>
          <w:i w:val="0"/>
          <w:caps w:val="0"/>
          <w:strike w:val="0"/>
          <w:dstrike w:val="0"/>
          <w:vanish w:val="0"/>
          <w:color w:val="auto"/>
          <w:kern w:val="0"/>
          <w:sz w:val="24"/>
          <w:szCs w:val="24"/>
          <w:u w:val="none"/>
          <w:vertAlign w:val="baseline"/>
          <w:lang w:val="en-US" w:eastAsia="zh-CN" w:bidi="ar-SA"/>
        </w:rPr>
        <w:t>5</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.2</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hint="eastAsia"/>
          <w:sz w:val="24"/>
        </w:rPr>
        <w:t>承租方的权利和义务</w:t>
      </w:r>
    </w:p>
    <w:p w14:paraId="0555D075">
      <w:pPr>
        <w:pStyle w:val="55"/>
        <w:spacing w:before="120" w:beforeLines="50" w:after="120" w:afterLines="50" w:line="288" w:lineRule="auto"/>
        <w:ind w:firstLine="720" w:firstLineChars="300"/>
        <w:rPr>
          <w:sz w:val="24"/>
        </w:rPr>
      </w:pPr>
      <w:r>
        <w:rPr>
          <w:rFonts w:hint="eastAsia"/>
          <w:sz w:val="24"/>
          <w:lang w:eastAsia="zh-CN"/>
        </w:rPr>
        <w:t>（</w:t>
      </w:r>
      <w:r>
        <w:rPr>
          <w:rFonts w:hint="eastAsia"/>
          <w:sz w:val="24"/>
          <w:lang w:val="en-US" w:eastAsia="zh-CN"/>
        </w:rPr>
        <w:t>a）</w:t>
      </w:r>
      <w:r>
        <w:rPr>
          <w:sz w:val="24"/>
        </w:rPr>
        <w:t>承租方</w:t>
      </w:r>
      <w:r>
        <w:rPr>
          <w:rFonts w:hint="eastAsia"/>
          <w:sz w:val="24"/>
        </w:rPr>
        <w:t>如需</w:t>
      </w:r>
      <w:r>
        <w:rPr>
          <w:sz w:val="24"/>
        </w:rPr>
        <w:t>转租或分租出租土地使用权及设施</w:t>
      </w:r>
      <w:r>
        <w:rPr>
          <w:rFonts w:hint="eastAsia"/>
          <w:sz w:val="24"/>
        </w:rPr>
        <w:t>，应</w:t>
      </w:r>
      <w:r>
        <w:rPr>
          <w:sz w:val="24"/>
        </w:rPr>
        <w:t>征得出租方</w:t>
      </w:r>
      <w:r>
        <w:rPr>
          <w:rFonts w:hint="eastAsia"/>
          <w:sz w:val="24"/>
        </w:rPr>
        <w:t>书面</w:t>
      </w:r>
      <w:r>
        <w:rPr>
          <w:sz w:val="24"/>
        </w:rPr>
        <w:t>同意；</w:t>
      </w:r>
      <w:r>
        <w:rPr>
          <w:rFonts w:hint="eastAsia"/>
        </w:rPr>
        <w:t xml:space="preserve"> </w:t>
      </w:r>
      <w:bookmarkStart w:id="0" w:name="_Hlk211348405"/>
    </w:p>
    <w:bookmarkEnd w:id="0"/>
    <w:p w14:paraId="74AED313">
      <w:pPr>
        <w:pStyle w:val="55"/>
        <w:spacing w:before="120" w:beforeLines="50" w:after="120" w:afterLines="50" w:line="288" w:lineRule="auto"/>
        <w:ind w:left="718" w:leftChars="342" w:firstLine="0" w:firstLineChars="0"/>
        <w:rPr>
          <w:rFonts w:hint="eastAsia"/>
          <w:sz w:val="24"/>
        </w:rPr>
      </w:pPr>
      <w:r>
        <w:rPr>
          <w:rFonts w:hint="eastAsia"/>
          <w:sz w:val="24"/>
          <w:lang w:eastAsia="zh-CN"/>
        </w:rPr>
        <w:t>（</w:t>
      </w:r>
      <w:r>
        <w:rPr>
          <w:rFonts w:hint="eastAsia"/>
          <w:sz w:val="24"/>
          <w:lang w:val="en-US" w:eastAsia="zh-CN"/>
        </w:rPr>
        <w:t>b）</w:t>
      </w:r>
      <w:r>
        <w:rPr>
          <w:rFonts w:hint="eastAsia"/>
          <w:sz w:val="24"/>
        </w:rPr>
        <w:t>在租赁期内，承租人有权提前[三(3)]个月向出租人发出书面通知，单方面</w:t>
      </w:r>
    </w:p>
    <w:p w14:paraId="64865A7C">
      <w:pPr>
        <w:pStyle w:val="55"/>
        <w:spacing w:before="120" w:beforeLines="50" w:after="120" w:afterLines="50" w:line="288" w:lineRule="auto"/>
        <w:ind w:left="719" w:leftChars="228" w:hanging="240" w:hangingChars="100"/>
        <w:rPr>
          <w:rFonts w:hint="eastAsia"/>
          <w:sz w:val="24"/>
        </w:rPr>
      </w:pPr>
      <w:r>
        <w:rPr>
          <w:rFonts w:hint="eastAsia"/>
          <w:sz w:val="24"/>
          <w:lang w:val="en-US" w:eastAsia="zh-CN"/>
        </w:rPr>
        <w:t>终</w:t>
      </w:r>
      <w:r>
        <w:rPr>
          <w:rFonts w:hint="eastAsia"/>
          <w:sz w:val="24"/>
        </w:rPr>
        <w:t>止本协议，并且应在剩余租期的每一整年向出租人支付相当于一个月租金的违约</w:t>
      </w:r>
    </w:p>
    <w:p w14:paraId="2451575F">
      <w:pPr>
        <w:pStyle w:val="55"/>
        <w:spacing w:before="120" w:beforeLines="50" w:after="120" w:afterLines="50" w:line="288" w:lineRule="auto"/>
        <w:ind w:left="719" w:leftChars="228" w:hanging="240" w:hangingChars="100"/>
        <w:rPr>
          <w:sz w:val="24"/>
        </w:rPr>
      </w:pPr>
      <w:r>
        <w:rPr>
          <w:rFonts w:hint="eastAsia"/>
          <w:sz w:val="24"/>
        </w:rPr>
        <w:t>金(超过6个月但不足一年的视为一整年)。</w:t>
      </w:r>
    </w:p>
    <w:p w14:paraId="66025304">
      <w:pPr>
        <w:pStyle w:val="55"/>
        <w:numPr>
          <w:ilvl w:val="0"/>
          <w:numId w:val="0"/>
        </w:numPr>
        <w:spacing w:before="120" w:beforeLines="50" w:after="120" w:afterLines="50" w:line="288" w:lineRule="auto"/>
        <w:ind w:left="1053" w:leftChars="377" w:hanging="261" w:hangingChars="109"/>
        <w:rPr>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c）</w:t>
      </w:r>
      <w:r>
        <w:rPr>
          <w:sz w:val="24"/>
        </w:rPr>
        <w:t>承租方对于出租方转让的出租土地使用权享有优先购买权；</w:t>
      </w:r>
    </w:p>
    <w:p w14:paraId="2F76A3C0">
      <w:pPr>
        <w:pStyle w:val="55"/>
        <w:numPr>
          <w:ilvl w:val="0"/>
          <w:numId w:val="0"/>
        </w:numPr>
        <w:spacing w:before="120" w:beforeLines="50" w:after="120" w:afterLines="50" w:line="288" w:lineRule="auto"/>
        <w:ind w:left="1053" w:leftChars="377" w:hanging="261" w:hangingChars="109"/>
        <w:rPr>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d</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 xml:space="preserve"> </w:t>
      </w:r>
      <w:r>
        <w:rPr>
          <w:sz w:val="24"/>
        </w:rPr>
        <w:t>承租方应根据本协议的规定向出租方及时支付租金；</w:t>
      </w:r>
    </w:p>
    <w:p w14:paraId="190CC2F4">
      <w:pPr>
        <w:pStyle w:val="55"/>
        <w:numPr>
          <w:ilvl w:val="0"/>
          <w:numId w:val="0"/>
        </w:numPr>
        <w:spacing w:before="120" w:beforeLines="50" w:after="120" w:afterLines="50" w:line="288" w:lineRule="auto"/>
        <w:ind w:left="1053" w:leftChars="377" w:hanging="261" w:hangingChars="109"/>
        <w:rPr>
          <w:rFonts w:hint="eastAsia"/>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e</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 xml:space="preserve"> </w:t>
      </w:r>
      <w:r>
        <w:rPr>
          <w:sz w:val="24"/>
        </w:rPr>
        <w:t>承租方应根据本协议约定的用途使用出租土地</w:t>
      </w:r>
      <w:r>
        <w:rPr>
          <w:rFonts w:hint="eastAsia"/>
          <w:sz w:val="24"/>
        </w:rPr>
        <w:t>，并对出租土地上所有构筑物</w:t>
      </w:r>
    </w:p>
    <w:p w14:paraId="084DD8C4">
      <w:pPr>
        <w:pStyle w:val="55"/>
        <w:numPr>
          <w:ilvl w:val="0"/>
          <w:numId w:val="0"/>
        </w:numPr>
        <w:spacing w:before="120" w:beforeLines="50" w:after="120" w:afterLines="50" w:line="288" w:lineRule="auto"/>
        <w:ind w:left="1134" w:leftChars="0" w:hanging="440" w:firstLineChars="0"/>
        <w:rPr>
          <w:sz w:val="24"/>
        </w:rPr>
      </w:pPr>
      <w:r>
        <w:rPr>
          <w:rFonts w:hint="eastAsia"/>
          <w:sz w:val="24"/>
        </w:rPr>
        <w:t>的建造、维护、运营等承担各项安全责任，如附件二。</w:t>
      </w:r>
    </w:p>
    <w:p w14:paraId="19E718D5">
      <w:pPr>
        <w:pStyle w:val="55"/>
        <w:spacing w:before="120" w:beforeLines="50" w:after="120" w:afterLines="50" w:line="288" w:lineRule="auto"/>
        <w:ind w:firstLine="720" w:firstLineChars="300"/>
        <w:rPr>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f</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 xml:space="preserve"> </w:t>
      </w:r>
      <w:r>
        <w:rPr>
          <w:rFonts w:hint="eastAsia"/>
          <w:sz w:val="24"/>
        </w:rPr>
        <w:t>承租方不得变更用地性质，不得在租赁的土地上设定抵押或其他权利负担。</w:t>
      </w:r>
    </w:p>
    <w:p w14:paraId="7C75C177">
      <w:pPr>
        <w:pStyle w:val="55"/>
        <w:spacing w:before="120" w:beforeLines="50" w:after="120" w:afterLines="50" w:line="288" w:lineRule="auto"/>
        <w:ind w:firstLine="720" w:firstLineChars="300"/>
        <w:rPr>
          <w:sz w:val="24"/>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g</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 xml:space="preserve"> </w:t>
      </w:r>
      <w:r>
        <w:rPr>
          <w:sz w:val="24"/>
        </w:rPr>
        <w:t>本协议终止时，承租方应及时、完整地向出租方交回出租土地使用权。</w:t>
      </w:r>
    </w:p>
    <w:p w14:paraId="4C8BE83E">
      <w:pPr>
        <w:spacing w:before="120" w:beforeLines="50" w:after="120" w:afterLines="50" w:line="288" w:lineRule="auto"/>
        <w:rPr>
          <w:sz w:val="24"/>
        </w:rPr>
      </w:pPr>
    </w:p>
    <w:p w14:paraId="381D77C4">
      <w:pPr>
        <w:pStyle w:val="2"/>
        <w:numPr>
          <w:ilvl w:val="0"/>
          <w:numId w:val="0"/>
        </w:numPr>
        <w:spacing w:before="50" w:after="50" w:line="288" w:lineRule="auto"/>
        <w:ind w:right="0"/>
        <w:rPr>
          <w:rFonts w:ascii="Times New Roman" w:hAnsi="Times New Roman" w:cs="Times New Roman"/>
          <w:b w:val="0"/>
          <w:iCs/>
          <w:caps w:val="0"/>
          <w:lang w:eastAsia="zh-CN"/>
        </w:rPr>
      </w:pPr>
      <w:bookmarkStart w:id="1" w:name="_Toc172760219"/>
      <w:r>
        <w:rPr>
          <w:rFonts w:ascii="Times New Roman" w:hAnsi="Times New Roman" w:cs="Times New Roman"/>
          <w:lang w:eastAsia="zh-CN"/>
        </w:rPr>
        <w:t>第</w:t>
      </w:r>
      <w:r>
        <w:rPr>
          <w:rFonts w:hint="eastAsia" w:ascii="Times New Roman" w:hAnsi="Times New Roman" w:cs="Times New Roman"/>
          <w:lang w:eastAsia="zh-CN"/>
        </w:rPr>
        <w:t>六</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lang w:eastAsia="zh-CN"/>
        </w:rPr>
        <w:t>陈述</w:t>
      </w:r>
      <w:r>
        <w:rPr>
          <w:rFonts w:ascii="Times New Roman" w:hAnsi="Times New Roman" w:cs="Times New Roman"/>
          <w:bCs w:val="0"/>
          <w:lang w:eastAsia="zh-CN"/>
        </w:rPr>
        <w:t>与</w:t>
      </w:r>
      <w:r>
        <w:rPr>
          <w:rFonts w:ascii="Times New Roman" w:hAnsi="Times New Roman" w:cs="Times New Roman"/>
        </w:rPr>
        <w:t>保证</w:t>
      </w:r>
      <w:bookmarkEnd w:id="1"/>
    </w:p>
    <w:p w14:paraId="5859CA56">
      <w:pPr>
        <w:pStyle w:val="47"/>
        <w:numPr>
          <w:ilvl w:val="1"/>
          <w:numId w:val="0"/>
        </w:numPr>
        <w:tabs>
          <w:tab w:val="clear" w:pos="1146"/>
        </w:tabs>
        <w:spacing w:before="50" w:after="50" w:line="288" w:lineRule="auto"/>
        <w:rPr>
          <w:rFonts w:cs="Times New Roman"/>
          <w:bCs w:val="0"/>
          <w:iCs w:val="0"/>
          <w:lang w:eastAsia="zh-CN"/>
        </w:rPr>
      </w:pPr>
      <w:bookmarkStart w:id="2" w:name="_Ref31815917"/>
      <w:bookmarkStart w:id="3" w:name="_Toc535926816"/>
      <w:r>
        <w:rPr>
          <w:rFonts w:hint="eastAsia" w:cs="Times New Roman"/>
          <w:b w:val="0"/>
          <w:i w:val="0"/>
          <w:caps w:val="0"/>
          <w:strike w:val="0"/>
          <w:dstrike w:val="0"/>
          <w:vanish w:val="0"/>
          <w:color w:val="auto"/>
          <w:kern w:val="0"/>
          <w:sz w:val="24"/>
          <w:szCs w:val="24"/>
          <w:u w:val="none"/>
          <w:vertAlign w:val="baseline"/>
          <w:lang w:val="en-US" w:eastAsia="zh-CN" w:bidi="ar-SA"/>
        </w:rPr>
        <w:t>6</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bookmarkEnd w:id="2"/>
      <w:bookmarkEnd w:id="3"/>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rPr>
        <w:t>陈述</w:t>
      </w:r>
      <w:r>
        <w:rPr>
          <w:rFonts w:cs="Times New Roman"/>
          <w:lang w:eastAsia="zh-CN"/>
        </w:rPr>
        <w:t>与</w:t>
      </w:r>
      <w:r>
        <w:rPr>
          <w:rFonts w:cs="Times New Roman"/>
        </w:rPr>
        <w:t>保证</w:t>
      </w:r>
    </w:p>
    <w:p w14:paraId="278312FD">
      <w:pPr>
        <w:pStyle w:val="47"/>
        <w:numPr>
          <w:ilvl w:val="0"/>
          <w:numId w:val="0"/>
        </w:numPr>
        <w:spacing w:before="50" w:after="50" w:line="288" w:lineRule="auto"/>
        <w:ind w:firstLine="480" w:firstLineChars="200"/>
        <w:rPr>
          <w:lang w:eastAsia="zh-CN"/>
        </w:rPr>
      </w:pPr>
      <w:r>
        <w:rPr>
          <w:lang w:eastAsia="zh-CN"/>
        </w:rPr>
        <w:t>各方于本协议签署日向另一方陈述和保证如下：</w:t>
      </w:r>
    </w:p>
    <w:p w14:paraId="747E4C5E">
      <w:pPr>
        <w:pStyle w:val="45"/>
        <w:numPr>
          <w:ilvl w:val="0"/>
          <w:numId w:val="3"/>
        </w:numPr>
        <w:tabs>
          <w:tab w:val="clear" w:pos="1440"/>
        </w:tabs>
        <w:spacing w:before="50" w:after="50" w:line="288" w:lineRule="auto"/>
        <w:ind w:left="1440" w:leftChars="0" w:hanging="720" w:firstLineChars="0"/>
        <w:rPr>
          <w:lang w:eastAsia="zh-CN"/>
        </w:rPr>
      </w:pPr>
      <w:r>
        <w:rPr>
          <w:lang w:eastAsia="zh-CN"/>
        </w:rPr>
        <w:t>其是根据中国法律在中国正式成立、有效存续、状况良好、并且具有法人资</w:t>
      </w:r>
    </w:p>
    <w:p w14:paraId="39E87CA7">
      <w:pPr>
        <w:pStyle w:val="45"/>
        <w:numPr>
          <w:ilvl w:val="2"/>
          <w:numId w:val="0"/>
        </w:numPr>
        <w:tabs>
          <w:tab w:val="clear" w:pos="1440"/>
        </w:tabs>
        <w:spacing w:before="50" w:after="50" w:line="288" w:lineRule="auto"/>
        <w:ind w:firstLine="720" w:firstLineChars="300"/>
        <w:rPr>
          <w:lang w:eastAsia="zh-CN"/>
        </w:rPr>
      </w:pPr>
      <w:r>
        <w:rPr>
          <w:lang w:eastAsia="zh-CN"/>
        </w:rPr>
        <w:t>格的公司。</w:t>
      </w:r>
    </w:p>
    <w:p w14:paraId="6E62C4E8">
      <w:pPr>
        <w:pStyle w:val="45"/>
        <w:numPr>
          <w:ilvl w:val="0"/>
          <w:numId w:val="3"/>
        </w:numPr>
        <w:tabs>
          <w:tab w:val="clear" w:pos="1440"/>
        </w:tabs>
        <w:spacing w:before="50" w:after="50" w:line="288" w:lineRule="auto"/>
        <w:ind w:left="1440" w:leftChars="0" w:hanging="720" w:firstLineChars="0"/>
        <w:rPr>
          <w:lang w:eastAsia="zh-CN"/>
        </w:rPr>
      </w:pPr>
      <w:bookmarkStart w:id="4" w:name="_Toc535926818"/>
      <w:r>
        <w:rPr>
          <w:lang w:eastAsia="zh-CN"/>
        </w:rPr>
        <w:t>其拥有充分的合法权利、权力和授权签署和交付本协议，并遵守和履行其在</w:t>
      </w:r>
    </w:p>
    <w:p w14:paraId="34A59B01">
      <w:pPr>
        <w:pStyle w:val="45"/>
        <w:numPr>
          <w:ilvl w:val="2"/>
          <w:numId w:val="0"/>
        </w:numPr>
        <w:tabs>
          <w:tab w:val="clear" w:pos="1440"/>
        </w:tabs>
        <w:spacing w:before="50" w:after="50" w:line="288" w:lineRule="auto"/>
        <w:ind w:left="720" w:leftChars="0"/>
        <w:rPr>
          <w:lang w:eastAsia="zh-CN"/>
        </w:rPr>
      </w:pPr>
      <w:r>
        <w:rPr>
          <w:lang w:eastAsia="zh-CN"/>
        </w:rPr>
        <w:t>本协议下的义务。</w:t>
      </w:r>
    </w:p>
    <w:p w14:paraId="622A5E8A">
      <w:pPr>
        <w:pStyle w:val="45"/>
        <w:numPr>
          <w:ilvl w:val="0"/>
          <w:numId w:val="3"/>
        </w:numPr>
        <w:tabs>
          <w:tab w:val="clear" w:pos="1440"/>
        </w:tabs>
        <w:spacing w:before="50" w:after="50" w:line="288" w:lineRule="auto"/>
        <w:ind w:left="1440" w:leftChars="0" w:hanging="720" w:firstLineChars="0"/>
        <w:rPr>
          <w:lang w:eastAsia="zh-CN"/>
        </w:rPr>
      </w:pPr>
      <w:r>
        <w:rPr>
          <w:lang w:eastAsia="zh-CN"/>
        </w:rPr>
        <w:t>其已采取一切适当和必要的行动(包括根据一份有效授权书，充分授权其在本</w:t>
      </w:r>
    </w:p>
    <w:p w14:paraId="1B6B8DC1">
      <w:pPr>
        <w:pStyle w:val="45"/>
        <w:numPr>
          <w:ilvl w:val="2"/>
          <w:numId w:val="0"/>
        </w:numPr>
        <w:tabs>
          <w:tab w:val="clear" w:pos="1440"/>
        </w:tabs>
        <w:spacing w:before="50" w:after="50" w:line="288" w:lineRule="auto"/>
        <w:ind w:left="720" w:leftChars="0"/>
        <w:rPr>
          <w:lang w:eastAsia="zh-CN"/>
        </w:rPr>
      </w:pPr>
      <w:r>
        <w:rPr>
          <w:lang w:eastAsia="zh-CN"/>
        </w:rPr>
        <w:t>协议上签字的代表签署本协议。该授权书副本已向另一方提供)，授权签署和交付本协议，以及授权履行和遵守本协议的条款和条件。</w:t>
      </w:r>
    </w:p>
    <w:p w14:paraId="5D1C7904">
      <w:pPr>
        <w:pStyle w:val="45"/>
        <w:numPr>
          <w:ilvl w:val="0"/>
          <w:numId w:val="3"/>
        </w:numPr>
        <w:tabs>
          <w:tab w:val="clear" w:pos="1440"/>
        </w:tabs>
        <w:spacing w:before="50" w:after="50" w:line="288" w:lineRule="auto"/>
        <w:ind w:left="1440" w:leftChars="0" w:hanging="720" w:firstLineChars="0"/>
        <w:rPr>
          <w:lang w:eastAsia="zh-CN"/>
        </w:rPr>
      </w:pPr>
      <w:r>
        <w:rPr>
          <w:lang w:eastAsia="zh-CN"/>
        </w:rPr>
        <w:t>其已经取得为其有效签署和交付本协议并遵守和履行本协议项下义务所需</w:t>
      </w:r>
    </w:p>
    <w:p w14:paraId="4B2FCA74">
      <w:pPr>
        <w:pStyle w:val="45"/>
        <w:numPr>
          <w:ilvl w:val="2"/>
          <w:numId w:val="0"/>
        </w:numPr>
        <w:tabs>
          <w:tab w:val="clear" w:pos="1440"/>
        </w:tabs>
        <w:spacing w:before="50" w:after="50" w:line="288" w:lineRule="auto"/>
        <w:ind w:left="720" w:leftChars="0"/>
        <w:rPr>
          <w:lang w:eastAsia="zh-CN"/>
        </w:rPr>
      </w:pPr>
      <w:r>
        <w:rPr>
          <w:lang w:eastAsia="zh-CN"/>
        </w:rPr>
        <w:t>一切同意、批准和授权。</w:t>
      </w:r>
    </w:p>
    <w:p w14:paraId="7A9720D5">
      <w:pPr>
        <w:pStyle w:val="45"/>
        <w:numPr>
          <w:ilvl w:val="0"/>
          <w:numId w:val="3"/>
        </w:numPr>
        <w:tabs>
          <w:tab w:val="clear" w:pos="1440"/>
        </w:tabs>
        <w:spacing w:before="50" w:after="50" w:line="288" w:lineRule="auto"/>
        <w:ind w:left="1440" w:leftChars="0" w:hanging="720" w:firstLineChars="0"/>
        <w:rPr>
          <w:lang w:eastAsia="zh-CN"/>
        </w:rPr>
      </w:pPr>
      <w:r>
        <w:rPr>
          <w:lang w:eastAsia="zh-CN"/>
        </w:rPr>
        <w:t>本协议构成对其有效及有约束力的义务。</w:t>
      </w:r>
    </w:p>
    <w:p w14:paraId="7F91E2B5">
      <w:pPr>
        <w:pStyle w:val="45"/>
        <w:numPr>
          <w:ilvl w:val="0"/>
          <w:numId w:val="3"/>
        </w:numPr>
        <w:tabs>
          <w:tab w:val="clear" w:pos="1440"/>
        </w:tabs>
        <w:spacing w:before="50" w:after="50" w:line="288" w:lineRule="auto"/>
        <w:ind w:left="1440" w:leftChars="0" w:hanging="720" w:firstLineChars="0"/>
        <w:rPr>
          <w:lang w:eastAsia="zh-CN"/>
        </w:rPr>
      </w:pPr>
      <w:r>
        <w:rPr>
          <w:lang w:eastAsia="zh-CN"/>
        </w:rPr>
        <w:t>其签署、交付及履行本协议，不会违反任何适用法律或其组织文件的规定、</w:t>
      </w:r>
    </w:p>
    <w:p w14:paraId="57DB2DAB">
      <w:pPr>
        <w:pStyle w:val="45"/>
        <w:numPr>
          <w:ilvl w:val="2"/>
          <w:numId w:val="0"/>
        </w:numPr>
        <w:tabs>
          <w:tab w:val="clear" w:pos="1440"/>
        </w:tabs>
        <w:spacing w:before="50" w:after="50" w:line="288" w:lineRule="auto"/>
        <w:ind w:left="720" w:leftChars="0"/>
        <w:rPr>
          <w:lang w:eastAsia="zh-CN"/>
        </w:rPr>
      </w:pPr>
      <w:r>
        <w:rPr>
          <w:lang w:eastAsia="zh-CN"/>
        </w:rPr>
        <w:t>且不违反任何合同、承诺、判决、禁制令、命令、判令或其他任何对其或其资产有约束力的文件的规定，亦不会在上述文件项下违约。</w:t>
      </w:r>
    </w:p>
    <w:p w14:paraId="23A62126">
      <w:pPr>
        <w:pStyle w:val="45"/>
        <w:numPr>
          <w:ilvl w:val="0"/>
          <w:numId w:val="3"/>
        </w:numPr>
        <w:tabs>
          <w:tab w:val="clear" w:pos="1440"/>
        </w:tabs>
        <w:spacing w:before="50" w:after="50" w:line="288" w:lineRule="auto"/>
        <w:ind w:left="1440" w:leftChars="0" w:hanging="720" w:firstLineChars="0"/>
        <w:rPr>
          <w:iCs/>
          <w:lang w:eastAsia="zh-CN"/>
        </w:rPr>
      </w:pPr>
      <w:r>
        <w:rPr>
          <w:lang w:eastAsia="zh-CN"/>
        </w:rPr>
        <w:t>不存在可能影响其签署或履行本协议的、针对其的法律诉讼或行政处罚或强</w:t>
      </w:r>
    </w:p>
    <w:p w14:paraId="0F2B799E">
      <w:pPr>
        <w:pStyle w:val="45"/>
        <w:numPr>
          <w:ilvl w:val="2"/>
          <w:numId w:val="0"/>
        </w:numPr>
        <w:tabs>
          <w:tab w:val="clear" w:pos="1440"/>
        </w:tabs>
        <w:spacing w:before="50" w:after="50" w:line="288" w:lineRule="auto"/>
        <w:ind w:left="720" w:leftChars="0"/>
        <w:rPr>
          <w:iCs/>
          <w:lang w:eastAsia="zh-CN"/>
        </w:rPr>
      </w:pPr>
      <w:r>
        <w:rPr>
          <w:lang w:eastAsia="zh-CN"/>
        </w:rPr>
        <w:t>制措施。</w:t>
      </w:r>
    </w:p>
    <w:p w14:paraId="2572ABAE">
      <w:pPr>
        <w:pStyle w:val="47"/>
        <w:numPr>
          <w:ilvl w:val="1"/>
          <w:numId w:val="0"/>
        </w:numPr>
        <w:tabs>
          <w:tab w:val="clear" w:pos="1146"/>
        </w:tabs>
        <w:spacing w:before="50" w:after="50" w:line="288" w:lineRule="auto"/>
        <w:rPr>
          <w:rFonts w:cs="Times New Roman"/>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6</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.2</w:t>
      </w:r>
      <w:bookmarkEnd w:id="4"/>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lang w:eastAsia="zh-CN"/>
        </w:rPr>
        <w:t>出租方保证</w:t>
      </w:r>
    </w:p>
    <w:p w14:paraId="5FC86D03">
      <w:pPr>
        <w:spacing w:before="50" w:after="50" w:line="288" w:lineRule="auto"/>
        <w:ind w:firstLine="480" w:firstLineChars="200"/>
        <w:rPr>
          <w:sz w:val="24"/>
        </w:rPr>
      </w:pPr>
      <w:r>
        <w:rPr>
          <w:sz w:val="24"/>
        </w:rPr>
        <w:t>出租方特此向承租方陈述并保证，在租赁期间的任何时候：</w:t>
      </w:r>
    </w:p>
    <w:p w14:paraId="29242B4F">
      <w:pPr>
        <w:pStyle w:val="45"/>
        <w:numPr>
          <w:ilvl w:val="0"/>
          <w:numId w:val="4"/>
        </w:numPr>
        <w:tabs>
          <w:tab w:val="clear" w:pos="1440"/>
        </w:tabs>
        <w:spacing w:before="50" w:after="50" w:line="288" w:lineRule="auto"/>
        <w:ind w:left="1440" w:leftChars="0" w:hanging="720" w:firstLineChars="0"/>
        <w:rPr>
          <w:sz w:val="24"/>
        </w:rPr>
      </w:pPr>
      <w:r>
        <w:rPr>
          <w:sz w:val="24"/>
        </w:rPr>
        <w:t>出租方拥有出租土地合法有效的土地使用权，该等土地使用权为出让取得国</w:t>
      </w:r>
    </w:p>
    <w:p w14:paraId="00BDD574">
      <w:pPr>
        <w:pStyle w:val="45"/>
        <w:numPr>
          <w:ilvl w:val="2"/>
          <w:numId w:val="0"/>
        </w:numPr>
        <w:tabs>
          <w:tab w:val="clear" w:pos="1440"/>
        </w:tabs>
        <w:spacing w:before="50" w:after="50" w:line="288" w:lineRule="auto"/>
        <w:ind w:left="1440" w:leftChars="0" w:hanging="720" w:firstLineChars="0"/>
        <w:rPr>
          <w:sz w:val="24"/>
        </w:rPr>
      </w:pPr>
      <w:r>
        <w:rPr>
          <w:sz w:val="24"/>
        </w:rPr>
        <w:t>有土地使用权，且与土地使用权出让有关的所有手续均已按照适用法律有效办</w:t>
      </w:r>
    </w:p>
    <w:p w14:paraId="686B89E6">
      <w:pPr>
        <w:pStyle w:val="45"/>
        <w:numPr>
          <w:ilvl w:val="2"/>
          <w:numId w:val="0"/>
        </w:numPr>
        <w:tabs>
          <w:tab w:val="clear" w:pos="1440"/>
        </w:tabs>
        <w:spacing w:before="50" w:after="50" w:line="288" w:lineRule="auto"/>
        <w:ind w:left="1440" w:leftChars="0" w:hanging="720" w:firstLineChars="0"/>
        <w:rPr>
          <w:sz w:val="24"/>
        </w:rPr>
      </w:pPr>
      <w:r>
        <w:rPr>
          <w:sz w:val="24"/>
        </w:rPr>
        <w:t>理；</w:t>
      </w:r>
    </w:p>
    <w:p w14:paraId="12B112A8">
      <w:pPr>
        <w:pStyle w:val="45"/>
        <w:numPr>
          <w:ilvl w:val="0"/>
          <w:numId w:val="4"/>
        </w:numPr>
        <w:tabs>
          <w:tab w:val="clear" w:pos="1440"/>
        </w:tabs>
        <w:spacing w:before="50" w:after="50" w:line="288" w:lineRule="auto"/>
        <w:ind w:left="1440" w:leftChars="0" w:hanging="72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并无任何事实或情形导致出租土地的土地使用权的出让人或任何其他人有</w:t>
      </w:r>
    </w:p>
    <w:p w14:paraId="1AA37E52">
      <w:pPr>
        <w:pStyle w:val="45"/>
        <w:numPr>
          <w:ilvl w:val="2"/>
          <w:numId w:val="0"/>
        </w:numPr>
        <w:tabs>
          <w:tab w:val="clear" w:pos="1440"/>
        </w:tabs>
        <w:spacing w:before="50" w:after="50" w:line="288" w:lineRule="auto"/>
        <w:ind w:left="720" w:leftChars="0"/>
        <w:rPr>
          <w:color w:val="000000" w:themeColor="text1"/>
          <w:sz w:val="24"/>
          <w14:textFill>
            <w14:solidFill>
              <w14:schemeClr w14:val="tx1"/>
            </w14:solidFill>
          </w14:textFill>
        </w:rPr>
      </w:pPr>
      <w:r>
        <w:rPr>
          <w:color w:val="000000" w:themeColor="text1"/>
          <w:sz w:val="24"/>
          <w14:textFill>
            <w14:solidFill>
              <w14:schemeClr w14:val="tx1"/>
            </w14:solidFill>
          </w14:textFill>
        </w:rPr>
        <w:t>权占有或征用出租土地，或以其他方式限制或终止对出租土地的继续持有、占有或使用；</w:t>
      </w:r>
    </w:p>
    <w:p w14:paraId="4B0E2E81">
      <w:pPr>
        <w:pStyle w:val="45"/>
        <w:numPr>
          <w:ilvl w:val="0"/>
          <w:numId w:val="4"/>
        </w:numPr>
        <w:tabs>
          <w:tab w:val="clear" w:pos="1440"/>
        </w:tabs>
        <w:spacing w:before="50" w:after="50" w:line="288" w:lineRule="auto"/>
        <w:ind w:left="1440" w:leftChars="0" w:hanging="720" w:firstLineChars="0"/>
        <w:rPr>
          <w:sz w:val="24"/>
        </w:rPr>
      </w:pPr>
      <w:r>
        <w:rPr>
          <w:color w:val="000000" w:themeColor="text1"/>
          <w:sz w:val="24"/>
          <w14:textFill>
            <w14:solidFill>
              <w14:schemeClr w14:val="tx1"/>
            </w14:solidFill>
          </w14:textFill>
        </w:rPr>
        <w:t>除银行抵押之外，出租土地上未设定权利负担，也不受任何权利负担约束。</w:t>
      </w:r>
    </w:p>
    <w:p w14:paraId="213F1449">
      <w:pPr>
        <w:pStyle w:val="45"/>
        <w:numPr>
          <w:ilvl w:val="0"/>
          <w:numId w:val="4"/>
        </w:numPr>
        <w:tabs>
          <w:tab w:val="clear" w:pos="1440"/>
        </w:tabs>
        <w:spacing w:before="50" w:after="50" w:line="288" w:lineRule="auto"/>
        <w:ind w:left="1440" w:leftChars="0" w:hanging="72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适用法律和政府部门允许将出租土地用于管廊的建设、维护和运营以支持高</w:t>
      </w:r>
    </w:p>
    <w:p w14:paraId="7389DD2F">
      <w:pPr>
        <w:pStyle w:val="45"/>
        <w:numPr>
          <w:ilvl w:val="2"/>
          <w:numId w:val="0"/>
        </w:numPr>
        <w:tabs>
          <w:tab w:val="clear" w:pos="1440"/>
        </w:tabs>
        <w:spacing w:before="50" w:after="50" w:line="288" w:lineRule="auto"/>
        <w:ind w:left="720" w:leftChars="0"/>
        <w:rPr>
          <w:color w:val="000000" w:themeColor="text1"/>
          <w:sz w:val="24"/>
          <w14:textFill>
            <w14:solidFill>
              <w14:schemeClr w14:val="tx1"/>
            </w14:solidFill>
          </w14:textFill>
        </w:rPr>
      </w:pPr>
      <w:r>
        <w:rPr>
          <w:color w:val="000000" w:themeColor="text1"/>
          <w:sz w:val="24"/>
          <w14:textFill>
            <w14:solidFill>
              <w14:schemeClr w14:val="tx1"/>
            </w14:solidFill>
          </w14:textFill>
        </w:rPr>
        <w:t>架火炬系统；以及</w:t>
      </w:r>
    </w:p>
    <w:p w14:paraId="4B7A8FC9">
      <w:pPr>
        <w:pStyle w:val="45"/>
        <w:numPr>
          <w:ilvl w:val="0"/>
          <w:numId w:val="4"/>
        </w:numPr>
        <w:tabs>
          <w:tab w:val="clear" w:pos="1440"/>
        </w:tabs>
        <w:spacing w:before="50" w:after="50" w:line="288" w:lineRule="auto"/>
        <w:ind w:left="1440" w:leftChars="0" w:hanging="72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出租土地的任何部分在其红线范围内没有树木和坟墓。</w:t>
      </w:r>
    </w:p>
    <w:p w14:paraId="7AC44A65">
      <w:pPr>
        <w:pStyle w:val="2"/>
        <w:numPr>
          <w:ilvl w:val="0"/>
          <w:numId w:val="0"/>
        </w:numPr>
        <w:spacing w:before="50" w:after="50" w:line="288" w:lineRule="auto"/>
        <w:ind w:right="0"/>
        <w:rPr>
          <w:rFonts w:ascii="Times New Roman" w:hAnsi="Times New Roman" w:cs="Times New Roman"/>
          <w:b w:val="0"/>
          <w:iCs/>
          <w:caps w:val="0"/>
          <w:lang w:eastAsia="zh-CN"/>
        </w:rPr>
      </w:pPr>
      <w:bookmarkStart w:id="5" w:name="_Toc152172581"/>
      <w:bookmarkEnd w:id="5"/>
      <w:bookmarkStart w:id="6" w:name="_Toc175470339"/>
      <w:bookmarkEnd w:id="6"/>
      <w:bookmarkStart w:id="7" w:name="_Toc152170051"/>
      <w:bookmarkEnd w:id="7"/>
      <w:bookmarkStart w:id="8" w:name="_Toc152173319"/>
      <w:bookmarkEnd w:id="8"/>
      <w:bookmarkStart w:id="9" w:name="_Toc175470337"/>
      <w:bookmarkEnd w:id="9"/>
      <w:bookmarkStart w:id="10" w:name="_Toc152169960"/>
      <w:bookmarkEnd w:id="10"/>
      <w:bookmarkStart w:id="11" w:name="_Toc152172848"/>
      <w:bookmarkEnd w:id="11"/>
      <w:bookmarkStart w:id="12" w:name="_Toc152170162"/>
      <w:bookmarkEnd w:id="12"/>
      <w:bookmarkStart w:id="13" w:name="_Toc175470340"/>
      <w:bookmarkEnd w:id="13"/>
      <w:bookmarkStart w:id="14" w:name="_Toc152173032"/>
      <w:bookmarkEnd w:id="14"/>
      <w:bookmarkStart w:id="15" w:name="_Toc152166527"/>
      <w:bookmarkEnd w:id="15"/>
      <w:bookmarkStart w:id="16" w:name="_Toc152170054"/>
      <w:bookmarkEnd w:id="16"/>
      <w:bookmarkStart w:id="17" w:name="_Toc152172708"/>
      <w:bookmarkEnd w:id="17"/>
      <w:bookmarkStart w:id="18" w:name="_Toc152169963"/>
      <w:bookmarkEnd w:id="18"/>
      <w:bookmarkStart w:id="19" w:name="_Toc152172762"/>
      <w:bookmarkEnd w:id="19"/>
      <w:bookmarkStart w:id="20" w:name="_Toc152172578"/>
      <w:bookmarkEnd w:id="20"/>
      <w:bookmarkStart w:id="21" w:name="_Toc152166524"/>
      <w:bookmarkEnd w:id="21"/>
      <w:bookmarkStart w:id="22" w:name="_Toc175470341"/>
      <w:bookmarkEnd w:id="22"/>
      <w:bookmarkStart w:id="23" w:name="_Toc152170159"/>
      <w:bookmarkEnd w:id="23"/>
      <w:bookmarkStart w:id="24" w:name="_Toc152173316"/>
      <w:bookmarkEnd w:id="24"/>
      <w:bookmarkStart w:id="25" w:name="_Toc152172525"/>
      <w:bookmarkEnd w:id="25"/>
      <w:bookmarkStart w:id="26" w:name="_Toc152172759"/>
      <w:bookmarkEnd w:id="26"/>
      <w:bookmarkStart w:id="27" w:name="_Toc152172845"/>
      <w:bookmarkEnd w:id="27"/>
      <w:bookmarkStart w:id="28" w:name="_Toc152173029"/>
      <w:bookmarkEnd w:id="28"/>
      <w:bookmarkStart w:id="29" w:name="_Toc175470331"/>
      <w:bookmarkEnd w:id="29"/>
      <w:bookmarkStart w:id="30" w:name="_Toc152172528"/>
      <w:bookmarkEnd w:id="30"/>
      <w:bookmarkStart w:id="31" w:name="_Toc152172705"/>
      <w:bookmarkEnd w:id="31"/>
      <w:bookmarkStart w:id="32" w:name="_Toc172760221"/>
      <w:r>
        <w:rPr>
          <w:rFonts w:ascii="Times New Roman" w:hAnsi="Times New Roman" w:cs="Times New Roman"/>
          <w:lang w:eastAsia="zh-CN"/>
        </w:rPr>
        <w:t>第</w:t>
      </w:r>
      <w:r>
        <w:rPr>
          <w:rFonts w:hint="eastAsia" w:ascii="Times New Roman" w:hAnsi="Times New Roman" w:cs="Times New Roman"/>
          <w:lang w:eastAsia="zh-CN"/>
        </w:rPr>
        <w:t>七</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rPr>
        <w:t>期限和终止</w:t>
      </w:r>
      <w:bookmarkEnd w:id="32"/>
    </w:p>
    <w:p w14:paraId="25CC1B99">
      <w:pPr>
        <w:pStyle w:val="47"/>
        <w:numPr>
          <w:ilvl w:val="1"/>
          <w:numId w:val="0"/>
        </w:numPr>
        <w:tabs>
          <w:tab w:val="clear" w:pos="1146"/>
        </w:tabs>
        <w:spacing w:before="50" w:after="50" w:line="288" w:lineRule="auto"/>
        <w:rPr>
          <w:rFonts w:cs="Times New Roman"/>
          <w:b/>
          <w:bCs w:val="0"/>
          <w:iCs w:val="0"/>
          <w:lang w:eastAsia="zh-CN"/>
        </w:rPr>
      </w:pPr>
      <w:bookmarkStart w:id="33" w:name="_Ref31813580"/>
      <w:bookmarkStart w:id="34" w:name="_Toc535926826"/>
      <w:bookmarkStart w:id="35" w:name="_Toc225323011"/>
      <w:bookmarkStart w:id="36" w:name="_Toc225311214"/>
      <w:bookmarkStart w:id="37" w:name="_Toc225310976"/>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bookmarkEnd w:id="33"/>
      <w:bookmarkEnd w:id="34"/>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lang w:eastAsia="zh-CN"/>
        </w:rPr>
        <w:t>期限</w:t>
      </w:r>
    </w:p>
    <w:bookmarkEnd w:id="35"/>
    <w:bookmarkEnd w:id="36"/>
    <w:bookmarkEnd w:id="37"/>
    <w:p w14:paraId="434D5EAA">
      <w:pPr>
        <w:pStyle w:val="47"/>
        <w:numPr>
          <w:ilvl w:val="0"/>
          <w:numId w:val="0"/>
        </w:numPr>
        <w:spacing w:before="50" w:after="50" w:line="288" w:lineRule="auto"/>
        <w:ind w:firstLine="480" w:firstLineChars="200"/>
        <w:rPr>
          <w:bCs/>
          <w:iCs/>
          <w:lang w:eastAsia="zh-CN"/>
        </w:rPr>
      </w:pPr>
      <w:r>
        <w:rPr>
          <w:lang w:eastAsia="zh-CN"/>
        </w:rPr>
        <w:t>本协议应在双方签署本协议之日</w:t>
      </w:r>
      <w:r>
        <w:rPr>
          <w:rFonts w:hint="eastAsia"/>
          <w:lang w:eastAsia="zh-CN"/>
        </w:rPr>
        <w:t>（“</w:t>
      </w:r>
      <w:r>
        <w:rPr>
          <w:rFonts w:hint="eastAsia"/>
          <w:b/>
          <w:bCs/>
          <w:lang w:eastAsia="zh-CN"/>
        </w:rPr>
        <w:t>生效日</w:t>
      </w:r>
      <w:r>
        <w:rPr>
          <w:rFonts w:hint="eastAsia"/>
          <w:lang w:eastAsia="zh-CN"/>
        </w:rPr>
        <w:t>”）</w:t>
      </w:r>
      <w:r>
        <w:rPr>
          <w:lang w:eastAsia="zh-CN"/>
        </w:rPr>
        <w:t>生效，并应持续</w:t>
      </w:r>
      <w:r>
        <w:rPr>
          <w:rFonts w:hint="eastAsia"/>
          <w:lang w:eastAsia="zh-CN"/>
        </w:rPr>
        <w:t>有效至租赁期届满</w:t>
      </w:r>
      <w:r>
        <w:rPr>
          <w:lang w:eastAsia="zh-CN"/>
        </w:rPr>
        <w:t xml:space="preserve">。 </w:t>
      </w:r>
    </w:p>
    <w:p w14:paraId="403917BF">
      <w:pPr>
        <w:pStyle w:val="47"/>
        <w:numPr>
          <w:ilvl w:val="1"/>
          <w:numId w:val="0"/>
        </w:numPr>
        <w:tabs>
          <w:tab w:val="clear" w:pos="1146"/>
        </w:tabs>
        <w:spacing w:before="50" w:after="50" w:line="288" w:lineRule="auto"/>
        <w:rPr>
          <w:rFonts w:cs="Times New Roman"/>
          <w:b/>
          <w:lang w:eastAsia="zh-CN"/>
        </w:rPr>
      </w:pPr>
      <w:bookmarkStart w:id="38" w:name="_Ref54277930"/>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.2</w:t>
      </w:r>
      <w:bookmarkEnd w:id="38"/>
      <w:bookmarkStart w:id="39" w:name="_Ref31815990"/>
      <w:bookmarkStart w:id="40" w:name="_Toc535926828"/>
      <w:bookmarkStart w:id="41" w:name="_Ref31813609"/>
      <w:bookmarkStart w:id="42" w:name="_Ref87539236"/>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lang w:eastAsia="zh-CN"/>
        </w:rPr>
        <w:t>协商一致</w:t>
      </w:r>
      <w:r>
        <w:rPr>
          <w:rFonts w:cs="Times New Roman"/>
          <w:bCs w:val="0"/>
          <w:iCs w:val="0"/>
          <w:lang w:eastAsia="zh-CN"/>
        </w:rPr>
        <w:t>的</w:t>
      </w:r>
      <w:r>
        <w:rPr>
          <w:rFonts w:cs="Times New Roman"/>
        </w:rPr>
        <w:t>终止</w:t>
      </w:r>
    </w:p>
    <w:p w14:paraId="5C46AE1D">
      <w:pPr>
        <w:pStyle w:val="3"/>
        <w:numPr>
          <w:ilvl w:val="0"/>
          <w:numId w:val="0"/>
        </w:numPr>
        <w:spacing w:before="50" w:after="50" w:line="288" w:lineRule="auto"/>
        <w:ind w:firstLine="480" w:firstLineChars="200"/>
        <w:rPr>
          <w:rFonts w:cs="Times New Roman"/>
          <w:bCs w:val="0"/>
          <w:u w:val="none"/>
          <w:lang w:eastAsia="zh-CN"/>
        </w:rPr>
      </w:pPr>
      <w:r>
        <w:rPr>
          <w:rFonts w:cs="Times New Roman"/>
          <w:bCs w:val="0"/>
          <w:u w:val="none"/>
          <w:lang w:val="en-GB" w:eastAsia="zh-CN"/>
        </w:rPr>
        <w:t>双方可以在任何时候</w:t>
      </w:r>
      <w:r>
        <w:rPr>
          <w:rFonts w:cs="Times New Roman"/>
          <w:bCs w:val="0"/>
          <w:u w:val="none"/>
          <w:lang w:eastAsia="zh-CN"/>
        </w:rPr>
        <w:t>以书面形式</w:t>
      </w:r>
      <w:r>
        <w:rPr>
          <w:rFonts w:cs="Times New Roman"/>
          <w:bCs w:val="0"/>
          <w:u w:val="none"/>
          <w:lang w:val="en-GB" w:eastAsia="zh-CN"/>
        </w:rPr>
        <w:t>协商一致</w:t>
      </w:r>
      <w:r>
        <w:rPr>
          <w:rFonts w:cs="Times New Roman"/>
          <w:bCs w:val="0"/>
          <w:u w:val="none"/>
          <w:lang w:eastAsia="zh-CN"/>
        </w:rPr>
        <w:t>终止本协议，</w:t>
      </w:r>
      <w:r>
        <w:rPr>
          <w:rFonts w:cs="Times New Roman"/>
          <w:bCs w:val="0"/>
          <w:u w:val="none"/>
          <w:lang w:val="en-GB" w:eastAsia="zh-CN"/>
        </w:rPr>
        <w:t>在此情况下，</w:t>
      </w:r>
      <w:r>
        <w:rPr>
          <w:rFonts w:cs="Times New Roman"/>
          <w:bCs w:val="0"/>
          <w:u w:val="none"/>
          <w:lang w:eastAsia="zh-CN"/>
        </w:rPr>
        <w:t>本协议在</w:t>
      </w:r>
      <w:r>
        <w:rPr>
          <w:rFonts w:cs="Times New Roman"/>
          <w:bCs w:val="0"/>
          <w:u w:val="none"/>
          <w:lang w:val="en-GB" w:eastAsia="zh-CN"/>
        </w:rPr>
        <w:t>双方协议终止之日</w:t>
      </w:r>
      <w:r>
        <w:rPr>
          <w:rFonts w:cs="Times New Roman"/>
          <w:bCs w:val="0"/>
          <w:u w:val="none"/>
          <w:lang w:eastAsia="zh-CN"/>
        </w:rPr>
        <w:t>终止。</w:t>
      </w:r>
    </w:p>
    <w:p w14:paraId="725ED52C">
      <w:pPr>
        <w:pStyle w:val="47"/>
        <w:numPr>
          <w:ilvl w:val="1"/>
          <w:numId w:val="0"/>
        </w:numPr>
        <w:tabs>
          <w:tab w:val="clear" w:pos="1146"/>
        </w:tabs>
        <w:spacing w:before="50" w:after="50" w:line="288" w:lineRule="auto"/>
        <w:rPr>
          <w:rFonts w:cs="Times New Roman"/>
          <w:bCs w:val="0"/>
          <w:lang w:eastAsia="zh-CN"/>
        </w:rPr>
      </w:pPr>
      <w:bookmarkStart w:id="43" w:name="_Ref172647742"/>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.3</w:t>
      </w:r>
      <w:bookmarkEnd w:id="39"/>
      <w:bookmarkEnd w:id="40"/>
      <w:bookmarkEnd w:id="41"/>
      <w:bookmarkEnd w:id="42"/>
      <w:bookmarkEnd w:id="43"/>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bCs w:val="0"/>
          <w:lang w:eastAsia="zh-CN"/>
        </w:rPr>
        <w:t>终止</w:t>
      </w:r>
      <w:r>
        <w:rPr>
          <w:rFonts w:cs="Times New Roman"/>
          <w:bCs w:val="0"/>
          <w:iCs w:val="0"/>
          <w:lang w:eastAsia="zh-CN"/>
        </w:rPr>
        <w:t>事件</w:t>
      </w:r>
    </w:p>
    <w:p w14:paraId="13B22130">
      <w:pPr>
        <w:pStyle w:val="47"/>
        <w:numPr>
          <w:ilvl w:val="0"/>
          <w:numId w:val="0"/>
        </w:numPr>
        <w:spacing w:before="50" w:after="50" w:line="288" w:lineRule="auto"/>
        <w:ind w:firstLine="480" w:firstLineChars="200"/>
        <w:rPr>
          <w:lang w:val="en-GB" w:eastAsia="zh-CN"/>
        </w:rPr>
      </w:pPr>
      <w:bookmarkStart w:id="44" w:name="_Ref54277940"/>
      <w:r>
        <w:rPr>
          <w:lang w:eastAsia="zh-CN"/>
        </w:rPr>
        <w:t>除非根据本协议的约定被纠正，否则下列每一事件应构成本协议项下的“终止事件”：</w:t>
      </w:r>
    </w:p>
    <w:bookmarkEnd w:id="44"/>
    <w:p w14:paraId="35B38BD7">
      <w:pPr>
        <w:pStyle w:val="45"/>
        <w:numPr>
          <w:ilvl w:val="0"/>
          <w:numId w:val="5"/>
        </w:numPr>
        <w:tabs>
          <w:tab w:val="clear" w:pos="1440"/>
        </w:tabs>
        <w:spacing w:before="50" w:after="50" w:line="288" w:lineRule="auto"/>
        <w:ind w:left="1440" w:leftChars="0" w:hanging="720" w:firstLineChars="0"/>
        <w:rPr>
          <w:lang w:val="en-GB" w:eastAsia="zh-CN"/>
        </w:rPr>
      </w:pPr>
      <w:bookmarkStart w:id="45" w:name="_Ref54277941"/>
      <w:r>
        <w:rPr>
          <w:lang w:eastAsia="zh-CN"/>
        </w:rPr>
        <w:t>任何一方有任何严重违反本协议项下规定的行为，包括但不限于任何严重的</w:t>
      </w:r>
    </w:p>
    <w:p w14:paraId="7C1ECF53">
      <w:pPr>
        <w:pStyle w:val="45"/>
        <w:numPr>
          <w:ilvl w:val="2"/>
          <w:numId w:val="0"/>
        </w:numPr>
        <w:tabs>
          <w:tab w:val="clear" w:pos="1440"/>
        </w:tabs>
        <w:spacing w:before="50" w:after="50" w:line="288" w:lineRule="auto"/>
        <w:ind w:left="720" w:leftChars="0"/>
        <w:rPr>
          <w:lang w:val="en-GB" w:eastAsia="zh-CN"/>
        </w:rPr>
      </w:pPr>
      <w:r>
        <w:rPr>
          <w:lang w:eastAsia="zh-CN"/>
        </w:rPr>
        <w:t>(i)错误陈述或(ii) 违反任何保证或(iii) 不履行承诺或保证，并且，若该违约行为可以补救，一方在收到另一方书面通知后的一百八十(180)天或者本协议约定的任何其他宽限期内未补救；</w:t>
      </w:r>
    </w:p>
    <w:p w14:paraId="5DE78CA2">
      <w:pPr>
        <w:pStyle w:val="45"/>
        <w:numPr>
          <w:ilvl w:val="2"/>
          <w:numId w:val="0"/>
        </w:numPr>
        <w:tabs>
          <w:tab w:val="clear" w:pos="1440"/>
        </w:tabs>
        <w:spacing w:before="50" w:after="50" w:line="288" w:lineRule="auto"/>
        <w:ind w:left="1440" w:leftChars="0" w:hanging="720" w:firstLineChars="0"/>
        <w:rPr>
          <w:lang w:val="en-GB"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GB" w:eastAsia="zh-CN" w:bidi="ar-SA"/>
        </w:rPr>
        <w:t>(b)</w:t>
      </w:r>
      <w:bookmarkEnd w:id="45"/>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任何</w:t>
      </w:r>
      <w:r>
        <w:rPr>
          <w:b/>
          <w:bCs/>
          <w:lang w:eastAsia="zh-CN"/>
        </w:rPr>
        <w:t>一</w:t>
      </w:r>
      <w:r>
        <w:rPr>
          <w:lang w:eastAsia="zh-CN"/>
        </w:rPr>
        <w:t>方破产，无力偿还全部或主要到期债务，或停止经营；或</w:t>
      </w:r>
    </w:p>
    <w:p w14:paraId="1FCE52F6">
      <w:pPr>
        <w:pStyle w:val="45"/>
        <w:numPr>
          <w:ilvl w:val="2"/>
          <w:numId w:val="0"/>
        </w:numPr>
        <w:tabs>
          <w:tab w:val="clear" w:pos="1440"/>
        </w:tabs>
        <w:spacing w:before="50" w:after="50" w:line="288" w:lineRule="auto"/>
        <w:ind w:left="1440" w:leftChars="0" w:hanging="720" w:firstLineChars="0"/>
        <w:rPr>
          <w:iCs/>
          <w:lang w:val="en-GB"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GB" w:eastAsia="zh-CN" w:bidi="ar-SA"/>
        </w:rPr>
        <w:t>(c)</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出租方</w:t>
      </w:r>
      <w:r>
        <w:rPr>
          <w:lang w:val="fr-FR" w:eastAsia="zh-CN"/>
        </w:rPr>
        <w:t>发生</w:t>
      </w:r>
      <w:r>
        <w:rPr>
          <w:lang w:eastAsia="zh-CN"/>
        </w:rPr>
        <w:t>“控制权变更”。</w:t>
      </w:r>
    </w:p>
    <w:p w14:paraId="52AC2FE8">
      <w:pPr>
        <w:pStyle w:val="47"/>
        <w:numPr>
          <w:ilvl w:val="1"/>
          <w:numId w:val="0"/>
        </w:numPr>
        <w:tabs>
          <w:tab w:val="clear" w:pos="1146"/>
        </w:tabs>
        <w:spacing w:before="50" w:after="50" w:line="288" w:lineRule="auto"/>
        <w:rPr>
          <w:iCs/>
          <w:u w:val="single"/>
          <w:lang w:eastAsia="zh-CN"/>
        </w:rPr>
      </w:pPr>
      <w:bookmarkStart w:id="46" w:name="_Toc535926830"/>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.4</w:t>
      </w:r>
      <w:bookmarkEnd w:id="46"/>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lang w:eastAsia="zh-CN"/>
        </w:rPr>
        <w:t>终止事件导致的终止</w:t>
      </w:r>
    </w:p>
    <w:p w14:paraId="24CCEE69">
      <w:pPr>
        <w:pStyle w:val="45"/>
        <w:numPr>
          <w:ilvl w:val="2"/>
          <w:numId w:val="0"/>
        </w:numPr>
        <w:tabs>
          <w:tab w:val="clear" w:pos="1440"/>
        </w:tabs>
        <w:spacing w:before="50" w:after="50" w:line="288" w:lineRule="auto"/>
        <w:ind w:firstLine="720" w:firstLineChars="300"/>
        <w:rPr>
          <w:lang w:eastAsia="zh-CN"/>
        </w:rPr>
      </w:pPr>
      <w:bookmarkStart w:id="47" w:name="_Ref168146682"/>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(a)</w:t>
      </w:r>
      <w:bookmarkEnd w:id="47"/>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发生终止事件后，非违约方可以通知其他方其意图终止本协议，并合理列明以下细节：</w:t>
      </w:r>
    </w:p>
    <w:p w14:paraId="738688C7">
      <w:pPr>
        <w:pStyle w:val="44"/>
        <w:numPr>
          <w:ilvl w:val="3"/>
          <w:numId w:val="0"/>
        </w:numPr>
        <w:tabs>
          <w:tab w:val="clear" w:pos="2160"/>
        </w:tabs>
        <w:spacing w:before="50" w:after="50" w:line="288" w:lineRule="auto"/>
        <w:ind w:firstLine="960" w:firstLineChars="4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(i)</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导致终止通知的终止事件；以及</w:t>
      </w:r>
    </w:p>
    <w:p w14:paraId="59E6F880">
      <w:pPr>
        <w:pStyle w:val="44"/>
        <w:numPr>
          <w:ilvl w:val="3"/>
          <w:numId w:val="0"/>
        </w:numPr>
        <w:tabs>
          <w:tab w:val="clear" w:pos="2160"/>
        </w:tabs>
        <w:spacing w:before="50" w:after="50" w:line="288" w:lineRule="auto"/>
        <w:ind w:firstLine="960" w:firstLineChars="4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(ii)</w:t>
      </w:r>
      <w:r>
        <w:rPr>
          <w:lang w:eastAsia="zh-CN"/>
        </w:rPr>
        <w:t>给予终止通知的一方提出终止本协议的日期，但该日期不应早于发出</w:t>
      </w:r>
    </w:p>
    <w:p w14:paraId="5447876E">
      <w:pPr>
        <w:pStyle w:val="44"/>
        <w:numPr>
          <w:ilvl w:val="3"/>
          <w:numId w:val="0"/>
        </w:numPr>
        <w:tabs>
          <w:tab w:val="clear" w:pos="2160"/>
        </w:tabs>
        <w:spacing w:before="50" w:after="50" w:line="288" w:lineRule="auto"/>
        <w:ind w:left="2160" w:leftChars="0" w:hanging="720" w:firstLineChars="0"/>
        <w:rPr>
          <w:lang w:eastAsia="zh-CN"/>
        </w:rPr>
      </w:pPr>
      <w:r>
        <w:rPr>
          <w:lang w:eastAsia="zh-CN"/>
        </w:rPr>
        <w:t>该通知之日后一百八十(180)日。</w:t>
      </w:r>
    </w:p>
    <w:p w14:paraId="34AC621F">
      <w:pPr>
        <w:pStyle w:val="45"/>
        <w:numPr>
          <w:ilvl w:val="0"/>
          <w:numId w:val="5"/>
        </w:numPr>
        <w:tabs>
          <w:tab w:val="clear" w:pos="1440"/>
        </w:tabs>
        <w:spacing w:before="50" w:after="50" w:line="288" w:lineRule="auto"/>
        <w:ind w:left="1440" w:leftChars="0" w:hanging="720" w:firstLineChars="0"/>
        <w:rPr>
          <w:lang w:eastAsia="zh-CN"/>
        </w:rPr>
      </w:pPr>
      <w:r>
        <w:rPr>
          <w:rFonts w:hint="eastAsia"/>
          <w:lang w:val="en-US" w:eastAsia="zh-CN"/>
        </w:rPr>
        <w:t xml:space="preserve"> </w:t>
      </w:r>
      <w:r>
        <w:rPr>
          <w:lang w:eastAsia="zh-CN"/>
        </w:rPr>
        <w:t>如果根据上文第</w:t>
      </w:r>
      <w:r>
        <w:fldChar w:fldCharType="begin"/>
      </w:r>
      <w:r>
        <w:rPr>
          <w:lang w:eastAsia="zh-CN"/>
        </w:rPr>
        <w:instrText xml:space="preserve"> REF _Ref168146682 \w \h  \* MERGEFORMAT </w:instrText>
      </w:r>
      <w:r>
        <w:fldChar w:fldCharType="separate"/>
      </w:r>
      <w:r>
        <w:rPr>
          <w:lang w:eastAsia="zh-CN"/>
        </w:rPr>
        <w:t>7.4(a)</w:t>
      </w:r>
      <w:r>
        <w:fldChar w:fldCharType="end"/>
      </w:r>
      <w:r>
        <w:rPr>
          <w:lang w:eastAsia="zh-CN"/>
        </w:rPr>
        <w:t>条发出的终止通知中所述的终止事件在截至终止通知</w:t>
      </w:r>
    </w:p>
    <w:p w14:paraId="10A7B9DF">
      <w:pPr>
        <w:pStyle w:val="45"/>
        <w:numPr>
          <w:ilvl w:val="2"/>
          <w:numId w:val="0"/>
        </w:numPr>
        <w:tabs>
          <w:tab w:val="clear" w:pos="1440"/>
        </w:tabs>
        <w:spacing w:before="50" w:after="50" w:line="288" w:lineRule="auto"/>
        <w:ind w:left="720" w:leftChars="0"/>
        <w:rPr>
          <w:lang w:eastAsia="zh-CN"/>
        </w:rPr>
      </w:pPr>
      <w:r>
        <w:rPr>
          <w:lang w:eastAsia="zh-CN"/>
        </w:rPr>
        <w:t>中提出的终止日期未能得到纠正，且各方未书面同意延长纠正期，则非违约方可书面通知另一方全部终止本协议，据此本协议应终止。</w:t>
      </w:r>
    </w:p>
    <w:p w14:paraId="41043ACF">
      <w:pPr>
        <w:pStyle w:val="47"/>
        <w:numPr>
          <w:ilvl w:val="1"/>
          <w:numId w:val="0"/>
        </w:numPr>
        <w:tabs>
          <w:tab w:val="clear" w:pos="1146"/>
        </w:tabs>
        <w:spacing w:before="50" w:after="50" w:line="288" w:lineRule="auto"/>
        <w:rPr>
          <w:u w:val="single"/>
          <w:lang w:eastAsia="zh-CN"/>
        </w:rPr>
      </w:pPr>
      <w:bookmarkStart w:id="48" w:name="_Toc535926832"/>
      <w:bookmarkStart w:id="49" w:name="_Toc233115006"/>
      <w:bookmarkStart w:id="50" w:name="_Ref31816104"/>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GB" w:eastAsia="zh-CN" w:bidi="ar-SA"/>
        </w:rPr>
        <w:t>.5</w:t>
      </w:r>
      <w:bookmarkEnd w:id="48"/>
      <w:bookmarkEnd w:id="49"/>
      <w:bookmarkEnd w:id="50"/>
      <w:bookmarkStart w:id="51" w:name="_Ref36406459"/>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lang w:eastAsia="zh-CN"/>
        </w:rPr>
        <w:t>持续不可抗力事件导致的终止</w:t>
      </w:r>
    </w:p>
    <w:bookmarkEnd w:id="51"/>
    <w:p w14:paraId="6BC93A7F">
      <w:pPr>
        <w:pStyle w:val="47"/>
        <w:numPr>
          <w:ilvl w:val="0"/>
          <w:numId w:val="0"/>
        </w:numPr>
        <w:spacing w:before="50" w:after="50" w:line="288" w:lineRule="auto"/>
        <w:ind w:firstLine="480" w:firstLineChars="200"/>
        <w:rPr>
          <w:bCs/>
          <w:iCs/>
          <w:lang w:eastAsia="zh-CN"/>
        </w:rPr>
      </w:pPr>
      <w:r>
        <w:rPr>
          <w:lang w:eastAsia="zh-CN"/>
        </w:rPr>
        <w:t>如果一方因不可抗力事件无法履行或延迟履行其在本协议项下的任何重大义务连续一百八十(180)日或更长时间，则任何一方均可在书面通知另一方的情况下终止本协议。</w:t>
      </w:r>
    </w:p>
    <w:p w14:paraId="7301C527">
      <w:pPr>
        <w:pStyle w:val="47"/>
        <w:numPr>
          <w:ilvl w:val="1"/>
          <w:numId w:val="0"/>
        </w:numPr>
        <w:tabs>
          <w:tab w:val="clear" w:pos="1146"/>
        </w:tabs>
        <w:spacing w:before="50" w:after="50" w:line="288" w:lineRule="auto"/>
        <w:rPr>
          <w:u w:val="single"/>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7</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.6</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hint="eastAsia"/>
          <w:u w:val="single"/>
          <w:lang w:eastAsia="zh-CN"/>
        </w:rPr>
        <w:t>承租方的终止</w:t>
      </w:r>
    </w:p>
    <w:p w14:paraId="4EDB0578">
      <w:pPr>
        <w:spacing w:before="120" w:beforeLines="50" w:after="120" w:afterLines="50" w:line="288" w:lineRule="auto"/>
        <w:ind w:firstLine="480" w:firstLineChars="200"/>
        <w:rPr>
          <w:u w:val="single"/>
          <w:lang w:val="en-GB"/>
        </w:rPr>
      </w:pPr>
      <w:r>
        <w:rPr>
          <w:rFonts w:hint="eastAsia"/>
          <w:sz w:val="24"/>
        </w:rPr>
        <w:t>在租赁期内，承租人有权提前[三（3）]个月向出租人发出书面通知，单方面终止本协议，并且应在剩余租期的每一整年（超过 6 个月但不足一年的时间计为一整年）向出租人支付相当于一个月租金的违约金。</w:t>
      </w:r>
    </w:p>
    <w:p w14:paraId="436DB8DE">
      <w:pPr>
        <w:pStyle w:val="47"/>
        <w:numPr>
          <w:ilvl w:val="0"/>
          <w:numId w:val="0"/>
        </w:numPr>
        <w:spacing w:before="50" w:after="50" w:line="288" w:lineRule="auto"/>
        <w:rPr>
          <w:u w:val="single"/>
          <w:lang w:eastAsia="zh-CN"/>
        </w:rPr>
      </w:pPr>
      <w:r>
        <w:rPr>
          <w:rFonts w:hint="eastAsia"/>
          <w:u w:val="single"/>
          <w:lang w:val="en-US" w:eastAsia="zh-CN"/>
        </w:rPr>
        <w:t xml:space="preserve">7.7  </w:t>
      </w:r>
      <w:r>
        <w:rPr>
          <w:u w:val="single"/>
          <w:lang w:eastAsia="zh-CN"/>
        </w:rPr>
        <w:t>仅有的且排他的终止权</w:t>
      </w:r>
    </w:p>
    <w:p w14:paraId="164657F4">
      <w:pPr>
        <w:pStyle w:val="55"/>
        <w:spacing w:before="120" w:beforeLines="50" w:after="120" w:afterLines="50" w:line="288" w:lineRule="auto"/>
        <w:ind w:left="0" w:leftChars="0" w:firstLine="480" w:firstLineChars="200"/>
        <w:rPr>
          <w:sz w:val="24"/>
        </w:rPr>
      </w:pPr>
      <w:r>
        <w:rPr>
          <w:sz w:val="24"/>
        </w:rPr>
        <w:t>本第7条（期限和终止）</w:t>
      </w:r>
      <w:r>
        <w:rPr>
          <w:rFonts w:hint="eastAsia"/>
          <w:sz w:val="24"/>
        </w:rPr>
        <w:t>及本合同其他条款</w:t>
      </w:r>
      <w:r>
        <w:rPr>
          <w:sz w:val="24"/>
        </w:rPr>
        <w:t>规定了任何一方有权完全或部分终止本协议的唯一和排他性依据。任何一方根据本第7条（期限和终止）</w:t>
      </w:r>
      <w:r>
        <w:rPr>
          <w:rFonts w:hint="eastAsia"/>
          <w:sz w:val="24"/>
        </w:rPr>
        <w:t>及本合同其他条款</w:t>
      </w:r>
      <w:r>
        <w:rPr>
          <w:sz w:val="24"/>
        </w:rPr>
        <w:t>行使终止本协议的权利，不应损害该方在本协议下的其他救济权利。</w:t>
      </w:r>
    </w:p>
    <w:p w14:paraId="6275770F"/>
    <w:p w14:paraId="12175EB2">
      <w:pPr>
        <w:pStyle w:val="2"/>
        <w:numPr>
          <w:ilvl w:val="0"/>
          <w:numId w:val="0"/>
        </w:numPr>
        <w:spacing w:before="50" w:after="50" w:line="288" w:lineRule="auto"/>
        <w:ind w:right="0"/>
        <w:rPr>
          <w:rFonts w:ascii="Times New Roman" w:hAnsi="Times New Roman" w:cs="Times New Roman"/>
        </w:rPr>
      </w:pPr>
      <w:bookmarkStart w:id="52" w:name="_Toc172760223"/>
      <w:r>
        <w:rPr>
          <w:rFonts w:ascii="Times New Roman" w:hAnsi="Times New Roman" w:cs="Times New Roman"/>
        </w:rPr>
        <w:t>第</w:t>
      </w:r>
      <w:r>
        <w:rPr>
          <w:rFonts w:hint="eastAsia" w:ascii="Times New Roman" w:hAnsi="Times New Roman" w:cs="Times New Roman"/>
          <w:lang w:eastAsia="zh-CN"/>
        </w:rPr>
        <w:t>八</w:t>
      </w:r>
      <w:r>
        <w:rPr>
          <w:rFonts w:ascii="Times New Roman" w:hAnsi="Times New Roman" w:cs="Times New Roman"/>
        </w:rPr>
        <w:t>条</w:t>
      </w:r>
      <w:r>
        <w:rPr>
          <w:rFonts w:ascii="Times New Roman" w:hAnsi="Times New Roman" w:cs="Times New Roman"/>
        </w:rPr>
        <w:br w:type="textWrapping"/>
      </w:r>
      <w:r>
        <w:rPr>
          <w:rFonts w:ascii="Times New Roman" w:hAnsi="Times New Roman" w:cs="Times New Roman"/>
        </w:rPr>
        <w:t>不可抗力</w:t>
      </w:r>
      <w:bookmarkEnd w:id="52"/>
    </w:p>
    <w:p w14:paraId="69EE4743">
      <w:pPr>
        <w:pStyle w:val="47"/>
        <w:numPr>
          <w:ilvl w:val="1"/>
          <w:numId w:val="0"/>
        </w:numPr>
        <w:tabs>
          <w:tab w:val="clear" w:pos="1146"/>
        </w:tabs>
        <w:spacing w:before="50" w:after="50" w:line="288" w:lineRule="auto"/>
        <w:rPr>
          <w:u w:val="single"/>
          <w:lang w:eastAsia="zh-CN"/>
        </w:rPr>
      </w:pPr>
      <w:bookmarkStart w:id="53" w:name="_Toc535926842"/>
      <w:bookmarkStart w:id="54" w:name="_Ref31812473"/>
      <w:bookmarkStart w:id="55" w:name="_Ref31812458"/>
      <w:bookmarkStart w:id="56" w:name="_Toc232575368"/>
      <w:r>
        <w:rPr>
          <w:rFonts w:hint="eastAsia" w:cs="Times New Roman"/>
          <w:b w:val="0"/>
          <w:i w:val="0"/>
          <w:caps w:val="0"/>
          <w:strike w:val="0"/>
          <w:dstrike w:val="0"/>
          <w:vanish w:val="0"/>
          <w:color w:val="auto"/>
          <w:kern w:val="0"/>
          <w:sz w:val="24"/>
          <w:szCs w:val="24"/>
          <w:u w:val="none"/>
          <w:vertAlign w:val="baseline"/>
          <w:lang w:val="en-US" w:eastAsia="zh-CN" w:bidi="ar-SA"/>
        </w:rPr>
        <w:t>8</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bookmarkEnd w:id="53"/>
      <w:bookmarkEnd w:id="54"/>
      <w:bookmarkEnd w:id="55"/>
      <w:bookmarkEnd w:id="56"/>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bCs/>
          <w:u w:val="single"/>
        </w:rPr>
        <w:t>不可抗力事件的</w:t>
      </w:r>
      <w:r>
        <w:rPr>
          <w:u w:val="single"/>
        </w:rPr>
        <w:t>定义</w:t>
      </w:r>
    </w:p>
    <w:p w14:paraId="6A976888">
      <w:pPr>
        <w:pStyle w:val="47"/>
        <w:numPr>
          <w:ilvl w:val="0"/>
          <w:numId w:val="0"/>
        </w:numPr>
        <w:spacing w:before="50" w:after="50" w:line="288" w:lineRule="auto"/>
        <w:ind w:firstLine="480" w:firstLineChars="200"/>
        <w:rPr>
          <w:lang w:eastAsia="zh-CN"/>
        </w:rPr>
      </w:pPr>
      <w:bookmarkStart w:id="57" w:name="_Hlk32783460"/>
      <w:r>
        <w:rPr>
          <w:lang w:eastAsia="zh-CN"/>
        </w:rPr>
        <w:t>“不可抗力事件”应指不能预见、不能避免、无法克服且直接妨碍或延迟受影响</w:t>
      </w:r>
      <w:r>
        <w:rPr>
          <w:b/>
          <w:bCs/>
          <w:lang w:eastAsia="zh-CN"/>
        </w:rPr>
        <w:t>一</w:t>
      </w:r>
      <w:r>
        <w:rPr>
          <w:lang w:eastAsia="zh-CN"/>
        </w:rPr>
        <w:t>方履行本协议的任何情形。该等情形包括但不限于地震、台风、水灾、火灾、流行病、战争、动乱及其他类似事件，但不可抗力事件始终不包括下列事件：</w:t>
      </w:r>
    </w:p>
    <w:p w14:paraId="0AD873F2">
      <w:pPr>
        <w:pStyle w:val="45"/>
        <w:numPr>
          <w:ilvl w:val="0"/>
          <w:numId w:val="6"/>
        </w:numPr>
        <w:tabs>
          <w:tab w:val="clear" w:pos="1440"/>
        </w:tabs>
        <w:spacing w:before="50" w:after="50" w:line="288" w:lineRule="auto"/>
        <w:ind w:left="1440" w:leftChars="0" w:hanging="720" w:firstLineChars="0"/>
        <w:rPr>
          <w:lang w:val="en-GB" w:eastAsia="zh-CN"/>
        </w:rPr>
      </w:pPr>
      <w:r>
        <w:rPr>
          <w:b/>
          <w:bCs/>
          <w:lang w:val="en-GB" w:eastAsia="zh-CN"/>
        </w:rPr>
        <w:t>一方</w:t>
      </w:r>
      <w:r>
        <w:rPr>
          <w:lang w:eastAsia="zh-CN"/>
        </w:rPr>
        <w:t>缺乏资金或</w:t>
      </w:r>
      <w:r>
        <w:rPr>
          <w:lang w:val="en-GB" w:eastAsia="zh-CN"/>
        </w:rPr>
        <w:t>未能支付</w:t>
      </w:r>
      <w:r>
        <w:rPr>
          <w:lang w:eastAsia="zh-CN"/>
        </w:rPr>
        <w:t>到期</w:t>
      </w:r>
      <w:r>
        <w:rPr>
          <w:lang w:val="en-GB" w:eastAsia="zh-CN"/>
        </w:rPr>
        <w:t>应</w:t>
      </w:r>
      <w:r>
        <w:rPr>
          <w:lang w:eastAsia="zh-CN"/>
        </w:rPr>
        <w:t>付款</w:t>
      </w:r>
      <w:r>
        <w:rPr>
          <w:lang w:val="en-GB" w:eastAsia="zh-CN"/>
        </w:rPr>
        <w:t>；</w:t>
      </w:r>
    </w:p>
    <w:p w14:paraId="544BB373">
      <w:pPr>
        <w:pStyle w:val="45"/>
        <w:numPr>
          <w:ilvl w:val="0"/>
          <w:numId w:val="6"/>
        </w:numPr>
        <w:tabs>
          <w:tab w:val="clear" w:pos="1440"/>
        </w:tabs>
        <w:spacing w:before="50" w:after="50" w:line="288" w:lineRule="auto"/>
        <w:ind w:left="1440" w:leftChars="0" w:hanging="720" w:firstLineChars="0"/>
        <w:rPr>
          <w:lang w:val="en-GB" w:eastAsia="zh-CN"/>
        </w:rPr>
      </w:pPr>
      <w:r>
        <w:rPr>
          <w:lang w:eastAsia="zh-CN"/>
        </w:rPr>
        <w:t>承包商或分包商延迟</w:t>
      </w:r>
      <w:r>
        <w:rPr>
          <w:lang w:val="en-GB" w:eastAsia="zh-CN"/>
        </w:rPr>
        <w:t>履行</w:t>
      </w:r>
      <w:r>
        <w:rPr>
          <w:lang w:eastAsia="zh-CN"/>
        </w:rPr>
        <w:t>或未能履行</w:t>
      </w:r>
      <w:r>
        <w:rPr>
          <w:lang w:val="en-GB" w:eastAsia="zh-CN"/>
        </w:rPr>
        <w:t>义务</w:t>
      </w:r>
      <w:r>
        <w:rPr>
          <w:lang w:eastAsia="zh-CN"/>
        </w:rPr>
        <w:t>，</w:t>
      </w:r>
      <w:r>
        <w:rPr>
          <w:lang w:val="en-GB" w:eastAsia="zh-CN"/>
        </w:rPr>
        <w:t>且</w:t>
      </w:r>
      <w:r>
        <w:rPr>
          <w:lang w:eastAsia="zh-CN"/>
        </w:rPr>
        <w:t>该</w:t>
      </w:r>
      <w:r>
        <w:rPr>
          <w:lang w:val="en-GB" w:eastAsia="zh-CN"/>
        </w:rPr>
        <w:t>等延迟履行</w:t>
      </w:r>
      <w:r>
        <w:rPr>
          <w:lang w:eastAsia="zh-CN"/>
        </w:rPr>
        <w:t>或未能履行</w:t>
      </w:r>
      <w:r>
        <w:rPr>
          <w:lang w:val="en-GB" w:eastAsia="zh-CN"/>
        </w:rPr>
        <w:t>义务</w:t>
      </w:r>
    </w:p>
    <w:p w14:paraId="30CE4CE7">
      <w:pPr>
        <w:pStyle w:val="45"/>
        <w:numPr>
          <w:ilvl w:val="2"/>
          <w:numId w:val="0"/>
        </w:numPr>
        <w:tabs>
          <w:tab w:val="clear" w:pos="1440"/>
        </w:tabs>
        <w:spacing w:before="50" w:after="50" w:line="288" w:lineRule="auto"/>
        <w:ind w:left="720" w:leftChars="0"/>
        <w:rPr>
          <w:lang w:val="en-GB" w:eastAsia="zh-CN"/>
        </w:rPr>
      </w:pPr>
      <w:r>
        <w:rPr>
          <w:lang w:eastAsia="zh-CN"/>
        </w:rPr>
        <w:t>不是由本协议定义的不可抗力事件造</w:t>
      </w:r>
      <w:r>
        <w:rPr>
          <w:lang w:val="en-GB" w:eastAsia="zh-CN"/>
        </w:rPr>
        <w:t>成</w:t>
      </w:r>
      <w:r>
        <w:rPr>
          <w:lang w:eastAsia="zh-CN"/>
        </w:rPr>
        <w:t>的</w:t>
      </w:r>
      <w:r>
        <w:rPr>
          <w:lang w:val="en-GB" w:eastAsia="zh-CN"/>
        </w:rPr>
        <w:t>；</w:t>
      </w:r>
      <w:r>
        <w:rPr>
          <w:lang w:eastAsia="zh-CN"/>
        </w:rPr>
        <w:t>或</w:t>
      </w:r>
    </w:p>
    <w:p w14:paraId="258451F0">
      <w:pPr>
        <w:pStyle w:val="45"/>
        <w:numPr>
          <w:ilvl w:val="0"/>
          <w:numId w:val="6"/>
        </w:numPr>
        <w:tabs>
          <w:tab w:val="clear" w:pos="1440"/>
        </w:tabs>
        <w:spacing w:before="50" w:after="50" w:line="288" w:lineRule="auto"/>
        <w:ind w:left="1440" w:leftChars="0" w:hanging="720" w:firstLineChars="0"/>
        <w:rPr>
          <w:lang w:val="en-GB" w:eastAsia="zh-CN"/>
        </w:rPr>
      </w:pPr>
      <w:r>
        <w:rPr>
          <w:lang w:eastAsia="zh-CN"/>
        </w:rPr>
        <w:t>任何</w:t>
      </w:r>
      <w:r>
        <w:rPr>
          <w:b/>
          <w:bCs/>
          <w:lang w:eastAsia="zh-CN"/>
        </w:rPr>
        <w:t>一方</w:t>
      </w:r>
      <w:r>
        <w:rPr>
          <w:lang w:eastAsia="zh-CN"/>
        </w:rPr>
        <w:t>或任何承包商或分包商拥有</w:t>
      </w:r>
      <w:r>
        <w:rPr>
          <w:lang w:val="en-GB" w:eastAsia="zh-CN"/>
        </w:rPr>
        <w:t>所有权</w:t>
      </w:r>
      <w:r>
        <w:rPr>
          <w:lang w:eastAsia="zh-CN"/>
        </w:rPr>
        <w:t>的</w:t>
      </w:r>
      <w:r>
        <w:rPr>
          <w:lang w:val="en-GB" w:eastAsia="zh-CN"/>
        </w:rPr>
        <w:t>或运营的装置</w:t>
      </w:r>
      <w:r>
        <w:rPr>
          <w:lang w:eastAsia="zh-CN"/>
        </w:rPr>
        <w:t>或设备</w:t>
      </w:r>
      <w:r>
        <w:rPr>
          <w:lang w:val="en-GB" w:eastAsia="zh-CN"/>
        </w:rPr>
        <w:t>，因运行</w:t>
      </w:r>
    </w:p>
    <w:p w14:paraId="59D1BA89">
      <w:pPr>
        <w:pStyle w:val="45"/>
        <w:numPr>
          <w:ilvl w:val="2"/>
          <w:numId w:val="0"/>
        </w:numPr>
        <w:tabs>
          <w:tab w:val="clear" w:pos="1440"/>
        </w:tabs>
        <w:spacing w:before="50" w:after="50" w:line="288" w:lineRule="auto"/>
        <w:ind w:left="720" w:leftChars="0"/>
        <w:rPr>
          <w:iCs/>
          <w:lang w:val="en-GB" w:eastAsia="zh-CN"/>
        </w:rPr>
      </w:pPr>
      <w:r>
        <w:rPr>
          <w:lang w:eastAsia="zh-CN"/>
        </w:rPr>
        <w:t>或维护</w:t>
      </w:r>
      <w:r>
        <w:rPr>
          <w:lang w:val="en-GB" w:eastAsia="zh-CN"/>
        </w:rPr>
        <w:t>不当引发</w:t>
      </w:r>
      <w:r>
        <w:rPr>
          <w:lang w:eastAsia="zh-CN"/>
        </w:rPr>
        <w:t>的机械故障、</w:t>
      </w:r>
      <w:r>
        <w:rPr>
          <w:lang w:val="en-GB" w:eastAsia="zh-CN"/>
        </w:rPr>
        <w:t>失灵</w:t>
      </w:r>
      <w:r>
        <w:rPr>
          <w:lang w:eastAsia="zh-CN"/>
        </w:rPr>
        <w:t>或</w:t>
      </w:r>
      <w:r>
        <w:rPr>
          <w:lang w:val="en-GB" w:eastAsia="zh-CN"/>
        </w:rPr>
        <w:t>失效</w:t>
      </w:r>
      <w:r>
        <w:rPr>
          <w:lang w:eastAsia="zh-CN"/>
        </w:rPr>
        <w:t xml:space="preserve">。 </w:t>
      </w:r>
    </w:p>
    <w:p w14:paraId="1119C622">
      <w:pPr>
        <w:pStyle w:val="47"/>
        <w:numPr>
          <w:ilvl w:val="1"/>
          <w:numId w:val="0"/>
        </w:numPr>
        <w:tabs>
          <w:tab w:val="clear" w:pos="1146"/>
        </w:tabs>
        <w:spacing w:before="50" w:after="50" w:line="288" w:lineRule="auto"/>
        <w:rPr>
          <w:u w:val="single"/>
          <w:lang w:eastAsia="zh-CN"/>
        </w:rPr>
      </w:pPr>
      <w:bookmarkStart w:id="58" w:name="_Ref169518860"/>
      <w:bookmarkStart w:id="59" w:name="_Toc232575369"/>
      <w:bookmarkStart w:id="60" w:name="_Ref152168502"/>
      <w:bookmarkStart w:id="61" w:name="_Toc535926844"/>
      <w:bookmarkStart w:id="62" w:name="_Ref31831396"/>
      <w:bookmarkStart w:id="63" w:name="_Ref152168493"/>
      <w:bookmarkStart w:id="64" w:name="_Ref31812163"/>
      <w:r>
        <w:rPr>
          <w:rFonts w:hint="eastAsia" w:cs="Times New Roman"/>
          <w:b w:val="0"/>
          <w:i w:val="0"/>
          <w:caps w:val="0"/>
          <w:strike w:val="0"/>
          <w:dstrike w:val="0"/>
          <w:vanish w:val="0"/>
          <w:color w:val="auto"/>
          <w:kern w:val="0"/>
          <w:sz w:val="24"/>
          <w:szCs w:val="24"/>
          <w:u w:val="none"/>
          <w:vertAlign w:val="baseline"/>
          <w:lang w:val="en-US" w:eastAsia="zh-CN" w:bidi="ar-SA"/>
        </w:rPr>
        <w:t>8</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.2</w:t>
      </w:r>
      <w:bookmarkEnd w:id="58"/>
      <w:bookmarkEnd w:id="59"/>
      <w:bookmarkEnd w:id="60"/>
      <w:bookmarkEnd w:id="61"/>
      <w:bookmarkEnd w:id="62"/>
      <w:bookmarkEnd w:id="63"/>
      <w:bookmarkEnd w:id="64"/>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bCs/>
          <w:u w:val="single"/>
        </w:rPr>
        <w:t>不可抗力事件</w:t>
      </w:r>
      <w:r>
        <w:rPr>
          <w:u w:val="single"/>
        </w:rPr>
        <w:t>的影响</w:t>
      </w:r>
    </w:p>
    <w:bookmarkEnd w:id="57"/>
    <w:p w14:paraId="45C4EDF1">
      <w:pPr>
        <w:spacing w:before="50" w:after="50" w:line="288" w:lineRule="auto"/>
        <w:ind w:firstLine="480" w:firstLineChars="200"/>
        <w:rPr>
          <w:sz w:val="24"/>
        </w:rPr>
      </w:pPr>
      <w:bookmarkStart w:id="65" w:name="_Toc232575370"/>
      <w:bookmarkStart w:id="66" w:name="_Toc535926846"/>
      <w:r>
        <w:rPr>
          <w:sz w:val="24"/>
        </w:rPr>
        <w:t>若不可抗力事件阻碍或迟延了任何一方（“受影响方”）履行其在本协议项下的任何义务，受影响方可在其受阻碍或延迟履行期间内暂停履行该等义务，无需承担责任，但若受影响方在不可抗力事件发生之前已有违约或迟延履行义务的情形，则受影响方该等义务的履行不得被暂停。</w:t>
      </w:r>
    </w:p>
    <w:p w14:paraId="3FC48B61">
      <w:pPr>
        <w:pStyle w:val="47"/>
        <w:numPr>
          <w:ilvl w:val="1"/>
          <w:numId w:val="0"/>
        </w:numPr>
        <w:tabs>
          <w:tab w:val="clear" w:pos="1146"/>
        </w:tabs>
        <w:spacing w:before="50" w:after="50" w:line="288" w:lineRule="auto"/>
        <w:rPr>
          <w:u w:val="single"/>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8</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.3</w:t>
      </w:r>
      <w:bookmarkEnd w:id="65"/>
      <w:bookmarkEnd w:id="66"/>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bCs/>
          <w:u w:val="single"/>
        </w:rPr>
        <w:t>不可抗力事件</w:t>
      </w:r>
      <w:r>
        <w:rPr>
          <w:u w:val="single"/>
        </w:rPr>
        <w:t xml:space="preserve">通知 </w:t>
      </w:r>
    </w:p>
    <w:p w14:paraId="62E1CAC0">
      <w:pPr>
        <w:spacing w:before="50" w:after="50" w:line="288" w:lineRule="auto"/>
        <w:ind w:firstLine="480" w:firstLineChars="200"/>
        <w:rPr>
          <w:sz w:val="24"/>
        </w:rPr>
      </w:pPr>
      <w:bookmarkStart w:id="67" w:name="_Toc535926848"/>
      <w:bookmarkStart w:id="68" w:name="_Toc232575372"/>
      <w:r>
        <w:rPr>
          <w:sz w:val="24"/>
        </w:rPr>
        <w:t>若发生不可抗力事件，受影响方应毫不迟延地书面通知另一方，告知构成不可抗力事件的情况，并在此后十五(15)日内，提供适当、合理文件证明不可抗力事件对受影响方履行其义务的能力的影响。</w:t>
      </w:r>
    </w:p>
    <w:p w14:paraId="34A7341C">
      <w:pPr>
        <w:pStyle w:val="47"/>
        <w:numPr>
          <w:ilvl w:val="1"/>
          <w:numId w:val="0"/>
        </w:numPr>
        <w:tabs>
          <w:tab w:val="clear" w:pos="1146"/>
        </w:tabs>
        <w:spacing w:before="50" w:after="50" w:line="288" w:lineRule="auto"/>
        <w:rPr>
          <w:rFonts w:cs="Times New Roman"/>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8</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.4</w:t>
      </w:r>
      <w:bookmarkEnd w:id="67"/>
      <w:bookmarkEnd w:id="68"/>
      <w:bookmarkStart w:id="69" w:name="_Toc535926849"/>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rFonts w:cs="Times New Roman"/>
          <w:lang w:eastAsia="zh-CN"/>
        </w:rPr>
        <w:t>减轻不可抗力的影响</w:t>
      </w:r>
      <w:bookmarkEnd w:id="69"/>
    </w:p>
    <w:p w14:paraId="0DEEA68A">
      <w:pPr>
        <w:spacing w:before="50" w:after="50" w:line="288" w:lineRule="auto"/>
        <w:ind w:firstLine="480" w:firstLineChars="200"/>
        <w:rPr>
          <w:sz w:val="24"/>
        </w:rPr>
      </w:pPr>
      <w:bookmarkStart w:id="70" w:name="_Ref31816014"/>
      <w:bookmarkStart w:id="71" w:name="_Toc232575373"/>
      <w:bookmarkStart w:id="72" w:name="_Toc535926850"/>
      <w:r>
        <w:rPr>
          <w:sz w:val="24"/>
        </w:rPr>
        <w:t>受影响方应采取一切合理措施，减少不可抗力事件对履行其义务的影响，并尽可能在最短时间内恢复履行该等义务。</w:t>
      </w:r>
    </w:p>
    <w:p w14:paraId="6695B9F6">
      <w:pPr>
        <w:pStyle w:val="47"/>
        <w:numPr>
          <w:ilvl w:val="1"/>
          <w:numId w:val="0"/>
        </w:numPr>
        <w:tabs>
          <w:tab w:val="clear" w:pos="1146"/>
        </w:tabs>
        <w:spacing w:before="50" w:after="50" w:line="288" w:lineRule="auto"/>
        <w:rPr>
          <w:u w:val="single"/>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8</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.5</w:t>
      </w:r>
      <w:bookmarkEnd w:id="70"/>
      <w:bookmarkEnd w:id="71"/>
      <w:bookmarkEnd w:id="72"/>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rPr>
        <w:t>持续的不可抗力</w:t>
      </w:r>
    </w:p>
    <w:p w14:paraId="7C851B7D">
      <w:pPr>
        <w:pStyle w:val="47"/>
        <w:numPr>
          <w:ilvl w:val="0"/>
          <w:numId w:val="0"/>
        </w:numPr>
        <w:spacing w:before="50" w:after="50" w:line="288" w:lineRule="auto"/>
        <w:ind w:firstLine="480" w:firstLineChars="200"/>
        <w:rPr>
          <w:lang w:eastAsia="zh-CN"/>
        </w:rPr>
      </w:pPr>
      <w:r>
        <w:rPr>
          <w:lang w:eastAsia="zh-CN"/>
        </w:rPr>
        <w:t>如果不可抗力事件阻碍或延迟任一方履行其在本协议下的重要义务持续达一百八十(180)日或更长的时间，各方应尽快会面以评估不可抗力事件的影响，并且任一方可以根据第</w:t>
      </w:r>
      <w:r>
        <w:fldChar w:fldCharType="begin"/>
      </w:r>
      <w:r>
        <w:rPr>
          <w:lang w:eastAsia="zh-CN"/>
        </w:rPr>
        <w:instrText xml:space="preserve"> REF _Ref31816104 \r \h  \* MERGEFORMAT </w:instrText>
      </w:r>
      <w:r>
        <w:fldChar w:fldCharType="separate"/>
      </w:r>
      <w:r>
        <w:rPr>
          <w:lang w:eastAsia="zh-CN"/>
        </w:rPr>
        <w:t>7.5</w:t>
      </w:r>
      <w:r>
        <w:fldChar w:fldCharType="end"/>
      </w:r>
      <w:r>
        <w:rPr>
          <w:lang w:eastAsia="zh-CN"/>
        </w:rPr>
        <w:t>条（</w:t>
      </w:r>
      <w:r>
        <w:rPr>
          <w:i/>
          <w:iCs/>
          <w:lang w:eastAsia="zh-CN"/>
        </w:rPr>
        <w:t>持续不可抗力事件导致的终止</w:t>
      </w:r>
      <w:r>
        <w:rPr>
          <w:lang w:eastAsia="zh-CN"/>
        </w:rPr>
        <w:t>）终止本协议。</w:t>
      </w:r>
      <w:bookmarkStart w:id="149" w:name="_GoBack"/>
      <w:bookmarkEnd w:id="149"/>
    </w:p>
    <w:p w14:paraId="197C7988">
      <w:pPr>
        <w:spacing w:before="120" w:beforeLines="50" w:after="120" w:afterLines="50" w:line="288" w:lineRule="auto"/>
        <w:rPr>
          <w:sz w:val="24"/>
        </w:rPr>
      </w:pPr>
    </w:p>
    <w:p w14:paraId="1062DBF2">
      <w:pPr>
        <w:pStyle w:val="2"/>
        <w:numPr>
          <w:ilvl w:val="0"/>
          <w:numId w:val="0"/>
        </w:numPr>
        <w:spacing w:before="50" w:after="50" w:line="288" w:lineRule="auto"/>
        <w:ind w:left="360" w:right="0"/>
        <w:rPr>
          <w:rFonts w:ascii="Times New Roman" w:hAnsi="Times New Roman" w:cs="Times New Roman"/>
          <w:lang w:eastAsia="zh-CN"/>
        </w:rPr>
      </w:pPr>
      <w:bookmarkStart w:id="73" w:name="_Toc172760225"/>
      <w:r>
        <w:rPr>
          <w:rFonts w:ascii="Times New Roman" w:hAnsi="Times New Roman" w:cs="Times New Roman"/>
        </w:rPr>
        <w:t>第</w:t>
      </w:r>
      <w:r>
        <w:rPr>
          <w:rFonts w:hint="eastAsia" w:ascii="Times New Roman" w:hAnsi="Times New Roman" w:cs="Times New Roman"/>
          <w:lang w:eastAsia="zh-CN"/>
        </w:rPr>
        <w:t>九</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lang w:eastAsia="zh-CN"/>
        </w:rPr>
        <w:t>违约与赔偿</w:t>
      </w:r>
      <w:bookmarkEnd w:id="73"/>
    </w:p>
    <w:p w14:paraId="638AFB2F">
      <w:pPr>
        <w:pStyle w:val="47"/>
        <w:numPr>
          <w:ilvl w:val="1"/>
          <w:numId w:val="0"/>
        </w:numPr>
        <w:tabs>
          <w:tab w:val="clear" w:pos="1146"/>
        </w:tabs>
        <w:spacing w:before="50" w:after="50" w:line="288" w:lineRule="auto"/>
        <w:rPr>
          <w:sz w:val="24"/>
        </w:rPr>
      </w:pPr>
      <w:r>
        <w:rPr>
          <w:rFonts w:hint="eastAsia" w:cs="Times New Roman"/>
          <w:b w:val="0"/>
          <w:i w:val="0"/>
          <w:caps w:val="0"/>
          <w:strike w:val="0"/>
          <w:dstrike w:val="0"/>
          <w:vanish w:val="0"/>
          <w:color w:val="auto"/>
          <w:kern w:val="0"/>
          <w:sz w:val="24"/>
          <w:szCs w:val="24"/>
          <w:u w:val="none"/>
          <w:vertAlign w:val="baseline"/>
          <w:lang w:val="en-US" w:eastAsia="zh-CN" w:bidi="ar-SA"/>
        </w:rPr>
        <w:t>9</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lang w:eastAsia="zh-CN"/>
        </w:rPr>
        <w:t xml:space="preserve"> </w:t>
      </w:r>
      <w:bookmarkStart w:id="74" w:name="_Toc535926852"/>
      <w:bookmarkStart w:id="75" w:name="_Toc225046256"/>
      <w:bookmarkStart w:id="76" w:name="_Toc225049303"/>
      <w:r>
        <w:rPr>
          <w:rFonts w:hint="eastAsia"/>
          <w:lang w:val="en-US" w:eastAsia="zh-CN"/>
        </w:rPr>
        <w:t xml:space="preserve"> </w:t>
      </w:r>
      <w:r>
        <w:rPr>
          <w:sz w:val="24"/>
        </w:rPr>
        <w:t>对于</w:t>
      </w:r>
      <w:r>
        <w:rPr>
          <w:rFonts w:hint="eastAsia"/>
          <w:sz w:val="24"/>
        </w:rPr>
        <w:t>另一方</w:t>
      </w:r>
      <w:r>
        <w:rPr>
          <w:sz w:val="24"/>
        </w:rPr>
        <w:t>（“受偿方”）因在本协议项下的违约而遭受的损失，</w:t>
      </w:r>
      <w:r>
        <w:rPr>
          <w:rFonts w:hint="eastAsia"/>
          <w:sz w:val="24"/>
        </w:rPr>
        <w:t>一</w:t>
      </w:r>
      <w:r>
        <w:rPr>
          <w:sz w:val="24"/>
        </w:rPr>
        <w:t>方（“赔偿</w:t>
      </w:r>
    </w:p>
    <w:p w14:paraId="5988F2C3">
      <w:pPr>
        <w:pStyle w:val="47"/>
        <w:numPr>
          <w:ilvl w:val="1"/>
          <w:numId w:val="0"/>
        </w:numPr>
        <w:tabs>
          <w:tab w:val="clear" w:pos="1146"/>
        </w:tabs>
        <w:spacing w:before="50" w:after="50" w:line="288" w:lineRule="auto"/>
        <w:rPr>
          <w:sz w:val="24"/>
        </w:rPr>
      </w:pPr>
      <w:r>
        <w:rPr>
          <w:sz w:val="24"/>
        </w:rPr>
        <w:t>方”）应对受偿方予以赔偿、维护、并确保受偿方不受损害，包括但不限于赔偿方</w:t>
      </w:r>
    </w:p>
    <w:p w14:paraId="00F323F3">
      <w:pPr>
        <w:pStyle w:val="47"/>
        <w:numPr>
          <w:ilvl w:val="1"/>
          <w:numId w:val="0"/>
        </w:numPr>
        <w:tabs>
          <w:tab w:val="clear" w:pos="1146"/>
        </w:tabs>
        <w:spacing w:before="50" w:after="50" w:line="288" w:lineRule="auto"/>
      </w:pPr>
      <w:r>
        <w:rPr>
          <w:sz w:val="24"/>
        </w:rPr>
        <w:t>违反任何陈述和保证，或赔偿方未履行任何承诺、保证或约定等情形。</w:t>
      </w:r>
    </w:p>
    <w:p w14:paraId="63DE011B">
      <w:pPr>
        <w:pStyle w:val="47"/>
        <w:numPr>
          <w:ilvl w:val="1"/>
          <w:numId w:val="0"/>
        </w:numPr>
        <w:tabs>
          <w:tab w:val="clear" w:pos="1146"/>
        </w:tabs>
        <w:spacing w:before="50" w:after="50" w:line="288" w:lineRule="auto"/>
        <w:rPr>
          <w:rFonts w:hint="eastAsia"/>
          <w:sz w:val="24"/>
        </w:rPr>
      </w:pPr>
      <w:r>
        <w:rPr>
          <w:rFonts w:hint="eastAsia" w:cs="Times New Roman"/>
          <w:b w:val="0"/>
          <w:i w:val="0"/>
          <w:caps w:val="0"/>
          <w:strike w:val="0"/>
          <w:dstrike w:val="0"/>
          <w:vanish w:val="0"/>
          <w:color w:val="auto"/>
          <w:kern w:val="0"/>
          <w:sz w:val="24"/>
          <w:szCs w:val="24"/>
          <w:u w:val="none"/>
          <w:vertAlign w:val="baseline"/>
          <w:lang w:val="en-US" w:eastAsia="zh-CN" w:bidi="ar-SA"/>
        </w:rPr>
        <w:t>9</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en-US" w:bidi="ar-SA"/>
        </w:rPr>
        <w:t>.2</w:t>
      </w:r>
      <w:r>
        <w:rPr>
          <w:rFonts w:hint="eastAsia"/>
          <w:lang w:eastAsia="zh-CN"/>
        </w:rPr>
        <w:t xml:space="preserve">  </w:t>
      </w:r>
      <w:r>
        <w:rPr>
          <w:rFonts w:hint="eastAsia"/>
          <w:sz w:val="24"/>
        </w:rPr>
        <w:t>若承租方未按照本协议约定支付租金，每逾期一日应按照逾期金额乘以延迟付</w:t>
      </w:r>
    </w:p>
    <w:p w14:paraId="273FEB87">
      <w:pPr>
        <w:pStyle w:val="47"/>
        <w:numPr>
          <w:ilvl w:val="1"/>
          <w:numId w:val="0"/>
        </w:numPr>
        <w:tabs>
          <w:tab w:val="clear" w:pos="1146"/>
        </w:tabs>
        <w:spacing w:before="50" w:after="50" w:line="288" w:lineRule="auto"/>
        <w:rPr>
          <w:rFonts w:hint="eastAsia"/>
          <w:sz w:val="24"/>
        </w:rPr>
      </w:pPr>
      <w:r>
        <w:rPr>
          <w:rFonts w:hint="eastAsia"/>
          <w:sz w:val="24"/>
        </w:rPr>
        <w:t>款利率的标准支付逾期违约金（延迟付款利率等于到期应付日当日适用的一年期贷</w:t>
      </w:r>
    </w:p>
    <w:p w14:paraId="237A3D29">
      <w:pPr>
        <w:pStyle w:val="47"/>
        <w:numPr>
          <w:ilvl w:val="1"/>
          <w:numId w:val="0"/>
        </w:numPr>
        <w:tabs>
          <w:tab w:val="clear" w:pos="1146"/>
        </w:tabs>
        <w:spacing w:before="50" w:after="50" w:line="288" w:lineRule="auto"/>
        <w:rPr>
          <w:sz w:val="24"/>
        </w:rPr>
      </w:pPr>
      <w:r>
        <w:rPr>
          <w:rFonts w:hint="eastAsia"/>
          <w:sz w:val="24"/>
        </w:rPr>
        <w:t>款市场报价利率（</w:t>
      </w:r>
      <w:r>
        <w:rPr>
          <w:sz w:val="24"/>
        </w:rPr>
        <w:t>LPR</w:t>
      </w:r>
      <w:r>
        <w:rPr>
          <w:rFonts w:hint="eastAsia"/>
          <w:sz w:val="24"/>
        </w:rPr>
        <w:t>）（由中国人民银行授权全国银行间同业拆借中心于每月</w:t>
      </w:r>
      <w:r>
        <w:rPr>
          <w:sz w:val="24"/>
        </w:rPr>
        <w:t>20</w:t>
      </w:r>
    </w:p>
    <w:p w14:paraId="7F0B50FC">
      <w:pPr>
        <w:pStyle w:val="47"/>
        <w:numPr>
          <w:ilvl w:val="1"/>
          <w:numId w:val="0"/>
        </w:numPr>
        <w:tabs>
          <w:tab w:val="clear" w:pos="1146"/>
        </w:tabs>
        <w:spacing w:before="50" w:after="50" w:line="288" w:lineRule="auto"/>
        <w:rPr>
          <w:rFonts w:hint="eastAsia"/>
          <w:sz w:val="24"/>
        </w:rPr>
      </w:pPr>
      <w:r>
        <w:rPr>
          <w:rFonts w:hint="eastAsia"/>
          <w:sz w:val="24"/>
        </w:rPr>
        <w:t>日（遇节假日顺延）</w:t>
      </w:r>
      <w:r>
        <w:rPr>
          <w:sz w:val="24"/>
        </w:rPr>
        <w:t>9</w:t>
      </w:r>
      <w:r>
        <w:rPr>
          <w:rFonts w:hint="eastAsia"/>
          <w:sz w:val="24"/>
        </w:rPr>
        <w:t>时</w:t>
      </w:r>
      <w:r>
        <w:rPr>
          <w:sz w:val="24"/>
        </w:rPr>
        <w:t>30</w:t>
      </w:r>
      <w:r>
        <w:rPr>
          <w:rFonts w:hint="eastAsia"/>
          <w:sz w:val="24"/>
        </w:rPr>
        <w:t>分（北京时间）公布，“贷款市场报价利率”（</w:t>
      </w:r>
      <w:r>
        <w:rPr>
          <w:sz w:val="24"/>
        </w:rPr>
        <w:t>LPR</w:t>
      </w:r>
      <w:r>
        <w:rPr>
          <w:rFonts w:hint="eastAsia"/>
          <w:sz w:val="24"/>
        </w:rPr>
        <w:t>）），</w:t>
      </w:r>
    </w:p>
    <w:p w14:paraId="128D81EB">
      <w:pPr>
        <w:pStyle w:val="47"/>
        <w:numPr>
          <w:ilvl w:val="1"/>
          <w:numId w:val="0"/>
        </w:numPr>
        <w:tabs>
          <w:tab w:val="clear" w:pos="1146"/>
        </w:tabs>
        <w:spacing w:before="50" w:after="50" w:line="288" w:lineRule="auto"/>
        <w:rPr>
          <w:rFonts w:hint="eastAsia"/>
          <w:sz w:val="24"/>
        </w:rPr>
      </w:pPr>
      <w:r>
        <w:rPr>
          <w:rFonts w:hint="eastAsia"/>
          <w:sz w:val="24"/>
        </w:rPr>
        <w:t>但是，如该利率低于零，贷款市场报价利率应视为等于零）加上百分之二（</w:t>
      </w:r>
      <w:r>
        <w:rPr>
          <w:sz w:val="24"/>
        </w:rPr>
        <w:t>2%</w:t>
      </w:r>
      <w:r>
        <w:rPr>
          <w:rFonts w:hint="eastAsia"/>
          <w:sz w:val="24"/>
        </w:rPr>
        <w:t>）的</w:t>
      </w:r>
    </w:p>
    <w:p w14:paraId="73B51BD6">
      <w:pPr>
        <w:pStyle w:val="47"/>
        <w:numPr>
          <w:ilvl w:val="1"/>
          <w:numId w:val="0"/>
        </w:numPr>
        <w:tabs>
          <w:tab w:val="clear" w:pos="1146"/>
        </w:tabs>
        <w:spacing w:before="50" w:after="50" w:line="288" w:lineRule="auto"/>
        <w:rPr>
          <w:rFonts w:hint="eastAsia"/>
          <w:sz w:val="24"/>
        </w:rPr>
      </w:pPr>
      <w:r>
        <w:rPr>
          <w:rFonts w:hint="eastAsia"/>
          <w:sz w:val="24"/>
        </w:rPr>
        <w:t>年利率，即届时的一年期贷款市场报价利率</w:t>
      </w:r>
      <w:r>
        <w:rPr>
          <w:sz w:val="24"/>
        </w:rPr>
        <w:t>+2%</w:t>
      </w:r>
      <w:r>
        <w:rPr>
          <w:rFonts w:hint="eastAsia"/>
          <w:sz w:val="24"/>
        </w:rPr>
        <w:t>的年利率）。如逾期超过【180】</w:t>
      </w:r>
    </w:p>
    <w:p w14:paraId="4217A87B">
      <w:pPr>
        <w:pStyle w:val="47"/>
        <w:numPr>
          <w:ilvl w:val="1"/>
          <w:numId w:val="0"/>
        </w:numPr>
        <w:tabs>
          <w:tab w:val="clear" w:pos="1146"/>
        </w:tabs>
        <w:spacing w:before="50" w:after="50" w:line="288" w:lineRule="auto"/>
        <w:rPr>
          <w:rFonts w:hint="eastAsia"/>
          <w:sz w:val="24"/>
        </w:rPr>
      </w:pPr>
      <w:r>
        <w:rPr>
          <w:rFonts w:hint="eastAsia"/>
          <w:sz w:val="24"/>
        </w:rPr>
        <w:t>日的，出租方有权解除本协议，并要求承租方支付拖欠的租金及违约金。但因出租</w:t>
      </w:r>
    </w:p>
    <w:p w14:paraId="23184145">
      <w:pPr>
        <w:pStyle w:val="47"/>
        <w:numPr>
          <w:ilvl w:val="1"/>
          <w:numId w:val="0"/>
        </w:numPr>
        <w:tabs>
          <w:tab w:val="clear" w:pos="1146"/>
        </w:tabs>
        <w:spacing w:before="50" w:after="50" w:line="288" w:lineRule="auto"/>
        <w:rPr>
          <w:sz w:val="24"/>
        </w:rPr>
      </w:pPr>
      <w:r>
        <w:rPr>
          <w:rFonts w:hint="eastAsia"/>
          <w:sz w:val="24"/>
        </w:rPr>
        <w:t>方原因导致承租方无法支付租金的除外。</w:t>
      </w:r>
    </w:p>
    <w:p w14:paraId="748A4216">
      <w:pPr>
        <w:pStyle w:val="47"/>
        <w:numPr>
          <w:ilvl w:val="1"/>
          <w:numId w:val="0"/>
        </w:numPr>
        <w:tabs>
          <w:tab w:val="clear" w:pos="1146"/>
        </w:tabs>
        <w:spacing w:before="50" w:after="50" w:line="288" w:lineRule="auto"/>
        <w:rPr>
          <w:rFonts w:hint="eastAsia"/>
          <w:sz w:val="24"/>
        </w:rPr>
      </w:pPr>
      <w:r>
        <w:rPr>
          <w:rFonts w:hint="eastAsia" w:cs="Times New Roman"/>
          <w:b w:val="0"/>
          <w:i w:val="0"/>
          <w:caps w:val="0"/>
          <w:strike w:val="0"/>
          <w:dstrike w:val="0"/>
          <w:vanish w:val="0"/>
          <w:color w:val="auto"/>
          <w:kern w:val="0"/>
          <w:sz w:val="24"/>
          <w:szCs w:val="24"/>
          <w:u w:val="none"/>
          <w:vertAlign w:val="baseline"/>
          <w:lang w:val="en-US" w:eastAsia="zh-CN" w:bidi="ar-SA"/>
        </w:rPr>
        <w:t>9</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en-US" w:bidi="ar-SA"/>
        </w:rPr>
        <w:t>.3</w:t>
      </w:r>
      <w:r>
        <w:rPr>
          <w:rFonts w:hint="eastAsia"/>
          <w:lang w:eastAsia="zh-CN"/>
        </w:rPr>
        <w:t xml:space="preserve"> </w:t>
      </w:r>
      <w:r>
        <w:rPr>
          <w:rFonts w:hint="eastAsia"/>
          <w:sz w:val="24"/>
        </w:rPr>
        <w:t>若出租方未按照本协议约定交付土地或干涉承租方根据本协议的约定正常使用</w:t>
      </w:r>
    </w:p>
    <w:p w14:paraId="0ACD150C">
      <w:pPr>
        <w:pStyle w:val="47"/>
        <w:numPr>
          <w:ilvl w:val="1"/>
          <w:numId w:val="0"/>
        </w:numPr>
        <w:tabs>
          <w:tab w:val="clear" w:pos="1146"/>
        </w:tabs>
        <w:spacing w:before="50" w:after="50" w:line="288" w:lineRule="auto"/>
        <w:rPr>
          <w:sz w:val="24"/>
        </w:rPr>
      </w:pPr>
      <w:r>
        <w:rPr>
          <w:rFonts w:hint="eastAsia"/>
          <w:sz w:val="24"/>
        </w:rPr>
        <w:t>土地，每逾期一日或干涉正常使用一日，出租方应当按照当年的年度租金的【0.05】</w:t>
      </w:r>
      <w:r>
        <w:rPr>
          <w:sz w:val="24"/>
        </w:rPr>
        <w:t>%</w:t>
      </w:r>
    </w:p>
    <w:p w14:paraId="2CED73C0">
      <w:pPr>
        <w:pStyle w:val="47"/>
        <w:numPr>
          <w:ilvl w:val="1"/>
          <w:numId w:val="0"/>
        </w:numPr>
        <w:tabs>
          <w:tab w:val="clear" w:pos="1146"/>
        </w:tabs>
        <w:spacing w:before="50" w:after="50" w:line="288" w:lineRule="auto"/>
        <w:rPr>
          <w:rFonts w:hint="eastAsia"/>
          <w:sz w:val="24"/>
        </w:rPr>
      </w:pPr>
      <w:r>
        <w:rPr>
          <w:rFonts w:hint="eastAsia"/>
          <w:sz w:val="24"/>
        </w:rPr>
        <w:t>向承租方支付违约金。如出租方延期交付土地超过【</w:t>
      </w:r>
      <w:r>
        <w:rPr>
          <w:sz w:val="24"/>
        </w:rPr>
        <w:t>60</w:t>
      </w:r>
      <w:r>
        <w:rPr>
          <w:rFonts w:hint="eastAsia"/>
          <w:sz w:val="24"/>
        </w:rPr>
        <w:t>】日或干涉正常使用超过【</w:t>
      </w:r>
      <w:r>
        <w:rPr>
          <w:sz w:val="24"/>
        </w:rPr>
        <w:t>60</w:t>
      </w:r>
      <w:r>
        <w:rPr>
          <w:rFonts w:hint="eastAsia"/>
          <w:sz w:val="24"/>
        </w:rPr>
        <w:t>】</w:t>
      </w:r>
    </w:p>
    <w:p w14:paraId="7AB65420">
      <w:pPr>
        <w:pStyle w:val="47"/>
        <w:numPr>
          <w:ilvl w:val="1"/>
          <w:numId w:val="0"/>
        </w:numPr>
        <w:tabs>
          <w:tab w:val="clear" w:pos="1146"/>
        </w:tabs>
        <w:spacing w:before="50" w:after="50" w:line="288" w:lineRule="auto"/>
        <w:rPr>
          <w:rFonts w:hint="eastAsia"/>
          <w:sz w:val="24"/>
        </w:rPr>
      </w:pPr>
      <w:r>
        <w:rPr>
          <w:rFonts w:hint="eastAsia"/>
          <w:sz w:val="24"/>
        </w:rPr>
        <w:t>日，承租方有权解除本协议，并要求出租方退还自解除之日起已提前支付的但尚未</w:t>
      </w:r>
    </w:p>
    <w:p w14:paraId="6ECD812C">
      <w:pPr>
        <w:pStyle w:val="47"/>
        <w:numPr>
          <w:ilvl w:val="1"/>
          <w:numId w:val="0"/>
        </w:numPr>
        <w:tabs>
          <w:tab w:val="clear" w:pos="1146"/>
        </w:tabs>
        <w:spacing w:before="50" w:after="50" w:line="288" w:lineRule="auto"/>
        <w:rPr>
          <w:rFonts w:hint="eastAsia"/>
          <w:sz w:val="24"/>
        </w:rPr>
      </w:pPr>
      <w:r>
        <w:rPr>
          <w:rFonts w:hint="eastAsia"/>
          <w:sz w:val="24"/>
        </w:rPr>
        <w:t>发生的租期对应的租金及利息（自无法正常使用土地之日起按照LPR计算）并支付</w:t>
      </w:r>
    </w:p>
    <w:p w14:paraId="57F3A854">
      <w:pPr>
        <w:pStyle w:val="47"/>
        <w:numPr>
          <w:ilvl w:val="1"/>
          <w:numId w:val="0"/>
        </w:numPr>
        <w:tabs>
          <w:tab w:val="clear" w:pos="1146"/>
        </w:tabs>
        <w:spacing w:before="50" w:after="50" w:line="288" w:lineRule="auto"/>
        <w:rPr>
          <w:sz w:val="24"/>
        </w:rPr>
      </w:pPr>
      <w:r>
        <w:rPr>
          <w:rFonts w:hint="eastAsia"/>
          <w:sz w:val="24"/>
        </w:rPr>
        <w:t>违约金，如违约金不足以赔偿承租方损失的，承租方可请求出租方进一步赔偿。</w:t>
      </w:r>
    </w:p>
    <w:p w14:paraId="4242CB3C">
      <w:pPr>
        <w:pStyle w:val="47"/>
        <w:numPr>
          <w:ilvl w:val="1"/>
          <w:numId w:val="0"/>
        </w:numPr>
        <w:tabs>
          <w:tab w:val="clear" w:pos="1146"/>
        </w:tabs>
        <w:spacing w:before="50" w:after="50" w:line="288" w:lineRule="auto"/>
        <w:rPr>
          <w:rFonts w:hint="eastAsia"/>
          <w:lang w:eastAsia="zh-CN"/>
        </w:rPr>
      </w:pPr>
      <w:r>
        <w:rPr>
          <w:rFonts w:hint="eastAsia" w:cs="Times New Roman"/>
          <w:b w:val="0"/>
          <w:i w:val="0"/>
          <w:caps w:val="0"/>
          <w:strike w:val="0"/>
          <w:dstrike w:val="0"/>
          <w:vanish w:val="0"/>
          <w:color w:val="auto"/>
          <w:kern w:val="0"/>
          <w:sz w:val="24"/>
          <w:szCs w:val="24"/>
          <w:u w:val="none"/>
          <w:vertAlign w:val="baseline"/>
          <w:lang w:val="en-US" w:eastAsia="zh-CN" w:bidi="ar-SA"/>
        </w:rPr>
        <w:t>9</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en-US" w:bidi="ar-SA"/>
        </w:rPr>
        <w:t>.4</w:t>
      </w:r>
      <w:r>
        <w:rPr>
          <w:rFonts w:hint="eastAsia"/>
          <w:lang w:eastAsia="zh-CN"/>
        </w:rPr>
        <w:t xml:space="preserve"> 即便本协议或本协议附件中有任何其他规定，在任何情况下，任何一方无需就</w:t>
      </w:r>
    </w:p>
    <w:p w14:paraId="686BCFC6">
      <w:pPr>
        <w:pStyle w:val="47"/>
        <w:numPr>
          <w:ilvl w:val="1"/>
          <w:numId w:val="0"/>
        </w:numPr>
        <w:tabs>
          <w:tab w:val="clear" w:pos="1146"/>
        </w:tabs>
        <w:spacing w:before="50" w:after="50" w:line="288" w:lineRule="auto"/>
        <w:rPr>
          <w:rFonts w:hint="eastAsia"/>
          <w:lang w:eastAsia="zh-CN"/>
        </w:rPr>
      </w:pPr>
      <w:r>
        <w:rPr>
          <w:rFonts w:hint="eastAsia"/>
          <w:lang w:eastAsia="zh-CN"/>
        </w:rPr>
        <w:t>由于该一方对本协议的履行或不履行或本协议项下任何该一方义务而产生、导致或</w:t>
      </w:r>
    </w:p>
    <w:p w14:paraId="681EA99C">
      <w:pPr>
        <w:pStyle w:val="47"/>
        <w:numPr>
          <w:ilvl w:val="1"/>
          <w:numId w:val="0"/>
        </w:numPr>
        <w:tabs>
          <w:tab w:val="clear" w:pos="1146"/>
        </w:tabs>
        <w:spacing w:before="50" w:after="50" w:line="288" w:lineRule="auto"/>
        <w:rPr>
          <w:rFonts w:hint="eastAsia"/>
          <w:lang w:eastAsia="zh-CN"/>
        </w:rPr>
      </w:pPr>
      <w:r>
        <w:rPr>
          <w:rFonts w:hint="eastAsia"/>
          <w:lang w:eastAsia="zh-CN"/>
        </w:rPr>
        <w:t>与之相关的另一方或任何其他人的任何惩罚性、间接的、附带的、附随的、关于利</w:t>
      </w:r>
    </w:p>
    <w:p w14:paraId="27C84BF2">
      <w:pPr>
        <w:pStyle w:val="47"/>
        <w:numPr>
          <w:ilvl w:val="1"/>
          <w:numId w:val="0"/>
        </w:numPr>
        <w:tabs>
          <w:tab w:val="clear" w:pos="1146"/>
        </w:tabs>
        <w:spacing w:before="50" w:after="50" w:line="288" w:lineRule="auto"/>
        <w:rPr>
          <w:rFonts w:hint="eastAsia"/>
          <w:lang w:eastAsia="zh-CN"/>
        </w:rPr>
      </w:pPr>
      <w:r>
        <w:rPr>
          <w:rFonts w:hint="eastAsia"/>
          <w:lang w:eastAsia="zh-CN"/>
        </w:rPr>
        <w:t>润损失的或其他业务中断的损害承担责任，无论是基于合同、侵权（包括过失）、</w:t>
      </w:r>
    </w:p>
    <w:p w14:paraId="474D2A2C">
      <w:pPr>
        <w:pStyle w:val="47"/>
        <w:numPr>
          <w:ilvl w:val="1"/>
          <w:numId w:val="0"/>
        </w:numPr>
        <w:tabs>
          <w:tab w:val="clear" w:pos="1146"/>
        </w:tabs>
        <w:spacing w:before="50" w:after="50" w:line="288" w:lineRule="auto"/>
        <w:rPr>
          <w:lang w:eastAsia="zh-CN"/>
        </w:rPr>
      </w:pPr>
      <w:r>
        <w:rPr>
          <w:rFonts w:hint="eastAsia"/>
          <w:lang w:eastAsia="zh-CN"/>
        </w:rPr>
        <w:t>严格责任、保证或其他。</w:t>
      </w:r>
      <w:r>
        <w:rPr>
          <w:lang w:eastAsia="zh-CN"/>
        </w:rPr>
        <w:t xml:space="preserve"> </w:t>
      </w:r>
    </w:p>
    <w:p w14:paraId="7657A463"/>
    <w:bookmarkEnd w:id="74"/>
    <w:bookmarkEnd w:id="75"/>
    <w:bookmarkEnd w:id="76"/>
    <w:p w14:paraId="1DE10CF4">
      <w:pPr>
        <w:pStyle w:val="2"/>
        <w:numPr>
          <w:ilvl w:val="0"/>
          <w:numId w:val="0"/>
        </w:numPr>
        <w:spacing w:before="50" w:after="50" w:line="288" w:lineRule="auto"/>
        <w:ind w:right="0"/>
        <w:rPr>
          <w:rFonts w:ascii="Times New Roman" w:hAnsi="Times New Roman" w:cs="Times New Roman"/>
          <w:b w:val="0"/>
          <w:bCs w:val="0"/>
          <w:caps w:val="0"/>
          <w:lang w:eastAsia="zh-CN"/>
        </w:rPr>
      </w:pPr>
      <w:bookmarkStart w:id="77" w:name="_Toc172760227"/>
      <w:r>
        <w:rPr>
          <w:rFonts w:ascii="Times New Roman" w:hAnsi="Times New Roman" w:cs="Times New Roman"/>
          <w:lang w:eastAsia="zh-CN"/>
        </w:rPr>
        <w:t>第</w:t>
      </w:r>
      <w:r>
        <w:rPr>
          <w:rFonts w:hint="eastAsia" w:ascii="Times New Roman" w:hAnsi="Times New Roman" w:cs="Times New Roman"/>
          <w:lang w:eastAsia="zh-CN"/>
        </w:rPr>
        <w:t>十</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lang w:val="en-US" w:eastAsia="zh-CN"/>
        </w:rPr>
        <w:t>管辖</w:t>
      </w:r>
      <w:r>
        <w:rPr>
          <w:rFonts w:ascii="Times New Roman" w:hAnsi="Times New Roman" w:cs="Times New Roman"/>
        </w:rPr>
        <w:t>法律</w:t>
      </w:r>
      <w:bookmarkEnd w:id="77"/>
    </w:p>
    <w:p w14:paraId="5EBC8C9E">
      <w:pPr>
        <w:spacing w:before="50" w:after="50" w:line="288" w:lineRule="auto"/>
        <w:rPr>
          <w:sz w:val="24"/>
        </w:rPr>
      </w:pPr>
      <w:bookmarkStart w:id="78" w:name="_Hlk32783524"/>
      <w:r>
        <w:rPr>
          <w:sz w:val="24"/>
        </w:rPr>
        <w:t>本协议的效力、解释和执行均适用中国法律法规（包括法律、行政法规、地方性法规、自治条例和单行条例、国务院部门规章和地方政府规章，以及具有适当管辖权的任何中国政府部门的可适用的且具有法律效力的规定、判决、法令、命令、通知、规章、决定、裁定和其他规范性文件）。</w:t>
      </w:r>
    </w:p>
    <w:p w14:paraId="026B6809">
      <w:pPr>
        <w:spacing w:before="50" w:after="50" w:line="288" w:lineRule="auto"/>
        <w:rPr>
          <w:b/>
          <w:bCs/>
          <w:caps/>
          <w:sz w:val="24"/>
        </w:rPr>
      </w:pPr>
    </w:p>
    <w:bookmarkEnd w:id="78"/>
    <w:p w14:paraId="5186F9C6">
      <w:pPr>
        <w:pStyle w:val="2"/>
        <w:numPr>
          <w:ilvl w:val="0"/>
          <w:numId w:val="0"/>
        </w:numPr>
        <w:spacing w:before="50" w:after="50" w:line="288" w:lineRule="auto"/>
        <w:ind w:right="0"/>
        <w:rPr>
          <w:rFonts w:ascii="Times New Roman" w:hAnsi="Times New Roman" w:cs="Times New Roman"/>
          <w:b w:val="0"/>
          <w:bCs w:val="0"/>
          <w:caps w:val="0"/>
          <w:lang w:eastAsia="zh-CN"/>
        </w:rPr>
      </w:pPr>
      <w:bookmarkStart w:id="79" w:name="_Toc152170064"/>
      <w:bookmarkEnd w:id="79"/>
      <w:bookmarkStart w:id="80" w:name="_Toc152172591"/>
      <w:bookmarkEnd w:id="80"/>
      <w:bookmarkStart w:id="81" w:name="_Toc152172718"/>
      <w:bookmarkEnd w:id="81"/>
      <w:bookmarkStart w:id="82" w:name="_Toc152169973"/>
      <w:bookmarkEnd w:id="82"/>
      <w:bookmarkStart w:id="83" w:name="_Toc152166537"/>
      <w:bookmarkEnd w:id="83"/>
      <w:bookmarkStart w:id="84" w:name="_Toc152172858"/>
      <w:bookmarkEnd w:id="84"/>
      <w:bookmarkStart w:id="85" w:name="_Toc152172538"/>
      <w:bookmarkEnd w:id="85"/>
      <w:bookmarkStart w:id="86" w:name="_Toc152170172"/>
      <w:bookmarkEnd w:id="86"/>
      <w:bookmarkStart w:id="87" w:name="_Toc152173329"/>
      <w:bookmarkEnd w:id="87"/>
      <w:bookmarkStart w:id="88" w:name="_Toc152173042"/>
      <w:bookmarkEnd w:id="88"/>
      <w:bookmarkStart w:id="89" w:name="_Toc152172772"/>
      <w:bookmarkEnd w:id="89"/>
      <w:bookmarkStart w:id="90" w:name="_Toc172760229"/>
      <w:r>
        <w:rPr>
          <w:rFonts w:ascii="Times New Roman" w:hAnsi="Times New Roman" w:cs="Times New Roman"/>
          <w:lang w:eastAsia="zh-CN"/>
        </w:rPr>
        <w:t>第十</w:t>
      </w:r>
      <w:r>
        <w:rPr>
          <w:rFonts w:hint="eastAsia" w:ascii="Times New Roman" w:hAnsi="Times New Roman" w:cs="Times New Roman"/>
          <w:lang w:eastAsia="zh-CN"/>
        </w:rPr>
        <w:t>一</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rPr>
        <w:t>争议解决</w:t>
      </w:r>
      <w:bookmarkEnd w:id="90"/>
    </w:p>
    <w:p w14:paraId="401F56EC">
      <w:pPr>
        <w:spacing w:before="50" w:after="50" w:line="288" w:lineRule="auto"/>
        <w:jc w:val="left"/>
        <w:rPr>
          <w:sz w:val="24"/>
        </w:rPr>
      </w:pPr>
      <w:r>
        <w:rPr>
          <w:rFonts w:hint="eastAsia"/>
          <w:sz w:val="24"/>
        </w:rPr>
        <w:t>双</w:t>
      </w:r>
      <w:r>
        <w:rPr>
          <w:sz w:val="24"/>
        </w:rPr>
        <w:t>方特此不可撤销地约定：</w:t>
      </w:r>
      <w:bookmarkStart w:id="91" w:name="ninea"/>
      <w:bookmarkEnd w:id="91"/>
      <w:bookmarkStart w:id="92" w:name="_Hlk32783535"/>
    </w:p>
    <w:p w14:paraId="0D568157">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(a)</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lang w:eastAsia="zh-CN"/>
        </w:rPr>
        <w:t>自一方根据第</w:t>
      </w:r>
      <w:r>
        <w:fldChar w:fldCharType="begin"/>
      </w:r>
      <w:r>
        <w:rPr>
          <w:lang w:eastAsia="zh-CN"/>
        </w:rPr>
        <w:instrText xml:space="preserve"> REF _Ref156402523 \r \h  \* MERGEFORMAT </w:instrText>
      </w:r>
      <w:r>
        <w:fldChar w:fldCharType="separate"/>
      </w:r>
      <w:r>
        <w:rPr>
          <w:lang w:eastAsia="zh-CN"/>
        </w:rPr>
        <w:t>12.8</w:t>
      </w:r>
      <w:r>
        <w:fldChar w:fldCharType="end"/>
      </w:r>
      <w:r>
        <w:rPr>
          <w:lang w:eastAsia="zh-CN"/>
        </w:rPr>
        <w:t>条（</w:t>
      </w:r>
      <w:r>
        <w:rPr>
          <w:i/>
          <w:iCs/>
          <w:lang w:eastAsia="zh-CN"/>
        </w:rPr>
        <w:t>通知</w:t>
      </w:r>
      <w:r>
        <w:rPr>
          <w:lang w:eastAsia="zh-CN"/>
        </w:rPr>
        <w:t>）向另一方交付争议相关书面通知（“</w:t>
      </w:r>
      <w:r>
        <w:rPr>
          <w:b/>
          <w:bCs/>
          <w:lang w:eastAsia="zh-CN"/>
        </w:rPr>
        <w:t>争议通知</w:t>
      </w:r>
      <w:r>
        <w:rPr>
          <w:lang w:eastAsia="zh-CN"/>
        </w:rPr>
        <w:t>”）始，</w:t>
      </w:r>
      <w:r>
        <w:rPr>
          <w:rFonts w:hint="eastAsia"/>
          <w:lang w:eastAsia="zh-CN"/>
        </w:rPr>
        <w:t>双方</w:t>
      </w:r>
      <w:r>
        <w:rPr>
          <w:lang w:eastAsia="zh-CN"/>
        </w:rPr>
        <w:t>应首先努力通过</w:t>
      </w:r>
      <w:r>
        <w:rPr>
          <w:rFonts w:hint="eastAsia"/>
          <w:lang w:eastAsia="zh-CN"/>
        </w:rPr>
        <w:t>双方</w:t>
      </w:r>
      <w:r>
        <w:rPr>
          <w:lang w:eastAsia="zh-CN"/>
        </w:rPr>
        <w:t>之间友好协商解决本协议引起或与之有关的任何争议、纠纷或主张（包括但不限于：(1) 任何合同性、先合同性或非合同性的权利、义务或责任；以及(2)关于本协议存在、效力或终止的任何问题，每一项称“</w:t>
      </w:r>
      <w:r>
        <w:rPr>
          <w:b/>
          <w:bCs/>
          <w:lang w:eastAsia="zh-CN"/>
        </w:rPr>
        <w:t>争议</w:t>
      </w:r>
      <w:r>
        <w:rPr>
          <w:lang w:eastAsia="zh-CN"/>
        </w:rPr>
        <w:t xml:space="preserve">”）。 </w:t>
      </w:r>
    </w:p>
    <w:p w14:paraId="5C605520">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b</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若任何争议未在一方向另一方交付争议通知之日起六十(60)日之内按照第</w:t>
      </w:r>
      <w:r>
        <w:rPr>
          <w:rFonts w:hint="eastAsia"/>
          <w:lang w:eastAsia="zh-CN"/>
        </w:rPr>
        <w:t>10</w:t>
      </w:r>
      <w:r>
        <w:fldChar w:fldCharType="begin"/>
      </w:r>
      <w:r>
        <w:rPr>
          <w:lang w:eastAsia="zh-CN"/>
        </w:rPr>
        <w:instrText xml:space="preserve"> REF _Ref172739703 \r \h  \* MERGEFORMAT </w:instrText>
      </w:r>
      <w:r>
        <w:fldChar w:fldCharType="separate"/>
      </w:r>
      <w:r>
        <w:rPr>
          <w:lang w:eastAsia="zh-CN"/>
        </w:rPr>
        <w:t>(a)</w:t>
      </w:r>
      <w:r>
        <w:fldChar w:fldCharType="end"/>
      </w:r>
      <w:r>
        <w:rPr>
          <w:lang w:eastAsia="zh-CN"/>
        </w:rPr>
        <w:t>条（</w:t>
      </w:r>
      <w:r>
        <w:rPr>
          <w:i/>
          <w:iCs/>
          <w:lang w:eastAsia="zh-CN"/>
        </w:rPr>
        <w:t>争议解决</w:t>
      </w:r>
      <w:r>
        <w:rPr>
          <w:lang w:eastAsia="zh-CN"/>
        </w:rPr>
        <w:t>）通过友好协商解决，且任何一方不再愿意继续尝试通过友好协商解决该争议的，则该争议应按照第</w:t>
      </w:r>
      <w:r>
        <w:rPr>
          <w:rFonts w:hint="eastAsia"/>
          <w:lang w:eastAsia="zh-CN"/>
        </w:rPr>
        <w:t>11</w:t>
      </w:r>
      <w:r>
        <w:rPr>
          <w:lang w:eastAsia="zh-CN"/>
        </w:rPr>
        <w:t>条（</w:t>
      </w:r>
      <w:r>
        <w:rPr>
          <w:i/>
          <w:iCs/>
          <w:lang w:eastAsia="zh-CN"/>
        </w:rPr>
        <w:t>争议解决</w:t>
      </w:r>
      <w:r>
        <w:rPr>
          <w:lang w:eastAsia="zh-CN"/>
        </w:rPr>
        <w:t>）提交仲裁。</w:t>
      </w:r>
    </w:p>
    <w:bookmarkEnd w:id="92"/>
    <w:p w14:paraId="585FCA68">
      <w:pPr>
        <w:pStyle w:val="47"/>
        <w:numPr>
          <w:ilvl w:val="0"/>
          <w:numId w:val="0"/>
        </w:numPr>
        <w:spacing w:before="50" w:after="50" w:line="288" w:lineRule="auto"/>
        <w:ind w:firstLine="480" w:firstLineChars="200"/>
        <w:rPr>
          <w:sz w:val="24"/>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c</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任何根据</w:t>
      </w:r>
      <w:r>
        <w:fldChar w:fldCharType="begin"/>
      </w:r>
      <w:r>
        <w:rPr>
          <w:lang w:eastAsia="zh-CN"/>
        </w:rPr>
        <w:instrText xml:space="preserve"> REF _Ref32685651 \r \h  \* MERGEFORMAT </w:instrText>
      </w:r>
      <w:r>
        <w:fldChar w:fldCharType="separate"/>
      </w:r>
      <w:r>
        <w:rPr>
          <w:lang w:eastAsia="zh-CN"/>
        </w:rPr>
        <w:t>Article 11</w:t>
      </w:r>
      <w:r>
        <w:fldChar w:fldCharType="end"/>
      </w:r>
      <w:r>
        <w:rPr>
          <w:rFonts w:hint="eastAsia"/>
          <w:lang w:eastAsia="zh-CN"/>
        </w:rPr>
        <w:t>1</w:t>
      </w:r>
      <w:r>
        <w:rPr>
          <w:lang w:eastAsia="zh-CN"/>
        </w:rPr>
        <w:t>条（</w:t>
      </w:r>
      <w:r>
        <w:rPr>
          <w:i/>
          <w:iCs/>
          <w:lang w:eastAsia="zh-CN"/>
        </w:rPr>
        <w:t>争议解决</w:t>
      </w:r>
      <w:r>
        <w:rPr>
          <w:lang w:eastAsia="zh-CN"/>
        </w:rPr>
        <w:t>）提交仲裁的争议，均应依照申请仲裁一方向提交仲裁申请时有效的中国国际经济贸易仲裁委员会（“</w:t>
      </w:r>
      <w:r>
        <w:rPr>
          <w:b/>
          <w:bCs/>
          <w:lang w:eastAsia="zh-CN"/>
        </w:rPr>
        <w:t>贸仲委</w:t>
      </w:r>
      <w:r>
        <w:rPr>
          <w:lang w:eastAsia="zh-CN"/>
        </w:rPr>
        <w:t>”）仲裁规则（“</w:t>
      </w:r>
      <w:r>
        <w:rPr>
          <w:b/>
          <w:bCs/>
          <w:lang w:eastAsia="zh-CN"/>
        </w:rPr>
        <w:t>仲裁规则</w:t>
      </w:r>
      <w:r>
        <w:rPr>
          <w:lang w:eastAsia="zh-CN"/>
        </w:rPr>
        <w:t>”）提交贸仲委仲裁，通过有约束力的仲裁终局性地解决。</w:t>
      </w:r>
    </w:p>
    <w:p w14:paraId="3BFBC1FE">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d</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仲裁庭应由三(3)名仲裁员组成。申请人应指定一(1)名仲裁员。被申请人应指定一(1)名仲裁员。如此产生的两名仲裁员应指定第三名仲裁员，第三名仲裁员担任首席仲裁员。</w:t>
      </w:r>
    </w:p>
    <w:p w14:paraId="62B2AC35">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e</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仲裁语言应为</w:t>
      </w:r>
      <w:r>
        <w:rPr>
          <w:rFonts w:hint="eastAsia"/>
          <w:lang w:eastAsia="zh-CN"/>
        </w:rPr>
        <w:t>【</w:t>
      </w:r>
      <w:r>
        <w:rPr>
          <w:rFonts w:hint="eastAsia"/>
          <w:lang w:val="en-US" w:eastAsia="zh-CN"/>
        </w:rPr>
        <w:t xml:space="preserve">  】 </w:t>
      </w:r>
      <w:r>
        <w:rPr>
          <w:lang w:eastAsia="zh-CN"/>
        </w:rPr>
        <w:t>。仲裁地点应为北京。</w:t>
      </w:r>
    </w:p>
    <w:p w14:paraId="43C2ECDB">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f</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仲裁庭的任何裁决均应采用书面形式，并自作出之日起对</w:t>
      </w:r>
      <w:r>
        <w:rPr>
          <w:rFonts w:hint="eastAsia"/>
          <w:lang w:eastAsia="zh-CN"/>
        </w:rPr>
        <w:t>双方</w:t>
      </w:r>
      <w:r>
        <w:rPr>
          <w:lang w:eastAsia="zh-CN"/>
        </w:rPr>
        <w:t>具有终局性和约束力。</w:t>
      </w:r>
      <w:r>
        <w:rPr>
          <w:rFonts w:hint="eastAsia"/>
          <w:lang w:eastAsia="zh-CN"/>
        </w:rPr>
        <w:t>双方</w:t>
      </w:r>
      <w:r>
        <w:rPr>
          <w:lang w:eastAsia="zh-CN"/>
        </w:rPr>
        <w:t>承诺毫不迟延地执行裁决。任何有管辖权法院均可就裁决作出判决，亦可向该等法院就裁决申请司法承认和执行令（如适用）。除正在进行仲裁程序的争议所涉的义务外，</w:t>
      </w:r>
      <w:r>
        <w:rPr>
          <w:rFonts w:hint="eastAsia"/>
          <w:lang w:eastAsia="zh-CN"/>
        </w:rPr>
        <w:t>双方</w:t>
      </w:r>
      <w:r>
        <w:rPr>
          <w:lang w:eastAsia="zh-CN"/>
        </w:rPr>
        <w:t>应继续履行其各自在本协议项下的其他义务。</w:t>
      </w:r>
    </w:p>
    <w:p w14:paraId="71C70C73">
      <w:pPr>
        <w:pStyle w:val="47"/>
        <w:numPr>
          <w:ilvl w:val="0"/>
          <w:numId w:val="0"/>
        </w:numPr>
        <w:spacing w:before="50" w:after="50" w:line="288" w:lineRule="auto"/>
        <w:ind w:firstLine="480" w:firstLineChars="200"/>
        <w:rPr>
          <w:lang w:eastAsia="zh-CN"/>
        </w:rPr>
      </w:pPr>
      <w:bookmarkStart w:id="93" w:name="_Ref9856718"/>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g</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lang w:eastAsia="zh-CN"/>
        </w:rPr>
        <w:t>双方</w:t>
      </w:r>
      <w:r>
        <w:rPr>
          <w:lang w:eastAsia="zh-CN"/>
        </w:rPr>
        <w:t>同意仲裁应保密进行，未经</w:t>
      </w:r>
      <w:r>
        <w:rPr>
          <w:rFonts w:hint="eastAsia"/>
          <w:lang w:eastAsia="zh-CN"/>
        </w:rPr>
        <w:t>双方</w:t>
      </w:r>
      <w:r>
        <w:rPr>
          <w:lang w:eastAsia="zh-CN"/>
        </w:rPr>
        <w:t>事先书面同意，任何已做出的裁决不得向社会公众公开。</w:t>
      </w:r>
    </w:p>
    <w:bookmarkEnd w:id="93"/>
    <w:p w14:paraId="2CA1A620">
      <w:pPr>
        <w:pStyle w:val="47"/>
        <w:numPr>
          <w:ilvl w:val="0"/>
          <w:numId w:val="0"/>
        </w:numPr>
        <w:spacing w:before="50" w:after="50" w:line="288" w:lineRule="auto"/>
        <w:ind w:firstLine="480" w:firstLineChars="200"/>
        <w:rPr>
          <w:lang w:eastAsia="zh-CN"/>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h</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lang w:eastAsia="zh-CN"/>
        </w:rPr>
        <w:t>除非根据本</w:t>
      </w:r>
      <w:r>
        <w:fldChar w:fldCharType="begin"/>
      </w:r>
      <w:r>
        <w:rPr>
          <w:lang w:eastAsia="zh-CN"/>
        </w:rPr>
        <w:instrText xml:space="preserve"> REF _Ref32685651 \r \h  \* MERGEFORMAT </w:instrText>
      </w:r>
      <w:r>
        <w:fldChar w:fldCharType="separate"/>
      </w:r>
      <w:r>
        <w:rPr>
          <w:lang w:eastAsia="zh-CN"/>
        </w:rPr>
        <w:t>Article 11</w:t>
      </w:r>
      <w:r>
        <w:fldChar w:fldCharType="end"/>
      </w:r>
      <w:r>
        <w:rPr>
          <w:lang w:eastAsia="zh-CN"/>
        </w:rPr>
        <w:t>条（</w:t>
      </w:r>
      <w:r>
        <w:rPr>
          <w:i/>
          <w:iCs/>
          <w:lang w:eastAsia="zh-CN"/>
        </w:rPr>
        <w:t>争议解决</w:t>
      </w:r>
      <w:r>
        <w:rPr>
          <w:lang w:eastAsia="zh-CN"/>
        </w:rPr>
        <w:t>）组成的仲裁庭另有决定，任何仲裁胜诉一方有权就该仲裁相关或该仲裁产生的任何合理成本和费用，从另一方取得补偿。</w:t>
      </w:r>
    </w:p>
    <w:p w14:paraId="506EE3BA">
      <w:pPr>
        <w:spacing w:before="50" w:after="50" w:line="288" w:lineRule="auto"/>
        <w:rPr>
          <w:sz w:val="24"/>
        </w:rPr>
      </w:pPr>
    </w:p>
    <w:p w14:paraId="69B6B344">
      <w:pPr>
        <w:pStyle w:val="2"/>
        <w:numPr>
          <w:ilvl w:val="0"/>
          <w:numId w:val="0"/>
        </w:numPr>
        <w:spacing w:before="50" w:after="50" w:line="288" w:lineRule="auto"/>
        <w:ind w:right="0"/>
        <w:rPr>
          <w:rFonts w:ascii="Times New Roman" w:hAnsi="Times New Roman" w:cs="Times New Roman"/>
          <w:b w:val="0"/>
          <w:iCs/>
          <w:caps w:val="0"/>
          <w:lang w:eastAsia="zh-CN"/>
        </w:rPr>
      </w:pPr>
      <w:bookmarkStart w:id="94" w:name="_Toc172760231"/>
      <w:r>
        <w:rPr>
          <w:rFonts w:ascii="Times New Roman" w:hAnsi="Times New Roman" w:cs="Times New Roman"/>
          <w:lang w:eastAsia="zh-CN"/>
        </w:rPr>
        <w:t>第十</w:t>
      </w:r>
      <w:r>
        <w:rPr>
          <w:rFonts w:hint="eastAsia" w:ascii="Times New Roman" w:hAnsi="Times New Roman" w:cs="Times New Roman"/>
          <w:lang w:eastAsia="zh-CN"/>
        </w:rPr>
        <w:t>二</w:t>
      </w:r>
      <w:r>
        <w:rPr>
          <w:rFonts w:ascii="Times New Roman" w:hAnsi="Times New Roman" w:cs="Times New Roman"/>
          <w:lang w:eastAsia="zh-CN"/>
        </w:rPr>
        <w:t>条</w:t>
      </w:r>
      <w:r>
        <w:rPr>
          <w:rFonts w:ascii="Times New Roman" w:hAnsi="Times New Roman" w:cs="Times New Roman"/>
          <w:lang w:eastAsia="zh-CN"/>
        </w:rPr>
        <w:br w:type="textWrapping"/>
      </w:r>
      <w:r>
        <w:rPr>
          <w:rFonts w:ascii="Times New Roman" w:hAnsi="Times New Roman" w:cs="Times New Roman"/>
          <w:lang w:eastAsia="zh-CN"/>
        </w:rPr>
        <w:t>其他</w:t>
      </w:r>
      <w:bookmarkEnd w:id="94"/>
    </w:p>
    <w:p w14:paraId="514D485C">
      <w:pPr>
        <w:pStyle w:val="47"/>
        <w:numPr>
          <w:ilvl w:val="1"/>
          <w:numId w:val="0"/>
        </w:numPr>
        <w:tabs>
          <w:tab w:val="clear" w:pos="1146"/>
        </w:tabs>
        <w:spacing w:before="50" w:after="50" w:line="288" w:lineRule="auto"/>
        <w:rPr>
          <w:bCs/>
          <w:iCs/>
          <w:u w:val="single"/>
          <w:lang w:eastAsia="zh-CN"/>
        </w:rPr>
      </w:pPr>
      <w:bookmarkStart w:id="95" w:name="_Toc226540244"/>
      <w:bookmarkStart w:id="96" w:name="_Toc535926858"/>
      <w:bookmarkStart w:id="97" w:name="_Toc222645868"/>
      <w:bookmarkStart w:id="98" w:name="_Toc194208762"/>
      <w:bookmarkStart w:id="99" w:name="_Toc231132366"/>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bookmarkEnd w:id="95"/>
      <w:bookmarkEnd w:id="96"/>
      <w:bookmarkEnd w:id="97"/>
      <w:bookmarkEnd w:id="98"/>
      <w:bookmarkEnd w:id="99"/>
      <w:bookmarkStart w:id="100" w:name="_Toc194472846"/>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rPr>
        <w:t>弃权</w:t>
      </w:r>
    </w:p>
    <w:p w14:paraId="0646DE6F">
      <w:pPr>
        <w:pStyle w:val="47"/>
        <w:numPr>
          <w:ilvl w:val="0"/>
          <w:numId w:val="0"/>
        </w:numPr>
        <w:spacing w:before="50" w:after="50" w:line="288" w:lineRule="auto"/>
        <w:ind w:firstLine="480" w:firstLineChars="200"/>
        <w:rPr>
          <w:bCs/>
          <w:iCs/>
          <w:lang w:eastAsia="zh-CN"/>
        </w:rPr>
      </w:pPr>
      <w:r>
        <w:rPr>
          <w:lang w:eastAsia="zh-CN"/>
        </w:rPr>
        <w:t>本协议的一方未行使或延迟行使本协议项下的一项权利不应被视为放弃该权利。单次行使或部分行使一项权利不应妨碍将来对同一项权利的行使。</w:t>
      </w:r>
    </w:p>
    <w:p w14:paraId="3268C8B9">
      <w:pPr>
        <w:pStyle w:val="47"/>
        <w:numPr>
          <w:ilvl w:val="1"/>
          <w:numId w:val="0"/>
        </w:numPr>
        <w:tabs>
          <w:tab w:val="clear" w:pos="1146"/>
        </w:tabs>
        <w:spacing w:before="50" w:after="50" w:line="288" w:lineRule="auto"/>
        <w:rPr>
          <w:bCs/>
          <w:iCs/>
          <w:u w:val="single"/>
          <w:lang w:eastAsia="zh-CN"/>
        </w:rPr>
      </w:pPr>
      <w:bookmarkStart w:id="101" w:name="_Hlk32784468"/>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 xml:space="preserve">2  </w:t>
      </w:r>
      <w:r>
        <w:rPr>
          <w:u w:val="single"/>
          <w:lang w:eastAsia="zh-CN"/>
        </w:rPr>
        <w:t>非排他性救济</w:t>
      </w:r>
    </w:p>
    <w:p w14:paraId="22C8185C">
      <w:pPr>
        <w:pStyle w:val="47"/>
        <w:numPr>
          <w:ilvl w:val="0"/>
          <w:numId w:val="0"/>
        </w:numPr>
        <w:spacing w:before="50" w:after="50" w:line="288" w:lineRule="auto"/>
        <w:ind w:firstLine="480" w:firstLineChars="200"/>
        <w:rPr>
          <w:iCs/>
          <w:lang w:eastAsia="zh-CN"/>
        </w:rPr>
      </w:pPr>
      <w:bookmarkStart w:id="102" w:name="_Hlk32783574"/>
      <w:r>
        <w:rPr>
          <w:lang w:eastAsia="zh-CN"/>
        </w:rPr>
        <w:t xml:space="preserve">除本协议另有明确规定外，本协议所含的每一方权利和救济可以累积，且不排除法律规定的权利或救济。 </w:t>
      </w:r>
    </w:p>
    <w:bookmarkEnd w:id="102"/>
    <w:p w14:paraId="52E6AEC7">
      <w:pPr>
        <w:pStyle w:val="47"/>
        <w:numPr>
          <w:ilvl w:val="1"/>
          <w:numId w:val="0"/>
        </w:numPr>
        <w:tabs>
          <w:tab w:val="clear" w:pos="1146"/>
        </w:tabs>
        <w:spacing w:before="50" w:after="50" w:line="288" w:lineRule="auto"/>
        <w:rPr>
          <w:u w:val="single"/>
        </w:rPr>
      </w:pP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.3</w:t>
      </w:r>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lang w:eastAsia="zh-CN"/>
        </w:rPr>
        <w:t>存续条款</w:t>
      </w:r>
    </w:p>
    <w:p w14:paraId="084CF167">
      <w:pPr>
        <w:pStyle w:val="47"/>
        <w:numPr>
          <w:ilvl w:val="0"/>
          <w:numId w:val="0"/>
        </w:numPr>
        <w:spacing w:before="50" w:after="50" w:line="288" w:lineRule="auto"/>
        <w:ind w:firstLine="480" w:firstLineChars="200"/>
        <w:rPr>
          <w:bCs/>
          <w:iCs/>
          <w:lang w:eastAsia="zh-CN"/>
        </w:rPr>
      </w:pPr>
      <w:bookmarkStart w:id="103" w:name="_Hlk32783588"/>
      <w:r>
        <w:rPr>
          <w:rFonts w:hint="eastAsia"/>
          <w:lang w:eastAsia="zh-CN"/>
        </w:rPr>
        <w:t>第5条（</w:t>
      </w:r>
      <w:r>
        <w:rPr>
          <w:lang w:eastAsia="zh-CN"/>
        </w:rPr>
        <w:t>双方的权利和义务</w:t>
      </w:r>
      <w:r>
        <w:rPr>
          <w:rFonts w:hint="eastAsia"/>
          <w:lang w:eastAsia="zh-CN"/>
        </w:rPr>
        <w:t>）、</w:t>
      </w:r>
      <w:r>
        <w:rPr>
          <w:rFonts w:hint="eastAsia"/>
          <w:lang w:val="en-US" w:eastAsia="zh-CN"/>
        </w:rPr>
        <w:t>第9条</w:t>
      </w:r>
      <w:r>
        <w:rPr>
          <w:lang w:eastAsia="zh-CN"/>
        </w:rPr>
        <w:t xml:space="preserve"> （</w:t>
      </w:r>
      <w:r>
        <w:rPr>
          <w:i/>
          <w:iCs/>
          <w:lang w:eastAsia="zh-CN"/>
        </w:rPr>
        <w:t>违约与赔偿</w:t>
      </w:r>
      <w:r>
        <w:rPr>
          <w:lang w:eastAsia="zh-CN"/>
        </w:rPr>
        <w:t>）、</w:t>
      </w:r>
      <w:r>
        <w:rPr>
          <w:rFonts w:hint="eastAsia"/>
          <w:lang w:val="en-US" w:eastAsia="zh-CN"/>
        </w:rPr>
        <w:t>第10条</w:t>
      </w:r>
      <w:r>
        <w:fldChar w:fldCharType="begin"/>
      </w:r>
      <w:r>
        <w:rPr>
          <w:lang w:eastAsia="zh-CN"/>
        </w:rPr>
        <w:instrText xml:space="preserve"> REF _Ref32685638 \n \h  \* MERGEFORMAT </w:instrText>
      </w:r>
      <w:r>
        <w:fldChar w:fldCharType="separate"/>
      </w:r>
      <w:r>
        <w:fldChar w:fldCharType="end"/>
      </w:r>
      <w:r>
        <w:rPr>
          <w:lang w:eastAsia="zh-CN"/>
        </w:rPr>
        <w:t>（</w:t>
      </w:r>
      <w:r>
        <w:rPr>
          <w:i/>
          <w:iCs/>
          <w:lang w:eastAsia="zh-CN"/>
        </w:rPr>
        <w:t>管辖法律</w:t>
      </w:r>
      <w:r>
        <w:rPr>
          <w:lang w:eastAsia="zh-CN"/>
        </w:rPr>
        <w:t>）、</w:t>
      </w:r>
      <w:r>
        <w:rPr>
          <w:rFonts w:hint="eastAsia"/>
          <w:lang w:val="en-US" w:eastAsia="zh-CN"/>
        </w:rPr>
        <w:t>第11条</w:t>
      </w:r>
      <w:r>
        <w:rPr>
          <w:lang w:eastAsia="zh-CN"/>
        </w:rPr>
        <w:t>（</w:t>
      </w:r>
      <w:r>
        <w:rPr>
          <w:i/>
          <w:iCs/>
          <w:lang w:eastAsia="zh-CN"/>
        </w:rPr>
        <w:t>争议解决</w:t>
      </w:r>
      <w:r>
        <w:rPr>
          <w:lang w:eastAsia="zh-CN"/>
        </w:rPr>
        <w:t xml:space="preserve">） 和 </w:t>
      </w:r>
      <w:r>
        <w:rPr>
          <w:rFonts w:hint="eastAsia"/>
          <w:lang w:val="en-US" w:eastAsia="zh-CN"/>
        </w:rPr>
        <w:t>第12条</w:t>
      </w:r>
      <w:r>
        <w:rPr>
          <w:lang w:eastAsia="zh-CN"/>
        </w:rPr>
        <w:t>（</w:t>
      </w:r>
      <w:r>
        <w:rPr>
          <w:i/>
          <w:iCs/>
          <w:lang w:eastAsia="zh-CN"/>
        </w:rPr>
        <w:t>其他</w:t>
      </w:r>
      <w:r>
        <w:rPr>
          <w:lang w:eastAsia="zh-CN"/>
        </w:rPr>
        <w:t xml:space="preserve">）以及任何明确规定存续的条款，以及本协议解释或执行所需条款，在本协议终止后继续有效。 </w:t>
      </w:r>
    </w:p>
    <w:bookmarkEnd w:id="100"/>
    <w:bookmarkEnd w:id="103"/>
    <w:p w14:paraId="45CC1334">
      <w:pPr>
        <w:pStyle w:val="47"/>
        <w:numPr>
          <w:ilvl w:val="1"/>
          <w:numId w:val="0"/>
        </w:numPr>
        <w:tabs>
          <w:tab w:val="clear" w:pos="1146"/>
        </w:tabs>
        <w:spacing w:before="50" w:after="50" w:line="288" w:lineRule="auto"/>
        <w:rPr>
          <w:bCs/>
          <w:iCs/>
          <w:u w:val="single"/>
          <w:lang w:eastAsia="zh-CN"/>
        </w:rPr>
      </w:pPr>
      <w:bookmarkStart w:id="104" w:name="_Toc226540246"/>
      <w:bookmarkStart w:id="105" w:name="_Toc194208763"/>
      <w:bookmarkStart w:id="106" w:name="_Toc222645870"/>
      <w:bookmarkStart w:id="107" w:name="_Toc535926860"/>
      <w:bookmarkStart w:id="108" w:name="_Toc231132367"/>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.4</w:t>
      </w:r>
      <w:bookmarkEnd w:id="104"/>
      <w:bookmarkEnd w:id="105"/>
      <w:bookmarkEnd w:id="106"/>
      <w:bookmarkEnd w:id="107"/>
      <w:bookmarkEnd w:id="108"/>
      <w:bookmarkStart w:id="109" w:name="_Toc194472847"/>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lang w:eastAsia="zh-CN"/>
        </w:rPr>
        <w:t>变更</w:t>
      </w:r>
    </w:p>
    <w:p w14:paraId="2767896B">
      <w:pPr>
        <w:pStyle w:val="47"/>
        <w:numPr>
          <w:ilvl w:val="0"/>
          <w:numId w:val="0"/>
        </w:numPr>
        <w:spacing w:before="50" w:after="50" w:line="288" w:lineRule="auto"/>
        <w:ind w:firstLine="480" w:firstLineChars="200"/>
        <w:rPr>
          <w:bCs/>
          <w:iCs/>
          <w:lang w:eastAsia="zh-CN"/>
        </w:rPr>
      </w:pPr>
      <w:bookmarkStart w:id="110" w:name="_Hlk32783613"/>
      <w:r>
        <w:rPr>
          <w:lang w:eastAsia="zh-CN"/>
        </w:rPr>
        <w:t>本协议仅可通过</w:t>
      </w:r>
      <w:r>
        <w:rPr>
          <w:rFonts w:hint="eastAsia"/>
          <w:lang w:eastAsia="zh-CN"/>
        </w:rPr>
        <w:t>双方</w:t>
      </w:r>
      <w:r>
        <w:rPr>
          <w:lang w:eastAsia="zh-CN"/>
        </w:rPr>
        <w:t>正式授权代表或其许可承继人或受让人签订书面协议的方式进行变更、修订或修改。</w:t>
      </w:r>
    </w:p>
    <w:bookmarkEnd w:id="109"/>
    <w:p w14:paraId="501002EF">
      <w:pPr>
        <w:pStyle w:val="47"/>
        <w:numPr>
          <w:ilvl w:val="1"/>
          <w:numId w:val="0"/>
        </w:numPr>
        <w:tabs>
          <w:tab w:val="clear" w:pos="1146"/>
        </w:tabs>
        <w:spacing w:before="50" w:after="50" w:line="288" w:lineRule="auto"/>
        <w:rPr>
          <w:bCs/>
          <w:iCs/>
          <w:u w:val="single"/>
          <w:lang w:eastAsia="zh-CN"/>
        </w:rPr>
      </w:pPr>
      <w:bookmarkStart w:id="111" w:name="_Toc231132368"/>
      <w:bookmarkStart w:id="112" w:name="_Toc535926862"/>
      <w:bookmarkStart w:id="113" w:name="_Toc222645872"/>
      <w:bookmarkStart w:id="114" w:name="_Toc194208764"/>
      <w:bookmarkStart w:id="115" w:name="_Toc226540248"/>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.5</w:t>
      </w:r>
      <w:bookmarkEnd w:id="111"/>
      <w:bookmarkEnd w:id="112"/>
      <w:bookmarkEnd w:id="113"/>
      <w:bookmarkEnd w:id="114"/>
      <w:bookmarkEnd w:id="115"/>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rPr>
        <w:t>语言</w:t>
      </w:r>
    </w:p>
    <w:p w14:paraId="62A84D95">
      <w:pPr>
        <w:pStyle w:val="47"/>
        <w:numPr>
          <w:ilvl w:val="0"/>
          <w:numId w:val="0"/>
        </w:numPr>
        <w:spacing w:before="50" w:after="50" w:line="288" w:lineRule="auto"/>
        <w:ind w:firstLine="480" w:firstLineChars="200"/>
        <w:rPr>
          <w:rFonts w:hint="default"/>
          <w:iCs/>
          <w:lang w:val="en-US" w:eastAsia="zh-CN"/>
        </w:rPr>
      </w:pPr>
      <w:bookmarkStart w:id="116" w:name="_Toc194472848"/>
      <w:r>
        <w:rPr>
          <w:lang w:eastAsia="zh-CN"/>
        </w:rPr>
        <w:t>本协议以中文</w:t>
      </w:r>
      <w:r>
        <w:rPr>
          <w:rFonts w:hint="eastAsia"/>
          <w:lang w:val="en-US" w:eastAsia="zh-CN"/>
        </w:rPr>
        <w:t>书就。</w:t>
      </w:r>
    </w:p>
    <w:bookmarkEnd w:id="116"/>
    <w:p w14:paraId="3365BD25">
      <w:pPr>
        <w:pStyle w:val="47"/>
        <w:numPr>
          <w:ilvl w:val="1"/>
          <w:numId w:val="0"/>
        </w:numPr>
        <w:tabs>
          <w:tab w:val="clear" w:pos="1146"/>
        </w:tabs>
        <w:spacing w:before="50" w:after="50" w:line="288" w:lineRule="auto"/>
        <w:rPr>
          <w:iCs/>
          <w:u w:val="single"/>
          <w:lang w:eastAsia="zh-CN"/>
        </w:rPr>
      </w:pPr>
      <w:bookmarkStart w:id="117" w:name="_Toc222645878"/>
      <w:bookmarkStart w:id="118" w:name="_Toc535926866"/>
      <w:bookmarkStart w:id="119" w:name="_Toc231132370"/>
      <w:bookmarkStart w:id="120" w:name="_Toc226540252"/>
      <w:bookmarkStart w:id="121" w:name="_Toc194208767"/>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6</w:t>
      </w:r>
      <w:bookmarkEnd w:id="117"/>
      <w:bookmarkEnd w:id="118"/>
      <w:bookmarkEnd w:id="119"/>
      <w:bookmarkEnd w:id="120"/>
      <w:bookmarkEnd w:id="121"/>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lang w:eastAsia="zh-CN"/>
        </w:rPr>
        <w:t>条款的可分割性</w:t>
      </w:r>
    </w:p>
    <w:p w14:paraId="26C42B1B">
      <w:pPr>
        <w:pStyle w:val="47"/>
        <w:numPr>
          <w:ilvl w:val="0"/>
          <w:numId w:val="0"/>
        </w:numPr>
        <w:spacing w:before="50" w:after="50" w:line="288" w:lineRule="auto"/>
        <w:ind w:firstLine="480" w:firstLineChars="200"/>
        <w:rPr>
          <w:iCs/>
          <w:lang w:eastAsia="zh-CN"/>
        </w:rPr>
      </w:pPr>
      <w:r>
        <w:rPr>
          <w:lang w:eastAsia="zh-CN"/>
        </w:rPr>
        <w:t>本协议任何条文无效、不合法或不可执行，不影响本协议其余部分继续有效。</w:t>
      </w:r>
    </w:p>
    <w:bookmarkEnd w:id="101"/>
    <w:bookmarkEnd w:id="110"/>
    <w:p w14:paraId="479C0D8D">
      <w:pPr>
        <w:pStyle w:val="47"/>
        <w:numPr>
          <w:ilvl w:val="1"/>
          <w:numId w:val="0"/>
        </w:numPr>
        <w:tabs>
          <w:tab w:val="clear" w:pos="1146"/>
        </w:tabs>
        <w:spacing w:before="50" w:after="50" w:line="288" w:lineRule="auto"/>
        <w:rPr>
          <w:iCs/>
          <w:u w:val="single"/>
          <w:lang w:eastAsia="zh-CN"/>
        </w:rPr>
      </w:pPr>
      <w:bookmarkStart w:id="122" w:name="_Toc194208768"/>
      <w:bookmarkStart w:id="123" w:name="_Toc226540254"/>
      <w:bookmarkStart w:id="124" w:name="_Ref152182551"/>
      <w:bookmarkStart w:id="125" w:name="_Ref156402523"/>
      <w:bookmarkStart w:id="126" w:name="_Ref152181833"/>
      <w:bookmarkStart w:id="127" w:name="_Toc535926868"/>
      <w:bookmarkStart w:id="128" w:name="_Toc231132371"/>
      <w:bookmarkStart w:id="129" w:name="_Ref31816136"/>
      <w:bookmarkStart w:id="130" w:name="_Toc222645879"/>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1</w:t>
      </w:r>
      <w:r>
        <w:rPr>
          <w:rFonts w:hint="eastAsia" w:cs="Times New Roman"/>
          <w:b w:val="0"/>
          <w:i w:val="0"/>
          <w:caps w:val="0"/>
          <w:strike w:val="0"/>
          <w:dstrike w:val="0"/>
          <w:vanish w:val="0"/>
          <w:color w:val="auto"/>
          <w:kern w:val="0"/>
          <w:sz w:val="24"/>
          <w:szCs w:val="24"/>
          <w:u w:val="none"/>
          <w:vertAlign w:val="baseline"/>
          <w:lang w:val="en-US" w:eastAsia="zh-CN" w:bidi="ar-SA"/>
        </w:rPr>
        <w:t>2</w:t>
      </w:r>
      <w:r>
        <w:rPr>
          <w:rFonts w:hint="eastAsia" w:ascii="Times New Roman" w:hAnsi="Times New Roman" w:eastAsia="宋体" w:cs="Times New Roman"/>
          <w:b w:val="0"/>
          <w:i w:val="0"/>
          <w:caps w:val="0"/>
          <w:strike w:val="0"/>
          <w:dstrike w:val="0"/>
          <w:vanish w:val="0"/>
          <w:color w:val="auto"/>
          <w:kern w:val="0"/>
          <w:sz w:val="24"/>
          <w:szCs w:val="24"/>
          <w:u w:val="none"/>
          <w:vertAlign w:val="baseline"/>
          <w:lang w:val="en-US" w:eastAsia="zh-CN" w:bidi="ar-SA"/>
        </w:rPr>
        <w:t>.</w:t>
      </w:r>
      <w:r>
        <w:rPr>
          <w:rFonts w:hint="eastAsia" w:cs="Times New Roman"/>
          <w:b w:val="0"/>
          <w:i w:val="0"/>
          <w:caps w:val="0"/>
          <w:strike w:val="0"/>
          <w:dstrike w:val="0"/>
          <w:vanish w:val="0"/>
          <w:color w:val="auto"/>
          <w:kern w:val="0"/>
          <w:sz w:val="24"/>
          <w:szCs w:val="24"/>
          <w:u w:val="none"/>
          <w:vertAlign w:val="baseline"/>
          <w:lang w:val="en-US" w:eastAsia="zh-CN" w:bidi="ar-SA"/>
        </w:rPr>
        <w:t>7</w:t>
      </w:r>
      <w:bookmarkEnd w:id="122"/>
      <w:bookmarkEnd w:id="123"/>
      <w:bookmarkEnd w:id="124"/>
      <w:bookmarkEnd w:id="125"/>
      <w:bookmarkEnd w:id="126"/>
      <w:bookmarkEnd w:id="127"/>
      <w:bookmarkEnd w:id="128"/>
      <w:bookmarkEnd w:id="129"/>
      <w:bookmarkEnd w:id="130"/>
      <w:bookmarkStart w:id="131" w:name="_Toc222727861"/>
      <w:bookmarkStart w:id="132" w:name="_Toc222727864"/>
      <w:r>
        <w:rPr>
          <w:rFonts w:hint="eastAsia" w:cs="Times New Roman"/>
          <w:b w:val="0"/>
          <w:i w:val="0"/>
          <w:caps w:val="0"/>
          <w:strike w:val="0"/>
          <w:dstrike w:val="0"/>
          <w:vanish w:val="0"/>
          <w:color w:val="auto"/>
          <w:kern w:val="0"/>
          <w:sz w:val="24"/>
          <w:szCs w:val="24"/>
          <w:u w:val="none"/>
          <w:vertAlign w:val="baseline"/>
          <w:lang w:val="en-US" w:eastAsia="zh-CN" w:bidi="ar-SA"/>
        </w:rPr>
        <w:t xml:space="preserve">  </w:t>
      </w:r>
      <w:r>
        <w:rPr>
          <w:u w:val="single"/>
        </w:rPr>
        <w:t>通知</w:t>
      </w:r>
    </w:p>
    <w:p w14:paraId="22F9A4CC">
      <w:pPr>
        <w:pStyle w:val="47"/>
        <w:numPr>
          <w:ilvl w:val="0"/>
          <w:numId w:val="0"/>
        </w:numPr>
        <w:spacing w:before="50" w:after="50" w:line="288" w:lineRule="auto"/>
        <w:ind w:firstLine="480" w:firstLineChars="200"/>
        <w:rPr>
          <w:lang w:eastAsia="zh-CN"/>
        </w:rPr>
      </w:pPr>
      <w:r>
        <w:rPr>
          <w:lang w:eastAsia="zh-CN"/>
        </w:rPr>
        <w:t>本协议中一方向</w:t>
      </w:r>
      <w:r>
        <w:rPr>
          <w:rFonts w:hint="eastAsia"/>
          <w:lang w:eastAsia="zh-CN"/>
        </w:rPr>
        <w:t>另一</w:t>
      </w:r>
      <w:r>
        <w:rPr>
          <w:lang w:eastAsia="zh-CN"/>
        </w:rPr>
        <w:t>方发出的任何通知和书面通讯应以中文书写，并应以传真、电邮方式或要求签收回条的认证邮件方式及时发往或寄往有关一方。根据本协议发出的通知或通讯，如用认证邮件寄出，付邮后五(5)个工作日应被视为收件日期(除非另有书面证据证明认证邮件已于较早日期被接收)；如用以传输报告证明的传真或电子邮件发出，传输后的两(2)个工作日应被视为收件日期(除非另有书面证据证明传真或电子邮件已于较早日期被接收)。所有通知和通讯应按下列地址发往下列收件人，或一方可能另行指定的其他收件人或地址：</w:t>
      </w:r>
    </w:p>
    <w:p w14:paraId="0A56B151">
      <w:pPr>
        <w:pStyle w:val="47"/>
        <w:numPr>
          <w:ilvl w:val="0"/>
          <w:numId w:val="0"/>
        </w:numPr>
        <w:spacing w:before="50" w:after="50" w:line="288" w:lineRule="auto"/>
        <w:ind w:left="720"/>
      </w:pPr>
      <w:r>
        <w:rPr>
          <w:lang w:eastAsia="zh-CN"/>
        </w:rPr>
        <w:t>若致</w:t>
      </w:r>
      <w:r>
        <w:rPr>
          <w:iCs/>
          <w:lang w:eastAsia="zh-CN"/>
        </w:rPr>
        <w:t>承租方</w:t>
      </w:r>
      <w:r>
        <w:rPr>
          <w:lang w:eastAsia="zh-CN"/>
        </w:rPr>
        <w:t>：</w:t>
      </w:r>
    </w:p>
    <w:p w14:paraId="346249BA">
      <w:pPr>
        <w:pStyle w:val="47"/>
        <w:numPr>
          <w:ilvl w:val="0"/>
          <w:numId w:val="0"/>
        </w:numPr>
        <w:spacing w:before="50" w:after="50" w:line="288" w:lineRule="auto"/>
        <w:ind w:left="720"/>
        <w:rPr>
          <w:lang w:eastAsia="zh-CN"/>
        </w:rPr>
      </w:pPr>
      <w:r>
        <w:rPr>
          <w:lang w:eastAsia="zh-CN"/>
        </w:rPr>
        <w:t>地址</w:t>
      </w:r>
      <w:r>
        <w:rPr>
          <w:lang w:eastAsia="zh-CN"/>
        </w:rPr>
        <w:tab/>
      </w:r>
      <w:r>
        <w:rPr>
          <w:lang w:eastAsia="zh-CN"/>
        </w:rPr>
        <w:t>：</w:t>
      </w:r>
    </w:p>
    <w:p w14:paraId="44E74041">
      <w:pPr>
        <w:pStyle w:val="47"/>
        <w:numPr>
          <w:ilvl w:val="0"/>
          <w:numId w:val="0"/>
        </w:numPr>
        <w:spacing w:before="50" w:after="50" w:line="288" w:lineRule="auto"/>
        <w:ind w:left="720"/>
        <w:rPr>
          <w:lang w:val="de-DE" w:eastAsia="zh-CN"/>
        </w:rPr>
      </w:pPr>
      <w:bookmarkStart w:id="133" w:name="_Toc226540256"/>
      <w:bookmarkStart w:id="134" w:name="_Toc231132372"/>
      <w:r>
        <w:rPr>
          <w:lang w:eastAsia="zh-CN"/>
        </w:rPr>
        <w:t>收件人</w:t>
      </w:r>
      <w:r>
        <w:rPr>
          <w:lang w:val="de-DE"/>
        </w:rPr>
        <w:t xml:space="preserve">： </w:t>
      </w:r>
      <w:r>
        <w:rPr>
          <w:lang w:val="de-DE"/>
        </w:rPr>
        <w:tab/>
      </w:r>
    </w:p>
    <w:p w14:paraId="4C0A28AD">
      <w:pPr>
        <w:pStyle w:val="47"/>
        <w:numPr>
          <w:ilvl w:val="0"/>
          <w:numId w:val="0"/>
        </w:numPr>
        <w:spacing w:before="50" w:after="50" w:line="288" w:lineRule="auto"/>
        <w:ind w:left="720"/>
        <w:rPr>
          <w:lang w:val="de-DE"/>
        </w:rPr>
      </w:pPr>
      <w:r>
        <w:t>电话</w:t>
      </w:r>
      <w:r>
        <w:rPr>
          <w:lang w:val="de-DE"/>
        </w:rPr>
        <w:t xml:space="preserve">： </w:t>
      </w:r>
    </w:p>
    <w:p w14:paraId="75A8713A">
      <w:pPr>
        <w:pStyle w:val="47"/>
        <w:numPr>
          <w:ilvl w:val="0"/>
          <w:numId w:val="0"/>
        </w:numPr>
        <w:spacing w:before="50" w:after="50" w:line="288" w:lineRule="auto"/>
        <w:ind w:left="720"/>
        <w:rPr>
          <w:lang w:eastAsia="zh-CN"/>
        </w:rPr>
      </w:pPr>
      <w:r>
        <w:rPr>
          <w:lang w:eastAsia="zh-CN"/>
        </w:rPr>
        <w:t>电子邮箱</w:t>
      </w:r>
      <w:r>
        <w:rPr>
          <w:rFonts w:hint="eastAsia"/>
          <w:lang w:eastAsia="zh-CN"/>
        </w:rPr>
        <w:t>：</w:t>
      </w:r>
      <w:r>
        <w:rPr>
          <w:lang w:eastAsia="zh-CN"/>
        </w:rPr>
        <w:tab/>
      </w:r>
    </w:p>
    <w:p w14:paraId="05AC6F92">
      <w:pPr>
        <w:pStyle w:val="47"/>
        <w:numPr>
          <w:ilvl w:val="0"/>
          <w:numId w:val="0"/>
        </w:numPr>
        <w:spacing w:before="50" w:after="50" w:line="288" w:lineRule="auto"/>
        <w:ind w:left="720"/>
      </w:pPr>
      <w:r>
        <w:rPr>
          <w:lang w:eastAsia="zh-CN"/>
        </w:rPr>
        <w:t>若致出租方</w:t>
      </w:r>
      <w:r>
        <w:rPr>
          <w:rFonts w:hint="eastAsia"/>
          <w:lang w:eastAsia="zh-CN"/>
        </w:rPr>
        <w:t>：</w:t>
      </w:r>
    </w:p>
    <w:p w14:paraId="2C32424C">
      <w:pPr>
        <w:pStyle w:val="47"/>
        <w:numPr>
          <w:ilvl w:val="0"/>
          <w:numId w:val="0"/>
        </w:numPr>
        <w:spacing w:before="50" w:after="50" w:line="288" w:lineRule="auto"/>
        <w:ind w:left="720"/>
        <w:rPr>
          <w:lang w:eastAsia="zh-CN"/>
        </w:rPr>
      </w:pPr>
      <w:r>
        <w:rPr>
          <w:lang w:eastAsia="zh-CN"/>
        </w:rPr>
        <w:t>地址</w:t>
      </w:r>
      <w:r>
        <w:rPr>
          <w:lang w:eastAsia="zh-CN"/>
        </w:rPr>
        <w:tab/>
      </w:r>
      <w:r>
        <w:rPr>
          <w:lang w:eastAsia="zh-CN"/>
        </w:rPr>
        <w:t>：中国福建省漳浦县古雷镇腾龙路84号</w:t>
      </w:r>
    </w:p>
    <w:p w14:paraId="7E7A4E98">
      <w:pPr>
        <w:pStyle w:val="47"/>
        <w:numPr>
          <w:ilvl w:val="0"/>
          <w:numId w:val="0"/>
        </w:numPr>
        <w:spacing w:before="50" w:after="50" w:line="288" w:lineRule="auto"/>
        <w:ind w:left="720"/>
        <w:rPr>
          <w:lang w:eastAsia="zh-CN"/>
        </w:rPr>
      </w:pPr>
      <w:r>
        <w:rPr>
          <w:lang w:eastAsia="zh-CN"/>
        </w:rPr>
        <w:t>收件人：林秋凤、何兵</w:t>
      </w:r>
    </w:p>
    <w:p w14:paraId="12CF0FDA">
      <w:pPr>
        <w:pStyle w:val="47"/>
        <w:numPr>
          <w:ilvl w:val="0"/>
          <w:numId w:val="0"/>
        </w:numPr>
        <w:spacing w:before="50" w:after="50" w:line="288" w:lineRule="auto"/>
        <w:ind w:left="720"/>
        <w:rPr>
          <w:lang w:eastAsia="zh-CN"/>
        </w:rPr>
      </w:pPr>
      <w:r>
        <w:rPr>
          <w:lang w:eastAsia="zh-CN"/>
        </w:rPr>
        <w:t>电子邮箱：</w:t>
      </w:r>
      <w:r>
        <w:rPr>
          <w:lang w:eastAsia="zh-CN"/>
        </w:rPr>
        <w:tab/>
      </w:r>
      <w:r>
        <w:rPr>
          <w:lang w:eastAsia="zh-CN"/>
        </w:rPr>
        <w:tab/>
      </w:r>
    </w:p>
    <w:bookmarkEnd w:id="133"/>
    <w:bookmarkEnd w:id="134"/>
    <w:p w14:paraId="2C9FE6CD">
      <w:pPr>
        <w:pStyle w:val="47"/>
        <w:numPr>
          <w:ilvl w:val="1"/>
          <w:numId w:val="0"/>
        </w:numPr>
        <w:tabs>
          <w:tab w:val="clear" w:pos="1146"/>
        </w:tabs>
        <w:spacing w:before="50" w:after="50" w:line="288" w:lineRule="auto"/>
        <w:ind w:left="1146" w:leftChars="0" w:hanging="720" w:firstLineChars="0"/>
        <w:rPr>
          <w:u w:val="single"/>
          <w:lang w:eastAsia="zh-CN"/>
        </w:rPr>
      </w:pPr>
      <w:bookmarkStart w:id="135" w:name="_Toc231132373"/>
      <w:bookmarkStart w:id="136" w:name="_Toc223318959"/>
      <w:bookmarkStart w:id="137" w:name="_Toc535926872"/>
      <w:bookmarkStart w:id="138" w:name="_Toc226540258"/>
    </w:p>
    <w:p w14:paraId="0D6620B1">
      <w:pPr>
        <w:pStyle w:val="47"/>
        <w:numPr>
          <w:ilvl w:val="0"/>
          <w:numId w:val="0"/>
        </w:numPr>
        <w:spacing w:before="50" w:after="50" w:line="288" w:lineRule="auto"/>
        <w:rPr>
          <w:iCs/>
          <w:u w:val="single"/>
          <w:lang w:eastAsia="zh-CN"/>
        </w:rPr>
      </w:pPr>
      <w:r>
        <w:rPr>
          <w:rFonts w:hint="eastAsia"/>
          <w:u w:val="single"/>
          <w:lang w:val="en-US" w:eastAsia="zh-CN"/>
        </w:rPr>
        <w:t xml:space="preserve">12.8  </w:t>
      </w:r>
      <w:r>
        <w:rPr>
          <w:u w:val="single"/>
        </w:rPr>
        <w:t>无代理关系</w:t>
      </w:r>
    </w:p>
    <w:p w14:paraId="13EF0D25">
      <w:pPr>
        <w:pStyle w:val="47"/>
        <w:numPr>
          <w:ilvl w:val="0"/>
          <w:numId w:val="0"/>
        </w:numPr>
        <w:spacing w:before="50" w:after="50" w:line="288" w:lineRule="auto"/>
        <w:ind w:firstLine="480" w:firstLineChars="200"/>
        <w:rPr>
          <w:iCs/>
          <w:lang w:eastAsia="zh-CN"/>
        </w:rPr>
      </w:pPr>
      <w:r>
        <w:rPr>
          <w:rFonts w:hint="eastAsia"/>
          <w:lang w:eastAsia="zh-CN"/>
        </w:rPr>
        <w:t>双</w:t>
      </w:r>
      <w:r>
        <w:rPr>
          <w:lang w:eastAsia="zh-CN"/>
        </w:rPr>
        <w:t>方均确认他们是独立的缔约方。本协议中的任何约定均不应构成对一方作为另一方的代理或代言人的授权。除非本协议中另有明确约定，任何一方均无权明示或默示地代表另一方或以另一方的名义创设或承担义务，并且其行为不应对另一方具有约束力。</w:t>
      </w:r>
    </w:p>
    <w:bookmarkEnd w:id="135"/>
    <w:bookmarkEnd w:id="136"/>
    <w:bookmarkEnd w:id="137"/>
    <w:bookmarkEnd w:id="138"/>
    <w:p w14:paraId="7AD914DA">
      <w:pPr>
        <w:pStyle w:val="47"/>
        <w:numPr>
          <w:ilvl w:val="0"/>
          <w:numId w:val="0"/>
        </w:numPr>
        <w:spacing w:before="50" w:after="50" w:line="288" w:lineRule="auto"/>
        <w:rPr>
          <w:iCs/>
          <w:u w:val="single"/>
          <w:lang w:eastAsia="zh-CN"/>
        </w:rPr>
      </w:pPr>
      <w:r>
        <w:rPr>
          <w:rFonts w:hint="eastAsia"/>
          <w:u w:val="single"/>
          <w:lang w:val="en-US" w:eastAsia="zh-CN"/>
        </w:rPr>
        <w:t xml:space="preserve">12.9  </w:t>
      </w:r>
      <w:r>
        <w:rPr>
          <w:u w:val="single"/>
          <w:lang w:eastAsia="zh-CN"/>
        </w:rPr>
        <w:t>副本</w:t>
      </w:r>
    </w:p>
    <w:p w14:paraId="6604F0E7">
      <w:pPr>
        <w:pStyle w:val="47"/>
        <w:numPr>
          <w:ilvl w:val="0"/>
          <w:numId w:val="0"/>
        </w:numPr>
        <w:spacing w:before="50" w:after="50" w:line="288" w:lineRule="auto"/>
        <w:ind w:firstLine="480" w:firstLineChars="200"/>
        <w:rPr>
          <w:iCs/>
          <w:lang w:eastAsia="zh-CN"/>
        </w:rPr>
      </w:pPr>
      <w:bookmarkStart w:id="139" w:name="_Toc223318960"/>
      <w:r>
        <w:rPr>
          <w:lang w:eastAsia="zh-CN"/>
        </w:rPr>
        <w:t>本协议可以签署任意数目的副本，各方可分别持有，每份副本在签订和交付时应为原件，但所有副本共同构成一份协议。</w:t>
      </w:r>
    </w:p>
    <w:bookmarkEnd w:id="131"/>
    <w:bookmarkEnd w:id="132"/>
    <w:bookmarkEnd w:id="139"/>
    <w:p w14:paraId="5A725D7C">
      <w:pPr>
        <w:pStyle w:val="47"/>
        <w:numPr>
          <w:ilvl w:val="0"/>
          <w:numId w:val="0"/>
        </w:numPr>
        <w:spacing w:before="50" w:after="50" w:line="288" w:lineRule="auto"/>
        <w:rPr>
          <w:u w:val="single"/>
        </w:rPr>
      </w:pPr>
      <w:r>
        <w:rPr>
          <w:rFonts w:hint="eastAsia"/>
          <w:u w:val="single"/>
          <w:lang w:val="en-US" w:eastAsia="zh-CN"/>
        </w:rPr>
        <w:t xml:space="preserve">12.10  </w:t>
      </w:r>
      <w:r>
        <w:rPr>
          <w:u w:val="single"/>
        </w:rPr>
        <w:t>工作日</w:t>
      </w:r>
    </w:p>
    <w:p w14:paraId="102F132C">
      <w:pPr>
        <w:pStyle w:val="47"/>
        <w:numPr>
          <w:ilvl w:val="0"/>
          <w:numId w:val="0"/>
        </w:numPr>
        <w:spacing w:before="50" w:after="50" w:line="288" w:lineRule="auto"/>
        <w:ind w:firstLine="480" w:firstLineChars="200"/>
        <w:rPr>
          <w:lang w:eastAsia="zh-CN" w:bidi="th-TH"/>
        </w:rPr>
      </w:pPr>
      <w:bookmarkStart w:id="140" w:name="_DV_M2833"/>
      <w:bookmarkEnd w:id="140"/>
      <w:bookmarkStart w:id="141" w:name="_Hlk32783647"/>
      <w:r>
        <w:rPr>
          <w:lang w:eastAsia="zh-CN"/>
        </w:rPr>
        <w:t>若根据</w:t>
      </w:r>
      <w:r>
        <w:rPr>
          <w:lang w:eastAsia="zh-CN" w:bidi="th-TH"/>
        </w:rPr>
        <w:t>本协议要求或</w:t>
      </w:r>
      <w:r>
        <w:rPr>
          <w:lang w:eastAsia="zh-CN"/>
        </w:rPr>
        <w:t>约定，</w:t>
      </w:r>
      <w:r>
        <w:rPr>
          <w:lang w:eastAsia="zh-CN" w:bidi="th-TH"/>
        </w:rPr>
        <w:t>任何条款、条件、义务、</w:t>
      </w:r>
      <w:r>
        <w:rPr>
          <w:lang w:eastAsia="zh-CN"/>
        </w:rPr>
        <w:t>承诺</w:t>
      </w:r>
      <w:r>
        <w:rPr>
          <w:lang w:eastAsia="zh-CN" w:bidi="th-TH"/>
        </w:rPr>
        <w:t>、</w:t>
      </w:r>
      <w:r>
        <w:rPr>
          <w:lang w:eastAsia="zh-CN"/>
        </w:rPr>
        <w:t>约定</w:t>
      </w:r>
      <w:r>
        <w:rPr>
          <w:lang w:eastAsia="zh-CN" w:bidi="th-TH"/>
        </w:rPr>
        <w:t>或规定的履行日期不是</w:t>
      </w:r>
      <w:r>
        <w:rPr>
          <w:lang w:eastAsia="zh-CN"/>
        </w:rPr>
        <w:t>工作日</w:t>
      </w:r>
      <w:r>
        <w:rPr>
          <w:lang w:eastAsia="zh-CN" w:bidi="th-TH"/>
        </w:rPr>
        <w:t>，则该日期</w:t>
      </w:r>
      <w:r>
        <w:rPr>
          <w:lang w:eastAsia="zh-CN"/>
        </w:rPr>
        <w:t>延后</w:t>
      </w:r>
      <w:r>
        <w:rPr>
          <w:lang w:eastAsia="zh-CN" w:bidi="th-TH"/>
        </w:rPr>
        <w:t>至下一个</w:t>
      </w:r>
      <w:r>
        <w:rPr>
          <w:lang w:eastAsia="zh-CN"/>
        </w:rPr>
        <w:t>工作日</w:t>
      </w:r>
      <w:r>
        <w:rPr>
          <w:lang w:eastAsia="zh-CN" w:bidi="th-TH"/>
        </w:rPr>
        <w:t>。</w:t>
      </w:r>
    </w:p>
    <w:p w14:paraId="4EFC17C1">
      <w:pPr>
        <w:pStyle w:val="47"/>
        <w:numPr>
          <w:ilvl w:val="0"/>
          <w:numId w:val="0"/>
        </w:numPr>
        <w:spacing w:before="50" w:after="50" w:line="288" w:lineRule="auto"/>
        <w:rPr>
          <w:u w:val="single"/>
        </w:rPr>
      </w:pPr>
      <w:r>
        <w:rPr>
          <w:rFonts w:hint="eastAsia"/>
          <w:u w:val="single"/>
          <w:lang w:val="en-US" w:eastAsia="zh-CN"/>
        </w:rPr>
        <w:t xml:space="preserve">12.11  </w:t>
      </w:r>
      <w:r>
        <w:rPr>
          <w:u w:val="single"/>
        </w:rPr>
        <w:t>进一步保证</w:t>
      </w:r>
    </w:p>
    <w:p w14:paraId="772E9AAE">
      <w:pPr>
        <w:pStyle w:val="47"/>
        <w:numPr>
          <w:ilvl w:val="0"/>
          <w:numId w:val="0"/>
        </w:numPr>
        <w:spacing w:before="50" w:after="50" w:line="288" w:lineRule="auto"/>
        <w:ind w:firstLine="480" w:firstLineChars="200"/>
        <w:rPr>
          <w:iCs/>
          <w:lang w:eastAsia="zh-CN" w:bidi="th-TH"/>
        </w:rPr>
      </w:pPr>
      <w:r>
        <w:rPr>
          <w:lang w:eastAsia="zh-CN" w:bidi="th-TH"/>
        </w:rPr>
        <w:t>经另一方合理要求，一方应办理并签署或者促使办理并签署本协议条款生效可能所需的所有进一步措施、契据、事项和文件。</w:t>
      </w:r>
    </w:p>
    <w:bookmarkEnd w:id="141"/>
    <w:p w14:paraId="2466FC55">
      <w:pPr>
        <w:pStyle w:val="47"/>
        <w:numPr>
          <w:ilvl w:val="0"/>
          <w:numId w:val="0"/>
        </w:numPr>
        <w:spacing w:before="50" w:after="50" w:line="288" w:lineRule="auto"/>
        <w:rPr>
          <w:u w:val="single"/>
        </w:rPr>
      </w:pPr>
      <w:bookmarkStart w:id="142" w:name="_Hlk32783669"/>
      <w:r>
        <w:rPr>
          <w:rFonts w:hint="eastAsia"/>
          <w:u w:val="single"/>
          <w:lang w:val="en-US" w:eastAsia="zh-CN"/>
        </w:rPr>
        <w:t xml:space="preserve">12.12  </w:t>
      </w:r>
      <w:r>
        <w:rPr>
          <w:u w:val="single"/>
          <w:lang w:eastAsia="zh-CN"/>
        </w:rPr>
        <w:t>转让</w:t>
      </w:r>
    </w:p>
    <w:p w14:paraId="5C1F1260">
      <w:pPr>
        <w:pStyle w:val="47"/>
        <w:numPr>
          <w:ilvl w:val="0"/>
          <w:numId w:val="0"/>
        </w:numPr>
        <w:spacing w:before="50" w:after="50" w:line="288" w:lineRule="auto"/>
        <w:ind w:firstLine="480" w:firstLineChars="200"/>
        <w:rPr>
          <w:iCs/>
          <w:lang w:eastAsia="zh-CN"/>
        </w:rPr>
      </w:pPr>
      <w:r>
        <w:rPr>
          <w:lang w:eastAsia="zh-CN"/>
        </w:rPr>
        <w:t xml:space="preserve">未经其他各方事先书面同意，一方不得全部或部分出让、转让其在本协议项下的任何权利或义务，为其在本协议项下的任何权利或义务之利益宣布信托，或以任何其他方式处分其在本协议项下的任何权利或义务。 </w:t>
      </w:r>
    </w:p>
    <w:p w14:paraId="320307E3">
      <w:pPr>
        <w:pStyle w:val="47"/>
        <w:numPr>
          <w:ilvl w:val="1"/>
          <w:numId w:val="0"/>
        </w:numPr>
        <w:tabs>
          <w:tab w:val="clear" w:pos="1146"/>
        </w:tabs>
        <w:spacing w:before="50" w:after="50" w:line="288" w:lineRule="auto"/>
        <w:rPr>
          <w:iCs/>
          <w:u w:val="single"/>
          <w:lang w:eastAsia="zh-CN"/>
        </w:rPr>
      </w:pPr>
      <w:bookmarkStart w:id="143" w:name="_Toc44985692"/>
      <w:bookmarkStart w:id="144" w:name="_Toc41903164"/>
      <w:bookmarkStart w:id="145" w:name="_Toc55773663"/>
      <w:r>
        <w:rPr>
          <w:rFonts w:hint="eastAsia"/>
          <w:u w:val="single"/>
          <w:lang w:val="en-US" w:eastAsia="zh-CN"/>
        </w:rPr>
        <w:t xml:space="preserve">12.13 </w:t>
      </w:r>
      <w:bookmarkEnd w:id="143"/>
      <w:bookmarkEnd w:id="144"/>
      <w:bookmarkEnd w:id="145"/>
      <w:r>
        <w:rPr>
          <w:rFonts w:hint="eastAsia"/>
          <w:u w:val="single"/>
          <w:lang w:val="en-US" w:eastAsia="zh-CN"/>
        </w:rPr>
        <w:t xml:space="preserve"> </w:t>
      </w:r>
      <w:r>
        <w:rPr>
          <w:u w:val="single"/>
        </w:rPr>
        <w:t>成本</w:t>
      </w:r>
    </w:p>
    <w:p w14:paraId="266B6BDE">
      <w:pPr>
        <w:pStyle w:val="47"/>
        <w:numPr>
          <w:ilvl w:val="0"/>
          <w:numId w:val="0"/>
        </w:numPr>
        <w:spacing w:before="50" w:after="50" w:line="288" w:lineRule="auto"/>
        <w:ind w:firstLine="480" w:firstLineChars="200"/>
        <w:rPr>
          <w:lang w:eastAsia="zh-CN"/>
        </w:rPr>
      </w:pPr>
      <w:r>
        <w:rPr>
          <w:lang w:eastAsia="zh-CN"/>
        </w:rPr>
        <w:t>除非本协议或相关文件另有规定，每一方应自行承担该方因协商、制备、签署和履行本协议及本协议提及的各项文件而产生的相关成本。</w:t>
      </w:r>
    </w:p>
    <w:p w14:paraId="1E62F056">
      <w:pPr>
        <w:pStyle w:val="47"/>
        <w:numPr>
          <w:ilvl w:val="0"/>
          <w:numId w:val="0"/>
        </w:numPr>
        <w:spacing w:before="50" w:after="50" w:line="288" w:lineRule="auto"/>
        <w:ind w:firstLine="480" w:firstLineChars="200"/>
        <w:rPr>
          <w:iCs/>
          <w:lang w:eastAsia="zh-CN"/>
        </w:rPr>
      </w:pPr>
      <w:r>
        <w:rPr>
          <w:lang w:eastAsia="zh-CN"/>
        </w:rPr>
        <w:t>除本协议另有规定外，各方应自行承担因其履行本协议而产生的税款相关义务。各方同意，应任何</w:t>
      </w:r>
      <w:r>
        <w:rPr>
          <w:rFonts w:hint="eastAsia"/>
          <w:lang w:eastAsia="zh-CN"/>
        </w:rPr>
        <w:t>一</w:t>
      </w:r>
      <w:r>
        <w:rPr>
          <w:lang w:eastAsia="zh-CN"/>
        </w:rPr>
        <w:t>方的要求，向该另一方提供其控制下的另一方根据适用法律为税款相关报告目的而合理要求的所有信息。</w:t>
      </w:r>
    </w:p>
    <w:bookmarkEnd w:id="142"/>
    <w:p w14:paraId="0E718CF8">
      <w:bookmarkStart w:id="146" w:name="_Toc225049316"/>
    </w:p>
    <w:p w14:paraId="6448237D">
      <w:pPr>
        <w:pStyle w:val="47"/>
        <w:numPr>
          <w:ilvl w:val="0"/>
          <w:numId w:val="0"/>
        </w:numPr>
        <w:spacing w:before="50" w:after="50" w:line="288" w:lineRule="auto"/>
        <w:ind w:left="720"/>
        <w:rPr>
          <w:lang w:eastAsia="zh-CN"/>
        </w:rPr>
      </w:pPr>
    </w:p>
    <w:p w14:paraId="66EF2858">
      <w:pPr>
        <w:pStyle w:val="47"/>
        <w:numPr>
          <w:ilvl w:val="0"/>
          <w:numId w:val="0"/>
        </w:numPr>
        <w:spacing w:before="50" w:after="50" w:line="288" w:lineRule="auto"/>
        <w:ind w:left="720"/>
        <w:rPr>
          <w:lang w:eastAsia="zh-CN"/>
        </w:rPr>
      </w:pPr>
    </w:p>
    <w:p w14:paraId="7FEBB28C">
      <w:pPr>
        <w:pStyle w:val="37"/>
        <w:widowControl w:val="0"/>
        <w:spacing w:before="50" w:after="50" w:line="288" w:lineRule="auto"/>
        <w:ind w:left="720" w:firstLine="0"/>
        <w:jc w:val="both"/>
        <w:rPr>
          <w:rFonts w:ascii="Times New Roman" w:hAnsi="Times New Roman" w:cs="Times New Roman"/>
          <w:b/>
          <w:bCs/>
          <w:w w:val="0"/>
        </w:rPr>
        <w:sectPr>
          <w:headerReference r:id="rId5" w:type="first"/>
          <w:headerReference r:id="rId3" w:type="default"/>
          <w:footerReference r:id="rId6" w:type="default"/>
          <w:headerReference r:id="rId4" w:type="even"/>
          <w:pgSz w:w="11907" w:h="16840"/>
          <w:pgMar w:top="1440" w:right="1440" w:bottom="1440" w:left="1440" w:header="709" w:footer="0" w:gutter="0"/>
          <w:pgNumType w:start="0"/>
          <w:cols w:space="720" w:num="1"/>
          <w:titlePg/>
          <w:docGrid w:linePitch="360" w:charSpace="0"/>
        </w:sectPr>
      </w:pPr>
      <w:bookmarkStart w:id="147" w:name="_DV_M258"/>
      <w:bookmarkEnd w:id="147"/>
    </w:p>
    <w:bookmarkEnd w:id="146"/>
    <w:p w14:paraId="43139DB2">
      <w:pPr>
        <w:spacing w:before="50" w:after="50" w:line="288" w:lineRule="auto"/>
        <w:rPr>
          <w:bCs/>
          <w:w w:val="0"/>
          <w:sz w:val="24"/>
        </w:rPr>
      </w:pPr>
      <w:r>
        <w:rPr>
          <w:b/>
          <w:bCs/>
          <w:w w:val="0"/>
          <w:sz w:val="24"/>
        </w:rPr>
        <w:t>此证，</w:t>
      </w:r>
      <w:r>
        <w:rPr>
          <w:bCs/>
          <w:w w:val="0"/>
          <w:sz w:val="24"/>
        </w:rPr>
        <w:t>各方正式授权代表兹于本协议首页书明日期签署本协议，以昭信守。</w:t>
      </w:r>
    </w:p>
    <w:p w14:paraId="6295951F">
      <w:pPr>
        <w:spacing w:before="50" w:after="50" w:line="288" w:lineRule="auto"/>
        <w:rPr>
          <w:b/>
          <w:sz w:val="24"/>
        </w:rPr>
      </w:pPr>
    </w:p>
    <w:p w14:paraId="1F86AFD7">
      <w:pPr>
        <w:spacing w:before="50" w:after="50" w:line="288" w:lineRule="auto"/>
        <w:rPr>
          <w:b/>
          <w:sz w:val="24"/>
        </w:rPr>
      </w:pPr>
    </w:p>
    <w:p w14:paraId="65E45053">
      <w:pPr>
        <w:spacing w:before="50" w:after="50" w:line="288" w:lineRule="auto"/>
        <w:rPr>
          <w:sz w:val="24"/>
        </w:rPr>
      </w:pPr>
      <w:r>
        <w:rPr>
          <w:b/>
          <w:bCs/>
          <w:sz w:val="24"/>
        </w:rPr>
        <w:t>腾龙芳烃（漳州）有限公司</w:t>
      </w:r>
    </w:p>
    <w:p w14:paraId="77D82569">
      <w:pPr>
        <w:spacing w:before="50" w:after="50" w:line="288" w:lineRule="auto"/>
        <w:rPr>
          <w:sz w:val="24"/>
        </w:rPr>
      </w:pPr>
      <w:r>
        <w:rPr>
          <w:sz w:val="24"/>
        </w:rPr>
        <w:t>授权代表签字：____________________</w:t>
      </w:r>
    </w:p>
    <w:p w14:paraId="7E95824C">
      <w:pPr>
        <w:spacing w:before="50" w:after="50" w:line="288" w:lineRule="auto"/>
        <w:rPr>
          <w:sz w:val="24"/>
        </w:rPr>
      </w:pPr>
      <w:r>
        <w:rPr>
          <w:sz w:val="24"/>
        </w:rPr>
        <w:t>姓名：</w:t>
      </w:r>
    </w:p>
    <w:p w14:paraId="50C14CCB">
      <w:pPr>
        <w:spacing w:before="50" w:after="50" w:line="288" w:lineRule="auto"/>
        <w:rPr>
          <w:sz w:val="24"/>
        </w:rPr>
      </w:pPr>
      <w:r>
        <w:rPr>
          <w:sz w:val="24"/>
        </w:rPr>
        <w:t>职务：</w:t>
      </w:r>
    </w:p>
    <w:p w14:paraId="22ABEB67">
      <w:pPr>
        <w:spacing w:before="50" w:after="50" w:line="288" w:lineRule="auto"/>
        <w:rPr>
          <w:b/>
          <w:sz w:val="24"/>
        </w:rPr>
      </w:pPr>
    </w:p>
    <w:p w14:paraId="7274DE17">
      <w:pPr>
        <w:spacing w:before="50" w:after="50" w:line="288" w:lineRule="auto"/>
        <w:rPr>
          <w:b/>
          <w:sz w:val="24"/>
          <w:lang w:val="en-GB"/>
        </w:rPr>
      </w:pPr>
    </w:p>
    <w:p w14:paraId="08790980">
      <w:pPr>
        <w:spacing w:before="50" w:after="50" w:line="288" w:lineRule="auto"/>
        <w:rPr>
          <w:sz w:val="24"/>
        </w:rPr>
      </w:pPr>
    </w:p>
    <w:p w14:paraId="266E31C4">
      <w:pPr>
        <w:spacing w:before="50" w:after="50" w:line="288" w:lineRule="auto"/>
        <w:rPr>
          <w:sz w:val="24"/>
        </w:rPr>
      </w:pPr>
      <w:r>
        <w:rPr>
          <w:sz w:val="24"/>
        </w:rPr>
        <w:t>授权代表签字：____________________</w:t>
      </w:r>
    </w:p>
    <w:p w14:paraId="5339496B">
      <w:pPr>
        <w:spacing w:before="50" w:after="50" w:line="288" w:lineRule="auto"/>
        <w:rPr>
          <w:sz w:val="24"/>
        </w:rPr>
      </w:pPr>
      <w:r>
        <w:rPr>
          <w:sz w:val="24"/>
        </w:rPr>
        <w:t>姓名：</w:t>
      </w:r>
    </w:p>
    <w:p w14:paraId="58ACBBCE">
      <w:pPr>
        <w:spacing w:before="50" w:after="50" w:line="288" w:lineRule="auto"/>
        <w:rPr>
          <w:sz w:val="24"/>
        </w:rPr>
      </w:pPr>
      <w:r>
        <w:rPr>
          <w:sz w:val="24"/>
        </w:rPr>
        <w:t>职务：</w:t>
      </w:r>
    </w:p>
    <w:p w14:paraId="75ADAEDD">
      <w:pPr>
        <w:spacing w:before="50" w:after="50" w:line="288" w:lineRule="auto"/>
        <w:rPr>
          <w:sz w:val="24"/>
        </w:rPr>
      </w:pPr>
    </w:p>
    <w:p w14:paraId="231A5D1B">
      <w:pPr>
        <w:spacing w:before="156" w:beforeLines="50" w:after="156" w:afterLines="50" w:line="288" w:lineRule="auto"/>
        <w:rPr>
          <w:b/>
          <w:sz w:val="24"/>
        </w:rPr>
      </w:pPr>
      <w:r>
        <w:rPr>
          <w:sz w:val="24"/>
        </w:rPr>
        <w:br w:type="page"/>
      </w:r>
      <w:r>
        <w:rPr>
          <w:b/>
          <w:sz w:val="24"/>
        </w:rPr>
        <w:t>附件一：出租土地使用权情况一览表</w:t>
      </w:r>
    </w:p>
    <w:p w14:paraId="4E14BD82">
      <w:pPr>
        <w:spacing w:before="156" w:beforeLines="50" w:after="156" w:afterLines="50" w:line="288" w:lineRule="auto"/>
        <w:rPr>
          <w:b/>
          <w:sz w:val="24"/>
        </w:rPr>
      </w:pPr>
      <w:r>
        <w:drawing>
          <wp:inline distT="0" distB="0" distL="114300" distR="114300">
            <wp:extent cx="5003800" cy="3266440"/>
            <wp:effectExtent l="0" t="0" r="6350" b="0"/>
            <wp:docPr id="1" name="图片 1" descr="微信图片_202406172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617202909"/>
                    <pic:cNvPicPr>
                      <a:picLocks noChangeAspect="1"/>
                    </pic:cNvPicPr>
                  </pic:nvPicPr>
                  <pic:blipFill>
                    <a:blip r:embed="rId13"/>
                    <a:stretch>
                      <a:fillRect/>
                    </a:stretch>
                  </pic:blipFill>
                  <pic:spPr>
                    <a:xfrm>
                      <a:off x="0" y="0"/>
                      <a:ext cx="5035781" cy="3287582"/>
                    </a:xfrm>
                    <a:prstGeom prst="rect">
                      <a:avLst/>
                    </a:prstGeom>
                  </pic:spPr>
                </pic:pic>
              </a:graphicData>
            </a:graphic>
          </wp:inline>
        </w:drawing>
      </w:r>
    </w:p>
    <w:p w14:paraId="026C8A8C">
      <w:pPr>
        <w:spacing w:before="156" w:beforeLines="50" w:after="156" w:afterLines="50" w:line="288" w:lineRule="auto"/>
        <w:rPr>
          <w:bCs/>
          <w:w w:val="0"/>
          <w:sz w:val="24"/>
        </w:rPr>
      </w:pPr>
      <w:r>
        <w:rPr>
          <w:bCs/>
          <w:w w:val="0"/>
          <w:sz w:val="24"/>
        </w:rPr>
        <w:t>地块约为1463.91</w:t>
      </w:r>
      <w:r>
        <w:rPr>
          <w:rFonts w:hint="eastAsia"/>
          <w:bCs/>
          <w:w w:val="0"/>
          <w:sz w:val="24"/>
        </w:rPr>
        <w:t>㎡</w:t>
      </w:r>
      <w:r>
        <w:rPr>
          <w:bCs/>
          <w:w w:val="0"/>
          <w:sz w:val="24"/>
        </w:rPr>
        <w:t>（长度139.42m，宽度10.5m，见上图蓝色的区域二），</w:t>
      </w:r>
      <w:r>
        <w:rPr>
          <w:rFonts w:hint="eastAsia"/>
          <w:bCs/>
          <w:w w:val="0"/>
          <w:sz w:val="24"/>
          <w:lang w:val="en-US" w:eastAsia="zh-CN"/>
        </w:rPr>
        <w:t>出租方</w:t>
      </w:r>
      <w:r>
        <w:rPr>
          <w:bCs/>
          <w:w w:val="0"/>
          <w:sz w:val="24"/>
        </w:rPr>
        <w:t>同意</w:t>
      </w:r>
      <w:r>
        <w:rPr>
          <w:rFonts w:hint="eastAsia"/>
          <w:bCs/>
          <w:w w:val="0"/>
          <w:sz w:val="24"/>
        </w:rPr>
        <w:t>将此</w:t>
      </w:r>
      <w:r>
        <w:rPr>
          <w:bCs/>
          <w:w w:val="0"/>
          <w:sz w:val="24"/>
        </w:rPr>
        <w:t>区域土地出租</w:t>
      </w:r>
      <w:r>
        <w:rPr>
          <w:rFonts w:hint="eastAsia"/>
          <w:bCs/>
          <w:w w:val="0"/>
          <w:sz w:val="24"/>
        </w:rPr>
        <w:t>给</w:t>
      </w:r>
      <w:r>
        <w:rPr>
          <w:rFonts w:hint="eastAsia"/>
          <w:bCs/>
          <w:w w:val="0"/>
          <w:sz w:val="24"/>
          <w:lang w:val="en-US" w:eastAsia="zh-CN"/>
        </w:rPr>
        <w:t>承租方</w:t>
      </w:r>
      <w:r>
        <w:rPr>
          <w:rFonts w:hint="eastAsia"/>
          <w:bCs/>
          <w:w w:val="0"/>
          <w:sz w:val="24"/>
        </w:rPr>
        <w:t>。</w:t>
      </w:r>
    </w:p>
    <w:p w14:paraId="5F997A49">
      <w:pPr>
        <w:spacing w:before="156" w:beforeLines="50" w:after="156" w:afterLines="50" w:line="288" w:lineRule="auto"/>
        <w:rPr>
          <w:b/>
          <w:sz w:val="24"/>
        </w:rPr>
      </w:pPr>
    </w:p>
    <w:p w14:paraId="551ABFF5">
      <w:pPr>
        <w:spacing w:before="156" w:beforeLines="50" w:after="156" w:afterLines="50" w:line="288" w:lineRule="auto"/>
        <w:rPr>
          <w:b/>
          <w:sz w:val="24"/>
        </w:rPr>
      </w:pPr>
    </w:p>
    <w:p w14:paraId="699CF69F">
      <w:pPr>
        <w:spacing w:before="156" w:beforeLines="50" w:after="156" w:afterLines="50" w:line="288" w:lineRule="auto"/>
        <w:rPr>
          <w:b/>
          <w:sz w:val="24"/>
        </w:rPr>
      </w:pPr>
    </w:p>
    <w:p w14:paraId="443BBF5F">
      <w:pPr>
        <w:spacing w:before="156" w:beforeLines="50" w:after="156" w:afterLines="50" w:line="288" w:lineRule="auto"/>
        <w:rPr>
          <w:b/>
          <w:sz w:val="24"/>
        </w:rPr>
      </w:pPr>
    </w:p>
    <w:p w14:paraId="296C0002">
      <w:pPr>
        <w:spacing w:before="156" w:beforeLines="50" w:after="156" w:afterLines="50" w:line="288" w:lineRule="auto"/>
        <w:rPr>
          <w:b/>
          <w:sz w:val="24"/>
        </w:rPr>
      </w:pPr>
    </w:p>
    <w:p w14:paraId="1FB90FA2">
      <w:pPr>
        <w:spacing w:before="156" w:beforeLines="50" w:after="156" w:afterLines="50" w:line="288" w:lineRule="auto"/>
        <w:rPr>
          <w:b/>
          <w:sz w:val="24"/>
        </w:rPr>
      </w:pPr>
    </w:p>
    <w:p w14:paraId="2F6E30E5">
      <w:pPr>
        <w:spacing w:before="156" w:beforeLines="50" w:after="156" w:afterLines="50" w:line="288" w:lineRule="auto"/>
        <w:rPr>
          <w:b/>
          <w:sz w:val="24"/>
        </w:rPr>
      </w:pPr>
    </w:p>
    <w:p w14:paraId="5F6177CA">
      <w:pPr>
        <w:spacing w:before="156" w:beforeLines="50" w:after="156" w:afterLines="50" w:line="288" w:lineRule="auto"/>
        <w:rPr>
          <w:b/>
          <w:sz w:val="24"/>
        </w:rPr>
      </w:pPr>
    </w:p>
    <w:p w14:paraId="021CC9FC">
      <w:pPr>
        <w:spacing w:before="156" w:beforeLines="50" w:after="156" w:afterLines="50" w:line="288" w:lineRule="auto"/>
        <w:rPr>
          <w:b/>
          <w:sz w:val="24"/>
        </w:rPr>
      </w:pPr>
    </w:p>
    <w:p w14:paraId="1F0D7529">
      <w:pPr>
        <w:snapToGrid w:val="0"/>
        <w:spacing w:after="156" w:afterLines="50"/>
      </w:pPr>
    </w:p>
    <w:p w14:paraId="30E9FC8B">
      <w:pPr>
        <w:snapToGrid w:val="0"/>
        <w:spacing w:after="156" w:afterLines="50"/>
        <w:rPr>
          <w:rFonts w:hint="default" w:eastAsia="宋体"/>
          <w:lang w:val="en-US" w:eastAsia="zh-CN"/>
        </w:rPr>
      </w:pPr>
      <w:r>
        <w:rPr>
          <w:rFonts w:hint="eastAsia"/>
          <w:lang w:val="en-US" w:eastAsia="zh-CN"/>
        </w:rPr>
        <w:t xml:space="preserve">   </w:t>
      </w:r>
    </w:p>
    <w:p w14:paraId="4D609E47">
      <w:pPr>
        <w:snapToGrid w:val="0"/>
        <w:spacing w:after="156" w:afterLines="50"/>
      </w:pPr>
    </w:p>
    <w:p w14:paraId="5DB72857">
      <w:pPr>
        <w:snapToGrid w:val="0"/>
        <w:spacing w:after="156" w:afterLines="50"/>
      </w:pPr>
    </w:p>
    <w:p w14:paraId="3224E92C">
      <w:pPr>
        <w:snapToGrid w:val="0"/>
        <w:spacing w:before="156" w:beforeLines="50"/>
        <w:rPr>
          <w:rFonts w:hint="eastAsia"/>
        </w:rPr>
      </w:pPr>
    </w:p>
    <w:p w14:paraId="09945CB4">
      <w:pPr>
        <w:snapToGrid w:val="0"/>
        <w:spacing w:before="156" w:beforeLines="50"/>
      </w:pPr>
      <w:r>
        <w:rPr>
          <w:rFonts w:hint="eastAsia"/>
        </w:rPr>
        <w:t>附件二、安全协议</w:t>
      </w:r>
    </w:p>
    <w:p w14:paraId="2B821527">
      <w:pPr>
        <w:pStyle w:val="55"/>
        <w:snapToGrid w:val="0"/>
        <w:ind w:firstLine="0" w:firstLineChars="0"/>
        <w:jc w:val="center"/>
        <w:rPr>
          <w:b/>
          <w:bCs/>
          <w:sz w:val="28"/>
          <w:szCs w:val="28"/>
        </w:rPr>
      </w:pPr>
      <w:bookmarkStart w:id="148" w:name="_Hlk147565935"/>
      <w:r>
        <w:rPr>
          <w:rFonts w:hint="eastAsia"/>
          <w:b/>
          <w:bCs/>
          <w:sz w:val="28"/>
          <w:szCs w:val="28"/>
        </w:rPr>
        <w:t>安全协议</w:t>
      </w:r>
    </w:p>
    <w:bookmarkEnd w:id="148"/>
    <w:p w14:paraId="12693080">
      <w:pPr>
        <w:snapToGrid w:val="0"/>
        <w:jc w:val="center"/>
        <w:rPr>
          <w:b/>
          <w:bCs/>
          <w:sz w:val="28"/>
          <w:szCs w:val="28"/>
        </w:rPr>
      </w:pPr>
    </w:p>
    <w:p w14:paraId="637C0707">
      <w:pPr>
        <w:snapToGrid w:val="0"/>
        <w:spacing w:before="156" w:beforeLines="50"/>
        <w:rPr>
          <w:rFonts w:hint="eastAsia"/>
          <w:bCs/>
          <w:w w:val="0"/>
          <w:sz w:val="24"/>
        </w:rPr>
      </w:pPr>
      <w:r>
        <w:rPr>
          <w:rFonts w:hint="eastAsia"/>
          <w:bCs/>
          <w:w w:val="0"/>
          <w:sz w:val="24"/>
        </w:rPr>
        <w:t>甲方：腾龙芳烃（漳州）有限公司</w:t>
      </w:r>
    </w:p>
    <w:p w14:paraId="3177C77A">
      <w:pPr>
        <w:snapToGrid w:val="0"/>
        <w:spacing w:before="156" w:beforeLines="50"/>
        <w:rPr>
          <w:bCs/>
          <w:w w:val="0"/>
          <w:sz w:val="24"/>
        </w:rPr>
      </w:pPr>
      <w:r>
        <w:rPr>
          <w:rFonts w:hint="eastAsia"/>
          <w:bCs/>
          <w:w w:val="0"/>
          <w:sz w:val="24"/>
          <w:lang w:val="en-US" w:eastAsia="zh-CN"/>
        </w:rPr>
        <w:t>乙方：</w:t>
      </w:r>
    </w:p>
    <w:p w14:paraId="5B2C4F30">
      <w:pPr>
        <w:pStyle w:val="55"/>
        <w:ind w:firstLine="0" w:firstLineChars="0"/>
        <w:jc w:val="left"/>
        <w:rPr>
          <w:rFonts w:hint="eastAsia" w:ascii="宋体" w:hAnsi="宋体"/>
          <w:b/>
          <w:bCs/>
          <w:sz w:val="24"/>
          <w:lang w:val="en-GB"/>
        </w:rPr>
      </w:pPr>
    </w:p>
    <w:p w14:paraId="4DE6D0EF">
      <w:pPr>
        <w:spacing w:before="156" w:beforeLines="50" w:after="156" w:afterLines="50" w:line="288" w:lineRule="auto"/>
        <w:rPr>
          <w:bCs/>
          <w:w w:val="0"/>
          <w:sz w:val="24"/>
        </w:rPr>
      </w:pPr>
      <w:r>
        <w:rPr>
          <w:rFonts w:hint="eastAsia"/>
          <w:bCs/>
          <w:w w:val="0"/>
          <w:sz w:val="24"/>
        </w:rPr>
        <w:t>鉴于乙方将在甲方配套土地上建造高架火炬管廊（以下称为“项目”），为进一步明确甲乙双方在《土地使用权租赁协议》（合同编号：     ）履行过程中的安全生产权利和义务及责任，经双方协商，双方自愿签订本协议，作为前述合同的附件。</w:t>
      </w:r>
    </w:p>
    <w:p w14:paraId="76F05C64">
      <w:pPr>
        <w:numPr>
          <w:ilvl w:val="0"/>
          <w:numId w:val="7"/>
        </w:numPr>
        <w:snapToGrid w:val="0"/>
        <w:spacing w:line="440" w:lineRule="exact"/>
        <w:ind w:left="-502" w:leftChars="-239" w:firstLine="2" w:firstLineChars="211"/>
        <w:rPr>
          <w:b/>
          <w:w w:val="0"/>
          <w:sz w:val="24"/>
        </w:rPr>
      </w:pPr>
      <w:r>
        <w:rPr>
          <w:rFonts w:hint="eastAsia"/>
          <w:b/>
          <w:w w:val="0"/>
          <w:sz w:val="24"/>
        </w:rPr>
        <w:t xml:space="preserve">甲方的权利和义务 </w:t>
      </w:r>
    </w:p>
    <w:p w14:paraId="7E156D79">
      <w:pPr>
        <w:spacing w:before="156" w:beforeLines="50" w:after="156" w:afterLines="50" w:line="288" w:lineRule="auto"/>
        <w:rPr>
          <w:bCs/>
          <w:w w:val="0"/>
          <w:sz w:val="24"/>
        </w:rPr>
      </w:pPr>
      <w:r>
        <w:rPr>
          <w:rFonts w:hint="eastAsia"/>
          <w:bCs/>
          <w:w w:val="0"/>
          <w:sz w:val="24"/>
        </w:rPr>
        <w:t>项目的建设施工及运行阶段，甲方有权在事先通知乙方的情况下对项目现场不定期开展安全生产检查（每年至少检查1次），并督促乙方落实检查问题的整改，甲方负责整改验收确认。为免歧义，无论甲方是否实际行使该项权利，均不减轻乙方在本协议和《土地使用权租赁协议》项下应承担的安全责任。</w:t>
      </w:r>
    </w:p>
    <w:p w14:paraId="36723463">
      <w:pPr>
        <w:numPr>
          <w:ilvl w:val="0"/>
          <w:numId w:val="8"/>
        </w:numPr>
        <w:snapToGrid w:val="0"/>
        <w:spacing w:line="440" w:lineRule="exact"/>
        <w:ind w:left="-59" w:leftChars="-28"/>
        <w:rPr>
          <w:bCs/>
          <w:w w:val="0"/>
          <w:sz w:val="24"/>
        </w:rPr>
      </w:pPr>
      <w:r>
        <w:rPr>
          <w:rFonts w:hint="eastAsia"/>
          <w:bCs/>
          <w:w w:val="0"/>
          <w:sz w:val="24"/>
        </w:rPr>
        <w:t>甲方应指定一名安全联络人，和乙方沟通解决安全生产存在的问题。</w:t>
      </w:r>
    </w:p>
    <w:p w14:paraId="68E79E2D">
      <w:pPr>
        <w:numPr>
          <w:ilvl w:val="0"/>
          <w:numId w:val="8"/>
        </w:numPr>
        <w:snapToGrid w:val="0"/>
        <w:spacing w:line="440" w:lineRule="exact"/>
        <w:ind w:left="-59" w:leftChars="-28"/>
        <w:rPr>
          <w:bCs/>
          <w:w w:val="0"/>
          <w:sz w:val="24"/>
        </w:rPr>
      </w:pPr>
      <w:r>
        <w:rPr>
          <w:rFonts w:hint="eastAsia"/>
          <w:bCs/>
          <w:w w:val="0"/>
          <w:sz w:val="24"/>
        </w:rPr>
        <w:t>针对甲方场所发生的可能影响乙方项目的重大事件时，甲方应及时告知乙方。甲方不能故意的采取任何可能对乙方项目产生实质或不利影响的行为。</w:t>
      </w:r>
    </w:p>
    <w:p w14:paraId="19E16200">
      <w:pPr>
        <w:numPr>
          <w:ilvl w:val="0"/>
          <w:numId w:val="8"/>
        </w:numPr>
        <w:snapToGrid w:val="0"/>
        <w:spacing w:line="440" w:lineRule="exact"/>
        <w:ind w:left="-59" w:leftChars="-28"/>
        <w:rPr>
          <w:bCs/>
          <w:w w:val="0"/>
          <w:sz w:val="24"/>
        </w:rPr>
      </w:pPr>
      <w:r>
        <w:rPr>
          <w:rFonts w:hint="eastAsia"/>
          <w:bCs/>
          <w:w w:val="0"/>
          <w:sz w:val="24"/>
        </w:rPr>
        <w:t>甲方应将乙方需遵守的甲方相关管理规定发给乙方。</w:t>
      </w:r>
    </w:p>
    <w:p w14:paraId="2713EDB1">
      <w:pPr>
        <w:numPr>
          <w:ilvl w:val="0"/>
          <w:numId w:val="8"/>
        </w:numPr>
        <w:snapToGrid w:val="0"/>
        <w:spacing w:line="440" w:lineRule="exact"/>
        <w:ind w:left="-59" w:leftChars="-28"/>
        <w:rPr>
          <w:bCs/>
          <w:w w:val="0"/>
          <w:sz w:val="24"/>
        </w:rPr>
      </w:pPr>
      <w:r>
        <w:rPr>
          <w:rFonts w:hint="eastAsia"/>
          <w:bCs/>
          <w:w w:val="0"/>
          <w:sz w:val="24"/>
        </w:rPr>
        <w:t>在甲方遵守安全、环境保护法规及乙方提出的其他合理限制的条件下，乙方施工阶段甲方拥有24小时按照指定路线进入合同土地的通行权，直到乙方项目建设完成，甲方的通行权将被撤销。双方同意给予对方为急救、消防或安全保卫等紧急需要而快速出入对方土地的权利。</w:t>
      </w:r>
    </w:p>
    <w:p w14:paraId="05DCC72C">
      <w:pPr>
        <w:numPr>
          <w:ilvl w:val="0"/>
          <w:numId w:val="7"/>
        </w:numPr>
        <w:snapToGrid w:val="0"/>
        <w:spacing w:line="440" w:lineRule="exact"/>
        <w:ind w:left="-502" w:leftChars="-239" w:firstLine="2" w:firstLineChars="211"/>
        <w:rPr>
          <w:b/>
          <w:w w:val="0"/>
          <w:sz w:val="24"/>
        </w:rPr>
      </w:pPr>
      <w:r>
        <w:rPr>
          <w:rFonts w:hint="eastAsia"/>
          <w:b/>
          <w:w w:val="0"/>
          <w:sz w:val="24"/>
        </w:rPr>
        <w:t>乙方的权利和义务</w:t>
      </w:r>
    </w:p>
    <w:p w14:paraId="01D18D53">
      <w:pPr>
        <w:numPr>
          <w:ilvl w:val="0"/>
          <w:numId w:val="9"/>
        </w:numPr>
        <w:snapToGrid w:val="0"/>
        <w:spacing w:line="440" w:lineRule="exact"/>
        <w:ind w:left="-59" w:leftChars="-28"/>
        <w:rPr>
          <w:bCs/>
          <w:w w:val="0"/>
          <w:sz w:val="24"/>
        </w:rPr>
      </w:pPr>
      <w:r>
        <w:rPr>
          <w:rFonts w:hint="eastAsia"/>
          <w:bCs/>
          <w:w w:val="0"/>
          <w:sz w:val="24"/>
        </w:rPr>
        <w:t>乙方负责安全、环保、职业卫生、消防等安全生产相关行政手续的办理，确保安全生产运营相关行政手续合法合规。</w:t>
      </w:r>
    </w:p>
    <w:p w14:paraId="01F456DE">
      <w:pPr>
        <w:numPr>
          <w:ilvl w:val="0"/>
          <w:numId w:val="9"/>
        </w:numPr>
        <w:snapToGrid w:val="0"/>
        <w:spacing w:line="440" w:lineRule="exact"/>
        <w:ind w:left="-59" w:leftChars="-28"/>
        <w:rPr>
          <w:bCs/>
          <w:w w:val="0"/>
          <w:sz w:val="24"/>
        </w:rPr>
      </w:pPr>
      <w:r>
        <w:rPr>
          <w:rFonts w:hint="eastAsia"/>
          <w:bCs/>
          <w:w w:val="0"/>
          <w:sz w:val="24"/>
        </w:rPr>
        <w:t>乙方负责项目设计、施工建设、生产运行、设备实施拆除等全生命周期过程的安全生产主体责任的落实，并积极配合甲方的安全生产监管。因乙方原因造成甲方人员、财产等损失的，由乙方承担赔偿责任。</w:t>
      </w:r>
      <w:r>
        <w:rPr>
          <w:bCs/>
          <w:w w:val="0"/>
          <w:sz w:val="24"/>
        </w:rPr>
        <w:t>乙方应承担项目全生命周期的安全生产主要责任，包括但不限于设计、施工、生产运行、设备拆解等，并应积极配合甲方的合理安全生产检查，但此类检查必须事先通知，且不得无理干扰乙方的运营。因乙方</w:t>
      </w:r>
      <w:r>
        <w:rPr>
          <w:rFonts w:hint="eastAsia"/>
          <w:bCs/>
          <w:w w:val="0"/>
          <w:sz w:val="24"/>
        </w:rPr>
        <w:t>或乙方委托的第三方的原因</w:t>
      </w:r>
      <w:r>
        <w:rPr>
          <w:bCs/>
          <w:w w:val="0"/>
          <w:sz w:val="24"/>
        </w:rPr>
        <w:t>而给甲方的人员或财产造成的</w:t>
      </w:r>
      <w:r>
        <w:rPr>
          <w:rFonts w:hint="eastAsia"/>
          <w:bCs/>
          <w:w w:val="0"/>
          <w:sz w:val="24"/>
        </w:rPr>
        <w:t>直接</w:t>
      </w:r>
      <w:r>
        <w:rPr>
          <w:bCs/>
          <w:w w:val="0"/>
          <w:sz w:val="24"/>
        </w:rPr>
        <w:t>损失，乙方应承担赔偿责任。</w:t>
      </w:r>
    </w:p>
    <w:p w14:paraId="26EBAD79">
      <w:pPr>
        <w:numPr>
          <w:ilvl w:val="0"/>
          <w:numId w:val="9"/>
        </w:numPr>
        <w:snapToGrid w:val="0"/>
        <w:spacing w:line="440" w:lineRule="exact"/>
        <w:ind w:left="-59" w:leftChars="-28"/>
        <w:rPr>
          <w:bCs/>
          <w:w w:val="0"/>
          <w:sz w:val="24"/>
        </w:rPr>
      </w:pPr>
      <w:r>
        <w:rPr>
          <w:rFonts w:hint="eastAsia"/>
          <w:bCs/>
          <w:w w:val="0"/>
          <w:sz w:val="24"/>
        </w:rPr>
        <w:t>项目建设过程中，涉及会影响到甲方运营的危险性较高的特殊作业，乙方需提前向甲方报备，并邀请甲方到现场进行安全条件确认，确保乙方的作业不会影响甲方的运营。无论甲方是否实际参与监管，均不减轻乙方应承担的安全责任。</w:t>
      </w:r>
    </w:p>
    <w:p w14:paraId="2DB7BBB3">
      <w:pPr>
        <w:numPr>
          <w:ilvl w:val="0"/>
          <w:numId w:val="9"/>
        </w:numPr>
        <w:snapToGrid w:val="0"/>
        <w:spacing w:line="440" w:lineRule="exact"/>
        <w:ind w:left="-59" w:leftChars="-28"/>
        <w:rPr>
          <w:bCs/>
          <w:w w:val="0"/>
          <w:sz w:val="24"/>
        </w:rPr>
      </w:pPr>
      <w:r>
        <w:rPr>
          <w:rFonts w:hint="eastAsia"/>
          <w:bCs/>
          <w:w w:val="0"/>
          <w:sz w:val="24"/>
        </w:rPr>
        <w:t>乙方应按照最新的法律法规、标准规范要求，做好安全风险管控、隐患排查治理等各类安全生产工作，确保项目本质安全。</w:t>
      </w:r>
    </w:p>
    <w:p w14:paraId="68BE845B">
      <w:pPr>
        <w:numPr>
          <w:ilvl w:val="0"/>
          <w:numId w:val="9"/>
        </w:numPr>
        <w:snapToGrid w:val="0"/>
        <w:spacing w:line="440" w:lineRule="exact"/>
        <w:ind w:left="-59" w:leftChars="-28"/>
        <w:rPr>
          <w:bCs/>
          <w:w w:val="0"/>
          <w:sz w:val="24"/>
        </w:rPr>
      </w:pPr>
      <w:r>
        <w:rPr>
          <w:rFonts w:hint="eastAsia"/>
          <w:bCs/>
          <w:w w:val="0"/>
          <w:sz w:val="24"/>
        </w:rPr>
        <w:t>对于甲方在安全生产监管中发现的问题，根据本安全协议的规定在允许进行安全监督的情况下，乙方应按双方达成一致的行动项落实整改，并及时将整改情况反馈甲方。</w:t>
      </w:r>
    </w:p>
    <w:p w14:paraId="47B24603">
      <w:pPr>
        <w:numPr>
          <w:ilvl w:val="0"/>
          <w:numId w:val="9"/>
        </w:numPr>
        <w:snapToGrid w:val="0"/>
        <w:spacing w:line="440" w:lineRule="exact"/>
        <w:ind w:left="-59" w:leftChars="-28"/>
        <w:rPr>
          <w:bCs/>
          <w:w w:val="0"/>
          <w:sz w:val="24"/>
        </w:rPr>
      </w:pPr>
      <w:r>
        <w:rPr>
          <w:rFonts w:hint="eastAsia"/>
          <w:bCs/>
          <w:w w:val="0"/>
          <w:sz w:val="24"/>
        </w:rPr>
        <w:t>在项目建设阶段及生产运行阶段，乙方应积极配合甲方做好迎接各级政府及第三方检查，并及时落实问题整改。</w:t>
      </w:r>
    </w:p>
    <w:p w14:paraId="0D8EF022">
      <w:pPr>
        <w:numPr>
          <w:ilvl w:val="0"/>
          <w:numId w:val="9"/>
        </w:numPr>
        <w:snapToGrid w:val="0"/>
        <w:spacing w:line="440" w:lineRule="exact"/>
        <w:ind w:left="-59" w:leftChars="-28"/>
        <w:rPr>
          <w:bCs/>
          <w:w w:val="0"/>
          <w:sz w:val="24"/>
        </w:rPr>
      </w:pPr>
      <w:r>
        <w:rPr>
          <w:rFonts w:hint="eastAsia" w:ascii="宋体" w:hAnsi="宋体"/>
          <w:szCs w:val="21"/>
        </w:rPr>
        <w:t>乙</w:t>
      </w:r>
      <w:r>
        <w:rPr>
          <w:rFonts w:hint="eastAsia"/>
          <w:bCs/>
          <w:w w:val="0"/>
          <w:sz w:val="24"/>
        </w:rPr>
        <w:t>方应指定一名安全联络人，和甲方沟通解决安全生产运营存在的问题。</w:t>
      </w:r>
    </w:p>
    <w:p w14:paraId="5191814A">
      <w:pPr>
        <w:numPr>
          <w:ilvl w:val="0"/>
          <w:numId w:val="9"/>
        </w:numPr>
        <w:snapToGrid w:val="0"/>
        <w:spacing w:line="440" w:lineRule="exact"/>
        <w:ind w:left="-59" w:leftChars="-28"/>
        <w:rPr>
          <w:bCs/>
          <w:w w:val="0"/>
          <w:sz w:val="24"/>
        </w:rPr>
      </w:pPr>
      <w:r>
        <w:rPr>
          <w:rFonts w:hint="eastAsia"/>
          <w:bCs/>
          <w:w w:val="0"/>
          <w:sz w:val="24"/>
        </w:rPr>
        <w:t>项目建设期间或生产运行期间发生事故事件或者可能影响甲方的事件时，应及时告知甲方，并做好应急处置。</w:t>
      </w:r>
    </w:p>
    <w:p w14:paraId="2E4ECD53">
      <w:pPr>
        <w:numPr>
          <w:ilvl w:val="0"/>
          <w:numId w:val="9"/>
        </w:numPr>
        <w:snapToGrid w:val="0"/>
        <w:spacing w:line="440" w:lineRule="exact"/>
        <w:ind w:left="-59" w:leftChars="-28"/>
        <w:rPr>
          <w:rFonts w:eastAsiaTheme="minorEastAsia"/>
          <w:w w:val="0"/>
          <w:sz w:val="24"/>
        </w:rPr>
      </w:pPr>
      <w:r>
        <w:rPr>
          <w:rFonts w:hint="eastAsia"/>
          <w:bCs/>
          <w:w w:val="0"/>
          <w:sz w:val="24"/>
        </w:rPr>
        <w:t>乙方需要将装置拆除或重建，如该拆除或重建可能影响甲方的运营，应及时告知甲方，并按照适用的法律法规做好风险辨识、管控工作。</w:t>
      </w:r>
    </w:p>
    <w:p w14:paraId="2027AB17">
      <w:pPr>
        <w:numPr>
          <w:ilvl w:val="0"/>
          <w:numId w:val="9"/>
        </w:numPr>
        <w:snapToGrid w:val="0"/>
        <w:spacing w:line="440" w:lineRule="exact"/>
        <w:ind w:left="-59" w:leftChars="-28"/>
        <w:rPr>
          <w:bCs/>
          <w:w w:val="0"/>
          <w:sz w:val="24"/>
        </w:rPr>
      </w:pPr>
      <w:r>
        <w:rPr>
          <w:rFonts w:hint="eastAsia"/>
          <w:bCs/>
          <w:w w:val="0"/>
          <w:sz w:val="24"/>
        </w:rPr>
        <w:t>由于乙方责任造成生产安全事故，由乙方承担事故责任和经济责任。发生生产安全事故后，乙方负责向有关主管部门报告，迟报或者隐瞒不报生产安全事故，由乙方承担全部责任。</w:t>
      </w:r>
    </w:p>
    <w:p w14:paraId="2CDB6534">
      <w:pPr>
        <w:numPr>
          <w:ilvl w:val="255"/>
          <w:numId w:val="0"/>
        </w:numPr>
        <w:snapToGrid w:val="0"/>
        <w:spacing w:line="440" w:lineRule="exact"/>
        <w:ind w:left="-59" w:leftChars="-28"/>
        <w:rPr>
          <w:bCs/>
          <w:w w:val="0"/>
          <w:sz w:val="24"/>
        </w:rPr>
      </w:pPr>
      <w:r>
        <w:rPr>
          <w:rFonts w:hint="eastAsia"/>
          <w:bCs/>
          <w:w w:val="0"/>
          <w:sz w:val="24"/>
        </w:rPr>
        <w:t>本协议与《土地使用权租赁协议》有效期相同。签订主合同的同时，签订本协议。主合同到期后，本协议同时终止。</w:t>
      </w:r>
    </w:p>
    <w:p w14:paraId="4C92536E">
      <w:pPr>
        <w:numPr>
          <w:ilvl w:val="255"/>
          <w:numId w:val="0"/>
        </w:numPr>
        <w:snapToGrid w:val="0"/>
        <w:spacing w:line="440" w:lineRule="exact"/>
        <w:ind w:left="-59" w:leftChars="-28"/>
        <w:rPr>
          <w:bCs/>
          <w:w w:val="0"/>
          <w:sz w:val="24"/>
        </w:rPr>
      </w:pPr>
      <w:r>
        <w:rPr>
          <w:rFonts w:hint="eastAsia"/>
          <w:bCs/>
          <w:w w:val="0"/>
          <w:sz w:val="24"/>
        </w:rPr>
        <w:t>甲方单位：腾龙芳烃（漳州）有限公司 （公章）</w:t>
      </w:r>
    </w:p>
    <w:p w14:paraId="6A2363F9">
      <w:pPr>
        <w:numPr>
          <w:ilvl w:val="255"/>
          <w:numId w:val="0"/>
        </w:numPr>
        <w:snapToGrid w:val="0"/>
        <w:spacing w:line="440" w:lineRule="exact"/>
        <w:ind w:left="-59" w:leftChars="-28"/>
        <w:rPr>
          <w:bCs/>
          <w:w w:val="0"/>
          <w:sz w:val="24"/>
        </w:rPr>
      </w:pPr>
      <w:r>
        <w:rPr>
          <w:rFonts w:hint="eastAsia"/>
          <w:bCs/>
          <w:w w:val="0"/>
          <w:sz w:val="24"/>
        </w:rPr>
        <w:t>乙方单位：</w:t>
      </w:r>
    </w:p>
    <w:p w14:paraId="6ABF3407">
      <w:pPr>
        <w:numPr>
          <w:ilvl w:val="255"/>
          <w:numId w:val="0"/>
        </w:numPr>
        <w:snapToGrid w:val="0"/>
        <w:spacing w:line="440" w:lineRule="exact"/>
        <w:ind w:left="-59" w:leftChars="-28"/>
        <w:rPr>
          <w:bCs/>
          <w:w w:val="0"/>
          <w:sz w:val="24"/>
        </w:rPr>
      </w:pPr>
      <w:r>
        <w:rPr>
          <w:rFonts w:hint="eastAsia"/>
          <w:bCs/>
          <w:w w:val="0"/>
          <w:sz w:val="24"/>
        </w:rPr>
        <w:t>签订时间：        年    月    日</w:t>
      </w:r>
    </w:p>
    <w:p w14:paraId="45F23636">
      <w:pPr>
        <w:snapToGrid w:val="0"/>
        <w:spacing w:line="440" w:lineRule="exact"/>
        <w:rPr>
          <w:bCs/>
          <w:w w:val="0"/>
          <w:sz w:val="24"/>
        </w:rPr>
      </w:pPr>
    </w:p>
    <w:p w14:paraId="781694C6">
      <w:pPr>
        <w:numPr>
          <w:ilvl w:val="255"/>
          <w:numId w:val="0"/>
        </w:numPr>
        <w:snapToGrid w:val="0"/>
        <w:spacing w:line="440" w:lineRule="exact"/>
        <w:rPr>
          <w:bCs/>
          <w:w w:val="0"/>
          <w:sz w:val="24"/>
        </w:rPr>
      </w:pPr>
    </w:p>
    <w:p w14:paraId="657D6E32">
      <w:pPr>
        <w:spacing w:before="156" w:beforeLines="50" w:after="156" w:afterLines="50" w:line="288" w:lineRule="auto"/>
        <w:rPr>
          <w:bCs/>
          <w:w w:val="0"/>
          <w:sz w:val="24"/>
        </w:rPr>
      </w:pPr>
    </w:p>
    <w:p w14:paraId="56C15987">
      <w:pPr>
        <w:spacing w:before="156" w:beforeLines="50" w:after="156" w:afterLines="50" w:line="288" w:lineRule="auto"/>
        <w:rPr>
          <w:bCs/>
          <w:w w:val="0"/>
          <w:sz w:val="24"/>
        </w:rPr>
      </w:pPr>
    </w:p>
    <w:p w14:paraId="59CB7D2F">
      <w:pPr>
        <w:spacing w:before="156" w:beforeLines="50" w:after="156" w:afterLines="50" w:line="288" w:lineRule="auto"/>
        <w:rPr>
          <w:sz w:val="24"/>
        </w:rPr>
      </w:pPr>
    </w:p>
    <w:sectPr>
      <w:headerReference r:id="rId9" w:type="first"/>
      <w:headerReference r:id="rId7" w:type="default"/>
      <w:footerReference r:id="rId10" w:type="default"/>
      <w:headerReference r:id="rId8" w:type="even"/>
      <w:footerReference r:id="rId11"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Times New Roman Bold">
    <w:panose1 w:val="02020803070505020304"/>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SABIC Typeface Headline Light">
    <w:altName w:val="Segoe Print"/>
    <w:panose1 w:val="00000000000000000000"/>
    <w:charset w:val="00"/>
    <w:family w:val="swiss"/>
    <w:pitch w:val="default"/>
    <w:sig w:usb0="00000000" w:usb1="00000000" w:usb2="00000008" w:usb3="00000000" w:csb0="000000D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9E31">
    <w:pPr>
      <w:pStyle w:val="11"/>
      <w:ind w:left="142"/>
      <w:jc w:val="center"/>
      <w:rPr>
        <w:sz w:val="20"/>
        <w:szCs w:val="20"/>
      </w:rPr>
    </w:pPr>
    <w:r>
      <w:rPr>
        <w:sz w:val="20"/>
        <w:szCs w:val="20"/>
      </w:rPr>
      <w:t xml:space="preserve">- </w:t>
    </w:r>
    <w:r>
      <w:rPr>
        <w:sz w:val="20"/>
        <w:szCs w:val="20"/>
      </w:rPr>
      <w:fldChar w:fldCharType="begin"/>
    </w:r>
    <w:r>
      <w:rPr>
        <w:rStyle w:val="19"/>
        <w:sz w:val="20"/>
        <w:szCs w:val="20"/>
      </w:rPr>
      <w:instrText xml:space="preserve"> PAGE </w:instrText>
    </w:r>
    <w:r>
      <w:rPr>
        <w:sz w:val="20"/>
        <w:szCs w:val="20"/>
      </w:rPr>
      <w:fldChar w:fldCharType="separate"/>
    </w:r>
    <w:r>
      <w:rPr>
        <w:rStyle w:val="19"/>
        <w:sz w:val="20"/>
        <w:szCs w:val="20"/>
      </w:rPr>
      <w:t>20</w:t>
    </w:r>
    <w:r>
      <w:rPr>
        <w:sz w:val="20"/>
        <w:szCs w:val="20"/>
      </w:rPr>
      <w:fldChar w:fldCharType="end"/>
    </w:r>
    <w:r>
      <w:rPr>
        <w:sz w:val="20"/>
        <w:szCs w:val="20"/>
      </w:rPr>
      <w:t xml:space="preserve"> -</w:t>
    </w:r>
  </w:p>
  <w:p w14:paraId="13FE83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2E2C4">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29</w:t>
    </w:r>
    <w:r>
      <w:rPr>
        <w:rStyle w:val="19"/>
      </w:rPr>
      <w:fldChar w:fldCharType="end"/>
    </w:r>
  </w:p>
  <w:p w14:paraId="30F27C1B">
    <w:pPr>
      <w:pStyle w:val="11"/>
    </w:pPr>
  </w:p>
  <w:p w14:paraId="618FD7DF">
    <w:pPr>
      <w:pStyle w:val="11"/>
    </w:pPr>
  </w:p>
  <w:p w14:paraId="66596B76">
    <w:pPr>
      <w:pStyle w:val="11"/>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F4DC3">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06472588">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43C78">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3E567">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top</wp:align>
              </wp:positionV>
              <wp:extent cx="443865" cy="443865"/>
              <wp:effectExtent l="0" t="0" r="0" b="0"/>
              <wp:wrapNone/>
              <wp:docPr id="29330964" name="文本框 2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76982">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spAutoFit/>
                    </wps:bodyPr>
                  </wps:wsp>
                </a:graphicData>
              </a:graphic>
            </wp:anchor>
          </w:drawing>
        </mc:Choice>
        <mc:Fallback>
          <w:pict>
            <v:shape id="文本框 25" o:spid="_x0000_s1026" o:spt="202" type="#_x0000_t202" style="position:absolute;left:0pt;height:34.95pt;width:34.95pt;mso-position-horizontal:left;mso-position-horizontal-relative:page;mso-position-vertical:top;mso-position-vertical-relative:page;mso-wrap-style:none;z-index:251660288;mso-width-relative:page;mso-height-relative:page;" filled="f" stroked="f" coordsize="21600,21600" o:gfxdata="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49+A00gAAAAMBAAAPAAAAAAAAAAEAIAAAACIAAABkcnMvZG93bnJldi54bWxQ&#10;SwECFAAUAAAACACHTuJAZOmAJjYCAABcBAAADgAAAAAAAAABACAAAAAhAQAAZHJzL2Uyb0RvYy54&#10;bWxQSwUGAAAAAAYABgBZAQAAyQUAAAAA&#10;">
              <v:fill on="f" focussize="0,0"/>
              <v:stroke on="f"/>
              <v:imagedata o:title=""/>
              <o:lock v:ext="edit" aspectratio="f"/>
              <v:textbox inset="20pt,15pt,0mm,0mm" style="mso-fit-shape-to-text:t;">
                <w:txbxContent>
                  <w:p w14:paraId="55C76982">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5"/>
      <w:tblW w:w="9214" w:type="dxa"/>
      <w:tblInd w:w="0" w:type="dxa"/>
      <w:tblLayout w:type="fixed"/>
      <w:tblCellMar>
        <w:top w:w="0" w:type="dxa"/>
        <w:left w:w="70" w:type="dxa"/>
        <w:bottom w:w="0" w:type="dxa"/>
        <w:right w:w="70" w:type="dxa"/>
      </w:tblCellMar>
    </w:tblPr>
    <w:tblGrid>
      <w:gridCol w:w="9214"/>
    </w:tblGrid>
    <w:tr w14:paraId="3973D58B">
      <w:tblPrEx>
        <w:tblCellMar>
          <w:top w:w="0" w:type="dxa"/>
          <w:left w:w="70" w:type="dxa"/>
          <w:bottom w:w="0" w:type="dxa"/>
          <w:right w:w="70" w:type="dxa"/>
        </w:tblCellMar>
      </w:tblPrEx>
      <w:trPr>
        <w:cantSplit/>
      </w:trPr>
      <w:tc>
        <w:tcPr>
          <w:tcW w:w="9214" w:type="dxa"/>
        </w:tcPr>
        <w:p w14:paraId="6A2456A8">
          <w:pPr>
            <w:pStyle w:val="58"/>
            <w:framePr w:w="0" w:hSpace="0" w:vSpace="0" w:wrap="auto" w:vAnchor="margin" w:hAnchor="text" w:xAlign="left" w:yAlign="inline"/>
            <w:widowControl w:val="0"/>
            <w:rPr>
              <w:rFonts w:eastAsia="宋体"/>
              <w:b/>
              <w:sz w:val="24"/>
              <w:lang w:eastAsia="zh-CN"/>
            </w:rPr>
          </w:pPr>
        </w:p>
        <w:p w14:paraId="6963EC79">
          <w:pPr>
            <w:ind w:left="-72" w:right="213"/>
            <w:jc w:val="right"/>
          </w:pPr>
        </w:p>
      </w:tc>
    </w:tr>
  </w:tbl>
  <w:p w14:paraId="2BD40B71">
    <w:pPr>
      <w:pStyle w:val="12"/>
      <w:wordWrap w:val="0"/>
      <w:jc w:val="right"/>
    </w:pPr>
    <w:r>
      <w:rPr>
        <w:rFonts w:ascii="SABIC Typeface Headline Light" w:hAnsi="SABIC Typeface Headline Light" w:cs="SABIC Typeface Headline Light"/>
        <w:color w:val="E35205"/>
        <w:sz w:val="20"/>
      </w:rPr>
      <mc:AlternateContent>
        <mc:Choice Requires="wps">
          <w:drawing>
            <wp:anchor distT="0" distB="0" distL="114300" distR="114300" simplePos="0" relativeHeight="251664384" behindDoc="0" locked="0" layoutInCell="0" allowOverlap="1">
              <wp:simplePos x="0" y="0"/>
              <wp:positionH relativeFrom="page">
                <wp:posOffset>565150</wp:posOffset>
              </wp:positionH>
              <wp:positionV relativeFrom="margin">
                <wp:posOffset>133350</wp:posOffset>
              </wp:positionV>
              <wp:extent cx="7772400" cy="419100"/>
              <wp:effectExtent l="0" t="0" r="0" b="0"/>
              <wp:wrapNone/>
              <wp:docPr id="104022704" name="文本框 15"/>
              <wp:cNvGraphicFramePr/>
              <a:graphic xmlns:a="http://schemas.openxmlformats.org/drawingml/2006/main">
                <a:graphicData uri="http://schemas.microsoft.com/office/word/2010/wordprocessingShape">
                  <wps:wsp>
                    <wps:cNvSpPr txBox="1"/>
                    <wps:spPr>
                      <a:xfrm>
                        <a:off x="0" y="0"/>
                        <a:ext cx="7772400" cy="419100"/>
                      </a:xfrm>
                      <a:prstGeom prst="rect">
                        <a:avLst/>
                      </a:prstGeom>
                      <a:noFill/>
                      <a:ln w="6350">
                        <a:noFill/>
                      </a:ln>
                    </wps:spPr>
                    <wps:txbx>
                      <w:txbxContent>
                        <w:p w14:paraId="7716F35F">
                          <w:pPr>
                            <w:jc w:val="left"/>
                            <w:rPr>
                              <w:rFonts w:ascii="SABIC Typeface Headline Light" w:hAnsi="SABIC Typeface Headline Light" w:cs="SABIC Typeface Headline Light"/>
                              <w:color w:val="9E0000"/>
                              <w:sz w:val="20"/>
                            </w:rPr>
                          </w:pPr>
                        </w:p>
                      </w:txbxContent>
                    </wps:txbx>
                    <wps:bodyPr rot="0" spcFirstLastPara="0" vertOverflow="overflow" horzOverflow="overflow" vert="horz" wrap="square" lIns="254000" tIns="0" rIns="91440" bIns="0" numCol="1" spcCol="0" rtlCol="0" fromWordArt="0" anchor="ctr" anchorCtr="0" forceAA="0" compatLnSpc="1">
                      <a:noAutofit/>
                    </wps:bodyPr>
                  </wps:wsp>
                </a:graphicData>
              </a:graphic>
            </wp:anchor>
          </w:drawing>
        </mc:Choice>
        <mc:Fallback>
          <w:pict>
            <v:shape id="文本框 15" o:spid="_x0000_s1026" o:spt="202" type="#_x0000_t202" style="position:absolute;left:0pt;margin-left:44.5pt;margin-top:10.5pt;height:33pt;width:612pt;mso-position-horizontal-relative:page;mso-position-vertical-relative:margin;z-index:251664384;v-text-anchor:middle;mso-width-relative:page;mso-height-relative:page;" filled="f" stroked="f" coordsize="21600,21600" o:allowincell="f" o:gfxdata="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qOI8LVAAAACQEAAA8AAAAAAAAAAQAgAAAAIgAA&#10;AGRycy9kb3ducmV2LnhtbFBLAQIUABQAAAAIAIdO4kBbWutTRAIAAGoEAAAOAAAAAAAAAAEAIAAA&#10;ACQBAABkcnMvZTJvRG9jLnhtbFBLBQYAAAAABgAGAFkBAADaBQAAAAA=&#10;">
              <v:fill on="f" focussize="0,0"/>
              <v:stroke on="f" weight="0.5pt"/>
              <v:imagedata o:title=""/>
              <o:lock v:ext="edit" aspectratio="f"/>
              <v:textbox inset="20pt,0mm,2.54mm,0mm">
                <w:txbxContent>
                  <w:p w14:paraId="7716F35F">
                    <w:pPr>
                      <w:jc w:val="left"/>
                      <w:rPr>
                        <w:rFonts w:ascii="SABIC Typeface Headline Light" w:hAnsi="SABIC Typeface Headline Light" w:cs="SABIC Typeface Headline Light"/>
                        <w:color w:val="9E0000"/>
                        <w:sz w:val="20"/>
                      </w:rPr>
                    </w:pPr>
                  </w:p>
                </w:txbxContent>
              </v:textbox>
            </v:shape>
          </w:pict>
        </mc:Fallback>
      </mc:AlternateContent>
    </w:r>
    <w:r>
      <w:rPr>
        <w:rFonts w:ascii="SABIC Typeface Headline Light" w:hAnsi="SABIC Typeface Headline Light" w:cs="SABIC Typeface Headline Light"/>
        <w:color w:val="E35205"/>
        <w:sz w:val="20"/>
      </w:rPr>
      <mc:AlternateContent>
        <mc:Choice Requires="wps">
          <w:drawing>
            <wp:anchor distT="0" distB="0" distL="114300" distR="114300" simplePos="0" relativeHeight="251667456" behindDoc="0" locked="0" layoutInCell="0" allowOverlap="1">
              <wp:simplePos x="0" y="0"/>
              <wp:positionH relativeFrom="page">
                <wp:align>left</wp:align>
              </wp:positionH>
              <wp:positionV relativeFrom="page">
                <wp:align>top</wp:align>
              </wp:positionV>
              <wp:extent cx="7772400" cy="419100"/>
              <wp:effectExtent l="0" t="0" r="0" b="0"/>
              <wp:wrapNone/>
              <wp:docPr id="926037171" name="MSIPCMdf61478d8a5d321c97a71c2a" descr="{&quot;HashCode&quot;:176884232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19100"/>
                      </a:xfrm>
                      <a:prstGeom prst="rect">
                        <a:avLst/>
                      </a:prstGeom>
                      <a:noFill/>
                      <a:ln w="6350">
                        <a:noFill/>
                      </a:ln>
                    </wps:spPr>
                    <wps:txbx>
                      <w:txbxContent>
                        <w:p w14:paraId="44E11F9B">
                          <w:pPr>
                            <w:pStyle w:val="58"/>
                            <w:widowControl w:val="0"/>
                            <w:ind w:left="0"/>
                            <w:jc w:val="left"/>
                            <w:rPr>
                              <w:rFonts w:ascii="SABIC Typeface Headline Light" w:hAnsi="SABIC Typeface Headline Light" w:cs="SABIC Typeface Headline Light"/>
                              <w:color w:val="E35205"/>
                            </w:rPr>
                          </w:pPr>
                        </w:p>
                      </w:txbxContent>
                    </wps:txbx>
                    <wps:bodyPr rot="0" spcFirstLastPara="0" vertOverflow="overflow" horzOverflow="overflow" vert="horz" wrap="square" lIns="254000" tIns="0" rIns="91440" bIns="0" numCol="1" spcCol="0" rtlCol="0" fromWordArt="0" anchor="ctr" anchorCtr="0" forceAA="0" compatLnSpc="1">
                      <a:noAutofit/>
                    </wps:bodyPr>
                  </wps:wsp>
                </a:graphicData>
              </a:graphic>
            </wp:anchor>
          </w:drawing>
        </mc:Choice>
        <mc:Fallback>
          <w:pict>
            <v:shape id="MSIPCMdf61478d8a5d321c97a71c2a" o:spid="_x0000_s1026" o:spt="202" alt="{&quot;HashCode&quot;:1768842329,&quot;Height&quot;:9999999.0,&quot;Width&quot;:9999999.0,&quot;Placement&quot;:&quot;Header&quot;,&quot;Index&quot;:&quot;FirstPage&quot;,&quot;Section&quot;:1,&quot;Top&quot;:0.0,&quot;Left&quot;:0.0}" type="#_x0000_t202" style="position:absolute;left:0pt;height:33pt;width:612pt;mso-position-horizontal:left;mso-position-horizontal-relative:page;mso-position-vertical:top;mso-position-vertical-relative:page;z-index:251667456;v-text-anchor:middle;mso-width-relative:page;mso-height-relative:page;" filled="f" stroked="f" coordsize="21600,21600" o:allowincell="f" o:gfxdata="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vUVUeNMAAAAFAQAADwAAAAAAAAABACAAAAAiAAAAZHJzL2Rv&#10;d25yZXYueG1sUEsBAhQAFAAAAAgAh07iQFTdCS+xAgAAbwUAAA4AAAAAAAAAAQAgAAAAIgEAAGRy&#10;cy9lMm9Eb2MueG1sUEsFBgAAAAAGAAYAWQEAAEUGAAAAAA==&#10;">
              <v:fill on="f" focussize="0,0"/>
              <v:stroke on="f" weight="0.5pt"/>
              <v:imagedata o:title=""/>
              <o:lock v:ext="edit" aspectratio="f"/>
              <v:textbox inset="20pt,0mm,2.54mm,0mm">
                <w:txbxContent>
                  <w:p w14:paraId="44E11F9B">
                    <w:pPr>
                      <w:pStyle w:val="58"/>
                      <w:widowControl w:val="0"/>
                      <w:ind w:left="0"/>
                      <w:jc w:val="left"/>
                      <w:rPr>
                        <w:rFonts w:ascii="SABIC Typeface Headline Light" w:hAnsi="SABIC Typeface Headline Light" w:cs="SABIC Typeface Headline Light"/>
                        <w:color w:val="E35205"/>
                      </w:rPr>
                    </w:pP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945" cy="228600"/>
              <wp:effectExtent l="0" t="0" r="0" b="0"/>
              <wp:wrapNone/>
              <wp:docPr id="80352677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7560945" cy="228600"/>
                      </a:xfrm>
                      <a:prstGeom prst="rect">
                        <a:avLst/>
                      </a:prstGeom>
                      <a:noFill/>
                      <a:ln>
                        <a:noFill/>
                      </a:ln>
                    </wps:spPr>
                    <wps:txbx>
                      <w:txbxContent>
                        <w:p w14:paraId="372E02B8"/>
                      </w:txbxContent>
                    </wps:txbx>
                    <wps:bodyPr rot="0" vert="horz" wrap="square" lIns="254000" tIns="0" rIns="91440" bIns="0" anchor="t" anchorCtr="0" upright="1">
                      <a:noAutofit/>
                    </wps:bodyPr>
                  </wps:wsp>
                </a:graphicData>
              </a:graphic>
            </wp:anchor>
          </w:drawing>
        </mc:Choice>
        <mc:Fallback>
          <w:pict>
            <v:shape id="文本框 11" o:spid="_x0000_s1026" o:spt="202" type="#_x0000_t202" style="position:absolute;left:0pt;margin-left:0pt;margin-top:15pt;height:18pt;width:595.35pt;mso-position-horizontal-relative:page;mso-position-vertical-relative:page;z-index:251659264;mso-width-relative:page;mso-height-relative:page;" filled="f" stroked="f" coordsize="21600,21600" o:allowincell="f" o:gfxdata="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lqhktcA&#10;AAAHAQAADwAAAAAAAAABACAAAAAiAAAAZHJzL2Rvd25yZXYueG1sUEsBAhQAFAAAAAgAh07iQMLm&#10;7aQgAgAAFwQAAA4AAAAAAAAAAQAgAAAAJgEAAGRycy9lMm9Eb2MueG1sUEsFBgAAAAAGAAYAWQEA&#10;ALgFAAAAAA==&#10;">
              <v:fill on="f" focussize="0,0"/>
              <v:stroke on="f"/>
              <v:imagedata o:title=""/>
              <o:lock v:ext="edit" aspectratio="f"/>
              <v:textbox inset="20pt,0mm,2.54mm,0mm">
                <w:txbxContent>
                  <w:p w14:paraId="372E02B8"/>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4BA3A">
    <w:pPr>
      <w:pStyle w:val="12"/>
    </w:pPr>
    <w:r>
      <mc:AlternateContent>
        <mc:Choice Requires="wps">
          <w:drawing>
            <wp:anchor distT="0" distB="0" distL="114300" distR="114300" simplePos="0" relativeHeight="251668480" behindDoc="0" locked="0" layoutInCell="0" allowOverlap="1">
              <wp:simplePos x="0" y="0"/>
              <wp:positionH relativeFrom="page">
                <wp:align>left</wp:align>
              </wp:positionH>
              <wp:positionV relativeFrom="page">
                <wp:align>top</wp:align>
              </wp:positionV>
              <wp:extent cx="7772400" cy="419100"/>
              <wp:effectExtent l="0" t="0" r="0" b="0"/>
              <wp:wrapNone/>
              <wp:docPr id="2013813568" name="MSIPCMa593470693268dd19563a3cc" descr="{&quot;HashCode&quot;:1768842329,&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19100"/>
                      </a:xfrm>
                      <a:prstGeom prst="rect">
                        <a:avLst/>
                      </a:prstGeom>
                      <a:noFill/>
                      <a:ln w="6350">
                        <a:noFill/>
                      </a:ln>
                    </wps:spPr>
                    <wps:txbx>
                      <w:txbxContent>
                        <w:p w14:paraId="080FF285">
                          <w:pPr>
                            <w:jc w:val="left"/>
                            <w:rPr>
                              <w:rFonts w:ascii="SABIC Typeface Headline Light" w:hAnsi="SABIC Typeface Headline Light" w:cs="SABIC Typeface Headline Light"/>
                              <w:color w:val="E35205"/>
                              <w:sz w:val="20"/>
                            </w:rPr>
                          </w:pPr>
                        </w:p>
                      </w:txbxContent>
                    </wps:txbx>
                    <wps:bodyPr rot="0" spcFirstLastPara="0" vertOverflow="overflow" horzOverflow="overflow" vert="horz" wrap="square" lIns="254000" tIns="0" rIns="91440" bIns="0" numCol="1" spcCol="0" rtlCol="0" fromWordArt="0" anchor="ctr" anchorCtr="0" forceAA="0" compatLnSpc="1">
                      <a:noAutofit/>
                    </wps:bodyPr>
                  </wps:wsp>
                </a:graphicData>
              </a:graphic>
            </wp:anchor>
          </w:drawing>
        </mc:Choice>
        <mc:Fallback>
          <w:pict>
            <v:shape id="MSIPCMa593470693268dd19563a3cc" o:spid="_x0000_s1026" o:spt="202" alt="{&quot;HashCode&quot;:1768842329,&quot;Height&quot;:9999999.0,&quot;Width&quot;:9999999.0,&quot;Placement&quot;:&quot;Header&quot;,&quot;Index&quot;:&quot;Primary&quot;,&quot;Section&quot;:2,&quot;Top&quot;:0.0,&quot;Left&quot;:0.0}" type="#_x0000_t202" style="position:absolute;left:0pt;height:33pt;width:612pt;mso-position-horizontal:left;mso-position-horizontal-relative:page;mso-position-vertical:top;mso-position-vertical-relative:page;z-index:251668480;v-text-anchor:middle;mso-width-relative:page;mso-height-relative:page;" filled="f" stroked="f" coordsize="21600,21600" o:allowincell="f" o:gfxdata="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vUVUeNMAAAAFAQAADwAAAAAAAAABACAAAAAiAAAAZHJz&#10;L2Rvd25yZXYueG1sUEsBAhQAFAAAAAgAh07iQKdPSbS0AgAAbgUAAA4AAAAAAAAAAQAgAAAAIgEA&#10;AGRycy9lMm9Eb2MueG1sUEsFBgAAAAAGAAYAWQEAAEgGAAAAAA==&#10;">
              <v:fill on="f" focussize="0,0"/>
              <v:stroke on="f" weight="0.5pt"/>
              <v:imagedata o:title=""/>
              <o:lock v:ext="edit" aspectratio="f"/>
              <v:textbox inset="20pt,0mm,2.54mm,0mm">
                <w:txbxContent>
                  <w:p w14:paraId="080FF285">
                    <w:pPr>
                      <w:jc w:val="left"/>
                      <w:rPr>
                        <w:rFonts w:ascii="SABIC Typeface Headline Light" w:hAnsi="SABIC Typeface Headline Light" w:cs="SABIC Typeface Headline Light"/>
                        <w:color w:val="E35205"/>
                        <w:sz w:val="20"/>
                      </w:rPr>
                    </w:pPr>
                  </w:p>
                </w:txbxContent>
              </v:textbox>
            </v:shape>
          </w:pict>
        </mc:Fallback>
      </mc:AlternateContent>
    </w:r>
    <w:r>
      <mc:AlternateContent>
        <mc:Choice Requires="wps">
          <w:drawing>
            <wp:anchor distT="0" distB="0" distL="0" distR="0" simplePos="0" relativeHeight="251663360" behindDoc="0" locked="0" layoutInCell="1" allowOverlap="1">
              <wp:simplePos x="0" y="0"/>
              <wp:positionH relativeFrom="page">
                <wp:align>left</wp:align>
              </wp:positionH>
              <wp:positionV relativeFrom="page">
                <wp:align>top</wp:align>
              </wp:positionV>
              <wp:extent cx="2089150" cy="345440"/>
              <wp:effectExtent l="0" t="0" r="0" b="0"/>
              <wp:wrapNone/>
              <wp:docPr id="925466249" name="文本框 5"/>
              <wp:cNvGraphicFramePr/>
              <a:graphic xmlns:a="http://schemas.openxmlformats.org/drawingml/2006/main">
                <a:graphicData uri="http://schemas.microsoft.com/office/word/2010/wordprocessingShape">
                  <wps:wsp>
                    <wps:cNvSpPr txBox="1"/>
                    <wps:spPr>
                      <a:xfrm>
                        <a:off x="0" y="0"/>
                        <a:ext cx="2089150" cy="345440"/>
                      </a:xfrm>
                      <a:prstGeom prst="rect">
                        <a:avLst/>
                      </a:prstGeom>
                      <a:noFill/>
                      <a:ln>
                        <a:noFill/>
                      </a:ln>
                    </wps:spPr>
                    <wps:txbx>
                      <w:txbxContent>
                        <w:p w14:paraId="624DFEC5">
                          <w:pPr>
                            <w:rPr>
                              <w:rFonts w:ascii="SABIC Typeface Headline Light" w:hAnsi="SABIC Typeface Headline Light" w:eastAsia="SABIC Typeface Headline Light" w:cs="SABIC Typeface Headline Light"/>
                              <w:color w:val="EE0000"/>
                              <w:sz w:val="20"/>
                              <w:szCs w:val="20"/>
                            </w:rPr>
                          </w:pPr>
                          <w:r>
                            <w:rPr>
                              <w:rFonts w:ascii="SABIC Typeface Headline Light" w:hAnsi="SABIC Typeface Headline Light" w:eastAsia="SABIC Typeface Headline Light" w:cs="SABIC Typeface Headline Light"/>
                              <w:color w:val="EE0000"/>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spAutoFit/>
                    </wps:bodyPr>
                  </wps:wsp>
                </a:graphicData>
              </a:graphic>
            </wp:anchor>
          </w:drawing>
        </mc:Choice>
        <mc:Fallback>
          <w:pict>
            <v:shape id="文本框 5" o:spid="_x0000_s1026" o:spt="202" type="#_x0000_t202" style="position:absolute;left:0pt;height:27.2pt;width:164.5pt;mso-position-horizontal:left;mso-position-horizontal-relative:page;mso-position-vertical:top;mso-position-vertical-relative:page;mso-wrap-style:none;z-index:251663360;mso-width-relative:page;mso-height-relative:page;" filled="f" stroked="f" coordsize="21600,21600" o:gfxdata="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XDIcb1QAAAAQBAAAPAAAAAAAAAAEAIAAAACIAAABkcnMvZG93bnJl&#10;di54bWxQSwECFAAUAAAACACHTuJAQzl1yjkCAABdBAAADgAAAAAAAAABACAAAAAkAQAAZHJzL2Uy&#10;b0RvYy54bWxQSwUGAAAAAAYABgBZAQAAzwUAAAAA&#10;">
              <v:fill on="f" focussize="0,0"/>
              <v:stroke on="f"/>
              <v:imagedata o:title=""/>
              <o:lock v:ext="edit" aspectratio="f"/>
              <v:textbox inset="20pt,15pt,0mm,0mm" style="mso-fit-shape-to-text:t;">
                <w:txbxContent>
                  <w:p w14:paraId="624DFEC5">
                    <w:pPr>
                      <w:rPr>
                        <w:rFonts w:ascii="SABIC Typeface Headline Light" w:hAnsi="SABIC Typeface Headline Light" w:eastAsia="SABIC Typeface Headline Light" w:cs="SABIC Typeface Headline Light"/>
                        <w:color w:val="EE0000"/>
                        <w:sz w:val="20"/>
                        <w:szCs w:val="20"/>
                      </w:rPr>
                    </w:pPr>
                    <w:r>
                      <w:rPr>
                        <w:rFonts w:ascii="SABIC Typeface Headline Light" w:hAnsi="SABIC Typeface Headline Light" w:eastAsia="SABIC Typeface Headline Light" w:cs="SABIC Typeface Headline Light"/>
                        <w:color w:val="EE0000"/>
                        <w:sz w:val="20"/>
                        <w:szCs w:val="20"/>
                      </w:rPr>
                      <w:t xml:space="preserve">Classification: General Business Use </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39316">
    <w:pPr>
      <w:pStyle w:val="12"/>
    </w:pPr>
    <w:r>
      <mc:AlternateContent>
        <mc:Choice Requires="wps">
          <w:drawing>
            <wp:anchor distT="0" distB="0" distL="0" distR="0" simplePos="0" relativeHeight="251662336" behindDoc="0" locked="0" layoutInCell="1" allowOverlap="1">
              <wp:simplePos x="0" y="0"/>
              <wp:positionH relativeFrom="page">
                <wp:align>left</wp:align>
              </wp:positionH>
              <wp:positionV relativeFrom="page">
                <wp:align>top</wp:align>
              </wp:positionV>
              <wp:extent cx="443865" cy="443865"/>
              <wp:effectExtent l="0" t="0" r="0" b="0"/>
              <wp:wrapNone/>
              <wp:docPr id="1283904922" name="文本框 9"/>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9A2C2F">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spAutoFit/>
                    </wps:bodyPr>
                  </wps:wsp>
                </a:graphicData>
              </a:graphic>
            </wp:anchor>
          </w:drawing>
        </mc:Choice>
        <mc:Fallback>
          <w:pict>
            <v:shape id="文本框 9" o:spid="_x0000_s1026" o:spt="202" type="#_x0000_t202" style="position:absolute;left:0pt;height:34.95pt;width:34.95pt;mso-position-horizontal:left;mso-position-horizontal-relative:page;mso-position-vertical:top;mso-position-vertical-relative:page;mso-wrap-style:none;z-index:251662336;mso-width-relative:page;mso-height-relative:page;" filled="f" stroked="f" coordsize="21600,21600" o:gfxdata="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j34DTSAAAAAwEAAA8AAAAAAAAAAQAgAAAAIgAAAGRycy9kb3ducmV2Lnht&#10;bFBLAQIUABQAAAAIAIdO4kAdWjWxOAIAAF0EAAAOAAAAAAAAAAEAIAAAACEBAABkcnMvZTJvRG9j&#10;LnhtbFBLBQYAAAAABgAGAFkBAADLBQAAAAA=&#10;">
              <v:fill on="f" focussize="0,0"/>
              <v:stroke on="f"/>
              <v:imagedata o:title=""/>
              <o:lock v:ext="edit" aspectratio="f"/>
              <v:textbox inset="20pt,15pt,0mm,0mm" style="mso-fit-shape-to-text:t;">
                <w:txbxContent>
                  <w:p w14:paraId="429A2C2F">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CDE17">
    <w:pPr>
      <w:pStyle w:val="12"/>
    </w:pPr>
    <w:r>
      <mc:AlternateContent>
        <mc:Choice Requires="wps">
          <w:drawing>
            <wp:anchor distT="0" distB="0" distL="114300" distR="114300" simplePos="0" relativeHeight="251666432" behindDoc="0" locked="0" layoutInCell="0" allowOverlap="1">
              <wp:simplePos x="0" y="0"/>
              <wp:positionH relativeFrom="page">
                <wp:align>left</wp:align>
              </wp:positionH>
              <wp:positionV relativeFrom="page">
                <wp:align>top</wp:align>
              </wp:positionV>
              <wp:extent cx="7772400" cy="419100"/>
              <wp:effectExtent l="0" t="0" r="0" b="0"/>
              <wp:wrapNone/>
              <wp:docPr id="770086776" name="MSIPCM86a14aa5acce53c47aaaf0a7" descr="{&quot;HashCode&quot;:1768842329,&quot;Height&quot;:9999999.0,&quot;Width&quot;:9999999.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19100"/>
                      </a:xfrm>
                      <a:prstGeom prst="rect">
                        <a:avLst/>
                      </a:prstGeom>
                      <a:noFill/>
                      <a:ln w="6350">
                        <a:noFill/>
                      </a:ln>
                    </wps:spPr>
                    <wps:txbx>
                      <w:txbxContent>
                        <w:p w14:paraId="16F59535">
                          <w:pPr>
                            <w:jc w:val="left"/>
                            <w:rPr>
                              <w:rFonts w:ascii="SABIC Typeface Headline Light" w:hAnsi="SABIC Typeface Headline Light" w:cs="SABIC Typeface Headline Light"/>
                              <w:color w:val="E35205"/>
                              <w:sz w:val="20"/>
                            </w:rPr>
                          </w:pPr>
                          <w:r>
                            <w:rPr>
                              <w:rFonts w:ascii="SABIC Typeface Headline Light" w:hAnsi="SABIC Typeface Headline Light" w:cs="SABIC Typeface Headline Light"/>
                              <w:color w:val="E35205"/>
                              <w:sz w:val="20"/>
                            </w:rPr>
                            <w:t>Classification: Confidential</w:t>
                          </w:r>
                        </w:p>
                      </w:txbxContent>
                    </wps:txbx>
                    <wps:bodyPr rot="0" spcFirstLastPara="0" vertOverflow="overflow" horzOverflow="overflow" vert="horz" wrap="square" lIns="254000" tIns="0" rIns="91440" bIns="0" numCol="1" spcCol="0" rtlCol="0" fromWordArt="0" anchor="ctr" anchorCtr="0" forceAA="0" compatLnSpc="1">
                      <a:noAutofit/>
                    </wps:bodyPr>
                  </wps:wsp>
                </a:graphicData>
              </a:graphic>
            </wp:anchor>
          </w:drawing>
        </mc:Choice>
        <mc:Fallback>
          <w:pict>
            <v:shape id="MSIPCM86a14aa5acce53c47aaaf0a7" o:spid="_x0000_s1026" o:spt="202" alt="{&quot;HashCode&quot;:1768842329,&quot;Height&quot;:9999999.0,&quot;Width&quot;:9999999.0,&quot;Placement&quot;:&quot;Header&quot;,&quot;Index&quot;:&quot;FirstPage&quot;,&quot;Section&quot;:2,&quot;Top&quot;:0.0,&quot;Left&quot;:0.0}" type="#_x0000_t202" style="position:absolute;left:0pt;height:33pt;width:612pt;mso-position-horizontal:left;mso-position-horizontal-relative:page;mso-position-vertical:top;mso-position-vertical-relative:page;z-index:251666432;v-text-anchor:middle;mso-width-relative:page;mso-height-relative:page;" filled="f" stroked="f" coordsize="21600,21600" o:allowincell="f" o:gfxdata="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vUVUeNMAAAAFAQAADwAAAAAAAAABACAAAAAiAAAAZHJzL2Rv&#10;d25yZXYueG1sUEsBAhQAFAAAAAgAh07iQDLCKXqxAgAAbwUAAA4AAAAAAAAAAQAgAAAAIgEAAGRy&#10;cy9lMm9Eb2MueG1sUEsFBgAAAAAGAAYAWQEAAEUGAAAAAA==&#10;">
              <v:fill on="f" focussize="0,0"/>
              <v:stroke on="f" weight="0.5pt"/>
              <v:imagedata o:title=""/>
              <o:lock v:ext="edit" aspectratio="f"/>
              <v:textbox inset="20pt,0mm,2.54mm,0mm">
                <w:txbxContent>
                  <w:p w14:paraId="16F59535">
                    <w:pPr>
                      <w:jc w:val="left"/>
                      <w:rPr>
                        <w:rFonts w:ascii="SABIC Typeface Headline Light" w:hAnsi="SABIC Typeface Headline Light" w:cs="SABIC Typeface Headline Light"/>
                        <w:color w:val="E35205"/>
                        <w:sz w:val="20"/>
                      </w:rPr>
                    </w:pPr>
                    <w:r>
                      <w:rPr>
                        <w:rFonts w:ascii="SABIC Typeface Headline Light" w:hAnsi="SABIC Typeface Headline Light" w:cs="SABIC Typeface Headline Light"/>
                        <w:color w:val="E35205"/>
                        <w:sz w:val="20"/>
                      </w:rPr>
                      <w:t>Classification: Confidential</w:t>
                    </w:r>
                  </w:p>
                </w:txbxContent>
              </v:textbox>
            </v:shape>
          </w:pict>
        </mc:Fallback>
      </mc:AlternateContent>
    </w:r>
    <w:r>
      <mc:AlternateContent>
        <mc:Choice Requires="wps">
          <w:drawing>
            <wp:anchor distT="0" distB="0" distL="114300" distR="114300" simplePos="0" relativeHeight="251665408" behindDoc="0" locked="0" layoutInCell="0" allowOverlap="1">
              <wp:simplePos x="0" y="0"/>
              <wp:positionH relativeFrom="page">
                <wp:align>left</wp:align>
              </wp:positionH>
              <wp:positionV relativeFrom="page">
                <wp:align>top</wp:align>
              </wp:positionV>
              <wp:extent cx="7772400" cy="419100"/>
              <wp:effectExtent l="0" t="0" r="0" b="0"/>
              <wp:wrapNone/>
              <wp:docPr id="1394541606" name="文本框 3"/>
              <wp:cNvGraphicFramePr/>
              <a:graphic xmlns:a="http://schemas.openxmlformats.org/drawingml/2006/main">
                <a:graphicData uri="http://schemas.microsoft.com/office/word/2010/wordprocessingShape">
                  <wps:wsp>
                    <wps:cNvSpPr txBox="1"/>
                    <wps:spPr>
                      <a:xfrm>
                        <a:off x="0" y="0"/>
                        <a:ext cx="7772400" cy="419100"/>
                      </a:xfrm>
                      <a:prstGeom prst="rect">
                        <a:avLst/>
                      </a:prstGeom>
                      <a:noFill/>
                      <a:ln w="6350">
                        <a:noFill/>
                      </a:ln>
                    </wps:spPr>
                    <wps:txbx>
                      <w:txbxContent>
                        <w:p w14:paraId="097FD6E8">
                          <w:pPr>
                            <w:jc w:val="left"/>
                            <w:rPr>
                              <w:rFonts w:ascii="SABIC Typeface Headline Light" w:hAnsi="SABIC Typeface Headline Light" w:cs="SABIC Typeface Headline Light"/>
                              <w:color w:val="9E0000"/>
                              <w:sz w:val="20"/>
                            </w:rPr>
                          </w:pPr>
                          <w:r>
                            <w:rPr>
                              <w:rFonts w:ascii="SABIC Typeface Headline Light" w:hAnsi="SABIC Typeface Headline Light" w:cs="SABIC Typeface Headline Light"/>
                              <w:color w:val="9E0000"/>
                              <w:sz w:val="20"/>
                            </w:rPr>
                            <w:t>Classification: Strictly Confidential</w:t>
                          </w:r>
                        </w:p>
                      </w:txbxContent>
                    </wps:txbx>
                    <wps:bodyPr rot="0" spcFirstLastPara="0" vertOverflow="overflow" horzOverflow="overflow" vert="horz" wrap="square" lIns="254000" tIns="0" rIns="91440" bIns="0" numCol="1" spcCol="0" rtlCol="0" fromWordArt="0" anchor="ctr" anchorCtr="0" forceAA="0" compatLnSpc="1">
                      <a:noAutofit/>
                    </wps:bodyPr>
                  </wps:wsp>
                </a:graphicData>
              </a:graphic>
            </wp:anchor>
          </w:drawing>
        </mc:Choice>
        <mc:Fallback>
          <w:pict>
            <v:shape id="文本框 3" o:spid="_x0000_s1026" o:spt="202" type="#_x0000_t202" style="position:absolute;left:0pt;height:33pt;width:612pt;mso-position-horizontal:left;mso-position-horizontal-relative:page;mso-position-vertical:top;mso-position-vertical-relative:page;z-index:251665408;v-text-anchor:middle;mso-width-relative:page;mso-height-relative:page;" filled="f" stroked="f" coordsize="21600,21600" o:allowincell="f" o:gfxdata="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&#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9RVR40wAAAAUBAAAPAAAAAAAAAAEAIAAAACIAAABk&#10;cnMvZG93bnJldi54bWxQSwECFAAUAAAACACHTuJApD9FiUQCAABqBAAADgAAAAAAAAABACAAAAAi&#10;AQAAZHJzL2Uyb0RvYy54bWxQSwUGAAAAAAYABgBZAQAA2AUAAAAA&#10;">
              <v:fill on="f" focussize="0,0"/>
              <v:stroke on="f" weight="0.5pt"/>
              <v:imagedata o:title=""/>
              <o:lock v:ext="edit" aspectratio="f"/>
              <v:textbox inset="20pt,0mm,2.54mm,0mm">
                <w:txbxContent>
                  <w:p w14:paraId="097FD6E8">
                    <w:pPr>
                      <w:jc w:val="left"/>
                      <w:rPr>
                        <w:rFonts w:ascii="SABIC Typeface Headline Light" w:hAnsi="SABIC Typeface Headline Light" w:cs="SABIC Typeface Headline Light"/>
                        <w:color w:val="9E0000"/>
                        <w:sz w:val="20"/>
                      </w:rPr>
                    </w:pPr>
                    <w:r>
                      <w:rPr>
                        <w:rFonts w:ascii="SABIC Typeface Headline Light" w:hAnsi="SABIC Typeface Headline Light" w:cs="SABIC Typeface Headline Light"/>
                        <w:color w:val="9E0000"/>
                        <w:sz w:val="20"/>
                      </w:rPr>
                      <w:t>Classification: Strictly Confidential</w:t>
                    </w:r>
                  </w:p>
                </w:txbxContent>
              </v:textbox>
            </v:shape>
          </w:pict>
        </mc:Fallback>
      </mc:AlternateContent>
    </w:r>
    <w:r>
      <mc:AlternateContent>
        <mc:Choice Requires="wps">
          <w:drawing>
            <wp:anchor distT="0" distB="0" distL="0" distR="0" simplePos="0" relativeHeight="251661312" behindDoc="0" locked="0" layoutInCell="1" allowOverlap="1">
              <wp:simplePos x="0" y="0"/>
              <wp:positionH relativeFrom="page">
                <wp:align>left</wp:align>
              </wp:positionH>
              <wp:positionV relativeFrom="page">
                <wp:align>top</wp:align>
              </wp:positionV>
              <wp:extent cx="443865" cy="443865"/>
              <wp:effectExtent l="0" t="0" r="0" b="0"/>
              <wp:wrapNone/>
              <wp:docPr id="1644610916" name="文本框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B47912">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wps:txbx>
                    <wps:bodyPr rot="0" spcFirstLastPara="0" vertOverflow="overflow" horzOverflow="overflow" vert="horz" wrap="none" lIns="254000" tIns="190500" rIns="0" bIns="0" numCol="1" spcCol="0" rtlCol="0" fromWordArt="0" anchor="t" anchorCtr="0" forceAA="0" compatLnSpc="1">
                      <a:spAutoFit/>
                    </wps:bodyPr>
                  </wps:wsp>
                </a:graphicData>
              </a:graphic>
            </wp:anchor>
          </w:drawing>
        </mc:Choice>
        <mc:Fallback>
          <w:pict>
            <v:shape id="文本框 1" o:spid="_x0000_s1026" o:spt="202" type="#_x0000_t202" style="position:absolute;left:0pt;height:34.95pt;width:34.95pt;mso-position-horizontal:left;mso-position-horizontal-relative:page;mso-position-vertical:top;mso-position-vertical-relative:page;mso-wrap-style:none;z-index:251661312;mso-width-relative:page;mso-height-relative:page;" filled="f" stroked="f" coordsize="21600,21600" o:gfxdata="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PfgNNIAAAADAQAADwAAAAAAAAABACAAAAAiAAAAZHJzL2Rvd25yZXYueG1s&#10;UEsBAhQAFAAAAAgAh07iQIAkGeU3AgAAXQQAAA4AAAAAAAAAAQAgAAAAIQEAAGRycy9lMm9Eb2Mu&#10;eG1sUEsFBgAAAAAGAAYAWQEAAMoFAAAAAA==&#10;">
              <v:fill on="f" focussize="0,0"/>
              <v:stroke on="f"/>
              <v:imagedata o:title=""/>
              <o:lock v:ext="edit" aspectratio="f"/>
              <v:textbox inset="20pt,15pt,0mm,0mm" style="mso-fit-shape-to-text:t;">
                <w:txbxContent>
                  <w:p w14:paraId="05B47912">
                    <w:pPr>
                      <w:rPr>
                        <w:rFonts w:ascii="SABIC Typeface Headline Light" w:hAnsi="SABIC Typeface Headline Light" w:eastAsia="SABIC Typeface Headline Light" w:cs="SABIC Typeface Headline Light"/>
                        <w:color w:val="A7A8AA"/>
                        <w:sz w:val="20"/>
                        <w:szCs w:val="20"/>
                      </w:rPr>
                    </w:pPr>
                    <w:r>
                      <w:rPr>
                        <w:rFonts w:ascii="SABIC Typeface Headline Light" w:hAnsi="SABIC Typeface Headline Light" w:eastAsia="SABIC Typeface Headline Light" w:cs="SABIC Typeface Headline Light"/>
                        <w:color w:val="A7A8AA"/>
                        <w:sz w:val="20"/>
                        <w:szCs w:val="20"/>
                      </w:rPr>
                      <w:t xml:space="preserve">Classification: General Business Use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247C891"/>
    <w:multiLevelType w:val="singleLevel"/>
    <w:tmpl w:val="B247C891"/>
    <w:lvl w:ilvl="0" w:tentative="0">
      <w:start w:val="1"/>
      <w:numFmt w:val="lowerLetter"/>
      <w:suff w:val="space"/>
      <w:lvlText w:val="(%1)"/>
      <w:lvlJc w:val="left"/>
    </w:lvl>
  </w:abstractNum>
  <w:abstractNum w:abstractNumId="2">
    <w:nsid w:val="C2334007"/>
    <w:multiLevelType w:val="singleLevel"/>
    <w:tmpl w:val="C2334007"/>
    <w:lvl w:ilvl="0" w:tentative="0">
      <w:start w:val="1"/>
      <w:numFmt w:val="lowerLetter"/>
      <w:suff w:val="space"/>
      <w:lvlText w:val="(%1)"/>
      <w:lvlJc w:val="left"/>
    </w:lvl>
  </w:abstractNum>
  <w:abstractNum w:abstractNumId="3">
    <w:nsid w:val="CEB101E9"/>
    <w:multiLevelType w:val="singleLevel"/>
    <w:tmpl w:val="CEB101E9"/>
    <w:lvl w:ilvl="0" w:tentative="0">
      <w:start w:val="1"/>
      <w:numFmt w:val="chineseCounting"/>
      <w:suff w:val="nothing"/>
      <w:lvlText w:val="%1、"/>
      <w:lvlJc w:val="left"/>
      <w:rPr>
        <w:rFonts w:hint="eastAsia"/>
      </w:rPr>
    </w:lvl>
  </w:abstractNum>
  <w:abstractNum w:abstractNumId="4">
    <w:nsid w:val="F5335AFB"/>
    <w:multiLevelType w:val="singleLevel"/>
    <w:tmpl w:val="F5335AFB"/>
    <w:lvl w:ilvl="0" w:tentative="0">
      <w:start w:val="1"/>
      <w:numFmt w:val="lowerLetter"/>
      <w:suff w:val="space"/>
      <w:lvlText w:val="(%1)"/>
      <w:lvlJc w:val="left"/>
    </w:lvl>
  </w:abstractNum>
  <w:abstractNum w:abstractNumId="5">
    <w:nsid w:val="00000009"/>
    <w:multiLevelType w:val="multilevel"/>
    <w:tmpl w:val="00000009"/>
    <w:lvl w:ilvl="0" w:tentative="0">
      <w:start w:val="2"/>
      <w:numFmt w:val="decimal"/>
      <w:pStyle w:val="2"/>
      <w:lvlText w:val="Article %1."/>
      <w:lvlJc w:val="left"/>
      <w:pPr>
        <w:tabs>
          <w:tab w:val="left" w:pos="720"/>
        </w:tabs>
        <w:ind w:left="720" w:hanging="720"/>
      </w:pPr>
      <w:rPr>
        <w:rFonts w:hint="default"/>
        <w:b/>
        <w:bCs/>
        <w:i w:val="0"/>
        <w:iCs w:val="0"/>
        <w:caps/>
        <w:smallCaps w:val="0"/>
        <w:vanish w:val="0"/>
        <w:color w:val="auto"/>
        <w:spacing w:val="0"/>
        <w:sz w:val="24"/>
        <w:szCs w:val="24"/>
        <w:u w:val="none"/>
        <w:vertAlign w:val="baseline"/>
        <w:lang w:val="en-US"/>
      </w:rPr>
    </w:lvl>
    <w:lvl w:ilvl="1" w:tentative="0">
      <w:start w:val="1"/>
      <w:numFmt w:val="decimal"/>
      <w:pStyle w:val="3"/>
      <w:isLgl/>
      <w:lvlText w:val="%1.%2"/>
      <w:lvlJc w:val="left"/>
      <w:pPr>
        <w:tabs>
          <w:tab w:val="left" w:pos="720"/>
        </w:tabs>
        <w:ind w:left="720" w:hanging="720"/>
      </w:pPr>
      <w:rPr>
        <w:rFonts w:hint="default" w:ascii="Times New Roman" w:hAnsi="Times New Roman" w:cs="Times New Roman"/>
        <w:b w:val="0"/>
        <w:bCs/>
        <w:i w:val="0"/>
        <w:iCs w:val="0"/>
        <w:caps w:val="0"/>
        <w:vanish w:val="0"/>
        <w:color w:val="auto"/>
        <w:spacing w:val="0"/>
        <w:sz w:val="24"/>
        <w:szCs w:val="24"/>
        <w:u w:val="none"/>
        <w:vertAlign w:val="baseline"/>
      </w:rPr>
    </w:lvl>
    <w:lvl w:ilvl="2" w:tentative="0">
      <w:start w:val="1"/>
      <w:numFmt w:val="lowerLetter"/>
      <w:pStyle w:val="4"/>
      <w:lvlText w:val="(%3)"/>
      <w:lvlJc w:val="left"/>
      <w:pPr>
        <w:tabs>
          <w:tab w:val="left" w:pos="2279"/>
        </w:tabs>
        <w:ind w:left="2279" w:hanging="720"/>
      </w:pPr>
      <w:rPr>
        <w:rFonts w:hint="default" w:ascii="Times New Roman" w:hAnsi="Times New Roman" w:cs="Times New Roman"/>
        <w:b w:val="0"/>
        <w:bCs w:val="0"/>
        <w:i w:val="0"/>
        <w:iCs w:val="0"/>
        <w:caps w:val="0"/>
        <w:vanish w:val="0"/>
        <w:color w:val="auto"/>
        <w:spacing w:val="0"/>
        <w:sz w:val="24"/>
        <w:szCs w:val="24"/>
        <w:u w:val="none"/>
        <w:vertAlign w:val="baseline"/>
      </w:rPr>
    </w:lvl>
    <w:lvl w:ilvl="3" w:tentative="0">
      <w:start w:val="1"/>
      <w:numFmt w:val="lowerRoman"/>
      <w:pStyle w:val="6"/>
      <w:lvlText w:val="(%4)"/>
      <w:lvlJc w:val="left"/>
      <w:pPr>
        <w:tabs>
          <w:tab w:val="left" w:pos="2160"/>
        </w:tabs>
        <w:ind w:left="2160" w:hanging="720"/>
      </w:pPr>
      <w:rPr>
        <w:rFonts w:hint="default" w:ascii="Times New Roman" w:hAnsi="Times New Roman" w:cs="Times New Roman"/>
        <w:b w:val="0"/>
        <w:bCs w:val="0"/>
        <w:i w:val="0"/>
        <w:iCs w:val="0"/>
        <w:caps w:val="0"/>
        <w:vanish w:val="0"/>
        <w:color w:val="auto"/>
        <w:spacing w:val="0"/>
        <w:sz w:val="24"/>
        <w:szCs w:val="24"/>
        <w:u w:val="none"/>
        <w:vertAlign w:val="baseline"/>
      </w:rPr>
    </w:lvl>
    <w:lvl w:ilvl="4" w:tentative="0">
      <w:start w:val="1"/>
      <w:numFmt w:val="lowerRoman"/>
      <w:lvlText w:val="(%5)"/>
      <w:lvlJc w:val="left"/>
      <w:pPr>
        <w:tabs>
          <w:tab w:val="left" w:pos="2694"/>
        </w:tabs>
        <w:ind w:left="3414" w:hanging="720"/>
      </w:pPr>
      <w:rPr>
        <w:rFonts w:hint="default"/>
        <w:b w:val="0"/>
        <w:bCs/>
        <w:i w:val="0"/>
        <w:iCs w:val="0"/>
        <w:caps/>
        <w:vanish w:val="0"/>
        <w:color w:val="auto"/>
        <w:spacing w:val="0"/>
        <w:sz w:val="24"/>
        <w:szCs w:val="24"/>
        <w:u w:val="none"/>
        <w:vertAlign w:val="baseline"/>
      </w:rPr>
    </w:lvl>
    <w:lvl w:ilvl="5" w:tentative="0">
      <w:start w:val="1"/>
      <w:numFmt w:val="decimal"/>
      <w:lvlText w:val="(%6)"/>
      <w:lvlJc w:val="left"/>
      <w:pPr>
        <w:tabs>
          <w:tab w:val="left" w:pos="5607"/>
        </w:tabs>
        <w:ind w:left="5607" w:hanging="720"/>
      </w:pPr>
      <w:rPr>
        <w:rFonts w:hint="eastAsia"/>
        <w:b w:val="0"/>
        <w:bCs w:val="0"/>
        <w:i w:val="0"/>
        <w:iCs w:val="0"/>
        <w:caps w:val="0"/>
        <w:smallCaps w:val="0"/>
        <w:vanish w:val="0"/>
        <w:color w:val="auto"/>
        <w:spacing w:val="0"/>
        <w:u w:val="none"/>
        <w:vertAlign w:val="baseline"/>
      </w:rPr>
    </w:lvl>
    <w:lvl w:ilvl="6" w:tentative="0">
      <w:start w:val="1"/>
      <w:numFmt w:val="lowerLetter"/>
      <w:lvlText w:val="%7)"/>
      <w:lvlJc w:val="left"/>
      <w:pPr>
        <w:tabs>
          <w:tab w:val="left" w:pos="6327"/>
        </w:tabs>
        <w:ind w:left="6327" w:hanging="720"/>
      </w:pPr>
      <w:rPr>
        <w:rFonts w:hint="eastAsia"/>
        <w:b w:val="0"/>
        <w:bCs w:val="0"/>
        <w:i w:val="0"/>
        <w:iCs w:val="0"/>
        <w:caps w:val="0"/>
        <w:smallCaps w:val="0"/>
        <w:vanish w:val="0"/>
        <w:color w:val="auto"/>
        <w:spacing w:val="0"/>
        <w:u w:val="none"/>
        <w:vertAlign w:val="baseline"/>
      </w:rPr>
    </w:lvl>
    <w:lvl w:ilvl="7" w:tentative="0">
      <w:start w:val="1"/>
      <w:numFmt w:val="lowerRoman"/>
      <w:lvlText w:val="%8)"/>
      <w:lvlJc w:val="left"/>
      <w:pPr>
        <w:tabs>
          <w:tab w:val="left" w:pos="7047"/>
        </w:tabs>
        <w:ind w:left="7047" w:hanging="720"/>
      </w:pPr>
      <w:rPr>
        <w:rFonts w:hint="eastAsia"/>
        <w:b w:val="0"/>
        <w:bCs w:val="0"/>
        <w:i w:val="0"/>
        <w:iCs w:val="0"/>
        <w:caps w:val="0"/>
        <w:smallCaps w:val="0"/>
        <w:vanish w:val="0"/>
        <w:color w:val="auto"/>
        <w:spacing w:val="0"/>
        <w:u w:val="none"/>
        <w:vertAlign w:val="baseline"/>
      </w:rPr>
    </w:lvl>
    <w:lvl w:ilvl="8" w:tentative="0">
      <w:start w:val="1"/>
      <w:numFmt w:val="lowerRoman"/>
      <w:lvlText w:val="%9."/>
      <w:lvlJc w:val="left"/>
      <w:pPr>
        <w:tabs>
          <w:tab w:val="left" w:pos="5247"/>
        </w:tabs>
        <w:ind w:left="5247" w:hanging="360"/>
      </w:pPr>
      <w:rPr>
        <w:rFonts w:hint="eastAsia"/>
      </w:rPr>
    </w:lvl>
  </w:abstractNum>
  <w:abstractNum w:abstractNumId="6">
    <w:nsid w:val="18CFBCC9"/>
    <w:multiLevelType w:val="singleLevel"/>
    <w:tmpl w:val="18CFBCC9"/>
    <w:lvl w:ilvl="0" w:tentative="0">
      <w:start w:val="1"/>
      <w:numFmt w:val="lowerLetter"/>
      <w:suff w:val="space"/>
      <w:lvlText w:val="(%1)"/>
      <w:lvlJc w:val="left"/>
    </w:lvl>
  </w:abstractNum>
  <w:abstractNum w:abstractNumId="7">
    <w:nsid w:val="2B86DC3C"/>
    <w:multiLevelType w:val="singleLevel"/>
    <w:tmpl w:val="2B86DC3C"/>
    <w:lvl w:ilvl="0" w:tentative="0">
      <w:start w:val="1"/>
      <w:numFmt w:val="decimal"/>
      <w:suff w:val="nothing"/>
      <w:lvlText w:val="%1、"/>
      <w:lvlJc w:val="left"/>
    </w:lvl>
  </w:abstractNum>
  <w:abstractNum w:abstractNumId="8">
    <w:nsid w:val="4D935337"/>
    <w:multiLevelType w:val="multilevel"/>
    <w:tmpl w:val="4D935337"/>
    <w:lvl w:ilvl="0" w:tentative="0">
      <w:start w:val="1"/>
      <w:numFmt w:val="decimal"/>
      <w:pStyle w:val="49"/>
      <w:isLgl/>
      <w:lvlText w:val="Article %1"/>
      <w:lvlJc w:val="center"/>
      <w:pPr>
        <w:ind w:left="3250" w:firstLine="720"/>
      </w:pPr>
      <w:rPr>
        <w:rFonts w:hint="default" w:ascii="Times New Roman Bold" w:hAnsi="Times New Roman Bold" w:cs="Times New Roman"/>
        <w:b/>
        <w:bCs w:val="0"/>
        <w:i w:val="0"/>
        <w:caps/>
        <w:strike w:val="0"/>
        <w:dstrike w:val="0"/>
        <w:vanish w:val="0"/>
        <w:color w:val="auto"/>
        <w:sz w:val="24"/>
        <w:u w:val="none"/>
        <w:vertAlign w:val="baseline"/>
      </w:rPr>
    </w:lvl>
    <w:lvl w:ilvl="1" w:tentative="0">
      <w:start w:val="1"/>
      <w:numFmt w:val="decimal"/>
      <w:pStyle w:val="47"/>
      <w:isLgl/>
      <w:lvlText w:val="%1.%2"/>
      <w:lvlJc w:val="left"/>
      <w:pPr>
        <w:tabs>
          <w:tab w:val="left" w:pos="1146"/>
        </w:tabs>
        <w:ind w:left="1146" w:hanging="720"/>
      </w:pPr>
      <w:rPr>
        <w:rFonts w:hint="eastAsia" w:ascii="Times New Roman" w:hAnsi="Times New Roman" w:cs="Times New Roman"/>
        <w:b w:val="0"/>
        <w:i w:val="0"/>
        <w:caps w:val="0"/>
        <w:strike w:val="0"/>
        <w:dstrike w:val="0"/>
        <w:vanish w:val="0"/>
        <w:color w:val="auto"/>
        <w:sz w:val="24"/>
        <w:u w:val="none"/>
        <w:vertAlign w:val="baseline"/>
      </w:rPr>
    </w:lvl>
    <w:lvl w:ilvl="2" w:tentative="0">
      <w:start w:val="1"/>
      <w:numFmt w:val="lowerLetter"/>
      <w:pStyle w:val="45"/>
      <w:lvlText w:val="(%3)"/>
      <w:lvlJc w:val="left"/>
      <w:pPr>
        <w:tabs>
          <w:tab w:val="left" w:pos="1440"/>
        </w:tabs>
        <w:ind w:left="1440" w:hanging="720"/>
      </w:pPr>
      <w:rPr>
        <w:rFonts w:hint="eastAsia" w:ascii="Times New Roman" w:hAnsi="Times New Roman" w:cs="Times New Roman"/>
        <w:b w:val="0"/>
        <w:i w:val="0"/>
        <w:caps w:val="0"/>
        <w:strike w:val="0"/>
        <w:dstrike w:val="0"/>
        <w:vanish w:val="0"/>
        <w:color w:val="auto"/>
        <w:sz w:val="24"/>
        <w:u w:val="none"/>
        <w:vertAlign w:val="baseline"/>
      </w:rPr>
    </w:lvl>
    <w:lvl w:ilvl="3" w:tentative="0">
      <w:start w:val="1"/>
      <w:numFmt w:val="lowerRoman"/>
      <w:pStyle w:val="44"/>
      <w:lvlText w:val="(%4)"/>
      <w:lvlJc w:val="left"/>
      <w:pPr>
        <w:tabs>
          <w:tab w:val="left" w:pos="2160"/>
        </w:tabs>
        <w:ind w:left="2160" w:hanging="720"/>
      </w:pPr>
      <w:rPr>
        <w:rFonts w:hint="eastAsia" w:ascii="Times New Roman" w:hAnsi="Times New Roman" w:cs="Times New Roman"/>
        <w:b w:val="0"/>
        <w:i w:val="0"/>
        <w:caps w:val="0"/>
        <w:strike w:val="0"/>
        <w:dstrike w:val="0"/>
        <w:vanish w:val="0"/>
        <w:color w:val="auto"/>
        <w:sz w:val="24"/>
        <w:u w:val="none"/>
        <w:vertAlign w:val="baseline"/>
      </w:rPr>
    </w:lvl>
    <w:lvl w:ilvl="4" w:tentative="0">
      <w:start w:val="1"/>
      <w:numFmt w:val="upperRoman"/>
      <w:pStyle w:val="43"/>
      <w:lvlText w:val="(%5)"/>
      <w:lvlJc w:val="left"/>
      <w:pPr>
        <w:tabs>
          <w:tab w:val="left" w:pos="2880"/>
        </w:tabs>
        <w:ind w:left="2880" w:hanging="720"/>
      </w:pPr>
      <w:rPr>
        <w:rFonts w:hint="eastAsia" w:ascii="Times New Roman" w:hAnsi="Times New Roman" w:cs="Times New Roman"/>
        <w:b w:val="0"/>
        <w:i w:val="0"/>
        <w:caps w:val="0"/>
        <w:strike w:val="0"/>
        <w:dstrike w:val="0"/>
        <w:vanish w:val="0"/>
        <w:color w:val="auto"/>
        <w:sz w:val="24"/>
        <w:u w:val="none"/>
        <w:vertAlign w:val="baseline"/>
      </w:rPr>
    </w:lvl>
    <w:lvl w:ilvl="5" w:tentative="0">
      <w:start w:val="1"/>
      <w:numFmt w:val="decimal"/>
      <w:pStyle w:val="42"/>
      <w:lvlText w:val="(%6)"/>
      <w:lvlJc w:val="left"/>
      <w:pPr>
        <w:tabs>
          <w:tab w:val="left" w:pos="3600"/>
        </w:tabs>
        <w:ind w:left="3600" w:hanging="720"/>
      </w:pPr>
      <w:rPr>
        <w:rFonts w:hint="eastAsia" w:ascii="Times New Roman" w:hAnsi="Times New Roman" w:cs="Times New Roman"/>
        <w:b w:val="0"/>
        <w:i w:val="0"/>
        <w:caps w:val="0"/>
        <w:strike w:val="0"/>
        <w:dstrike w:val="0"/>
        <w:vanish w:val="0"/>
        <w:color w:val="auto"/>
        <w:sz w:val="24"/>
        <w:u w:val="none"/>
        <w:vertAlign w:val="baseline"/>
      </w:rPr>
    </w:lvl>
    <w:lvl w:ilvl="6" w:tentative="0">
      <w:start w:val="1"/>
      <w:numFmt w:val="none"/>
      <w:lvlRestart w:val="0"/>
      <w:pStyle w:val="41"/>
      <w:suff w:val="nothing"/>
      <w:lvlText w:val=""/>
      <w:lvlJc w:val="left"/>
      <w:pPr>
        <w:ind w:left="0" w:firstLine="0"/>
      </w:pPr>
      <w:rPr>
        <w:rFonts w:hint="eastAsia" w:ascii="Times New Roman" w:hAnsi="Times New Roman" w:cs="Times New Roman"/>
        <w:b w:val="0"/>
        <w:i w:val="0"/>
        <w:caps w:val="0"/>
        <w:strike w:val="0"/>
        <w:dstrike w:val="0"/>
        <w:vanish w:val="0"/>
        <w:color w:val="auto"/>
        <w:sz w:val="24"/>
        <w:u w:val="none"/>
        <w:vertAlign w:val="baseline"/>
      </w:rPr>
    </w:lvl>
    <w:lvl w:ilvl="7" w:tentative="0">
      <w:start w:val="1"/>
      <w:numFmt w:val="none"/>
      <w:lvlRestart w:val="0"/>
      <w:pStyle w:val="40"/>
      <w:suff w:val="nothing"/>
      <w:lvlText w:val=""/>
      <w:lvlJc w:val="left"/>
      <w:pPr>
        <w:ind w:left="0" w:firstLine="0"/>
      </w:pPr>
      <w:rPr>
        <w:rFonts w:hint="eastAsia" w:ascii="Times New Roman" w:hAnsi="Times New Roman" w:cs="Times New Roman"/>
        <w:b w:val="0"/>
        <w:i w:val="0"/>
        <w:caps w:val="0"/>
        <w:strike w:val="0"/>
        <w:dstrike w:val="0"/>
        <w:vanish w:val="0"/>
        <w:color w:val="auto"/>
        <w:sz w:val="24"/>
        <w:u w:val="none"/>
        <w:vertAlign w:val="baseline"/>
      </w:rPr>
    </w:lvl>
    <w:lvl w:ilvl="8" w:tentative="0">
      <w:start w:val="1"/>
      <w:numFmt w:val="none"/>
      <w:lvlRestart w:val="0"/>
      <w:pStyle w:val="39"/>
      <w:suff w:val="nothing"/>
      <w:lvlText w:val=""/>
      <w:lvlJc w:val="left"/>
      <w:pPr>
        <w:ind w:left="0" w:firstLine="0"/>
      </w:pPr>
      <w:rPr>
        <w:rFonts w:hint="eastAsia" w:ascii="Arial" w:hAnsi="Arial" w:cs="Arial"/>
        <w:b w:val="0"/>
        <w:i w:val="0"/>
        <w:caps w:val="0"/>
        <w:strike w:val="0"/>
        <w:dstrike w:val="0"/>
        <w:vanish w:val="0"/>
        <w:color w:val="auto"/>
        <w:sz w:val="24"/>
        <w:u w:val="none"/>
        <w:vertAlign w:val="baseline"/>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6"/>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9FB"/>
    <w:rsid w:val="00002A61"/>
    <w:rsid w:val="00006EAB"/>
    <w:rsid w:val="00014D0D"/>
    <w:rsid w:val="000154C2"/>
    <w:rsid w:val="00015BC8"/>
    <w:rsid w:val="00024128"/>
    <w:rsid w:val="00026B7A"/>
    <w:rsid w:val="000314B5"/>
    <w:rsid w:val="000344B0"/>
    <w:rsid w:val="00035331"/>
    <w:rsid w:val="0004221F"/>
    <w:rsid w:val="00045B78"/>
    <w:rsid w:val="00046F24"/>
    <w:rsid w:val="00054725"/>
    <w:rsid w:val="00057293"/>
    <w:rsid w:val="0006265A"/>
    <w:rsid w:val="00062689"/>
    <w:rsid w:val="00062D38"/>
    <w:rsid w:val="00067876"/>
    <w:rsid w:val="000743C7"/>
    <w:rsid w:val="0007727A"/>
    <w:rsid w:val="0008202D"/>
    <w:rsid w:val="0008356A"/>
    <w:rsid w:val="000871C8"/>
    <w:rsid w:val="00095C3E"/>
    <w:rsid w:val="00097426"/>
    <w:rsid w:val="000A0438"/>
    <w:rsid w:val="000B6960"/>
    <w:rsid w:val="000C350A"/>
    <w:rsid w:val="000C5530"/>
    <w:rsid w:val="000D1B2A"/>
    <w:rsid w:val="000D20C2"/>
    <w:rsid w:val="000D3420"/>
    <w:rsid w:val="000D5C3E"/>
    <w:rsid w:val="000D661C"/>
    <w:rsid w:val="000E0E99"/>
    <w:rsid w:val="000E2317"/>
    <w:rsid w:val="000E32EF"/>
    <w:rsid w:val="000E5573"/>
    <w:rsid w:val="000F082B"/>
    <w:rsid w:val="000F649D"/>
    <w:rsid w:val="001111A9"/>
    <w:rsid w:val="00111929"/>
    <w:rsid w:val="0011415B"/>
    <w:rsid w:val="00123E0C"/>
    <w:rsid w:val="00124C0B"/>
    <w:rsid w:val="00133198"/>
    <w:rsid w:val="00134A9D"/>
    <w:rsid w:val="001379C6"/>
    <w:rsid w:val="00142E9E"/>
    <w:rsid w:val="00145DDE"/>
    <w:rsid w:val="00151C09"/>
    <w:rsid w:val="00153B51"/>
    <w:rsid w:val="0015497C"/>
    <w:rsid w:val="00155DA5"/>
    <w:rsid w:val="00165163"/>
    <w:rsid w:val="00166D18"/>
    <w:rsid w:val="00183359"/>
    <w:rsid w:val="0018453F"/>
    <w:rsid w:val="0018783C"/>
    <w:rsid w:val="0019021C"/>
    <w:rsid w:val="00194341"/>
    <w:rsid w:val="001A1F6A"/>
    <w:rsid w:val="001A30F3"/>
    <w:rsid w:val="001A4C29"/>
    <w:rsid w:val="001A4FED"/>
    <w:rsid w:val="001A66F5"/>
    <w:rsid w:val="001B39ED"/>
    <w:rsid w:val="001B6DCC"/>
    <w:rsid w:val="001C3870"/>
    <w:rsid w:val="001C39AB"/>
    <w:rsid w:val="001C6EB6"/>
    <w:rsid w:val="001C70FD"/>
    <w:rsid w:val="001D49EC"/>
    <w:rsid w:val="001D5DDA"/>
    <w:rsid w:val="001E194E"/>
    <w:rsid w:val="001E4033"/>
    <w:rsid w:val="001F3B58"/>
    <w:rsid w:val="001F3FB2"/>
    <w:rsid w:val="002055B9"/>
    <w:rsid w:val="002137B6"/>
    <w:rsid w:val="00214B65"/>
    <w:rsid w:val="002153AA"/>
    <w:rsid w:val="00222999"/>
    <w:rsid w:val="00230E0E"/>
    <w:rsid w:val="00231569"/>
    <w:rsid w:val="00232084"/>
    <w:rsid w:val="0023315D"/>
    <w:rsid w:val="00233F43"/>
    <w:rsid w:val="0023448D"/>
    <w:rsid w:val="002344A9"/>
    <w:rsid w:val="00234C00"/>
    <w:rsid w:val="00235470"/>
    <w:rsid w:val="00240F60"/>
    <w:rsid w:val="002455C0"/>
    <w:rsid w:val="00255529"/>
    <w:rsid w:val="00255C74"/>
    <w:rsid w:val="002648F4"/>
    <w:rsid w:val="00267F7E"/>
    <w:rsid w:val="00275393"/>
    <w:rsid w:val="002855B1"/>
    <w:rsid w:val="00295562"/>
    <w:rsid w:val="00296FD4"/>
    <w:rsid w:val="002A2907"/>
    <w:rsid w:val="002B5703"/>
    <w:rsid w:val="002C3918"/>
    <w:rsid w:val="002D30D6"/>
    <w:rsid w:val="002E1B50"/>
    <w:rsid w:val="002F1B49"/>
    <w:rsid w:val="002F4A92"/>
    <w:rsid w:val="002F6807"/>
    <w:rsid w:val="003009E7"/>
    <w:rsid w:val="00300B27"/>
    <w:rsid w:val="003012A3"/>
    <w:rsid w:val="00306B19"/>
    <w:rsid w:val="00310993"/>
    <w:rsid w:val="00320195"/>
    <w:rsid w:val="003213CD"/>
    <w:rsid w:val="003244AB"/>
    <w:rsid w:val="003260B2"/>
    <w:rsid w:val="0033128F"/>
    <w:rsid w:val="00342B60"/>
    <w:rsid w:val="00342DEB"/>
    <w:rsid w:val="00343B7A"/>
    <w:rsid w:val="00354718"/>
    <w:rsid w:val="00357448"/>
    <w:rsid w:val="00357FAC"/>
    <w:rsid w:val="0036438D"/>
    <w:rsid w:val="00365931"/>
    <w:rsid w:val="00374098"/>
    <w:rsid w:val="00383A5E"/>
    <w:rsid w:val="00384CFF"/>
    <w:rsid w:val="00390F1C"/>
    <w:rsid w:val="00393E89"/>
    <w:rsid w:val="003972F7"/>
    <w:rsid w:val="003B6525"/>
    <w:rsid w:val="003C01E3"/>
    <w:rsid w:val="003D560B"/>
    <w:rsid w:val="003E5362"/>
    <w:rsid w:val="003E693D"/>
    <w:rsid w:val="003E78D6"/>
    <w:rsid w:val="003F1696"/>
    <w:rsid w:val="003F50BE"/>
    <w:rsid w:val="00401B82"/>
    <w:rsid w:val="00401C87"/>
    <w:rsid w:val="004059CD"/>
    <w:rsid w:val="00413022"/>
    <w:rsid w:val="00413617"/>
    <w:rsid w:val="00416715"/>
    <w:rsid w:val="00420134"/>
    <w:rsid w:val="00423EC6"/>
    <w:rsid w:val="00436C9C"/>
    <w:rsid w:val="00440E34"/>
    <w:rsid w:val="004427CB"/>
    <w:rsid w:val="004436BB"/>
    <w:rsid w:val="00447F3B"/>
    <w:rsid w:val="00454053"/>
    <w:rsid w:val="00455EED"/>
    <w:rsid w:val="00457181"/>
    <w:rsid w:val="004574F4"/>
    <w:rsid w:val="004624D4"/>
    <w:rsid w:val="004700D9"/>
    <w:rsid w:val="004801C9"/>
    <w:rsid w:val="004839BD"/>
    <w:rsid w:val="004845B7"/>
    <w:rsid w:val="004A3191"/>
    <w:rsid w:val="004A66EB"/>
    <w:rsid w:val="004A768C"/>
    <w:rsid w:val="004B51B1"/>
    <w:rsid w:val="004B5E06"/>
    <w:rsid w:val="004C2E14"/>
    <w:rsid w:val="004C44B8"/>
    <w:rsid w:val="004C5354"/>
    <w:rsid w:val="004D536D"/>
    <w:rsid w:val="004E14C9"/>
    <w:rsid w:val="004E1726"/>
    <w:rsid w:val="004E2488"/>
    <w:rsid w:val="004E6918"/>
    <w:rsid w:val="004E6DB9"/>
    <w:rsid w:val="004F11C7"/>
    <w:rsid w:val="004F5A53"/>
    <w:rsid w:val="00511B54"/>
    <w:rsid w:val="005131E1"/>
    <w:rsid w:val="00516B2F"/>
    <w:rsid w:val="00520866"/>
    <w:rsid w:val="00533CAD"/>
    <w:rsid w:val="00533FC2"/>
    <w:rsid w:val="005376B1"/>
    <w:rsid w:val="00541680"/>
    <w:rsid w:val="00542E76"/>
    <w:rsid w:val="00547CD9"/>
    <w:rsid w:val="00553B84"/>
    <w:rsid w:val="00554930"/>
    <w:rsid w:val="005601E5"/>
    <w:rsid w:val="005603DB"/>
    <w:rsid w:val="005633D1"/>
    <w:rsid w:val="005703BB"/>
    <w:rsid w:val="00571A66"/>
    <w:rsid w:val="00572479"/>
    <w:rsid w:val="005752D3"/>
    <w:rsid w:val="00577F08"/>
    <w:rsid w:val="00584F02"/>
    <w:rsid w:val="0059347D"/>
    <w:rsid w:val="005968A9"/>
    <w:rsid w:val="005A0497"/>
    <w:rsid w:val="005A185B"/>
    <w:rsid w:val="005A4640"/>
    <w:rsid w:val="005B1E58"/>
    <w:rsid w:val="005B21DC"/>
    <w:rsid w:val="005B30CC"/>
    <w:rsid w:val="005B3B6C"/>
    <w:rsid w:val="005B673D"/>
    <w:rsid w:val="005C1764"/>
    <w:rsid w:val="005C7815"/>
    <w:rsid w:val="005F00D1"/>
    <w:rsid w:val="005F1809"/>
    <w:rsid w:val="005F5A05"/>
    <w:rsid w:val="005F68B1"/>
    <w:rsid w:val="00600396"/>
    <w:rsid w:val="006010C3"/>
    <w:rsid w:val="00601459"/>
    <w:rsid w:val="0060209F"/>
    <w:rsid w:val="00603C36"/>
    <w:rsid w:val="00604CBE"/>
    <w:rsid w:val="006153DC"/>
    <w:rsid w:val="006179B0"/>
    <w:rsid w:val="0062576E"/>
    <w:rsid w:val="0062580E"/>
    <w:rsid w:val="0062662C"/>
    <w:rsid w:val="00642F98"/>
    <w:rsid w:val="0064531C"/>
    <w:rsid w:val="0064539C"/>
    <w:rsid w:val="00653DEB"/>
    <w:rsid w:val="006546C2"/>
    <w:rsid w:val="00661E00"/>
    <w:rsid w:val="006649BC"/>
    <w:rsid w:val="0066593C"/>
    <w:rsid w:val="006779AA"/>
    <w:rsid w:val="00681513"/>
    <w:rsid w:val="0069379E"/>
    <w:rsid w:val="00694E29"/>
    <w:rsid w:val="006955CF"/>
    <w:rsid w:val="00695610"/>
    <w:rsid w:val="006A0133"/>
    <w:rsid w:val="006A0BDC"/>
    <w:rsid w:val="006A19BD"/>
    <w:rsid w:val="006A2D0E"/>
    <w:rsid w:val="006A5556"/>
    <w:rsid w:val="006B1948"/>
    <w:rsid w:val="006C1337"/>
    <w:rsid w:val="006D0F93"/>
    <w:rsid w:val="006D13FF"/>
    <w:rsid w:val="006D2054"/>
    <w:rsid w:val="006D39B9"/>
    <w:rsid w:val="006D6704"/>
    <w:rsid w:val="006F0178"/>
    <w:rsid w:val="006F0A76"/>
    <w:rsid w:val="00704C4A"/>
    <w:rsid w:val="00712250"/>
    <w:rsid w:val="007169B6"/>
    <w:rsid w:val="0072324B"/>
    <w:rsid w:val="00725F00"/>
    <w:rsid w:val="00730342"/>
    <w:rsid w:val="00732037"/>
    <w:rsid w:val="007349C5"/>
    <w:rsid w:val="00735AEA"/>
    <w:rsid w:val="00735F17"/>
    <w:rsid w:val="00736F49"/>
    <w:rsid w:val="0074307A"/>
    <w:rsid w:val="00743A60"/>
    <w:rsid w:val="00745F10"/>
    <w:rsid w:val="00747017"/>
    <w:rsid w:val="00771F6E"/>
    <w:rsid w:val="00785AF4"/>
    <w:rsid w:val="00791D49"/>
    <w:rsid w:val="00791EBE"/>
    <w:rsid w:val="00795CF9"/>
    <w:rsid w:val="007B155C"/>
    <w:rsid w:val="007B1F64"/>
    <w:rsid w:val="007B2E5C"/>
    <w:rsid w:val="007B3D43"/>
    <w:rsid w:val="007C248D"/>
    <w:rsid w:val="007D1B0C"/>
    <w:rsid w:val="007F25B4"/>
    <w:rsid w:val="007F519F"/>
    <w:rsid w:val="00803914"/>
    <w:rsid w:val="0081111B"/>
    <w:rsid w:val="00813E8E"/>
    <w:rsid w:val="008178A9"/>
    <w:rsid w:val="00821BC1"/>
    <w:rsid w:val="0082550D"/>
    <w:rsid w:val="0082719C"/>
    <w:rsid w:val="00831C0D"/>
    <w:rsid w:val="008326E0"/>
    <w:rsid w:val="00832D88"/>
    <w:rsid w:val="00833350"/>
    <w:rsid w:val="00835829"/>
    <w:rsid w:val="00842B6E"/>
    <w:rsid w:val="00852A10"/>
    <w:rsid w:val="00861A81"/>
    <w:rsid w:val="008778FF"/>
    <w:rsid w:val="008812A4"/>
    <w:rsid w:val="00881692"/>
    <w:rsid w:val="00887514"/>
    <w:rsid w:val="00891177"/>
    <w:rsid w:val="008958B6"/>
    <w:rsid w:val="00896E76"/>
    <w:rsid w:val="008A0082"/>
    <w:rsid w:val="008A52CB"/>
    <w:rsid w:val="008B5C49"/>
    <w:rsid w:val="008C2445"/>
    <w:rsid w:val="008C2FFA"/>
    <w:rsid w:val="008C6AED"/>
    <w:rsid w:val="008D0B57"/>
    <w:rsid w:val="008D1B7A"/>
    <w:rsid w:val="008D1CF3"/>
    <w:rsid w:val="008D294E"/>
    <w:rsid w:val="008D444B"/>
    <w:rsid w:val="008E0BDF"/>
    <w:rsid w:val="008F267E"/>
    <w:rsid w:val="008F3FF5"/>
    <w:rsid w:val="008F40AD"/>
    <w:rsid w:val="00902FE3"/>
    <w:rsid w:val="00921F39"/>
    <w:rsid w:val="00922708"/>
    <w:rsid w:val="00922AFD"/>
    <w:rsid w:val="00922E80"/>
    <w:rsid w:val="009238AD"/>
    <w:rsid w:val="00933478"/>
    <w:rsid w:val="00933A6C"/>
    <w:rsid w:val="009402F0"/>
    <w:rsid w:val="009447B3"/>
    <w:rsid w:val="009523E9"/>
    <w:rsid w:val="00952D62"/>
    <w:rsid w:val="00954B5B"/>
    <w:rsid w:val="00955C3F"/>
    <w:rsid w:val="00957567"/>
    <w:rsid w:val="009631BE"/>
    <w:rsid w:val="00964D38"/>
    <w:rsid w:val="0097548B"/>
    <w:rsid w:val="00975A7F"/>
    <w:rsid w:val="00976685"/>
    <w:rsid w:val="00977134"/>
    <w:rsid w:val="00981AAA"/>
    <w:rsid w:val="0099478A"/>
    <w:rsid w:val="00995074"/>
    <w:rsid w:val="00995CE2"/>
    <w:rsid w:val="009A0AF9"/>
    <w:rsid w:val="009A5CB6"/>
    <w:rsid w:val="009B0769"/>
    <w:rsid w:val="009B2ECF"/>
    <w:rsid w:val="009B384B"/>
    <w:rsid w:val="009C6BFB"/>
    <w:rsid w:val="009C750F"/>
    <w:rsid w:val="009E4737"/>
    <w:rsid w:val="009F2628"/>
    <w:rsid w:val="009F68B0"/>
    <w:rsid w:val="00A002F1"/>
    <w:rsid w:val="00A03793"/>
    <w:rsid w:val="00A03B57"/>
    <w:rsid w:val="00A04C4B"/>
    <w:rsid w:val="00A05FF1"/>
    <w:rsid w:val="00A06373"/>
    <w:rsid w:val="00A129FB"/>
    <w:rsid w:val="00A223EF"/>
    <w:rsid w:val="00A34A52"/>
    <w:rsid w:val="00A362DD"/>
    <w:rsid w:val="00A428AF"/>
    <w:rsid w:val="00A45CE9"/>
    <w:rsid w:val="00A5264F"/>
    <w:rsid w:val="00A5307C"/>
    <w:rsid w:val="00A53FA2"/>
    <w:rsid w:val="00A61FE1"/>
    <w:rsid w:val="00A63E90"/>
    <w:rsid w:val="00A71A33"/>
    <w:rsid w:val="00A7651F"/>
    <w:rsid w:val="00A775A8"/>
    <w:rsid w:val="00A84315"/>
    <w:rsid w:val="00A85343"/>
    <w:rsid w:val="00A87B10"/>
    <w:rsid w:val="00AA29A9"/>
    <w:rsid w:val="00AB6B34"/>
    <w:rsid w:val="00AB71D5"/>
    <w:rsid w:val="00AC1392"/>
    <w:rsid w:val="00AC2460"/>
    <w:rsid w:val="00AC2484"/>
    <w:rsid w:val="00AD5CDE"/>
    <w:rsid w:val="00AD6848"/>
    <w:rsid w:val="00AE0D50"/>
    <w:rsid w:val="00AE23A5"/>
    <w:rsid w:val="00AF36B8"/>
    <w:rsid w:val="00AF36F0"/>
    <w:rsid w:val="00AF4072"/>
    <w:rsid w:val="00AF69ED"/>
    <w:rsid w:val="00B00730"/>
    <w:rsid w:val="00B03810"/>
    <w:rsid w:val="00B03C8D"/>
    <w:rsid w:val="00B04CCD"/>
    <w:rsid w:val="00B06E5A"/>
    <w:rsid w:val="00B07B44"/>
    <w:rsid w:val="00B1570A"/>
    <w:rsid w:val="00B21FCF"/>
    <w:rsid w:val="00B22974"/>
    <w:rsid w:val="00B24301"/>
    <w:rsid w:val="00B3237C"/>
    <w:rsid w:val="00B3511E"/>
    <w:rsid w:val="00B37214"/>
    <w:rsid w:val="00B42D29"/>
    <w:rsid w:val="00B54DE3"/>
    <w:rsid w:val="00B63769"/>
    <w:rsid w:val="00B64161"/>
    <w:rsid w:val="00B6573C"/>
    <w:rsid w:val="00B67B01"/>
    <w:rsid w:val="00B7696A"/>
    <w:rsid w:val="00B838DF"/>
    <w:rsid w:val="00B83B9F"/>
    <w:rsid w:val="00B84D3C"/>
    <w:rsid w:val="00B9382C"/>
    <w:rsid w:val="00B9752B"/>
    <w:rsid w:val="00BA638B"/>
    <w:rsid w:val="00BB38C2"/>
    <w:rsid w:val="00BB5AEF"/>
    <w:rsid w:val="00BC198D"/>
    <w:rsid w:val="00BC548F"/>
    <w:rsid w:val="00BD430E"/>
    <w:rsid w:val="00BE3D1B"/>
    <w:rsid w:val="00BE6201"/>
    <w:rsid w:val="00BF076E"/>
    <w:rsid w:val="00BF1009"/>
    <w:rsid w:val="00BF10AC"/>
    <w:rsid w:val="00BF497E"/>
    <w:rsid w:val="00BF60E3"/>
    <w:rsid w:val="00C00033"/>
    <w:rsid w:val="00C15B0E"/>
    <w:rsid w:val="00C17E15"/>
    <w:rsid w:val="00C222A1"/>
    <w:rsid w:val="00C25FEA"/>
    <w:rsid w:val="00C327CB"/>
    <w:rsid w:val="00C35354"/>
    <w:rsid w:val="00C40950"/>
    <w:rsid w:val="00C46336"/>
    <w:rsid w:val="00C46D63"/>
    <w:rsid w:val="00C4757E"/>
    <w:rsid w:val="00C513CD"/>
    <w:rsid w:val="00C519AC"/>
    <w:rsid w:val="00C5548D"/>
    <w:rsid w:val="00C57127"/>
    <w:rsid w:val="00C604AD"/>
    <w:rsid w:val="00C617E1"/>
    <w:rsid w:val="00C619D4"/>
    <w:rsid w:val="00C63A5C"/>
    <w:rsid w:val="00C646EB"/>
    <w:rsid w:val="00C70643"/>
    <w:rsid w:val="00C8607F"/>
    <w:rsid w:val="00C87C2A"/>
    <w:rsid w:val="00C920B3"/>
    <w:rsid w:val="00C929AD"/>
    <w:rsid w:val="00C95F7A"/>
    <w:rsid w:val="00CA2019"/>
    <w:rsid w:val="00CA39D7"/>
    <w:rsid w:val="00CA6E66"/>
    <w:rsid w:val="00CB0A86"/>
    <w:rsid w:val="00CB2B35"/>
    <w:rsid w:val="00CB6AAF"/>
    <w:rsid w:val="00CC28B5"/>
    <w:rsid w:val="00CC5CC2"/>
    <w:rsid w:val="00CC6AAF"/>
    <w:rsid w:val="00CC7C43"/>
    <w:rsid w:val="00CD3A0F"/>
    <w:rsid w:val="00CF386D"/>
    <w:rsid w:val="00D00ECC"/>
    <w:rsid w:val="00D0114E"/>
    <w:rsid w:val="00D06182"/>
    <w:rsid w:val="00D068B1"/>
    <w:rsid w:val="00D06C42"/>
    <w:rsid w:val="00D1308B"/>
    <w:rsid w:val="00D21815"/>
    <w:rsid w:val="00D274FB"/>
    <w:rsid w:val="00D31356"/>
    <w:rsid w:val="00D34BC9"/>
    <w:rsid w:val="00D370CF"/>
    <w:rsid w:val="00D47CFF"/>
    <w:rsid w:val="00D47E7B"/>
    <w:rsid w:val="00D52735"/>
    <w:rsid w:val="00D527EE"/>
    <w:rsid w:val="00D53CCF"/>
    <w:rsid w:val="00D540A8"/>
    <w:rsid w:val="00D561BD"/>
    <w:rsid w:val="00D562D3"/>
    <w:rsid w:val="00D6210E"/>
    <w:rsid w:val="00D704E9"/>
    <w:rsid w:val="00D71D2D"/>
    <w:rsid w:val="00D74196"/>
    <w:rsid w:val="00D7456F"/>
    <w:rsid w:val="00D752ED"/>
    <w:rsid w:val="00D758A2"/>
    <w:rsid w:val="00D75E41"/>
    <w:rsid w:val="00D766E8"/>
    <w:rsid w:val="00D84158"/>
    <w:rsid w:val="00D849FB"/>
    <w:rsid w:val="00D90FDD"/>
    <w:rsid w:val="00D913FC"/>
    <w:rsid w:val="00D914FF"/>
    <w:rsid w:val="00D9618F"/>
    <w:rsid w:val="00DA2D4A"/>
    <w:rsid w:val="00DB162C"/>
    <w:rsid w:val="00DB5C72"/>
    <w:rsid w:val="00DB6F1D"/>
    <w:rsid w:val="00DC5AC8"/>
    <w:rsid w:val="00DC64A7"/>
    <w:rsid w:val="00DC664F"/>
    <w:rsid w:val="00DD0080"/>
    <w:rsid w:val="00DD1371"/>
    <w:rsid w:val="00DD5659"/>
    <w:rsid w:val="00DE2585"/>
    <w:rsid w:val="00DE68C8"/>
    <w:rsid w:val="00DE7DA8"/>
    <w:rsid w:val="00DF53F5"/>
    <w:rsid w:val="00E07C86"/>
    <w:rsid w:val="00E1111C"/>
    <w:rsid w:val="00E118BF"/>
    <w:rsid w:val="00E13123"/>
    <w:rsid w:val="00E215AE"/>
    <w:rsid w:val="00E25091"/>
    <w:rsid w:val="00E25592"/>
    <w:rsid w:val="00E27CA1"/>
    <w:rsid w:val="00E462CC"/>
    <w:rsid w:val="00E475A3"/>
    <w:rsid w:val="00E51E7E"/>
    <w:rsid w:val="00E526E0"/>
    <w:rsid w:val="00E565BE"/>
    <w:rsid w:val="00E60230"/>
    <w:rsid w:val="00E670FE"/>
    <w:rsid w:val="00E75BBF"/>
    <w:rsid w:val="00E75FBE"/>
    <w:rsid w:val="00E76278"/>
    <w:rsid w:val="00E77DD0"/>
    <w:rsid w:val="00E77E16"/>
    <w:rsid w:val="00E77F0E"/>
    <w:rsid w:val="00E81D0B"/>
    <w:rsid w:val="00E86E05"/>
    <w:rsid w:val="00E9358D"/>
    <w:rsid w:val="00E961A7"/>
    <w:rsid w:val="00E96ACD"/>
    <w:rsid w:val="00E978D4"/>
    <w:rsid w:val="00EA21F8"/>
    <w:rsid w:val="00EB2E71"/>
    <w:rsid w:val="00EC18A5"/>
    <w:rsid w:val="00EC2F62"/>
    <w:rsid w:val="00EC31A1"/>
    <w:rsid w:val="00EC5898"/>
    <w:rsid w:val="00EC5A6B"/>
    <w:rsid w:val="00ED1711"/>
    <w:rsid w:val="00ED690C"/>
    <w:rsid w:val="00EE2EF3"/>
    <w:rsid w:val="00EF1201"/>
    <w:rsid w:val="00EF16CD"/>
    <w:rsid w:val="00EF305F"/>
    <w:rsid w:val="00EF3A31"/>
    <w:rsid w:val="00EF4A90"/>
    <w:rsid w:val="00EF51B5"/>
    <w:rsid w:val="00EF6E42"/>
    <w:rsid w:val="00F04CAD"/>
    <w:rsid w:val="00F06A39"/>
    <w:rsid w:val="00F06F70"/>
    <w:rsid w:val="00F10E61"/>
    <w:rsid w:val="00F14DFE"/>
    <w:rsid w:val="00F1559B"/>
    <w:rsid w:val="00F233CC"/>
    <w:rsid w:val="00F34291"/>
    <w:rsid w:val="00F356F2"/>
    <w:rsid w:val="00F36101"/>
    <w:rsid w:val="00F36DE6"/>
    <w:rsid w:val="00F43813"/>
    <w:rsid w:val="00F45BC7"/>
    <w:rsid w:val="00F52370"/>
    <w:rsid w:val="00F60D3E"/>
    <w:rsid w:val="00F6110D"/>
    <w:rsid w:val="00F72655"/>
    <w:rsid w:val="00F734DA"/>
    <w:rsid w:val="00F75C70"/>
    <w:rsid w:val="00F77DBA"/>
    <w:rsid w:val="00F91489"/>
    <w:rsid w:val="00FA44EB"/>
    <w:rsid w:val="00FA4FB3"/>
    <w:rsid w:val="00FA53AE"/>
    <w:rsid w:val="00FA7BB6"/>
    <w:rsid w:val="00FB1BA7"/>
    <w:rsid w:val="00FB713D"/>
    <w:rsid w:val="00FC1AC4"/>
    <w:rsid w:val="00FC37EB"/>
    <w:rsid w:val="00FC426B"/>
    <w:rsid w:val="00FC441B"/>
    <w:rsid w:val="00FE0200"/>
    <w:rsid w:val="00FE0E5E"/>
    <w:rsid w:val="00FE148B"/>
    <w:rsid w:val="00FE3E8E"/>
    <w:rsid w:val="00FE56B0"/>
    <w:rsid w:val="00FF1A92"/>
    <w:rsid w:val="00FF5CF5"/>
    <w:rsid w:val="0EF97FC7"/>
    <w:rsid w:val="18AD07FD"/>
    <w:rsid w:val="40250BC9"/>
    <w:rsid w:val="49B2361E"/>
    <w:rsid w:val="64C13948"/>
    <w:rsid w:val="784244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0"/>
    <w:pPr>
      <w:widowControl/>
      <w:numPr>
        <w:ilvl w:val="0"/>
        <w:numId w:val="1"/>
      </w:numPr>
      <w:spacing w:after="240"/>
      <w:ind w:right="1100"/>
      <w:jc w:val="center"/>
      <w:outlineLvl w:val="0"/>
    </w:pPr>
    <w:rPr>
      <w:rFonts w:ascii="Times New Roman Bold" w:hAnsi="Times New Roman Bold" w:cs="Arial"/>
      <w:b/>
      <w:bCs/>
      <w:caps/>
      <w:kern w:val="0"/>
      <w:sz w:val="24"/>
      <w:u w:val="single"/>
      <w:lang w:val="en-GB" w:eastAsia="en-US"/>
    </w:rPr>
  </w:style>
  <w:style w:type="paragraph" w:styleId="3">
    <w:name w:val="heading 2"/>
    <w:basedOn w:val="1"/>
    <w:next w:val="1"/>
    <w:link w:val="33"/>
    <w:qFormat/>
    <w:uiPriority w:val="0"/>
    <w:pPr>
      <w:keepNext/>
      <w:widowControl/>
      <w:numPr>
        <w:ilvl w:val="1"/>
        <w:numId w:val="1"/>
      </w:numPr>
      <w:tabs>
        <w:tab w:val="left" w:pos="0"/>
      </w:tabs>
      <w:overflowPunct w:val="0"/>
      <w:autoSpaceDE w:val="0"/>
      <w:autoSpaceDN w:val="0"/>
      <w:adjustRightInd w:val="0"/>
      <w:spacing w:after="240"/>
      <w:textAlignment w:val="baseline"/>
      <w:outlineLvl w:val="1"/>
    </w:pPr>
    <w:rPr>
      <w:rFonts w:cs="Arial"/>
      <w:bCs/>
      <w:iCs/>
      <w:kern w:val="0"/>
      <w:sz w:val="24"/>
      <w:u w:val="single"/>
      <w:lang w:eastAsia="en-US"/>
    </w:rPr>
  </w:style>
  <w:style w:type="paragraph" w:styleId="4">
    <w:name w:val="heading 3"/>
    <w:basedOn w:val="1"/>
    <w:next w:val="5"/>
    <w:link w:val="34"/>
    <w:qFormat/>
    <w:uiPriority w:val="0"/>
    <w:pPr>
      <w:keepNext/>
      <w:widowControl/>
      <w:numPr>
        <w:ilvl w:val="2"/>
        <w:numId w:val="1"/>
      </w:numPr>
      <w:tabs>
        <w:tab w:val="left" w:pos="0"/>
        <w:tab w:val="left" w:pos="720"/>
        <w:tab w:val="left" w:pos="1520"/>
      </w:tabs>
      <w:overflowPunct w:val="0"/>
      <w:autoSpaceDE w:val="0"/>
      <w:autoSpaceDN w:val="0"/>
      <w:adjustRightInd w:val="0"/>
      <w:spacing w:after="240"/>
      <w:textAlignment w:val="baseline"/>
      <w:outlineLvl w:val="2"/>
    </w:pPr>
    <w:rPr>
      <w:rFonts w:cs="Arial"/>
      <w:bCs/>
      <w:kern w:val="0"/>
      <w:sz w:val="24"/>
      <w:lang w:eastAsia="en-US"/>
    </w:rPr>
  </w:style>
  <w:style w:type="paragraph" w:styleId="6">
    <w:name w:val="heading 4"/>
    <w:basedOn w:val="1"/>
    <w:next w:val="1"/>
    <w:link w:val="35"/>
    <w:qFormat/>
    <w:uiPriority w:val="0"/>
    <w:pPr>
      <w:keepNext/>
      <w:widowControl/>
      <w:numPr>
        <w:ilvl w:val="3"/>
        <w:numId w:val="1"/>
      </w:numPr>
      <w:tabs>
        <w:tab w:val="left" w:pos="0"/>
        <w:tab w:val="left" w:pos="630"/>
        <w:tab w:val="left" w:pos="8505"/>
      </w:tabs>
      <w:overflowPunct w:val="0"/>
      <w:autoSpaceDE w:val="0"/>
      <w:autoSpaceDN w:val="0"/>
      <w:adjustRightInd w:val="0"/>
      <w:spacing w:before="240" w:after="60"/>
      <w:textAlignment w:val="baseline"/>
      <w:outlineLvl w:val="3"/>
    </w:pPr>
    <w:rPr>
      <w:b/>
      <w:bCs/>
      <w:kern w:val="0"/>
      <w:sz w:val="28"/>
      <w:szCs w:val="28"/>
      <w:lang w:eastAsia="en-US"/>
    </w:rPr>
  </w:style>
  <w:style w:type="character" w:default="1" w:styleId="17">
    <w:name w:val="Default Paragraph Font"/>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2"/>
    <w:basedOn w:val="1"/>
    <w:link w:val="51"/>
    <w:unhideWhenUsed/>
    <w:uiPriority w:val="99"/>
    <w:pPr>
      <w:spacing w:after="120" w:line="480" w:lineRule="auto"/>
    </w:pPr>
  </w:style>
  <w:style w:type="paragraph" w:styleId="7">
    <w:name w:val="annotation text"/>
    <w:basedOn w:val="1"/>
    <w:link w:val="27"/>
    <w:unhideWhenUsed/>
    <w:uiPriority w:val="99"/>
    <w:rPr>
      <w:sz w:val="20"/>
      <w:szCs w:val="20"/>
    </w:rPr>
  </w:style>
  <w:style w:type="paragraph" w:styleId="8">
    <w:name w:val="Body Text 3"/>
    <w:basedOn w:val="1"/>
    <w:link w:val="52"/>
    <w:semiHidden/>
    <w:unhideWhenUsed/>
    <w:uiPriority w:val="99"/>
    <w:pPr>
      <w:spacing w:after="120"/>
    </w:pPr>
    <w:rPr>
      <w:sz w:val="16"/>
      <w:szCs w:val="16"/>
    </w:rPr>
  </w:style>
  <w:style w:type="paragraph" w:styleId="9">
    <w:name w:val="Body Text"/>
    <w:basedOn w:val="1"/>
    <w:link w:val="57"/>
    <w:semiHidden/>
    <w:unhideWhenUsed/>
    <w:qFormat/>
    <w:uiPriority w:val="99"/>
    <w:pPr>
      <w:spacing w:after="120"/>
    </w:pPr>
  </w:style>
  <w:style w:type="paragraph" w:styleId="10">
    <w:name w:val="Balloon Text"/>
    <w:basedOn w:val="1"/>
    <w:link w:val="29"/>
    <w:semiHidden/>
    <w:unhideWhenUsed/>
    <w:qFormat/>
    <w:uiPriority w:val="99"/>
    <w:rPr>
      <w:rFonts w:ascii="Tahoma" w:hAnsi="Tahoma" w:cs="Tahoma"/>
      <w:sz w:val="16"/>
      <w:szCs w:val="16"/>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14">
    <w:name w:val="annotation subject"/>
    <w:basedOn w:val="7"/>
    <w:next w:val="7"/>
    <w:link w:val="28"/>
    <w:semiHidden/>
    <w:unhideWhenUsed/>
    <w:qFormat/>
    <w:uiPriority w:val="99"/>
    <w:rPr>
      <w:b/>
      <w:bCs/>
    </w:rPr>
  </w:style>
  <w:style w:type="table" w:styleId="16">
    <w:name w:val="Table Classic 1"/>
    <w:basedOn w:val="15"/>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qFormat/>
    <w:uiPriority w:val="99"/>
    <w:rPr>
      <w:rFonts w:ascii="Times New Roman" w:hAnsi="Times New Roman" w:eastAsia="宋体" w:cs="Times New Roman"/>
      <w:color w:val="0000FF"/>
      <w:u w:val="single"/>
    </w:rPr>
  </w:style>
  <w:style w:type="character" w:styleId="21">
    <w:name w:val="annotation reference"/>
    <w:basedOn w:val="17"/>
    <w:semiHidden/>
    <w:unhideWhenUsed/>
    <w:uiPriority w:val="99"/>
    <w:rPr>
      <w:sz w:val="16"/>
      <w:szCs w:val="16"/>
    </w:rPr>
  </w:style>
  <w:style w:type="character" w:customStyle="1" w:styleId="22">
    <w:name w:val="页眉 字符"/>
    <w:basedOn w:val="17"/>
    <w:link w:val="12"/>
    <w:qFormat/>
    <w:uiPriority w:val="99"/>
    <w:rPr>
      <w:sz w:val="18"/>
      <w:szCs w:val="18"/>
    </w:rPr>
  </w:style>
  <w:style w:type="character" w:customStyle="1" w:styleId="23">
    <w:name w:val="页脚 字符"/>
    <w:basedOn w:val="17"/>
    <w:link w:val="11"/>
    <w:qFormat/>
    <w:uiPriority w:val="99"/>
    <w:rPr>
      <w:sz w:val="18"/>
      <w:szCs w:val="18"/>
    </w:rPr>
  </w:style>
  <w:style w:type="paragraph" w:customStyle="1" w:styleId="24">
    <w:name w:val="Char Char"/>
    <w:basedOn w:val="1"/>
    <w:qFormat/>
    <w:uiPriority w:val="0"/>
    <w:pPr>
      <w:widowControl/>
      <w:spacing w:after="160" w:line="240" w:lineRule="exact"/>
      <w:jc w:val="left"/>
    </w:pPr>
    <w:rPr>
      <w:rFonts w:ascii="Verdana" w:hAnsi="Verdana" w:eastAsia="Times New Roman"/>
      <w:kern w:val="0"/>
      <w:sz w:val="20"/>
      <w:szCs w:val="20"/>
      <w:lang w:eastAsia="en-US"/>
    </w:rPr>
  </w:style>
  <w:style w:type="paragraph" w:customStyle="1" w:styleId="25">
    <w:name w:val="Char Char Char Char"/>
    <w:basedOn w:val="1"/>
    <w:uiPriority w:val="0"/>
    <w:pPr>
      <w:widowControl/>
      <w:spacing w:after="160" w:line="240" w:lineRule="exact"/>
      <w:jc w:val="left"/>
    </w:pPr>
    <w:rPr>
      <w:rFonts w:ascii="Verdana" w:hAnsi="Verdana" w:eastAsia="Times New Roman"/>
      <w:kern w:val="0"/>
      <w:sz w:val="20"/>
      <w:szCs w:val="20"/>
      <w:lang w:eastAsia="en-US"/>
    </w:rPr>
  </w:style>
  <w:style w:type="paragraph" w:customStyle="1" w:styleId="26">
    <w:name w:val="Char Char1"/>
    <w:basedOn w:val="1"/>
    <w:qFormat/>
    <w:uiPriority w:val="0"/>
    <w:pPr>
      <w:widowControl/>
      <w:spacing w:after="160" w:line="240" w:lineRule="exact"/>
      <w:jc w:val="left"/>
    </w:pPr>
    <w:rPr>
      <w:rFonts w:ascii="Verdana" w:hAnsi="Verdana" w:eastAsia="Times New Roman"/>
      <w:kern w:val="0"/>
      <w:sz w:val="20"/>
      <w:szCs w:val="20"/>
      <w:lang w:eastAsia="en-US"/>
    </w:rPr>
  </w:style>
  <w:style w:type="character" w:customStyle="1" w:styleId="27">
    <w:name w:val="批注文字 字符"/>
    <w:basedOn w:val="17"/>
    <w:link w:val="7"/>
    <w:uiPriority w:val="99"/>
    <w:rPr>
      <w:rFonts w:ascii="Times New Roman" w:hAnsi="Times New Roman" w:eastAsia="宋体" w:cs="Times New Roman"/>
      <w:sz w:val="20"/>
      <w:szCs w:val="20"/>
    </w:rPr>
  </w:style>
  <w:style w:type="character" w:customStyle="1" w:styleId="28">
    <w:name w:val="批注主题 字符"/>
    <w:basedOn w:val="27"/>
    <w:link w:val="14"/>
    <w:semiHidden/>
    <w:qFormat/>
    <w:uiPriority w:val="99"/>
    <w:rPr>
      <w:rFonts w:ascii="Times New Roman" w:hAnsi="Times New Roman" w:eastAsia="宋体" w:cs="Times New Roman"/>
      <w:b/>
      <w:bCs/>
      <w:sz w:val="20"/>
      <w:szCs w:val="20"/>
    </w:rPr>
  </w:style>
  <w:style w:type="character" w:customStyle="1" w:styleId="29">
    <w:name w:val="批注框文本 字符"/>
    <w:basedOn w:val="17"/>
    <w:link w:val="10"/>
    <w:semiHidden/>
    <w:qFormat/>
    <w:uiPriority w:val="99"/>
    <w:rPr>
      <w:rFonts w:ascii="Tahoma" w:hAnsi="Tahoma" w:eastAsia="宋体" w:cs="Tahoma"/>
      <w:sz w:val="16"/>
      <w:szCs w:val="16"/>
    </w:rPr>
  </w:style>
  <w:style w:type="paragraph" w:customStyle="1" w:styleId="30">
    <w:name w:val="Char Char Char Char1"/>
    <w:basedOn w:val="1"/>
    <w:uiPriority w:val="0"/>
    <w:pPr>
      <w:widowControl/>
      <w:spacing w:after="160" w:line="240" w:lineRule="exact"/>
      <w:jc w:val="left"/>
    </w:pPr>
    <w:rPr>
      <w:rFonts w:ascii="Verdana" w:hAnsi="Verdana" w:eastAsia="Times New Roman"/>
      <w:kern w:val="0"/>
      <w:sz w:val="20"/>
      <w:szCs w:val="20"/>
      <w:lang w:eastAsia="en-US"/>
    </w:rPr>
  </w:style>
  <w:style w:type="paragraph" w:customStyle="1" w:styleId="31">
    <w:name w:val="Revision"/>
    <w:hidden/>
    <w:semiHidden/>
    <w:uiPriority w:val="99"/>
    <w:rPr>
      <w:rFonts w:ascii="Times New Roman" w:hAnsi="Times New Roman" w:eastAsia="宋体" w:cs="Times New Roman"/>
      <w:kern w:val="2"/>
      <w:sz w:val="21"/>
      <w:szCs w:val="24"/>
      <w:lang w:val="en-US" w:eastAsia="zh-CN" w:bidi="ar-SA"/>
    </w:rPr>
  </w:style>
  <w:style w:type="character" w:customStyle="1" w:styleId="32">
    <w:name w:val="标题 1 字符"/>
    <w:basedOn w:val="17"/>
    <w:link w:val="2"/>
    <w:qFormat/>
    <w:uiPriority w:val="0"/>
    <w:rPr>
      <w:rFonts w:ascii="Times New Roman Bold" w:hAnsi="Times New Roman Bold" w:eastAsia="宋体" w:cs="Arial"/>
      <w:b/>
      <w:bCs/>
      <w:caps/>
      <w:kern w:val="0"/>
      <w:sz w:val="24"/>
      <w:szCs w:val="24"/>
      <w:u w:val="single"/>
      <w:lang w:val="en-GB" w:eastAsia="en-US"/>
    </w:rPr>
  </w:style>
  <w:style w:type="character" w:customStyle="1" w:styleId="33">
    <w:name w:val="标题 2 字符"/>
    <w:basedOn w:val="17"/>
    <w:link w:val="3"/>
    <w:qFormat/>
    <w:uiPriority w:val="0"/>
    <w:rPr>
      <w:rFonts w:ascii="Times New Roman" w:hAnsi="Times New Roman" w:eastAsia="宋体" w:cs="Arial"/>
      <w:bCs/>
      <w:iCs/>
      <w:kern w:val="0"/>
      <w:sz w:val="24"/>
      <w:szCs w:val="24"/>
      <w:u w:val="single"/>
      <w:lang w:eastAsia="en-US"/>
    </w:rPr>
  </w:style>
  <w:style w:type="character" w:customStyle="1" w:styleId="34">
    <w:name w:val="标题 3 字符"/>
    <w:basedOn w:val="17"/>
    <w:link w:val="4"/>
    <w:qFormat/>
    <w:uiPriority w:val="0"/>
    <w:rPr>
      <w:rFonts w:ascii="Times New Roman" w:hAnsi="Times New Roman" w:eastAsia="宋体" w:cs="Arial"/>
      <w:bCs/>
      <w:kern w:val="0"/>
      <w:sz w:val="24"/>
      <w:szCs w:val="24"/>
      <w:lang w:eastAsia="en-US"/>
    </w:rPr>
  </w:style>
  <w:style w:type="character" w:customStyle="1" w:styleId="35">
    <w:name w:val="标题 4 字符"/>
    <w:basedOn w:val="17"/>
    <w:link w:val="6"/>
    <w:qFormat/>
    <w:uiPriority w:val="0"/>
    <w:rPr>
      <w:rFonts w:ascii="Times New Roman" w:hAnsi="Times New Roman" w:eastAsia="宋体" w:cs="Times New Roman"/>
      <w:b/>
      <w:bCs/>
      <w:kern w:val="0"/>
      <w:sz w:val="28"/>
      <w:szCs w:val="28"/>
      <w:lang w:eastAsia="en-US"/>
    </w:rPr>
  </w:style>
  <w:style w:type="character" w:customStyle="1" w:styleId="36">
    <w:name w:val="Text Char"/>
    <w:link w:val="37"/>
    <w:qFormat/>
    <w:uiPriority w:val="0"/>
    <w:rPr>
      <w:sz w:val="24"/>
      <w:szCs w:val="24"/>
    </w:rPr>
  </w:style>
  <w:style w:type="paragraph" w:customStyle="1" w:styleId="37">
    <w:name w:val="Text"/>
    <w:basedOn w:val="1"/>
    <w:link w:val="36"/>
    <w:qFormat/>
    <w:uiPriority w:val="0"/>
    <w:pPr>
      <w:widowControl/>
      <w:autoSpaceDE w:val="0"/>
      <w:autoSpaceDN w:val="0"/>
      <w:adjustRightInd w:val="0"/>
      <w:spacing w:after="240"/>
      <w:ind w:left="1440" w:firstLine="1440"/>
      <w:jc w:val="left"/>
    </w:pPr>
    <w:rPr>
      <w:rFonts w:asciiTheme="minorHAnsi" w:hAnsiTheme="minorHAnsi" w:eastAsiaTheme="minorEastAsia" w:cstheme="minorBidi"/>
      <w:sz w:val="24"/>
    </w:rPr>
  </w:style>
  <w:style w:type="character" w:customStyle="1" w:styleId="38">
    <w:name w:val="DeltaView Insertion"/>
    <w:qFormat/>
    <w:uiPriority w:val="0"/>
    <w:rPr>
      <w:rFonts w:ascii="Times New Roman" w:hAnsi="Times New Roman" w:eastAsia="宋体" w:cs="Times New Roman"/>
      <w:color w:val="0000FF"/>
      <w:spacing w:val="0"/>
      <w:u w:val="double"/>
    </w:rPr>
  </w:style>
  <w:style w:type="paragraph" w:customStyle="1" w:styleId="39">
    <w:name w:val="General 1 L9"/>
    <w:basedOn w:val="1"/>
    <w:semiHidden/>
    <w:qFormat/>
    <w:uiPriority w:val="99"/>
    <w:pPr>
      <w:widowControl/>
      <w:numPr>
        <w:ilvl w:val="8"/>
        <w:numId w:val="2"/>
      </w:numPr>
      <w:tabs>
        <w:tab w:val="left" w:pos="5247"/>
        <w:tab w:val="left" w:pos="6485"/>
      </w:tabs>
      <w:overflowPunct w:val="0"/>
      <w:autoSpaceDE w:val="0"/>
      <w:autoSpaceDN w:val="0"/>
      <w:adjustRightInd w:val="0"/>
      <w:spacing w:after="240"/>
      <w:ind w:left="5247" w:hanging="360"/>
      <w:outlineLvl w:val="8"/>
    </w:pPr>
    <w:rPr>
      <w:kern w:val="0"/>
      <w:sz w:val="24"/>
      <w:lang w:eastAsia="en-US"/>
    </w:rPr>
  </w:style>
  <w:style w:type="paragraph" w:customStyle="1" w:styleId="40">
    <w:name w:val="General 1 L8"/>
    <w:basedOn w:val="1"/>
    <w:semiHidden/>
    <w:qFormat/>
    <w:uiPriority w:val="99"/>
    <w:pPr>
      <w:widowControl/>
      <w:numPr>
        <w:ilvl w:val="7"/>
        <w:numId w:val="2"/>
      </w:numPr>
      <w:tabs>
        <w:tab w:val="left" w:pos="5765"/>
        <w:tab w:val="left" w:pos="7047"/>
      </w:tabs>
      <w:overflowPunct w:val="0"/>
      <w:autoSpaceDE w:val="0"/>
      <w:autoSpaceDN w:val="0"/>
      <w:adjustRightInd w:val="0"/>
      <w:spacing w:after="240"/>
      <w:ind w:left="7047" w:hanging="720"/>
      <w:outlineLvl w:val="7"/>
    </w:pPr>
    <w:rPr>
      <w:kern w:val="0"/>
      <w:sz w:val="24"/>
      <w:lang w:eastAsia="en-US"/>
    </w:rPr>
  </w:style>
  <w:style w:type="paragraph" w:customStyle="1" w:styleId="41">
    <w:name w:val="General 1 L7"/>
    <w:basedOn w:val="1"/>
    <w:semiHidden/>
    <w:qFormat/>
    <w:uiPriority w:val="99"/>
    <w:pPr>
      <w:widowControl/>
      <w:numPr>
        <w:ilvl w:val="6"/>
        <w:numId w:val="2"/>
      </w:numPr>
      <w:tabs>
        <w:tab w:val="left" w:pos="5045"/>
        <w:tab w:val="left" w:pos="6327"/>
      </w:tabs>
      <w:overflowPunct w:val="0"/>
      <w:autoSpaceDE w:val="0"/>
      <w:autoSpaceDN w:val="0"/>
      <w:adjustRightInd w:val="0"/>
      <w:spacing w:after="240"/>
      <w:ind w:left="6327" w:hanging="720"/>
      <w:outlineLvl w:val="6"/>
    </w:pPr>
    <w:rPr>
      <w:kern w:val="0"/>
      <w:sz w:val="24"/>
      <w:lang w:eastAsia="en-US"/>
    </w:rPr>
  </w:style>
  <w:style w:type="paragraph" w:customStyle="1" w:styleId="42">
    <w:name w:val="General 1 L6"/>
    <w:basedOn w:val="1"/>
    <w:next w:val="1"/>
    <w:qFormat/>
    <w:uiPriority w:val="0"/>
    <w:pPr>
      <w:widowControl/>
      <w:numPr>
        <w:ilvl w:val="5"/>
        <w:numId w:val="2"/>
      </w:numPr>
      <w:tabs>
        <w:tab w:val="left" w:pos="4325"/>
        <w:tab w:val="clear" w:pos="3600"/>
      </w:tabs>
      <w:overflowPunct w:val="0"/>
      <w:autoSpaceDE w:val="0"/>
      <w:autoSpaceDN w:val="0"/>
      <w:adjustRightInd w:val="0"/>
      <w:spacing w:after="240"/>
      <w:ind w:left="4325" w:hanging="180"/>
      <w:outlineLvl w:val="5"/>
    </w:pPr>
    <w:rPr>
      <w:kern w:val="0"/>
      <w:sz w:val="24"/>
      <w:lang w:eastAsia="en-US"/>
    </w:rPr>
  </w:style>
  <w:style w:type="paragraph" w:customStyle="1" w:styleId="43">
    <w:name w:val="General 1 L5"/>
    <w:basedOn w:val="1"/>
    <w:next w:val="1"/>
    <w:qFormat/>
    <w:uiPriority w:val="0"/>
    <w:pPr>
      <w:widowControl/>
      <w:numPr>
        <w:ilvl w:val="4"/>
        <w:numId w:val="2"/>
      </w:numPr>
      <w:overflowPunct w:val="0"/>
      <w:autoSpaceDE w:val="0"/>
      <w:autoSpaceDN w:val="0"/>
      <w:adjustRightInd w:val="0"/>
      <w:spacing w:after="240"/>
      <w:outlineLvl w:val="4"/>
    </w:pPr>
    <w:rPr>
      <w:kern w:val="0"/>
      <w:sz w:val="24"/>
      <w:lang w:eastAsia="en-US"/>
    </w:rPr>
  </w:style>
  <w:style w:type="paragraph" w:customStyle="1" w:styleId="44">
    <w:name w:val="General 1 L4"/>
    <w:basedOn w:val="1"/>
    <w:next w:val="8"/>
    <w:link w:val="53"/>
    <w:qFormat/>
    <w:uiPriority w:val="0"/>
    <w:pPr>
      <w:widowControl/>
      <w:numPr>
        <w:ilvl w:val="3"/>
        <w:numId w:val="2"/>
      </w:numPr>
      <w:overflowPunct w:val="0"/>
      <w:autoSpaceDE w:val="0"/>
      <w:autoSpaceDN w:val="0"/>
      <w:adjustRightInd w:val="0"/>
      <w:spacing w:after="240"/>
      <w:outlineLvl w:val="3"/>
    </w:pPr>
    <w:rPr>
      <w:kern w:val="0"/>
      <w:sz w:val="24"/>
      <w:lang w:eastAsia="en-US"/>
    </w:rPr>
  </w:style>
  <w:style w:type="paragraph" w:customStyle="1" w:styleId="45">
    <w:name w:val="General 1 L3"/>
    <w:basedOn w:val="1"/>
    <w:next w:val="5"/>
    <w:link w:val="46"/>
    <w:qFormat/>
    <w:uiPriority w:val="0"/>
    <w:pPr>
      <w:widowControl/>
      <w:numPr>
        <w:ilvl w:val="2"/>
        <w:numId w:val="2"/>
      </w:numPr>
      <w:overflowPunct w:val="0"/>
      <w:autoSpaceDE w:val="0"/>
      <w:autoSpaceDN w:val="0"/>
      <w:adjustRightInd w:val="0"/>
      <w:spacing w:after="240"/>
      <w:outlineLvl w:val="2"/>
    </w:pPr>
    <w:rPr>
      <w:kern w:val="0"/>
      <w:sz w:val="24"/>
      <w:lang w:eastAsia="en-US"/>
    </w:rPr>
  </w:style>
  <w:style w:type="character" w:customStyle="1" w:styleId="46">
    <w:name w:val="General 1 L3 Char"/>
    <w:basedOn w:val="17"/>
    <w:link w:val="45"/>
    <w:qFormat/>
    <w:uiPriority w:val="0"/>
    <w:rPr>
      <w:rFonts w:ascii="Times New Roman" w:hAnsi="Times New Roman" w:eastAsia="宋体" w:cs="Times New Roman"/>
      <w:kern w:val="0"/>
      <w:sz w:val="24"/>
      <w:szCs w:val="24"/>
      <w:lang w:eastAsia="en-US"/>
    </w:rPr>
  </w:style>
  <w:style w:type="paragraph" w:customStyle="1" w:styleId="47">
    <w:name w:val="General 1 L2"/>
    <w:basedOn w:val="1"/>
    <w:next w:val="1"/>
    <w:link w:val="48"/>
    <w:qFormat/>
    <w:uiPriority w:val="0"/>
    <w:pPr>
      <w:widowControl/>
      <w:numPr>
        <w:ilvl w:val="1"/>
        <w:numId w:val="2"/>
      </w:numPr>
      <w:tabs>
        <w:tab w:val="left" w:pos="720"/>
        <w:tab w:val="left" w:pos="1004"/>
      </w:tabs>
      <w:overflowPunct w:val="0"/>
      <w:autoSpaceDE w:val="0"/>
      <w:autoSpaceDN w:val="0"/>
      <w:adjustRightInd w:val="0"/>
      <w:spacing w:after="240"/>
      <w:outlineLvl w:val="1"/>
    </w:pPr>
    <w:rPr>
      <w:kern w:val="0"/>
      <w:sz w:val="24"/>
      <w:lang w:eastAsia="en-US"/>
    </w:rPr>
  </w:style>
  <w:style w:type="character" w:customStyle="1" w:styleId="48">
    <w:name w:val="General 1 L2 Char"/>
    <w:basedOn w:val="17"/>
    <w:link w:val="47"/>
    <w:qFormat/>
    <w:uiPriority w:val="0"/>
    <w:rPr>
      <w:rFonts w:ascii="Times New Roman" w:hAnsi="Times New Roman" w:eastAsia="宋体" w:cs="Times New Roman"/>
      <w:kern w:val="0"/>
      <w:sz w:val="24"/>
      <w:szCs w:val="24"/>
      <w:lang w:eastAsia="en-US"/>
    </w:rPr>
  </w:style>
  <w:style w:type="paragraph" w:customStyle="1" w:styleId="49">
    <w:name w:val="General 1 L1"/>
    <w:basedOn w:val="1"/>
    <w:next w:val="1"/>
    <w:link w:val="50"/>
    <w:qFormat/>
    <w:uiPriority w:val="0"/>
    <w:pPr>
      <w:widowControl/>
      <w:numPr>
        <w:ilvl w:val="0"/>
        <w:numId w:val="2"/>
      </w:numPr>
      <w:overflowPunct w:val="0"/>
      <w:autoSpaceDE w:val="0"/>
      <w:autoSpaceDN w:val="0"/>
      <w:adjustRightInd w:val="0"/>
      <w:spacing w:after="240"/>
      <w:outlineLvl w:val="0"/>
    </w:pPr>
    <w:rPr>
      <w:kern w:val="0"/>
      <w:sz w:val="24"/>
      <w:lang w:eastAsia="en-US"/>
    </w:rPr>
  </w:style>
  <w:style w:type="character" w:customStyle="1" w:styleId="50">
    <w:name w:val="General 1 L1 Char"/>
    <w:basedOn w:val="17"/>
    <w:link w:val="49"/>
    <w:qFormat/>
    <w:uiPriority w:val="0"/>
    <w:rPr>
      <w:rFonts w:ascii="Times New Roman" w:hAnsi="Times New Roman" w:eastAsia="宋体" w:cs="Times New Roman"/>
      <w:kern w:val="0"/>
      <w:sz w:val="24"/>
      <w:szCs w:val="24"/>
      <w:lang w:eastAsia="en-US"/>
    </w:rPr>
  </w:style>
  <w:style w:type="character" w:customStyle="1" w:styleId="51">
    <w:name w:val="正文文本 2 字符"/>
    <w:basedOn w:val="17"/>
    <w:link w:val="5"/>
    <w:qFormat/>
    <w:uiPriority w:val="99"/>
    <w:rPr>
      <w:rFonts w:ascii="Times New Roman" w:hAnsi="Times New Roman" w:eastAsia="宋体" w:cs="Times New Roman"/>
      <w:szCs w:val="24"/>
    </w:rPr>
  </w:style>
  <w:style w:type="character" w:customStyle="1" w:styleId="52">
    <w:name w:val="正文文本 3 字符"/>
    <w:basedOn w:val="17"/>
    <w:link w:val="8"/>
    <w:semiHidden/>
    <w:qFormat/>
    <w:uiPriority w:val="99"/>
    <w:rPr>
      <w:rFonts w:ascii="Times New Roman" w:hAnsi="Times New Roman" w:eastAsia="宋体" w:cs="Times New Roman"/>
      <w:sz w:val="16"/>
      <w:szCs w:val="16"/>
    </w:rPr>
  </w:style>
  <w:style w:type="character" w:customStyle="1" w:styleId="53">
    <w:name w:val="General 1 L4 Char"/>
    <w:basedOn w:val="17"/>
    <w:link w:val="44"/>
    <w:qFormat/>
    <w:uiPriority w:val="0"/>
    <w:rPr>
      <w:rFonts w:ascii="Times New Roman" w:hAnsi="Times New Roman" w:eastAsia="宋体" w:cs="Times New Roman"/>
      <w:kern w:val="0"/>
      <w:sz w:val="24"/>
      <w:szCs w:val="24"/>
      <w:lang w:eastAsia="en-US"/>
    </w:rPr>
  </w:style>
  <w:style w:type="paragraph" w:customStyle="1" w:styleId="54">
    <w:name w:val="Char"/>
    <w:basedOn w:val="1"/>
    <w:qFormat/>
    <w:uiPriority w:val="0"/>
    <w:rPr>
      <w:rFonts w:ascii="Tahoma" w:hAnsi="Tahoma"/>
      <w:sz w:val="24"/>
    </w:rPr>
  </w:style>
  <w:style w:type="paragraph" w:styleId="55">
    <w:name w:val="List Paragraph"/>
    <w:basedOn w:val="1"/>
    <w:qFormat/>
    <w:uiPriority w:val="34"/>
    <w:pPr>
      <w:ind w:firstLine="420" w:firstLineChars="200"/>
    </w:pPr>
  </w:style>
  <w:style w:type="paragraph" w:customStyle="1" w:styleId="56">
    <w:name w:val="md-p"/>
    <w:basedOn w:val="1"/>
    <w:qFormat/>
    <w:uiPriority w:val="0"/>
    <w:pPr>
      <w:widowControl/>
      <w:spacing w:before="100" w:beforeAutospacing="1" w:after="100" w:afterAutospacing="1"/>
      <w:jc w:val="left"/>
    </w:pPr>
    <w:rPr>
      <w:rFonts w:ascii="宋体" w:hAnsi="宋体" w:cs="宋体"/>
      <w:kern w:val="0"/>
      <w:sz w:val="24"/>
    </w:rPr>
  </w:style>
  <w:style w:type="character" w:customStyle="1" w:styleId="57">
    <w:name w:val="正文文本 字符"/>
    <w:basedOn w:val="17"/>
    <w:link w:val="9"/>
    <w:semiHidden/>
    <w:qFormat/>
    <w:uiPriority w:val="99"/>
    <w:rPr>
      <w:rFonts w:ascii="Times New Roman" w:hAnsi="Times New Roman" w:eastAsia="宋体" w:cs="Times New Roman"/>
      <w:szCs w:val="24"/>
    </w:rPr>
  </w:style>
  <w:style w:type="paragraph" w:customStyle="1" w:styleId="58">
    <w:name w:val="DraftLineW&amp;C"/>
    <w:basedOn w:val="1"/>
    <w:qFormat/>
    <w:uiPriority w:val="0"/>
    <w:pPr>
      <w:framePr w:w="5328" w:hSpace="187" w:vSpace="187" w:wrap="around" w:vAnchor="page" w:hAnchor="page" w:x="5761" w:y="721"/>
      <w:widowControl/>
      <w:ind w:left="1440"/>
      <w:jc w:val="right"/>
    </w:pPr>
    <w:rPr>
      <w:rFonts w:eastAsia="Times New Roman"/>
      <w:kern w:val="0"/>
      <w:sz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The Dow Chemical Company</Company>
  <Pages>14</Pages>
  <Words>7634</Words>
  <Characters>7947</Characters>
  <Lines>305</Lines>
  <Paragraphs>86</Paragraphs>
  <TotalTime>16</TotalTime>
  <ScaleCrop>false</ScaleCrop>
  <LinksUpToDate>false</LinksUpToDate>
  <CharactersWithSpaces>8172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2026-01-05T06:19:00Z</dcterms:created>
  <dc:creator>BaiLin</dc:creator>
  <cp:lastModifiedBy>靖</cp:lastModifiedBy>
  <dcterms:modified xsi:type="dcterms:W3CDTF">2026-08-21T03:10:49Z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_Steward">
    <vt:lpwstr>Jiang S u534564</vt:lpwstr>
  </property>
  <property fmtid="{D5CDD505-2E9C-101B-9397-08002B2CF9AE}" pid="4" name="Update_Footer">
    <vt:lpwstr>No</vt:lpwstr>
  </property>
  <property fmtid="{D5CDD505-2E9C-101B-9397-08002B2CF9AE}" pid="5" name="Radio_Button">
    <vt:lpwstr>RadioButton2</vt:lpwstr>
  </property>
  <property fmtid="{D5CDD505-2E9C-101B-9397-08002B2CF9AE}" pid="6" name="Information_Classification">
    <vt:lpwstr/>
  </property>
  <property fmtid="{D5CDD505-2E9C-101B-9397-08002B2CF9AE}" pid="7" name="Record_Title_ID">
    <vt:lpwstr>73</vt:lpwstr>
  </property>
  <property fmtid="{D5CDD505-2E9C-101B-9397-08002B2CF9AE}" pid="8" name="Initial_Creation_Date">
    <vt:filetime>2016-05-03T10:45:00Z</vt:filetime>
  </property>
  <property fmtid="{D5CDD505-2E9C-101B-9397-08002B2CF9AE}" pid="9" name="Retention_Period_Start_Date">
    <vt:filetime>2016-07-13T04:23:14Z</vt:filetime>
  </property>
  <property fmtid="{D5CDD505-2E9C-101B-9397-08002B2CF9AE}" pid="10" name="Last_Reviewed_Date">
    <vt:lpwstr/>
  </property>
  <property fmtid="{D5CDD505-2E9C-101B-9397-08002B2CF9AE}" pid="11" name="Retention_Review_Frequency">
    <vt:lpwstr/>
  </property>
  <property fmtid="{D5CDD505-2E9C-101B-9397-08002B2CF9AE}" pid="12" name="ClassificationContentMarkingHeaderShapeIds">
    <vt:lpwstr>19c76dad,7780e43b,c3abcfc,2dd5a716,7f5b400c,25684e95</vt:lpwstr>
  </property>
  <property fmtid="{D5CDD505-2E9C-101B-9397-08002B2CF9AE}" pid="13" name="ClassificationContentMarkingHeaderFontProps">
    <vt:lpwstr>#a7a8aa,10,SABIC Typeface Headline Light</vt:lpwstr>
  </property>
  <property fmtid="{D5CDD505-2E9C-101B-9397-08002B2CF9AE}" pid="14" name="ClassificationContentMarkingHeaderText">
    <vt:lpwstr>Classification: General Business Use </vt:lpwstr>
  </property>
  <property fmtid="{D5CDD505-2E9C-101B-9397-08002B2CF9AE}" pid="15" name="MSIP_Label_f019f423-6bea-4a10-9fe6-b161e20d884c_Enabled">
    <vt:lpwstr>true</vt:lpwstr>
  </property>
  <property fmtid="{D5CDD505-2E9C-101B-9397-08002B2CF9AE}" pid="16" name="MSIP_Label_f019f423-6bea-4a10-9fe6-b161e20d884c_SetDate">
    <vt:lpwstr>2025-05-14T09:51:46Z</vt:lpwstr>
  </property>
  <property fmtid="{D5CDD505-2E9C-101B-9397-08002B2CF9AE}" pid="17" name="MSIP_Label_f019f423-6bea-4a10-9fe6-b161e20d884c_Method">
    <vt:lpwstr>Privileged</vt:lpwstr>
  </property>
  <property fmtid="{D5CDD505-2E9C-101B-9397-08002B2CF9AE}" pid="18" name="MSIP_Label_f019f423-6bea-4a10-9fe6-b161e20d884c_Name">
    <vt:lpwstr>f019f423-6bea-4a10-9fe6-b161e20d884c</vt:lpwstr>
  </property>
  <property fmtid="{D5CDD505-2E9C-101B-9397-08002B2CF9AE}" pid="19" name="MSIP_Label_f019f423-6bea-4a10-9fe6-b161e20d884c_SiteId">
    <vt:lpwstr>a77c517c-e95e-435b-bbb4-cb17e462491f</vt:lpwstr>
  </property>
  <property fmtid="{D5CDD505-2E9C-101B-9397-08002B2CF9AE}" pid="20" name="MSIP_Label_f019f423-6bea-4a10-9fe6-b161e20d884c_ActionId">
    <vt:lpwstr>86bba24b-f238-4e24-b2e8-7c5e31846183</vt:lpwstr>
  </property>
  <property fmtid="{D5CDD505-2E9C-101B-9397-08002B2CF9AE}" pid="21" name="MSIP_Label_f019f423-6bea-4a10-9fe6-b161e20d884c_ContentBits">
    <vt:lpwstr>1</vt:lpwstr>
  </property>
  <property fmtid="{D5CDD505-2E9C-101B-9397-08002B2CF9AE}" pid="22" name="MSIP_Label_99413353-fbc6-4217-b595-7e32a2176cdb_Enabled">
    <vt:lpwstr>true</vt:lpwstr>
  </property>
  <property fmtid="{D5CDD505-2E9C-101B-9397-08002B2CF9AE}" pid="23" name="MSIP_Label_99413353-fbc6-4217-b595-7e32a2176cdb_SetDate">
    <vt:lpwstr>2025-11-03T03:27:50Z</vt:lpwstr>
  </property>
  <property fmtid="{D5CDD505-2E9C-101B-9397-08002B2CF9AE}" pid="24" name="MSIP_Label_99413353-fbc6-4217-b595-7e32a2176cdb_Method">
    <vt:lpwstr>Privileged</vt:lpwstr>
  </property>
  <property fmtid="{D5CDD505-2E9C-101B-9397-08002B2CF9AE}" pid="25" name="MSIP_Label_99413353-fbc6-4217-b595-7e32a2176cdb_Name">
    <vt:lpwstr>99413353-fbc6-4217-b595-7e32a2176cdb</vt:lpwstr>
  </property>
  <property fmtid="{D5CDD505-2E9C-101B-9397-08002B2CF9AE}" pid="26" name="MSIP_Label_99413353-fbc6-4217-b595-7e32a2176cdb_SiteId">
    <vt:lpwstr>a77c517c-e95e-435b-bbb4-cb17e462491f</vt:lpwstr>
  </property>
  <property fmtid="{D5CDD505-2E9C-101B-9397-08002B2CF9AE}" pid="27" name="MSIP_Label_99413353-fbc6-4217-b595-7e32a2176cdb_ActionId">
    <vt:lpwstr>85b0daf9-a119-4c0b-96ad-d41ca19e652b</vt:lpwstr>
  </property>
  <property fmtid="{D5CDD505-2E9C-101B-9397-08002B2CF9AE}" pid="28" name="MSIP_Label_99413353-fbc6-4217-b595-7e32a2176cdb_ContentBits">
    <vt:lpwstr>1</vt:lpwstr>
  </property>
  <property fmtid="{D5CDD505-2E9C-101B-9397-08002B2CF9AE}" pid="29" name="KSOProductBuildVer">
    <vt:lpwstr>2052-12.1.0.28043</vt:lpwstr>
  </property>
  <property fmtid="{D5CDD505-2E9C-101B-9397-08002B2CF9AE}" pid="30" name="ICV">
    <vt:lpwstr>70B0736E2D5E482FB5FE18D976B0A30E_13</vt:lpwstr>
  </property>
  <property fmtid="{D5CDD505-2E9C-101B-9397-08002B2CF9AE}" pid="31" name="KSOTemplateDocerSaveRecord">
    <vt:lpwstr>eyJoZGlkIjoiNDM0MDBhMGQwMGI0ODczMTU4MjE5NDBhOGQyODIzYjgiLCJ1c2VySWQiOiIxMDg4Mjk4ODk1In0=</vt:lpwstr>
  </property>
</Properties>
</file>