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56B228CE">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71AD564A">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重芳烃轻质化装置、AGO吸附分离装置项目机泵白油采购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FAP1-CGSQ-202609-001</w:t>
      </w:r>
      <w:r>
        <w:rPr>
          <w:color w:val="000000" w:themeColor="text1"/>
          <w:sz w:val="28"/>
          <w:szCs w:val="28"/>
          <w:u w:val="single"/>
        </w:rPr>
        <w:t xml:space="preserve"> </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2"/>
      </w:pPr>
    </w:p>
    <w:p w14:paraId="5E0DBD4F">
      <w:pPr>
        <w:jc w:val="center"/>
        <w:rPr>
          <w:rFonts w:hint="eastAsia"/>
          <w:b/>
          <w:bCs/>
          <w:sz w:val="32"/>
          <w:lang w:eastAsia="zh-CN"/>
        </w:rPr>
      </w:pPr>
      <w:r>
        <w:rPr>
          <w:rFonts w:hint="eastAsia"/>
          <w:b/>
          <w:bCs/>
          <w:sz w:val="32"/>
          <w:lang w:eastAsia="zh-CN"/>
        </w:rPr>
        <w:t>福建福海创石油化工有限公司</w:t>
      </w:r>
    </w:p>
    <w:p w14:paraId="56E06821">
      <w:pPr>
        <w:jc w:val="center"/>
        <w:rPr>
          <w:rFonts w:hint="eastAsia"/>
          <w:b/>
          <w:bCs/>
          <w:sz w:val="32"/>
          <w:lang w:eastAsia="zh-CN"/>
        </w:rPr>
      </w:pPr>
      <w:r>
        <w:rPr>
          <w:rFonts w:hint="eastAsia"/>
          <w:b/>
          <w:bCs/>
          <w:sz w:val="32"/>
          <w:lang w:eastAsia="zh-CN"/>
        </w:rPr>
        <w:t>重芳烃轻质化装置、AGO吸附分离装置项目机泵白油采购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福建福海创石油化工有限公司重芳烃轻质化装置、AGO吸附分离装置项目机泵白油采购（项目编号：FAP1-CGSQ-202609-001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1896CA9">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项目名称：福建福海创石油化工有限公司重芳烃轻质化装置、AGO吸附分离装置项目机泵白油采购</w:t>
      </w:r>
    </w:p>
    <w:p w14:paraId="6E932031">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2.采购项目简要说明：福建福海创石油化工有限公司重芳烃轻质化装置、AGO吸附分离装置项目机泵白油采购，</w:t>
      </w:r>
      <w:r>
        <w:rPr>
          <w:rFonts w:hint="eastAsia"/>
          <w:sz w:val="24"/>
          <w:szCs w:val="24"/>
          <w:lang w:val="en-US" w:eastAsia="zh-CN"/>
        </w:rPr>
        <w:t>其中（1）工业白油10号，3000L (15桶); Therminol 66导热油， 416L (2桶)。</w:t>
      </w:r>
    </w:p>
    <w:p w14:paraId="51FEA214">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3.采购控制价：</w:t>
      </w:r>
      <w:r>
        <w:rPr>
          <w:rFonts w:hint="eastAsia"/>
          <w:sz w:val="24"/>
          <w:szCs w:val="24"/>
          <w:lang w:val="en-US" w:eastAsia="zh-CN"/>
        </w:rPr>
        <w:t>61,965.00元（含13%增值税）</w:t>
      </w:r>
    </w:p>
    <w:p w14:paraId="4E3EE2E0">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w:t>
      </w:r>
      <w:r>
        <w:rPr>
          <w:rFonts w:hint="eastAsia"/>
          <w:sz w:val="24"/>
          <w:szCs w:val="24"/>
          <w:lang w:val="en-US" w:eastAsia="zh-CN"/>
        </w:rPr>
        <w:t xml:space="preserve">合同签订后10日内完成备货，接到甲方送货通知后7日内送达现场。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607993B">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w:t>
      </w:r>
      <w:r>
        <w:rPr>
          <w:rFonts w:hint="eastAsia"/>
          <w:color w:val="000000" w:themeColor="text1"/>
          <w:sz w:val="24"/>
          <w:szCs w:val="24"/>
          <w:lang w:val="en-US" w:eastAsia="zh-CN"/>
        </w:rPr>
        <w:t>19959614657</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w:t>
      </w:r>
    </w:p>
    <w:p w14:paraId="6B320BD6">
      <w:pPr>
        <w:pStyle w:val="3"/>
        <w:tabs>
          <w:tab w:val="left" w:pos="1262"/>
        </w:tabs>
        <w:spacing w:line="360" w:lineRule="auto"/>
        <w:ind w:left="0" w:right="108"/>
        <w:jc w:val="center"/>
        <w:rPr>
          <w:sz w:val="24"/>
          <w:szCs w:val="24"/>
          <w:lang w:eastAsia="zh-CN"/>
        </w:rPr>
      </w:pPr>
    </w:p>
    <w:p w14:paraId="000AB6F4">
      <w:pPr>
        <w:rPr>
          <w:lang w:eastAsia="zh-CN"/>
        </w:rPr>
      </w:pPr>
    </w:p>
    <w:p w14:paraId="36195288">
      <w:pPr>
        <w:pStyle w:val="2"/>
      </w:pPr>
    </w:p>
    <w:p w14:paraId="0480057A">
      <w:pPr>
        <w:pStyle w:val="2"/>
      </w:pPr>
    </w:p>
    <w:p w14:paraId="3E5EC0CF">
      <w:pPr>
        <w:pStyle w:val="2"/>
      </w:pPr>
    </w:p>
    <w:p w14:paraId="54179479">
      <w:pPr>
        <w:pStyle w:val="2"/>
      </w:pPr>
    </w:p>
    <w:p w14:paraId="27A7C68B">
      <w:pPr>
        <w:pStyle w:val="2"/>
      </w:pPr>
    </w:p>
    <w:p w14:paraId="6A787B24">
      <w:pPr>
        <w:pStyle w:val="2"/>
      </w:pPr>
    </w:p>
    <w:p w14:paraId="2B18FA35">
      <w:pPr>
        <w:pStyle w:val="2"/>
      </w:pPr>
    </w:p>
    <w:p w14:paraId="78438CD5">
      <w:pPr>
        <w:pStyle w:val="2"/>
      </w:pPr>
    </w:p>
    <w:p w14:paraId="527EAF74">
      <w:pPr>
        <w:pStyle w:val="2"/>
      </w:pPr>
    </w:p>
    <w:p w14:paraId="611DDA84">
      <w:pPr>
        <w:pStyle w:val="2"/>
      </w:pPr>
    </w:p>
    <w:p w14:paraId="5154F0F0">
      <w:pPr>
        <w:pStyle w:val="2"/>
      </w:pPr>
    </w:p>
    <w:p w14:paraId="42AC121C">
      <w:pPr>
        <w:pStyle w:val="2"/>
      </w:pPr>
    </w:p>
    <w:p w14:paraId="5E3F9DBA">
      <w:pPr>
        <w:pStyle w:val="2"/>
      </w:pPr>
    </w:p>
    <w:p w14:paraId="4992D571">
      <w:pPr>
        <w:pStyle w:val="2"/>
      </w:pPr>
    </w:p>
    <w:p w14:paraId="5A7D627F">
      <w:pPr>
        <w:pStyle w:val="2"/>
      </w:pPr>
    </w:p>
    <w:p w14:paraId="61B3D60C">
      <w:pPr>
        <w:pStyle w:val="2"/>
      </w:pPr>
    </w:p>
    <w:p w14:paraId="33ADEC61">
      <w:pPr>
        <w:pStyle w:val="2"/>
      </w:pPr>
    </w:p>
    <w:p w14:paraId="76E69DAB">
      <w:pPr>
        <w:pStyle w:val="2"/>
      </w:pPr>
    </w:p>
    <w:p w14:paraId="211326F8">
      <w:pPr>
        <w:pStyle w:val="2"/>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福建福海创石油化工有限公司重芳烃轻质化装置、AGO吸附分离装置项目机泵白油采购（项目编号：FAP1-CGSQ-202609-001）的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2"/>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福建福海创石油化工有限公司重芳烃轻质化装置、AGO吸附分离装置项目机泵白油采购</w:t>
      </w:r>
    </w:p>
    <w:p w14:paraId="48298414">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eastAsia="宋体"/>
          <w:color w:val="FF0000"/>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迟嘉庚</w:t>
      </w:r>
      <w:r>
        <w:rPr>
          <w:lang w:eastAsia="zh-CN"/>
        </w:rPr>
        <w:t>15260183460</w:t>
      </w:r>
      <w:r>
        <w:rPr>
          <w:rFonts w:hint="eastAsia"/>
          <w:lang w:eastAsia="zh-CN"/>
        </w:rPr>
        <w:t>，</w:t>
      </w:r>
      <w:r>
        <w:rPr>
          <w:lang w:eastAsia="zh-CN"/>
        </w:rPr>
        <w:t>jgchi@fhcpec.com.cn</w:t>
      </w:r>
      <w:r>
        <w:rPr>
          <w:rFonts w:hint="default"/>
          <w:lang w:eastAsia="zh-CN"/>
        </w:rPr>
        <w:t> </w:t>
      </w:r>
      <w:r>
        <w:rPr>
          <w:lang w:eastAsia="zh-CN"/>
        </w:rPr>
        <w:t xml:space="preserve">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rFonts w:hint="eastAsia"/>
          <w:lang w:val="en-US"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无</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9</w:t>
      </w:r>
      <w:r>
        <w:rPr>
          <w:rFonts w:hint="eastAsia"/>
          <w:color w:val="000000" w:themeColor="text1"/>
          <w:lang w:eastAsia="zh-CN"/>
        </w:rPr>
        <w:t>月</w:t>
      </w:r>
      <w:r>
        <w:rPr>
          <w:rFonts w:hint="eastAsia"/>
          <w:color w:val="000000" w:themeColor="text1"/>
          <w:lang w:val="en-US" w:eastAsia="zh-CN"/>
        </w:rPr>
        <w:t>21</w:t>
      </w:r>
      <w:bookmarkStart w:id="1" w:name="_GoBack"/>
      <w:bookmarkEnd w:id="1"/>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val="en-US" w:eastAsia="zh-CN"/>
        </w:rPr>
        <w:t>19959614657</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价61</w:t>
      </w:r>
      <w:r>
        <w:rPr>
          <w:rFonts w:hint="eastAsia" w:cs="宋体"/>
          <w:b/>
          <w:color w:val="000000" w:themeColor="text1"/>
          <w:lang w:val="en-US" w:eastAsia="zh-CN"/>
        </w:rPr>
        <w:t>,</w:t>
      </w:r>
      <w:r>
        <w:rPr>
          <w:rFonts w:hint="eastAsia" w:ascii="宋体" w:hAnsi="宋体" w:eastAsia="宋体" w:cs="宋体"/>
          <w:b/>
          <w:color w:val="000000" w:themeColor="text1"/>
          <w:lang w:eastAsia="zh-CN"/>
        </w:rPr>
        <w:t>965</w:t>
      </w:r>
      <w:r>
        <w:rPr>
          <w:rFonts w:hint="eastAsia" w:cs="宋体"/>
          <w:b/>
          <w:color w:val="000000" w:themeColor="text1"/>
          <w:lang w:val="en-US" w:eastAsia="zh-CN"/>
        </w:rPr>
        <w:t>.00</w:t>
      </w:r>
      <w:r>
        <w:rPr>
          <w:rFonts w:hint="eastAsia" w:ascii="宋体" w:hAnsi="宋体" w:eastAsia="宋体" w:cs="宋体"/>
          <w:b/>
          <w:color w:val="000000" w:themeColor="text1"/>
          <w:lang w:eastAsia="zh-CN"/>
        </w:rPr>
        <w:t>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3"/>
        <w:tabs>
          <w:tab w:val="left" w:pos="1912"/>
        </w:tabs>
        <w:spacing w:line="355" w:lineRule="exact"/>
        <w:ind w:left="647" w:firstLine="3092" w:firstLineChars="1100"/>
        <w:jc w:val="both"/>
        <w:rPr>
          <w:lang w:eastAsia="zh-CN"/>
        </w:rPr>
      </w:pPr>
    </w:p>
    <w:p w14:paraId="78A79AC5">
      <w:pPr>
        <w:pStyle w:val="3"/>
        <w:tabs>
          <w:tab w:val="left" w:pos="1912"/>
        </w:tabs>
        <w:spacing w:line="355" w:lineRule="exact"/>
        <w:ind w:left="647" w:firstLine="3092" w:firstLineChars="1100"/>
        <w:jc w:val="both"/>
        <w:rPr>
          <w:lang w:eastAsia="zh-CN"/>
        </w:rPr>
      </w:pPr>
    </w:p>
    <w:p w14:paraId="50E97898">
      <w:pPr>
        <w:pStyle w:val="3"/>
        <w:tabs>
          <w:tab w:val="left" w:pos="1912"/>
        </w:tabs>
        <w:spacing w:line="355" w:lineRule="exact"/>
        <w:ind w:left="647" w:firstLine="3092" w:firstLineChars="1100"/>
        <w:jc w:val="both"/>
        <w:rPr>
          <w:lang w:eastAsia="zh-CN"/>
        </w:rPr>
      </w:pPr>
    </w:p>
    <w:p w14:paraId="27C430F8">
      <w:pPr>
        <w:pStyle w:val="3"/>
        <w:tabs>
          <w:tab w:val="left" w:pos="1912"/>
        </w:tabs>
        <w:spacing w:line="355" w:lineRule="exact"/>
        <w:ind w:left="647" w:firstLine="3092" w:firstLineChars="1100"/>
        <w:jc w:val="both"/>
        <w:rPr>
          <w:lang w:eastAsia="zh-CN"/>
        </w:rPr>
      </w:pPr>
    </w:p>
    <w:p w14:paraId="2C975417">
      <w:pPr>
        <w:pStyle w:val="3"/>
        <w:tabs>
          <w:tab w:val="left" w:pos="1912"/>
        </w:tabs>
        <w:spacing w:line="355" w:lineRule="exact"/>
        <w:ind w:left="647" w:firstLine="3092" w:firstLineChars="1100"/>
        <w:jc w:val="both"/>
        <w:rPr>
          <w:lang w:eastAsia="zh-CN"/>
        </w:rPr>
      </w:pPr>
    </w:p>
    <w:p w14:paraId="4481C076">
      <w:pPr>
        <w:pStyle w:val="3"/>
        <w:tabs>
          <w:tab w:val="left" w:pos="1912"/>
        </w:tabs>
        <w:spacing w:line="355" w:lineRule="exact"/>
        <w:ind w:left="647" w:firstLine="3092" w:firstLineChars="1100"/>
        <w:jc w:val="both"/>
        <w:rPr>
          <w:lang w:eastAsia="zh-CN"/>
        </w:rPr>
      </w:pPr>
    </w:p>
    <w:p w14:paraId="40C13AFF">
      <w:pPr>
        <w:pStyle w:val="3"/>
        <w:tabs>
          <w:tab w:val="left" w:pos="1912"/>
        </w:tabs>
        <w:spacing w:line="355" w:lineRule="exact"/>
        <w:ind w:left="647" w:firstLine="3092" w:firstLineChars="1100"/>
        <w:jc w:val="both"/>
        <w:rPr>
          <w:lang w:eastAsia="zh-CN"/>
        </w:rPr>
      </w:pPr>
    </w:p>
    <w:p w14:paraId="50011117">
      <w:pPr>
        <w:pStyle w:val="3"/>
        <w:tabs>
          <w:tab w:val="left" w:pos="1912"/>
        </w:tabs>
        <w:spacing w:line="355" w:lineRule="exact"/>
        <w:ind w:left="647" w:firstLine="3092" w:firstLineChars="1100"/>
        <w:jc w:val="both"/>
        <w:rPr>
          <w:lang w:eastAsia="zh-CN"/>
        </w:rPr>
      </w:pPr>
    </w:p>
    <w:p w14:paraId="53F991FF">
      <w:pPr>
        <w:pStyle w:val="3"/>
        <w:tabs>
          <w:tab w:val="left" w:pos="1912"/>
        </w:tabs>
        <w:spacing w:line="355" w:lineRule="exact"/>
        <w:ind w:left="647" w:firstLine="3092" w:firstLineChars="1100"/>
        <w:jc w:val="both"/>
        <w:rPr>
          <w:lang w:eastAsia="zh-CN"/>
        </w:rPr>
      </w:pPr>
    </w:p>
    <w:p w14:paraId="2862BA08">
      <w:pPr>
        <w:pStyle w:val="3"/>
        <w:tabs>
          <w:tab w:val="left" w:pos="1912"/>
        </w:tabs>
        <w:spacing w:line="355" w:lineRule="exact"/>
        <w:ind w:left="647" w:firstLine="3092" w:firstLineChars="1100"/>
        <w:jc w:val="both"/>
        <w:rPr>
          <w:lang w:eastAsia="zh-CN"/>
        </w:rPr>
      </w:pPr>
    </w:p>
    <w:p w14:paraId="6E8788F0">
      <w:pPr>
        <w:pStyle w:val="3"/>
        <w:tabs>
          <w:tab w:val="left" w:pos="1912"/>
        </w:tabs>
        <w:spacing w:line="355" w:lineRule="exact"/>
        <w:ind w:left="647" w:firstLine="3092" w:firstLineChars="1100"/>
        <w:jc w:val="both"/>
        <w:rPr>
          <w:lang w:eastAsia="zh-CN"/>
        </w:rPr>
      </w:pPr>
    </w:p>
    <w:p w14:paraId="609D5CB1">
      <w:pPr>
        <w:pStyle w:val="3"/>
        <w:tabs>
          <w:tab w:val="left" w:pos="1912"/>
        </w:tabs>
        <w:spacing w:line="355" w:lineRule="exact"/>
        <w:ind w:left="647" w:firstLine="3092" w:firstLineChars="1100"/>
        <w:jc w:val="both"/>
        <w:rPr>
          <w:lang w:eastAsia="zh-CN"/>
        </w:rPr>
      </w:pPr>
    </w:p>
    <w:p w14:paraId="0FF9D5BC">
      <w:pPr>
        <w:pStyle w:val="3"/>
        <w:tabs>
          <w:tab w:val="left" w:pos="1912"/>
        </w:tabs>
        <w:spacing w:line="355" w:lineRule="exact"/>
        <w:ind w:left="647" w:firstLine="3092" w:firstLineChars="1100"/>
        <w:jc w:val="both"/>
        <w:rPr>
          <w:lang w:eastAsia="zh-CN"/>
        </w:rPr>
      </w:pPr>
    </w:p>
    <w:p w14:paraId="7E894231">
      <w:pPr>
        <w:pStyle w:val="3"/>
        <w:tabs>
          <w:tab w:val="left" w:pos="1912"/>
        </w:tabs>
        <w:spacing w:line="355" w:lineRule="exact"/>
        <w:ind w:left="647" w:firstLine="3092" w:firstLineChars="1100"/>
        <w:jc w:val="both"/>
        <w:rPr>
          <w:lang w:eastAsia="zh-CN"/>
        </w:rPr>
      </w:pPr>
    </w:p>
    <w:p w14:paraId="72BD5B24">
      <w:pPr>
        <w:pStyle w:val="3"/>
        <w:tabs>
          <w:tab w:val="left" w:pos="1912"/>
        </w:tabs>
        <w:spacing w:line="355" w:lineRule="exact"/>
        <w:ind w:left="647" w:firstLine="3092" w:firstLineChars="1100"/>
        <w:jc w:val="both"/>
        <w:rPr>
          <w:lang w:eastAsia="zh-CN"/>
        </w:rPr>
      </w:pPr>
    </w:p>
    <w:p w14:paraId="655E7255">
      <w:pPr>
        <w:pStyle w:val="3"/>
        <w:tabs>
          <w:tab w:val="left" w:pos="1912"/>
        </w:tabs>
        <w:spacing w:line="355" w:lineRule="exact"/>
        <w:ind w:left="647" w:firstLine="3092" w:firstLineChars="1100"/>
        <w:jc w:val="both"/>
        <w:rPr>
          <w:lang w:eastAsia="zh-CN"/>
        </w:rPr>
      </w:pPr>
    </w:p>
    <w:p w14:paraId="73550343">
      <w:pPr>
        <w:pStyle w:val="3"/>
        <w:tabs>
          <w:tab w:val="left" w:pos="1912"/>
        </w:tabs>
        <w:spacing w:line="355" w:lineRule="exact"/>
        <w:ind w:left="647" w:firstLine="3092" w:firstLineChars="1100"/>
        <w:jc w:val="both"/>
        <w:rPr>
          <w:lang w:eastAsia="zh-CN"/>
        </w:rPr>
      </w:pPr>
    </w:p>
    <w:p w14:paraId="1F6B201F">
      <w:pPr>
        <w:pStyle w:val="3"/>
        <w:tabs>
          <w:tab w:val="left" w:pos="1912"/>
        </w:tabs>
        <w:spacing w:line="355" w:lineRule="exact"/>
        <w:ind w:left="647" w:firstLine="3092" w:firstLineChars="1100"/>
        <w:jc w:val="both"/>
        <w:rPr>
          <w:lang w:eastAsia="zh-CN"/>
        </w:rPr>
      </w:pPr>
    </w:p>
    <w:p w14:paraId="6BBC059F">
      <w:pPr>
        <w:pStyle w:val="3"/>
        <w:tabs>
          <w:tab w:val="left" w:pos="1912"/>
        </w:tabs>
        <w:spacing w:line="355" w:lineRule="exact"/>
        <w:ind w:left="647" w:firstLine="3092" w:firstLineChars="1100"/>
        <w:jc w:val="both"/>
        <w:rPr>
          <w:lang w:eastAsia="zh-CN"/>
        </w:rPr>
      </w:pPr>
    </w:p>
    <w:p w14:paraId="2730A617">
      <w:pPr>
        <w:pStyle w:val="3"/>
        <w:tabs>
          <w:tab w:val="left" w:pos="1912"/>
        </w:tabs>
        <w:spacing w:line="355" w:lineRule="exact"/>
        <w:ind w:left="647" w:firstLine="3092" w:firstLineChars="1100"/>
        <w:jc w:val="both"/>
        <w:rPr>
          <w:lang w:eastAsia="zh-CN"/>
        </w:rPr>
      </w:pPr>
    </w:p>
    <w:p w14:paraId="1060879E">
      <w:pPr>
        <w:pStyle w:val="3"/>
        <w:tabs>
          <w:tab w:val="left" w:pos="1912"/>
        </w:tabs>
        <w:spacing w:line="355" w:lineRule="exact"/>
        <w:ind w:left="647" w:firstLine="3092" w:firstLineChars="1100"/>
        <w:jc w:val="both"/>
        <w:rPr>
          <w:lang w:eastAsia="zh-CN"/>
        </w:rPr>
      </w:pPr>
    </w:p>
    <w:p w14:paraId="623F61E8">
      <w:pPr>
        <w:pStyle w:val="3"/>
        <w:tabs>
          <w:tab w:val="left" w:pos="1912"/>
        </w:tabs>
        <w:spacing w:line="355" w:lineRule="exact"/>
        <w:ind w:left="647" w:firstLine="3092" w:firstLineChars="1100"/>
        <w:jc w:val="both"/>
        <w:rPr>
          <w:lang w:eastAsia="zh-CN"/>
        </w:rPr>
      </w:pPr>
    </w:p>
    <w:p w14:paraId="349BF340">
      <w:pPr>
        <w:pStyle w:val="3"/>
        <w:tabs>
          <w:tab w:val="left" w:pos="1912"/>
        </w:tabs>
        <w:spacing w:line="355" w:lineRule="exact"/>
        <w:ind w:left="647" w:firstLine="3092" w:firstLineChars="1100"/>
        <w:jc w:val="both"/>
        <w:rPr>
          <w:lang w:eastAsia="zh-CN"/>
        </w:rPr>
      </w:pPr>
    </w:p>
    <w:p w14:paraId="5DCF9C4A">
      <w:pPr>
        <w:pStyle w:val="2"/>
      </w:pPr>
    </w:p>
    <w:p w14:paraId="00ABAC03">
      <w:pPr>
        <w:pStyle w:val="2"/>
      </w:pPr>
    </w:p>
    <w:p w14:paraId="54F29C7F">
      <w:pPr>
        <w:pStyle w:val="2"/>
      </w:pPr>
    </w:p>
    <w:p w14:paraId="7A6A90D2">
      <w:pPr>
        <w:pStyle w:val="2"/>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52F4BC91">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4537340F">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重芳烃轻质化装置、AGO吸附分离装置项目机泵白油采购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19E1E07">
      <w:pPr>
        <w:pStyle w:val="211"/>
        <w:rPr>
          <w:rFonts w:ascii="宋体" w:hAnsi="宋体"/>
          <w:b/>
          <w:sz w:val="44"/>
          <w:szCs w:val="28"/>
          <w:highlight w:val="none"/>
        </w:rPr>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9</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p w14:paraId="56D7964A">
      <w:pPr>
        <w:spacing w:line="120" w:lineRule="auto"/>
        <w:ind w:firstLine="360" w:firstLineChars="150"/>
        <w:rPr>
          <w:rFonts w:hint="default"/>
          <w:sz w:val="24"/>
          <w:lang w:val="en-US" w:eastAsia="zh-CN"/>
        </w:rPr>
      </w:pPr>
      <w:r>
        <w:rPr>
          <w:rFonts w:hint="eastAsia"/>
          <w:sz w:val="24"/>
          <w:lang w:val="en-US" w:eastAsia="zh-CN"/>
        </w:rPr>
        <w:t>合同总价款为：人民币</w:t>
      </w:r>
      <w:r>
        <w:rPr>
          <w:rFonts w:hint="eastAsia"/>
          <w:sz w:val="24"/>
          <w:u w:val="single"/>
          <w:lang w:val="en-US" w:eastAsia="zh-CN"/>
        </w:rPr>
        <w:t xml:space="preserve">  </w:t>
      </w:r>
      <w:r>
        <w:rPr>
          <w:rFonts w:hint="eastAsia"/>
          <w:sz w:val="24"/>
          <w:lang w:val="en-US" w:eastAsia="zh-CN"/>
        </w:rPr>
        <w:t xml:space="preserve">元（含13%增值税），具体详见附件报价清单。 </w:t>
      </w:r>
    </w:p>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sz w:val="24"/>
          <w:lang w:val="en-US" w:eastAsia="zh-CN"/>
        </w:rPr>
      </w:pPr>
      <w:r>
        <w:rPr>
          <w:rFonts w:hint="eastAsia"/>
          <w:sz w:val="24"/>
          <w:lang w:eastAsia="zh-CN"/>
        </w:rPr>
        <w:t>2.3交货时间</w:t>
      </w:r>
      <w:r>
        <w:rPr>
          <w:rFonts w:hint="eastAsia"/>
          <w:sz w:val="24"/>
          <w:szCs w:val="24"/>
          <w:u w:val="single"/>
          <w:lang w:eastAsia="zh-CN"/>
        </w:rPr>
        <w:t>：</w:t>
      </w:r>
      <w:r>
        <w:rPr>
          <w:rFonts w:hint="eastAsia"/>
          <w:sz w:val="24"/>
          <w:szCs w:val="24"/>
          <w:u w:val="single"/>
          <w:lang w:val="en-US" w:eastAsia="zh-CN"/>
        </w:rPr>
        <w:t>合同签订后10日内完成备货，接到甲方送货通知后7日内送达现场。</w:t>
      </w:r>
      <w:r>
        <w:rPr>
          <w:rFonts w:hint="eastAsia"/>
          <w:sz w:val="24"/>
          <w:u w:val="single"/>
          <w:lang w:eastAsia="zh-CN"/>
        </w:rPr>
        <w:t>（</w:t>
      </w:r>
      <w:r>
        <w:rPr>
          <w:rFonts w:hint="eastAsia"/>
          <w:b/>
          <w:sz w:val="24"/>
          <w:u w:val="single"/>
          <w:lang w:eastAsia="zh-CN"/>
        </w:rPr>
        <w:t>如甲方要求推迟交货，则乙方应无条件同意并保管好货物）</w:t>
      </w:r>
      <w:r>
        <w:rPr>
          <w:rFonts w:hint="eastAsia"/>
          <w:sz w:val="24"/>
          <w:szCs w:val="24"/>
          <w:u w:val="single"/>
          <w:lang w:eastAsia="zh-CN"/>
        </w:rPr>
        <w:t>，</w:t>
      </w:r>
      <w:r>
        <w:rPr>
          <w:rFonts w:hint="eastAsia"/>
          <w:sz w:val="24"/>
          <w:szCs w:val="24"/>
          <w:u w:val="single"/>
          <w:lang w:val="en-US" w:eastAsia="zh-CN"/>
        </w:rPr>
        <w:t>收货及付款联系人为：迟嘉庚15260183460，jgchi@fhcpec.com.cn  </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rFonts w:hint="eastAsia"/>
          <w:sz w:val="24"/>
          <w:u w:val="single"/>
          <w:lang w:val="en-US" w:eastAsia="zh-CN"/>
        </w:rPr>
        <w:t>100</w:t>
      </w:r>
      <w:r>
        <w:rPr>
          <w:rFonts w:hint="eastAsia"/>
          <w:sz w:val="24"/>
          <w:lang w:eastAsia="zh-CN"/>
        </w:rPr>
        <w:t>%。</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6.4产品验收的标准：按行业通行标准、厂方出厂标准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0.1 </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0855D4E2">
      <w:pPr>
        <w:pStyle w:val="50"/>
        <w:rPr>
          <w:rFonts w:hint="eastAsia" w:ascii="宋体" w:hAnsi="宋体"/>
          <w:i w:val="0"/>
          <w:iCs w:val="0"/>
          <w:sz w:val="24"/>
          <w:szCs w:val="24"/>
          <w:highlight w:val="none"/>
          <w:lang w:val="en-US" w:eastAsia="zh-CN"/>
        </w:rPr>
      </w:pPr>
      <w:r>
        <w:rPr>
          <w:rFonts w:hint="eastAsia" w:ascii="宋体" w:hAnsi="宋体"/>
          <w:i w:val="0"/>
          <w:iCs w:val="0"/>
          <w:sz w:val="24"/>
          <w:szCs w:val="24"/>
          <w:highlight w:val="none"/>
          <w:lang w:val="en-US" w:eastAsia="zh-CN"/>
        </w:rPr>
        <w:t>附件1、人员、车辆入厂安全管理协议</w:t>
      </w:r>
    </w:p>
    <w:p w14:paraId="2DB9ECC4">
      <w:pPr>
        <w:pStyle w:val="50"/>
        <w:rPr>
          <w:rFonts w:hint="default" w:ascii="宋体" w:hAnsi="宋体"/>
          <w:i w:val="0"/>
          <w:iCs w:val="0"/>
          <w:sz w:val="24"/>
          <w:szCs w:val="24"/>
          <w:highlight w:val="none"/>
          <w:lang w:val="en-US" w:eastAsia="zh-CN"/>
        </w:rPr>
      </w:pPr>
    </w:p>
    <w:p w14:paraId="557D4101">
      <w:pPr>
        <w:pStyle w:val="50"/>
        <w:rPr>
          <w:rFonts w:hint="eastAsia" w:ascii="宋体" w:hAnsi="宋体" w:eastAsia="宋体"/>
          <w:i w:val="0"/>
          <w:iCs w:val="0"/>
          <w:sz w:val="24"/>
          <w:szCs w:val="24"/>
          <w:highlight w:val="none"/>
          <w:lang w:val="en-US" w:eastAsia="zh-CN"/>
        </w:rPr>
      </w:pPr>
      <w:r>
        <w:rPr>
          <w:rFonts w:hint="eastAsia" w:ascii="宋体" w:hAnsi="宋体" w:eastAsia="宋体"/>
          <w:i w:val="0"/>
          <w:iCs w:val="0"/>
          <w:sz w:val="24"/>
          <w:szCs w:val="24"/>
          <w:highlight w:val="none"/>
          <w:lang w:val="en-US" w:eastAsia="zh-CN"/>
        </w:rPr>
        <w:t>附件2、技术要求</w:t>
      </w:r>
    </w:p>
    <w:p w14:paraId="7E850333">
      <w:pPr>
        <w:pStyle w:val="50"/>
        <w:rPr>
          <w:rFonts w:hint="eastAsia" w:ascii="宋体" w:hAnsi="宋体" w:eastAsia="宋体"/>
          <w:i w:val="0"/>
          <w:iCs w:val="0"/>
          <w:sz w:val="24"/>
          <w:szCs w:val="24"/>
          <w:highlight w:val="none"/>
          <w:lang w:val="en-US" w:eastAsia="zh-CN"/>
        </w:rPr>
      </w:pPr>
    </w:p>
    <w:p w14:paraId="14998302">
      <w:pPr>
        <w:pStyle w:val="50"/>
        <w:rPr>
          <w:rFonts w:hint="eastAsia" w:ascii="宋体" w:hAnsi="宋体" w:eastAsia="宋体"/>
          <w:i w:val="0"/>
          <w:iCs w:val="0"/>
          <w:sz w:val="24"/>
          <w:szCs w:val="24"/>
          <w:highlight w:val="none"/>
          <w:lang w:val="en-US" w:eastAsia="zh-CN"/>
        </w:rPr>
      </w:pPr>
      <w:r>
        <w:rPr>
          <w:rFonts w:hint="eastAsia" w:ascii="宋体" w:hAnsi="宋体" w:eastAsia="宋体"/>
          <w:i w:val="0"/>
          <w:iCs w:val="0"/>
          <w:sz w:val="24"/>
          <w:szCs w:val="24"/>
          <w:highlight w:val="none"/>
          <w:lang w:val="en-US" w:eastAsia="zh-CN"/>
        </w:rPr>
        <w:t>附件3、报价清单</w:t>
      </w:r>
    </w:p>
    <w:p w14:paraId="4FCE8464">
      <w:pPr>
        <w:pStyle w:val="50"/>
        <w:rPr>
          <w:rFonts w:hint="eastAsia" w:ascii="宋体" w:hAnsi="宋体"/>
          <w:i w:val="0"/>
          <w:iCs w:val="0"/>
          <w:sz w:val="24"/>
          <w:szCs w:val="24"/>
          <w:highlight w:val="none"/>
          <w:lang w:val="en-US" w:eastAsia="zh-CN"/>
        </w:rPr>
      </w:pPr>
    </w:p>
    <w:p w14:paraId="7ED1B865">
      <w:pPr>
        <w:pStyle w:val="50"/>
        <w:rPr>
          <w:rFonts w:hint="eastAsia" w:ascii="宋体" w:hAnsi="宋体"/>
          <w:i w:val="0"/>
          <w:iCs w:val="0"/>
          <w:sz w:val="24"/>
          <w:szCs w:val="24"/>
          <w:highlight w:val="none"/>
          <w:lang w:val="en-US" w:eastAsia="zh-CN"/>
        </w:rPr>
      </w:pPr>
    </w:p>
    <w:p w14:paraId="0EB06F6C">
      <w:pPr>
        <w:pStyle w:val="50"/>
        <w:rPr>
          <w:rFonts w:hint="eastAsia" w:ascii="宋体" w:hAnsi="宋体"/>
          <w:i w:val="0"/>
          <w:iCs w:val="0"/>
          <w:sz w:val="24"/>
          <w:szCs w:val="24"/>
          <w:highlight w:val="none"/>
          <w:lang w:val="en-US" w:eastAsia="zh-CN"/>
        </w:rPr>
      </w:pPr>
    </w:p>
    <w:p w14:paraId="41AB0F67">
      <w:pPr>
        <w:pStyle w:val="50"/>
        <w:rPr>
          <w:rFonts w:hint="eastAsia" w:ascii="宋体" w:hAnsi="宋体"/>
          <w:i w:val="0"/>
          <w:iCs w:val="0"/>
          <w:sz w:val="24"/>
          <w:szCs w:val="24"/>
          <w:highlight w:val="none"/>
          <w:lang w:val="en-US" w:eastAsia="zh-CN"/>
        </w:rPr>
      </w:pPr>
    </w:p>
    <w:p w14:paraId="2F6F926D">
      <w:pPr>
        <w:pStyle w:val="50"/>
        <w:rPr>
          <w:rFonts w:hint="eastAsia" w:ascii="宋体" w:hAnsi="宋体"/>
          <w:i w:val="0"/>
          <w:iCs w:val="0"/>
          <w:sz w:val="24"/>
          <w:szCs w:val="24"/>
          <w:highlight w:val="none"/>
          <w:lang w:val="en-US" w:eastAsia="zh-CN"/>
        </w:rPr>
      </w:pPr>
    </w:p>
    <w:p w14:paraId="469A033C">
      <w:pPr>
        <w:pStyle w:val="50"/>
        <w:rPr>
          <w:rFonts w:hint="eastAsia" w:ascii="宋体" w:hAnsi="宋体"/>
          <w:i w:val="0"/>
          <w:iCs w:val="0"/>
          <w:sz w:val="24"/>
          <w:szCs w:val="24"/>
          <w:highlight w:val="none"/>
          <w:lang w:val="en-US" w:eastAsia="zh-CN"/>
        </w:rPr>
      </w:pPr>
    </w:p>
    <w:p w14:paraId="692F06F8">
      <w:pPr>
        <w:pStyle w:val="50"/>
        <w:rPr>
          <w:rFonts w:hint="eastAsia" w:ascii="宋体" w:hAnsi="宋体"/>
          <w:i w:val="0"/>
          <w:iCs w:val="0"/>
          <w:sz w:val="24"/>
          <w:szCs w:val="24"/>
          <w:highlight w:val="none"/>
          <w:lang w:val="en-US" w:eastAsia="zh-CN"/>
        </w:rPr>
      </w:pPr>
    </w:p>
    <w:p w14:paraId="3152EECB">
      <w:pPr>
        <w:pStyle w:val="50"/>
        <w:rPr>
          <w:rFonts w:hint="eastAsia" w:ascii="宋体" w:hAnsi="宋体"/>
          <w:i w:val="0"/>
          <w:iCs w:val="0"/>
          <w:sz w:val="24"/>
          <w:szCs w:val="24"/>
          <w:highlight w:val="none"/>
          <w:lang w:val="en-US" w:eastAsia="zh-CN"/>
        </w:rPr>
      </w:pPr>
    </w:p>
    <w:p w14:paraId="15A9F22B">
      <w:pPr>
        <w:pStyle w:val="50"/>
        <w:rPr>
          <w:rFonts w:hint="eastAsia" w:ascii="宋体" w:hAnsi="宋体"/>
          <w:i w:val="0"/>
          <w:iCs w:val="0"/>
          <w:sz w:val="24"/>
          <w:szCs w:val="24"/>
          <w:highlight w:val="none"/>
          <w:lang w:val="en-US" w:eastAsia="zh-CN"/>
        </w:rPr>
      </w:pPr>
    </w:p>
    <w:p w14:paraId="04C6E295">
      <w:pPr>
        <w:pStyle w:val="50"/>
        <w:rPr>
          <w:rFonts w:hint="eastAsia" w:ascii="宋体" w:hAnsi="宋体"/>
          <w:i w:val="0"/>
          <w:iCs w:val="0"/>
          <w:sz w:val="24"/>
          <w:szCs w:val="24"/>
          <w:highlight w:val="none"/>
          <w:lang w:val="en-US" w:eastAsia="zh-CN"/>
        </w:rPr>
      </w:pPr>
    </w:p>
    <w:p w14:paraId="12006C6F">
      <w:pPr>
        <w:pStyle w:val="50"/>
        <w:rPr>
          <w:rFonts w:hint="eastAsia" w:ascii="宋体" w:hAnsi="宋体"/>
          <w:i w:val="0"/>
          <w:iCs w:val="0"/>
          <w:sz w:val="24"/>
          <w:szCs w:val="24"/>
          <w:highlight w:val="none"/>
          <w:lang w:val="en-US" w:eastAsia="zh-CN"/>
        </w:rPr>
      </w:pPr>
    </w:p>
    <w:p w14:paraId="631041AF">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sz w:val="24"/>
                <w:szCs w:val="24"/>
                <w:highlight w:val="none"/>
                <w:lang w:val="en-US" w:eastAsia="zh-CN"/>
              </w:rPr>
              <w:t>19959614657</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9</w:t>
      </w:r>
      <w:r>
        <w:rPr>
          <w:rFonts w:hint="eastAsia"/>
          <w:szCs w:val="21"/>
          <w:highlight w:val="none"/>
        </w:rPr>
        <w:t xml:space="preserve">月  日     </w:t>
      </w:r>
    </w:p>
    <w:p w14:paraId="3F20A423">
      <w:pPr>
        <w:pStyle w:val="2"/>
      </w:pPr>
    </w:p>
    <w:p w14:paraId="1B131E35">
      <w:pPr>
        <w:pStyle w:val="2"/>
      </w:pPr>
    </w:p>
    <w:p w14:paraId="05D36D27">
      <w:pPr>
        <w:pStyle w:val="2"/>
        <w:rPr>
          <w:rFonts w:hint="eastAsia"/>
          <w:b/>
          <w:bCs/>
          <w:sz w:val="24"/>
          <w:szCs w:val="24"/>
        </w:rPr>
      </w:pPr>
    </w:p>
    <w:p w14:paraId="338FC81A">
      <w:pPr>
        <w:pStyle w:val="2"/>
        <w:jc w:val="center"/>
        <w:rPr>
          <w:rFonts w:hint="eastAsia"/>
          <w:b w:val="0"/>
          <w:bCs w:val="0"/>
          <w:sz w:val="24"/>
          <w:szCs w:val="24"/>
          <w:lang w:val="en-US" w:eastAsia="zh-CN"/>
        </w:rPr>
      </w:pPr>
      <w:r>
        <w:rPr>
          <w:rFonts w:hint="eastAsia"/>
          <w:b w:val="0"/>
          <w:bCs w:val="0"/>
          <w:sz w:val="24"/>
          <w:szCs w:val="24"/>
          <w:lang w:val="en-US" w:eastAsia="zh-CN"/>
        </w:rPr>
        <w:t>附件2、技术要求</w:t>
      </w:r>
    </w:p>
    <w:p w14:paraId="435F5E47">
      <w:pPr>
        <w:pStyle w:val="2"/>
        <w:rPr>
          <w:rFonts w:hint="eastAsia"/>
          <w:b/>
          <w:bCs/>
          <w:sz w:val="24"/>
          <w:szCs w:val="24"/>
          <w:lang w:val="en-US" w:eastAsia="zh-CN"/>
        </w:rPr>
      </w:pPr>
    </w:p>
    <w:p w14:paraId="0AC03AFE">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eastAsia"/>
          <w:szCs w:val="21"/>
          <w:highlight w:val="none"/>
          <w:lang w:val="en-US" w:eastAsia="zh-CN"/>
        </w:rPr>
        <w:t>一</w:t>
      </w:r>
      <w:r>
        <w:rPr>
          <w:rFonts w:hint="default"/>
          <w:szCs w:val="21"/>
          <w:highlight w:val="none"/>
          <w:lang w:val="en-US" w:eastAsia="zh-CN"/>
        </w:rPr>
        <w:t xml:space="preserve">、 情况介绍 </w:t>
      </w:r>
    </w:p>
    <w:p w14:paraId="31BBA2A1">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eastAsia"/>
          <w:szCs w:val="21"/>
          <w:highlight w:val="none"/>
          <w:lang w:val="en-US" w:eastAsia="zh-CN"/>
        </w:rPr>
        <w:t>本</w:t>
      </w:r>
      <w:r>
        <w:rPr>
          <w:rFonts w:hint="default"/>
          <w:szCs w:val="21"/>
          <w:highlight w:val="none"/>
          <w:lang w:val="en-US" w:eastAsia="zh-CN"/>
        </w:rPr>
        <w:t>次重芳烃轻质化装置</w:t>
      </w:r>
      <w:r>
        <w:rPr>
          <w:rFonts w:hint="eastAsia"/>
          <w:szCs w:val="21"/>
          <w:highlight w:val="none"/>
          <w:lang w:val="en-US" w:eastAsia="zh-CN"/>
        </w:rPr>
        <w:t>、</w:t>
      </w:r>
      <w:r>
        <w:rPr>
          <w:rFonts w:hint="default"/>
          <w:szCs w:val="21"/>
          <w:highlight w:val="none"/>
          <w:lang w:val="en-US" w:eastAsia="zh-CN"/>
        </w:rPr>
        <w:t xml:space="preserve">AGO吸附分离装置项目，涉及64台机泵需求，所采购白油的各项性能指标、质量要求均须符合国家现行相关标准及设备原厂要求 </w:t>
      </w:r>
      <w:r>
        <w:rPr>
          <w:rFonts w:hint="eastAsia"/>
          <w:szCs w:val="21"/>
          <w:highlight w:val="none"/>
          <w:lang w:val="en-US" w:eastAsia="zh-CN"/>
        </w:rPr>
        <w:t>。</w:t>
      </w:r>
    </w:p>
    <w:p w14:paraId="01648B66">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二、 招标采购范围 </w:t>
      </w:r>
    </w:p>
    <w:p w14:paraId="6072C151">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重芳烃轻质化/AGO吸附分离装置机泵白油需求 </w:t>
      </w:r>
    </w:p>
    <w:p w14:paraId="56C572CD">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1、 重芳烃轻质化装置， 需求工业白油10号 200L/桶 (SH/T0006-2002) ,请购量1400L (7桶) ; </w:t>
      </w:r>
    </w:p>
    <w:p w14:paraId="0AB3EA76">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2、 AGO吸附分离装置，需求工业白油10号 200L/桶 (SH/T0006-2002) , 请购量1600L(8桶) ,需求Therminol 66导热油，请购量416L (2桶) ; </w:t>
      </w:r>
    </w:p>
    <w:p w14:paraId="70981180">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总计：工业白油10号，3000L (15桶) ; Therminol 66导热油， 416L (2桶) 。 </w:t>
      </w:r>
    </w:p>
    <w:p w14:paraId="731DC00A">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三、 具体要求 </w:t>
      </w:r>
    </w:p>
    <w:p w14:paraId="27510702">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1. 油品包装须使用原厂专用正规包装油桶 ,标识清晰、 密封完好， 无渗漏、 无破损。 </w:t>
      </w:r>
    </w:p>
    <w:p w14:paraId="377F5CA0">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2. 供货时须随货提供完整质量证明文件，包括产品合格证、 质量检测报告、原厂质保文件等相关资料，粘度、 水分、机械杂质等性能指标符合要求。 </w:t>
      </w:r>
    </w:p>
    <w:p w14:paraId="11794B6D">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四、 设备交付 </w:t>
      </w:r>
    </w:p>
    <w:p w14:paraId="0FB48057">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1.交货期：</w:t>
      </w:r>
      <w:r>
        <w:rPr>
          <w:rFonts w:hint="eastAsia"/>
          <w:szCs w:val="21"/>
          <w:highlight w:val="none"/>
          <w:lang w:val="en-US" w:eastAsia="zh-CN"/>
        </w:rPr>
        <w:t>合同签订之日</w:t>
      </w:r>
      <w:r>
        <w:rPr>
          <w:rFonts w:hint="default"/>
          <w:szCs w:val="21"/>
          <w:highlight w:val="none"/>
          <w:lang w:val="en-US" w:eastAsia="zh-CN"/>
        </w:rPr>
        <w:t xml:space="preserve">起10日内完成备货；接到甲方送货通知后7日内送达现场。 </w:t>
      </w:r>
    </w:p>
    <w:p w14:paraId="4BF8478B">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2.交货方式：板车交货，送至项目指定地点 。 </w:t>
      </w:r>
    </w:p>
    <w:p w14:paraId="62111F21">
      <w:pPr>
        <w:keepNext w:val="0"/>
        <w:keepLines w:val="0"/>
        <w:pageBreakBefore w:val="0"/>
        <w:widowControl w:val="0"/>
        <w:kinsoku/>
        <w:wordWrap/>
        <w:overflowPunct/>
        <w:topLinePunct w:val="0"/>
        <w:autoSpaceDE w:val="0"/>
        <w:autoSpaceDN w:val="0"/>
        <w:bidi w:val="0"/>
        <w:adjustRightInd/>
        <w:snapToGrid/>
        <w:spacing w:line="360" w:lineRule="auto"/>
        <w:ind w:left="-526" w:leftChars="-239" w:firstLine="464" w:firstLineChars="211"/>
        <w:textAlignment w:val="auto"/>
        <w:rPr>
          <w:rFonts w:hint="eastAsia"/>
          <w:szCs w:val="21"/>
          <w:highlight w:val="none"/>
        </w:rPr>
      </w:pPr>
      <w:r>
        <w:rPr>
          <w:rFonts w:hint="default"/>
          <w:szCs w:val="21"/>
          <w:highlight w:val="none"/>
          <w:lang w:val="en-US" w:eastAsia="zh-CN"/>
        </w:rPr>
        <w:t xml:space="preserve">3.交付地点：福建省漳州市古雷港经济开发区腾龙路84号福海创PX厂区。 </w:t>
      </w:r>
    </w:p>
    <w:p w14:paraId="05E33C9E">
      <w:pPr>
        <w:pStyle w:val="2"/>
        <w:rPr>
          <w:rFonts w:hint="eastAsia"/>
          <w:b/>
          <w:bCs/>
          <w:sz w:val="24"/>
          <w:szCs w:val="24"/>
          <w:lang w:val="en-US" w:eastAsia="zh-CN"/>
        </w:rPr>
      </w:pPr>
    </w:p>
    <w:p w14:paraId="3C6DD5F5">
      <w:pPr>
        <w:pStyle w:val="2"/>
        <w:rPr>
          <w:rFonts w:hint="eastAsia"/>
          <w:b/>
          <w:bCs/>
          <w:sz w:val="24"/>
          <w:szCs w:val="24"/>
          <w:lang w:val="en-US" w:eastAsia="zh-CN"/>
        </w:rPr>
      </w:pPr>
    </w:p>
    <w:p w14:paraId="40DEF5ED">
      <w:pPr>
        <w:pStyle w:val="2"/>
        <w:rPr>
          <w:rFonts w:hint="eastAsia"/>
          <w:b/>
          <w:bCs/>
          <w:sz w:val="24"/>
          <w:szCs w:val="24"/>
          <w:lang w:val="en-US" w:eastAsia="zh-CN"/>
        </w:rPr>
      </w:pPr>
    </w:p>
    <w:p w14:paraId="7115F413">
      <w:pPr>
        <w:pStyle w:val="2"/>
        <w:rPr>
          <w:rFonts w:hint="eastAsia"/>
          <w:b/>
          <w:bCs/>
          <w:sz w:val="24"/>
          <w:szCs w:val="24"/>
          <w:lang w:val="en-US" w:eastAsia="zh-CN"/>
        </w:rPr>
      </w:pPr>
    </w:p>
    <w:p w14:paraId="1BF5D0E7">
      <w:pPr>
        <w:pStyle w:val="2"/>
        <w:rPr>
          <w:rFonts w:hint="eastAsia"/>
          <w:b/>
          <w:bCs/>
          <w:sz w:val="24"/>
          <w:szCs w:val="24"/>
          <w:lang w:val="en-US" w:eastAsia="zh-CN"/>
        </w:rPr>
      </w:pPr>
    </w:p>
    <w:p w14:paraId="2D4F9277">
      <w:pPr>
        <w:pStyle w:val="2"/>
        <w:rPr>
          <w:rFonts w:hint="eastAsia"/>
          <w:b/>
          <w:bCs/>
          <w:sz w:val="24"/>
          <w:szCs w:val="24"/>
          <w:lang w:val="en-US" w:eastAsia="zh-CN"/>
        </w:rPr>
      </w:pPr>
    </w:p>
    <w:p w14:paraId="41EE151B">
      <w:pPr>
        <w:pStyle w:val="2"/>
        <w:rPr>
          <w:rFonts w:hint="eastAsia"/>
          <w:b/>
          <w:bCs/>
          <w:sz w:val="24"/>
          <w:szCs w:val="24"/>
          <w:lang w:val="en-US" w:eastAsia="zh-CN"/>
        </w:rPr>
      </w:pPr>
    </w:p>
    <w:p w14:paraId="0C09357C">
      <w:pPr>
        <w:pStyle w:val="2"/>
        <w:rPr>
          <w:rFonts w:hint="eastAsia"/>
          <w:b/>
          <w:bCs/>
          <w:sz w:val="24"/>
          <w:szCs w:val="24"/>
          <w:lang w:val="en-US" w:eastAsia="zh-CN"/>
        </w:rPr>
      </w:pPr>
    </w:p>
    <w:p w14:paraId="380DF303">
      <w:pPr>
        <w:pStyle w:val="2"/>
        <w:rPr>
          <w:rFonts w:hint="eastAsia"/>
          <w:b/>
          <w:bCs/>
          <w:sz w:val="24"/>
          <w:szCs w:val="24"/>
          <w:lang w:val="en-US" w:eastAsia="zh-CN"/>
        </w:rPr>
      </w:pPr>
    </w:p>
    <w:p w14:paraId="710E2F13">
      <w:pPr>
        <w:pStyle w:val="2"/>
        <w:rPr>
          <w:rFonts w:hint="eastAsia"/>
          <w:b/>
          <w:bCs/>
          <w:sz w:val="24"/>
          <w:szCs w:val="24"/>
          <w:lang w:val="en-US" w:eastAsia="zh-CN"/>
        </w:rPr>
      </w:pPr>
    </w:p>
    <w:p w14:paraId="2DB92A2C">
      <w:pPr>
        <w:pStyle w:val="2"/>
        <w:rPr>
          <w:rFonts w:hint="eastAsia"/>
          <w:b/>
          <w:bCs/>
          <w:sz w:val="24"/>
          <w:szCs w:val="24"/>
          <w:lang w:val="en-US" w:eastAsia="zh-CN"/>
        </w:rPr>
      </w:pPr>
    </w:p>
    <w:p w14:paraId="1D07CA73">
      <w:pPr>
        <w:pStyle w:val="2"/>
        <w:rPr>
          <w:rFonts w:hint="eastAsia"/>
          <w:b/>
          <w:bCs/>
          <w:sz w:val="24"/>
          <w:szCs w:val="24"/>
          <w:lang w:val="en-US" w:eastAsia="zh-CN"/>
        </w:rPr>
      </w:pPr>
    </w:p>
    <w:p w14:paraId="32D05BAC">
      <w:pPr>
        <w:pStyle w:val="2"/>
        <w:rPr>
          <w:rFonts w:hint="eastAsia"/>
          <w:b/>
          <w:bCs/>
          <w:sz w:val="24"/>
          <w:szCs w:val="24"/>
          <w:lang w:val="en-US" w:eastAsia="zh-CN"/>
        </w:rPr>
      </w:pPr>
    </w:p>
    <w:p w14:paraId="456C4395">
      <w:pPr>
        <w:pStyle w:val="2"/>
        <w:rPr>
          <w:rFonts w:hint="eastAsia"/>
          <w:b/>
          <w:bCs/>
          <w:sz w:val="24"/>
          <w:szCs w:val="24"/>
          <w:lang w:val="en-US" w:eastAsia="zh-CN"/>
        </w:rPr>
      </w:pPr>
    </w:p>
    <w:p w14:paraId="05A900D0">
      <w:pPr>
        <w:pStyle w:val="2"/>
        <w:rPr>
          <w:rFonts w:hint="eastAsia"/>
          <w:b/>
          <w:bCs/>
          <w:sz w:val="24"/>
          <w:szCs w:val="24"/>
          <w:lang w:val="en-US" w:eastAsia="zh-CN"/>
        </w:rPr>
      </w:pPr>
    </w:p>
    <w:p w14:paraId="114F0799">
      <w:pPr>
        <w:pStyle w:val="2"/>
        <w:rPr>
          <w:rFonts w:hint="eastAsia"/>
          <w:b/>
          <w:bCs/>
          <w:sz w:val="24"/>
          <w:szCs w:val="24"/>
          <w:lang w:val="en-US" w:eastAsia="zh-CN"/>
        </w:rPr>
      </w:pPr>
    </w:p>
    <w:p w14:paraId="276C8EC3">
      <w:pPr>
        <w:pStyle w:val="2"/>
        <w:rPr>
          <w:rFonts w:hint="default"/>
          <w:b/>
          <w:bCs/>
          <w:sz w:val="24"/>
          <w:szCs w:val="24"/>
          <w:lang w:val="en-US" w:eastAsia="zh-CN"/>
        </w:rPr>
      </w:pPr>
    </w:p>
    <w:p w14:paraId="42CFC663">
      <w:pPr>
        <w:pStyle w:val="2"/>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277E51EA">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重芳烃轻质化装置、AGO吸附分离装置项目机泵白油采购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2"/>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2"/>
      </w:pPr>
    </w:p>
    <w:p w14:paraId="435EBD37">
      <w:pPr>
        <w:pStyle w:val="2"/>
      </w:pPr>
    </w:p>
    <w:p w14:paraId="248DBB34">
      <w:pPr>
        <w:pStyle w:val="2"/>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2"/>
      </w:pPr>
    </w:p>
    <w:p w14:paraId="5650CDBB">
      <w:pPr>
        <w:pStyle w:val="2"/>
      </w:pPr>
    </w:p>
    <w:p w14:paraId="74F16668">
      <w:pPr>
        <w:pStyle w:val="2"/>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rFonts w:hint="eastAsia" w:eastAsia="宋体"/>
                <w:sz w:val="24"/>
                <w:lang w:val="en-US" w:eastAsia="zh-CN"/>
              </w:rPr>
            </w:pPr>
            <w:r>
              <w:rPr>
                <w:rFonts w:hint="eastAsia"/>
                <w:sz w:val="24"/>
                <w:lang w:val="en-US" w:eastAsia="zh-CN"/>
              </w:rPr>
              <w:t>7</w:t>
            </w:r>
          </w:p>
        </w:tc>
        <w:tc>
          <w:tcPr>
            <w:tcW w:w="6023" w:type="dxa"/>
          </w:tcPr>
          <w:p w14:paraId="2DB01DE1">
            <w:pPr>
              <w:spacing w:line="500" w:lineRule="exact"/>
              <w:rPr>
                <w:rFonts w:hint="default" w:eastAsia="宋体"/>
                <w:sz w:val="24"/>
                <w:lang w:val="en-US" w:eastAsia="zh-CN"/>
              </w:rPr>
            </w:pPr>
            <w:r>
              <w:rPr>
                <w:rFonts w:hint="eastAsia"/>
                <w:sz w:val="24"/>
              </w:rPr>
              <w:t>参</w:t>
            </w:r>
            <w:r>
              <w:rPr>
                <w:rFonts w:hint="eastAsia"/>
                <w:sz w:val="24"/>
                <w:lang w:eastAsia="zh-CN"/>
              </w:rPr>
              <w:t>比</w:t>
            </w:r>
            <w:r>
              <w:rPr>
                <w:rFonts w:hint="eastAsia"/>
                <w:sz w:val="24"/>
              </w:rPr>
              <w:t>报价单</w:t>
            </w:r>
          </w:p>
        </w:tc>
        <w:tc>
          <w:tcPr>
            <w:tcW w:w="1843" w:type="dxa"/>
          </w:tcPr>
          <w:p w14:paraId="58770EBD">
            <w:pPr>
              <w:spacing w:line="500" w:lineRule="exact"/>
              <w:jc w:val="center"/>
              <w:rPr>
                <w:sz w:val="24"/>
              </w:rPr>
            </w:pPr>
          </w:p>
        </w:tc>
      </w:tr>
    </w:tbl>
    <w:p w14:paraId="34F76B7F">
      <w:pPr>
        <w:spacing w:line="500" w:lineRule="exact"/>
        <w:jc w:val="center"/>
        <w:rPr>
          <w:b/>
          <w:bCs/>
          <w:sz w:val="24"/>
        </w:rPr>
      </w:pPr>
    </w:p>
    <w:p w14:paraId="12E3C699">
      <w:pPr>
        <w:pStyle w:val="2"/>
        <w:rPr>
          <w:b/>
          <w:bCs/>
          <w:sz w:val="36"/>
          <w:szCs w:val="36"/>
        </w:rPr>
      </w:pPr>
    </w:p>
    <w:p w14:paraId="47469ECB">
      <w:pPr>
        <w:pStyle w:val="2"/>
        <w:rPr>
          <w:b/>
          <w:bCs/>
          <w:sz w:val="36"/>
          <w:szCs w:val="36"/>
        </w:rPr>
      </w:pPr>
    </w:p>
    <w:p w14:paraId="7B46A8F6">
      <w:pPr>
        <w:pStyle w:val="2"/>
        <w:rPr>
          <w:b/>
          <w:bCs/>
          <w:sz w:val="36"/>
          <w:szCs w:val="36"/>
        </w:rPr>
      </w:pPr>
    </w:p>
    <w:p w14:paraId="60CCCFB0">
      <w:pPr>
        <w:spacing w:line="500" w:lineRule="exact"/>
        <w:rPr>
          <w:b/>
          <w:bCs/>
          <w:sz w:val="36"/>
          <w:szCs w:val="36"/>
          <w:lang w:eastAsia="zh-CN"/>
        </w:rPr>
      </w:pPr>
    </w:p>
    <w:p w14:paraId="2C48898D">
      <w:pPr>
        <w:pStyle w:val="2"/>
        <w:rPr>
          <w:b/>
          <w:bCs/>
          <w:sz w:val="36"/>
          <w:szCs w:val="36"/>
        </w:rPr>
      </w:pPr>
    </w:p>
    <w:p w14:paraId="75D1AE4D">
      <w:pPr>
        <w:pStyle w:val="2"/>
        <w:rPr>
          <w:b/>
          <w:bCs/>
          <w:sz w:val="36"/>
          <w:szCs w:val="36"/>
        </w:rPr>
      </w:pPr>
    </w:p>
    <w:p w14:paraId="0818B623">
      <w:pPr>
        <w:pStyle w:val="2"/>
      </w:pPr>
    </w:p>
    <w:p w14:paraId="3710216D">
      <w:pPr>
        <w:pStyle w:val="2"/>
      </w:pPr>
    </w:p>
    <w:p w14:paraId="00DF1BBB">
      <w:pPr>
        <w:pStyle w:val="2"/>
      </w:pPr>
    </w:p>
    <w:p w14:paraId="717F9A46">
      <w:pPr>
        <w:pStyle w:val="2"/>
      </w:pPr>
    </w:p>
    <w:p w14:paraId="6C009EFE">
      <w:pPr>
        <w:pStyle w:val="2"/>
      </w:pPr>
    </w:p>
    <w:p w14:paraId="7BE6D035">
      <w:pPr>
        <w:pStyle w:val="2"/>
      </w:pPr>
    </w:p>
    <w:p w14:paraId="6B7CCEAA">
      <w:pPr>
        <w:pStyle w:val="2"/>
      </w:pPr>
    </w:p>
    <w:p w14:paraId="05040122">
      <w:pPr>
        <w:spacing w:line="500" w:lineRule="exact"/>
        <w:jc w:val="center"/>
        <w:rPr>
          <w:rFonts w:hint="eastAsia"/>
          <w:b/>
          <w:bCs/>
          <w:sz w:val="36"/>
          <w:szCs w:val="36"/>
        </w:rPr>
      </w:pPr>
    </w:p>
    <w:p w14:paraId="7BC56A14">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2"/>
      </w:pPr>
    </w:p>
    <w:p w14:paraId="2D9283E2">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2"/>
        <w:jc w:val="center"/>
      </w:pPr>
    </w:p>
    <w:p w14:paraId="39BC4322">
      <w:pPr>
        <w:pStyle w:val="2"/>
        <w:jc w:val="center"/>
      </w:pPr>
    </w:p>
    <w:p w14:paraId="066842E7">
      <w:pPr>
        <w:pStyle w:val="2"/>
        <w:jc w:val="center"/>
      </w:pPr>
    </w:p>
    <w:p w14:paraId="68DB3955">
      <w:pPr>
        <w:pStyle w:val="2"/>
        <w:jc w:val="center"/>
      </w:pPr>
    </w:p>
    <w:p w14:paraId="3D337288">
      <w:pPr>
        <w:pStyle w:val="2"/>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2"/>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重芳烃轻质化装置、AGO吸附分离装置项目机泵白油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9</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2"/>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2"/>
      </w:pPr>
    </w:p>
    <w:p w14:paraId="4A7A6043">
      <w:pPr>
        <w:pStyle w:val="2"/>
      </w:pPr>
    </w:p>
    <w:p w14:paraId="53CBD1E4">
      <w:pPr>
        <w:pStyle w:val="2"/>
      </w:pPr>
    </w:p>
    <w:p w14:paraId="4D3FF2B7">
      <w:pPr>
        <w:pStyle w:val="2"/>
      </w:pPr>
    </w:p>
    <w:p w14:paraId="294F3CFC">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2"/>
        <w:jc w:val="center"/>
        <w:rPr>
          <w:color w:val="4E6127"/>
        </w:rPr>
      </w:pPr>
    </w:p>
    <w:p w14:paraId="2F57EEC8">
      <w:pPr>
        <w:pStyle w:val="2"/>
        <w:jc w:val="center"/>
      </w:pPr>
    </w:p>
    <w:p w14:paraId="5B702F78">
      <w:pPr>
        <w:pStyle w:val="2"/>
        <w:jc w:val="center"/>
      </w:pPr>
    </w:p>
    <w:p w14:paraId="79D9ED00">
      <w:pPr>
        <w:pStyle w:val="2"/>
        <w:jc w:val="center"/>
      </w:pPr>
    </w:p>
    <w:p w14:paraId="3866141C">
      <w:pPr>
        <w:pStyle w:val="2"/>
        <w:jc w:val="center"/>
      </w:pPr>
    </w:p>
    <w:p w14:paraId="3F1E3A6F">
      <w:pPr>
        <w:pStyle w:val="2"/>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2"/>
        <w:rPr>
          <w:b/>
          <w:bCs/>
          <w:color w:val="4E6127"/>
          <w:sz w:val="36"/>
          <w:szCs w:val="36"/>
        </w:rPr>
      </w:pPr>
    </w:p>
    <w:p w14:paraId="79261888">
      <w:pPr>
        <w:pStyle w:val="2"/>
        <w:rPr>
          <w:b/>
          <w:bCs/>
          <w:color w:val="4E6127"/>
          <w:sz w:val="36"/>
          <w:szCs w:val="36"/>
        </w:rPr>
      </w:pPr>
    </w:p>
    <w:p w14:paraId="4588254C">
      <w:pPr>
        <w:pStyle w:val="2"/>
        <w:rPr>
          <w:b/>
          <w:bCs/>
          <w:color w:val="4E6127"/>
          <w:sz w:val="36"/>
          <w:szCs w:val="36"/>
        </w:rPr>
      </w:pPr>
    </w:p>
    <w:p w14:paraId="130BB33F">
      <w:pPr>
        <w:pStyle w:val="2"/>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2"/>
        <w:rPr>
          <w:b/>
          <w:bCs/>
          <w:sz w:val="36"/>
          <w:szCs w:val="36"/>
        </w:rPr>
      </w:pPr>
    </w:p>
    <w:p w14:paraId="539FB829">
      <w:pPr>
        <w:pStyle w:val="2"/>
        <w:rPr>
          <w:b/>
          <w:bCs/>
          <w:sz w:val="36"/>
          <w:szCs w:val="36"/>
        </w:rPr>
      </w:pPr>
    </w:p>
    <w:p w14:paraId="33F04666">
      <w:pPr>
        <w:pStyle w:val="2"/>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2"/>
        <w:jc w:val="center"/>
        <w:rPr>
          <w:color w:val="FF0000"/>
        </w:rPr>
      </w:pPr>
    </w:p>
    <w:p w14:paraId="71BD34CF">
      <w:pPr>
        <w:pStyle w:val="2"/>
        <w:jc w:val="center"/>
      </w:pPr>
    </w:p>
    <w:p w14:paraId="029FD09B">
      <w:pPr>
        <w:pStyle w:val="2"/>
        <w:jc w:val="center"/>
      </w:pPr>
    </w:p>
    <w:p w14:paraId="481270E6">
      <w:pPr>
        <w:pStyle w:val="2"/>
        <w:jc w:val="center"/>
      </w:pPr>
    </w:p>
    <w:p w14:paraId="0681EFF1">
      <w:pPr>
        <w:pStyle w:val="2"/>
        <w:jc w:val="center"/>
      </w:pPr>
    </w:p>
    <w:p w14:paraId="41DEA680">
      <w:pPr>
        <w:pStyle w:val="2"/>
        <w:jc w:val="center"/>
      </w:pPr>
    </w:p>
    <w:p w14:paraId="15A64DF3">
      <w:pPr>
        <w:pStyle w:val="2"/>
        <w:jc w:val="center"/>
      </w:pPr>
    </w:p>
    <w:p w14:paraId="280927C3">
      <w:pPr>
        <w:pStyle w:val="2"/>
        <w:jc w:val="center"/>
      </w:pPr>
    </w:p>
    <w:p w14:paraId="02473E6F">
      <w:pPr>
        <w:pStyle w:val="2"/>
        <w:jc w:val="center"/>
      </w:pPr>
    </w:p>
    <w:p w14:paraId="0232CC98">
      <w:pPr>
        <w:pStyle w:val="2"/>
        <w:jc w:val="center"/>
      </w:pPr>
    </w:p>
    <w:p w14:paraId="71DF9366">
      <w:pPr>
        <w:pStyle w:val="2"/>
        <w:jc w:val="center"/>
      </w:pPr>
    </w:p>
    <w:p w14:paraId="29269907">
      <w:pPr>
        <w:pStyle w:val="2"/>
        <w:jc w:val="center"/>
      </w:pPr>
    </w:p>
    <w:p w14:paraId="48C95FCF">
      <w:pPr>
        <w:pStyle w:val="2"/>
        <w:jc w:val="center"/>
      </w:pPr>
    </w:p>
    <w:p w14:paraId="706D5FDD">
      <w:pPr>
        <w:pStyle w:val="2"/>
        <w:jc w:val="center"/>
      </w:pPr>
    </w:p>
    <w:p w14:paraId="2F038F0E">
      <w:pPr>
        <w:pStyle w:val="2"/>
        <w:jc w:val="center"/>
      </w:pPr>
    </w:p>
    <w:p w14:paraId="3693E9F9">
      <w:pPr>
        <w:pStyle w:val="2"/>
        <w:jc w:val="center"/>
      </w:pPr>
    </w:p>
    <w:p w14:paraId="6383BFC9">
      <w:pPr>
        <w:pStyle w:val="2"/>
        <w:jc w:val="center"/>
      </w:pPr>
    </w:p>
    <w:p w14:paraId="5061630D">
      <w:pPr>
        <w:pStyle w:val="2"/>
        <w:jc w:val="center"/>
      </w:pPr>
    </w:p>
    <w:p w14:paraId="4321CC2E">
      <w:pPr>
        <w:pStyle w:val="2"/>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2"/>
        <w:jc w:val="center"/>
      </w:pPr>
    </w:p>
    <w:p w14:paraId="0B9A4F61">
      <w:pPr>
        <w:pStyle w:val="2"/>
        <w:jc w:val="center"/>
      </w:pPr>
    </w:p>
    <w:p w14:paraId="39E3EE84">
      <w:pPr>
        <w:pStyle w:val="2"/>
        <w:jc w:val="center"/>
      </w:pPr>
    </w:p>
    <w:p w14:paraId="78421338">
      <w:pPr>
        <w:pStyle w:val="2"/>
        <w:jc w:val="center"/>
      </w:pPr>
    </w:p>
    <w:p w14:paraId="19E8404F">
      <w:pPr>
        <w:pStyle w:val="2"/>
        <w:jc w:val="center"/>
      </w:pPr>
    </w:p>
    <w:p w14:paraId="7DF7DF00">
      <w:pPr>
        <w:pStyle w:val="2"/>
        <w:jc w:val="center"/>
      </w:pPr>
    </w:p>
    <w:p w14:paraId="29330E12">
      <w:pPr>
        <w:pStyle w:val="2"/>
        <w:jc w:val="center"/>
      </w:pPr>
    </w:p>
    <w:p w14:paraId="26AF80D0">
      <w:pPr>
        <w:pStyle w:val="2"/>
        <w:jc w:val="center"/>
      </w:pPr>
    </w:p>
    <w:p w14:paraId="35ED6ED9">
      <w:pPr>
        <w:pStyle w:val="2"/>
        <w:jc w:val="center"/>
      </w:pPr>
    </w:p>
    <w:p w14:paraId="70C25904">
      <w:pPr>
        <w:pStyle w:val="2"/>
        <w:jc w:val="center"/>
      </w:pPr>
    </w:p>
    <w:p w14:paraId="6ADDD4A7">
      <w:pPr>
        <w:pStyle w:val="2"/>
        <w:jc w:val="center"/>
      </w:pPr>
    </w:p>
    <w:p w14:paraId="5B340194">
      <w:pPr>
        <w:pStyle w:val="2"/>
        <w:jc w:val="center"/>
      </w:pPr>
    </w:p>
    <w:p w14:paraId="752D6ECB">
      <w:pPr>
        <w:pStyle w:val="2"/>
        <w:jc w:val="center"/>
      </w:pPr>
    </w:p>
    <w:p w14:paraId="6B004E64">
      <w:pPr>
        <w:pStyle w:val="2"/>
        <w:jc w:val="center"/>
      </w:pPr>
    </w:p>
    <w:p w14:paraId="05CC3ADB">
      <w:pPr>
        <w:pStyle w:val="2"/>
        <w:jc w:val="center"/>
      </w:pPr>
    </w:p>
    <w:p w14:paraId="06FAA606">
      <w:pPr>
        <w:pStyle w:val="2"/>
        <w:jc w:val="center"/>
      </w:pPr>
    </w:p>
    <w:p w14:paraId="58BFEC13">
      <w:pPr>
        <w:pStyle w:val="2"/>
        <w:jc w:val="center"/>
      </w:pPr>
    </w:p>
    <w:p w14:paraId="55D08212">
      <w:pPr>
        <w:pStyle w:val="2"/>
        <w:jc w:val="center"/>
      </w:pPr>
    </w:p>
    <w:p w14:paraId="3B1ADF54">
      <w:pPr>
        <w:pStyle w:val="2"/>
        <w:jc w:val="center"/>
      </w:pPr>
    </w:p>
    <w:p w14:paraId="10F67DD9">
      <w:pPr>
        <w:pStyle w:val="2"/>
      </w:pPr>
    </w:p>
    <w:p w14:paraId="5B46A9A0">
      <w:pPr>
        <w:pStyle w:val="2"/>
        <w:jc w:val="center"/>
        <w:rPr>
          <w:rFonts w:ascii="Times New Roman" w:hAnsi="Times New Roman"/>
          <w:b/>
          <w:bCs/>
          <w:kern w:val="2"/>
          <w:sz w:val="36"/>
          <w:szCs w:val="36"/>
        </w:rPr>
      </w:pPr>
    </w:p>
    <w:p w14:paraId="40E63704">
      <w:pPr>
        <w:pStyle w:val="2"/>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研究福建福海创石油化工有限公司重芳烃轻质化装置、AGO吸附分离装置项目机泵白油采购文件的全部内容后，我方愿以以下报价，严格按照采购文件的要求，交付本项目并维修其中的任何缺陷。</w:t>
      </w:r>
    </w:p>
    <w:tbl>
      <w:tblPr>
        <w:tblStyle w:val="51"/>
        <w:tblW w:w="9499" w:type="dxa"/>
        <w:tblInd w:w="-318" w:type="dxa"/>
        <w:tblLayout w:type="fixed"/>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27" w:hRule="atLeast"/>
        </w:trPr>
        <w:tc>
          <w:tcPr>
            <w:tcW w:w="9499" w:type="dxa"/>
            <w:shd w:val="clear" w:color="auto" w:fill="auto"/>
            <w:noWrap/>
            <w:vAlign w:val="center"/>
          </w:tcPr>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196"/>
              <w:gridCol w:w="961"/>
              <w:gridCol w:w="1522"/>
              <w:gridCol w:w="997"/>
              <w:gridCol w:w="1156"/>
              <w:gridCol w:w="5"/>
              <w:gridCol w:w="1495"/>
              <w:gridCol w:w="1088"/>
            </w:tblGrid>
            <w:tr w14:paraId="4737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3FAE39C7">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序号</w:t>
                  </w:r>
                </w:p>
              </w:tc>
              <w:tc>
                <w:tcPr>
                  <w:tcW w:w="1196" w:type="dxa"/>
                </w:tcPr>
                <w:p w14:paraId="592E62A6">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装置</w:t>
                  </w:r>
                </w:p>
              </w:tc>
              <w:tc>
                <w:tcPr>
                  <w:tcW w:w="961" w:type="dxa"/>
                </w:tcPr>
                <w:p w14:paraId="567E69D5">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物资名称</w:t>
                  </w:r>
                </w:p>
              </w:tc>
              <w:tc>
                <w:tcPr>
                  <w:tcW w:w="1522" w:type="dxa"/>
                </w:tcPr>
                <w:p w14:paraId="3BD6DD21">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物资描述</w:t>
                  </w:r>
                </w:p>
              </w:tc>
              <w:tc>
                <w:tcPr>
                  <w:tcW w:w="997" w:type="dxa"/>
                </w:tcPr>
                <w:p w14:paraId="6116160B">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数量</w:t>
                  </w:r>
                </w:p>
                <w:p w14:paraId="3FF1E96A">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（L）</w:t>
                  </w:r>
                </w:p>
              </w:tc>
              <w:tc>
                <w:tcPr>
                  <w:tcW w:w="1156" w:type="dxa"/>
                </w:tcPr>
                <w:p w14:paraId="63094013">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单价</w:t>
                  </w:r>
                </w:p>
                <w:p w14:paraId="3644D35B">
                  <w:pPr>
                    <w:pStyle w:val="2"/>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（元/L）</w:t>
                  </w:r>
                </w:p>
              </w:tc>
              <w:tc>
                <w:tcPr>
                  <w:tcW w:w="1500" w:type="dxa"/>
                  <w:gridSpan w:val="2"/>
                </w:tcPr>
                <w:p w14:paraId="2C031366">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小计</w:t>
                  </w:r>
                </w:p>
                <w:p w14:paraId="785740B0">
                  <w:pPr>
                    <w:pStyle w:val="2"/>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（元）</w:t>
                  </w:r>
                </w:p>
              </w:tc>
              <w:tc>
                <w:tcPr>
                  <w:tcW w:w="1088" w:type="dxa"/>
                </w:tcPr>
                <w:p w14:paraId="57A64E62">
                  <w:pPr>
                    <w:pStyle w:val="2"/>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备注</w:t>
                  </w:r>
                </w:p>
              </w:tc>
            </w:tr>
            <w:tr w14:paraId="0587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101CE2B3">
                  <w:pPr>
                    <w:pStyle w:val="2"/>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1</w:t>
                  </w:r>
                </w:p>
              </w:tc>
              <w:tc>
                <w:tcPr>
                  <w:tcW w:w="1196" w:type="dxa"/>
                </w:tcPr>
                <w:p w14:paraId="05A08E6E">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重芳烃轻质化</w:t>
                  </w:r>
                </w:p>
              </w:tc>
              <w:tc>
                <w:tcPr>
                  <w:tcW w:w="961" w:type="dxa"/>
                </w:tcPr>
                <w:p w14:paraId="499FE828">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工业白油</w:t>
                  </w:r>
                </w:p>
              </w:tc>
              <w:tc>
                <w:tcPr>
                  <w:tcW w:w="1522" w:type="dxa"/>
                </w:tcPr>
                <w:p w14:paraId="2055F02B">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工业白油10号 200L/桶</w:t>
                  </w:r>
                </w:p>
                <w:p w14:paraId="5BCA5EE4">
                  <w:pPr>
                    <w:pStyle w:val="2"/>
                    <w:jc w:val="center"/>
                    <w:rPr>
                      <w:rFonts w:hint="eastAsia" w:asciiTheme="majorEastAsia" w:hAnsiTheme="majorEastAsia" w:eastAsiaTheme="majorEastAsia" w:cstheme="majorEastAsia"/>
                      <w:sz w:val="21"/>
                      <w:szCs w:val="21"/>
                      <w:vertAlign w:val="baseline"/>
                      <w:lang w:val="en-US" w:eastAsia="zh-CN"/>
                    </w:rPr>
                  </w:pPr>
                  <w:r>
                    <w:rPr>
                      <w:rFonts w:hint="default" w:asciiTheme="majorEastAsia" w:hAnsiTheme="majorEastAsia" w:eastAsiaTheme="majorEastAsia" w:cstheme="majorEastAsia"/>
                      <w:sz w:val="21"/>
                      <w:szCs w:val="21"/>
                      <w:vertAlign w:val="baseline"/>
                      <w:lang w:val="en-US" w:eastAsia="zh-CN"/>
                    </w:rPr>
                    <w:t>（SH/T0006-2002）</w:t>
                  </w:r>
                </w:p>
              </w:tc>
              <w:tc>
                <w:tcPr>
                  <w:tcW w:w="997" w:type="dxa"/>
                </w:tcPr>
                <w:p w14:paraId="252C48DB">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1400</w:t>
                  </w:r>
                </w:p>
                <w:p w14:paraId="2B54537F">
                  <w:pPr>
                    <w:pStyle w:val="2"/>
                    <w:jc w:val="center"/>
                    <w:rPr>
                      <w:rFonts w:hint="eastAsia" w:asciiTheme="majorEastAsia" w:hAnsiTheme="majorEastAsia" w:eastAsiaTheme="majorEastAsia" w:cstheme="majorEastAsia"/>
                      <w:sz w:val="21"/>
                      <w:szCs w:val="21"/>
                      <w:vertAlign w:val="baseline"/>
                      <w:lang w:val="en-US" w:eastAsia="zh-CN"/>
                    </w:rPr>
                  </w:pPr>
                </w:p>
              </w:tc>
              <w:tc>
                <w:tcPr>
                  <w:tcW w:w="1156" w:type="dxa"/>
                </w:tcPr>
                <w:p w14:paraId="57EB432C">
                  <w:pPr>
                    <w:pStyle w:val="2"/>
                    <w:jc w:val="center"/>
                    <w:rPr>
                      <w:rFonts w:hint="eastAsia" w:asciiTheme="majorEastAsia" w:hAnsiTheme="majorEastAsia" w:eastAsiaTheme="majorEastAsia" w:cstheme="majorEastAsia"/>
                      <w:sz w:val="21"/>
                      <w:szCs w:val="21"/>
                      <w:vertAlign w:val="baseline"/>
                      <w:lang w:val="en-US" w:eastAsia="zh-CN"/>
                    </w:rPr>
                  </w:pPr>
                </w:p>
              </w:tc>
              <w:tc>
                <w:tcPr>
                  <w:tcW w:w="1500" w:type="dxa"/>
                  <w:gridSpan w:val="2"/>
                </w:tcPr>
                <w:p w14:paraId="7F0FE863">
                  <w:pPr>
                    <w:pStyle w:val="2"/>
                    <w:jc w:val="center"/>
                    <w:rPr>
                      <w:rFonts w:hint="eastAsia" w:asciiTheme="majorEastAsia" w:hAnsiTheme="majorEastAsia" w:eastAsiaTheme="majorEastAsia" w:cstheme="majorEastAsia"/>
                      <w:sz w:val="21"/>
                      <w:szCs w:val="21"/>
                      <w:vertAlign w:val="baseline"/>
                      <w:lang w:val="en-US" w:eastAsia="zh-CN"/>
                    </w:rPr>
                  </w:pPr>
                </w:p>
              </w:tc>
              <w:tc>
                <w:tcPr>
                  <w:tcW w:w="1088" w:type="dxa"/>
                </w:tcPr>
                <w:p w14:paraId="19F8CA39">
                  <w:pPr>
                    <w:pStyle w:val="2"/>
                    <w:jc w:val="center"/>
                    <w:rPr>
                      <w:rFonts w:hint="eastAsia" w:asciiTheme="majorEastAsia" w:hAnsiTheme="majorEastAsia" w:eastAsiaTheme="majorEastAsia" w:cstheme="majorEastAsia"/>
                      <w:sz w:val="21"/>
                      <w:szCs w:val="21"/>
                      <w:vertAlign w:val="baseline"/>
                      <w:lang w:val="en-US" w:eastAsia="zh-CN"/>
                    </w:rPr>
                  </w:pPr>
                </w:p>
              </w:tc>
            </w:tr>
            <w:tr w14:paraId="2F20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6F5305B2">
                  <w:pPr>
                    <w:pStyle w:val="2"/>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2</w:t>
                  </w:r>
                </w:p>
              </w:tc>
              <w:tc>
                <w:tcPr>
                  <w:tcW w:w="1196" w:type="dxa"/>
                </w:tcPr>
                <w:p w14:paraId="78E17E95">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AGO吸附分离</w:t>
                  </w:r>
                </w:p>
                <w:p w14:paraId="6175C84C">
                  <w:pPr>
                    <w:pStyle w:val="2"/>
                    <w:jc w:val="center"/>
                    <w:rPr>
                      <w:rFonts w:hint="eastAsia" w:asciiTheme="majorEastAsia" w:hAnsiTheme="majorEastAsia" w:eastAsiaTheme="majorEastAsia" w:cstheme="majorEastAsia"/>
                      <w:sz w:val="21"/>
                      <w:szCs w:val="21"/>
                      <w:vertAlign w:val="baseline"/>
                      <w:lang w:val="en-US" w:eastAsia="zh-CN"/>
                    </w:rPr>
                  </w:pPr>
                </w:p>
              </w:tc>
              <w:tc>
                <w:tcPr>
                  <w:tcW w:w="961" w:type="dxa"/>
                </w:tcPr>
                <w:p w14:paraId="39E36623">
                  <w:pPr>
                    <w:pStyle w:val="2"/>
                    <w:jc w:val="center"/>
                    <w:rPr>
                      <w:rFonts w:hint="eastAsia" w:asciiTheme="majorEastAsia" w:hAnsiTheme="majorEastAsia" w:eastAsiaTheme="majorEastAsia" w:cstheme="majorEastAsia"/>
                      <w:sz w:val="21"/>
                      <w:szCs w:val="21"/>
                      <w:vertAlign w:val="baseline"/>
                      <w:lang w:val="en-US" w:eastAsia="zh-CN"/>
                    </w:rPr>
                  </w:pPr>
                  <w:r>
                    <w:rPr>
                      <w:rFonts w:hint="default" w:asciiTheme="majorEastAsia" w:hAnsiTheme="majorEastAsia" w:eastAsiaTheme="majorEastAsia" w:cstheme="majorEastAsia"/>
                      <w:sz w:val="21"/>
                      <w:szCs w:val="21"/>
                      <w:vertAlign w:val="baseline"/>
                      <w:lang w:val="en-US" w:eastAsia="zh-CN"/>
                    </w:rPr>
                    <w:t>工业白油</w:t>
                  </w:r>
                </w:p>
                <w:p w14:paraId="5C7EC3CA">
                  <w:pPr>
                    <w:pStyle w:val="2"/>
                    <w:jc w:val="center"/>
                    <w:rPr>
                      <w:rFonts w:hint="eastAsia" w:asciiTheme="majorEastAsia" w:hAnsiTheme="majorEastAsia" w:eastAsiaTheme="majorEastAsia" w:cstheme="majorEastAsia"/>
                      <w:sz w:val="21"/>
                      <w:szCs w:val="21"/>
                      <w:vertAlign w:val="baseline"/>
                      <w:lang w:val="en-US" w:eastAsia="zh-CN"/>
                    </w:rPr>
                  </w:pPr>
                </w:p>
              </w:tc>
              <w:tc>
                <w:tcPr>
                  <w:tcW w:w="1522" w:type="dxa"/>
                </w:tcPr>
                <w:p w14:paraId="240BA699">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工业白油10号 200L/桶</w:t>
                  </w:r>
                </w:p>
                <w:p w14:paraId="5224E4C8">
                  <w:pPr>
                    <w:pStyle w:val="2"/>
                    <w:jc w:val="center"/>
                    <w:rPr>
                      <w:rFonts w:hint="eastAsia" w:asciiTheme="majorEastAsia" w:hAnsiTheme="majorEastAsia" w:eastAsiaTheme="majorEastAsia" w:cstheme="majorEastAsia"/>
                      <w:sz w:val="21"/>
                      <w:szCs w:val="21"/>
                      <w:vertAlign w:val="baseline"/>
                      <w:lang w:val="en-US" w:eastAsia="zh-CN"/>
                    </w:rPr>
                  </w:pPr>
                  <w:r>
                    <w:rPr>
                      <w:rFonts w:hint="default" w:asciiTheme="majorEastAsia" w:hAnsiTheme="majorEastAsia" w:eastAsiaTheme="majorEastAsia" w:cstheme="majorEastAsia"/>
                      <w:sz w:val="21"/>
                      <w:szCs w:val="21"/>
                      <w:vertAlign w:val="baseline"/>
                      <w:lang w:val="en-US" w:eastAsia="zh-CN"/>
                    </w:rPr>
                    <w:t>（SH/T0006-2002）</w:t>
                  </w:r>
                </w:p>
                <w:p w14:paraId="6BC29D3E">
                  <w:pPr>
                    <w:pStyle w:val="2"/>
                    <w:jc w:val="center"/>
                    <w:rPr>
                      <w:rFonts w:hint="eastAsia" w:asciiTheme="majorEastAsia" w:hAnsiTheme="majorEastAsia" w:eastAsiaTheme="majorEastAsia" w:cstheme="majorEastAsia"/>
                      <w:sz w:val="21"/>
                      <w:szCs w:val="21"/>
                      <w:vertAlign w:val="baseline"/>
                      <w:lang w:val="en-US" w:eastAsia="zh-CN"/>
                    </w:rPr>
                  </w:pPr>
                </w:p>
              </w:tc>
              <w:tc>
                <w:tcPr>
                  <w:tcW w:w="997" w:type="dxa"/>
                </w:tcPr>
                <w:p w14:paraId="6BE99639">
                  <w:pPr>
                    <w:pStyle w:val="2"/>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1600</w:t>
                  </w:r>
                </w:p>
              </w:tc>
              <w:tc>
                <w:tcPr>
                  <w:tcW w:w="1156" w:type="dxa"/>
                </w:tcPr>
                <w:p w14:paraId="53060661">
                  <w:pPr>
                    <w:pStyle w:val="2"/>
                    <w:jc w:val="center"/>
                    <w:rPr>
                      <w:rFonts w:hint="eastAsia" w:asciiTheme="majorEastAsia" w:hAnsiTheme="majorEastAsia" w:eastAsiaTheme="majorEastAsia" w:cstheme="majorEastAsia"/>
                      <w:sz w:val="21"/>
                      <w:szCs w:val="21"/>
                      <w:vertAlign w:val="baseline"/>
                      <w:lang w:val="en-US" w:eastAsia="zh-CN"/>
                    </w:rPr>
                  </w:pPr>
                </w:p>
              </w:tc>
              <w:tc>
                <w:tcPr>
                  <w:tcW w:w="1500" w:type="dxa"/>
                  <w:gridSpan w:val="2"/>
                </w:tcPr>
                <w:p w14:paraId="2522F848">
                  <w:pPr>
                    <w:pStyle w:val="2"/>
                    <w:jc w:val="center"/>
                    <w:rPr>
                      <w:rFonts w:hint="eastAsia" w:asciiTheme="majorEastAsia" w:hAnsiTheme="majorEastAsia" w:eastAsiaTheme="majorEastAsia" w:cstheme="majorEastAsia"/>
                      <w:sz w:val="21"/>
                      <w:szCs w:val="21"/>
                      <w:vertAlign w:val="baseline"/>
                      <w:lang w:val="en-US" w:eastAsia="zh-CN"/>
                    </w:rPr>
                  </w:pPr>
                </w:p>
              </w:tc>
              <w:tc>
                <w:tcPr>
                  <w:tcW w:w="1088" w:type="dxa"/>
                </w:tcPr>
                <w:p w14:paraId="349E982E">
                  <w:pPr>
                    <w:pStyle w:val="2"/>
                    <w:jc w:val="center"/>
                    <w:rPr>
                      <w:rFonts w:hint="eastAsia" w:asciiTheme="majorEastAsia" w:hAnsiTheme="majorEastAsia" w:eastAsiaTheme="majorEastAsia" w:cstheme="majorEastAsia"/>
                      <w:sz w:val="21"/>
                      <w:szCs w:val="21"/>
                      <w:vertAlign w:val="baseline"/>
                      <w:lang w:val="en-US" w:eastAsia="zh-CN"/>
                    </w:rPr>
                  </w:pPr>
                </w:p>
              </w:tc>
            </w:tr>
            <w:tr w14:paraId="72CE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14:paraId="2DF3FFFB">
                  <w:pPr>
                    <w:pStyle w:val="2"/>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3</w:t>
                  </w:r>
                </w:p>
              </w:tc>
              <w:tc>
                <w:tcPr>
                  <w:tcW w:w="1196" w:type="dxa"/>
                </w:tcPr>
                <w:p w14:paraId="1242DF75">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AGO吸附分离</w:t>
                  </w:r>
                </w:p>
                <w:p w14:paraId="44AE4831">
                  <w:pPr>
                    <w:pStyle w:val="2"/>
                    <w:jc w:val="center"/>
                    <w:rPr>
                      <w:rFonts w:hint="eastAsia" w:asciiTheme="majorEastAsia" w:hAnsiTheme="majorEastAsia" w:eastAsiaTheme="majorEastAsia" w:cstheme="majorEastAsia"/>
                      <w:sz w:val="21"/>
                      <w:szCs w:val="21"/>
                      <w:vertAlign w:val="baseline"/>
                      <w:lang w:val="en-US" w:eastAsia="zh-CN"/>
                    </w:rPr>
                  </w:pPr>
                </w:p>
              </w:tc>
              <w:tc>
                <w:tcPr>
                  <w:tcW w:w="961" w:type="dxa"/>
                </w:tcPr>
                <w:p w14:paraId="3A22FAFF">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导热油</w:t>
                  </w:r>
                </w:p>
                <w:p w14:paraId="3F77FD41">
                  <w:pPr>
                    <w:pStyle w:val="2"/>
                    <w:jc w:val="center"/>
                    <w:rPr>
                      <w:rFonts w:hint="eastAsia" w:asciiTheme="majorEastAsia" w:hAnsiTheme="majorEastAsia" w:eastAsiaTheme="majorEastAsia" w:cstheme="majorEastAsia"/>
                      <w:sz w:val="21"/>
                      <w:szCs w:val="21"/>
                      <w:vertAlign w:val="baseline"/>
                      <w:lang w:val="en-US" w:eastAsia="zh-CN"/>
                    </w:rPr>
                  </w:pPr>
                </w:p>
              </w:tc>
              <w:tc>
                <w:tcPr>
                  <w:tcW w:w="1522" w:type="dxa"/>
                </w:tcPr>
                <w:p w14:paraId="1AF26E02">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Therminol 66导热油</w:t>
                  </w:r>
                </w:p>
                <w:p w14:paraId="0466B4B2">
                  <w:pPr>
                    <w:pStyle w:val="2"/>
                    <w:jc w:val="center"/>
                    <w:rPr>
                      <w:rFonts w:hint="eastAsia" w:asciiTheme="majorEastAsia" w:hAnsiTheme="majorEastAsia" w:eastAsiaTheme="majorEastAsia" w:cstheme="majorEastAsia"/>
                      <w:sz w:val="21"/>
                      <w:szCs w:val="21"/>
                      <w:vertAlign w:val="baseline"/>
                      <w:lang w:val="en-US" w:eastAsia="zh-CN"/>
                    </w:rPr>
                  </w:pPr>
                </w:p>
              </w:tc>
              <w:tc>
                <w:tcPr>
                  <w:tcW w:w="997" w:type="dxa"/>
                </w:tcPr>
                <w:p w14:paraId="597510B8">
                  <w:pPr>
                    <w:pStyle w:val="2"/>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416</w:t>
                  </w:r>
                </w:p>
                <w:p w14:paraId="0C912B60">
                  <w:pPr>
                    <w:pStyle w:val="2"/>
                    <w:jc w:val="center"/>
                    <w:rPr>
                      <w:rFonts w:hint="eastAsia" w:asciiTheme="majorEastAsia" w:hAnsiTheme="majorEastAsia" w:eastAsiaTheme="majorEastAsia" w:cstheme="majorEastAsia"/>
                      <w:sz w:val="21"/>
                      <w:szCs w:val="21"/>
                      <w:vertAlign w:val="baseline"/>
                      <w:lang w:val="en-US" w:eastAsia="zh-CN"/>
                    </w:rPr>
                  </w:pPr>
                </w:p>
              </w:tc>
              <w:tc>
                <w:tcPr>
                  <w:tcW w:w="1156" w:type="dxa"/>
                </w:tcPr>
                <w:p w14:paraId="03C9F1AB">
                  <w:pPr>
                    <w:pStyle w:val="2"/>
                    <w:jc w:val="center"/>
                    <w:rPr>
                      <w:rFonts w:hint="eastAsia" w:asciiTheme="majorEastAsia" w:hAnsiTheme="majorEastAsia" w:eastAsiaTheme="majorEastAsia" w:cstheme="majorEastAsia"/>
                      <w:sz w:val="21"/>
                      <w:szCs w:val="21"/>
                      <w:vertAlign w:val="baseline"/>
                      <w:lang w:val="en-US" w:eastAsia="zh-CN"/>
                    </w:rPr>
                  </w:pPr>
                </w:p>
              </w:tc>
              <w:tc>
                <w:tcPr>
                  <w:tcW w:w="1500" w:type="dxa"/>
                  <w:gridSpan w:val="2"/>
                </w:tcPr>
                <w:p w14:paraId="7AAB314A">
                  <w:pPr>
                    <w:pStyle w:val="2"/>
                    <w:jc w:val="center"/>
                    <w:rPr>
                      <w:rFonts w:hint="eastAsia" w:asciiTheme="majorEastAsia" w:hAnsiTheme="majorEastAsia" w:eastAsiaTheme="majorEastAsia" w:cstheme="majorEastAsia"/>
                      <w:sz w:val="21"/>
                      <w:szCs w:val="21"/>
                      <w:vertAlign w:val="baseline"/>
                      <w:lang w:val="en-US" w:eastAsia="zh-CN"/>
                    </w:rPr>
                  </w:pPr>
                </w:p>
              </w:tc>
              <w:tc>
                <w:tcPr>
                  <w:tcW w:w="1088" w:type="dxa"/>
                </w:tcPr>
                <w:p w14:paraId="38DEF70E">
                  <w:pPr>
                    <w:pStyle w:val="2"/>
                    <w:jc w:val="center"/>
                    <w:rPr>
                      <w:rFonts w:hint="eastAsia" w:asciiTheme="majorEastAsia" w:hAnsiTheme="majorEastAsia" w:eastAsiaTheme="majorEastAsia" w:cstheme="majorEastAsia"/>
                      <w:sz w:val="21"/>
                      <w:szCs w:val="21"/>
                      <w:vertAlign w:val="baseline"/>
                      <w:lang w:val="en-US" w:eastAsia="zh-CN"/>
                    </w:rPr>
                  </w:pPr>
                </w:p>
              </w:tc>
            </w:tr>
            <w:tr w14:paraId="7C02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6562" w:type="dxa"/>
                  <w:gridSpan w:val="7"/>
                </w:tcPr>
                <w:p w14:paraId="7A13299B">
                  <w:pPr>
                    <w:pStyle w:val="2"/>
                    <w:jc w:val="center"/>
                    <w:rPr>
                      <w:rFonts w:hint="eastAsia" w:asciiTheme="majorEastAsia" w:hAnsiTheme="majorEastAsia" w:eastAsiaTheme="majorEastAsia" w:cstheme="majorEastAsia"/>
                      <w:sz w:val="21"/>
                      <w:szCs w:val="21"/>
                      <w:vertAlign w:val="baseline"/>
                      <w:lang w:eastAsia="zh-CN"/>
                    </w:rPr>
                  </w:pPr>
                  <w:r>
                    <w:rPr>
                      <w:rFonts w:hint="eastAsia" w:asciiTheme="majorEastAsia" w:hAnsiTheme="majorEastAsia" w:eastAsiaTheme="majorEastAsia" w:cstheme="majorEastAsia"/>
                      <w:sz w:val="21"/>
                      <w:szCs w:val="21"/>
                      <w:vertAlign w:val="baseline"/>
                      <w:lang w:val="en-US" w:eastAsia="zh-CN"/>
                    </w:rPr>
                    <w:t>合计</w:t>
                  </w:r>
                </w:p>
              </w:tc>
              <w:tc>
                <w:tcPr>
                  <w:tcW w:w="1495" w:type="dxa"/>
                </w:tcPr>
                <w:p w14:paraId="71B39FE9">
                  <w:pPr>
                    <w:pStyle w:val="2"/>
                    <w:jc w:val="center"/>
                    <w:rPr>
                      <w:rFonts w:hint="eastAsia" w:asciiTheme="majorEastAsia" w:hAnsiTheme="majorEastAsia" w:eastAsiaTheme="majorEastAsia" w:cstheme="majorEastAsia"/>
                      <w:sz w:val="21"/>
                      <w:szCs w:val="21"/>
                      <w:vertAlign w:val="baseline"/>
                      <w:lang w:val="en-US" w:eastAsia="zh-CN"/>
                    </w:rPr>
                  </w:pPr>
                </w:p>
              </w:tc>
              <w:tc>
                <w:tcPr>
                  <w:tcW w:w="1088" w:type="dxa"/>
                </w:tcPr>
                <w:p w14:paraId="23553042">
                  <w:pPr>
                    <w:pStyle w:val="2"/>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含13%增值税</w:t>
                  </w:r>
                </w:p>
              </w:tc>
            </w:tr>
          </w:tbl>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2DA4BB47">
      <w:pPr>
        <w:keepNext w:val="0"/>
        <w:keepLines w:val="0"/>
        <w:pageBreakBefore w:val="0"/>
        <w:widowControl w:val="0"/>
        <w:kinsoku/>
        <w:wordWrap/>
        <w:overflowPunct/>
        <w:topLinePunct w:val="0"/>
        <w:autoSpaceDE w:val="0"/>
        <w:autoSpaceDN w:val="0"/>
        <w:bidi w:val="0"/>
        <w:adjustRightInd/>
        <w:snapToGrid/>
        <w:spacing w:line="20" w:lineRule="atLeast"/>
        <w:ind w:firstLine="560" w:firstLineChars="200"/>
        <w:textAlignment w:val="auto"/>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69003041">
      <w:pPr>
        <w:keepNext w:val="0"/>
        <w:keepLines w:val="0"/>
        <w:pageBreakBefore w:val="0"/>
        <w:widowControl w:val="0"/>
        <w:kinsoku/>
        <w:wordWrap/>
        <w:overflowPunct/>
        <w:topLinePunct w:val="0"/>
        <w:autoSpaceDE w:val="0"/>
        <w:autoSpaceDN w:val="0"/>
        <w:bidi w:val="0"/>
        <w:adjustRightInd/>
        <w:snapToGrid/>
        <w:spacing w:line="20" w:lineRule="atLeast"/>
        <w:ind w:firstLine="560" w:firstLineChars="200"/>
        <w:textAlignment w:val="auto"/>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DF4175">
      <w:pPr>
        <w:keepNext w:val="0"/>
        <w:keepLines w:val="0"/>
        <w:pageBreakBefore w:val="0"/>
        <w:widowControl w:val="0"/>
        <w:kinsoku/>
        <w:wordWrap/>
        <w:overflowPunct/>
        <w:topLinePunct w:val="0"/>
        <w:autoSpaceDE w:val="0"/>
        <w:autoSpaceDN w:val="0"/>
        <w:bidi w:val="0"/>
        <w:adjustRightInd/>
        <w:snapToGrid/>
        <w:spacing w:line="20" w:lineRule="atLeast"/>
        <w:ind w:firstLine="560" w:firstLineChars="200"/>
        <w:textAlignment w:val="auto"/>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4DAA6F87">
      <w:pPr>
        <w:keepNext w:val="0"/>
        <w:keepLines w:val="0"/>
        <w:pageBreakBefore w:val="0"/>
        <w:widowControl w:val="0"/>
        <w:kinsoku/>
        <w:wordWrap/>
        <w:overflowPunct/>
        <w:topLinePunct w:val="0"/>
        <w:autoSpaceDE w:val="0"/>
        <w:autoSpaceDN w:val="0"/>
        <w:bidi w:val="0"/>
        <w:adjustRightInd/>
        <w:snapToGrid/>
        <w:spacing w:line="20" w:lineRule="atLeast"/>
        <w:ind w:firstLine="560" w:firstLineChars="200"/>
        <w:textAlignment w:val="auto"/>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KSOF0FAC841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2"/>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2"/>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61139E5"/>
    <w:rsid w:val="06F50B00"/>
    <w:rsid w:val="071208DE"/>
    <w:rsid w:val="076E1278"/>
    <w:rsid w:val="08D1141D"/>
    <w:rsid w:val="0A3B540D"/>
    <w:rsid w:val="0B296DE2"/>
    <w:rsid w:val="10294AA3"/>
    <w:rsid w:val="10E40CA0"/>
    <w:rsid w:val="114E0702"/>
    <w:rsid w:val="136130D9"/>
    <w:rsid w:val="144E062A"/>
    <w:rsid w:val="16933BA9"/>
    <w:rsid w:val="18DD4F7E"/>
    <w:rsid w:val="195B58A2"/>
    <w:rsid w:val="1B9E63E4"/>
    <w:rsid w:val="1E085A14"/>
    <w:rsid w:val="1FE30229"/>
    <w:rsid w:val="1FF43DDB"/>
    <w:rsid w:val="1FFF643B"/>
    <w:rsid w:val="20F326ED"/>
    <w:rsid w:val="21933AA2"/>
    <w:rsid w:val="22C543E9"/>
    <w:rsid w:val="25BF356F"/>
    <w:rsid w:val="25DB0C2D"/>
    <w:rsid w:val="269469E7"/>
    <w:rsid w:val="29375E29"/>
    <w:rsid w:val="29FC3B14"/>
    <w:rsid w:val="2B11792E"/>
    <w:rsid w:val="31C54755"/>
    <w:rsid w:val="3216608C"/>
    <w:rsid w:val="334254B5"/>
    <w:rsid w:val="342B06AB"/>
    <w:rsid w:val="344622E0"/>
    <w:rsid w:val="34CE14C6"/>
    <w:rsid w:val="34D432FD"/>
    <w:rsid w:val="34D84CEC"/>
    <w:rsid w:val="35685A43"/>
    <w:rsid w:val="37AF5AB7"/>
    <w:rsid w:val="3A3667C1"/>
    <w:rsid w:val="3B1C3371"/>
    <w:rsid w:val="3CC23198"/>
    <w:rsid w:val="3DDF4815"/>
    <w:rsid w:val="3FE669E5"/>
    <w:rsid w:val="41F32582"/>
    <w:rsid w:val="43C46838"/>
    <w:rsid w:val="43F738C1"/>
    <w:rsid w:val="49DA744B"/>
    <w:rsid w:val="4AAD035C"/>
    <w:rsid w:val="4BC3600A"/>
    <w:rsid w:val="4F5E143E"/>
    <w:rsid w:val="50060D27"/>
    <w:rsid w:val="50F63E28"/>
    <w:rsid w:val="51AE1E68"/>
    <w:rsid w:val="5221007F"/>
    <w:rsid w:val="52926B5A"/>
    <w:rsid w:val="545C5E51"/>
    <w:rsid w:val="5486175B"/>
    <w:rsid w:val="57667D24"/>
    <w:rsid w:val="57CE5BC3"/>
    <w:rsid w:val="59B51AED"/>
    <w:rsid w:val="5AE1516A"/>
    <w:rsid w:val="5B6A3A79"/>
    <w:rsid w:val="5BAF4E87"/>
    <w:rsid w:val="5C1A5F7B"/>
    <w:rsid w:val="5C64411C"/>
    <w:rsid w:val="5D5B567D"/>
    <w:rsid w:val="5E836CBA"/>
    <w:rsid w:val="645771F8"/>
    <w:rsid w:val="64A16A11"/>
    <w:rsid w:val="64E009AB"/>
    <w:rsid w:val="66E52772"/>
    <w:rsid w:val="68FE4172"/>
    <w:rsid w:val="6A54112D"/>
    <w:rsid w:val="6AA035AE"/>
    <w:rsid w:val="6CFE3587"/>
    <w:rsid w:val="6D810F65"/>
    <w:rsid w:val="6E0F2E14"/>
    <w:rsid w:val="6E191737"/>
    <w:rsid w:val="6F1E141D"/>
    <w:rsid w:val="6F5354F8"/>
    <w:rsid w:val="740A2BDE"/>
    <w:rsid w:val="751839E0"/>
    <w:rsid w:val="76274F93"/>
    <w:rsid w:val="76C35971"/>
    <w:rsid w:val="79EB3F2F"/>
    <w:rsid w:val="7A294EAE"/>
    <w:rsid w:val="7AB81F4E"/>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4"/>
    <w:next w:val="4"/>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4">
    <w:name w:val="正文_0"/>
    <w:basedOn w:val="2"/>
    <w:next w:val="3"/>
    <w:qFormat/>
    <w:uiPriority w:val="0"/>
    <w:rPr>
      <w:rFonts w:ascii="Calibri" w:hAnsi="Calibri"/>
      <w:szCs w:val="22"/>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4"/>
    <w:next w:val="4"/>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3"/>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qFormat/>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qFormat/>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qFormat/>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qFormat/>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897</Words>
  <Characters>1078</Characters>
  <Lines>127</Lines>
  <Paragraphs>35</Paragraphs>
  <TotalTime>7</TotalTime>
  <ScaleCrop>false</ScaleCrop>
  <LinksUpToDate>false</LinksUpToDate>
  <CharactersWithSpaces>1251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hjzhang</cp:lastModifiedBy>
  <dcterms:modified xsi:type="dcterms:W3CDTF">2026-09-08T07:22:44Z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2052-12.1.0.28043</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