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3802F8E8">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7B1035BC">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PTA现场人员用房、吸附分离预处理装置等项目竣工消防设施及工程防火检测</w:t>
      </w:r>
    </w:p>
    <w:p w14:paraId="1F595A08">
      <w:pPr>
        <w:pStyle w:val="21"/>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询比文件</w:t>
      </w:r>
    </w:p>
    <w:p w14:paraId="41DFB9F3">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w:t>
      </w:r>
      <w:r>
        <w:rPr>
          <w:rFonts w:hint="eastAsia"/>
          <w:color w:val="000000" w:themeColor="text1"/>
          <w:sz w:val="28"/>
          <w:szCs w:val="28"/>
          <w:u w:val="single"/>
          <w14:textFill>
            <w14:solidFill>
              <w14:schemeClr w14:val="tx1"/>
            </w14:solidFill>
          </w14:textFill>
        </w:rPr>
        <w:t>FAP5-CGSQ-202608-001</w:t>
      </w:r>
      <w:r>
        <w:rPr>
          <w:color w:val="000000" w:themeColor="text1"/>
          <w:sz w:val="28"/>
          <w:szCs w:val="28"/>
          <w:u w:val="single"/>
          <w14:textFill>
            <w14:solidFill>
              <w14:schemeClr w14:val="tx1"/>
            </w14:solidFill>
          </w14:textFill>
        </w:rPr>
        <w:t xml:space="preserve"> </w:t>
      </w:r>
      <w:r>
        <w:rPr>
          <w:rFonts w:hint="eastAsia"/>
          <w:color w:val="000000" w:themeColor="text1"/>
          <w:sz w:val="28"/>
          <w:szCs w:val="28"/>
          <w14:textFill>
            <w14:solidFill>
              <w14:schemeClr w14:val="tx1"/>
            </w14:solidFill>
          </w14:textFill>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 xml:space="preserve">                  二〇二六年八月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2"/>
      </w:pPr>
    </w:p>
    <w:p w14:paraId="60BF236B">
      <w:pPr>
        <w:jc w:val="center"/>
        <w:rPr>
          <w:b/>
          <w:bCs/>
          <w:sz w:val="32"/>
          <w:lang w:eastAsia="zh-CN"/>
        </w:rPr>
      </w:pPr>
      <w:r>
        <w:rPr>
          <w:rFonts w:hint="eastAsia"/>
          <w:b/>
          <w:bCs/>
          <w:sz w:val="32"/>
          <w:lang w:eastAsia="zh-CN"/>
        </w:rPr>
        <w:t>福建福海创石油化工有限公司</w:t>
      </w:r>
    </w:p>
    <w:p w14:paraId="448318D1">
      <w:pPr>
        <w:jc w:val="center"/>
        <w:rPr>
          <w:b/>
          <w:bCs/>
          <w:sz w:val="32"/>
          <w:lang w:eastAsia="zh-CN"/>
        </w:rPr>
      </w:pPr>
      <w:r>
        <w:rPr>
          <w:rFonts w:hint="eastAsia"/>
          <w:b/>
          <w:bCs/>
          <w:sz w:val="32"/>
          <w:lang w:eastAsia="zh-CN"/>
        </w:rPr>
        <w:t>PTA现场人员用房、吸附分离预处理装置等项目竣工消防设施及工程防火检测询比公告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福建福海创石油化工有限公司PTA现场人员用房、吸附分离预处理装置等项目竣工消防设施及工程防火检测（项目编号：FAP5-CGSQ-202608-001</w:t>
      </w:r>
      <w:r>
        <w:rPr>
          <w:color w:val="000000" w:themeColor="text1"/>
          <w:u w:val="single"/>
          <w:lang w:eastAsia="zh-CN"/>
          <w14:textFill>
            <w14:solidFill>
              <w14:schemeClr w14:val="tx1"/>
            </w14:solidFill>
          </w14:textFill>
        </w:rPr>
        <w:t xml:space="preserve"> </w:t>
      </w:r>
      <w:r>
        <w:rPr>
          <w:rFonts w:hint="eastAsia"/>
          <w:color w:val="000000" w:themeColor="text1"/>
          <w:u w:val="single"/>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14:paraId="1CCFF4B3">
      <w:pPr>
        <w:pStyle w:val="21"/>
        <w:spacing w:before="26" w:line="360" w:lineRule="auto"/>
        <w:ind w:right="121" w:firstLine="480" w:firstLineChars="200"/>
        <w:jc w:val="both"/>
        <w:rPr>
          <w:lang w:eastAsia="zh-CN"/>
        </w:rPr>
      </w:pPr>
      <w:r>
        <w:rPr>
          <w:rFonts w:hint="eastAsia"/>
          <w:lang w:eastAsia="zh-CN"/>
        </w:rPr>
        <w:t>1.项目名称：福建福海创石油化工有限公司PTA现场人员用房、吸附分离预处理装置等项目竣工消防设施及工程防火检测</w:t>
      </w:r>
    </w:p>
    <w:p w14:paraId="456264E4">
      <w:pPr>
        <w:pStyle w:val="21"/>
        <w:spacing w:before="26" w:line="360" w:lineRule="auto"/>
        <w:ind w:right="121" w:firstLine="480" w:firstLineChars="200"/>
        <w:jc w:val="both"/>
        <w:rPr>
          <w:lang w:eastAsia="zh-CN"/>
        </w:rPr>
      </w:pPr>
      <w:r>
        <w:rPr>
          <w:rFonts w:hint="eastAsia"/>
          <w:lang w:eastAsia="zh-CN"/>
        </w:rPr>
        <w:t>2.采购项目简要说明：为</w:t>
      </w:r>
      <w:r>
        <w:rPr>
          <w:rFonts w:hint="eastAsia"/>
          <w:color w:val="000000"/>
          <w:lang w:eastAsia="zh-CN"/>
        </w:rPr>
        <w:t>满足政府主管部门对项目消防验收的相关要求，需委托第三方消防专业检测机构，对建设项目进行项目竣工消防设施及工程防火检测。</w:t>
      </w:r>
    </w:p>
    <w:p w14:paraId="51FEA214">
      <w:pPr>
        <w:pStyle w:val="21"/>
        <w:spacing w:before="26" w:line="360" w:lineRule="auto"/>
        <w:ind w:right="121" w:firstLine="480" w:firstLineChars="200"/>
        <w:jc w:val="both"/>
        <w:rPr>
          <w:lang w:eastAsia="zh-CN"/>
        </w:rPr>
      </w:pPr>
      <w:r>
        <w:rPr>
          <w:rFonts w:hint="eastAsia"/>
          <w:lang w:eastAsia="zh-CN"/>
        </w:rPr>
        <w:t>3.采购控制价：29180.27元（含6%增值税）</w:t>
      </w:r>
    </w:p>
    <w:p w14:paraId="0CA29B07">
      <w:pPr>
        <w:pStyle w:val="21"/>
        <w:spacing w:before="26" w:line="360" w:lineRule="auto"/>
        <w:ind w:right="121" w:firstLine="480" w:firstLineChars="200"/>
        <w:jc w:val="both"/>
        <w:rPr>
          <w:lang w:eastAsia="zh-CN"/>
        </w:rPr>
      </w:pPr>
      <w:r>
        <w:rPr>
          <w:rFonts w:hint="eastAsia"/>
          <w:lang w:eastAsia="zh-CN"/>
        </w:rPr>
        <w:t>4.工期要求：本次委托的建设工程消防设施和防火工程检测，因各装置项目完工投用时间不一致，需分批检测。检测日期由委托方提前一周通知承接人。</w:t>
      </w:r>
    </w:p>
    <w:p w14:paraId="0D67D184">
      <w:pPr>
        <w:pStyle w:val="21"/>
        <w:spacing w:before="26" w:line="360" w:lineRule="auto"/>
        <w:ind w:right="121" w:firstLine="480" w:firstLineChars="200"/>
        <w:jc w:val="both"/>
        <w:rPr>
          <w:lang w:eastAsia="zh-CN"/>
        </w:rPr>
      </w:pPr>
      <w:r>
        <w:rPr>
          <w:rFonts w:hint="eastAsia"/>
          <w:lang w:eastAsia="zh-CN"/>
        </w:rPr>
        <w:t>受托方按委托方指定日期委派检测人员到达项目现场，在3个日历天内完成所有检测检查、联调联试工作；在5个日历天内出具盖章签字版的成果报告，并能满足委托方向政府消防验收主管部门申报消防验收的资料完整性、合规性要求。</w:t>
      </w:r>
    </w:p>
    <w:p w14:paraId="415A13B3">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w:t>
      </w:r>
      <w:r>
        <w:rPr>
          <w:rFonts w:hint="eastAsia"/>
          <w:b/>
          <w:snapToGrid w:val="0"/>
          <w:color w:val="000000" w:themeColor="text1"/>
          <w:spacing w:val="8"/>
          <w:sz w:val="24"/>
          <w:szCs w:val="24"/>
          <w:lang w:eastAsia="zh-CN"/>
          <w14:textFill>
            <w14:solidFill>
              <w14:schemeClr w14:val="tx1"/>
            </w14:solidFill>
          </w14:textFill>
        </w:rPr>
        <w:t>比</w:t>
      </w:r>
      <w:r>
        <w:rPr>
          <w:b/>
          <w:snapToGrid w:val="0"/>
          <w:color w:val="000000" w:themeColor="text1"/>
          <w:spacing w:val="8"/>
          <w:sz w:val="24"/>
          <w:szCs w:val="24"/>
          <w:lang w:eastAsia="zh-CN"/>
          <w14:textFill>
            <w14:solidFill>
              <w14:schemeClr w14:val="tx1"/>
            </w14:solidFill>
          </w14:textFill>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7B8ABDC">
      <w:pPr>
        <w:tabs>
          <w:tab w:val="left" w:pos="709"/>
        </w:tabs>
        <w:spacing w:line="360" w:lineRule="auto"/>
        <w:ind w:firstLine="480" w:firstLineChars="200"/>
        <w:rPr>
          <w:sz w:val="24"/>
          <w:szCs w:val="24"/>
          <w:lang w:eastAsia="zh-CN"/>
        </w:rPr>
      </w:pPr>
      <w:r>
        <w:rPr>
          <w:rFonts w:hint="eastAsia"/>
          <w:sz w:val="24"/>
          <w:szCs w:val="24"/>
          <w:lang w:eastAsia="zh-CN"/>
        </w:rPr>
        <w:t>2.参比人在福建省消防救援总队“福建省消防技术服务信息平台”公布的技术服务机构列表中维护保养检测四星级及以上的技术服务机构。</w:t>
      </w:r>
    </w:p>
    <w:p w14:paraId="4953B11E">
      <w:pPr>
        <w:tabs>
          <w:tab w:val="left" w:pos="709"/>
        </w:tabs>
        <w:spacing w:line="360" w:lineRule="auto"/>
        <w:ind w:firstLine="480" w:firstLineChars="200"/>
        <w:rPr>
          <w:sz w:val="24"/>
          <w:szCs w:val="24"/>
          <w:lang w:eastAsia="zh-CN"/>
        </w:rPr>
      </w:pPr>
      <w:r>
        <w:rPr>
          <w:rFonts w:hint="eastAsia"/>
          <w:sz w:val="24"/>
          <w:szCs w:val="24"/>
          <w:lang w:eastAsia="zh-CN"/>
        </w:rPr>
        <w:t>3.参比人近三年内在石化行业具有一项提供消防设施检测业绩，合同复印件（盖单位公章）。</w:t>
      </w:r>
    </w:p>
    <w:p w14:paraId="15512D54">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4.参比人委派的项目负责人、技术负责人以及其他操作相关人员均应为本单位符合条件的在职在岗人员，且满足相关资格要求。项目负责人应由一级注册消防工程师担任，项目技术负责人应当由具有土建类（包括土建或机电或电气或智能化或给排水或暖通等专业）高级技术职称的人员担任，以上人员需提供有效职称证书复印件（加盖单位公章）和投标截止前半年内连续在投标人单位缴纳社会保险证明的复印件（加盖单位公章）。</w:t>
      </w:r>
    </w:p>
    <w:p w14:paraId="560B8A2E">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5.</w:t>
      </w:r>
      <w:r>
        <w:rPr>
          <w:color w:val="000000" w:themeColor="text1"/>
          <w:sz w:val="24"/>
          <w:szCs w:val="24"/>
          <w:lang w:eastAsia="zh-CN"/>
          <w14:textFill>
            <w14:solidFill>
              <w14:schemeClr w14:val="tx1"/>
            </w14:solidFill>
          </w14:textFill>
        </w:rPr>
        <w:t>参</w:t>
      </w:r>
      <w:r>
        <w:rPr>
          <w:rFonts w:hint="eastAsia"/>
          <w:color w:val="000000" w:themeColor="text1"/>
          <w:sz w:val="24"/>
          <w:szCs w:val="24"/>
          <w:lang w:eastAsia="zh-CN"/>
          <w14:textFill>
            <w14:solidFill>
              <w14:schemeClr w14:val="tx1"/>
            </w14:solidFill>
          </w14:textFill>
        </w:rPr>
        <w:t>比</w:t>
      </w:r>
      <w:r>
        <w:rPr>
          <w:color w:val="000000" w:themeColor="text1"/>
          <w:sz w:val="24"/>
          <w:szCs w:val="24"/>
          <w:lang w:eastAsia="zh-CN"/>
          <w14:textFill>
            <w14:solidFill>
              <w14:schemeClr w14:val="tx1"/>
            </w14:solidFill>
          </w14:textFill>
        </w:rPr>
        <w:t>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14:paraId="4ADE3900">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6</w:t>
      </w:r>
      <w:r>
        <w:rPr>
          <w:color w:val="000000" w:themeColor="text1"/>
          <w:sz w:val="24"/>
          <w:szCs w:val="24"/>
          <w:lang w:eastAsia="zh-CN"/>
          <w14:textFill>
            <w14:solidFill>
              <w14:schemeClr w14:val="tx1"/>
            </w14:solidFill>
          </w14:textFill>
        </w:rPr>
        <w:t>.与</w:t>
      </w:r>
      <w:r>
        <w:rPr>
          <w:rFonts w:hint="eastAsia"/>
          <w:color w:val="000000" w:themeColor="text1"/>
          <w:sz w:val="24"/>
          <w:szCs w:val="24"/>
          <w:lang w:eastAsia="zh-CN"/>
          <w14:textFill>
            <w14:solidFill>
              <w14:schemeClr w14:val="tx1"/>
            </w14:solidFill>
          </w14:textFill>
        </w:rPr>
        <w:t>采购人</w:t>
      </w:r>
      <w:r>
        <w:rPr>
          <w:color w:val="000000" w:themeColor="text1"/>
          <w:sz w:val="24"/>
          <w:szCs w:val="24"/>
          <w:lang w:eastAsia="zh-CN"/>
          <w14:textFill>
            <w14:solidFill>
              <w14:schemeClr w14:val="tx1"/>
            </w14:solidFill>
          </w14:textFill>
        </w:rPr>
        <w:t>无诉讼纠纷。</w:t>
      </w:r>
    </w:p>
    <w:p w14:paraId="28D597B3">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三、获取采购文件</w:t>
      </w:r>
    </w:p>
    <w:p w14:paraId="45953DA0">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报名时间：2026年8月</w:t>
      </w:r>
      <w:r>
        <w:rPr>
          <w:rFonts w:hint="eastAsia"/>
          <w:color w:val="000000" w:themeColor="text1"/>
          <w:sz w:val="24"/>
          <w:szCs w:val="24"/>
          <w:lang w:val="en-US" w:eastAsia="zh-CN"/>
          <w14:textFill>
            <w14:solidFill>
              <w14:schemeClr w14:val="tx1"/>
            </w14:solidFill>
          </w14:textFill>
        </w:rPr>
        <w:t>18</w:t>
      </w:r>
      <w:r>
        <w:rPr>
          <w:rFonts w:hint="eastAsia"/>
          <w:color w:val="000000" w:themeColor="text1"/>
          <w:sz w:val="24"/>
          <w:szCs w:val="24"/>
          <w:lang w:eastAsia="zh-CN"/>
          <w14:textFill>
            <w14:solidFill>
              <w14:schemeClr w14:val="tx1"/>
            </w14:solidFill>
          </w14:textFill>
        </w:rPr>
        <w:t>日至2026年8月2</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日</w:t>
      </w:r>
    </w:p>
    <w:p w14:paraId="47E3C935">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报名方式：参比人在报名时间内将报名文件发送至邮箱hjzhang@fhcpec.com.cn，报名文件包含：</w:t>
      </w:r>
    </w:p>
    <w:p w14:paraId="748BE10D">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（1）法定代表人授权委托书（扫描件，格式详见“附件：法定代表人授权委托书”）；</w:t>
      </w:r>
    </w:p>
    <w:p w14:paraId="53EE631C">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14:paraId="4168296C">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参比文件递交地点：漳州市古雷经济开发区疏港大道南102号 福海创改扩建项目组采购管理部</w:t>
      </w:r>
      <w:r>
        <w:rPr>
          <w:color w:val="000000" w:themeColor="text1"/>
          <w:sz w:val="24"/>
          <w:szCs w:val="24"/>
          <w:lang w:eastAsia="zh-CN"/>
          <w14:textFill>
            <w14:solidFill>
              <w14:schemeClr w14:val="tx1"/>
            </w14:solidFill>
          </w14:textFill>
        </w:rPr>
        <w:t>230</w:t>
      </w:r>
      <w:r>
        <w:rPr>
          <w:rFonts w:hint="eastAsia"/>
          <w:color w:val="000000" w:themeColor="text1"/>
          <w:sz w:val="24"/>
          <w:szCs w:val="24"/>
          <w:lang w:eastAsia="zh-CN"/>
          <w14:textFill>
            <w14:solidFill>
              <w14:schemeClr w14:val="tx1"/>
            </w14:solidFill>
          </w14:textFill>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参比文件递交截止时间（以送达时间为准）：2026年8月2</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日14时0分。</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商务联系人：张华娟 电话：19959614657 邮箱：h</w:t>
      </w:r>
      <w:r>
        <w:rPr>
          <w:color w:val="000000" w:themeColor="text1"/>
          <w:sz w:val="24"/>
          <w:szCs w:val="24"/>
          <w:lang w:eastAsia="zh-CN"/>
          <w14:textFill>
            <w14:solidFill>
              <w14:schemeClr w14:val="tx1"/>
            </w14:solidFill>
          </w14:textFill>
        </w:rPr>
        <w:t>jzhang</w:t>
      </w:r>
      <w:r>
        <w:rPr>
          <w:rFonts w:hint="eastAsia"/>
          <w:color w:val="000000" w:themeColor="text1"/>
          <w:sz w:val="24"/>
          <w:szCs w:val="24"/>
          <w:lang w:eastAsia="zh-CN"/>
          <w14:textFill>
            <w14:solidFill>
              <w14:schemeClr w14:val="tx1"/>
            </w14:solidFill>
          </w14:textFill>
        </w:rPr>
        <w:t>@fhcpec.com.cn</w:t>
      </w:r>
    </w:p>
    <w:p w14:paraId="174E2032">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14:textFill>
            <w14:solidFill>
              <w14:schemeClr w14:val="tx1"/>
            </w14:solidFill>
          </w14:textFill>
        </w:rPr>
        <w:t>联系地址：漳州市古雷经济开发区疏港大道南102号 福海创改扩建项目组采购管理部</w:t>
      </w:r>
      <w:r>
        <w:rPr>
          <w:color w:val="000000" w:themeColor="text1"/>
          <w:sz w:val="24"/>
          <w:szCs w:val="24"/>
          <w:lang w:eastAsia="zh-CN"/>
          <w14:textFill>
            <w14:solidFill>
              <w14:schemeClr w14:val="tx1"/>
            </w14:solidFill>
          </w14:textFill>
        </w:rPr>
        <w:t>230</w:t>
      </w:r>
      <w:r>
        <w:rPr>
          <w:rFonts w:hint="eastAsia"/>
          <w:color w:val="000000" w:themeColor="text1"/>
          <w:sz w:val="24"/>
          <w:szCs w:val="24"/>
          <w:lang w:eastAsia="zh-CN"/>
          <w14:textFill>
            <w14:solidFill>
              <w14:schemeClr w14:val="tx1"/>
            </w14:solidFill>
          </w14:textFill>
        </w:rPr>
        <w:t>室。</w:t>
      </w:r>
    </w:p>
    <w:p w14:paraId="4D3C3548">
      <w:pPr>
        <w:tabs>
          <w:tab w:val="left" w:pos="709"/>
        </w:tabs>
        <w:spacing w:line="360" w:lineRule="auto"/>
        <w:ind w:left="440" w:left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FF0000"/>
          <w:sz w:val="24"/>
          <w:szCs w:val="24"/>
          <w:lang w:eastAsia="zh-CN"/>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eastAsia="zh-CN"/>
          <w14:textFill>
            <w14:solidFill>
              <w14:schemeClr w14:val="tx1"/>
            </w14:solidFill>
          </w14:textFill>
        </w:rPr>
        <w:t>6年8月1</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日</w:t>
      </w:r>
    </w:p>
    <w:p w14:paraId="6B320BD6">
      <w:pPr>
        <w:pStyle w:val="3"/>
        <w:tabs>
          <w:tab w:val="left" w:pos="1262"/>
        </w:tabs>
        <w:spacing w:line="360" w:lineRule="auto"/>
        <w:ind w:left="0" w:right="108"/>
        <w:jc w:val="center"/>
        <w:rPr>
          <w:sz w:val="24"/>
          <w:szCs w:val="24"/>
        </w:rPr>
      </w:pPr>
    </w:p>
    <w:p w14:paraId="000AB6F4">
      <w:pPr>
        <w:rPr>
          <w:lang w:eastAsia="zh-CN"/>
        </w:rPr>
      </w:pPr>
    </w:p>
    <w:p w14:paraId="36195288">
      <w:pPr>
        <w:pStyle w:val="2"/>
      </w:pPr>
    </w:p>
    <w:p w14:paraId="0480057A">
      <w:pPr>
        <w:pStyle w:val="2"/>
      </w:pPr>
    </w:p>
    <w:p w14:paraId="3E5EC0CF">
      <w:pPr>
        <w:pStyle w:val="2"/>
      </w:pPr>
    </w:p>
    <w:p w14:paraId="54179479">
      <w:pPr>
        <w:pStyle w:val="2"/>
      </w:pPr>
    </w:p>
    <w:p w14:paraId="0F0F7EF3">
      <w:pPr>
        <w:pStyle w:val="2"/>
      </w:pPr>
    </w:p>
    <w:p w14:paraId="539EE4D2">
      <w:pPr>
        <w:pStyle w:val="2"/>
      </w:pPr>
    </w:p>
    <w:p w14:paraId="7571BF91">
      <w:pPr>
        <w:jc w:val="center"/>
        <w:outlineLvl w:val="0"/>
        <w:rPr>
          <w:rFonts w:ascii="黑体" w:hAnsi="黑体" w:eastAsia="黑体"/>
          <w:sz w:val="32"/>
          <w:szCs w:val="32"/>
          <w:lang w:eastAsia="zh-CN"/>
        </w:rPr>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福建福海创石油化工有限公司PTA现场人员用房、吸附分离预处理装置等项目竣工消防设施及工程防火检测（项目编号：FAP5-CGSQ-202608-001）的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2"/>
        <w:sectPr>
          <w:pgSz w:w="11910" w:h="16840"/>
          <w:pgMar w:top="1500" w:right="1020" w:bottom="740" w:left="1300" w:header="0" w:footer="551" w:gutter="0"/>
          <w:cols w:space="720" w:num="1"/>
        </w:sectPr>
      </w:pPr>
    </w:p>
    <w:p w14:paraId="79FD0EB2">
      <w:pPr>
        <w:pStyle w:val="3"/>
        <w:tabs>
          <w:tab w:val="left" w:pos="1262"/>
        </w:tabs>
        <w:spacing w:line="355" w:lineRule="exact"/>
        <w:ind w:left="0" w:right="108"/>
        <w:jc w:val="center"/>
      </w:pPr>
      <w:r>
        <w:t>第二章</w:t>
      </w:r>
      <w:r>
        <w:tab/>
      </w:r>
      <w:r>
        <w:rPr>
          <w:rFonts w:hint="eastAsia"/>
          <w:spacing w:val="-1"/>
          <w:w w:val="95"/>
        </w:rPr>
        <w:t>询比</w:t>
      </w:r>
      <w:r>
        <w:rPr>
          <w:spacing w:val="-1"/>
          <w:w w:val="95"/>
        </w:rPr>
        <w:t>须</w:t>
      </w:r>
      <w:r>
        <w:rPr>
          <w:w w:val="95"/>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21"/>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color w:val="000000" w:themeColor="text1"/>
          <w:lang w:eastAsia="zh-CN"/>
          <w14:textFill>
            <w14:solidFill>
              <w14:schemeClr w14:val="tx1"/>
            </w14:solidFill>
          </w14:textFill>
        </w:rPr>
        <w:t>福建福海创石油化工有限公司PTA现场人员用房、吸附分离预处理装置等项目竣工消防设施及工程防火检测</w:t>
      </w:r>
    </w:p>
    <w:p w14:paraId="48298414">
      <w:pPr>
        <w:pStyle w:val="21"/>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地点：</w:t>
      </w:r>
      <w:r>
        <w:rPr>
          <w:rFonts w:hint="eastAsia"/>
          <w:color w:val="000000" w:themeColor="text1"/>
          <w:lang w:eastAsia="zh-CN"/>
          <w14:textFill>
            <w14:solidFill>
              <w14:schemeClr w14:val="tx1"/>
            </w14:solidFill>
          </w14:textFill>
        </w:rPr>
        <w:t>福建福海创石油化工有限公司</w:t>
      </w:r>
    </w:p>
    <w:p w14:paraId="7BBCDF29">
      <w:pPr>
        <w:pStyle w:val="21"/>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3.承包方式：固定单价，暂定总价，据实结算</w:t>
      </w:r>
    </w:p>
    <w:p w14:paraId="17CA1751">
      <w:pPr>
        <w:pStyle w:val="21"/>
        <w:spacing w:line="360" w:lineRule="auto"/>
        <w:ind w:right="121"/>
        <w:jc w:val="both"/>
        <w:rPr>
          <w:lang w:eastAsia="zh-CN"/>
        </w:rPr>
      </w:pPr>
      <w:r>
        <w:rPr>
          <w:rFonts w:hint="eastAsia"/>
          <w:lang w:eastAsia="zh-CN"/>
        </w:rPr>
        <w:t xml:space="preserve">    4.项目工作范围及技术要求：见附件发包说明</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技术联系人：简松文19959614280，swjian@fhcpec.com.cn</w:t>
      </w:r>
      <w:r>
        <w:rPr>
          <w:lang w:eastAsia="zh-CN"/>
        </w:rPr>
        <w:t> </w:t>
      </w:r>
      <w:r>
        <w:rPr>
          <w:rFonts w:hint="eastAsia"/>
          <w:lang w:eastAsia="zh-CN"/>
        </w:rPr>
        <w:t xml:space="preserve">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19959614657，</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6B2741C8">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29D454D2">
      <w:pPr>
        <w:tabs>
          <w:tab w:val="left" w:pos="709"/>
        </w:tabs>
        <w:spacing w:line="360" w:lineRule="auto"/>
        <w:ind w:firstLine="480" w:firstLineChars="200"/>
        <w:rPr>
          <w:sz w:val="24"/>
          <w:szCs w:val="24"/>
          <w:lang w:eastAsia="zh-CN"/>
        </w:rPr>
      </w:pPr>
      <w:r>
        <w:rPr>
          <w:rFonts w:hint="eastAsia"/>
          <w:sz w:val="24"/>
          <w:szCs w:val="24"/>
          <w:lang w:eastAsia="zh-CN"/>
        </w:rPr>
        <w:t>2.参比人在福建省消防救援总队“福建省消防技术服务信息平台”公布的技术服务机构列表中维护保养检测四星级及以上的技术服务机构。</w:t>
      </w:r>
    </w:p>
    <w:p w14:paraId="57BE1B0E">
      <w:pPr>
        <w:tabs>
          <w:tab w:val="left" w:pos="709"/>
        </w:tabs>
        <w:spacing w:line="360" w:lineRule="auto"/>
        <w:ind w:firstLine="480" w:firstLineChars="200"/>
        <w:rPr>
          <w:sz w:val="24"/>
          <w:szCs w:val="24"/>
          <w:lang w:eastAsia="zh-CN"/>
        </w:rPr>
      </w:pPr>
      <w:r>
        <w:rPr>
          <w:rFonts w:hint="eastAsia"/>
          <w:sz w:val="24"/>
          <w:szCs w:val="24"/>
          <w:lang w:eastAsia="zh-CN"/>
        </w:rPr>
        <w:t>3.参比人近三年内在石化行业具有一项提供消防设施检测业绩，合同复印件（盖单位公章）。</w:t>
      </w:r>
    </w:p>
    <w:p w14:paraId="4A272D82">
      <w:pPr>
        <w:tabs>
          <w:tab w:val="left" w:pos="709"/>
        </w:tabs>
        <w:spacing w:line="360" w:lineRule="auto"/>
        <w:ind w:firstLine="480" w:firstLineChars="200"/>
        <w:rPr>
          <w:sz w:val="24"/>
          <w:szCs w:val="24"/>
          <w:lang w:eastAsia="zh-CN"/>
        </w:rPr>
      </w:pPr>
      <w:r>
        <w:rPr>
          <w:rFonts w:hint="eastAsia"/>
          <w:sz w:val="24"/>
          <w:szCs w:val="24"/>
          <w:lang w:eastAsia="zh-CN"/>
        </w:rPr>
        <w:t>4.参比人委派的项目负责人、技术负责人以及其他操作相关人员均应为本单位符合条件的在职在岗人员，且满足相关资格要求。项目负责人应由一级注册消防工程师担任，项目技术负责人应当由具有土建类（包括土建或机电或电气或智能化或给排水或暖通等专业）高级技术职称的人员担任，以上人员需提供有效职称证书复印件（加盖单位公章）和投标截止前半年内连续在投标人单位缴纳社会保险证明的复印件（加盖单位公章）。</w:t>
      </w:r>
    </w:p>
    <w:p w14:paraId="01B530CE">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5.</w:t>
      </w:r>
      <w:r>
        <w:rPr>
          <w:color w:val="000000" w:themeColor="text1"/>
          <w:sz w:val="24"/>
          <w:szCs w:val="24"/>
          <w:lang w:eastAsia="zh-CN"/>
          <w14:textFill>
            <w14:solidFill>
              <w14:schemeClr w14:val="tx1"/>
            </w14:solidFill>
          </w14:textFill>
        </w:rPr>
        <w:t>参</w:t>
      </w:r>
      <w:r>
        <w:rPr>
          <w:rFonts w:hint="eastAsia"/>
          <w:color w:val="000000" w:themeColor="text1"/>
          <w:sz w:val="24"/>
          <w:szCs w:val="24"/>
          <w:lang w:eastAsia="zh-CN"/>
          <w14:textFill>
            <w14:solidFill>
              <w14:schemeClr w14:val="tx1"/>
            </w14:solidFill>
          </w14:textFill>
        </w:rPr>
        <w:t>比</w:t>
      </w:r>
      <w:r>
        <w:rPr>
          <w:color w:val="000000" w:themeColor="text1"/>
          <w:sz w:val="24"/>
          <w:szCs w:val="24"/>
          <w:lang w:eastAsia="zh-CN"/>
          <w14:textFill>
            <w14:solidFill>
              <w14:schemeClr w14:val="tx1"/>
            </w14:solidFill>
          </w14:textFill>
        </w:rPr>
        <w:t>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14:paraId="2CA9ECE1">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6</w:t>
      </w:r>
      <w:r>
        <w:rPr>
          <w:color w:val="000000" w:themeColor="text1"/>
          <w:sz w:val="24"/>
          <w:szCs w:val="24"/>
          <w:lang w:eastAsia="zh-CN"/>
          <w14:textFill>
            <w14:solidFill>
              <w14:schemeClr w14:val="tx1"/>
            </w14:solidFill>
          </w14:textFill>
        </w:rPr>
        <w:t>.与</w:t>
      </w:r>
      <w:r>
        <w:rPr>
          <w:rFonts w:hint="eastAsia"/>
          <w:color w:val="000000" w:themeColor="text1"/>
          <w:sz w:val="24"/>
          <w:szCs w:val="24"/>
          <w:lang w:eastAsia="zh-CN"/>
          <w14:textFill>
            <w14:solidFill>
              <w14:schemeClr w14:val="tx1"/>
            </w14:solidFill>
          </w14:textFill>
        </w:rPr>
        <w:t>采购人</w:t>
      </w:r>
      <w:r>
        <w:rPr>
          <w:color w:val="000000" w:themeColor="text1"/>
          <w:sz w:val="24"/>
          <w:szCs w:val="24"/>
          <w:lang w:eastAsia="zh-CN"/>
          <w14:textFill>
            <w14:solidFill>
              <w14:schemeClr w14:val="tx1"/>
            </w14:solidFill>
          </w14:textFill>
        </w:rPr>
        <w:t>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w w:val="95"/>
          <w:sz w:val="28"/>
          <w:lang w:eastAsia="zh-CN"/>
        </w:rPr>
        <w:t xml:space="preserve"> 不设置</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21"/>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14:textFill>
            <w14:solidFill>
              <w14:schemeClr w14:val="tx1"/>
            </w14:solidFill>
          </w14:textFill>
        </w:rPr>
        <w:t>时间</w:t>
      </w:r>
      <w:r>
        <w:rPr>
          <w:rFonts w:hint="eastAsia"/>
          <w:color w:val="000000" w:themeColor="text1"/>
          <w:lang w:eastAsia="zh-CN"/>
          <w14:textFill>
            <w14:solidFill>
              <w14:schemeClr w14:val="tx1"/>
            </w14:solidFill>
          </w14:textFill>
        </w:rPr>
        <w:t>：2026年8月2</w:t>
      </w:r>
      <w:r>
        <w:rPr>
          <w:rFonts w:hint="eastAsia"/>
          <w:color w:val="000000" w:themeColor="text1"/>
          <w:lang w:val="en-US" w:eastAsia="zh-CN"/>
          <w14:textFill>
            <w14:solidFill>
              <w14:schemeClr w14:val="tx1"/>
            </w14:solidFill>
          </w14:textFill>
        </w:rPr>
        <w:t>8</w:t>
      </w:r>
      <w:bookmarkStart w:id="1" w:name="_GoBack"/>
      <w:bookmarkEnd w:id="1"/>
      <w:r>
        <w:rPr>
          <w:rFonts w:hint="eastAsia"/>
          <w:color w:val="000000" w:themeColor="text1"/>
          <w:lang w:eastAsia="zh-CN"/>
          <w14:textFill>
            <w14:solidFill>
              <w14:schemeClr w14:val="tx1"/>
            </w14:solidFill>
          </w14:textFill>
        </w:rPr>
        <w:t>日14时0分。</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19959614657。</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3"/>
        <w:tabs>
          <w:tab w:val="left" w:pos="4627"/>
        </w:tabs>
        <w:spacing w:line="355" w:lineRule="exact"/>
        <w:ind w:left="3363"/>
      </w:pPr>
      <w:r>
        <w:t>第三章</w:t>
      </w:r>
      <w:r>
        <w:tab/>
      </w:r>
      <w:r>
        <w:rPr>
          <w:spacing w:val="-1"/>
          <w:w w:val="95"/>
        </w:rPr>
        <w:t>参</w:t>
      </w:r>
      <w:r>
        <w:rPr>
          <w:rFonts w:hint="eastAsia"/>
          <w:spacing w:val="-1"/>
          <w:w w:val="95"/>
        </w:rPr>
        <w:t>比</w:t>
      </w:r>
      <w:r>
        <w:rPr>
          <w:spacing w:val="-1"/>
          <w:w w:val="95"/>
        </w:rPr>
        <w:t>文</w:t>
      </w:r>
      <w:r>
        <w:rPr>
          <w:w w:val="95"/>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29830677">
      <w:pPr>
        <w:pStyle w:val="21"/>
        <w:spacing w:line="360" w:lineRule="auto"/>
        <w:ind w:left="480" w:leftChars="218" w:right="121"/>
        <w:jc w:val="both"/>
        <w:rPr>
          <w:lang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eastAsia="zh-CN"/>
        </w:rPr>
        <w:t>；</w:t>
      </w:r>
    </w:p>
    <w:p w14:paraId="09187B49">
      <w:pPr>
        <w:pStyle w:val="21"/>
        <w:spacing w:line="360" w:lineRule="auto"/>
        <w:ind w:left="480" w:leftChars="218" w:right="121"/>
        <w:jc w:val="both"/>
        <w:rPr>
          <w:lang w:eastAsia="zh-CN"/>
        </w:rPr>
      </w:pPr>
      <w:r>
        <w:rPr>
          <w:rFonts w:hint="eastAsia"/>
          <w:lang w:eastAsia="zh-CN"/>
        </w:rPr>
        <w:t>（2）属于维护保养检测四星级及以上的技术服务机构相关证明文件；</w:t>
      </w:r>
    </w:p>
    <w:p w14:paraId="0ABAA48C">
      <w:pPr>
        <w:pStyle w:val="21"/>
        <w:spacing w:line="360" w:lineRule="auto"/>
        <w:ind w:left="480" w:leftChars="218" w:right="121"/>
        <w:jc w:val="both"/>
        <w:rPr>
          <w:lang w:eastAsia="zh-CN"/>
        </w:rPr>
      </w:pPr>
      <w:r>
        <w:rPr>
          <w:rFonts w:hint="eastAsia"/>
          <w:lang w:eastAsia="zh-CN"/>
        </w:rPr>
        <w:t>（3）</w:t>
      </w:r>
      <w:r>
        <w:rPr>
          <w:rFonts w:hint="eastAsia"/>
          <w:color w:val="000000" w:themeColor="text1"/>
          <w:lang w:eastAsia="zh-CN"/>
          <w14:textFill>
            <w14:solidFill>
              <w14:schemeClr w14:val="tx1"/>
            </w14:solidFill>
          </w14:textFill>
        </w:rPr>
        <w:t>提供在</w:t>
      </w:r>
      <w:r>
        <w:rPr>
          <w:color w:val="000000" w:themeColor="text1"/>
          <w:lang w:eastAsia="zh-CN"/>
          <w14:textFill>
            <w14:solidFill>
              <w14:schemeClr w14:val="tx1"/>
            </w14:solidFill>
          </w14:textFill>
        </w:rPr>
        <w:t>3</w:t>
      </w:r>
      <w:r>
        <w:rPr>
          <w:rFonts w:hint="eastAsia"/>
          <w:color w:val="000000" w:themeColor="text1"/>
          <w:lang w:eastAsia="zh-CN"/>
          <w14:textFill>
            <w14:solidFill>
              <w14:schemeClr w14:val="tx1"/>
            </w14:solidFill>
          </w14:textFill>
        </w:rPr>
        <w:t>年内同类工程的业绩证明（如合同）等，</w:t>
      </w:r>
      <w:r>
        <w:rPr>
          <w:color w:val="000000" w:themeColor="text1"/>
          <w:lang w:eastAsia="zh-CN"/>
          <w14:textFill>
            <w14:solidFill>
              <w14:schemeClr w14:val="tx1"/>
            </w14:solidFill>
          </w14:textFill>
        </w:rPr>
        <w:t>其他可以证明参选单位具有类似良好业绩的相关材料；凡弄虚作假的，一经查实，比选人有权取消其中选资格</w:t>
      </w:r>
      <w:r>
        <w:rPr>
          <w:rFonts w:hint="eastAsia"/>
          <w:lang w:eastAsia="zh-CN"/>
        </w:rPr>
        <w:t>；</w:t>
      </w:r>
    </w:p>
    <w:p w14:paraId="7E439466">
      <w:pPr>
        <w:pStyle w:val="21"/>
        <w:spacing w:line="360" w:lineRule="auto"/>
        <w:ind w:left="480" w:leftChars="218" w:right="121"/>
        <w:jc w:val="both"/>
        <w:rPr>
          <w:lang w:eastAsia="zh-CN"/>
        </w:rPr>
      </w:pPr>
      <w:r>
        <w:rPr>
          <w:rFonts w:hint="eastAsia"/>
          <w:lang w:eastAsia="zh-CN"/>
        </w:rPr>
        <w:t>（4）项目负责人、技术负责人履历及有效职称证书、缴纳社会保险证明；</w:t>
      </w:r>
    </w:p>
    <w:p w14:paraId="4BD79D7D">
      <w:pPr>
        <w:pStyle w:val="21"/>
        <w:spacing w:line="360" w:lineRule="auto"/>
        <w:ind w:left="480" w:leftChars="218" w:right="121"/>
        <w:jc w:val="both"/>
        <w:rPr>
          <w:lang w:eastAsia="zh-CN"/>
        </w:rPr>
      </w:pPr>
      <w:r>
        <w:rPr>
          <w:rFonts w:hint="eastAsia"/>
          <w:lang w:eastAsia="zh-CN"/>
        </w:rPr>
        <w:t>（5）商务报价文件，见附件商务报价函格式。</w:t>
      </w:r>
    </w:p>
    <w:p w14:paraId="41942F59">
      <w:pPr>
        <w:pStyle w:val="21"/>
        <w:spacing w:line="360" w:lineRule="auto"/>
        <w:ind w:left="480" w:leftChars="218" w:right="121"/>
        <w:jc w:val="both"/>
        <w:rPr>
          <w:lang w:eastAsia="zh-CN"/>
        </w:rPr>
      </w:pPr>
      <w:r>
        <w:rPr>
          <w:rFonts w:hint="eastAsia"/>
          <w:lang w:eastAsia="zh-CN"/>
        </w:rPr>
        <w:t>参比文件可不胶装。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3"/>
        <w:tabs>
          <w:tab w:val="left" w:pos="1488"/>
        </w:tabs>
        <w:spacing w:line="355" w:lineRule="exact"/>
        <w:ind w:left="365"/>
        <w:jc w:val="center"/>
      </w:pPr>
      <w:r>
        <w:t>第四章</w:t>
      </w:r>
      <w:r>
        <w:tab/>
      </w:r>
      <w:r>
        <w:rPr>
          <w:spacing w:val="-1"/>
          <w:w w:val="95"/>
        </w:rPr>
        <w:t>评</w:t>
      </w:r>
      <w:r>
        <w:rPr>
          <w:rFonts w:hint="eastAsia"/>
          <w:spacing w:val="-1"/>
          <w:w w:val="95"/>
        </w:rPr>
        <w:t>审</w:t>
      </w:r>
      <w:r>
        <w:rPr>
          <w:spacing w:val="-1"/>
          <w:w w:val="95"/>
        </w:rPr>
        <w:t>规</w:t>
      </w:r>
      <w:r>
        <w:rPr>
          <w:w w:val="95"/>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000000" w:themeColor="text1"/>
          <w:lang w:eastAsia="zh-CN"/>
          <w14:textFill>
            <w14:solidFill>
              <w14:schemeClr w14:val="tx1"/>
            </w14:solidFill>
          </w14:textFill>
        </w:rPr>
        <w:t>本项目设置最高控制价29180.27元整（含税价）</w:t>
      </w:r>
      <w:r>
        <w:rPr>
          <w:rFonts w:hint="eastAsia"/>
          <w:color w:val="000000" w:themeColor="text1"/>
          <w:lang w:eastAsia="zh-CN"/>
          <w14:textFill>
            <w14:solidFill>
              <w14:schemeClr w14:val="tx1"/>
            </w14:solidFill>
          </w14:textFill>
        </w:rPr>
        <w:t>。参</w:t>
      </w:r>
      <w:r>
        <w:rPr>
          <w:rFonts w:hint="eastAsia"/>
          <w:lang w:eastAsia="zh-CN"/>
        </w:rPr>
        <w:t>比人所填报的报价高于本项目最高限价的，其参比将被评审小组予以否决。</w:t>
      </w:r>
      <w:r>
        <w:rPr>
          <w:rFonts w:hint="eastAsia"/>
        </w:rPr>
        <w:fldChar w:fldCharType="begin"/>
      </w:r>
      <w:r>
        <w:rPr>
          <w:lang w:eastAsia="zh-CN"/>
        </w:rPr>
        <w:instrText xml:space="preserve"> HYPERLINK "mailto:如参比人对控制价存疑请于报价截止前发邮件至hjzhang@fhcpec.com.cn" </w:instrText>
      </w:r>
      <w:r>
        <w:rPr>
          <w:rFonts w:hint="eastAsia"/>
        </w:rP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BE8FC0D">
      <w:pPr>
        <w:pStyle w:val="21"/>
        <w:spacing w:line="360" w:lineRule="auto"/>
        <w:ind w:right="121" w:firstLine="480" w:firstLineChars="200"/>
        <w:jc w:val="both"/>
        <w:rPr>
          <w:lang w:eastAsia="zh-CN"/>
        </w:rPr>
      </w:pPr>
      <w:r>
        <w:rPr>
          <w:rFonts w:hint="eastAsia"/>
          <w:lang w:eastAsia="zh-CN"/>
        </w:rPr>
        <w:t>本项目采用商务报价决标的评标办法，经技术评审合格后选择未税总价最低者作为中选单位。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eastAsia="zh-CN"/>
        </w:rPr>
        <w:t>技术咨询服务合同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3"/>
        <w:tabs>
          <w:tab w:val="left" w:pos="1912"/>
        </w:tabs>
        <w:spacing w:line="355" w:lineRule="exact"/>
        <w:ind w:left="647" w:firstLine="3092" w:firstLineChars="1100"/>
      </w:pPr>
    </w:p>
    <w:p w14:paraId="78A79AC5">
      <w:pPr>
        <w:pStyle w:val="3"/>
        <w:tabs>
          <w:tab w:val="left" w:pos="1912"/>
        </w:tabs>
        <w:spacing w:line="355" w:lineRule="exact"/>
        <w:ind w:left="647" w:firstLine="3092" w:firstLineChars="1100"/>
      </w:pPr>
    </w:p>
    <w:p w14:paraId="50E97898">
      <w:pPr>
        <w:pStyle w:val="3"/>
        <w:tabs>
          <w:tab w:val="left" w:pos="1912"/>
        </w:tabs>
        <w:spacing w:line="355" w:lineRule="exact"/>
        <w:ind w:left="647" w:firstLine="3092" w:firstLineChars="1100"/>
      </w:pPr>
    </w:p>
    <w:p w14:paraId="27C430F8">
      <w:pPr>
        <w:pStyle w:val="3"/>
        <w:tabs>
          <w:tab w:val="left" w:pos="1912"/>
        </w:tabs>
        <w:spacing w:line="355" w:lineRule="exact"/>
        <w:ind w:left="647" w:firstLine="3092" w:firstLineChars="1100"/>
      </w:pPr>
    </w:p>
    <w:p w14:paraId="2C975417">
      <w:pPr>
        <w:pStyle w:val="3"/>
        <w:tabs>
          <w:tab w:val="left" w:pos="1912"/>
        </w:tabs>
        <w:spacing w:line="355" w:lineRule="exact"/>
        <w:ind w:left="647" w:firstLine="3092" w:firstLineChars="1100"/>
      </w:pPr>
    </w:p>
    <w:p w14:paraId="4481C076">
      <w:pPr>
        <w:pStyle w:val="3"/>
        <w:tabs>
          <w:tab w:val="left" w:pos="1912"/>
        </w:tabs>
        <w:spacing w:line="355" w:lineRule="exact"/>
        <w:ind w:left="647" w:firstLine="3092" w:firstLineChars="1100"/>
      </w:pPr>
    </w:p>
    <w:p w14:paraId="40C13AFF">
      <w:pPr>
        <w:pStyle w:val="3"/>
        <w:tabs>
          <w:tab w:val="left" w:pos="1912"/>
        </w:tabs>
        <w:spacing w:line="355" w:lineRule="exact"/>
        <w:ind w:left="647" w:firstLine="3092" w:firstLineChars="1100"/>
      </w:pPr>
    </w:p>
    <w:p w14:paraId="50011117">
      <w:pPr>
        <w:pStyle w:val="3"/>
        <w:tabs>
          <w:tab w:val="left" w:pos="1912"/>
        </w:tabs>
        <w:spacing w:line="355" w:lineRule="exact"/>
        <w:ind w:left="647" w:firstLine="3092" w:firstLineChars="1100"/>
      </w:pPr>
    </w:p>
    <w:p w14:paraId="53F991FF">
      <w:pPr>
        <w:pStyle w:val="3"/>
        <w:tabs>
          <w:tab w:val="left" w:pos="1912"/>
        </w:tabs>
        <w:spacing w:line="355" w:lineRule="exact"/>
        <w:ind w:left="647" w:firstLine="3092" w:firstLineChars="1100"/>
      </w:pPr>
    </w:p>
    <w:p w14:paraId="2862BA08">
      <w:pPr>
        <w:pStyle w:val="3"/>
        <w:tabs>
          <w:tab w:val="left" w:pos="1912"/>
        </w:tabs>
        <w:spacing w:line="355" w:lineRule="exact"/>
        <w:ind w:left="647" w:firstLine="3092" w:firstLineChars="1100"/>
      </w:pPr>
    </w:p>
    <w:p w14:paraId="6E8788F0">
      <w:pPr>
        <w:pStyle w:val="3"/>
        <w:tabs>
          <w:tab w:val="left" w:pos="1912"/>
        </w:tabs>
        <w:spacing w:line="355" w:lineRule="exact"/>
        <w:ind w:left="647" w:firstLine="3092" w:firstLineChars="1100"/>
      </w:pPr>
    </w:p>
    <w:p w14:paraId="609D5CB1">
      <w:pPr>
        <w:pStyle w:val="3"/>
        <w:tabs>
          <w:tab w:val="left" w:pos="1912"/>
        </w:tabs>
        <w:spacing w:line="355" w:lineRule="exact"/>
        <w:ind w:left="647" w:firstLine="3092" w:firstLineChars="1100"/>
      </w:pPr>
    </w:p>
    <w:p w14:paraId="0FF9D5BC">
      <w:pPr>
        <w:pStyle w:val="3"/>
        <w:tabs>
          <w:tab w:val="left" w:pos="1912"/>
        </w:tabs>
        <w:spacing w:line="355" w:lineRule="exact"/>
        <w:ind w:left="647" w:firstLine="3092" w:firstLineChars="1100"/>
      </w:pPr>
    </w:p>
    <w:p w14:paraId="7E894231">
      <w:pPr>
        <w:pStyle w:val="3"/>
        <w:tabs>
          <w:tab w:val="left" w:pos="1912"/>
        </w:tabs>
        <w:spacing w:line="355" w:lineRule="exact"/>
        <w:ind w:left="647" w:firstLine="3092" w:firstLineChars="1100"/>
      </w:pPr>
    </w:p>
    <w:p w14:paraId="72BD5B24">
      <w:pPr>
        <w:pStyle w:val="3"/>
        <w:tabs>
          <w:tab w:val="left" w:pos="1912"/>
        </w:tabs>
        <w:spacing w:line="355" w:lineRule="exact"/>
        <w:ind w:left="647" w:firstLine="3092" w:firstLineChars="1100"/>
      </w:pPr>
    </w:p>
    <w:p w14:paraId="655E7255">
      <w:pPr>
        <w:pStyle w:val="3"/>
        <w:tabs>
          <w:tab w:val="left" w:pos="1912"/>
        </w:tabs>
        <w:spacing w:line="355" w:lineRule="exact"/>
        <w:ind w:left="647" w:firstLine="3092" w:firstLineChars="1100"/>
      </w:pPr>
    </w:p>
    <w:p w14:paraId="73550343">
      <w:pPr>
        <w:pStyle w:val="3"/>
        <w:tabs>
          <w:tab w:val="left" w:pos="1912"/>
        </w:tabs>
        <w:spacing w:line="355" w:lineRule="exact"/>
        <w:ind w:left="647" w:firstLine="3092" w:firstLineChars="1100"/>
      </w:pPr>
    </w:p>
    <w:p w14:paraId="1F6B201F">
      <w:pPr>
        <w:pStyle w:val="3"/>
        <w:tabs>
          <w:tab w:val="left" w:pos="1912"/>
        </w:tabs>
        <w:spacing w:line="355" w:lineRule="exact"/>
        <w:ind w:left="647" w:firstLine="3092" w:firstLineChars="1100"/>
      </w:pPr>
    </w:p>
    <w:p w14:paraId="6BBC059F">
      <w:pPr>
        <w:pStyle w:val="3"/>
        <w:tabs>
          <w:tab w:val="left" w:pos="1912"/>
        </w:tabs>
        <w:spacing w:line="355" w:lineRule="exact"/>
        <w:ind w:left="647" w:firstLine="3092" w:firstLineChars="1100"/>
      </w:pPr>
    </w:p>
    <w:p w14:paraId="2730A617">
      <w:pPr>
        <w:pStyle w:val="3"/>
        <w:tabs>
          <w:tab w:val="left" w:pos="1912"/>
        </w:tabs>
        <w:spacing w:line="355" w:lineRule="exact"/>
        <w:ind w:left="647" w:firstLine="3092" w:firstLineChars="1100"/>
      </w:pPr>
    </w:p>
    <w:p w14:paraId="1060879E">
      <w:pPr>
        <w:pStyle w:val="3"/>
        <w:tabs>
          <w:tab w:val="left" w:pos="1912"/>
        </w:tabs>
        <w:spacing w:line="355" w:lineRule="exact"/>
        <w:ind w:left="647" w:firstLine="3092" w:firstLineChars="1100"/>
      </w:pPr>
    </w:p>
    <w:p w14:paraId="623F61E8">
      <w:pPr>
        <w:pStyle w:val="3"/>
        <w:tabs>
          <w:tab w:val="left" w:pos="1912"/>
        </w:tabs>
        <w:spacing w:line="355" w:lineRule="exact"/>
        <w:ind w:left="647" w:firstLine="3092" w:firstLineChars="1100"/>
      </w:pPr>
    </w:p>
    <w:p w14:paraId="349BF340">
      <w:pPr>
        <w:pStyle w:val="3"/>
        <w:tabs>
          <w:tab w:val="left" w:pos="1912"/>
        </w:tabs>
        <w:spacing w:line="355" w:lineRule="exact"/>
        <w:ind w:left="647" w:firstLine="3092" w:firstLineChars="1100"/>
      </w:pPr>
    </w:p>
    <w:p w14:paraId="5DCF9C4A">
      <w:pPr>
        <w:pStyle w:val="2"/>
      </w:pPr>
    </w:p>
    <w:p w14:paraId="00ABAC03">
      <w:pPr>
        <w:pStyle w:val="2"/>
      </w:pPr>
    </w:p>
    <w:p w14:paraId="54F29C7F">
      <w:pPr>
        <w:pStyle w:val="2"/>
      </w:pPr>
    </w:p>
    <w:p w14:paraId="7A6A90D2">
      <w:pPr>
        <w:pStyle w:val="2"/>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253C0C7E">
      <w:pPr>
        <w:pStyle w:val="210"/>
        <w:snapToGrid w:val="0"/>
        <w:spacing w:line="360" w:lineRule="auto"/>
        <w:ind w:left="883" w:hanging="883" w:hangingChars="200"/>
        <w:jc w:val="center"/>
        <w:rPr>
          <w:rFonts w:ascii="宋体" w:hAnsi="宋体"/>
          <w:b/>
          <w:sz w:val="44"/>
          <w:szCs w:val="44"/>
        </w:rPr>
      </w:pPr>
    </w:p>
    <w:p w14:paraId="468D0824">
      <w:pPr>
        <w:jc w:val="center"/>
        <w:rPr>
          <w:b/>
          <w:sz w:val="44"/>
          <w:szCs w:val="44"/>
          <w:lang w:eastAsia="zh-CN"/>
        </w:rPr>
      </w:pPr>
      <w:r>
        <w:rPr>
          <w:rFonts w:hint="eastAsia"/>
          <w:b/>
          <w:sz w:val="44"/>
          <w:szCs w:val="44"/>
          <w:lang w:eastAsia="zh-CN"/>
        </w:rPr>
        <w:t>福建福海创石油化工有限公司</w:t>
      </w:r>
    </w:p>
    <w:p w14:paraId="2B7E1636">
      <w:pPr>
        <w:jc w:val="center"/>
        <w:rPr>
          <w:b/>
          <w:sz w:val="44"/>
          <w:szCs w:val="44"/>
          <w:lang w:eastAsia="zh-CN"/>
        </w:rPr>
      </w:pPr>
    </w:p>
    <w:p w14:paraId="1F26D3E3">
      <w:pPr>
        <w:jc w:val="center"/>
        <w:rPr>
          <w:b/>
          <w:color w:val="000000"/>
          <w:sz w:val="44"/>
          <w:szCs w:val="44"/>
          <w:lang w:eastAsia="zh-CN"/>
        </w:rPr>
      </w:pPr>
    </w:p>
    <w:p w14:paraId="2F9B5CC5">
      <w:pPr>
        <w:pStyle w:val="2"/>
      </w:pPr>
    </w:p>
    <w:p w14:paraId="4AD8C5CD">
      <w:pPr>
        <w:spacing w:line="480" w:lineRule="exact"/>
        <w:jc w:val="center"/>
        <w:rPr>
          <w:b/>
          <w:color w:val="000000"/>
          <w:sz w:val="44"/>
          <w:szCs w:val="44"/>
          <w:lang w:eastAsia="zh-CN"/>
        </w:rPr>
      </w:pPr>
      <w:r>
        <w:rPr>
          <w:rFonts w:hint="eastAsia"/>
          <w:b/>
          <w:color w:val="000000"/>
          <w:sz w:val="44"/>
          <w:szCs w:val="44"/>
          <w:lang w:eastAsia="zh-CN"/>
        </w:rPr>
        <w:t>PTA现场人员用房、吸附分离预处理装置等项目竣工消防设施及工程防火检测</w:t>
      </w:r>
    </w:p>
    <w:p w14:paraId="78BF0644">
      <w:pPr>
        <w:spacing w:line="480" w:lineRule="exact"/>
        <w:jc w:val="center"/>
        <w:rPr>
          <w:b/>
          <w:color w:val="000000"/>
          <w:sz w:val="44"/>
          <w:szCs w:val="44"/>
          <w:lang w:eastAsia="zh-CN"/>
        </w:rPr>
      </w:pPr>
      <w:r>
        <w:rPr>
          <w:b/>
          <w:color w:val="000000"/>
          <w:sz w:val="44"/>
          <w:szCs w:val="44"/>
          <w:lang w:eastAsia="zh-CN"/>
        </w:rPr>
        <w:t>技术咨询服务合同</w:t>
      </w:r>
    </w:p>
    <w:p w14:paraId="5360486D">
      <w:pPr>
        <w:spacing w:line="480" w:lineRule="exact"/>
        <w:jc w:val="center"/>
        <w:rPr>
          <w:b/>
          <w:color w:val="000000"/>
          <w:sz w:val="44"/>
          <w:szCs w:val="44"/>
          <w:lang w:eastAsia="zh-CN"/>
        </w:rPr>
      </w:pPr>
    </w:p>
    <w:p w14:paraId="2FC762D4">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pPr>
        <w:rPr>
          <w:b/>
          <w:sz w:val="30"/>
          <w:lang w:eastAsia="zh-CN"/>
        </w:rPr>
      </w:pPr>
    </w:p>
    <w:p w14:paraId="6B44C331">
      <w:pPr>
        <w:rPr>
          <w:b/>
          <w:sz w:val="30"/>
          <w:lang w:eastAsia="zh-CN"/>
        </w:rPr>
      </w:pPr>
    </w:p>
    <w:p w14:paraId="48010F9C">
      <w:pPr>
        <w:rPr>
          <w:b/>
          <w:sz w:val="30"/>
          <w:lang w:eastAsia="zh-CN"/>
        </w:rPr>
      </w:pPr>
    </w:p>
    <w:p w14:paraId="6BC0A138">
      <w:pPr>
        <w:rPr>
          <w:b/>
          <w:sz w:val="30"/>
          <w:lang w:eastAsia="zh-CN"/>
        </w:rPr>
      </w:pPr>
    </w:p>
    <w:p w14:paraId="57F5E178">
      <w:pPr>
        <w:rPr>
          <w:b/>
          <w:sz w:val="30"/>
          <w:lang w:eastAsia="zh-CN"/>
        </w:rPr>
      </w:pPr>
    </w:p>
    <w:p w14:paraId="0ED7A9D0">
      <w:pPr>
        <w:rPr>
          <w:b/>
          <w:sz w:val="30"/>
          <w:lang w:eastAsia="zh-CN"/>
        </w:rPr>
      </w:pPr>
    </w:p>
    <w:p w14:paraId="029A55A7">
      <w:pPr>
        <w:ind w:firstLine="960" w:firstLineChars="300"/>
        <w:rPr>
          <w:sz w:val="32"/>
          <w:szCs w:val="32"/>
          <w:lang w:eastAsia="zh-CN"/>
        </w:rPr>
      </w:pPr>
      <w:r>
        <w:rPr>
          <w:rFonts w:hint="eastAsia"/>
          <w:sz w:val="32"/>
          <w:szCs w:val="32"/>
          <w:lang w:eastAsia="zh-CN"/>
        </w:rPr>
        <w:t>委托方：福建福海创石油化工有限公司</w:t>
      </w:r>
    </w:p>
    <w:p w14:paraId="75D486E9">
      <w:pPr>
        <w:ind w:firstLine="960" w:firstLineChars="300"/>
        <w:rPr>
          <w:sz w:val="32"/>
          <w:szCs w:val="32"/>
          <w:lang w:eastAsia="zh-CN"/>
        </w:rPr>
      </w:pPr>
      <w:r>
        <w:rPr>
          <w:rFonts w:hint="eastAsia"/>
          <w:sz w:val="32"/>
          <w:szCs w:val="32"/>
          <w:lang w:eastAsia="zh-CN"/>
        </w:rPr>
        <w:t xml:space="preserve">受托方： </w:t>
      </w:r>
    </w:p>
    <w:p w14:paraId="75488F08">
      <w:pPr>
        <w:ind w:firstLine="800" w:firstLineChars="250"/>
        <w:rPr>
          <w:sz w:val="32"/>
          <w:szCs w:val="32"/>
          <w:lang w:eastAsia="zh-CN"/>
        </w:rPr>
      </w:pPr>
    </w:p>
    <w:p w14:paraId="7BA41685">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6年8月  日</w:t>
      </w:r>
    </w:p>
    <w:p w14:paraId="6100ECD1">
      <w:pPr>
        <w:tabs>
          <w:tab w:val="left" w:pos="2130"/>
          <w:tab w:val="center" w:pos="4535"/>
        </w:tabs>
        <w:jc w:val="center"/>
        <w:rPr>
          <w:b/>
          <w:sz w:val="30"/>
          <w:szCs w:val="30"/>
          <w:lang w:eastAsia="zh-CN"/>
        </w:rPr>
      </w:pPr>
    </w:p>
    <w:p w14:paraId="7B89FB8B">
      <w:pPr>
        <w:pStyle w:val="28"/>
        <w:spacing w:line="400" w:lineRule="exact"/>
        <w:rPr>
          <w:rFonts w:hAnsi="宋体"/>
          <w:lang w:eastAsia="zh-CN"/>
        </w:rPr>
      </w:pPr>
      <w:r>
        <w:rPr>
          <w:b/>
          <w:sz w:val="30"/>
          <w:szCs w:val="30"/>
          <w:lang w:eastAsia="zh-CN"/>
        </w:rPr>
        <w:br w:type="page"/>
      </w:r>
      <w:r>
        <w:rPr>
          <w:rFonts w:hAnsi="宋体"/>
          <w:lang w:eastAsia="zh-CN"/>
        </w:rPr>
        <w:t>委托方（甲方）</w:t>
      </w:r>
      <w:r>
        <w:rPr>
          <w:rFonts w:hint="eastAsia" w:hAnsi="宋体"/>
          <w:lang w:eastAsia="zh-CN"/>
        </w:rPr>
        <w:t>：</w:t>
      </w:r>
      <w:r>
        <w:rPr>
          <w:rFonts w:hAnsi="宋体"/>
          <w:lang w:eastAsia="zh-CN"/>
        </w:rPr>
        <w:t xml:space="preserve"> 福建福海创石油化工有限公司</w:t>
      </w:r>
    </w:p>
    <w:p w14:paraId="7783F9BB">
      <w:pPr>
        <w:pStyle w:val="28"/>
        <w:spacing w:line="400" w:lineRule="exact"/>
        <w:rPr>
          <w:rFonts w:hAnsi="宋体"/>
          <w:lang w:eastAsia="zh-CN"/>
        </w:rPr>
      </w:pPr>
      <w:r>
        <w:rPr>
          <w:rFonts w:hAnsi="宋体"/>
          <w:lang w:eastAsia="zh-CN"/>
        </w:rPr>
        <w:t>住  所  地：漳州市古雷经济开发区腾龙路</w:t>
      </w:r>
      <w:r>
        <w:rPr>
          <w:rFonts w:hint="eastAsia" w:hAnsi="宋体"/>
          <w:lang w:eastAsia="zh-CN"/>
        </w:rPr>
        <w:t>8</w:t>
      </w:r>
      <w:r>
        <w:rPr>
          <w:rFonts w:hAnsi="宋体"/>
          <w:lang w:eastAsia="zh-CN"/>
        </w:rPr>
        <w:t>6号</w:t>
      </w:r>
    </w:p>
    <w:p w14:paraId="1D106D0D">
      <w:pPr>
        <w:pStyle w:val="28"/>
        <w:spacing w:line="400" w:lineRule="exact"/>
        <w:rPr>
          <w:rFonts w:hAnsi="宋体"/>
          <w:lang w:eastAsia="zh-CN"/>
        </w:rPr>
      </w:pPr>
      <w:r>
        <w:rPr>
          <w:rFonts w:hAnsi="宋体"/>
          <w:lang w:eastAsia="zh-CN"/>
        </w:rPr>
        <w:t>法定代表人</w:t>
      </w:r>
      <w:r>
        <w:rPr>
          <w:rFonts w:hint="eastAsia" w:hAnsi="宋体"/>
          <w:lang w:eastAsia="zh-CN"/>
        </w:rPr>
        <w:t>：连毅敏</w:t>
      </w:r>
    </w:p>
    <w:p w14:paraId="1A3457C7">
      <w:pPr>
        <w:pStyle w:val="28"/>
        <w:spacing w:line="400" w:lineRule="exact"/>
        <w:rPr>
          <w:rFonts w:hAnsi="宋体"/>
          <w:lang w:eastAsia="zh-CN"/>
        </w:rPr>
      </w:pPr>
      <w:r>
        <w:rPr>
          <w:rFonts w:hAnsi="宋体"/>
          <w:lang w:eastAsia="zh-CN"/>
        </w:rPr>
        <w:t>项目联系人</w:t>
      </w:r>
      <w:r>
        <w:rPr>
          <w:rFonts w:hint="eastAsia" w:hAnsi="宋体"/>
          <w:lang w:eastAsia="zh-CN"/>
        </w:rPr>
        <w:t>：简松文</w:t>
      </w:r>
    </w:p>
    <w:p w14:paraId="65182EC7">
      <w:pPr>
        <w:pStyle w:val="28"/>
        <w:spacing w:line="400" w:lineRule="exact"/>
        <w:rPr>
          <w:rFonts w:hAnsi="宋体"/>
          <w:lang w:eastAsia="zh-CN"/>
        </w:rPr>
      </w:pPr>
      <w:r>
        <w:rPr>
          <w:rFonts w:hAnsi="宋体"/>
          <w:lang w:eastAsia="zh-CN"/>
        </w:rPr>
        <w:t>通讯地址</w:t>
      </w:r>
      <w:r>
        <w:rPr>
          <w:rFonts w:hint="eastAsia" w:hAnsi="宋体"/>
          <w:lang w:eastAsia="zh-CN"/>
        </w:rPr>
        <w:t>：</w:t>
      </w:r>
      <w:r>
        <w:rPr>
          <w:rFonts w:hAnsi="宋体"/>
          <w:lang w:eastAsia="zh-CN"/>
        </w:rPr>
        <w:t>漳州市古雷经济开发区腾龙路</w:t>
      </w:r>
      <w:r>
        <w:rPr>
          <w:rFonts w:hint="eastAsia" w:hAnsi="宋体"/>
          <w:lang w:eastAsia="zh-CN"/>
        </w:rPr>
        <w:t>8</w:t>
      </w:r>
      <w:r>
        <w:rPr>
          <w:rFonts w:hAnsi="宋体"/>
          <w:lang w:eastAsia="zh-CN"/>
        </w:rPr>
        <w:t>6号</w:t>
      </w:r>
    </w:p>
    <w:p w14:paraId="6BC77F0D">
      <w:pPr>
        <w:pStyle w:val="28"/>
        <w:spacing w:line="400" w:lineRule="exact"/>
        <w:rPr>
          <w:rFonts w:hAnsi="宋体"/>
          <w:lang w:eastAsia="zh-CN"/>
        </w:rPr>
      </w:pPr>
      <w:r>
        <w:rPr>
          <w:rFonts w:hAnsi="宋体"/>
          <w:lang w:eastAsia="zh-CN"/>
        </w:rPr>
        <w:t>电    话</w:t>
      </w:r>
      <w:r>
        <w:rPr>
          <w:rFonts w:hint="eastAsia" w:hAnsi="宋体"/>
          <w:lang w:eastAsia="zh-CN"/>
        </w:rPr>
        <w:t>：</w:t>
      </w:r>
      <w:r>
        <w:rPr>
          <w:rFonts w:hAnsi="宋体"/>
          <w:lang w:eastAsia="zh-CN"/>
        </w:rPr>
        <w:t>0596-6085065  </w:t>
      </w:r>
    </w:p>
    <w:p w14:paraId="5F62121A">
      <w:pPr>
        <w:pStyle w:val="28"/>
        <w:spacing w:line="400" w:lineRule="exact"/>
        <w:rPr>
          <w:rFonts w:hAnsi="宋体"/>
          <w:lang w:eastAsia="zh-CN"/>
        </w:rPr>
      </w:pPr>
      <w:r>
        <w:rPr>
          <w:rFonts w:hAnsi="宋体"/>
          <w:lang w:eastAsia="zh-CN"/>
        </w:rPr>
        <w:t>传</w:t>
      </w:r>
      <w:r>
        <w:rPr>
          <w:rFonts w:hint="eastAsia" w:hAnsi="宋体"/>
          <w:lang w:eastAsia="zh-CN"/>
        </w:rPr>
        <w:t xml:space="preserve">  </w:t>
      </w:r>
      <w:r>
        <w:rPr>
          <w:rFonts w:hAnsi="宋体"/>
          <w:lang w:eastAsia="zh-CN"/>
        </w:rPr>
        <w:t xml:space="preserve">  真</w:t>
      </w:r>
      <w:r>
        <w:rPr>
          <w:rFonts w:hint="eastAsia" w:hAnsi="宋体"/>
          <w:lang w:eastAsia="zh-CN"/>
        </w:rPr>
        <w:t>：/</w:t>
      </w:r>
    </w:p>
    <w:p w14:paraId="505D5D5D">
      <w:pPr>
        <w:pStyle w:val="28"/>
        <w:spacing w:line="400" w:lineRule="exact"/>
        <w:rPr>
          <w:rFonts w:hAnsi="宋体"/>
          <w:lang w:eastAsia="zh-CN"/>
        </w:rPr>
      </w:pPr>
      <w:r>
        <w:rPr>
          <w:rFonts w:hAnsi="宋体"/>
          <w:lang w:eastAsia="zh-CN"/>
        </w:rPr>
        <w:t>电子信箱</w:t>
      </w:r>
      <w:r>
        <w:rPr>
          <w:rFonts w:hint="eastAsia" w:hAnsi="宋体"/>
          <w:lang w:eastAsia="zh-CN"/>
        </w:rPr>
        <w:t>：swjian</w:t>
      </w:r>
      <w:r>
        <w:rPr>
          <w:rFonts w:hAnsi="宋体"/>
          <w:lang w:eastAsia="zh-CN"/>
        </w:rPr>
        <w:t>@fhcpec.com.cn </w:t>
      </w:r>
    </w:p>
    <w:p w14:paraId="28D3A489">
      <w:pPr>
        <w:pStyle w:val="28"/>
        <w:spacing w:line="400" w:lineRule="exact"/>
        <w:rPr>
          <w:rFonts w:hAnsi="宋体"/>
          <w:lang w:eastAsia="zh-CN"/>
        </w:rPr>
      </w:pPr>
    </w:p>
    <w:p w14:paraId="5A5BD6E3">
      <w:pPr>
        <w:pStyle w:val="28"/>
        <w:spacing w:line="400" w:lineRule="exact"/>
        <w:rPr>
          <w:rFonts w:hAnsi="宋体"/>
          <w:lang w:eastAsia="zh-CN"/>
        </w:rPr>
      </w:pPr>
      <w:r>
        <w:rPr>
          <w:rFonts w:hAnsi="宋体"/>
          <w:lang w:eastAsia="zh-CN"/>
        </w:rPr>
        <w:t>受托方（乙方）</w:t>
      </w:r>
      <w:r>
        <w:rPr>
          <w:rFonts w:hint="eastAsia" w:hAnsi="宋体"/>
          <w:lang w:eastAsia="zh-CN"/>
        </w:rPr>
        <w:t>：</w:t>
      </w:r>
    </w:p>
    <w:p w14:paraId="104FA85F">
      <w:pPr>
        <w:pStyle w:val="28"/>
        <w:spacing w:line="400" w:lineRule="exact"/>
        <w:rPr>
          <w:rFonts w:hAnsi="宋体"/>
          <w:lang w:eastAsia="zh-CN"/>
        </w:rPr>
      </w:pPr>
      <w:r>
        <w:rPr>
          <w:rFonts w:hAnsi="宋体"/>
          <w:lang w:eastAsia="zh-CN"/>
        </w:rPr>
        <w:t>住  所  地</w:t>
      </w:r>
      <w:r>
        <w:rPr>
          <w:rFonts w:hint="eastAsia" w:hAnsi="宋体"/>
          <w:lang w:eastAsia="zh-CN"/>
        </w:rPr>
        <w:t>：</w:t>
      </w:r>
    </w:p>
    <w:p w14:paraId="5AFAF92F">
      <w:pPr>
        <w:pStyle w:val="28"/>
        <w:spacing w:line="400" w:lineRule="exact"/>
        <w:rPr>
          <w:rFonts w:hAnsi="宋体"/>
          <w:lang w:eastAsia="zh-CN"/>
        </w:rPr>
      </w:pPr>
      <w:r>
        <w:rPr>
          <w:rFonts w:hAnsi="宋体"/>
          <w:lang w:eastAsia="zh-CN"/>
        </w:rPr>
        <w:t>法定代表人</w:t>
      </w:r>
      <w:r>
        <w:rPr>
          <w:rFonts w:hint="eastAsia" w:hAnsi="宋体"/>
          <w:lang w:eastAsia="zh-CN"/>
        </w:rPr>
        <w:t>：</w:t>
      </w:r>
    </w:p>
    <w:p w14:paraId="69367483">
      <w:pPr>
        <w:pStyle w:val="28"/>
        <w:spacing w:line="400" w:lineRule="exact"/>
        <w:rPr>
          <w:rFonts w:hAnsi="宋体"/>
          <w:lang w:eastAsia="zh-CN"/>
        </w:rPr>
      </w:pPr>
      <w:r>
        <w:rPr>
          <w:rFonts w:hint="eastAsia" w:hAnsi="宋体"/>
          <w:lang w:eastAsia="zh-CN"/>
        </w:rPr>
        <w:t>项目联系人:</w:t>
      </w:r>
    </w:p>
    <w:p w14:paraId="6920A9C4">
      <w:pPr>
        <w:pStyle w:val="28"/>
        <w:spacing w:line="400" w:lineRule="exact"/>
        <w:rPr>
          <w:rFonts w:hAnsi="宋体"/>
          <w:lang w:eastAsia="zh-CN"/>
        </w:rPr>
      </w:pPr>
      <w:r>
        <w:rPr>
          <w:rFonts w:hAnsi="宋体"/>
          <w:lang w:eastAsia="zh-CN"/>
        </w:rPr>
        <w:t>通讯地址</w:t>
      </w:r>
      <w:r>
        <w:rPr>
          <w:rFonts w:hint="eastAsia" w:hAnsi="宋体"/>
          <w:lang w:eastAsia="zh-CN"/>
        </w:rPr>
        <w:t>：</w:t>
      </w:r>
    </w:p>
    <w:p w14:paraId="251DBECA">
      <w:pPr>
        <w:pStyle w:val="28"/>
        <w:spacing w:line="400" w:lineRule="exact"/>
        <w:rPr>
          <w:rFonts w:hAnsi="宋体"/>
          <w:lang w:eastAsia="zh-CN"/>
        </w:rPr>
      </w:pPr>
      <w:r>
        <w:rPr>
          <w:rFonts w:hAnsi="宋体"/>
          <w:lang w:eastAsia="zh-CN"/>
        </w:rPr>
        <w:t>电    话</w:t>
      </w:r>
      <w:r>
        <w:rPr>
          <w:rFonts w:hint="eastAsia" w:hAnsi="宋体"/>
          <w:lang w:eastAsia="zh-CN"/>
        </w:rPr>
        <w:t>：</w:t>
      </w:r>
    </w:p>
    <w:p w14:paraId="012D0528">
      <w:pPr>
        <w:pStyle w:val="28"/>
        <w:spacing w:line="400" w:lineRule="exact"/>
        <w:rPr>
          <w:rFonts w:hAnsi="宋体"/>
          <w:lang w:eastAsia="zh-CN"/>
        </w:rPr>
      </w:pPr>
      <w:r>
        <w:rPr>
          <w:rFonts w:hAnsi="宋体"/>
          <w:lang w:eastAsia="zh-CN"/>
        </w:rPr>
        <w:t>传    真：</w:t>
      </w:r>
    </w:p>
    <w:p w14:paraId="372B84BB">
      <w:pPr>
        <w:pStyle w:val="28"/>
        <w:spacing w:line="400" w:lineRule="exact"/>
        <w:rPr>
          <w:rFonts w:hAnsi="宋体"/>
          <w:lang w:eastAsia="zh-CN"/>
        </w:rPr>
      </w:pPr>
      <w:r>
        <w:rPr>
          <w:rFonts w:hAnsi="宋体"/>
          <w:lang w:eastAsia="zh-CN"/>
        </w:rPr>
        <w:t>电子信箱</w:t>
      </w:r>
      <w:r>
        <w:rPr>
          <w:rFonts w:hint="eastAsia" w:hAnsi="宋体"/>
          <w:lang w:eastAsia="zh-CN"/>
        </w:rPr>
        <w:t>：</w:t>
      </w:r>
    </w:p>
    <w:p w14:paraId="1B8FD26D">
      <w:pPr>
        <w:pStyle w:val="28"/>
        <w:spacing w:line="400" w:lineRule="exact"/>
        <w:rPr>
          <w:rFonts w:hAnsi="宋体"/>
          <w:lang w:eastAsia="zh-CN"/>
        </w:rPr>
      </w:pPr>
      <w:r>
        <w:rPr>
          <w:rFonts w:hint="eastAsia" w:hAnsi="宋体"/>
          <w:lang w:eastAsia="zh-CN"/>
        </w:rPr>
        <w:t xml:space="preserve">    </w:t>
      </w:r>
    </w:p>
    <w:p w14:paraId="77887264">
      <w:pPr>
        <w:pStyle w:val="28"/>
        <w:spacing w:line="400" w:lineRule="exact"/>
        <w:rPr>
          <w:rFonts w:hAnsi="宋体"/>
          <w:lang w:eastAsia="zh-CN"/>
        </w:rPr>
      </w:pPr>
      <w:r>
        <w:rPr>
          <w:rFonts w:hint="eastAsia" w:hAnsi="宋体"/>
          <w:lang w:eastAsia="zh-CN"/>
        </w:rPr>
        <w:t xml:space="preserve">    本合同由甲方委托乙方就</w:t>
      </w:r>
      <w:r>
        <w:rPr>
          <w:rFonts w:hint="eastAsia" w:hAnsi="宋体"/>
          <w:u w:val="single"/>
          <w:lang w:eastAsia="zh-CN"/>
        </w:rPr>
        <w:t>福建福海创石油化工有限公司PTA现场人员用房、吸附分离预处理装置等项目竣工消防设施及工程防火检测</w:t>
      </w:r>
      <w:r>
        <w:rPr>
          <w:rFonts w:hint="eastAsia" w:hAnsi="宋体"/>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pPr>
        <w:pStyle w:val="28"/>
        <w:spacing w:line="400" w:lineRule="exact"/>
        <w:rPr>
          <w:rFonts w:hAnsi="宋体"/>
          <w:lang w:eastAsia="zh-CN"/>
        </w:rPr>
      </w:pPr>
      <w:r>
        <w:rPr>
          <w:rFonts w:hint="eastAsia" w:hAnsi="宋体"/>
          <w:lang w:eastAsia="zh-CN"/>
        </w:rPr>
        <w:t xml:space="preserve">    第一条　乙方进行技术咨询的内容、要求、方式：</w:t>
      </w:r>
    </w:p>
    <w:p w14:paraId="3E58B417">
      <w:pPr>
        <w:pStyle w:val="28"/>
        <w:spacing w:line="400" w:lineRule="exact"/>
        <w:rPr>
          <w:rFonts w:hAnsi="宋体"/>
          <w:lang w:eastAsia="zh-CN"/>
        </w:rPr>
      </w:pPr>
      <w:r>
        <w:rPr>
          <w:rFonts w:hint="eastAsia" w:hAnsi="宋体"/>
          <w:lang w:eastAsia="zh-CN"/>
        </w:rPr>
        <w:t xml:space="preserve">    1.技术服务及咨询内容：</w:t>
      </w:r>
      <w:r>
        <w:rPr>
          <w:rFonts w:hint="eastAsia" w:hAnsi="宋体"/>
          <w:u w:val="single"/>
          <w:lang w:eastAsia="zh-CN"/>
        </w:rPr>
        <w:t xml:space="preserve">  见附件发包说明      </w:t>
      </w:r>
    </w:p>
    <w:p w14:paraId="6C01A7BA">
      <w:pPr>
        <w:pStyle w:val="28"/>
        <w:spacing w:line="400" w:lineRule="exact"/>
        <w:rPr>
          <w:rFonts w:hAnsi="宋体"/>
          <w:lang w:eastAsia="zh-CN"/>
        </w:rPr>
      </w:pPr>
      <w:r>
        <w:rPr>
          <w:rFonts w:hint="eastAsia" w:hAnsi="宋体"/>
          <w:lang w:eastAsia="zh-CN"/>
        </w:rPr>
        <w:t xml:space="preserve">    2.技术服务及咨询要求：</w:t>
      </w:r>
      <w:r>
        <w:rPr>
          <w:rFonts w:hint="eastAsia" w:hAnsi="宋体"/>
          <w:u w:val="single"/>
          <w:lang w:eastAsia="zh-CN"/>
        </w:rPr>
        <w:t xml:space="preserve">  出具检测检查合格证明文件，《建筑消防设施检测报告》、《建筑工程防火检测报告》和《钢结构防火涂层厚度检测报告》（按需）等报告，具体详见发包说明。</w:t>
      </w:r>
    </w:p>
    <w:p w14:paraId="168C6E74">
      <w:pPr>
        <w:pStyle w:val="28"/>
        <w:spacing w:line="400" w:lineRule="exact"/>
        <w:rPr>
          <w:rFonts w:hAnsi="宋体"/>
          <w:lang w:eastAsia="zh-CN"/>
        </w:rPr>
      </w:pPr>
      <w:r>
        <w:rPr>
          <w:rFonts w:hint="eastAsia" w:hAnsi="宋体"/>
          <w:lang w:eastAsia="zh-CN"/>
        </w:rPr>
        <w:t xml:space="preserve">    第二条 乙方按照下列要求进行本合同项目的技术咨询工作：</w:t>
      </w:r>
    </w:p>
    <w:p w14:paraId="24761090">
      <w:pPr>
        <w:pStyle w:val="28"/>
        <w:spacing w:line="400" w:lineRule="exact"/>
        <w:rPr>
          <w:rFonts w:hAnsi="宋体"/>
          <w:lang w:eastAsia="zh-CN"/>
        </w:rPr>
      </w:pPr>
      <w:r>
        <w:rPr>
          <w:rFonts w:hint="eastAsia" w:hAnsi="宋体"/>
          <w:lang w:eastAsia="zh-CN"/>
        </w:rPr>
        <w:t xml:space="preserve">    1.技术服务及咨询地点：</w:t>
      </w:r>
      <w:r>
        <w:rPr>
          <w:rFonts w:hint="eastAsia" w:hAnsi="宋体"/>
          <w:u w:val="single"/>
          <w:lang w:eastAsia="zh-CN"/>
        </w:rPr>
        <w:t>甲方所在地</w:t>
      </w:r>
    </w:p>
    <w:p w14:paraId="60663588">
      <w:pPr>
        <w:pStyle w:val="28"/>
        <w:spacing w:line="400" w:lineRule="exact"/>
        <w:rPr>
          <w:rFonts w:hAnsi="宋体"/>
          <w:lang w:eastAsia="zh-CN"/>
        </w:rPr>
      </w:pPr>
      <w:r>
        <w:rPr>
          <w:rFonts w:hint="eastAsia" w:hAnsi="宋体"/>
          <w:lang w:eastAsia="zh-CN"/>
        </w:rPr>
        <w:t xml:space="preserve">    2.技术服务及咨询期限：</w:t>
      </w:r>
      <w:r>
        <w:rPr>
          <w:rFonts w:hint="eastAsia" w:hAnsi="宋体"/>
          <w:u w:val="single"/>
          <w:lang w:eastAsia="zh-CN"/>
        </w:rPr>
        <w:t>合同签订之日起至合同执行完毕止</w:t>
      </w:r>
    </w:p>
    <w:p w14:paraId="51353F2C">
      <w:pPr>
        <w:pStyle w:val="28"/>
        <w:spacing w:line="400" w:lineRule="exact"/>
        <w:ind w:firstLine="440"/>
        <w:rPr>
          <w:rFonts w:hAnsi="宋体"/>
          <w:u w:val="single"/>
          <w:lang w:eastAsia="zh-CN"/>
        </w:rPr>
      </w:pPr>
      <w:r>
        <w:rPr>
          <w:rFonts w:hint="eastAsia" w:hAnsi="宋体"/>
          <w:lang w:eastAsia="zh-CN"/>
        </w:rPr>
        <w:t>3.技术服务及咨询进度：</w:t>
      </w:r>
      <w:r>
        <w:rPr>
          <w:rFonts w:hint="eastAsia" w:hAnsi="宋体"/>
          <w:u w:val="single"/>
          <w:lang w:eastAsia="zh-CN"/>
        </w:rPr>
        <w:t>受托方按委托方指定日期委派检测人员到达项目现场，在3个日历天内完成所有检测检查、联调联试工作；在5个日历天内出具盖章签字版成果报告，并能满足委托方向政府消防验收主管部门申报消防验收的资料完整性、合规性要求。</w:t>
      </w:r>
    </w:p>
    <w:p w14:paraId="040C62ED">
      <w:pPr>
        <w:pStyle w:val="28"/>
        <w:spacing w:line="400" w:lineRule="exact"/>
        <w:ind w:firstLine="440" w:firstLineChars="200"/>
        <w:rPr>
          <w:rFonts w:hAnsi="宋体"/>
          <w:u w:val="single"/>
          <w:lang w:eastAsia="zh-CN"/>
        </w:rPr>
      </w:pPr>
      <w:r>
        <w:rPr>
          <w:rFonts w:hint="eastAsia" w:hAnsi="宋体"/>
          <w:u w:val="single"/>
          <w:lang w:eastAsia="zh-CN"/>
        </w:rPr>
        <w:t>合同期限：合同签订之日起至所有委托检测的装置项目均取得消防验收主管部门出具的《消防验收合格意见书》。</w:t>
      </w:r>
    </w:p>
    <w:p w14:paraId="1A759312">
      <w:pPr>
        <w:pStyle w:val="28"/>
        <w:spacing w:line="400" w:lineRule="exact"/>
        <w:rPr>
          <w:rFonts w:hAnsi="宋体"/>
          <w:lang w:eastAsia="zh-CN"/>
        </w:rPr>
      </w:pPr>
      <w:r>
        <w:rPr>
          <w:rFonts w:hint="eastAsia" w:hAnsi="宋体"/>
          <w:lang w:eastAsia="zh-CN"/>
        </w:rPr>
        <w:t xml:space="preserve">    4.技术服务及咨询质量要求：</w:t>
      </w:r>
      <w:r>
        <w:rPr>
          <w:rFonts w:hint="eastAsia" w:hAnsi="宋体"/>
          <w:u w:val="single"/>
          <w:lang w:eastAsia="zh-CN"/>
        </w:rPr>
        <w:t xml:space="preserve">取得消防验收主管部门出具的《消防验收合格意见书》。 </w:t>
      </w:r>
    </w:p>
    <w:p w14:paraId="2B97E30C">
      <w:pPr>
        <w:pStyle w:val="28"/>
        <w:spacing w:line="400" w:lineRule="exact"/>
        <w:ind w:firstLine="440" w:firstLineChars="200"/>
        <w:rPr>
          <w:rFonts w:hAnsi="宋体"/>
          <w:lang w:eastAsia="zh-CN"/>
        </w:rPr>
      </w:pPr>
      <w:r>
        <w:rPr>
          <w:rFonts w:hint="eastAsia" w:hAnsi="宋体"/>
          <w:lang w:eastAsia="zh-CN"/>
        </w:rPr>
        <w:t>5.技术服务及咨询质量期限要求：</w:t>
      </w:r>
      <w:r>
        <w:rPr>
          <w:rFonts w:hint="eastAsia" w:hAnsi="宋体"/>
          <w:u w:val="single"/>
          <w:lang w:eastAsia="zh-CN"/>
        </w:rPr>
        <w:t xml:space="preserve">   合同签订之日起至合同执行完毕止     </w:t>
      </w:r>
    </w:p>
    <w:p w14:paraId="7CEDFE1A">
      <w:pPr>
        <w:pStyle w:val="28"/>
        <w:spacing w:line="400" w:lineRule="exact"/>
        <w:ind w:firstLine="440" w:firstLineChars="200"/>
        <w:rPr>
          <w:rFonts w:hAnsi="宋体"/>
          <w:lang w:eastAsia="zh-CN"/>
        </w:rPr>
      </w:pPr>
      <w:r>
        <w:rPr>
          <w:rFonts w:hint="eastAsia" w:hAnsi="宋体"/>
          <w:lang w:eastAsia="zh-CN"/>
        </w:rPr>
        <w:t>第三条 为保证乙方有效进行技术咨询工作，甲方应当向乙方提供下列协作事项：</w:t>
      </w:r>
    </w:p>
    <w:p w14:paraId="513A14DE">
      <w:pPr>
        <w:pStyle w:val="28"/>
        <w:spacing w:line="400" w:lineRule="exact"/>
        <w:ind w:firstLine="440" w:firstLineChars="200"/>
        <w:rPr>
          <w:rFonts w:hAnsi="宋体"/>
          <w:lang w:eastAsia="zh-CN"/>
        </w:rPr>
      </w:pPr>
      <w:r>
        <w:rPr>
          <w:rFonts w:hint="eastAsia" w:hAnsi="宋体"/>
          <w:lang w:eastAsia="zh-CN"/>
        </w:rPr>
        <w:t>提供技术资料：</w:t>
      </w:r>
      <w:r>
        <w:rPr>
          <w:rFonts w:hint="eastAsia" w:hAnsi="宋体"/>
          <w:u w:val="single"/>
          <w:lang w:eastAsia="zh-CN"/>
        </w:rPr>
        <w:t xml:space="preserve">  /          </w:t>
      </w:r>
      <w:r>
        <w:rPr>
          <w:rFonts w:hint="eastAsia" w:hAnsi="宋体"/>
          <w:lang w:eastAsia="zh-CN"/>
        </w:rPr>
        <w:t xml:space="preserve"> </w:t>
      </w:r>
    </w:p>
    <w:p w14:paraId="3C3F785E">
      <w:pPr>
        <w:pStyle w:val="28"/>
        <w:spacing w:line="400" w:lineRule="exact"/>
        <w:ind w:firstLine="440" w:firstLineChars="200"/>
        <w:rPr>
          <w:rFonts w:hAnsi="宋体"/>
          <w:lang w:eastAsia="zh-CN"/>
        </w:rPr>
      </w:pPr>
      <w:r>
        <w:rPr>
          <w:rFonts w:hint="eastAsia" w:hAnsi="宋体"/>
          <w:lang w:eastAsia="zh-CN"/>
        </w:rPr>
        <w:t>第四条 甲方向乙方支付技术服务及咨询报酬及支付方式为：</w:t>
      </w:r>
    </w:p>
    <w:p w14:paraId="69F98151">
      <w:pPr>
        <w:pStyle w:val="28"/>
        <w:spacing w:line="400" w:lineRule="exact"/>
        <w:ind w:firstLine="440" w:firstLineChars="200"/>
        <w:rPr>
          <w:rFonts w:hAnsi="宋体"/>
          <w:lang w:eastAsia="zh-CN"/>
        </w:rPr>
      </w:pPr>
      <w:r>
        <w:rPr>
          <w:rFonts w:hint="eastAsia" w:hAnsi="宋体"/>
          <w:lang w:eastAsia="zh-CN"/>
        </w:rPr>
        <w:t>1. 技术服务及咨询报酬总价款为：暂定为</w:t>
      </w:r>
      <w:r>
        <w:rPr>
          <w:rFonts w:hAnsi="宋体"/>
          <w:lang w:eastAsia="zh-CN"/>
        </w:rPr>
        <w:t>人民币</w:t>
      </w:r>
      <w:r>
        <w:rPr>
          <w:rFonts w:hint="eastAsia" w:hAnsi="宋体"/>
          <w:u w:val="single"/>
          <w:lang w:eastAsia="zh-CN"/>
        </w:rPr>
        <w:t xml:space="preserve">           </w:t>
      </w:r>
      <w:r>
        <w:rPr>
          <w:rFonts w:hint="eastAsia" w:hAnsi="宋体"/>
          <w:lang w:eastAsia="zh-CN"/>
        </w:rPr>
        <w:t>元（含6%增值税），具体详见下表。</w:t>
      </w:r>
    </w:p>
    <w:p w14:paraId="61E17E2A">
      <w:pPr>
        <w:tabs>
          <w:tab w:val="left" w:pos="600"/>
        </w:tabs>
        <w:spacing w:line="360" w:lineRule="auto"/>
        <w:jc w:val="center"/>
        <w:rPr>
          <w:b/>
          <w:bCs/>
          <w:lang w:eastAsia="zh-CN"/>
        </w:rPr>
      </w:pPr>
      <w:r>
        <w:rPr>
          <w:rFonts w:hint="eastAsia"/>
          <w:b/>
          <w:bCs/>
          <w:lang w:eastAsia="zh-CN"/>
        </w:rPr>
        <w:t>竣工消防设施及工程防火检测费用明细表</w:t>
      </w:r>
    </w:p>
    <w:tbl>
      <w:tblPr>
        <w:tblStyle w:val="51"/>
        <w:tblW w:w="9214" w:type="dxa"/>
        <w:tblInd w:w="-10" w:type="dxa"/>
        <w:tblLayout w:type="autofit"/>
        <w:tblCellMar>
          <w:top w:w="0" w:type="dxa"/>
          <w:left w:w="108" w:type="dxa"/>
          <w:bottom w:w="0" w:type="dxa"/>
          <w:right w:w="108" w:type="dxa"/>
        </w:tblCellMar>
      </w:tblPr>
      <w:tblGrid>
        <w:gridCol w:w="456"/>
        <w:gridCol w:w="1270"/>
        <w:gridCol w:w="1795"/>
        <w:gridCol w:w="1134"/>
        <w:gridCol w:w="1272"/>
        <w:gridCol w:w="1019"/>
        <w:gridCol w:w="1134"/>
        <w:gridCol w:w="1134"/>
      </w:tblGrid>
      <w:tr w14:paraId="626C0AA5">
        <w:tblPrEx>
          <w:tblCellMar>
            <w:top w:w="0" w:type="dxa"/>
            <w:left w:w="108" w:type="dxa"/>
            <w:bottom w:w="0" w:type="dxa"/>
            <w:right w:w="108" w:type="dxa"/>
          </w:tblCellMar>
        </w:tblPrEx>
        <w:trPr>
          <w:trHeight w:val="825" w:hRule="atLeast"/>
          <w:tblHeader/>
        </w:trPr>
        <w:tc>
          <w:tcPr>
            <w:tcW w:w="456" w:type="dxa"/>
            <w:tcBorders>
              <w:top w:val="single" w:color="auto" w:sz="8" w:space="0"/>
              <w:left w:val="single" w:color="auto" w:sz="8" w:space="0"/>
              <w:bottom w:val="single" w:color="auto" w:sz="8" w:space="0"/>
              <w:right w:val="single" w:color="auto" w:sz="4" w:space="0"/>
            </w:tcBorders>
            <w:vAlign w:val="center"/>
          </w:tcPr>
          <w:p w14:paraId="2961FBD1">
            <w:pPr>
              <w:widowControl/>
              <w:jc w:val="center"/>
              <w:rPr>
                <w:color w:val="000000"/>
              </w:rPr>
            </w:pPr>
            <w:r>
              <w:rPr>
                <w:rFonts w:hint="eastAsia"/>
                <w:color w:val="000000"/>
              </w:rPr>
              <w:t>序号</w:t>
            </w:r>
          </w:p>
        </w:tc>
        <w:tc>
          <w:tcPr>
            <w:tcW w:w="3065" w:type="dxa"/>
            <w:gridSpan w:val="2"/>
            <w:tcBorders>
              <w:top w:val="single" w:color="auto" w:sz="8" w:space="0"/>
              <w:left w:val="nil"/>
              <w:bottom w:val="single" w:color="auto" w:sz="8" w:space="0"/>
              <w:right w:val="single" w:color="auto" w:sz="4" w:space="0"/>
            </w:tcBorders>
            <w:vAlign w:val="center"/>
          </w:tcPr>
          <w:p w14:paraId="2F064436">
            <w:pPr>
              <w:widowControl/>
              <w:jc w:val="center"/>
              <w:rPr>
                <w:color w:val="000000"/>
              </w:rPr>
            </w:pPr>
            <w:r>
              <w:rPr>
                <w:rFonts w:hint="eastAsia"/>
                <w:color w:val="000000"/>
              </w:rPr>
              <w:t>名称</w:t>
            </w:r>
          </w:p>
        </w:tc>
        <w:tc>
          <w:tcPr>
            <w:tcW w:w="1134" w:type="dxa"/>
            <w:tcBorders>
              <w:top w:val="single" w:color="auto" w:sz="8" w:space="0"/>
              <w:left w:val="nil"/>
              <w:bottom w:val="single" w:color="auto" w:sz="8" w:space="0"/>
              <w:right w:val="single" w:color="auto" w:sz="4" w:space="0"/>
            </w:tcBorders>
            <w:vAlign w:val="center"/>
          </w:tcPr>
          <w:p w14:paraId="1E73A9CE">
            <w:pPr>
              <w:widowControl/>
              <w:jc w:val="center"/>
              <w:rPr>
                <w:color w:val="000000"/>
              </w:rPr>
            </w:pPr>
            <w:r>
              <w:rPr>
                <w:rFonts w:hint="eastAsia"/>
                <w:color w:val="000000"/>
              </w:rPr>
              <w:t>占地面积</w:t>
            </w:r>
            <w:r>
              <w:rPr>
                <w:rFonts w:hint="eastAsia"/>
                <w:color w:val="000000"/>
              </w:rPr>
              <w:br w:type="textWrapping"/>
            </w:r>
            <w:r>
              <w:rPr>
                <w:rFonts w:hint="eastAsia"/>
                <w:color w:val="000000"/>
              </w:rPr>
              <w:t>（m</w:t>
            </w:r>
            <w:r>
              <w:rPr>
                <w:rFonts w:hint="eastAsia"/>
                <w:color w:val="000000"/>
                <w:vertAlign w:val="superscript"/>
              </w:rPr>
              <w:t>2</w:t>
            </w:r>
            <w:r>
              <w:rPr>
                <w:rFonts w:hint="eastAsia"/>
                <w:color w:val="000000"/>
              </w:rPr>
              <w:t>)</w:t>
            </w:r>
          </w:p>
        </w:tc>
        <w:tc>
          <w:tcPr>
            <w:tcW w:w="1272" w:type="dxa"/>
            <w:tcBorders>
              <w:top w:val="single" w:color="auto" w:sz="8" w:space="0"/>
              <w:left w:val="nil"/>
              <w:bottom w:val="single" w:color="auto" w:sz="8" w:space="0"/>
              <w:right w:val="single" w:color="auto" w:sz="4" w:space="0"/>
            </w:tcBorders>
            <w:vAlign w:val="center"/>
          </w:tcPr>
          <w:p w14:paraId="564603AC">
            <w:pPr>
              <w:widowControl/>
              <w:jc w:val="center"/>
              <w:rPr>
                <w:color w:val="000000"/>
              </w:rPr>
            </w:pPr>
            <w:r>
              <w:rPr>
                <w:rFonts w:hint="eastAsia"/>
                <w:color w:val="000000"/>
              </w:rPr>
              <w:t>建筑面积</w:t>
            </w:r>
            <w:r>
              <w:rPr>
                <w:rFonts w:hint="eastAsia"/>
                <w:color w:val="000000"/>
              </w:rPr>
              <w:br w:type="textWrapping"/>
            </w:r>
            <w:r>
              <w:rPr>
                <w:rFonts w:hint="eastAsia"/>
                <w:color w:val="000000"/>
              </w:rPr>
              <w:t>（m</w:t>
            </w:r>
            <w:r>
              <w:rPr>
                <w:rFonts w:hint="eastAsia"/>
                <w:color w:val="000000"/>
                <w:vertAlign w:val="superscript"/>
              </w:rPr>
              <w:t>2</w:t>
            </w:r>
            <w:r>
              <w:rPr>
                <w:rFonts w:hint="eastAsia"/>
                <w:color w:val="000000"/>
              </w:rPr>
              <w:t>）</w:t>
            </w:r>
          </w:p>
        </w:tc>
        <w:tc>
          <w:tcPr>
            <w:tcW w:w="1019" w:type="dxa"/>
            <w:tcBorders>
              <w:top w:val="single" w:color="auto" w:sz="8" w:space="0"/>
              <w:left w:val="nil"/>
              <w:bottom w:val="single" w:color="auto" w:sz="8" w:space="0"/>
              <w:right w:val="single" w:color="auto" w:sz="4" w:space="0"/>
            </w:tcBorders>
            <w:vAlign w:val="center"/>
          </w:tcPr>
          <w:p w14:paraId="5707D465">
            <w:pPr>
              <w:widowControl/>
              <w:jc w:val="center"/>
              <w:rPr>
                <w:color w:val="000000"/>
              </w:rPr>
            </w:pPr>
            <w:r>
              <w:rPr>
                <w:rFonts w:hint="eastAsia"/>
                <w:color w:val="000000"/>
              </w:rPr>
              <w:t>单价</w:t>
            </w:r>
            <w:r>
              <w:rPr>
                <w:rFonts w:hint="eastAsia"/>
                <w:color w:val="000000"/>
              </w:rPr>
              <w:br w:type="textWrapping"/>
            </w:r>
            <w:r>
              <w:rPr>
                <w:rFonts w:hint="eastAsia"/>
                <w:color w:val="000000"/>
              </w:rPr>
              <w:t>(元/m</w:t>
            </w:r>
            <w:r>
              <w:rPr>
                <w:rFonts w:hint="eastAsia"/>
                <w:color w:val="000000"/>
                <w:vertAlign w:val="superscript"/>
              </w:rPr>
              <w:t>2</w:t>
            </w:r>
            <w:r>
              <w:rPr>
                <w:rFonts w:hint="eastAsia"/>
                <w:color w:val="000000"/>
              </w:rPr>
              <w:t>)</w:t>
            </w:r>
          </w:p>
        </w:tc>
        <w:tc>
          <w:tcPr>
            <w:tcW w:w="1134" w:type="dxa"/>
            <w:tcBorders>
              <w:top w:val="single" w:color="auto" w:sz="8" w:space="0"/>
              <w:left w:val="single" w:color="auto" w:sz="4" w:space="0"/>
              <w:bottom w:val="single" w:color="auto" w:sz="8" w:space="0"/>
              <w:right w:val="single" w:color="auto" w:sz="4" w:space="0"/>
            </w:tcBorders>
            <w:vAlign w:val="center"/>
          </w:tcPr>
          <w:p w14:paraId="781159FF">
            <w:pPr>
              <w:widowControl/>
              <w:jc w:val="center"/>
              <w:rPr>
                <w:color w:val="000000"/>
              </w:rPr>
            </w:pPr>
            <w:r>
              <w:rPr>
                <w:rFonts w:hint="eastAsia"/>
                <w:color w:val="000000"/>
              </w:rPr>
              <w:t>小计金额</w:t>
            </w:r>
            <w:r>
              <w:rPr>
                <w:rFonts w:hint="eastAsia"/>
                <w:color w:val="000000"/>
              </w:rPr>
              <w:br w:type="textWrapping"/>
            </w:r>
            <w:r>
              <w:rPr>
                <w:rFonts w:hint="eastAsia"/>
                <w:color w:val="000000"/>
              </w:rPr>
              <w:t>（元）</w:t>
            </w:r>
          </w:p>
        </w:tc>
        <w:tc>
          <w:tcPr>
            <w:tcW w:w="1134" w:type="dxa"/>
            <w:tcBorders>
              <w:top w:val="single" w:color="auto" w:sz="8" w:space="0"/>
              <w:left w:val="single" w:color="auto" w:sz="4" w:space="0"/>
              <w:bottom w:val="single" w:color="auto" w:sz="8" w:space="0"/>
              <w:right w:val="single" w:color="auto" w:sz="8" w:space="0"/>
            </w:tcBorders>
            <w:vAlign w:val="center"/>
          </w:tcPr>
          <w:p w14:paraId="47779642">
            <w:pPr>
              <w:widowControl/>
              <w:jc w:val="center"/>
              <w:rPr>
                <w:color w:val="000000"/>
              </w:rPr>
            </w:pPr>
            <w:r>
              <w:rPr>
                <w:rFonts w:hint="eastAsia"/>
                <w:color w:val="000000"/>
              </w:rPr>
              <w:t>合计金额（元）</w:t>
            </w:r>
          </w:p>
        </w:tc>
      </w:tr>
      <w:tr w14:paraId="77FE507F">
        <w:tblPrEx>
          <w:tblCellMar>
            <w:top w:w="0" w:type="dxa"/>
            <w:left w:w="108" w:type="dxa"/>
            <w:bottom w:w="0" w:type="dxa"/>
            <w:right w:w="108" w:type="dxa"/>
          </w:tblCellMar>
        </w:tblPrEx>
        <w:trPr>
          <w:trHeight w:val="540" w:hRule="atLeast"/>
        </w:trPr>
        <w:tc>
          <w:tcPr>
            <w:tcW w:w="456" w:type="dxa"/>
            <w:tcBorders>
              <w:top w:val="single" w:color="auto" w:sz="8" w:space="0"/>
              <w:left w:val="single" w:color="auto" w:sz="8" w:space="0"/>
              <w:bottom w:val="single" w:color="auto" w:sz="8" w:space="0"/>
              <w:right w:val="single" w:color="auto" w:sz="4" w:space="0"/>
            </w:tcBorders>
            <w:vAlign w:val="center"/>
          </w:tcPr>
          <w:p w14:paraId="3CD08657">
            <w:pPr>
              <w:widowControl/>
              <w:jc w:val="center"/>
              <w:rPr>
                <w:color w:val="000000"/>
              </w:rPr>
            </w:pPr>
            <w:r>
              <w:rPr>
                <w:rFonts w:hint="eastAsia"/>
                <w:color w:val="000000"/>
              </w:rPr>
              <w:t>1</w:t>
            </w:r>
          </w:p>
        </w:tc>
        <w:tc>
          <w:tcPr>
            <w:tcW w:w="3065" w:type="dxa"/>
            <w:gridSpan w:val="2"/>
            <w:tcBorders>
              <w:top w:val="single" w:color="auto" w:sz="8" w:space="0"/>
              <w:left w:val="nil"/>
              <w:bottom w:val="single" w:color="auto" w:sz="8" w:space="0"/>
              <w:right w:val="single" w:color="auto" w:sz="4" w:space="0"/>
            </w:tcBorders>
            <w:vAlign w:val="center"/>
          </w:tcPr>
          <w:p w14:paraId="26BE8CF3">
            <w:pPr>
              <w:widowControl/>
              <w:jc w:val="center"/>
              <w:rPr>
                <w:color w:val="000000"/>
                <w:lang w:eastAsia="zh-CN"/>
              </w:rPr>
            </w:pPr>
            <w:r>
              <w:rPr>
                <w:rFonts w:hint="eastAsia"/>
                <w:color w:val="000000"/>
                <w:lang w:eastAsia="zh-CN"/>
              </w:rPr>
              <w:t>年产300万吨精对苯二甲酸（PTA）扩建项目-PTA现场人员用房</w:t>
            </w:r>
          </w:p>
        </w:tc>
        <w:tc>
          <w:tcPr>
            <w:tcW w:w="1134" w:type="dxa"/>
            <w:tcBorders>
              <w:top w:val="single" w:color="auto" w:sz="8" w:space="0"/>
              <w:left w:val="nil"/>
              <w:bottom w:val="single" w:color="auto" w:sz="8" w:space="0"/>
              <w:right w:val="single" w:color="auto" w:sz="4" w:space="0"/>
              <w:tl2br w:val="single" w:color="auto" w:sz="4" w:space="0"/>
            </w:tcBorders>
            <w:noWrap/>
            <w:vAlign w:val="center"/>
          </w:tcPr>
          <w:p w14:paraId="77321BD8">
            <w:pPr>
              <w:widowControl/>
              <w:rPr>
                <w:color w:val="000000"/>
                <w:lang w:eastAsia="zh-CN"/>
              </w:rPr>
            </w:pPr>
            <w:r>
              <w:rPr>
                <w:rFonts w:hint="eastAsia"/>
                <w:color w:val="000000"/>
                <w:lang w:eastAsia="zh-CN"/>
              </w:rPr>
              <w:t>　</w:t>
            </w:r>
          </w:p>
        </w:tc>
        <w:tc>
          <w:tcPr>
            <w:tcW w:w="1272" w:type="dxa"/>
            <w:tcBorders>
              <w:top w:val="single" w:color="auto" w:sz="8" w:space="0"/>
              <w:left w:val="nil"/>
              <w:bottom w:val="single" w:color="auto" w:sz="8" w:space="0"/>
              <w:right w:val="single" w:color="auto" w:sz="4" w:space="0"/>
            </w:tcBorders>
            <w:vAlign w:val="center"/>
          </w:tcPr>
          <w:p w14:paraId="586317F1">
            <w:pPr>
              <w:widowControl/>
              <w:jc w:val="center"/>
              <w:rPr>
                <w:color w:val="000000"/>
              </w:rPr>
            </w:pPr>
            <w:r>
              <w:rPr>
                <w:rFonts w:hint="eastAsia"/>
                <w:color w:val="000000"/>
              </w:rPr>
              <w:t>1850.57</w:t>
            </w:r>
          </w:p>
        </w:tc>
        <w:tc>
          <w:tcPr>
            <w:tcW w:w="1019" w:type="dxa"/>
            <w:tcBorders>
              <w:top w:val="single" w:color="auto" w:sz="8" w:space="0"/>
              <w:left w:val="nil"/>
              <w:bottom w:val="single" w:color="auto" w:sz="8" w:space="0"/>
              <w:right w:val="single" w:color="auto" w:sz="4" w:space="0"/>
            </w:tcBorders>
            <w:vAlign w:val="center"/>
          </w:tcPr>
          <w:p w14:paraId="6C9A56BC">
            <w:pPr>
              <w:widowControl/>
              <w:jc w:val="center"/>
              <w:rPr>
                <w:color w:val="000000"/>
              </w:rPr>
            </w:pPr>
          </w:p>
        </w:tc>
        <w:tc>
          <w:tcPr>
            <w:tcW w:w="1134" w:type="dxa"/>
            <w:tcBorders>
              <w:top w:val="single" w:color="auto" w:sz="8" w:space="0"/>
              <w:left w:val="single" w:color="auto" w:sz="4" w:space="0"/>
              <w:bottom w:val="single" w:color="auto" w:sz="8" w:space="0"/>
              <w:right w:val="single" w:color="auto" w:sz="4" w:space="0"/>
            </w:tcBorders>
            <w:vAlign w:val="center"/>
          </w:tcPr>
          <w:p w14:paraId="0A85C315">
            <w:pPr>
              <w:widowControl/>
              <w:jc w:val="center"/>
              <w:rPr>
                <w:color w:val="000000"/>
              </w:rPr>
            </w:pPr>
          </w:p>
        </w:tc>
        <w:tc>
          <w:tcPr>
            <w:tcW w:w="1134" w:type="dxa"/>
            <w:tcBorders>
              <w:top w:val="single" w:color="auto" w:sz="8" w:space="0"/>
              <w:left w:val="single" w:color="auto" w:sz="4" w:space="0"/>
              <w:bottom w:val="single" w:color="auto" w:sz="8" w:space="0"/>
              <w:right w:val="single" w:color="auto" w:sz="8" w:space="0"/>
            </w:tcBorders>
            <w:vAlign w:val="center"/>
          </w:tcPr>
          <w:p w14:paraId="2CC94327">
            <w:pPr>
              <w:widowControl/>
              <w:jc w:val="center"/>
              <w:rPr>
                <w:color w:val="000000"/>
              </w:rPr>
            </w:pPr>
          </w:p>
        </w:tc>
      </w:tr>
      <w:tr w14:paraId="0576FFD0">
        <w:tblPrEx>
          <w:tblCellMar>
            <w:top w:w="0" w:type="dxa"/>
            <w:left w:w="108" w:type="dxa"/>
            <w:bottom w:w="0" w:type="dxa"/>
            <w:right w:w="108" w:type="dxa"/>
          </w:tblCellMar>
        </w:tblPrEx>
        <w:trPr>
          <w:trHeight w:val="659" w:hRule="atLeast"/>
        </w:trPr>
        <w:tc>
          <w:tcPr>
            <w:tcW w:w="456" w:type="dxa"/>
            <w:vMerge w:val="restart"/>
            <w:tcBorders>
              <w:top w:val="single" w:color="auto" w:sz="8" w:space="0"/>
              <w:left w:val="single" w:color="auto" w:sz="8" w:space="0"/>
              <w:right w:val="single" w:color="auto" w:sz="4" w:space="0"/>
            </w:tcBorders>
            <w:vAlign w:val="center"/>
          </w:tcPr>
          <w:p w14:paraId="72630F0C">
            <w:pPr>
              <w:widowControl/>
              <w:rPr>
                <w:color w:val="000000"/>
              </w:rPr>
            </w:pPr>
            <w:r>
              <w:rPr>
                <w:rFonts w:hint="eastAsia"/>
                <w:color w:val="000000"/>
              </w:rPr>
              <w:t>2</w:t>
            </w:r>
          </w:p>
        </w:tc>
        <w:tc>
          <w:tcPr>
            <w:tcW w:w="1270" w:type="dxa"/>
            <w:vMerge w:val="restart"/>
            <w:tcBorders>
              <w:top w:val="single" w:color="auto" w:sz="8" w:space="0"/>
              <w:left w:val="nil"/>
              <w:right w:val="single" w:color="auto" w:sz="4" w:space="0"/>
            </w:tcBorders>
            <w:vAlign w:val="center"/>
          </w:tcPr>
          <w:p w14:paraId="5D452363">
            <w:pPr>
              <w:widowControl/>
              <w:jc w:val="center"/>
              <w:rPr>
                <w:color w:val="000000"/>
              </w:rPr>
            </w:pPr>
            <w:r>
              <w:rPr>
                <w:rFonts w:hint="eastAsia"/>
                <w:color w:val="000000"/>
              </w:rPr>
              <w:t>PTA危废仓库</w:t>
            </w:r>
          </w:p>
        </w:tc>
        <w:tc>
          <w:tcPr>
            <w:tcW w:w="1795" w:type="dxa"/>
            <w:tcBorders>
              <w:top w:val="single" w:color="auto" w:sz="8" w:space="0"/>
              <w:left w:val="nil"/>
              <w:bottom w:val="single" w:color="auto" w:sz="8" w:space="0"/>
              <w:right w:val="single" w:color="auto" w:sz="4" w:space="0"/>
            </w:tcBorders>
            <w:vAlign w:val="center"/>
          </w:tcPr>
          <w:p w14:paraId="406B79B0">
            <w:pPr>
              <w:widowControl/>
              <w:jc w:val="center"/>
              <w:rPr>
                <w:color w:val="000000"/>
              </w:rPr>
            </w:pPr>
            <w:r>
              <w:rPr>
                <w:rFonts w:hint="eastAsia"/>
                <w:color w:val="000000"/>
              </w:rPr>
              <w:t>PTA危废库1</w:t>
            </w:r>
          </w:p>
        </w:tc>
        <w:tc>
          <w:tcPr>
            <w:tcW w:w="1134" w:type="dxa"/>
            <w:vMerge w:val="restart"/>
            <w:tcBorders>
              <w:top w:val="single" w:color="auto" w:sz="8" w:space="0"/>
              <w:left w:val="nil"/>
              <w:right w:val="single" w:color="auto" w:sz="4" w:space="0"/>
              <w:tl2br w:val="single" w:color="auto" w:sz="4" w:space="0"/>
            </w:tcBorders>
            <w:noWrap/>
            <w:vAlign w:val="center"/>
          </w:tcPr>
          <w:p w14:paraId="76281DEA">
            <w:pPr>
              <w:widowControl/>
              <w:rPr>
                <w:color w:val="000000"/>
              </w:rPr>
            </w:pPr>
          </w:p>
        </w:tc>
        <w:tc>
          <w:tcPr>
            <w:tcW w:w="1272" w:type="dxa"/>
            <w:tcBorders>
              <w:top w:val="single" w:color="auto" w:sz="8" w:space="0"/>
              <w:left w:val="nil"/>
              <w:bottom w:val="single" w:color="auto" w:sz="4" w:space="0"/>
              <w:right w:val="single" w:color="auto" w:sz="4" w:space="0"/>
            </w:tcBorders>
            <w:vAlign w:val="center"/>
          </w:tcPr>
          <w:p w14:paraId="7C10970F">
            <w:pPr>
              <w:widowControl/>
              <w:jc w:val="center"/>
              <w:rPr>
                <w:color w:val="000000"/>
              </w:rPr>
            </w:pPr>
            <w:r>
              <w:rPr>
                <w:rFonts w:hint="eastAsia"/>
                <w:color w:val="000000"/>
              </w:rPr>
              <w:t>992.96</w:t>
            </w:r>
          </w:p>
        </w:tc>
        <w:tc>
          <w:tcPr>
            <w:tcW w:w="1019" w:type="dxa"/>
            <w:vMerge w:val="restart"/>
            <w:tcBorders>
              <w:top w:val="single" w:color="auto" w:sz="8" w:space="0"/>
              <w:left w:val="single" w:color="auto" w:sz="4" w:space="0"/>
              <w:right w:val="single" w:color="auto" w:sz="4" w:space="0"/>
            </w:tcBorders>
            <w:vAlign w:val="center"/>
          </w:tcPr>
          <w:p w14:paraId="238020CC">
            <w:pPr>
              <w:widowControl/>
              <w:jc w:val="center"/>
              <w:rPr>
                <w:color w:val="000000"/>
              </w:rPr>
            </w:pPr>
          </w:p>
        </w:tc>
        <w:tc>
          <w:tcPr>
            <w:tcW w:w="1134" w:type="dxa"/>
            <w:tcBorders>
              <w:top w:val="single" w:color="auto" w:sz="8" w:space="0"/>
              <w:left w:val="single" w:color="auto" w:sz="4" w:space="0"/>
              <w:bottom w:val="single" w:color="auto" w:sz="4" w:space="0"/>
              <w:right w:val="single" w:color="auto" w:sz="4" w:space="0"/>
            </w:tcBorders>
            <w:vAlign w:val="center"/>
          </w:tcPr>
          <w:p w14:paraId="6FD343A1">
            <w:pPr>
              <w:widowControl/>
              <w:jc w:val="center"/>
              <w:rPr>
                <w:color w:val="000000"/>
              </w:rPr>
            </w:pPr>
          </w:p>
        </w:tc>
        <w:tc>
          <w:tcPr>
            <w:tcW w:w="1134" w:type="dxa"/>
            <w:vMerge w:val="restart"/>
            <w:tcBorders>
              <w:top w:val="single" w:color="auto" w:sz="8" w:space="0"/>
              <w:left w:val="single" w:color="auto" w:sz="4" w:space="0"/>
              <w:right w:val="single" w:color="auto" w:sz="8" w:space="0"/>
            </w:tcBorders>
            <w:vAlign w:val="center"/>
          </w:tcPr>
          <w:p w14:paraId="473625F9">
            <w:pPr>
              <w:widowControl/>
              <w:jc w:val="center"/>
              <w:rPr>
                <w:color w:val="000000"/>
              </w:rPr>
            </w:pPr>
          </w:p>
        </w:tc>
      </w:tr>
      <w:tr w14:paraId="6DF8B7CB">
        <w:tblPrEx>
          <w:tblCellMar>
            <w:top w:w="0" w:type="dxa"/>
            <w:left w:w="108" w:type="dxa"/>
            <w:bottom w:w="0" w:type="dxa"/>
            <w:right w:w="108" w:type="dxa"/>
          </w:tblCellMar>
        </w:tblPrEx>
        <w:trPr>
          <w:trHeight w:val="539" w:hRule="atLeast"/>
        </w:trPr>
        <w:tc>
          <w:tcPr>
            <w:tcW w:w="456" w:type="dxa"/>
            <w:vMerge w:val="continue"/>
            <w:tcBorders>
              <w:left w:val="single" w:color="auto" w:sz="8" w:space="0"/>
              <w:right w:val="single" w:color="auto" w:sz="4" w:space="0"/>
            </w:tcBorders>
            <w:vAlign w:val="center"/>
          </w:tcPr>
          <w:p w14:paraId="41408FE6">
            <w:pPr>
              <w:widowControl/>
              <w:rPr>
                <w:color w:val="000000"/>
              </w:rPr>
            </w:pPr>
          </w:p>
        </w:tc>
        <w:tc>
          <w:tcPr>
            <w:tcW w:w="1270" w:type="dxa"/>
            <w:vMerge w:val="continue"/>
            <w:tcBorders>
              <w:left w:val="nil"/>
              <w:right w:val="single" w:color="auto" w:sz="4" w:space="0"/>
            </w:tcBorders>
            <w:vAlign w:val="center"/>
          </w:tcPr>
          <w:p w14:paraId="64DD5361">
            <w:pPr>
              <w:widowControl/>
              <w:jc w:val="center"/>
              <w:rPr>
                <w:color w:val="000000"/>
              </w:rPr>
            </w:pPr>
          </w:p>
        </w:tc>
        <w:tc>
          <w:tcPr>
            <w:tcW w:w="1795" w:type="dxa"/>
            <w:tcBorders>
              <w:top w:val="single" w:color="auto" w:sz="4" w:space="0"/>
              <w:left w:val="nil"/>
              <w:bottom w:val="single" w:color="auto" w:sz="4" w:space="0"/>
              <w:right w:val="single" w:color="auto" w:sz="4" w:space="0"/>
            </w:tcBorders>
            <w:vAlign w:val="center"/>
          </w:tcPr>
          <w:p w14:paraId="19D48E80">
            <w:pPr>
              <w:widowControl/>
              <w:jc w:val="center"/>
              <w:rPr>
                <w:color w:val="000000"/>
              </w:rPr>
            </w:pPr>
            <w:r>
              <w:rPr>
                <w:rFonts w:hint="eastAsia"/>
                <w:color w:val="000000"/>
              </w:rPr>
              <w:t>PTA危废库2</w:t>
            </w:r>
          </w:p>
        </w:tc>
        <w:tc>
          <w:tcPr>
            <w:tcW w:w="1134" w:type="dxa"/>
            <w:vMerge w:val="continue"/>
            <w:tcBorders>
              <w:left w:val="nil"/>
              <w:bottom w:val="single" w:color="auto" w:sz="4" w:space="0"/>
              <w:right w:val="single" w:color="auto" w:sz="4" w:space="0"/>
              <w:tl2br w:val="single" w:color="auto" w:sz="4" w:space="0"/>
            </w:tcBorders>
            <w:noWrap/>
            <w:vAlign w:val="center"/>
          </w:tcPr>
          <w:p w14:paraId="0A6B8B50">
            <w:pPr>
              <w:widowControl/>
              <w:rPr>
                <w:color w:val="000000"/>
              </w:rPr>
            </w:pPr>
          </w:p>
        </w:tc>
        <w:tc>
          <w:tcPr>
            <w:tcW w:w="1272" w:type="dxa"/>
            <w:tcBorders>
              <w:top w:val="single" w:color="auto" w:sz="4" w:space="0"/>
              <w:left w:val="nil"/>
              <w:bottom w:val="single" w:color="auto" w:sz="4" w:space="0"/>
              <w:right w:val="single" w:color="auto" w:sz="4" w:space="0"/>
            </w:tcBorders>
            <w:vAlign w:val="center"/>
          </w:tcPr>
          <w:p w14:paraId="5ACC2220">
            <w:pPr>
              <w:widowControl/>
              <w:jc w:val="center"/>
              <w:rPr>
                <w:color w:val="000000"/>
              </w:rPr>
            </w:pPr>
            <w:r>
              <w:rPr>
                <w:rFonts w:hint="eastAsia"/>
                <w:color w:val="000000"/>
              </w:rPr>
              <w:t>1176.08</w:t>
            </w:r>
          </w:p>
        </w:tc>
        <w:tc>
          <w:tcPr>
            <w:tcW w:w="1019" w:type="dxa"/>
            <w:vMerge w:val="continue"/>
            <w:tcBorders>
              <w:left w:val="single" w:color="auto" w:sz="4" w:space="0"/>
              <w:bottom w:val="single" w:color="auto" w:sz="4" w:space="0"/>
              <w:right w:val="single" w:color="auto" w:sz="4" w:space="0"/>
            </w:tcBorders>
            <w:vAlign w:val="center"/>
          </w:tcPr>
          <w:p w14:paraId="644609F4">
            <w:pPr>
              <w:widowControl/>
              <w:rPr>
                <w:color w:val="000000"/>
              </w:rPr>
            </w:pPr>
          </w:p>
        </w:tc>
        <w:tc>
          <w:tcPr>
            <w:tcW w:w="1134" w:type="dxa"/>
            <w:tcBorders>
              <w:top w:val="single" w:color="auto" w:sz="4" w:space="0"/>
              <w:left w:val="single" w:color="auto" w:sz="4" w:space="0"/>
              <w:bottom w:val="single" w:color="auto" w:sz="4" w:space="0"/>
              <w:right w:val="single" w:color="auto" w:sz="4" w:space="0"/>
            </w:tcBorders>
            <w:vAlign w:val="center"/>
          </w:tcPr>
          <w:p w14:paraId="3C2F15AE">
            <w:pPr>
              <w:widowControl/>
              <w:rPr>
                <w:color w:val="000000"/>
              </w:rPr>
            </w:pPr>
          </w:p>
        </w:tc>
        <w:tc>
          <w:tcPr>
            <w:tcW w:w="1134" w:type="dxa"/>
            <w:vMerge w:val="continue"/>
            <w:tcBorders>
              <w:left w:val="single" w:color="auto" w:sz="4" w:space="0"/>
              <w:right w:val="single" w:color="auto" w:sz="8" w:space="0"/>
            </w:tcBorders>
            <w:vAlign w:val="center"/>
          </w:tcPr>
          <w:p w14:paraId="30F8DA75">
            <w:pPr>
              <w:widowControl/>
              <w:rPr>
                <w:color w:val="000000"/>
              </w:rPr>
            </w:pPr>
          </w:p>
        </w:tc>
      </w:tr>
      <w:tr w14:paraId="6C1CEC70">
        <w:tblPrEx>
          <w:tblCellMar>
            <w:top w:w="0" w:type="dxa"/>
            <w:left w:w="108" w:type="dxa"/>
            <w:bottom w:w="0" w:type="dxa"/>
            <w:right w:w="108" w:type="dxa"/>
          </w:tblCellMar>
        </w:tblPrEx>
        <w:trPr>
          <w:trHeight w:val="626" w:hRule="atLeast"/>
        </w:trPr>
        <w:tc>
          <w:tcPr>
            <w:tcW w:w="456" w:type="dxa"/>
            <w:vMerge w:val="continue"/>
            <w:tcBorders>
              <w:left w:val="single" w:color="auto" w:sz="8" w:space="0"/>
              <w:bottom w:val="single" w:color="000000" w:sz="8" w:space="0"/>
              <w:right w:val="single" w:color="auto" w:sz="4" w:space="0"/>
            </w:tcBorders>
            <w:vAlign w:val="center"/>
          </w:tcPr>
          <w:p w14:paraId="79AFE4FF">
            <w:pPr>
              <w:widowControl/>
              <w:rPr>
                <w:color w:val="000000"/>
              </w:rPr>
            </w:pPr>
          </w:p>
        </w:tc>
        <w:tc>
          <w:tcPr>
            <w:tcW w:w="1270" w:type="dxa"/>
            <w:vMerge w:val="continue"/>
            <w:tcBorders>
              <w:left w:val="nil"/>
              <w:bottom w:val="single" w:color="auto" w:sz="8" w:space="0"/>
              <w:right w:val="single" w:color="auto" w:sz="4" w:space="0"/>
            </w:tcBorders>
            <w:vAlign w:val="center"/>
          </w:tcPr>
          <w:p w14:paraId="6BF10D62">
            <w:pPr>
              <w:widowControl/>
              <w:jc w:val="center"/>
              <w:rPr>
                <w:color w:val="000000"/>
              </w:rPr>
            </w:pPr>
          </w:p>
        </w:tc>
        <w:tc>
          <w:tcPr>
            <w:tcW w:w="1795" w:type="dxa"/>
            <w:tcBorders>
              <w:top w:val="single" w:color="auto" w:sz="4" w:space="0"/>
              <w:left w:val="nil"/>
              <w:bottom w:val="single" w:color="auto" w:sz="8" w:space="0"/>
              <w:right w:val="single" w:color="auto" w:sz="4" w:space="0"/>
            </w:tcBorders>
            <w:vAlign w:val="center"/>
          </w:tcPr>
          <w:p w14:paraId="199B6775">
            <w:pPr>
              <w:widowControl/>
              <w:jc w:val="center"/>
              <w:rPr>
                <w:color w:val="000000"/>
              </w:rPr>
            </w:pPr>
            <w:r>
              <w:rPr>
                <w:rFonts w:hint="eastAsia"/>
                <w:color w:val="000000"/>
              </w:rPr>
              <w:t>尾气吸附设备</w:t>
            </w:r>
          </w:p>
        </w:tc>
        <w:tc>
          <w:tcPr>
            <w:tcW w:w="1134" w:type="dxa"/>
            <w:tcBorders>
              <w:top w:val="single" w:color="auto" w:sz="4" w:space="0"/>
              <w:left w:val="nil"/>
              <w:bottom w:val="single" w:color="auto" w:sz="8" w:space="0"/>
              <w:right w:val="single" w:color="auto" w:sz="4" w:space="0"/>
            </w:tcBorders>
            <w:noWrap/>
            <w:vAlign w:val="center"/>
          </w:tcPr>
          <w:p w14:paraId="79DCBAE8">
            <w:pPr>
              <w:widowControl/>
              <w:jc w:val="center"/>
              <w:rPr>
                <w:color w:val="000000"/>
              </w:rPr>
            </w:pPr>
            <w:r>
              <w:rPr>
                <w:rFonts w:hint="eastAsia"/>
                <w:color w:val="000000"/>
              </w:rPr>
              <w:t>241.60</w:t>
            </w:r>
          </w:p>
        </w:tc>
        <w:tc>
          <w:tcPr>
            <w:tcW w:w="1272" w:type="dxa"/>
            <w:tcBorders>
              <w:top w:val="single" w:color="auto" w:sz="4" w:space="0"/>
              <w:left w:val="nil"/>
              <w:bottom w:val="single" w:color="auto" w:sz="8" w:space="0"/>
              <w:right w:val="single" w:color="auto" w:sz="4" w:space="0"/>
              <w:tl2br w:val="single" w:color="auto" w:sz="4" w:space="0"/>
            </w:tcBorders>
            <w:vAlign w:val="center"/>
          </w:tcPr>
          <w:p w14:paraId="23FB5A75">
            <w:pPr>
              <w:widowControl/>
              <w:rPr>
                <w:color w:val="000000"/>
              </w:rPr>
            </w:pPr>
          </w:p>
        </w:tc>
        <w:tc>
          <w:tcPr>
            <w:tcW w:w="1019" w:type="dxa"/>
            <w:tcBorders>
              <w:top w:val="single" w:color="auto" w:sz="4" w:space="0"/>
              <w:left w:val="single" w:color="auto" w:sz="4" w:space="0"/>
              <w:bottom w:val="single" w:color="auto" w:sz="8" w:space="0"/>
              <w:right w:val="single" w:color="auto" w:sz="4" w:space="0"/>
            </w:tcBorders>
            <w:vAlign w:val="center"/>
          </w:tcPr>
          <w:p w14:paraId="7CC9FDDC">
            <w:pPr>
              <w:widowControl/>
              <w:rPr>
                <w:color w:val="000000"/>
              </w:rPr>
            </w:pPr>
          </w:p>
        </w:tc>
        <w:tc>
          <w:tcPr>
            <w:tcW w:w="1134" w:type="dxa"/>
            <w:tcBorders>
              <w:top w:val="single" w:color="auto" w:sz="4" w:space="0"/>
              <w:left w:val="single" w:color="auto" w:sz="4" w:space="0"/>
              <w:bottom w:val="single" w:color="auto" w:sz="8" w:space="0"/>
              <w:right w:val="single" w:color="auto" w:sz="4" w:space="0"/>
            </w:tcBorders>
            <w:vAlign w:val="center"/>
          </w:tcPr>
          <w:p w14:paraId="35C55E52">
            <w:pPr>
              <w:widowControl/>
              <w:rPr>
                <w:color w:val="000000"/>
              </w:rPr>
            </w:pPr>
          </w:p>
        </w:tc>
        <w:tc>
          <w:tcPr>
            <w:tcW w:w="1134" w:type="dxa"/>
            <w:vMerge w:val="continue"/>
            <w:tcBorders>
              <w:left w:val="single" w:color="auto" w:sz="4" w:space="0"/>
              <w:bottom w:val="single" w:color="000000" w:sz="8" w:space="0"/>
              <w:right w:val="single" w:color="auto" w:sz="8" w:space="0"/>
            </w:tcBorders>
            <w:vAlign w:val="center"/>
          </w:tcPr>
          <w:p w14:paraId="32DE888D">
            <w:pPr>
              <w:widowControl/>
              <w:rPr>
                <w:color w:val="000000"/>
              </w:rPr>
            </w:pPr>
          </w:p>
        </w:tc>
      </w:tr>
      <w:tr w14:paraId="569647A2">
        <w:tblPrEx>
          <w:tblCellMar>
            <w:top w:w="0" w:type="dxa"/>
            <w:left w:w="108" w:type="dxa"/>
            <w:bottom w:w="0" w:type="dxa"/>
            <w:right w:w="108" w:type="dxa"/>
          </w:tblCellMar>
        </w:tblPrEx>
        <w:trPr>
          <w:trHeight w:val="511" w:hRule="atLeast"/>
        </w:trPr>
        <w:tc>
          <w:tcPr>
            <w:tcW w:w="456" w:type="dxa"/>
            <w:vMerge w:val="restart"/>
            <w:tcBorders>
              <w:top w:val="nil"/>
              <w:left w:val="single" w:color="auto" w:sz="8" w:space="0"/>
              <w:right w:val="single" w:color="auto" w:sz="4" w:space="0"/>
            </w:tcBorders>
            <w:vAlign w:val="center"/>
          </w:tcPr>
          <w:p w14:paraId="2CA766EC">
            <w:pPr>
              <w:widowControl/>
              <w:rPr>
                <w:color w:val="000000"/>
              </w:rPr>
            </w:pPr>
            <w:r>
              <w:rPr>
                <w:rFonts w:hint="eastAsia"/>
                <w:color w:val="000000"/>
              </w:rPr>
              <w:t>3</w:t>
            </w:r>
          </w:p>
        </w:tc>
        <w:tc>
          <w:tcPr>
            <w:tcW w:w="1270" w:type="dxa"/>
            <w:vMerge w:val="restart"/>
            <w:tcBorders>
              <w:top w:val="single" w:color="auto" w:sz="4" w:space="0"/>
              <w:left w:val="nil"/>
              <w:right w:val="single" w:color="auto" w:sz="4" w:space="0"/>
            </w:tcBorders>
            <w:vAlign w:val="center"/>
          </w:tcPr>
          <w:p w14:paraId="2D24244F">
            <w:pPr>
              <w:widowControl/>
              <w:jc w:val="center"/>
              <w:rPr>
                <w:color w:val="000000"/>
                <w:lang w:eastAsia="zh-CN"/>
              </w:rPr>
            </w:pPr>
            <w:r>
              <w:rPr>
                <w:rFonts w:hint="eastAsia"/>
                <w:color w:val="000000"/>
                <w:lang w:eastAsia="zh-CN"/>
              </w:rPr>
              <w:t>码头新建煤仓及输煤系统改造项目</w:t>
            </w:r>
          </w:p>
        </w:tc>
        <w:tc>
          <w:tcPr>
            <w:tcW w:w="1795" w:type="dxa"/>
            <w:tcBorders>
              <w:top w:val="single" w:color="auto" w:sz="4" w:space="0"/>
              <w:left w:val="nil"/>
              <w:bottom w:val="single" w:color="auto" w:sz="4" w:space="0"/>
              <w:right w:val="single" w:color="auto" w:sz="4" w:space="0"/>
            </w:tcBorders>
            <w:vAlign w:val="center"/>
          </w:tcPr>
          <w:p w14:paraId="5E91A37E">
            <w:pPr>
              <w:widowControl/>
              <w:jc w:val="center"/>
              <w:rPr>
                <w:color w:val="000000"/>
              </w:rPr>
            </w:pPr>
            <w:r>
              <w:rPr>
                <w:rFonts w:hint="eastAsia"/>
                <w:color w:val="000000"/>
              </w:rPr>
              <w:t>配电间</w:t>
            </w:r>
          </w:p>
        </w:tc>
        <w:tc>
          <w:tcPr>
            <w:tcW w:w="1134" w:type="dxa"/>
            <w:tcBorders>
              <w:top w:val="nil"/>
              <w:left w:val="nil"/>
              <w:bottom w:val="single" w:color="auto" w:sz="4" w:space="0"/>
              <w:right w:val="single" w:color="auto" w:sz="4" w:space="0"/>
              <w:tl2br w:val="single" w:color="auto" w:sz="4" w:space="0"/>
            </w:tcBorders>
            <w:noWrap/>
            <w:vAlign w:val="center"/>
          </w:tcPr>
          <w:p w14:paraId="143A0CD7">
            <w:pPr>
              <w:widowControl/>
              <w:rPr>
                <w:color w:val="000000"/>
              </w:rPr>
            </w:pPr>
          </w:p>
        </w:tc>
        <w:tc>
          <w:tcPr>
            <w:tcW w:w="1272" w:type="dxa"/>
            <w:tcBorders>
              <w:top w:val="single" w:color="auto" w:sz="8" w:space="0"/>
              <w:left w:val="nil"/>
              <w:bottom w:val="single" w:color="auto" w:sz="4" w:space="0"/>
              <w:right w:val="single" w:color="auto" w:sz="4" w:space="0"/>
            </w:tcBorders>
            <w:vAlign w:val="center"/>
          </w:tcPr>
          <w:p w14:paraId="120B5572">
            <w:pPr>
              <w:widowControl/>
              <w:jc w:val="center"/>
              <w:rPr>
                <w:color w:val="000000"/>
              </w:rPr>
            </w:pPr>
            <w:r>
              <w:rPr>
                <w:rFonts w:hint="eastAsia"/>
                <w:color w:val="000000"/>
              </w:rPr>
              <w:t>860.88</w:t>
            </w:r>
          </w:p>
        </w:tc>
        <w:tc>
          <w:tcPr>
            <w:tcW w:w="1019" w:type="dxa"/>
            <w:tcBorders>
              <w:top w:val="single" w:color="auto" w:sz="8" w:space="0"/>
              <w:left w:val="single" w:color="auto" w:sz="4" w:space="0"/>
              <w:bottom w:val="single" w:color="auto" w:sz="4" w:space="0"/>
              <w:right w:val="single" w:color="auto" w:sz="4" w:space="0"/>
            </w:tcBorders>
            <w:vAlign w:val="center"/>
          </w:tcPr>
          <w:p w14:paraId="57D9B8E0">
            <w:pPr>
              <w:widowControl/>
              <w:jc w:val="center"/>
              <w:rPr>
                <w:color w:val="000000"/>
              </w:rPr>
            </w:pPr>
          </w:p>
        </w:tc>
        <w:tc>
          <w:tcPr>
            <w:tcW w:w="1134" w:type="dxa"/>
            <w:tcBorders>
              <w:top w:val="single" w:color="auto" w:sz="8" w:space="0"/>
              <w:left w:val="single" w:color="auto" w:sz="4" w:space="0"/>
              <w:bottom w:val="single" w:color="auto" w:sz="4" w:space="0"/>
              <w:right w:val="single" w:color="auto" w:sz="4" w:space="0"/>
            </w:tcBorders>
            <w:vAlign w:val="center"/>
          </w:tcPr>
          <w:p w14:paraId="36AF7C75">
            <w:pPr>
              <w:widowControl/>
              <w:jc w:val="center"/>
              <w:rPr>
                <w:color w:val="000000"/>
              </w:rPr>
            </w:pPr>
          </w:p>
        </w:tc>
        <w:tc>
          <w:tcPr>
            <w:tcW w:w="1134" w:type="dxa"/>
            <w:vMerge w:val="restart"/>
            <w:tcBorders>
              <w:top w:val="nil"/>
              <w:left w:val="single" w:color="auto" w:sz="4" w:space="0"/>
              <w:right w:val="single" w:color="auto" w:sz="8" w:space="0"/>
            </w:tcBorders>
            <w:vAlign w:val="center"/>
          </w:tcPr>
          <w:p w14:paraId="14A7ABA6">
            <w:pPr>
              <w:widowControl/>
              <w:jc w:val="center"/>
              <w:rPr>
                <w:color w:val="000000"/>
              </w:rPr>
            </w:pPr>
          </w:p>
        </w:tc>
      </w:tr>
      <w:tr w14:paraId="0A216441">
        <w:tblPrEx>
          <w:tblCellMar>
            <w:top w:w="0" w:type="dxa"/>
            <w:left w:w="108" w:type="dxa"/>
            <w:bottom w:w="0" w:type="dxa"/>
            <w:right w:w="108" w:type="dxa"/>
          </w:tblCellMar>
        </w:tblPrEx>
        <w:trPr>
          <w:trHeight w:val="463" w:hRule="atLeast"/>
        </w:trPr>
        <w:tc>
          <w:tcPr>
            <w:tcW w:w="456" w:type="dxa"/>
            <w:vMerge w:val="continue"/>
            <w:tcBorders>
              <w:left w:val="single" w:color="auto" w:sz="8" w:space="0"/>
              <w:right w:val="single" w:color="auto" w:sz="4" w:space="0"/>
            </w:tcBorders>
            <w:vAlign w:val="center"/>
          </w:tcPr>
          <w:p w14:paraId="5E46FF05">
            <w:pPr>
              <w:widowControl/>
              <w:rPr>
                <w:color w:val="000000"/>
              </w:rPr>
            </w:pPr>
          </w:p>
        </w:tc>
        <w:tc>
          <w:tcPr>
            <w:tcW w:w="1270" w:type="dxa"/>
            <w:vMerge w:val="continue"/>
            <w:tcBorders>
              <w:left w:val="nil"/>
              <w:right w:val="single" w:color="auto" w:sz="4" w:space="0"/>
            </w:tcBorders>
            <w:vAlign w:val="center"/>
          </w:tcPr>
          <w:p w14:paraId="64B2559B">
            <w:pPr>
              <w:widowControl/>
              <w:jc w:val="center"/>
              <w:rPr>
                <w:color w:val="000000"/>
              </w:rPr>
            </w:pPr>
          </w:p>
        </w:tc>
        <w:tc>
          <w:tcPr>
            <w:tcW w:w="1795" w:type="dxa"/>
            <w:tcBorders>
              <w:top w:val="single" w:color="auto" w:sz="4" w:space="0"/>
              <w:left w:val="nil"/>
              <w:bottom w:val="single" w:color="auto" w:sz="4" w:space="0"/>
              <w:right w:val="single" w:color="auto" w:sz="4" w:space="0"/>
            </w:tcBorders>
            <w:vAlign w:val="center"/>
          </w:tcPr>
          <w:p w14:paraId="288AFFA4">
            <w:pPr>
              <w:widowControl/>
              <w:jc w:val="center"/>
              <w:rPr>
                <w:color w:val="000000"/>
              </w:rPr>
            </w:pPr>
            <w:r>
              <w:rPr>
                <w:rFonts w:hint="eastAsia"/>
                <w:color w:val="000000"/>
              </w:rPr>
              <w:t>2#圆形煤仓</w:t>
            </w:r>
          </w:p>
        </w:tc>
        <w:tc>
          <w:tcPr>
            <w:tcW w:w="1134" w:type="dxa"/>
            <w:tcBorders>
              <w:top w:val="single" w:color="auto" w:sz="4" w:space="0"/>
              <w:left w:val="nil"/>
              <w:bottom w:val="single" w:color="auto" w:sz="4" w:space="0"/>
              <w:right w:val="single" w:color="auto" w:sz="4" w:space="0"/>
            </w:tcBorders>
            <w:noWrap/>
            <w:vAlign w:val="center"/>
          </w:tcPr>
          <w:p w14:paraId="777DF25E">
            <w:pPr>
              <w:widowControl/>
              <w:rPr>
                <w:color w:val="000000"/>
              </w:rPr>
            </w:pPr>
            <w:r>
              <w:rPr>
                <w:rFonts w:hint="eastAsia"/>
                <w:color w:val="000000"/>
              </w:rPr>
              <w:t>11309.73</w:t>
            </w:r>
          </w:p>
        </w:tc>
        <w:tc>
          <w:tcPr>
            <w:tcW w:w="1272" w:type="dxa"/>
            <w:tcBorders>
              <w:top w:val="single" w:color="auto" w:sz="4" w:space="0"/>
              <w:left w:val="nil"/>
              <w:bottom w:val="single" w:color="auto" w:sz="4" w:space="0"/>
              <w:right w:val="single" w:color="auto" w:sz="4" w:space="0"/>
              <w:tl2br w:val="single" w:color="auto" w:sz="4" w:space="0"/>
            </w:tcBorders>
            <w:vAlign w:val="center"/>
          </w:tcPr>
          <w:p w14:paraId="35C7FE67">
            <w:pPr>
              <w:widowControl/>
              <w:rPr>
                <w:color w:val="000000"/>
              </w:rPr>
            </w:pPr>
          </w:p>
        </w:tc>
        <w:tc>
          <w:tcPr>
            <w:tcW w:w="1019" w:type="dxa"/>
            <w:vMerge w:val="restart"/>
            <w:tcBorders>
              <w:top w:val="single" w:color="auto" w:sz="4" w:space="0"/>
              <w:left w:val="single" w:color="auto" w:sz="4" w:space="0"/>
              <w:right w:val="single" w:color="auto" w:sz="4" w:space="0"/>
            </w:tcBorders>
            <w:vAlign w:val="center"/>
          </w:tcPr>
          <w:p w14:paraId="547791CE">
            <w:pPr>
              <w:widowControl/>
              <w:rPr>
                <w:color w:val="000000"/>
              </w:rPr>
            </w:pPr>
          </w:p>
        </w:tc>
        <w:tc>
          <w:tcPr>
            <w:tcW w:w="1134" w:type="dxa"/>
            <w:tcBorders>
              <w:top w:val="single" w:color="auto" w:sz="4" w:space="0"/>
              <w:left w:val="single" w:color="auto" w:sz="4" w:space="0"/>
              <w:bottom w:val="single" w:color="auto" w:sz="4" w:space="0"/>
              <w:right w:val="single" w:color="auto" w:sz="4" w:space="0"/>
            </w:tcBorders>
            <w:vAlign w:val="center"/>
          </w:tcPr>
          <w:p w14:paraId="68922A9C">
            <w:pPr>
              <w:widowControl/>
              <w:rPr>
                <w:color w:val="000000"/>
              </w:rPr>
            </w:pPr>
          </w:p>
        </w:tc>
        <w:tc>
          <w:tcPr>
            <w:tcW w:w="1134" w:type="dxa"/>
            <w:vMerge w:val="continue"/>
            <w:tcBorders>
              <w:left w:val="single" w:color="auto" w:sz="4" w:space="0"/>
              <w:right w:val="single" w:color="auto" w:sz="8" w:space="0"/>
            </w:tcBorders>
            <w:vAlign w:val="center"/>
          </w:tcPr>
          <w:p w14:paraId="658C4715">
            <w:pPr>
              <w:widowControl/>
              <w:rPr>
                <w:color w:val="000000"/>
              </w:rPr>
            </w:pPr>
          </w:p>
        </w:tc>
      </w:tr>
      <w:tr w14:paraId="79B06255">
        <w:tblPrEx>
          <w:tblCellMar>
            <w:top w:w="0" w:type="dxa"/>
            <w:left w:w="108" w:type="dxa"/>
            <w:bottom w:w="0" w:type="dxa"/>
            <w:right w:w="108" w:type="dxa"/>
          </w:tblCellMar>
        </w:tblPrEx>
        <w:trPr>
          <w:trHeight w:val="200" w:hRule="atLeast"/>
        </w:trPr>
        <w:tc>
          <w:tcPr>
            <w:tcW w:w="456" w:type="dxa"/>
            <w:vMerge w:val="continue"/>
            <w:tcBorders>
              <w:left w:val="single" w:color="auto" w:sz="8" w:space="0"/>
              <w:right w:val="single" w:color="auto" w:sz="4" w:space="0"/>
            </w:tcBorders>
            <w:vAlign w:val="center"/>
          </w:tcPr>
          <w:p w14:paraId="3E0FD1FA">
            <w:pPr>
              <w:widowControl/>
              <w:rPr>
                <w:color w:val="000000"/>
              </w:rPr>
            </w:pPr>
          </w:p>
        </w:tc>
        <w:tc>
          <w:tcPr>
            <w:tcW w:w="1270" w:type="dxa"/>
            <w:vMerge w:val="continue"/>
            <w:tcBorders>
              <w:left w:val="nil"/>
              <w:right w:val="single" w:color="auto" w:sz="4" w:space="0"/>
            </w:tcBorders>
            <w:vAlign w:val="center"/>
          </w:tcPr>
          <w:p w14:paraId="7FF73EC8">
            <w:pPr>
              <w:widowControl/>
              <w:jc w:val="center"/>
              <w:rPr>
                <w:color w:val="000000"/>
              </w:rPr>
            </w:pPr>
          </w:p>
        </w:tc>
        <w:tc>
          <w:tcPr>
            <w:tcW w:w="1795" w:type="dxa"/>
            <w:tcBorders>
              <w:top w:val="single" w:color="auto" w:sz="4" w:space="0"/>
              <w:left w:val="nil"/>
              <w:bottom w:val="single" w:color="auto" w:sz="4" w:space="0"/>
              <w:right w:val="single" w:color="auto" w:sz="4" w:space="0"/>
            </w:tcBorders>
            <w:vAlign w:val="center"/>
          </w:tcPr>
          <w:p w14:paraId="4B306C20">
            <w:pPr>
              <w:widowControl/>
              <w:jc w:val="center"/>
              <w:rPr>
                <w:color w:val="000000"/>
              </w:rPr>
            </w:pPr>
            <w:r>
              <w:rPr>
                <w:rFonts w:hint="eastAsia"/>
                <w:color w:val="000000"/>
              </w:rPr>
              <w:t>BC5输煤廊道</w:t>
            </w:r>
          </w:p>
        </w:tc>
        <w:tc>
          <w:tcPr>
            <w:tcW w:w="1134" w:type="dxa"/>
            <w:tcBorders>
              <w:top w:val="single" w:color="auto" w:sz="4" w:space="0"/>
              <w:left w:val="nil"/>
              <w:bottom w:val="single" w:color="auto" w:sz="4" w:space="0"/>
              <w:right w:val="single" w:color="auto" w:sz="4" w:space="0"/>
            </w:tcBorders>
            <w:noWrap/>
            <w:vAlign w:val="center"/>
          </w:tcPr>
          <w:p w14:paraId="1BB0F001">
            <w:pPr>
              <w:widowControl/>
              <w:jc w:val="center"/>
              <w:rPr>
                <w:color w:val="000000"/>
              </w:rPr>
            </w:pPr>
            <w:r>
              <w:rPr>
                <w:rFonts w:hint="eastAsia"/>
                <w:color w:val="000000"/>
              </w:rPr>
              <w:t>403.59</w:t>
            </w:r>
          </w:p>
        </w:tc>
        <w:tc>
          <w:tcPr>
            <w:tcW w:w="1272" w:type="dxa"/>
            <w:tcBorders>
              <w:top w:val="single" w:color="auto" w:sz="4" w:space="0"/>
              <w:left w:val="nil"/>
              <w:bottom w:val="single" w:color="auto" w:sz="4" w:space="0"/>
              <w:right w:val="single" w:color="auto" w:sz="4" w:space="0"/>
              <w:tl2br w:val="single" w:color="auto" w:sz="4" w:space="0"/>
            </w:tcBorders>
            <w:vAlign w:val="center"/>
          </w:tcPr>
          <w:p w14:paraId="6DF40AD0">
            <w:pPr>
              <w:widowControl/>
              <w:rPr>
                <w:color w:val="000000"/>
              </w:rPr>
            </w:pPr>
          </w:p>
        </w:tc>
        <w:tc>
          <w:tcPr>
            <w:tcW w:w="1019" w:type="dxa"/>
            <w:vMerge w:val="continue"/>
            <w:tcBorders>
              <w:left w:val="single" w:color="auto" w:sz="4" w:space="0"/>
              <w:right w:val="single" w:color="auto" w:sz="4" w:space="0"/>
            </w:tcBorders>
            <w:vAlign w:val="center"/>
          </w:tcPr>
          <w:p w14:paraId="464FAD19">
            <w:pPr>
              <w:widowControl/>
              <w:rPr>
                <w:color w:val="000000"/>
              </w:rPr>
            </w:pPr>
          </w:p>
        </w:tc>
        <w:tc>
          <w:tcPr>
            <w:tcW w:w="1134" w:type="dxa"/>
            <w:tcBorders>
              <w:top w:val="single" w:color="auto" w:sz="4" w:space="0"/>
              <w:left w:val="single" w:color="auto" w:sz="4" w:space="0"/>
              <w:bottom w:val="single" w:color="auto" w:sz="4" w:space="0"/>
              <w:right w:val="single" w:color="auto" w:sz="4" w:space="0"/>
            </w:tcBorders>
            <w:vAlign w:val="center"/>
          </w:tcPr>
          <w:p w14:paraId="2C3B85E6">
            <w:pPr>
              <w:widowControl/>
              <w:rPr>
                <w:color w:val="000000"/>
              </w:rPr>
            </w:pPr>
          </w:p>
        </w:tc>
        <w:tc>
          <w:tcPr>
            <w:tcW w:w="1134" w:type="dxa"/>
            <w:vMerge w:val="continue"/>
            <w:tcBorders>
              <w:left w:val="single" w:color="auto" w:sz="4" w:space="0"/>
              <w:right w:val="single" w:color="auto" w:sz="8" w:space="0"/>
            </w:tcBorders>
            <w:vAlign w:val="center"/>
          </w:tcPr>
          <w:p w14:paraId="2844E3A6">
            <w:pPr>
              <w:widowControl/>
              <w:rPr>
                <w:color w:val="000000"/>
              </w:rPr>
            </w:pPr>
          </w:p>
        </w:tc>
      </w:tr>
      <w:tr w14:paraId="254236F2">
        <w:tblPrEx>
          <w:tblCellMar>
            <w:top w:w="0" w:type="dxa"/>
            <w:left w:w="108" w:type="dxa"/>
            <w:bottom w:w="0" w:type="dxa"/>
            <w:right w:w="108" w:type="dxa"/>
          </w:tblCellMar>
        </w:tblPrEx>
        <w:trPr>
          <w:trHeight w:val="250" w:hRule="atLeast"/>
        </w:trPr>
        <w:tc>
          <w:tcPr>
            <w:tcW w:w="456" w:type="dxa"/>
            <w:vMerge w:val="continue"/>
            <w:tcBorders>
              <w:left w:val="single" w:color="auto" w:sz="8" w:space="0"/>
              <w:bottom w:val="single" w:color="000000" w:sz="8" w:space="0"/>
              <w:right w:val="single" w:color="auto" w:sz="4" w:space="0"/>
            </w:tcBorders>
            <w:vAlign w:val="center"/>
          </w:tcPr>
          <w:p w14:paraId="7EB9574D">
            <w:pPr>
              <w:widowControl/>
              <w:rPr>
                <w:color w:val="000000"/>
              </w:rPr>
            </w:pPr>
          </w:p>
        </w:tc>
        <w:tc>
          <w:tcPr>
            <w:tcW w:w="1270" w:type="dxa"/>
            <w:vMerge w:val="continue"/>
            <w:tcBorders>
              <w:left w:val="nil"/>
              <w:bottom w:val="single" w:color="auto" w:sz="8" w:space="0"/>
              <w:right w:val="single" w:color="auto" w:sz="4" w:space="0"/>
            </w:tcBorders>
            <w:vAlign w:val="center"/>
          </w:tcPr>
          <w:p w14:paraId="27573211">
            <w:pPr>
              <w:widowControl/>
              <w:jc w:val="center"/>
              <w:rPr>
                <w:color w:val="000000"/>
              </w:rPr>
            </w:pPr>
          </w:p>
        </w:tc>
        <w:tc>
          <w:tcPr>
            <w:tcW w:w="1795" w:type="dxa"/>
            <w:tcBorders>
              <w:top w:val="single" w:color="auto" w:sz="4" w:space="0"/>
              <w:left w:val="nil"/>
              <w:bottom w:val="single" w:color="auto" w:sz="8" w:space="0"/>
              <w:right w:val="single" w:color="auto" w:sz="4" w:space="0"/>
            </w:tcBorders>
            <w:vAlign w:val="center"/>
          </w:tcPr>
          <w:p w14:paraId="57286AD9">
            <w:pPr>
              <w:widowControl/>
              <w:jc w:val="center"/>
              <w:rPr>
                <w:color w:val="000000"/>
              </w:rPr>
            </w:pPr>
            <w:r>
              <w:rPr>
                <w:rFonts w:hint="eastAsia"/>
                <w:color w:val="000000"/>
              </w:rPr>
              <w:t>BC7输煤廊道</w:t>
            </w:r>
          </w:p>
        </w:tc>
        <w:tc>
          <w:tcPr>
            <w:tcW w:w="1134" w:type="dxa"/>
            <w:tcBorders>
              <w:top w:val="single" w:color="auto" w:sz="4" w:space="0"/>
              <w:left w:val="nil"/>
              <w:bottom w:val="single" w:color="auto" w:sz="8" w:space="0"/>
              <w:right w:val="single" w:color="auto" w:sz="4" w:space="0"/>
            </w:tcBorders>
            <w:noWrap/>
            <w:vAlign w:val="center"/>
          </w:tcPr>
          <w:p w14:paraId="4497FB45">
            <w:pPr>
              <w:widowControl/>
              <w:jc w:val="center"/>
              <w:rPr>
                <w:color w:val="000000"/>
              </w:rPr>
            </w:pPr>
            <w:r>
              <w:rPr>
                <w:rFonts w:hint="eastAsia"/>
                <w:color w:val="000000"/>
              </w:rPr>
              <w:t>403.59</w:t>
            </w:r>
          </w:p>
        </w:tc>
        <w:tc>
          <w:tcPr>
            <w:tcW w:w="1272" w:type="dxa"/>
            <w:tcBorders>
              <w:top w:val="single" w:color="auto" w:sz="4" w:space="0"/>
              <w:left w:val="nil"/>
              <w:bottom w:val="single" w:color="auto" w:sz="8" w:space="0"/>
              <w:right w:val="single" w:color="auto" w:sz="4" w:space="0"/>
              <w:tl2br w:val="single" w:color="auto" w:sz="4" w:space="0"/>
            </w:tcBorders>
            <w:vAlign w:val="center"/>
          </w:tcPr>
          <w:p w14:paraId="158F6A40">
            <w:pPr>
              <w:widowControl/>
              <w:rPr>
                <w:color w:val="000000"/>
              </w:rPr>
            </w:pPr>
          </w:p>
        </w:tc>
        <w:tc>
          <w:tcPr>
            <w:tcW w:w="1019" w:type="dxa"/>
            <w:vMerge w:val="continue"/>
            <w:tcBorders>
              <w:left w:val="single" w:color="auto" w:sz="4" w:space="0"/>
              <w:bottom w:val="single" w:color="000000" w:sz="8" w:space="0"/>
              <w:right w:val="single" w:color="auto" w:sz="4" w:space="0"/>
            </w:tcBorders>
            <w:vAlign w:val="center"/>
          </w:tcPr>
          <w:p w14:paraId="39EBC71B">
            <w:pPr>
              <w:widowControl/>
              <w:rPr>
                <w:color w:val="000000"/>
              </w:rPr>
            </w:pPr>
          </w:p>
        </w:tc>
        <w:tc>
          <w:tcPr>
            <w:tcW w:w="1134" w:type="dxa"/>
            <w:tcBorders>
              <w:top w:val="single" w:color="auto" w:sz="4" w:space="0"/>
              <w:left w:val="single" w:color="auto" w:sz="4" w:space="0"/>
              <w:bottom w:val="single" w:color="000000" w:sz="8" w:space="0"/>
              <w:right w:val="single" w:color="auto" w:sz="4" w:space="0"/>
            </w:tcBorders>
            <w:vAlign w:val="center"/>
          </w:tcPr>
          <w:p w14:paraId="4066E8D1">
            <w:pPr>
              <w:widowControl/>
              <w:rPr>
                <w:color w:val="000000"/>
              </w:rPr>
            </w:pPr>
          </w:p>
        </w:tc>
        <w:tc>
          <w:tcPr>
            <w:tcW w:w="1134" w:type="dxa"/>
            <w:vMerge w:val="continue"/>
            <w:tcBorders>
              <w:left w:val="single" w:color="auto" w:sz="4" w:space="0"/>
              <w:bottom w:val="single" w:color="000000" w:sz="8" w:space="0"/>
              <w:right w:val="single" w:color="auto" w:sz="8" w:space="0"/>
            </w:tcBorders>
            <w:vAlign w:val="center"/>
          </w:tcPr>
          <w:p w14:paraId="2E5E6AB8">
            <w:pPr>
              <w:widowControl/>
              <w:rPr>
                <w:color w:val="000000"/>
              </w:rPr>
            </w:pPr>
          </w:p>
        </w:tc>
      </w:tr>
      <w:tr w14:paraId="3CE35A4C">
        <w:tblPrEx>
          <w:tblCellMar>
            <w:top w:w="0" w:type="dxa"/>
            <w:left w:w="108" w:type="dxa"/>
            <w:bottom w:w="0" w:type="dxa"/>
            <w:right w:w="108" w:type="dxa"/>
          </w:tblCellMar>
        </w:tblPrEx>
        <w:trPr>
          <w:trHeight w:val="540" w:hRule="atLeast"/>
        </w:trPr>
        <w:tc>
          <w:tcPr>
            <w:tcW w:w="456" w:type="dxa"/>
            <w:vMerge w:val="restart"/>
            <w:tcBorders>
              <w:top w:val="nil"/>
              <w:left w:val="single" w:color="auto" w:sz="8" w:space="0"/>
              <w:right w:val="single" w:color="auto" w:sz="4" w:space="0"/>
            </w:tcBorders>
            <w:vAlign w:val="center"/>
          </w:tcPr>
          <w:p w14:paraId="37C69097">
            <w:pPr>
              <w:rPr>
                <w:color w:val="000000"/>
              </w:rPr>
            </w:pPr>
            <w:r>
              <w:rPr>
                <w:rFonts w:hint="eastAsia"/>
                <w:color w:val="000000"/>
              </w:rPr>
              <w:t>4</w:t>
            </w:r>
          </w:p>
        </w:tc>
        <w:tc>
          <w:tcPr>
            <w:tcW w:w="1270" w:type="dxa"/>
            <w:vMerge w:val="restart"/>
            <w:tcBorders>
              <w:top w:val="single" w:color="auto" w:sz="4" w:space="0"/>
              <w:left w:val="nil"/>
              <w:right w:val="single" w:color="auto" w:sz="4" w:space="0"/>
            </w:tcBorders>
            <w:vAlign w:val="center"/>
          </w:tcPr>
          <w:p w14:paraId="57A5BE68">
            <w:pPr>
              <w:widowControl/>
              <w:jc w:val="center"/>
              <w:rPr>
                <w:lang w:eastAsia="zh-CN"/>
              </w:rPr>
            </w:pPr>
            <w:r>
              <w:rPr>
                <w:rFonts w:hint="eastAsia"/>
                <w:color w:val="000000"/>
                <w:lang w:eastAsia="zh-CN"/>
              </w:rPr>
              <w:t>SS16-5变电所、FAR11机柜间</w:t>
            </w:r>
          </w:p>
        </w:tc>
        <w:tc>
          <w:tcPr>
            <w:tcW w:w="1795" w:type="dxa"/>
            <w:tcBorders>
              <w:top w:val="single" w:color="auto" w:sz="4" w:space="0"/>
              <w:left w:val="nil"/>
              <w:bottom w:val="single" w:color="auto" w:sz="4" w:space="0"/>
              <w:right w:val="single" w:color="auto" w:sz="4" w:space="0"/>
            </w:tcBorders>
            <w:vAlign w:val="center"/>
          </w:tcPr>
          <w:p w14:paraId="6CE38D03">
            <w:pPr>
              <w:widowControl/>
              <w:spacing w:line="360" w:lineRule="auto"/>
            </w:pPr>
            <w:r>
              <w:rPr>
                <w:rFonts w:hint="eastAsia"/>
              </w:rPr>
              <w:t>SS16-5变电所</w:t>
            </w:r>
          </w:p>
        </w:tc>
        <w:tc>
          <w:tcPr>
            <w:tcW w:w="1134" w:type="dxa"/>
            <w:tcBorders>
              <w:top w:val="nil"/>
              <w:left w:val="nil"/>
              <w:bottom w:val="single" w:color="auto" w:sz="4" w:space="0"/>
              <w:right w:val="single" w:color="auto" w:sz="4" w:space="0"/>
              <w:tl2br w:val="single" w:color="auto" w:sz="4" w:space="0"/>
            </w:tcBorders>
            <w:noWrap/>
            <w:vAlign w:val="center"/>
          </w:tcPr>
          <w:p w14:paraId="0C86758C">
            <w:pPr>
              <w:widowControl/>
              <w:jc w:val="center"/>
              <w:rPr>
                <w:color w:val="000000"/>
              </w:rPr>
            </w:pPr>
          </w:p>
        </w:tc>
        <w:tc>
          <w:tcPr>
            <w:tcW w:w="1272" w:type="dxa"/>
            <w:tcBorders>
              <w:top w:val="nil"/>
              <w:left w:val="nil"/>
              <w:bottom w:val="single" w:color="auto" w:sz="4" w:space="0"/>
              <w:right w:val="single" w:color="auto" w:sz="4" w:space="0"/>
            </w:tcBorders>
            <w:vAlign w:val="center"/>
          </w:tcPr>
          <w:p w14:paraId="1D584691">
            <w:pPr>
              <w:widowControl/>
              <w:jc w:val="center"/>
              <w:rPr>
                <w:color w:val="000000"/>
              </w:rPr>
            </w:pPr>
            <w:r>
              <w:rPr>
                <w:rFonts w:hint="eastAsia"/>
                <w:color w:val="000000"/>
              </w:rPr>
              <w:t>1665.32</w:t>
            </w:r>
          </w:p>
        </w:tc>
        <w:tc>
          <w:tcPr>
            <w:tcW w:w="1019" w:type="dxa"/>
            <w:tcBorders>
              <w:top w:val="nil"/>
              <w:left w:val="single" w:color="auto" w:sz="4" w:space="0"/>
              <w:bottom w:val="single" w:color="auto" w:sz="4" w:space="0"/>
              <w:right w:val="single" w:color="auto" w:sz="4" w:space="0"/>
            </w:tcBorders>
            <w:vAlign w:val="center"/>
          </w:tcPr>
          <w:p w14:paraId="5E97DFD2">
            <w:pPr>
              <w:widowControl/>
              <w:jc w:val="center"/>
              <w:rPr>
                <w:color w:val="000000"/>
              </w:rPr>
            </w:pPr>
          </w:p>
        </w:tc>
        <w:tc>
          <w:tcPr>
            <w:tcW w:w="1134" w:type="dxa"/>
            <w:tcBorders>
              <w:top w:val="nil"/>
              <w:left w:val="single" w:color="auto" w:sz="4" w:space="0"/>
              <w:bottom w:val="single" w:color="auto" w:sz="4" w:space="0"/>
              <w:right w:val="single" w:color="auto" w:sz="4" w:space="0"/>
            </w:tcBorders>
            <w:vAlign w:val="center"/>
          </w:tcPr>
          <w:p w14:paraId="03726F82">
            <w:pPr>
              <w:widowControl/>
              <w:jc w:val="center"/>
              <w:rPr>
                <w:color w:val="000000"/>
              </w:rPr>
            </w:pPr>
          </w:p>
        </w:tc>
        <w:tc>
          <w:tcPr>
            <w:tcW w:w="1134" w:type="dxa"/>
            <w:vMerge w:val="restart"/>
            <w:tcBorders>
              <w:top w:val="nil"/>
              <w:left w:val="single" w:color="auto" w:sz="4" w:space="0"/>
              <w:right w:val="single" w:color="auto" w:sz="8" w:space="0"/>
            </w:tcBorders>
            <w:vAlign w:val="center"/>
          </w:tcPr>
          <w:p w14:paraId="582C7723">
            <w:pPr>
              <w:widowControl/>
              <w:jc w:val="center"/>
              <w:rPr>
                <w:color w:val="000000"/>
              </w:rPr>
            </w:pPr>
          </w:p>
        </w:tc>
      </w:tr>
      <w:tr w14:paraId="0B2A05A3">
        <w:tblPrEx>
          <w:tblCellMar>
            <w:top w:w="0" w:type="dxa"/>
            <w:left w:w="108" w:type="dxa"/>
            <w:bottom w:w="0" w:type="dxa"/>
            <w:right w:w="108" w:type="dxa"/>
          </w:tblCellMar>
        </w:tblPrEx>
        <w:trPr>
          <w:trHeight w:val="540" w:hRule="atLeast"/>
        </w:trPr>
        <w:tc>
          <w:tcPr>
            <w:tcW w:w="456" w:type="dxa"/>
            <w:vMerge w:val="continue"/>
            <w:tcBorders>
              <w:left w:val="single" w:color="auto" w:sz="8" w:space="0"/>
              <w:bottom w:val="single" w:color="000000" w:sz="8" w:space="0"/>
              <w:right w:val="single" w:color="auto" w:sz="4" w:space="0"/>
            </w:tcBorders>
            <w:vAlign w:val="center"/>
          </w:tcPr>
          <w:p w14:paraId="7842971C">
            <w:pPr>
              <w:widowControl/>
              <w:rPr>
                <w:color w:val="000000"/>
              </w:rPr>
            </w:pPr>
          </w:p>
        </w:tc>
        <w:tc>
          <w:tcPr>
            <w:tcW w:w="1270" w:type="dxa"/>
            <w:vMerge w:val="continue"/>
            <w:tcBorders>
              <w:left w:val="nil"/>
              <w:bottom w:val="single" w:color="auto" w:sz="8" w:space="0"/>
              <w:right w:val="single" w:color="auto" w:sz="4" w:space="0"/>
            </w:tcBorders>
            <w:vAlign w:val="center"/>
          </w:tcPr>
          <w:p w14:paraId="2DAC0C07">
            <w:pPr>
              <w:widowControl/>
              <w:spacing w:line="360" w:lineRule="auto"/>
              <w:rPr>
                <w:color w:val="000000"/>
              </w:rPr>
            </w:pPr>
          </w:p>
        </w:tc>
        <w:tc>
          <w:tcPr>
            <w:tcW w:w="1795" w:type="dxa"/>
            <w:tcBorders>
              <w:top w:val="single" w:color="auto" w:sz="4" w:space="0"/>
              <w:left w:val="nil"/>
              <w:bottom w:val="single" w:color="auto" w:sz="8" w:space="0"/>
              <w:right w:val="single" w:color="auto" w:sz="4" w:space="0"/>
            </w:tcBorders>
            <w:vAlign w:val="center"/>
          </w:tcPr>
          <w:p w14:paraId="6D7CE223">
            <w:pPr>
              <w:widowControl/>
              <w:spacing w:line="360" w:lineRule="auto"/>
              <w:rPr>
                <w:color w:val="000000"/>
              </w:rPr>
            </w:pPr>
            <w:r>
              <w:rPr>
                <w:rFonts w:hint="eastAsia"/>
              </w:rPr>
              <w:t>FAR11机柜间</w:t>
            </w:r>
          </w:p>
        </w:tc>
        <w:tc>
          <w:tcPr>
            <w:tcW w:w="1134" w:type="dxa"/>
            <w:tcBorders>
              <w:top w:val="single" w:color="auto" w:sz="4" w:space="0"/>
              <w:left w:val="nil"/>
              <w:bottom w:val="single" w:color="auto" w:sz="8" w:space="0"/>
              <w:right w:val="single" w:color="auto" w:sz="4" w:space="0"/>
              <w:tl2br w:val="single" w:color="auto" w:sz="4" w:space="0"/>
            </w:tcBorders>
            <w:noWrap/>
            <w:vAlign w:val="center"/>
          </w:tcPr>
          <w:p w14:paraId="3C562FF3">
            <w:pPr>
              <w:widowControl/>
              <w:jc w:val="center"/>
              <w:rPr>
                <w:color w:val="000000"/>
              </w:rPr>
            </w:pPr>
          </w:p>
        </w:tc>
        <w:tc>
          <w:tcPr>
            <w:tcW w:w="1272" w:type="dxa"/>
            <w:tcBorders>
              <w:top w:val="single" w:color="auto" w:sz="4" w:space="0"/>
              <w:left w:val="nil"/>
              <w:bottom w:val="single" w:color="auto" w:sz="8" w:space="0"/>
              <w:right w:val="single" w:color="auto" w:sz="4" w:space="0"/>
            </w:tcBorders>
            <w:vAlign w:val="center"/>
          </w:tcPr>
          <w:p w14:paraId="517A5B16">
            <w:pPr>
              <w:widowControl/>
              <w:jc w:val="center"/>
              <w:rPr>
                <w:color w:val="000000"/>
              </w:rPr>
            </w:pPr>
            <w:r>
              <w:rPr>
                <w:rFonts w:hint="eastAsia"/>
                <w:color w:val="000000"/>
              </w:rPr>
              <w:t>596.79</w:t>
            </w:r>
          </w:p>
        </w:tc>
        <w:tc>
          <w:tcPr>
            <w:tcW w:w="1019" w:type="dxa"/>
            <w:tcBorders>
              <w:top w:val="single" w:color="auto" w:sz="4" w:space="0"/>
              <w:left w:val="single" w:color="auto" w:sz="4" w:space="0"/>
              <w:bottom w:val="single" w:color="000000" w:sz="8" w:space="0"/>
              <w:right w:val="single" w:color="auto" w:sz="4" w:space="0"/>
            </w:tcBorders>
            <w:vAlign w:val="center"/>
          </w:tcPr>
          <w:p w14:paraId="5E0544B7">
            <w:pPr>
              <w:widowControl/>
              <w:jc w:val="center"/>
              <w:rPr>
                <w:color w:val="000000"/>
              </w:rPr>
            </w:pPr>
          </w:p>
        </w:tc>
        <w:tc>
          <w:tcPr>
            <w:tcW w:w="1134" w:type="dxa"/>
            <w:tcBorders>
              <w:top w:val="single" w:color="auto" w:sz="4" w:space="0"/>
              <w:left w:val="single" w:color="auto" w:sz="4" w:space="0"/>
              <w:bottom w:val="single" w:color="000000" w:sz="8" w:space="0"/>
              <w:right w:val="single" w:color="auto" w:sz="4" w:space="0"/>
            </w:tcBorders>
            <w:vAlign w:val="center"/>
          </w:tcPr>
          <w:p w14:paraId="618A97DD">
            <w:pPr>
              <w:widowControl/>
              <w:jc w:val="center"/>
              <w:rPr>
                <w:color w:val="000000"/>
              </w:rPr>
            </w:pPr>
          </w:p>
        </w:tc>
        <w:tc>
          <w:tcPr>
            <w:tcW w:w="1134" w:type="dxa"/>
            <w:vMerge w:val="continue"/>
            <w:tcBorders>
              <w:left w:val="single" w:color="auto" w:sz="4" w:space="0"/>
              <w:bottom w:val="single" w:color="000000" w:sz="8" w:space="0"/>
              <w:right w:val="single" w:color="auto" w:sz="8" w:space="0"/>
            </w:tcBorders>
            <w:vAlign w:val="center"/>
          </w:tcPr>
          <w:p w14:paraId="3EEF3AF3">
            <w:pPr>
              <w:widowControl/>
              <w:jc w:val="center"/>
              <w:rPr>
                <w:color w:val="000000"/>
              </w:rPr>
            </w:pPr>
          </w:p>
        </w:tc>
      </w:tr>
      <w:tr w14:paraId="5E4E58BF">
        <w:tblPrEx>
          <w:tblCellMar>
            <w:top w:w="0" w:type="dxa"/>
            <w:left w:w="108" w:type="dxa"/>
            <w:bottom w:w="0" w:type="dxa"/>
            <w:right w:w="108" w:type="dxa"/>
          </w:tblCellMar>
        </w:tblPrEx>
        <w:trPr>
          <w:trHeight w:val="540" w:hRule="atLeast"/>
        </w:trPr>
        <w:tc>
          <w:tcPr>
            <w:tcW w:w="456" w:type="dxa"/>
            <w:tcBorders>
              <w:top w:val="nil"/>
              <w:left w:val="single" w:color="auto" w:sz="8" w:space="0"/>
              <w:bottom w:val="single" w:color="auto" w:sz="8" w:space="0"/>
              <w:right w:val="single" w:color="auto" w:sz="4" w:space="0"/>
            </w:tcBorders>
            <w:vAlign w:val="center"/>
          </w:tcPr>
          <w:p w14:paraId="6626F9EE">
            <w:pPr>
              <w:widowControl/>
              <w:rPr>
                <w:color w:val="000000"/>
              </w:rPr>
            </w:pPr>
            <w:r>
              <w:rPr>
                <w:rFonts w:hint="eastAsia"/>
                <w:color w:val="000000"/>
              </w:rPr>
              <w:t>5</w:t>
            </w:r>
          </w:p>
        </w:tc>
        <w:tc>
          <w:tcPr>
            <w:tcW w:w="3065" w:type="dxa"/>
            <w:gridSpan w:val="2"/>
            <w:tcBorders>
              <w:top w:val="single" w:color="auto" w:sz="4" w:space="0"/>
              <w:left w:val="nil"/>
              <w:bottom w:val="single" w:color="auto" w:sz="8" w:space="0"/>
              <w:right w:val="single" w:color="auto" w:sz="4" w:space="0"/>
            </w:tcBorders>
            <w:vAlign w:val="center"/>
          </w:tcPr>
          <w:p w14:paraId="1D865739">
            <w:pPr>
              <w:widowControl/>
              <w:jc w:val="center"/>
              <w:rPr>
                <w:color w:val="000000"/>
              </w:rPr>
            </w:pPr>
            <w:r>
              <w:rPr>
                <w:rFonts w:hint="eastAsia"/>
                <w:color w:val="000000"/>
              </w:rPr>
              <w:t>吸附分离预处理装置</w:t>
            </w:r>
          </w:p>
        </w:tc>
        <w:tc>
          <w:tcPr>
            <w:tcW w:w="1134" w:type="dxa"/>
            <w:tcBorders>
              <w:top w:val="nil"/>
              <w:left w:val="nil"/>
              <w:bottom w:val="single" w:color="auto" w:sz="8" w:space="0"/>
              <w:right w:val="single" w:color="auto" w:sz="4" w:space="0"/>
            </w:tcBorders>
            <w:noWrap/>
            <w:vAlign w:val="center"/>
          </w:tcPr>
          <w:p w14:paraId="75287DD1">
            <w:pPr>
              <w:widowControl/>
              <w:jc w:val="center"/>
              <w:rPr>
                <w:color w:val="000000"/>
              </w:rPr>
            </w:pPr>
            <w:r>
              <w:rPr>
                <w:rFonts w:hint="eastAsia"/>
                <w:color w:val="000000"/>
              </w:rPr>
              <w:t>6107.86</w:t>
            </w:r>
          </w:p>
        </w:tc>
        <w:tc>
          <w:tcPr>
            <w:tcW w:w="1272" w:type="dxa"/>
            <w:tcBorders>
              <w:top w:val="nil"/>
              <w:left w:val="nil"/>
              <w:bottom w:val="single" w:color="auto" w:sz="8" w:space="0"/>
              <w:right w:val="single" w:color="auto" w:sz="4" w:space="0"/>
              <w:tl2br w:val="single" w:color="auto" w:sz="4" w:space="0"/>
            </w:tcBorders>
            <w:vAlign w:val="center"/>
          </w:tcPr>
          <w:p w14:paraId="2D6FB25D">
            <w:pPr>
              <w:widowControl/>
              <w:rPr>
                <w:color w:val="000000"/>
              </w:rPr>
            </w:pPr>
          </w:p>
        </w:tc>
        <w:tc>
          <w:tcPr>
            <w:tcW w:w="1019" w:type="dxa"/>
            <w:tcBorders>
              <w:top w:val="nil"/>
              <w:left w:val="single" w:color="auto" w:sz="4" w:space="0"/>
              <w:bottom w:val="single" w:color="auto" w:sz="8" w:space="0"/>
              <w:right w:val="single" w:color="auto" w:sz="4" w:space="0"/>
            </w:tcBorders>
            <w:vAlign w:val="center"/>
          </w:tcPr>
          <w:p w14:paraId="311A702E">
            <w:pPr>
              <w:widowControl/>
              <w:jc w:val="center"/>
              <w:rPr>
                <w:color w:val="000000"/>
              </w:rPr>
            </w:pPr>
          </w:p>
        </w:tc>
        <w:tc>
          <w:tcPr>
            <w:tcW w:w="1134" w:type="dxa"/>
            <w:tcBorders>
              <w:top w:val="nil"/>
              <w:left w:val="single" w:color="auto" w:sz="4" w:space="0"/>
              <w:bottom w:val="single" w:color="auto" w:sz="8" w:space="0"/>
              <w:right w:val="single" w:color="auto" w:sz="4" w:space="0"/>
            </w:tcBorders>
            <w:vAlign w:val="center"/>
          </w:tcPr>
          <w:p w14:paraId="737D614E">
            <w:pPr>
              <w:widowControl/>
              <w:jc w:val="center"/>
              <w:rPr>
                <w:color w:val="000000"/>
              </w:rPr>
            </w:pPr>
          </w:p>
        </w:tc>
        <w:tc>
          <w:tcPr>
            <w:tcW w:w="1134" w:type="dxa"/>
            <w:tcBorders>
              <w:top w:val="nil"/>
              <w:left w:val="single" w:color="auto" w:sz="4" w:space="0"/>
              <w:bottom w:val="single" w:color="auto" w:sz="8" w:space="0"/>
              <w:right w:val="single" w:color="auto" w:sz="8" w:space="0"/>
            </w:tcBorders>
            <w:vAlign w:val="center"/>
          </w:tcPr>
          <w:p w14:paraId="2ABA3878">
            <w:pPr>
              <w:widowControl/>
              <w:jc w:val="center"/>
              <w:rPr>
                <w:color w:val="000000"/>
              </w:rPr>
            </w:pPr>
          </w:p>
        </w:tc>
      </w:tr>
      <w:tr w14:paraId="736407E8">
        <w:tblPrEx>
          <w:tblCellMar>
            <w:top w:w="0" w:type="dxa"/>
            <w:left w:w="108" w:type="dxa"/>
            <w:bottom w:w="0" w:type="dxa"/>
            <w:right w:w="108" w:type="dxa"/>
          </w:tblCellMar>
        </w:tblPrEx>
        <w:trPr>
          <w:trHeight w:val="540" w:hRule="atLeast"/>
        </w:trPr>
        <w:tc>
          <w:tcPr>
            <w:tcW w:w="3521" w:type="dxa"/>
            <w:gridSpan w:val="3"/>
            <w:tcBorders>
              <w:top w:val="single" w:color="auto" w:sz="8" w:space="0"/>
              <w:left w:val="single" w:color="auto" w:sz="8" w:space="0"/>
              <w:bottom w:val="single" w:color="auto" w:sz="8" w:space="0"/>
              <w:right w:val="single" w:color="auto" w:sz="4" w:space="0"/>
            </w:tcBorders>
            <w:vAlign w:val="center"/>
          </w:tcPr>
          <w:p w14:paraId="1AA522EF">
            <w:pPr>
              <w:widowControl/>
              <w:jc w:val="center"/>
              <w:rPr>
                <w:color w:val="000000"/>
              </w:rPr>
            </w:pPr>
            <w:r>
              <w:rPr>
                <w:rFonts w:hint="eastAsia"/>
                <w:color w:val="000000"/>
              </w:rPr>
              <w:t>合计</w:t>
            </w:r>
          </w:p>
        </w:tc>
        <w:tc>
          <w:tcPr>
            <w:tcW w:w="1134" w:type="dxa"/>
            <w:tcBorders>
              <w:top w:val="single" w:color="auto" w:sz="8" w:space="0"/>
              <w:left w:val="nil"/>
              <w:bottom w:val="single" w:color="auto" w:sz="8" w:space="0"/>
              <w:right w:val="single" w:color="auto" w:sz="4" w:space="0"/>
            </w:tcBorders>
            <w:noWrap/>
            <w:vAlign w:val="center"/>
          </w:tcPr>
          <w:p w14:paraId="4C39F048">
            <w:pPr>
              <w:widowControl/>
              <w:jc w:val="center"/>
              <w:rPr>
                <w:color w:val="000000"/>
              </w:rPr>
            </w:pPr>
            <w:r>
              <w:rPr>
                <w:rFonts w:hint="eastAsia"/>
                <w:color w:val="000000"/>
              </w:rPr>
              <w:t>18466.37</w:t>
            </w:r>
          </w:p>
        </w:tc>
        <w:tc>
          <w:tcPr>
            <w:tcW w:w="1272" w:type="dxa"/>
            <w:tcBorders>
              <w:top w:val="single" w:color="auto" w:sz="8" w:space="0"/>
              <w:left w:val="nil"/>
              <w:bottom w:val="single" w:color="auto" w:sz="8" w:space="0"/>
              <w:right w:val="single" w:color="auto" w:sz="4" w:space="0"/>
            </w:tcBorders>
            <w:vAlign w:val="center"/>
          </w:tcPr>
          <w:p w14:paraId="65C3E29B">
            <w:pPr>
              <w:widowControl/>
              <w:jc w:val="center"/>
              <w:rPr>
                <w:color w:val="000000"/>
              </w:rPr>
            </w:pPr>
            <w:r>
              <w:rPr>
                <w:rFonts w:hint="eastAsia"/>
                <w:color w:val="000000"/>
              </w:rPr>
              <w:t>7142.6</w:t>
            </w:r>
          </w:p>
        </w:tc>
        <w:tc>
          <w:tcPr>
            <w:tcW w:w="1019" w:type="dxa"/>
            <w:tcBorders>
              <w:top w:val="single" w:color="auto" w:sz="8" w:space="0"/>
              <w:left w:val="single" w:color="auto" w:sz="4" w:space="0"/>
              <w:bottom w:val="single" w:color="auto" w:sz="8" w:space="0"/>
              <w:right w:val="single" w:color="auto" w:sz="4" w:space="0"/>
              <w:tl2br w:val="single" w:color="auto" w:sz="4" w:space="0"/>
            </w:tcBorders>
            <w:vAlign w:val="center"/>
          </w:tcPr>
          <w:p w14:paraId="26D93618">
            <w:pPr>
              <w:widowControl/>
              <w:jc w:val="center"/>
              <w:rPr>
                <w:color w:val="000000"/>
              </w:rPr>
            </w:pPr>
          </w:p>
        </w:tc>
        <w:tc>
          <w:tcPr>
            <w:tcW w:w="1134" w:type="dxa"/>
            <w:tcBorders>
              <w:top w:val="single" w:color="auto" w:sz="8" w:space="0"/>
              <w:left w:val="single" w:color="auto" w:sz="4" w:space="0"/>
              <w:bottom w:val="single" w:color="auto" w:sz="8" w:space="0"/>
              <w:right w:val="single" w:color="auto" w:sz="4" w:space="0"/>
              <w:tl2br w:val="single" w:color="auto" w:sz="4" w:space="0"/>
            </w:tcBorders>
            <w:vAlign w:val="center"/>
          </w:tcPr>
          <w:p w14:paraId="75FCEBC4">
            <w:pPr>
              <w:widowControl/>
              <w:jc w:val="center"/>
              <w:rPr>
                <w:color w:val="000000"/>
              </w:rPr>
            </w:pPr>
          </w:p>
        </w:tc>
        <w:tc>
          <w:tcPr>
            <w:tcW w:w="1134" w:type="dxa"/>
            <w:tcBorders>
              <w:top w:val="single" w:color="auto" w:sz="8" w:space="0"/>
              <w:left w:val="single" w:color="auto" w:sz="4" w:space="0"/>
              <w:bottom w:val="single" w:color="auto" w:sz="8" w:space="0"/>
              <w:right w:val="single" w:color="auto" w:sz="8" w:space="0"/>
            </w:tcBorders>
            <w:vAlign w:val="center"/>
          </w:tcPr>
          <w:p w14:paraId="02EDAF20">
            <w:pPr>
              <w:widowControl/>
              <w:jc w:val="center"/>
              <w:rPr>
                <w:color w:val="000000"/>
              </w:rPr>
            </w:pPr>
          </w:p>
        </w:tc>
      </w:tr>
    </w:tbl>
    <w:p w14:paraId="23E2F218">
      <w:pPr>
        <w:pStyle w:val="28"/>
        <w:spacing w:line="400" w:lineRule="exact"/>
        <w:rPr>
          <w:rFonts w:hAnsi="宋体"/>
          <w:lang w:eastAsia="zh-CN"/>
        </w:rPr>
      </w:pPr>
      <w:r>
        <w:rPr>
          <w:rFonts w:hAnsi="宋体"/>
          <w:lang w:eastAsia="zh-CN"/>
        </w:rPr>
        <w:t xml:space="preserve"> </w:t>
      </w:r>
      <w:r>
        <w:rPr>
          <w:rFonts w:hint="eastAsia" w:hAnsi="宋体"/>
          <w:lang w:eastAsia="zh-CN"/>
        </w:rPr>
        <w:t xml:space="preserve">   具体支付方式和时间分配如下：</w:t>
      </w:r>
    </w:p>
    <w:p w14:paraId="08B01380">
      <w:pPr>
        <w:pStyle w:val="28"/>
        <w:spacing w:line="400" w:lineRule="exact"/>
        <w:rPr>
          <w:rFonts w:hAnsi="宋体"/>
          <w:lang w:eastAsia="zh-CN"/>
        </w:rPr>
      </w:pPr>
      <w:r>
        <w:rPr>
          <w:rFonts w:hint="eastAsia" w:hAnsi="宋体"/>
          <w:lang w:eastAsia="zh-CN"/>
        </w:rPr>
        <w:t xml:space="preserve">    按照项目分别进行结算支付。</w:t>
      </w:r>
    </w:p>
    <w:p w14:paraId="2649A97F">
      <w:pPr>
        <w:pStyle w:val="28"/>
        <w:spacing w:line="400" w:lineRule="exact"/>
        <w:ind w:firstLine="330" w:firstLineChars="150"/>
        <w:rPr>
          <w:rFonts w:hAnsi="宋体"/>
          <w:lang w:eastAsia="zh-CN"/>
        </w:rPr>
      </w:pPr>
      <w:r>
        <w:rPr>
          <w:rFonts w:hint="eastAsia" w:hAnsi="宋体"/>
          <w:lang w:eastAsia="zh-CN"/>
        </w:rPr>
        <w:t>（</w:t>
      </w:r>
      <w:r>
        <w:rPr>
          <w:rFonts w:hAnsi="宋体"/>
          <w:lang w:eastAsia="zh-CN"/>
        </w:rPr>
        <w:t>1</w:t>
      </w:r>
      <w:r>
        <w:rPr>
          <w:rFonts w:hint="eastAsia" w:hAnsi="宋体"/>
          <w:lang w:eastAsia="zh-CN"/>
        </w:rPr>
        <w:t>）乙方按照合同约定提供该项目</w:t>
      </w:r>
      <w:r>
        <w:rPr>
          <w:rFonts w:hAnsi="宋体"/>
          <w:lang w:eastAsia="zh-CN"/>
        </w:rPr>
        <w:t>完整</w:t>
      </w:r>
      <w:r>
        <w:rPr>
          <w:rFonts w:hint="eastAsia" w:hAnsi="宋体"/>
          <w:lang w:eastAsia="zh-CN"/>
        </w:rPr>
        <w:t>的服务，并取得消防验收主管部门出具的《消防验收合格意见书》后</w:t>
      </w:r>
      <w:r>
        <w:rPr>
          <w:rFonts w:hint="eastAsia" w:hAnsi="宋体"/>
          <w:u w:val="single"/>
          <w:lang w:eastAsia="zh-CN"/>
        </w:rPr>
        <w:t xml:space="preserve"> </w:t>
      </w:r>
      <w:r>
        <w:rPr>
          <w:rFonts w:hAnsi="宋体"/>
          <w:u w:val="single"/>
          <w:lang w:eastAsia="zh-CN"/>
        </w:rPr>
        <w:t>30</w:t>
      </w:r>
      <w:r>
        <w:rPr>
          <w:rFonts w:hint="eastAsia" w:hAnsi="宋体"/>
          <w:lang w:eastAsia="zh-CN"/>
        </w:rPr>
        <w:t>日内，甲方支付该项目结算费用的总价款。</w:t>
      </w:r>
    </w:p>
    <w:p w14:paraId="72F83F68">
      <w:pPr>
        <w:pStyle w:val="28"/>
        <w:spacing w:line="400" w:lineRule="exact"/>
        <w:ind w:firstLine="330" w:firstLineChars="150"/>
        <w:rPr>
          <w:rFonts w:hAnsi="宋体"/>
          <w:lang w:eastAsia="zh-CN"/>
        </w:rPr>
      </w:pPr>
      <w:r>
        <w:rPr>
          <w:rFonts w:hint="eastAsia" w:hAnsi="宋体"/>
          <w:lang w:eastAsia="zh-CN"/>
        </w:rPr>
        <w:t>（2）乙方应在甲方付款期限届满</w:t>
      </w:r>
      <w:r>
        <w:rPr>
          <w:rFonts w:hint="eastAsia" w:hAnsi="宋体"/>
          <w:u w:val="single"/>
          <w:lang w:eastAsia="zh-CN"/>
        </w:rPr>
        <w:t xml:space="preserve">  </w:t>
      </w:r>
      <w:r>
        <w:rPr>
          <w:rFonts w:hAnsi="宋体"/>
          <w:u w:val="single"/>
          <w:lang w:eastAsia="zh-CN"/>
        </w:rPr>
        <w:t>30</w:t>
      </w:r>
      <w:r>
        <w:rPr>
          <w:rFonts w:hint="eastAsia" w:hAnsi="宋体"/>
          <w:u w:val="single"/>
          <w:lang w:eastAsia="zh-CN"/>
        </w:rPr>
        <w:t xml:space="preserve"> </w:t>
      </w:r>
      <w:r>
        <w:rPr>
          <w:rFonts w:hAnsi="宋体"/>
          <w:u w:val="single"/>
          <w:lang w:eastAsia="zh-CN"/>
        </w:rPr>
        <w:t xml:space="preserve"> </w:t>
      </w:r>
      <w:r>
        <w:rPr>
          <w:rFonts w:hint="eastAsia" w:hAnsi="宋体"/>
          <w:lang w:eastAsia="zh-CN"/>
        </w:rPr>
        <w:t>日前提供该项目结算费用总价款全额增值税专用发票，否则甲方有权顺延付款。上述技术服务及咨询报酬直接支付至乙方指定的下列账号：</w:t>
      </w:r>
    </w:p>
    <w:p w14:paraId="38A5638E">
      <w:pPr>
        <w:pStyle w:val="28"/>
        <w:spacing w:line="400" w:lineRule="exact"/>
        <w:ind w:firstLine="440" w:firstLineChars="200"/>
        <w:rPr>
          <w:rFonts w:hAnsi="宋体"/>
          <w:lang w:eastAsia="zh-CN"/>
        </w:rPr>
      </w:pPr>
      <w:r>
        <w:rPr>
          <w:rFonts w:hint="eastAsia" w:hAnsi="宋体"/>
          <w:lang w:eastAsia="zh-CN"/>
        </w:rPr>
        <w:t>乙方开户银行：</w:t>
      </w:r>
      <w:r>
        <w:rPr>
          <w:rFonts w:hint="eastAsia" w:hAnsi="宋体"/>
          <w:u w:val="single"/>
          <w:lang w:eastAsia="zh-CN"/>
        </w:rPr>
        <w:t xml:space="preserve">    </w:t>
      </w:r>
      <w:r>
        <w:rPr>
          <w:rFonts w:hAnsi="宋体"/>
          <w:u w:val="single"/>
          <w:lang w:eastAsia="zh-CN"/>
        </w:rPr>
        <w:t xml:space="preserve">                  </w:t>
      </w:r>
    </w:p>
    <w:p w14:paraId="3BE91248">
      <w:pPr>
        <w:pStyle w:val="28"/>
        <w:spacing w:line="400" w:lineRule="exact"/>
        <w:ind w:firstLine="440" w:firstLineChars="200"/>
        <w:rPr>
          <w:rFonts w:hAnsi="宋体"/>
          <w:lang w:eastAsia="zh-CN"/>
        </w:rPr>
      </w:pPr>
      <w:r>
        <w:rPr>
          <w:rFonts w:hint="eastAsia" w:hAnsi="宋体"/>
          <w:lang w:eastAsia="zh-CN"/>
        </w:rPr>
        <w:t>公司名称：</w:t>
      </w:r>
      <w:r>
        <w:rPr>
          <w:rFonts w:hint="eastAsia" w:hAnsi="宋体"/>
          <w:u w:val="single"/>
          <w:lang w:eastAsia="zh-CN"/>
        </w:rPr>
        <w:t xml:space="preserve">    </w:t>
      </w:r>
      <w:r>
        <w:rPr>
          <w:rFonts w:hAnsi="宋体"/>
          <w:u w:val="single"/>
          <w:lang w:eastAsia="zh-CN"/>
        </w:rPr>
        <w:t xml:space="preserve">                  </w:t>
      </w:r>
    </w:p>
    <w:p w14:paraId="776F29DF">
      <w:pPr>
        <w:pStyle w:val="28"/>
        <w:spacing w:line="400" w:lineRule="exact"/>
        <w:ind w:firstLine="440" w:firstLineChars="200"/>
        <w:rPr>
          <w:rFonts w:hAnsi="宋体"/>
          <w:lang w:eastAsia="zh-CN"/>
        </w:rPr>
      </w:pPr>
      <w:r>
        <w:rPr>
          <w:rFonts w:hint="eastAsia" w:hAnsi="宋体"/>
          <w:lang w:eastAsia="zh-CN"/>
        </w:rPr>
        <w:t>账号：</w:t>
      </w:r>
      <w:r>
        <w:rPr>
          <w:rFonts w:hint="eastAsia" w:hAnsi="宋体"/>
          <w:u w:val="single"/>
          <w:lang w:eastAsia="zh-CN"/>
        </w:rPr>
        <w:t xml:space="preserve">    </w:t>
      </w:r>
      <w:r>
        <w:rPr>
          <w:rFonts w:hAnsi="宋体"/>
          <w:u w:val="single"/>
          <w:lang w:eastAsia="zh-CN"/>
        </w:rPr>
        <w:t xml:space="preserve">                  </w:t>
      </w:r>
    </w:p>
    <w:p w14:paraId="7EA6486B">
      <w:pPr>
        <w:pStyle w:val="28"/>
        <w:spacing w:line="400" w:lineRule="exact"/>
        <w:ind w:firstLine="440" w:firstLineChars="200"/>
        <w:rPr>
          <w:rFonts w:hAnsi="宋体"/>
          <w:lang w:eastAsia="zh-CN"/>
        </w:rPr>
      </w:pPr>
      <w:r>
        <w:rPr>
          <w:rFonts w:hint="eastAsia" w:hAnsi="宋体"/>
          <w:lang w:eastAsia="zh-CN"/>
        </w:rPr>
        <w:t>第五条 双方确定因履行本合同应遵守的保密义务如下：</w:t>
      </w:r>
    </w:p>
    <w:p w14:paraId="4C352D2D">
      <w:pPr>
        <w:pStyle w:val="28"/>
        <w:spacing w:line="400" w:lineRule="exact"/>
        <w:ind w:firstLine="440" w:firstLineChars="200"/>
        <w:rPr>
          <w:rFonts w:hAnsi="宋体"/>
          <w:lang w:eastAsia="zh-CN"/>
        </w:rPr>
      </w:pPr>
      <w:r>
        <w:rPr>
          <w:rFonts w:hint="eastAsia" w:hAnsi="宋体"/>
          <w:lang w:eastAsia="zh-CN"/>
        </w:rPr>
        <w:t>甲方：</w:t>
      </w:r>
    </w:p>
    <w:p w14:paraId="2F12FE60">
      <w:pPr>
        <w:pStyle w:val="28"/>
        <w:spacing w:line="400" w:lineRule="exact"/>
        <w:ind w:firstLine="440" w:firstLineChars="200"/>
        <w:rPr>
          <w:rFonts w:hAnsi="宋体"/>
          <w:lang w:eastAsia="zh-CN"/>
        </w:rPr>
      </w:pPr>
      <w:r>
        <w:rPr>
          <w:rFonts w:hint="eastAsia" w:hAnsi="宋体"/>
          <w:lang w:eastAsia="zh-CN"/>
        </w:rPr>
        <w:t>1.保密内容：乙方提供的资料，服务咨询报告及该服务咨询报告的附件资料除外。</w:t>
      </w:r>
    </w:p>
    <w:p w14:paraId="06B5795A">
      <w:pPr>
        <w:pStyle w:val="28"/>
        <w:spacing w:line="400" w:lineRule="exact"/>
        <w:ind w:firstLine="440" w:firstLineChars="200"/>
        <w:rPr>
          <w:rFonts w:hAnsi="宋体"/>
          <w:lang w:eastAsia="zh-CN"/>
        </w:rPr>
      </w:pPr>
      <w:r>
        <w:rPr>
          <w:rFonts w:hint="eastAsia" w:hAnsi="宋体"/>
          <w:lang w:eastAsia="zh-CN"/>
        </w:rPr>
        <w:t xml:space="preserve">2.涉密人员范围：甲方及甲方工作人员 </w:t>
      </w:r>
    </w:p>
    <w:p w14:paraId="7AFD2851">
      <w:pPr>
        <w:pStyle w:val="28"/>
        <w:spacing w:line="400" w:lineRule="exact"/>
        <w:ind w:firstLine="440" w:firstLineChars="200"/>
        <w:rPr>
          <w:rFonts w:hAnsi="宋体"/>
          <w:lang w:eastAsia="zh-CN"/>
        </w:rPr>
      </w:pPr>
      <w:r>
        <w:rPr>
          <w:rFonts w:hint="eastAsia" w:hAnsi="宋体"/>
          <w:lang w:eastAsia="zh-CN"/>
        </w:rPr>
        <w:t xml:space="preserve">3.泄密责任：  按本合同约定及国家有关保密法的规定执行 </w:t>
      </w:r>
    </w:p>
    <w:p w14:paraId="5D009539">
      <w:pPr>
        <w:pStyle w:val="28"/>
        <w:spacing w:line="400" w:lineRule="exact"/>
        <w:ind w:firstLine="440" w:firstLineChars="200"/>
        <w:rPr>
          <w:rFonts w:hAnsi="宋体"/>
          <w:lang w:eastAsia="zh-CN"/>
        </w:rPr>
      </w:pPr>
      <w:r>
        <w:rPr>
          <w:rFonts w:hint="eastAsia" w:hAnsi="宋体"/>
          <w:lang w:eastAsia="zh-CN"/>
        </w:rPr>
        <w:t>乙方：</w:t>
      </w:r>
    </w:p>
    <w:p w14:paraId="7A6997D3">
      <w:pPr>
        <w:pStyle w:val="28"/>
        <w:spacing w:line="400" w:lineRule="exact"/>
        <w:ind w:firstLine="440" w:firstLineChars="200"/>
        <w:rPr>
          <w:rFonts w:hAnsi="宋体"/>
          <w:lang w:eastAsia="zh-CN"/>
        </w:rPr>
      </w:pPr>
      <w:r>
        <w:rPr>
          <w:rFonts w:hint="eastAsia" w:hAnsi="宋体"/>
          <w:lang w:eastAsia="zh-CN"/>
        </w:rPr>
        <w:t xml:space="preserve">1.保密内容：甲方提供的资料以及乙方在提供本合同约定服务过程中知悉的甲方技术信息、经营信息、生产工艺、操作流程等。 </w:t>
      </w:r>
    </w:p>
    <w:p w14:paraId="3FF27DFA">
      <w:pPr>
        <w:pStyle w:val="28"/>
        <w:spacing w:line="400" w:lineRule="exact"/>
        <w:ind w:firstLine="440" w:firstLineChars="200"/>
        <w:rPr>
          <w:rFonts w:hAnsi="宋体"/>
          <w:lang w:eastAsia="zh-CN"/>
        </w:rPr>
      </w:pPr>
      <w:r>
        <w:rPr>
          <w:rFonts w:hint="eastAsia" w:hAnsi="宋体"/>
          <w:lang w:eastAsia="zh-CN"/>
        </w:rPr>
        <w:t xml:space="preserve">2.涉密人员范围：乙方及乙方工作人员 </w:t>
      </w:r>
    </w:p>
    <w:p w14:paraId="54D7B144">
      <w:pPr>
        <w:pStyle w:val="28"/>
        <w:spacing w:line="400" w:lineRule="exact"/>
        <w:ind w:firstLine="440" w:firstLineChars="200"/>
        <w:rPr>
          <w:rFonts w:hAnsi="宋体"/>
          <w:lang w:eastAsia="zh-CN"/>
        </w:rPr>
      </w:pPr>
      <w:r>
        <w:rPr>
          <w:rFonts w:hint="eastAsia" w:hAnsi="宋体"/>
          <w:lang w:eastAsia="zh-CN"/>
        </w:rPr>
        <w:t xml:space="preserve">3.泄密责任：按本合同约定及国家有关保密法的规定执行 </w:t>
      </w:r>
    </w:p>
    <w:p w14:paraId="71B8688C">
      <w:pPr>
        <w:pStyle w:val="28"/>
        <w:spacing w:line="400" w:lineRule="exact"/>
        <w:ind w:firstLine="440" w:firstLineChars="200"/>
        <w:rPr>
          <w:rFonts w:hAnsi="宋体"/>
          <w:lang w:eastAsia="zh-CN"/>
        </w:rPr>
      </w:pPr>
      <w:r>
        <w:rPr>
          <w:rFonts w:hint="eastAsia" w:hAnsi="宋体"/>
          <w:lang w:eastAsia="zh-CN"/>
        </w:rPr>
        <w:t>第六条 本合同的变更必须由双方协商一致，并以书面形式确定。</w:t>
      </w:r>
    </w:p>
    <w:p w14:paraId="4A8FC3D0">
      <w:pPr>
        <w:pStyle w:val="28"/>
        <w:spacing w:line="400" w:lineRule="exact"/>
        <w:ind w:firstLine="440" w:firstLineChars="200"/>
        <w:rPr>
          <w:rFonts w:hAnsi="宋体"/>
          <w:lang w:eastAsia="zh-CN"/>
        </w:rPr>
      </w:pPr>
      <w:r>
        <w:rPr>
          <w:rFonts w:hint="eastAsia" w:hAnsi="宋体"/>
          <w:lang w:eastAsia="zh-CN"/>
        </w:rPr>
        <w:t>第七条 双方确定，按以下标准和方式对乙方提交的技术咨询工作成果进行验收：</w:t>
      </w:r>
    </w:p>
    <w:p w14:paraId="680972B6">
      <w:pPr>
        <w:pStyle w:val="28"/>
        <w:spacing w:line="400" w:lineRule="exact"/>
        <w:ind w:firstLine="440" w:firstLineChars="200"/>
        <w:rPr>
          <w:rFonts w:hAnsi="宋体"/>
          <w:u w:val="single"/>
          <w:lang w:eastAsia="zh-CN"/>
        </w:rPr>
      </w:pPr>
      <w:r>
        <w:rPr>
          <w:rFonts w:hint="eastAsia" w:hAnsi="宋体"/>
          <w:lang w:eastAsia="zh-CN"/>
        </w:rPr>
        <w:t>1、乙方提交技术工作成果的形式</w:t>
      </w:r>
      <w:r>
        <w:rPr>
          <w:rFonts w:hint="eastAsia" w:hAnsi="宋体"/>
          <w:u w:val="single"/>
          <w:lang w:eastAsia="zh-CN"/>
        </w:rPr>
        <w:t>：根据消防验收主管部门的要求。</w:t>
      </w:r>
    </w:p>
    <w:p w14:paraId="2B6A8737">
      <w:pPr>
        <w:pStyle w:val="28"/>
        <w:spacing w:line="400" w:lineRule="exact"/>
        <w:ind w:firstLine="440" w:firstLineChars="200"/>
        <w:rPr>
          <w:rFonts w:hAnsi="宋体"/>
          <w:lang w:eastAsia="zh-CN"/>
        </w:rPr>
      </w:pPr>
      <w:r>
        <w:rPr>
          <w:rFonts w:hint="eastAsia" w:hAnsi="宋体"/>
          <w:lang w:eastAsia="zh-CN"/>
        </w:rPr>
        <w:t>2、技术工作成果的验收标准：</w:t>
      </w:r>
      <w:r>
        <w:rPr>
          <w:rFonts w:hint="eastAsia" w:hAnsi="宋体"/>
          <w:u w:val="single"/>
          <w:lang w:eastAsia="zh-CN"/>
        </w:rPr>
        <w:t>取得消防验收主管部门出具的《消防验收合格意见书》。</w:t>
      </w:r>
      <w:r>
        <w:rPr>
          <w:rFonts w:hAnsi="宋体"/>
          <w:u w:val="single"/>
          <w:lang w:eastAsia="zh-CN"/>
        </w:rPr>
        <w:t xml:space="preserve"> </w:t>
      </w:r>
    </w:p>
    <w:p w14:paraId="30D216D5">
      <w:pPr>
        <w:pStyle w:val="28"/>
        <w:spacing w:line="400" w:lineRule="exact"/>
        <w:ind w:firstLine="440" w:firstLineChars="200"/>
        <w:rPr>
          <w:rFonts w:hAnsi="宋体"/>
          <w:lang w:eastAsia="zh-CN"/>
        </w:rPr>
      </w:pPr>
      <w:r>
        <w:rPr>
          <w:rFonts w:hint="eastAsia" w:hAnsi="宋体"/>
          <w:lang w:eastAsia="zh-CN"/>
        </w:rPr>
        <w:t>3、验收地点：</w:t>
      </w:r>
      <w:r>
        <w:rPr>
          <w:rFonts w:hint="eastAsia" w:hAnsi="宋体"/>
          <w:u w:val="single"/>
          <w:lang w:eastAsia="zh-CN"/>
        </w:rPr>
        <w:t xml:space="preserve"> 甲方</w:t>
      </w:r>
      <w:r>
        <w:rPr>
          <w:rFonts w:hAnsi="宋体"/>
          <w:u w:val="single"/>
          <w:lang w:eastAsia="zh-CN"/>
        </w:rPr>
        <w:t xml:space="preserve">所在地 </w:t>
      </w:r>
    </w:p>
    <w:p w14:paraId="06C2B8A8">
      <w:pPr>
        <w:spacing w:line="520" w:lineRule="exact"/>
        <w:ind w:firstLine="440" w:firstLineChars="200"/>
        <w:rPr>
          <w:sz w:val="24"/>
          <w:lang w:eastAsia="zh-CN"/>
        </w:rPr>
      </w:pPr>
      <w:r>
        <w:rPr>
          <w:rFonts w:hint="eastAsia"/>
          <w:szCs w:val="21"/>
          <w:lang w:eastAsia="zh-CN"/>
        </w:rPr>
        <w:t>4、双方确认，乙方对咨询成果的准确性、完整性承担相应责任，甲方的验收仅作为付款依据，不代表甲方对乙方工作成果的最终认可。在技术咨询成果运用过程中，如有证据表明乙方存在弄虚作假等违反合同约定的情形，甲方仍有权要求乙方承担由此造成的损失和法律后果。</w:t>
      </w:r>
    </w:p>
    <w:p w14:paraId="7732BF3F">
      <w:pPr>
        <w:pStyle w:val="28"/>
        <w:spacing w:line="400" w:lineRule="exact"/>
        <w:ind w:firstLine="440" w:firstLineChars="200"/>
        <w:rPr>
          <w:rFonts w:hAnsi="宋体"/>
          <w:lang w:eastAsia="zh-CN"/>
        </w:rPr>
      </w:pPr>
      <w:r>
        <w:rPr>
          <w:rFonts w:hint="eastAsia" w:hAnsi="宋体"/>
          <w:lang w:eastAsia="zh-CN"/>
        </w:rPr>
        <w:t>第八条 双方确定，甲方指定</w:t>
      </w:r>
      <w:r>
        <w:rPr>
          <w:rFonts w:hint="eastAsia" w:hAnsi="宋体"/>
          <w:u w:val="single"/>
          <w:lang w:eastAsia="zh-CN"/>
        </w:rPr>
        <w:t xml:space="preserve"> 简松文</w:t>
      </w:r>
      <w:r>
        <w:rPr>
          <w:rFonts w:hint="eastAsia" w:hAnsi="宋体"/>
          <w:lang w:eastAsia="zh-CN"/>
        </w:rPr>
        <w:t>甲方项目联系人，乙方指定</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为乙方项目联系人。</w:t>
      </w:r>
    </w:p>
    <w:p w14:paraId="70DFD942">
      <w:pPr>
        <w:pStyle w:val="28"/>
        <w:spacing w:line="400" w:lineRule="exact"/>
        <w:ind w:firstLine="440" w:firstLineChars="200"/>
        <w:rPr>
          <w:rFonts w:hAnsi="宋体"/>
          <w:lang w:eastAsia="zh-CN"/>
        </w:rPr>
      </w:pPr>
      <w:r>
        <w:rPr>
          <w:rFonts w:hint="eastAsia" w:hAnsi="宋体"/>
          <w:lang w:eastAsia="zh-CN"/>
        </w:rPr>
        <w:t>第九条  违约责任</w:t>
      </w:r>
    </w:p>
    <w:p w14:paraId="569E9F1A">
      <w:pPr>
        <w:spacing w:line="400" w:lineRule="exact"/>
        <w:ind w:firstLine="440" w:firstLineChars="200"/>
        <w:rPr>
          <w:rStyle w:val="83"/>
          <w:color w:val="000000"/>
          <w:lang w:eastAsia="zh-CN"/>
        </w:rPr>
      </w:pPr>
      <w:r>
        <w:rPr>
          <w:rStyle w:val="83"/>
          <w:rFonts w:hint="eastAsia"/>
          <w:color w:val="000000"/>
          <w:lang w:eastAsia="zh-CN"/>
        </w:rPr>
        <w:t>1．乙方逾期提交服务咨询报告的，每日应向甲方支付违约金人民币</w:t>
      </w:r>
      <w:r>
        <w:rPr>
          <w:rFonts w:hint="eastAsia"/>
          <w:szCs w:val="21"/>
          <w:u w:val="single"/>
          <w:lang w:eastAsia="zh-CN"/>
        </w:rPr>
        <w:t xml:space="preserve"> </w:t>
      </w:r>
      <w:r>
        <w:rPr>
          <w:szCs w:val="21"/>
          <w:u w:val="single"/>
          <w:lang w:eastAsia="zh-CN"/>
        </w:rPr>
        <w:t xml:space="preserve">500 </w:t>
      </w:r>
      <w:r>
        <w:rPr>
          <w:rStyle w:val="83"/>
          <w:rFonts w:hint="eastAsia"/>
          <w:color w:val="000000"/>
          <w:lang w:eastAsia="zh-CN"/>
        </w:rPr>
        <w:t>元，逾期超过</w:t>
      </w:r>
      <w:r>
        <w:rPr>
          <w:rFonts w:hint="eastAsia"/>
          <w:szCs w:val="21"/>
          <w:u w:val="single"/>
          <w:lang w:eastAsia="zh-CN"/>
        </w:rPr>
        <w:t xml:space="preserve"> </w:t>
      </w:r>
      <w:r>
        <w:rPr>
          <w:szCs w:val="21"/>
          <w:u w:val="single"/>
          <w:lang w:eastAsia="zh-CN"/>
        </w:rPr>
        <w:t xml:space="preserve">10 </w:t>
      </w:r>
      <w:r>
        <w:rPr>
          <w:rStyle w:val="83"/>
          <w:rFonts w:hint="eastAsia"/>
          <w:color w:val="000000"/>
          <w:lang w:eastAsia="zh-CN"/>
        </w:rPr>
        <w:t>日的，甲方还有权解除本合同并要求乙方退还已经收取的费用。</w:t>
      </w:r>
    </w:p>
    <w:p w14:paraId="1E4A9877">
      <w:pPr>
        <w:pStyle w:val="28"/>
        <w:spacing w:line="400" w:lineRule="exact"/>
        <w:ind w:firstLine="440" w:firstLineChars="200"/>
        <w:rPr>
          <w:rStyle w:val="83"/>
          <w:color w:val="000000"/>
          <w:lang w:eastAsia="zh-CN"/>
        </w:rPr>
      </w:pPr>
      <w:r>
        <w:rPr>
          <w:rStyle w:val="83"/>
          <w:rFonts w:hint="eastAsia"/>
          <w:color w:val="000000"/>
          <w:lang w:eastAsia="zh-CN"/>
        </w:rPr>
        <w:t>2．乙方提交的服务咨询报告不符合合同约定的，应在甲方指定期限内修改完善直至符合合同约定为止，由此造成逾期提交的，按照第1款约定执行。</w:t>
      </w:r>
    </w:p>
    <w:p w14:paraId="35AC2478">
      <w:pPr>
        <w:pStyle w:val="28"/>
        <w:spacing w:line="400" w:lineRule="exact"/>
        <w:ind w:firstLine="440" w:firstLineChars="200"/>
        <w:rPr>
          <w:rStyle w:val="83"/>
          <w:color w:val="000000"/>
          <w:lang w:eastAsia="zh-CN"/>
        </w:rPr>
      </w:pPr>
      <w:r>
        <w:rPr>
          <w:rStyle w:val="83"/>
          <w:rFonts w:hint="eastAsia"/>
          <w:color w:val="000000"/>
          <w:lang w:eastAsia="zh-CN"/>
        </w:rPr>
        <w:t>3．</w:t>
      </w:r>
      <w:r>
        <w:rPr>
          <w:rStyle w:val="83"/>
          <w:color w:val="000000"/>
          <w:lang w:eastAsia="zh-CN"/>
        </w:rPr>
        <w:t>甲方无故逾期付款的，以逾期支付款项为基数，按照中国人民银行授权全国银行间同业拆借中心公布的一年期贷款市场报价利率（LPR）支付违约金。</w:t>
      </w:r>
    </w:p>
    <w:p w14:paraId="2EC7D5EA">
      <w:pPr>
        <w:pStyle w:val="28"/>
        <w:spacing w:line="400" w:lineRule="exact"/>
        <w:ind w:firstLine="440" w:firstLineChars="200"/>
        <w:rPr>
          <w:rFonts w:hAnsi="宋体"/>
          <w:lang w:eastAsia="zh-CN"/>
        </w:rPr>
      </w:pPr>
      <w:r>
        <w:rPr>
          <w:rStyle w:val="83"/>
          <w:rFonts w:hint="eastAsia"/>
          <w:color w:val="000000"/>
          <w:lang w:eastAsia="zh-CN"/>
        </w:rPr>
        <w:t>4</w:t>
      </w:r>
      <w:r>
        <w:rPr>
          <w:rStyle w:val="83"/>
          <w:color w:val="000000"/>
          <w:lang w:eastAsia="zh-CN"/>
        </w:rPr>
        <w:t>.</w:t>
      </w:r>
      <w:r>
        <w:rPr>
          <w:rStyle w:val="83"/>
          <w:rFonts w:hint="eastAsia"/>
          <w:color w:val="000000"/>
          <w:lang w:eastAsia="zh-CN"/>
        </w:rPr>
        <w:t>任何一方违反保密义务的，应向对方支付违约金人民币</w:t>
      </w:r>
      <w:r>
        <w:rPr>
          <w:rFonts w:hint="eastAsia" w:hAnsi="宋体"/>
          <w:u w:val="single"/>
          <w:lang w:eastAsia="zh-CN"/>
        </w:rPr>
        <w:t xml:space="preserve"> </w:t>
      </w:r>
      <w:r>
        <w:rPr>
          <w:rFonts w:hAnsi="宋体"/>
          <w:u w:val="single"/>
          <w:lang w:eastAsia="zh-CN"/>
        </w:rPr>
        <w:t xml:space="preserve">10000 </w:t>
      </w:r>
      <w:r>
        <w:rPr>
          <w:rStyle w:val="83"/>
          <w:rFonts w:hint="eastAsia"/>
          <w:color w:val="000000"/>
          <w:lang w:eastAsia="zh-CN"/>
        </w:rPr>
        <w:t>元；赔偿由此给对方造成的损失。</w:t>
      </w:r>
    </w:p>
    <w:p w14:paraId="06B2BE50">
      <w:pPr>
        <w:pStyle w:val="28"/>
        <w:spacing w:line="400" w:lineRule="exact"/>
        <w:ind w:firstLine="440" w:firstLineChars="200"/>
        <w:rPr>
          <w:rFonts w:hAnsi="宋体"/>
          <w:lang w:eastAsia="zh-CN"/>
        </w:rPr>
      </w:pPr>
      <w:r>
        <w:rPr>
          <w:rFonts w:hint="eastAsia" w:hAnsi="宋体"/>
          <w:lang w:eastAsia="zh-CN"/>
        </w:rPr>
        <w:t>第十条 不可抗力</w:t>
      </w:r>
    </w:p>
    <w:p w14:paraId="123BA8D4">
      <w:pPr>
        <w:pStyle w:val="28"/>
        <w:spacing w:line="400" w:lineRule="exact"/>
        <w:ind w:firstLine="440" w:firstLineChars="200"/>
        <w:rPr>
          <w:rFonts w:hAnsi="宋体"/>
          <w:lang w:eastAsia="zh-CN"/>
        </w:rPr>
      </w:pPr>
      <w:r>
        <w:rPr>
          <w:rFonts w:hAnsi="宋体"/>
          <w:lang w:eastAsia="zh-CN"/>
        </w:rPr>
        <w:t>1. 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14:paraId="19DEA950">
      <w:pPr>
        <w:pStyle w:val="28"/>
        <w:spacing w:line="400" w:lineRule="exact"/>
        <w:ind w:firstLine="440" w:firstLineChars="200"/>
        <w:rPr>
          <w:rFonts w:hAnsi="宋体"/>
          <w:lang w:eastAsia="zh-CN"/>
        </w:rPr>
      </w:pPr>
      <w:r>
        <w:rPr>
          <w:rFonts w:hAnsi="宋体"/>
          <w:lang w:eastAsia="zh-CN"/>
        </w:rPr>
        <w:t>2. 受不可抗力直接影响的一方，应在遭受不可抗力后的24小时内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14:paraId="48992B89">
      <w:pPr>
        <w:pStyle w:val="28"/>
        <w:spacing w:line="400" w:lineRule="exact"/>
        <w:ind w:firstLine="440" w:firstLineChars="200"/>
        <w:rPr>
          <w:rFonts w:hAnsi="宋体"/>
          <w:lang w:eastAsia="zh-CN"/>
        </w:rPr>
      </w:pPr>
      <w:r>
        <w:rPr>
          <w:rFonts w:hAnsi="宋体"/>
          <w:lang w:eastAsia="zh-CN"/>
        </w:rPr>
        <w:t>3. 按不可抗力对履行本合同影响的程度，在符合本合同条款情况下免除受不可抗力影响的一方对履行本合同受影响部分的责任。双方并应尽快协商决定是否修改或解除本合同或将延误的履行期限顺延。倘因不可抗力致使无法实现合同的，任何一方可书面通知对方解除本合同。合同解除后，乙方应返还已收取但尚未提供相应服务的费用。</w:t>
      </w:r>
    </w:p>
    <w:p w14:paraId="43662CD4">
      <w:pPr>
        <w:pStyle w:val="28"/>
        <w:spacing w:line="400" w:lineRule="exact"/>
        <w:ind w:firstLine="440" w:firstLineChars="200"/>
        <w:rPr>
          <w:rFonts w:hAnsi="宋体"/>
          <w:lang w:eastAsia="zh-CN"/>
        </w:rPr>
      </w:pPr>
      <w:r>
        <w:rPr>
          <w:rFonts w:hint="eastAsia" w:hAnsi="宋体"/>
          <w:lang w:eastAsia="zh-CN"/>
        </w:rPr>
        <w:t>第十一条 本合同的效力、解释及履行均适用中华人民共和国法律。双方因履行本合同而发生的争议，可协商、调解解决，也可直接采取下列第</w:t>
      </w:r>
      <w:r>
        <w:rPr>
          <w:rFonts w:hAnsi="宋体"/>
          <w:u w:val="single"/>
          <w:lang w:eastAsia="zh-CN"/>
        </w:rPr>
        <w:t>2</w:t>
      </w:r>
      <w:r>
        <w:rPr>
          <w:rFonts w:hint="eastAsia" w:hAnsi="宋体"/>
          <w:lang w:eastAsia="zh-CN"/>
        </w:rPr>
        <w:t>种方式解决：</w:t>
      </w:r>
    </w:p>
    <w:p w14:paraId="41D28B0C">
      <w:pPr>
        <w:pStyle w:val="28"/>
        <w:spacing w:line="400" w:lineRule="exact"/>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14:paraId="452D1085">
      <w:pPr>
        <w:pStyle w:val="28"/>
        <w:spacing w:line="400" w:lineRule="exact"/>
        <w:ind w:firstLine="440" w:firstLineChars="200"/>
        <w:rPr>
          <w:rFonts w:hAnsi="宋体"/>
          <w:lang w:eastAsia="zh-CN"/>
        </w:rPr>
      </w:pPr>
      <w:r>
        <w:rPr>
          <w:rFonts w:hint="eastAsia" w:hAnsi="宋体"/>
          <w:lang w:eastAsia="zh-CN"/>
        </w:rPr>
        <w:t>2．向甲方所在地人民法院提起诉讼。</w:t>
      </w:r>
    </w:p>
    <w:p w14:paraId="6FF6714B">
      <w:pPr>
        <w:pStyle w:val="28"/>
        <w:spacing w:line="400" w:lineRule="exact"/>
        <w:ind w:firstLine="440" w:firstLineChars="200"/>
        <w:rPr>
          <w:rFonts w:hint="eastAsia" w:hAnsi="宋体"/>
          <w:lang w:eastAsia="zh-CN"/>
        </w:rPr>
      </w:pPr>
      <w:r>
        <w:rPr>
          <w:rFonts w:hint="eastAsia" w:hAnsi="宋体"/>
          <w:lang w:eastAsia="zh-CN"/>
        </w:rPr>
        <w:t>双方之间的争议无法及时协商解决的</w:t>
      </w:r>
      <w:r>
        <w:rPr>
          <w:rFonts w:hAnsi="宋体"/>
          <w:lang w:eastAsia="zh-CN"/>
        </w:rPr>
        <w:t>,若该争议系由某一方违约及/或过错导致，其他方因此产生的全部争议解决费用（包括但不限于律师费、案件受理费、仲裁费、鉴定费、保全费、保全担保费、差旅费、公证费、公告费等），概由违约方及/或过错方承担。</w:t>
      </w:r>
    </w:p>
    <w:p w14:paraId="78EAC4C0">
      <w:pPr>
        <w:pStyle w:val="28"/>
        <w:spacing w:line="400" w:lineRule="exact"/>
        <w:ind w:firstLine="440" w:firstLineChars="200"/>
        <w:rPr>
          <w:rFonts w:hAnsi="宋体"/>
          <w:lang w:eastAsia="zh-CN"/>
        </w:rPr>
      </w:pPr>
      <w:r>
        <w:rPr>
          <w:rFonts w:hint="eastAsia" w:hAnsi="宋体"/>
          <w:lang w:eastAsia="zh-CN"/>
        </w:rPr>
        <w:t xml:space="preserve">第十二条 </w:t>
      </w:r>
      <w:r>
        <w:rPr>
          <w:rFonts w:hAnsi="宋体"/>
          <w:lang w:eastAsia="zh-CN"/>
        </w:rPr>
        <w:t>廉洁条款</w:t>
      </w:r>
    </w:p>
    <w:p w14:paraId="618AE618">
      <w:pPr>
        <w:pStyle w:val="28"/>
        <w:spacing w:line="400" w:lineRule="exact"/>
        <w:ind w:firstLine="440" w:firstLineChars="200"/>
        <w:rPr>
          <w:rFonts w:hAnsi="宋体"/>
          <w:lang w:eastAsia="zh-CN"/>
        </w:rPr>
      </w:pPr>
      <w:r>
        <w:rPr>
          <w:rFonts w:hAnsi="宋体"/>
          <w:lang w:eastAsia="zh-CN"/>
        </w:rPr>
        <w:t>1. 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14:paraId="32985789">
      <w:pPr>
        <w:pStyle w:val="28"/>
        <w:spacing w:line="400" w:lineRule="exact"/>
        <w:ind w:firstLine="440" w:firstLineChars="200"/>
        <w:rPr>
          <w:rFonts w:hAnsi="宋体"/>
          <w:lang w:eastAsia="zh-CN"/>
        </w:rPr>
      </w:pPr>
      <w:r>
        <w:rPr>
          <w:rFonts w:hAnsi="宋体"/>
          <w:lang w:eastAsia="zh-CN"/>
        </w:rPr>
        <w:t>2. 双方确认，任何一方实施违反前述规定的行为都构成违约，应当向守约方支付违约金，违约金金额为本合同金额20%，如给守约方造成的损失超过本条约定的违约金金额，超出部分的损失，违约方还应予以赔偿。并且，守约方有权视违约方违约情节的严重程度，解除本合同和/或将违约方纳入限制或禁止交易的对象。</w:t>
      </w:r>
    </w:p>
    <w:p w14:paraId="133007FA">
      <w:pPr>
        <w:pStyle w:val="28"/>
        <w:spacing w:line="400" w:lineRule="exact"/>
        <w:ind w:firstLine="440" w:firstLineChars="200"/>
        <w:rPr>
          <w:rFonts w:hAnsi="宋体"/>
          <w:lang w:eastAsia="zh-CN"/>
        </w:rPr>
      </w:pPr>
      <w:r>
        <w:rPr>
          <w:rFonts w:hAnsi="宋体"/>
          <w:lang w:eastAsia="zh-CN"/>
        </w:rPr>
        <w:t>第十</w:t>
      </w:r>
      <w:r>
        <w:rPr>
          <w:rFonts w:hint="eastAsia" w:hAnsi="宋体"/>
          <w:lang w:eastAsia="zh-CN"/>
        </w:rPr>
        <w:t>三</w:t>
      </w:r>
      <w:r>
        <w:rPr>
          <w:rFonts w:hAnsi="宋体"/>
          <w:lang w:eastAsia="zh-CN"/>
        </w:rPr>
        <w:t>条 通知送达条款</w:t>
      </w:r>
    </w:p>
    <w:p w14:paraId="54E77B26">
      <w:pPr>
        <w:pStyle w:val="28"/>
        <w:spacing w:line="400" w:lineRule="exact"/>
        <w:ind w:firstLine="440" w:firstLineChars="200"/>
        <w:rPr>
          <w:rFonts w:hAnsi="宋体"/>
          <w:lang w:eastAsia="zh-CN"/>
        </w:rPr>
      </w:pPr>
      <w:r>
        <w:rPr>
          <w:rFonts w:hAnsi="宋体"/>
          <w:lang w:eastAsia="zh-CN"/>
        </w:rPr>
        <w:t>1．与本合同有关的批准文件、通知、证明、证书、指示、指令、要求、请求、意见、确定和决定等，均应采用书面形式或合同双方确认的其他形式，并应在合同约定的期限内送达接收人。</w:t>
      </w:r>
    </w:p>
    <w:p w14:paraId="4F6C3D44">
      <w:pPr>
        <w:pStyle w:val="28"/>
        <w:spacing w:line="400" w:lineRule="exact"/>
        <w:ind w:firstLine="440" w:firstLineChars="200"/>
        <w:rPr>
          <w:rFonts w:hAnsi="宋体"/>
          <w:lang w:eastAsia="zh-CN"/>
        </w:rPr>
      </w:pPr>
      <w:r>
        <w:rPr>
          <w:rFonts w:hAnsi="宋体"/>
          <w:lang w:eastAsia="zh-CN"/>
        </w:rPr>
        <w:t>2．除非本合同另有约定，本合同项下双方之间的一切通知均可通过传真、邮递、快递、电子邮件或双方同意的其他方式送达以下地址：</w:t>
      </w:r>
      <w:r>
        <w:rPr>
          <w:rFonts w:hAnsi="宋体"/>
          <w:lang w:eastAsia="zh-CN"/>
        </w:rPr>
        <w:tab/>
      </w:r>
    </w:p>
    <w:p w14:paraId="06773917">
      <w:pPr>
        <w:pStyle w:val="28"/>
        <w:spacing w:line="400" w:lineRule="exact"/>
        <w:ind w:firstLine="440" w:firstLineChars="200"/>
        <w:rPr>
          <w:rFonts w:hAnsi="宋体"/>
          <w:lang w:eastAsia="zh-CN"/>
        </w:rPr>
      </w:pPr>
      <w:r>
        <w:rPr>
          <w:rFonts w:hint="eastAsia" w:hAnsi="宋体"/>
          <w:lang w:eastAsia="zh-CN"/>
        </w:rPr>
        <w:t>甲方联系人：</w:t>
      </w:r>
      <w:r>
        <w:rPr>
          <w:rFonts w:hAnsi="宋体"/>
          <w:lang w:eastAsia="zh-CN"/>
        </w:rPr>
        <w:tab/>
      </w:r>
      <w:r>
        <w:rPr>
          <w:rFonts w:hAnsi="宋体"/>
          <w:lang w:eastAsia="zh-CN"/>
        </w:rPr>
        <w:tab/>
      </w:r>
      <w:r>
        <w:rPr>
          <w:rFonts w:hAnsi="宋体"/>
          <w:lang w:eastAsia="zh-CN"/>
        </w:rPr>
        <w:t xml:space="preserve">                乙方联系人：</w:t>
      </w:r>
    </w:p>
    <w:p w14:paraId="26D5E39A">
      <w:pPr>
        <w:pStyle w:val="28"/>
        <w:spacing w:line="400" w:lineRule="exact"/>
        <w:ind w:firstLine="440" w:firstLineChars="200"/>
        <w:rPr>
          <w:rFonts w:hAnsi="宋体"/>
          <w:lang w:eastAsia="zh-CN"/>
        </w:rPr>
      </w:pPr>
      <w:r>
        <w:rPr>
          <w:rFonts w:hint="eastAsia" w:hAnsi="宋体"/>
          <w:lang w:eastAsia="zh-CN"/>
        </w:rPr>
        <w:t>联系电话：</w:t>
      </w:r>
      <w:r>
        <w:rPr>
          <w:rFonts w:hAnsi="宋体"/>
          <w:lang w:eastAsia="zh-CN"/>
        </w:rPr>
        <w:t xml:space="preserve">                        </w:t>
      </w:r>
      <w:r>
        <w:rPr>
          <w:rFonts w:hint="eastAsia" w:hAnsi="宋体"/>
          <w:lang w:val="en-US" w:eastAsia="zh-CN"/>
        </w:rPr>
        <w:t xml:space="preserve">    </w:t>
      </w:r>
      <w:r>
        <w:rPr>
          <w:rFonts w:hAnsi="宋体"/>
          <w:lang w:eastAsia="zh-CN"/>
        </w:rPr>
        <w:t xml:space="preserve"> 联系电话：</w:t>
      </w:r>
    </w:p>
    <w:p w14:paraId="76893FEB">
      <w:pPr>
        <w:pStyle w:val="28"/>
        <w:spacing w:line="400" w:lineRule="exact"/>
        <w:ind w:firstLine="440" w:firstLineChars="200"/>
        <w:rPr>
          <w:rFonts w:hAnsi="宋体"/>
          <w:lang w:eastAsia="zh-CN"/>
        </w:rPr>
      </w:pPr>
      <w:r>
        <w:rPr>
          <w:rFonts w:hint="eastAsia" w:hAnsi="宋体"/>
          <w:lang w:eastAsia="zh-CN"/>
        </w:rPr>
        <w:t>通讯地址：</w:t>
      </w:r>
      <w:r>
        <w:rPr>
          <w:rFonts w:hAnsi="宋体"/>
          <w:lang w:eastAsia="zh-CN"/>
        </w:rPr>
        <w:tab/>
      </w:r>
      <w:r>
        <w:rPr>
          <w:rFonts w:hAnsi="宋体"/>
          <w:lang w:eastAsia="zh-CN"/>
        </w:rPr>
        <w:t xml:space="preserve">                     </w:t>
      </w:r>
      <w:r>
        <w:rPr>
          <w:rFonts w:hint="eastAsia" w:hAnsi="宋体"/>
          <w:lang w:val="en-US" w:eastAsia="zh-CN"/>
        </w:rPr>
        <w:t xml:space="preserve">   </w:t>
      </w:r>
      <w:r>
        <w:rPr>
          <w:rFonts w:hAnsi="宋体"/>
          <w:lang w:eastAsia="zh-CN"/>
        </w:rPr>
        <w:t xml:space="preserve">  通讯地址：</w:t>
      </w:r>
    </w:p>
    <w:p w14:paraId="0A660453">
      <w:pPr>
        <w:pStyle w:val="28"/>
        <w:spacing w:line="400" w:lineRule="exact"/>
        <w:ind w:firstLine="440" w:firstLineChars="200"/>
        <w:rPr>
          <w:rFonts w:hAnsi="宋体"/>
          <w:lang w:eastAsia="zh-CN"/>
        </w:rPr>
      </w:pPr>
      <w:r>
        <w:rPr>
          <w:rFonts w:hint="eastAsia" w:hAnsi="宋体"/>
          <w:lang w:eastAsia="zh-CN"/>
        </w:rPr>
        <w:t>邮政编码：</w:t>
      </w:r>
      <w:r>
        <w:rPr>
          <w:rFonts w:hAnsi="宋体"/>
          <w:lang w:eastAsia="zh-CN"/>
        </w:rPr>
        <w:tab/>
      </w:r>
      <w:r>
        <w:rPr>
          <w:rFonts w:hAnsi="宋体"/>
          <w:lang w:eastAsia="zh-CN"/>
        </w:rPr>
        <w:tab/>
      </w:r>
      <w:r>
        <w:rPr>
          <w:rFonts w:hAnsi="宋体"/>
          <w:lang w:eastAsia="zh-CN"/>
        </w:rPr>
        <w:t xml:space="preserve">                    邮政编码：</w:t>
      </w:r>
    </w:p>
    <w:p w14:paraId="06C091A3">
      <w:pPr>
        <w:pStyle w:val="28"/>
        <w:spacing w:line="400" w:lineRule="exact"/>
        <w:ind w:firstLine="440" w:firstLineChars="200"/>
        <w:rPr>
          <w:rFonts w:hAnsi="宋体"/>
          <w:lang w:eastAsia="zh-CN"/>
        </w:rPr>
      </w:pPr>
      <w:r>
        <w:rPr>
          <w:rFonts w:hint="eastAsia" w:hAnsi="宋体"/>
          <w:lang w:eastAsia="zh-CN"/>
        </w:rPr>
        <w:t>电子邮箱：</w:t>
      </w:r>
      <w:r>
        <w:rPr>
          <w:rFonts w:hAnsi="宋体"/>
          <w:lang w:eastAsia="zh-CN"/>
        </w:rPr>
        <w:tab/>
      </w:r>
      <w:r>
        <w:rPr>
          <w:rFonts w:hAnsi="宋体"/>
          <w:lang w:eastAsia="zh-CN"/>
        </w:rPr>
        <w:tab/>
      </w:r>
      <w:r>
        <w:rPr>
          <w:rFonts w:hAnsi="宋体"/>
          <w:lang w:eastAsia="zh-CN"/>
        </w:rPr>
        <w:t xml:space="preserve">                    电子邮箱：</w:t>
      </w:r>
      <w:r>
        <w:rPr>
          <w:rFonts w:hAnsi="宋体"/>
          <w:lang w:eastAsia="zh-CN"/>
        </w:rPr>
        <w:tab/>
      </w:r>
      <w:r>
        <w:rPr>
          <w:rFonts w:hAnsi="宋体"/>
          <w:lang w:eastAsia="zh-CN"/>
        </w:rPr>
        <w:tab/>
      </w:r>
    </w:p>
    <w:p w14:paraId="249FD782">
      <w:pPr>
        <w:pStyle w:val="28"/>
        <w:spacing w:line="400" w:lineRule="exact"/>
        <w:ind w:firstLine="440" w:firstLineChars="200"/>
        <w:rPr>
          <w:rFonts w:hAnsi="宋体"/>
          <w:lang w:eastAsia="zh-CN"/>
        </w:rPr>
      </w:pPr>
      <w:r>
        <w:rPr>
          <w:rFonts w:hAnsi="宋体"/>
          <w:lang w:eastAsia="zh-CN"/>
        </w:rPr>
        <w:t>3．通知在下列日期视为送达被通知方：</w:t>
      </w:r>
    </w:p>
    <w:p w14:paraId="231B6008">
      <w:pPr>
        <w:pStyle w:val="28"/>
        <w:spacing w:line="400" w:lineRule="exact"/>
        <w:ind w:firstLine="440" w:firstLineChars="200"/>
        <w:rPr>
          <w:rFonts w:hAnsi="宋体"/>
          <w:lang w:eastAsia="zh-CN"/>
        </w:rPr>
      </w:pPr>
      <w:r>
        <w:rPr>
          <w:rFonts w:hint="eastAsia" w:hAnsi="宋体"/>
          <w:lang w:eastAsia="zh-CN"/>
        </w:rPr>
        <w:t>（</w:t>
      </w:r>
      <w:r>
        <w:rPr>
          <w:rFonts w:hAnsi="宋体"/>
          <w:lang w:eastAsia="zh-CN"/>
        </w:rPr>
        <w:t>1）由挂号信邮递，发出通知一方持有的挂号信回执所示日；</w:t>
      </w:r>
    </w:p>
    <w:p w14:paraId="6C3FE985">
      <w:pPr>
        <w:pStyle w:val="28"/>
        <w:spacing w:line="400" w:lineRule="exact"/>
        <w:ind w:firstLine="440" w:firstLineChars="200"/>
        <w:rPr>
          <w:rFonts w:hAnsi="宋体"/>
          <w:lang w:eastAsia="zh-CN"/>
        </w:rPr>
      </w:pPr>
      <w:r>
        <w:rPr>
          <w:rFonts w:hint="eastAsia" w:hAnsi="宋体"/>
          <w:lang w:eastAsia="zh-CN"/>
        </w:rPr>
        <w:t>（</w:t>
      </w:r>
      <w:r>
        <w:rPr>
          <w:rFonts w:hAnsi="宋体"/>
          <w:lang w:eastAsia="zh-CN"/>
        </w:rPr>
        <w:t>2）由特快专递发送，以收件人签收日为送达日，收件人未签收的，以寄出日后第四个工作日为送达日；</w:t>
      </w:r>
    </w:p>
    <w:p w14:paraId="6AEE929E">
      <w:pPr>
        <w:pStyle w:val="28"/>
        <w:spacing w:line="400" w:lineRule="exact"/>
        <w:ind w:firstLine="440" w:firstLineChars="200"/>
        <w:rPr>
          <w:rFonts w:hAnsi="宋体"/>
          <w:lang w:eastAsia="zh-CN"/>
        </w:rPr>
      </w:pPr>
      <w:r>
        <w:rPr>
          <w:rFonts w:hint="eastAsia" w:hAnsi="宋体"/>
          <w:lang w:eastAsia="zh-CN"/>
        </w:rPr>
        <w:t>（</w:t>
      </w:r>
      <w:r>
        <w:rPr>
          <w:rFonts w:hAnsi="宋体"/>
          <w:lang w:eastAsia="zh-CN"/>
        </w:rPr>
        <w:t>3）由电子邮件发送，以发出通知一方邮件系统显示已成功投递对方服务器的当日。</w:t>
      </w:r>
    </w:p>
    <w:p w14:paraId="69BEF5AB">
      <w:pPr>
        <w:pStyle w:val="28"/>
        <w:spacing w:line="400" w:lineRule="exact"/>
        <w:ind w:firstLine="440" w:firstLineChars="200"/>
        <w:rPr>
          <w:rFonts w:hint="eastAsia" w:hAnsi="宋体"/>
          <w:lang w:eastAsia="zh-CN"/>
        </w:rPr>
      </w:pPr>
      <w:r>
        <w:rPr>
          <w:rFonts w:hAnsi="宋体"/>
          <w:lang w:eastAsia="zh-CN"/>
        </w:rPr>
        <w:t>4．双方的通讯地址可作为法院、仲裁庭送达诉讼、仲裁文书的地址，一方的通讯地址或联系方式如发生变动，应立即书面通知对方，因未及时通知而造成的损失由通讯地址或联系方式变动方自行承担。</w:t>
      </w:r>
    </w:p>
    <w:p w14:paraId="7766AFF0">
      <w:pPr>
        <w:pStyle w:val="28"/>
        <w:spacing w:line="400" w:lineRule="exact"/>
        <w:ind w:firstLine="440" w:firstLineChars="200"/>
        <w:rPr>
          <w:rFonts w:hAnsi="宋体"/>
          <w:lang w:eastAsia="zh-CN"/>
        </w:rPr>
      </w:pPr>
      <w:r>
        <w:rPr>
          <w:rFonts w:hint="eastAsia" w:hAnsi="宋体"/>
          <w:lang w:eastAsia="zh-CN"/>
        </w:rPr>
        <w:t>第十四条</w:t>
      </w:r>
      <w:r>
        <w:rPr>
          <w:rFonts w:hAnsi="宋体"/>
          <w:lang w:eastAsia="zh-CN"/>
        </w:rPr>
        <w:t xml:space="preserve"> 知识产权</w:t>
      </w:r>
    </w:p>
    <w:p w14:paraId="397886A5">
      <w:pPr>
        <w:pStyle w:val="28"/>
        <w:spacing w:line="400" w:lineRule="exact"/>
        <w:ind w:firstLine="440" w:firstLineChars="200"/>
        <w:rPr>
          <w:rFonts w:hAnsi="宋体"/>
          <w:lang w:eastAsia="zh-CN"/>
        </w:rPr>
      </w:pPr>
      <w:r>
        <w:rPr>
          <w:rFonts w:hAnsi="宋体"/>
          <w:lang w:eastAsia="zh-CN"/>
        </w:rPr>
        <w:t>1．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14:paraId="5FD2368A">
      <w:pPr>
        <w:pStyle w:val="28"/>
        <w:spacing w:line="400" w:lineRule="exact"/>
        <w:ind w:firstLine="440" w:firstLineChars="200"/>
        <w:rPr>
          <w:rFonts w:hAnsi="宋体"/>
          <w:lang w:eastAsia="zh-CN"/>
        </w:rPr>
      </w:pPr>
      <w:r>
        <w:rPr>
          <w:rFonts w:hAnsi="宋体"/>
          <w:lang w:eastAsia="zh-CN"/>
        </w:rPr>
        <w:t>2.乙方保证其向甲方提供的服务及成果（包括但不限于报告、数据、分析模型等）不侵犯任何第三方的知识产权、商业秘密等合法权益。如因乙方提供的服务或成果导致任何第三方对甲方提出索赔、诉讼或仲裁，乙方应承担全部法律责任，并赔偿甲方因此遭受的全部损失（包括但不限于赔偿款、诉讼费、律师费、差旅费、商誉损失等）。</w:t>
      </w:r>
    </w:p>
    <w:p w14:paraId="0D568733">
      <w:pPr>
        <w:pStyle w:val="28"/>
        <w:spacing w:line="400" w:lineRule="exact"/>
        <w:ind w:firstLine="440" w:firstLineChars="200"/>
        <w:rPr>
          <w:rFonts w:hAnsi="宋体"/>
          <w:lang w:eastAsia="zh-CN"/>
        </w:rPr>
      </w:pPr>
      <w:r>
        <w:rPr>
          <w:rFonts w:hint="eastAsia" w:hAnsi="宋体"/>
          <w:lang w:eastAsia="zh-CN"/>
        </w:rPr>
        <w:t>第十五条</w:t>
      </w:r>
      <w:r>
        <w:rPr>
          <w:rFonts w:hAnsi="宋体"/>
          <w:lang w:eastAsia="zh-CN"/>
        </w:rPr>
        <w:t xml:space="preserve"> 合同效力</w:t>
      </w:r>
    </w:p>
    <w:p w14:paraId="2C8BE6AE">
      <w:pPr>
        <w:pStyle w:val="28"/>
        <w:spacing w:line="400" w:lineRule="exact"/>
        <w:ind w:firstLine="440" w:firstLineChars="200"/>
        <w:rPr>
          <w:rFonts w:hAnsi="宋体"/>
          <w:lang w:eastAsia="zh-CN"/>
        </w:rPr>
      </w:pPr>
      <w:r>
        <w:rPr>
          <w:rFonts w:hAnsi="宋体"/>
          <w:lang w:eastAsia="zh-CN"/>
        </w:rPr>
        <w:t>1．本合同经双方盖章后生效。本合同一式5份，甲方执3份，乙方执 2 份，具有同等法律效力。</w:t>
      </w:r>
    </w:p>
    <w:p w14:paraId="0E1D60D4">
      <w:pPr>
        <w:pStyle w:val="28"/>
        <w:spacing w:line="400" w:lineRule="exact"/>
        <w:ind w:firstLine="440" w:firstLineChars="200"/>
        <w:rPr>
          <w:rFonts w:hAnsi="宋体"/>
          <w:lang w:eastAsia="zh-CN"/>
        </w:rPr>
      </w:pPr>
      <w:r>
        <w:rPr>
          <w:rFonts w:hAnsi="宋体"/>
          <w:lang w:eastAsia="zh-CN"/>
        </w:rPr>
        <w:t>2.</w:t>
      </w:r>
      <w:r>
        <w:rPr>
          <w:rFonts w:hAnsi="宋体"/>
          <w:lang w:eastAsia="zh-CN"/>
        </w:rPr>
        <w:tab/>
      </w:r>
      <w:r>
        <w:rPr>
          <w:rFonts w:hAnsi="宋体"/>
          <w:lang w:eastAsia="zh-CN"/>
        </w:rPr>
        <w:t>本合同未尽事宜，双方协商签订补充协议。</w:t>
      </w:r>
    </w:p>
    <w:p w14:paraId="7BAF6C6F">
      <w:pPr>
        <w:pStyle w:val="28"/>
        <w:spacing w:line="400" w:lineRule="exact"/>
        <w:ind w:firstLine="440" w:firstLineChars="200"/>
        <w:rPr>
          <w:rFonts w:hAnsi="宋体"/>
          <w:lang w:eastAsia="zh-CN"/>
        </w:rPr>
      </w:pPr>
      <w:r>
        <w:rPr>
          <w:rFonts w:hAnsi="宋体"/>
          <w:lang w:eastAsia="zh-CN"/>
        </w:rPr>
        <w:t>3.本合同由主合同正文、附件及其他双方确认的文件共同组成。主合同正文与附件内容、或本合同项下任何文件之间存在矛盾、歧义或表述不一致时，除双方另有书面明确约定外，均应以最有利于甲方（【甲方全称】）利益、权利及风险控制的方式进行解释并执行。乙方确认已充分理解并接受本条款，不得以‘格式条款’、‘显失公平’或‘标准不明’等理由主张条款无效或要求作不利于甲方的解释。</w:t>
      </w:r>
    </w:p>
    <w:p w14:paraId="2B2920EF">
      <w:pPr>
        <w:pStyle w:val="28"/>
        <w:spacing w:line="400" w:lineRule="exact"/>
        <w:rPr>
          <w:rFonts w:hAnsi="宋体"/>
          <w:lang w:eastAsia="zh-CN"/>
        </w:rPr>
      </w:pPr>
    </w:p>
    <w:p w14:paraId="63E13FCC">
      <w:pPr>
        <w:pStyle w:val="28"/>
        <w:spacing w:line="400" w:lineRule="exact"/>
        <w:ind w:firstLine="440" w:firstLineChars="200"/>
        <w:rPr>
          <w:rFonts w:hAnsi="宋体"/>
        </w:rPr>
      </w:pPr>
      <w:r>
        <w:rPr>
          <w:rFonts w:hint="eastAsia" w:hAnsi="宋体"/>
        </w:rPr>
        <w:t>甲方（公章）:   　                                 乙方：（公章）</w:t>
      </w:r>
    </w:p>
    <w:p w14:paraId="5359602E">
      <w:pPr>
        <w:pStyle w:val="28"/>
        <w:spacing w:line="400" w:lineRule="exact"/>
        <w:ind w:firstLine="440" w:firstLineChars="200"/>
        <w:rPr>
          <w:rFonts w:hAnsi="宋体"/>
        </w:rPr>
      </w:pPr>
      <w:r>
        <w:rPr>
          <w:rFonts w:hint="eastAsia" w:hAnsi="宋体"/>
        </w:rPr>
        <w:t xml:space="preserve">                           </w:t>
      </w:r>
    </w:p>
    <w:p w14:paraId="26CBB435">
      <w:pPr>
        <w:pStyle w:val="28"/>
        <w:spacing w:line="400" w:lineRule="exact"/>
        <w:rPr>
          <w:rFonts w:hAnsi="宋体"/>
          <w:lang w:eastAsia="zh-CN"/>
        </w:rPr>
      </w:pPr>
      <w:r>
        <w:rPr>
          <w:rFonts w:hint="eastAsia" w:hAnsi="宋体"/>
          <w:lang w:eastAsia="zh-CN"/>
        </w:rPr>
        <w:t xml:space="preserve">   </w:t>
      </w:r>
      <w:r>
        <w:rPr>
          <w:rFonts w:hAnsi="宋体"/>
          <w:lang w:eastAsia="zh-CN"/>
        </w:rPr>
        <w:t xml:space="preserve">   202</w:t>
      </w:r>
      <w:r>
        <w:rPr>
          <w:rFonts w:hint="eastAsia" w:hAnsi="宋体"/>
          <w:lang w:eastAsia="zh-CN"/>
        </w:rPr>
        <w:t>6</w:t>
      </w:r>
      <w:r>
        <w:rPr>
          <w:rFonts w:hAnsi="宋体"/>
          <w:lang w:eastAsia="zh-CN"/>
        </w:rPr>
        <w:t>年</w:t>
      </w:r>
      <w:r>
        <w:rPr>
          <w:rFonts w:hint="eastAsia" w:hAnsi="宋体"/>
          <w:lang w:eastAsia="zh-CN"/>
        </w:rPr>
        <w:t>9</w:t>
      </w:r>
      <w:r>
        <w:rPr>
          <w:rFonts w:hAnsi="宋体"/>
          <w:lang w:eastAsia="zh-CN"/>
        </w:rPr>
        <w:t>月      日</w:t>
      </w:r>
      <w:r>
        <w:rPr>
          <w:rFonts w:hint="eastAsia" w:hAnsi="宋体"/>
          <w:lang w:eastAsia="zh-CN"/>
        </w:rPr>
        <w:t xml:space="preserve">                             </w:t>
      </w:r>
      <w:r>
        <w:rPr>
          <w:rFonts w:hAnsi="宋体"/>
          <w:lang w:eastAsia="zh-CN"/>
        </w:rPr>
        <w:t>202</w:t>
      </w:r>
      <w:r>
        <w:rPr>
          <w:rFonts w:hint="eastAsia" w:hAnsi="宋体"/>
          <w:lang w:eastAsia="zh-CN"/>
        </w:rPr>
        <w:t>6</w:t>
      </w:r>
      <w:r>
        <w:rPr>
          <w:rFonts w:hAnsi="宋体"/>
          <w:lang w:eastAsia="zh-CN"/>
        </w:rPr>
        <w:t>年</w:t>
      </w:r>
      <w:r>
        <w:rPr>
          <w:rFonts w:hint="eastAsia" w:hAnsi="宋体"/>
          <w:lang w:eastAsia="zh-CN"/>
        </w:rPr>
        <w:t>9</w:t>
      </w:r>
      <w:r>
        <w:rPr>
          <w:rFonts w:hAnsi="宋体"/>
          <w:lang w:eastAsia="zh-CN"/>
        </w:rPr>
        <w:t>月      日</w:t>
      </w:r>
    </w:p>
    <w:p w14:paraId="6FCD1384">
      <w:pPr>
        <w:tabs>
          <w:tab w:val="left" w:pos="420"/>
        </w:tabs>
        <w:rPr>
          <w:sz w:val="24"/>
          <w:szCs w:val="24"/>
          <w:lang w:eastAsia="zh-CN"/>
        </w:rPr>
      </w:pPr>
    </w:p>
    <w:p w14:paraId="7D126328">
      <w:pPr>
        <w:pStyle w:val="2"/>
        <w:rPr>
          <w:szCs w:val="21"/>
        </w:rPr>
      </w:pPr>
    </w:p>
    <w:p w14:paraId="61D7EBA3">
      <w:pPr>
        <w:pStyle w:val="2"/>
        <w:rPr>
          <w:szCs w:val="21"/>
        </w:rPr>
      </w:pPr>
    </w:p>
    <w:p w14:paraId="05D36D27">
      <w:pPr>
        <w:pStyle w:val="2"/>
        <w:rPr>
          <w:b/>
          <w:bCs/>
          <w:sz w:val="24"/>
          <w:szCs w:val="24"/>
        </w:rPr>
      </w:pPr>
    </w:p>
    <w:p w14:paraId="3E786E4F">
      <w:pPr>
        <w:jc w:val="center"/>
        <w:rPr>
          <w:b/>
          <w:bCs/>
          <w:sz w:val="24"/>
          <w:szCs w:val="24"/>
          <w:lang w:eastAsia="zh-CN"/>
        </w:rPr>
      </w:pPr>
      <w:r>
        <w:rPr>
          <w:rFonts w:hint="eastAsia"/>
          <w:b/>
          <w:bCs/>
          <w:sz w:val="24"/>
          <w:szCs w:val="24"/>
          <w:lang w:eastAsia="zh-CN"/>
        </w:rPr>
        <w:t>附件1、福建福海创石油化工有限公司</w:t>
      </w:r>
    </w:p>
    <w:p w14:paraId="0ED835A0">
      <w:pPr>
        <w:jc w:val="center"/>
        <w:rPr>
          <w:b/>
          <w:bCs/>
          <w:sz w:val="24"/>
          <w:szCs w:val="24"/>
          <w:lang w:eastAsia="zh-CN"/>
        </w:rPr>
      </w:pPr>
      <w:r>
        <w:rPr>
          <w:rFonts w:hint="eastAsia"/>
          <w:b/>
          <w:bCs/>
          <w:sz w:val="24"/>
          <w:szCs w:val="24"/>
          <w:lang w:eastAsia="zh-CN"/>
        </w:rPr>
        <w:t>PTA现场人员用房、吸附分离预处理装置等项目竣工消防设施及工程防火检测委托技术服务的发包说明</w:t>
      </w:r>
    </w:p>
    <w:p w14:paraId="4A859911">
      <w:pPr>
        <w:pStyle w:val="75"/>
        <w:numPr>
          <w:ilvl w:val="0"/>
          <w:numId w:val="8"/>
        </w:numPr>
        <w:spacing w:line="360" w:lineRule="auto"/>
        <w:rPr>
          <w:b/>
          <w:bCs/>
        </w:rPr>
      </w:pPr>
      <w:r>
        <w:rPr>
          <w:rFonts w:hint="eastAsia"/>
          <w:b/>
          <w:bCs/>
        </w:rPr>
        <w:t>项目简介</w:t>
      </w:r>
    </w:p>
    <w:p w14:paraId="4E38A4FC">
      <w:pPr>
        <w:widowControl/>
        <w:spacing w:line="360" w:lineRule="auto"/>
        <w:ind w:firstLine="440" w:firstLineChars="200"/>
        <w:rPr>
          <w:color w:val="000000"/>
          <w:lang w:eastAsia="zh-CN"/>
        </w:rPr>
      </w:pPr>
      <w:r>
        <w:rPr>
          <w:rFonts w:hint="eastAsia"/>
          <w:color w:val="000000"/>
          <w:lang w:eastAsia="zh-CN"/>
        </w:rPr>
        <w:t>为满足政府主管部门对项目消防验收的相关要求，需委托第三方消防专业检测机构，对建设项目进行项目竣工消防设施及工程防火检测。截至2026年6月，需委托进行竣工消防设施及工程防火检测的有以下项目：</w:t>
      </w:r>
    </w:p>
    <w:p w14:paraId="1AE8ABA5">
      <w:pPr>
        <w:pStyle w:val="75"/>
        <w:widowControl/>
        <w:numPr>
          <w:ilvl w:val="1"/>
          <w:numId w:val="9"/>
        </w:numPr>
        <w:spacing w:line="360" w:lineRule="auto"/>
        <w:ind w:left="567" w:hanging="567"/>
      </w:pPr>
      <w:r>
        <w:rPr>
          <w:rFonts w:hint="eastAsia"/>
        </w:rPr>
        <w:t>PTA现场人员用房</w:t>
      </w:r>
    </w:p>
    <w:p w14:paraId="6B0D8A04">
      <w:pPr>
        <w:pStyle w:val="75"/>
        <w:widowControl/>
        <w:numPr>
          <w:ilvl w:val="1"/>
          <w:numId w:val="9"/>
        </w:numPr>
        <w:spacing w:line="360" w:lineRule="auto"/>
        <w:ind w:left="567" w:hanging="567"/>
      </w:pPr>
      <w:r>
        <w:rPr>
          <w:rFonts w:hint="eastAsia"/>
        </w:rPr>
        <w:t>PTA危废仓库</w:t>
      </w:r>
    </w:p>
    <w:p w14:paraId="0174BAAF">
      <w:pPr>
        <w:pStyle w:val="75"/>
        <w:widowControl/>
        <w:numPr>
          <w:ilvl w:val="1"/>
          <w:numId w:val="9"/>
        </w:numPr>
        <w:spacing w:line="360" w:lineRule="auto"/>
        <w:ind w:left="567" w:hanging="567"/>
        <w:rPr>
          <w:lang w:eastAsia="zh-CN"/>
        </w:rPr>
      </w:pPr>
      <w:r>
        <w:rPr>
          <w:rFonts w:hint="eastAsia"/>
          <w:color w:val="000000"/>
          <w:lang w:eastAsia="zh-CN"/>
        </w:rPr>
        <w:t>码头新建煤仓及输煤系统改造项目</w:t>
      </w:r>
    </w:p>
    <w:p w14:paraId="762A8F88">
      <w:pPr>
        <w:pStyle w:val="75"/>
        <w:widowControl/>
        <w:numPr>
          <w:ilvl w:val="1"/>
          <w:numId w:val="9"/>
        </w:numPr>
        <w:spacing w:line="360" w:lineRule="auto"/>
        <w:ind w:left="567" w:hanging="567"/>
        <w:rPr>
          <w:color w:val="000000"/>
          <w:lang w:eastAsia="zh-CN"/>
        </w:rPr>
      </w:pPr>
      <w:r>
        <w:rPr>
          <w:rFonts w:hint="eastAsia"/>
          <w:lang w:eastAsia="zh-CN"/>
        </w:rPr>
        <w:t>变电所（SS16-5）及机柜间（FAR11）</w:t>
      </w:r>
    </w:p>
    <w:p w14:paraId="59D14AF1">
      <w:pPr>
        <w:pStyle w:val="75"/>
        <w:widowControl/>
        <w:numPr>
          <w:ilvl w:val="1"/>
          <w:numId w:val="9"/>
        </w:numPr>
        <w:spacing w:line="360" w:lineRule="auto"/>
        <w:ind w:left="567" w:hanging="567"/>
        <w:rPr>
          <w:color w:val="000000"/>
        </w:rPr>
      </w:pPr>
      <w:r>
        <w:rPr>
          <w:rFonts w:hint="eastAsia"/>
        </w:rPr>
        <w:t>吸附分离预处理</w:t>
      </w:r>
      <w:r>
        <w:rPr>
          <w:rFonts w:hint="eastAsia"/>
          <w:lang w:eastAsia="zh-CN"/>
        </w:rPr>
        <w:t>装置</w:t>
      </w:r>
    </w:p>
    <w:p w14:paraId="4C9BE078">
      <w:pPr>
        <w:pStyle w:val="75"/>
        <w:numPr>
          <w:ilvl w:val="0"/>
          <w:numId w:val="8"/>
        </w:numPr>
        <w:spacing w:line="360" w:lineRule="auto"/>
        <w:rPr>
          <w:b/>
          <w:bCs/>
          <w:lang w:eastAsia="zh-CN"/>
        </w:rPr>
      </w:pPr>
      <w:r>
        <w:rPr>
          <w:rFonts w:hint="eastAsia"/>
          <w:b/>
          <w:bCs/>
          <w:lang w:eastAsia="zh-CN"/>
        </w:rPr>
        <w:t>消防设施及防火检测、测试内容</w:t>
      </w:r>
    </w:p>
    <w:p w14:paraId="12FF4745">
      <w:pPr>
        <w:pStyle w:val="75"/>
        <w:numPr>
          <w:ilvl w:val="0"/>
          <w:numId w:val="10"/>
        </w:numPr>
        <w:tabs>
          <w:tab w:val="left" w:pos="567"/>
        </w:tabs>
        <w:spacing w:line="360" w:lineRule="auto"/>
        <w:rPr>
          <w:lang w:eastAsia="zh-CN"/>
        </w:rPr>
      </w:pPr>
      <w:r>
        <w:rPr>
          <w:rFonts w:hint="eastAsia"/>
          <w:lang w:eastAsia="zh-CN"/>
        </w:rPr>
        <w:t>消防设施检测，按各装置项目消防设计内容，包括但不限于:消防给水系统、室内外消火栓系统、自动喷水灭火系统、水幕及水喷雾灭火系统、气体灭火系统、泡沫灭火系统、细水雾灭火系统、固定消防炮灭火系统、干粉灭火系统、火灾自动报警系统、可燃气体探测报警系统、电气火灾监控系统、防排烟系统、防火门/防火窗/防火卷帘、消防供配电、消防应急照明和疏散指示系统、灭火器；</w:t>
      </w:r>
    </w:p>
    <w:p w14:paraId="665DD637">
      <w:pPr>
        <w:pStyle w:val="75"/>
        <w:numPr>
          <w:ilvl w:val="0"/>
          <w:numId w:val="10"/>
        </w:numPr>
        <w:tabs>
          <w:tab w:val="left" w:pos="567"/>
        </w:tabs>
        <w:spacing w:line="360" w:lineRule="auto"/>
        <w:rPr>
          <w:lang w:eastAsia="zh-CN"/>
        </w:rPr>
      </w:pPr>
      <w:r>
        <w:rPr>
          <w:rFonts w:hint="eastAsia"/>
          <w:lang w:eastAsia="zh-CN"/>
        </w:rPr>
        <w:t>消防工程防火检测，按各装置项目消防设计内容，包括但不限于：室外总体、建筑与结构、建筑装饰装置、消防给水和灭火设施、供暖通风和空气调节、建筑电气、火灾自动报警系统。</w:t>
      </w:r>
    </w:p>
    <w:p w14:paraId="0AB1BA03">
      <w:pPr>
        <w:pStyle w:val="75"/>
        <w:numPr>
          <w:ilvl w:val="0"/>
          <w:numId w:val="10"/>
        </w:numPr>
        <w:tabs>
          <w:tab w:val="left" w:pos="567"/>
        </w:tabs>
        <w:spacing w:line="360" w:lineRule="auto"/>
        <w:rPr>
          <w:lang w:eastAsia="zh-CN"/>
        </w:rPr>
      </w:pPr>
      <w:r>
        <w:rPr>
          <w:rFonts w:hint="eastAsia"/>
          <w:lang w:eastAsia="zh-CN"/>
        </w:rPr>
        <w:t>钢结构防火涂层厚度检测，</w:t>
      </w:r>
      <w:r>
        <w:rPr>
          <w:rFonts w:hint="eastAsia"/>
          <w:color w:val="000000"/>
          <w:lang w:eastAsia="zh-CN"/>
        </w:rPr>
        <w:t>设计要求做防火处理的钢结构的防火涂层面，包括但不限于：框架钢结构的柱、梁、柱间支撑、檩条、连接件；设备梁、设备支座。</w:t>
      </w:r>
    </w:p>
    <w:p w14:paraId="5740AB0A">
      <w:pPr>
        <w:pStyle w:val="75"/>
        <w:numPr>
          <w:ilvl w:val="0"/>
          <w:numId w:val="10"/>
        </w:numPr>
        <w:tabs>
          <w:tab w:val="left" w:pos="567"/>
        </w:tabs>
        <w:spacing w:line="360" w:lineRule="auto"/>
        <w:rPr>
          <w:lang w:eastAsia="zh-CN"/>
        </w:rPr>
      </w:pPr>
      <w:r>
        <w:rPr>
          <w:rFonts w:hint="eastAsia"/>
          <w:lang w:eastAsia="zh-CN"/>
        </w:rPr>
        <w:t>消防设施性能及系统功能联调联试，按漳州市住建局印发的通知（漳建消[</w:t>
      </w:r>
      <w:r>
        <w:rPr>
          <w:lang w:eastAsia="zh-CN"/>
        </w:rPr>
        <w:t>2022]11</w:t>
      </w:r>
      <w:r>
        <w:rPr>
          <w:rFonts w:hint="eastAsia"/>
          <w:lang w:eastAsia="zh-CN"/>
        </w:rPr>
        <w:t>号）及附表《消防设施性能及系统功能联调联试现场确认表》，包括但不限于：火灾自动报警系统、自动喷水灭火系统、消防给水系统、防烟排烟系统及通风空调系统、消防电气系统、防火卷帘/防火门/防火窗分隔系统、消防控制室设备系统。</w:t>
      </w:r>
    </w:p>
    <w:p w14:paraId="64F81342">
      <w:pPr>
        <w:pStyle w:val="75"/>
        <w:numPr>
          <w:ilvl w:val="0"/>
          <w:numId w:val="8"/>
        </w:numPr>
        <w:spacing w:line="360" w:lineRule="auto"/>
        <w:rPr>
          <w:b/>
          <w:bCs/>
        </w:rPr>
      </w:pPr>
      <w:r>
        <w:rPr>
          <w:rFonts w:hint="eastAsia"/>
          <w:b/>
          <w:bCs/>
        </w:rPr>
        <w:t>资质要求</w:t>
      </w:r>
    </w:p>
    <w:p w14:paraId="76470301">
      <w:pPr>
        <w:pStyle w:val="75"/>
        <w:numPr>
          <w:ilvl w:val="1"/>
          <w:numId w:val="11"/>
        </w:numPr>
        <w:tabs>
          <w:tab w:val="left" w:pos="600"/>
        </w:tabs>
        <w:spacing w:line="360" w:lineRule="auto"/>
        <w:ind w:left="567" w:hanging="567"/>
        <w:rPr>
          <w:lang w:eastAsia="zh-CN"/>
        </w:rPr>
      </w:pPr>
      <w:r>
        <w:rPr>
          <w:rFonts w:hint="eastAsia"/>
          <w:lang w:eastAsia="zh-CN"/>
        </w:rPr>
        <w:t>在福建省消防救援总队“福建省消防技术服务信息平台”公布的技术服务机构列表中维护保养检测四星级及以上的技术服务机构。</w:t>
      </w:r>
    </w:p>
    <w:p w14:paraId="6D8FB877">
      <w:pPr>
        <w:pStyle w:val="75"/>
        <w:numPr>
          <w:ilvl w:val="1"/>
          <w:numId w:val="11"/>
        </w:numPr>
        <w:tabs>
          <w:tab w:val="left" w:pos="600"/>
        </w:tabs>
        <w:spacing w:line="360" w:lineRule="auto"/>
        <w:ind w:left="567" w:hanging="567"/>
        <w:rPr>
          <w:lang w:eastAsia="zh-CN"/>
        </w:rPr>
      </w:pPr>
      <w:r>
        <w:rPr>
          <w:rFonts w:hint="eastAsia"/>
          <w:lang w:eastAsia="zh-CN"/>
        </w:rPr>
        <w:t>提供近三年石化行业消防设施检测业绩，合同复印件（盖单位公章）。</w:t>
      </w:r>
    </w:p>
    <w:p w14:paraId="5D107913">
      <w:pPr>
        <w:pStyle w:val="75"/>
        <w:numPr>
          <w:ilvl w:val="1"/>
          <w:numId w:val="11"/>
        </w:numPr>
        <w:tabs>
          <w:tab w:val="left" w:pos="600"/>
        </w:tabs>
        <w:spacing w:line="360" w:lineRule="auto"/>
        <w:ind w:left="567" w:hanging="567"/>
        <w:rPr>
          <w:lang w:eastAsia="zh-CN"/>
        </w:rPr>
      </w:pPr>
      <w:r>
        <w:rPr>
          <w:rFonts w:hint="eastAsia"/>
          <w:lang w:eastAsia="zh-CN"/>
        </w:rPr>
        <w:t>受托人委派的项目负责人、技术负责人以及其他操作相关人员均应为本单位符合条件的在职在岗人员，且满足相关资格要求：项目负责人应由一级注册消防工程师担任，项目技术负责人应当由具有土建类（包括土建或机电或电气或智能化或给排水或暖通等专业）高级技术职称的人员担任，以上人员需提供有效职称证书复印件（加盖单位公章）和投标截止前半年内连续在投标人单位缴纳社会保险证明的复印件（加盖单位公章）。</w:t>
      </w:r>
    </w:p>
    <w:p w14:paraId="3841A41B">
      <w:pPr>
        <w:pStyle w:val="75"/>
        <w:numPr>
          <w:ilvl w:val="0"/>
          <w:numId w:val="8"/>
        </w:numPr>
        <w:spacing w:line="360" w:lineRule="auto"/>
        <w:rPr>
          <w:b/>
          <w:bCs/>
        </w:rPr>
      </w:pPr>
      <w:r>
        <w:rPr>
          <w:rFonts w:hint="eastAsia"/>
          <w:b/>
          <w:bCs/>
        </w:rPr>
        <w:t>装置项目的检测时间</w:t>
      </w:r>
    </w:p>
    <w:p w14:paraId="434FEF41">
      <w:pPr>
        <w:pStyle w:val="75"/>
        <w:spacing w:line="360" w:lineRule="auto"/>
        <w:ind w:left="720" w:firstLine="0"/>
        <w:jc w:val="center"/>
        <w:rPr>
          <w:b/>
          <w:bCs/>
          <w:color w:val="000000"/>
          <w:lang w:eastAsia="zh-CN"/>
        </w:rPr>
      </w:pPr>
      <w:r>
        <w:rPr>
          <w:rFonts w:hint="eastAsia"/>
          <w:b/>
          <w:bCs/>
          <w:color w:val="000000"/>
          <w:lang w:eastAsia="zh-CN"/>
        </w:rPr>
        <w:t>本次委托装置项目的检测时间计划表</w:t>
      </w:r>
    </w:p>
    <w:tbl>
      <w:tblPr>
        <w:tblStyle w:val="51"/>
        <w:tblW w:w="8789" w:type="dxa"/>
        <w:tblInd w:w="-10" w:type="dxa"/>
        <w:tblLayout w:type="autofit"/>
        <w:tblCellMar>
          <w:top w:w="0" w:type="dxa"/>
          <w:left w:w="108" w:type="dxa"/>
          <w:bottom w:w="0" w:type="dxa"/>
          <w:right w:w="108" w:type="dxa"/>
        </w:tblCellMar>
      </w:tblPr>
      <w:tblGrid>
        <w:gridCol w:w="456"/>
        <w:gridCol w:w="1860"/>
        <w:gridCol w:w="16"/>
        <w:gridCol w:w="1877"/>
        <w:gridCol w:w="1192"/>
        <w:gridCol w:w="2132"/>
        <w:gridCol w:w="1256"/>
      </w:tblGrid>
      <w:tr w14:paraId="484B9E35">
        <w:tblPrEx>
          <w:tblCellMar>
            <w:top w:w="0" w:type="dxa"/>
            <w:left w:w="108" w:type="dxa"/>
            <w:bottom w:w="0" w:type="dxa"/>
            <w:right w:w="108" w:type="dxa"/>
          </w:tblCellMar>
        </w:tblPrEx>
        <w:trPr>
          <w:trHeight w:val="825" w:hRule="atLeast"/>
          <w:tblHeader/>
        </w:trPr>
        <w:tc>
          <w:tcPr>
            <w:tcW w:w="456" w:type="dxa"/>
            <w:tcBorders>
              <w:top w:val="single" w:color="auto" w:sz="8" w:space="0"/>
              <w:left w:val="single" w:color="auto" w:sz="8" w:space="0"/>
              <w:bottom w:val="single" w:color="auto" w:sz="8" w:space="0"/>
              <w:right w:val="single" w:color="auto" w:sz="4" w:space="0"/>
            </w:tcBorders>
            <w:vAlign w:val="center"/>
          </w:tcPr>
          <w:p w14:paraId="67011E3E">
            <w:pPr>
              <w:widowControl/>
              <w:jc w:val="center"/>
              <w:rPr>
                <w:color w:val="000000"/>
              </w:rPr>
            </w:pPr>
            <w:r>
              <w:rPr>
                <w:rFonts w:hint="eastAsia"/>
                <w:color w:val="000000"/>
              </w:rPr>
              <w:t>序号</w:t>
            </w:r>
          </w:p>
        </w:tc>
        <w:tc>
          <w:tcPr>
            <w:tcW w:w="3753" w:type="dxa"/>
            <w:gridSpan w:val="3"/>
            <w:tcBorders>
              <w:top w:val="single" w:color="auto" w:sz="8" w:space="0"/>
              <w:left w:val="nil"/>
              <w:bottom w:val="single" w:color="auto" w:sz="8" w:space="0"/>
              <w:right w:val="single" w:color="auto" w:sz="4" w:space="0"/>
            </w:tcBorders>
            <w:vAlign w:val="center"/>
          </w:tcPr>
          <w:p w14:paraId="30F22ACF">
            <w:pPr>
              <w:widowControl/>
              <w:jc w:val="center"/>
              <w:rPr>
                <w:color w:val="000000"/>
              </w:rPr>
            </w:pPr>
            <w:r>
              <w:rPr>
                <w:rFonts w:hint="eastAsia"/>
                <w:color w:val="000000"/>
              </w:rPr>
              <w:t>名称</w:t>
            </w:r>
          </w:p>
        </w:tc>
        <w:tc>
          <w:tcPr>
            <w:tcW w:w="1192" w:type="dxa"/>
            <w:tcBorders>
              <w:top w:val="single" w:color="auto" w:sz="8" w:space="0"/>
              <w:left w:val="nil"/>
              <w:bottom w:val="single" w:color="auto" w:sz="8" w:space="0"/>
              <w:right w:val="single" w:color="auto" w:sz="4" w:space="0"/>
            </w:tcBorders>
            <w:vAlign w:val="center"/>
          </w:tcPr>
          <w:p w14:paraId="55610B75">
            <w:pPr>
              <w:widowControl/>
              <w:jc w:val="center"/>
              <w:rPr>
                <w:rFonts w:ascii="等线" w:hAnsi="等线" w:eastAsia="等线"/>
                <w:color w:val="000000"/>
              </w:rPr>
            </w:pPr>
            <w:r>
              <w:rPr>
                <w:rFonts w:hint="eastAsia" w:ascii="等线" w:hAnsi="等线" w:eastAsia="等线"/>
                <w:color w:val="000000"/>
              </w:rPr>
              <w:t>占地面积</w:t>
            </w:r>
            <w:r>
              <w:rPr>
                <w:rFonts w:hint="eastAsia" w:ascii="等线" w:hAnsi="等线" w:eastAsia="等线"/>
                <w:color w:val="000000"/>
              </w:rPr>
              <w:br w:type="textWrapping"/>
            </w:r>
            <w:r>
              <w:rPr>
                <w:rFonts w:hint="eastAsia" w:ascii="等线" w:hAnsi="等线" w:eastAsia="等线"/>
                <w:color w:val="000000"/>
              </w:rPr>
              <w:t>（m</w:t>
            </w:r>
            <w:r>
              <w:rPr>
                <w:rFonts w:hint="eastAsia" w:ascii="等线" w:hAnsi="等线" w:eastAsia="等线"/>
                <w:color w:val="000000"/>
                <w:vertAlign w:val="superscript"/>
              </w:rPr>
              <w:t>2</w:t>
            </w:r>
            <w:r>
              <w:rPr>
                <w:rFonts w:hint="eastAsia" w:ascii="等线" w:hAnsi="等线" w:eastAsia="等线"/>
                <w:color w:val="000000"/>
              </w:rPr>
              <w:t>)</w:t>
            </w:r>
          </w:p>
        </w:tc>
        <w:tc>
          <w:tcPr>
            <w:tcW w:w="2132" w:type="dxa"/>
            <w:tcBorders>
              <w:top w:val="single" w:color="auto" w:sz="8" w:space="0"/>
              <w:left w:val="nil"/>
              <w:bottom w:val="single" w:color="auto" w:sz="8" w:space="0"/>
              <w:right w:val="single" w:color="auto" w:sz="4" w:space="0"/>
            </w:tcBorders>
            <w:vAlign w:val="center"/>
          </w:tcPr>
          <w:p w14:paraId="0701738E">
            <w:pPr>
              <w:widowControl/>
              <w:jc w:val="center"/>
              <w:rPr>
                <w:color w:val="000000"/>
              </w:rPr>
            </w:pPr>
            <w:r>
              <w:rPr>
                <w:rFonts w:hint="eastAsia"/>
                <w:color w:val="000000"/>
              </w:rPr>
              <w:t>建筑面积</w:t>
            </w:r>
            <w:r>
              <w:rPr>
                <w:rFonts w:hint="eastAsia"/>
                <w:color w:val="000000"/>
              </w:rPr>
              <w:br w:type="textWrapping"/>
            </w:r>
            <w:r>
              <w:rPr>
                <w:rFonts w:hint="eastAsia"/>
                <w:color w:val="000000"/>
              </w:rPr>
              <w:t>（m</w:t>
            </w:r>
            <w:r>
              <w:rPr>
                <w:rFonts w:hint="eastAsia"/>
                <w:color w:val="000000"/>
                <w:vertAlign w:val="superscript"/>
              </w:rPr>
              <w:t>2</w:t>
            </w:r>
            <w:r>
              <w:rPr>
                <w:rFonts w:hint="eastAsia"/>
                <w:color w:val="000000"/>
              </w:rPr>
              <w:t>）</w:t>
            </w:r>
          </w:p>
        </w:tc>
        <w:tc>
          <w:tcPr>
            <w:tcW w:w="1256" w:type="dxa"/>
            <w:tcBorders>
              <w:top w:val="single" w:color="auto" w:sz="8" w:space="0"/>
              <w:left w:val="nil"/>
              <w:bottom w:val="single" w:color="auto" w:sz="8" w:space="0"/>
              <w:right w:val="single" w:color="auto" w:sz="8" w:space="0"/>
            </w:tcBorders>
            <w:vAlign w:val="center"/>
          </w:tcPr>
          <w:p w14:paraId="0A390398">
            <w:pPr>
              <w:widowControl/>
              <w:jc w:val="center"/>
              <w:rPr>
                <w:color w:val="000000"/>
              </w:rPr>
            </w:pPr>
            <w:r>
              <w:rPr>
                <w:rFonts w:hint="eastAsia"/>
                <w:color w:val="000000"/>
              </w:rPr>
              <w:t>预计检测时间</w:t>
            </w:r>
          </w:p>
        </w:tc>
      </w:tr>
      <w:tr w14:paraId="134AC3D8">
        <w:tblPrEx>
          <w:tblCellMar>
            <w:top w:w="0" w:type="dxa"/>
            <w:left w:w="108" w:type="dxa"/>
            <w:bottom w:w="0" w:type="dxa"/>
            <w:right w:w="108" w:type="dxa"/>
          </w:tblCellMar>
        </w:tblPrEx>
        <w:trPr>
          <w:trHeight w:val="540" w:hRule="atLeast"/>
        </w:trPr>
        <w:tc>
          <w:tcPr>
            <w:tcW w:w="456" w:type="dxa"/>
            <w:tcBorders>
              <w:top w:val="nil"/>
              <w:left w:val="single" w:color="auto" w:sz="8" w:space="0"/>
              <w:bottom w:val="single" w:color="auto" w:sz="8" w:space="0"/>
              <w:right w:val="single" w:color="auto" w:sz="4" w:space="0"/>
            </w:tcBorders>
            <w:vAlign w:val="center"/>
          </w:tcPr>
          <w:p w14:paraId="5E2F4370">
            <w:pPr>
              <w:widowControl/>
              <w:jc w:val="center"/>
              <w:rPr>
                <w:color w:val="000000"/>
              </w:rPr>
            </w:pPr>
            <w:r>
              <w:rPr>
                <w:rFonts w:hint="eastAsia"/>
                <w:color w:val="000000"/>
              </w:rPr>
              <w:t>1</w:t>
            </w:r>
          </w:p>
        </w:tc>
        <w:tc>
          <w:tcPr>
            <w:tcW w:w="3753" w:type="dxa"/>
            <w:gridSpan w:val="3"/>
            <w:tcBorders>
              <w:top w:val="single" w:color="auto" w:sz="8" w:space="0"/>
              <w:left w:val="nil"/>
              <w:bottom w:val="single" w:color="auto" w:sz="8" w:space="0"/>
              <w:right w:val="single" w:color="auto" w:sz="4" w:space="0"/>
            </w:tcBorders>
            <w:vAlign w:val="center"/>
          </w:tcPr>
          <w:p w14:paraId="563B0F8E">
            <w:pPr>
              <w:widowControl/>
              <w:jc w:val="center"/>
              <w:rPr>
                <w:color w:val="000000"/>
                <w:lang w:eastAsia="zh-CN"/>
              </w:rPr>
            </w:pPr>
            <w:r>
              <w:rPr>
                <w:rFonts w:hint="eastAsia"/>
                <w:color w:val="000000"/>
                <w:lang w:eastAsia="zh-CN"/>
              </w:rPr>
              <w:t>年产300万吨精对苯二甲酸（PTA）扩建项目-PTA现场人员用房</w:t>
            </w:r>
          </w:p>
        </w:tc>
        <w:tc>
          <w:tcPr>
            <w:tcW w:w="1192" w:type="dxa"/>
            <w:tcBorders>
              <w:top w:val="nil"/>
              <w:left w:val="nil"/>
              <w:bottom w:val="single" w:color="auto" w:sz="8" w:space="0"/>
              <w:right w:val="single" w:color="auto" w:sz="4" w:space="0"/>
              <w:tl2br w:val="single" w:color="auto" w:sz="4" w:space="0"/>
            </w:tcBorders>
            <w:noWrap/>
            <w:vAlign w:val="center"/>
          </w:tcPr>
          <w:p w14:paraId="32D09BB2">
            <w:pPr>
              <w:widowControl/>
              <w:rPr>
                <w:rFonts w:ascii="等线" w:hAnsi="等线" w:eastAsia="等线"/>
                <w:color w:val="000000"/>
                <w:lang w:eastAsia="zh-CN"/>
              </w:rPr>
            </w:pPr>
            <w:r>
              <w:rPr>
                <w:rFonts w:hint="eastAsia" w:ascii="等线" w:hAnsi="等线" w:eastAsia="等线"/>
                <w:color w:val="000000"/>
                <w:lang w:eastAsia="zh-CN"/>
              </w:rPr>
              <w:t>　</w:t>
            </w:r>
          </w:p>
        </w:tc>
        <w:tc>
          <w:tcPr>
            <w:tcW w:w="2132" w:type="dxa"/>
            <w:tcBorders>
              <w:top w:val="single" w:color="auto" w:sz="8" w:space="0"/>
              <w:left w:val="nil"/>
              <w:bottom w:val="single" w:color="auto" w:sz="8" w:space="0"/>
              <w:right w:val="single" w:color="auto" w:sz="4" w:space="0"/>
            </w:tcBorders>
            <w:vAlign w:val="center"/>
          </w:tcPr>
          <w:p w14:paraId="07F1BEBB">
            <w:pPr>
              <w:widowControl/>
              <w:jc w:val="center"/>
              <w:rPr>
                <w:color w:val="000000"/>
              </w:rPr>
            </w:pPr>
            <w:r>
              <w:rPr>
                <w:rFonts w:hint="eastAsia"/>
                <w:color w:val="000000"/>
              </w:rPr>
              <w:t>1850.57</w:t>
            </w:r>
          </w:p>
        </w:tc>
        <w:tc>
          <w:tcPr>
            <w:tcW w:w="1256" w:type="dxa"/>
            <w:tcBorders>
              <w:top w:val="nil"/>
              <w:left w:val="nil"/>
              <w:bottom w:val="single" w:color="auto" w:sz="8" w:space="0"/>
              <w:right w:val="single" w:color="auto" w:sz="8" w:space="0"/>
            </w:tcBorders>
            <w:vAlign w:val="center"/>
          </w:tcPr>
          <w:p w14:paraId="0766F17C">
            <w:pPr>
              <w:widowControl/>
              <w:jc w:val="center"/>
              <w:rPr>
                <w:color w:val="000000"/>
              </w:rPr>
            </w:pPr>
            <w:r>
              <w:rPr>
                <w:rFonts w:hint="eastAsia"/>
                <w:color w:val="000000"/>
              </w:rPr>
              <w:t>2026.10</w:t>
            </w:r>
          </w:p>
        </w:tc>
      </w:tr>
      <w:tr w14:paraId="3904BE00">
        <w:tblPrEx>
          <w:tblCellMar>
            <w:top w:w="0" w:type="dxa"/>
            <w:left w:w="108" w:type="dxa"/>
            <w:bottom w:w="0" w:type="dxa"/>
            <w:right w:w="108" w:type="dxa"/>
          </w:tblCellMar>
        </w:tblPrEx>
        <w:trPr>
          <w:trHeight w:val="659" w:hRule="atLeast"/>
        </w:trPr>
        <w:tc>
          <w:tcPr>
            <w:tcW w:w="456" w:type="dxa"/>
            <w:vMerge w:val="restart"/>
            <w:tcBorders>
              <w:top w:val="nil"/>
              <w:left w:val="single" w:color="auto" w:sz="8" w:space="0"/>
              <w:right w:val="single" w:color="auto" w:sz="4" w:space="0"/>
            </w:tcBorders>
            <w:vAlign w:val="center"/>
          </w:tcPr>
          <w:p w14:paraId="282DF3AE">
            <w:pPr>
              <w:widowControl/>
              <w:rPr>
                <w:color w:val="000000"/>
              </w:rPr>
            </w:pPr>
            <w:r>
              <w:rPr>
                <w:rFonts w:hint="eastAsia"/>
                <w:color w:val="000000"/>
              </w:rPr>
              <w:t>2</w:t>
            </w:r>
          </w:p>
        </w:tc>
        <w:tc>
          <w:tcPr>
            <w:tcW w:w="1876" w:type="dxa"/>
            <w:gridSpan w:val="2"/>
            <w:vMerge w:val="restart"/>
            <w:tcBorders>
              <w:top w:val="single" w:color="auto" w:sz="4" w:space="0"/>
              <w:left w:val="nil"/>
              <w:right w:val="single" w:color="auto" w:sz="4" w:space="0"/>
            </w:tcBorders>
            <w:vAlign w:val="center"/>
          </w:tcPr>
          <w:p w14:paraId="6C321EA8">
            <w:pPr>
              <w:widowControl/>
              <w:rPr>
                <w:color w:val="000000"/>
              </w:rPr>
            </w:pPr>
            <w:r>
              <w:rPr>
                <w:rFonts w:hint="eastAsia"/>
                <w:color w:val="000000"/>
              </w:rPr>
              <w:t>PTA危废仓库</w:t>
            </w:r>
          </w:p>
        </w:tc>
        <w:tc>
          <w:tcPr>
            <w:tcW w:w="1877" w:type="dxa"/>
            <w:tcBorders>
              <w:top w:val="single" w:color="auto" w:sz="4" w:space="0"/>
              <w:left w:val="nil"/>
              <w:bottom w:val="single" w:color="auto" w:sz="8" w:space="0"/>
              <w:right w:val="single" w:color="auto" w:sz="4" w:space="0"/>
            </w:tcBorders>
            <w:vAlign w:val="center"/>
          </w:tcPr>
          <w:p w14:paraId="05EA2B83">
            <w:pPr>
              <w:widowControl/>
              <w:jc w:val="center"/>
              <w:rPr>
                <w:color w:val="000000"/>
              </w:rPr>
            </w:pPr>
            <w:r>
              <w:rPr>
                <w:rFonts w:hint="eastAsia"/>
                <w:color w:val="000000"/>
              </w:rPr>
              <w:t>PTA危废库1</w:t>
            </w:r>
          </w:p>
        </w:tc>
        <w:tc>
          <w:tcPr>
            <w:tcW w:w="1192" w:type="dxa"/>
            <w:vMerge w:val="restart"/>
            <w:tcBorders>
              <w:top w:val="nil"/>
              <w:left w:val="nil"/>
              <w:right w:val="single" w:color="auto" w:sz="4" w:space="0"/>
              <w:tl2br w:val="single" w:color="auto" w:sz="4" w:space="0"/>
            </w:tcBorders>
            <w:noWrap/>
            <w:vAlign w:val="center"/>
          </w:tcPr>
          <w:p w14:paraId="0393F724">
            <w:pPr>
              <w:widowControl/>
              <w:rPr>
                <w:rFonts w:ascii="等线" w:hAnsi="等线" w:eastAsia="等线"/>
                <w:color w:val="000000"/>
              </w:rPr>
            </w:pPr>
          </w:p>
        </w:tc>
        <w:tc>
          <w:tcPr>
            <w:tcW w:w="2132" w:type="dxa"/>
            <w:tcBorders>
              <w:top w:val="nil"/>
              <w:left w:val="nil"/>
              <w:bottom w:val="single" w:color="auto" w:sz="4" w:space="0"/>
              <w:right w:val="single" w:color="auto" w:sz="4" w:space="0"/>
            </w:tcBorders>
            <w:vAlign w:val="center"/>
          </w:tcPr>
          <w:p w14:paraId="7725B0BC">
            <w:pPr>
              <w:widowControl/>
              <w:jc w:val="center"/>
              <w:rPr>
                <w:color w:val="000000"/>
              </w:rPr>
            </w:pPr>
            <w:r>
              <w:rPr>
                <w:rFonts w:hint="eastAsia"/>
                <w:color w:val="000000"/>
              </w:rPr>
              <w:t>992.96</w:t>
            </w:r>
          </w:p>
        </w:tc>
        <w:tc>
          <w:tcPr>
            <w:tcW w:w="1256" w:type="dxa"/>
            <w:vMerge w:val="restart"/>
            <w:tcBorders>
              <w:top w:val="nil"/>
              <w:left w:val="single" w:color="auto" w:sz="4" w:space="0"/>
              <w:right w:val="single" w:color="auto" w:sz="8" w:space="0"/>
            </w:tcBorders>
            <w:vAlign w:val="center"/>
          </w:tcPr>
          <w:p w14:paraId="2182FBDB">
            <w:pPr>
              <w:widowControl/>
              <w:jc w:val="center"/>
              <w:rPr>
                <w:color w:val="000000"/>
              </w:rPr>
            </w:pPr>
            <w:r>
              <w:rPr>
                <w:rFonts w:hint="eastAsia"/>
                <w:color w:val="000000"/>
              </w:rPr>
              <w:t>2027.3</w:t>
            </w:r>
          </w:p>
        </w:tc>
      </w:tr>
      <w:tr w14:paraId="32C66049">
        <w:tblPrEx>
          <w:tblCellMar>
            <w:top w:w="0" w:type="dxa"/>
            <w:left w:w="108" w:type="dxa"/>
            <w:bottom w:w="0" w:type="dxa"/>
            <w:right w:w="108" w:type="dxa"/>
          </w:tblCellMar>
        </w:tblPrEx>
        <w:trPr>
          <w:trHeight w:val="539" w:hRule="atLeast"/>
        </w:trPr>
        <w:tc>
          <w:tcPr>
            <w:tcW w:w="456" w:type="dxa"/>
            <w:vMerge w:val="continue"/>
            <w:tcBorders>
              <w:left w:val="single" w:color="auto" w:sz="8" w:space="0"/>
              <w:right w:val="single" w:color="auto" w:sz="4" w:space="0"/>
            </w:tcBorders>
            <w:vAlign w:val="center"/>
          </w:tcPr>
          <w:p w14:paraId="1D76314A">
            <w:pPr>
              <w:widowControl/>
              <w:rPr>
                <w:color w:val="000000"/>
              </w:rPr>
            </w:pPr>
          </w:p>
        </w:tc>
        <w:tc>
          <w:tcPr>
            <w:tcW w:w="1876" w:type="dxa"/>
            <w:gridSpan w:val="2"/>
            <w:vMerge w:val="continue"/>
            <w:tcBorders>
              <w:left w:val="nil"/>
              <w:right w:val="single" w:color="auto" w:sz="4" w:space="0"/>
            </w:tcBorders>
            <w:vAlign w:val="center"/>
          </w:tcPr>
          <w:p w14:paraId="3C5EF244">
            <w:pPr>
              <w:widowControl/>
              <w:jc w:val="center"/>
              <w:rPr>
                <w:color w:val="000000"/>
              </w:rPr>
            </w:pPr>
          </w:p>
        </w:tc>
        <w:tc>
          <w:tcPr>
            <w:tcW w:w="1877" w:type="dxa"/>
            <w:tcBorders>
              <w:top w:val="single" w:color="auto" w:sz="4" w:space="0"/>
              <w:left w:val="nil"/>
              <w:bottom w:val="single" w:color="auto" w:sz="4" w:space="0"/>
              <w:right w:val="single" w:color="auto" w:sz="4" w:space="0"/>
            </w:tcBorders>
            <w:vAlign w:val="center"/>
          </w:tcPr>
          <w:p w14:paraId="5A4DACC9">
            <w:pPr>
              <w:widowControl/>
              <w:jc w:val="center"/>
              <w:rPr>
                <w:color w:val="000000"/>
              </w:rPr>
            </w:pPr>
            <w:r>
              <w:rPr>
                <w:rFonts w:hint="eastAsia"/>
                <w:color w:val="000000"/>
              </w:rPr>
              <w:t>PTA危废库2</w:t>
            </w:r>
          </w:p>
        </w:tc>
        <w:tc>
          <w:tcPr>
            <w:tcW w:w="1192" w:type="dxa"/>
            <w:vMerge w:val="continue"/>
            <w:tcBorders>
              <w:left w:val="nil"/>
              <w:bottom w:val="single" w:color="auto" w:sz="4" w:space="0"/>
              <w:right w:val="single" w:color="auto" w:sz="4" w:space="0"/>
              <w:tl2br w:val="single" w:color="auto" w:sz="4" w:space="0"/>
            </w:tcBorders>
            <w:noWrap/>
            <w:vAlign w:val="center"/>
          </w:tcPr>
          <w:p w14:paraId="70EA911B">
            <w:pPr>
              <w:widowControl/>
              <w:rPr>
                <w:rFonts w:ascii="等线" w:hAnsi="等线" w:eastAsia="等线"/>
                <w:color w:val="000000"/>
              </w:rPr>
            </w:pPr>
          </w:p>
        </w:tc>
        <w:tc>
          <w:tcPr>
            <w:tcW w:w="2132" w:type="dxa"/>
            <w:tcBorders>
              <w:top w:val="single" w:color="auto" w:sz="4" w:space="0"/>
              <w:left w:val="nil"/>
              <w:bottom w:val="single" w:color="auto" w:sz="4" w:space="0"/>
              <w:right w:val="single" w:color="auto" w:sz="4" w:space="0"/>
            </w:tcBorders>
            <w:vAlign w:val="center"/>
          </w:tcPr>
          <w:p w14:paraId="71CD9CD6">
            <w:pPr>
              <w:widowControl/>
              <w:jc w:val="center"/>
              <w:rPr>
                <w:color w:val="000000"/>
              </w:rPr>
            </w:pPr>
            <w:r>
              <w:rPr>
                <w:rFonts w:hint="eastAsia"/>
                <w:color w:val="000000"/>
              </w:rPr>
              <w:t>1176.08</w:t>
            </w:r>
          </w:p>
        </w:tc>
        <w:tc>
          <w:tcPr>
            <w:tcW w:w="1256" w:type="dxa"/>
            <w:vMerge w:val="continue"/>
            <w:tcBorders>
              <w:left w:val="single" w:color="auto" w:sz="4" w:space="0"/>
              <w:right w:val="single" w:color="auto" w:sz="8" w:space="0"/>
            </w:tcBorders>
            <w:vAlign w:val="center"/>
          </w:tcPr>
          <w:p w14:paraId="7806AA76">
            <w:pPr>
              <w:widowControl/>
              <w:rPr>
                <w:color w:val="000000"/>
              </w:rPr>
            </w:pPr>
          </w:p>
        </w:tc>
      </w:tr>
      <w:tr w14:paraId="202A9F89">
        <w:tblPrEx>
          <w:tblCellMar>
            <w:top w:w="0" w:type="dxa"/>
            <w:left w:w="108" w:type="dxa"/>
            <w:bottom w:w="0" w:type="dxa"/>
            <w:right w:w="108" w:type="dxa"/>
          </w:tblCellMar>
        </w:tblPrEx>
        <w:trPr>
          <w:trHeight w:val="626" w:hRule="atLeast"/>
        </w:trPr>
        <w:tc>
          <w:tcPr>
            <w:tcW w:w="456" w:type="dxa"/>
            <w:vMerge w:val="continue"/>
            <w:tcBorders>
              <w:left w:val="single" w:color="auto" w:sz="8" w:space="0"/>
              <w:bottom w:val="single" w:color="000000" w:sz="8" w:space="0"/>
              <w:right w:val="single" w:color="auto" w:sz="4" w:space="0"/>
            </w:tcBorders>
            <w:vAlign w:val="center"/>
          </w:tcPr>
          <w:p w14:paraId="6C6B9965">
            <w:pPr>
              <w:widowControl/>
              <w:rPr>
                <w:color w:val="000000"/>
              </w:rPr>
            </w:pPr>
          </w:p>
        </w:tc>
        <w:tc>
          <w:tcPr>
            <w:tcW w:w="1876" w:type="dxa"/>
            <w:gridSpan w:val="2"/>
            <w:vMerge w:val="continue"/>
            <w:tcBorders>
              <w:left w:val="nil"/>
              <w:bottom w:val="single" w:color="auto" w:sz="8" w:space="0"/>
              <w:right w:val="single" w:color="auto" w:sz="4" w:space="0"/>
            </w:tcBorders>
            <w:vAlign w:val="center"/>
          </w:tcPr>
          <w:p w14:paraId="76E8A4B6">
            <w:pPr>
              <w:widowControl/>
              <w:jc w:val="center"/>
              <w:rPr>
                <w:color w:val="000000"/>
              </w:rPr>
            </w:pPr>
          </w:p>
        </w:tc>
        <w:tc>
          <w:tcPr>
            <w:tcW w:w="1877" w:type="dxa"/>
            <w:tcBorders>
              <w:top w:val="single" w:color="auto" w:sz="4" w:space="0"/>
              <w:left w:val="nil"/>
              <w:bottom w:val="single" w:color="auto" w:sz="8" w:space="0"/>
              <w:right w:val="single" w:color="auto" w:sz="4" w:space="0"/>
            </w:tcBorders>
            <w:vAlign w:val="center"/>
          </w:tcPr>
          <w:p w14:paraId="5603BF0B">
            <w:pPr>
              <w:widowControl/>
              <w:jc w:val="center"/>
              <w:rPr>
                <w:color w:val="000000"/>
              </w:rPr>
            </w:pPr>
            <w:r>
              <w:rPr>
                <w:rFonts w:hint="eastAsia"/>
                <w:color w:val="000000"/>
              </w:rPr>
              <w:t>尾气吸附设备</w:t>
            </w:r>
          </w:p>
        </w:tc>
        <w:tc>
          <w:tcPr>
            <w:tcW w:w="1192" w:type="dxa"/>
            <w:tcBorders>
              <w:top w:val="single" w:color="auto" w:sz="4" w:space="0"/>
              <w:left w:val="nil"/>
              <w:bottom w:val="single" w:color="auto" w:sz="8" w:space="0"/>
              <w:right w:val="single" w:color="auto" w:sz="4" w:space="0"/>
            </w:tcBorders>
            <w:noWrap/>
            <w:vAlign w:val="center"/>
          </w:tcPr>
          <w:p w14:paraId="68C4FC9C">
            <w:pPr>
              <w:widowControl/>
              <w:jc w:val="center"/>
              <w:rPr>
                <w:rFonts w:ascii="等线" w:hAnsi="等线" w:eastAsia="等线"/>
                <w:color w:val="000000"/>
              </w:rPr>
            </w:pPr>
            <w:r>
              <w:rPr>
                <w:rFonts w:hint="eastAsia" w:ascii="等线" w:hAnsi="等线" w:eastAsia="等线"/>
                <w:color w:val="000000"/>
              </w:rPr>
              <w:t>241.60</w:t>
            </w:r>
          </w:p>
        </w:tc>
        <w:tc>
          <w:tcPr>
            <w:tcW w:w="2132" w:type="dxa"/>
            <w:tcBorders>
              <w:top w:val="single" w:color="auto" w:sz="4" w:space="0"/>
              <w:left w:val="nil"/>
              <w:bottom w:val="single" w:color="auto" w:sz="8" w:space="0"/>
              <w:right w:val="single" w:color="auto" w:sz="4" w:space="0"/>
              <w:tl2br w:val="single" w:color="auto" w:sz="4" w:space="0"/>
            </w:tcBorders>
            <w:vAlign w:val="center"/>
          </w:tcPr>
          <w:p w14:paraId="681BD0EC">
            <w:pPr>
              <w:widowControl/>
              <w:rPr>
                <w:color w:val="000000"/>
              </w:rPr>
            </w:pPr>
          </w:p>
        </w:tc>
        <w:tc>
          <w:tcPr>
            <w:tcW w:w="1256" w:type="dxa"/>
            <w:vMerge w:val="continue"/>
            <w:tcBorders>
              <w:left w:val="single" w:color="auto" w:sz="4" w:space="0"/>
              <w:bottom w:val="single" w:color="000000" w:sz="8" w:space="0"/>
              <w:right w:val="single" w:color="auto" w:sz="8" w:space="0"/>
            </w:tcBorders>
            <w:vAlign w:val="center"/>
          </w:tcPr>
          <w:p w14:paraId="0E2AEF4A">
            <w:pPr>
              <w:widowControl/>
              <w:rPr>
                <w:color w:val="000000"/>
              </w:rPr>
            </w:pPr>
          </w:p>
        </w:tc>
      </w:tr>
      <w:tr w14:paraId="329FC4BD">
        <w:tblPrEx>
          <w:tblCellMar>
            <w:top w:w="0" w:type="dxa"/>
            <w:left w:w="108" w:type="dxa"/>
            <w:bottom w:w="0" w:type="dxa"/>
            <w:right w:w="108" w:type="dxa"/>
          </w:tblCellMar>
        </w:tblPrEx>
        <w:trPr>
          <w:trHeight w:val="313" w:hRule="atLeast"/>
        </w:trPr>
        <w:tc>
          <w:tcPr>
            <w:tcW w:w="456" w:type="dxa"/>
            <w:vMerge w:val="restart"/>
            <w:tcBorders>
              <w:top w:val="nil"/>
              <w:left w:val="single" w:color="auto" w:sz="8" w:space="0"/>
              <w:right w:val="single" w:color="auto" w:sz="4" w:space="0"/>
            </w:tcBorders>
            <w:vAlign w:val="center"/>
          </w:tcPr>
          <w:p w14:paraId="18206186">
            <w:pPr>
              <w:widowControl/>
              <w:rPr>
                <w:color w:val="000000"/>
              </w:rPr>
            </w:pPr>
            <w:r>
              <w:rPr>
                <w:rFonts w:hint="eastAsia"/>
                <w:color w:val="000000"/>
              </w:rPr>
              <w:t>3</w:t>
            </w:r>
          </w:p>
        </w:tc>
        <w:tc>
          <w:tcPr>
            <w:tcW w:w="1876" w:type="dxa"/>
            <w:gridSpan w:val="2"/>
            <w:vMerge w:val="restart"/>
            <w:tcBorders>
              <w:top w:val="single" w:color="auto" w:sz="4" w:space="0"/>
              <w:left w:val="nil"/>
              <w:right w:val="single" w:color="auto" w:sz="4" w:space="0"/>
            </w:tcBorders>
            <w:vAlign w:val="center"/>
          </w:tcPr>
          <w:p w14:paraId="088FAA7C">
            <w:pPr>
              <w:widowControl/>
              <w:jc w:val="center"/>
              <w:rPr>
                <w:color w:val="000000"/>
                <w:lang w:eastAsia="zh-CN"/>
              </w:rPr>
            </w:pPr>
            <w:r>
              <w:rPr>
                <w:rFonts w:hint="eastAsia"/>
                <w:color w:val="000000"/>
                <w:lang w:eastAsia="zh-CN"/>
              </w:rPr>
              <w:t>码头新建煤仓及输煤系统改造项目</w:t>
            </w:r>
          </w:p>
        </w:tc>
        <w:tc>
          <w:tcPr>
            <w:tcW w:w="1877" w:type="dxa"/>
            <w:tcBorders>
              <w:top w:val="single" w:color="auto" w:sz="4" w:space="0"/>
              <w:left w:val="nil"/>
              <w:bottom w:val="single" w:color="auto" w:sz="4" w:space="0"/>
              <w:right w:val="single" w:color="auto" w:sz="4" w:space="0"/>
            </w:tcBorders>
            <w:vAlign w:val="center"/>
          </w:tcPr>
          <w:p w14:paraId="2D4A005D">
            <w:pPr>
              <w:widowControl/>
              <w:jc w:val="center"/>
              <w:rPr>
                <w:color w:val="000000"/>
              </w:rPr>
            </w:pPr>
            <w:r>
              <w:rPr>
                <w:rFonts w:hint="eastAsia"/>
                <w:color w:val="000000"/>
              </w:rPr>
              <w:t>配电间</w:t>
            </w:r>
          </w:p>
        </w:tc>
        <w:tc>
          <w:tcPr>
            <w:tcW w:w="1192" w:type="dxa"/>
            <w:tcBorders>
              <w:top w:val="nil"/>
              <w:left w:val="nil"/>
              <w:bottom w:val="single" w:color="auto" w:sz="4" w:space="0"/>
              <w:right w:val="single" w:color="auto" w:sz="4" w:space="0"/>
              <w:tl2br w:val="single" w:color="auto" w:sz="4" w:space="0"/>
            </w:tcBorders>
            <w:noWrap/>
            <w:vAlign w:val="center"/>
          </w:tcPr>
          <w:p w14:paraId="0AFCA97C">
            <w:pPr>
              <w:widowControl/>
              <w:rPr>
                <w:rFonts w:ascii="等线" w:hAnsi="等线" w:eastAsia="等线"/>
                <w:color w:val="000000"/>
              </w:rPr>
            </w:pPr>
          </w:p>
        </w:tc>
        <w:tc>
          <w:tcPr>
            <w:tcW w:w="2132" w:type="dxa"/>
            <w:tcBorders>
              <w:top w:val="nil"/>
              <w:left w:val="nil"/>
              <w:bottom w:val="single" w:color="auto" w:sz="4" w:space="0"/>
              <w:right w:val="single" w:color="auto" w:sz="4" w:space="0"/>
            </w:tcBorders>
            <w:vAlign w:val="center"/>
          </w:tcPr>
          <w:p w14:paraId="19FEA848">
            <w:pPr>
              <w:widowControl/>
              <w:jc w:val="center"/>
              <w:rPr>
                <w:color w:val="000000"/>
              </w:rPr>
            </w:pPr>
            <w:r>
              <w:rPr>
                <w:rFonts w:hint="eastAsia"/>
                <w:color w:val="000000"/>
              </w:rPr>
              <w:t>860.88</w:t>
            </w:r>
          </w:p>
        </w:tc>
        <w:tc>
          <w:tcPr>
            <w:tcW w:w="1256" w:type="dxa"/>
            <w:vMerge w:val="restart"/>
            <w:tcBorders>
              <w:top w:val="nil"/>
              <w:left w:val="single" w:color="auto" w:sz="4" w:space="0"/>
              <w:right w:val="single" w:color="auto" w:sz="8" w:space="0"/>
            </w:tcBorders>
            <w:vAlign w:val="center"/>
          </w:tcPr>
          <w:p w14:paraId="598A8867">
            <w:pPr>
              <w:widowControl/>
              <w:jc w:val="center"/>
              <w:rPr>
                <w:color w:val="000000"/>
              </w:rPr>
            </w:pPr>
            <w:r>
              <w:rPr>
                <w:rFonts w:hint="eastAsia"/>
                <w:color w:val="000000"/>
              </w:rPr>
              <w:t>2026.12</w:t>
            </w:r>
          </w:p>
        </w:tc>
      </w:tr>
      <w:tr w14:paraId="3C511A0A">
        <w:tblPrEx>
          <w:tblCellMar>
            <w:top w:w="0" w:type="dxa"/>
            <w:left w:w="108" w:type="dxa"/>
            <w:bottom w:w="0" w:type="dxa"/>
            <w:right w:w="108" w:type="dxa"/>
          </w:tblCellMar>
        </w:tblPrEx>
        <w:trPr>
          <w:trHeight w:val="463" w:hRule="atLeast"/>
        </w:trPr>
        <w:tc>
          <w:tcPr>
            <w:tcW w:w="456" w:type="dxa"/>
            <w:vMerge w:val="continue"/>
            <w:tcBorders>
              <w:left w:val="single" w:color="auto" w:sz="8" w:space="0"/>
              <w:right w:val="single" w:color="auto" w:sz="4" w:space="0"/>
            </w:tcBorders>
            <w:vAlign w:val="center"/>
          </w:tcPr>
          <w:p w14:paraId="45D3FB12">
            <w:pPr>
              <w:widowControl/>
              <w:rPr>
                <w:color w:val="000000"/>
              </w:rPr>
            </w:pPr>
          </w:p>
        </w:tc>
        <w:tc>
          <w:tcPr>
            <w:tcW w:w="1876" w:type="dxa"/>
            <w:gridSpan w:val="2"/>
            <w:vMerge w:val="continue"/>
            <w:tcBorders>
              <w:left w:val="nil"/>
              <w:right w:val="single" w:color="auto" w:sz="4" w:space="0"/>
            </w:tcBorders>
            <w:vAlign w:val="center"/>
          </w:tcPr>
          <w:p w14:paraId="7053BA8D">
            <w:pPr>
              <w:widowControl/>
              <w:jc w:val="center"/>
              <w:rPr>
                <w:color w:val="000000"/>
              </w:rPr>
            </w:pPr>
          </w:p>
        </w:tc>
        <w:tc>
          <w:tcPr>
            <w:tcW w:w="1877" w:type="dxa"/>
            <w:tcBorders>
              <w:top w:val="single" w:color="auto" w:sz="4" w:space="0"/>
              <w:left w:val="nil"/>
              <w:bottom w:val="single" w:color="auto" w:sz="4" w:space="0"/>
              <w:right w:val="single" w:color="auto" w:sz="4" w:space="0"/>
            </w:tcBorders>
            <w:vAlign w:val="center"/>
          </w:tcPr>
          <w:p w14:paraId="5728AB55">
            <w:pPr>
              <w:widowControl/>
              <w:jc w:val="center"/>
              <w:rPr>
                <w:color w:val="000000"/>
              </w:rPr>
            </w:pPr>
            <w:r>
              <w:rPr>
                <w:rFonts w:hint="eastAsia"/>
                <w:color w:val="000000"/>
              </w:rPr>
              <w:t>2#圆形煤仓</w:t>
            </w:r>
          </w:p>
        </w:tc>
        <w:tc>
          <w:tcPr>
            <w:tcW w:w="1192" w:type="dxa"/>
            <w:tcBorders>
              <w:top w:val="single" w:color="auto" w:sz="4" w:space="0"/>
              <w:left w:val="nil"/>
              <w:bottom w:val="single" w:color="auto" w:sz="4" w:space="0"/>
              <w:right w:val="single" w:color="auto" w:sz="4" w:space="0"/>
            </w:tcBorders>
            <w:noWrap/>
            <w:vAlign w:val="center"/>
          </w:tcPr>
          <w:p w14:paraId="4E41BC50">
            <w:pPr>
              <w:widowControl/>
              <w:rPr>
                <w:rFonts w:ascii="等线" w:hAnsi="等线" w:eastAsia="等线"/>
                <w:color w:val="000000"/>
              </w:rPr>
            </w:pPr>
            <w:r>
              <w:rPr>
                <w:rFonts w:hint="eastAsia" w:ascii="等线" w:hAnsi="等线" w:eastAsia="等线"/>
                <w:color w:val="000000"/>
              </w:rPr>
              <w:t>11309.73</w:t>
            </w:r>
          </w:p>
        </w:tc>
        <w:tc>
          <w:tcPr>
            <w:tcW w:w="2132" w:type="dxa"/>
            <w:tcBorders>
              <w:top w:val="single" w:color="auto" w:sz="4" w:space="0"/>
              <w:left w:val="nil"/>
              <w:bottom w:val="single" w:color="auto" w:sz="4" w:space="0"/>
              <w:right w:val="single" w:color="auto" w:sz="4" w:space="0"/>
              <w:tl2br w:val="single" w:color="auto" w:sz="4" w:space="0"/>
            </w:tcBorders>
            <w:vAlign w:val="center"/>
          </w:tcPr>
          <w:p w14:paraId="4AE21A22">
            <w:pPr>
              <w:widowControl/>
              <w:rPr>
                <w:color w:val="000000"/>
              </w:rPr>
            </w:pPr>
          </w:p>
        </w:tc>
        <w:tc>
          <w:tcPr>
            <w:tcW w:w="1256" w:type="dxa"/>
            <w:vMerge w:val="continue"/>
            <w:tcBorders>
              <w:left w:val="single" w:color="auto" w:sz="4" w:space="0"/>
              <w:right w:val="single" w:color="auto" w:sz="8" w:space="0"/>
            </w:tcBorders>
            <w:vAlign w:val="center"/>
          </w:tcPr>
          <w:p w14:paraId="5F1178B8">
            <w:pPr>
              <w:widowControl/>
              <w:rPr>
                <w:color w:val="000000"/>
              </w:rPr>
            </w:pPr>
          </w:p>
        </w:tc>
      </w:tr>
      <w:tr w14:paraId="6C1D15E4">
        <w:tblPrEx>
          <w:tblCellMar>
            <w:top w:w="0" w:type="dxa"/>
            <w:left w:w="108" w:type="dxa"/>
            <w:bottom w:w="0" w:type="dxa"/>
            <w:right w:w="108" w:type="dxa"/>
          </w:tblCellMar>
        </w:tblPrEx>
        <w:trPr>
          <w:trHeight w:val="200" w:hRule="atLeast"/>
        </w:trPr>
        <w:tc>
          <w:tcPr>
            <w:tcW w:w="456" w:type="dxa"/>
            <w:vMerge w:val="continue"/>
            <w:tcBorders>
              <w:left w:val="single" w:color="auto" w:sz="8" w:space="0"/>
              <w:right w:val="single" w:color="auto" w:sz="4" w:space="0"/>
            </w:tcBorders>
            <w:vAlign w:val="center"/>
          </w:tcPr>
          <w:p w14:paraId="36F831BC">
            <w:pPr>
              <w:widowControl/>
              <w:rPr>
                <w:color w:val="000000"/>
              </w:rPr>
            </w:pPr>
          </w:p>
        </w:tc>
        <w:tc>
          <w:tcPr>
            <w:tcW w:w="1876" w:type="dxa"/>
            <w:gridSpan w:val="2"/>
            <w:vMerge w:val="continue"/>
            <w:tcBorders>
              <w:left w:val="nil"/>
              <w:right w:val="single" w:color="auto" w:sz="4" w:space="0"/>
            </w:tcBorders>
            <w:vAlign w:val="center"/>
          </w:tcPr>
          <w:p w14:paraId="6A98C3B3">
            <w:pPr>
              <w:widowControl/>
              <w:jc w:val="center"/>
              <w:rPr>
                <w:color w:val="000000"/>
              </w:rPr>
            </w:pPr>
          </w:p>
        </w:tc>
        <w:tc>
          <w:tcPr>
            <w:tcW w:w="1877" w:type="dxa"/>
            <w:tcBorders>
              <w:top w:val="single" w:color="auto" w:sz="4" w:space="0"/>
              <w:left w:val="nil"/>
              <w:bottom w:val="single" w:color="auto" w:sz="4" w:space="0"/>
              <w:right w:val="single" w:color="auto" w:sz="4" w:space="0"/>
            </w:tcBorders>
            <w:vAlign w:val="center"/>
          </w:tcPr>
          <w:p w14:paraId="01989208">
            <w:pPr>
              <w:widowControl/>
              <w:jc w:val="center"/>
              <w:rPr>
                <w:color w:val="000000"/>
              </w:rPr>
            </w:pPr>
            <w:r>
              <w:rPr>
                <w:rFonts w:hint="eastAsia"/>
                <w:color w:val="000000"/>
              </w:rPr>
              <w:t>BC5输煤廊道</w:t>
            </w:r>
          </w:p>
        </w:tc>
        <w:tc>
          <w:tcPr>
            <w:tcW w:w="1192" w:type="dxa"/>
            <w:tcBorders>
              <w:top w:val="single" w:color="auto" w:sz="4" w:space="0"/>
              <w:left w:val="nil"/>
              <w:bottom w:val="single" w:color="auto" w:sz="4" w:space="0"/>
              <w:right w:val="single" w:color="auto" w:sz="4" w:space="0"/>
            </w:tcBorders>
            <w:noWrap/>
            <w:vAlign w:val="center"/>
          </w:tcPr>
          <w:p w14:paraId="5526F4E0">
            <w:pPr>
              <w:widowControl/>
              <w:jc w:val="center"/>
              <w:rPr>
                <w:rFonts w:ascii="等线" w:hAnsi="等线" w:eastAsia="等线"/>
                <w:color w:val="000000"/>
              </w:rPr>
            </w:pPr>
            <w:r>
              <w:rPr>
                <w:rFonts w:hint="eastAsia" w:ascii="等线" w:hAnsi="等线" w:eastAsia="等线"/>
                <w:color w:val="000000"/>
              </w:rPr>
              <w:t>403.59</w:t>
            </w:r>
          </w:p>
        </w:tc>
        <w:tc>
          <w:tcPr>
            <w:tcW w:w="2132" w:type="dxa"/>
            <w:tcBorders>
              <w:top w:val="single" w:color="auto" w:sz="4" w:space="0"/>
              <w:left w:val="nil"/>
              <w:bottom w:val="single" w:color="auto" w:sz="4" w:space="0"/>
              <w:right w:val="single" w:color="auto" w:sz="4" w:space="0"/>
              <w:tl2br w:val="single" w:color="auto" w:sz="4" w:space="0"/>
            </w:tcBorders>
            <w:vAlign w:val="center"/>
          </w:tcPr>
          <w:p w14:paraId="528D2984">
            <w:pPr>
              <w:widowControl/>
              <w:rPr>
                <w:color w:val="000000"/>
              </w:rPr>
            </w:pPr>
          </w:p>
        </w:tc>
        <w:tc>
          <w:tcPr>
            <w:tcW w:w="1256" w:type="dxa"/>
            <w:vMerge w:val="continue"/>
            <w:tcBorders>
              <w:left w:val="single" w:color="auto" w:sz="4" w:space="0"/>
              <w:right w:val="single" w:color="auto" w:sz="8" w:space="0"/>
            </w:tcBorders>
            <w:vAlign w:val="center"/>
          </w:tcPr>
          <w:p w14:paraId="0C7E80BA">
            <w:pPr>
              <w:widowControl/>
              <w:rPr>
                <w:color w:val="000000"/>
              </w:rPr>
            </w:pPr>
          </w:p>
        </w:tc>
      </w:tr>
      <w:tr w14:paraId="74BFC7C0">
        <w:tblPrEx>
          <w:tblCellMar>
            <w:top w:w="0" w:type="dxa"/>
            <w:left w:w="108" w:type="dxa"/>
            <w:bottom w:w="0" w:type="dxa"/>
            <w:right w:w="108" w:type="dxa"/>
          </w:tblCellMar>
        </w:tblPrEx>
        <w:trPr>
          <w:trHeight w:val="250" w:hRule="atLeast"/>
        </w:trPr>
        <w:tc>
          <w:tcPr>
            <w:tcW w:w="456" w:type="dxa"/>
            <w:vMerge w:val="continue"/>
            <w:tcBorders>
              <w:left w:val="single" w:color="auto" w:sz="8" w:space="0"/>
              <w:bottom w:val="single" w:color="000000" w:sz="8" w:space="0"/>
              <w:right w:val="single" w:color="auto" w:sz="4" w:space="0"/>
            </w:tcBorders>
            <w:vAlign w:val="center"/>
          </w:tcPr>
          <w:p w14:paraId="0F8E5F46">
            <w:pPr>
              <w:widowControl/>
              <w:rPr>
                <w:color w:val="000000"/>
              </w:rPr>
            </w:pPr>
          </w:p>
        </w:tc>
        <w:tc>
          <w:tcPr>
            <w:tcW w:w="1876" w:type="dxa"/>
            <w:gridSpan w:val="2"/>
            <w:vMerge w:val="continue"/>
            <w:tcBorders>
              <w:left w:val="nil"/>
              <w:bottom w:val="single" w:color="auto" w:sz="8" w:space="0"/>
              <w:right w:val="single" w:color="auto" w:sz="4" w:space="0"/>
            </w:tcBorders>
            <w:vAlign w:val="center"/>
          </w:tcPr>
          <w:p w14:paraId="63E9CBF5">
            <w:pPr>
              <w:widowControl/>
              <w:jc w:val="center"/>
              <w:rPr>
                <w:color w:val="000000"/>
              </w:rPr>
            </w:pPr>
          </w:p>
        </w:tc>
        <w:tc>
          <w:tcPr>
            <w:tcW w:w="1877" w:type="dxa"/>
            <w:tcBorders>
              <w:top w:val="single" w:color="auto" w:sz="4" w:space="0"/>
              <w:left w:val="nil"/>
              <w:bottom w:val="single" w:color="auto" w:sz="8" w:space="0"/>
              <w:right w:val="single" w:color="auto" w:sz="4" w:space="0"/>
            </w:tcBorders>
            <w:vAlign w:val="center"/>
          </w:tcPr>
          <w:p w14:paraId="1B425371">
            <w:pPr>
              <w:widowControl/>
              <w:jc w:val="center"/>
              <w:rPr>
                <w:color w:val="000000"/>
              </w:rPr>
            </w:pPr>
            <w:r>
              <w:rPr>
                <w:rFonts w:hint="eastAsia"/>
                <w:color w:val="000000"/>
              </w:rPr>
              <w:t>BC7输煤廊道</w:t>
            </w:r>
          </w:p>
        </w:tc>
        <w:tc>
          <w:tcPr>
            <w:tcW w:w="1192" w:type="dxa"/>
            <w:tcBorders>
              <w:top w:val="single" w:color="auto" w:sz="4" w:space="0"/>
              <w:left w:val="nil"/>
              <w:bottom w:val="single" w:color="auto" w:sz="8" w:space="0"/>
              <w:right w:val="single" w:color="auto" w:sz="4" w:space="0"/>
            </w:tcBorders>
            <w:noWrap/>
            <w:vAlign w:val="center"/>
          </w:tcPr>
          <w:p w14:paraId="5A87DCEF">
            <w:pPr>
              <w:widowControl/>
              <w:jc w:val="center"/>
              <w:rPr>
                <w:rFonts w:ascii="等线" w:hAnsi="等线" w:eastAsia="等线"/>
                <w:color w:val="000000"/>
              </w:rPr>
            </w:pPr>
            <w:r>
              <w:rPr>
                <w:rFonts w:hint="eastAsia" w:ascii="等线" w:hAnsi="等线" w:eastAsia="等线"/>
                <w:color w:val="000000"/>
              </w:rPr>
              <w:t>403.59</w:t>
            </w:r>
          </w:p>
        </w:tc>
        <w:tc>
          <w:tcPr>
            <w:tcW w:w="2132" w:type="dxa"/>
            <w:tcBorders>
              <w:top w:val="single" w:color="auto" w:sz="4" w:space="0"/>
              <w:left w:val="nil"/>
              <w:bottom w:val="single" w:color="auto" w:sz="8" w:space="0"/>
              <w:right w:val="single" w:color="auto" w:sz="4" w:space="0"/>
              <w:tl2br w:val="single" w:color="auto" w:sz="4" w:space="0"/>
            </w:tcBorders>
            <w:vAlign w:val="center"/>
          </w:tcPr>
          <w:p w14:paraId="29339039">
            <w:pPr>
              <w:widowControl/>
              <w:rPr>
                <w:color w:val="000000"/>
              </w:rPr>
            </w:pPr>
          </w:p>
        </w:tc>
        <w:tc>
          <w:tcPr>
            <w:tcW w:w="1256" w:type="dxa"/>
            <w:vMerge w:val="continue"/>
            <w:tcBorders>
              <w:left w:val="single" w:color="auto" w:sz="4" w:space="0"/>
              <w:bottom w:val="single" w:color="000000" w:sz="8" w:space="0"/>
              <w:right w:val="single" w:color="auto" w:sz="8" w:space="0"/>
            </w:tcBorders>
            <w:vAlign w:val="center"/>
          </w:tcPr>
          <w:p w14:paraId="3A30948D">
            <w:pPr>
              <w:widowControl/>
              <w:rPr>
                <w:color w:val="000000"/>
              </w:rPr>
            </w:pPr>
          </w:p>
        </w:tc>
      </w:tr>
      <w:tr w14:paraId="63F60629">
        <w:tblPrEx>
          <w:tblCellMar>
            <w:top w:w="0" w:type="dxa"/>
            <w:left w:w="108" w:type="dxa"/>
            <w:bottom w:w="0" w:type="dxa"/>
            <w:right w:w="108" w:type="dxa"/>
          </w:tblCellMar>
        </w:tblPrEx>
        <w:trPr>
          <w:trHeight w:val="540" w:hRule="atLeast"/>
        </w:trPr>
        <w:tc>
          <w:tcPr>
            <w:tcW w:w="456" w:type="dxa"/>
            <w:vMerge w:val="restart"/>
            <w:tcBorders>
              <w:top w:val="nil"/>
              <w:left w:val="single" w:color="auto" w:sz="8" w:space="0"/>
              <w:right w:val="single" w:color="auto" w:sz="4" w:space="0"/>
            </w:tcBorders>
            <w:vAlign w:val="center"/>
          </w:tcPr>
          <w:p w14:paraId="0DD27E0F">
            <w:pPr>
              <w:widowControl/>
              <w:rPr>
                <w:color w:val="000000"/>
              </w:rPr>
            </w:pPr>
            <w:r>
              <w:rPr>
                <w:rFonts w:hint="eastAsia"/>
                <w:color w:val="000000"/>
              </w:rPr>
              <w:t>4</w:t>
            </w:r>
          </w:p>
        </w:tc>
        <w:tc>
          <w:tcPr>
            <w:tcW w:w="1860" w:type="dxa"/>
            <w:vMerge w:val="restart"/>
            <w:tcBorders>
              <w:top w:val="single" w:color="auto" w:sz="4" w:space="0"/>
              <w:left w:val="nil"/>
              <w:right w:val="single" w:color="auto" w:sz="4" w:space="0"/>
            </w:tcBorders>
            <w:vAlign w:val="center"/>
          </w:tcPr>
          <w:p w14:paraId="5F3ACD74">
            <w:pPr>
              <w:widowControl/>
              <w:spacing w:line="360" w:lineRule="auto"/>
              <w:rPr>
                <w:color w:val="000000"/>
                <w:lang w:eastAsia="zh-CN"/>
              </w:rPr>
            </w:pPr>
            <w:r>
              <w:rPr>
                <w:rFonts w:hint="eastAsia"/>
                <w:lang w:eastAsia="zh-CN"/>
              </w:rPr>
              <w:t>SS16-5变电所、FAR11机柜间</w:t>
            </w:r>
          </w:p>
        </w:tc>
        <w:tc>
          <w:tcPr>
            <w:tcW w:w="1893" w:type="dxa"/>
            <w:gridSpan w:val="2"/>
            <w:tcBorders>
              <w:top w:val="single" w:color="auto" w:sz="4" w:space="0"/>
              <w:left w:val="nil"/>
              <w:bottom w:val="single" w:color="auto" w:sz="4" w:space="0"/>
              <w:right w:val="single" w:color="auto" w:sz="4" w:space="0"/>
            </w:tcBorders>
            <w:vAlign w:val="center"/>
          </w:tcPr>
          <w:p w14:paraId="0A10592A">
            <w:pPr>
              <w:widowControl/>
              <w:spacing w:line="360" w:lineRule="auto"/>
              <w:rPr>
                <w:color w:val="000000"/>
              </w:rPr>
            </w:pPr>
            <w:r>
              <w:rPr>
                <w:rFonts w:hint="eastAsia"/>
              </w:rPr>
              <w:t>SS16-5变电所</w:t>
            </w:r>
          </w:p>
        </w:tc>
        <w:tc>
          <w:tcPr>
            <w:tcW w:w="1192" w:type="dxa"/>
            <w:tcBorders>
              <w:top w:val="nil"/>
              <w:left w:val="nil"/>
              <w:bottom w:val="single" w:color="auto" w:sz="4" w:space="0"/>
              <w:right w:val="single" w:color="auto" w:sz="4" w:space="0"/>
              <w:tl2br w:val="single" w:color="auto" w:sz="4" w:space="0"/>
            </w:tcBorders>
            <w:noWrap/>
            <w:vAlign w:val="center"/>
          </w:tcPr>
          <w:p w14:paraId="6DE8CA55">
            <w:pPr>
              <w:widowControl/>
              <w:jc w:val="center"/>
              <w:rPr>
                <w:rFonts w:ascii="等线" w:hAnsi="等线" w:eastAsia="等线"/>
                <w:color w:val="000000"/>
              </w:rPr>
            </w:pPr>
          </w:p>
        </w:tc>
        <w:tc>
          <w:tcPr>
            <w:tcW w:w="2132" w:type="dxa"/>
            <w:tcBorders>
              <w:top w:val="nil"/>
              <w:left w:val="nil"/>
              <w:bottom w:val="single" w:color="auto" w:sz="4" w:space="0"/>
              <w:right w:val="single" w:color="auto" w:sz="4" w:space="0"/>
            </w:tcBorders>
            <w:vAlign w:val="center"/>
          </w:tcPr>
          <w:p w14:paraId="16A70E00">
            <w:pPr>
              <w:widowControl/>
              <w:jc w:val="center"/>
              <w:rPr>
                <w:color w:val="000000"/>
              </w:rPr>
            </w:pPr>
            <w:r>
              <w:rPr>
                <w:rFonts w:hint="eastAsia"/>
                <w:color w:val="000000"/>
              </w:rPr>
              <w:t>1665.32</w:t>
            </w:r>
          </w:p>
        </w:tc>
        <w:tc>
          <w:tcPr>
            <w:tcW w:w="1256" w:type="dxa"/>
            <w:vMerge w:val="restart"/>
            <w:tcBorders>
              <w:top w:val="nil"/>
              <w:left w:val="single" w:color="auto" w:sz="4" w:space="0"/>
              <w:right w:val="single" w:color="auto" w:sz="8" w:space="0"/>
            </w:tcBorders>
            <w:vAlign w:val="center"/>
          </w:tcPr>
          <w:p w14:paraId="21D0D7DD">
            <w:pPr>
              <w:widowControl/>
              <w:jc w:val="center"/>
              <w:rPr>
                <w:color w:val="000000"/>
              </w:rPr>
            </w:pPr>
            <w:r>
              <w:rPr>
                <w:rFonts w:hint="eastAsia"/>
                <w:color w:val="000000"/>
              </w:rPr>
              <w:t>2027.7</w:t>
            </w:r>
          </w:p>
        </w:tc>
      </w:tr>
      <w:tr w14:paraId="52784FE8">
        <w:tblPrEx>
          <w:tblCellMar>
            <w:top w:w="0" w:type="dxa"/>
            <w:left w:w="108" w:type="dxa"/>
            <w:bottom w:w="0" w:type="dxa"/>
            <w:right w:w="108" w:type="dxa"/>
          </w:tblCellMar>
        </w:tblPrEx>
        <w:trPr>
          <w:trHeight w:val="540" w:hRule="atLeast"/>
        </w:trPr>
        <w:tc>
          <w:tcPr>
            <w:tcW w:w="456" w:type="dxa"/>
            <w:vMerge w:val="continue"/>
            <w:tcBorders>
              <w:left w:val="single" w:color="auto" w:sz="8" w:space="0"/>
              <w:bottom w:val="single" w:color="000000" w:sz="8" w:space="0"/>
              <w:right w:val="single" w:color="auto" w:sz="4" w:space="0"/>
            </w:tcBorders>
            <w:vAlign w:val="center"/>
          </w:tcPr>
          <w:p w14:paraId="6C840DE4">
            <w:pPr>
              <w:widowControl/>
              <w:rPr>
                <w:color w:val="000000"/>
              </w:rPr>
            </w:pPr>
          </w:p>
        </w:tc>
        <w:tc>
          <w:tcPr>
            <w:tcW w:w="1860" w:type="dxa"/>
            <w:vMerge w:val="continue"/>
            <w:tcBorders>
              <w:left w:val="nil"/>
              <w:bottom w:val="single" w:color="auto" w:sz="8" w:space="0"/>
              <w:right w:val="single" w:color="auto" w:sz="4" w:space="0"/>
            </w:tcBorders>
            <w:vAlign w:val="center"/>
          </w:tcPr>
          <w:p w14:paraId="2115C2FD">
            <w:pPr>
              <w:widowControl/>
              <w:spacing w:line="360" w:lineRule="auto"/>
            </w:pPr>
          </w:p>
        </w:tc>
        <w:tc>
          <w:tcPr>
            <w:tcW w:w="1893" w:type="dxa"/>
            <w:gridSpan w:val="2"/>
            <w:tcBorders>
              <w:top w:val="single" w:color="auto" w:sz="4" w:space="0"/>
              <w:left w:val="nil"/>
              <w:bottom w:val="single" w:color="auto" w:sz="8" w:space="0"/>
              <w:right w:val="single" w:color="auto" w:sz="4" w:space="0"/>
            </w:tcBorders>
            <w:vAlign w:val="center"/>
          </w:tcPr>
          <w:p w14:paraId="3B85AD47">
            <w:pPr>
              <w:widowControl/>
              <w:spacing w:line="360" w:lineRule="auto"/>
            </w:pPr>
            <w:r>
              <w:rPr>
                <w:rFonts w:hint="eastAsia"/>
              </w:rPr>
              <w:t>FAR11机柜间</w:t>
            </w:r>
          </w:p>
        </w:tc>
        <w:tc>
          <w:tcPr>
            <w:tcW w:w="1192" w:type="dxa"/>
            <w:tcBorders>
              <w:top w:val="single" w:color="auto" w:sz="4" w:space="0"/>
              <w:left w:val="nil"/>
              <w:bottom w:val="single" w:color="auto" w:sz="8" w:space="0"/>
              <w:right w:val="single" w:color="auto" w:sz="4" w:space="0"/>
              <w:tl2br w:val="single" w:color="auto" w:sz="4" w:space="0"/>
            </w:tcBorders>
            <w:noWrap/>
            <w:vAlign w:val="center"/>
          </w:tcPr>
          <w:p w14:paraId="5AE631C2">
            <w:pPr>
              <w:widowControl/>
              <w:jc w:val="center"/>
              <w:rPr>
                <w:rFonts w:ascii="等线" w:hAnsi="等线" w:eastAsia="等线"/>
                <w:color w:val="000000"/>
              </w:rPr>
            </w:pPr>
          </w:p>
        </w:tc>
        <w:tc>
          <w:tcPr>
            <w:tcW w:w="2132" w:type="dxa"/>
            <w:tcBorders>
              <w:top w:val="single" w:color="auto" w:sz="4" w:space="0"/>
              <w:left w:val="nil"/>
              <w:bottom w:val="single" w:color="auto" w:sz="8" w:space="0"/>
              <w:right w:val="single" w:color="auto" w:sz="4" w:space="0"/>
            </w:tcBorders>
            <w:vAlign w:val="center"/>
          </w:tcPr>
          <w:p w14:paraId="4C0FD51D">
            <w:pPr>
              <w:widowControl/>
              <w:jc w:val="center"/>
              <w:rPr>
                <w:color w:val="000000"/>
              </w:rPr>
            </w:pPr>
            <w:r>
              <w:rPr>
                <w:rFonts w:hint="eastAsia"/>
                <w:color w:val="000000"/>
              </w:rPr>
              <w:t>596.79</w:t>
            </w:r>
          </w:p>
        </w:tc>
        <w:tc>
          <w:tcPr>
            <w:tcW w:w="1256" w:type="dxa"/>
            <w:vMerge w:val="continue"/>
            <w:tcBorders>
              <w:left w:val="single" w:color="auto" w:sz="4" w:space="0"/>
              <w:bottom w:val="single" w:color="000000" w:sz="8" w:space="0"/>
              <w:right w:val="single" w:color="auto" w:sz="8" w:space="0"/>
            </w:tcBorders>
            <w:vAlign w:val="center"/>
          </w:tcPr>
          <w:p w14:paraId="166F9A1F">
            <w:pPr>
              <w:widowControl/>
              <w:jc w:val="center"/>
              <w:rPr>
                <w:color w:val="000000"/>
              </w:rPr>
            </w:pPr>
          </w:p>
        </w:tc>
      </w:tr>
      <w:tr w14:paraId="0C8ECE62">
        <w:tblPrEx>
          <w:tblCellMar>
            <w:top w:w="0" w:type="dxa"/>
            <w:left w:w="108" w:type="dxa"/>
            <w:bottom w:w="0" w:type="dxa"/>
            <w:right w:w="108" w:type="dxa"/>
          </w:tblCellMar>
        </w:tblPrEx>
        <w:trPr>
          <w:trHeight w:val="540" w:hRule="atLeast"/>
        </w:trPr>
        <w:tc>
          <w:tcPr>
            <w:tcW w:w="456" w:type="dxa"/>
            <w:tcBorders>
              <w:top w:val="nil"/>
              <w:left w:val="single" w:color="auto" w:sz="8" w:space="0"/>
              <w:bottom w:val="single" w:color="000000" w:sz="8" w:space="0"/>
              <w:right w:val="single" w:color="auto" w:sz="4" w:space="0"/>
            </w:tcBorders>
            <w:vAlign w:val="center"/>
          </w:tcPr>
          <w:p w14:paraId="0DCE1FDA">
            <w:pPr>
              <w:widowControl/>
              <w:rPr>
                <w:color w:val="000000"/>
              </w:rPr>
            </w:pPr>
            <w:r>
              <w:rPr>
                <w:rFonts w:hint="eastAsia"/>
                <w:color w:val="000000"/>
              </w:rPr>
              <w:t>5</w:t>
            </w:r>
          </w:p>
        </w:tc>
        <w:tc>
          <w:tcPr>
            <w:tcW w:w="3753" w:type="dxa"/>
            <w:gridSpan w:val="3"/>
            <w:tcBorders>
              <w:top w:val="single" w:color="auto" w:sz="4" w:space="0"/>
              <w:left w:val="nil"/>
              <w:bottom w:val="single" w:color="auto" w:sz="8" w:space="0"/>
              <w:right w:val="single" w:color="auto" w:sz="4" w:space="0"/>
            </w:tcBorders>
            <w:vAlign w:val="center"/>
          </w:tcPr>
          <w:p w14:paraId="37A8B5D4">
            <w:pPr>
              <w:widowControl/>
              <w:jc w:val="center"/>
              <w:rPr>
                <w:color w:val="000000"/>
                <w:lang w:eastAsia="zh-CN"/>
              </w:rPr>
            </w:pPr>
            <w:r>
              <w:rPr>
                <w:rFonts w:hint="eastAsia"/>
                <w:color w:val="000000"/>
              </w:rPr>
              <w:t>吸附分离预处理</w:t>
            </w:r>
            <w:r>
              <w:rPr>
                <w:rFonts w:hint="eastAsia"/>
                <w:color w:val="000000"/>
                <w:lang w:eastAsia="zh-CN"/>
              </w:rPr>
              <w:t>装置</w:t>
            </w:r>
          </w:p>
        </w:tc>
        <w:tc>
          <w:tcPr>
            <w:tcW w:w="1192" w:type="dxa"/>
            <w:tcBorders>
              <w:top w:val="nil"/>
              <w:left w:val="nil"/>
              <w:bottom w:val="single" w:color="auto" w:sz="8" w:space="0"/>
              <w:right w:val="single" w:color="auto" w:sz="4" w:space="0"/>
            </w:tcBorders>
            <w:noWrap/>
            <w:vAlign w:val="center"/>
          </w:tcPr>
          <w:p w14:paraId="5E54525E">
            <w:pPr>
              <w:widowControl/>
              <w:jc w:val="center"/>
              <w:rPr>
                <w:rFonts w:ascii="等线" w:hAnsi="等线" w:eastAsia="等线"/>
                <w:color w:val="000000"/>
              </w:rPr>
            </w:pPr>
            <w:r>
              <w:rPr>
                <w:rFonts w:hint="eastAsia" w:ascii="等线" w:hAnsi="等线" w:eastAsia="等线"/>
                <w:color w:val="000000"/>
              </w:rPr>
              <w:t>6107.86</w:t>
            </w:r>
          </w:p>
        </w:tc>
        <w:tc>
          <w:tcPr>
            <w:tcW w:w="2132" w:type="dxa"/>
            <w:tcBorders>
              <w:top w:val="nil"/>
              <w:left w:val="nil"/>
              <w:bottom w:val="single" w:color="auto" w:sz="8" w:space="0"/>
              <w:right w:val="single" w:color="auto" w:sz="4" w:space="0"/>
              <w:tl2br w:val="single" w:color="auto" w:sz="4" w:space="0"/>
            </w:tcBorders>
            <w:vAlign w:val="center"/>
          </w:tcPr>
          <w:p w14:paraId="63E8BD82">
            <w:pPr>
              <w:widowControl/>
              <w:rPr>
                <w:color w:val="000000"/>
              </w:rPr>
            </w:pPr>
          </w:p>
        </w:tc>
        <w:tc>
          <w:tcPr>
            <w:tcW w:w="1256" w:type="dxa"/>
            <w:tcBorders>
              <w:top w:val="nil"/>
              <w:left w:val="single" w:color="auto" w:sz="4" w:space="0"/>
              <w:bottom w:val="single" w:color="000000" w:sz="8" w:space="0"/>
              <w:right w:val="single" w:color="auto" w:sz="8" w:space="0"/>
            </w:tcBorders>
            <w:vAlign w:val="center"/>
          </w:tcPr>
          <w:p w14:paraId="72BB0A80">
            <w:pPr>
              <w:widowControl/>
              <w:jc w:val="center"/>
              <w:rPr>
                <w:color w:val="000000"/>
              </w:rPr>
            </w:pPr>
            <w:r>
              <w:rPr>
                <w:rFonts w:hint="eastAsia"/>
                <w:color w:val="000000"/>
              </w:rPr>
              <w:t>2027.7</w:t>
            </w:r>
          </w:p>
        </w:tc>
      </w:tr>
      <w:tr w14:paraId="791847D8">
        <w:tblPrEx>
          <w:tblCellMar>
            <w:top w:w="0" w:type="dxa"/>
            <w:left w:w="108" w:type="dxa"/>
            <w:bottom w:w="0" w:type="dxa"/>
            <w:right w:w="108" w:type="dxa"/>
          </w:tblCellMar>
        </w:tblPrEx>
        <w:trPr>
          <w:trHeight w:val="540" w:hRule="atLeast"/>
        </w:trPr>
        <w:tc>
          <w:tcPr>
            <w:tcW w:w="8789" w:type="dxa"/>
            <w:gridSpan w:val="7"/>
            <w:tcBorders>
              <w:top w:val="single" w:color="auto" w:sz="4" w:space="0"/>
              <w:left w:val="single" w:color="auto" w:sz="8" w:space="0"/>
              <w:bottom w:val="single" w:color="auto" w:sz="8" w:space="0"/>
              <w:right w:val="single" w:color="auto" w:sz="8" w:space="0"/>
            </w:tcBorders>
            <w:vAlign w:val="center"/>
          </w:tcPr>
          <w:p w14:paraId="46D51F22">
            <w:pPr>
              <w:tabs>
                <w:tab w:val="left" w:pos="600"/>
              </w:tabs>
              <w:spacing w:line="360" w:lineRule="auto"/>
              <w:rPr>
                <w:color w:val="000000"/>
                <w:lang w:eastAsia="zh-CN"/>
              </w:rPr>
            </w:pPr>
            <w:r>
              <w:rPr>
                <w:rFonts w:hint="eastAsia"/>
                <w:lang w:eastAsia="zh-CN"/>
              </w:rPr>
              <w:t>说明：表中的检测时间为预估，实际检测日期委托人提前一周通知承接人，以委托人通知时间为准。</w:t>
            </w:r>
          </w:p>
        </w:tc>
      </w:tr>
    </w:tbl>
    <w:p w14:paraId="3BE94366">
      <w:pPr>
        <w:pStyle w:val="75"/>
        <w:numPr>
          <w:ilvl w:val="0"/>
          <w:numId w:val="8"/>
        </w:numPr>
        <w:spacing w:line="360" w:lineRule="auto"/>
        <w:rPr>
          <w:b/>
          <w:bCs/>
        </w:rPr>
      </w:pPr>
      <w:r>
        <w:rPr>
          <w:rFonts w:hint="eastAsia"/>
          <w:b/>
          <w:bCs/>
        </w:rPr>
        <w:t>报价：</w:t>
      </w:r>
    </w:p>
    <w:p w14:paraId="637C923F">
      <w:pPr>
        <w:tabs>
          <w:tab w:val="left" w:pos="600"/>
        </w:tabs>
        <w:spacing w:line="360" w:lineRule="auto"/>
        <w:ind w:firstLine="519" w:firstLineChars="236"/>
        <w:rPr>
          <w:lang w:eastAsia="zh-CN"/>
        </w:rPr>
      </w:pPr>
      <w:r>
        <w:rPr>
          <w:rFonts w:hint="eastAsia"/>
          <w:lang w:eastAsia="zh-CN"/>
        </w:rPr>
        <w:t>因各装置项目完工投用时间不一致，存在分批检测的情形。</w:t>
      </w:r>
    </w:p>
    <w:p w14:paraId="244BC98B">
      <w:pPr>
        <w:tabs>
          <w:tab w:val="left" w:pos="600"/>
        </w:tabs>
        <w:spacing w:line="360" w:lineRule="auto"/>
        <w:ind w:firstLine="519" w:firstLineChars="236"/>
        <w:rPr>
          <w:lang w:eastAsia="zh-CN"/>
        </w:rPr>
      </w:pPr>
      <w:r>
        <w:rPr>
          <w:rFonts w:hint="eastAsia"/>
          <w:lang w:eastAsia="zh-CN"/>
        </w:rPr>
        <w:t>按建筑物的建筑面积、装置区的占地面积来报单价，根据单价乘以单个装置项目的建筑面积或占地面积，计算出单个装置项目的包干价。实际结算时，依据单个装置项目的包干价，实际发生检测的装置项目按其包干价付款，实际未检测的装置项目不予以结算和付款。</w:t>
      </w:r>
    </w:p>
    <w:p w14:paraId="1CE62937">
      <w:pPr>
        <w:tabs>
          <w:tab w:val="left" w:pos="600"/>
        </w:tabs>
        <w:spacing w:line="360" w:lineRule="auto"/>
        <w:ind w:firstLine="519" w:firstLineChars="236"/>
        <w:rPr>
          <w:lang w:eastAsia="zh-CN"/>
        </w:rPr>
      </w:pPr>
      <w:r>
        <w:rPr>
          <w:rFonts w:hint="eastAsia"/>
          <w:lang w:eastAsia="zh-CN"/>
        </w:rPr>
        <w:t>投标人</w:t>
      </w:r>
      <w:r>
        <w:rPr>
          <w:lang w:eastAsia="zh-CN"/>
        </w:rPr>
        <w:t>应综合考虑</w:t>
      </w:r>
      <w:r>
        <w:rPr>
          <w:rFonts w:hint="eastAsia"/>
          <w:lang w:eastAsia="zh-CN"/>
        </w:rPr>
        <w:t>各项成本</w:t>
      </w:r>
      <w:r>
        <w:rPr>
          <w:lang w:eastAsia="zh-CN"/>
        </w:rPr>
        <w:t>因素，</w:t>
      </w:r>
      <w:r>
        <w:rPr>
          <w:rFonts w:hint="eastAsia"/>
          <w:lang w:eastAsia="zh-CN"/>
        </w:rPr>
        <w:t>如：人员</w:t>
      </w:r>
      <w:r>
        <w:rPr>
          <w:lang w:eastAsia="zh-CN"/>
        </w:rPr>
        <w:t>交通、差旅、技术服务、人员工资、加班补贴、食宿</w:t>
      </w:r>
      <w:r>
        <w:rPr>
          <w:rFonts w:hint="eastAsia"/>
          <w:lang w:eastAsia="zh-CN"/>
        </w:rPr>
        <w:t>、税费及</w:t>
      </w:r>
      <w:r>
        <w:rPr>
          <w:lang w:eastAsia="zh-CN"/>
        </w:rPr>
        <w:t>服务</w:t>
      </w:r>
      <w:r>
        <w:rPr>
          <w:rFonts w:hint="eastAsia"/>
          <w:lang w:eastAsia="zh-CN"/>
        </w:rPr>
        <w:t>所用</w:t>
      </w:r>
      <w:r>
        <w:rPr>
          <w:lang w:eastAsia="zh-CN"/>
        </w:rPr>
        <w:t>的配件材料、机器具使用</w:t>
      </w:r>
      <w:r>
        <w:rPr>
          <w:rFonts w:hint="eastAsia"/>
          <w:lang w:eastAsia="zh-CN"/>
        </w:rPr>
        <w:t>等，无需考虑消防验收评审费</w:t>
      </w:r>
      <w:r>
        <w:rPr>
          <w:lang w:eastAsia="zh-CN"/>
        </w:rPr>
        <w:t>。</w:t>
      </w:r>
    </w:p>
    <w:p w14:paraId="595B2B76">
      <w:pPr>
        <w:tabs>
          <w:tab w:val="left" w:pos="600"/>
        </w:tabs>
        <w:spacing w:line="360" w:lineRule="auto"/>
        <w:ind w:firstLine="521" w:firstLineChars="236"/>
        <w:jc w:val="center"/>
        <w:rPr>
          <w:b/>
          <w:bCs/>
        </w:rPr>
      </w:pPr>
      <w:r>
        <w:rPr>
          <w:rFonts w:hint="eastAsia"/>
          <w:b/>
          <w:bCs/>
        </w:rPr>
        <w:t>报价表</w:t>
      </w:r>
    </w:p>
    <w:tbl>
      <w:tblPr>
        <w:tblStyle w:val="51"/>
        <w:tblW w:w="8075" w:type="dxa"/>
        <w:jc w:val="center"/>
        <w:tblLayout w:type="autofit"/>
        <w:tblCellMar>
          <w:top w:w="0" w:type="dxa"/>
          <w:left w:w="108" w:type="dxa"/>
          <w:bottom w:w="0" w:type="dxa"/>
          <w:right w:w="108" w:type="dxa"/>
        </w:tblCellMar>
      </w:tblPr>
      <w:tblGrid>
        <w:gridCol w:w="562"/>
        <w:gridCol w:w="1276"/>
        <w:gridCol w:w="1985"/>
        <w:gridCol w:w="1275"/>
        <w:gridCol w:w="1418"/>
        <w:gridCol w:w="1559"/>
      </w:tblGrid>
      <w:tr w14:paraId="5F61AAFD">
        <w:tblPrEx>
          <w:tblCellMar>
            <w:top w:w="0" w:type="dxa"/>
            <w:left w:w="108" w:type="dxa"/>
            <w:bottom w:w="0" w:type="dxa"/>
            <w:right w:w="108" w:type="dxa"/>
          </w:tblCellMar>
        </w:tblPrEx>
        <w:trPr>
          <w:cantSplit/>
          <w:trHeight w:val="540" w:hRule="atLeast"/>
          <w:tblHeader/>
          <w:jc w:val="center"/>
        </w:trPr>
        <w:tc>
          <w:tcPr>
            <w:tcW w:w="562" w:type="dxa"/>
            <w:tcBorders>
              <w:top w:val="single" w:color="auto" w:sz="4" w:space="0"/>
              <w:left w:val="single" w:color="auto" w:sz="4" w:space="0"/>
              <w:bottom w:val="single" w:color="auto" w:sz="4" w:space="0"/>
              <w:right w:val="single" w:color="auto" w:sz="4" w:space="0"/>
            </w:tcBorders>
            <w:noWrap/>
            <w:vAlign w:val="center"/>
          </w:tcPr>
          <w:p w14:paraId="60E8C883">
            <w:pPr>
              <w:widowControl/>
              <w:jc w:val="center"/>
              <w:rPr>
                <w:rFonts w:ascii="等线" w:hAnsi="等线" w:eastAsia="等线"/>
                <w:color w:val="000000"/>
              </w:rPr>
            </w:pPr>
            <w:r>
              <w:rPr>
                <w:rFonts w:hint="eastAsia" w:ascii="等线" w:hAnsi="等线" w:eastAsia="等线"/>
                <w:color w:val="000000"/>
              </w:rPr>
              <w:t>序号</w:t>
            </w:r>
          </w:p>
        </w:tc>
        <w:tc>
          <w:tcPr>
            <w:tcW w:w="1276" w:type="dxa"/>
            <w:tcBorders>
              <w:top w:val="single" w:color="auto" w:sz="4" w:space="0"/>
              <w:left w:val="nil"/>
              <w:bottom w:val="single" w:color="auto" w:sz="4" w:space="0"/>
              <w:right w:val="single" w:color="auto" w:sz="4" w:space="0"/>
            </w:tcBorders>
            <w:noWrap/>
            <w:vAlign w:val="center"/>
          </w:tcPr>
          <w:p w14:paraId="5D6144C5">
            <w:pPr>
              <w:widowControl/>
              <w:jc w:val="center"/>
              <w:rPr>
                <w:rFonts w:ascii="等线" w:hAnsi="等线" w:eastAsia="等线"/>
                <w:color w:val="000000"/>
              </w:rPr>
            </w:pPr>
            <w:r>
              <w:rPr>
                <w:rFonts w:hint="eastAsia" w:ascii="等线" w:hAnsi="等线" w:eastAsia="等线"/>
                <w:color w:val="000000"/>
              </w:rPr>
              <w:t>类别</w:t>
            </w:r>
          </w:p>
        </w:tc>
        <w:tc>
          <w:tcPr>
            <w:tcW w:w="1985" w:type="dxa"/>
            <w:tcBorders>
              <w:top w:val="single" w:color="auto" w:sz="4" w:space="0"/>
              <w:left w:val="nil"/>
              <w:bottom w:val="single" w:color="auto" w:sz="4" w:space="0"/>
              <w:right w:val="single" w:color="auto" w:sz="4" w:space="0"/>
            </w:tcBorders>
            <w:noWrap/>
            <w:vAlign w:val="center"/>
          </w:tcPr>
          <w:p w14:paraId="77982B14">
            <w:pPr>
              <w:widowControl/>
              <w:jc w:val="center"/>
              <w:rPr>
                <w:rFonts w:ascii="等线" w:hAnsi="等线" w:eastAsia="等线"/>
                <w:color w:val="000000"/>
                <w:lang w:eastAsia="zh-CN"/>
              </w:rPr>
            </w:pPr>
            <w:r>
              <w:rPr>
                <w:rFonts w:hint="eastAsia" w:ascii="等线" w:hAnsi="等线" w:eastAsia="等线"/>
                <w:color w:val="000000"/>
                <w:lang w:eastAsia="zh-CN"/>
              </w:rPr>
              <w:t>建筑面积/占地面积（m</w:t>
            </w:r>
            <w:r>
              <w:rPr>
                <w:rFonts w:hint="eastAsia" w:ascii="等线" w:hAnsi="等线" w:eastAsia="等线"/>
                <w:color w:val="000000"/>
                <w:vertAlign w:val="superscript"/>
                <w:lang w:eastAsia="zh-CN"/>
              </w:rPr>
              <w:t>2</w:t>
            </w:r>
            <w:r>
              <w:rPr>
                <w:rFonts w:hint="eastAsia" w:ascii="等线" w:hAnsi="等线" w:eastAsia="等线"/>
                <w:color w:val="000000"/>
                <w:lang w:eastAsia="zh-CN"/>
              </w:rPr>
              <w:t>）</w:t>
            </w:r>
          </w:p>
        </w:tc>
        <w:tc>
          <w:tcPr>
            <w:tcW w:w="1275" w:type="dxa"/>
            <w:tcBorders>
              <w:top w:val="single" w:color="auto" w:sz="4" w:space="0"/>
              <w:left w:val="nil"/>
              <w:bottom w:val="single" w:color="auto" w:sz="4" w:space="0"/>
              <w:right w:val="single" w:color="auto" w:sz="4" w:space="0"/>
            </w:tcBorders>
            <w:noWrap/>
            <w:vAlign w:val="center"/>
          </w:tcPr>
          <w:p w14:paraId="23B9A597">
            <w:pPr>
              <w:widowControl/>
              <w:jc w:val="center"/>
              <w:rPr>
                <w:rFonts w:ascii="等线" w:hAnsi="等线" w:eastAsia="等线"/>
                <w:color w:val="000000"/>
              </w:rPr>
            </w:pPr>
            <w:r>
              <w:rPr>
                <w:rFonts w:hint="eastAsia" w:ascii="等线" w:hAnsi="等线" w:eastAsia="等线"/>
                <w:color w:val="000000"/>
              </w:rPr>
              <w:t>报价单价（元/m</w:t>
            </w:r>
            <w:r>
              <w:rPr>
                <w:rFonts w:hint="eastAsia" w:ascii="等线" w:hAnsi="等线" w:eastAsia="等线"/>
                <w:color w:val="000000"/>
                <w:vertAlign w:val="superscript"/>
              </w:rPr>
              <w:t>2</w:t>
            </w:r>
            <w:r>
              <w:rPr>
                <w:rFonts w:hint="eastAsia" w:ascii="等线" w:hAnsi="等线" w:eastAsia="等线"/>
                <w:color w:val="000000"/>
              </w:rPr>
              <w:t>)</w:t>
            </w:r>
          </w:p>
        </w:tc>
        <w:tc>
          <w:tcPr>
            <w:tcW w:w="1418" w:type="dxa"/>
            <w:tcBorders>
              <w:top w:val="single" w:color="auto" w:sz="4" w:space="0"/>
              <w:left w:val="nil"/>
              <w:bottom w:val="single" w:color="auto" w:sz="4" w:space="0"/>
              <w:right w:val="single" w:color="auto" w:sz="4" w:space="0"/>
            </w:tcBorders>
            <w:noWrap/>
            <w:vAlign w:val="center"/>
          </w:tcPr>
          <w:p w14:paraId="462A3FF9">
            <w:pPr>
              <w:widowControl/>
              <w:jc w:val="center"/>
              <w:rPr>
                <w:rFonts w:ascii="等线" w:hAnsi="等线" w:eastAsia="等线"/>
                <w:color w:val="000000"/>
              </w:rPr>
            </w:pPr>
            <w:r>
              <w:rPr>
                <w:rFonts w:hint="eastAsia" w:ascii="等线" w:hAnsi="等线" w:eastAsia="等线"/>
                <w:color w:val="000000"/>
              </w:rPr>
              <w:t>小计</w:t>
            </w:r>
          </w:p>
          <w:p w14:paraId="24124722">
            <w:pPr>
              <w:widowControl/>
              <w:jc w:val="center"/>
              <w:rPr>
                <w:rFonts w:ascii="等线" w:hAnsi="等线" w:eastAsia="等线"/>
                <w:color w:val="000000"/>
              </w:rPr>
            </w:pPr>
            <w:r>
              <w:rPr>
                <w:rFonts w:hint="eastAsia" w:ascii="等线" w:hAnsi="等线" w:eastAsia="等线"/>
                <w:color w:val="000000"/>
              </w:rPr>
              <w:t>（元）</w:t>
            </w:r>
          </w:p>
        </w:tc>
        <w:tc>
          <w:tcPr>
            <w:tcW w:w="1559" w:type="dxa"/>
            <w:tcBorders>
              <w:top w:val="single" w:color="auto" w:sz="4" w:space="0"/>
              <w:left w:val="nil"/>
              <w:bottom w:val="single" w:color="auto" w:sz="4" w:space="0"/>
              <w:right w:val="single" w:color="auto" w:sz="4" w:space="0"/>
            </w:tcBorders>
            <w:noWrap/>
            <w:vAlign w:val="center"/>
          </w:tcPr>
          <w:p w14:paraId="6C3F9C72">
            <w:pPr>
              <w:widowControl/>
              <w:jc w:val="center"/>
              <w:rPr>
                <w:rFonts w:ascii="等线" w:hAnsi="等线" w:eastAsia="等线"/>
                <w:color w:val="000000"/>
              </w:rPr>
            </w:pPr>
            <w:r>
              <w:rPr>
                <w:rFonts w:hint="eastAsia" w:ascii="等线" w:hAnsi="等线" w:eastAsia="等线"/>
                <w:color w:val="000000"/>
              </w:rPr>
              <w:t>合计（元）</w:t>
            </w:r>
          </w:p>
        </w:tc>
      </w:tr>
      <w:tr w14:paraId="634B92BE">
        <w:tblPrEx>
          <w:tblCellMar>
            <w:top w:w="0" w:type="dxa"/>
            <w:left w:w="108" w:type="dxa"/>
            <w:bottom w:w="0" w:type="dxa"/>
            <w:right w:w="108" w:type="dxa"/>
          </w:tblCellMar>
        </w:tblPrEx>
        <w:trPr>
          <w:cantSplit/>
          <w:trHeight w:val="540" w:hRule="atLeast"/>
          <w:tblHeader/>
          <w:jc w:val="center"/>
        </w:trPr>
        <w:tc>
          <w:tcPr>
            <w:tcW w:w="562" w:type="dxa"/>
            <w:tcBorders>
              <w:top w:val="nil"/>
              <w:left w:val="single" w:color="auto" w:sz="4" w:space="0"/>
              <w:bottom w:val="single" w:color="auto" w:sz="4" w:space="0"/>
              <w:right w:val="single" w:color="auto" w:sz="4" w:space="0"/>
            </w:tcBorders>
            <w:noWrap/>
            <w:vAlign w:val="center"/>
          </w:tcPr>
          <w:p w14:paraId="40E98334">
            <w:pPr>
              <w:widowControl/>
              <w:jc w:val="center"/>
              <w:rPr>
                <w:rFonts w:ascii="等线" w:hAnsi="等线" w:eastAsia="等线"/>
                <w:color w:val="000000"/>
              </w:rPr>
            </w:pPr>
            <w:r>
              <w:rPr>
                <w:rFonts w:hint="eastAsia" w:ascii="等线" w:hAnsi="等线" w:eastAsia="等线"/>
                <w:color w:val="000000"/>
              </w:rPr>
              <w:t>1</w:t>
            </w:r>
          </w:p>
        </w:tc>
        <w:tc>
          <w:tcPr>
            <w:tcW w:w="1276" w:type="dxa"/>
            <w:tcBorders>
              <w:top w:val="nil"/>
              <w:left w:val="nil"/>
              <w:bottom w:val="single" w:color="auto" w:sz="4" w:space="0"/>
              <w:right w:val="single" w:color="auto" w:sz="4" w:space="0"/>
            </w:tcBorders>
            <w:noWrap/>
            <w:vAlign w:val="center"/>
          </w:tcPr>
          <w:p w14:paraId="595B2CD1">
            <w:pPr>
              <w:widowControl/>
              <w:jc w:val="center"/>
              <w:rPr>
                <w:rFonts w:ascii="等线" w:hAnsi="等线" w:eastAsia="等线"/>
                <w:color w:val="000000"/>
              </w:rPr>
            </w:pPr>
            <w:r>
              <w:rPr>
                <w:rFonts w:hint="eastAsia" w:ascii="等线" w:hAnsi="等线" w:eastAsia="等线"/>
                <w:color w:val="000000"/>
              </w:rPr>
              <w:t>装置区（构筑物）</w:t>
            </w:r>
          </w:p>
        </w:tc>
        <w:tc>
          <w:tcPr>
            <w:tcW w:w="1985" w:type="dxa"/>
            <w:tcBorders>
              <w:top w:val="nil"/>
              <w:left w:val="nil"/>
              <w:bottom w:val="single" w:color="auto" w:sz="4" w:space="0"/>
              <w:right w:val="single" w:color="auto" w:sz="4" w:space="0"/>
            </w:tcBorders>
            <w:noWrap/>
            <w:vAlign w:val="center"/>
          </w:tcPr>
          <w:p w14:paraId="19D34058">
            <w:pPr>
              <w:widowControl/>
              <w:jc w:val="center"/>
              <w:rPr>
                <w:rFonts w:ascii="等线" w:hAnsi="等线" w:eastAsia="等线"/>
                <w:color w:val="000000"/>
              </w:rPr>
            </w:pPr>
            <w:r>
              <w:rPr>
                <w:rFonts w:hint="eastAsia" w:ascii="等线" w:hAnsi="等线" w:eastAsia="等线"/>
                <w:color w:val="000000"/>
              </w:rPr>
              <w:t>18466.37</w:t>
            </w:r>
          </w:p>
        </w:tc>
        <w:tc>
          <w:tcPr>
            <w:tcW w:w="1275" w:type="dxa"/>
            <w:tcBorders>
              <w:top w:val="nil"/>
              <w:left w:val="nil"/>
              <w:bottom w:val="single" w:color="auto" w:sz="4" w:space="0"/>
              <w:right w:val="single" w:color="auto" w:sz="4" w:space="0"/>
            </w:tcBorders>
            <w:noWrap/>
            <w:vAlign w:val="center"/>
          </w:tcPr>
          <w:p w14:paraId="58583174">
            <w:pPr>
              <w:widowControl/>
              <w:jc w:val="center"/>
              <w:rPr>
                <w:rFonts w:ascii="等线" w:hAnsi="等线" w:eastAsia="等线"/>
                <w:color w:val="000000"/>
              </w:rPr>
            </w:pPr>
          </w:p>
        </w:tc>
        <w:tc>
          <w:tcPr>
            <w:tcW w:w="1418" w:type="dxa"/>
            <w:tcBorders>
              <w:top w:val="nil"/>
              <w:left w:val="nil"/>
              <w:bottom w:val="single" w:color="auto" w:sz="4" w:space="0"/>
              <w:right w:val="single" w:color="auto" w:sz="4" w:space="0"/>
            </w:tcBorders>
            <w:noWrap/>
            <w:vAlign w:val="center"/>
          </w:tcPr>
          <w:p w14:paraId="4A6E25E7">
            <w:pPr>
              <w:widowControl/>
              <w:jc w:val="center"/>
              <w:rPr>
                <w:rFonts w:ascii="等线" w:hAnsi="等线" w:eastAsia="等线"/>
                <w:color w:val="000000"/>
              </w:rPr>
            </w:pPr>
          </w:p>
        </w:tc>
        <w:tc>
          <w:tcPr>
            <w:tcW w:w="1559" w:type="dxa"/>
            <w:vMerge w:val="restart"/>
            <w:tcBorders>
              <w:top w:val="nil"/>
              <w:left w:val="nil"/>
              <w:right w:val="single" w:color="auto" w:sz="4" w:space="0"/>
            </w:tcBorders>
            <w:noWrap/>
            <w:vAlign w:val="center"/>
          </w:tcPr>
          <w:p w14:paraId="7EB0E4EF">
            <w:pPr>
              <w:widowControl/>
              <w:jc w:val="center"/>
              <w:rPr>
                <w:rFonts w:ascii="等线" w:hAnsi="等线" w:eastAsia="等线"/>
                <w:color w:val="000000"/>
              </w:rPr>
            </w:pPr>
          </w:p>
        </w:tc>
      </w:tr>
      <w:tr w14:paraId="6D284731">
        <w:tblPrEx>
          <w:tblCellMar>
            <w:top w:w="0" w:type="dxa"/>
            <w:left w:w="108" w:type="dxa"/>
            <w:bottom w:w="0" w:type="dxa"/>
            <w:right w:w="108" w:type="dxa"/>
          </w:tblCellMar>
        </w:tblPrEx>
        <w:trPr>
          <w:cantSplit/>
          <w:trHeight w:val="540" w:hRule="atLeast"/>
          <w:tblHeader/>
          <w:jc w:val="center"/>
        </w:trPr>
        <w:tc>
          <w:tcPr>
            <w:tcW w:w="562" w:type="dxa"/>
            <w:tcBorders>
              <w:top w:val="nil"/>
              <w:left w:val="single" w:color="auto" w:sz="4" w:space="0"/>
              <w:bottom w:val="single" w:color="auto" w:sz="4" w:space="0"/>
              <w:right w:val="single" w:color="auto" w:sz="4" w:space="0"/>
            </w:tcBorders>
            <w:noWrap/>
            <w:vAlign w:val="center"/>
          </w:tcPr>
          <w:p w14:paraId="65496ED8">
            <w:pPr>
              <w:widowControl/>
              <w:jc w:val="center"/>
              <w:rPr>
                <w:rFonts w:ascii="等线" w:hAnsi="等线" w:eastAsia="等线"/>
                <w:color w:val="000000"/>
              </w:rPr>
            </w:pPr>
            <w:r>
              <w:rPr>
                <w:rFonts w:hint="eastAsia" w:ascii="等线" w:hAnsi="等线" w:eastAsia="等线"/>
                <w:color w:val="000000"/>
              </w:rPr>
              <w:t>2</w:t>
            </w:r>
          </w:p>
        </w:tc>
        <w:tc>
          <w:tcPr>
            <w:tcW w:w="1276" w:type="dxa"/>
            <w:tcBorders>
              <w:top w:val="nil"/>
              <w:left w:val="nil"/>
              <w:bottom w:val="single" w:color="auto" w:sz="4" w:space="0"/>
              <w:right w:val="single" w:color="auto" w:sz="4" w:space="0"/>
            </w:tcBorders>
            <w:noWrap/>
            <w:vAlign w:val="center"/>
          </w:tcPr>
          <w:p w14:paraId="4D2E3CEB">
            <w:pPr>
              <w:widowControl/>
              <w:jc w:val="center"/>
              <w:rPr>
                <w:rFonts w:ascii="等线" w:hAnsi="等线" w:eastAsia="等线"/>
                <w:color w:val="000000"/>
              </w:rPr>
            </w:pPr>
            <w:r>
              <w:rPr>
                <w:rFonts w:hint="eastAsia" w:ascii="等线" w:hAnsi="等线" w:eastAsia="等线"/>
                <w:color w:val="000000"/>
              </w:rPr>
              <w:t>建筑物</w:t>
            </w:r>
          </w:p>
        </w:tc>
        <w:tc>
          <w:tcPr>
            <w:tcW w:w="1985" w:type="dxa"/>
            <w:tcBorders>
              <w:top w:val="nil"/>
              <w:left w:val="nil"/>
              <w:bottom w:val="single" w:color="auto" w:sz="4" w:space="0"/>
              <w:right w:val="single" w:color="auto" w:sz="4" w:space="0"/>
            </w:tcBorders>
            <w:noWrap/>
            <w:vAlign w:val="center"/>
          </w:tcPr>
          <w:p w14:paraId="01E3E528">
            <w:pPr>
              <w:widowControl/>
              <w:jc w:val="center"/>
              <w:rPr>
                <w:rFonts w:ascii="等线" w:hAnsi="等线" w:eastAsia="等线"/>
                <w:color w:val="000000"/>
              </w:rPr>
            </w:pPr>
            <w:r>
              <w:rPr>
                <w:rFonts w:hint="eastAsia"/>
                <w:color w:val="000000"/>
              </w:rPr>
              <w:t>7142.6</w:t>
            </w:r>
          </w:p>
        </w:tc>
        <w:tc>
          <w:tcPr>
            <w:tcW w:w="1275" w:type="dxa"/>
            <w:tcBorders>
              <w:top w:val="nil"/>
              <w:left w:val="nil"/>
              <w:bottom w:val="single" w:color="auto" w:sz="4" w:space="0"/>
              <w:right w:val="single" w:color="auto" w:sz="4" w:space="0"/>
            </w:tcBorders>
            <w:noWrap/>
            <w:vAlign w:val="center"/>
          </w:tcPr>
          <w:p w14:paraId="1EDAE495">
            <w:pPr>
              <w:widowControl/>
              <w:jc w:val="center"/>
              <w:rPr>
                <w:rFonts w:ascii="等线" w:hAnsi="等线" w:eastAsia="等线"/>
                <w:color w:val="000000"/>
              </w:rPr>
            </w:pPr>
          </w:p>
        </w:tc>
        <w:tc>
          <w:tcPr>
            <w:tcW w:w="1418" w:type="dxa"/>
            <w:tcBorders>
              <w:top w:val="nil"/>
              <w:left w:val="nil"/>
              <w:bottom w:val="single" w:color="auto" w:sz="4" w:space="0"/>
              <w:right w:val="single" w:color="auto" w:sz="4" w:space="0"/>
            </w:tcBorders>
            <w:noWrap/>
            <w:vAlign w:val="center"/>
          </w:tcPr>
          <w:p w14:paraId="4E7FF2AF">
            <w:pPr>
              <w:widowControl/>
              <w:jc w:val="center"/>
              <w:rPr>
                <w:rFonts w:ascii="等线" w:hAnsi="等线" w:eastAsia="等线"/>
                <w:color w:val="000000"/>
              </w:rPr>
            </w:pPr>
          </w:p>
        </w:tc>
        <w:tc>
          <w:tcPr>
            <w:tcW w:w="1559" w:type="dxa"/>
            <w:vMerge w:val="continue"/>
            <w:tcBorders>
              <w:left w:val="nil"/>
              <w:bottom w:val="single" w:color="auto" w:sz="4" w:space="0"/>
              <w:right w:val="single" w:color="auto" w:sz="4" w:space="0"/>
            </w:tcBorders>
            <w:noWrap/>
            <w:vAlign w:val="center"/>
          </w:tcPr>
          <w:p w14:paraId="1D8E0A27">
            <w:pPr>
              <w:widowControl/>
              <w:jc w:val="center"/>
              <w:rPr>
                <w:rFonts w:ascii="等线" w:hAnsi="等线" w:eastAsia="等线"/>
                <w:color w:val="000000"/>
              </w:rPr>
            </w:pPr>
          </w:p>
        </w:tc>
      </w:tr>
    </w:tbl>
    <w:p w14:paraId="7DC8E3B1">
      <w:pPr>
        <w:tabs>
          <w:tab w:val="left" w:pos="600"/>
        </w:tabs>
        <w:spacing w:line="360" w:lineRule="auto"/>
        <w:rPr>
          <w:lang w:eastAsia="zh-CN"/>
        </w:rPr>
      </w:pPr>
      <w:r>
        <w:rPr>
          <w:rFonts w:hint="eastAsia"/>
          <w:lang w:eastAsia="zh-CN"/>
        </w:rPr>
        <w:t>根据单价和面积，得出各装置项目的检测费用如下表：</w:t>
      </w:r>
    </w:p>
    <w:p w14:paraId="3A212368">
      <w:pPr>
        <w:tabs>
          <w:tab w:val="left" w:pos="600"/>
        </w:tabs>
        <w:spacing w:line="360" w:lineRule="auto"/>
        <w:jc w:val="center"/>
        <w:rPr>
          <w:b/>
          <w:bCs/>
          <w:lang w:eastAsia="zh-CN"/>
        </w:rPr>
      </w:pPr>
      <w:r>
        <w:rPr>
          <w:rFonts w:hint="eastAsia"/>
          <w:b/>
          <w:bCs/>
          <w:lang w:eastAsia="zh-CN"/>
        </w:rPr>
        <w:t>本次委托竣工消防设施及工程防火检测费用明细表</w:t>
      </w:r>
    </w:p>
    <w:tbl>
      <w:tblPr>
        <w:tblStyle w:val="51"/>
        <w:tblW w:w="9214" w:type="dxa"/>
        <w:tblInd w:w="-10" w:type="dxa"/>
        <w:tblLayout w:type="autofit"/>
        <w:tblCellMar>
          <w:top w:w="0" w:type="dxa"/>
          <w:left w:w="108" w:type="dxa"/>
          <w:bottom w:w="0" w:type="dxa"/>
          <w:right w:w="108" w:type="dxa"/>
        </w:tblCellMar>
      </w:tblPr>
      <w:tblGrid>
        <w:gridCol w:w="456"/>
        <w:gridCol w:w="1270"/>
        <w:gridCol w:w="1795"/>
        <w:gridCol w:w="1134"/>
        <w:gridCol w:w="1272"/>
        <w:gridCol w:w="1019"/>
        <w:gridCol w:w="1134"/>
        <w:gridCol w:w="1134"/>
      </w:tblGrid>
      <w:tr w14:paraId="3A58FFA3">
        <w:tblPrEx>
          <w:tblCellMar>
            <w:top w:w="0" w:type="dxa"/>
            <w:left w:w="108" w:type="dxa"/>
            <w:bottom w:w="0" w:type="dxa"/>
            <w:right w:w="108" w:type="dxa"/>
          </w:tblCellMar>
        </w:tblPrEx>
        <w:trPr>
          <w:trHeight w:val="825" w:hRule="atLeast"/>
          <w:tblHeader/>
        </w:trPr>
        <w:tc>
          <w:tcPr>
            <w:tcW w:w="456" w:type="dxa"/>
            <w:tcBorders>
              <w:top w:val="single" w:color="auto" w:sz="8" w:space="0"/>
              <w:left w:val="single" w:color="auto" w:sz="8" w:space="0"/>
              <w:bottom w:val="single" w:color="auto" w:sz="8" w:space="0"/>
              <w:right w:val="single" w:color="auto" w:sz="4" w:space="0"/>
            </w:tcBorders>
            <w:vAlign w:val="center"/>
          </w:tcPr>
          <w:p w14:paraId="7C0C9008">
            <w:pPr>
              <w:widowControl/>
              <w:jc w:val="center"/>
              <w:rPr>
                <w:color w:val="000000"/>
              </w:rPr>
            </w:pPr>
            <w:r>
              <w:rPr>
                <w:rFonts w:hint="eastAsia"/>
                <w:color w:val="000000"/>
              </w:rPr>
              <w:t>序号</w:t>
            </w:r>
          </w:p>
        </w:tc>
        <w:tc>
          <w:tcPr>
            <w:tcW w:w="3065" w:type="dxa"/>
            <w:gridSpan w:val="2"/>
            <w:tcBorders>
              <w:top w:val="single" w:color="auto" w:sz="8" w:space="0"/>
              <w:left w:val="nil"/>
              <w:bottom w:val="single" w:color="auto" w:sz="8" w:space="0"/>
              <w:right w:val="single" w:color="auto" w:sz="4" w:space="0"/>
            </w:tcBorders>
            <w:vAlign w:val="center"/>
          </w:tcPr>
          <w:p w14:paraId="60BD5442">
            <w:pPr>
              <w:widowControl/>
              <w:jc w:val="center"/>
              <w:rPr>
                <w:color w:val="000000"/>
              </w:rPr>
            </w:pPr>
            <w:r>
              <w:rPr>
                <w:rFonts w:hint="eastAsia"/>
                <w:color w:val="000000"/>
              </w:rPr>
              <w:t>名称</w:t>
            </w:r>
          </w:p>
        </w:tc>
        <w:tc>
          <w:tcPr>
            <w:tcW w:w="1134" w:type="dxa"/>
            <w:tcBorders>
              <w:top w:val="single" w:color="auto" w:sz="8" w:space="0"/>
              <w:left w:val="nil"/>
              <w:bottom w:val="single" w:color="auto" w:sz="8" w:space="0"/>
              <w:right w:val="single" w:color="auto" w:sz="4" w:space="0"/>
            </w:tcBorders>
            <w:vAlign w:val="center"/>
          </w:tcPr>
          <w:p w14:paraId="40651120">
            <w:pPr>
              <w:widowControl/>
              <w:jc w:val="center"/>
              <w:rPr>
                <w:rFonts w:ascii="等线" w:hAnsi="等线" w:eastAsia="等线"/>
                <w:color w:val="000000"/>
              </w:rPr>
            </w:pPr>
            <w:r>
              <w:rPr>
                <w:rFonts w:hint="eastAsia" w:ascii="等线" w:hAnsi="等线" w:eastAsia="等线"/>
                <w:color w:val="000000"/>
              </w:rPr>
              <w:t>占地面积</w:t>
            </w:r>
            <w:r>
              <w:rPr>
                <w:rFonts w:hint="eastAsia" w:ascii="等线" w:hAnsi="等线" w:eastAsia="等线"/>
                <w:color w:val="000000"/>
              </w:rPr>
              <w:br w:type="textWrapping"/>
            </w:r>
            <w:r>
              <w:rPr>
                <w:rFonts w:hint="eastAsia" w:ascii="等线" w:hAnsi="等线" w:eastAsia="等线"/>
                <w:color w:val="000000"/>
              </w:rPr>
              <w:t>（m</w:t>
            </w:r>
            <w:r>
              <w:rPr>
                <w:rFonts w:hint="eastAsia" w:ascii="等线" w:hAnsi="等线" w:eastAsia="等线"/>
                <w:color w:val="000000"/>
                <w:vertAlign w:val="superscript"/>
              </w:rPr>
              <w:t>2</w:t>
            </w:r>
            <w:r>
              <w:rPr>
                <w:rFonts w:hint="eastAsia" w:ascii="等线" w:hAnsi="等线" w:eastAsia="等线"/>
                <w:color w:val="000000"/>
              </w:rPr>
              <w:t>)</w:t>
            </w:r>
          </w:p>
        </w:tc>
        <w:tc>
          <w:tcPr>
            <w:tcW w:w="1272" w:type="dxa"/>
            <w:tcBorders>
              <w:top w:val="single" w:color="auto" w:sz="8" w:space="0"/>
              <w:left w:val="nil"/>
              <w:bottom w:val="single" w:color="auto" w:sz="8" w:space="0"/>
              <w:right w:val="single" w:color="auto" w:sz="4" w:space="0"/>
            </w:tcBorders>
            <w:vAlign w:val="center"/>
          </w:tcPr>
          <w:p w14:paraId="1F5B9D94">
            <w:pPr>
              <w:widowControl/>
              <w:jc w:val="center"/>
              <w:rPr>
                <w:color w:val="000000"/>
              </w:rPr>
            </w:pPr>
            <w:r>
              <w:rPr>
                <w:rFonts w:hint="eastAsia"/>
                <w:color w:val="000000"/>
              </w:rPr>
              <w:t>建筑面积</w:t>
            </w:r>
            <w:r>
              <w:rPr>
                <w:rFonts w:hint="eastAsia"/>
                <w:color w:val="000000"/>
              </w:rPr>
              <w:br w:type="textWrapping"/>
            </w:r>
            <w:r>
              <w:rPr>
                <w:rFonts w:hint="eastAsia"/>
                <w:color w:val="000000"/>
              </w:rPr>
              <w:t>（m</w:t>
            </w:r>
            <w:r>
              <w:rPr>
                <w:rFonts w:hint="eastAsia"/>
                <w:color w:val="000000"/>
                <w:vertAlign w:val="superscript"/>
              </w:rPr>
              <w:t>2</w:t>
            </w:r>
            <w:r>
              <w:rPr>
                <w:rFonts w:hint="eastAsia"/>
                <w:color w:val="000000"/>
              </w:rPr>
              <w:t>）</w:t>
            </w:r>
          </w:p>
        </w:tc>
        <w:tc>
          <w:tcPr>
            <w:tcW w:w="1019" w:type="dxa"/>
            <w:tcBorders>
              <w:top w:val="single" w:color="auto" w:sz="8" w:space="0"/>
              <w:left w:val="nil"/>
              <w:bottom w:val="single" w:color="auto" w:sz="8" w:space="0"/>
              <w:right w:val="single" w:color="auto" w:sz="4" w:space="0"/>
            </w:tcBorders>
            <w:vAlign w:val="center"/>
          </w:tcPr>
          <w:p w14:paraId="57639762">
            <w:pPr>
              <w:widowControl/>
              <w:jc w:val="center"/>
              <w:rPr>
                <w:color w:val="000000"/>
              </w:rPr>
            </w:pPr>
            <w:r>
              <w:rPr>
                <w:rFonts w:hint="eastAsia"/>
                <w:color w:val="000000"/>
              </w:rPr>
              <w:t>单价</w:t>
            </w:r>
            <w:r>
              <w:rPr>
                <w:rFonts w:hint="eastAsia"/>
                <w:color w:val="000000"/>
              </w:rPr>
              <w:br w:type="textWrapping"/>
            </w:r>
            <w:r>
              <w:rPr>
                <w:rFonts w:hint="eastAsia"/>
                <w:color w:val="000000"/>
              </w:rPr>
              <w:t>(元/m</w:t>
            </w:r>
            <w:r>
              <w:rPr>
                <w:rFonts w:hint="eastAsia"/>
                <w:color w:val="000000"/>
                <w:vertAlign w:val="superscript"/>
              </w:rPr>
              <w:t>2</w:t>
            </w:r>
            <w:r>
              <w:rPr>
                <w:rFonts w:hint="eastAsia"/>
                <w:color w:val="000000"/>
              </w:rPr>
              <w:t>)</w:t>
            </w:r>
          </w:p>
        </w:tc>
        <w:tc>
          <w:tcPr>
            <w:tcW w:w="1134" w:type="dxa"/>
            <w:tcBorders>
              <w:top w:val="single" w:color="auto" w:sz="8" w:space="0"/>
              <w:left w:val="single" w:color="auto" w:sz="4" w:space="0"/>
              <w:bottom w:val="single" w:color="auto" w:sz="8" w:space="0"/>
              <w:right w:val="single" w:color="auto" w:sz="4" w:space="0"/>
            </w:tcBorders>
            <w:vAlign w:val="center"/>
          </w:tcPr>
          <w:p w14:paraId="501F90FF">
            <w:pPr>
              <w:widowControl/>
              <w:jc w:val="center"/>
              <w:rPr>
                <w:color w:val="000000"/>
              </w:rPr>
            </w:pPr>
            <w:r>
              <w:rPr>
                <w:rFonts w:hint="eastAsia"/>
                <w:color w:val="000000"/>
              </w:rPr>
              <w:t>小计金额</w:t>
            </w:r>
            <w:r>
              <w:rPr>
                <w:rFonts w:hint="eastAsia"/>
                <w:color w:val="000000"/>
              </w:rPr>
              <w:br w:type="textWrapping"/>
            </w:r>
            <w:r>
              <w:rPr>
                <w:rFonts w:hint="eastAsia"/>
                <w:color w:val="000000"/>
              </w:rPr>
              <w:t>（元）</w:t>
            </w:r>
          </w:p>
        </w:tc>
        <w:tc>
          <w:tcPr>
            <w:tcW w:w="1134" w:type="dxa"/>
            <w:tcBorders>
              <w:top w:val="single" w:color="auto" w:sz="8" w:space="0"/>
              <w:left w:val="single" w:color="auto" w:sz="4" w:space="0"/>
              <w:bottom w:val="single" w:color="auto" w:sz="8" w:space="0"/>
              <w:right w:val="single" w:color="auto" w:sz="8" w:space="0"/>
            </w:tcBorders>
            <w:vAlign w:val="center"/>
          </w:tcPr>
          <w:p w14:paraId="4EFEDC48">
            <w:pPr>
              <w:widowControl/>
              <w:jc w:val="center"/>
              <w:rPr>
                <w:color w:val="000000"/>
              </w:rPr>
            </w:pPr>
            <w:r>
              <w:rPr>
                <w:rFonts w:hint="eastAsia"/>
                <w:color w:val="000000"/>
              </w:rPr>
              <w:t>合计金额（元）</w:t>
            </w:r>
          </w:p>
        </w:tc>
      </w:tr>
      <w:tr w14:paraId="10EEBECE">
        <w:tblPrEx>
          <w:tblCellMar>
            <w:top w:w="0" w:type="dxa"/>
            <w:left w:w="108" w:type="dxa"/>
            <w:bottom w:w="0" w:type="dxa"/>
            <w:right w:w="108" w:type="dxa"/>
          </w:tblCellMar>
        </w:tblPrEx>
        <w:trPr>
          <w:trHeight w:val="540" w:hRule="atLeast"/>
        </w:trPr>
        <w:tc>
          <w:tcPr>
            <w:tcW w:w="456" w:type="dxa"/>
            <w:tcBorders>
              <w:top w:val="single" w:color="auto" w:sz="8" w:space="0"/>
              <w:left w:val="single" w:color="auto" w:sz="8" w:space="0"/>
              <w:bottom w:val="single" w:color="auto" w:sz="8" w:space="0"/>
              <w:right w:val="single" w:color="auto" w:sz="4" w:space="0"/>
            </w:tcBorders>
            <w:vAlign w:val="center"/>
          </w:tcPr>
          <w:p w14:paraId="57F50B6A">
            <w:pPr>
              <w:widowControl/>
              <w:jc w:val="center"/>
              <w:rPr>
                <w:color w:val="000000"/>
              </w:rPr>
            </w:pPr>
            <w:r>
              <w:rPr>
                <w:rFonts w:hint="eastAsia"/>
                <w:color w:val="000000"/>
              </w:rPr>
              <w:t>1</w:t>
            </w:r>
          </w:p>
        </w:tc>
        <w:tc>
          <w:tcPr>
            <w:tcW w:w="3065" w:type="dxa"/>
            <w:gridSpan w:val="2"/>
            <w:tcBorders>
              <w:top w:val="single" w:color="auto" w:sz="8" w:space="0"/>
              <w:left w:val="nil"/>
              <w:bottom w:val="single" w:color="auto" w:sz="8" w:space="0"/>
              <w:right w:val="single" w:color="auto" w:sz="4" w:space="0"/>
            </w:tcBorders>
            <w:vAlign w:val="center"/>
          </w:tcPr>
          <w:p w14:paraId="440DFF2F">
            <w:pPr>
              <w:widowControl/>
              <w:jc w:val="center"/>
              <w:rPr>
                <w:color w:val="000000"/>
                <w:lang w:eastAsia="zh-CN"/>
              </w:rPr>
            </w:pPr>
            <w:r>
              <w:rPr>
                <w:rFonts w:hint="eastAsia"/>
                <w:color w:val="000000"/>
                <w:lang w:eastAsia="zh-CN"/>
              </w:rPr>
              <w:t>年产300万吨精对苯二甲酸（PTA）扩建项目-PTA现场人员用房</w:t>
            </w:r>
          </w:p>
        </w:tc>
        <w:tc>
          <w:tcPr>
            <w:tcW w:w="1134" w:type="dxa"/>
            <w:tcBorders>
              <w:top w:val="single" w:color="auto" w:sz="8" w:space="0"/>
              <w:left w:val="nil"/>
              <w:bottom w:val="single" w:color="auto" w:sz="8" w:space="0"/>
              <w:right w:val="single" w:color="auto" w:sz="4" w:space="0"/>
              <w:tl2br w:val="single" w:color="auto" w:sz="4" w:space="0"/>
            </w:tcBorders>
            <w:noWrap/>
            <w:vAlign w:val="center"/>
          </w:tcPr>
          <w:p w14:paraId="6CCFF55B">
            <w:pPr>
              <w:widowControl/>
              <w:rPr>
                <w:rFonts w:ascii="等线" w:hAnsi="等线" w:eastAsia="等线"/>
                <w:color w:val="000000"/>
                <w:lang w:eastAsia="zh-CN"/>
              </w:rPr>
            </w:pPr>
            <w:r>
              <w:rPr>
                <w:rFonts w:hint="eastAsia" w:ascii="等线" w:hAnsi="等线" w:eastAsia="等线"/>
                <w:color w:val="000000"/>
                <w:lang w:eastAsia="zh-CN"/>
              </w:rPr>
              <w:t>　</w:t>
            </w:r>
          </w:p>
        </w:tc>
        <w:tc>
          <w:tcPr>
            <w:tcW w:w="1272" w:type="dxa"/>
            <w:tcBorders>
              <w:top w:val="single" w:color="auto" w:sz="8" w:space="0"/>
              <w:left w:val="nil"/>
              <w:bottom w:val="single" w:color="auto" w:sz="8" w:space="0"/>
              <w:right w:val="single" w:color="auto" w:sz="4" w:space="0"/>
            </w:tcBorders>
            <w:vAlign w:val="center"/>
          </w:tcPr>
          <w:p w14:paraId="543186E4">
            <w:pPr>
              <w:widowControl/>
              <w:jc w:val="center"/>
              <w:rPr>
                <w:color w:val="000000"/>
              </w:rPr>
            </w:pPr>
            <w:r>
              <w:rPr>
                <w:rFonts w:hint="eastAsia"/>
                <w:color w:val="000000"/>
              </w:rPr>
              <w:t>1850.57</w:t>
            </w:r>
          </w:p>
        </w:tc>
        <w:tc>
          <w:tcPr>
            <w:tcW w:w="1019" w:type="dxa"/>
            <w:tcBorders>
              <w:top w:val="single" w:color="auto" w:sz="8" w:space="0"/>
              <w:left w:val="nil"/>
              <w:bottom w:val="single" w:color="auto" w:sz="8" w:space="0"/>
              <w:right w:val="single" w:color="auto" w:sz="4" w:space="0"/>
            </w:tcBorders>
            <w:vAlign w:val="center"/>
          </w:tcPr>
          <w:p w14:paraId="005B2921">
            <w:pPr>
              <w:widowControl/>
              <w:jc w:val="center"/>
              <w:rPr>
                <w:color w:val="000000"/>
              </w:rPr>
            </w:pPr>
          </w:p>
        </w:tc>
        <w:tc>
          <w:tcPr>
            <w:tcW w:w="1134" w:type="dxa"/>
            <w:tcBorders>
              <w:top w:val="single" w:color="auto" w:sz="8" w:space="0"/>
              <w:left w:val="single" w:color="auto" w:sz="4" w:space="0"/>
              <w:bottom w:val="single" w:color="auto" w:sz="8" w:space="0"/>
              <w:right w:val="single" w:color="auto" w:sz="4" w:space="0"/>
            </w:tcBorders>
            <w:vAlign w:val="center"/>
          </w:tcPr>
          <w:p w14:paraId="5028352F">
            <w:pPr>
              <w:widowControl/>
              <w:jc w:val="center"/>
              <w:rPr>
                <w:color w:val="000000"/>
              </w:rPr>
            </w:pPr>
          </w:p>
        </w:tc>
        <w:tc>
          <w:tcPr>
            <w:tcW w:w="1134" w:type="dxa"/>
            <w:tcBorders>
              <w:top w:val="single" w:color="auto" w:sz="8" w:space="0"/>
              <w:left w:val="single" w:color="auto" w:sz="4" w:space="0"/>
              <w:bottom w:val="single" w:color="auto" w:sz="8" w:space="0"/>
              <w:right w:val="single" w:color="auto" w:sz="8" w:space="0"/>
            </w:tcBorders>
            <w:vAlign w:val="center"/>
          </w:tcPr>
          <w:p w14:paraId="18698BF1">
            <w:pPr>
              <w:widowControl/>
              <w:jc w:val="center"/>
              <w:rPr>
                <w:color w:val="000000"/>
              </w:rPr>
            </w:pPr>
          </w:p>
        </w:tc>
      </w:tr>
      <w:tr w14:paraId="0C3CA984">
        <w:tblPrEx>
          <w:tblCellMar>
            <w:top w:w="0" w:type="dxa"/>
            <w:left w:w="108" w:type="dxa"/>
            <w:bottom w:w="0" w:type="dxa"/>
            <w:right w:w="108" w:type="dxa"/>
          </w:tblCellMar>
        </w:tblPrEx>
        <w:trPr>
          <w:trHeight w:val="659" w:hRule="atLeast"/>
        </w:trPr>
        <w:tc>
          <w:tcPr>
            <w:tcW w:w="456" w:type="dxa"/>
            <w:vMerge w:val="restart"/>
            <w:tcBorders>
              <w:top w:val="single" w:color="auto" w:sz="8" w:space="0"/>
              <w:left w:val="single" w:color="auto" w:sz="8" w:space="0"/>
              <w:right w:val="single" w:color="auto" w:sz="4" w:space="0"/>
            </w:tcBorders>
            <w:vAlign w:val="center"/>
          </w:tcPr>
          <w:p w14:paraId="188CB975">
            <w:pPr>
              <w:widowControl/>
              <w:rPr>
                <w:color w:val="000000"/>
              </w:rPr>
            </w:pPr>
            <w:r>
              <w:rPr>
                <w:rFonts w:hint="eastAsia"/>
                <w:color w:val="000000"/>
              </w:rPr>
              <w:t>2</w:t>
            </w:r>
          </w:p>
        </w:tc>
        <w:tc>
          <w:tcPr>
            <w:tcW w:w="1270" w:type="dxa"/>
            <w:vMerge w:val="restart"/>
            <w:tcBorders>
              <w:top w:val="single" w:color="auto" w:sz="8" w:space="0"/>
              <w:left w:val="nil"/>
              <w:right w:val="single" w:color="auto" w:sz="4" w:space="0"/>
            </w:tcBorders>
            <w:vAlign w:val="center"/>
          </w:tcPr>
          <w:p w14:paraId="56823864">
            <w:pPr>
              <w:widowControl/>
              <w:jc w:val="center"/>
              <w:rPr>
                <w:color w:val="000000"/>
              </w:rPr>
            </w:pPr>
            <w:r>
              <w:rPr>
                <w:rFonts w:hint="eastAsia"/>
                <w:color w:val="000000"/>
              </w:rPr>
              <w:t>PTA危废仓库</w:t>
            </w:r>
          </w:p>
        </w:tc>
        <w:tc>
          <w:tcPr>
            <w:tcW w:w="1795" w:type="dxa"/>
            <w:tcBorders>
              <w:top w:val="single" w:color="auto" w:sz="8" w:space="0"/>
              <w:left w:val="nil"/>
              <w:bottom w:val="single" w:color="auto" w:sz="8" w:space="0"/>
              <w:right w:val="single" w:color="auto" w:sz="4" w:space="0"/>
            </w:tcBorders>
            <w:vAlign w:val="center"/>
          </w:tcPr>
          <w:p w14:paraId="016797C2">
            <w:pPr>
              <w:widowControl/>
              <w:jc w:val="center"/>
              <w:rPr>
                <w:color w:val="000000"/>
              </w:rPr>
            </w:pPr>
            <w:r>
              <w:rPr>
                <w:rFonts w:hint="eastAsia"/>
                <w:color w:val="000000"/>
              </w:rPr>
              <w:t>PTA危废库1</w:t>
            </w:r>
          </w:p>
        </w:tc>
        <w:tc>
          <w:tcPr>
            <w:tcW w:w="1134" w:type="dxa"/>
            <w:vMerge w:val="restart"/>
            <w:tcBorders>
              <w:top w:val="single" w:color="auto" w:sz="8" w:space="0"/>
              <w:left w:val="nil"/>
              <w:right w:val="single" w:color="auto" w:sz="4" w:space="0"/>
              <w:tl2br w:val="single" w:color="auto" w:sz="4" w:space="0"/>
            </w:tcBorders>
            <w:noWrap/>
            <w:vAlign w:val="center"/>
          </w:tcPr>
          <w:p w14:paraId="301726E0">
            <w:pPr>
              <w:widowControl/>
              <w:rPr>
                <w:rFonts w:ascii="等线" w:hAnsi="等线" w:eastAsia="等线"/>
                <w:color w:val="000000"/>
              </w:rPr>
            </w:pPr>
          </w:p>
        </w:tc>
        <w:tc>
          <w:tcPr>
            <w:tcW w:w="1272" w:type="dxa"/>
            <w:tcBorders>
              <w:top w:val="single" w:color="auto" w:sz="8" w:space="0"/>
              <w:left w:val="nil"/>
              <w:bottom w:val="single" w:color="auto" w:sz="4" w:space="0"/>
              <w:right w:val="single" w:color="auto" w:sz="4" w:space="0"/>
            </w:tcBorders>
            <w:vAlign w:val="center"/>
          </w:tcPr>
          <w:p w14:paraId="5D1B615C">
            <w:pPr>
              <w:widowControl/>
              <w:jc w:val="center"/>
              <w:rPr>
                <w:color w:val="000000"/>
              </w:rPr>
            </w:pPr>
            <w:r>
              <w:rPr>
                <w:rFonts w:hint="eastAsia"/>
                <w:color w:val="000000"/>
              </w:rPr>
              <w:t>992.96</w:t>
            </w:r>
          </w:p>
        </w:tc>
        <w:tc>
          <w:tcPr>
            <w:tcW w:w="1019" w:type="dxa"/>
            <w:vMerge w:val="restart"/>
            <w:tcBorders>
              <w:top w:val="single" w:color="auto" w:sz="8" w:space="0"/>
              <w:left w:val="single" w:color="auto" w:sz="4" w:space="0"/>
              <w:right w:val="single" w:color="auto" w:sz="4" w:space="0"/>
            </w:tcBorders>
            <w:vAlign w:val="center"/>
          </w:tcPr>
          <w:p w14:paraId="01658C9E">
            <w:pPr>
              <w:widowControl/>
              <w:jc w:val="center"/>
              <w:rPr>
                <w:color w:val="000000"/>
              </w:rPr>
            </w:pPr>
          </w:p>
        </w:tc>
        <w:tc>
          <w:tcPr>
            <w:tcW w:w="1134" w:type="dxa"/>
            <w:tcBorders>
              <w:top w:val="single" w:color="auto" w:sz="8" w:space="0"/>
              <w:left w:val="single" w:color="auto" w:sz="4" w:space="0"/>
              <w:bottom w:val="single" w:color="auto" w:sz="4" w:space="0"/>
              <w:right w:val="single" w:color="auto" w:sz="4" w:space="0"/>
            </w:tcBorders>
            <w:vAlign w:val="center"/>
          </w:tcPr>
          <w:p w14:paraId="15659F48">
            <w:pPr>
              <w:widowControl/>
              <w:jc w:val="center"/>
              <w:rPr>
                <w:color w:val="000000"/>
              </w:rPr>
            </w:pPr>
          </w:p>
        </w:tc>
        <w:tc>
          <w:tcPr>
            <w:tcW w:w="1134" w:type="dxa"/>
            <w:vMerge w:val="restart"/>
            <w:tcBorders>
              <w:top w:val="single" w:color="auto" w:sz="8" w:space="0"/>
              <w:left w:val="single" w:color="auto" w:sz="4" w:space="0"/>
              <w:right w:val="single" w:color="auto" w:sz="8" w:space="0"/>
            </w:tcBorders>
            <w:vAlign w:val="center"/>
          </w:tcPr>
          <w:p w14:paraId="0E02136A">
            <w:pPr>
              <w:widowControl/>
              <w:jc w:val="center"/>
              <w:rPr>
                <w:color w:val="000000"/>
              </w:rPr>
            </w:pPr>
          </w:p>
        </w:tc>
      </w:tr>
      <w:tr w14:paraId="03EADABC">
        <w:tblPrEx>
          <w:tblCellMar>
            <w:top w:w="0" w:type="dxa"/>
            <w:left w:w="108" w:type="dxa"/>
            <w:bottom w:w="0" w:type="dxa"/>
            <w:right w:w="108" w:type="dxa"/>
          </w:tblCellMar>
        </w:tblPrEx>
        <w:trPr>
          <w:trHeight w:val="539" w:hRule="atLeast"/>
        </w:trPr>
        <w:tc>
          <w:tcPr>
            <w:tcW w:w="456" w:type="dxa"/>
            <w:vMerge w:val="continue"/>
            <w:tcBorders>
              <w:left w:val="single" w:color="auto" w:sz="8" w:space="0"/>
              <w:right w:val="single" w:color="auto" w:sz="4" w:space="0"/>
            </w:tcBorders>
            <w:vAlign w:val="center"/>
          </w:tcPr>
          <w:p w14:paraId="3EA4582C">
            <w:pPr>
              <w:widowControl/>
              <w:rPr>
                <w:color w:val="000000"/>
              </w:rPr>
            </w:pPr>
          </w:p>
        </w:tc>
        <w:tc>
          <w:tcPr>
            <w:tcW w:w="1270" w:type="dxa"/>
            <w:vMerge w:val="continue"/>
            <w:tcBorders>
              <w:left w:val="nil"/>
              <w:right w:val="single" w:color="auto" w:sz="4" w:space="0"/>
            </w:tcBorders>
            <w:vAlign w:val="center"/>
          </w:tcPr>
          <w:p w14:paraId="5707283B">
            <w:pPr>
              <w:widowControl/>
              <w:jc w:val="center"/>
              <w:rPr>
                <w:color w:val="000000"/>
              </w:rPr>
            </w:pPr>
          </w:p>
        </w:tc>
        <w:tc>
          <w:tcPr>
            <w:tcW w:w="1795" w:type="dxa"/>
            <w:tcBorders>
              <w:top w:val="single" w:color="auto" w:sz="4" w:space="0"/>
              <w:left w:val="nil"/>
              <w:bottom w:val="single" w:color="auto" w:sz="4" w:space="0"/>
              <w:right w:val="single" w:color="auto" w:sz="4" w:space="0"/>
            </w:tcBorders>
            <w:vAlign w:val="center"/>
          </w:tcPr>
          <w:p w14:paraId="0CE14EDA">
            <w:pPr>
              <w:widowControl/>
              <w:jc w:val="center"/>
              <w:rPr>
                <w:color w:val="000000"/>
              </w:rPr>
            </w:pPr>
            <w:r>
              <w:rPr>
                <w:rFonts w:hint="eastAsia"/>
                <w:color w:val="000000"/>
              </w:rPr>
              <w:t>PTA危废库2</w:t>
            </w:r>
          </w:p>
        </w:tc>
        <w:tc>
          <w:tcPr>
            <w:tcW w:w="1134" w:type="dxa"/>
            <w:vMerge w:val="continue"/>
            <w:tcBorders>
              <w:left w:val="nil"/>
              <w:bottom w:val="single" w:color="auto" w:sz="4" w:space="0"/>
              <w:right w:val="single" w:color="auto" w:sz="4" w:space="0"/>
              <w:tl2br w:val="single" w:color="auto" w:sz="4" w:space="0"/>
            </w:tcBorders>
            <w:noWrap/>
            <w:vAlign w:val="center"/>
          </w:tcPr>
          <w:p w14:paraId="3C121831">
            <w:pPr>
              <w:widowControl/>
              <w:rPr>
                <w:rFonts w:ascii="等线" w:hAnsi="等线" w:eastAsia="等线"/>
                <w:color w:val="000000"/>
              </w:rPr>
            </w:pPr>
          </w:p>
        </w:tc>
        <w:tc>
          <w:tcPr>
            <w:tcW w:w="1272" w:type="dxa"/>
            <w:tcBorders>
              <w:top w:val="single" w:color="auto" w:sz="4" w:space="0"/>
              <w:left w:val="nil"/>
              <w:bottom w:val="single" w:color="auto" w:sz="4" w:space="0"/>
              <w:right w:val="single" w:color="auto" w:sz="4" w:space="0"/>
            </w:tcBorders>
            <w:vAlign w:val="center"/>
          </w:tcPr>
          <w:p w14:paraId="36E31853">
            <w:pPr>
              <w:widowControl/>
              <w:jc w:val="center"/>
              <w:rPr>
                <w:color w:val="000000"/>
              </w:rPr>
            </w:pPr>
            <w:r>
              <w:rPr>
                <w:rFonts w:hint="eastAsia"/>
                <w:color w:val="000000"/>
              </w:rPr>
              <w:t>1176.08</w:t>
            </w:r>
          </w:p>
        </w:tc>
        <w:tc>
          <w:tcPr>
            <w:tcW w:w="1019" w:type="dxa"/>
            <w:vMerge w:val="continue"/>
            <w:tcBorders>
              <w:left w:val="single" w:color="auto" w:sz="4" w:space="0"/>
              <w:bottom w:val="single" w:color="auto" w:sz="4" w:space="0"/>
              <w:right w:val="single" w:color="auto" w:sz="4" w:space="0"/>
            </w:tcBorders>
            <w:vAlign w:val="center"/>
          </w:tcPr>
          <w:p w14:paraId="46BE3F59">
            <w:pPr>
              <w:widowControl/>
              <w:rPr>
                <w:color w:val="000000"/>
              </w:rPr>
            </w:pPr>
          </w:p>
        </w:tc>
        <w:tc>
          <w:tcPr>
            <w:tcW w:w="1134" w:type="dxa"/>
            <w:tcBorders>
              <w:top w:val="single" w:color="auto" w:sz="4" w:space="0"/>
              <w:left w:val="single" w:color="auto" w:sz="4" w:space="0"/>
              <w:bottom w:val="single" w:color="auto" w:sz="4" w:space="0"/>
              <w:right w:val="single" w:color="auto" w:sz="4" w:space="0"/>
            </w:tcBorders>
            <w:vAlign w:val="center"/>
          </w:tcPr>
          <w:p w14:paraId="3AFF858D">
            <w:pPr>
              <w:widowControl/>
              <w:rPr>
                <w:color w:val="000000"/>
              </w:rPr>
            </w:pPr>
          </w:p>
        </w:tc>
        <w:tc>
          <w:tcPr>
            <w:tcW w:w="1134" w:type="dxa"/>
            <w:vMerge w:val="continue"/>
            <w:tcBorders>
              <w:left w:val="single" w:color="auto" w:sz="4" w:space="0"/>
              <w:right w:val="single" w:color="auto" w:sz="8" w:space="0"/>
            </w:tcBorders>
            <w:vAlign w:val="center"/>
          </w:tcPr>
          <w:p w14:paraId="4E3AEC1F">
            <w:pPr>
              <w:widowControl/>
              <w:rPr>
                <w:color w:val="000000"/>
              </w:rPr>
            </w:pPr>
          </w:p>
        </w:tc>
      </w:tr>
      <w:tr w14:paraId="6ADC2F96">
        <w:tblPrEx>
          <w:tblCellMar>
            <w:top w:w="0" w:type="dxa"/>
            <w:left w:w="108" w:type="dxa"/>
            <w:bottom w:w="0" w:type="dxa"/>
            <w:right w:w="108" w:type="dxa"/>
          </w:tblCellMar>
        </w:tblPrEx>
        <w:trPr>
          <w:trHeight w:val="626" w:hRule="atLeast"/>
        </w:trPr>
        <w:tc>
          <w:tcPr>
            <w:tcW w:w="456" w:type="dxa"/>
            <w:vMerge w:val="continue"/>
            <w:tcBorders>
              <w:left w:val="single" w:color="auto" w:sz="8" w:space="0"/>
              <w:bottom w:val="single" w:color="000000" w:sz="8" w:space="0"/>
              <w:right w:val="single" w:color="auto" w:sz="4" w:space="0"/>
            </w:tcBorders>
            <w:vAlign w:val="center"/>
          </w:tcPr>
          <w:p w14:paraId="4871F43C">
            <w:pPr>
              <w:widowControl/>
              <w:rPr>
                <w:color w:val="000000"/>
              </w:rPr>
            </w:pPr>
          </w:p>
        </w:tc>
        <w:tc>
          <w:tcPr>
            <w:tcW w:w="1270" w:type="dxa"/>
            <w:vMerge w:val="continue"/>
            <w:tcBorders>
              <w:left w:val="nil"/>
              <w:bottom w:val="single" w:color="auto" w:sz="8" w:space="0"/>
              <w:right w:val="single" w:color="auto" w:sz="4" w:space="0"/>
            </w:tcBorders>
            <w:vAlign w:val="center"/>
          </w:tcPr>
          <w:p w14:paraId="31D3C087">
            <w:pPr>
              <w:widowControl/>
              <w:jc w:val="center"/>
              <w:rPr>
                <w:color w:val="000000"/>
              </w:rPr>
            </w:pPr>
          </w:p>
        </w:tc>
        <w:tc>
          <w:tcPr>
            <w:tcW w:w="1795" w:type="dxa"/>
            <w:tcBorders>
              <w:top w:val="single" w:color="auto" w:sz="4" w:space="0"/>
              <w:left w:val="nil"/>
              <w:bottom w:val="single" w:color="auto" w:sz="8" w:space="0"/>
              <w:right w:val="single" w:color="auto" w:sz="4" w:space="0"/>
            </w:tcBorders>
            <w:vAlign w:val="center"/>
          </w:tcPr>
          <w:p w14:paraId="4AFDBC33">
            <w:pPr>
              <w:widowControl/>
              <w:jc w:val="center"/>
              <w:rPr>
                <w:color w:val="000000"/>
              </w:rPr>
            </w:pPr>
            <w:r>
              <w:rPr>
                <w:rFonts w:hint="eastAsia"/>
                <w:color w:val="000000"/>
              </w:rPr>
              <w:t>尾气吸附设备</w:t>
            </w:r>
          </w:p>
        </w:tc>
        <w:tc>
          <w:tcPr>
            <w:tcW w:w="1134" w:type="dxa"/>
            <w:tcBorders>
              <w:top w:val="single" w:color="auto" w:sz="4" w:space="0"/>
              <w:left w:val="nil"/>
              <w:bottom w:val="single" w:color="auto" w:sz="8" w:space="0"/>
              <w:right w:val="single" w:color="auto" w:sz="4" w:space="0"/>
            </w:tcBorders>
            <w:noWrap/>
            <w:vAlign w:val="center"/>
          </w:tcPr>
          <w:p w14:paraId="2F862973">
            <w:pPr>
              <w:widowControl/>
              <w:jc w:val="center"/>
              <w:rPr>
                <w:rFonts w:ascii="等线" w:hAnsi="等线" w:eastAsia="等线"/>
                <w:color w:val="000000"/>
              </w:rPr>
            </w:pPr>
            <w:r>
              <w:rPr>
                <w:rFonts w:hint="eastAsia" w:ascii="等线" w:hAnsi="等线" w:eastAsia="等线"/>
                <w:color w:val="000000"/>
              </w:rPr>
              <w:t>241.60</w:t>
            </w:r>
          </w:p>
        </w:tc>
        <w:tc>
          <w:tcPr>
            <w:tcW w:w="1272" w:type="dxa"/>
            <w:tcBorders>
              <w:top w:val="single" w:color="auto" w:sz="4" w:space="0"/>
              <w:left w:val="nil"/>
              <w:bottom w:val="single" w:color="auto" w:sz="8" w:space="0"/>
              <w:right w:val="single" w:color="auto" w:sz="4" w:space="0"/>
              <w:tl2br w:val="single" w:color="auto" w:sz="4" w:space="0"/>
            </w:tcBorders>
            <w:vAlign w:val="center"/>
          </w:tcPr>
          <w:p w14:paraId="3853BB8B">
            <w:pPr>
              <w:widowControl/>
              <w:rPr>
                <w:color w:val="000000"/>
              </w:rPr>
            </w:pPr>
          </w:p>
        </w:tc>
        <w:tc>
          <w:tcPr>
            <w:tcW w:w="1019" w:type="dxa"/>
            <w:tcBorders>
              <w:top w:val="single" w:color="auto" w:sz="4" w:space="0"/>
              <w:left w:val="single" w:color="auto" w:sz="4" w:space="0"/>
              <w:bottom w:val="single" w:color="auto" w:sz="8" w:space="0"/>
              <w:right w:val="single" w:color="auto" w:sz="4" w:space="0"/>
            </w:tcBorders>
            <w:vAlign w:val="center"/>
          </w:tcPr>
          <w:p w14:paraId="05AA9512">
            <w:pPr>
              <w:widowControl/>
              <w:rPr>
                <w:color w:val="000000"/>
              </w:rPr>
            </w:pPr>
          </w:p>
        </w:tc>
        <w:tc>
          <w:tcPr>
            <w:tcW w:w="1134" w:type="dxa"/>
            <w:tcBorders>
              <w:top w:val="single" w:color="auto" w:sz="4" w:space="0"/>
              <w:left w:val="single" w:color="auto" w:sz="4" w:space="0"/>
              <w:bottom w:val="single" w:color="auto" w:sz="8" w:space="0"/>
              <w:right w:val="single" w:color="auto" w:sz="4" w:space="0"/>
            </w:tcBorders>
            <w:vAlign w:val="center"/>
          </w:tcPr>
          <w:p w14:paraId="2D95EE96">
            <w:pPr>
              <w:widowControl/>
              <w:rPr>
                <w:color w:val="000000"/>
              </w:rPr>
            </w:pPr>
          </w:p>
        </w:tc>
        <w:tc>
          <w:tcPr>
            <w:tcW w:w="1134" w:type="dxa"/>
            <w:vMerge w:val="continue"/>
            <w:tcBorders>
              <w:left w:val="single" w:color="auto" w:sz="4" w:space="0"/>
              <w:bottom w:val="single" w:color="000000" w:sz="8" w:space="0"/>
              <w:right w:val="single" w:color="auto" w:sz="8" w:space="0"/>
            </w:tcBorders>
            <w:vAlign w:val="center"/>
          </w:tcPr>
          <w:p w14:paraId="1E5F3511">
            <w:pPr>
              <w:widowControl/>
              <w:rPr>
                <w:color w:val="000000"/>
              </w:rPr>
            </w:pPr>
          </w:p>
        </w:tc>
      </w:tr>
      <w:tr w14:paraId="7D2DFB3B">
        <w:tblPrEx>
          <w:tblCellMar>
            <w:top w:w="0" w:type="dxa"/>
            <w:left w:w="108" w:type="dxa"/>
            <w:bottom w:w="0" w:type="dxa"/>
            <w:right w:w="108" w:type="dxa"/>
          </w:tblCellMar>
        </w:tblPrEx>
        <w:trPr>
          <w:trHeight w:val="511" w:hRule="atLeast"/>
        </w:trPr>
        <w:tc>
          <w:tcPr>
            <w:tcW w:w="456" w:type="dxa"/>
            <w:vMerge w:val="restart"/>
            <w:tcBorders>
              <w:top w:val="nil"/>
              <w:left w:val="single" w:color="auto" w:sz="8" w:space="0"/>
              <w:right w:val="single" w:color="auto" w:sz="4" w:space="0"/>
            </w:tcBorders>
            <w:vAlign w:val="center"/>
          </w:tcPr>
          <w:p w14:paraId="756C738B">
            <w:pPr>
              <w:widowControl/>
              <w:rPr>
                <w:color w:val="000000"/>
              </w:rPr>
            </w:pPr>
            <w:r>
              <w:rPr>
                <w:rFonts w:hint="eastAsia"/>
                <w:color w:val="000000"/>
              </w:rPr>
              <w:t>3</w:t>
            </w:r>
          </w:p>
        </w:tc>
        <w:tc>
          <w:tcPr>
            <w:tcW w:w="1270" w:type="dxa"/>
            <w:vMerge w:val="restart"/>
            <w:tcBorders>
              <w:top w:val="single" w:color="auto" w:sz="4" w:space="0"/>
              <w:left w:val="nil"/>
              <w:right w:val="single" w:color="auto" w:sz="4" w:space="0"/>
            </w:tcBorders>
            <w:vAlign w:val="center"/>
          </w:tcPr>
          <w:p w14:paraId="4D32E29F">
            <w:pPr>
              <w:widowControl/>
              <w:jc w:val="center"/>
              <w:rPr>
                <w:color w:val="000000"/>
                <w:lang w:eastAsia="zh-CN"/>
              </w:rPr>
            </w:pPr>
            <w:r>
              <w:rPr>
                <w:rFonts w:hint="eastAsia"/>
                <w:color w:val="000000"/>
                <w:lang w:eastAsia="zh-CN"/>
              </w:rPr>
              <w:t>码头新建煤仓及输煤系统改造项目</w:t>
            </w:r>
          </w:p>
        </w:tc>
        <w:tc>
          <w:tcPr>
            <w:tcW w:w="1795" w:type="dxa"/>
            <w:tcBorders>
              <w:top w:val="single" w:color="auto" w:sz="4" w:space="0"/>
              <w:left w:val="nil"/>
              <w:bottom w:val="single" w:color="auto" w:sz="4" w:space="0"/>
              <w:right w:val="single" w:color="auto" w:sz="4" w:space="0"/>
            </w:tcBorders>
            <w:vAlign w:val="center"/>
          </w:tcPr>
          <w:p w14:paraId="4323BC0C">
            <w:pPr>
              <w:widowControl/>
              <w:jc w:val="center"/>
              <w:rPr>
                <w:color w:val="000000"/>
              </w:rPr>
            </w:pPr>
            <w:r>
              <w:rPr>
                <w:rFonts w:hint="eastAsia"/>
                <w:color w:val="000000"/>
              </w:rPr>
              <w:t>配电间</w:t>
            </w:r>
          </w:p>
        </w:tc>
        <w:tc>
          <w:tcPr>
            <w:tcW w:w="1134" w:type="dxa"/>
            <w:tcBorders>
              <w:top w:val="nil"/>
              <w:left w:val="nil"/>
              <w:bottom w:val="single" w:color="auto" w:sz="4" w:space="0"/>
              <w:right w:val="single" w:color="auto" w:sz="4" w:space="0"/>
              <w:tl2br w:val="single" w:color="auto" w:sz="4" w:space="0"/>
            </w:tcBorders>
            <w:noWrap/>
            <w:vAlign w:val="center"/>
          </w:tcPr>
          <w:p w14:paraId="619782E9">
            <w:pPr>
              <w:widowControl/>
              <w:rPr>
                <w:rFonts w:ascii="等线" w:hAnsi="等线" w:eastAsia="等线"/>
                <w:color w:val="000000"/>
              </w:rPr>
            </w:pPr>
          </w:p>
        </w:tc>
        <w:tc>
          <w:tcPr>
            <w:tcW w:w="1272" w:type="dxa"/>
            <w:tcBorders>
              <w:top w:val="single" w:color="auto" w:sz="8" w:space="0"/>
              <w:left w:val="nil"/>
              <w:bottom w:val="single" w:color="auto" w:sz="4" w:space="0"/>
              <w:right w:val="single" w:color="auto" w:sz="4" w:space="0"/>
            </w:tcBorders>
            <w:vAlign w:val="center"/>
          </w:tcPr>
          <w:p w14:paraId="5464E78B">
            <w:pPr>
              <w:widowControl/>
              <w:jc w:val="center"/>
              <w:rPr>
                <w:color w:val="000000"/>
              </w:rPr>
            </w:pPr>
            <w:r>
              <w:rPr>
                <w:rFonts w:hint="eastAsia"/>
                <w:color w:val="000000"/>
              </w:rPr>
              <w:t>860.88</w:t>
            </w:r>
          </w:p>
        </w:tc>
        <w:tc>
          <w:tcPr>
            <w:tcW w:w="1019" w:type="dxa"/>
            <w:tcBorders>
              <w:top w:val="single" w:color="auto" w:sz="8" w:space="0"/>
              <w:left w:val="single" w:color="auto" w:sz="4" w:space="0"/>
              <w:bottom w:val="single" w:color="auto" w:sz="4" w:space="0"/>
              <w:right w:val="single" w:color="auto" w:sz="4" w:space="0"/>
            </w:tcBorders>
            <w:vAlign w:val="center"/>
          </w:tcPr>
          <w:p w14:paraId="652DD5B3">
            <w:pPr>
              <w:widowControl/>
              <w:jc w:val="center"/>
              <w:rPr>
                <w:color w:val="000000"/>
              </w:rPr>
            </w:pPr>
          </w:p>
        </w:tc>
        <w:tc>
          <w:tcPr>
            <w:tcW w:w="1134" w:type="dxa"/>
            <w:tcBorders>
              <w:top w:val="single" w:color="auto" w:sz="8" w:space="0"/>
              <w:left w:val="single" w:color="auto" w:sz="4" w:space="0"/>
              <w:bottom w:val="single" w:color="auto" w:sz="4" w:space="0"/>
              <w:right w:val="single" w:color="auto" w:sz="4" w:space="0"/>
            </w:tcBorders>
            <w:vAlign w:val="center"/>
          </w:tcPr>
          <w:p w14:paraId="77129A11">
            <w:pPr>
              <w:widowControl/>
              <w:jc w:val="center"/>
              <w:rPr>
                <w:color w:val="000000"/>
              </w:rPr>
            </w:pPr>
          </w:p>
        </w:tc>
        <w:tc>
          <w:tcPr>
            <w:tcW w:w="1134" w:type="dxa"/>
            <w:vMerge w:val="restart"/>
            <w:tcBorders>
              <w:top w:val="nil"/>
              <w:left w:val="single" w:color="auto" w:sz="4" w:space="0"/>
              <w:right w:val="single" w:color="auto" w:sz="8" w:space="0"/>
            </w:tcBorders>
            <w:vAlign w:val="center"/>
          </w:tcPr>
          <w:p w14:paraId="368628D5">
            <w:pPr>
              <w:widowControl/>
              <w:jc w:val="center"/>
              <w:rPr>
                <w:color w:val="000000"/>
              </w:rPr>
            </w:pPr>
          </w:p>
        </w:tc>
      </w:tr>
      <w:tr w14:paraId="1D36CA2E">
        <w:tblPrEx>
          <w:tblCellMar>
            <w:top w:w="0" w:type="dxa"/>
            <w:left w:w="108" w:type="dxa"/>
            <w:bottom w:w="0" w:type="dxa"/>
            <w:right w:w="108" w:type="dxa"/>
          </w:tblCellMar>
        </w:tblPrEx>
        <w:trPr>
          <w:trHeight w:val="463" w:hRule="atLeast"/>
        </w:trPr>
        <w:tc>
          <w:tcPr>
            <w:tcW w:w="456" w:type="dxa"/>
            <w:vMerge w:val="continue"/>
            <w:tcBorders>
              <w:left w:val="single" w:color="auto" w:sz="8" w:space="0"/>
              <w:right w:val="single" w:color="auto" w:sz="4" w:space="0"/>
            </w:tcBorders>
            <w:vAlign w:val="center"/>
          </w:tcPr>
          <w:p w14:paraId="4D8696EB">
            <w:pPr>
              <w:widowControl/>
              <w:rPr>
                <w:color w:val="000000"/>
              </w:rPr>
            </w:pPr>
          </w:p>
        </w:tc>
        <w:tc>
          <w:tcPr>
            <w:tcW w:w="1270" w:type="dxa"/>
            <w:vMerge w:val="continue"/>
            <w:tcBorders>
              <w:left w:val="nil"/>
              <w:right w:val="single" w:color="auto" w:sz="4" w:space="0"/>
            </w:tcBorders>
            <w:vAlign w:val="center"/>
          </w:tcPr>
          <w:p w14:paraId="6CF1FB1B">
            <w:pPr>
              <w:widowControl/>
              <w:jc w:val="center"/>
              <w:rPr>
                <w:color w:val="000000"/>
              </w:rPr>
            </w:pPr>
          </w:p>
        </w:tc>
        <w:tc>
          <w:tcPr>
            <w:tcW w:w="1795" w:type="dxa"/>
            <w:tcBorders>
              <w:top w:val="single" w:color="auto" w:sz="4" w:space="0"/>
              <w:left w:val="nil"/>
              <w:bottom w:val="single" w:color="auto" w:sz="4" w:space="0"/>
              <w:right w:val="single" w:color="auto" w:sz="4" w:space="0"/>
            </w:tcBorders>
            <w:vAlign w:val="center"/>
          </w:tcPr>
          <w:p w14:paraId="77D81679">
            <w:pPr>
              <w:widowControl/>
              <w:jc w:val="center"/>
              <w:rPr>
                <w:color w:val="000000"/>
              </w:rPr>
            </w:pPr>
            <w:r>
              <w:rPr>
                <w:rFonts w:hint="eastAsia"/>
                <w:color w:val="000000"/>
              </w:rPr>
              <w:t>2#圆形煤仓</w:t>
            </w:r>
          </w:p>
        </w:tc>
        <w:tc>
          <w:tcPr>
            <w:tcW w:w="1134" w:type="dxa"/>
            <w:tcBorders>
              <w:top w:val="single" w:color="auto" w:sz="4" w:space="0"/>
              <w:left w:val="nil"/>
              <w:bottom w:val="single" w:color="auto" w:sz="4" w:space="0"/>
              <w:right w:val="single" w:color="auto" w:sz="4" w:space="0"/>
            </w:tcBorders>
            <w:noWrap/>
            <w:vAlign w:val="center"/>
          </w:tcPr>
          <w:p w14:paraId="181B4DC0">
            <w:pPr>
              <w:widowControl/>
              <w:rPr>
                <w:rFonts w:ascii="等线" w:hAnsi="等线" w:eastAsia="等线"/>
                <w:color w:val="000000"/>
              </w:rPr>
            </w:pPr>
            <w:r>
              <w:rPr>
                <w:rFonts w:hint="eastAsia" w:ascii="等线" w:hAnsi="等线" w:eastAsia="等线"/>
                <w:color w:val="000000"/>
              </w:rPr>
              <w:t>11309.73</w:t>
            </w:r>
          </w:p>
        </w:tc>
        <w:tc>
          <w:tcPr>
            <w:tcW w:w="1272" w:type="dxa"/>
            <w:tcBorders>
              <w:top w:val="single" w:color="auto" w:sz="4" w:space="0"/>
              <w:left w:val="nil"/>
              <w:bottom w:val="single" w:color="auto" w:sz="4" w:space="0"/>
              <w:right w:val="single" w:color="auto" w:sz="4" w:space="0"/>
              <w:tl2br w:val="single" w:color="auto" w:sz="4" w:space="0"/>
            </w:tcBorders>
            <w:vAlign w:val="center"/>
          </w:tcPr>
          <w:p w14:paraId="366D1E2C">
            <w:pPr>
              <w:widowControl/>
              <w:rPr>
                <w:color w:val="000000"/>
              </w:rPr>
            </w:pPr>
          </w:p>
        </w:tc>
        <w:tc>
          <w:tcPr>
            <w:tcW w:w="1019" w:type="dxa"/>
            <w:vMerge w:val="restart"/>
            <w:tcBorders>
              <w:top w:val="single" w:color="auto" w:sz="4" w:space="0"/>
              <w:left w:val="single" w:color="auto" w:sz="4" w:space="0"/>
              <w:right w:val="single" w:color="auto" w:sz="4" w:space="0"/>
            </w:tcBorders>
            <w:vAlign w:val="center"/>
          </w:tcPr>
          <w:p w14:paraId="1AC701A2">
            <w:pPr>
              <w:widowControl/>
              <w:rPr>
                <w:color w:val="000000"/>
              </w:rPr>
            </w:pPr>
          </w:p>
        </w:tc>
        <w:tc>
          <w:tcPr>
            <w:tcW w:w="1134" w:type="dxa"/>
            <w:tcBorders>
              <w:top w:val="single" w:color="auto" w:sz="4" w:space="0"/>
              <w:left w:val="single" w:color="auto" w:sz="4" w:space="0"/>
              <w:bottom w:val="single" w:color="auto" w:sz="4" w:space="0"/>
              <w:right w:val="single" w:color="auto" w:sz="4" w:space="0"/>
            </w:tcBorders>
            <w:vAlign w:val="center"/>
          </w:tcPr>
          <w:p w14:paraId="15805ED6">
            <w:pPr>
              <w:widowControl/>
              <w:rPr>
                <w:color w:val="000000"/>
              </w:rPr>
            </w:pPr>
          </w:p>
        </w:tc>
        <w:tc>
          <w:tcPr>
            <w:tcW w:w="1134" w:type="dxa"/>
            <w:vMerge w:val="continue"/>
            <w:tcBorders>
              <w:left w:val="single" w:color="auto" w:sz="4" w:space="0"/>
              <w:right w:val="single" w:color="auto" w:sz="8" w:space="0"/>
            </w:tcBorders>
            <w:vAlign w:val="center"/>
          </w:tcPr>
          <w:p w14:paraId="63341BD9">
            <w:pPr>
              <w:widowControl/>
              <w:rPr>
                <w:color w:val="000000"/>
              </w:rPr>
            </w:pPr>
          </w:p>
        </w:tc>
      </w:tr>
      <w:tr w14:paraId="3ED72E22">
        <w:tblPrEx>
          <w:tblCellMar>
            <w:top w:w="0" w:type="dxa"/>
            <w:left w:w="108" w:type="dxa"/>
            <w:bottom w:w="0" w:type="dxa"/>
            <w:right w:w="108" w:type="dxa"/>
          </w:tblCellMar>
        </w:tblPrEx>
        <w:trPr>
          <w:trHeight w:val="200" w:hRule="atLeast"/>
        </w:trPr>
        <w:tc>
          <w:tcPr>
            <w:tcW w:w="456" w:type="dxa"/>
            <w:vMerge w:val="continue"/>
            <w:tcBorders>
              <w:left w:val="single" w:color="auto" w:sz="8" w:space="0"/>
              <w:right w:val="single" w:color="auto" w:sz="4" w:space="0"/>
            </w:tcBorders>
            <w:vAlign w:val="center"/>
          </w:tcPr>
          <w:p w14:paraId="03652155">
            <w:pPr>
              <w:widowControl/>
              <w:rPr>
                <w:color w:val="000000"/>
              </w:rPr>
            </w:pPr>
          </w:p>
        </w:tc>
        <w:tc>
          <w:tcPr>
            <w:tcW w:w="1270" w:type="dxa"/>
            <w:vMerge w:val="continue"/>
            <w:tcBorders>
              <w:left w:val="nil"/>
              <w:right w:val="single" w:color="auto" w:sz="4" w:space="0"/>
            </w:tcBorders>
            <w:vAlign w:val="center"/>
          </w:tcPr>
          <w:p w14:paraId="5BA8E2A4">
            <w:pPr>
              <w:widowControl/>
              <w:jc w:val="center"/>
              <w:rPr>
                <w:color w:val="000000"/>
              </w:rPr>
            </w:pPr>
          </w:p>
        </w:tc>
        <w:tc>
          <w:tcPr>
            <w:tcW w:w="1795" w:type="dxa"/>
            <w:tcBorders>
              <w:top w:val="single" w:color="auto" w:sz="4" w:space="0"/>
              <w:left w:val="nil"/>
              <w:bottom w:val="single" w:color="auto" w:sz="4" w:space="0"/>
              <w:right w:val="single" w:color="auto" w:sz="4" w:space="0"/>
            </w:tcBorders>
            <w:vAlign w:val="center"/>
          </w:tcPr>
          <w:p w14:paraId="6EC49FA7">
            <w:pPr>
              <w:widowControl/>
              <w:jc w:val="center"/>
              <w:rPr>
                <w:color w:val="000000"/>
              </w:rPr>
            </w:pPr>
            <w:r>
              <w:rPr>
                <w:rFonts w:hint="eastAsia"/>
                <w:color w:val="000000"/>
              </w:rPr>
              <w:t>BC5输煤廊道</w:t>
            </w:r>
          </w:p>
        </w:tc>
        <w:tc>
          <w:tcPr>
            <w:tcW w:w="1134" w:type="dxa"/>
            <w:tcBorders>
              <w:top w:val="single" w:color="auto" w:sz="4" w:space="0"/>
              <w:left w:val="nil"/>
              <w:bottom w:val="single" w:color="auto" w:sz="4" w:space="0"/>
              <w:right w:val="single" w:color="auto" w:sz="4" w:space="0"/>
            </w:tcBorders>
            <w:noWrap/>
            <w:vAlign w:val="center"/>
          </w:tcPr>
          <w:p w14:paraId="0918B8AA">
            <w:pPr>
              <w:widowControl/>
              <w:jc w:val="center"/>
              <w:rPr>
                <w:rFonts w:ascii="等线" w:hAnsi="等线" w:eastAsia="等线"/>
                <w:color w:val="000000"/>
              </w:rPr>
            </w:pPr>
            <w:r>
              <w:rPr>
                <w:rFonts w:hint="eastAsia" w:ascii="等线" w:hAnsi="等线" w:eastAsia="等线"/>
                <w:color w:val="000000"/>
              </w:rPr>
              <w:t>403.59</w:t>
            </w:r>
          </w:p>
        </w:tc>
        <w:tc>
          <w:tcPr>
            <w:tcW w:w="1272" w:type="dxa"/>
            <w:tcBorders>
              <w:top w:val="single" w:color="auto" w:sz="4" w:space="0"/>
              <w:left w:val="nil"/>
              <w:bottom w:val="single" w:color="auto" w:sz="4" w:space="0"/>
              <w:right w:val="single" w:color="auto" w:sz="4" w:space="0"/>
              <w:tl2br w:val="single" w:color="auto" w:sz="4" w:space="0"/>
            </w:tcBorders>
            <w:vAlign w:val="center"/>
          </w:tcPr>
          <w:p w14:paraId="14DC4572">
            <w:pPr>
              <w:widowControl/>
              <w:rPr>
                <w:color w:val="000000"/>
              </w:rPr>
            </w:pPr>
          </w:p>
        </w:tc>
        <w:tc>
          <w:tcPr>
            <w:tcW w:w="1019" w:type="dxa"/>
            <w:vMerge w:val="continue"/>
            <w:tcBorders>
              <w:left w:val="single" w:color="auto" w:sz="4" w:space="0"/>
              <w:right w:val="single" w:color="auto" w:sz="4" w:space="0"/>
            </w:tcBorders>
            <w:vAlign w:val="center"/>
          </w:tcPr>
          <w:p w14:paraId="056AFE31">
            <w:pPr>
              <w:widowControl/>
              <w:rPr>
                <w:color w:val="000000"/>
              </w:rPr>
            </w:pPr>
          </w:p>
        </w:tc>
        <w:tc>
          <w:tcPr>
            <w:tcW w:w="1134" w:type="dxa"/>
            <w:tcBorders>
              <w:top w:val="single" w:color="auto" w:sz="4" w:space="0"/>
              <w:left w:val="single" w:color="auto" w:sz="4" w:space="0"/>
              <w:bottom w:val="single" w:color="auto" w:sz="4" w:space="0"/>
              <w:right w:val="single" w:color="auto" w:sz="4" w:space="0"/>
            </w:tcBorders>
            <w:vAlign w:val="center"/>
          </w:tcPr>
          <w:p w14:paraId="5B67C4B4">
            <w:pPr>
              <w:widowControl/>
              <w:rPr>
                <w:color w:val="000000"/>
              </w:rPr>
            </w:pPr>
          </w:p>
        </w:tc>
        <w:tc>
          <w:tcPr>
            <w:tcW w:w="1134" w:type="dxa"/>
            <w:vMerge w:val="continue"/>
            <w:tcBorders>
              <w:left w:val="single" w:color="auto" w:sz="4" w:space="0"/>
              <w:right w:val="single" w:color="auto" w:sz="8" w:space="0"/>
            </w:tcBorders>
            <w:vAlign w:val="center"/>
          </w:tcPr>
          <w:p w14:paraId="5F64F870">
            <w:pPr>
              <w:widowControl/>
              <w:rPr>
                <w:color w:val="000000"/>
              </w:rPr>
            </w:pPr>
          </w:p>
        </w:tc>
      </w:tr>
      <w:tr w14:paraId="309F4C7D">
        <w:tblPrEx>
          <w:tblCellMar>
            <w:top w:w="0" w:type="dxa"/>
            <w:left w:w="108" w:type="dxa"/>
            <w:bottom w:w="0" w:type="dxa"/>
            <w:right w:w="108" w:type="dxa"/>
          </w:tblCellMar>
        </w:tblPrEx>
        <w:trPr>
          <w:trHeight w:val="250" w:hRule="atLeast"/>
        </w:trPr>
        <w:tc>
          <w:tcPr>
            <w:tcW w:w="456" w:type="dxa"/>
            <w:vMerge w:val="continue"/>
            <w:tcBorders>
              <w:left w:val="single" w:color="auto" w:sz="8" w:space="0"/>
              <w:bottom w:val="single" w:color="000000" w:sz="8" w:space="0"/>
              <w:right w:val="single" w:color="auto" w:sz="4" w:space="0"/>
            </w:tcBorders>
            <w:vAlign w:val="center"/>
          </w:tcPr>
          <w:p w14:paraId="7F13BEFC">
            <w:pPr>
              <w:widowControl/>
              <w:rPr>
                <w:color w:val="000000"/>
              </w:rPr>
            </w:pPr>
          </w:p>
        </w:tc>
        <w:tc>
          <w:tcPr>
            <w:tcW w:w="1270" w:type="dxa"/>
            <w:vMerge w:val="continue"/>
            <w:tcBorders>
              <w:left w:val="nil"/>
              <w:bottom w:val="single" w:color="auto" w:sz="8" w:space="0"/>
              <w:right w:val="single" w:color="auto" w:sz="4" w:space="0"/>
            </w:tcBorders>
            <w:vAlign w:val="center"/>
          </w:tcPr>
          <w:p w14:paraId="0E426741">
            <w:pPr>
              <w:widowControl/>
              <w:jc w:val="center"/>
              <w:rPr>
                <w:color w:val="000000"/>
              </w:rPr>
            </w:pPr>
          </w:p>
        </w:tc>
        <w:tc>
          <w:tcPr>
            <w:tcW w:w="1795" w:type="dxa"/>
            <w:tcBorders>
              <w:top w:val="single" w:color="auto" w:sz="4" w:space="0"/>
              <w:left w:val="nil"/>
              <w:bottom w:val="single" w:color="auto" w:sz="8" w:space="0"/>
              <w:right w:val="single" w:color="auto" w:sz="4" w:space="0"/>
            </w:tcBorders>
            <w:vAlign w:val="center"/>
          </w:tcPr>
          <w:p w14:paraId="61C0B9BB">
            <w:pPr>
              <w:widowControl/>
              <w:jc w:val="center"/>
              <w:rPr>
                <w:color w:val="000000"/>
              </w:rPr>
            </w:pPr>
            <w:r>
              <w:rPr>
                <w:rFonts w:hint="eastAsia"/>
                <w:color w:val="000000"/>
              </w:rPr>
              <w:t>BC7输煤廊道</w:t>
            </w:r>
          </w:p>
        </w:tc>
        <w:tc>
          <w:tcPr>
            <w:tcW w:w="1134" w:type="dxa"/>
            <w:tcBorders>
              <w:top w:val="single" w:color="auto" w:sz="4" w:space="0"/>
              <w:left w:val="nil"/>
              <w:bottom w:val="single" w:color="auto" w:sz="8" w:space="0"/>
              <w:right w:val="single" w:color="auto" w:sz="4" w:space="0"/>
            </w:tcBorders>
            <w:noWrap/>
            <w:vAlign w:val="center"/>
          </w:tcPr>
          <w:p w14:paraId="463C65F1">
            <w:pPr>
              <w:widowControl/>
              <w:jc w:val="center"/>
              <w:rPr>
                <w:rFonts w:ascii="等线" w:hAnsi="等线" w:eastAsia="等线"/>
                <w:color w:val="000000"/>
              </w:rPr>
            </w:pPr>
            <w:r>
              <w:rPr>
                <w:rFonts w:hint="eastAsia" w:ascii="等线" w:hAnsi="等线" w:eastAsia="等线"/>
                <w:color w:val="000000"/>
              </w:rPr>
              <w:t>403.59</w:t>
            </w:r>
          </w:p>
        </w:tc>
        <w:tc>
          <w:tcPr>
            <w:tcW w:w="1272" w:type="dxa"/>
            <w:tcBorders>
              <w:top w:val="single" w:color="auto" w:sz="4" w:space="0"/>
              <w:left w:val="nil"/>
              <w:bottom w:val="single" w:color="auto" w:sz="8" w:space="0"/>
              <w:right w:val="single" w:color="auto" w:sz="4" w:space="0"/>
              <w:tl2br w:val="single" w:color="auto" w:sz="4" w:space="0"/>
            </w:tcBorders>
            <w:vAlign w:val="center"/>
          </w:tcPr>
          <w:p w14:paraId="294DC287">
            <w:pPr>
              <w:widowControl/>
              <w:rPr>
                <w:color w:val="000000"/>
              </w:rPr>
            </w:pPr>
          </w:p>
        </w:tc>
        <w:tc>
          <w:tcPr>
            <w:tcW w:w="1019" w:type="dxa"/>
            <w:vMerge w:val="continue"/>
            <w:tcBorders>
              <w:left w:val="single" w:color="auto" w:sz="4" w:space="0"/>
              <w:bottom w:val="single" w:color="000000" w:sz="8" w:space="0"/>
              <w:right w:val="single" w:color="auto" w:sz="4" w:space="0"/>
            </w:tcBorders>
            <w:vAlign w:val="center"/>
          </w:tcPr>
          <w:p w14:paraId="44A167CE">
            <w:pPr>
              <w:widowControl/>
              <w:rPr>
                <w:color w:val="000000"/>
              </w:rPr>
            </w:pPr>
          </w:p>
        </w:tc>
        <w:tc>
          <w:tcPr>
            <w:tcW w:w="1134" w:type="dxa"/>
            <w:tcBorders>
              <w:top w:val="single" w:color="auto" w:sz="4" w:space="0"/>
              <w:left w:val="single" w:color="auto" w:sz="4" w:space="0"/>
              <w:bottom w:val="single" w:color="000000" w:sz="8" w:space="0"/>
              <w:right w:val="single" w:color="auto" w:sz="4" w:space="0"/>
            </w:tcBorders>
            <w:vAlign w:val="center"/>
          </w:tcPr>
          <w:p w14:paraId="5243B473">
            <w:pPr>
              <w:widowControl/>
              <w:rPr>
                <w:color w:val="000000"/>
              </w:rPr>
            </w:pPr>
          </w:p>
        </w:tc>
        <w:tc>
          <w:tcPr>
            <w:tcW w:w="1134" w:type="dxa"/>
            <w:vMerge w:val="continue"/>
            <w:tcBorders>
              <w:left w:val="single" w:color="auto" w:sz="4" w:space="0"/>
              <w:bottom w:val="single" w:color="000000" w:sz="8" w:space="0"/>
              <w:right w:val="single" w:color="auto" w:sz="8" w:space="0"/>
            </w:tcBorders>
            <w:vAlign w:val="center"/>
          </w:tcPr>
          <w:p w14:paraId="303D843D">
            <w:pPr>
              <w:widowControl/>
              <w:rPr>
                <w:color w:val="000000"/>
              </w:rPr>
            </w:pPr>
          </w:p>
        </w:tc>
      </w:tr>
      <w:tr w14:paraId="0CD055F2">
        <w:tblPrEx>
          <w:tblCellMar>
            <w:top w:w="0" w:type="dxa"/>
            <w:left w:w="108" w:type="dxa"/>
            <w:bottom w:w="0" w:type="dxa"/>
            <w:right w:w="108" w:type="dxa"/>
          </w:tblCellMar>
        </w:tblPrEx>
        <w:trPr>
          <w:trHeight w:val="540" w:hRule="atLeast"/>
        </w:trPr>
        <w:tc>
          <w:tcPr>
            <w:tcW w:w="456" w:type="dxa"/>
            <w:vMerge w:val="restart"/>
            <w:tcBorders>
              <w:top w:val="nil"/>
              <w:left w:val="single" w:color="auto" w:sz="8" w:space="0"/>
              <w:right w:val="single" w:color="auto" w:sz="4" w:space="0"/>
            </w:tcBorders>
            <w:vAlign w:val="center"/>
          </w:tcPr>
          <w:p w14:paraId="1E5B5A11">
            <w:pPr>
              <w:rPr>
                <w:color w:val="000000"/>
              </w:rPr>
            </w:pPr>
            <w:r>
              <w:rPr>
                <w:rFonts w:hint="eastAsia"/>
                <w:color w:val="000000"/>
              </w:rPr>
              <w:t>4</w:t>
            </w:r>
          </w:p>
        </w:tc>
        <w:tc>
          <w:tcPr>
            <w:tcW w:w="1270" w:type="dxa"/>
            <w:vMerge w:val="restart"/>
            <w:tcBorders>
              <w:top w:val="single" w:color="auto" w:sz="4" w:space="0"/>
              <w:left w:val="nil"/>
              <w:right w:val="single" w:color="auto" w:sz="4" w:space="0"/>
            </w:tcBorders>
            <w:vAlign w:val="center"/>
          </w:tcPr>
          <w:p w14:paraId="694B61AF">
            <w:pPr>
              <w:widowControl/>
              <w:jc w:val="center"/>
              <w:rPr>
                <w:lang w:eastAsia="zh-CN"/>
              </w:rPr>
            </w:pPr>
            <w:r>
              <w:rPr>
                <w:rFonts w:hint="eastAsia"/>
                <w:color w:val="000000"/>
                <w:lang w:eastAsia="zh-CN"/>
              </w:rPr>
              <w:t>SS16-5变电所、FAR11机柜间</w:t>
            </w:r>
          </w:p>
        </w:tc>
        <w:tc>
          <w:tcPr>
            <w:tcW w:w="1795" w:type="dxa"/>
            <w:tcBorders>
              <w:top w:val="single" w:color="auto" w:sz="4" w:space="0"/>
              <w:left w:val="nil"/>
              <w:bottom w:val="single" w:color="auto" w:sz="4" w:space="0"/>
              <w:right w:val="single" w:color="auto" w:sz="4" w:space="0"/>
            </w:tcBorders>
            <w:vAlign w:val="center"/>
          </w:tcPr>
          <w:p w14:paraId="4805951F">
            <w:pPr>
              <w:widowControl/>
              <w:spacing w:line="360" w:lineRule="auto"/>
            </w:pPr>
            <w:r>
              <w:rPr>
                <w:rFonts w:hint="eastAsia"/>
              </w:rPr>
              <w:t>SS16-5变电所</w:t>
            </w:r>
          </w:p>
        </w:tc>
        <w:tc>
          <w:tcPr>
            <w:tcW w:w="1134" w:type="dxa"/>
            <w:tcBorders>
              <w:top w:val="nil"/>
              <w:left w:val="nil"/>
              <w:bottom w:val="single" w:color="auto" w:sz="4" w:space="0"/>
              <w:right w:val="single" w:color="auto" w:sz="4" w:space="0"/>
              <w:tl2br w:val="single" w:color="auto" w:sz="4" w:space="0"/>
            </w:tcBorders>
            <w:noWrap/>
            <w:vAlign w:val="center"/>
          </w:tcPr>
          <w:p w14:paraId="3CF3AC1F">
            <w:pPr>
              <w:widowControl/>
              <w:jc w:val="center"/>
              <w:rPr>
                <w:rFonts w:ascii="等线" w:hAnsi="等线" w:eastAsia="等线"/>
                <w:color w:val="000000"/>
              </w:rPr>
            </w:pPr>
          </w:p>
        </w:tc>
        <w:tc>
          <w:tcPr>
            <w:tcW w:w="1272" w:type="dxa"/>
            <w:tcBorders>
              <w:top w:val="nil"/>
              <w:left w:val="nil"/>
              <w:bottom w:val="single" w:color="auto" w:sz="4" w:space="0"/>
              <w:right w:val="single" w:color="auto" w:sz="4" w:space="0"/>
            </w:tcBorders>
            <w:vAlign w:val="center"/>
          </w:tcPr>
          <w:p w14:paraId="79ADBFB2">
            <w:pPr>
              <w:widowControl/>
              <w:jc w:val="center"/>
              <w:rPr>
                <w:color w:val="000000"/>
              </w:rPr>
            </w:pPr>
            <w:r>
              <w:rPr>
                <w:rFonts w:hint="eastAsia"/>
                <w:color w:val="000000"/>
              </w:rPr>
              <w:t>1665.32</w:t>
            </w:r>
          </w:p>
        </w:tc>
        <w:tc>
          <w:tcPr>
            <w:tcW w:w="1019" w:type="dxa"/>
            <w:tcBorders>
              <w:top w:val="nil"/>
              <w:left w:val="single" w:color="auto" w:sz="4" w:space="0"/>
              <w:bottom w:val="single" w:color="auto" w:sz="4" w:space="0"/>
              <w:right w:val="single" w:color="auto" w:sz="4" w:space="0"/>
            </w:tcBorders>
            <w:vAlign w:val="center"/>
          </w:tcPr>
          <w:p w14:paraId="05A8FC42">
            <w:pPr>
              <w:widowControl/>
              <w:jc w:val="center"/>
              <w:rPr>
                <w:color w:val="000000"/>
              </w:rPr>
            </w:pPr>
          </w:p>
        </w:tc>
        <w:tc>
          <w:tcPr>
            <w:tcW w:w="1134" w:type="dxa"/>
            <w:tcBorders>
              <w:top w:val="nil"/>
              <w:left w:val="single" w:color="auto" w:sz="4" w:space="0"/>
              <w:bottom w:val="single" w:color="auto" w:sz="4" w:space="0"/>
              <w:right w:val="single" w:color="auto" w:sz="4" w:space="0"/>
            </w:tcBorders>
            <w:vAlign w:val="center"/>
          </w:tcPr>
          <w:p w14:paraId="2893CF71">
            <w:pPr>
              <w:widowControl/>
              <w:jc w:val="center"/>
              <w:rPr>
                <w:color w:val="000000"/>
              </w:rPr>
            </w:pPr>
          </w:p>
        </w:tc>
        <w:tc>
          <w:tcPr>
            <w:tcW w:w="1134" w:type="dxa"/>
            <w:vMerge w:val="restart"/>
            <w:tcBorders>
              <w:top w:val="nil"/>
              <w:left w:val="single" w:color="auto" w:sz="4" w:space="0"/>
              <w:right w:val="single" w:color="auto" w:sz="8" w:space="0"/>
            </w:tcBorders>
            <w:vAlign w:val="center"/>
          </w:tcPr>
          <w:p w14:paraId="1EAC3561">
            <w:pPr>
              <w:widowControl/>
              <w:jc w:val="center"/>
              <w:rPr>
                <w:color w:val="000000"/>
              </w:rPr>
            </w:pPr>
          </w:p>
        </w:tc>
      </w:tr>
      <w:tr w14:paraId="4CD28C72">
        <w:tblPrEx>
          <w:tblCellMar>
            <w:top w:w="0" w:type="dxa"/>
            <w:left w:w="108" w:type="dxa"/>
            <w:bottom w:w="0" w:type="dxa"/>
            <w:right w:w="108" w:type="dxa"/>
          </w:tblCellMar>
        </w:tblPrEx>
        <w:trPr>
          <w:trHeight w:val="540" w:hRule="atLeast"/>
        </w:trPr>
        <w:tc>
          <w:tcPr>
            <w:tcW w:w="456" w:type="dxa"/>
            <w:vMerge w:val="continue"/>
            <w:tcBorders>
              <w:left w:val="single" w:color="auto" w:sz="8" w:space="0"/>
              <w:bottom w:val="single" w:color="000000" w:sz="8" w:space="0"/>
              <w:right w:val="single" w:color="auto" w:sz="4" w:space="0"/>
            </w:tcBorders>
            <w:vAlign w:val="center"/>
          </w:tcPr>
          <w:p w14:paraId="1744910F">
            <w:pPr>
              <w:widowControl/>
              <w:rPr>
                <w:color w:val="000000"/>
              </w:rPr>
            </w:pPr>
          </w:p>
        </w:tc>
        <w:tc>
          <w:tcPr>
            <w:tcW w:w="1270" w:type="dxa"/>
            <w:vMerge w:val="continue"/>
            <w:tcBorders>
              <w:left w:val="nil"/>
              <w:bottom w:val="single" w:color="auto" w:sz="8" w:space="0"/>
              <w:right w:val="single" w:color="auto" w:sz="4" w:space="0"/>
            </w:tcBorders>
            <w:vAlign w:val="center"/>
          </w:tcPr>
          <w:p w14:paraId="0FBA8A00">
            <w:pPr>
              <w:widowControl/>
              <w:spacing w:line="360" w:lineRule="auto"/>
              <w:rPr>
                <w:color w:val="000000"/>
              </w:rPr>
            </w:pPr>
          </w:p>
        </w:tc>
        <w:tc>
          <w:tcPr>
            <w:tcW w:w="1795" w:type="dxa"/>
            <w:tcBorders>
              <w:top w:val="single" w:color="auto" w:sz="4" w:space="0"/>
              <w:left w:val="nil"/>
              <w:bottom w:val="single" w:color="auto" w:sz="8" w:space="0"/>
              <w:right w:val="single" w:color="auto" w:sz="4" w:space="0"/>
            </w:tcBorders>
            <w:vAlign w:val="center"/>
          </w:tcPr>
          <w:p w14:paraId="568AA250">
            <w:pPr>
              <w:widowControl/>
              <w:spacing w:line="360" w:lineRule="auto"/>
              <w:rPr>
                <w:color w:val="000000"/>
              </w:rPr>
            </w:pPr>
            <w:r>
              <w:rPr>
                <w:rFonts w:hint="eastAsia"/>
              </w:rPr>
              <w:t>FAR11机柜间</w:t>
            </w:r>
          </w:p>
        </w:tc>
        <w:tc>
          <w:tcPr>
            <w:tcW w:w="1134" w:type="dxa"/>
            <w:tcBorders>
              <w:top w:val="single" w:color="auto" w:sz="4" w:space="0"/>
              <w:left w:val="nil"/>
              <w:bottom w:val="single" w:color="auto" w:sz="8" w:space="0"/>
              <w:right w:val="single" w:color="auto" w:sz="4" w:space="0"/>
              <w:tl2br w:val="single" w:color="auto" w:sz="4" w:space="0"/>
            </w:tcBorders>
            <w:noWrap/>
            <w:vAlign w:val="center"/>
          </w:tcPr>
          <w:p w14:paraId="383BC066">
            <w:pPr>
              <w:widowControl/>
              <w:jc w:val="center"/>
              <w:rPr>
                <w:rFonts w:ascii="等线" w:hAnsi="等线" w:eastAsia="等线"/>
                <w:color w:val="000000"/>
              </w:rPr>
            </w:pPr>
          </w:p>
        </w:tc>
        <w:tc>
          <w:tcPr>
            <w:tcW w:w="1272" w:type="dxa"/>
            <w:tcBorders>
              <w:top w:val="single" w:color="auto" w:sz="4" w:space="0"/>
              <w:left w:val="nil"/>
              <w:bottom w:val="single" w:color="auto" w:sz="8" w:space="0"/>
              <w:right w:val="single" w:color="auto" w:sz="4" w:space="0"/>
            </w:tcBorders>
            <w:vAlign w:val="center"/>
          </w:tcPr>
          <w:p w14:paraId="409B345D">
            <w:pPr>
              <w:widowControl/>
              <w:jc w:val="center"/>
              <w:rPr>
                <w:color w:val="000000"/>
              </w:rPr>
            </w:pPr>
            <w:r>
              <w:rPr>
                <w:rFonts w:hint="eastAsia"/>
                <w:color w:val="000000"/>
              </w:rPr>
              <w:t>596.79</w:t>
            </w:r>
          </w:p>
        </w:tc>
        <w:tc>
          <w:tcPr>
            <w:tcW w:w="1019" w:type="dxa"/>
            <w:tcBorders>
              <w:top w:val="single" w:color="auto" w:sz="4" w:space="0"/>
              <w:left w:val="single" w:color="auto" w:sz="4" w:space="0"/>
              <w:bottom w:val="single" w:color="000000" w:sz="8" w:space="0"/>
              <w:right w:val="single" w:color="auto" w:sz="4" w:space="0"/>
            </w:tcBorders>
            <w:vAlign w:val="center"/>
          </w:tcPr>
          <w:p w14:paraId="6D8E5650">
            <w:pPr>
              <w:widowControl/>
              <w:jc w:val="center"/>
              <w:rPr>
                <w:color w:val="000000"/>
              </w:rPr>
            </w:pPr>
          </w:p>
        </w:tc>
        <w:tc>
          <w:tcPr>
            <w:tcW w:w="1134" w:type="dxa"/>
            <w:tcBorders>
              <w:top w:val="single" w:color="auto" w:sz="4" w:space="0"/>
              <w:left w:val="single" w:color="auto" w:sz="4" w:space="0"/>
              <w:bottom w:val="single" w:color="000000" w:sz="8" w:space="0"/>
              <w:right w:val="single" w:color="auto" w:sz="4" w:space="0"/>
            </w:tcBorders>
            <w:vAlign w:val="center"/>
          </w:tcPr>
          <w:p w14:paraId="615541AB">
            <w:pPr>
              <w:widowControl/>
              <w:jc w:val="center"/>
              <w:rPr>
                <w:color w:val="000000"/>
              </w:rPr>
            </w:pPr>
          </w:p>
        </w:tc>
        <w:tc>
          <w:tcPr>
            <w:tcW w:w="1134" w:type="dxa"/>
            <w:vMerge w:val="continue"/>
            <w:tcBorders>
              <w:left w:val="single" w:color="auto" w:sz="4" w:space="0"/>
              <w:bottom w:val="single" w:color="000000" w:sz="8" w:space="0"/>
              <w:right w:val="single" w:color="auto" w:sz="8" w:space="0"/>
            </w:tcBorders>
            <w:vAlign w:val="center"/>
          </w:tcPr>
          <w:p w14:paraId="01A1D025">
            <w:pPr>
              <w:widowControl/>
              <w:jc w:val="center"/>
              <w:rPr>
                <w:color w:val="000000"/>
              </w:rPr>
            </w:pPr>
          </w:p>
        </w:tc>
      </w:tr>
      <w:tr w14:paraId="043B5755">
        <w:tblPrEx>
          <w:tblCellMar>
            <w:top w:w="0" w:type="dxa"/>
            <w:left w:w="108" w:type="dxa"/>
            <w:bottom w:w="0" w:type="dxa"/>
            <w:right w:w="108" w:type="dxa"/>
          </w:tblCellMar>
        </w:tblPrEx>
        <w:trPr>
          <w:trHeight w:val="540" w:hRule="atLeast"/>
        </w:trPr>
        <w:tc>
          <w:tcPr>
            <w:tcW w:w="456" w:type="dxa"/>
            <w:tcBorders>
              <w:top w:val="nil"/>
              <w:left w:val="single" w:color="auto" w:sz="8" w:space="0"/>
              <w:bottom w:val="single" w:color="auto" w:sz="8" w:space="0"/>
              <w:right w:val="single" w:color="auto" w:sz="4" w:space="0"/>
            </w:tcBorders>
            <w:vAlign w:val="center"/>
          </w:tcPr>
          <w:p w14:paraId="0BF3E16B">
            <w:pPr>
              <w:widowControl/>
              <w:rPr>
                <w:color w:val="000000"/>
              </w:rPr>
            </w:pPr>
            <w:r>
              <w:rPr>
                <w:rFonts w:hint="eastAsia"/>
                <w:color w:val="000000"/>
              </w:rPr>
              <w:t>5</w:t>
            </w:r>
          </w:p>
        </w:tc>
        <w:tc>
          <w:tcPr>
            <w:tcW w:w="3065" w:type="dxa"/>
            <w:gridSpan w:val="2"/>
            <w:tcBorders>
              <w:top w:val="single" w:color="auto" w:sz="4" w:space="0"/>
              <w:left w:val="nil"/>
              <w:bottom w:val="single" w:color="auto" w:sz="8" w:space="0"/>
              <w:right w:val="single" w:color="auto" w:sz="4" w:space="0"/>
            </w:tcBorders>
            <w:vAlign w:val="center"/>
          </w:tcPr>
          <w:p w14:paraId="78A89987">
            <w:pPr>
              <w:widowControl/>
              <w:jc w:val="center"/>
              <w:rPr>
                <w:color w:val="000000"/>
              </w:rPr>
            </w:pPr>
            <w:r>
              <w:rPr>
                <w:rFonts w:hint="eastAsia"/>
                <w:color w:val="000000"/>
              </w:rPr>
              <w:t>吸附分离预处理装置</w:t>
            </w:r>
          </w:p>
        </w:tc>
        <w:tc>
          <w:tcPr>
            <w:tcW w:w="1134" w:type="dxa"/>
            <w:tcBorders>
              <w:top w:val="nil"/>
              <w:left w:val="nil"/>
              <w:bottom w:val="single" w:color="auto" w:sz="8" w:space="0"/>
              <w:right w:val="single" w:color="auto" w:sz="4" w:space="0"/>
            </w:tcBorders>
            <w:noWrap/>
            <w:vAlign w:val="center"/>
          </w:tcPr>
          <w:p w14:paraId="21FC2442">
            <w:pPr>
              <w:widowControl/>
              <w:jc w:val="center"/>
              <w:rPr>
                <w:rFonts w:ascii="等线" w:hAnsi="等线" w:eastAsia="等线"/>
                <w:color w:val="000000"/>
              </w:rPr>
            </w:pPr>
            <w:r>
              <w:rPr>
                <w:rFonts w:hint="eastAsia" w:ascii="等线" w:hAnsi="等线" w:eastAsia="等线"/>
                <w:color w:val="000000"/>
              </w:rPr>
              <w:t>6107.86</w:t>
            </w:r>
          </w:p>
        </w:tc>
        <w:tc>
          <w:tcPr>
            <w:tcW w:w="1272" w:type="dxa"/>
            <w:tcBorders>
              <w:top w:val="nil"/>
              <w:left w:val="nil"/>
              <w:bottom w:val="single" w:color="auto" w:sz="8" w:space="0"/>
              <w:right w:val="single" w:color="auto" w:sz="4" w:space="0"/>
              <w:tl2br w:val="single" w:color="auto" w:sz="4" w:space="0"/>
            </w:tcBorders>
            <w:vAlign w:val="center"/>
          </w:tcPr>
          <w:p w14:paraId="29090F64">
            <w:pPr>
              <w:widowControl/>
              <w:rPr>
                <w:color w:val="000000"/>
              </w:rPr>
            </w:pPr>
          </w:p>
        </w:tc>
        <w:tc>
          <w:tcPr>
            <w:tcW w:w="1019" w:type="dxa"/>
            <w:tcBorders>
              <w:top w:val="nil"/>
              <w:left w:val="single" w:color="auto" w:sz="4" w:space="0"/>
              <w:bottom w:val="single" w:color="auto" w:sz="8" w:space="0"/>
              <w:right w:val="single" w:color="auto" w:sz="4" w:space="0"/>
            </w:tcBorders>
            <w:vAlign w:val="center"/>
          </w:tcPr>
          <w:p w14:paraId="1D5C3280">
            <w:pPr>
              <w:widowControl/>
              <w:jc w:val="center"/>
              <w:rPr>
                <w:color w:val="000000"/>
              </w:rPr>
            </w:pPr>
          </w:p>
        </w:tc>
        <w:tc>
          <w:tcPr>
            <w:tcW w:w="1134" w:type="dxa"/>
            <w:tcBorders>
              <w:top w:val="nil"/>
              <w:left w:val="single" w:color="auto" w:sz="4" w:space="0"/>
              <w:bottom w:val="single" w:color="auto" w:sz="8" w:space="0"/>
              <w:right w:val="single" w:color="auto" w:sz="4" w:space="0"/>
            </w:tcBorders>
            <w:vAlign w:val="center"/>
          </w:tcPr>
          <w:p w14:paraId="3A9510F2">
            <w:pPr>
              <w:widowControl/>
              <w:jc w:val="center"/>
              <w:rPr>
                <w:color w:val="000000"/>
              </w:rPr>
            </w:pPr>
          </w:p>
        </w:tc>
        <w:tc>
          <w:tcPr>
            <w:tcW w:w="1134" w:type="dxa"/>
            <w:tcBorders>
              <w:top w:val="nil"/>
              <w:left w:val="single" w:color="auto" w:sz="4" w:space="0"/>
              <w:bottom w:val="single" w:color="auto" w:sz="8" w:space="0"/>
              <w:right w:val="single" w:color="auto" w:sz="8" w:space="0"/>
            </w:tcBorders>
            <w:vAlign w:val="center"/>
          </w:tcPr>
          <w:p w14:paraId="5B2C1D73">
            <w:pPr>
              <w:widowControl/>
              <w:jc w:val="center"/>
              <w:rPr>
                <w:color w:val="000000"/>
              </w:rPr>
            </w:pPr>
          </w:p>
        </w:tc>
      </w:tr>
      <w:tr w14:paraId="4BBA2A98">
        <w:tblPrEx>
          <w:tblCellMar>
            <w:top w:w="0" w:type="dxa"/>
            <w:left w:w="108" w:type="dxa"/>
            <w:bottom w:w="0" w:type="dxa"/>
            <w:right w:w="108" w:type="dxa"/>
          </w:tblCellMar>
        </w:tblPrEx>
        <w:trPr>
          <w:trHeight w:val="540" w:hRule="atLeast"/>
        </w:trPr>
        <w:tc>
          <w:tcPr>
            <w:tcW w:w="3521" w:type="dxa"/>
            <w:gridSpan w:val="3"/>
            <w:tcBorders>
              <w:top w:val="single" w:color="auto" w:sz="8" w:space="0"/>
              <w:left w:val="single" w:color="auto" w:sz="8" w:space="0"/>
              <w:bottom w:val="single" w:color="auto" w:sz="8" w:space="0"/>
              <w:right w:val="single" w:color="auto" w:sz="4" w:space="0"/>
            </w:tcBorders>
            <w:vAlign w:val="center"/>
          </w:tcPr>
          <w:p w14:paraId="57935EEB">
            <w:pPr>
              <w:widowControl/>
              <w:jc w:val="center"/>
              <w:rPr>
                <w:color w:val="000000"/>
              </w:rPr>
            </w:pPr>
            <w:r>
              <w:rPr>
                <w:rFonts w:hint="eastAsia"/>
                <w:color w:val="000000"/>
              </w:rPr>
              <w:t>合计</w:t>
            </w:r>
          </w:p>
        </w:tc>
        <w:tc>
          <w:tcPr>
            <w:tcW w:w="1134" w:type="dxa"/>
            <w:tcBorders>
              <w:top w:val="single" w:color="auto" w:sz="8" w:space="0"/>
              <w:left w:val="nil"/>
              <w:bottom w:val="single" w:color="auto" w:sz="8" w:space="0"/>
              <w:right w:val="single" w:color="auto" w:sz="4" w:space="0"/>
            </w:tcBorders>
            <w:noWrap/>
            <w:vAlign w:val="center"/>
          </w:tcPr>
          <w:p w14:paraId="503E59A8">
            <w:pPr>
              <w:widowControl/>
              <w:jc w:val="center"/>
              <w:rPr>
                <w:rFonts w:ascii="等线" w:hAnsi="等线" w:eastAsia="等线"/>
                <w:color w:val="000000"/>
              </w:rPr>
            </w:pPr>
            <w:r>
              <w:rPr>
                <w:rFonts w:hint="eastAsia" w:ascii="等线" w:hAnsi="等线" w:eastAsia="等线"/>
                <w:color w:val="000000"/>
              </w:rPr>
              <w:t>18466.37</w:t>
            </w:r>
          </w:p>
        </w:tc>
        <w:tc>
          <w:tcPr>
            <w:tcW w:w="1272" w:type="dxa"/>
            <w:tcBorders>
              <w:top w:val="single" w:color="auto" w:sz="8" w:space="0"/>
              <w:left w:val="nil"/>
              <w:bottom w:val="single" w:color="auto" w:sz="8" w:space="0"/>
              <w:right w:val="single" w:color="auto" w:sz="4" w:space="0"/>
            </w:tcBorders>
            <w:vAlign w:val="center"/>
          </w:tcPr>
          <w:p w14:paraId="0E4CE3B8">
            <w:pPr>
              <w:widowControl/>
              <w:jc w:val="center"/>
              <w:rPr>
                <w:color w:val="000000"/>
              </w:rPr>
            </w:pPr>
            <w:r>
              <w:rPr>
                <w:rFonts w:hint="eastAsia"/>
                <w:color w:val="000000"/>
              </w:rPr>
              <w:t>7142.6</w:t>
            </w:r>
          </w:p>
        </w:tc>
        <w:tc>
          <w:tcPr>
            <w:tcW w:w="1019" w:type="dxa"/>
            <w:tcBorders>
              <w:top w:val="single" w:color="auto" w:sz="8" w:space="0"/>
              <w:left w:val="single" w:color="auto" w:sz="4" w:space="0"/>
              <w:bottom w:val="single" w:color="auto" w:sz="8" w:space="0"/>
              <w:right w:val="single" w:color="auto" w:sz="4" w:space="0"/>
              <w:tl2br w:val="single" w:color="auto" w:sz="4" w:space="0"/>
            </w:tcBorders>
            <w:vAlign w:val="center"/>
          </w:tcPr>
          <w:p w14:paraId="67F69DE1">
            <w:pPr>
              <w:widowControl/>
              <w:jc w:val="center"/>
              <w:rPr>
                <w:color w:val="000000"/>
              </w:rPr>
            </w:pPr>
          </w:p>
        </w:tc>
        <w:tc>
          <w:tcPr>
            <w:tcW w:w="1134" w:type="dxa"/>
            <w:tcBorders>
              <w:top w:val="single" w:color="auto" w:sz="8" w:space="0"/>
              <w:left w:val="single" w:color="auto" w:sz="4" w:space="0"/>
              <w:bottom w:val="single" w:color="auto" w:sz="8" w:space="0"/>
              <w:right w:val="single" w:color="auto" w:sz="4" w:space="0"/>
              <w:tl2br w:val="single" w:color="auto" w:sz="4" w:space="0"/>
            </w:tcBorders>
            <w:vAlign w:val="center"/>
          </w:tcPr>
          <w:p w14:paraId="34721A52">
            <w:pPr>
              <w:widowControl/>
              <w:jc w:val="center"/>
              <w:rPr>
                <w:color w:val="000000"/>
              </w:rPr>
            </w:pPr>
          </w:p>
        </w:tc>
        <w:tc>
          <w:tcPr>
            <w:tcW w:w="1134" w:type="dxa"/>
            <w:tcBorders>
              <w:top w:val="single" w:color="auto" w:sz="8" w:space="0"/>
              <w:left w:val="single" w:color="auto" w:sz="4" w:space="0"/>
              <w:bottom w:val="single" w:color="auto" w:sz="8" w:space="0"/>
              <w:right w:val="single" w:color="auto" w:sz="8" w:space="0"/>
            </w:tcBorders>
            <w:vAlign w:val="center"/>
          </w:tcPr>
          <w:p w14:paraId="730DA966">
            <w:pPr>
              <w:widowControl/>
              <w:jc w:val="center"/>
              <w:rPr>
                <w:color w:val="000000"/>
              </w:rPr>
            </w:pPr>
          </w:p>
        </w:tc>
      </w:tr>
    </w:tbl>
    <w:p w14:paraId="07946A29">
      <w:pPr>
        <w:tabs>
          <w:tab w:val="left" w:pos="600"/>
        </w:tabs>
        <w:spacing w:line="360" w:lineRule="auto"/>
        <w:ind w:left="843" w:leftChars="-67" w:right="-801" w:rightChars="-364" w:hanging="990" w:hangingChars="450"/>
        <w:rPr>
          <w:rFonts w:ascii="等线" w:hAnsi="等线" w:eastAsia="等线"/>
          <w:color w:val="000000"/>
          <w:lang w:eastAsia="zh-CN"/>
        </w:rPr>
      </w:pPr>
      <w:r>
        <w:rPr>
          <w:rFonts w:hint="eastAsia" w:ascii="等线" w:hAnsi="等线" w:eastAsia="等线"/>
          <w:color w:val="000000"/>
          <w:lang w:eastAsia="zh-CN"/>
        </w:rPr>
        <w:t>说明：1、表中占地面积、建筑面积数据仅供报价和结算使用，并不一定完全与政府主管部门批复指标数据一致。</w:t>
      </w:r>
    </w:p>
    <w:p w14:paraId="0BF30944">
      <w:pPr>
        <w:pStyle w:val="75"/>
        <w:numPr>
          <w:ilvl w:val="0"/>
          <w:numId w:val="8"/>
        </w:numPr>
        <w:spacing w:line="360" w:lineRule="auto"/>
        <w:rPr>
          <w:b/>
          <w:bCs/>
        </w:rPr>
      </w:pPr>
      <w:r>
        <w:rPr>
          <w:rFonts w:hint="eastAsia"/>
          <w:b/>
          <w:bCs/>
        </w:rPr>
        <w:t>合同期限</w:t>
      </w:r>
    </w:p>
    <w:p w14:paraId="05B73266">
      <w:pPr>
        <w:pStyle w:val="206"/>
        <w:numPr>
          <w:ilvl w:val="0"/>
          <w:numId w:val="12"/>
        </w:numPr>
        <w:tabs>
          <w:tab w:val="left" w:pos="426"/>
        </w:tabs>
        <w:snapToGrid w:val="0"/>
        <w:spacing w:line="360" w:lineRule="auto"/>
        <w:ind w:left="519" w:leftChars="1" w:hanging="517" w:hangingChars="235"/>
        <w:rPr>
          <w:rFonts w:ascii="宋体" w:hAnsi="宋体"/>
          <w:color w:val="000000"/>
          <w:sz w:val="22"/>
        </w:rPr>
      </w:pPr>
      <w:r>
        <w:rPr>
          <w:rFonts w:hint="eastAsia" w:ascii="宋体" w:hAnsi="宋体"/>
          <w:color w:val="000000"/>
          <w:sz w:val="22"/>
        </w:rPr>
        <w:t>合同期限：合同签订之日起至所有委托检测的装置项目均取得消防验收主管部门出具的《消防验收合格意见书》。</w:t>
      </w:r>
    </w:p>
    <w:p w14:paraId="60152B79">
      <w:pPr>
        <w:pStyle w:val="75"/>
        <w:numPr>
          <w:ilvl w:val="0"/>
          <w:numId w:val="8"/>
        </w:numPr>
        <w:spacing w:line="360" w:lineRule="auto"/>
        <w:rPr>
          <w:b/>
          <w:bCs/>
        </w:rPr>
      </w:pPr>
      <w:r>
        <w:rPr>
          <w:rFonts w:hint="eastAsia"/>
          <w:b/>
          <w:bCs/>
        </w:rPr>
        <w:t>付款方式：</w:t>
      </w:r>
    </w:p>
    <w:p w14:paraId="2731B88B">
      <w:pPr>
        <w:pStyle w:val="206"/>
        <w:numPr>
          <w:ilvl w:val="0"/>
          <w:numId w:val="13"/>
        </w:numPr>
        <w:tabs>
          <w:tab w:val="left" w:pos="426"/>
        </w:tabs>
        <w:snapToGrid w:val="0"/>
        <w:spacing w:line="360" w:lineRule="auto"/>
        <w:ind w:firstLineChars="0"/>
        <w:rPr>
          <w:rFonts w:ascii="宋体" w:hAnsi="宋体"/>
          <w:color w:val="000000"/>
          <w:sz w:val="22"/>
        </w:rPr>
      </w:pPr>
      <w:r>
        <w:rPr>
          <w:rFonts w:hint="eastAsia" w:ascii="宋体" w:hAnsi="宋体"/>
          <w:color w:val="000000"/>
          <w:sz w:val="22"/>
        </w:rPr>
        <w:t xml:space="preserve"> 本次将目前已确定建设的装置项目一次性全部委托、分批检测及付款，按实际发生检测的装置项目付款，</w:t>
      </w:r>
      <w:r>
        <w:rPr>
          <w:rFonts w:hint="eastAsia" w:ascii="宋体" w:hAnsi="宋体"/>
          <w:sz w:val="22"/>
        </w:rPr>
        <w:t>实际未检测的装置项目不予以结算付款。</w:t>
      </w:r>
    </w:p>
    <w:p w14:paraId="6821B16C">
      <w:pPr>
        <w:pStyle w:val="206"/>
        <w:numPr>
          <w:ilvl w:val="0"/>
          <w:numId w:val="13"/>
        </w:numPr>
        <w:tabs>
          <w:tab w:val="left" w:pos="426"/>
        </w:tabs>
        <w:snapToGrid w:val="0"/>
        <w:spacing w:line="360" w:lineRule="auto"/>
        <w:ind w:firstLineChars="0"/>
        <w:rPr>
          <w:rFonts w:ascii="宋体" w:hAnsi="宋体"/>
          <w:color w:val="000000"/>
          <w:sz w:val="22"/>
        </w:rPr>
      </w:pPr>
      <w:r>
        <w:rPr>
          <w:rFonts w:hint="eastAsia" w:ascii="宋体" w:hAnsi="宋体"/>
          <w:color w:val="000000"/>
          <w:sz w:val="22"/>
        </w:rPr>
        <w:t xml:space="preserve"> 单个装置项目取得政府消防验收主管部门出具的消防验收合格意见书后的30日内，根据承接人提供合法、有效的增值税专用发票，支付该装置项目对应的检测费用。</w:t>
      </w:r>
    </w:p>
    <w:p w14:paraId="12A496C5">
      <w:pPr>
        <w:pStyle w:val="75"/>
        <w:numPr>
          <w:ilvl w:val="0"/>
          <w:numId w:val="8"/>
        </w:numPr>
        <w:spacing w:line="360" w:lineRule="auto"/>
        <w:rPr>
          <w:b/>
          <w:bCs/>
        </w:rPr>
      </w:pPr>
      <w:r>
        <w:rPr>
          <w:rFonts w:hint="eastAsia"/>
          <w:b/>
          <w:bCs/>
        </w:rPr>
        <w:t>服务要求</w:t>
      </w:r>
    </w:p>
    <w:p w14:paraId="47455067">
      <w:pPr>
        <w:numPr>
          <w:ilvl w:val="0"/>
          <w:numId w:val="14"/>
        </w:numPr>
        <w:tabs>
          <w:tab w:val="left" w:pos="600"/>
        </w:tabs>
        <w:spacing w:line="360" w:lineRule="auto"/>
        <w:ind w:left="567" w:hanging="567"/>
        <w:rPr>
          <w:lang w:eastAsia="zh-CN"/>
        </w:rPr>
      </w:pPr>
      <w:r>
        <w:rPr>
          <w:rFonts w:hint="eastAsia"/>
          <w:lang w:eastAsia="zh-CN"/>
        </w:rPr>
        <w:t>承接人委派的项目人员应遵守委托人相关管理规定。</w:t>
      </w:r>
    </w:p>
    <w:p w14:paraId="19A15648">
      <w:pPr>
        <w:numPr>
          <w:ilvl w:val="0"/>
          <w:numId w:val="14"/>
        </w:numPr>
        <w:tabs>
          <w:tab w:val="left" w:pos="600"/>
        </w:tabs>
        <w:spacing w:line="360" w:lineRule="auto"/>
        <w:ind w:left="567" w:hanging="567"/>
        <w:rPr>
          <w:lang w:eastAsia="zh-CN"/>
        </w:rPr>
      </w:pPr>
      <w:r>
        <w:rPr>
          <w:rFonts w:hint="eastAsia"/>
          <w:lang w:eastAsia="zh-CN"/>
        </w:rPr>
        <w:t>承接人不得转包、分包所承接的服务项目。</w:t>
      </w:r>
    </w:p>
    <w:p w14:paraId="60FD4915">
      <w:pPr>
        <w:numPr>
          <w:ilvl w:val="0"/>
          <w:numId w:val="14"/>
        </w:numPr>
        <w:tabs>
          <w:tab w:val="left" w:pos="600"/>
        </w:tabs>
        <w:spacing w:line="360" w:lineRule="auto"/>
        <w:ind w:left="567" w:hanging="567"/>
        <w:rPr>
          <w:lang w:eastAsia="zh-CN"/>
        </w:rPr>
      </w:pPr>
      <w:r>
        <w:rPr>
          <w:rFonts w:hint="eastAsia"/>
          <w:lang w:eastAsia="zh-CN"/>
        </w:rPr>
        <w:t>开展的工作必须满足《中华人民共和国消防法》、《机关、团体、企业、事业单位消防安全管理规定（</w:t>
      </w:r>
      <w:r>
        <w:rPr>
          <w:lang w:eastAsia="zh-CN"/>
        </w:rPr>
        <w:t>61</w:t>
      </w:r>
      <w:r>
        <w:rPr>
          <w:rFonts w:hint="eastAsia"/>
          <w:lang w:eastAsia="zh-CN"/>
        </w:rPr>
        <w:t>号令）》、《福建省消防条例》、《福建省火灾高危单位消防安全管理规定》、《建筑消防设施检测技术规程》、《计量法》、福建省工程建设地方标准DBJ/T13-458-2024《建筑工程防火检测技术标准》等各类消防相关法律法规及规范标准的要求。</w:t>
      </w:r>
    </w:p>
    <w:p w14:paraId="4995764B">
      <w:pPr>
        <w:numPr>
          <w:ilvl w:val="0"/>
          <w:numId w:val="14"/>
        </w:numPr>
        <w:tabs>
          <w:tab w:val="left" w:pos="600"/>
        </w:tabs>
        <w:spacing w:line="360" w:lineRule="auto"/>
        <w:ind w:left="567" w:hanging="567"/>
        <w:rPr>
          <w:lang w:eastAsia="zh-CN"/>
        </w:rPr>
      </w:pPr>
      <w:r>
        <w:rPr>
          <w:rFonts w:hint="eastAsia"/>
          <w:lang w:eastAsia="zh-CN"/>
        </w:rPr>
        <w:t>钢结构防火涂层厚度检测，检测人须具有国家或省级市场监督管理局授权的CMA资质，且该</w:t>
      </w:r>
      <w:r>
        <w:rPr>
          <w:lang w:eastAsia="zh-CN"/>
        </w:rPr>
        <w:t>资质认定证书</w:t>
      </w:r>
      <w:r>
        <w:rPr>
          <w:rFonts w:hint="eastAsia"/>
          <w:lang w:eastAsia="zh-CN"/>
        </w:rPr>
        <w:t>在</w:t>
      </w:r>
      <w:r>
        <w:rPr>
          <w:lang w:eastAsia="zh-CN"/>
        </w:rPr>
        <w:t>有效期</w:t>
      </w:r>
      <w:r>
        <w:rPr>
          <w:rFonts w:hint="eastAsia"/>
          <w:lang w:eastAsia="zh-CN"/>
        </w:rPr>
        <w:t>内。涂层检测工作及检测报告需由本案承接人另行委托其他单位进行。</w:t>
      </w:r>
    </w:p>
    <w:p w14:paraId="3520F96A">
      <w:pPr>
        <w:numPr>
          <w:ilvl w:val="0"/>
          <w:numId w:val="14"/>
        </w:numPr>
        <w:tabs>
          <w:tab w:val="left" w:pos="600"/>
        </w:tabs>
        <w:spacing w:line="360" w:lineRule="auto"/>
        <w:ind w:left="567" w:hanging="567"/>
        <w:rPr>
          <w:lang w:eastAsia="zh-CN"/>
        </w:rPr>
      </w:pPr>
      <w:r>
        <w:rPr>
          <w:rFonts w:hint="eastAsia"/>
          <w:lang w:eastAsia="zh-CN"/>
        </w:rPr>
        <w:t>承接人编制检测方案，配备检测仪器。</w:t>
      </w:r>
    </w:p>
    <w:p w14:paraId="4D0D2F2C">
      <w:pPr>
        <w:numPr>
          <w:ilvl w:val="0"/>
          <w:numId w:val="14"/>
        </w:numPr>
        <w:tabs>
          <w:tab w:val="left" w:pos="600"/>
        </w:tabs>
        <w:spacing w:line="360" w:lineRule="auto"/>
        <w:ind w:left="567" w:hanging="567"/>
        <w:rPr>
          <w:lang w:eastAsia="zh-CN"/>
        </w:rPr>
      </w:pPr>
      <w:r>
        <w:rPr>
          <w:rFonts w:hint="eastAsia"/>
          <w:lang w:eastAsia="zh-CN"/>
        </w:rPr>
        <w:t>承接人开展工作时应尽量不妨碍公共利益、消防疏散及其它设施安全。</w:t>
      </w:r>
    </w:p>
    <w:p w14:paraId="0DD798C2">
      <w:pPr>
        <w:numPr>
          <w:ilvl w:val="0"/>
          <w:numId w:val="14"/>
        </w:numPr>
        <w:tabs>
          <w:tab w:val="left" w:pos="600"/>
        </w:tabs>
        <w:spacing w:line="360" w:lineRule="auto"/>
        <w:ind w:left="567" w:hanging="567"/>
        <w:rPr>
          <w:lang w:eastAsia="zh-CN"/>
        </w:rPr>
      </w:pPr>
      <w:r>
        <w:rPr>
          <w:rFonts w:hint="eastAsia"/>
          <w:lang w:eastAsia="zh-CN"/>
        </w:rPr>
        <w:t>本案检测检查、联调联试全过程由承接人负责施工区域设备、材料、工器具、临设的保护工作，如遇损坏、丢失、火灾等意外均由承接人负责。</w:t>
      </w:r>
    </w:p>
    <w:p w14:paraId="4E9112D8">
      <w:pPr>
        <w:numPr>
          <w:ilvl w:val="0"/>
          <w:numId w:val="14"/>
        </w:numPr>
        <w:tabs>
          <w:tab w:val="left" w:pos="600"/>
        </w:tabs>
        <w:spacing w:line="360" w:lineRule="auto"/>
        <w:ind w:left="567" w:hanging="567"/>
        <w:rPr>
          <w:lang w:eastAsia="zh-CN"/>
        </w:rPr>
      </w:pPr>
      <w:r>
        <w:rPr>
          <w:rFonts w:hint="eastAsia"/>
          <w:lang w:eastAsia="zh-CN"/>
        </w:rPr>
        <w:t>承接人</w:t>
      </w:r>
      <w:r>
        <w:rPr>
          <w:lang w:eastAsia="zh-CN"/>
        </w:rPr>
        <w:t>在开展工作时</w:t>
      </w:r>
      <w:r>
        <w:rPr>
          <w:rFonts w:hint="eastAsia"/>
          <w:lang w:eastAsia="zh-CN"/>
        </w:rPr>
        <w:t>应</w:t>
      </w:r>
      <w:r>
        <w:rPr>
          <w:lang w:eastAsia="zh-CN"/>
        </w:rPr>
        <w:t>执行和遵守</w:t>
      </w:r>
      <w:r>
        <w:rPr>
          <w:rFonts w:hint="eastAsia"/>
          <w:lang w:eastAsia="zh-CN"/>
        </w:rPr>
        <w:t>委托人</w:t>
      </w:r>
      <w:r>
        <w:rPr>
          <w:lang w:eastAsia="zh-CN"/>
        </w:rPr>
        <w:t>的相应的质量和安全管理规定</w:t>
      </w:r>
      <w:r>
        <w:rPr>
          <w:rFonts w:hint="eastAsia"/>
          <w:lang w:eastAsia="zh-CN"/>
        </w:rPr>
        <w:t>，</w:t>
      </w:r>
      <w:r>
        <w:rPr>
          <w:lang w:eastAsia="zh-CN"/>
        </w:rPr>
        <w:t>并承担相应的违</w:t>
      </w:r>
      <w:r>
        <w:rPr>
          <w:rFonts w:hint="eastAsia"/>
          <w:lang w:eastAsia="zh-CN"/>
        </w:rPr>
        <w:t>（</w:t>
      </w:r>
      <w:r>
        <w:rPr>
          <w:lang w:eastAsia="zh-CN"/>
        </w:rPr>
        <w:t>规</w:t>
      </w:r>
      <w:r>
        <w:rPr>
          <w:rFonts w:hint="eastAsia"/>
          <w:lang w:eastAsia="zh-CN"/>
        </w:rPr>
        <w:t>）约责任。</w:t>
      </w:r>
    </w:p>
    <w:p w14:paraId="67D9AC7D">
      <w:pPr>
        <w:numPr>
          <w:ilvl w:val="0"/>
          <w:numId w:val="14"/>
        </w:numPr>
        <w:tabs>
          <w:tab w:val="left" w:pos="600"/>
        </w:tabs>
        <w:spacing w:line="360" w:lineRule="auto"/>
        <w:ind w:left="567" w:hanging="567"/>
        <w:rPr>
          <w:lang w:eastAsia="zh-CN"/>
        </w:rPr>
      </w:pPr>
      <w:r>
        <w:rPr>
          <w:rFonts w:hint="eastAsia"/>
          <w:lang w:eastAsia="zh-CN"/>
        </w:rPr>
        <w:t>开展消防技术服务活动时，应及时将相关服务活动信息录入漳州市住建局消防审验信息平台，接受政府主管部门监督管理。</w:t>
      </w:r>
    </w:p>
    <w:p w14:paraId="249E8714">
      <w:pPr>
        <w:numPr>
          <w:ilvl w:val="0"/>
          <w:numId w:val="14"/>
        </w:numPr>
        <w:tabs>
          <w:tab w:val="left" w:pos="600"/>
        </w:tabs>
        <w:spacing w:line="360" w:lineRule="auto"/>
        <w:ind w:left="567" w:hanging="567"/>
        <w:rPr>
          <w:lang w:eastAsia="zh-CN"/>
        </w:rPr>
      </w:pPr>
      <w:r>
        <w:rPr>
          <w:rFonts w:hint="eastAsia"/>
          <w:lang w:eastAsia="zh-CN"/>
        </w:rPr>
        <w:t>承接人</w:t>
      </w:r>
      <w:r>
        <w:rPr>
          <w:lang w:eastAsia="zh-CN"/>
        </w:rPr>
        <w:t>应依据法律法规</w:t>
      </w:r>
      <w:r>
        <w:rPr>
          <w:rFonts w:hint="eastAsia"/>
          <w:lang w:eastAsia="zh-CN"/>
        </w:rPr>
        <w:t>规章、国家</w:t>
      </w:r>
      <w:r>
        <w:rPr>
          <w:lang w:eastAsia="zh-CN"/>
        </w:rPr>
        <w:t>技术标准</w:t>
      </w:r>
      <w:r>
        <w:rPr>
          <w:rFonts w:hint="eastAsia"/>
          <w:lang w:eastAsia="zh-CN"/>
        </w:rPr>
        <w:t>和有关文件规定，开展消防技术服务。</w:t>
      </w:r>
    </w:p>
    <w:p w14:paraId="208606FD">
      <w:pPr>
        <w:numPr>
          <w:ilvl w:val="0"/>
          <w:numId w:val="14"/>
        </w:numPr>
        <w:tabs>
          <w:tab w:val="left" w:pos="600"/>
        </w:tabs>
        <w:spacing w:line="360" w:lineRule="auto"/>
        <w:ind w:left="567" w:hanging="567"/>
        <w:rPr>
          <w:lang w:eastAsia="zh-CN"/>
        </w:rPr>
      </w:pPr>
      <w:r>
        <w:rPr>
          <w:rFonts w:hint="eastAsia"/>
          <w:lang w:eastAsia="zh-CN"/>
        </w:rPr>
        <w:t>建设工程防火检测、消防设施检测的技术服务机构和技术服务人员出具的报告等成果，由项目负责人、技术负责人、检测检查人员签字确认，并加盖技术服务机构公章。项目负责人应由符合国家执业规定的相应等级注册消防工程师担任，项目技术负责人应由具有土建类（包括土建、机电、电气、智能化、给排水、暖 通等专业）高级技术职称的人员担任。现场检测人员应不少于2人，其中不少于1人一级注册消防工程师，另1人可持有中级技能等级及以上消防设施操作员国家职业资格证书。</w:t>
      </w:r>
    </w:p>
    <w:p w14:paraId="52B86C1D">
      <w:pPr>
        <w:numPr>
          <w:ilvl w:val="0"/>
          <w:numId w:val="14"/>
        </w:numPr>
        <w:tabs>
          <w:tab w:val="left" w:pos="600"/>
        </w:tabs>
        <w:spacing w:line="360" w:lineRule="auto"/>
        <w:ind w:left="567" w:hanging="567"/>
        <w:rPr>
          <w:lang w:eastAsia="zh-CN"/>
        </w:rPr>
      </w:pPr>
      <w:r>
        <w:rPr>
          <w:rFonts w:hint="eastAsia"/>
          <w:lang w:eastAsia="zh-CN"/>
        </w:rPr>
        <w:t>承接人</w:t>
      </w:r>
      <w:r>
        <w:rPr>
          <w:lang w:eastAsia="zh-CN"/>
        </w:rPr>
        <w:t>应如实记录检测结果</w:t>
      </w:r>
      <w:r>
        <w:rPr>
          <w:rFonts w:hint="eastAsia"/>
          <w:lang w:eastAsia="zh-CN"/>
        </w:rPr>
        <w:t>，对检测数据的完整性和准确性负全部责任，</w:t>
      </w:r>
      <w:r>
        <w:rPr>
          <w:lang w:eastAsia="zh-CN"/>
        </w:rPr>
        <w:t>并对检测过程中发现的问题及时反馈给</w:t>
      </w:r>
      <w:r>
        <w:rPr>
          <w:rFonts w:hint="eastAsia"/>
          <w:lang w:eastAsia="zh-CN"/>
        </w:rPr>
        <w:t>委托方，</w:t>
      </w:r>
      <w:r>
        <w:rPr>
          <w:lang w:eastAsia="zh-CN"/>
        </w:rPr>
        <w:t>并提出切实可行的整改建议</w:t>
      </w:r>
      <w:r>
        <w:rPr>
          <w:rFonts w:hint="eastAsia"/>
          <w:lang w:eastAsia="zh-CN"/>
        </w:rPr>
        <w:t>，指导</w:t>
      </w:r>
      <w:r>
        <w:rPr>
          <w:lang w:eastAsia="zh-CN"/>
        </w:rPr>
        <w:t>整改直到符合消防</w:t>
      </w:r>
      <w:r>
        <w:rPr>
          <w:rFonts w:hint="eastAsia"/>
          <w:lang w:eastAsia="zh-CN"/>
        </w:rPr>
        <w:t>法规</w:t>
      </w:r>
      <w:r>
        <w:rPr>
          <w:lang w:eastAsia="zh-CN"/>
        </w:rPr>
        <w:t>规范要求</w:t>
      </w:r>
      <w:r>
        <w:rPr>
          <w:rFonts w:hint="eastAsia"/>
          <w:lang w:eastAsia="zh-CN"/>
        </w:rPr>
        <w:t>。</w:t>
      </w:r>
    </w:p>
    <w:p w14:paraId="79EAE8D1">
      <w:pPr>
        <w:numPr>
          <w:ilvl w:val="0"/>
          <w:numId w:val="14"/>
        </w:numPr>
        <w:tabs>
          <w:tab w:val="left" w:pos="600"/>
        </w:tabs>
        <w:spacing w:line="360" w:lineRule="auto"/>
        <w:ind w:left="567" w:hanging="567"/>
        <w:rPr>
          <w:lang w:eastAsia="zh-CN"/>
        </w:rPr>
      </w:pPr>
      <w:r>
        <w:rPr>
          <w:rFonts w:hint="eastAsia"/>
          <w:lang w:eastAsia="zh-CN"/>
        </w:rPr>
        <w:t>承接人应严格遵循有关法律和规定（包括技术规定和标准），完成约定的技术服务工作，并确保项目消防工程检测检查、消防设施联调联试、防火涂层厚度检测的相关合格证明文件及报告可以满足消防验收主管部门的要求。</w:t>
      </w:r>
    </w:p>
    <w:p w14:paraId="2C69649B">
      <w:pPr>
        <w:numPr>
          <w:ilvl w:val="0"/>
          <w:numId w:val="14"/>
        </w:numPr>
        <w:tabs>
          <w:tab w:val="left" w:pos="600"/>
        </w:tabs>
        <w:spacing w:line="360" w:lineRule="auto"/>
        <w:ind w:left="567" w:hanging="567"/>
        <w:rPr>
          <w:lang w:eastAsia="zh-CN"/>
        </w:rPr>
      </w:pPr>
      <w:r>
        <w:rPr>
          <w:rFonts w:hint="eastAsia"/>
          <w:lang w:eastAsia="zh-CN"/>
        </w:rPr>
        <w:t>消防设施性能及系统功能联调试时，承接人应做好影像资料留底，并采取照片彩色打印或光盘刻录等方式附在相关附表之后。</w:t>
      </w:r>
    </w:p>
    <w:p w14:paraId="0ADE907C">
      <w:pPr>
        <w:numPr>
          <w:ilvl w:val="0"/>
          <w:numId w:val="14"/>
        </w:numPr>
        <w:tabs>
          <w:tab w:val="left" w:pos="600"/>
        </w:tabs>
        <w:spacing w:line="360" w:lineRule="auto"/>
        <w:ind w:left="567" w:hanging="567"/>
        <w:rPr>
          <w:lang w:eastAsia="zh-CN"/>
        </w:rPr>
      </w:pPr>
      <w:r>
        <w:rPr>
          <w:rFonts w:hint="eastAsia"/>
          <w:lang w:eastAsia="zh-CN"/>
        </w:rPr>
        <w:t>承接人开展建设工程消防设施和防火工程检测，出具《建筑工程防火检测报告》和《建筑消防设施检测报告》，并按规定要求上传“消防信息平台”。</w:t>
      </w:r>
    </w:p>
    <w:p w14:paraId="76431FE4">
      <w:pPr>
        <w:numPr>
          <w:ilvl w:val="0"/>
          <w:numId w:val="14"/>
        </w:numPr>
        <w:tabs>
          <w:tab w:val="left" w:pos="600"/>
        </w:tabs>
        <w:spacing w:line="360" w:lineRule="auto"/>
        <w:ind w:left="567" w:hanging="567"/>
        <w:rPr>
          <w:lang w:eastAsia="zh-CN"/>
        </w:rPr>
      </w:pPr>
      <w:r>
        <w:rPr>
          <w:rFonts w:hint="eastAsia"/>
          <w:lang w:eastAsia="zh-CN"/>
        </w:rPr>
        <w:t xml:space="preserve"> 检测完成后，按《漳州市住房和城乡建设局 漳州市消防救援支队关于印发漳州市建设工程消防技术服务管理暂行办法的通知》（漳建规[2023]1号）的附件4《量化考核提供资料清单》的第二条“建设工程技术服务活动行为”的14项，提供资料，以便委托方提供给政府验收主管部门做量化考核。</w:t>
      </w:r>
    </w:p>
    <w:p w14:paraId="2AF919F0">
      <w:pPr>
        <w:numPr>
          <w:ilvl w:val="0"/>
          <w:numId w:val="14"/>
        </w:numPr>
        <w:tabs>
          <w:tab w:val="left" w:pos="600"/>
        </w:tabs>
        <w:spacing w:line="360" w:lineRule="auto"/>
        <w:ind w:left="567" w:hanging="567"/>
        <w:rPr>
          <w:lang w:eastAsia="zh-CN"/>
        </w:rPr>
      </w:pPr>
      <w:r>
        <w:rPr>
          <w:rFonts w:hint="eastAsia"/>
          <w:lang w:eastAsia="zh-CN"/>
        </w:rPr>
        <w:t>按应急管理部令（第7号）《社会消防技术服务管理规定》要求，消防技术服务机构出具的书面结论文件应当由技术负责人、项目负责人签名并加盖执业印章，同时加盖消防技术服务机构印章。</w:t>
      </w:r>
    </w:p>
    <w:p w14:paraId="38541831">
      <w:pPr>
        <w:numPr>
          <w:ilvl w:val="0"/>
          <w:numId w:val="14"/>
        </w:numPr>
        <w:tabs>
          <w:tab w:val="left" w:pos="600"/>
        </w:tabs>
        <w:spacing w:line="360" w:lineRule="auto"/>
        <w:ind w:left="567" w:hanging="567"/>
        <w:rPr>
          <w:lang w:eastAsia="zh-CN"/>
        </w:rPr>
      </w:pPr>
      <w:r>
        <w:rPr>
          <w:lang w:eastAsia="zh-CN"/>
        </w:rPr>
        <w:t>消防验收主管部门</w:t>
      </w:r>
      <w:r>
        <w:rPr>
          <w:rFonts w:hint="eastAsia"/>
          <w:lang w:eastAsia="zh-CN"/>
        </w:rPr>
        <w:t>组织消防验收</w:t>
      </w:r>
      <w:r>
        <w:rPr>
          <w:lang w:eastAsia="zh-CN"/>
        </w:rPr>
        <w:t>现场评定</w:t>
      </w:r>
      <w:r>
        <w:rPr>
          <w:rFonts w:hint="eastAsia"/>
          <w:lang w:eastAsia="zh-CN"/>
        </w:rPr>
        <w:t>时，承接人的项目负责人应到项目现场，协助建设单位通过消防验收。</w:t>
      </w:r>
    </w:p>
    <w:p w14:paraId="3F3AB9CE">
      <w:pPr>
        <w:pStyle w:val="75"/>
        <w:numPr>
          <w:ilvl w:val="0"/>
          <w:numId w:val="8"/>
        </w:numPr>
        <w:spacing w:line="360" w:lineRule="auto"/>
        <w:rPr>
          <w:b/>
          <w:bCs/>
        </w:rPr>
      </w:pPr>
      <w:r>
        <w:rPr>
          <w:rFonts w:hint="eastAsia"/>
          <w:b/>
          <w:bCs/>
        </w:rPr>
        <w:t>时间及成果要求</w:t>
      </w:r>
    </w:p>
    <w:p w14:paraId="086CDB12">
      <w:pPr>
        <w:numPr>
          <w:ilvl w:val="0"/>
          <w:numId w:val="15"/>
        </w:numPr>
        <w:tabs>
          <w:tab w:val="left" w:pos="600"/>
        </w:tabs>
        <w:spacing w:line="360" w:lineRule="auto"/>
        <w:ind w:left="567" w:hanging="567"/>
        <w:rPr>
          <w:lang w:eastAsia="zh-CN"/>
        </w:rPr>
      </w:pPr>
      <w:r>
        <w:rPr>
          <w:rFonts w:hint="eastAsia"/>
          <w:lang w:eastAsia="zh-CN"/>
        </w:rPr>
        <w:t>本次委托的建设工程消防设施和防火工程检测，因各装置项目完工投用时间不一致，需分批检测。检测日期由委托人提前一周通知承接人。</w:t>
      </w:r>
    </w:p>
    <w:p w14:paraId="6BA1A7A2">
      <w:pPr>
        <w:numPr>
          <w:ilvl w:val="0"/>
          <w:numId w:val="15"/>
        </w:numPr>
        <w:tabs>
          <w:tab w:val="left" w:pos="600"/>
        </w:tabs>
        <w:spacing w:line="360" w:lineRule="auto"/>
        <w:ind w:left="567" w:hanging="567"/>
        <w:rPr>
          <w:lang w:eastAsia="zh-CN"/>
        </w:rPr>
      </w:pPr>
      <w:r>
        <w:rPr>
          <w:rFonts w:hint="eastAsia"/>
          <w:lang w:eastAsia="zh-CN"/>
        </w:rPr>
        <w:t>承接人按委托人指定日期委派检测人员到达项目现场，在3个日历天内完成所有检测检查、联调联试工作；在5个日历天内出具9.3~9.4所列的成果和完成9.5条表格及报告的签字盖章，并能满足委托人向政府消防验收主管部门申报消防验收的资料完整性、合规性要求。</w:t>
      </w:r>
    </w:p>
    <w:p w14:paraId="14433BCB">
      <w:pPr>
        <w:numPr>
          <w:ilvl w:val="0"/>
          <w:numId w:val="15"/>
        </w:numPr>
        <w:tabs>
          <w:tab w:val="left" w:pos="600"/>
        </w:tabs>
        <w:spacing w:line="360" w:lineRule="auto"/>
        <w:ind w:left="567" w:hanging="567"/>
        <w:rPr>
          <w:lang w:eastAsia="zh-CN"/>
        </w:rPr>
      </w:pPr>
      <w:r>
        <w:rPr>
          <w:rFonts w:hint="eastAsia"/>
          <w:lang w:eastAsia="zh-CN"/>
        </w:rPr>
        <w:t>出具《建筑消防设施检测报告》、《建筑工程防火检测报告》和《钢结构防火涂层厚度检测报告》（按需），扫描版一份，纸质签字盖章版一式二份；</w:t>
      </w:r>
    </w:p>
    <w:p w14:paraId="6102D9FB">
      <w:pPr>
        <w:numPr>
          <w:ilvl w:val="0"/>
          <w:numId w:val="15"/>
        </w:numPr>
        <w:tabs>
          <w:tab w:val="left" w:pos="600"/>
        </w:tabs>
        <w:spacing w:line="360" w:lineRule="auto"/>
        <w:ind w:left="567" w:hanging="567"/>
        <w:rPr>
          <w:lang w:eastAsia="zh-CN"/>
        </w:rPr>
      </w:pPr>
      <w:r>
        <w:rPr>
          <w:rFonts w:hint="eastAsia"/>
          <w:lang w:eastAsia="zh-CN"/>
        </w:rPr>
        <w:t>《消防设施性能及系统功能联调联试现场确认表》及其9个附表的内容填写、人员签名及加盖公章，附上调试检查过程照片彩色打印件，纸质版一式四份。</w:t>
      </w:r>
    </w:p>
    <w:p w14:paraId="62A411BE">
      <w:pPr>
        <w:numPr>
          <w:ilvl w:val="0"/>
          <w:numId w:val="15"/>
        </w:numPr>
        <w:tabs>
          <w:tab w:val="left" w:pos="600"/>
        </w:tabs>
        <w:spacing w:line="360" w:lineRule="auto"/>
        <w:ind w:left="567" w:hanging="567"/>
        <w:rPr>
          <w:lang w:eastAsia="zh-CN"/>
        </w:rPr>
      </w:pPr>
      <w:r>
        <w:rPr>
          <w:rFonts w:hint="eastAsia"/>
          <w:lang w:eastAsia="zh-CN"/>
        </w:rPr>
        <w:t>《福建省建设工程竣工验收消防查验报告》（纸质版，一式六份）、《特殊建设工程消防验收申请表》（纸质版，一式三份）的项目负责人签字及加盖单位公章。</w:t>
      </w:r>
    </w:p>
    <w:p w14:paraId="1C1699E5">
      <w:pPr>
        <w:pStyle w:val="2"/>
        <w:rPr>
          <w:b/>
          <w:bCs/>
          <w:sz w:val="24"/>
          <w:szCs w:val="24"/>
        </w:rPr>
      </w:pPr>
    </w:p>
    <w:p w14:paraId="7B4580EB">
      <w:pPr>
        <w:pStyle w:val="2"/>
        <w:rPr>
          <w:b/>
          <w:bCs/>
          <w:sz w:val="24"/>
          <w:szCs w:val="24"/>
        </w:rPr>
      </w:pPr>
    </w:p>
    <w:p w14:paraId="15E84CBC">
      <w:pPr>
        <w:pStyle w:val="2"/>
        <w:rPr>
          <w:b/>
          <w:bCs/>
          <w:sz w:val="24"/>
          <w:szCs w:val="24"/>
        </w:rPr>
      </w:pPr>
    </w:p>
    <w:p w14:paraId="15BD602A">
      <w:pPr>
        <w:pStyle w:val="2"/>
        <w:rPr>
          <w:b/>
          <w:bCs/>
          <w:sz w:val="24"/>
          <w:szCs w:val="24"/>
        </w:rPr>
      </w:pPr>
    </w:p>
    <w:p w14:paraId="0CE81000">
      <w:pPr>
        <w:pStyle w:val="2"/>
        <w:rPr>
          <w:b/>
          <w:bCs/>
          <w:sz w:val="24"/>
          <w:szCs w:val="24"/>
        </w:rPr>
      </w:pPr>
    </w:p>
    <w:p w14:paraId="39274817">
      <w:pPr>
        <w:pStyle w:val="2"/>
        <w:rPr>
          <w:b/>
          <w:bCs/>
          <w:sz w:val="24"/>
          <w:szCs w:val="24"/>
        </w:rPr>
      </w:pPr>
    </w:p>
    <w:p w14:paraId="60D09B6A">
      <w:pPr>
        <w:pStyle w:val="2"/>
        <w:rPr>
          <w:b/>
          <w:bCs/>
          <w:sz w:val="24"/>
          <w:szCs w:val="24"/>
        </w:rPr>
      </w:pPr>
    </w:p>
    <w:p w14:paraId="37588C92">
      <w:pPr>
        <w:pStyle w:val="2"/>
        <w:rPr>
          <w:b/>
          <w:bCs/>
          <w:sz w:val="24"/>
          <w:szCs w:val="24"/>
        </w:rPr>
      </w:pPr>
    </w:p>
    <w:p w14:paraId="4A12EAF2">
      <w:pPr>
        <w:pStyle w:val="2"/>
        <w:rPr>
          <w:b/>
          <w:bCs/>
          <w:sz w:val="24"/>
          <w:szCs w:val="24"/>
        </w:rPr>
      </w:pPr>
    </w:p>
    <w:p w14:paraId="310AF250">
      <w:pPr>
        <w:pStyle w:val="2"/>
        <w:rPr>
          <w:b/>
          <w:bCs/>
          <w:sz w:val="24"/>
          <w:szCs w:val="24"/>
        </w:rPr>
      </w:pPr>
    </w:p>
    <w:p w14:paraId="67143F20">
      <w:pPr>
        <w:pStyle w:val="2"/>
        <w:rPr>
          <w:b/>
          <w:bCs/>
          <w:sz w:val="24"/>
          <w:szCs w:val="24"/>
        </w:rPr>
      </w:pPr>
    </w:p>
    <w:p w14:paraId="20CE372A">
      <w:pPr>
        <w:pStyle w:val="2"/>
        <w:rPr>
          <w:b/>
          <w:bCs/>
          <w:sz w:val="24"/>
          <w:szCs w:val="24"/>
        </w:rPr>
      </w:pPr>
    </w:p>
    <w:p w14:paraId="76A742F9">
      <w:pPr>
        <w:pStyle w:val="2"/>
        <w:rPr>
          <w:b/>
          <w:bCs/>
          <w:sz w:val="24"/>
          <w:szCs w:val="24"/>
        </w:rPr>
      </w:pPr>
    </w:p>
    <w:p w14:paraId="5B96EF59">
      <w:pPr>
        <w:pStyle w:val="2"/>
        <w:rPr>
          <w:b/>
          <w:bCs/>
          <w:sz w:val="24"/>
          <w:szCs w:val="24"/>
        </w:rPr>
      </w:pPr>
    </w:p>
    <w:p w14:paraId="69472679">
      <w:pPr>
        <w:pStyle w:val="2"/>
        <w:rPr>
          <w:b/>
          <w:bCs/>
          <w:sz w:val="24"/>
          <w:szCs w:val="24"/>
        </w:rPr>
      </w:pPr>
    </w:p>
    <w:p w14:paraId="7A52E9FA">
      <w:pPr>
        <w:pStyle w:val="2"/>
        <w:rPr>
          <w:b/>
          <w:bCs/>
          <w:sz w:val="24"/>
          <w:szCs w:val="24"/>
        </w:rPr>
      </w:pPr>
    </w:p>
    <w:p w14:paraId="68C8BB65">
      <w:pPr>
        <w:pStyle w:val="2"/>
        <w:rPr>
          <w:b/>
          <w:bCs/>
          <w:sz w:val="24"/>
          <w:szCs w:val="24"/>
        </w:rPr>
      </w:pPr>
    </w:p>
    <w:p w14:paraId="52A43758">
      <w:pPr>
        <w:pStyle w:val="2"/>
        <w:rPr>
          <w:b/>
          <w:bCs/>
          <w:sz w:val="24"/>
          <w:szCs w:val="24"/>
        </w:rPr>
      </w:pPr>
    </w:p>
    <w:p w14:paraId="062B36E0">
      <w:pPr>
        <w:pStyle w:val="2"/>
        <w:rPr>
          <w:b/>
          <w:bCs/>
          <w:sz w:val="24"/>
          <w:szCs w:val="24"/>
        </w:rPr>
      </w:pPr>
    </w:p>
    <w:p w14:paraId="0212AC22">
      <w:pPr>
        <w:pStyle w:val="2"/>
        <w:rPr>
          <w:b/>
          <w:bCs/>
          <w:sz w:val="24"/>
          <w:szCs w:val="24"/>
        </w:rPr>
      </w:pPr>
    </w:p>
    <w:p w14:paraId="638DA467">
      <w:pPr>
        <w:pStyle w:val="2"/>
        <w:rPr>
          <w:b/>
          <w:bCs/>
          <w:sz w:val="24"/>
          <w:szCs w:val="24"/>
        </w:rPr>
      </w:pPr>
    </w:p>
    <w:p w14:paraId="37C0FDC2">
      <w:pPr>
        <w:pStyle w:val="2"/>
        <w:rPr>
          <w:b/>
          <w:bCs/>
          <w:sz w:val="24"/>
          <w:szCs w:val="24"/>
        </w:rPr>
      </w:pPr>
    </w:p>
    <w:p w14:paraId="577C3F7A">
      <w:pPr>
        <w:pStyle w:val="2"/>
        <w:rPr>
          <w:b/>
          <w:bCs/>
          <w:sz w:val="24"/>
          <w:szCs w:val="24"/>
        </w:rPr>
      </w:pPr>
    </w:p>
    <w:p w14:paraId="23DFE7AE">
      <w:pPr>
        <w:pStyle w:val="2"/>
        <w:rPr>
          <w:b/>
          <w:bCs/>
          <w:sz w:val="24"/>
          <w:szCs w:val="24"/>
        </w:rPr>
      </w:pPr>
    </w:p>
    <w:p w14:paraId="751F1031">
      <w:pPr>
        <w:pStyle w:val="2"/>
        <w:rPr>
          <w:b/>
          <w:bCs/>
          <w:sz w:val="24"/>
          <w:szCs w:val="24"/>
        </w:rPr>
      </w:pPr>
    </w:p>
    <w:p w14:paraId="13B9DE5C">
      <w:pPr>
        <w:pStyle w:val="2"/>
      </w:pPr>
      <w:r>
        <w:rPr>
          <w:rFonts w:hint="eastAsia"/>
          <w:b/>
          <w:bCs/>
          <w:sz w:val="24"/>
          <w:szCs w:val="24"/>
        </w:rPr>
        <w:t>附件2、</w:t>
      </w:r>
    </w:p>
    <w:p w14:paraId="5C9434E1">
      <w:pPr>
        <w:spacing w:line="360" w:lineRule="auto"/>
        <w:ind w:left="-147" w:leftChars="-67"/>
        <w:jc w:val="center"/>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安全环保协议书</w:t>
      </w:r>
    </w:p>
    <w:p w14:paraId="3CBD8430">
      <w:pPr>
        <w:spacing w:line="360" w:lineRule="auto"/>
        <w:ind w:left="-147" w:leftChars="-67"/>
        <w:rPr>
          <w:rFonts w:asciiTheme="minorEastAsia" w:hAnsiTheme="minorEastAsia" w:eastAsiaTheme="minorEastAsia"/>
          <w:sz w:val="21"/>
          <w:szCs w:val="21"/>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14:paraId="4D850738">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14:paraId="0372CAC3">
      <w:pPr>
        <w:spacing w:line="36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14:paraId="65D93F07">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14:paraId="5A53E57B">
      <w:pPr>
        <w:pStyle w:val="75"/>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14:paraId="5F9775C6">
      <w:pPr>
        <w:pStyle w:val="75"/>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14:paraId="508E21D1">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77B4368C">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579DA114">
      <w:pPr>
        <w:tabs>
          <w:tab w:val="left" w:pos="360"/>
          <w:tab w:val="left" w:pos="840"/>
        </w:tabs>
        <w:spacing w:line="360" w:lineRule="auto"/>
        <w:ind w:left="-636" w:leftChars="-289" w:firstLine="110" w:firstLineChars="50"/>
        <w:rPr>
          <w:rFonts w:ascii="Times New Roman" w:hAnsi="Times New Roman"/>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14:paraId="55395ECC">
      <w:pPr>
        <w:pStyle w:val="75"/>
        <w:spacing w:line="360" w:lineRule="auto"/>
        <w:ind w:left="-636" w:leftChars="-289"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14:paraId="14F68C7B">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14:paraId="51781264">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14:paraId="066659A7">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14:paraId="1F8A0E8C">
      <w:pPr>
        <w:spacing w:line="360" w:lineRule="auto"/>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14:paraId="0E5CD127">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19D072CD">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14:paraId="6CD0EDB3">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14:paraId="263BD3F4">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14:paraId="603F0F15">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14:paraId="6E32717E">
      <w:pPr>
        <w:spacing w:line="360" w:lineRule="auto"/>
        <w:ind w:left="-636" w:leftChars="-289" w:firstLine="110" w:firstLineChars="50"/>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14:paraId="2038D8F3">
      <w:pPr>
        <w:spacing w:line="360" w:lineRule="auto"/>
        <w:ind w:left="-636" w:leftChars="-289" w:firstLine="110" w:firstLineChars="50"/>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w:t>
      </w:r>
      <w:r>
        <w:rPr>
          <w:rFonts w:cs="Arial"/>
          <w:lang w:eastAsia="zh-CN"/>
        </w:rPr>
        <w:t>HSE</w:t>
      </w:r>
      <w:r>
        <w:rPr>
          <w:rFonts w:hint="eastAsia" w:cs="Arial"/>
          <w:lang w:eastAsia="zh-CN"/>
        </w:rPr>
        <w:t>管理网络、</w:t>
      </w:r>
      <w:r>
        <w:rPr>
          <w:rFonts w:cs="Arial"/>
          <w:lang w:eastAsia="zh-CN"/>
        </w:rPr>
        <w:t>HSE</w:t>
      </w:r>
      <w:r>
        <w:rPr>
          <w:rFonts w:hint="eastAsia" w:cs="Arial"/>
          <w:lang w:eastAsia="zh-CN"/>
        </w:rPr>
        <w:t>保证体系和</w:t>
      </w:r>
      <w:r>
        <w:rPr>
          <w:rFonts w:cs="Arial"/>
          <w:lang w:eastAsia="zh-CN"/>
        </w:rPr>
        <w:t>HSE</w:t>
      </w:r>
      <w:r>
        <w:rPr>
          <w:rFonts w:hint="eastAsia" w:cs="Arial"/>
          <w:lang w:eastAsia="zh-CN"/>
        </w:rPr>
        <w:t>责任制，成立专职</w:t>
      </w:r>
      <w:r>
        <w:rPr>
          <w:rFonts w:cs="Arial"/>
          <w:lang w:eastAsia="zh-CN"/>
        </w:rPr>
        <w:t>HSE</w:t>
      </w:r>
      <w:r>
        <w:rPr>
          <w:rFonts w:hint="eastAsia" w:cs="Arial"/>
          <w:lang w:eastAsia="zh-CN"/>
        </w:rPr>
        <w:t>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14:paraId="3FE7A497">
      <w:pPr>
        <w:spacing w:line="360" w:lineRule="auto"/>
        <w:ind w:left="-526" w:leftChars="-289"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34A2052E">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在工程开工前，乙方必须对全体人员分工种进行安全教育、技能考试，合格后方可进行施工作业。施工作业前，必须向作业人员进行安全环保技术交底，掌握工程特点及施工安全环保措施。</w:t>
      </w:r>
    </w:p>
    <w:p w14:paraId="46AD84C3">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9CAF885">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11、乙方应按《中华人民共和国劳动法》等法律、法规、规定用工，严禁使用未成年工和有职业禁忌的人员进行施工作业。 </w:t>
      </w:r>
    </w:p>
    <w:p w14:paraId="4AACCB53">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14:paraId="62011427">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5E6F16AD">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14:paraId="66C5C403">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4BFD86C6">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5828320B">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1914C137">
      <w:pPr>
        <w:spacing w:line="360" w:lineRule="auto"/>
        <w:ind w:left="-551" w:leftChars="-289" w:hanging="85" w:hangingChars="39"/>
        <w:rPr>
          <w:rFonts w:asciiTheme="minorEastAsia" w:hAnsiTheme="minorEastAsia" w:eastAsiaTheme="minorEastAsia"/>
          <w:bCs/>
          <w:szCs w:val="24"/>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4C452010">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12EBF1CA">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14:paraId="00A77C0C">
      <w:pPr>
        <w:spacing w:line="360" w:lineRule="auto"/>
        <w:ind w:left="-551" w:leftChars="-289" w:hanging="85" w:hangingChars="39"/>
        <w:rPr>
          <w:rFonts w:asciiTheme="minorEastAsia" w:hAnsiTheme="minorEastAsia" w:eastAsiaTheme="minorEastAsia"/>
          <w:sz w:val="24"/>
          <w:szCs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344E8B89">
      <w:pPr>
        <w:spacing w:line="360" w:lineRule="auto"/>
        <w:ind w:left="-551" w:leftChars="-289" w:hanging="85" w:hangingChars="39"/>
        <w:rPr>
          <w:rFonts w:asciiTheme="minorEastAsia" w:hAnsiTheme="minorEastAsia" w:eastAsiaTheme="minorEastAsia"/>
          <w:sz w:val="21"/>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444BE2EF">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14:paraId="2E4DB9D6">
      <w:pPr>
        <w:pStyle w:val="75"/>
        <w:numPr>
          <w:ilvl w:val="0"/>
          <w:numId w:val="16"/>
        </w:numPr>
        <w:autoSpaceDE/>
        <w:autoSpaceDN/>
        <w:spacing w:before="0" w:line="550" w:lineRule="exact"/>
        <w:jc w:val="both"/>
        <w:rPr>
          <w:rFonts w:asciiTheme="minorEastAsia" w:hAnsiTheme="minorEastAsia" w:eastAsiaTheme="minorEastAsia"/>
          <w:b/>
          <w:szCs w:val="21"/>
          <w:lang w:eastAsia="zh-CN"/>
        </w:rPr>
      </w:pPr>
      <w:r>
        <w:rPr>
          <w:rFonts w:hint="eastAsia"/>
          <w:szCs w:val="21"/>
          <w:lang w:eastAsia="zh-CN"/>
        </w:rPr>
        <w:t>乙方不得将工程违法转包、分包。</w:t>
      </w:r>
    </w:p>
    <w:p w14:paraId="76DF2227">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14:paraId="692E2315">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2A04D2A5">
      <w:pPr>
        <w:spacing w:line="550" w:lineRule="exact"/>
        <w:ind w:left="-636" w:leftChars="-289"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14:paraId="1611BAA4">
      <w:pPr>
        <w:spacing w:line="550" w:lineRule="exact"/>
        <w:ind w:left="-221" w:leftChars="-18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4131EFFB">
      <w:pPr>
        <w:tabs>
          <w:tab w:val="left" w:pos="360"/>
          <w:tab w:val="left" w:pos="840"/>
        </w:tabs>
        <w:spacing w:line="360" w:lineRule="auto"/>
        <w:ind w:left="-86" w:leftChars="-139"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14:paraId="33D0582F">
      <w:pPr>
        <w:spacing w:line="550" w:lineRule="exact"/>
        <w:ind w:left="-196" w:leftChars="-139"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14:paraId="5AD3E168">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0D7B46EC">
      <w:pPr>
        <w:spacing w:line="550" w:lineRule="exact"/>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14:paraId="4D5C940A">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73A82855">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152049E1">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12BF001A">
      <w:pPr>
        <w:spacing w:line="550" w:lineRule="exact"/>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4473A43C">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14:paraId="237073E1">
      <w:pPr>
        <w:spacing w:line="276" w:lineRule="auto"/>
        <w:ind w:left="-551" w:leftChars="-339" w:hanging="195" w:hangingChars="89"/>
        <w:rPr>
          <w:szCs w:val="21"/>
          <w:lang w:eastAsia="zh-CN"/>
        </w:rPr>
      </w:pPr>
    </w:p>
    <w:p w14:paraId="2C1A4FAA">
      <w:pPr>
        <w:spacing w:line="276" w:lineRule="auto"/>
        <w:ind w:left="-551" w:leftChars="-339" w:hanging="195" w:hangingChars="89"/>
        <w:rPr>
          <w:szCs w:val="21"/>
          <w:lang w:eastAsia="zh-CN"/>
        </w:rPr>
      </w:pPr>
    </w:p>
    <w:p w14:paraId="086EE6D5">
      <w:pPr>
        <w:spacing w:line="276" w:lineRule="auto"/>
        <w:ind w:left="-551" w:leftChars="-339" w:hanging="195" w:hangingChars="89"/>
        <w:rPr>
          <w:szCs w:val="21"/>
          <w:lang w:eastAsia="zh-CN"/>
        </w:rPr>
      </w:pPr>
      <w:r>
        <w:rPr>
          <w:rFonts w:hint="eastAsia"/>
          <w:szCs w:val="21"/>
          <w:lang w:eastAsia="zh-CN"/>
        </w:rPr>
        <w:t>甲方 (章)：                                  乙方(章)：</w:t>
      </w:r>
    </w:p>
    <w:p w14:paraId="219A2417">
      <w:pPr>
        <w:spacing w:line="276" w:lineRule="auto"/>
        <w:rPr>
          <w:szCs w:val="21"/>
          <w:lang w:eastAsia="zh-CN"/>
        </w:rPr>
      </w:pPr>
    </w:p>
    <w:p w14:paraId="31674E5D">
      <w:pPr>
        <w:spacing w:line="276" w:lineRule="auto"/>
        <w:rPr>
          <w:szCs w:val="21"/>
          <w:lang w:eastAsia="zh-CN"/>
        </w:rPr>
      </w:pPr>
    </w:p>
    <w:p w14:paraId="63360E9D">
      <w:pPr>
        <w:spacing w:line="276" w:lineRule="auto"/>
        <w:ind w:left="-551" w:leftChars="-339" w:hanging="195" w:hangingChars="89"/>
        <w:rPr>
          <w:szCs w:val="21"/>
          <w:lang w:eastAsia="zh-CN"/>
        </w:rPr>
      </w:pPr>
      <w:r>
        <w:rPr>
          <w:rFonts w:hint="eastAsia"/>
          <w:szCs w:val="21"/>
          <w:lang w:eastAsia="zh-CN"/>
        </w:rPr>
        <w:t>法人代表:                                     法人代表:</w:t>
      </w:r>
    </w:p>
    <w:p w14:paraId="2BDB8C28">
      <w:pPr>
        <w:spacing w:line="276" w:lineRule="auto"/>
        <w:rPr>
          <w:szCs w:val="21"/>
          <w:lang w:eastAsia="zh-CN"/>
        </w:rPr>
      </w:pPr>
    </w:p>
    <w:p w14:paraId="2087BBD0">
      <w:pPr>
        <w:spacing w:line="276" w:lineRule="auto"/>
        <w:ind w:left="-551" w:leftChars="-339" w:hanging="195" w:hangingChars="89"/>
        <w:rPr>
          <w:szCs w:val="21"/>
          <w:lang w:eastAsia="zh-CN"/>
        </w:rPr>
      </w:pPr>
    </w:p>
    <w:p w14:paraId="5CAD8CD4">
      <w:pPr>
        <w:spacing w:line="276" w:lineRule="auto"/>
        <w:ind w:left="-551" w:leftChars="-339" w:hanging="195" w:hangingChars="89"/>
        <w:rPr>
          <w:szCs w:val="21"/>
          <w:lang w:eastAsia="zh-CN"/>
        </w:rPr>
      </w:pPr>
      <w:r>
        <w:rPr>
          <w:rFonts w:hint="eastAsia"/>
          <w:szCs w:val="21"/>
          <w:lang w:eastAsia="zh-CN"/>
        </w:rPr>
        <w:t>签定日期：    年    月    日                   年    月    日</w:t>
      </w:r>
    </w:p>
    <w:p w14:paraId="4D9E0720">
      <w:pPr>
        <w:pStyle w:val="2"/>
        <w:rPr>
          <w:b/>
          <w:bCs/>
          <w:sz w:val="24"/>
          <w:szCs w:val="24"/>
        </w:rPr>
      </w:pPr>
    </w:p>
    <w:p w14:paraId="42CFC663">
      <w:pPr>
        <w:pStyle w:val="2"/>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19A6ED53">
      <w:pPr>
        <w:pStyle w:val="28"/>
        <w:spacing w:line="615" w:lineRule="exact"/>
        <w:jc w:val="center"/>
        <w:rPr>
          <w:rFonts w:ascii="方正小标宋简体" w:hAnsi="方正小标宋简体" w:eastAsia="方正小标宋简体" w:cs="方正小标宋简体"/>
          <w:b/>
          <w:sz w:val="44"/>
          <w:szCs w:val="44"/>
          <w:lang w:eastAsia="zh-CN"/>
        </w:rPr>
      </w:pPr>
    </w:p>
    <w:p w14:paraId="4ED849F6">
      <w:pPr>
        <w:pStyle w:val="28"/>
        <w:spacing w:line="615" w:lineRule="exact"/>
        <w:jc w:val="center"/>
        <w:rPr>
          <w:rFonts w:ascii="方正小标宋简体" w:hAnsi="方正小标宋简体" w:eastAsia="方正小标宋简体" w:cs="方正小标宋简体"/>
          <w:b/>
          <w:sz w:val="44"/>
          <w:szCs w:val="44"/>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4B14B55D">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lang w:eastAsia="zh-CN"/>
          <w14:textFill>
            <w14:solidFill>
              <w14:schemeClr w14:val="tx1"/>
            </w14:solidFill>
          </w14:textFill>
        </w:rPr>
        <w:t>PTA现场人员用房、吸附分离预处理装置等项目竣工消防设施及工程防火检测</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2"/>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8</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日</w:t>
      </w:r>
    </w:p>
    <w:p w14:paraId="53D34211">
      <w:pPr>
        <w:rPr>
          <w:lang w:eastAsia="zh-CN"/>
        </w:rPr>
      </w:pPr>
    </w:p>
    <w:p w14:paraId="6A9A7A9D">
      <w:pPr>
        <w:pStyle w:val="2"/>
      </w:pPr>
    </w:p>
    <w:p w14:paraId="435EBD37">
      <w:pPr>
        <w:pStyle w:val="2"/>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36A7FE01">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21D8E7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14:paraId="53C21AB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AD4862">
      <w:pPr>
        <w:rPr>
          <w:szCs w:val="21"/>
          <w:lang w:eastAsia="zh-CN"/>
        </w:rPr>
      </w:pPr>
      <w:r>
        <w:rPr>
          <w:rFonts w:ascii="Calibri"/>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mc:Fallback>
        </mc:AlternateContent>
      </w:r>
    </w:p>
    <w:p w14:paraId="51AE6FB7">
      <w:pPr>
        <w:rPr>
          <w:szCs w:val="21"/>
          <w:lang w:eastAsia="zh-CN"/>
        </w:rPr>
      </w:pPr>
    </w:p>
    <w:p w14:paraId="1EB0F5E5">
      <w:pPr>
        <w:rPr>
          <w:szCs w:val="21"/>
          <w:lang w:eastAsia="zh-CN"/>
        </w:rPr>
      </w:pPr>
    </w:p>
    <w:p w14:paraId="33A0E4BE">
      <w:pPr>
        <w:rPr>
          <w:szCs w:val="21"/>
          <w:lang w:eastAsia="zh-CN"/>
        </w:rPr>
      </w:pPr>
    </w:p>
    <w:p w14:paraId="25EFA004">
      <w:pPr>
        <w:rPr>
          <w:szCs w:val="21"/>
          <w:lang w:eastAsia="zh-CN"/>
        </w:rPr>
      </w:pPr>
    </w:p>
    <w:p w14:paraId="476C5592">
      <w:pPr>
        <w:rPr>
          <w:szCs w:val="21"/>
          <w:lang w:eastAsia="zh-CN"/>
        </w:rPr>
      </w:pPr>
    </w:p>
    <w:p w14:paraId="23D7564F">
      <w:pPr>
        <w:rPr>
          <w:szCs w:val="21"/>
          <w:lang w:eastAsia="zh-CN"/>
        </w:rPr>
      </w:pPr>
    </w:p>
    <w:p w14:paraId="65B11A45">
      <w:pPr>
        <w:rPr>
          <w:szCs w:val="21"/>
          <w:lang w:eastAsia="zh-CN"/>
        </w:rPr>
      </w:pPr>
    </w:p>
    <w:p w14:paraId="74364E20">
      <w:pPr>
        <w:pStyle w:val="77"/>
        <w:spacing w:beforeLines="0" w:afterLines="0" w:line="240" w:lineRule="auto"/>
        <w:ind w:firstLine="618" w:firstLineChars="221"/>
        <w:rPr>
          <w:rFonts w:cs="Times New Roman"/>
          <w:bCs w:val="0"/>
          <w:color w:val="C00000"/>
          <w:lang w:eastAsia="zh-CN"/>
        </w:rPr>
      </w:pPr>
    </w:p>
    <w:p w14:paraId="097C058C">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0AE479E">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6135C56E">
      <w:pPr>
        <w:pStyle w:val="2"/>
      </w:pPr>
    </w:p>
    <w:p w14:paraId="5650CDBB">
      <w:pPr>
        <w:pStyle w:val="2"/>
      </w:pPr>
    </w:p>
    <w:p w14:paraId="74F16668">
      <w:pPr>
        <w:pStyle w:val="2"/>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59CD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68F2661">
            <w:pPr>
              <w:spacing w:line="500" w:lineRule="exact"/>
              <w:jc w:val="center"/>
              <w:rPr>
                <w:b/>
                <w:bCs/>
                <w:sz w:val="24"/>
              </w:rPr>
            </w:pPr>
            <w:r>
              <w:rPr>
                <w:rFonts w:hint="eastAsia"/>
                <w:b/>
                <w:bCs/>
                <w:sz w:val="24"/>
              </w:rPr>
              <w:t>序号</w:t>
            </w:r>
          </w:p>
        </w:tc>
        <w:tc>
          <w:tcPr>
            <w:tcW w:w="6023" w:type="dxa"/>
          </w:tcPr>
          <w:p w14:paraId="331593FD">
            <w:pPr>
              <w:spacing w:line="500" w:lineRule="exact"/>
              <w:jc w:val="center"/>
              <w:rPr>
                <w:b/>
                <w:bCs/>
                <w:sz w:val="24"/>
              </w:rPr>
            </w:pPr>
            <w:r>
              <w:rPr>
                <w:rFonts w:hint="eastAsia"/>
                <w:b/>
                <w:bCs/>
                <w:sz w:val="24"/>
              </w:rPr>
              <w:t>内容</w:t>
            </w:r>
          </w:p>
        </w:tc>
        <w:tc>
          <w:tcPr>
            <w:tcW w:w="1843" w:type="dxa"/>
          </w:tcPr>
          <w:p w14:paraId="248AF466">
            <w:pPr>
              <w:spacing w:line="500" w:lineRule="exact"/>
              <w:jc w:val="center"/>
              <w:rPr>
                <w:b/>
                <w:bCs/>
                <w:sz w:val="24"/>
              </w:rPr>
            </w:pPr>
            <w:r>
              <w:rPr>
                <w:rFonts w:hint="eastAsia"/>
                <w:b/>
                <w:bCs/>
                <w:sz w:val="24"/>
              </w:rPr>
              <w:t>页码</w:t>
            </w:r>
          </w:p>
        </w:tc>
      </w:tr>
      <w:tr w14:paraId="6938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1AC4948">
            <w:pPr>
              <w:spacing w:line="500" w:lineRule="exact"/>
              <w:jc w:val="center"/>
              <w:rPr>
                <w:sz w:val="24"/>
              </w:rPr>
            </w:pPr>
            <w:r>
              <w:rPr>
                <w:rFonts w:hint="eastAsia"/>
                <w:sz w:val="24"/>
              </w:rPr>
              <w:t>1</w:t>
            </w:r>
          </w:p>
        </w:tc>
        <w:tc>
          <w:tcPr>
            <w:tcW w:w="6023" w:type="dxa"/>
          </w:tcPr>
          <w:p w14:paraId="29E8BCF8">
            <w:pPr>
              <w:spacing w:line="500" w:lineRule="exact"/>
              <w:rPr>
                <w:sz w:val="24"/>
              </w:rPr>
            </w:pPr>
            <w:r>
              <w:rPr>
                <w:rFonts w:hint="eastAsia"/>
                <w:sz w:val="24"/>
              </w:rPr>
              <w:t>参选书</w:t>
            </w:r>
          </w:p>
        </w:tc>
        <w:tc>
          <w:tcPr>
            <w:tcW w:w="1843" w:type="dxa"/>
          </w:tcPr>
          <w:p w14:paraId="2AF17501">
            <w:pPr>
              <w:spacing w:line="500" w:lineRule="exact"/>
              <w:jc w:val="center"/>
              <w:rPr>
                <w:sz w:val="24"/>
              </w:rPr>
            </w:pPr>
          </w:p>
        </w:tc>
      </w:tr>
      <w:tr w14:paraId="5881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929F5">
            <w:pPr>
              <w:spacing w:line="500" w:lineRule="exact"/>
              <w:jc w:val="center"/>
              <w:rPr>
                <w:sz w:val="24"/>
              </w:rPr>
            </w:pPr>
            <w:r>
              <w:rPr>
                <w:rFonts w:hint="eastAsia"/>
                <w:sz w:val="24"/>
              </w:rPr>
              <w:t>2</w:t>
            </w:r>
          </w:p>
        </w:tc>
        <w:tc>
          <w:tcPr>
            <w:tcW w:w="6023" w:type="dxa"/>
          </w:tcPr>
          <w:p w14:paraId="63E778D6">
            <w:pPr>
              <w:spacing w:line="500" w:lineRule="exact"/>
              <w:rPr>
                <w:sz w:val="24"/>
              </w:rPr>
            </w:pPr>
            <w:r>
              <w:rPr>
                <w:rFonts w:hint="eastAsia"/>
                <w:sz w:val="24"/>
              </w:rPr>
              <w:t>法定代表人授权书</w:t>
            </w:r>
          </w:p>
        </w:tc>
        <w:tc>
          <w:tcPr>
            <w:tcW w:w="1843" w:type="dxa"/>
          </w:tcPr>
          <w:p w14:paraId="56270186">
            <w:pPr>
              <w:spacing w:line="500" w:lineRule="exact"/>
              <w:jc w:val="center"/>
              <w:rPr>
                <w:sz w:val="24"/>
              </w:rPr>
            </w:pPr>
          </w:p>
        </w:tc>
      </w:tr>
      <w:tr w14:paraId="335C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CE8A56">
            <w:pPr>
              <w:spacing w:line="500" w:lineRule="exact"/>
              <w:jc w:val="center"/>
              <w:rPr>
                <w:sz w:val="24"/>
              </w:rPr>
            </w:pPr>
            <w:r>
              <w:rPr>
                <w:rFonts w:hint="eastAsia"/>
                <w:sz w:val="24"/>
              </w:rPr>
              <w:t>3</w:t>
            </w:r>
          </w:p>
        </w:tc>
        <w:tc>
          <w:tcPr>
            <w:tcW w:w="6023" w:type="dxa"/>
          </w:tcPr>
          <w:p w14:paraId="7A8A56C3">
            <w:pPr>
              <w:spacing w:line="500" w:lineRule="exact"/>
              <w:rPr>
                <w:sz w:val="24"/>
                <w:lang w:eastAsia="zh-CN"/>
              </w:rPr>
            </w:pPr>
            <w:r>
              <w:rPr>
                <w:rFonts w:hint="eastAsia"/>
                <w:sz w:val="24"/>
                <w:lang w:eastAsia="zh-CN"/>
              </w:rPr>
              <w:t>法定代表人身份证复印件</w:t>
            </w:r>
          </w:p>
        </w:tc>
        <w:tc>
          <w:tcPr>
            <w:tcW w:w="1843" w:type="dxa"/>
          </w:tcPr>
          <w:p w14:paraId="573ADFDB">
            <w:pPr>
              <w:spacing w:line="500" w:lineRule="exact"/>
              <w:jc w:val="center"/>
              <w:rPr>
                <w:sz w:val="24"/>
                <w:lang w:eastAsia="zh-CN"/>
              </w:rPr>
            </w:pPr>
          </w:p>
        </w:tc>
      </w:tr>
      <w:tr w14:paraId="474E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1F5C5A0">
            <w:pPr>
              <w:spacing w:line="500" w:lineRule="exact"/>
              <w:jc w:val="center"/>
              <w:rPr>
                <w:sz w:val="24"/>
              </w:rPr>
            </w:pPr>
            <w:r>
              <w:rPr>
                <w:rFonts w:hint="eastAsia"/>
                <w:sz w:val="24"/>
              </w:rPr>
              <w:t>4</w:t>
            </w:r>
          </w:p>
        </w:tc>
        <w:tc>
          <w:tcPr>
            <w:tcW w:w="6023" w:type="dxa"/>
          </w:tcPr>
          <w:p w14:paraId="7424F758">
            <w:pPr>
              <w:spacing w:line="500" w:lineRule="exact"/>
              <w:rPr>
                <w:sz w:val="24"/>
                <w:lang w:eastAsia="zh-CN"/>
              </w:rPr>
            </w:pPr>
            <w:r>
              <w:rPr>
                <w:rFonts w:hint="eastAsia"/>
                <w:sz w:val="24"/>
                <w:lang w:eastAsia="zh-CN"/>
              </w:rPr>
              <w:t>授权代表身份证复印件</w:t>
            </w:r>
          </w:p>
        </w:tc>
        <w:tc>
          <w:tcPr>
            <w:tcW w:w="1843" w:type="dxa"/>
          </w:tcPr>
          <w:p w14:paraId="229B4F14">
            <w:pPr>
              <w:spacing w:line="500" w:lineRule="exact"/>
              <w:jc w:val="center"/>
              <w:rPr>
                <w:sz w:val="24"/>
                <w:lang w:eastAsia="zh-CN"/>
              </w:rPr>
            </w:pPr>
          </w:p>
        </w:tc>
      </w:tr>
      <w:tr w14:paraId="6A1C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8DFDB6C">
            <w:pPr>
              <w:spacing w:line="500" w:lineRule="exact"/>
              <w:jc w:val="center"/>
              <w:rPr>
                <w:sz w:val="24"/>
              </w:rPr>
            </w:pPr>
            <w:r>
              <w:rPr>
                <w:rFonts w:hint="eastAsia"/>
                <w:sz w:val="24"/>
              </w:rPr>
              <w:t>5</w:t>
            </w:r>
          </w:p>
        </w:tc>
        <w:tc>
          <w:tcPr>
            <w:tcW w:w="6023" w:type="dxa"/>
          </w:tcPr>
          <w:p w14:paraId="7B5F78C9">
            <w:pPr>
              <w:spacing w:line="500" w:lineRule="exact"/>
              <w:rPr>
                <w:sz w:val="24"/>
                <w:lang w:eastAsia="zh-CN"/>
              </w:rPr>
            </w:pPr>
            <w:r>
              <w:rPr>
                <w:rFonts w:hint="eastAsia"/>
                <w:sz w:val="24"/>
                <w:szCs w:val="28"/>
                <w:lang w:eastAsia="zh-CN"/>
              </w:rPr>
              <w:t>企业概况</w:t>
            </w:r>
          </w:p>
        </w:tc>
        <w:tc>
          <w:tcPr>
            <w:tcW w:w="1843" w:type="dxa"/>
          </w:tcPr>
          <w:p w14:paraId="3E42DE9F">
            <w:pPr>
              <w:spacing w:line="500" w:lineRule="exact"/>
              <w:jc w:val="center"/>
              <w:rPr>
                <w:sz w:val="24"/>
                <w:lang w:eastAsia="zh-CN"/>
              </w:rPr>
            </w:pPr>
          </w:p>
        </w:tc>
      </w:tr>
      <w:tr w14:paraId="715D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6B430E">
            <w:pPr>
              <w:spacing w:line="500" w:lineRule="exact"/>
              <w:jc w:val="center"/>
              <w:rPr>
                <w:sz w:val="24"/>
              </w:rPr>
            </w:pPr>
            <w:r>
              <w:rPr>
                <w:rFonts w:hint="eastAsia"/>
                <w:sz w:val="24"/>
              </w:rPr>
              <w:t>6</w:t>
            </w:r>
          </w:p>
        </w:tc>
        <w:tc>
          <w:tcPr>
            <w:tcW w:w="6023" w:type="dxa"/>
          </w:tcPr>
          <w:p w14:paraId="17F78D0A">
            <w:pPr>
              <w:spacing w:line="500" w:lineRule="exact"/>
              <w:rPr>
                <w:sz w:val="24"/>
              </w:rPr>
            </w:pPr>
            <w:r>
              <w:rPr>
                <w:rFonts w:hint="eastAsia"/>
                <w:sz w:val="24"/>
              </w:rPr>
              <w:t>营业执照复印件</w:t>
            </w:r>
          </w:p>
        </w:tc>
        <w:tc>
          <w:tcPr>
            <w:tcW w:w="1843" w:type="dxa"/>
          </w:tcPr>
          <w:p w14:paraId="27744980">
            <w:pPr>
              <w:spacing w:line="500" w:lineRule="exact"/>
              <w:jc w:val="center"/>
              <w:rPr>
                <w:sz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495B0E4">
            <w:pPr>
              <w:spacing w:line="500" w:lineRule="exact"/>
              <w:jc w:val="center"/>
              <w:rPr>
                <w:sz w:val="24"/>
              </w:rPr>
            </w:pPr>
            <w:r>
              <w:rPr>
                <w:rFonts w:hint="eastAsia"/>
                <w:sz w:val="24"/>
              </w:rPr>
              <w:t>7</w:t>
            </w:r>
          </w:p>
        </w:tc>
        <w:tc>
          <w:tcPr>
            <w:tcW w:w="6023" w:type="dxa"/>
          </w:tcPr>
          <w:p w14:paraId="2DB01DE1">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58770EBD">
            <w:pPr>
              <w:spacing w:line="500" w:lineRule="exact"/>
              <w:jc w:val="center"/>
              <w:rPr>
                <w:sz w:val="24"/>
              </w:rPr>
            </w:pPr>
          </w:p>
        </w:tc>
      </w:tr>
      <w:tr w14:paraId="0462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D25282A">
            <w:pPr>
              <w:spacing w:line="500" w:lineRule="exact"/>
              <w:jc w:val="center"/>
              <w:rPr>
                <w:sz w:val="24"/>
                <w:lang w:eastAsia="zh-CN"/>
              </w:rPr>
            </w:pPr>
            <w:r>
              <w:rPr>
                <w:sz w:val="24"/>
                <w:lang w:eastAsia="zh-CN"/>
              </w:rPr>
              <w:t>8</w:t>
            </w:r>
          </w:p>
        </w:tc>
        <w:tc>
          <w:tcPr>
            <w:tcW w:w="6023" w:type="dxa"/>
          </w:tcPr>
          <w:p w14:paraId="7582B795">
            <w:pPr>
              <w:spacing w:line="500" w:lineRule="exact"/>
              <w:rPr>
                <w:sz w:val="24"/>
                <w:lang w:eastAsia="zh-CN"/>
              </w:rPr>
            </w:pPr>
            <w:r>
              <w:rPr>
                <w:rFonts w:hint="eastAsia"/>
                <w:sz w:val="24"/>
                <w:szCs w:val="28"/>
              </w:rPr>
              <w:t>业绩证明</w:t>
            </w:r>
            <w:r>
              <w:rPr>
                <w:rFonts w:hint="eastAsia"/>
                <w:sz w:val="24"/>
                <w:szCs w:val="28"/>
                <w:lang w:eastAsia="zh-CN"/>
              </w:rPr>
              <w:t>文件</w:t>
            </w:r>
          </w:p>
        </w:tc>
        <w:tc>
          <w:tcPr>
            <w:tcW w:w="1843" w:type="dxa"/>
          </w:tcPr>
          <w:p w14:paraId="32C9D7A6">
            <w:pPr>
              <w:spacing w:line="500" w:lineRule="exact"/>
              <w:jc w:val="center"/>
              <w:rPr>
                <w:sz w:val="24"/>
              </w:rPr>
            </w:pPr>
          </w:p>
        </w:tc>
      </w:tr>
      <w:tr w14:paraId="66BE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0F0BB0">
            <w:pPr>
              <w:spacing w:line="500" w:lineRule="exact"/>
              <w:jc w:val="center"/>
              <w:rPr>
                <w:sz w:val="24"/>
                <w:lang w:eastAsia="zh-CN"/>
              </w:rPr>
            </w:pPr>
            <w:r>
              <w:rPr>
                <w:rFonts w:hint="eastAsia"/>
                <w:sz w:val="24"/>
                <w:lang w:eastAsia="zh-CN"/>
              </w:rPr>
              <w:t>9</w:t>
            </w:r>
          </w:p>
        </w:tc>
        <w:tc>
          <w:tcPr>
            <w:tcW w:w="6023" w:type="dxa"/>
          </w:tcPr>
          <w:p w14:paraId="30405939">
            <w:pPr>
              <w:spacing w:line="500" w:lineRule="exact"/>
              <w:rPr>
                <w:sz w:val="24"/>
                <w:szCs w:val="28"/>
                <w:lang w:eastAsia="zh-CN"/>
              </w:rPr>
            </w:pPr>
            <w:r>
              <w:rPr>
                <w:rFonts w:hint="eastAsia"/>
                <w:sz w:val="24"/>
                <w:szCs w:val="28"/>
                <w:lang w:eastAsia="zh-CN"/>
              </w:rPr>
              <w:t>项目团队履历及资格证书、社保证明</w:t>
            </w:r>
          </w:p>
        </w:tc>
        <w:tc>
          <w:tcPr>
            <w:tcW w:w="1843" w:type="dxa"/>
          </w:tcPr>
          <w:p w14:paraId="2FABA3F8">
            <w:pPr>
              <w:spacing w:line="500" w:lineRule="exact"/>
              <w:jc w:val="center"/>
              <w:rPr>
                <w:sz w:val="24"/>
                <w:lang w:eastAsia="zh-CN"/>
              </w:rPr>
            </w:pPr>
          </w:p>
        </w:tc>
      </w:tr>
      <w:tr w14:paraId="58B6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38F6A02">
            <w:pPr>
              <w:spacing w:line="500" w:lineRule="exact"/>
              <w:jc w:val="center"/>
              <w:rPr>
                <w:sz w:val="24"/>
                <w:lang w:eastAsia="zh-CN"/>
              </w:rPr>
            </w:pPr>
            <w:r>
              <w:rPr>
                <w:sz w:val="24"/>
                <w:lang w:eastAsia="zh-CN"/>
              </w:rPr>
              <w:t>10</w:t>
            </w:r>
          </w:p>
        </w:tc>
        <w:tc>
          <w:tcPr>
            <w:tcW w:w="6023" w:type="dxa"/>
          </w:tcPr>
          <w:p w14:paraId="136877E3">
            <w:pPr>
              <w:spacing w:line="500" w:lineRule="exact"/>
              <w:rPr>
                <w:sz w:val="24"/>
              </w:rPr>
            </w:pPr>
            <w:r>
              <w:rPr>
                <w:rFonts w:hint="eastAsia"/>
                <w:sz w:val="24"/>
              </w:rPr>
              <w:t>参选报价单</w:t>
            </w:r>
          </w:p>
        </w:tc>
        <w:tc>
          <w:tcPr>
            <w:tcW w:w="1843" w:type="dxa"/>
          </w:tcPr>
          <w:p w14:paraId="408C1239">
            <w:pPr>
              <w:spacing w:line="500" w:lineRule="exact"/>
              <w:jc w:val="center"/>
              <w:rPr>
                <w:sz w:val="24"/>
              </w:rPr>
            </w:pPr>
          </w:p>
        </w:tc>
      </w:tr>
    </w:tbl>
    <w:p w14:paraId="34F76B7F">
      <w:pPr>
        <w:spacing w:line="500" w:lineRule="exact"/>
        <w:jc w:val="center"/>
        <w:rPr>
          <w:b/>
          <w:bCs/>
          <w:sz w:val="24"/>
        </w:rPr>
      </w:pPr>
    </w:p>
    <w:p w14:paraId="12E3C699">
      <w:pPr>
        <w:pStyle w:val="2"/>
        <w:rPr>
          <w:b/>
          <w:bCs/>
          <w:sz w:val="36"/>
          <w:szCs w:val="36"/>
        </w:rPr>
      </w:pPr>
    </w:p>
    <w:p w14:paraId="47469ECB">
      <w:pPr>
        <w:pStyle w:val="2"/>
        <w:rPr>
          <w:b/>
          <w:bCs/>
          <w:sz w:val="36"/>
          <w:szCs w:val="36"/>
        </w:rPr>
      </w:pPr>
    </w:p>
    <w:p w14:paraId="7B46A8F6">
      <w:pPr>
        <w:pStyle w:val="2"/>
        <w:rPr>
          <w:b/>
          <w:bCs/>
          <w:sz w:val="36"/>
          <w:szCs w:val="36"/>
        </w:rPr>
      </w:pPr>
    </w:p>
    <w:p w14:paraId="60CCCFB0">
      <w:pPr>
        <w:spacing w:line="500" w:lineRule="exact"/>
        <w:rPr>
          <w:b/>
          <w:bCs/>
          <w:sz w:val="36"/>
          <w:szCs w:val="36"/>
          <w:lang w:eastAsia="zh-CN"/>
        </w:rPr>
      </w:pPr>
    </w:p>
    <w:p w14:paraId="2C48898D">
      <w:pPr>
        <w:pStyle w:val="2"/>
        <w:rPr>
          <w:b/>
          <w:bCs/>
          <w:sz w:val="36"/>
          <w:szCs w:val="36"/>
        </w:rPr>
      </w:pPr>
    </w:p>
    <w:p w14:paraId="75D1AE4D">
      <w:pPr>
        <w:pStyle w:val="2"/>
        <w:rPr>
          <w:b/>
          <w:bCs/>
          <w:sz w:val="36"/>
          <w:szCs w:val="36"/>
        </w:rPr>
      </w:pPr>
    </w:p>
    <w:p w14:paraId="0818B623">
      <w:pPr>
        <w:pStyle w:val="2"/>
      </w:pPr>
    </w:p>
    <w:p w14:paraId="3710216D">
      <w:pPr>
        <w:pStyle w:val="2"/>
      </w:pPr>
    </w:p>
    <w:p w14:paraId="00DF1BBB">
      <w:pPr>
        <w:pStyle w:val="2"/>
      </w:pPr>
    </w:p>
    <w:p w14:paraId="717F9A46">
      <w:pPr>
        <w:pStyle w:val="2"/>
      </w:pPr>
    </w:p>
    <w:p w14:paraId="6C009EFE">
      <w:pPr>
        <w:pStyle w:val="2"/>
      </w:pPr>
    </w:p>
    <w:p w14:paraId="7BE6D035">
      <w:pPr>
        <w:pStyle w:val="2"/>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2"/>
      </w:pPr>
    </w:p>
    <w:p w14:paraId="2D9283E2">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2"/>
        <w:jc w:val="center"/>
      </w:pPr>
    </w:p>
    <w:p w14:paraId="39BC4322">
      <w:pPr>
        <w:pStyle w:val="2"/>
        <w:jc w:val="center"/>
      </w:pPr>
    </w:p>
    <w:p w14:paraId="066842E7">
      <w:pPr>
        <w:pStyle w:val="2"/>
        <w:jc w:val="center"/>
      </w:pPr>
    </w:p>
    <w:p w14:paraId="68DB3955">
      <w:pPr>
        <w:pStyle w:val="2"/>
        <w:jc w:val="center"/>
      </w:pPr>
    </w:p>
    <w:p w14:paraId="3D337288">
      <w:pPr>
        <w:pStyle w:val="2"/>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2"/>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PTA现场人员用房、吸附分离预处理装置等项目竣工消防设施及工程防火检测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6年8月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2"/>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2"/>
      </w:pPr>
    </w:p>
    <w:p w14:paraId="4A7A6043">
      <w:pPr>
        <w:pStyle w:val="2"/>
      </w:pPr>
    </w:p>
    <w:p w14:paraId="53CBD1E4">
      <w:pPr>
        <w:pStyle w:val="2"/>
      </w:pPr>
    </w:p>
    <w:p w14:paraId="4D3FF2B7">
      <w:pPr>
        <w:pStyle w:val="2"/>
      </w:pPr>
    </w:p>
    <w:p w14:paraId="294F3CFC">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2"/>
        <w:jc w:val="center"/>
        <w:rPr>
          <w:color w:val="4E6127"/>
        </w:rPr>
      </w:pPr>
    </w:p>
    <w:p w14:paraId="2F57EEC8">
      <w:pPr>
        <w:pStyle w:val="2"/>
        <w:jc w:val="center"/>
      </w:pPr>
    </w:p>
    <w:p w14:paraId="5B702F78">
      <w:pPr>
        <w:pStyle w:val="2"/>
        <w:jc w:val="center"/>
      </w:pPr>
    </w:p>
    <w:p w14:paraId="79D9ED00">
      <w:pPr>
        <w:pStyle w:val="2"/>
        <w:jc w:val="center"/>
      </w:pPr>
    </w:p>
    <w:p w14:paraId="3866141C">
      <w:pPr>
        <w:pStyle w:val="2"/>
        <w:jc w:val="center"/>
      </w:pPr>
    </w:p>
    <w:p w14:paraId="3F1E3A6F">
      <w:pPr>
        <w:pStyle w:val="2"/>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2"/>
        <w:rPr>
          <w:b/>
          <w:bCs/>
          <w:color w:val="4E6127"/>
          <w:sz w:val="36"/>
          <w:szCs w:val="36"/>
        </w:rPr>
      </w:pPr>
    </w:p>
    <w:p w14:paraId="79261888">
      <w:pPr>
        <w:pStyle w:val="2"/>
        <w:rPr>
          <w:b/>
          <w:bCs/>
          <w:color w:val="4E6127"/>
          <w:sz w:val="36"/>
          <w:szCs w:val="36"/>
        </w:rPr>
      </w:pPr>
    </w:p>
    <w:p w14:paraId="4588254C">
      <w:pPr>
        <w:pStyle w:val="2"/>
        <w:rPr>
          <w:b/>
          <w:bCs/>
          <w:color w:val="4E6127"/>
          <w:sz w:val="36"/>
          <w:szCs w:val="36"/>
        </w:rPr>
      </w:pPr>
    </w:p>
    <w:p w14:paraId="130BB33F">
      <w:pPr>
        <w:pStyle w:val="2"/>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2"/>
        <w:rPr>
          <w:b/>
          <w:bCs/>
          <w:sz w:val="36"/>
          <w:szCs w:val="36"/>
        </w:rPr>
      </w:pPr>
    </w:p>
    <w:p w14:paraId="33F04666">
      <w:pPr>
        <w:pStyle w:val="2"/>
        <w:rPr>
          <w:b/>
          <w:bCs/>
          <w:sz w:val="36"/>
          <w:szCs w:val="36"/>
        </w:rPr>
      </w:pPr>
    </w:p>
    <w:p w14:paraId="427DE0AF">
      <w:pPr>
        <w:pStyle w:val="2"/>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2"/>
        <w:jc w:val="center"/>
        <w:rPr>
          <w:color w:val="FF0000"/>
        </w:rPr>
      </w:pPr>
    </w:p>
    <w:p w14:paraId="71BD34CF">
      <w:pPr>
        <w:pStyle w:val="2"/>
        <w:jc w:val="center"/>
      </w:pPr>
    </w:p>
    <w:p w14:paraId="029FD09B">
      <w:pPr>
        <w:pStyle w:val="2"/>
        <w:jc w:val="center"/>
      </w:pPr>
    </w:p>
    <w:p w14:paraId="481270E6">
      <w:pPr>
        <w:pStyle w:val="2"/>
        <w:jc w:val="center"/>
      </w:pPr>
    </w:p>
    <w:p w14:paraId="0681EFF1">
      <w:pPr>
        <w:pStyle w:val="2"/>
        <w:jc w:val="center"/>
      </w:pPr>
    </w:p>
    <w:p w14:paraId="41DEA680">
      <w:pPr>
        <w:pStyle w:val="2"/>
        <w:jc w:val="center"/>
      </w:pPr>
    </w:p>
    <w:p w14:paraId="15A64DF3">
      <w:pPr>
        <w:pStyle w:val="2"/>
        <w:jc w:val="center"/>
      </w:pPr>
    </w:p>
    <w:p w14:paraId="280927C3">
      <w:pPr>
        <w:pStyle w:val="2"/>
        <w:jc w:val="center"/>
      </w:pPr>
    </w:p>
    <w:p w14:paraId="02473E6F">
      <w:pPr>
        <w:pStyle w:val="2"/>
        <w:jc w:val="center"/>
      </w:pPr>
    </w:p>
    <w:p w14:paraId="0232CC98">
      <w:pPr>
        <w:pStyle w:val="2"/>
        <w:jc w:val="center"/>
      </w:pPr>
    </w:p>
    <w:p w14:paraId="71DF9366">
      <w:pPr>
        <w:pStyle w:val="2"/>
        <w:jc w:val="center"/>
      </w:pPr>
    </w:p>
    <w:p w14:paraId="29269907">
      <w:pPr>
        <w:pStyle w:val="2"/>
        <w:jc w:val="center"/>
      </w:pPr>
    </w:p>
    <w:p w14:paraId="48C95FCF">
      <w:pPr>
        <w:pStyle w:val="2"/>
        <w:jc w:val="center"/>
      </w:pPr>
    </w:p>
    <w:p w14:paraId="706D5FDD">
      <w:pPr>
        <w:pStyle w:val="2"/>
        <w:jc w:val="center"/>
      </w:pPr>
    </w:p>
    <w:p w14:paraId="2F038F0E">
      <w:pPr>
        <w:pStyle w:val="2"/>
        <w:jc w:val="center"/>
      </w:pPr>
    </w:p>
    <w:p w14:paraId="3693E9F9">
      <w:pPr>
        <w:pStyle w:val="2"/>
        <w:jc w:val="center"/>
      </w:pPr>
    </w:p>
    <w:p w14:paraId="6383BFC9">
      <w:pPr>
        <w:pStyle w:val="2"/>
        <w:jc w:val="center"/>
      </w:pPr>
    </w:p>
    <w:p w14:paraId="5061630D">
      <w:pPr>
        <w:pStyle w:val="2"/>
        <w:jc w:val="center"/>
      </w:pPr>
    </w:p>
    <w:p w14:paraId="4321CC2E">
      <w:pPr>
        <w:pStyle w:val="2"/>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110A3E3E">
      <w:pPr>
        <w:pStyle w:val="2"/>
        <w:jc w:val="center"/>
        <w:rPr>
          <w:b/>
          <w:bCs/>
          <w:sz w:val="36"/>
          <w:szCs w:val="36"/>
        </w:rPr>
      </w:pPr>
      <w:r>
        <w:rPr>
          <w:rFonts w:hint="eastAsia"/>
          <w:b/>
          <w:bCs/>
          <w:sz w:val="36"/>
          <w:szCs w:val="36"/>
        </w:rPr>
        <w:t>营业执照复印件</w:t>
      </w:r>
    </w:p>
    <w:p w14:paraId="42A36F1F">
      <w:pPr>
        <w:pStyle w:val="2"/>
        <w:jc w:val="center"/>
        <w:rPr>
          <w:b/>
          <w:bCs/>
          <w:sz w:val="36"/>
          <w:szCs w:val="36"/>
        </w:rPr>
      </w:pPr>
    </w:p>
    <w:p w14:paraId="40E930C1">
      <w:pPr>
        <w:pStyle w:val="2"/>
        <w:jc w:val="center"/>
        <w:rPr>
          <w:b/>
          <w:bCs/>
          <w:sz w:val="36"/>
          <w:szCs w:val="36"/>
        </w:rPr>
      </w:pPr>
    </w:p>
    <w:p w14:paraId="34EFEE93">
      <w:pPr>
        <w:pStyle w:val="2"/>
        <w:jc w:val="center"/>
        <w:rPr>
          <w:b/>
          <w:bCs/>
          <w:sz w:val="36"/>
          <w:szCs w:val="36"/>
        </w:rPr>
      </w:pPr>
    </w:p>
    <w:p w14:paraId="0B566740">
      <w:pPr>
        <w:pStyle w:val="2"/>
        <w:jc w:val="center"/>
        <w:rPr>
          <w:b/>
          <w:bCs/>
          <w:sz w:val="36"/>
          <w:szCs w:val="36"/>
        </w:rPr>
      </w:pPr>
    </w:p>
    <w:p w14:paraId="443259A9">
      <w:pPr>
        <w:pStyle w:val="2"/>
        <w:jc w:val="center"/>
        <w:rPr>
          <w:b/>
          <w:bCs/>
          <w:sz w:val="36"/>
          <w:szCs w:val="36"/>
        </w:rPr>
      </w:pPr>
    </w:p>
    <w:p w14:paraId="03B1D624">
      <w:pPr>
        <w:pStyle w:val="2"/>
        <w:jc w:val="center"/>
        <w:rPr>
          <w:b/>
          <w:bCs/>
          <w:sz w:val="36"/>
          <w:szCs w:val="36"/>
        </w:rPr>
      </w:pPr>
    </w:p>
    <w:p w14:paraId="26DDB50A">
      <w:pPr>
        <w:pStyle w:val="2"/>
        <w:jc w:val="center"/>
        <w:rPr>
          <w:b/>
          <w:bCs/>
          <w:sz w:val="36"/>
          <w:szCs w:val="36"/>
        </w:rPr>
      </w:pPr>
    </w:p>
    <w:p w14:paraId="1FA4FF04">
      <w:pPr>
        <w:pStyle w:val="2"/>
        <w:jc w:val="center"/>
        <w:rPr>
          <w:b/>
          <w:bCs/>
          <w:sz w:val="36"/>
          <w:szCs w:val="36"/>
        </w:rPr>
      </w:pPr>
    </w:p>
    <w:p w14:paraId="3FA5CD7F">
      <w:pPr>
        <w:pStyle w:val="2"/>
        <w:jc w:val="center"/>
        <w:rPr>
          <w:b/>
          <w:bCs/>
          <w:sz w:val="36"/>
          <w:szCs w:val="36"/>
        </w:rPr>
      </w:pPr>
    </w:p>
    <w:p w14:paraId="237A3181">
      <w:pPr>
        <w:pStyle w:val="2"/>
        <w:jc w:val="center"/>
        <w:rPr>
          <w:b/>
          <w:bCs/>
          <w:sz w:val="36"/>
          <w:szCs w:val="36"/>
        </w:rPr>
      </w:pPr>
    </w:p>
    <w:p w14:paraId="0EB67AFA">
      <w:pPr>
        <w:pStyle w:val="2"/>
        <w:jc w:val="center"/>
        <w:rPr>
          <w:b/>
          <w:bCs/>
          <w:sz w:val="36"/>
          <w:szCs w:val="36"/>
        </w:rPr>
      </w:pPr>
    </w:p>
    <w:p w14:paraId="2FD3C2AE">
      <w:pPr>
        <w:pStyle w:val="2"/>
        <w:jc w:val="center"/>
        <w:rPr>
          <w:b/>
          <w:bCs/>
          <w:sz w:val="36"/>
          <w:szCs w:val="36"/>
        </w:rPr>
      </w:pPr>
    </w:p>
    <w:p w14:paraId="0B81FF86">
      <w:pPr>
        <w:pStyle w:val="2"/>
        <w:jc w:val="center"/>
        <w:rPr>
          <w:b/>
          <w:bCs/>
          <w:sz w:val="36"/>
          <w:szCs w:val="36"/>
        </w:rPr>
      </w:pPr>
    </w:p>
    <w:p w14:paraId="6BF6BEEB">
      <w:pPr>
        <w:pStyle w:val="2"/>
        <w:jc w:val="center"/>
        <w:rPr>
          <w:b/>
          <w:bCs/>
          <w:sz w:val="36"/>
          <w:szCs w:val="36"/>
        </w:rPr>
      </w:pPr>
    </w:p>
    <w:p w14:paraId="0C2F2E21">
      <w:pPr>
        <w:pStyle w:val="2"/>
        <w:jc w:val="center"/>
        <w:rPr>
          <w:b/>
          <w:bCs/>
          <w:sz w:val="36"/>
          <w:szCs w:val="36"/>
        </w:rPr>
      </w:pPr>
    </w:p>
    <w:p w14:paraId="21B0DCB8">
      <w:pPr>
        <w:pStyle w:val="2"/>
        <w:jc w:val="center"/>
        <w:rPr>
          <w:b/>
          <w:bCs/>
          <w:sz w:val="36"/>
          <w:szCs w:val="36"/>
        </w:rPr>
      </w:pPr>
    </w:p>
    <w:p w14:paraId="7758185F">
      <w:pPr>
        <w:pStyle w:val="2"/>
        <w:jc w:val="center"/>
        <w:rPr>
          <w:b/>
          <w:bCs/>
          <w:sz w:val="36"/>
          <w:szCs w:val="36"/>
        </w:rPr>
      </w:pPr>
    </w:p>
    <w:p w14:paraId="4AA08C51">
      <w:pPr>
        <w:pStyle w:val="2"/>
        <w:jc w:val="center"/>
        <w:rPr>
          <w:b/>
          <w:bCs/>
          <w:sz w:val="36"/>
          <w:szCs w:val="36"/>
        </w:rPr>
      </w:pPr>
    </w:p>
    <w:p w14:paraId="30437EEE">
      <w:pPr>
        <w:pStyle w:val="2"/>
        <w:jc w:val="center"/>
        <w:rPr>
          <w:b/>
          <w:bCs/>
          <w:sz w:val="36"/>
          <w:szCs w:val="36"/>
        </w:rPr>
      </w:pPr>
    </w:p>
    <w:p w14:paraId="1957898A">
      <w:pPr>
        <w:pStyle w:val="2"/>
        <w:jc w:val="center"/>
        <w:rPr>
          <w:b/>
          <w:bCs/>
          <w:sz w:val="36"/>
          <w:szCs w:val="36"/>
        </w:rPr>
      </w:pPr>
    </w:p>
    <w:p w14:paraId="5BB9D808">
      <w:pPr>
        <w:pStyle w:val="2"/>
        <w:jc w:val="center"/>
        <w:rPr>
          <w:b/>
          <w:bCs/>
          <w:sz w:val="36"/>
          <w:szCs w:val="36"/>
        </w:rPr>
      </w:pPr>
    </w:p>
    <w:p w14:paraId="266E58C2">
      <w:pPr>
        <w:pStyle w:val="2"/>
        <w:jc w:val="center"/>
        <w:rPr>
          <w:b/>
          <w:bCs/>
          <w:sz w:val="36"/>
          <w:szCs w:val="36"/>
        </w:rPr>
      </w:pPr>
    </w:p>
    <w:p w14:paraId="5AD970C3">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62C7E0A6">
      <w:pPr>
        <w:pStyle w:val="2"/>
        <w:tabs>
          <w:tab w:val="left" w:pos="4944"/>
        </w:tabs>
        <w:jc w:val="left"/>
        <w:rPr>
          <w:color w:val="4E6127"/>
        </w:rPr>
      </w:pPr>
    </w:p>
    <w:p w14:paraId="29022B27">
      <w:pPr>
        <w:pStyle w:val="2"/>
        <w:tabs>
          <w:tab w:val="left" w:pos="4944"/>
        </w:tabs>
        <w:jc w:val="left"/>
        <w:rPr>
          <w:color w:val="0000FF"/>
        </w:rPr>
      </w:pPr>
    </w:p>
    <w:p w14:paraId="533E51C1">
      <w:pPr>
        <w:pStyle w:val="2"/>
        <w:tabs>
          <w:tab w:val="left" w:pos="4944"/>
        </w:tabs>
        <w:jc w:val="left"/>
        <w:rPr>
          <w:color w:val="0000FF"/>
        </w:rPr>
      </w:pPr>
    </w:p>
    <w:p w14:paraId="18D34A1C">
      <w:pPr>
        <w:pStyle w:val="2"/>
        <w:tabs>
          <w:tab w:val="left" w:pos="4944"/>
        </w:tabs>
        <w:jc w:val="left"/>
        <w:rPr>
          <w:color w:val="0000FF"/>
        </w:rPr>
      </w:pPr>
    </w:p>
    <w:p w14:paraId="7CCEC459">
      <w:pPr>
        <w:pStyle w:val="2"/>
        <w:tabs>
          <w:tab w:val="left" w:pos="4944"/>
        </w:tabs>
        <w:jc w:val="left"/>
        <w:rPr>
          <w:color w:val="0000FF"/>
        </w:rPr>
      </w:pPr>
    </w:p>
    <w:p w14:paraId="234F82AB">
      <w:pPr>
        <w:pStyle w:val="2"/>
        <w:tabs>
          <w:tab w:val="left" w:pos="4944"/>
        </w:tabs>
        <w:jc w:val="left"/>
        <w:rPr>
          <w:color w:val="0000FF"/>
        </w:rPr>
      </w:pPr>
    </w:p>
    <w:p w14:paraId="3C54A92C">
      <w:pPr>
        <w:pStyle w:val="2"/>
        <w:tabs>
          <w:tab w:val="left" w:pos="4944"/>
        </w:tabs>
        <w:jc w:val="left"/>
        <w:rPr>
          <w:color w:val="0000FF"/>
        </w:rPr>
      </w:pPr>
    </w:p>
    <w:p w14:paraId="16EAC8AA">
      <w:pPr>
        <w:pStyle w:val="2"/>
        <w:tabs>
          <w:tab w:val="left" w:pos="4944"/>
        </w:tabs>
        <w:jc w:val="left"/>
        <w:rPr>
          <w:color w:val="0000FF"/>
        </w:rPr>
      </w:pPr>
    </w:p>
    <w:p w14:paraId="4820E6C4">
      <w:pPr>
        <w:pStyle w:val="2"/>
        <w:tabs>
          <w:tab w:val="left" w:pos="4944"/>
        </w:tabs>
        <w:jc w:val="left"/>
        <w:rPr>
          <w:color w:val="0000FF"/>
        </w:rPr>
      </w:pPr>
    </w:p>
    <w:p w14:paraId="3141D235">
      <w:pPr>
        <w:pStyle w:val="2"/>
        <w:tabs>
          <w:tab w:val="left" w:pos="4944"/>
        </w:tabs>
        <w:jc w:val="left"/>
        <w:rPr>
          <w:color w:val="0000FF"/>
        </w:rPr>
      </w:pPr>
    </w:p>
    <w:p w14:paraId="452A0F66">
      <w:pPr>
        <w:pStyle w:val="2"/>
        <w:tabs>
          <w:tab w:val="left" w:pos="4944"/>
        </w:tabs>
        <w:jc w:val="left"/>
        <w:rPr>
          <w:color w:val="0000FF"/>
        </w:rPr>
      </w:pPr>
    </w:p>
    <w:p w14:paraId="799D9537">
      <w:pPr>
        <w:pStyle w:val="2"/>
        <w:tabs>
          <w:tab w:val="left" w:pos="4944"/>
        </w:tabs>
        <w:jc w:val="left"/>
        <w:rPr>
          <w:color w:val="0000FF"/>
        </w:rPr>
      </w:pPr>
    </w:p>
    <w:p w14:paraId="2D726507">
      <w:pPr>
        <w:pStyle w:val="2"/>
        <w:tabs>
          <w:tab w:val="left" w:pos="4944"/>
        </w:tabs>
        <w:jc w:val="left"/>
        <w:rPr>
          <w:color w:val="0000FF"/>
        </w:rPr>
      </w:pPr>
    </w:p>
    <w:p w14:paraId="189A95BC">
      <w:pPr>
        <w:pStyle w:val="2"/>
        <w:tabs>
          <w:tab w:val="left" w:pos="4944"/>
        </w:tabs>
        <w:jc w:val="left"/>
        <w:rPr>
          <w:color w:val="0000FF"/>
        </w:rPr>
      </w:pPr>
    </w:p>
    <w:p w14:paraId="7D6F1F1D">
      <w:pPr>
        <w:pStyle w:val="2"/>
        <w:tabs>
          <w:tab w:val="left" w:pos="4944"/>
        </w:tabs>
        <w:jc w:val="left"/>
        <w:rPr>
          <w:color w:val="0000FF"/>
        </w:rPr>
      </w:pPr>
    </w:p>
    <w:p w14:paraId="2B09A93A">
      <w:pPr>
        <w:pStyle w:val="2"/>
        <w:tabs>
          <w:tab w:val="left" w:pos="4944"/>
        </w:tabs>
        <w:jc w:val="left"/>
        <w:rPr>
          <w:color w:val="0000FF"/>
        </w:rPr>
      </w:pPr>
    </w:p>
    <w:p w14:paraId="2CADDC21">
      <w:pPr>
        <w:pStyle w:val="2"/>
        <w:tabs>
          <w:tab w:val="left" w:pos="4944"/>
        </w:tabs>
        <w:jc w:val="left"/>
        <w:rPr>
          <w:color w:val="0000FF"/>
        </w:rPr>
      </w:pPr>
    </w:p>
    <w:p w14:paraId="24E2B176">
      <w:pPr>
        <w:pStyle w:val="2"/>
        <w:tabs>
          <w:tab w:val="left" w:pos="4944"/>
        </w:tabs>
        <w:jc w:val="left"/>
        <w:rPr>
          <w:color w:val="0000FF"/>
        </w:rPr>
      </w:pPr>
    </w:p>
    <w:p w14:paraId="27BEBCAF">
      <w:pPr>
        <w:pStyle w:val="2"/>
        <w:tabs>
          <w:tab w:val="left" w:pos="4944"/>
        </w:tabs>
        <w:jc w:val="left"/>
        <w:rPr>
          <w:color w:val="0000FF"/>
        </w:rPr>
      </w:pPr>
    </w:p>
    <w:p w14:paraId="5B593D9F">
      <w:pPr>
        <w:pStyle w:val="2"/>
        <w:tabs>
          <w:tab w:val="left" w:pos="4944"/>
        </w:tabs>
        <w:jc w:val="left"/>
        <w:rPr>
          <w:color w:val="0000FF"/>
        </w:rPr>
      </w:pPr>
    </w:p>
    <w:p w14:paraId="099DD182">
      <w:pPr>
        <w:pStyle w:val="2"/>
        <w:jc w:val="center"/>
        <w:rPr>
          <w:rFonts w:ascii="Times New Roman" w:hAnsi="Times New Roman"/>
          <w:b/>
          <w:bCs/>
          <w:kern w:val="2"/>
          <w:sz w:val="36"/>
          <w:szCs w:val="36"/>
        </w:rPr>
      </w:pPr>
    </w:p>
    <w:p w14:paraId="067B2C6A">
      <w:pPr>
        <w:pStyle w:val="2"/>
        <w:jc w:val="center"/>
        <w:rPr>
          <w:rFonts w:ascii="Times New Roman" w:hAnsi="Times New Roman"/>
          <w:b/>
          <w:bCs/>
          <w:kern w:val="2"/>
          <w:sz w:val="36"/>
          <w:szCs w:val="36"/>
        </w:rPr>
      </w:pPr>
    </w:p>
    <w:p w14:paraId="3E639D39">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14:paraId="0E936ED3">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14:paraId="490F4355">
      <w:pPr>
        <w:pStyle w:val="77"/>
        <w:spacing w:beforeLines="0" w:afterLines="0" w:line="240" w:lineRule="auto"/>
        <w:rPr>
          <w:rFonts w:cs="Times New Roman"/>
          <w:bCs w:val="0"/>
          <w:color w:val="4E6127"/>
          <w:lang w:eastAsia="zh-CN"/>
        </w:rPr>
      </w:pPr>
    </w:p>
    <w:p w14:paraId="6996F3EF">
      <w:pPr>
        <w:pStyle w:val="77"/>
        <w:spacing w:beforeLines="0" w:afterLines="0" w:line="240" w:lineRule="auto"/>
        <w:rPr>
          <w:rFonts w:cs="Times New Roman"/>
          <w:bCs w:val="0"/>
          <w:lang w:eastAsia="zh-CN"/>
        </w:rPr>
      </w:pPr>
    </w:p>
    <w:p w14:paraId="5F1912C8">
      <w:pPr>
        <w:pStyle w:val="77"/>
        <w:spacing w:beforeLines="0" w:afterLines="0" w:line="240" w:lineRule="auto"/>
        <w:rPr>
          <w:rFonts w:cs="Times New Roman"/>
          <w:bCs w:val="0"/>
          <w:lang w:eastAsia="zh-CN"/>
        </w:rPr>
      </w:pPr>
    </w:p>
    <w:p w14:paraId="5FF25F44">
      <w:pPr>
        <w:pStyle w:val="77"/>
        <w:spacing w:beforeLines="0" w:afterLines="0" w:line="240" w:lineRule="auto"/>
        <w:rPr>
          <w:rFonts w:cs="Times New Roman"/>
          <w:bCs w:val="0"/>
          <w:lang w:eastAsia="zh-CN"/>
        </w:rPr>
      </w:pPr>
    </w:p>
    <w:p w14:paraId="703DA105">
      <w:pPr>
        <w:pStyle w:val="77"/>
        <w:spacing w:beforeLines="0" w:afterLines="0" w:line="240" w:lineRule="auto"/>
        <w:rPr>
          <w:rFonts w:cs="Times New Roman"/>
          <w:bCs w:val="0"/>
          <w:lang w:eastAsia="zh-CN"/>
        </w:rPr>
      </w:pPr>
    </w:p>
    <w:p w14:paraId="07573D8C">
      <w:pPr>
        <w:pStyle w:val="77"/>
        <w:spacing w:beforeLines="0" w:afterLines="0" w:line="240" w:lineRule="auto"/>
        <w:rPr>
          <w:rFonts w:cs="Times New Roman"/>
          <w:bCs w:val="0"/>
          <w:lang w:eastAsia="zh-CN"/>
        </w:rPr>
      </w:pPr>
    </w:p>
    <w:p w14:paraId="38E0D9BC">
      <w:pPr>
        <w:pStyle w:val="77"/>
        <w:spacing w:beforeLines="0" w:afterLines="0" w:line="240" w:lineRule="auto"/>
        <w:rPr>
          <w:rFonts w:cs="Times New Roman"/>
          <w:bCs w:val="0"/>
          <w:lang w:eastAsia="zh-CN"/>
        </w:rPr>
      </w:pPr>
    </w:p>
    <w:p w14:paraId="250DCBC7">
      <w:pPr>
        <w:pStyle w:val="77"/>
        <w:spacing w:beforeLines="0" w:afterLines="0" w:line="240" w:lineRule="auto"/>
        <w:rPr>
          <w:rFonts w:cs="Times New Roman"/>
          <w:bCs w:val="0"/>
          <w:lang w:eastAsia="zh-CN"/>
        </w:rPr>
      </w:pPr>
    </w:p>
    <w:p w14:paraId="1D4F59E7">
      <w:pPr>
        <w:pStyle w:val="77"/>
        <w:spacing w:beforeLines="0" w:afterLines="0" w:line="240" w:lineRule="auto"/>
        <w:rPr>
          <w:rFonts w:cs="Times New Roman"/>
          <w:bCs w:val="0"/>
          <w:lang w:eastAsia="zh-CN"/>
        </w:rPr>
      </w:pPr>
    </w:p>
    <w:p w14:paraId="0838A6C6">
      <w:pPr>
        <w:pStyle w:val="77"/>
        <w:spacing w:beforeLines="0" w:afterLines="0" w:line="240" w:lineRule="auto"/>
        <w:rPr>
          <w:rFonts w:cs="Times New Roman"/>
          <w:bCs w:val="0"/>
          <w:lang w:eastAsia="zh-CN"/>
        </w:rPr>
      </w:pPr>
    </w:p>
    <w:p w14:paraId="0062A1B9">
      <w:pPr>
        <w:pStyle w:val="77"/>
        <w:spacing w:beforeLines="0" w:afterLines="0" w:line="240" w:lineRule="auto"/>
        <w:rPr>
          <w:rFonts w:cs="Times New Roman"/>
          <w:bCs w:val="0"/>
          <w:lang w:eastAsia="zh-CN"/>
        </w:rPr>
      </w:pPr>
    </w:p>
    <w:p w14:paraId="62E2D4A0">
      <w:pPr>
        <w:pStyle w:val="77"/>
        <w:spacing w:beforeLines="0" w:afterLines="0" w:line="240" w:lineRule="auto"/>
        <w:rPr>
          <w:rFonts w:cs="Times New Roman"/>
          <w:bCs w:val="0"/>
          <w:lang w:eastAsia="zh-CN"/>
        </w:rPr>
      </w:pPr>
    </w:p>
    <w:p w14:paraId="3303F497">
      <w:pPr>
        <w:pStyle w:val="77"/>
        <w:spacing w:beforeLines="0" w:afterLines="0" w:line="240" w:lineRule="auto"/>
        <w:rPr>
          <w:rFonts w:cs="Times New Roman"/>
          <w:bCs w:val="0"/>
          <w:lang w:eastAsia="zh-CN"/>
        </w:rPr>
      </w:pPr>
    </w:p>
    <w:p w14:paraId="39CB0D63">
      <w:pPr>
        <w:pStyle w:val="77"/>
        <w:spacing w:beforeLines="0" w:afterLines="0" w:line="240" w:lineRule="auto"/>
        <w:rPr>
          <w:rFonts w:cs="Times New Roman"/>
          <w:bCs w:val="0"/>
          <w:lang w:eastAsia="zh-CN"/>
        </w:rPr>
      </w:pPr>
    </w:p>
    <w:p w14:paraId="3DCD6236">
      <w:pPr>
        <w:pStyle w:val="77"/>
        <w:spacing w:beforeLines="0" w:afterLines="0" w:line="240" w:lineRule="auto"/>
        <w:rPr>
          <w:rFonts w:cs="Times New Roman"/>
          <w:bCs w:val="0"/>
          <w:lang w:eastAsia="zh-CN"/>
        </w:rPr>
      </w:pPr>
    </w:p>
    <w:p w14:paraId="0B3D83E4">
      <w:pPr>
        <w:pStyle w:val="77"/>
        <w:spacing w:beforeLines="0" w:afterLines="0" w:line="240" w:lineRule="auto"/>
        <w:rPr>
          <w:rFonts w:cs="Times New Roman"/>
          <w:bCs w:val="0"/>
          <w:lang w:eastAsia="zh-CN"/>
        </w:rPr>
      </w:pPr>
    </w:p>
    <w:p w14:paraId="51F9863D">
      <w:pPr>
        <w:pStyle w:val="77"/>
        <w:spacing w:beforeLines="0" w:afterLines="0" w:line="240" w:lineRule="auto"/>
        <w:rPr>
          <w:rFonts w:cs="Times New Roman"/>
          <w:bCs w:val="0"/>
          <w:lang w:eastAsia="zh-CN"/>
        </w:rPr>
      </w:pPr>
    </w:p>
    <w:p w14:paraId="6C9FA5C7">
      <w:pPr>
        <w:pStyle w:val="77"/>
        <w:spacing w:beforeLines="0" w:afterLines="0" w:line="240" w:lineRule="auto"/>
        <w:rPr>
          <w:rFonts w:cs="Times New Roman"/>
          <w:bCs w:val="0"/>
          <w:lang w:eastAsia="zh-CN"/>
        </w:rPr>
      </w:pPr>
    </w:p>
    <w:p w14:paraId="43A7B868">
      <w:pPr>
        <w:pStyle w:val="77"/>
        <w:spacing w:beforeLines="0" w:afterLines="0" w:line="240" w:lineRule="auto"/>
        <w:rPr>
          <w:rFonts w:cs="Times New Roman"/>
          <w:bCs w:val="0"/>
          <w:lang w:eastAsia="zh-CN"/>
        </w:rPr>
      </w:pPr>
    </w:p>
    <w:p w14:paraId="145A4407">
      <w:pPr>
        <w:pStyle w:val="77"/>
        <w:spacing w:beforeLines="0" w:afterLines="0" w:line="240" w:lineRule="auto"/>
        <w:rPr>
          <w:rFonts w:cs="Times New Roman"/>
          <w:bCs w:val="0"/>
          <w:lang w:eastAsia="zh-CN"/>
        </w:rPr>
      </w:pPr>
    </w:p>
    <w:p w14:paraId="6888E625">
      <w:pPr>
        <w:pStyle w:val="77"/>
        <w:spacing w:beforeLines="0" w:afterLines="0" w:line="240" w:lineRule="auto"/>
        <w:rPr>
          <w:rFonts w:cs="Times New Roman"/>
          <w:bCs w:val="0"/>
          <w:lang w:eastAsia="zh-CN"/>
        </w:rPr>
      </w:pPr>
    </w:p>
    <w:p w14:paraId="65F076A4">
      <w:pPr>
        <w:pStyle w:val="77"/>
        <w:spacing w:beforeLines="0" w:afterLines="0" w:line="240" w:lineRule="auto"/>
        <w:rPr>
          <w:rFonts w:cs="Times New Roman"/>
          <w:bCs w:val="0"/>
          <w:lang w:eastAsia="zh-CN"/>
        </w:rPr>
      </w:pPr>
    </w:p>
    <w:p w14:paraId="550450F6">
      <w:pPr>
        <w:pStyle w:val="2"/>
        <w:jc w:val="center"/>
        <w:rPr>
          <w:rFonts w:ascii="Times New Roman" w:hAnsi="Times New Roman"/>
          <w:b/>
          <w:bCs/>
          <w:kern w:val="2"/>
          <w:sz w:val="36"/>
          <w:szCs w:val="36"/>
        </w:rPr>
      </w:pPr>
      <w:r>
        <w:rPr>
          <w:rFonts w:hint="eastAsia" w:ascii="Times New Roman" w:hAnsi="Times New Roman"/>
          <w:b/>
          <w:bCs/>
          <w:kern w:val="2"/>
          <w:sz w:val="36"/>
          <w:szCs w:val="36"/>
        </w:rPr>
        <w:t>项目负责人、技术负责人履历及资格证书、社保证明</w:t>
      </w:r>
    </w:p>
    <w:p w14:paraId="5765918E">
      <w:pPr>
        <w:spacing w:line="360" w:lineRule="auto"/>
        <w:jc w:val="center"/>
        <w:rPr>
          <w:rFonts w:ascii="Times New Roman" w:hAnsi="Times New Roman" w:cs="Times New Roman"/>
          <w:b/>
          <w:sz w:val="36"/>
          <w:szCs w:val="36"/>
          <w:lang w:eastAsia="zh-CN"/>
        </w:rPr>
      </w:pPr>
    </w:p>
    <w:p w14:paraId="6E8DE5BA">
      <w:pPr>
        <w:spacing w:line="360" w:lineRule="auto"/>
        <w:jc w:val="center"/>
        <w:rPr>
          <w:rFonts w:ascii="Times New Roman" w:hAnsi="Times New Roman" w:cs="Times New Roman"/>
          <w:b/>
          <w:sz w:val="36"/>
          <w:szCs w:val="36"/>
          <w:lang w:eastAsia="zh-CN"/>
        </w:rPr>
      </w:pPr>
    </w:p>
    <w:p w14:paraId="54B2F50C">
      <w:pPr>
        <w:spacing w:line="360" w:lineRule="auto"/>
        <w:jc w:val="center"/>
        <w:rPr>
          <w:rFonts w:ascii="Times New Roman" w:hAnsi="Times New Roman" w:cs="Times New Roman"/>
          <w:b/>
          <w:sz w:val="36"/>
          <w:szCs w:val="36"/>
          <w:lang w:eastAsia="zh-CN"/>
        </w:rPr>
      </w:pPr>
    </w:p>
    <w:p w14:paraId="706FBD86">
      <w:pPr>
        <w:spacing w:line="360" w:lineRule="auto"/>
        <w:jc w:val="center"/>
        <w:rPr>
          <w:rFonts w:ascii="Times New Roman" w:hAnsi="Times New Roman" w:cs="Times New Roman"/>
          <w:b/>
          <w:sz w:val="36"/>
          <w:szCs w:val="36"/>
          <w:lang w:eastAsia="zh-CN"/>
        </w:rPr>
      </w:pPr>
    </w:p>
    <w:p w14:paraId="09C6BAAA">
      <w:pPr>
        <w:spacing w:line="360" w:lineRule="auto"/>
        <w:jc w:val="center"/>
        <w:rPr>
          <w:rFonts w:ascii="Times New Roman" w:hAnsi="Times New Roman" w:cs="Times New Roman"/>
          <w:b/>
          <w:sz w:val="36"/>
          <w:szCs w:val="36"/>
          <w:lang w:eastAsia="zh-CN"/>
        </w:rPr>
      </w:pPr>
    </w:p>
    <w:p w14:paraId="27F3BE56">
      <w:pPr>
        <w:spacing w:line="360" w:lineRule="auto"/>
        <w:jc w:val="center"/>
        <w:rPr>
          <w:rFonts w:ascii="Times New Roman" w:hAnsi="Times New Roman" w:cs="Times New Roman"/>
          <w:b/>
          <w:sz w:val="36"/>
          <w:szCs w:val="36"/>
          <w:lang w:eastAsia="zh-CN"/>
        </w:rPr>
      </w:pPr>
    </w:p>
    <w:p w14:paraId="4CD9B405">
      <w:pPr>
        <w:spacing w:line="360" w:lineRule="auto"/>
        <w:jc w:val="center"/>
        <w:rPr>
          <w:rFonts w:ascii="Times New Roman" w:hAnsi="Times New Roman" w:cs="Times New Roman"/>
          <w:b/>
          <w:sz w:val="36"/>
          <w:szCs w:val="36"/>
          <w:lang w:eastAsia="zh-CN"/>
        </w:rPr>
      </w:pPr>
    </w:p>
    <w:p w14:paraId="56DC084B">
      <w:pPr>
        <w:spacing w:line="360" w:lineRule="auto"/>
        <w:jc w:val="center"/>
        <w:rPr>
          <w:rFonts w:ascii="Times New Roman" w:hAnsi="Times New Roman" w:cs="Times New Roman"/>
          <w:b/>
          <w:sz w:val="36"/>
          <w:szCs w:val="36"/>
          <w:lang w:eastAsia="zh-CN"/>
        </w:rPr>
      </w:pPr>
    </w:p>
    <w:p w14:paraId="52371557">
      <w:pPr>
        <w:spacing w:line="360" w:lineRule="auto"/>
        <w:jc w:val="center"/>
        <w:rPr>
          <w:rFonts w:ascii="Times New Roman" w:hAnsi="Times New Roman" w:cs="Times New Roman"/>
          <w:b/>
          <w:sz w:val="36"/>
          <w:szCs w:val="36"/>
          <w:lang w:eastAsia="zh-CN"/>
        </w:rPr>
      </w:pPr>
    </w:p>
    <w:p w14:paraId="263A7A42">
      <w:pPr>
        <w:spacing w:line="360" w:lineRule="auto"/>
        <w:jc w:val="center"/>
        <w:rPr>
          <w:rFonts w:ascii="Times New Roman" w:hAnsi="Times New Roman" w:cs="Times New Roman"/>
          <w:b/>
          <w:sz w:val="36"/>
          <w:szCs w:val="36"/>
          <w:lang w:eastAsia="zh-CN"/>
        </w:rPr>
      </w:pPr>
    </w:p>
    <w:p w14:paraId="2C70ECAD">
      <w:pPr>
        <w:spacing w:line="360" w:lineRule="auto"/>
        <w:jc w:val="center"/>
        <w:rPr>
          <w:rFonts w:ascii="Times New Roman" w:hAnsi="Times New Roman" w:cs="Times New Roman"/>
          <w:b/>
          <w:sz w:val="36"/>
          <w:szCs w:val="36"/>
          <w:lang w:eastAsia="zh-CN"/>
        </w:rPr>
      </w:pPr>
    </w:p>
    <w:p w14:paraId="03347341">
      <w:pPr>
        <w:spacing w:line="360" w:lineRule="auto"/>
        <w:jc w:val="center"/>
        <w:rPr>
          <w:rFonts w:ascii="Times New Roman" w:hAnsi="Times New Roman" w:cs="Times New Roman"/>
          <w:b/>
          <w:sz w:val="36"/>
          <w:szCs w:val="36"/>
          <w:lang w:eastAsia="zh-CN"/>
        </w:rPr>
      </w:pPr>
    </w:p>
    <w:p w14:paraId="0E364641">
      <w:pPr>
        <w:spacing w:line="360" w:lineRule="auto"/>
        <w:jc w:val="center"/>
        <w:rPr>
          <w:rFonts w:ascii="Times New Roman" w:hAnsi="Times New Roman" w:cs="Times New Roman"/>
          <w:b/>
          <w:sz w:val="36"/>
          <w:szCs w:val="36"/>
          <w:lang w:eastAsia="zh-CN"/>
        </w:rPr>
      </w:pPr>
    </w:p>
    <w:p w14:paraId="5331E396">
      <w:pPr>
        <w:spacing w:line="360" w:lineRule="auto"/>
        <w:jc w:val="center"/>
        <w:rPr>
          <w:rFonts w:ascii="Times New Roman" w:hAnsi="Times New Roman" w:cs="Times New Roman"/>
          <w:b/>
          <w:sz w:val="36"/>
          <w:szCs w:val="36"/>
          <w:lang w:eastAsia="zh-CN"/>
        </w:rPr>
      </w:pPr>
    </w:p>
    <w:p w14:paraId="3BF4D645">
      <w:pPr>
        <w:spacing w:line="360" w:lineRule="auto"/>
        <w:jc w:val="center"/>
        <w:rPr>
          <w:rFonts w:ascii="Times New Roman" w:hAnsi="Times New Roman" w:cs="Times New Roman"/>
          <w:b/>
          <w:sz w:val="36"/>
          <w:szCs w:val="36"/>
          <w:lang w:eastAsia="zh-CN"/>
        </w:rPr>
      </w:pPr>
    </w:p>
    <w:p w14:paraId="3ACCFAAB">
      <w:pPr>
        <w:spacing w:line="360" w:lineRule="auto"/>
        <w:jc w:val="center"/>
        <w:rPr>
          <w:rFonts w:ascii="Times New Roman" w:hAnsi="Times New Roman" w:cs="Times New Roman"/>
          <w:b/>
          <w:sz w:val="36"/>
          <w:szCs w:val="36"/>
          <w:lang w:eastAsia="zh-CN"/>
        </w:rPr>
      </w:pPr>
    </w:p>
    <w:p w14:paraId="64B957A6">
      <w:pPr>
        <w:spacing w:line="360" w:lineRule="auto"/>
        <w:jc w:val="center"/>
        <w:rPr>
          <w:rFonts w:ascii="Times New Roman" w:hAnsi="Times New Roman" w:cs="Times New Roman"/>
          <w:b/>
          <w:sz w:val="36"/>
          <w:szCs w:val="36"/>
          <w:lang w:eastAsia="zh-CN"/>
        </w:rPr>
      </w:pPr>
    </w:p>
    <w:p w14:paraId="356459DD">
      <w:pPr>
        <w:spacing w:line="360" w:lineRule="auto"/>
        <w:jc w:val="center"/>
        <w:rPr>
          <w:rFonts w:ascii="Times New Roman" w:hAnsi="Times New Roman" w:cs="Times New Roman"/>
          <w:b/>
          <w:sz w:val="36"/>
          <w:szCs w:val="36"/>
          <w:lang w:eastAsia="zh-CN"/>
        </w:rPr>
      </w:pPr>
    </w:p>
    <w:p w14:paraId="65D855F7">
      <w:pPr>
        <w:spacing w:line="360" w:lineRule="auto"/>
        <w:jc w:val="center"/>
        <w:rPr>
          <w:rFonts w:ascii="Times New Roman" w:hAnsi="Times New Roman" w:cs="Times New Roman"/>
          <w:b/>
          <w:sz w:val="36"/>
          <w:szCs w:val="36"/>
          <w:lang w:eastAsia="zh-CN"/>
        </w:rPr>
      </w:pPr>
    </w:p>
    <w:p w14:paraId="3766C70A">
      <w:pPr>
        <w:spacing w:line="360" w:lineRule="auto"/>
        <w:jc w:val="center"/>
        <w:rPr>
          <w:rFonts w:ascii="Times New Roman" w:hAnsi="Times New Roman" w:cs="Times New Roman"/>
          <w:b/>
          <w:sz w:val="36"/>
          <w:szCs w:val="36"/>
          <w:lang w:eastAsia="zh-CN"/>
        </w:rPr>
      </w:pPr>
    </w:p>
    <w:p w14:paraId="7CEE8A18">
      <w:pPr>
        <w:spacing w:line="360" w:lineRule="auto"/>
        <w:jc w:val="center"/>
        <w:rPr>
          <w:rFonts w:ascii="Times New Roman" w:hAnsi="Times New Roman" w:cs="Times New Roman"/>
          <w:b/>
          <w:sz w:val="36"/>
          <w:szCs w:val="36"/>
          <w:lang w:eastAsia="zh-CN"/>
        </w:rPr>
      </w:pPr>
    </w:p>
    <w:p w14:paraId="6634B526">
      <w:pPr>
        <w:spacing w:line="360" w:lineRule="auto"/>
        <w:jc w:val="center"/>
        <w:rPr>
          <w:rFonts w:ascii="Times New Roman" w:hAnsi="Times New Roman" w:cs="Times New Roman"/>
          <w:b/>
          <w:sz w:val="36"/>
          <w:szCs w:val="36"/>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PTA现场人员用房、吸附分离预处理装置等项目竣工消防设施及工程防火检测采购文件的全部内容后，我方愿以以下报价，严格按照采购文件的要求，交付本项目并维修其中的任何缺陷。</w:t>
      </w:r>
    </w:p>
    <w:tbl>
      <w:tblPr>
        <w:tblStyle w:val="51"/>
        <w:tblW w:w="9723" w:type="dxa"/>
        <w:tblInd w:w="-542" w:type="dxa"/>
        <w:tblLayout w:type="autofit"/>
        <w:tblCellMar>
          <w:top w:w="0" w:type="dxa"/>
          <w:left w:w="108" w:type="dxa"/>
          <w:bottom w:w="0" w:type="dxa"/>
          <w:right w:w="108" w:type="dxa"/>
        </w:tblCellMar>
      </w:tblPr>
      <w:tblGrid>
        <w:gridCol w:w="9723"/>
      </w:tblGrid>
      <w:tr w14:paraId="3B26E8B6">
        <w:trPr>
          <w:trHeight w:val="90" w:hRule="atLeast"/>
        </w:trPr>
        <w:tc>
          <w:tcPr>
            <w:tcW w:w="9723" w:type="dxa"/>
            <w:shd w:val="clear" w:color="auto" w:fill="auto"/>
            <w:noWrap/>
            <w:vAlign w:val="center"/>
          </w:tcPr>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本项目含税暂定总价（大写）：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元（增值税税率6%）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w:t>
            </w:r>
            <w:r>
              <w:rPr>
                <w:rFonts w:hint="eastAsia" w:ascii="Times New Roman" w:hAnsi="Times New Roman"/>
                <w:sz w:val="28"/>
                <w:szCs w:val="28"/>
                <w:lang w:eastAsia="zh-CN"/>
              </w:rPr>
              <w:t>下</w:t>
            </w:r>
            <w:r>
              <w:rPr>
                <w:rFonts w:ascii="Times New Roman" w:hAnsi="Times New Roman"/>
                <w:sz w:val="28"/>
                <w:szCs w:val="28"/>
                <w:lang w:eastAsia="zh-CN"/>
              </w:rPr>
              <w:t>：</w:t>
            </w:r>
          </w:p>
          <w:p w14:paraId="37192BBD">
            <w:pPr>
              <w:tabs>
                <w:tab w:val="left" w:pos="600"/>
              </w:tabs>
              <w:spacing w:line="360" w:lineRule="auto"/>
              <w:jc w:val="center"/>
              <w:rPr>
                <w:b/>
                <w:bCs/>
                <w:lang w:eastAsia="zh-CN"/>
              </w:rPr>
            </w:pPr>
            <w:r>
              <w:rPr>
                <w:rFonts w:hint="eastAsia"/>
                <w:b/>
                <w:bCs/>
                <w:lang w:eastAsia="zh-CN"/>
              </w:rPr>
              <w:t>本次委托竣工消防设施及工程防火检测费用明细表</w:t>
            </w:r>
          </w:p>
          <w:tbl>
            <w:tblPr>
              <w:tblStyle w:val="51"/>
              <w:tblW w:w="9214" w:type="dxa"/>
              <w:tblInd w:w="0" w:type="dxa"/>
              <w:tblLayout w:type="autofit"/>
              <w:tblCellMar>
                <w:top w:w="0" w:type="dxa"/>
                <w:left w:w="108" w:type="dxa"/>
                <w:bottom w:w="0" w:type="dxa"/>
                <w:right w:w="108" w:type="dxa"/>
              </w:tblCellMar>
            </w:tblPr>
            <w:tblGrid>
              <w:gridCol w:w="456"/>
              <w:gridCol w:w="1270"/>
              <w:gridCol w:w="1795"/>
              <w:gridCol w:w="1134"/>
              <w:gridCol w:w="1272"/>
              <w:gridCol w:w="1019"/>
              <w:gridCol w:w="1134"/>
              <w:gridCol w:w="1134"/>
            </w:tblGrid>
            <w:tr w14:paraId="2FDF9D11">
              <w:tblPrEx>
                <w:tblCellMar>
                  <w:top w:w="0" w:type="dxa"/>
                  <w:left w:w="108" w:type="dxa"/>
                  <w:bottom w:w="0" w:type="dxa"/>
                  <w:right w:w="108" w:type="dxa"/>
                </w:tblCellMar>
              </w:tblPrEx>
              <w:trPr>
                <w:trHeight w:val="825" w:hRule="atLeast"/>
                <w:tblHeader/>
              </w:trPr>
              <w:tc>
                <w:tcPr>
                  <w:tcW w:w="456" w:type="dxa"/>
                  <w:tcBorders>
                    <w:top w:val="single" w:color="auto" w:sz="8" w:space="0"/>
                    <w:left w:val="single" w:color="auto" w:sz="8" w:space="0"/>
                    <w:bottom w:val="single" w:color="auto" w:sz="8" w:space="0"/>
                    <w:right w:val="single" w:color="auto" w:sz="4" w:space="0"/>
                  </w:tcBorders>
                  <w:vAlign w:val="center"/>
                </w:tcPr>
                <w:p w14:paraId="7D870B3F">
                  <w:pPr>
                    <w:widowControl/>
                    <w:jc w:val="center"/>
                    <w:rPr>
                      <w:color w:val="000000"/>
                    </w:rPr>
                  </w:pPr>
                  <w:r>
                    <w:rPr>
                      <w:rFonts w:hint="eastAsia"/>
                      <w:color w:val="000000"/>
                    </w:rPr>
                    <w:t>序号</w:t>
                  </w:r>
                </w:p>
              </w:tc>
              <w:tc>
                <w:tcPr>
                  <w:tcW w:w="3065" w:type="dxa"/>
                  <w:gridSpan w:val="2"/>
                  <w:tcBorders>
                    <w:top w:val="single" w:color="auto" w:sz="8" w:space="0"/>
                    <w:left w:val="nil"/>
                    <w:bottom w:val="single" w:color="auto" w:sz="8" w:space="0"/>
                    <w:right w:val="single" w:color="auto" w:sz="4" w:space="0"/>
                  </w:tcBorders>
                  <w:vAlign w:val="center"/>
                </w:tcPr>
                <w:p w14:paraId="001AEA38">
                  <w:pPr>
                    <w:widowControl/>
                    <w:jc w:val="center"/>
                    <w:rPr>
                      <w:color w:val="000000"/>
                    </w:rPr>
                  </w:pPr>
                  <w:r>
                    <w:rPr>
                      <w:rFonts w:hint="eastAsia"/>
                      <w:color w:val="000000"/>
                    </w:rPr>
                    <w:t>名称</w:t>
                  </w:r>
                </w:p>
              </w:tc>
              <w:tc>
                <w:tcPr>
                  <w:tcW w:w="1134" w:type="dxa"/>
                  <w:tcBorders>
                    <w:top w:val="single" w:color="auto" w:sz="8" w:space="0"/>
                    <w:left w:val="nil"/>
                    <w:bottom w:val="single" w:color="auto" w:sz="8" w:space="0"/>
                    <w:right w:val="single" w:color="auto" w:sz="4" w:space="0"/>
                  </w:tcBorders>
                  <w:vAlign w:val="center"/>
                </w:tcPr>
                <w:p w14:paraId="03CF58A9">
                  <w:pPr>
                    <w:widowControl/>
                    <w:jc w:val="center"/>
                    <w:rPr>
                      <w:rFonts w:ascii="等线" w:hAnsi="等线" w:eastAsia="等线"/>
                      <w:color w:val="000000"/>
                    </w:rPr>
                  </w:pPr>
                  <w:r>
                    <w:rPr>
                      <w:rFonts w:hint="eastAsia" w:ascii="等线" w:hAnsi="等线" w:eastAsia="等线"/>
                      <w:color w:val="000000"/>
                    </w:rPr>
                    <w:t>占地面积</w:t>
                  </w:r>
                  <w:r>
                    <w:rPr>
                      <w:rFonts w:hint="eastAsia" w:ascii="等线" w:hAnsi="等线" w:eastAsia="等线"/>
                      <w:color w:val="000000"/>
                    </w:rPr>
                    <w:br w:type="textWrapping"/>
                  </w:r>
                  <w:r>
                    <w:rPr>
                      <w:rFonts w:hint="eastAsia" w:ascii="等线" w:hAnsi="等线" w:eastAsia="等线"/>
                      <w:color w:val="000000"/>
                    </w:rPr>
                    <w:t>（m</w:t>
                  </w:r>
                  <w:r>
                    <w:rPr>
                      <w:rFonts w:hint="eastAsia" w:ascii="等线" w:hAnsi="等线" w:eastAsia="等线"/>
                      <w:color w:val="000000"/>
                      <w:vertAlign w:val="superscript"/>
                    </w:rPr>
                    <w:t>2</w:t>
                  </w:r>
                  <w:r>
                    <w:rPr>
                      <w:rFonts w:hint="eastAsia" w:ascii="等线" w:hAnsi="等线" w:eastAsia="等线"/>
                      <w:color w:val="000000"/>
                    </w:rPr>
                    <w:t>)</w:t>
                  </w:r>
                </w:p>
              </w:tc>
              <w:tc>
                <w:tcPr>
                  <w:tcW w:w="1272" w:type="dxa"/>
                  <w:tcBorders>
                    <w:top w:val="single" w:color="auto" w:sz="8" w:space="0"/>
                    <w:left w:val="nil"/>
                    <w:bottom w:val="single" w:color="auto" w:sz="8" w:space="0"/>
                    <w:right w:val="single" w:color="auto" w:sz="4" w:space="0"/>
                  </w:tcBorders>
                  <w:vAlign w:val="center"/>
                </w:tcPr>
                <w:p w14:paraId="16E01D6C">
                  <w:pPr>
                    <w:widowControl/>
                    <w:jc w:val="center"/>
                    <w:rPr>
                      <w:color w:val="000000"/>
                    </w:rPr>
                  </w:pPr>
                  <w:r>
                    <w:rPr>
                      <w:rFonts w:hint="eastAsia"/>
                      <w:color w:val="000000"/>
                    </w:rPr>
                    <w:t>建筑面积</w:t>
                  </w:r>
                  <w:r>
                    <w:rPr>
                      <w:rFonts w:hint="eastAsia"/>
                      <w:color w:val="000000"/>
                    </w:rPr>
                    <w:br w:type="textWrapping"/>
                  </w:r>
                  <w:r>
                    <w:rPr>
                      <w:rFonts w:hint="eastAsia"/>
                      <w:color w:val="000000"/>
                    </w:rPr>
                    <w:t>（m</w:t>
                  </w:r>
                  <w:r>
                    <w:rPr>
                      <w:rFonts w:hint="eastAsia"/>
                      <w:color w:val="000000"/>
                      <w:vertAlign w:val="superscript"/>
                    </w:rPr>
                    <w:t>2</w:t>
                  </w:r>
                  <w:r>
                    <w:rPr>
                      <w:rFonts w:hint="eastAsia"/>
                      <w:color w:val="000000"/>
                    </w:rPr>
                    <w:t>）</w:t>
                  </w:r>
                </w:p>
              </w:tc>
              <w:tc>
                <w:tcPr>
                  <w:tcW w:w="1019" w:type="dxa"/>
                  <w:tcBorders>
                    <w:top w:val="single" w:color="auto" w:sz="8" w:space="0"/>
                    <w:left w:val="nil"/>
                    <w:bottom w:val="single" w:color="auto" w:sz="8" w:space="0"/>
                    <w:right w:val="single" w:color="auto" w:sz="4" w:space="0"/>
                  </w:tcBorders>
                  <w:vAlign w:val="center"/>
                </w:tcPr>
                <w:p w14:paraId="73DB9B8D">
                  <w:pPr>
                    <w:widowControl/>
                    <w:jc w:val="center"/>
                    <w:rPr>
                      <w:color w:val="000000"/>
                    </w:rPr>
                  </w:pPr>
                  <w:r>
                    <w:rPr>
                      <w:rFonts w:hint="eastAsia"/>
                      <w:color w:val="000000"/>
                    </w:rPr>
                    <w:t>单价</w:t>
                  </w:r>
                  <w:r>
                    <w:rPr>
                      <w:rFonts w:hint="eastAsia"/>
                      <w:color w:val="000000"/>
                    </w:rPr>
                    <w:br w:type="textWrapping"/>
                  </w:r>
                  <w:r>
                    <w:rPr>
                      <w:rFonts w:hint="eastAsia"/>
                      <w:color w:val="000000"/>
                    </w:rPr>
                    <w:t>(元/m</w:t>
                  </w:r>
                  <w:r>
                    <w:rPr>
                      <w:rFonts w:hint="eastAsia"/>
                      <w:color w:val="000000"/>
                      <w:vertAlign w:val="superscript"/>
                    </w:rPr>
                    <w:t>2</w:t>
                  </w:r>
                  <w:r>
                    <w:rPr>
                      <w:rFonts w:hint="eastAsia"/>
                      <w:color w:val="000000"/>
                    </w:rPr>
                    <w:t>)</w:t>
                  </w:r>
                </w:p>
              </w:tc>
              <w:tc>
                <w:tcPr>
                  <w:tcW w:w="1134" w:type="dxa"/>
                  <w:tcBorders>
                    <w:top w:val="single" w:color="auto" w:sz="8" w:space="0"/>
                    <w:left w:val="single" w:color="auto" w:sz="4" w:space="0"/>
                    <w:bottom w:val="single" w:color="auto" w:sz="8" w:space="0"/>
                    <w:right w:val="single" w:color="auto" w:sz="4" w:space="0"/>
                  </w:tcBorders>
                  <w:vAlign w:val="center"/>
                </w:tcPr>
                <w:p w14:paraId="76B3525A">
                  <w:pPr>
                    <w:widowControl/>
                    <w:jc w:val="center"/>
                    <w:rPr>
                      <w:color w:val="000000"/>
                    </w:rPr>
                  </w:pPr>
                  <w:r>
                    <w:rPr>
                      <w:rFonts w:hint="eastAsia"/>
                      <w:color w:val="000000"/>
                    </w:rPr>
                    <w:t>小计金额</w:t>
                  </w:r>
                  <w:r>
                    <w:rPr>
                      <w:rFonts w:hint="eastAsia"/>
                      <w:color w:val="000000"/>
                    </w:rPr>
                    <w:br w:type="textWrapping"/>
                  </w:r>
                  <w:r>
                    <w:rPr>
                      <w:rFonts w:hint="eastAsia"/>
                      <w:color w:val="000000"/>
                    </w:rPr>
                    <w:t>（元）</w:t>
                  </w:r>
                </w:p>
              </w:tc>
              <w:tc>
                <w:tcPr>
                  <w:tcW w:w="1134" w:type="dxa"/>
                  <w:tcBorders>
                    <w:top w:val="single" w:color="auto" w:sz="8" w:space="0"/>
                    <w:left w:val="single" w:color="auto" w:sz="4" w:space="0"/>
                    <w:bottom w:val="single" w:color="auto" w:sz="8" w:space="0"/>
                    <w:right w:val="single" w:color="auto" w:sz="8" w:space="0"/>
                  </w:tcBorders>
                  <w:vAlign w:val="center"/>
                </w:tcPr>
                <w:p w14:paraId="5F198174">
                  <w:pPr>
                    <w:widowControl/>
                    <w:jc w:val="center"/>
                    <w:rPr>
                      <w:color w:val="000000"/>
                    </w:rPr>
                  </w:pPr>
                  <w:r>
                    <w:rPr>
                      <w:rFonts w:hint="eastAsia"/>
                      <w:color w:val="000000"/>
                    </w:rPr>
                    <w:t>合计金额（元）</w:t>
                  </w:r>
                </w:p>
              </w:tc>
            </w:tr>
            <w:tr w14:paraId="5D55B23E">
              <w:tblPrEx>
                <w:tblCellMar>
                  <w:top w:w="0" w:type="dxa"/>
                  <w:left w:w="108" w:type="dxa"/>
                  <w:bottom w:w="0" w:type="dxa"/>
                  <w:right w:w="108" w:type="dxa"/>
                </w:tblCellMar>
              </w:tblPrEx>
              <w:trPr>
                <w:trHeight w:val="540" w:hRule="atLeast"/>
              </w:trPr>
              <w:tc>
                <w:tcPr>
                  <w:tcW w:w="456" w:type="dxa"/>
                  <w:tcBorders>
                    <w:top w:val="single" w:color="auto" w:sz="8" w:space="0"/>
                    <w:left w:val="single" w:color="auto" w:sz="8" w:space="0"/>
                    <w:bottom w:val="single" w:color="auto" w:sz="8" w:space="0"/>
                    <w:right w:val="single" w:color="auto" w:sz="4" w:space="0"/>
                  </w:tcBorders>
                  <w:vAlign w:val="center"/>
                </w:tcPr>
                <w:p w14:paraId="5910649E">
                  <w:pPr>
                    <w:widowControl/>
                    <w:jc w:val="center"/>
                    <w:rPr>
                      <w:color w:val="000000"/>
                    </w:rPr>
                  </w:pPr>
                  <w:r>
                    <w:rPr>
                      <w:rFonts w:hint="eastAsia"/>
                      <w:color w:val="000000"/>
                    </w:rPr>
                    <w:t>1</w:t>
                  </w:r>
                </w:p>
              </w:tc>
              <w:tc>
                <w:tcPr>
                  <w:tcW w:w="3065" w:type="dxa"/>
                  <w:gridSpan w:val="2"/>
                  <w:tcBorders>
                    <w:top w:val="single" w:color="auto" w:sz="8" w:space="0"/>
                    <w:left w:val="nil"/>
                    <w:bottom w:val="single" w:color="auto" w:sz="8" w:space="0"/>
                    <w:right w:val="single" w:color="auto" w:sz="4" w:space="0"/>
                  </w:tcBorders>
                  <w:vAlign w:val="center"/>
                </w:tcPr>
                <w:p w14:paraId="05ABFF61">
                  <w:pPr>
                    <w:widowControl/>
                    <w:jc w:val="center"/>
                    <w:rPr>
                      <w:color w:val="000000"/>
                      <w:lang w:eastAsia="zh-CN"/>
                    </w:rPr>
                  </w:pPr>
                  <w:r>
                    <w:rPr>
                      <w:rFonts w:hint="eastAsia"/>
                      <w:color w:val="000000"/>
                      <w:lang w:eastAsia="zh-CN"/>
                    </w:rPr>
                    <w:t>年产300万吨精对苯二甲酸（PTA）扩建项目-PTA现场人员用房</w:t>
                  </w:r>
                </w:p>
              </w:tc>
              <w:tc>
                <w:tcPr>
                  <w:tcW w:w="1134" w:type="dxa"/>
                  <w:tcBorders>
                    <w:top w:val="single" w:color="auto" w:sz="8" w:space="0"/>
                    <w:left w:val="nil"/>
                    <w:bottom w:val="single" w:color="auto" w:sz="8" w:space="0"/>
                    <w:right w:val="single" w:color="auto" w:sz="4" w:space="0"/>
                    <w:tl2br w:val="single" w:color="auto" w:sz="4" w:space="0"/>
                  </w:tcBorders>
                  <w:noWrap/>
                  <w:vAlign w:val="center"/>
                </w:tcPr>
                <w:p w14:paraId="16C9A0F9">
                  <w:pPr>
                    <w:widowControl/>
                    <w:rPr>
                      <w:rFonts w:ascii="等线" w:hAnsi="等线" w:eastAsia="等线"/>
                      <w:color w:val="000000"/>
                      <w:lang w:eastAsia="zh-CN"/>
                    </w:rPr>
                  </w:pPr>
                  <w:r>
                    <w:rPr>
                      <w:rFonts w:hint="eastAsia" w:ascii="等线" w:hAnsi="等线" w:eastAsia="等线"/>
                      <w:color w:val="000000"/>
                      <w:lang w:eastAsia="zh-CN"/>
                    </w:rPr>
                    <w:t>　</w:t>
                  </w:r>
                </w:p>
              </w:tc>
              <w:tc>
                <w:tcPr>
                  <w:tcW w:w="1272" w:type="dxa"/>
                  <w:tcBorders>
                    <w:top w:val="single" w:color="auto" w:sz="8" w:space="0"/>
                    <w:left w:val="nil"/>
                    <w:bottom w:val="single" w:color="auto" w:sz="8" w:space="0"/>
                    <w:right w:val="single" w:color="auto" w:sz="4" w:space="0"/>
                  </w:tcBorders>
                  <w:vAlign w:val="center"/>
                </w:tcPr>
                <w:p w14:paraId="5F55FD5A">
                  <w:pPr>
                    <w:widowControl/>
                    <w:jc w:val="center"/>
                    <w:rPr>
                      <w:color w:val="000000"/>
                    </w:rPr>
                  </w:pPr>
                  <w:r>
                    <w:rPr>
                      <w:rFonts w:hint="eastAsia"/>
                      <w:color w:val="000000"/>
                    </w:rPr>
                    <w:t>1850.57</w:t>
                  </w:r>
                </w:p>
              </w:tc>
              <w:tc>
                <w:tcPr>
                  <w:tcW w:w="1019" w:type="dxa"/>
                  <w:tcBorders>
                    <w:top w:val="single" w:color="auto" w:sz="8" w:space="0"/>
                    <w:left w:val="nil"/>
                    <w:bottom w:val="single" w:color="auto" w:sz="8" w:space="0"/>
                    <w:right w:val="single" w:color="auto" w:sz="4" w:space="0"/>
                  </w:tcBorders>
                  <w:vAlign w:val="center"/>
                </w:tcPr>
                <w:p w14:paraId="60C4F4A0">
                  <w:pPr>
                    <w:widowControl/>
                    <w:jc w:val="center"/>
                    <w:rPr>
                      <w:color w:val="000000"/>
                    </w:rPr>
                  </w:pPr>
                </w:p>
              </w:tc>
              <w:tc>
                <w:tcPr>
                  <w:tcW w:w="1134" w:type="dxa"/>
                  <w:tcBorders>
                    <w:top w:val="single" w:color="auto" w:sz="8" w:space="0"/>
                    <w:left w:val="single" w:color="auto" w:sz="4" w:space="0"/>
                    <w:bottom w:val="single" w:color="auto" w:sz="8" w:space="0"/>
                    <w:right w:val="single" w:color="auto" w:sz="4" w:space="0"/>
                  </w:tcBorders>
                  <w:vAlign w:val="center"/>
                </w:tcPr>
                <w:p w14:paraId="3CB3B36D">
                  <w:pPr>
                    <w:widowControl/>
                    <w:jc w:val="center"/>
                    <w:rPr>
                      <w:color w:val="000000"/>
                    </w:rPr>
                  </w:pPr>
                </w:p>
              </w:tc>
              <w:tc>
                <w:tcPr>
                  <w:tcW w:w="1134" w:type="dxa"/>
                  <w:tcBorders>
                    <w:top w:val="single" w:color="auto" w:sz="8" w:space="0"/>
                    <w:left w:val="single" w:color="auto" w:sz="4" w:space="0"/>
                    <w:bottom w:val="single" w:color="auto" w:sz="8" w:space="0"/>
                    <w:right w:val="single" w:color="auto" w:sz="8" w:space="0"/>
                  </w:tcBorders>
                  <w:vAlign w:val="center"/>
                </w:tcPr>
                <w:p w14:paraId="6F97313D">
                  <w:pPr>
                    <w:widowControl/>
                    <w:jc w:val="center"/>
                    <w:rPr>
                      <w:color w:val="000000"/>
                    </w:rPr>
                  </w:pPr>
                </w:p>
              </w:tc>
            </w:tr>
            <w:tr w14:paraId="3E684F74">
              <w:tblPrEx>
                <w:tblCellMar>
                  <w:top w:w="0" w:type="dxa"/>
                  <w:left w:w="108" w:type="dxa"/>
                  <w:bottom w:w="0" w:type="dxa"/>
                  <w:right w:w="108" w:type="dxa"/>
                </w:tblCellMar>
              </w:tblPrEx>
              <w:trPr>
                <w:trHeight w:val="659" w:hRule="atLeast"/>
              </w:trPr>
              <w:tc>
                <w:tcPr>
                  <w:tcW w:w="456" w:type="dxa"/>
                  <w:vMerge w:val="restart"/>
                  <w:tcBorders>
                    <w:top w:val="single" w:color="auto" w:sz="8" w:space="0"/>
                    <w:left w:val="single" w:color="auto" w:sz="8" w:space="0"/>
                    <w:right w:val="single" w:color="auto" w:sz="4" w:space="0"/>
                  </w:tcBorders>
                  <w:vAlign w:val="center"/>
                </w:tcPr>
                <w:p w14:paraId="5E887E79">
                  <w:pPr>
                    <w:widowControl/>
                    <w:rPr>
                      <w:color w:val="000000"/>
                    </w:rPr>
                  </w:pPr>
                  <w:r>
                    <w:rPr>
                      <w:rFonts w:hint="eastAsia"/>
                      <w:color w:val="000000"/>
                    </w:rPr>
                    <w:t>2</w:t>
                  </w:r>
                </w:p>
              </w:tc>
              <w:tc>
                <w:tcPr>
                  <w:tcW w:w="1270" w:type="dxa"/>
                  <w:vMerge w:val="restart"/>
                  <w:tcBorders>
                    <w:top w:val="single" w:color="auto" w:sz="8" w:space="0"/>
                    <w:left w:val="nil"/>
                    <w:right w:val="single" w:color="auto" w:sz="4" w:space="0"/>
                  </w:tcBorders>
                  <w:vAlign w:val="center"/>
                </w:tcPr>
                <w:p w14:paraId="1812FF51">
                  <w:pPr>
                    <w:widowControl/>
                    <w:jc w:val="center"/>
                    <w:rPr>
                      <w:color w:val="000000"/>
                    </w:rPr>
                  </w:pPr>
                  <w:r>
                    <w:rPr>
                      <w:rFonts w:hint="eastAsia"/>
                      <w:color w:val="000000"/>
                    </w:rPr>
                    <w:t>PTA危废仓库</w:t>
                  </w:r>
                </w:p>
              </w:tc>
              <w:tc>
                <w:tcPr>
                  <w:tcW w:w="1795" w:type="dxa"/>
                  <w:tcBorders>
                    <w:top w:val="single" w:color="auto" w:sz="8" w:space="0"/>
                    <w:left w:val="nil"/>
                    <w:bottom w:val="single" w:color="auto" w:sz="8" w:space="0"/>
                    <w:right w:val="single" w:color="auto" w:sz="4" w:space="0"/>
                  </w:tcBorders>
                  <w:vAlign w:val="center"/>
                </w:tcPr>
                <w:p w14:paraId="71DAAF85">
                  <w:pPr>
                    <w:widowControl/>
                    <w:jc w:val="center"/>
                    <w:rPr>
                      <w:color w:val="000000"/>
                    </w:rPr>
                  </w:pPr>
                  <w:r>
                    <w:rPr>
                      <w:rFonts w:hint="eastAsia"/>
                      <w:color w:val="000000"/>
                    </w:rPr>
                    <w:t>PTA危废库1</w:t>
                  </w:r>
                </w:p>
              </w:tc>
              <w:tc>
                <w:tcPr>
                  <w:tcW w:w="1134" w:type="dxa"/>
                  <w:vMerge w:val="restart"/>
                  <w:tcBorders>
                    <w:top w:val="single" w:color="auto" w:sz="8" w:space="0"/>
                    <w:left w:val="nil"/>
                    <w:right w:val="single" w:color="auto" w:sz="4" w:space="0"/>
                    <w:tl2br w:val="single" w:color="auto" w:sz="4" w:space="0"/>
                  </w:tcBorders>
                  <w:noWrap/>
                  <w:vAlign w:val="center"/>
                </w:tcPr>
                <w:p w14:paraId="6EFF91C7">
                  <w:pPr>
                    <w:widowControl/>
                    <w:rPr>
                      <w:rFonts w:ascii="等线" w:hAnsi="等线" w:eastAsia="等线"/>
                      <w:color w:val="000000"/>
                    </w:rPr>
                  </w:pPr>
                </w:p>
              </w:tc>
              <w:tc>
                <w:tcPr>
                  <w:tcW w:w="1272" w:type="dxa"/>
                  <w:tcBorders>
                    <w:top w:val="single" w:color="auto" w:sz="8" w:space="0"/>
                    <w:left w:val="nil"/>
                    <w:bottom w:val="single" w:color="auto" w:sz="4" w:space="0"/>
                    <w:right w:val="single" w:color="auto" w:sz="4" w:space="0"/>
                  </w:tcBorders>
                  <w:vAlign w:val="center"/>
                </w:tcPr>
                <w:p w14:paraId="4186A650">
                  <w:pPr>
                    <w:widowControl/>
                    <w:jc w:val="center"/>
                    <w:rPr>
                      <w:color w:val="000000"/>
                    </w:rPr>
                  </w:pPr>
                  <w:r>
                    <w:rPr>
                      <w:rFonts w:hint="eastAsia"/>
                      <w:color w:val="000000"/>
                    </w:rPr>
                    <w:t>992.96</w:t>
                  </w:r>
                </w:p>
              </w:tc>
              <w:tc>
                <w:tcPr>
                  <w:tcW w:w="1019" w:type="dxa"/>
                  <w:vMerge w:val="restart"/>
                  <w:tcBorders>
                    <w:top w:val="single" w:color="auto" w:sz="8" w:space="0"/>
                    <w:left w:val="single" w:color="auto" w:sz="4" w:space="0"/>
                    <w:right w:val="single" w:color="auto" w:sz="4" w:space="0"/>
                  </w:tcBorders>
                  <w:vAlign w:val="center"/>
                </w:tcPr>
                <w:p w14:paraId="76E8FA74">
                  <w:pPr>
                    <w:widowControl/>
                    <w:jc w:val="center"/>
                    <w:rPr>
                      <w:color w:val="000000"/>
                    </w:rPr>
                  </w:pPr>
                </w:p>
              </w:tc>
              <w:tc>
                <w:tcPr>
                  <w:tcW w:w="1134" w:type="dxa"/>
                  <w:tcBorders>
                    <w:top w:val="single" w:color="auto" w:sz="8" w:space="0"/>
                    <w:left w:val="single" w:color="auto" w:sz="4" w:space="0"/>
                    <w:bottom w:val="single" w:color="auto" w:sz="4" w:space="0"/>
                    <w:right w:val="single" w:color="auto" w:sz="4" w:space="0"/>
                  </w:tcBorders>
                  <w:vAlign w:val="center"/>
                </w:tcPr>
                <w:p w14:paraId="1C6C66E2">
                  <w:pPr>
                    <w:widowControl/>
                    <w:jc w:val="center"/>
                    <w:rPr>
                      <w:color w:val="000000"/>
                    </w:rPr>
                  </w:pPr>
                </w:p>
              </w:tc>
              <w:tc>
                <w:tcPr>
                  <w:tcW w:w="1134" w:type="dxa"/>
                  <w:vMerge w:val="restart"/>
                  <w:tcBorders>
                    <w:top w:val="single" w:color="auto" w:sz="8" w:space="0"/>
                    <w:left w:val="single" w:color="auto" w:sz="4" w:space="0"/>
                    <w:right w:val="single" w:color="auto" w:sz="8" w:space="0"/>
                  </w:tcBorders>
                  <w:vAlign w:val="center"/>
                </w:tcPr>
                <w:p w14:paraId="4C35B63C">
                  <w:pPr>
                    <w:widowControl/>
                    <w:jc w:val="center"/>
                    <w:rPr>
                      <w:color w:val="000000"/>
                    </w:rPr>
                  </w:pPr>
                </w:p>
              </w:tc>
            </w:tr>
            <w:tr w14:paraId="315F622C">
              <w:tblPrEx>
                <w:tblCellMar>
                  <w:top w:w="0" w:type="dxa"/>
                  <w:left w:w="108" w:type="dxa"/>
                  <w:bottom w:w="0" w:type="dxa"/>
                  <w:right w:w="108" w:type="dxa"/>
                </w:tblCellMar>
              </w:tblPrEx>
              <w:trPr>
                <w:trHeight w:val="539" w:hRule="atLeast"/>
              </w:trPr>
              <w:tc>
                <w:tcPr>
                  <w:tcW w:w="456" w:type="dxa"/>
                  <w:vMerge w:val="continue"/>
                  <w:tcBorders>
                    <w:left w:val="single" w:color="auto" w:sz="8" w:space="0"/>
                    <w:right w:val="single" w:color="auto" w:sz="4" w:space="0"/>
                  </w:tcBorders>
                  <w:vAlign w:val="center"/>
                </w:tcPr>
                <w:p w14:paraId="0C3A3A8C">
                  <w:pPr>
                    <w:widowControl/>
                    <w:rPr>
                      <w:color w:val="000000"/>
                    </w:rPr>
                  </w:pPr>
                </w:p>
              </w:tc>
              <w:tc>
                <w:tcPr>
                  <w:tcW w:w="1270" w:type="dxa"/>
                  <w:vMerge w:val="continue"/>
                  <w:tcBorders>
                    <w:left w:val="nil"/>
                    <w:right w:val="single" w:color="auto" w:sz="4" w:space="0"/>
                  </w:tcBorders>
                  <w:vAlign w:val="center"/>
                </w:tcPr>
                <w:p w14:paraId="273B835B">
                  <w:pPr>
                    <w:widowControl/>
                    <w:jc w:val="center"/>
                    <w:rPr>
                      <w:color w:val="000000"/>
                    </w:rPr>
                  </w:pPr>
                </w:p>
              </w:tc>
              <w:tc>
                <w:tcPr>
                  <w:tcW w:w="1795" w:type="dxa"/>
                  <w:tcBorders>
                    <w:top w:val="single" w:color="auto" w:sz="4" w:space="0"/>
                    <w:left w:val="nil"/>
                    <w:bottom w:val="single" w:color="auto" w:sz="4" w:space="0"/>
                    <w:right w:val="single" w:color="auto" w:sz="4" w:space="0"/>
                  </w:tcBorders>
                  <w:vAlign w:val="center"/>
                </w:tcPr>
                <w:p w14:paraId="2090F624">
                  <w:pPr>
                    <w:widowControl/>
                    <w:jc w:val="center"/>
                    <w:rPr>
                      <w:color w:val="000000"/>
                    </w:rPr>
                  </w:pPr>
                  <w:r>
                    <w:rPr>
                      <w:rFonts w:hint="eastAsia"/>
                      <w:color w:val="000000"/>
                    </w:rPr>
                    <w:t>PTA危废库2</w:t>
                  </w:r>
                </w:p>
              </w:tc>
              <w:tc>
                <w:tcPr>
                  <w:tcW w:w="1134" w:type="dxa"/>
                  <w:vMerge w:val="continue"/>
                  <w:tcBorders>
                    <w:left w:val="nil"/>
                    <w:bottom w:val="single" w:color="auto" w:sz="4" w:space="0"/>
                    <w:right w:val="single" w:color="auto" w:sz="4" w:space="0"/>
                    <w:tl2br w:val="single" w:color="auto" w:sz="4" w:space="0"/>
                  </w:tcBorders>
                  <w:noWrap/>
                  <w:vAlign w:val="center"/>
                </w:tcPr>
                <w:p w14:paraId="2E32E7C5">
                  <w:pPr>
                    <w:widowControl/>
                    <w:rPr>
                      <w:rFonts w:ascii="等线" w:hAnsi="等线" w:eastAsia="等线"/>
                      <w:color w:val="000000"/>
                    </w:rPr>
                  </w:pPr>
                </w:p>
              </w:tc>
              <w:tc>
                <w:tcPr>
                  <w:tcW w:w="1272" w:type="dxa"/>
                  <w:tcBorders>
                    <w:top w:val="single" w:color="auto" w:sz="4" w:space="0"/>
                    <w:left w:val="nil"/>
                    <w:bottom w:val="single" w:color="auto" w:sz="4" w:space="0"/>
                    <w:right w:val="single" w:color="auto" w:sz="4" w:space="0"/>
                  </w:tcBorders>
                  <w:vAlign w:val="center"/>
                </w:tcPr>
                <w:p w14:paraId="45D3789E">
                  <w:pPr>
                    <w:widowControl/>
                    <w:jc w:val="center"/>
                    <w:rPr>
                      <w:color w:val="000000"/>
                    </w:rPr>
                  </w:pPr>
                  <w:r>
                    <w:rPr>
                      <w:rFonts w:hint="eastAsia"/>
                      <w:color w:val="000000"/>
                    </w:rPr>
                    <w:t>1176.08</w:t>
                  </w:r>
                </w:p>
              </w:tc>
              <w:tc>
                <w:tcPr>
                  <w:tcW w:w="1019" w:type="dxa"/>
                  <w:vMerge w:val="continue"/>
                  <w:tcBorders>
                    <w:left w:val="single" w:color="auto" w:sz="4" w:space="0"/>
                    <w:bottom w:val="single" w:color="auto" w:sz="4" w:space="0"/>
                    <w:right w:val="single" w:color="auto" w:sz="4" w:space="0"/>
                  </w:tcBorders>
                  <w:vAlign w:val="center"/>
                </w:tcPr>
                <w:p w14:paraId="6DE74A50">
                  <w:pPr>
                    <w:widowControl/>
                    <w:rPr>
                      <w:color w:val="000000"/>
                    </w:rPr>
                  </w:pPr>
                </w:p>
              </w:tc>
              <w:tc>
                <w:tcPr>
                  <w:tcW w:w="1134" w:type="dxa"/>
                  <w:tcBorders>
                    <w:top w:val="single" w:color="auto" w:sz="4" w:space="0"/>
                    <w:left w:val="single" w:color="auto" w:sz="4" w:space="0"/>
                    <w:bottom w:val="single" w:color="auto" w:sz="4" w:space="0"/>
                    <w:right w:val="single" w:color="auto" w:sz="4" w:space="0"/>
                  </w:tcBorders>
                  <w:vAlign w:val="center"/>
                </w:tcPr>
                <w:p w14:paraId="4CF58635">
                  <w:pPr>
                    <w:widowControl/>
                    <w:rPr>
                      <w:color w:val="000000"/>
                    </w:rPr>
                  </w:pPr>
                </w:p>
              </w:tc>
              <w:tc>
                <w:tcPr>
                  <w:tcW w:w="1134" w:type="dxa"/>
                  <w:vMerge w:val="continue"/>
                  <w:tcBorders>
                    <w:left w:val="single" w:color="auto" w:sz="4" w:space="0"/>
                    <w:right w:val="single" w:color="auto" w:sz="8" w:space="0"/>
                  </w:tcBorders>
                  <w:vAlign w:val="center"/>
                </w:tcPr>
                <w:p w14:paraId="52E79B27">
                  <w:pPr>
                    <w:widowControl/>
                    <w:rPr>
                      <w:color w:val="000000"/>
                    </w:rPr>
                  </w:pPr>
                </w:p>
              </w:tc>
            </w:tr>
            <w:tr w14:paraId="550B4CBC">
              <w:tblPrEx>
                <w:tblCellMar>
                  <w:top w:w="0" w:type="dxa"/>
                  <w:left w:w="108" w:type="dxa"/>
                  <w:bottom w:w="0" w:type="dxa"/>
                  <w:right w:w="108" w:type="dxa"/>
                </w:tblCellMar>
              </w:tblPrEx>
              <w:trPr>
                <w:trHeight w:val="626" w:hRule="atLeast"/>
              </w:trPr>
              <w:tc>
                <w:tcPr>
                  <w:tcW w:w="456" w:type="dxa"/>
                  <w:vMerge w:val="continue"/>
                  <w:tcBorders>
                    <w:left w:val="single" w:color="auto" w:sz="8" w:space="0"/>
                    <w:bottom w:val="single" w:color="000000" w:sz="8" w:space="0"/>
                    <w:right w:val="single" w:color="auto" w:sz="4" w:space="0"/>
                  </w:tcBorders>
                  <w:vAlign w:val="center"/>
                </w:tcPr>
                <w:p w14:paraId="4C9F27D4">
                  <w:pPr>
                    <w:widowControl/>
                    <w:rPr>
                      <w:color w:val="000000"/>
                    </w:rPr>
                  </w:pPr>
                </w:p>
              </w:tc>
              <w:tc>
                <w:tcPr>
                  <w:tcW w:w="1270" w:type="dxa"/>
                  <w:vMerge w:val="continue"/>
                  <w:tcBorders>
                    <w:left w:val="nil"/>
                    <w:bottom w:val="single" w:color="auto" w:sz="8" w:space="0"/>
                    <w:right w:val="single" w:color="auto" w:sz="4" w:space="0"/>
                  </w:tcBorders>
                  <w:vAlign w:val="center"/>
                </w:tcPr>
                <w:p w14:paraId="04459FA0">
                  <w:pPr>
                    <w:widowControl/>
                    <w:jc w:val="center"/>
                    <w:rPr>
                      <w:color w:val="000000"/>
                    </w:rPr>
                  </w:pPr>
                </w:p>
              </w:tc>
              <w:tc>
                <w:tcPr>
                  <w:tcW w:w="1795" w:type="dxa"/>
                  <w:tcBorders>
                    <w:top w:val="single" w:color="auto" w:sz="4" w:space="0"/>
                    <w:left w:val="nil"/>
                    <w:bottom w:val="single" w:color="auto" w:sz="8" w:space="0"/>
                    <w:right w:val="single" w:color="auto" w:sz="4" w:space="0"/>
                  </w:tcBorders>
                  <w:vAlign w:val="center"/>
                </w:tcPr>
                <w:p w14:paraId="6A8AE0F1">
                  <w:pPr>
                    <w:widowControl/>
                    <w:jc w:val="center"/>
                    <w:rPr>
                      <w:color w:val="000000"/>
                    </w:rPr>
                  </w:pPr>
                  <w:r>
                    <w:rPr>
                      <w:rFonts w:hint="eastAsia"/>
                      <w:color w:val="000000"/>
                    </w:rPr>
                    <w:t>尾气吸附设备</w:t>
                  </w:r>
                </w:p>
              </w:tc>
              <w:tc>
                <w:tcPr>
                  <w:tcW w:w="1134" w:type="dxa"/>
                  <w:tcBorders>
                    <w:top w:val="single" w:color="auto" w:sz="4" w:space="0"/>
                    <w:left w:val="nil"/>
                    <w:bottom w:val="single" w:color="auto" w:sz="8" w:space="0"/>
                    <w:right w:val="single" w:color="auto" w:sz="4" w:space="0"/>
                  </w:tcBorders>
                  <w:noWrap/>
                  <w:vAlign w:val="center"/>
                </w:tcPr>
                <w:p w14:paraId="1A721E47">
                  <w:pPr>
                    <w:widowControl/>
                    <w:jc w:val="center"/>
                    <w:rPr>
                      <w:rFonts w:ascii="等线" w:hAnsi="等线" w:eastAsia="等线"/>
                      <w:color w:val="000000"/>
                    </w:rPr>
                  </w:pPr>
                  <w:r>
                    <w:rPr>
                      <w:rFonts w:hint="eastAsia" w:ascii="等线" w:hAnsi="等线" w:eastAsia="等线"/>
                      <w:color w:val="000000"/>
                    </w:rPr>
                    <w:t>241.60</w:t>
                  </w:r>
                </w:p>
              </w:tc>
              <w:tc>
                <w:tcPr>
                  <w:tcW w:w="1272" w:type="dxa"/>
                  <w:tcBorders>
                    <w:top w:val="single" w:color="auto" w:sz="4" w:space="0"/>
                    <w:left w:val="nil"/>
                    <w:bottom w:val="single" w:color="auto" w:sz="8" w:space="0"/>
                    <w:right w:val="single" w:color="auto" w:sz="4" w:space="0"/>
                    <w:tl2br w:val="single" w:color="auto" w:sz="4" w:space="0"/>
                  </w:tcBorders>
                  <w:vAlign w:val="center"/>
                </w:tcPr>
                <w:p w14:paraId="60DB2273">
                  <w:pPr>
                    <w:widowControl/>
                    <w:rPr>
                      <w:color w:val="000000"/>
                    </w:rPr>
                  </w:pPr>
                </w:p>
              </w:tc>
              <w:tc>
                <w:tcPr>
                  <w:tcW w:w="1019" w:type="dxa"/>
                  <w:tcBorders>
                    <w:top w:val="single" w:color="auto" w:sz="4" w:space="0"/>
                    <w:left w:val="single" w:color="auto" w:sz="4" w:space="0"/>
                    <w:bottom w:val="single" w:color="auto" w:sz="8" w:space="0"/>
                    <w:right w:val="single" w:color="auto" w:sz="4" w:space="0"/>
                  </w:tcBorders>
                  <w:vAlign w:val="center"/>
                </w:tcPr>
                <w:p w14:paraId="17B87D93">
                  <w:pPr>
                    <w:widowControl/>
                    <w:rPr>
                      <w:color w:val="000000"/>
                    </w:rPr>
                  </w:pPr>
                </w:p>
              </w:tc>
              <w:tc>
                <w:tcPr>
                  <w:tcW w:w="1134" w:type="dxa"/>
                  <w:tcBorders>
                    <w:top w:val="single" w:color="auto" w:sz="4" w:space="0"/>
                    <w:left w:val="single" w:color="auto" w:sz="4" w:space="0"/>
                    <w:bottom w:val="single" w:color="auto" w:sz="8" w:space="0"/>
                    <w:right w:val="single" w:color="auto" w:sz="4" w:space="0"/>
                  </w:tcBorders>
                  <w:vAlign w:val="center"/>
                </w:tcPr>
                <w:p w14:paraId="083C74FC">
                  <w:pPr>
                    <w:widowControl/>
                    <w:rPr>
                      <w:color w:val="000000"/>
                    </w:rPr>
                  </w:pPr>
                </w:p>
              </w:tc>
              <w:tc>
                <w:tcPr>
                  <w:tcW w:w="1134" w:type="dxa"/>
                  <w:vMerge w:val="continue"/>
                  <w:tcBorders>
                    <w:left w:val="single" w:color="auto" w:sz="4" w:space="0"/>
                    <w:bottom w:val="single" w:color="000000" w:sz="8" w:space="0"/>
                    <w:right w:val="single" w:color="auto" w:sz="8" w:space="0"/>
                  </w:tcBorders>
                  <w:vAlign w:val="center"/>
                </w:tcPr>
                <w:p w14:paraId="74CB2F55">
                  <w:pPr>
                    <w:widowControl/>
                    <w:rPr>
                      <w:color w:val="000000"/>
                    </w:rPr>
                  </w:pPr>
                </w:p>
              </w:tc>
            </w:tr>
            <w:tr w14:paraId="33175716">
              <w:tblPrEx>
                <w:tblCellMar>
                  <w:top w:w="0" w:type="dxa"/>
                  <w:left w:w="108" w:type="dxa"/>
                  <w:bottom w:w="0" w:type="dxa"/>
                  <w:right w:w="108" w:type="dxa"/>
                </w:tblCellMar>
              </w:tblPrEx>
              <w:trPr>
                <w:trHeight w:val="511" w:hRule="atLeast"/>
              </w:trPr>
              <w:tc>
                <w:tcPr>
                  <w:tcW w:w="456" w:type="dxa"/>
                  <w:vMerge w:val="restart"/>
                  <w:tcBorders>
                    <w:top w:val="nil"/>
                    <w:left w:val="single" w:color="auto" w:sz="8" w:space="0"/>
                    <w:right w:val="single" w:color="auto" w:sz="4" w:space="0"/>
                  </w:tcBorders>
                  <w:vAlign w:val="center"/>
                </w:tcPr>
                <w:p w14:paraId="73482DC7">
                  <w:pPr>
                    <w:widowControl/>
                    <w:rPr>
                      <w:color w:val="000000"/>
                    </w:rPr>
                  </w:pPr>
                  <w:r>
                    <w:rPr>
                      <w:rFonts w:hint="eastAsia"/>
                      <w:color w:val="000000"/>
                    </w:rPr>
                    <w:t>3</w:t>
                  </w:r>
                </w:p>
              </w:tc>
              <w:tc>
                <w:tcPr>
                  <w:tcW w:w="1270" w:type="dxa"/>
                  <w:vMerge w:val="restart"/>
                  <w:tcBorders>
                    <w:top w:val="single" w:color="auto" w:sz="4" w:space="0"/>
                    <w:left w:val="nil"/>
                    <w:right w:val="single" w:color="auto" w:sz="4" w:space="0"/>
                  </w:tcBorders>
                  <w:vAlign w:val="center"/>
                </w:tcPr>
                <w:p w14:paraId="3B55C87B">
                  <w:pPr>
                    <w:widowControl/>
                    <w:jc w:val="center"/>
                    <w:rPr>
                      <w:color w:val="000000"/>
                      <w:lang w:eastAsia="zh-CN"/>
                    </w:rPr>
                  </w:pPr>
                  <w:r>
                    <w:rPr>
                      <w:rFonts w:hint="eastAsia"/>
                      <w:color w:val="000000"/>
                      <w:lang w:eastAsia="zh-CN"/>
                    </w:rPr>
                    <w:t>码头新建煤仓及输煤系统改造项目</w:t>
                  </w:r>
                </w:p>
              </w:tc>
              <w:tc>
                <w:tcPr>
                  <w:tcW w:w="1795" w:type="dxa"/>
                  <w:tcBorders>
                    <w:top w:val="single" w:color="auto" w:sz="4" w:space="0"/>
                    <w:left w:val="nil"/>
                    <w:bottom w:val="single" w:color="auto" w:sz="4" w:space="0"/>
                    <w:right w:val="single" w:color="auto" w:sz="4" w:space="0"/>
                  </w:tcBorders>
                  <w:vAlign w:val="center"/>
                </w:tcPr>
                <w:p w14:paraId="73CA2BEB">
                  <w:pPr>
                    <w:widowControl/>
                    <w:jc w:val="center"/>
                    <w:rPr>
                      <w:color w:val="000000"/>
                    </w:rPr>
                  </w:pPr>
                  <w:r>
                    <w:rPr>
                      <w:rFonts w:hint="eastAsia"/>
                      <w:color w:val="000000"/>
                    </w:rPr>
                    <w:t>配电间</w:t>
                  </w:r>
                </w:p>
              </w:tc>
              <w:tc>
                <w:tcPr>
                  <w:tcW w:w="1134" w:type="dxa"/>
                  <w:tcBorders>
                    <w:top w:val="nil"/>
                    <w:left w:val="nil"/>
                    <w:bottom w:val="single" w:color="auto" w:sz="4" w:space="0"/>
                    <w:right w:val="single" w:color="auto" w:sz="4" w:space="0"/>
                    <w:tl2br w:val="single" w:color="auto" w:sz="4" w:space="0"/>
                  </w:tcBorders>
                  <w:noWrap/>
                  <w:vAlign w:val="center"/>
                </w:tcPr>
                <w:p w14:paraId="2A5B8168">
                  <w:pPr>
                    <w:widowControl/>
                    <w:rPr>
                      <w:rFonts w:ascii="等线" w:hAnsi="等线" w:eastAsia="等线"/>
                      <w:color w:val="000000"/>
                    </w:rPr>
                  </w:pPr>
                </w:p>
              </w:tc>
              <w:tc>
                <w:tcPr>
                  <w:tcW w:w="1272" w:type="dxa"/>
                  <w:tcBorders>
                    <w:top w:val="single" w:color="auto" w:sz="8" w:space="0"/>
                    <w:left w:val="nil"/>
                    <w:bottom w:val="single" w:color="auto" w:sz="4" w:space="0"/>
                    <w:right w:val="single" w:color="auto" w:sz="4" w:space="0"/>
                  </w:tcBorders>
                  <w:vAlign w:val="center"/>
                </w:tcPr>
                <w:p w14:paraId="5C84FD56">
                  <w:pPr>
                    <w:widowControl/>
                    <w:jc w:val="center"/>
                    <w:rPr>
                      <w:color w:val="000000"/>
                    </w:rPr>
                  </w:pPr>
                  <w:r>
                    <w:rPr>
                      <w:rFonts w:hint="eastAsia"/>
                      <w:color w:val="000000"/>
                    </w:rPr>
                    <w:t>860.88</w:t>
                  </w:r>
                </w:p>
              </w:tc>
              <w:tc>
                <w:tcPr>
                  <w:tcW w:w="1019" w:type="dxa"/>
                  <w:tcBorders>
                    <w:top w:val="single" w:color="auto" w:sz="8" w:space="0"/>
                    <w:left w:val="single" w:color="auto" w:sz="4" w:space="0"/>
                    <w:bottom w:val="single" w:color="auto" w:sz="4" w:space="0"/>
                    <w:right w:val="single" w:color="auto" w:sz="4" w:space="0"/>
                  </w:tcBorders>
                  <w:vAlign w:val="center"/>
                </w:tcPr>
                <w:p w14:paraId="7E40DDDA">
                  <w:pPr>
                    <w:widowControl/>
                    <w:jc w:val="center"/>
                    <w:rPr>
                      <w:color w:val="000000"/>
                    </w:rPr>
                  </w:pPr>
                </w:p>
              </w:tc>
              <w:tc>
                <w:tcPr>
                  <w:tcW w:w="1134" w:type="dxa"/>
                  <w:tcBorders>
                    <w:top w:val="single" w:color="auto" w:sz="8" w:space="0"/>
                    <w:left w:val="single" w:color="auto" w:sz="4" w:space="0"/>
                    <w:bottom w:val="single" w:color="auto" w:sz="4" w:space="0"/>
                    <w:right w:val="single" w:color="auto" w:sz="4" w:space="0"/>
                  </w:tcBorders>
                  <w:vAlign w:val="center"/>
                </w:tcPr>
                <w:p w14:paraId="36C62AE4">
                  <w:pPr>
                    <w:widowControl/>
                    <w:jc w:val="center"/>
                    <w:rPr>
                      <w:color w:val="000000"/>
                    </w:rPr>
                  </w:pPr>
                </w:p>
              </w:tc>
              <w:tc>
                <w:tcPr>
                  <w:tcW w:w="1134" w:type="dxa"/>
                  <w:vMerge w:val="restart"/>
                  <w:tcBorders>
                    <w:top w:val="nil"/>
                    <w:left w:val="single" w:color="auto" w:sz="4" w:space="0"/>
                    <w:right w:val="single" w:color="auto" w:sz="8" w:space="0"/>
                  </w:tcBorders>
                  <w:vAlign w:val="center"/>
                </w:tcPr>
                <w:p w14:paraId="291416EB">
                  <w:pPr>
                    <w:widowControl/>
                    <w:jc w:val="center"/>
                    <w:rPr>
                      <w:color w:val="000000"/>
                    </w:rPr>
                  </w:pPr>
                </w:p>
              </w:tc>
            </w:tr>
            <w:tr w14:paraId="424F9049">
              <w:tblPrEx>
                <w:tblCellMar>
                  <w:top w:w="0" w:type="dxa"/>
                  <w:left w:w="108" w:type="dxa"/>
                  <w:bottom w:w="0" w:type="dxa"/>
                  <w:right w:w="108" w:type="dxa"/>
                </w:tblCellMar>
              </w:tblPrEx>
              <w:trPr>
                <w:trHeight w:val="463" w:hRule="atLeast"/>
              </w:trPr>
              <w:tc>
                <w:tcPr>
                  <w:tcW w:w="456" w:type="dxa"/>
                  <w:vMerge w:val="continue"/>
                  <w:tcBorders>
                    <w:left w:val="single" w:color="auto" w:sz="8" w:space="0"/>
                    <w:right w:val="single" w:color="auto" w:sz="4" w:space="0"/>
                  </w:tcBorders>
                  <w:vAlign w:val="center"/>
                </w:tcPr>
                <w:p w14:paraId="40CD968C">
                  <w:pPr>
                    <w:widowControl/>
                    <w:rPr>
                      <w:color w:val="000000"/>
                    </w:rPr>
                  </w:pPr>
                </w:p>
              </w:tc>
              <w:tc>
                <w:tcPr>
                  <w:tcW w:w="1270" w:type="dxa"/>
                  <w:vMerge w:val="continue"/>
                  <w:tcBorders>
                    <w:left w:val="nil"/>
                    <w:right w:val="single" w:color="auto" w:sz="4" w:space="0"/>
                  </w:tcBorders>
                  <w:vAlign w:val="center"/>
                </w:tcPr>
                <w:p w14:paraId="58069989">
                  <w:pPr>
                    <w:widowControl/>
                    <w:jc w:val="center"/>
                    <w:rPr>
                      <w:color w:val="000000"/>
                    </w:rPr>
                  </w:pPr>
                </w:p>
              </w:tc>
              <w:tc>
                <w:tcPr>
                  <w:tcW w:w="1795" w:type="dxa"/>
                  <w:tcBorders>
                    <w:top w:val="single" w:color="auto" w:sz="4" w:space="0"/>
                    <w:left w:val="nil"/>
                    <w:bottom w:val="single" w:color="auto" w:sz="4" w:space="0"/>
                    <w:right w:val="single" w:color="auto" w:sz="4" w:space="0"/>
                  </w:tcBorders>
                  <w:vAlign w:val="center"/>
                </w:tcPr>
                <w:p w14:paraId="46522330">
                  <w:pPr>
                    <w:widowControl/>
                    <w:jc w:val="center"/>
                    <w:rPr>
                      <w:color w:val="000000"/>
                    </w:rPr>
                  </w:pPr>
                  <w:r>
                    <w:rPr>
                      <w:rFonts w:hint="eastAsia"/>
                      <w:color w:val="000000"/>
                    </w:rPr>
                    <w:t>2#圆形煤仓</w:t>
                  </w:r>
                </w:p>
              </w:tc>
              <w:tc>
                <w:tcPr>
                  <w:tcW w:w="1134" w:type="dxa"/>
                  <w:tcBorders>
                    <w:top w:val="single" w:color="auto" w:sz="4" w:space="0"/>
                    <w:left w:val="nil"/>
                    <w:bottom w:val="single" w:color="auto" w:sz="4" w:space="0"/>
                    <w:right w:val="single" w:color="auto" w:sz="4" w:space="0"/>
                  </w:tcBorders>
                  <w:noWrap/>
                  <w:vAlign w:val="center"/>
                </w:tcPr>
                <w:p w14:paraId="4AAF4F6A">
                  <w:pPr>
                    <w:widowControl/>
                    <w:rPr>
                      <w:rFonts w:ascii="等线" w:hAnsi="等线" w:eastAsia="等线"/>
                      <w:color w:val="000000"/>
                    </w:rPr>
                  </w:pPr>
                  <w:r>
                    <w:rPr>
                      <w:rFonts w:hint="eastAsia" w:ascii="等线" w:hAnsi="等线" w:eastAsia="等线"/>
                      <w:color w:val="000000"/>
                    </w:rPr>
                    <w:t>11309.73</w:t>
                  </w:r>
                </w:p>
              </w:tc>
              <w:tc>
                <w:tcPr>
                  <w:tcW w:w="1272" w:type="dxa"/>
                  <w:tcBorders>
                    <w:top w:val="single" w:color="auto" w:sz="4" w:space="0"/>
                    <w:left w:val="nil"/>
                    <w:bottom w:val="single" w:color="auto" w:sz="4" w:space="0"/>
                    <w:right w:val="single" w:color="auto" w:sz="4" w:space="0"/>
                    <w:tl2br w:val="single" w:color="auto" w:sz="4" w:space="0"/>
                  </w:tcBorders>
                  <w:vAlign w:val="center"/>
                </w:tcPr>
                <w:p w14:paraId="2F0CAF01">
                  <w:pPr>
                    <w:widowControl/>
                    <w:rPr>
                      <w:color w:val="000000"/>
                    </w:rPr>
                  </w:pPr>
                </w:p>
              </w:tc>
              <w:tc>
                <w:tcPr>
                  <w:tcW w:w="1019" w:type="dxa"/>
                  <w:vMerge w:val="restart"/>
                  <w:tcBorders>
                    <w:top w:val="single" w:color="auto" w:sz="4" w:space="0"/>
                    <w:left w:val="single" w:color="auto" w:sz="4" w:space="0"/>
                    <w:right w:val="single" w:color="auto" w:sz="4" w:space="0"/>
                  </w:tcBorders>
                  <w:vAlign w:val="center"/>
                </w:tcPr>
                <w:p w14:paraId="5097ADD8">
                  <w:pPr>
                    <w:widowControl/>
                    <w:rPr>
                      <w:color w:val="000000"/>
                    </w:rPr>
                  </w:pPr>
                </w:p>
              </w:tc>
              <w:tc>
                <w:tcPr>
                  <w:tcW w:w="1134" w:type="dxa"/>
                  <w:tcBorders>
                    <w:top w:val="single" w:color="auto" w:sz="4" w:space="0"/>
                    <w:left w:val="single" w:color="auto" w:sz="4" w:space="0"/>
                    <w:bottom w:val="single" w:color="auto" w:sz="4" w:space="0"/>
                    <w:right w:val="single" w:color="auto" w:sz="4" w:space="0"/>
                  </w:tcBorders>
                  <w:vAlign w:val="center"/>
                </w:tcPr>
                <w:p w14:paraId="40929929">
                  <w:pPr>
                    <w:widowControl/>
                    <w:rPr>
                      <w:color w:val="000000"/>
                    </w:rPr>
                  </w:pPr>
                </w:p>
              </w:tc>
              <w:tc>
                <w:tcPr>
                  <w:tcW w:w="1134" w:type="dxa"/>
                  <w:vMerge w:val="continue"/>
                  <w:tcBorders>
                    <w:left w:val="single" w:color="auto" w:sz="4" w:space="0"/>
                    <w:right w:val="single" w:color="auto" w:sz="8" w:space="0"/>
                  </w:tcBorders>
                  <w:vAlign w:val="center"/>
                </w:tcPr>
                <w:p w14:paraId="1A6FBE95">
                  <w:pPr>
                    <w:widowControl/>
                    <w:rPr>
                      <w:color w:val="000000"/>
                    </w:rPr>
                  </w:pPr>
                </w:p>
              </w:tc>
            </w:tr>
            <w:tr w14:paraId="31D97D02">
              <w:tblPrEx>
                <w:tblCellMar>
                  <w:top w:w="0" w:type="dxa"/>
                  <w:left w:w="108" w:type="dxa"/>
                  <w:bottom w:w="0" w:type="dxa"/>
                  <w:right w:w="108" w:type="dxa"/>
                </w:tblCellMar>
              </w:tblPrEx>
              <w:trPr>
                <w:trHeight w:val="200" w:hRule="atLeast"/>
              </w:trPr>
              <w:tc>
                <w:tcPr>
                  <w:tcW w:w="456" w:type="dxa"/>
                  <w:vMerge w:val="continue"/>
                  <w:tcBorders>
                    <w:left w:val="single" w:color="auto" w:sz="8" w:space="0"/>
                    <w:right w:val="single" w:color="auto" w:sz="4" w:space="0"/>
                  </w:tcBorders>
                  <w:vAlign w:val="center"/>
                </w:tcPr>
                <w:p w14:paraId="34A7AD6D">
                  <w:pPr>
                    <w:widowControl/>
                    <w:rPr>
                      <w:color w:val="000000"/>
                    </w:rPr>
                  </w:pPr>
                </w:p>
              </w:tc>
              <w:tc>
                <w:tcPr>
                  <w:tcW w:w="1270" w:type="dxa"/>
                  <w:vMerge w:val="continue"/>
                  <w:tcBorders>
                    <w:left w:val="nil"/>
                    <w:right w:val="single" w:color="auto" w:sz="4" w:space="0"/>
                  </w:tcBorders>
                  <w:vAlign w:val="center"/>
                </w:tcPr>
                <w:p w14:paraId="63738138">
                  <w:pPr>
                    <w:widowControl/>
                    <w:jc w:val="center"/>
                    <w:rPr>
                      <w:color w:val="000000"/>
                    </w:rPr>
                  </w:pPr>
                </w:p>
              </w:tc>
              <w:tc>
                <w:tcPr>
                  <w:tcW w:w="1795" w:type="dxa"/>
                  <w:tcBorders>
                    <w:top w:val="single" w:color="auto" w:sz="4" w:space="0"/>
                    <w:left w:val="nil"/>
                    <w:bottom w:val="single" w:color="auto" w:sz="4" w:space="0"/>
                    <w:right w:val="single" w:color="auto" w:sz="4" w:space="0"/>
                  </w:tcBorders>
                  <w:vAlign w:val="center"/>
                </w:tcPr>
                <w:p w14:paraId="18114679">
                  <w:pPr>
                    <w:widowControl/>
                    <w:jc w:val="center"/>
                    <w:rPr>
                      <w:color w:val="000000"/>
                    </w:rPr>
                  </w:pPr>
                  <w:r>
                    <w:rPr>
                      <w:rFonts w:hint="eastAsia"/>
                      <w:color w:val="000000"/>
                    </w:rPr>
                    <w:t>BC5输煤廊道</w:t>
                  </w:r>
                </w:p>
              </w:tc>
              <w:tc>
                <w:tcPr>
                  <w:tcW w:w="1134" w:type="dxa"/>
                  <w:tcBorders>
                    <w:top w:val="single" w:color="auto" w:sz="4" w:space="0"/>
                    <w:left w:val="nil"/>
                    <w:bottom w:val="single" w:color="auto" w:sz="4" w:space="0"/>
                    <w:right w:val="single" w:color="auto" w:sz="4" w:space="0"/>
                  </w:tcBorders>
                  <w:noWrap/>
                  <w:vAlign w:val="center"/>
                </w:tcPr>
                <w:p w14:paraId="2D2B6E67">
                  <w:pPr>
                    <w:widowControl/>
                    <w:jc w:val="center"/>
                    <w:rPr>
                      <w:rFonts w:ascii="等线" w:hAnsi="等线" w:eastAsia="等线"/>
                      <w:color w:val="000000"/>
                    </w:rPr>
                  </w:pPr>
                  <w:r>
                    <w:rPr>
                      <w:rFonts w:hint="eastAsia" w:ascii="等线" w:hAnsi="等线" w:eastAsia="等线"/>
                      <w:color w:val="000000"/>
                    </w:rPr>
                    <w:t>403.59</w:t>
                  </w:r>
                </w:p>
              </w:tc>
              <w:tc>
                <w:tcPr>
                  <w:tcW w:w="1272" w:type="dxa"/>
                  <w:tcBorders>
                    <w:top w:val="single" w:color="auto" w:sz="4" w:space="0"/>
                    <w:left w:val="nil"/>
                    <w:bottom w:val="single" w:color="auto" w:sz="4" w:space="0"/>
                    <w:right w:val="single" w:color="auto" w:sz="4" w:space="0"/>
                    <w:tl2br w:val="single" w:color="auto" w:sz="4" w:space="0"/>
                  </w:tcBorders>
                  <w:vAlign w:val="center"/>
                </w:tcPr>
                <w:p w14:paraId="47CCA1A9">
                  <w:pPr>
                    <w:widowControl/>
                    <w:rPr>
                      <w:color w:val="000000"/>
                    </w:rPr>
                  </w:pPr>
                </w:p>
              </w:tc>
              <w:tc>
                <w:tcPr>
                  <w:tcW w:w="1019" w:type="dxa"/>
                  <w:vMerge w:val="continue"/>
                  <w:tcBorders>
                    <w:left w:val="single" w:color="auto" w:sz="4" w:space="0"/>
                    <w:right w:val="single" w:color="auto" w:sz="4" w:space="0"/>
                  </w:tcBorders>
                  <w:vAlign w:val="center"/>
                </w:tcPr>
                <w:p w14:paraId="063440B2">
                  <w:pPr>
                    <w:widowControl/>
                    <w:rPr>
                      <w:color w:val="000000"/>
                    </w:rPr>
                  </w:pPr>
                </w:p>
              </w:tc>
              <w:tc>
                <w:tcPr>
                  <w:tcW w:w="1134" w:type="dxa"/>
                  <w:tcBorders>
                    <w:top w:val="single" w:color="auto" w:sz="4" w:space="0"/>
                    <w:left w:val="single" w:color="auto" w:sz="4" w:space="0"/>
                    <w:bottom w:val="single" w:color="auto" w:sz="4" w:space="0"/>
                    <w:right w:val="single" w:color="auto" w:sz="4" w:space="0"/>
                  </w:tcBorders>
                  <w:vAlign w:val="center"/>
                </w:tcPr>
                <w:p w14:paraId="7487D21F">
                  <w:pPr>
                    <w:widowControl/>
                    <w:rPr>
                      <w:color w:val="000000"/>
                    </w:rPr>
                  </w:pPr>
                </w:p>
              </w:tc>
              <w:tc>
                <w:tcPr>
                  <w:tcW w:w="1134" w:type="dxa"/>
                  <w:vMerge w:val="continue"/>
                  <w:tcBorders>
                    <w:left w:val="single" w:color="auto" w:sz="4" w:space="0"/>
                    <w:right w:val="single" w:color="auto" w:sz="8" w:space="0"/>
                  </w:tcBorders>
                  <w:vAlign w:val="center"/>
                </w:tcPr>
                <w:p w14:paraId="0A4C7538">
                  <w:pPr>
                    <w:widowControl/>
                    <w:rPr>
                      <w:color w:val="000000"/>
                    </w:rPr>
                  </w:pPr>
                </w:p>
              </w:tc>
            </w:tr>
            <w:tr w14:paraId="0B255A98">
              <w:tblPrEx>
                <w:tblCellMar>
                  <w:top w:w="0" w:type="dxa"/>
                  <w:left w:w="108" w:type="dxa"/>
                  <w:bottom w:w="0" w:type="dxa"/>
                  <w:right w:w="108" w:type="dxa"/>
                </w:tblCellMar>
              </w:tblPrEx>
              <w:trPr>
                <w:trHeight w:val="250" w:hRule="atLeast"/>
              </w:trPr>
              <w:tc>
                <w:tcPr>
                  <w:tcW w:w="456" w:type="dxa"/>
                  <w:vMerge w:val="continue"/>
                  <w:tcBorders>
                    <w:left w:val="single" w:color="auto" w:sz="8" w:space="0"/>
                    <w:bottom w:val="single" w:color="000000" w:sz="8" w:space="0"/>
                    <w:right w:val="single" w:color="auto" w:sz="4" w:space="0"/>
                  </w:tcBorders>
                  <w:vAlign w:val="center"/>
                </w:tcPr>
                <w:p w14:paraId="2A23DD45">
                  <w:pPr>
                    <w:widowControl/>
                    <w:rPr>
                      <w:color w:val="000000"/>
                    </w:rPr>
                  </w:pPr>
                </w:p>
              </w:tc>
              <w:tc>
                <w:tcPr>
                  <w:tcW w:w="1270" w:type="dxa"/>
                  <w:vMerge w:val="continue"/>
                  <w:tcBorders>
                    <w:left w:val="nil"/>
                    <w:bottom w:val="single" w:color="auto" w:sz="8" w:space="0"/>
                    <w:right w:val="single" w:color="auto" w:sz="4" w:space="0"/>
                  </w:tcBorders>
                  <w:vAlign w:val="center"/>
                </w:tcPr>
                <w:p w14:paraId="7FE2A219">
                  <w:pPr>
                    <w:widowControl/>
                    <w:jc w:val="center"/>
                    <w:rPr>
                      <w:color w:val="000000"/>
                    </w:rPr>
                  </w:pPr>
                </w:p>
              </w:tc>
              <w:tc>
                <w:tcPr>
                  <w:tcW w:w="1795" w:type="dxa"/>
                  <w:tcBorders>
                    <w:top w:val="single" w:color="auto" w:sz="4" w:space="0"/>
                    <w:left w:val="nil"/>
                    <w:bottom w:val="single" w:color="auto" w:sz="8" w:space="0"/>
                    <w:right w:val="single" w:color="auto" w:sz="4" w:space="0"/>
                  </w:tcBorders>
                  <w:vAlign w:val="center"/>
                </w:tcPr>
                <w:p w14:paraId="450908E9">
                  <w:pPr>
                    <w:widowControl/>
                    <w:jc w:val="center"/>
                    <w:rPr>
                      <w:color w:val="000000"/>
                    </w:rPr>
                  </w:pPr>
                  <w:r>
                    <w:rPr>
                      <w:rFonts w:hint="eastAsia"/>
                      <w:color w:val="000000"/>
                    </w:rPr>
                    <w:t>BC7输煤廊道</w:t>
                  </w:r>
                </w:p>
              </w:tc>
              <w:tc>
                <w:tcPr>
                  <w:tcW w:w="1134" w:type="dxa"/>
                  <w:tcBorders>
                    <w:top w:val="single" w:color="auto" w:sz="4" w:space="0"/>
                    <w:left w:val="nil"/>
                    <w:bottom w:val="single" w:color="auto" w:sz="8" w:space="0"/>
                    <w:right w:val="single" w:color="auto" w:sz="4" w:space="0"/>
                  </w:tcBorders>
                  <w:noWrap/>
                  <w:vAlign w:val="center"/>
                </w:tcPr>
                <w:p w14:paraId="75B6EDE3">
                  <w:pPr>
                    <w:widowControl/>
                    <w:jc w:val="center"/>
                    <w:rPr>
                      <w:rFonts w:ascii="等线" w:hAnsi="等线" w:eastAsia="等线"/>
                      <w:color w:val="000000"/>
                    </w:rPr>
                  </w:pPr>
                  <w:r>
                    <w:rPr>
                      <w:rFonts w:hint="eastAsia" w:ascii="等线" w:hAnsi="等线" w:eastAsia="等线"/>
                      <w:color w:val="000000"/>
                    </w:rPr>
                    <w:t>403.59</w:t>
                  </w:r>
                </w:p>
              </w:tc>
              <w:tc>
                <w:tcPr>
                  <w:tcW w:w="1272" w:type="dxa"/>
                  <w:tcBorders>
                    <w:top w:val="single" w:color="auto" w:sz="4" w:space="0"/>
                    <w:left w:val="nil"/>
                    <w:bottom w:val="single" w:color="auto" w:sz="8" w:space="0"/>
                    <w:right w:val="single" w:color="auto" w:sz="4" w:space="0"/>
                    <w:tl2br w:val="single" w:color="auto" w:sz="4" w:space="0"/>
                  </w:tcBorders>
                  <w:vAlign w:val="center"/>
                </w:tcPr>
                <w:p w14:paraId="57DF983C">
                  <w:pPr>
                    <w:widowControl/>
                    <w:rPr>
                      <w:color w:val="000000"/>
                    </w:rPr>
                  </w:pPr>
                </w:p>
              </w:tc>
              <w:tc>
                <w:tcPr>
                  <w:tcW w:w="1019" w:type="dxa"/>
                  <w:vMerge w:val="continue"/>
                  <w:tcBorders>
                    <w:left w:val="single" w:color="auto" w:sz="4" w:space="0"/>
                    <w:bottom w:val="single" w:color="000000" w:sz="8" w:space="0"/>
                    <w:right w:val="single" w:color="auto" w:sz="4" w:space="0"/>
                  </w:tcBorders>
                  <w:vAlign w:val="center"/>
                </w:tcPr>
                <w:p w14:paraId="5A3A99A9">
                  <w:pPr>
                    <w:widowControl/>
                    <w:rPr>
                      <w:color w:val="000000"/>
                    </w:rPr>
                  </w:pPr>
                </w:p>
              </w:tc>
              <w:tc>
                <w:tcPr>
                  <w:tcW w:w="1134" w:type="dxa"/>
                  <w:tcBorders>
                    <w:top w:val="single" w:color="auto" w:sz="4" w:space="0"/>
                    <w:left w:val="single" w:color="auto" w:sz="4" w:space="0"/>
                    <w:bottom w:val="single" w:color="000000" w:sz="8" w:space="0"/>
                    <w:right w:val="single" w:color="auto" w:sz="4" w:space="0"/>
                  </w:tcBorders>
                  <w:vAlign w:val="center"/>
                </w:tcPr>
                <w:p w14:paraId="266C5ADC">
                  <w:pPr>
                    <w:widowControl/>
                    <w:rPr>
                      <w:color w:val="000000"/>
                    </w:rPr>
                  </w:pPr>
                </w:p>
              </w:tc>
              <w:tc>
                <w:tcPr>
                  <w:tcW w:w="1134" w:type="dxa"/>
                  <w:vMerge w:val="continue"/>
                  <w:tcBorders>
                    <w:left w:val="single" w:color="auto" w:sz="4" w:space="0"/>
                    <w:bottom w:val="single" w:color="000000" w:sz="8" w:space="0"/>
                    <w:right w:val="single" w:color="auto" w:sz="8" w:space="0"/>
                  </w:tcBorders>
                  <w:vAlign w:val="center"/>
                </w:tcPr>
                <w:p w14:paraId="0140CA23">
                  <w:pPr>
                    <w:widowControl/>
                    <w:rPr>
                      <w:color w:val="000000"/>
                    </w:rPr>
                  </w:pPr>
                </w:p>
              </w:tc>
            </w:tr>
            <w:tr w14:paraId="5B68C21C">
              <w:tblPrEx>
                <w:tblCellMar>
                  <w:top w:w="0" w:type="dxa"/>
                  <w:left w:w="108" w:type="dxa"/>
                  <w:bottom w:w="0" w:type="dxa"/>
                  <w:right w:w="108" w:type="dxa"/>
                </w:tblCellMar>
              </w:tblPrEx>
              <w:trPr>
                <w:trHeight w:val="540" w:hRule="atLeast"/>
              </w:trPr>
              <w:tc>
                <w:tcPr>
                  <w:tcW w:w="456" w:type="dxa"/>
                  <w:vMerge w:val="restart"/>
                  <w:tcBorders>
                    <w:top w:val="nil"/>
                    <w:left w:val="single" w:color="auto" w:sz="8" w:space="0"/>
                    <w:right w:val="single" w:color="auto" w:sz="4" w:space="0"/>
                  </w:tcBorders>
                  <w:vAlign w:val="center"/>
                </w:tcPr>
                <w:p w14:paraId="710BEBDA">
                  <w:pPr>
                    <w:rPr>
                      <w:color w:val="000000"/>
                    </w:rPr>
                  </w:pPr>
                  <w:r>
                    <w:rPr>
                      <w:rFonts w:hint="eastAsia"/>
                      <w:color w:val="000000"/>
                    </w:rPr>
                    <w:t>4</w:t>
                  </w:r>
                </w:p>
              </w:tc>
              <w:tc>
                <w:tcPr>
                  <w:tcW w:w="1270" w:type="dxa"/>
                  <w:vMerge w:val="restart"/>
                  <w:tcBorders>
                    <w:top w:val="single" w:color="auto" w:sz="4" w:space="0"/>
                    <w:left w:val="nil"/>
                    <w:right w:val="single" w:color="auto" w:sz="4" w:space="0"/>
                  </w:tcBorders>
                  <w:vAlign w:val="center"/>
                </w:tcPr>
                <w:p w14:paraId="2449D2A4">
                  <w:pPr>
                    <w:widowControl/>
                    <w:jc w:val="center"/>
                    <w:rPr>
                      <w:lang w:eastAsia="zh-CN"/>
                    </w:rPr>
                  </w:pPr>
                  <w:r>
                    <w:rPr>
                      <w:rFonts w:hint="eastAsia"/>
                      <w:color w:val="000000"/>
                      <w:lang w:eastAsia="zh-CN"/>
                    </w:rPr>
                    <w:t>SS16-5变电所、FAR11机柜间</w:t>
                  </w:r>
                </w:p>
              </w:tc>
              <w:tc>
                <w:tcPr>
                  <w:tcW w:w="1795" w:type="dxa"/>
                  <w:tcBorders>
                    <w:top w:val="single" w:color="auto" w:sz="4" w:space="0"/>
                    <w:left w:val="nil"/>
                    <w:bottom w:val="single" w:color="auto" w:sz="4" w:space="0"/>
                    <w:right w:val="single" w:color="auto" w:sz="4" w:space="0"/>
                  </w:tcBorders>
                  <w:vAlign w:val="center"/>
                </w:tcPr>
                <w:p w14:paraId="5D141C51">
                  <w:pPr>
                    <w:widowControl/>
                    <w:spacing w:line="360" w:lineRule="auto"/>
                  </w:pPr>
                  <w:r>
                    <w:rPr>
                      <w:rFonts w:hint="eastAsia"/>
                    </w:rPr>
                    <w:t>SS16-5变电所</w:t>
                  </w:r>
                </w:p>
              </w:tc>
              <w:tc>
                <w:tcPr>
                  <w:tcW w:w="1134" w:type="dxa"/>
                  <w:tcBorders>
                    <w:top w:val="nil"/>
                    <w:left w:val="nil"/>
                    <w:bottom w:val="single" w:color="auto" w:sz="4" w:space="0"/>
                    <w:right w:val="single" w:color="auto" w:sz="4" w:space="0"/>
                    <w:tl2br w:val="single" w:color="auto" w:sz="4" w:space="0"/>
                  </w:tcBorders>
                  <w:noWrap/>
                  <w:vAlign w:val="center"/>
                </w:tcPr>
                <w:p w14:paraId="76F7B200">
                  <w:pPr>
                    <w:widowControl/>
                    <w:jc w:val="center"/>
                    <w:rPr>
                      <w:rFonts w:ascii="等线" w:hAnsi="等线" w:eastAsia="等线"/>
                      <w:color w:val="000000"/>
                    </w:rPr>
                  </w:pPr>
                </w:p>
              </w:tc>
              <w:tc>
                <w:tcPr>
                  <w:tcW w:w="1272" w:type="dxa"/>
                  <w:tcBorders>
                    <w:top w:val="nil"/>
                    <w:left w:val="nil"/>
                    <w:bottom w:val="single" w:color="auto" w:sz="4" w:space="0"/>
                    <w:right w:val="single" w:color="auto" w:sz="4" w:space="0"/>
                  </w:tcBorders>
                  <w:vAlign w:val="center"/>
                </w:tcPr>
                <w:p w14:paraId="5134D692">
                  <w:pPr>
                    <w:widowControl/>
                    <w:jc w:val="center"/>
                    <w:rPr>
                      <w:color w:val="000000"/>
                    </w:rPr>
                  </w:pPr>
                  <w:r>
                    <w:rPr>
                      <w:rFonts w:hint="eastAsia"/>
                      <w:color w:val="000000"/>
                    </w:rPr>
                    <w:t>1665.32</w:t>
                  </w:r>
                </w:p>
              </w:tc>
              <w:tc>
                <w:tcPr>
                  <w:tcW w:w="1019" w:type="dxa"/>
                  <w:tcBorders>
                    <w:top w:val="nil"/>
                    <w:left w:val="single" w:color="auto" w:sz="4" w:space="0"/>
                    <w:bottom w:val="single" w:color="auto" w:sz="4" w:space="0"/>
                    <w:right w:val="single" w:color="auto" w:sz="4" w:space="0"/>
                  </w:tcBorders>
                  <w:vAlign w:val="center"/>
                </w:tcPr>
                <w:p w14:paraId="11EE5ACC">
                  <w:pPr>
                    <w:widowControl/>
                    <w:jc w:val="center"/>
                    <w:rPr>
                      <w:color w:val="000000"/>
                    </w:rPr>
                  </w:pPr>
                </w:p>
              </w:tc>
              <w:tc>
                <w:tcPr>
                  <w:tcW w:w="1134" w:type="dxa"/>
                  <w:tcBorders>
                    <w:top w:val="nil"/>
                    <w:left w:val="single" w:color="auto" w:sz="4" w:space="0"/>
                    <w:bottom w:val="single" w:color="auto" w:sz="4" w:space="0"/>
                    <w:right w:val="single" w:color="auto" w:sz="4" w:space="0"/>
                  </w:tcBorders>
                  <w:vAlign w:val="center"/>
                </w:tcPr>
                <w:p w14:paraId="6E16DE7F">
                  <w:pPr>
                    <w:widowControl/>
                    <w:jc w:val="center"/>
                    <w:rPr>
                      <w:color w:val="000000"/>
                    </w:rPr>
                  </w:pPr>
                </w:p>
              </w:tc>
              <w:tc>
                <w:tcPr>
                  <w:tcW w:w="1134" w:type="dxa"/>
                  <w:vMerge w:val="restart"/>
                  <w:tcBorders>
                    <w:top w:val="nil"/>
                    <w:left w:val="single" w:color="auto" w:sz="4" w:space="0"/>
                    <w:right w:val="single" w:color="auto" w:sz="8" w:space="0"/>
                  </w:tcBorders>
                  <w:vAlign w:val="center"/>
                </w:tcPr>
                <w:p w14:paraId="06869193">
                  <w:pPr>
                    <w:widowControl/>
                    <w:jc w:val="center"/>
                    <w:rPr>
                      <w:color w:val="000000"/>
                    </w:rPr>
                  </w:pPr>
                </w:p>
              </w:tc>
            </w:tr>
            <w:tr w14:paraId="6E3EDEF7">
              <w:tblPrEx>
                <w:tblCellMar>
                  <w:top w:w="0" w:type="dxa"/>
                  <w:left w:w="108" w:type="dxa"/>
                  <w:bottom w:w="0" w:type="dxa"/>
                  <w:right w:w="108" w:type="dxa"/>
                </w:tblCellMar>
              </w:tblPrEx>
              <w:trPr>
                <w:trHeight w:val="540" w:hRule="atLeast"/>
              </w:trPr>
              <w:tc>
                <w:tcPr>
                  <w:tcW w:w="456" w:type="dxa"/>
                  <w:vMerge w:val="continue"/>
                  <w:tcBorders>
                    <w:left w:val="single" w:color="auto" w:sz="8" w:space="0"/>
                    <w:bottom w:val="single" w:color="000000" w:sz="8" w:space="0"/>
                    <w:right w:val="single" w:color="auto" w:sz="4" w:space="0"/>
                  </w:tcBorders>
                  <w:vAlign w:val="center"/>
                </w:tcPr>
                <w:p w14:paraId="5C58E68D">
                  <w:pPr>
                    <w:widowControl/>
                    <w:rPr>
                      <w:color w:val="000000"/>
                    </w:rPr>
                  </w:pPr>
                </w:p>
              </w:tc>
              <w:tc>
                <w:tcPr>
                  <w:tcW w:w="1270" w:type="dxa"/>
                  <w:vMerge w:val="continue"/>
                  <w:tcBorders>
                    <w:left w:val="nil"/>
                    <w:bottom w:val="single" w:color="auto" w:sz="8" w:space="0"/>
                    <w:right w:val="single" w:color="auto" w:sz="4" w:space="0"/>
                  </w:tcBorders>
                  <w:vAlign w:val="center"/>
                </w:tcPr>
                <w:p w14:paraId="54736198">
                  <w:pPr>
                    <w:widowControl/>
                    <w:spacing w:line="360" w:lineRule="auto"/>
                    <w:rPr>
                      <w:color w:val="000000"/>
                    </w:rPr>
                  </w:pPr>
                </w:p>
              </w:tc>
              <w:tc>
                <w:tcPr>
                  <w:tcW w:w="1795" w:type="dxa"/>
                  <w:tcBorders>
                    <w:top w:val="single" w:color="auto" w:sz="4" w:space="0"/>
                    <w:left w:val="nil"/>
                    <w:bottom w:val="single" w:color="auto" w:sz="8" w:space="0"/>
                    <w:right w:val="single" w:color="auto" w:sz="4" w:space="0"/>
                  </w:tcBorders>
                  <w:vAlign w:val="center"/>
                </w:tcPr>
                <w:p w14:paraId="2CE53742">
                  <w:pPr>
                    <w:widowControl/>
                    <w:spacing w:line="360" w:lineRule="auto"/>
                    <w:rPr>
                      <w:color w:val="000000"/>
                    </w:rPr>
                  </w:pPr>
                  <w:r>
                    <w:rPr>
                      <w:rFonts w:hint="eastAsia"/>
                    </w:rPr>
                    <w:t>FAR11机柜间</w:t>
                  </w:r>
                </w:p>
              </w:tc>
              <w:tc>
                <w:tcPr>
                  <w:tcW w:w="1134" w:type="dxa"/>
                  <w:tcBorders>
                    <w:top w:val="single" w:color="auto" w:sz="4" w:space="0"/>
                    <w:left w:val="nil"/>
                    <w:bottom w:val="single" w:color="auto" w:sz="8" w:space="0"/>
                    <w:right w:val="single" w:color="auto" w:sz="4" w:space="0"/>
                    <w:tl2br w:val="single" w:color="auto" w:sz="4" w:space="0"/>
                  </w:tcBorders>
                  <w:noWrap/>
                  <w:vAlign w:val="center"/>
                </w:tcPr>
                <w:p w14:paraId="5AC51A51">
                  <w:pPr>
                    <w:widowControl/>
                    <w:jc w:val="center"/>
                    <w:rPr>
                      <w:rFonts w:ascii="等线" w:hAnsi="等线" w:eastAsia="等线"/>
                      <w:color w:val="000000"/>
                    </w:rPr>
                  </w:pPr>
                </w:p>
              </w:tc>
              <w:tc>
                <w:tcPr>
                  <w:tcW w:w="1272" w:type="dxa"/>
                  <w:tcBorders>
                    <w:top w:val="single" w:color="auto" w:sz="4" w:space="0"/>
                    <w:left w:val="nil"/>
                    <w:bottom w:val="single" w:color="auto" w:sz="8" w:space="0"/>
                    <w:right w:val="single" w:color="auto" w:sz="4" w:space="0"/>
                  </w:tcBorders>
                  <w:vAlign w:val="center"/>
                </w:tcPr>
                <w:p w14:paraId="530CDF98">
                  <w:pPr>
                    <w:widowControl/>
                    <w:jc w:val="center"/>
                    <w:rPr>
                      <w:color w:val="000000"/>
                    </w:rPr>
                  </w:pPr>
                  <w:r>
                    <w:rPr>
                      <w:rFonts w:hint="eastAsia"/>
                      <w:color w:val="000000"/>
                    </w:rPr>
                    <w:t>596.79</w:t>
                  </w:r>
                </w:p>
              </w:tc>
              <w:tc>
                <w:tcPr>
                  <w:tcW w:w="1019" w:type="dxa"/>
                  <w:tcBorders>
                    <w:top w:val="single" w:color="auto" w:sz="4" w:space="0"/>
                    <w:left w:val="single" w:color="auto" w:sz="4" w:space="0"/>
                    <w:bottom w:val="single" w:color="000000" w:sz="8" w:space="0"/>
                    <w:right w:val="single" w:color="auto" w:sz="4" w:space="0"/>
                  </w:tcBorders>
                  <w:vAlign w:val="center"/>
                </w:tcPr>
                <w:p w14:paraId="4522570A">
                  <w:pPr>
                    <w:widowControl/>
                    <w:jc w:val="center"/>
                    <w:rPr>
                      <w:color w:val="000000"/>
                    </w:rPr>
                  </w:pPr>
                </w:p>
              </w:tc>
              <w:tc>
                <w:tcPr>
                  <w:tcW w:w="1134" w:type="dxa"/>
                  <w:tcBorders>
                    <w:top w:val="single" w:color="auto" w:sz="4" w:space="0"/>
                    <w:left w:val="single" w:color="auto" w:sz="4" w:space="0"/>
                    <w:bottom w:val="single" w:color="000000" w:sz="8" w:space="0"/>
                    <w:right w:val="single" w:color="auto" w:sz="4" w:space="0"/>
                  </w:tcBorders>
                  <w:vAlign w:val="center"/>
                </w:tcPr>
                <w:p w14:paraId="6238002B">
                  <w:pPr>
                    <w:widowControl/>
                    <w:jc w:val="center"/>
                    <w:rPr>
                      <w:color w:val="000000"/>
                    </w:rPr>
                  </w:pPr>
                </w:p>
              </w:tc>
              <w:tc>
                <w:tcPr>
                  <w:tcW w:w="1134" w:type="dxa"/>
                  <w:vMerge w:val="continue"/>
                  <w:tcBorders>
                    <w:left w:val="single" w:color="auto" w:sz="4" w:space="0"/>
                    <w:bottom w:val="single" w:color="000000" w:sz="8" w:space="0"/>
                    <w:right w:val="single" w:color="auto" w:sz="8" w:space="0"/>
                  </w:tcBorders>
                  <w:vAlign w:val="center"/>
                </w:tcPr>
                <w:p w14:paraId="2965712D">
                  <w:pPr>
                    <w:widowControl/>
                    <w:jc w:val="center"/>
                    <w:rPr>
                      <w:color w:val="000000"/>
                    </w:rPr>
                  </w:pPr>
                </w:p>
              </w:tc>
            </w:tr>
            <w:tr w14:paraId="37424249">
              <w:tblPrEx>
                <w:tblCellMar>
                  <w:top w:w="0" w:type="dxa"/>
                  <w:left w:w="108" w:type="dxa"/>
                  <w:bottom w:w="0" w:type="dxa"/>
                  <w:right w:w="108" w:type="dxa"/>
                </w:tblCellMar>
              </w:tblPrEx>
              <w:trPr>
                <w:trHeight w:val="540" w:hRule="atLeast"/>
              </w:trPr>
              <w:tc>
                <w:tcPr>
                  <w:tcW w:w="456" w:type="dxa"/>
                  <w:tcBorders>
                    <w:top w:val="nil"/>
                    <w:left w:val="single" w:color="auto" w:sz="8" w:space="0"/>
                    <w:bottom w:val="single" w:color="auto" w:sz="8" w:space="0"/>
                    <w:right w:val="single" w:color="auto" w:sz="4" w:space="0"/>
                  </w:tcBorders>
                  <w:vAlign w:val="center"/>
                </w:tcPr>
                <w:p w14:paraId="3DE5AF35">
                  <w:pPr>
                    <w:widowControl/>
                    <w:rPr>
                      <w:color w:val="000000"/>
                    </w:rPr>
                  </w:pPr>
                  <w:r>
                    <w:rPr>
                      <w:rFonts w:hint="eastAsia"/>
                      <w:color w:val="000000"/>
                    </w:rPr>
                    <w:t>5</w:t>
                  </w:r>
                </w:p>
              </w:tc>
              <w:tc>
                <w:tcPr>
                  <w:tcW w:w="3065" w:type="dxa"/>
                  <w:gridSpan w:val="2"/>
                  <w:tcBorders>
                    <w:top w:val="single" w:color="auto" w:sz="4" w:space="0"/>
                    <w:left w:val="nil"/>
                    <w:bottom w:val="single" w:color="auto" w:sz="8" w:space="0"/>
                    <w:right w:val="single" w:color="auto" w:sz="4" w:space="0"/>
                  </w:tcBorders>
                  <w:vAlign w:val="center"/>
                </w:tcPr>
                <w:p w14:paraId="78623B9D">
                  <w:pPr>
                    <w:widowControl/>
                    <w:jc w:val="center"/>
                    <w:rPr>
                      <w:color w:val="000000"/>
                    </w:rPr>
                  </w:pPr>
                  <w:r>
                    <w:rPr>
                      <w:rFonts w:hint="eastAsia"/>
                      <w:color w:val="000000"/>
                    </w:rPr>
                    <w:t>吸附分离预处理装置</w:t>
                  </w:r>
                </w:p>
              </w:tc>
              <w:tc>
                <w:tcPr>
                  <w:tcW w:w="1134" w:type="dxa"/>
                  <w:tcBorders>
                    <w:top w:val="nil"/>
                    <w:left w:val="nil"/>
                    <w:bottom w:val="single" w:color="auto" w:sz="8" w:space="0"/>
                    <w:right w:val="single" w:color="auto" w:sz="4" w:space="0"/>
                  </w:tcBorders>
                  <w:noWrap/>
                  <w:vAlign w:val="center"/>
                </w:tcPr>
                <w:p w14:paraId="373EE97D">
                  <w:pPr>
                    <w:widowControl/>
                    <w:jc w:val="center"/>
                    <w:rPr>
                      <w:rFonts w:ascii="等线" w:hAnsi="等线" w:eastAsia="等线"/>
                      <w:color w:val="000000"/>
                    </w:rPr>
                  </w:pPr>
                  <w:r>
                    <w:rPr>
                      <w:rFonts w:hint="eastAsia" w:ascii="等线" w:hAnsi="等线" w:eastAsia="等线"/>
                      <w:color w:val="000000"/>
                    </w:rPr>
                    <w:t>6107.86</w:t>
                  </w:r>
                </w:p>
              </w:tc>
              <w:tc>
                <w:tcPr>
                  <w:tcW w:w="1272" w:type="dxa"/>
                  <w:tcBorders>
                    <w:top w:val="nil"/>
                    <w:left w:val="nil"/>
                    <w:bottom w:val="single" w:color="auto" w:sz="8" w:space="0"/>
                    <w:right w:val="single" w:color="auto" w:sz="4" w:space="0"/>
                    <w:tl2br w:val="single" w:color="auto" w:sz="4" w:space="0"/>
                  </w:tcBorders>
                  <w:vAlign w:val="center"/>
                </w:tcPr>
                <w:p w14:paraId="55B59D0B">
                  <w:pPr>
                    <w:widowControl/>
                    <w:rPr>
                      <w:color w:val="000000"/>
                    </w:rPr>
                  </w:pPr>
                </w:p>
              </w:tc>
              <w:tc>
                <w:tcPr>
                  <w:tcW w:w="1019" w:type="dxa"/>
                  <w:tcBorders>
                    <w:top w:val="nil"/>
                    <w:left w:val="single" w:color="auto" w:sz="4" w:space="0"/>
                    <w:bottom w:val="single" w:color="auto" w:sz="8" w:space="0"/>
                    <w:right w:val="single" w:color="auto" w:sz="4" w:space="0"/>
                  </w:tcBorders>
                  <w:vAlign w:val="center"/>
                </w:tcPr>
                <w:p w14:paraId="3D3B3517">
                  <w:pPr>
                    <w:widowControl/>
                    <w:jc w:val="center"/>
                    <w:rPr>
                      <w:color w:val="000000"/>
                    </w:rPr>
                  </w:pPr>
                </w:p>
              </w:tc>
              <w:tc>
                <w:tcPr>
                  <w:tcW w:w="1134" w:type="dxa"/>
                  <w:tcBorders>
                    <w:top w:val="nil"/>
                    <w:left w:val="single" w:color="auto" w:sz="4" w:space="0"/>
                    <w:bottom w:val="single" w:color="auto" w:sz="8" w:space="0"/>
                    <w:right w:val="single" w:color="auto" w:sz="4" w:space="0"/>
                  </w:tcBorders>
                  <w:vAlign w:val="center"/>
                </w:tcPr>
                <w:p w14:paraId="296EF1D6">
                  <w:pPr>
                    <w:widowControl/>
                    <w:jc w:val="center"/>
                    <w:rPr>
                      <w:color w:val="000000"/>
                    </w:rPr>
                  </w:pPr>
                </w:p>
              </w:tc>
              <w:tc>
                <w:tcPr>
                  <w:tcW w:w="1134" w:type="dxa"/>
                  <w:tcBorders>
                    <w:top w:val="nil"/>
                    <w:left w:val="single" w:color="auto" w:sz="4" w:space="0"/>
                    <w:bottom w:val="single" w:color="auto" w:sz="8" w:space="0"/>
                    <w:right w:val="single" w:color="auto" w:sz="8" w:space="0"/>
                  </w:tcBorders>
                  <w:vAlign w:val="center"/>
                </w:tcPr>
                <w:p w14:paraId="016210FE">
                  <w:pPr>
                    <w:widowControl/>
                    <w:jc w:val="center"/>
                    <w:rPr>
                      <w:color w:val="000000"/>
                    </w:rPr>
                  </w:pPr>
                </w:p>
              </w:tc>
            </w:tr>
            <w:tr w14:paraId="6689E1FA">
              <w:tblPrEx>
                <w:tblCellMar>
                  <w:top w:w="0" w:type="dxa"/>
                  <w:left w:w="108" w:type="dxa"/>
                  <w:bottom w:w="0" w:type="dxa"/>
                  <w:right w:w="108" w:type="dxa"/>
                </w:tblCellMar>
              </w:tblPrEx>
              <w:trPr>
                <w:trHeight w:val="540" w:hRule="atLeast"/>
              </w:trPr>
              <w:tc>
                <w:tcPr>
                  <w:tcW w:w="3521" w:type="dxa"/>
                  <w:gridSpan w:val="3"/>
                  <w:tcBorders>
                    <w:top w:val="single" w:color="auto" w:sz="8" w:space="0"/>
                    <w:left w:val="single" w:color="auto" w:sz="8" w:space="0"/>
                    <w:bottom w:val="single" w:color="auto" w:sz="8" w:space="0"/>
                    <w:right w:val="single" w:color="auto" w:sz="4" w:space="0"/>
                  </w:tcBorders>
                  <w:vAlign w:val="center"/>
                </w:tcPr>
                <w:p w14:paraId="1667C91C">
                  <w:pPr>
                    <w:widowControl/>
                    <w:jc w:val="center"/>
                    <w:rPr>
                      <w:color w:val="000000"/>
                    </w:rPr>
                  </w:pPr>
                  <w:r>
                    <w:rPr>
                      <w:rFonts w:hint="eastAsia"/>
                      <w:color w:val="000000"/>
                    </w:rPr>
                    <w:t>合计</w:t>
                  </w:r>
                </w:p>
              </w:tc>
              <w:tc>
                <w:tcPr>
                  <w:tcW w:w="1134" w:type="dxa"/>
                  <w:tcBorders>
                    <w:top w:val="single" w:color="auto" w:sz="8" w:space="0"/>
                    <w:left w:val="nil"/>
                    <w:bottom w:val="single" w:color="auto" w:sz="8" w:space="0"/>
                    <w:right w:val="single" w:color="auto" w:sz="4" w:space="0"/>
                  </w:tcBorders>
                  <w:noWrap/>
                  <w:vAlign w:val="center"/>
                </w:tcPr>
                <w:p w14:paraId="12436FDF">
                  <w:pPr>
                    <w:widowControl/>
                    <w:jc w:val="center"/>
                    <w:rPr>
                      <w:rFonts w:ascii="等线" w:hAnsi="等线" w:eastAsia="等线"/>
                      <w:color w:val="000000"/>
                    </w:rPr>
                  </w:pPr>
                  <w:r>
                    <w:rPr>
                      <w:rFonts w:hint="eastAsia" w:ascii="等线" w:hAnsi="等线" w:eastAsia="等线"/>
                      <w:color w:val="000000"/>
                    </w:rPr>
                    <w:t>18466.37</w:t>
                  </w:r>
                </w:p>
              </w:tc>
              <w:tc>
                <w:tcPr>
                  <w:tcW w:w="1272" w:type="dxa"/>
                  <w:tcBorders>
                    <w:top w:val="single" w:color="auto" w:sz="8" w:space="0"/>
                    <w:left w:val="nil"/>
                    <w:bottom w:val="single" w:color="auto" w:sz="8" w:space="0"/>
                    <w:right w:val="single" w:color="auto" w:sz="4" w:space="0"/>
                  </w:tcBorders>
                  <w:vAlign w:val="center"/>
                </w:tcPr>
                <w:p w14:paraId="7380999C">
                  <w:pPr>
                    <w:widowControl/>
                    <w:jc w:val="center"/>
                    <w:rPr>
                      <w:color w:val="000000"/>
                    </w:rPr>
                  </w:pPr>
                  <w:r>
                    <w:rPr>
                      <w:rFonts w:hint="eastAsia"/>
                      <w:color w:val="000000"/>
                    </w:rPr>
                    <w:t>7142.6</w:t>
                  </w:r>
                </w:p>
              </w:tc>
              <w:tc>
                <w:tcPr>
                  <w:tcW w:w="1019" w:type="dxa"/>
                  <w:tcBorders>
                    <w:top w:val="single" w:color="auto" w:sz="8" w:space="0"/>
                    <w:left w:val="single" w:color="auto" w:sz="4" w:space="0"/>
                    <w:bottom w:val="single" w:color="auto" w:sz="8" w:space="0"/>
                    <w:right w:val="single" w:color="auto" w:sz="4" w:space="0"/>
                    <w:tl2br w:val="single" w:color="auto" w:sz="4" w:space="0"/>
                  </w:tcBorders>
                  <w:vAlign w:val="center"/>
                </w:tcPr>
                <w:p w14:paraId="20133C13">
                  <w:pPr>
                    <w:widowControl/>
                    <w:jc w:val="center"/>
                    <w:rPr>
                      <w:color w:val="000000"/>
                    </w:rPr>
                  </w:pPr>
                </w:p>
              </w:tc>
              <w:tc>
                <w:tcPr>
                  <w:tcW w:w="1134" w:type="dxa"/>
                  <w:tcBorders>
                    <w:top w:val="single" w:color="auto" w:sz="8" w:space="0"/>
                    <w:left w:val="single" w:color="auto" w:sz="4" w:space="0"/>
                    <w:bottom w:val="single" w:color="auto" w:sz="8" w:space="0"/>
                    <w:right w:val="single" w:color="auto" w:sz="4" w:space="0"/>
                    <w:tl2br w:val="single" w:color="auto" w:sz="4" w:space="0"/>
                  </w:tcBorders>
                  <w:vAlign w:val="center"/>
                </w:tcPr>
                <w:p w14:paraId="5C74D329">
                  <w:pPr>
                    <w:widowControl/>
                    <w:jc w:val="center"/>
                    <w:rPr>
                      <w:color w:val="000000"/>
                    </w:rPr>
                  </w:pPr>
                </w:p>
              </w:tc>
              <w:tc>
                <w:tcPr>
                  <w:tcW w:w="1134" w:type="dxa"/>
                  <w:tcBorders>
                    <w:top w:val="single" w:color="auto" w:sz="8" w:space="0"/>
                    <w:left w:val="single" w:color="auto" w:sz="4" w:space="0"/>
                    <w:bottom w:val="single" w:color="auto" w:sz="8" w:space="0"/>
                    <w:right w:val="single" w:color="auto" w:sz="8" w:space="0"/>
                  </w:tcBorders>
                  <w:vAlign w:val="center"/>
                </w:tcPr>
                <w:p w14:paraId="68C2E4DD">
                  <w:pPr>
                    <w:widowControl/>
                    <w:jc w:val="center"/>
                    <w:rPr>
                      <w:color w:val="000000"/>
                    </w:rPr>
                  </w:pPr>
                </w:p>
              </w:tc>
            </w:tr>
          </w:tbl>
          <w:p w14:paraId="2207F973">
            <w:pPr>
              <w:pStyle w:val="2"/>
            </w:pPr>
          </w:p>
          <w:p w14:paraId="4679C02D">
            <w:pPr>
              <w:spacing w:line="360" w:lineRule="auto"/>
              <w:ind w:firstLine="980" w:firstLineChars="350"/>
              <w:rPr>
                <w:rFonts w:ascii="Times New Roman" w:hAnsi="Times New Roman"/>
                <w:sz w:val="28"/>
                <w:szCs w:val="28"/>
                <w:lang w:eastAsia="zh-CN"/>
              </w:rPr>
            </w:pP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4DAA6F87">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47478850"/>
                          </w:sdtPr>
                          <w:sdtContent>
                            <w:p w14:paraId="3D41E29B">
                              <w:pPr>
                                <w:pStyle w:val="33"/>
                                <w:jc w:val="center"/>
                              </w:pPr>
                            </w:p>
                            <w:sdt>
                              <w:sdtPr>
                                <w:id w:val="147457029"/>
                              </w:sdtPr>
                              <w:sdtContent>
                                <w:p w14:paraId="583831ED">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44</w:t>
                                  </w:r>
                                  <w:r>
                                    <w:rPr>
                                      <w:b/>
                                      <w:bCs/>
                                      <w:sz w:val="24"/>
                                      <w:szCs w:val="24"/>
                                    </w:rPr>
                                    <w:fldChar w:fldCharType="end"/>
                                  </w:r>
                                </w:p>
                              </w:sdtContent>
                            </w:sdt>
                            <w:p w14:paraId="382D0E73">
                              <w:pPr>
                                <w:pStyle w:val="33"/>
                                <w:jc w:val="center"/>
                              </w:pPr>
                            </w:p>
                          </w:sdtContent>
                        </w:sdt>
                        <w:p w14:paraId="64B4F666">
                          <w:pPr>
                            <w:pStyle w:val="2"/>
                          </w:pPr>
                        </w:p>
                      </w:txbxContent>
                    </wps:txbx>
                    <wps:bodyPr wrap="none" lIns="0" tIns="0" rIns="0" bIns="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rwssBAACcAwAADgAAAGRycy9lMm9Eb2MueG1srVPNjtMwEL4j8Q6W&#10;79RpkVCJ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7Ks&#10;Vq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oa8LLAQAAnAMAAA4AAAAAAAAAAQAgAAAAHgEAAGRycy9lMm9E&#10;b2MueG1sUEsFBgAAAAAGAAYAWQEAAFsFAAAAAA==&#10;">
              <v:fill on="f" focussize="0,0"/>
              <v:stroke on="f"/>
              <v:imagedata o:title=""/>
              <o:lock v:ext="edit" aspectratio="f"/>
              <v:textbox inset="0mm,0mm,0mm,0mm" style="mso-fit-shape-to-text:t;">
                <w:txbxContent>
                  <w:sdt>
                    <w:sdtPr>
                      <w:id w:val="147478850"/>
                    </w:sdtPr>
                    <w:sdtContent>
                      <w:p w14:paraId="3D41E29B">
                        <w:pPr>
                          <w:pStyle w:val="33"/>
                          <w:jc w:val="center"/>
                        </w:pPr>
                      </w:p>
                      <w:sdt>
                        <w:sdtPr>
                          <w:id w:val="147457029"/>
                        </w:sdtPr>
                        <w:sdtContent>
                          <w:p w14:paraId="583831ED">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44</w:t>
                            </w:r>
                            <w:r>
                              <w:rPr>
                                <w:b/>
                                <w:bCs/>
                                <w:sz w:val="24"/>
                                <w:szCs w:val="24"/>
                              </w:rPr>
                              <w:fldChar w:fldCharType="end"/>
                            </w:r>
                          </w:p>
                        </w:sdtContent>
                      </w:sdt>
                      <w:p w14:paraId="382D0E73">
                        <w:pPr>
                          <w:pStyle w:val="33"/>
                          <w:jc w:val="center"/>
                        </w:pPr>
                      </w:p>
                    </w:sdtContent>
                  </w:sdt>
                  <w:p w14:paraId="64B4F666">
                    <w:pPr>
                      <w:pStyle w:val="2"/>
                    </w:pPr>
                  </w:p>
                </w:txbxContent>
              </v:textbox>
            </v:shape>
          </w:pict>
        </mc:Fallback>
      </mc:AlternateConten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47472424"/>
                          </w:sdtPr>
                          <w:sdtContent>
                            <w:sdt>
                              <w:sdtPr>
                                <w:id w:val="147479746"/>
                              </w:sdtPr>
                              <w:sdtContent>
                                <w:p w14:paraId="311A247C">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44</w:t>
                                  </w:r>
                                  <w:r>
                                    <w:rPr>
                                      <w:b/>
                                      <w:bCs/>
                                      <w:sz w:val="24"/>
                                      <w:szCs w:val="24"/>
                                    </w:rPr>
                                    <w:fldChar w:fldCharType="end"/>
                                  </w:r>
                                </w:p>
                              </w:sdtContent>
                            </w:sdt>
                          </w:sdtContent>
                        </w:sdt>
                        <w:p w14:paraId="01B4146C">
                          <w:pPr>
                            <w:pStyle w:val="2"/>
                          </w:pPr>
                        </w:p>
                      </w:txbxContent>
                    </wps:txbx>
                    <wps:bodyPr wrap="none" lIns="0" tIns="0" rIns="0" bIns="0" upright="1">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YQJYPLAQAAnAMAAA4AAAAAAAAAAQAgAAAAHgEAAGRycy9lMm9E&#10;b2MueG1sUEsFBgAAAAAGAAYAWQEAAFsFAAAAAA==&#10;">
              <v:fill on="f" focussize="0,0"/>
              <v:stroke on="f"/>
              <v:imagedata o:title=""/>
              <o:lock v:ext="edit" aspectratio="f"/>
              <v:textbox inset="0mm,0mm,0mm,0mm" style="mso-fit-shape-to-text:t;">
                <w:txbxContent>
                  <w:sdt>
                    <w:sdtPr>
                      <w:id w:val="147472424"/>
                    </w:sdtPr>
                    <w:sdtContent>
                      <w:sdt>
                        <w:sdtPr>
                          <w:id w:val="147479746"/>
                        </w:sdtPr>
                        <w:sdtContent>
                          <w:p w14:paraId="311A247C">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44</w:t>
                            </w:r>
                            <w:r>
                              <w:rPr>
                                <w:b/>
                                <w:bCs/>
                                <w:sz w:val="24"/>
                                <w:szCs w:val="24"/>
                              </w:rPr>
                              <w:fldChar w:fldCharType="end"/>
                            </w:r>
                          </w:p>
                        </w:sdtContent>
                      </w:sdt>
                    </w:sdtContent>
                  </w:sdt>
                  <w:p w14:paraId="01B4146C">
                    <w:pPr>
                      <w:pStyle w:val="2"/>
                    </w:pPr>
                  </w:p>
                </w:txbxContent>
              </v:textbox>
            </v:shape>
          </w:pict>
        </mc:Fallback>
      </mc:AlternateConten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19E9C8">
                          <w:pPr>
                            <w:pStyle w:val="33"/>
                          </w:pPr>
                          <w:r>
                            <w:fldChar w:fldCharType="begin"/>
                          </w:r>
                          <w:r>
                            <w:instrText xml:space="preserve"> PAGE  \* MERGEFORMAT </w:instrText>
                          </w:r>
                          <w:r>
                            <w:fldChar w:fldCharType="separate"/>
                          </w:r>
                          <w:r>
                            <w:t>10</w:t>
                          </w:r>
                          <w:r>
                            <w:fldChar w:fldCharType="end"/>
                          </w:r>
                        </w:p>
                      </w:txbxContent>
                    </wps:txbx>
                    <wps:bodyPr wrap="none" lIns="0" tIns="0" rIns="0" bIns="0" upright="1">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MHb41zAEAAJwDAAAOAAAAAAAAAAEAIAAAAB4BAABkcnMvZTJv&#10;RG9jLnhtbFBLBQYAAAAABgAGAFkBAABcBQAAAAA=&#10;">
              <v:fill on="f" focussize="0,0"/>
              <v:stroke on="f"/>
              <v:imagedata o:title=""/>
              <o:lock v:ext="edit" aspectratio="f"/>
              <v:textbox inset="0mm,0mm,0mm,0mm" style="mso-fit-shape-to-text:t;">
                <w:txbxContent>
                  <w:p w14:paraId="7D19E9C8">
                    <w:pPr>
                      <w:pStyle w:val="33"/>
                    </w:pPr>
                    <w:r>
                      <w:fldChar w:fldCharType="begin"/>
                    </w:r>
                    <w:r>
                      <w:instrText xml:space="preserve"> PAGE  \* MERGEFORMAT </w:instrText>
                    </w:r>
                    <w:r>
                      <w:fldChar w:fldCharType="separate"/>
                    </w:r>
                    <w:r>
                      <w:t>10</w:t>
                    </w:r>
                    <w: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764AF04E">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764AF04E">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D57306">
                          <w:pPr>
                            <w:pStyle w:val="33"/>
                          </w:pPr>
                          <w:r>
                            <w:fldChar w:fldCharType="begin"/>
                          </w:r>
                          <w:r>
                            <w:instrText xml:space="preserve"> PAGE  \* MERGEFORMAT </w:instrText>
                          </w:r>
                          <w:r>
                            <w:fldChar w:fldCharType="separate"/>
                          </w:r>
                          <w:r>
                            <w:t>19</w:t>
                          </w:r>
                          <w:r>
                            <w:fldChar w:fldCharType="end"/>
                          </w: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w1iNcsBAACcAwAADgAAAGRycy9lMm9Eb2MueG1srVPNjtMwEL4j8Q6W&#10;79Rpk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A0ljlsc+OXH98vP35df38iy&#10;er3KHeoD1Jh4HzA1DW/9gHsz+wGdWfigos1flEQwjv09X/srh0REfrRerdcVhgTG5gvis4fnIUJ6&#10;J70l2WhoxAGWvvLTB0hj6pySqzl/p40pQzTuLwdiZg/L3EeO2UrDfpgE7X17Rj09zr6hDledEvPe&#10;YWvzmsxGnI39bBxD1IcOqS0LLwhvjglJFG65wgg7FcahFXXTguWteHwvWQ8/1f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MNYjXLAQAAnAMAAA4AAAAAAAAAAQAgAAAAHgEAAGRycy9lMm9E&#10;b2MueG1sUEsFBgAAAAAGAAYAWQEAAFsFAAAAAA==&#10;">
              <v:fill on="f" focussize="0,0"/>
              <v:stroke on="f"/>
              <v:imagedata o:title=""/>
              <o:lock v:ext="edit" aspectratio="f"/>
              <v:textbox inset="0mm,0mm,0mm,0mm" style="mso-fit-shape-to-text:t;">
                <w:txbxContent>
                  <w:p w14:paraId="53D57306">
                    <w:pPr>
                      <w:pStyle w:val="33"/>
                    </w:pPr>
                    <w:r>
                      <w:fldChar w:fldCharType="begin"/>
                    </w:r>
                    <w:r>
                      <w:instrText xml:space="preserve"> PAGE  \* MERGEFORMAT </w:instrText>
                    </w:r>
                    <w:r>
                      <w:fldChar w:fldCharType="separate"/>
                    </w:r>
                    <w:r>
                      <w:t>19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2">
    <w:nsid w:val="1D4C29EC"/>
    <w:multiLevelType w:val="multilevel"/>
    <w:tmpl w:val="1D4C29EC"/>
    <w:lvl w:ilvl="0" w:tentative="0">
      <w:start w:val="1"/>
      <w:numFmt w:val="decimal"/>
      <w:lvlText w:val="2.%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21817C81"/>
    <w:multiLevelType w:val="multilevel"/>
    <w:tmpl w:val="21817C81"/>
    <w:lvl w:ilvl="0" w:tentative="0">
      <w:start w:val="1"/>
      <w:numFmt w:val="decimal"/>
      <w:lvlText w:val="8.%1"/>
      <w:lvlJc w:val="left"/>
      <w:pPr>
        <w:ind w:left="360" w:hanging="360"/>
      </w:pPr>
      <w:rPr>
        <w:rFonts w:hint="eastAsia"/>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4B44014A"/>
    <w:multiLevelType w:val="singleLevel"/>
    <w:tmpl w:val="4B44014A"/>
    <w:lvl w:ilvl="0" w:tentative="0">
      <w:start w:val="9"/>
      <w:numFmt w:val="chineseCounting"/>
      <w:suff w:val="nothing"/>
      <w:lvlText w:val="%1、"/>
      <w:lvlJc w:val="left"/>
      <w:rPr>
        <w:rFonts w:hint="eastAsia"/>
      </w:rPr>
    </w:lvl>
  </w:abstractNum>
  <w:abstractNum w:abstractNumId="8">
    <w:nsid w:val="4F677422"/>
    <w:multiLevelType w:val="multilevel"/>
    <w:tmpl w:val="4F677422"/>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4F901D35"/>
    <w:multiLevelType w:val="multilevel"/>
    <w:tmpl w:val="4F901D35"/>
    <w:lvl w:ilvl="0" w:tentative="0">
      <w:start w:val="1"/>
      <w:numFmt w:val="decimal"/>
      <w:lvlText w:val="6.%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1">
    <w:nsid w:val="6DBC0DF4"/>
    <w:multiLevelType w:val="multilevel"/>
    <w:tmpl w:val="6DBC0DF4"/>
    <w:lvl w:ilvl="0" w:tentative="0">
      <w:start w:val="1"/>
      <w:numFmt w:val="decimal"/>
      <w:lvlText w:val="4.1.%1"/>
      <w:lvlJc w:val="left"/>
      <w:pPr>
        <w:ind w:left="440" w:hanging="440"/>
      </w:pPr>
      <w:rPr>
        <w:rFonts w:hint="eastAsia"/>
      </w:rPr>
    </w:lvl>
    <w:lvl w:ilvl="1" w:tentative="0">
      <w:start w:val="1"/>
      <w:numFmt w:val="decimal"/>
      <w:lvlText w:val="3.%2"/>
      <w:lvlJc w:val="left"/>
      <w:pPr>
        <w:ind w:left="880" w:hanging="440"/>
      </w:pPr>
      <w:rPr>
        <w:rFonts w:hint="eastAsia"/>
      </w:rPr>
    </w:lvl>
    <w:lvl w:ilvl="2" w:tentative="0">
      <w:start w:val="4"/>
      <w:numFmt w:val="japaneseCounting"/>
      <w:lvlText w:val="%3、"/>
      <w:lvlJc w:val="left"/>
      <w:pPr>
        <w:ind w:left="1480" w:hanging="600"/>
      </w:pPr>
      <w:rPr>
        <w:rFonts w:hint="default"/>
      </w:rPr>
    </w:lvl>
    <w:lvl w:ilvl="3" w:tentative="0">
      <w:start w:val="1"/>
      <w:numFmt w:val="decimal"/>
      <w:lvlText w:val="%4、"/>
      <w:lvlJc w:val="left"/>
      <w:pPr>
        <w:ind w:left="1680" w:hanging="360"/>
      </w:pPr>
      <w:rPr>
        <w:rFonts w:hint="default"/>
      </w:r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13">
    <w:nsid w:val="78471517"/>
    <w:multiLevelType w:val="multilevel"/>
    <w:tmpl w:val="78471517"/>
    <w:lvl w:ilvl="0" w:tentative="0">
      <w:start w:val="1"/>
      <w:numFmt w:val="decimal"/>
      <w:lvlText w:val="1.%1"/>
      <w:lvlJc w:val="left"/>
      <w:pPr>
        <w:ind w:left="440" w:hanging="440"/>
      </w:pPr>
      <w:rPr>
        <w:rFonts w:hint="eastAsia"/>
      </w:rPr>
    </w:lvl>
    <w:lvl w:ilvl="1" w:tentative="0">
      <w:start w:val="1"/>
      <w:numFmt w:val="decimal"/>
      <w:lvlText w:val="1.%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4">
    <w:nsid w:val="7C326F2F"/>
    <w:multiLevelType w:val="multilevel"/>
    <w:tmpl w:val="7C326F2F"/>
    <w:lvl w:ilvl="0" w:tentative="0">
      <w:start w:val="1"/>
      <w:numFmt w:val="decimal"/>
      <w:lvlText w:val="7.%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5">
    <w:nsid w:val="7F3A3702"/>
    <w:multiLevelType w:val="multilevel"/>
    <w:tmpl w:val="7F3A3702"/>
    <w:lvl w:ilvl="0" w:tentative="0">
      <w:start w:val="1"/>
      <w:numFmt w:val="decimal"/>
      <w:lvlText w:val="9.%1"/>
      <w:lvlJc w:val="left"/>
      <w:pPr>
        <w:ind w:left="360" w:hanging="360"/>
      </w:pPr>
      <w:rPr>
        <w:rFonts w:hint="eastAsia"/>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num w:numId="1">
    <w:abstractNumId w:val="10"/>
  </w:num>
  <w:num w:numId="2">
    <w:abstractNumId w:val="0"/>
  </w:num>
  <w:num w:numId="3">
    <w:abstractNumId w:val="7"/>
  </w:num>
  <w:num w:numId="4">
    <w:abstractNumId w:val="4"/>
  </w:num>
  <w:num w:numId="5">
    <w:abstractNumId w:val="5"/>
  </w:num>
  <w:num w:numId="6">
    <w:abstractNumId w:val="6"/>
  </w:num>
  <w:num w:numId="7">
    <w:abstractNumId w:val="12"/>
  </w:num>
  <w:num w:numId="8">
    <w:abstractNumId w:val="8"/>
  </w:num>
  <w:num w:numId="9">
    <w:abstractNumId w:val="13"/>
  </w:num>
  <w:num w:numId="10">
    <w:abstractNumId w:val="2"/>
  </w:num>
  <w:num w:numId="11">
    <w:abstractNumId w:val="11"/>
  </w:num>
  <w:num w:numId="12">
    <w:abstractNumId w:val="9"/>
  </w:num>
  <w:num w:numId="13">
    <w:abstractNumId w:val="14"/>
  </w:num>
  <w:num w:numId="14">
    <w:abstractNumId w:val="3"/>
  </w:num>
  <w:num w:numId="15">
    <w:abstractNumId w:val="15"/>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noPunctuationKerning w:val="1"/>
  <w:characterSpacingControl w:val="doNotCompress"/>
  <w:hdrShapeDefaults>
    <o:shapelayout v:ext="edit">
      <o:idmap v:ext="edit" data="2,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0F5E37"/>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07F"/>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12D6"/>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4AA"/>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1F3C42"/>
    <w:rsid w:val="0367315B"/>
    <w:rsid w:val="03D16C91"/>
    <w:rsid w:val="04204A71"/>
    <w:rsid w:val="061139E5"/>
    <w:rsid w:val="06F50B00"/>
    <w:rsid w:val="071208DE"/>
    <w:rsid w:val="076E1278"/>
    <w:rsid w:val="08D1141D"/>
    <w:rsid w:val="0A14137D"/>
    <w:rsid w:val="0B296DE2"/>
    <w:rsid w:val="10294AA3"/>
    <w:rsid w:val="10E40CA0"/>
    <w:rsid w:val="114E0702"/>
    <w:rsid w:val="136130D9"/>
    <w:rsid w:val="13745BD7"/>
    <w:rsid w:val="144E062A"/>
    <w:rsid w:val="16933BA9"/>
    <w:rsid w:val="18DD4F7E"/>
    <w:rsid w:val="195B58A2"/>
    <w:rsid w:val="1C5139C1"/>
    <w:rsid w:val="1E085A14"/>
    <w:rsid w:val="1E5764F9"/>
    <w:rsid w:val="1EBB29E4"/>
    <w:rsid w:val="1FE30229"/>
    <w:rsid w:val="1FF43DDB"/>
    <w:rsid w:val="1FFF643B"/>
    <w:rsid w:val="2085387C"/>
    <w:rsid w:val="20DA53AA"/>
    <w:rsid w:val="20F326ED"/>
    <w:rsid w:val="21933AA2"/>
    <w:rsid w:val="22C543E9"/>
    <w:rsid w:val="23AD4850"/>
    <w:rsid w:val="25474EAF"/>
    <w:rsid w:val="25BF356F"/>
    <w:rsid w:val="25DB0C2D"/>
    <w:rsid w:val="269469E7"/>
    <w:rsid w:val="275B734B"/>
    <w:rsid w:val="27761834"/>
    <w:rsid w:val="29375E29"/>
    <w:rsid w:val="29FC3B14"/>
    <w:rsid w:val="2A810EFA"/>
    <w:rsid w:val="2B11792E"/>
    <w:rsid w:val="2B186806"/>
    <w:rsid w:val="31C54755"/>
    <w:rsid w:val="3216608C"/>
    <w:rsid w:val="322A3C7D"/>
    <w:rsid w:val="344622E0"/>
    <w:rsid w:val="34CE14C6"/>
    <w:rsid w:val="34D84CEC"/>
    <w:rsid w:val="35386DE0"/>
    <w:rsid w:val="36065CBA"/>
    <w:rsid w:val="37AF5AB7"/>
    <w:rsid w:val="39916B30"/>
    <w:rsid w:val="3A1728CF"/>
    <w:rsid w:val="3B030309"/>
    <w:rsid w:val="3B1C3371"/>
    <w:rsid w:val="3CC23198"/>
    <w:rsid w:val="3DDF4815"/>
    <w:rsid w:val="3F813922"/>
    <w:rsid w:val="3FE669E5"/>
    <w:rsid w:val="43C46838"/>
    <w:rsid w:val="4AAD035C"/>
    <w:rsid w:val="4BC3600A"/>
    <w:rsid w:val="4EEB39F6"/>
    <w:rsid w:val="4FEB6C9E"/>
    <w:rsid w:val="50060D27"/>
    <w:rsid w:val="507A7F65"/>
    <w:rsid w:val="50F63E28"/>
    <w:rsid w:val="51AE1E68"/>
    <w:rsid w:val="5221007F"/>
    <w:rsid w:val="52926B5A"/>
    <w:rsid w:val="545C5E51"/>
    <w:rsid w:val="5486175B"/>
    <w:rsid w:val="55500DF6"/>
    <w:rsid w:val="55E72F2E"/>
    <w:rsid w:val="57667D24"/>
    <w:rsid w:val="57934C3E"/>
    <w:rsid w:val="57CE5BC3"/>
    <w:rsid w:val="58FA34AD"/>
    <w:rsid w:val="59B51AED"/>
    <w:rsid w:val="5AE1516A"/>
    <w:rsid w:val="5B6A3A79"/>
    <w:rsid w:val="5BAF4E87"/>
    <w:rsid w:val="5BBC14F6"/>
    <w:rsid w:val="5C1A5F7B"/>
    <w:rsid w:val="5E3E7B35"/>
    <w:rsid w:val="5E836CBA"/>
    <w:rsid w:val="645771F8"/>
    <w:rsid w:val="675D6DC0"/>
    <w:rsid w:val="67AF6668"/>
    <w:rsid w:val="686C3513"/>
    <w:rsid w:val="68A31CCA"/>
    <w:rsid w:val="6A54112D"/>
    <w:rsid w:val="6AA035AE"/>
    <w:rsid w:val="6CFE3587"/>
    <w:rsid w:val="6D810F65"/>
    <w:rsid w:val="6E0F2E14"/>
    <w:rsid w:val="6E191737"/>
    <w:rsid w:val="6F1E141D"/>
    <w:rsid w:val="6F5354F8"/>
    <w:rsid w:val="6FCD7C56"/>
    <w:rsid w:val="740A2BDE"/>
    <w:rsid w:val="751839E0"/>
    <w:rsid w:val="751F25CB"/>
    <w:rsid w:val="76274F93"/>
    <w:rsid w:val="76C35971"/>
    <w:rsid w:val="76E94FCC"/>
    <w:rsid w:val="79EB3F2F"/>
    <w:rsid w:val="7B11789E"/>
    <w:rsid w:val="7BC609BA"/>
    <w:rsid w:val="7C401F39"/>
    <w:rsid w:val="7DC94A0A"/>
    <w:rsid w:val="7E7C69F3"/>
    <w:rsid w:val="7F786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4"/>
    <w:next w:val="4"/>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4">
    <w:name w:val="正文_0"/>
    <w:basedOn w:val="2"/>
    <w:next w:val="3"/>
    <w:qFormat/>
    <w:uiPriority w:val="0"/>
    <w:rPr>
      <w:rFonts w:ascii="Calibri"/>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4"/>
    <w:next w:val="4"/>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14:textFill>
        <w14:solidFill>
          <w14:schemeClr w14:val="hlink"/>
        </w14:solidFill>
      </w14:textFill>
    </w:rPr>
  </w:style>
  <w:style w:type="character" w:styleId="59">
    <w:name w:val="annotation reference"/>
    <w:basedOn w:val="53"/>
    <w:qFormat/>
    <w:uiPriority w:val="0"/>
    <w:rPr>
      <w:sz w:val="21"/>
      <w:szCs w:val="21"/>
    </w:rPr>
  </w:style>
  <w:style w:type="character" w:customStyle="1" w:styleId="60">
    <w:name w:val="标题 1 Char"/>
    <w:basedOn w:val="53"/>
    <w:link w:val="3"/>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qFormat/>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qFormat/>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qFormat/>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qFormat/>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qFormat/>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qFormat/>
    <w:uiPriority w:val="0"/>
    <w:rPr>
      <w:rFonts w:ascii="宋体" w:hAnsi="宋体" w:cs="宋体"/>
      <w:sz w:val="22"/>
      <w:szCs w:val="22"/>
      <w:lang w:eastAsia="en-US"/>
    </w:rPr>
  </w:style>
  <w:style w:type="paragraph" w:customStyle="1" w:styleId="118">
    <w:name w:val="标题3(3号)"/>
    <w:basedOn w:val="6"/>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qFormat/>
    <w:uiPriority w:val="0"/>
    <w:rPr>
      <w:rFonts w:ascii="宋体" w:hAnsi="宋体" w:cs="宋体"/>
      <w:sz w:val="22"/>
      <w:szCs w:val="22"/>
      <w:lang w:eastAsia="en-US"/>
    </w:rPr>
  </w:style>
  <w:style w:type="paragraph" w:customStyle="1" w:styleId="123">
    <w:name w:val="标题2(小3号)"/>
    <w:basedOn w:val="5"/>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ind w:left="0"/>
    </w:pPr>
    <w:rPr>
      <w:rFonts w:ascii="Arial" w:hAnsi="Arial"/>
      <w:bCs w:val="0"/>
      <w:color w:val="0000FF"/>
      <w:kern w:val="44"/>
      <w:sz w:val="44"/>
      <w:szCs w:val="36"/>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qFormat/>
    <w:uiPriority w:val="0"/>
    <w:rPr>
      <w:rFonts w:ascii="宋体" w:hAnsi="宋体" w:cs="宋体"/>
      <w:sz w:val="22"/>
      <w:szCs w:val="22"/>
      <w:lang w:eastAsia="en-US"/>
    </w:rPr>
  </w:style>
  <w:style w:type="character" w:customStyle="1" w:styleId="130">
    <w:name w:val="标题 Char1"/>
    <w:basedOn w:val="53"/>
    <w:qFormat/>
    <w:uiPriority w:val="0"/>
    <w:rPr>
      <w:rFonts w:asciiTheme="majorHAnsi" w:hAnsiTheme="majorHAnsi" w:cstheme="majorBidi"/>
      <w:b/>
      <w:bCs/>
      <w:sz w:val="32"/>
      <w:szCs w:val="32"/>
      <w:lang w:eastAsia="en-US"/>
    </w:rPr>
  </w:style>
  <w:style w:type="character" w:customStyle="1" w:styleId="131">
    <w:name w:val="正文文本缩进 3 Char1"/>
    <w:basedOn w:val="53"/>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5"/>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snapToGrid w:val="0"/>
      <w:spacing w:afterLines="50" w:line="400" w:lineRule="exact"/>
      <w:ind w:left="0"/>
      <w:jc w:val="center"/>
    </w:pPr>
    <w:rPr>
      <w:rFonts w:ascii="Times New Roman" w:hAnsi="Times New Roman" w:eastAsia="黑体"/>
      <w:kern w:val="44"/>
      <w:sz w:val="44"/>
      <w:szCs w:val="20"/>
    </w:rPr>
  </w:style>
  <w:style w:type="paragraph" w:customStyle="1" w:styleId="161">
    <w:name w:val="标题1"/>
    <w:basedOn w:val="3"/>
    <w:qFormat/>
    <w:uiPriority w:val="0"/>
    <w:pPr>
      <w:keepNext/>
      <w:keepLines/>
      <w:tabs>
        <w:tab w:val="left" w:pos="360"/>
      </w:tabs>
      <w:spacing w:before="120" w:line="360" w:lineRule="auto"/>
      <w:ind w:left="0"/>
    </w:pPr>
    <w:rPr>
      <w:rFonts w:ascii="Times New Roman" w:hAnsi="Times New Roman"/>
      <w:kern w:val="44"/>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qFormat/>
    <w:uiPriority w:val="0"/>
    <w:pPr>
      <w:keepLines/>
      <w:spacing w:beforeLines="50" w:afterLines="50"/>
      <w:ind w:left="0"/>
    </w:pPr>
    <w:rPr>
      <w:color w:val="000000"/>
      <w:kern w:val="44"/>
      <w:sz w:val="36"/>
      <w:szCs w:val="36"/>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spacing w:line="360" w:lineRule="auto"/>
      <w:ind w:left="0"/>
    </w:pPr>
    <w:rPr>
      <w:rFonts w:ascii="Times New Roman" w:hAnsi="Times New Roman"/>
      <w:bCs w:val="0"/>
      <w:color w:val="000000"/>
      <w:kern w:val="44"/>
      <w:sz w:val="32"/>
      <w:szCs w:val="32"/>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ind w:left="0"/>
    </w:pPr>
    <w:rPr>
      <w:rFonts w:ascii="Arial" w:hAnsi="Arial"/>
      <w:bCs w:val="0"/>
      <w:color w:val="0000FF"/>
      <w:kern w:val="44"/>
      <w:sz w:val="30"/>
      <w:szCs w:val="36"/>
    </w:rPr>
  </w:style>
  <w:style w:type="paragraph" w:customStyle="1" w:styleId="177">
    <w:name w:val="标题1(小2号)"/>
    <w:basedOn w:val="3"/>
    <w:next w:val="105"/>
    <w:qFormat/>
    <w:uiPriority w:val="0"/>
    <w:pPr>
      <w:keepLines/>
      <w:ind w:left="0"/>
    </w:pPr>
    <w:rPr>
      <w:rFonts w:ascii="Arial" w:hAnsi="Arial"/>
      <w:bCs w:val="0"/>
      <w:color w:val="0000FF"/>
      <w:kern w:val="44"/>
      <w:sz w:val="36"/>
      <w:szCs w:val="36"/>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outlineLvl w:val="5"/>
    </w:pPr>
    <w:rPr>
      <w:rFonts w:ascii="Arial" w:hAnsi="Arial" w:eastAsia="黑体"/>
      <w:b/>
      <w:snapToGrid w:val="0"/>
      <w:color w:val="000000"/>
      <w:sz w:val="24"/>
    </w:rPr>
  </w:style>
  <w:style w:type="character" w:customStyle="1" w:styleId="212">
    <w:name w:val="font41"/>
    <w:basedOn w:val="53"/>
    <w:qFormat/>
    <w:uiPriority w:val="0"/>
    <w:rPr>
      <w:rFonts w:hint="eastAsia" w:ascii="宋体" w:hAnsi="宋体" w:eastAsia="宋体" w:cs="宋体"/>
      <w:color w:val="000000"/>
      <w:sz w:val="22"/>
      <w:szCs w:val="22"/>
      <w:u w:val="none"/>
    </w:rPr>
  </w:style>
  <w:style w:type="character" w:customStyle="1" w:styleId="213">
    <w:name w:val="font91"/>
    <w:basedOn w:val="53"/>
    <w:qFormat/>
    <w:uiPriority w:val="0"/>
    <w:rPr>
      <w:rFonts w:hint="eastAsia" w:ascii="宋体" w:hAnsi="宋体" w:eastAsia="宋体" w:cs="宋体"/>
      <w:color w:val="000000"/>
      <w:sz w:val="22"/>
      <w:szCs w:val="22"/>
      <w:u w:val="none"/>
    </w:rPr>
  </w:style>
  <w:style w:type="character" w:customStyle="1" w:styleId="214">
    <w:name w:val="font51"/>
    <w:basedOn w:val="5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307B47-91DC-4FB8-A7A2-7B5B6DE5575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43</Pages>
  <Words>4595</Words>
  <Characters>4927</Characters>
  <Lines>156</Lines>
  <Paragraphs>44</Paragraphs>
  <TotalTime>54</TotalTime>
  <ScaleCrop>false</ScaleCrop>
  <LinksUpToDate>false</LinksUpToDate>
  <CharactersWithSpaces>5331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2026-08-17T07:03:49Z</dcterms:modified>
  <dc:title>公开招标文件（货物服务类）</dc:title>
  <cp:revision>421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2052-12.1.0.28043</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6D27A81E4A4742DAB24D11F6486119F9_13</vt:lpwstr>
  </property>
</Properties>
</file>