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065F8">
      <w:pPr>
        <w:pStyle w:val="2"/>
        <w:widowControl/>
        <w:spacing w:beforeAutospacing="0" w:afterAutospacing="0" w:line="360" w:lineRule="atLeast"/>
        <w:ind w:firstLine="482" w:firstLineChars="200"/>
        <w:jc w:val="center"/>
        <w:rPr>
          <w:rFonts w:hint="default"/>
          <w:color w:val="1F2329"/>
          <w:sz w:val="24"/>
          <w:szCs w:val="24"/>
        </w:rPr>
      </w:pPr>
      <w:r>
        <w:rPr>
          <w:color w:val="1F2329"/>
          <w:sz w:val="24"/>
          <w:szCs w:val="24"/>
        </w:rPr>
        <w:t>福海创石油化工有限公司废塑料化学法再生利用项目</w:t>
      </w:r>
    </w:p>
    <w:p w14:paraId="633DAE19">
      <w:pPr>
        <w:pStyle w:val="2"/>
        <w:widowControl/>
        <w:spacing w:beforeAutospacing="0" w:afterAutospacing="0" w:line="360" w:lineRule="atLeast"/>
        <w:ind w:firstLine="482" w:firstLineChars="200"/>
        <w:jc w:val="center"/>
        <w:rPr>
          <w:rFonts w:hint="default"/>
          <w:color w:val="1F2329"/>
          <w:sz w:val="24"/>
          <w:szCs w:val="24"/>
        </w:rPr>
      </w:pPr>
      <w:r>
        <w:rPr>
          <w:color w:val="1F2329"/>
          <w:sz w:val="24"/>
          <w:szCs w:val="24"/>
        </w:rPr>
        <w:t>预可行性研究报告编制发包技术要求</w:t>
      </w:r>
    </w:p>
    <w:p w14:paraId="38FA6837">
      <w:pPr>
        <w:ind w:firstLine="420" w:firstLineChars="200"/>
      </w:pPr>
    </w:p>
    <w:p w14:paraId="02989B36">
      <w:pPr>
        <w:widowControl/>
        <w:spacing w:line="360" w:lineRule="atLeast"/>
        <w:ind w:firstLine="480" w:firstLineChars="200"/>
        <w:jc w:val="left"/>
        <w:rPr>
          <w:rFonts w:ascii="宋体" w:hAnsi="宋体" w:eastAsia="宋体" w:cs="宋体"/>
          <w:b w:val="0"/>
          <w:bCs w:val="0"/>
          <w:color w:val="1F2329"/>
          <w:kern w:val="0"/>
          <w:sz w:val="24"/>
          <w:lang w:bidi="ar"/>
        </w:rPr>
      </w:pPr>
      <w:r>
        <w:rPr>
          <w:rFonts w:hint="eastAsia" w:ascii="宋体" w:hAnsi="宋体" w:eastAsia="宋体" w:cs="宋体"/>
          <w:b w:val="0"/>
          <w:bCs w:val="0"/>
          <w:color w:val="1F2329"/>
          <w:kern w:val="0"/>
          <w:sz w:val="24"/>
          <w:lang w:bidi="ar"/>
        </w:rPr>
        <w:t>福建福海创石油化工有限公司成立于2017年10月27日，坐落于福建省漳州古雷经济开发区，占地面积290公顷。作为华东地区芳烃产品的主要供应企业以及福建地区最大的PTA供应商，公司拥有550万吨/年凝析油加工能力、160万吨/年PX产能和450万吨/年PTA产能。公司涵盖PX厂区、PTA厂区、苯酐厂区、液体码头和固体码头等五部分。</w:t>
      </w:r>
    </w:p>
    <w:p w14:paraId="747A317B">
      <w:pPr>
        <w:pStyle w:val="3"/>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一、项目服务目标</w:t>
      </w:r>
    </w:p>
    <w:p w14:paraId="5C9FFD44">
      <w:pPr>
        <w:widowControl/>
        <w:spacing w:line="360" w:lineRule="atLeast"/>
        <w:ind w:firstLine="480" w:firstLineChars="200"/>
        <w:jc w:val="left"/>
        <w:rPr>
          <w:b w:val="0"/>
          <w:bCs w:val="0"/>
          <w:color w:val="1F2329"/>
          <w:sz w:val="24"/>
        </w:rPr>
      </w:pPr>
      <w:r>
        <w:rPr>
          <w:rFonts w:ascii="宋体" w:hAnsi="宋体" w:eastAsia="宋体" w:cs="宋体"/>
          <w:b w:val="0"/>
          <w:bCs w:val="0"/>
          <w:color w:val="1F2329"/>
          <w:kern w:val="0"/>
          <w:sz w:val="24"/>
          <w:lang w:bidi="ar"/>
        </w:rPr>
        <w:t>受托方完成废塑料化学法再生项目</w:t>
      </w:r>
      <w:r>
        <w:rPr>
          <w:rFonts w:hint="eastAsia" w:ascii="宋体" w:hAnsi="宋体" w:eastAsia="宋体" w:cs="宋体"/>
          <w:b w:val="0"/>
          <w:bCs w:val="0"/>
          <w:color w:val="1F2329"/>
          <w:kern w:val="0"/>
          <w:sz w:val="24"/>
          <w:lang w:bidi="ar"/>
        </w:rPr>
        <w:t>预</w:t>
      </w:r>
      <w:r>
        <w:rPr>
          <w:rFonts w:ascii="宋体" w:hAnsi="宋体" w:eastAsia="宋体" w:cs="宋体"/>
          <w:b w:val="0"/>
          <w:bCs w:val="0"/>
          <w:color w:val="1F2329"/>
          <w:kern w:val="0"/>
          <w:sz w:val="24"/>
          <w:lang w:bidi="ar"/>
        </w:rPr>
        <w:t>可行性研究报告编制。通过开展</w:t>
      </w:r>
      <w:r>
        <w:rPr>
          <w:rFonts w:hint="eastAsia" w:ascii="宋体" w:hAnsi="宋体" w:eastAsia="宋体" w:cs="宋体"/>
          <w:b w:val="0"/>
          <w:bCs w:val="0"/>
          <w:color w:val="1F2329"/>
          <w:kern w:val="0"/>
          <w:sz w:val="24"/>
          <w:lang w:bidi="ar"/>
        </w:rPr>
        <w:t>废塑料</w:t>
      </w:r>
      <w:r>
        <w:rPr>
          <w:rFonts w:ascii="宋体" w:hAnsi="宋体" w:eastAsia="宋体" w:cs="宋体"/>
          <w:b w:val="0"/>
          <w:bCs w:val="0"/>
          <w:color w:val="1F2329"/>
          <w:kern w:val="0"/>
          <w:sz w:val="24"/>
          <w:lang w:bidi="ar"/>
        </w:rPr>
        <w:t>市场调研，摸清区域废塑料实际供给、品质、杂质波动特征；结合福海创现有炼化化工装置现状、物料互供条件、产品消纳通道，开展多工艺路线比选论证；系统分析厂址总图、环保安全、能耗碳排放、投资估算、财务效益、全链条风险，客观评价项目建设可行性，提出可落地建设方案及风险防控措施。</w:t>
      </w:r>
    </w:p>
    <w:p w14:paraId="12D22E96">
      <w:pPr>
        <w:pStyle w:val="3"/>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二、受托方资质要求</w:t>
      </w:r>
    </w:p>
    <w:p w14:paraId="697EFBAA">
      <w:pPr>
        <w:widowControl/>
        <w:numPr>
          <w:ilvl w:val="0"/>
          <w:numId w:val="1"/>
        </w:numPr>
        <w:spacing w:line="360" w:lineRule="atLeast"/>
        <w:ind w:left="0" w:firstLine="480" w:firstLineChars="200"/>
        <w:jc w:val="left"/>
        <w:rPr>
          <w:b w:val="0"/>
          <w:bCs w:val="0"/>
          <w:color w:val="1F2329"/>
          <w:sz w:val="24"/>
        </w:rPr>
      </w:pPr>
      <w:r>
        <w:rPr>
          <w:rFonts w:hint="eastAsia"/>
          <w:b w:val="0"/>
          <w:bCs w:val="0"/>
          <w:color w:val="1F2329"/>
          <w:sz w:val="24"/>
        </w:rPr>
        <w:t>同时</w:t>
      </w:r>
      <w:r>
        <w:rPr>
          <w:b w:val="0"/>
          <w:bCs w:val="0"/>
          <w:color w:val="1F2329"/>
          <w:sz w:val="24"/>
        </w:rPr>
        <w:t>具备</w:t>
      </w:r>
      <w:r>
        <w:rPr>
          <w:rStyle w:val="8"/>
          <w:b w:val="0"/>
          <w:bCs w:val="0"/>
          <w:color w:val="1F2329"/>
          <w:sz w:val="24"/>
        </w:rPr>
        <w:t>工程咨询单位资质</w:t>
      </w:r>
      <w:r>
        <w:rPr>
          <w:rStyle w:val="8"/>
          <w:rFonts w:hint="eastAsia"/>
          <w:b w:val="0"/>
          <w:bCs w:val="0"/>
          <w:color w:val="1F2329"/>
          <w:sz w:val="24"/>
        </w:rPr>
        <w:t>和</w:t>
      </w:r>
      <w:r>
        <w:rPr>
          <w:rStyle w:val="8"/>
          <w:b w:val="0"/>
          <w:bCs w:val="0"/>
          <w:color w:val="1F2329"/>
          <w:sz w:val="24"/>
        </w:rPr>
        <w:t>化工石化医药专业</w:t>
      </w:r>
      <w:r>
        <w:rPr>
          <w:rStyle w:val="8"/>
          <w:rFonts w:hint="eastAsia"/>
          <w:b w:val="0"/>
          <w:bCs w:val="0"/>
          <w:color w:val="1F2329"/>
          <w:sz w:val="24"/>
          <w:lang w:val="en-US" w:eastAsia="zh-CN"/>
        </w:rPr>
        <w:t>设计</w:t>
      </w:r>
      <w:r>
        <w:rPr>
          <w:rStyle w:val="8"/>
          <w:rFonts w:hint="eastAsia"/>
          <w:b w:val="0"/>
          <w:bCs w:val="0"/>
          <w:color w:val="1F2329"/>
          <w:sz w:val="24"/>
        </w:rPr>
        <w:t>甲级及以上资质</w:t>
      </w:r>
      <w:r>
        <w:rPr>
          <w:b w:val="0"/>
          <w:bCs w:val="0"/>
          <w:color w:val="1F2329"/>
          <w:sz w:val="24"/>
        </w:rPr>
        <w:t>，可在全国投资项目在线审批监管平台查询备案</w:t>
      </w:r>
      <w:r>
        <w:rPr>
          <w:rFonts w:hint="eastAsia"/>
          <w:b w:val="0"/>
          <w:bCs w:val="0"/>
          <w:color w:val="1F2329"/>
          <w:sz w:val="24"/>
          <w:lang w:eastAsia="zh-CN"/>
        </w:rPr>
        <w:t>。</w:t>
      </w:r>
      <w:bookmarkStart w:id="0" w:name="_GoBack"/>
      <w:bookmarkEnd w:id="0"/>
    </w:p>
    <w:p w14:paraId="249B8F4D">
      <w:pPr>
        <w:pStyle w:val="3"/>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三、主要工作范围</w:t>
      </w:r>
    </w:p>
    <w:p w14:paraId="761E8FF8">
      <w:pPr>
        <w:pStyle w:val="4"/>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（一）政策及行业现状调研</w:t>
      </w:r>
    </w:p>
    <w:p w14:paraId="779269CD">
      <w:pPr>
        <w:widowControl/>
        <w:numPr>
          <w:ilvl w:val="0"/>
          <w:numId w:val="2"/>
        </w:numPr>
        <w:spacing w:line="360" w:lineRule="atLeast"/>
        <w:ind w:left="0" w:firstLine="480" w:firstLineChars="200"/>
        <w:jc w:val="left"/>
        <w:rPr>
          <w:b w:val="0"/>
          <w:bCs w:val="0"/>
          <w:color w:val="1F2329"/>
          <w:sz w:val="24"/>
        </w:rPr>
      </w:pPr>
      <w:r>
        <w:rPr>
          <w:b w:val="0"/>
          <w:bCs w:val="0"/>
          <w:color w:val="1F2329"/>
          <w:sz w:val="24"/>
        </w:rPr>
        <w:t>收集国家及地方</w:t>
      </w:r>
      <w:r>
        <w:rPr>
          <w:rFonts w:ascii="宋体" w:hAnsi="宋体" w:eastAsia="宋体" w:cs="宋体"/>
          <w:b w:val="0"/>
          <w:bCs w:val="0"/>
          <w:sz w:val="24"/>
        </w:rPr>
        <w:t>固体废物</w:t>
      </w:r>
      <w:r>
        <w:rPr>
          <w:b w:val="0"/>
          <w:bCs w:val="0"/>
          <w:color w:val="1F2329"/>
          <w:sz w:val="24"/>
        </w:rPr>
        <w:t>、再生资源、塑料污染治理、废橡胶综合利用、危废管理、能耗双碳、可持续原料认证相关政策、标准规范；</w:t>
      </w:r>
    </w:p>
    <w:p w14:paraId="7EE9C6E9">
      <w:pPr>
        <w:widowControl/>
        <w:numPr>
          <w:ilvl w:val="0"/>
          <w:numId w:val="2"/>
        </w:numPr>
        <w:spacing w:line="360" w:lineRule="atLeast"/>
        <w:ind w:left="0" w:firstLine="480" w:firstLineChars="200"/>
        <w:jc w:val="left"/>
        <w:rPr>
          <w:b w:val="0"/>
          <w:bCs w:val="0"/>
          <w:color w:val="1F2329"/>
          <w:sz w:val="24"/>
        </w:rPr>
      </w:pPr>
      <w:r>
        <w:rPr>
          <w:b w:val="0"/>
          <w:bCs w:val="0"/>
          <w:color w:val="1F2329"/>
          <w:sz w:val="24"/>
        </w:rPr>
        <w:t>梳理国内外废塑料、废橡胶化学再生主流技术路线，区分中试示范、在建、已商业化投产项目，客观说明各类技术的适用原料范围、运行痛点、工业化实际水平，不得夸大工艺成熟度；</w:t>
      </w:r>
    </w:p>
    <w:p w14:paraId="007FBBAF">
      <w:pPr>
        <w:widowControl/>
        <w:numPr>
          <w:ilvl w:val="0"/>
          <w:numId w:val="2"/>
        </w:numPr>
        <w:spacing w:line="360" w:lineRule="atLeast"/>
        <w:ind w:left="0" w:firstLine="480" w:firstLineChars="200"/>
        <w:jc w:val="left"/>
        <w:rPr>
          <w:b w:val="0"/>
          <w:bCs w:val="0"/>
          <w:color w:val="1F2329"/>
          <w:sz w:val="24"/>
        </w:rPr>
      </w:pPr>
      <w:r>
        <w:rPr>
          <w:b w:val="0"/>
          <w:bCs w:val="0"/>
          <w:color w:val="1F2329"/>
          <w:sz w:val="24"/>
        </w:rPr>
        <w:t>调研同类项目实际运行经验教训，梳理原料预处理、三废处置、产品消纳等共性问题。</w:t>
      </w:r>
    </w:p>
    <w:p w14:paraId="5AF2955D">
      <w:pPr>
        <w:pStyle w:val="4"/>
        <w:widowControl/>
        <w:numPr>
          <w:ilvl w:val="0"/>
          <w:numId w:val="3"/>
        </w:numPr>
        <w:spacing w:beforeAutospacing="0" w:afterAutospacing="0" w:line="360" w:lineRule="atLeast"/>
        <w:ind w:firstLine="480" w:firstLineChars="200"/>
        <w:rPr>
          <w:b w:val="0"/>
          <w:bCs w:val="0"/>
          <w:color w:val="1F2329"/>
          <w:sz w:val="24"/>
          <w:szCs w:val="24"/>
        </w:rPr>
      </w:pPr>
      <w:r>
        <w:rPr>
          <w:b w:val="0"/>
          <w:bCs w:val="0"/>
          <w:color w:val="1F2329"/>
          <w:sz w:val="24"/>
          <w:szCs w:val="24"/>
        </w:rPr>
        <w:t>上游原料来源专项调研</w:t>
      </w:r>
    </w:p>
    <w:p w14:paraId="71519F74">
      <w:pPr>
        <w:numPr>
          <w:ilvl w:val="0"/>
          <w:numId w:val="0"/>
        </w:numPr>
        <w:rPr>
          <w:rFonts w:hint="default"/>
          <w:b w:val="0"/>
          <w:bCs w:val="0"/>
          <w:color w:val="1F2329"/>
          <w:sz w:val="24"/>
          <w:szCs w:val="24"/>
        </w:rPr>
      </w:pPr>
      <w:r>
        <w:rPr>
          <w:rFonts w:hint="eastAsia"/>
          <w:lang w:val="en-US" w:eastAsia="zh-CN"/>
        </w:rPr>
        <w:t xml:space="preserve"> </w:t>
      </w:r>
      <w:r>
        <w:rPr>
          <w:rFonts w:hint="eastAsia" w:ascii="宋体" w:hAnsi="宋体" w:eastAsia="宋体" w:cs="Times New Roman"/>
          <w:b w:val="0"/>
          <w:bCs w:val="0"/>
          <w:color w:val="1F2329"/>
          <w:kern w:val="0"/>
          <w:sz w:val="24"/>
          <w:szCs w:val="24"/>
          <w:lang w:val="en-US" w:eastAsia="zh-CN" w:bidi="ar-SA"/>
        </w:rPr>
        <w:t xml:space="preserve">    </w:t>
      </w:r>
      <w:r>
        <w:rPr>
          <w:rFonts w:hint="eastAsia" w:ascii="宋体" w:hAnsi="宋体" w:eastAsia="宋体" w:cs="Times New Roman"/>
          <w:b/>
          <w:bCs/>
          <w:color w:val="1F2329"/>
          <w:kern w:val="0"/>
          <w:sz w:val="24"/>
          <w:szCs w:val="24"/>
          <w:lang w:val="en-US" w:eastAsia="zh-CN" w:bidi="ar-SA"/>
        </w:rPr>
        <w:t>废塑料来源必须委托专业第三方调研机构调研，不得全部依赖网络二手报告拼接</w:t>
      </w:r>
      <w:r>
        <w:rPr>
          <w:rFonts w:hint="eastAsia" w:ascii="宋体" w:hAnsi="宋体" w:eastAsia="宋体" w:cs="Times New Roman"/>
          <w:b w:val="0"/>
          <w:bCs w:val="0"/>
          <w:color w:val="1F2329"/>
          <w:kern w:val="0"/>
          <w:sz w:val="24"/>
          <w:szCs w:val="24"/>
          <w:lang w:val="en-US" w:eastAsia="zh-CN" w:bidi="ar-SA"/>
        </w:rPr>
        <w:t>。</w:t>
      </w:r>
      <w:r>
        <w:rPr>
          <w:b w:val="0"/>
          <w:bCs w:val="0"/>
          <w:color w:val="1F2329"/>
          <w:sz w:val="24"/>
          <w:szCs w:val="24"/>
        </w:rPr>
        <w:t>用于福海创废塑料化学法再生利用项目预可研配套原料专项调研；所有测算数据必须标注数据来源类型：公开统计、电话访谈、实地调研、模型估算；全部测算输出明确测算假设条件。调研对象分为三大类：废 PP/PE、废 PET、废橡胶。具体要求如下：</w:t>
      </w:r>
    </w:p>
    <w:p w14:paraId="7BD0C2AF">
      <w:pPr>
        <w:pStyle w:val="4"/>
        <w:widowControl/>
        <w:spacing w:beforeAutospacing="0" w:afterAutospacing="0" w:line="360" w:lineRule="atLeast"/>
        <w:ind w:firstLine="480" w:firstLineChars="200"/>
        <w:rPr>
          <w:rFonts w:hint="eastAsia"/>
          <w:b w:val="0"/>
          <w:bCs w:val="0"/>
          <w:color w:val="1F2329"/>
          <w:sz w:val="24"/>
          <w:szCs w:val="24"/>
        </w:rPr>
      </w:pPr>
      <w:r>
        <w:rPr>
          <w:rFonts w:hint="eastAsia"/>
          <w:b w:val="0"/>
          <w:bCs w:val="0"/>
          <w:color w:val="1F2329"/>
          <w:sz w:val="24"/>
          <w:szCs w:val="24"/>
        </w:rPr>
        <w:t>1. 开展2025 年度福建省域废 PP/PE、废 PET、废橡胶三大品类原料资源整体摸底，分别核算各品类理论产生量、社会回收量，通过多指标对比分析，筛选确定可获得资源量最大的原料大类。</w:t>
      </w:r>
    </w:p>
    <w:p w14:paraId="05ABE8B4">
      <w:pPr>
        <w:pStyle w:val="4"/>
        <w:widowControl/>
        <w:spacing w:beforeAutospacing="0" w:afterAutospacing="0" w:line="360" w:lineRule="atLeast"/>
        <w:ind w:firstLine="480" w:firstLineChars="200"/>
        <w:rPr>
          <w:rFonts w:hint="eastAsia"/>
          <w:b w:val="0"/>
          <w:bCs w:val="0"/>
          <w:color w:val="1F2329"/>
          <w:sz w:val="24"/>
          <w:szCs w:val="24"/>
        </w:rPr>
      </w:pPr>
      <w:r>
        <w:rPr>
          <w:rFonts w:hint="eastAsia"/>
          <w:b w:val="0"/>
          <w:bCs w:val="0"/>
          <w:color w:val="1F2329"/>
          <w:sz w:val="24"/>
          <w:szCs w:val="24"/>
        </w:rPr>
        <w:t>2. 对资源量最大的原料品类开展深度细分来源调研，按原料来源、产生用途进行分类统计，重点调研来料杂质指标；分别测算理论产生量、社会可回收总量、满足化学再生工艺进料指标的有效可利用资源量。研究时间范围：历史统计年份 2023‑2025 年，基准年份 2025 年，预测分析年份 2026‑2030 年。</w:t>
      </w:r>
    </w:p>
    <w:p w14:paraId="05D0BAC2">
      <w:pPr>
        <w:pStyle w:val="4"/>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3.针对资源量最大的品类，摸清原料价格、季节波动、运输半径、回收渠道、下游消纳现状，识别原料供给短板与核心风险，为预可研工艺选型、规模论证、原料保障方案提供输入。</w:t>
      </w:r>
    </w:p>
    <w:p w14:paraId="55D186EF">
      <w:pPr>
        <w:pStyle w:val="4"/>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（三）工艺技术方案及多方案比选</w:t>
      </w:r>
    </w:p>
    <w:p w14:paraId="66FB2101">
      <w:pPr>
        <w:widowControl/>
        <w:spacing w:line="360" w:lineRule="atLeast"/>
        <w:ind w:firstLine="480" w:firstLineChars="200"/>
        <w:jc w:val="left"/>
        <w:rPr>
          <w:rFonts w:ascii="宋体" w:hAnsi="宋体" w:eastAsia="宋体" w:cs="宋体"/>
          <w:b w:val="0"/>
          <w:bCs w:val="0"/>
          <w:color w:val="1F2329"/>
          <w:sz w:val="24"/>
        </w:rPr>
      </w:pPr>
      <w:r>
        <w:rPr>
          <w:rFonts w:hint="eastAsia" w:ascii="宋体" w:hAnsi="宋体" w:eastAsia="宋体" w:cs="宋体"/>
          <w:b w:val="0"/>
          <w:bCs w:val="0"/>
          <w:color w:val="1F2329"/>
          <w:kern w:val="0"/>
          <w:sz w:val="24"/>
          <w:lang w:bidi="ar"/>
        </w:rPr>
        <w:t>工艺比选不能孤立只看技术本身，</w:t>
      </w:r>
      <w:r>
        <w:rPr>
          <w:rStyle w:val="8"/>
          <w:rFonts w:hint="eastAsia" w:ascii="宋体" w:hAnsi="宋体" w:eastAsia="宋体" w:cs="宋体"/>
          <w:b w:val="0"/>
          <w:bCs w:val="0"/>
          <w:color w:val="1F2329"/>
          <w:kern w:val="0"/>
          <w:sz w:val="24"/>
          <w:lang w:bidi="ar"/>
        </w:rPr>
        <w:t>必须以前期市场调研得到的原料来源、实际杂质水平为基础，同时结合福海创现有装置、物料互供、公用工程等条件综合评判</w:t>
      </w:r>
      <w:r>
        <w:rPr>
          <w:rFonts w:hint="eastAsia" w:ascii="宋体" w:hAnsi="宋体" w:eastAsia="宋体" w:cs="宋体"/>
          <w:b w:val="0"/>
          <w:bCs w:val="0"/>
          <w:color w:val="1F2329"/>
          <w:kern w:val="0"/>
          <w:sz w:val="24"/>
          <w:lang w:bidi="ar"/>
        </w:rPr>
        <w:t>。</w:t>
      </w:r>
    </w:p>
    <w:p w14:paraId="0F141EEC">
      <w:pPr>
        <w:widowControl/>
        <w:numPr>
          <w:ilvl w:val="0"/>
          <w:numId w:val="4"/>
        </w:numPr>
        <w:spacing w:line="360" w:lineRule="atLeast"/>
        <w:ind w:left="0" w:firstLine="480" w:firstLineChars="200"/>
        <w:jc w:val="left"/>
        <w:rPr>
          <w:b w:val="0"/>
          <w:bCs w:val="0"/>
          <w:color w:val="1F2329"/>
          <w:sz w:val="24"/>
        </w:rPr>
      </w:pPr>
      <w:r>
        <w:rPr>
          <w:b w:val="0"/>
          <w:bCs w:val="0"/>
          <w:color w:val="1F2329"/>
          <w:sz w:val="24"/>
        </w:rPr>
        <w:t>开展建设规模论证，合理确定预处理单元、化学再生主装置的规模匹配关系；明确各单元界区划分，区分业主负责范围与专利工艺潜在边界。</w:t>
      </w:r>
    </w:p>
    <w:p w14:paraId="210364C2">
      <w:pPr>
        <w:widowControl/>
        <w:numPr>
          <w:ilvl w:val="0"/>
          <w:numId w:val="4"/>
        </w:numPr>
        <w:spacing w:line="360" w:lineRule="atLeast"/>
        <w:ind w:left="0" w:firstLine="480" w:firstLineChars="200"/>
        <w:jc w:val="left"/>
        <w:rPr>
          <w:b w:val="0"/>
          <w:bCs w:val="0"/>
          <w:color w:val="1F2329"/>
          <w:sz w:val="24"/>
        </w:rPr>
      </w:pPr>
      <w:r>
        <w:rPr>
          <w:b w:val="0"/>
          <w:bCs w:val="0"/>
          <w:color w:val="1F2329"/>
          <w:sz w:val="24"/>
        </w:rPr>
        <w:t>多工艺路线对比论证</w:t>
      </w:r>
    </w:p>
    <w:p w14:paraId="2D448210">
      <w:pPr>
        <w:widowControl/>
        <w:numPr>
          <w:ilvl w:val="0"/>
          <w:numId w:val="5"/>
        </w:numPr>
        <w:spacing w:line="360" w:lineRule="atLeast"/>
        <w:ind w:left="0" w:firstLine="480" w:firstLineChars="200"/>
        <w:jc w:val="left"/>
        <w:rPr>
          <w:b w:val="0"/>
          <w:bCs w:val="0"/>
          <w:color w:val="1F2329"/>
          <w:sz w:val="24"/>
        </w:rPr>
      </w:pPr>
      <w:r>
        <w:rPr>
          <w:rFonts w:hint="eastAsia"/>
          <w:b w:val="0"/>
          <w:bCs w:val="0"/>
          <w:color w:val="1F2329"/>
          <w:sz w:val="24"/>
        </w:rPr>
        <w:t>组织对接国内外具备废塑料高值化资源化先进工艺与成套专利技术的专利商，开展专项技术交流。</w:t>
      </w:r>
    </w:p>
    <w:p w14:paraId="13B15E7D">
      <w:pPr>
        <w:widowControl/>
        <w:numPr>
          <w:ilvl w:val="0"/>
          <w:numId w:val="5"/>
        </w:numPr>
        <w:spacing w:line="360" w:lineRule="atLeast"/>
        <w:ind w:left="0" w:firstLine="480" w:firstLineChars="200"/>
        <w:jc w:val="left"/>
        <w:rPr>
          <w:b w:val="0"/>
          <w:bCs w:val="0"/>
          <w:color w:val="1F2329"/>
          <w:sz w:val="24"/>
        </w:rPr>
      </w:pPr>
      <w:r>
        <w:rPr>
          <w:b w:val="0"/>
          <w:bCs w:val="0"/>
          <w:color w:val="1F2329"/>
          <w:sz w:val="24"/>
        </w:rPr>
        <w:t>废塑料化学再生路线对比：包含连续催化热解、热解、其他国内外化学再生路线；</w:t>
      </w:r>
    </w:p>
    <w:p w14:paraId="64F7A96A">
      <w:pPr>
        <w:widowControl/>
        <w:numPr>
          <w:ilvl w:val="0"/>
          <w:numId w:val="5"/>
        </w:numPr>
        <w:spacing w:line="360" w:lineRule="atLeast"/>
        <w:ind w:left="0" w:firstLine="480" w:firstLineChars="200"/>
        <w:jc w:val="left"/>
        <w:rPr>
          <w:b w:val="0"/>
          <w:bCs w:val="0"/>
          <w:color w:val="1F2329"/>
          <w:sz w:val="24"/>
        </w:rPr>
      </w:pPr>
      <w:r>
        <w:rPr>
          <w:b w:val="0"/>
          <w:bCs w:val="0"/>
          <w:color w:val="1F2329"/>
          <w:sz w:val="24"/>
        </w:rPr>
        <w:t>对比维度：</w:t>
      </w:r>
      <w:r>
        <w:rPr>
          <w:rStyle w:val="8"/>
          <w:b w:val="0"/>
          <w:bCs w:val="0"/>
          <w:color w:val="1F2329"/>
          <w:sz w:val="24"/>
        </w:rPr>
        <w:t>原料适应性（对标本次调研实际原料杂质、组分）、物料收率、产品组成、能耗物耗、预处理难度、三废产生情况、投资水平、运行成本、工业化成熟度</w:t>
      </w:r>
      <w:r>
        <w:rPr>
          <w:b w:val="0"/>
          <w:bCs w:val="0"/>
          <w:color w:val="1F2329"/>
          <w:sz w:val="24"/>
        </w:rPr>
        <w:t>。</w:t>
      </w:r>
    </w:p>
    <w:p w14:paraId="6298091D">
      <w:pPr>
        <w:widowControl/>
        <w:numPr>
          <w:ilvl w:val="0"/>
          <w:numId w:val="4"/>
        </w:numPr>
        <w:spacing w:line="360" w:lineRule="atLeast"/>
        <w:ind w:left="0" w:firstLine="480" w:firstLineChars="200"/>
        <w:jc w:val="left"/>
        <w:rPr>
          <w:b w:val="0"/>
          <w:bCs w:val="0"/>
          <w:color w:val="1F2329"/>
          <w:sz w:val="24"/>
        </w:rPr>
      </w:pPr>
      <w:r>
        <w:rPr>
          <w:b w:val="0"/>
          <w:bCs w:val="0"/>
          <w:color w:val="1F2329"/>
          <w:sz w:val="24"/>
        </w:rPr>
        <w:t>紧密结合福海创现有装置条件开展方案适配分析： 1）分析化学再生产出的油品 / 烃类产物，能否送入福海创现有装置进行加工，评估物料接收条件、掺混约束、输送路径； 2）分析福海创现有蒸汽、循环水、供电、污水处理、危废处置、火炬系统等公用工程可依托能力，测算本项目新增需求，评估依托可行性及改造工作量； 3）结合福海创产品销售渠道，分析再生产品、副产燃料气、残渣的就近消纳路径；</w:t>
      </w:r>
    </w:p>
    <w:p w14:paraId="797672D1">
      <w:pPr>
        <w:widowControl/>
        <w:numPr>
          <w:ilvl w:val="0"/>
          <w:numId w:val="4"/>
        </w:numPr>
        <w:spacing w:line="360" w:lineRule="atLeast"/>
        <w:ind w:left="0" w:firstLine="480" w:firstLineChars="200"/>
        <w:jc w:val="left"/>
        <w:rPr>
          <w:b w:val="0"/>
          <w:bCs w:val="0"/>
          <w:color w:val="1F2329"/>
          <w:sz w:val="24"/>
        </w:rPr>
      </w:pPr>
      <w:r>
        <w:rPr>
          <w:b w:val="0"/>
          <w:bCs w:val="0"/>
          <w:color w:val="1F2329"/>
          <w:sz w:val="24"/>
        </w:rPr>
        <w:t>完成物料衡算、能量衡算，输出产品、副产物规格，公用工程消耗；形成主要设备选型清单；</w:t>
      </w:r>
    </w:p>
    <w:p w14:paraId="06FB4111">
      <w:pPr>
        <w:widowControl/>
        <w:numPr>
          <w:ilvl w:val="0"/>
          <w:numId w:val="4"/>
        </w:numPr>
        <w:spacing w:line="360" w:lineRule="atLeast"/>
        <w:ind w:left="0" w:firstLine="480" w:firstLineChars="200"/>
        <w:jc w:val="left"/>
        <w:rPr>
          <w:b w:val="0"/>
          <w:bCs w:val="0"/>
          <w:color w:val="1F2329"/>
          <w:sz w:val="24"/>
        </w:rPr>
      </w:pPr>
      <w:r>
        <w:rPr>
          <w:b w:val="0"/>
          <w:bCs w:val="0"/>
          <w:color w:val="1F2329"/>
          <w:sz w:val="24"/>
        </w:rPr>
        <w:t>论证预处理系统方案：破碎、分选、清洗、脱水、除杂，匹配调研得到的实际原料品质，评估预处理难点、技术短板与风险；</w:t>
      </w:r>
    </w:p>
    <w:p w14:paraId="2F509EC1">
      <w:pPr>
        <w:widowControl/>
        <w:numPr>
          <w:ilvl w:val="0"/>
          <w:numId w:val="4"/>
        </w:numPr>
        <w:spacing w:line="360" w:lineRule="atLeast"/>
        <w:ind w:left="0" w:firstLine="480" w:firstLineChars="200"/>
        <w:jc w:val="left"/>
        <w:rPr>
          <w:b w:val="0"/>
          <w:bCs w:val="0"/>
          <w:color w:val="1F2329"/>
          <w:sz w:val="24"/>
        </w:rPr>
      </w:pPr>
      <w:r>
        <w:rPr>
          <w:b w:val="0"/>
          <w:bCs w:val="0"/>
          <w:color w:val="1F2329"/>
          <w:sz w:val="24"/>
        </w:rPr>
        <w:t>若涉及引进外部专利工艺，清晰划分工艺包交付范围、性能考核前提条件，明确进料品质对考核结果的影响，客观披露技术放大风险。</w:t>
      </w:r>
    </w:p>
    <w:p w14:paraId="4571BC6D">
      <w:pPr>
        <w:pStyle w:val="4"/>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（四）下游产品及市场分析</w:t>
      </w:r>
    </w:p>
    <w:p w14:paraId="5021E681">
      <w:pPr>
        <w:widowControl/>
        <w:numPr>
          <w:ilvl w:val="0"/>
          <w:numId w:val="6"/>
        </w:numPr>
        <w:spacing w:line="360" w:lineRule="atLeast"/>
        <w:ind w:left="0" w:firstLine="480" w:firstLineChars="200"/>
        <w:jc w:val="left"/>
        <w:rPr>
          <w:b w:val="0"/>
          <w:bCs w:val="0"/>
          <w:color w:val="1F2329"/>
          <w:sz w:val="24"/>
        </w:rPr>
      </w:pPr>
      <w:r>
        <w:rPr>
          <w:b w:val="0"/>
          <w:bCs w:val="0"/>
          <w:color w:val="1F2329"/>
          <w:sz w:val="24"/>
        </w:rPr>
        <w:t>分析热解油品、烃类产物、热解炭黑、钢丝、燃料气等主副产品市场需求；重点结合福海创内部消纳能力+外部市场双重维度分析；</w:t>
      </w:r>
    </w:p>
    <w:p w14:paraId="2768D648">
      <w:pPr>
        <w:widowControl/>
        <w:numPr>
          <w:ilvl w:val="0"/>
          <w:numId w:val="6"/>
        </w:numPr>
        <w:spacing w:line="360" w:lineRule="atLeast"/>
        <w:ind w:left="0" w:firstLine="480" w:firstLineChars="200"/>
        <w:jc w:val="left"/>
        <w:rPr>
          <w:b w:val="0"/>
          <w:bCs w:val="0"/>
          <w:color w:val="1F2329"/>
          <w:sz w:val="24"/>
        </w:rPr>
      </w:pPr>
      <w:r>
        <w:rPr>
          <w:b w:val="0"/>
          <w:bCs w:val="0"/>
          <w:color w:val="1F2329"/>
          <w:sz w:val="24"/>
        </w:rPr>
        <w:t>研究可持续原料认证、绿色原料政策对产品价值的影响；</w:t>
      </w:r>
    </w:p>
    <w:p w14:paraId="55D505E6">
      <w:pPr>
        <w:widowControl/>
        <w:numPr>
          <w:ilvl w:val="0"/>
          <w:numId w:val="6"/>
        </w:numPr>
        <w:spacing w:line="360" w:lineRule="atLeast"/>
        <w:ind w:left="0" w:firstLine="480" w:firstLineChars="200"/>
        <w:jc w:val="left"/>
        <w:rPr>
          <w:b w:val="0"/>
          <w:bCs w:val="0"/>
          <w:color w:val="1F2329"/>
          <w:sz w:val="24"/>
        </w:rPr>
      </w:pPr>
      <w:r>
        <w:rPr>
          <w:b w:val="0"/>
          <w:bCs w:val="0"/>
          <w:color w:val="1F2329"/>
          <w:sz w:val="24"/>
        </w:rPr>
        <w:t>全面梳理单元副产、残渣，开展</w:t>
      </w:r>
      <w:r>
        <w:rPr>
          <w:rFonts w:hint="eastAsia"/>
          <w:b w:val="0"/>
          <w:bCs w:val="0"/>
          <w:color w:val="1F2329"/>
          <w:sz w:val="24"/>
        </w:rPr>
        <w:t>固体废物</w:t>
      </w:r>
      <w:r>
        <w:rPr>
          <w:b w:val="0"/>
          <w:bCs w:val="0"/>
          <w:color w:val="1F2329"/>
          <w:sz w:val="24"/>
        </w:rPr>
        <w:t>属性初步判别，论证危废、一般固废的处置出路可行性。</w:t>
      </w:r>
    </w:p>
    <w:p w14:paraId="042A2FFC">
      <w:pPr>
        <w:pStyle w:val="4"/>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（五）厂址选择、总图运输及仓储</w:t>
      </w:r>
    </w:p>
    <w:p w14:paraId="6ADE787D">
      <w:pPr>
        <w:widowControl/>
        <w:numPr>
          <w:ilvl w:val="0"/>
          <w:numId w:val="7"/>
        </w:numPr>
        <w:spacing w:line="360" w:lineRule="atLeast"/>
        <w:ind w:left="0" w:firstLine="480" w:firstLineChars="200"/>
        <w:jc w:val="left"/>
        <w:rPr>
          <w:b w:val="0"/>
          <w:bCs w:val="0"/>
          <w:color w:val="1F2329"/>
          <w:sz w:val="24"/>
        </w:rPr>
      </w:pPr>
      <w:r>
        <w:rPr>
          <w:b w:val="0"/>
          <w:bCs w:val="0"/>
          <w:color w:val="1F2329"/>
          <w:sz w:val="24"/>
        </w:rPr>
        <w:t>结合福海创</w:t>
      </w:r>
      <w:r>
        <w:rPr>
          <w:rFonts w:hint="eastAsia"/>
          <w:b w:val="0"/>
          <w:bCs w:val="0"/>
          <w:color w:val="1F2329"/>
          <w:sz w:val="24"/>
        </w:rPr>
        <w:t>厂区</w:t>
      </w:r>
      <w:r>
        <w:rPr>
          <w:b w:val="0"/>
          <w:bCs w:val="0"/>
          <w:color w:val="1F2329"/>
          <w:sz w:val="24"/>
        </w:rPr>
        <w:t>布局，论证项目选址，分析原料进厂、产品外送物流条件；</w:t>
      </w:r>
    </w:p>
    <w:p w14:paraId="10C89BF9">
      <w:pPr>
        <w:widowControl/>
        <w:numPr>
          <w:ilvl w:val="0"/>
          <w:numId w:val="7"/>
        </w:numPr>
        <w:spacing w:line="360" w:lineRule="atLeast"/>
        <w:ind w:left="0" w:firstLine="480" w:firstLineChars="200"/>
        <w:jc w:val="left"/>
        <w:rPr>
          <w:b w:val="0"/>
          <w:bCs w:val="0"/>
          <w:color w:val="1F2329"/>
          <w:sz w:val="24"/>
        </w:rPr>
      </w:pPr>
      <w:r>
        <w:rPr>
          <w:b w:val="0"/>
          <w:bCs w:val="0"/>
          <w:color w:val="1F2329"/>
          <w:sz w:val="24"/>
        </w:rPr>
        <w:t>总平面布置、原料成品仓储方案，重点落实废塑料原料仓储的防火、防渗、防扬尘要求；</w:t>
      </w:r>
    </w:p>
    <w:p w14:paraId="294487D7">
      <w:pPr>
        <w:widowControl/>
        <w:numPr>
          <w:ilvl w:val="0"/>
          <w:numId w:val="7"/>
        </w:numPr>
        <w:spacing w:line="360" w:lineRule="atLeast"/>
        <w:ind w:left="0" w:firstLine="480" w:firstLineChars="200"/>
        <w:jc w:val="left"/>
        <w:rPr>
          <w:b w:val="0"/>
          <w:bCs w:val="0"/>
          <w:color w:val="1F2329"/>
          <w:sz w:val="24"/>
        </w:rPr>
      </w:pPr>
      <w:r>
        <w:rPr>
          <w:b w:val="0"/>
          <w:bCs w:val="0"/>
          <w:color w:val="1F2329"/>
          <w:sz w:val="24"/>
        </w:rPr>
        <w:t>厂内外运输方案。</w:t>
      </w:r>
    </w:p>
    <w:p w14:paraId="62202FD8">
      <w:pPr>
        <w:pStyle w:val="4"/>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（六）环境保护、安全消防、职业卫生</w:t>
      </w:r>
    </w:p>
    <w:p w14:paraId="756128CD">
      <w:pPr>
        <w:widowControl/>
        <w:numPr>
          <w:ilvl w:val="0"/>
          <w:numId w:val="8"/>
        </w:numPr>
        <w:spacing w:line="360" w:lineRule="atLeast"/>
        <w:ind w:left="0" w:firstLine="480" w:firstLineChars="200"/>
        <w:jc w:val="left"/>
        <w:rPr>
          <w:b w:val="0"/>
          <w:bCs w:val="0"/>
          <w:color w:val="1F2329"/>
          <w:sz w:val="24"/>
        </w:rPr>
      </w:pPr>
      <w:r>
        <w:rPr>
          <w:b w:val="0"/>
          <w:bCs w:val="0"/>
          <w:color w:val="1F2329"/>
          <w:sz w:val="24"/>
        </w:rPr>
        <w:t>废气：预处理废气、热解烟气，关注 VOCs、HCl、二噁英等特征污染物治理措施，对标现行行业排放标准；</w:t>
      </w:r>
    </w:p>
    <w:p w14:paraId="3027AB5C">
      <w:pPr>
        <w:widowControl/>
        <w:numPr>
          <w:ilvl w:val="0"/>
          <w:numId w:val="8"/>
        </w:numPr>
        <w:spacing w:line="360" w:lineRule="atLeast"/>
        <w:ind w:left="0" w:firstLine="480" w:firstLineChars="200"/>
        <w:jc w:val="left"/>
        <w:rPr>
          <w:b w:val="0"/>
          <w:bCs w:val="0"/>
          <w:color w:val="1F2329"/>
          <w:sz w:val="24"/>
        </w:rPr>
      </w:pPr>
      <w:r>
        <w:rPr>
          <w:b w:val="0"/>
          <w:bCs w:val="0"/>
          <w:color w:val="1F2329"/>
          <w:sz w:val="24"/>
        </w:rPr>
        <w:t>废水：原料清洗废水、地面冲洗水等废水水质特征，结合福海创污水处理依托条件，确定处理方案；</w:t>
      </w:r>
    </w:p>
    <w:p w14:paraId="520A45D7">
      <w:pPr>
        <w:widowControl/>
        <w:numPr>
          <w:ilvl w:val="0"/>
          <w:numId w:val="8"/>
        </w:numPr>
        <w:spacing w:line="360" w:lineRule="atLeast"/>
        <w:ind w:left="0" w:firstLine="480" w:firstLineChars="200"/>
        <w:jc w:val="left"/>
        <w:rPr>
          <w:b w:val="0"/>
          <w:bCs w:val="0"/>
          <w:color w:val="1F2329"/>
          <w:sz w:val="24"/>
        </w:rPr>
      </w:pPr>
      <w:r>
        <w:rPr>
          <w:rFonts w:hint="eastAsia"/>
          <w:b w:val="0"/>
          <w:bCs w:val="0"/>
          <w:color w:val="1F2329"/>
          <w:sz w:val="24"/>
        </w:rPr>
        <w:t>固体废物</w:t>
      </w:r>
      <w:r>
        <w:rPr>
          <w:b w:val="0"/>
          <w:bCs w:val="0"/>
          <w:color w:val="1F2329"/>
          <w:sz w:val="24"/>
        </w:rPr>
        <w:t>：完整梳理项目各类固废，明确产生量、固废属性、处置去向；</w:t>
      </w:r>
    </w:p>
    <w:p w14:paraId="2D43385F">
      <w:pPr>
        <w:widowControl/>
        <w:numPr>
          <w:ilvl w:val="0"/>
          <w:numId w:val="8"/>
        </w:numPr>
        <w:spacing w:line="360" w:lineRule="atLeast"/>
        <w:ind w:left="0" w:firstLine="480" w:firstLineChars="200"/>
        <w:jc w:val="left"/>
        <w:rPr>
          <w:b w:val="0"/>
          <w:bCs w:val="0"/>
          <w:color w:val="1F2329"/>
          <w:sz w:val="24"/>
        </w:rPr>
      </w:pPr>
      <w:r>
        <w:rPr>
          <w:b w:val="0"/>
          <w:bCs w:val="0"/>
          <w:color w:val="1F2329"/>
          <w:sz w:val="24"/>
        </w:rPr>
        <w:t>危险有害因素识别，重大危险源辨识，消防、防爆、职业卫生防护措施；提示后续环评、安评重点关注方向。</w:t>
      </w:r>
    </w:p>
    <w:p w14:paraId="67D3EC45">
      <w:pPr>
        <w:pStyle w:val="4"/>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（七）节能与碳排放分析</w:t>
      </w:r>
    </w:p>
    <w:p w14:paraId="244C8B35">
      <w:pPr>
        <w:widowControl/>
        <w:numPr>
          <w:ilvl w:val="0"/>
          <w:numId w:val="9"/>
        </w:numPr>
        <w:spacing w:line="360" w:lineRule="atLeast"/>
        <w:ind w:left="0" w:firstLine="480" w:firstLineChars="200"/>
        <w:jc w:val="left"/>
        <w:rPr>
          <w:b w:val="0"/>
          <w:bCs w:val="0"/>
          <w:color w:val="1F2329"/>
          <w:sz w:val="24"/>
        </w:rPr>
      </w:pPr>
      <w:r>
        <w:rPr>
          <w:b w:val="0"/>
          <w:bCs w:val="0"/>
          <w:color w:val="1F2329"/>
          <w:sz w:val="24"/>
        </w:rPr>
        <w:t>测算项目综合能耗，对标行业基准水平；</w:t>
      </w:r>
    </w:p>
    <w:p w14:paraId="5269141C">
      <w:pPr>
        <w:widowControl/>
        <w:numPr>
          <w:ilvl w:val="0"/>
          <w:numId w:val="9"/>
        </w:numPr>
        <w:spacing w:line="360" w:lineRule="atLeast"/>
        <w:ind w:left="0" w:firstLine="480" w:firstLineChars="200"/>
        <w:jc w:val="left"/>
        <w:rPr>
          <w:b w:val="0"/>
          <w:bCs w:val="0"/>
          <w:color w:val="1F2329"/>
          <w:sz w:val="24"/>
        </w:rPr>
      </w:pPr>
      <w:r>
        <w:rPr>
          <w:b w:val="0"/>
          <w:bCs w:val="0"/>
          <w:color w:val="1F2329"/>
          <w:sz w:val="24"/>
        </w:rPr>
        <w:t>核算项目碳排放，分析替代化石原料带来的减排效益，结合园区双碳目标做评价。</w:t>
      </w:r>
    </w:p>
    <w:p w14:paraId="242025A7">
      <w:pPr>
        <w:pStyle w:val="4"/>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（八）投资估算与财务评价</w:t>
      </w:r>
    </w:p>
    <w:p w14:paraId="0E81EA63">
      <w:pPr>
        <w:widowControl/>
        <w:numPr>
          <w:ilvl w:val="0"/>
          <w:numId w:val="10"/>
        </w:numPr>
        <w:spacing w:line="360" w:lineRule="atLeast"/>
        <w:ind w:left="0" w:firstLine="480" w:firstLineChars="200"/>
        <w:jc w:val="left"/>
        <w:rPr>
          <w:b w:val="0"/>
          <w:bCs w:val="0"/>
          <w:color w:val="1F2329"/>
          <w:sz w:val="24"/>
        </w:rPr>
      </w:pPr>
      <w:r>
        <w:rPr>
          <w:b w:val="0"/>
          <w:bCs w:val="0"/>
          <w:color w:val="1F2329"/>
          <w:sz w:val="24"/>
        </w:rPr>
        <w:t>总投资估算：工程费用、设备购置费、安装工程费、工程建设其他费（含潜在工艺许可、技术服务相关费用）、预备费、流动资金；区分依托福海创可利旧部分与新增建设内容；</w:t>
      </w:r>
    </w:p>
    <w:p w14:paraId="3518062B">
      <w:pPr>
        <w:widowControl/>
        <w:numPr>
          <w:ilvl w:val="0"/>
          <w:numId w:val="10"/>
        </w:numPr>
        <w:spacing w:line="360" w:lineRule="atLeast"/>
        <w:ind w:left="0" w:firstLine="480" w:firstLineChars="200"/>
        <w:jc w:val="left"/>
        <w:rPr>
          <w:b w:val="0"/>
          <w:bCs w:val="0"/>
          <w:color w:val="1F2329"/>
          <w:sz w:val="24"/>
        </w:rPr>
      </w:pPr>
      <w:r>
        <w:rPr>
          <w:b w:val="0"/>
          <w:bCs w:val="0"/>
          <w:color w:val="1F2329"/>
          <w:sz w:val="24"/>
        </w:rPr>
        <w:t>资金筹措方案；</w:t>
      </w:r>
    </w:p>
    <w:p w14:paraId="61656B4D">
      <w:pPr>
        <w:widowControl/>
        <w:numPr>
          <w:ilvl w:val="0"/>
          <w:numId w:val="10"/>
        </w:numPr>
        <w:spacing w:line="360" w:lineRule="atLeast"/>
        <w:ind w:left="0" w:firstLine="480" w:firstLineChars="200"/>
        <w:jc w:val="left"/>
        <w:rPr>
          <w:b w:val="0"/>
          <w:bCs w:val="0"/>
          <w:color w:val="1F2329"/>
          <w:sz w:val="24"/>
        </w:rPr>
      </w:pPr>
      <w:r>
        <w:rPr>
          <w:b w:val="0"/>
          <w:bCs w:val="0"/>
          <w:color w:val="1F2329"/>
          <w:sz w:val="24"/>
        </w:rPr>
        <w:t>财务测算基础参数应充分采用本次市场调研得到的原料采购价、产品售价、危废处置成本等实际数据；</w:t>
      </w:r>
    </w:p>
    <w:p w14:paraId="66EE8779">
      <w:pPr>
        <w:widowControl/>
        <w:numPr>
          <w:ilvl w:val="0"/>
          <w:numId w:val="10"/>
        </w:numPr>
        <w:spacing w:line="360" w:lineRule="atLeast"/>
        <w:ind w:left="0" w:firstLine="480" w:firstLineChars="200"/>
        <w:jc w:val="left"/>
        <w:rPr>
          <w:b w:val="0"/>
          <w:bCs w:val="0"/>
          <w:color w:val="1F2329"/>
          <w:sz w:val="24"/>
        </w:rPr>
      </w:pPr>
      <w:r>
        <w:rPr>
          <w:b w:val="0"/>
          <w:bCs w:val="0"/>
          <w:color w:val="1F2329"/>
          <w:sz w:val="24"/>
        </w:rPr>
        <w:t>计算营业收入、总成本、利税、内部收益率、净现值、投资回收期等核心指标；</w:t>
      </w:r>
    </w:p>
    <w:p w14:paraId="18B04AFF">
      <w:pPr>
        <w:widowControl/>
        <w:numPr>
          <w:ilvl w:val="0"/>
          <w:numId w:val="10"/>
        </w:numPr>
        <w:spacing w:line="360" w:lineRule="atLeast"/>
        <w:ind w:left="0" w:firstLine="480" w:firstLineChars="200"/>
        <w:jc w:val="left"/>
        <w:rPr>
          <w:b w:val="0"/>
          <w:bCs w:val="0"/>
          <w:color w:val="1F2329"/>
          <w:sz w:val="24"/>
        </w:rPr>
      </w:pPr>
      <w:r>
        <w:rPr>
          <w:rStyle w:val="8"/>
          <w:b w:val="0"/>
          <w:bCs w:val="0"/>
          <w:color w:val="1F2329"/>
          <w:sz w:val="24"/>
        </w:rPr>
        <w:t>开展多情景敏感性分析：重点分析原料供给波动、原料杂质升高、产品消纳受限、公用工程改造增量投资变化对项目效益的影响</w:t>
      </w:r>
      <w:r>
        <w:rPr>
          <w:b w:val="0"/>
          <w:bCs w:val="0"/>
          <w:color w:val="1F2329"/>
          <w:sz w:val="24"/>
        </w:rPr>
        <w:t>。</w:t>
      </w:r>
    </w:p>
    <w:p w14:paraId="420C64F7">
      <w:pPr>
        <w:pStyle w:val="4"/>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（九）风险分析</w:t>
      </w:r>
    </w:p>
    <w:p w14:paraId="1917DD19">
      <w:pPr>
        <w:widowControl/>
        <w:spacing w:line="360" w:lineRule="atLeast"/>
        <w:ind w:firstLine="480" w:firstLineChars="200"/>
        <w:jc w:val="left"/>
        <w:rPr>
          <w:b w:val="0"/>
          <w:bCs w:val="0"/>
          <w:color w:val="1F2329"/>
          <w:sz w:val="24"/>
        </w:rPr>
      </w:pPr>
      <w:r>
        <w:rPr>
          <w:rFonts w:ascii="宋体" w:hAnsi="宋体" w:eastAsia="宋体" w:cs="宋体"/>
          <w:b w:val="0"/>
          <w:bCs w:val="0"/>
          <w:color w:val="1F2329"/>
          <w:kern w:val="0"/>
          <w:sz w:val="24"/>
          <w:lang w:bidi="ar"/>
        </w:rPr>
        <w:t>结合本地原料调研结果及福海创依托条件识别风险，明确风险等级、提出应对措施：</w:t>
      </w:r>
    </w:p>
    <w:p w14:paraId="691B7510">
      <w:pPr>
        <w:widowControl/>
        <w:numPr>
          <w:ilvl w:val="0"/>
          <w:numId w:val="11"/>
        </w:numPr>
        <w:spacing w:line="360" w:lineRule="atLeast"/>
        <w:ind w:left="0" w:firstLine="480" w:firstLineChars="200"/>
        <w:jc w:val="left"/>
        <w:rPr>
          <w:b w:val="0"/>
          <w:bCs w:val="0"/>
          <w:color w:val="1F2329"/>
          <w:sz w:val="24"/>
        </w:rPr>
      </w:pPr>
      <w:r>
        <w:rPr>
          <w:b w:val="0"/>
          <w:bCs w:val="0"/>
          <w:color w:val="1F2329"/>
          <w:sz w:val="24"/>
        </w:rPr>
        <w:t>原料风险：供给总量不足、来料杂质波动大、预处理达不到工艺进料要求；</w:t>
      </w:r>
    </w:p>
    <w:p w14:paraId="5AA49DF9">
      <w:pPr>
        <w:widowControl/>
        <w:numPr>
          <w:ilvl w:val="0"/>
          <w:numId w:val="11"/>
        </w:numPr>
        <w:spacing w:line="360" w:lineRule="atLeast"/>
        <w:ind w:left="0" w:firstLine="480" w:firstLineChars="200"/>
        <w:jc w:val="left"/>
        <w:rPr>
          <w:b w:val="0"/>
          <w:bCs w:val="0"/>
          <w:color w:val="1F2329"/>
          <w:sz w:val="24"/>
        </w:rPr>
      </w:pPr>
      <w:r>
        <w:rPr>
          <w:b w:val="0"/>
          <w:bCs w:val="0"/>
          <w:color w:val="1F2329"/>
          <w:sz w:val="24"/>
        </w:rPr>
        <w:t>技术风险：原料与工艺匹配风险、装置放大风险、预处理系统运行风险；</w:t>
      </w:r>
    </w:p>
    <w:p w14:paraId="1A88FD8B">
      <w:pPr>
        <w:widowControl/>
        <w:numPr>
          <w:ilvl w:val="0"/>
          <w:numId w:val="11"/>
        </w:numPr>
        <w:spacing w:line="360" w:lineRule="atLeast"/>
        <w:ind w:left="0" w:firstLine="480" w:firstLineChars="200"/>
        <w:jc w:val="left"/>
        <w:rPr>
          <w:b w:val="0"/>
          <w:bCs w:val="0"/>
          <w:color w:val="1F2329"/>
          <w:sz w:val="24"/>
        </w:rPr>
      </w:pPr>
      <w:r>
        <w:rPr>
          <w:b w:val="0"/>
          <w:bCs w:val="0"/>
          <w:color w:val="1F2329"/>
          <w:sz w:val="24"/>
        </w:rPr>
        <w:t>市场消纳风险：福海创装置接纳约束、外部产品市场价格波动；</w:t>
      </w:r>
    </w:p>
    <w:p w14:paraId="4A052B55">
      <w:pPr>
        <w:widowControl/>
        <w:numPr>
          <w:ilvl w:val="0"/>
          <w:numId w:val="11"/>
        </w:numPr>
        <w:spacing w:line="360" w:lineRule="atLeast"/>
        <w:ind w:left="0" w:firstLine="480" w:firstLineChars="200"/>
        <w:jc w:val="left"/>
        <w:rPr>
          <w:b w:val="0"/>
          <w:bCs w:val="0"/>
          <w:color w:val="1F2329"/>
          <w:sz w:val="24"/>
        </w:rPr>
      </w:pPr>
      <w:r>
        <w:rPr>
          <w:b w:val="0"/>
          <w:bCs w:val="0"/>
          <w:color w:val="1F2329"/>
          <w:sz w:val="24"/>
        </w:rPr>
        <w:t>公用工程依托风险：园区现有设施能力不足、需要改造带来投资与工期风险；</w:t>
      </w:r>
    </w:p>
    <w:p w14:paraId="54941B65">
      <w:pPr>
        <w:widowControl/>
        <w:numPr>
          <w:ilvl w:val="0"/>
          <w:numId w:val="11"/>
        </w:numPr>
        <w:spacing w:line="360" w:lineRule="atLeast"/>
        <w:ind w:left="0" w:firstLine="480" w:firstLineChars="200"/>
        <w:jc w:val="left"/>
        <w:rPr>
          <w:b w:val="0"/>
          <w:bCs w:val="0"/>
          <w:color w:val="1F2329"/>
          <w:sz w:val="24"/>
        </w:rPr>
      </w:pPr>
      <w:r>
        <w:rPr>
          <w:b w:val="0"/>
          <w:bCs w:val="0"/>
          <w:color w:val="1F2329"/>
          <w:sz w:val="24"/>
        </w:rPr>
        <w:t>环保合规风险：危废处置、特征污染物达标排放风险；</w:t>
      </w:r>
    </w:p>
    <w:p w14:paraId="3D6DB607">
      <w:pPr>
        <w:widowControl/>
        <w:numPr>
          <w:ilvl w:val="0"/>
          <w:numId w:val="11"/>
        </w:numPr>
        <w:spacing w:line="360" w:lineRule="atLeast"/>
        <w:ind w:left="0" w:firstLine="480" w:firstLineChars="200"/>
        <w:jc w:val="left"/>
        <w:rPr>
          <w:b w:val="0"/>
          <w:bCs w:val="0"/>
          <w:color w:val="1F2329"/>
          <w:sz w:val="24"/>
        </w:rPr>
      </w:pPr>
      <w:r>
        <w:rPr>
          <w:b w:val="0"/>
          <w:bCs w:val="0"/>
          <w:color w:val="1F2329"/>
          <w:sz w:val="24"/>
        </w:rPr>
        <w:t>投资及建设实施风险。</w:t>
      </w:r>
    </w:p>
    <w:p w14:paraId="4D71F650">
      <w:pPr>
        <w:pStyle w:val="4"/>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（十）社会评价、结论与建议</w:t>
      </w:r>
    </w:p>
    <w:p w14:paraId="6D155050">
      <w:pPr>
        <w:widowControl/>
        <w:spacing w:line="360" w:lineRule="atLeast"/>
        <w:ind w:firstLine="480" w:firstLineChars="200"/>
        <w:jc w:val="left"/>
        <w:rPr>
          <w:b w:val="0"/>
          <w:bCs w:val="0"/>
          <w:color w:val="1F2329"/>
          <w:sz w:val="24"/>
        </w:rPr>
      </w:pPr>
      <w:r>
        <w:rPr>
          <w:rFonts w:ascii="宋体" w:hAnsi="宋体" w:eastAsia="宋体" w:cs="宋体"/>
          <w:b w:val="0"/>
          <w:bCs w:val="0"/>
          <w:color w:val="1F2329"/>
          <w:kern w:val="0"/>
          <w:sz w:val="24"/>
          <w:lang w:bidi="ar"/>
        </w:rPr>
        <w:t>综合原料条件、工艺适配性、福海创依托条件、环保安全、经济效益，给出项目综合可行性结论；提出明确建议。</w:t>
      </w:r>
    </w:p>
    <w:p w14:paraId="36223937">
      <w:pPr>
        <w:pStyle w:val="3"/>
        <w:widowControl/>
        <w:numPr>
          <w:ilvl w:val="0"/>
          <w:numId w:val="12"/>
        </w:numPr>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交付成果要求</w:t>
      </w:r>
    </w:p>
    <w:p w14:paraId="4D55FBD0">
      <w:pPr>
        <w:widowControl/>
        <w:spacing w:line="360" w:lineRule="atLeast"/>
        <w:ind w:firstLine="480" w:firstLineChars="200"/>
        <w:jc w:val="left"/>
        <w:rPr>
          <w:b w:val="0"/>
          <w:bCs w:val="0"/>
          <w:color w:val="1F2329"/>
          <w:sz w:val="24"/>
        </w:rPr>
      </w:pPr>
      <w:r>
        <w:rPr>
          <w:rFonts w:hint="eastAsia" w:ascii="宋体" w:hAnsi="宋体" w:eastAsia="宋体" w:cs="宋体"/>
          <w:b w:val="0"/>
          <w:bCs w:val="0"/>
          <w:sz w:val="24"/>
        </w:rPr>
        <w:t>（一）</w:t>
      </w:r>
      <w:r>
        <w:rPr>
          <w:rFonts w:hint="eastAsia"/>
          <w:b w:val="0"/>
          <w:bCs w:val="0"/>
          <w:color w:val="1F2329"/>
          <w:sz w:val="24"/>
        </w:rPr>
        <w:t>预</w:t>
      </w:r>
      <w:r>
        <w:rPr>
          <w:b w:val="0"/>
          <w:bCs w:val="0"/>
          <w:color w:val="1F2329"/>
          <w:sz w:val="24"/>
        </w:rPr>
        <w:t>可行性研究报告</w:t>
      </w:r>
      <w:r>
        <w:rPr>
          <w:rFonts w:hint="eastAsia"/>
          <w:b w:val="0"/>
          <w:bCs w:val="0"/>
          <w:color w:val="1F2329"/>
          <w:sz w:val="24"/>
        </w:rPr>
        <w:t>深度按</w:t>
      </w:r>
      <w:r>
        <w:rPr>
          <w:rFonts w:ascii="宋体" w:hAnsi="宋体" w:eastAsia="宋体" w:cs="宋体"/>
          <w:b w:val="0"/>
          <w:bCs w:val="0"/>
          <w:sz w:val="24"/>
        </w:rPr>
        <w:t>《化工投资项目可行性研究报告编制办法》（2012 修订版，中石化联产发〔2012〕115 号）</w:t>
      </w:r>
      <w:r>
        <w:rPr>
          <w:rFonts w:hint="eastAsia" w:ascii="宋体" w:hAnsi="宋体" w:eastAsia="宋体" w:cs="宋体"/>
          <w:b w:val="0"/>
          <w:bCs w:val="0"/>
          <w:sz w:val="24"/>
        </w:rPr>
        <w:t>适当简化。</w:t>
      </w:r>
    </w:p>
    <w:p w14:paraId="17DC248E">
      <w:pPr>
        <w:widowControl/>
        <w:spacing w:line="360" w:lineRule="atLeast"/>
        <w:ind w:firstLine="480" w:firstLineChars="200"/>
        <w:jc w:val="left"/>
        <w:rPr>
          <w:b w:val="0"/>
          <w:bCs w:val="0"/>
          <w:color w:val="1F2329"/>
          <w:sz w:val="24"/>
        </w:rPr>
      </w:pPr>
      <w:r>
        <w:rPr>
          <w:rFonts w:hint="eastAsia" w:ascii="宋体" w:hAnsi="宋体" w:eastAsia="宋体" w:cs="宋体"/>
          <w:b w:val="0"/>
          <w:bCs w:val="0"/>
          <w:sz w:val="24"/>
        </w:rPr>
        <w:t>（二）成果</w:t>
      </w:r>
    </w:p>
    <w:p w14:paraId="3AD0B5DB">
      <w:pPr>
        <w:widowControl/>
        <w:numPr>
          <w:ilvl w:val="0"/>
          <w:numId w:val="13"/>
        </w:numPr>
        <w:spacing w:line="360" w:lineRule="atLeast"/>
        <w:ind w:left="0" w:firstLine="480" w:firstLineChars="200"/>
        <w:jc w:val="left"/>
        <w:rPr>
          <w:b w:val="0"/>
          <w:bCs w:val="0"/>
          <w:color w:val="1F2329"/>
          <w:sz w:val="24"/>
        </w:rPr>
      </w:pPr>
      <w:r>
        <w:rPr>
          <w:rFonts w:hint="eastAsia"/>
          <w:b w:val="0"/>
          <w:bCs w:val="0"/>
          <w:color w:val="1F2329"/>
          <w:sz w:val="24"/>
        </w:rPr>
        <w:t>第三方调研机构出具的废塑料来源的调研报告（</w:t>
      </w:r>
      <w:r>
        <w:rPr>
          <w:b w:val="0"/>
          <w:bCs w:val="0"/>
          <w:color w:val="1F2329"/>
          <w:sz w:val="24"/>
        </w:rPr>
        <w:t>Word 可编辑版 + PDF 盖章版</w:t>
      </w:r>
      <w:r>
        <w:rPr>
          <w:rFonts w:hint="eastAsia"/>
          <w:b w:val="0"/>
          <w:bCs w:val="0"/>
          <w:color w:val="1F2329"/>
          <w:sz w:val="24"/>
        </w:rPr>
        <w:t>）；</w:t>
      </w:r>
    </w:p>
    <w:p w14:paraId="0A338FD8">
      <w:pPr>
        <w:widowControl/>
        <w:numPr>
          <w:ilvl w:val="0"/>
          <w:numId w:val="13"/>
        </w:numPr>
        <w:spacing w:line="360" w:lineRule="atLeast"/>
        <w:ind w:left="0" w:firstLine="480" w:firstLineChars="200"/>
        <w:jc w:val="left"/>
        <w:rPr>
          <w:b w:val="0"/>
          <w:bCs w:val="0"/>
          <w:color w:val="1F2329"/>
          <w:sz w:val="24"/>
        </w:rPr>
      </w:pPr>
      <w:r>
        <w:rPr>
          <w:b w:val="0"/>
          <w:bCs w:val="0"/>
          <w:color w:val="1F2329"/>
          <w:sz w:val="24"/>
        </w:rPr>
        <w:t>《废塑料化学法再生项目</w:t>
      </w:r>
      <w:r>
        <w:rPr>
          <w:rFonts w:hint="eastAsia"/>
          <w:b w:val="0"/>
          <w:bCs w:val="0"/>
          <w:color w:val="1F2329"/>
          <w:sz w:val="24"/>
        </w:rPr>
        <w:t>预</w:t>
      </w:r>
      <w:r>
        <w:rPr>
          <w:b w:val="0"/>
          <w:bCs w:val="0"/>
          <w:color w:val="1F2329"/>
          <w:sz w:val="24"/>
        </w:rPr>
        <w:t>可行性研究报告》</w:t>
      </w:r>
      <w:r>
        <w:rPr>
          <w:rFonts w:hint="eastAsia"/>
          <w:b w:val="0"/>
          <w:bCs w:val="0"/>
          <w:color w:val="1F2329"/>
          <w:sz w:val="24"/>
        </w:rPr>
        <w:t>及配套附件（</w:t>
      </w:r>
      <w:r>
        <w:rPr>
          <w:b w:val="0"/>
          <w:bCs w:val="0"/>
          <w:color w:val="1F2329"/>
          <w:sz w:val="24"/>
        </w:rPr>
        <w:t>Word 可编辑版 + PDF 盖章版</w:t>
      </w:r>
      <w:r>
        <w:rPr>
          <w:rFonts w:hint="eastAsia"/>
          <w:b w:val="0"/>
          <w:bCs w:val="0"/>
          <w:color w:val="1F2329"/>
          <w:sz w:val="24"/>
        </w:rPr>
        <w:t>）；</w:t>
      </w:r>
    </w:p>
    <w:p w14:paraId="3800A8E5">
      <w:pPr>
        <w:widowControl/>
        <w:spacing w:line="360" w:lineRule="atLeast"/>
        <w:ind w:firstLine="480" w:firstLineChars="200"/>
        <w:jc w:val="left"/>
        <w:rPr>
          <w:b w:val="0"/>
          <w:bCs w:val="0"/>
          <w:color w:val="1F2329"/>
          <w:sz w:val="24"/>
        </w:rPr>
      </w:pPr>
      <w:r>
        <w:rPr>
          <w:rFonts w:hint="eastAsia"/>
          <w:b w:val="0"/>
          <w:bCs w:val="0"/>
          <w:color w:val="1F2329"/>
          <w:sz w:val="24"/>
        </w:rPr>
        <w:t>（三）</w:t>
      </w:r>
      <w:r>
        <w:rPr>
          <w:b w:val="0"/>
          <w:bCs w:val="0"/>
          <w:color w:val="1F2329"/>
          <w:sz w:val="24"/>
        </w:rPr>
        <w:t>技术服务：配合甲方内部评审、专家评审，按评审意见完成报告修改完善。</w:t>
      </w:r>
    </w:p>
    <w:p w14:paraId="32651F09">
      <w:pPr>
        <w:pStyle w:val="3"/>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五、质量控制考核条款</w:t>
      </w:r>
    </w:p>
    <w:p w14:paraId="337E93A3">
      <w:pPr>
        <w:widowControl/>
        <w:numPr>
          <w:ilvl w:val="0"/>
          <w:numId w:val="14"/>
        </w:numPr>
        <w:spacing w:line="360" w:lineRule="atLeast"/>
        <w:ind w:left="0" w:firstLine="480" w:firstLineChars="200"/>
        <w:jc w:val="left"/>
        <w:rPr>
          <w:b w:val="0"/>
          <w:bCs w:val="0"/>
          <w:color w:val="1F2329"/>
          <w:sz w:val="24"/>
        </w:rPr>
      </w:pPr>
      <w:r>
        <w:rPr>
          <w:b w:val="0"/>
          <w:bCs w:val="0"/>
          <w:color w:val="1F2329"/>
          <w:sz w:val="24"/>
        </w:rPr>
        <w:t>禁止直接套用通用模板，工艺比选必须锚定</w:t>
      </w:r>
      <w:r>
        <w:rPr>
          <w:rStyle w:val="8"/>
          <w:b w:val="0"/>
          <w:bCs w:val="0"/>
          <w:color w:val="1F2329"/>
          <w:sz w:val="24"/>
        </w:rPr>
        <w:t>本次调研的原料实际品质</w:t>
      </w:r>
      <w:r>
        <w:rPr>
          <w:b w:val="0"/>
          <w:bCs w:val="0"/>
          <w:color w:val="1F2329"/>
          <w:sz w:val="24"/>
        </w:rPr>
        <w:t>和</w:t>
      </w:r>
      <w:r>
        <w:rPr>
          <w:rStyle w:val="8"/>
          <w:b w:val="0"/>
          <w:bCs w:val="0"/>
          <w:color w:val="1F2329"/>
          <w:sz w:val="24"/>
        </w:rPr>
        <w:t>福海创现有装置依托条件</w:t>
      </w:r>
      <w:r>
        <w:rPr>
          <w:b w:val="0"/>
          <w:bCs w:val="0"/>
          <w:color w:val="1F2329"/>
          <w:sz w:val="24"/>
        </w:rPr>
        <w:t>，不得脱离实际做理想化技术比选；</w:t>
      </w:r>
    </w:p>
    <w:p w14:paraId="7231AD47">
      <w:pPr>
        <w:widowControl/>
        <w:numPr>
          <w:ilvl w:val="0"/>
          <w:numId w:val="14"/>
        </w:numPr>
        <w:spacing w:line="360" w:lineRule="atLeast"/>
        <w:ind w:left="0" w:firstLine="480" w:firstLineChars="200"/>
        <w:jc w:val="left"/>
        <w:rPr>
          <w:b w:val="0"/>
          <w:bCs w:val="0"/>
          <w:color w:val="1F2329"/>
          <w:sz w:val="24"/>
        </w:rPr>
      </w:pPr>
      <w:r>
        <w:rPr>
          <w:b w:val="0"/>
          <w:bCs w:val="0"/>
          <w:color w:val="1F2329"/>
          <w:sz w:val="24"/>
        </w:rPr>
        <w:t>全部关键数据标注来源，估算类数据写明假设条件，区分实测、访谈、模型推算；客观描述各工艺工业化现状，不夸大成熟度；</w:t>
      </w:r>
    </w:p>
    <w:p w14:paraId="2CD60AED">
      <w:pPr>
        <w:widowControl/>
        <w:numPr>
          <w:ilvl w:val="0"/>
          <w:numId w:val="14"/>
        </w:numPr>
        <w:spacing w:line="360" w:lineRule="atLeast"/>
        <w:ind w:left="0" w:firstLine="480" w:firstLineChars="200"/>
        <w:jc w:val="left"/>
        <w:rPr>
          <w:b w:val="0"/>
          <w:bCs w:val="0"/>
          <w:color w:val="1F2329"/>
          <w:sz w:val="24"/>
        </w:rPr>
      </w:pPr>
      <w:r>
        <w:rPr>
          <w:b w:val="0"/>
          <w:bCs w:val="0"/>
          <w:color w:val="1F2329"/>
          <w:sz w:val="24"/>
        </w:rPr>
        <w:t>原料部分不允许全部使用网络二手资料，甲方有权对部分调研点位进行复核；</w:t>
      </w:r>
    </w:p>
    <w:p w14:paraId="72D3D9E7">
      <w:pPr>
        <w:widowControl/>
        <w:numPr>
          <w:ilvl w:val="0"/>
          <w:numId w:val="14"/>
        </w:numPr>
        <w:spacing w:line="360" w:lineRule="atLeast"/>
        <w:ind w:left="0" w:firstLine="480" w:firstLineChars="200"/>
        <w:jc w:val="left"/>
        <w:rPr>
          <w:b w:val="0"/>
          <w:bCs w:val="0"/>
          <w:color w:val="1F2329"/>
          <w:sz w:val="24"/>
        </w:rPr>
      </w:pPr>
      <w:r>
        <w:rPr>
          <w:b w:val="0"/>
          <w:bCs w:val="0"/>
          <w:color w:val="1F2329"/>
          <w:sz w:val="24"/>
        </w:rPr>
        <w:t>涉及专利技术时清晰写明界区划分、考核前提条件，不得模糊预处理与主装置责任边界；</w:t>
      </w:r>
    </w:p>
    <w:p w14:paraId="6F74AEB2">
      <w:pPr>
        <w:widowControl/>
        <w:numPr>
          <w:ilvl w:val="0"/>
          <w:numId w:val="14"/>
        </w:numPr>
        <w:spacing w:line="360" w:lineRule="atLeast"/>
        <w:ind w:left="0" w:firstLine="480" w:firstLineChars="200"/>
        <w:jc w:val="left"/>
        <w:rPr>
          <w:b w:val="0"/>
          <w:bCs w:val="0"/>
          <w:color w:val="1F2329"/>
          <w:sz w:val="24"/>
        </w:rPr>
      </w:pPr>
      <w:r>
        <w:rPr>
          <w:b w:val="0"/>
          <w:bCs w:val="0"/>
          <w:color w:val="1F2329"/>
          <w:sz w:val="24"/>
        </w:rPr>
        <w:t>财务测算必须完成多维度敏感性分析；</w:t>
      </w:r>
    </w:p>
    <w:p w14:paraId="32AB6782">
      <w:pPr>
        <w:widowControl/>
        <w:numPr>
          <w:ilvl w:val="0"/>
          <w:numId w:val="14"/>
        </w:numPr>
        <w:spacing w:line="360" w:lineRule="atLeast"/>
        <w:ind w:left="0" w:firstLine="480" w:firstLineChars="200"/>
        <w:jc w:val="left"/>
        <w:rPr>
          <w:b w:val="0"/>
          <w:bCs w:val="0"/>
          <w:color w:val="1F2329"/>
          <w:sz w:val="24"/>
        </w:rPr>
      </w:pPr>
      <w:r>
        <w:rPr>
          <w:b w:val="0"/>
          <w:bCs w:val="0"/>
          <w:color w:val="1F2329"/>
          <w:sz w:val="24"/>
        </w:rPr>
        <w:t>项目全部成果知识产权归属采购人，受托方</w:t>
      </w:r>
      <w:r>
        <w:rPr>
          <w:rFonts w:hint="eastAsia"/>
          <w:b w:val="0"/>
          <w:bCs w:val="0"/>
          <w:color w:val="1F2329"/>
          <w:sz w:val="24"/>
        </w:rPr>
        <w:t>要求</w:t>
      </w:r>
      <w:r>
        <w:rPr>
          <w:b w:val="0"/>
          <w:bCs w:val="0"/>
          <w:color w:val="1F2329"/>
          <w:sz w:val="24"/>
        </w:rPr>
        <w:t>保密，调研原始资料不得用于其他项目。</w:t>
      </w:r>
    </w:p>
    <w:p w14:paraId="33584F8C">
      <w:pPr>
        <w:pStyle w:val="3"/>
        <w:widowControl/>
        <w:spacing w:beforeAutospacing="0" w:afterAutospacing="0" w:line="360" w:lineRule="atLeast"/>
        <w:ind w:firstLine="480" w:firstLineChars="200"/>
        <w:rPr>
          <w:rFonts w:hint="default"/>
          <w:b w:val="0"/>
          <w:bCs w:val="0"/>
          <w:color w:val="1F2329"/>
          <w:sz w:val="24"/>
          <w:szCs w:val="24"/>
        </w:rPr>
      </w:pPr>
      <w:r>
        <w:rPr>
          <w:b w:val="0"/>
          <w:bCs w:val="0"/>
          <w:color w:val="1F2329"/>
          <w:sz w:val="24"/>
          <w:szCs w:val="24"/>
        </w:rPr>
        <w:t>六、项目工期</w:t>
      </w:r>
    </w:p>
    <w:p w14:paraId="0B815B0F">
      <w:pPr>
        <w:widowControl/>
        <w:spacing w:line="360" w:lineRule="atLeast"/>
        <w:ind w:firstLine="480" w:firstLineChars="200"/>
        <w:jc w:val="left"/>
        <w:rPr>
          <w:rFonts w:ascii="宋体" w:hAnsi="宋体" w:eastAsia="宋体" w:cs="宋体"/>
          <w:b w:val="0"/>
          <w:bCs w:val="0"/>
          <w:color w:val="1F2329"/>
          <w:kern w:val="0"/>
          <w:sz w:val="24"/>
          <w:lang w:bidi="ar"/>
        </w:rPr>
      </w:pPr>
      <w:r>
        <w:rPr>
          <w:rFonts w:hint="eastAsia" w:ascii="宋体" w:hAnsi="宋体" w:eastAsia="宋体" w:cs="宋体"/>
          <w:b w:val="0"/>
          <w:bCs w:val="0"/>
          <w:color w:val="1F2329"/>
          <w:kern w:val="0"/>
          <w:sz w:val="24"/>
          <w:lang w:bidi="ar"/>
        </w:rPr>
        <w:t xml:space="preserve">总工期 </w:t>
      </w:r>
      <w:r>
        <w:rPr>
          <w:rFonts w:ascii="宋体" w:hAnsi="宋体" w:eastAsia="宋体" w:cs="宋体"/>
          <w:b w:val="0"/>
          <w:bCs w:val="0"/>
          <w:color w:val="1F2329"/>
          <w:kern w:val="0"/>
          <w:sz w:val="24"/>
          <w:lang w:bidi="ar"/>
        </w:rPr>
        <w:t>6</w:t>
      </w:r>
      <w:r>
        <w:rPr>
          <w:rFonts w:hint="eastAsia" w:ascii="宋体" w:hAnsi="宋体" w:eastAsia="宋体" w:cs="宋体"/>
          <w:b w:val="0"/>
          <w:bCs w:val="0"/>
          <w:color w:val="1F2329"/>
          <w:kern w:val="0"/>
          <w:sz w:val="24"/>
          <w:lang w:bidi="ar"/>
        </w:rPr>
        <w:t>0 日历天。</w:t>
      </w:r>
    </w:p>
    <w:p w14:paraId="0AD2A51F">
      <w:pPr>
        <w:widowControl/>
        <w:numPr>
          <w:ilvl w:val="0"/>
          <w:numId w:val="15"/>
        </w:numPr>
        <w:spacing w:line="360" w:lineRule="atLeast"/>
        <w:ind w:firstLine="480" w:firstLineChars="200"/>
        <w:jc w:val="left"/>
        <w:rPr>
          <w:rFonts w:ascii="宋体" w:hAnsi="宋体" w:eastAsia="宋体" w:cs="宋体"/>
          <w:b w:val="0"/>
          <w:bCs w:val="0"/>
          <w:color w:val="1F2329"/>
          <w:kern w:val="0"/>
          <w:sz w:val="24"/>
          <w:lang w:bidi="ar"/>
        </w:rPr>
      </w:pPr>
      <w:r>
        <w:rPr>
          <w:rFonts w:hint="eastAsia" w:ascii="宋体" w:hAnsi="宋体" w:eastAsia="宋体" w:cs="宋体"/>
          <w:b w:val="0"/>
          <w:bCs w:val="0"/>
          <w:color w:val="1F2329"/>
          <w:kern w:val="0"/>
          <w:sz w:val="24"/>
          <w:lang w:bidi="ar"/>
        </w:rPr>
        <w:t>费用及评标</w:t>
      </w:r>
    </w:p>
    <w:p w14:paraId="681D0A37">
      <w:pPr>
        <w:widowControl/>
        <w:spacing w:line="360" w:lineRule="atLeast"/>
        <w:ind w:firstLine="480" w:firstLineChars="200"/>
        <w:jc w:val="left"/>
        <w:rPr>
          <w:rFonts w:ascii="宋体" w:hAnsi="宋体" w:eastAsia="宋体" w:cs="宋体"/>
          <w:b w:val="0"/>
          <w:bCs w:val="0"/>
          <w:sz w:val="24"/>
        </w:rPr>
      </w:pPr>
      <w:r>
        <w:rPr>
          <w:rFonts w:hint="eastAsia" w:ascii="宋体" w:hAnsi="宋体" w:eastAsia="宋体" w:cs="宋体"/>
          <w:b w:val="0"/>
          <w:bCs w:val="0"/>
          <w:sz w:val="24"/>
        </w:rPr>
        <w:t>（一）</w:t>
      </w:r>
      <w:r>
        <w:rPr>
          <w:rFonts w:ascii="宋体" w:hAnsi="宋体" w:eastAsia="宋体" w:cs="宋体"/>
          <w:b w:val="0"/>
          <w:bCs w:val="0"/>
          <w:sz w:val="24"/>
        </w:rPr>
        <w:t>合同价款</w:t>
      </w:r>
    </w:p>
    <w:p w14:paraId="0425FB5F">
      <w:pPr>
        <w:widowControl/>
        <w:spacing w:line="360" w:lineRule="atLeast"/>
        <w:ind w:firstLine="480" w:firstLineChars="200"/>
        <w:jc w:val="left"/>
        <w:rPr>
          <w:rFonts w:ascii="宋体" w:hAnsi="宋体" w:eastAsia="宋体" w:cs="宋体"/>
          <w:b w:val="0"/>
          <w:bCs w:val="0"/>
          <w:color w:val="000000"/>
          <w:sz w:val="24"/>
        </w:rPr>
      </w:pPr>
      <w:r>
        <w:rPr>
          <w:rFonts w:ascii="宋体" w:hAnsi="宋体" w:eastAsia="宋体" w:cs="宋体"/>
          <w:b w:val="0"/>
          <w:bCs w:val="0"/>
          <w:sz w:val="24"/>
        </w:rPr>
        <w:t>合同最终总价以实际中标价格为准。</w:t>
      </w:r>
    </w:p>
    <w:p w14:paraId="08C6B055">
      <w:pPr>
        <w:widowControl/>
        <w:numPr>
          <w:ilvl w:val="0"/>
          <w:numId w:val="16"/>
        </w:numPr>
        <w:spacing w:line="360" w:lineRule="atLeast"/>
        <w:ind w:firstLine="480" w:firstLineChars="200"/>
        <w:jc w:val="left"/>
        <w:rPr>
          <w:b w:val="0"/>
          <w:bCs w:val="0"/>
          <w:color w:val="000000"/>
          <w:sz w:val="24"/>
        </w:rPr>
      </w:pPr>
      <w:r>
        <w:rPr>
          <w:rFonts w:ascii="宋体" w:hAnsi="宋体" w:eastAsia="宋体" w:cs="宋体"/>
          <w:b w:val="0"/>
          <w:bCs w:val="0"/>
          <w:sz w:val="24"/>
        </w:rPr>
        <w:t>综合评分标准（总分 100 分）</w:t>
      </w:r>
    </w:p>
    <w:p w14:paraId="53422AD0">
      <w:pPr>
        <w:widowControl/>
        <w:spacing w:line="360" w:lineRule="atLeast"/>
        <w:ind w:firstLine="480" w:firstLineChars="200"/>
        <w:jc w:val="left"/>
        <w:rPr>
          <w:b w:val="0"/>
          <w:bCs w:val="0"/>
          <w:color w:val="000000"/>
          <w:sz w:val="24"/>
        </w:rPr>
      </w:pPr>
      <w:r>
        <w:rPr>
          <w:rStyle w:val="8"/>
          <w:rFonts w:hint="eastAsia" w:ascii="宋体" w:hAnsi="宋体" w:eastAsia="宋体" w:cs="宋体"/>
          <w:b w:val="0"/>
          <w:bCs w:val="0"/>
          <w:color w:val="000000"/>
          <w:kern w:val="0"/>
          <w:sz w:val="24"/>
          <w:lang w:bidi="ar"/>
        </w:rPr>
        <w:t>1.</w:t>
      </w:r>
      <w:r>
        <w:rPr>
          <w:rStyle w:val="8"/>
          <w:rFonts w:ascii="宋体" w:hAnsi="宋体" w:eastAsia="宋体" w:cs="宋体"/>
          <w:b w:val="0"/>
          <w:bCs w:val="0"/>
          <w:color w:val="000000"/>
          <w:kern w:val="0"/>
          <w:sz w:val="24"/>
          <w:lang w:bidi="ar"/>
        </w:rPr>
        <w:t>商务报价（90 分）</w:t>
      </w:r>
      <w:r>
        <w:rPr>
          <w:rFonts w:ascii="宋体" w:hAnsi="宋体" w:eastAsia="宋体" w:cs="宋体"/>
          <w:b w:val="0"/>
          <w:bCs w:val="0"/>
          <w:color w:val="000000"/>
          <w:kern w:val="0"/>
          <w:sz w:val="24"/>
          <w:lang w:bidi="ar"/>
        </w:rPr>
        <w:t xml:space="preserve"> 以有效投标文件中的</w:t>
      </w:r>
      <w:r>
        <w:rPr>
          <w:rStyle w:val="8"/>
          <w:rFonts w:ascii="宋体" w:hAnsi="宋体" w:eastAsia="宋体" w:cs="宋体"/>
          <w:b w:val="0"/>
          <w:bCs w:val="0"/>
          <w:color w:val="000000"/>
          <w:kern w:val="0"/>
          <w:sz w:val="24"/>
          <w:lang w:bidi="ar"/>
        </w:rPr>
        <w:t>最低投标报价</w:t>
      </w:r>
      <w:r>
        <w:rPr>
          <w:rFonts w:ascii="宋体" w:hAnsi="宋体" w:eastAsia="宋体" w:cs="宋体"/>
          <w:b w:val="0"/>
          <w:bCs w:val="0"/>
          <w:color w:val="000000"/>
          <w:kern w:val="0"/>
          <w:sz w:val="24"/>
          <w:lang w:bidi="ar"/>
        </w:rPr>
        <w:t>为评标基准价</w:t>
      </w:r>
      <w:r>
        <w:rPr>
          <w:rFonts w:hint="eastAsia" w:ascii="宋体" w:hAnsi="宋体" w:eastAsia="宋体" w:cs="宋体"/>
          <w:b w:val="0"/>
          <w:bCs w:val="0"/>
          <w:color w:val="000000"/>
          <w:kern w:val="0"/>
          <w:sz w:val="24"/>
          <w:lang w:bidi="ar"/>
        </w:rPr>
        <w:t>，</w:t>
      </w:r>
      <w:r>
        <w:rPr>
          <w:rFonts w:ascii="宋体" w:hAnsi="宋体" w:eastAsia="宋体" w:cs="宋体"/>
          <w:b w:val="0"/>
          <w:bCs w:val="0"/>
          <w:color w:val="000000"/>
          <w:kern w:val="0"/>
          <w:sz w:val="24"/>
          <w:lang w:bidi="ar"/>
        </w:rPr>
        <w:t>其报价得 90 分；其他投标人报价按公式计算得分。</w:t>
      </w:r>
    </w:p>
    <w:p w14:paraId="6B7890EB">
      <w:pPr>
        <w:widowControl/>
        <w:spacing w:line="360" w:lineRule="atLeast"/>
        <w:ind w:firstLine="480" w:firstLineChars="200"/>
        <w:jc w:val="left"/>
        <w:rPr>
          <w:b w:val="0"/>
          <w:bCs w:val="0"/>
          <w:color w:val="000000"/>
          <w:sz w:val="24"/>
        </w:rPr>
      </w:pPr>
      <w:r>
        <w:rPr>
          <w:rFonts w:ascii="宋体" w:hAnsi="宋体" w:eastAsia="宋体" w:cs="宋体"/>
          <w:b w:val="0"/>
          <w:bCs w:val="0"/>
          <w:color w:val="000000"/>
          <w:kern w:val="0"/>
          <w:sz w:val="24"/>
          <w:lang w:bidi="ar"/>
        </w:rPr>
        <w:t>报价得分 =（评标基准价 ÷ 投标报价）×90</w:t>
      </w:r>
    </w:p>
    <w:p w14:paraId="7E6964CB">
      <w:pPr>
        <w:widowControl/>
        <w:spacing w:line="360" w:lineRule="atLeast"/>
        <w:ind w:firstLine="480" w:firstLineChars="200"/>
        <w:jc w:val="left"/>
        <w:rPr>
          <w:b w:val="0"/>
          <w:bCs w:val="0"/>
          <w:color w:val="000000"/>
          <w:sz w:val="24"/>
        </w:rPr>
      </w:pPr>
      <w:r>
        <w:rPr>
          <w:rStyle w:val="8"/>
          <w:rFonts w:hint="eastAsia" w:ascii="宋体" w:hAnsi="宋体" w:eastAsia="宋体" w:cs="宋体"/>
          <w:b w:val="0"/>
          <w:bCs w:val="0"/>
          <w:color w:val="000000"/>
          <w:kern w:val="0"/>
          <w:sz w:val="24"/>
          <w:lang w:bidi="ar"/>
        </w:rPr>
        <w:t>2.</w:t>
      </w:r>
      <w:r>
        <w:rPr>
          <w:rStyle w:val="8"/>
          <w:rFonts w:ascii="宋体" w:hAnsi="宋体" w:eastAsia="宋体" w:cs="宋体"/>
          <w:b w:val="0"/>
          <w:bCs w:val="0"/>
          <w:color w:val="000000"/>
          <w:kern w:val="0"/>
          <w:sz w:val="24"/>
          <w:lang w:bidi="ar"/>
        </w:rPr>
        <w:t>业绩（10 分）</w:t>
      </w:r>
    </w:p>
    <w:p w14:paraId="05899249">
      <w:pPr>
        <w:widowControl/>
        <w:numPr>
          <w:ilvl w:val="0"/>
          <w:numId w:val="17"/>
        </w:numPr>
        <w:spacing w:line="360" w:lineRule="atLeast"/>
        <w:ind w:left="0" w:firstLine="480" w:firstLineChars="200"/>
        <w:jc w:val="left"/>
        <w:rPr>
          <w:b w:val="0"/>
          <w:bCs w:val="0"/>
          <w:color w:val="000000"/>
          <w:sz w:val="24"/>
        </w:rPr>
      </w:pPr>
      <w:r>
        <w:rPr>
          <w:b w:val="0"/>
          <w:bCs w:val="0"/>
          <w:color w:val="000000"/>
          <w:sz w:val="24"/>
        </w:rPr>
        <w:t>投标人具有</w:t>
      </w:r>
      <w:r>
        <w:rPr>
          <w:rStyle w:val="8"/>
          <w:b w:val="0"/>
          <w:bCs w:val="0"/>
          <w:color w:val="000000"/>
          <w:sz w:val="24"/>
        </w:rPr>
        <w:t>废塑料或废橡胶</w:t>
      </w:r>
      <w:r>
        <w:rPr>
          <w:b w:val="0"/>
          <w:bCs w:val="0"/>
          <w:color w:val="1F2329"/>
          <w:sz w:val="24"/>
        </w:rPr>
        <w:t>化学法再生</w:t>
      </w:r>
      <w:r>
        <w:rPr>
          <w:rFonts w:hint="eastAsia"/>
          <w:b w:val="0"/>
          <w:bCs w:val="0"/>
          <w:color w:val="1F2329"/>
          <w:sz w:val="24"/>
        </w:rPr>
        <w:t>利用项目</w:t>
      </w:r>
      <w:r>
        <w:rPr>
          <w:rStyle w:val="8"/>
          <w:b w:val="0"/>
          <w:bCs w:val="0"/>
          <w:color w:val="000000"/>
          <w:sz w:val="24"/>
        </w:rPr>
        <w:t>可研编制</w:t>
      </w:r>
      <w:r>
        <w:rPr>
          <w:rStyle w:val="8"/>
          <w:rFonts w:hint="eastAsia"/>
          <w:b w:val="0"/>
          <w:bCs w:val="0"/>
          <w:color w:val="000000"/>
          <w:sz w:val="24"/>
        </w:rPr>
        <w:t>或者工程设计</w:t>
      </w:r>
      <w:r>
        <w:rPr>
          <w:rStyle w:val="8"/>
          <w:b w:val="0"/>
          <w:bCs w:val="0"/>
          <w:color w:val="000000"/>
          <w:sz w:val="24"/>
        </w:rPr>
        <w:t>业绩 1 项</w:t>
      </w:r>
      <w:r>
        <w:rPr>
          <w:b w:val="0"/>
          <w:bCs w:val="0"/>
          <w:color w:val="000000"/>
          <w:sz w:val="24"/>
        </w:rPr>
        <w:t>，得 5 分；</w:t>
      </w:r>
    </w:p>
    <w:p w14:paraId="23147D94">
      <w:pPr>
        <w:widowControl/>
        <w:numPr>
          <w:ilvl w:val="0"/>
          <w:numId w:val="17"/>
        </w:numPr>
        <w:spacing w:line="360" w:lineRule="atLeast"/>
        <w:ind w:left="0" w:firstLine="480" w:firstLineChars="200"/>
        <w:jc w:val="left"/>
        <w:rPr>
          <w:b w:val="0"/>
          <w:bCs w:val="0"/>
          <w:color w:val="000000"/>
          <w:sz w:val="24"/>
        </w:rPr>
      </w:pPr>
      <w:r>
        <w:rPr>
          <w:b w:val="0"/>
          <w:bCs w:val="0"/>
          <w:color w:val="000000"/>
          <w:sz w:val="24"/>
        </w:rPr>
        <w:t>投标人具有</w:t>
      </w:r>
      <w:r>
        <w:rPr>
          <w:rStyle w:val="8"/>
          <w:b w:val="0"/>
          <w:bCs w:val="0"/>
          <w:color w:val="000000"/>
          <w:sz w:val="24"/>
        </w:rPr>
        <w:t>废塑料或废橡胶</w:t>
      </w:r>
      <w:r>
        <w:rPr>
          <w:b w:val="0"/>
          <w:bCs w:val="0"/>
          <w:color w:val="1F2329"/>
          <w:sz w:val="24"/>
        </w:rPr>
        <w:t>化学法再生</w:t>
      </w:r>
      <w:r>
        <w:rPr>
          <w:rFonts w:hint="eastAsia"/>
          <w:b w:val="0"/>
          <w:bCs w:val="0"/>
          <w:color w:val="1F2329"/>
          <w:sz w:val="24"/>
        </w:rPr>
        <w:t>利用项目</w:t>
      </w:r>
      <w:r>
        <w:rPr>
          <w:rStyle w:val="8"/>
          <w:b w:val="0"/>
          <w:bCs w:val="0"/>
          <w:color w:val="000000"/>
          <w:sz w:val="24"/>
        </w:rPr>
        <w:t>可研编制业绩 2 项及以上</w:t>
      </w:r>
      <w:r>
        <w:rPr>
          <w:b w:val="0"/>
          <w:bCs w:val="0"/>
          <w:color w:val="000000"/>
          <w:sz w:val="24"/>
        </w:rPr>
        <w:t>，得 10 分；</w:t>
      </w:r>
    </w:p>
    <w:p w14:paraId="4B8572D9">
      <w:pPr>
        <w:widowControl/>
        <w:numPr>
          <w:ilvl w:val="0"/>
          <w:numId w:val="17"/>
        </w:numPr>
        <w:spacing w:line="360" w:lineRule="atLeast"/>
        <w:ind w:left="0" w:firstLine="480" w:firstLineChars="200"/>
        <w:jc w:val="left"/>
        <w:rPr>
          <w:b w:val="0"/>
          <w:bCs w:val="0"/>
          <w:color w:val="000000"/>
          <w:sz w:val="24"/>
        </w:rPr>
      </w:pPr>
      <w:r>
        <w:rPr>
          <w:b w:val="0"/>
          <w:bCs w:val="0"/>
          <w:color w:val="000000"/>
          <w:sz w:val="24"/>
        </w:rPr>
        <w:t>无上述业绩不得分。</w:t>
      </w:r>
    </w:p>
    <w:p w14:paraId="33F3E5B6">
      <w:pPr>
        <w:widowControl/>
        <w:spacing w:line="360" w:lineRule="atLeast"/>
        <w:ind w:firstLine="480" w:firstLineChars="200"/>
        <w:jc w:val="left"/>
        <w:rPr>
          <w:rFonts w:ascii="宋体" w:hAnsi="宋体" w:eastAsia="宋体" w:cs="宋体"/>
          <w:b w:val="0"/>
          <w:bCs w:val="0"/>
          <w:color w:val="000000"/>
          <w:sz w:val="24"/>
        </w:rPr>
      </w:pPr>
      <w:r>
        <w:rPr>
          <w:rFonts w:hint="eastAsia" w:ascii="宋体" w:hAnsi="宋体" w:eastAsia="宋体" w:cs="宋体"/>
          <w:b w:val="0"/>
          <w:bCs w:val="0"/>
          <w:color w:val="000000"/>
          <w:kern w:val="0"/>
          <w:sz w:val="24"/>
          <w:lang w:bidi="ar"/>
        </w:rPr>
        <w:t>备注：业绩需提供合同关键页等证明材料，时间、项目内容以证明材料为准。</w:t>
      </w:r>
    </w:p>
    <w:p w14:paraId="091FFCE9">
      <w:pPr>
        <w:widowControl/>
        <w:spacing w:line="360" w:lineRule="atLeast"/>
        <w:ind w:firstLine="480" w:firstLineChars="200"/>
        <w:jc w:val="left"/>
        <w:rPr>
          <w:rFonts w:ascii="宋体" w:hAnsi="宋体" w:eastAsia="宋体" w:cs="宋体"/>
          <w:b w:val="0"/>
          <w:bCs w:val="0"/>
          <w:sz w:val="24"/>
        </w:rPr>
      </w:pPr>
    </w:p>
    <w:p w14:paraId="1989903E">
      <w:pPr>
        <w:ind w:firstLine="480" w:firstLineChars="200"/>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AAD263"/>
    <w:multiLevelType w:val="singleLevel"/>
    <w:tmpl w:val="8EAAD263"/>
    <w:lvl w:ilvl="0" w:tentative="0">
      <w:start w:val="4"/>
      <w:numFmt w:val="chineseCounting"/>
      <w:suff w:val="nothing"/>
      <w:lvlText w:val="%1、"/>
      <w:lvlJc w:val="left"/>
      <w:rPr>
        <w:rFonts w:hint="eastAsia"/>
      </w:rPr>
    </w:lvl>
  </w:abstractNum>
  <w:abstractNum w:abstractNumId="1">
    <w:nsid w:val="AAE0AC8A"/>
    <w:multiLevelType w:val="multilevel"/>
    <w:tmpl w:val="AAE0AC8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B0A8F79A"/>
    <w:multiLevelType w:val="multilevel"/>
    <w:tmpl w:val="B0A8F79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BA339832"/>
    <w:multiLevelType w:val="multilevel"/>
    <w:tmpl w:val="BA33983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C5962FC9"/>
    <w:multiLevelType w:val="singleLevel"/>
    <w:tmpl w:val="C5962FC9"/>
    <w:lvl w:ilvl="0" w:tentative="0">
      <w:start w:val="2"/>
      <w:numFmt w:val="chineseCounting"/>
      <w:suff w:val="nothing"/>
      <w:lvlText w:val="（%1）"/>
      <w:lvlJc w:val="left"/>
      <w:rPr>
        <w:rFonts w:hint="eastAsia"/>
      </w:rPr>
    </w:lvl>
  </w:abstractNum>
  <w:abstractNum w:abstractNumId="5">
    <w:nsid w:val="E4B79BA4"/>
    <w:multiLevelType w:val="multilevel"/>
    <w:tmpl w:val="E4B79BA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0BE0C4E4"/>
    <w:multiLevelType w:val="singleLevel"/>
    <w:tmpl w:val="0BE0C4E4"/>
    <w:lvl w:ilvl="0" w:tentative="0">
      <w:start w:val="7"/>
      <w:numFmt w:val="chineseCounting"/>
      <w:suff w:val="nothing"/>
      <w:lvlText w:val="%1、"/>
      <w:lvlJc w:val="left"/>
      <w:rPr>
        <w:rFonts w:hint="eastAsia"/>
      </w:rPr>
    </w:lvl>
  </w:abstractNum>
  <w:abstractNum w:abstractNumId="7">
    <w:nsid w:val="17AA6805"/>
    <w:multiLevelType w:val="multilevel"/>
    <w:tmpl w:val="17AA680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20ECEFEE"/>
    <w:multiLevelType w:val="multilevel"/>
    <w:tmpl w:val="20ECEFE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35867EC3"/>
    <w:multiLevelType w:val="multilevel"/>
    <w:tmpl w:val="35867EC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39E389A9"/>
    <w:multiLevelType w:val="multilevel"/>
    <w:tmpl w:val="39E389A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4F8AA215"/>
    <w:multiLevelType w:val="multilevel"/>
    <w:tmpl w:val="4F8AA21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5ACA7683"/>
    <w:multiLevelType w:val="multilevel"/>
    <w:tmpl w:val="5ACA768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624FA46F"/>
    <w:multiLevelType w:val="singleLevel"/>
    <w:tmpl w:val="624FA46F"/>
    <w:lvl w:ilvl="0" w:tentative="0">
      <w:start w:val="2"/>
      <w:numFmt w:val="chineseCounting"/>
      <w:suff w:val="nothing"/>
      <w:lvlText w:val="（%1）"/>
      <w:lvlJc w:val="left"/>
      <w:rPr>
        <w:rFonts w:hint="eastAsia"/>
      </w:rPr>
    </w:lvl>
  </w:abstractNum>
  <w:abstractNum w:abstractNumId="14">
    <w:nsid w:val="662BE3B0"/>
    <w:multiLevelType w:val="multilevel"/>
    <w:tmpl w:val="662BE3B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6880CEA2"/>
    <w:multiLevelType w:val="multilevel"/>
    <w:tmpl w:val="6880CEA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71046EBC"/>
    <w:multiLevelType w:val="multilevel"/>
    <w:tmpl w:val="71046EB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1"/>
  </w:num>
  <w:num w:numId="2">
    <w:abstractNumId w:val="3"/>
  </w:num>
  <w:num w:numId="3">
    <w:abstractNumId w:val="13"/>
  </w:num>
  <w:num w:numId="4">
    <w:abstractNumId w:val="1"/>
  </w:num>
  <w:num w:numId="5">
    <w:abstractNumId w:val="5"/>
  </w:num>
  <w:num w:numId="6">
    <w:abstractNumId w:val="15"/>
  </w:num>
  <w:num w:numId="7">
    <w:abstractNumId w:val="7"/>
  </w:num>
  <w:num w:numId="8">
    <w:abstractNumId w:val="12"/>
  </w:num>
  <w:num w:numId="9">
    <w:abstractNumId w:val="10"/>
  </w:num>
  <w:num w:numId="10">
    <w:abstractNumId w:val="16"/>
  </w:num>
  <w:num w:numId="11">
    <w:abstractNumId w:val="14"/>
  </w:num>
  <w:num w:numId="12">
    <w:abstractNumId w:val="0"/>
  </w:num>
  <w:num w:numId="13">
    <w:abstractNumId w:val="8"/>
  </w:num>
  <w:num w:numId="14">
    <w:abstractNumId w:val="2"/>
  </w:num>
  <w:num w:numId="15">
    <w:abstractNumId w:val="6"/>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62E"/>
    <w:rsid w:val="00224788"/>
    <w:rsid w:val="00C0562E"/>
    <w:rsid w:val="01B4263C"/>
    <w:rsid w:val="02870C40"/>
    <w:rsid w:val="03841E70"/>
    <w:rsid w:val="0664724D"/>
    <w:rsid w:val="07397B77"/>
    <w:rsid w:val="0AE81C3F"/>
    <w:rsid w:val="0D3B3F1D"/>
    <w:rsid w:val="108347BA"/>
    <w:rsid w:val="13E42C19"/>
    <w:rsid w:val="141F300D"/>
    <w:rsid w:val="1C606948"/>
    <w:rsid w:val="1F826EF4"/>
    <w:rsid w:val="244B694E"/>
    <w:rsid w:val="25A73483"/>
    <w:rsid w:val="2CEA2042"/>
    <w:rsid w:val="2F8F2170"/>
    <w:rsid w:val="305B3E0B"/>
    <w:rsid w:val="33ED56C2"/>
    <w:rsid w:val="34E02B31"/>
    <w:rsid w:val="356078A2"/>
    <w:rsid w:val="35B93AAE"/>
    <w:rsid w:val="3A322081"/>
    <w:rsid w:val="3B2365B0"/>
    <w:rsid w:val="3E685645"/>
    <w:rsid w:val="43C875B2"/>
    <w:rsid w:val="492A3696"/>
    <w:rsid w:val="4A2512BA"/>
    <w:rsid w:val="4C237A7B"/>
    <w:rsid w:val="4E4F2DA9"/>
    <w:rsid w:val="4E685C19"/>
    <w:rsid w:val="56DF63E7"/>
    <w:rsid w:val="58B459F6"/>
    <w:rsid w:val="591A3FB4"/>
    <w:rsid w:val="5EB033F0"/>
    <w:rsid w:val="5F434264"/>
    <w:rsid w:val="6009390B"/>
    <w:rsid w:val="60C43183"/>
    <w:rsid w:val="60C50CA9"/>
    <w:rsid w:val="620A3943"/>
    <w:rsid w:val="6B1D07BA"/>
    <w:rsid w:val="6DD62748"/>
    <w:rsid w:val="6E14501E"/>
    <w:rsid w:val="7479207F"/>
    <w:rsid w:val="766052A4"/>
    <w:rsid w:val="76AF7FDA"/>
    <w:rsid w:val="7C961A20"/>
    <w:rsid w:val="7D2232B3"/>
    <w:rsid w:val="7E342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9"/>
    <w:qFormat/>
    <w:uiPriority w:val="0"/>
    <w:rPr>
      <w:sz w:val="18"/>
      <w:szCs w:val="18"/>
    </w:rPr>
  </w:style>
  <w:style w:type="character" w:styleId="8">
    <w:name w:val="Strong"/>
    <w:basedOn w:val="7"/>
    <w:qFormat/>
    <w:uiPriority w:val="0"/>
    <w:rPr>
      <w:b/>
    </w:rPr>
  </w:style>
  <w:style w:type="character" w:customStyle="1" w:styleId="9">
    <w:name w:val="批注框文本 Char"/>
    <w:basedOn w:val="7"/>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3374</Words>
  <Characters>3461</Characters>
  <Lines>25</Lines>
  <Paragraphs>7</Paragraphs>
  <TotalTime>3</TotalTime>
  <ScaleCrop>false</ScaleCrop>
  <LinksUpToDate>false</LinksUpToDate>
  <CharactersWithSpaces>3510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2026-08-14T01:56:00Z</dcterms:created>
  <dc:creator>xjzheng</dc:creator>
  <cp:lastModifiedBy>ybchen</cp:lastModifiedBy>
  <dcterms:modified xsi:type="dcterms:W3CDTF">2026-08-21T02:20:39Z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B97FEF2EBCDF458B89686F29495C9C73_12</vt:lpwstr>
  </property>
  <property fmtid="{D5CDD505-2E9C-101B-9397-08002B2CF9AE}" pid="4" name="KSOTemplateDocerSaveRecord">
    <vt:lpwstr>eyJoZGlkIjoiOTliNjBiMDczMWUzMGU4YjQ4MmUwYjMwODNlZWVmMTYiLCJ1c2VySWQiOiIxNTY4NzkzMDM1In0=</vt:lpwstr>
  </property>
</Properties>
</file>