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C78BA8">
      <w:pPr>
        <w:spacing w:line="360" w:lineRule="auto"/>
        <w:jc w:val="center"/>
        <w:rPr>
          <w:rFonts w:ascii="仿宋_GB2312" w:eastAsia="仿宋_GB2312" w:hAnsiTheme="minorEastAsia"/>
          <w:b/>
          <w:bCs/>
          <w:sz w:val="44"/>
          <w:szCs w:val="44"/>
        </w:rPr>
      </w:pPr>
    </w:p>
    <w:p w14:paraId="6DCFFC2C">
      <w:pPr>
        <w:spacing w:line="360" w:lineRule="auto"/>
        <w:jc w:val="center"/>
        <w:rPr>
          <w:rFonts w:ascii="仿宋_GB2312" w:eastAsia="仿宋_GB2312" w:hAnsiTheme="minorEastAsia"/>
          <w:b/>
          <w:bCs/>
          <w:sz w:val="44"/>
          <w:szCs w:val="44"/>
        </w:rPr>
      </w:pPr>
      <w:r>
        <w:rPr>
          <w:rFonts w:hint="eastAsia" w:ascii="仿宋_GB2312" w:eastAsia="仿宋_GB2312" w:hAnsiTheme="minorEastAsia"/>
          <w:b/>
          <w:bCs/>
          <w:sz w:val="44"/>
          <w:szCs w:val="44"/>
        </w:rPr>
        <w:t>腾龙芳烃（漳州）有限公司</w:t>
      </w:r>
    </w:p>
    <w:p w14:paraId="1DEBA892">
      <w:pPr>
        <w:spacing w:line="360" w:lineRule="auto"/>
        <w:jc w:val="center"/>
        <w:rPr>
          <w:rFonts w:ascii="仿宋_GB2312" w:eastAsia="仿宋_GB2312" w:hAnsiTheme="minorEastAsia"/>
          <w:b/>
          <w:bCs/>
          <w:sz w:val="44"/>
          <w:szCs w:val="44"/>
        </w:rPr>
      </w:pPr>
    </w:p>
    <w:p w14:paraId="614EB71B">
      <w:pPr>
        <w:spacing w:line="360" w:lineRule="auto"/>
        <w:jc w:val="center"/>
        <w:rPr>
          <w:rFonts w:ascii="仿宋_GB2312" w:eastAsia="仿宋_GB2312" w:hAnsiTheme="minorEastAsia"/>
          <w:b/>
          <w:bCs/>
          <w:sz w:val="44"/>
          <w:szCs w:val="44"/>
        </w:rPr>
      </w:pPr>
      <w:r>
        <w:rPr>
          <w:rFonts w:hint="eastAsia" w:ascii="仿宋_GB2312" w:eastAsia="仿宋_GB2312" w:hAnsiTheme="minorEastAsia"/>
          <w:b/>
          <w:bCs/>
          <w:sz w:val="44"/>
          <w:szCs w:val="44"/>
        </w:rPr>
        <w:t>芳烃联合装置37-E-109AB重芳烃塔蒸汽发生器采购技术要求</w:t>
      </w:r>
    </w:p>
    <w:p w14:paraId="5DFF51F3">
      <w:pPr>
        <w:spacing w:line="360" w:lineRule="auto"/>
        <w:jc w:val="center"/>
        <w:rPr>
          <w:rFonts w:ascii="仿宋_GB2312" w:eastAsia="仿宋_GB2312" w:hAnsiTheme="minorEastAsia"/>
          <w:b/>
          <w:bCs/>
          <w:sz w:val="44"/>
          <w:szCs w:val="44"/>
        </w:rPr>
      </w:pPr>
    </w:p>
    <w:p w14:paraId="29E425EC">
      <w:pPr>
        <w:spacing w:line="360" w:lineRule="auto"/>
        <w:jc w:val="center"/>
        <w:rPr>
          <w:rFonts w:ascii="仿宋_GB2312" w:eastAsia="仿宋_GB2312" w:hAnsiTheme="minorEastAsia"/>
          <w:b/>
          <w:bCs/>
          <w:sz w:val="44"/>
          <w:szCs w:val="44"/>
        </w:rPr>
      </w:pPr>
    </w:p>
    <w:p w14:paraId="300824FE">
      <w:pPr>
        <w:spacing w:line="360" w:lineRule="auto"/>
        <w:jc w:val="center"/>
        <w:rPr>
          <w:rFonts w:ascii="仿宋_GB2312" w:eastAsia="仿宋_GB2312" w:hAnsiTheme="minorEastAsia"/>
          <w:b/>
          <w:bCs/>
          <w:sz w:val="44"/>
          <w:szCs w:val="44"/>
        </w:rPr>
      </w:pPr>
    </w:p>
    <w:p w14:paraId="5D683028">
      <w:pPr>
        <w:spacing w:line="360" w:lineRule="auto"/>
        <w:jc w:val="center"/>
        <w:rPr>
          <w:rFonts w:ascii="仿宋_GB2312" w:eastAsia="仿宋_GB2312" w:hAnsiTheme="minorEastAsia"/>
          <w:b/>
          <w:bCs/>
          <w:sz w:val="44"/>
          <w:szCs w:val="44"/>
        </w:rPr>
      </w:pPr>
    </w:p>
    <w:p w14:paraId="57BA861A">
      <w:pPr>
        <w:spacing w:line="360" w:lineRule="auto"/>
        <w:jc w:val="center"/>
        <w:rPr>
          <w:rFonts w:ascii="仿宋_GB2312" w:eastAsia="仿宋_GB2312" w:hAnsiTheme="minorEastAsia"/>
          <w:b/>
          <w:bCs/>
          <w:sz w:val="44"/>
          <w:szCs w:val="44"/>
        </w:rPr>
      </w:pPr>
    </w:p>
    <w:p w14:paraId="52BB4D31">
      <w:pPr>
        <w:spacing w:line="360" w:lineRule="auto"/>
        <w:jc w:val="center"/>
        <w:rPr>
          <w:rFonts w:ascii="仿宋_GB2312" w:eastAsia="仿宋_GB2312" w:hAnsiTheme="minorEastAsia"/>
          <w:b/>
          <w:bCs/>
          <w:sz w:val="44"/>
          <w:szCs w:val="44"/>
        </w:rPr>
      </w:pPr>
    </w:p>
    <w:p w14:paraId="0D09F31B">
      <w:pPr>
        <w:spacing w:line="360" w:lineRule="auto"/>
        <w:jc w:val="center"/>
        <w:rPr>
          <w:rFonts w:ascii="仿宋_GB2312" w:eastAsia="仿宋_GB2312" w:hAnsiTheme="minorEastAsia"/>
          <w:b/>
          <w:bCs/>
          <w:sz w:val="44"/>
          <w:szCs w:val="44"/>
        </w:rPr>
      </w:pPr>
    </w:p>
    <w:p w14:paraId="03FA5C92">
      <w:pPr>
        <w:spacing w:line="360" w:lineRule="auto"/>
        <w:jc w:val="center"/>
        <w:rPr>
          <w:rFonts w:ascii="仿宋_GB2312" w:eastAsia="仿宋_GB2312" w:hAnsiTheme="minorEastAsia"/>
          <w:b/>
          <w:bCs/>
          <w:sz w:val="44"/>
          <w:szCs w:val="44"/>
        </w:rPr>
      </w:pPr>
    </w:p>
    <w:p w14:paraId="50E86F6C">
      <w:pPr>
        <w:spacing w:line="360" w:lineRule="auto"/>
        <w:jc w:val="center"/>
        <w:rPr>
          <w:rFonts w:ascii="仿宋_GB2312" w:eastAsia="仿宋_GB2312" w:hAnsiTheme="minorEastAsia"/>
          <w:b/>
          <w:bCs/>
          <w:sz w:val="44"/>
          <w:szCs w:val="44"/>
        </w:rPr>
      </w:pPr>
    </w:p>
    <w:p w14:paraId="225BEE8E">
      <w:pPr>
        <w:spacing w:line="360" w:lineRule="auto"/>
        <w:jc w:val="center"/>
        <w:rPr>
          <w:rFonts w:ascii="仿宋_GB2312" w:eastAsia="仿宋_GB2312" w:hAnsiTheme="minorEastAsia"/>
          <w:b/>
          <w:bCs/>
          <w:sz w:val="32"/>
          <w:szCs w:val="32"/>
        </w:rPr>
      </w:pPr>
    </w:p>
    <w:p w14:paraId="40B7FE51">
      <w:pPr>
        <w:spacing w:line="360" w:lineRule="auto"/>
        <w:jc w:val="center"/>
        <w:rPr>
          <w:rFonts w:ascii="仿宋_GB2312" w:eastAsia="仿宋_GB2312" w:hAnsiTheme="minorEastAsia"/>
          <w:b/>
          <w:bCs/>
          <w:sz w:val="32"/>
          <w:szCs w:val="32"/>
        </w:rPr>
      </w:pPr>
    </w:p>
    <w:p w14:paraId="1659DEFA">
      <w:pPr>
        <w:spacing w:line="360" w:lineRule="auto"/>
        <w:jc w:val="center"/>
        <w:rPr>
          <w:rFonts w:ascii="仿宋_GB2312" w:eastAsia="仿宋_GB2312" w:hAnsiTheme="minorEastAsia"/>
          <w:b/>
          <w:bCs/>
          <w:sz w:val="32"/>
          <w:szCs w:val="32"/>
        </w:rPr>
      </w:pPr>
    </w:p>
    <w:p w14:paraId="02AF966D">
      <w:pPr>
        <w:spacing w:line="360" w:lineRule="auto"/>
        <w:jc w:val="center"/>
        <w:rPr>
          <w:rFonts w:ascii="仿宋_GB2312" w:eastAsia="仿宋_GB2312" w:hAnsiTheme="minorEastAsia"/>
          <w:b/>
          <w:bCs/>
          <w:sz w:val="32"/>
          <w:szCs w:val="32"/>
        </w:rPr>
      </w:pPr>
    </w:p>
    <w:p w14:paraId="6CDCD05A">
      <w:pPr>
        <w:spacing w:line="360" w:lineRule="auto"/>
        <w:jc w:val="center"/>
        <w:rPr>
          <w:rFonts w:ascii="仿宋_GB2312" w:eastAsia="仿宋_GB2312" w:hAnsiTheme="minorEastAsia"/>
          <w:b/>
          <w:bCs/>
          <w:sz w:val="32"/>
          <w:szCs w:val="32"/>
        </w:rPr>
      </w:pPr>
    </w:p>
    <w:p w14:paraId="1220C286">
      <w:pPr>
        <w:spacing w:line="360" w:lineRule="auto"/>
        <w:jc w:val="center"/>
        <w:rPr>
          <w:rFonts w:ascii="仿宋_GB2312" w:eastAsia="仿宋_GB2312" w:hAnsiTheme="minorEastAsia"/>
          <w:b/>
          <w:bCs/>
          <w:sz w:val="32"/>
          <w:szCs w:val="32"/>
        </w:rPr>
      </w:pPr>
    </w:p>
    <w:p w14:paraId="5ADDE1C8">
      <w:pPr>
        <w:spacing w:line="360" w:lineRule="auto"/>
        <w:jc w:val="center"/>
        <w:rPr>
          <w:rFonts w:ascii="仿宋_GB2312" w:eastAsia="仿宋_GB2312" w:hAnsiTheme="minorEastAsia"/>
          <w:b/>
          <w:bCs/>
          <w:sz w:val="32"/>
          <w:szCs w:val="32"/>
        </w:rPr>
      </w:pPr>
    </w:p>
    <w:p w14:paraId="6C073D44">
      <w:pPr>
        <w:spacing w:line="360" w:lineRule="auto"/>
        <w:jc w:val="center"/>
        <w:rPr>
          <w:rFonts w:ascii="仿宋_GB2312" w:eastAsia="仿宋_GB2312" w:hAnsiTheme="minorEastAsia"/>
          <w:b/>
          <w:bCs/>
          <w:sz w:val="32"/>
          <w:szCs w:val="32"/>
        </w:rPr>
      </w:pPr>
    </w:p>
    <w:p w14:paraId="1E7E18E1">
      <w:pPr>
        <w:numPr>
          <w:ilvl w:val="0"/>
          <w:numId w:val="1"/>
        </w:numPr>
        <w:spacing w:line="540" w:lineRule="exact"/>
        <w:rPr>
          <w:rFonts w:ascii="仿宋_GB2312" w:eastAsia="仿宋_GB2312"/>
          <w:b/>
          <w:sz w:val="28"/>
          <w:szCs w:val="28"/>
        </w:rPr>
      </w:pPr>
      <w:r>
        <w:rPr>
          <w:rFonts w:hint="eastAsia" w:ascii="仿宋_GB2312" w:eastAsia="仿宋_GB2312"/>
          <w:b/>
          <w:sz w:val="28"/>
          <w:szCs w:val="28"/>
        </w:rPr>
        <w:t>厂商资质：</w:t>
      </w:r>
    </w:p>
    <w:p w14:paraId="49DC3806">
      <w:pPr>
        <w:spacing w:line="360" w:lineRule="auto"/>
        <w:ind w:firstLine="480" w:firstLineChars="200"/>
        <w:rPr>
          <w:rFonts w:ascii="仿宋_GB2312" w:eastAsia="仿宋_GB2312" w:hAnsiTheme="minorEastAsia"/>
          <w:color w:val="000000"/>
          <w:sz w:val="24"/>
        </w:rPr>
      </w:pPr>
      <w:r>
        <w:rPr>
          <w:rFonts w:hint="eastAsia" w:ascii="仿宋_GB2312" w:eastAsia="仿宋_GB2312" w:hAnsiTheme="minorEastAsia"/>
          <w:color w:val="000000"/>
          <w:sz w:val="24"/>
        </w:rPr>
        <w:t>1、参选单位须持有有效期内的D级及以上级别的特种设备设计、制造许可证。</w:t>
      </w:r>
    </w:p>
    <w:p w14:paraId="1E0744F9">
      <w:pPr>
        <w:spacing w:line="360" w:lineRule="auto"/>
        <w:ind w:firstLine="480" w:firstLineChars="200"/>
        <w:rPr>
          <w:rFonts w:ascii="仿宋_GB2312" w:eastAsia="仿宋_GB2312" w:hAnsiTheme="minorEastAsia"/>
          <w:color w:val="000000"/>
          <w:kern w:val="0"/>
          <w:sz w:val="24"/>
        </w:rPr>
      </w:pPr>
      <w:r>
        <w:rPr>
          <w:rFonts w:hint="eastAsia" w:ascii="仿宋_GB2312" w:eastAsia="仿宋_GB2312" w:hAnsiTheme="minorEastAsia"/>
          <w:sz w:val="24"/>
        </w:rPr>
        <w:t>2、</w:t>
      </w:r>
      <w:r>
        <w:rPr>
          <w:rFonts w:hint="eastAsia" w:ascii="仿宋_GB2312" w:eastAsia="仿宋_GB2312" w:hAnsiTheme="minorEastAsia"/>
          <w:color w:val="000000"/>
          <w:kern w:val="0"/>
          <w:sz w:val="24"/>
        </w:rPr>
        <w:t>参选单位（自2020年起至今）在中华人民共和国境内（不含港、澳、台地区）应具有3台（</w:t>
      </w:r>
      <w:r>
        <w:rPr>
          <w:rFonts w:hint="eastAsia" w:ascii="仿宋_GB2312" w:eastAsia="仿宋_GB2312" w:hAnsiTheme="minorEastAsia"/>
          <w:color w:val="FF0000"/>
          <w:kern w:val="0"/>
          <w:sz w:val="24"/>
        </w:rPr>
        <w:t>直径</w:t>
      </w:r>
      <w:r>
        <w:rPr>
          <w:rFonts w:ascii="Cambria Math" w:hAnsi="Cambria Math" w:eastAsia="仿宋_GB2312" w:cs="Cambria Math"/>
          <w:color w:val="FF0000"/>
          <w:kern w:val="0"/>
          <w:sz w:val="24"/>
        </w:rPr>
        <w:t>≧</w:t>
      </w:r>
      <w:r>
        <w:rPr>
          <w:rFonts w:hint="eastAsia" w:ascii="仿宋_GB2312" w:eastAsia="仿宋_GB2312" w:hAnsiTheme="minorEastAsia"/>
          <w:color w:val="FF0000"/>
          <w:kern w:val="0"/>
          <w:sz w:val="24"/>
        </w:rPr>
        <w:t>DN1200</w:t>
      </w:r>
      <w:r>
        <w:rPr>
          <w:rFonts w:hint="eastAsia" w:ascii="仿宋_GB2312" w:hAnsi="宋体" w:eastAsia="仿宋_GB2312" w:cs="宋体"/>
          <w:sz w:val="24"/>
          <w:shd w:val="clear" w:color="auto" w:fill="FFFFFF"/>
        </w:rPr>
        <w:t>）</w:t>
      </w:r>
      <w:r>
        <w:rPr>
          <w:rFonts w:hint="eastAsia" w:ascii="仿宋_GB2312" w:eastAsia="仿宋_GB2312" w:hAnsiTheme="minorEastAsia"/>
          <w:color w:val="000000"/>
          <w:kern w:val="0"/>
          <w:sz w:val="24"/>
        </w:rPr>
        <w:t>及以上换热管材质为铁基合金（包括但不限于碳钢、不锈钢等）、烧结型高通量换热器制造完成并交付投用运行的业绩，证明材料包括合同复印件、签字版技术协议、电话等。</w:t>
      </w:r>
    </w:p>
    <w:p w14:paraId="6A9B133C">
      <w:pPr>
        <w:spacing w:line="360" w:lineRule="auto"/>
        <w:ind w:firstLine="480" w:firstLineChars="200"/>
        <w:jc w:val="left"/>
        <w:rPr>
          <w:rFonts w:ascii="仿宋_GB2312" w:eastAsia="仿宋_GB2312" w:hAnsiTheme="minorEastAsia"/>
          <w:color w:val="000000"/>
          <w:kern w:val="0"/>
          <w:sz w:val="24"/>
        </w:rPr>
      </w:pPr>
      <w:r>
        <w:rPr>
          <w:rFonts w:hint="eastAsia" w:ascii="仿宋_GB2312" w:eastAsia="仿宋_GB2312" w:hAnsiTheme="minorEastAsia"/>
          <w:sz w:val="24"/>
        </w:rPr>
        <w:t>3、参选单位</w:t>
      </w:r>
      <w:r>
        <w:rPr>
          <w:rFonts w:hint="eastAsia" w:ascii="仿宋_GB2312" w:eastAsia="仿宋_GB2312" w:hAnsiTheme="minorEastAsia"/>
          <w:color w:val="000000"/>
          <w:kern w:val="0"/>
          <w:sz w:val="24"/>
        </w:rPr>
        <w:t>与我司合作项目不存在技术或者商务纠纷，供给我司产品无质量问题。</w:t>
      </w:r>
    </w:p>
    <w:p w14:paraId="322AEDD4">
      <w:pPr>
        <w:pStyle w:val="12"/>
        <w:numPr>
          <w:ilvl w:val="0"/>
          <w:numId w:val="1"/>
        </w:numPr>
        <w:spacing w:line="120" w:lineRule="auto"/>
        <w:ind w:firstLine="0" w:firstLineChars="0"/>
        <w:jc w:val="left"/>
        <w:rPr>
          <w:rFonts w:ascii="仿宋_GB2312" w:eastAsia="仿宋_GB2312"/>
          <w:b/>
          <w:sz w:val="28"/>
          <w:szCs w:val="28"/>
        </w:rPr>
      </w:pPr>
      <w:r>
        <w:rPr>
          <w:rFonts w:hint="eastAsia" w:ascii="仿宋_GB2312" w:eastAsia="仿宋_GB2312"/>
          <w:b/>
          <w:sz w:val="28"/>
          <w:szCs w:val="28"/>
        </w:rPr>
        <w:t>报名要求：</w:t>
      </w:r>
    </w:p>
    <w:p w14:paraId="187B8416">
      <w:pPr>
        <w:spacing w:line="360" w:lineRule="auto"/>
        <w:ind w:firstLine="480" w:firstLineChars="200"/>
        <w:rPr>
          <w:rFonts w:ascii="仿宋_GB2312" w:eastAsia="仿宋_GB2312" w:hAnsiTheme="minorEastAsia"/>
          <w:sz w:val="24"/>
        </w:rPr>
      </w:pPr>
      <w:r>
        <w:rPr>
          <w:rFonts w:hint="eastAsia" w:ascii="仿宋_GB2312" w:eastAsia="仿宋_GB2312" w:hAnsiTheme="minorEastAsia"/>
          <w:sz w:val="24"/>
        </w:rPr>
        <w:t>1、</w:t>
      </w:r>
      <w:r>
        <w:rPr>
          <w:rFonts w:hint="eastAsia" w:ascii="仿宋_GB2312" w:eastAsia="仿宋_GB2312"/>
          <w:sz w:val="24"/>
        </w:rPr>
        <w:t>参选单位应清楚了解本案37-E-109AB重芳烃塔蒸汽发生器需要的相应设计和制造资质，且确认自身资质能符合本案需求。</w:t>
      </w:r>
    </w:p>
    <w:p w14:paraId="2E36873B">
      <w:pPr>
        <w:spacing w:line="360" w:lineRule="auto"/>
        <w:ind w:firstLine="480" w:firstLineChars="200"/>
        <w:rPr>
          <w:rFonts w:ascii="仿宋_GB2312" w:eastAsia="仿宋_GB2312" w:hAnsiTheme="minorEastAsia"/>
          <w:sz w:val="24"/>
        </w:rPr>
      </w:pPr>
      <w:r>
        <w:rPr>
          <w:rFonts w:hint="eastAsia" w:ascii="仿宋_GB2312" w:eastAsia="仿宋_GB2312" w:hAnsiTheme="minorEastAsia"/>
          <w:sz w:val="24"/>
        </w:rPr>
        <w:t>2、报名商报名需提供营业执照、企业资质证件、相关制造业绩及合同扫描件（务必真实有效，腾龙芳烃（漳州）有限公司有权要求</w:t>
      </w:r>
      <w:r>
        <w:rPr>
          <w:rFonts w:hint="eastAsia" w:ascii="仿宋_GB2312" w:eastAsia="仿宋_GB2312" w:hAnsiTheme="minorEastAsia"/>
          <w:sz w:val="24"/>
          <w:lang w:eastAsia="zh-CN"/>
        </w:rPr>
        <w:t>参选</w:t>
      </w:r>
      <w:r>
        <w:rPr>
          <w:rFonts w:hint="eastAsia" w:ascii="仿宋_GB2312" w:eastAsia="仿宋_GB2312" w:hAnsiTheme="minorEastAsia"/>
          <w:sz w:val="24"/>
        </w:rPr>
        <w:t>商提供相应佐证材料或现场确认）；</w:t>
      </w:r>
    </w:p>
    <w:p w14:paraId="0F0054AB">
      <w:pPr>
        <w:spacing w:line="360" w:lineRule="auto"/>
        <w:ind w:firstLine="480" w:firstLineChars="200"/>
        <w:rPr>
          <w:rFonts w:ascii="仿宋_GB2312" w:eastAsia="仿宋_GB2312" w:hAnsiTheme="minorEastAsia"/>
          <w:sz w:val="24"/>
        </w:rPr>
      </w:pPr>
      <w:r>
        <w:rPr>
          <w:rFonts w:hint="eastAsia" w:ascii="仿宋_GB2312" w:eastAsia="仿宋_GB2312" w:hAnsiTheme="minorEastAsia"/>
          <w:sz w:val="24"/>
        </w:rPr>
        <w:t>3、参选单位经过资格评审合格且甲、乙双方共同签订技术协议。</w:t>
      </w:r>
    </w:p>
    <w:p w14:paraId="6FCF1BCB">
      <w:pPr>
        <w:pStyle w:val="12"/>
        <w:numPr>
          <w:ilvl w:val="0"/>
          <w:numId w:val="1"/>
        </w:numPr>
        <w:spacing w:line="120" w:lineRule="auto"/>
        <w:ind w:firstLine="0" w:firstLineChars="0"/>
        <w:jc w:val="left"/>
        <w:rPr>
          <w:rFonts w:ascii="仿宋_GB2312" w:eastAsia="仿宋_GB2312"/>
          <w:b/>
          <w:sz w:val="28"/>
          <w:szCs w:val="28"/>
        </w:rPr>
      </w:pPr>
      <w:r>
        <w:rPr>
          <w:rFonts w:hint="eastAsia" w:ascii="仿宋_GB2312" w:eastAsia="仿宋_GB2312"/>
          <w:b/>
          <w:sz w:val="28"/>
          <w:szCs w:val="28"/>
        </w:rPr>
        <w:t>供货要求：</w:t>
      </w:r>
    </w:p>
    <w:p w14:paraId="7DBA5B31">
      <w:pPr>
        <w:spacing w:line="360" w:lineRule="auto"/>
        <w:ind w:firstLine="480" w:firstLineChars="200"/>
        <w:rPr>
          <w:rFonts w:ascii="仿宋_GB2312" w:eastAsia="仿宋_GB2312" w:hAnsiTheme="minorEastAsia"/>
          <w:sz w:val="24"/>
        </w:rPr>
      </w:pPr>
      <w:r>
        <w:rPr>
          <w:rFonts w:hint="eastAsia" w:ascii="仿宋_GB2312" w:eastAsia="仿宋_GB2312" w:hAnsiTheme="minorEastAsia"/>
          <w:sz w:val="24"/>
        </w:rPr>
        <w:t>1、设计依据：依据买方提供的原始设计资料以及现场测绘尺寸进行设计。该设备为原位更新，换热器外形尺寸需与原设备相同（包含管口和鞍座等），保障原位更新安装。供货的高通量换热器性能，性能不可低于原换热器。</w:t>
      </w:r>
    </w:p>
    <w:p w14:paraId="42765345">
      <w:pPr>
        <w:spacing w:line="360" w:lineRule="auto"/>
        <w:ind w:firstLine="480" w:firstLineChars="200"/>
        <w:jc w:val="left"/>
        <w:rPr>
          <w:rFonts w:ascii="仿宋_GB2312" w:hAnsi="宋体" w:eastAsia="仿宋_GB2312"/>
          <w:color w:val="000000"/>
          <w:kern w:val="0"/>
          <w:sz w:val="24"/>
        </w:rPr>
      </w:pPr>
      <w:r>
        <w:rPr>
          <w:rFonts w:hint="eastAsia" w:ascii="仿宋_GB2312" w:eastAsia="仿宋_GB2312" w:hAnsiTheme="minorEastAsia"/>
          <w:sz w:val="24"/>
          <w:highlight w:val="yellow"/>
        </w:rPr>
        <w:t>2、参选单位务必了解高通量管只能在短名单里选择（</w:t>
      </w:r>
      <w:r>
        <w:rPr>
          <w:rFonts w:hint="eastAsia" w:ascii="仿宋_GB2312" w:hAnsi="宋体" w:eastAsia="仿宋_GB2312"/>
          <w:color w:val="000000"/>
          <w:kern w:val="0"/>
          <w:sz w:val="24"/>
          <w:highlight w:val="yellow"/>
        </w:rPr>
        <w:t>无锡化工装备股份有限公司、北京广厦环能科技股份有限公司、永大高通量管业(如皋)有限公司、美国UOP）</w:t>
      </w:r>
      <w:r>
        <w:rPr>
          <w:rFonts w:hint="eastAsia" w:ascii="仿宋_GB2312" w:eastAsia="仿宋_GB2312" w:hAnsiTheme="minorEastAsia"/>
          <w:sz w:val="24"/>
          <w:highlight w:val="yellow"/>
        </w:rPr>
        <w:t>，不接受更换、增加。</w:t>
      </w:r>
    </w:p>
    <w:p w14:paraId="282382EC">
      <w:pPr>
        <w:pStyle w:val="12"/>
        <w:spacing w:line="120" w:lineRule="auto"/>
        <w:ind w:firstLine="0" w:firstLineChars="0"/>
        <w:jc w:val="left"/>
        <w:rPr>
          <w:rFonts w:ascii="仿宋_GB2312" w:eastAsia="仿宋_GB2312"/>
          <w:b/>
          <w:sz w:val="28"/>
          <w:szCs w:val="28"/>
        </w:rPr>
      </w:pPr>
      <w:r>
        <w:rPr>
          <w:rFonts w:hint="eastAsia" w:ascii="仿宋_GB2312" w:eastAsia="仿宋_GB2312"/>
          <w:b/>
          <w:sz w:val="28"/>
          <w:szCs w:val="28"/>
        </w:rPr>
        <w:t>3.1供货范围</w:t>
      </w:r>
    </w:p>
    <w:tbl>
      <w:tblPr>
        <w:tblStyle w:val="9"/>
        <w:tblW w:w="9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1452"/>
        <w:gridCol w:w="845"/>
        <w:gridCol w:w="6457"/>
      </w:tblGrid>
      <w:tr w14:paraId="02A54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1D481891">
            <w:pPr>
              <w:snapToGrid w:val="0"/>
              <w:spacing w:line="360" w:lineRule="auto"/>
              <w:jc w:val="center"/>
              <w:rPr>
                <w:rFonts w:ascii="仿宋_GB2312" w:eastAsia="仿宋_GB2312" w:cs="Arial"/>
                <w:sz w:val="24"/>
              </w:rPr>
            </w:pPr>
            <w:r>
              <w:rPr>
                <w:rFonts w:hint="eastAsia" w:ascii="仿宋_GB2312" w:eastAsia="仿宋_GB2312" w:cs="Arial"/>
                <w:sz w:val="24"/>
              </w:rPr>
              <w:t>序号</w:t>
            </w:r>
          </w:p>
        </w:tc>
        <w:tc>
          <w:tcPr>
            <w:tcW w:w="1452" w:type="dxa"/>
            <w:vAlign w:val="center"/>
          </w:tcPr>
          <w:p w14:paraId="385CB476">
            <w:pPr>
              <w:snapToGrid w:val="0"/>
              <w:spacing w:line="360" w:lineRule="auto"/>
              <w:jc w:val="center"/>
              <w:rPr>
                <w:rFonts w:ascii="仿宋_GB2312" w:eastAsia="仿宋_GB2312" w:cs="Arial"/>
                <w:sz w:val="24"/>
              </w:rPr>
            </w:pPr>
            <w:r>
              <w:rPr>
                <w:rFonts w:hint="eastAsia" w:ascii="仿宋_GB2312" w:eastAsia="仿宋_GB2312" w:cs="Arial"/>
                <w:sz w:val="24"/>
              </w:rPr>
              <w:t>名称</w:t>
            </w:r>
          </w:p>
        </w:tc>
        <w:tc>
          <w:tcPr>
            <w:tcW w:w="845" w:type="dxa"/>
            <w:vAlign w:val="center"/>
          </w:tcPr>
          <w:p w14:paraId="753DEDE9">
            <w:pPr>
              <w:snapToGrid w:val="0"/>
              <w:spacing w:line="360" w:lineRule="auto"/>
              <w:jc w:val="center"/>
              <w:rPr>
                <w:rFonts w:ascii="仿宋_GB2312" w:eastAsia="仿宋_GB2312" w:cs="Arial"/>
                <w:sz w:val="24"/>
              </w:rPr>
            </w:pPr>
            <w:r>
              <w:rPr>
                <w:rFonts w:hint="eastAsia" w:ascii="仿宋_GB2312" w:eastAsia="仿宋_GB2312" w:cs="Arial"/>
                <w:sz w:val="24"/>
              </w:rPr>
              <w:t>数量</w:t>
            </w:r>
          </w:p>
        </w:tc>
        <w:tc>
          <w:tcPr>
            <w:tcW w:w="6457" w:type="dxa"/>
            <w:vAlign w:val="center"/>
          </w:tcPr>
          <w:p w14:paraId="3D44E403">
            <w:pPr>
              <w:snapToGrid w:val="0"/>
              <w:spacing w:line="360" w:lineRule="auto"/>
              <w:jc w:val="center"/>
              <w:rPr>
                <w:rFonts w:ascii="仿宋_GB2312" w:eastAsia="仿宋_GB2312" w:cs="Arial"/>
                <w:sz w:val="24"/>
              </w:rPr>
            </w:pPr>
            <w:r>
              <w:rPr>
                <w:rFonts w:hint="eastAsia" w:ascii="仿宋_GB2312" w:eastAsia="仿宋_GB2312" w:cs="Arial"/>
                <w:sz w:val="24"/>
              </w:rPr>
              <w:t>规格</w:t>
            </w:r>
          </w:p>
        </w:tc>
      </w:tr>
      <w:tr w14:paraId="53469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51" w:type="dxa"/>
            <w:vAlign w:val="center"/>
          </w:tcPr>
          <w:p w14:paraId="5D5837D4">
            <w:pPr>
              <w:snapToGrid w:val="0"/>
              <w:spacing w:line="360" w:lineRule="auto"/>
              <w:jc w:val="center"/>
              <w:rPr>
                <w:rFonts w:ascii="仿宋_GB2312" w:eastAsia="仿宋_GB2312" w:cs="Arial"/>
                <w:sz w:val="24"/>
              </w:rPr>
            </w:pPr>
            <w:r>
              <w:rPr>
                <w:rFonts w:hint="eastAsia" w:ascii="仿宋_GB2312" w:eastAsia="仿宋_GB2312" w:cs="Arial"/>
                <w:sz w:val="24"/>
              </w:rPr>
              <w:t>1</w:t>
            </w:r>
          </w:p>
        </w:tc>
        <w:tc>
          <w:tcPr>
            <w:tcW w:w="1452" w:type="dxa"/>
            <w:vAlign w:val="center"/>
          </w:tcPr>
          <w:p w14:paraId="384EE7A8">
            <w:pPr>
              <w:snapToGrid w:val="0"/>
              <w:spacing w:line="360" w:lineRule="auto"/>
              <w:jc w:val="center"/>
              <w:rPr>
                <w:rFonts w:ascii="仿宋_GB2312" w:eastAsia="仿宋_GB2312" w:cs="Arial"/>
                <w:sz w:val="24"/>
              </w:rPr>
            </w:pPr>
            <w:r>
              <w:rPr>
                <w:rFonts w:hint="eastAsia" w:ascii="仿宋_GB2312" w:hAnsi="宋体" w:eastAsia="仿宋_GB2312" w:cs="Arial"/>
                <w:sz w:val="24"/>
              </w:rPr>
              <w:t>37-E-109AB重芳烃塔蒸汽发生器</w:t>
            </w:r>
          </w:p>
        </w:tc>
        <w:tc>
          <w:tcPr>
            <w:tcW w:w="845" w:type="dxa"/>
            <w:vAlign w:val="center"/>
          </w:tcPr>
          <w:p w14:paraId="69D6B001">
            <w:pPr>
              <w:snapToGrid w:val="0"/>
              <w:spacing w:line="360" w:lineRule="auto"/>
              <w:jc w:val="center"/>
              <w:rPr>
                <w:rFonts w:ascii="仿宋_GB2312" w:eastAsia="仿宋_GB2312" w:cs="Arial"/>
                <w:sz w:val="24"/>
              </w:rPr>
            </w:pPr>
            <w:r>
              <w:rPr>
                <w:rFonts w:hint="eastAsia" w:ascii="仿宋_GB2312" w:eastAsia="仿宋_GB2312" w:cs="Arial"/>
                <w:sz w:val="24"/>
              </w:rPr>
              <w:t>2</w:t>
            </w:r>
          </w:p>
        </w:tc>
        <w:tc>
          <w:tcPr>
            <w:tcW w:w="6457" w:type="dxa"/>
            <w:vAlign w:val="center"/>
          </w:tcPr>
          <w:p w14:paraId="7AAEE0A4">
            <w:pPr>
              <w:snapToGrid w:val="0"/>
              <w:spacing w:line="360" w:lineRule="auto"/>
              <w:jc w:val="left"/>
              <w:rPr>
                <w:rFonts w:ascii="仿宋_GB2312" w:eastAsia="仿宋_GB2312" w:cs="Arial"/>
                <w:sz w:val="24"/>
              </w:rPr>
            </w:pPr>
            <w:r>
              <w:rPr>
                <w:rFonts w:hint="eastAsia" w:ascii="仿宋_GB2312" w:eastAsia="仿宋_GB2312" w:cs="Arial"/>
                <w:sz w:val="24"/>
              </w:rPr>
              <w:t>设备位号：37-E-109AB</w:t>
            </w:r>
          </w:p>
          <w:p w14:paraId="15E20A17">
            <w:pPr>
              <w:snapToGrid w:val="0"/>
              <w:spacing w:line="360" w:lineRule="auto"/>
              <w:jc w:val="left"/>
              <w:rPr>
                <w:rFonts w:ascii="仿宋_GB2312" w:eastAsia="仿宋_GB2312" w:cs="Arial"/>
                <w:sz w:val="24"/>
              </w:rPr>
            </w:pPr>
            <w:r>
              <w:rPr>
                <w:rFonts w:hint="eastAsia" w:ascii="仿宋_GB2312" w:eastAsia="仿宋_GB2312" w:cs="Arial"/>
                <w:sz w:val="24"/>
              </w:rPr>
              <w:t>设备类别：BKM</w:t>
            </w:r>
          </w:p>
          <w:p w14:paraId="4B67BA9E">
            <w:pPr>
              <w:snapToGrid w:val="0"/>
              <w:spacing w:line="360" w:lineRule="auto"/>
              <w:jc w:val="left"/>
              <w:rPr>
                <w:rFonts w:ascii="仿宋_GB2312" w:eastAsia="仿宋_GB2312" w:cs="Arial"/>
                <w:sz w:val="24"/>
              </w:rPr>
            </w:pPr>
            <w:r>
              <w:rPr>
                <w:rFonts w:hint="eastAsia" w:ascii="仿宋_GB2312" w:eastAsia="仿宋_GB2312" w:cs="Arial"/>
                <w:sz w:val="24"/>
              </w:rPr>
              <w:t>设备规格：BKM1400/2430-0.48/0.6-592.5-6/25-2I</w:t>
            </w:r>
          </w:p>
          <w:p w14:paraId="5D9D608D">
            <w:pPr>
              <w:snapToGrid w:val="0"/>
              <w:spacing w:line="360" w:lineRule="auto"/>
              <w:jc w:val="left"/>
              <w:rPr>
                <w:rFonts w:ascii="仿宋_GB2312" w:eastAsia="仿宋_GB2312" w:cs="Arial"/>
                <w:sz w:val="24"/>
              </w:rPr>
            </w:pPr>
            <w:r>
              <w:rPr>
                <w:rFonts w:hint="eastAsia" w:ascii="仿宋_GB2312" w:eastAsia="仿宋_GB2312" w:cs="Arial"/>
                <w:sz w:val="24"/>
              </w:rPr>
              <w:t>壳程介质：蒸汽、除氧水，设计压力0.6MPa，操作压力0.45MPa，设计温度175℃/156℃，操作温度110℃/156℃，流体流量61735kg/h，结垢热阻0.000172</w:t>
            </w:r>
            <w:r>
              <w:rPr>
                <w:rFonts w:ascii="仿宋_GB2312" w:eastAsia="仿宋_GB2312" w:cs="Arial"/>
                <w:sz w:val="24"/>
              </w:rPr>
              <w:t>m²‌</w:t>
            </w:r>
            <w:r>
              <w:rPr>
                <w:rFonts w:hint="eastAsia" w:ascii="仿宋_GB2312" w:eastAsia="仿宋_GB2312" w:cs="Arial"/>
                <w:sz w:val="24"/>
              </w:rPr>
              <w:t>.K/W。</w:t>
            </w:r>
          </w:p>
          <w:p w14:paraId="5EBFDB39">
            <w:pPr>
              <w:snapToGrid w:val="0"/>
              <w:spacing w:line="360" w:lineRule="auto"/>
              <w:jc w:val="left"/>
              <w:rPr>
                <w:rFonts w:ascii="仿宋_GB2312" w:eastAsia="仿宋_GB2312" w:cs="Arial"/>
                <w:sz w:val="24"/>
              </w:rPr>
            </w:pPr>
            <w:r>
              <w:rPr>
                <w:rFonts w:hint="eastAsia" w:ascii="仿宋_GB2312" w:eastAsia="仿宋_GB2312" w:cs="Arial"/>
                <w:sz w:val="24"/>
              </w:rPr>
              <w:t>管程介质：C9、C10芳烃，设计压力0.48MPa，操作压力0.08MPa，设计温度216℃/196℃，操作温度 196℃/175℃，流体流量392157kg/h，结垢热阻0.00026</w:t>
            </w:r>
            <w:r>
              <w:rPr>
                <w:rFonts w:ascii="仿宋_GB2312" w:eastAsia="仿宋_GB2312" w:cs="Arial"/>
                <w:sz w:val="24"/>
              </w:rPr>
              <w:t>m²‌</w:t>
            </w:r>
            <w:r>
              <w:rPr>
                <w:rFonts w:hint="eastAsia" w:ascii="仿宋_GB2312" w:eastAsia="仿宋_GB2312" w:cs="Arial"/>
                <w:sz w:val="24"/>
              </w:rPr>
              <w:t>.K/W，压力降0.026MPa。</w:t>
            </w:r>
          </w:p>
          <w:p w14:paraId="432527B7">
            <w:pPr>
              <w:snapToGrid w:val="0"/>
              <w:spacing w:line="360" w:lineRule="auto"/>
              <w:jc w:val="left"/>
              <w:rPr>
                <w:rFonts w:ascii="仿宋_GB2312" w:eastAsia="仿宋_GB2312" w:cs="Arial"/>
                <w:sz w:val="24"/>
              </w:rPr>
            </w:pPr>
            <w:r>
              <w:rPr>
                <w:rFonts w:hint="eastAsia" w:ascii="仿宋_GB2312" w:eastAsia="仿宋_GB2312" w:cs="Arial"/>
                <w:sz w:val="24"/>
              </w:rPr>
              <w:t>换热面积592.5</w:t>
            </w:r>
            <w:r>
              <w:rPr>
                <w:rFonts w:ascii="仿宋_GB2312" w:eastAsia="仿宋_GB2312" w:cs="Arial"/>
                <w:sz w:val="24"/>
              </w:rPr>
              <w:t xml:space="preserve"> m²</w:t>
            </w:r>
            <w:r>
              <w:rPr>
                <w:rFonts w:hint="eastAsia" w:ascii="仿宋_GB2312" w:eastAsia="仿宋_GB2312" w:cs="Arial"/>
                <w:sz w:val="24"/>
              </w:rPr>
              <w:t>，总热负荷39200kW，总传热系数：结垢状态1033W.</w:t>
            </w:r>
            <w:r>
              <w:rPr>
                <w:rFonts w:ascii="仿宋_GB2312" w:eastAsia="仿宋_GB2312" w:cs="Arial"/>
                <w:sz w:val="24"/>
              </w:rPr>
              <w:t xml:space="preserve"> m²</w:t>
            </w:r>
            <w:r>
              <w:rPr>
                <w:rFonts w:hint="eastAsia" w:ascii="仿宋_GB2312" w:eastAsia="仿宋_GB2312" w:cs="Arial"/>
                <w:sz w:val="24"/>
              </w:rPr>
              <w:t>/k</w:t>
            </w:r>
          </w:p>
          <w:p w14:paraId="4FADD3FF">
            <w:pPr>
              <w:snapToGrid w:val="0"/>
              <w:spacing w:line="360" w:lineRule="auto"/>
              <w:jc w:val="left"/>
              <w:rPr>
                <w:rFonts w:ascii="仿宋_GB2312" w:eastAsia="仿宋_GB2312" w:cs="Arial"/>
                <w:sz w:val="24"/>
              </w:rPr>
            </w:pPr>
            <w:r>
              <w:rPr>
                <w:rFonts w:hint="eastAsia" w:ascii="仿宋_GB2312" w:eastAsia="仿宋_GB2312" w:cs="Arial"/>
                <w:sz w:val="24"/>
                <w:highlight w:val="yellow"/>
              </w:rPr>
              <w:t>设备材质：换热管材质为SA192或国内同等牌号（外烧结高通量管）</w:t>
            </w:r>
          </w:p>
          <w:p w14:paraId="19B713A2">
            <w:pPr>
              <w:snapToGrid w:val="0"/>
              <w:spacing w:line="360" w:lineRule="auto"/>
              <w:jc w:val="left"/>
              <w:rPr>
                <w:rFonts w:ascii="仿宋_GB2312" w:eastAsia="仿宋_GB2312" w:cs="Arial"/>
                <w:sz w:val="24"/>
              </w:rPr>
            </w:pPr>
            <w:r>
              <w:rPr>
                <w:rFonts w:hint="eastAsia" w:ascii="仿宋_GB2312" w:eastAsia="仿宋_GB2312" w:cs="Arial"/>
                <w:sz w:val="24"/>
                <w:highlight w:val="yellow"/>
              </w:rPr>
              <w:t>换热器工艺数据、原换热器资料详见附件。</w:t>
            </w:r>
          </w:p>
        </w:tc>
      </w:tr>
      <w:tr w14:paraId="218B3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51" w:type="dxa"/>
            <w:vAlign w:val="center"/>
          </w:tcPr>
          <w:p w14:paraId="426696E4">
            <w:pPr>
              <w:snapToGrid w:val="0"/>
              <w:spacing w:line="360" w:lineRule="auto"/>
              <w:jc w:val="center"/>
              <w:rPr>
                <w:rFonts w:ascii="仿宋_GB2312" w:eastAsia="仿宋_GB2312" w:cs="Arial"/>
                <w:sz w:val="24"/>
              </w:rPr>
            </w:pPr>
            <w:r>
              <w:rPr>
                <w:rFonts w:hint="eastAsia" w:ascii="仿宋_GB2312" w:eastAsia="仿宋_GB2312" w:cs="Arial"/>
                <w:sz w:val="24"/>
              </w:rPr>
              <w:t>备</w:t>
            </w:r>
          </w:p>
          <w:p w14:paraId="56597967">
            <w:pPr>
              <w:snapToGrid w:val="0"/>
              <w:spacing w:line="360" w:lineRule="auto"/>
              <w:jc w:val="center"/>
              <w:rPr>
                <w:rFonts w:ascii="仿宋_GB2312" w:eastAsia="仿宋_GB2312" w:cs="Arial"/>
                <w:snapToGrid w:val="0"/>
                <w:sz w:val="24"/>
              </w:rPr>
            </w:pPr>
            <w:r>
              <w:rPr>
                <w:rFonts w:hint="eastAsia" w:ascii="仿宋_GB2312" w:eastAsia="仿宋_GB2312" w:cs="Arial"/>
                <w:sz w:val="24"/>
              </w:rPr>
              <w:t>注</w:t>
            </w:r>
          </w:p>
        </w:tc>
        <w:tc>
          <w:tcPr>
            <w:tcW w:w="8754" w:type="dxa"/>
            <w:gridSpan w:val="3"/>
            <w:vAlign w:val="center"/>
          </w:tcPr>
          <w:p w14:paraId="3AD3743E">
            <w:pPr>
              <w:numPr>
                <w:ilvl w:val="0"/>
                <w:numId w:val="2"/>
              </w:numPr>
              <w:snapToGrid w:val="0"/>
              <w:spacing w:line="360" w:lineRule="auto"/>
              <w:jc w:val="left"/>
              <w:rPr>
                <w:rFonts w:ascii="仿宋_GB2312" w:hAnsi="宋体" w:eastAsia="仿宋_GB2312"/>
                <w:sz w:val="24"/>
              </w:rPr>
            </w:pPr>
            <w:r>
              <w:rPr>
                <w:rFonts w:hint="eastAsia" w:ascii="仿宋_GB2312" w:hAnsi="宋体" w:eastAsia="仿宋_GB2312"/>
                <w:sz w:val="24"/>
              </w:rPr>
              <w:t>设备及内件规格尺寸、重量、材质等，以技术交流后定下终版图纸为准。</w:t>
            </w:r>
          </w:p>
          <w:p w14:paraId="5A695A85">
            <w:pPr>
              <w:numPr>
                <w:ilvl w:val="0"/>
                <w:numId w:val="2"/>
              </w:numPr>
              <w:snapToGrid w:val="0"/>
              <w:spacing w:line="360" w:lineRule="auto"/>
              <w:jc w:val="left"/>
              <w:rPr>
                <w:rFonts w:ascii="仿宋_GB2312" w:hAnsi="宋体" w:eastAsia="仿宋_GB2312"/>
                <w:sz w:val="24"/>
              </w:rPr>
            </w:pPr>
            <w:r>
              <w:rPr>
                <w:rFonts w:hint="eastAsia" w:ascii="仿宋_GB2312" w:hAnsi="宋体" w:eastAsia="仿宋_GB2312"/>
                <w:sz w:val="24"/>
              </w:rPr>
              <w:t>管箱及外头盖垫片备件3台套，管箱法兰螺栓备件10%每型号且不少于4套，带肩螺栓4套</w:t>
            </w:r>
          </w:p>
        </w:tc>
      </w:tr>
    </w:tbl>
    <w:p w14:paraId="0A5B6CA4">
      <w:pPr>
        <w:ind w:left="1265" w:hanging="1265" w:hangingChars="450"/>
        <w:rPr>
          <w:rFonts w:ascii="仿宋_GB2312" w:eastAsia="仿宋_GB2312"/>
          <w:sz w:val="28"/>
          <w:szCs w:val="28"/>
        </w:rPr>
      </w:pPr>
      <w:r>
        <w:rPr>
          <w:rFonts w:hint="eastAsia" w:ascii="仿宋_GB2312" w:hAnsi="宋体" w:eastAsia="仿宋_GB2312"/>
          <w:b/>
          <w:sz w:val="28"/>
          <w:szCs w:val="28"/>
        </w:rPr>
        <w:t>3.2设备原材料制造商要求</w:t>
      </w:r>
    </w:p>
    <w:tbl>
      <w:tblPr>
        <w:tblStyle w:val="10"/>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9"/>
        <w:gridCol w:w="4819"/>
        <w:gridCol w:w="3090"/>
      </w:tblGrid>
      <w:tr w14:paraId="734E4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9" w:type="dxa"/>
            <w:vAlign w:val="center"/>
          </w:tcPr>
          <w:p w14:paraId="4E9A713E">
            <w:pPr>
              <w:spacing w:line="360" w:lineRule="auto"/>
              <w:jc w:val="center"/>
              <w:rPr>
                <w:rFonts w:ascii="仿宋_GB2312" w:hAnsi="宋体" w:eastAsia="仿宋_GB2312"/>
                <w:color w:val="000000"/>
                <w:kern w:val="0"/>
                <w:sz w:val="24"/>
              </w:rPr>
            </w:pPr>
            <w:r>
              <w:rPr>
                <w:rFonts w:hint="eastAsia" w:ascii="仿宋_GB2312" w:hAnsi="宋体" w:eastAsia="仿宋_GB2312"/>
                <w:color w:val="000000"/>
                <w:kern w:val="0"/>
                <w:sz w:val="24"/>
              </w:rPr>
              <w:t>类型</w:t>
            </w:r>
          </w:p>
        </w:tc>
        <w:tc>
          <w:tcPr>
            <w:tcW w:w="4819" w:type="dxa"/>
            <w:vAlign w:val="center"/>
          </w:tcPr>
          <w:p w14:paraId="1D5615B8">
            <w:pPr>
              <w:spacing w:line="360" w:lineRule="auto"/>
              <w:jc w:val="center"/>
              <w:rPr>
                <w:rFonts w:ascii="仿宋_GB2312" w:hAnsi="宋体" w:eastAsia="仿宋_GB2312"/>
                <w:color w:val="000000"/>
                <w:kern w:val="0"/>
                <w:sz w:val="24"/>
              </w:rPr>
            </w:pPr>
            <w:r>
              <w:rPr>
                <w:rFonts w:hint="eastAsia" w:ascii="仿宋_GB2312" w:hAnsi="宋体" w:eastAsia="仿宋_GB2312"/>
                <w:color w:val="000000"/>
                <w:kern w:val="0"/>
                <w:sz w:val="24"/>
              </w:rPr>
              <w:t>制造商</w:t>
            </w:r>
          </w:p>
        </w:tc>
        <w:tc>
          <w:tcPr>
            <w:tcW w:w="3090" w:type="dxa"/>
            <w:vAlign w:val="center"/>
          </w:tcPr>
          <w:p w14:paraId="7147BDBE">
            <w:pPr>
              <w:spacing w:line="360" w:lineRule="auto"/>
              <w:jc w:val="center"/>
              <w:rPr>
                <w:rFonts w:ascii="仿宋_GB2312" w:hAnsi="宋体" w:eastAsia="仿宋_GB2312"/>
                <w:color w:val="000000"/>
                <w:kern w:val="0"/>
                <w:sz w:val="24"/>
              </w:rPr>
            </w:pPr>
            <w:r>
              <w:rPr>
                <w:rFonts w:hint="eastAsia" w:ascii="仿宋_GB2312" w:hAnsi="宋体" w:eastAsia="仿宋_GB2312"/>
                <w:color w:val="000000"/>
                <w:kern w:val="0"/>
                <w:sz w:val="24"/>
              </w:rPr>
              <w:t>备注</w:t>
            </w:r>
          </w:p>
        </w:tc>
      </w:tr>
      <w:tr w14:paraId="63167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9" w:type="dxa"/>
            <w:vAlign w:val="center"/>
          </w:tcPr>
          <w:p w14:paraId="458444F3">
            <w:pPr>
              <w:spacing w:line="360" w:lineRule="auto"/>
              <w:jc w:val="center"/>
              <w:rPr>
                <w:rFonts w:ascii="仿宋_GB2312" w:hAnsi="宋体" w:eastAsia="仿宋_GB2312"/>
                <w:color w:val="000000"/>
                <w:kern w:val="0"/>
                <w:sz w:val="24"/>
              </w:rPr>
            </w:pPr>
            <w:r>
              <w:rPr>
                <w:rFonts w:hint="eastAsia" w:ascii="仿宋_GB2312" w:hAnsi="宋体" w:eastAsia="仿宋_GB2312"/>
                <w:color w:val="000000"/>
                <w:kern w:val="0"/>
                <w:sz w:val="24"/>
              </w:rPr>
              <w:t>板材</w:t>
            </w:r>
          </w:p>
        </w:tc>
        <w:tc>
          <w:tcPr>
            <w:tcW w:w="4819" w:type="dxa"/>
            <w:vAlign w:val="center"/>
          </w:tcPr>
          <w:p w14:paraId="77DCAE45">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江阴兴澄特种钢铁有限公司</w:t>
            </w:r>
          </w:p>
          <w:p w14:paraId="1845DD4D">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舞阳钢铁有限责任公司</w:t>
            </w:r>
          </w:p>
          <w:p w14:paraId="42124243">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湖南华凌湘潭钢铁有限公司</w:t>
            </w:r>
          </w:p>
          <w:p w14:paraId="5C518D72">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太原钢铁</w:t>
            </w:r>
          </w:p>
          <w:p w14:paraId="5649DE47">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中国宝武钢铁集团有限公司</w:t>
            </w:r>
          </w:p>
          <w:p w14:paraId="570F16FE">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南京钢铁股份有限公司</w:t>
            </w:r>
          </w:p>
          <w:p w14:paraId="7C376433">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浦项(张家港)不锈钢股份有限公司</w:t>
            </w:r>
          </w:p>
          <w:p w14:paraId="2CE65805">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首都钢铁集团</w:t>
            </w:r>
          </w:p>
          <w:p w14:paraId="3D26BFC5">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济钢集团有限公司</w:t>
            </w:r>
          </w:p>
          <w:p w14:paraId="0CC5820C">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鞍山钢铁集团公司</w:t>
            </w:r>
          </w:p>
          <w:p w14:paraId="1B708209">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中国宝山钢铁(集团)股份有限公司</w:t>
            </w:r>
          </w:p>
          <w:p w14:paraId="606F2281">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上海宝钢</w:t>
            </w:r>
          </w:p>
          <w:p w14:paraId="484B8E8D">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四川惊雷科技有限公司</w:t>
            </w:r>
          </w:p>
          <w:p w14:paraId="715BFE09">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大连船舶重工集团爆炸加工研究所有限公司</w:t>
            </w:r>
          </w:p>
          <w:p w14:paraId="30500BE7">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南京宝泰特种材料股份有限公司</w:t>
            </w:r>
          </w:p>
          <w:p w14:paraId="5DEFFDE1">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威海化机机械有限公司</w:t>
            </w:r>
          </w:p>
          <w:p w14:paraId="540FF814">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郑州宇光</w:t>
            </w:r>
          </w:p>
        </w:tc>
        <w:tc>
          <w:tcPr>
            <w:tcW w:w="3090" w:type="dxa"/>
            <w:vAlign w:val="center"/>
          </w:tcPr>
          <w:p w14:paraId="31EBD1E0">
            <w:pPr>
              <w:spacing w:line="360" w:lineRule="auto"/>
              <w:jc w:val="center"/>
              <w:rPr>
                <w:rFonts w:ascii="仿宋_GB2312" w:hAnsi="宋体" w:eastAsia="仿宋_GB2312"/>
                <w:color w:val="000000"/>
                <w:kern w:val="0"/>
                <w:sz w:val="24"/>
              </w:rPr>
            </w:pPr>
          </w:p>
        </w:tc>
      </w:tr>
      <w:tr w14:paraId="1824F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9" w:type="dxa"/>
            <w:vAlign w:val="center"/>
          </w:tcPr>
          <w:p w14:paraId="3D0A960C">
            <w:pPr>
              <w:spacing w:line="360" w:lineRule="auto"/>
              <w:jc w:val="center"/>
              <w:rPr>
                <w:rFonts w:ascii="仿宋_GB2312" w:hAnsi="宋体" w:eastAsia="仿宋_GB2312"/>
                <w:color w:val="000000"/>
                <w:kern w:val="0"/>
                <w:sz w:val="24"/>
              </w:rPr>
            </w:pPr>
            <w:r>
              <w:rPr>
                <w:rFonts w:hint="eastAsia" w:ascii="仿宋_GB2312" w:hAnsi="宋体" w:eastAsia="仿宋_GB2312"/>
                <w:color w:val="000000"/>
                <w:kern w:val="0"/>
                <w:sz w:val="24"/>
              </w:rPr>
              <w:t>锻件</w:t>
            </w:r>
          </w:p>
        </w:tc>
        <w:tc>
          <w:tcPr>
            <w:tcW w:w="4819" w:type="dxa"/>
            <w:vAlign w:val="center"/>
          </w:tcPr>
          <w:p w14:paraId="23FEFCFC">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无锡宏达</w:t>
            </w:r>
          </w:p>
          <w:p w14:paraId="4061D81E">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无锡市法兰锻造有限公司</w:t>
            </w:r>
          </w:p>
          <w:p w14:paraId="453F41D6">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张家港江南锻造有限公司</w:t>
            </w:r>
          </w:p>
          <w:p w14:paraId="765133B9">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江苏圣贤有限责任公司</w:t>
            </w:r>
          </w:p>
          <w:p w14:paraId="31FD8923">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通裕重工股份有限公司</w:t>
            </w:r>
          </w:p>
          <w:p w14:paraId="558E03F8">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洛阳中创中兴机械有限公司</w:t>
            </w:r>
          </w:p>
          <w:p w14:paraId="4D99958B">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山西天宝集团</w:t>
            </w:r>
          </w:p>
          <w:p w14:paraId="6563832B">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无锡华尔泰机械制造有限公司</w:t>
            </w:r>
          </w:p>
          <w:p w14:paraId="4558D78F">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山西管家营法兰锻造有限公司</w:t>
            </w:r>
          </w:p>
          <w:p w14:paraId="43B8D03C">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嘉兴市乍浦杭湾重型机械厂</w:t>
            </w:r>
          </w:p>
          <w:p w14:paraId="2052B03D">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上海重型机械厂有限公司</w:t>
            </w:r>
          </w:p>
          <w:p w14:paraId="7BC0FDEA">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中信重工机械股份有限公司</w:t>
            </w:r>
          </w:p>
        </w:tc>
        <w:tc>
          <w:tcPr>
            <w:tcW w:w="3090" w:type="dxa"/>
            <w:vAlign w:val="center"/>
          </w:tcPr>
          <w:p w14:paraId="520BCFD0">
            <w:pPr>
              <w:spacing w:line="360" w:lineRule="auto"/>
              <w:jc w:val="center"/>
              <w:rPr>
                <w:rFonts w:ascii="仿宋_GB2312" w:hAnsi="宋体" w:eastAsia="仿宋_GB2312"/>
                <w:color w:val="000000"/>
                <w:kern w:val="0"/>
                <w:sz w:val="24"/>
              </w:rPr>
            </w:pPr>
          </w:p>
        </w:tc>
      </w:tr>
      <w:tr w14:paraId="19DED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9" w:type="dxa"/>
            <w:vAlign w:val="center"/>
          </w:tcPr>
          <w:p w14:paraId="1FFF5D3A">
            <w:pPr>
              <w:spacing w:line="360" w:lineRule="auto"/>
              <w:jc w:val="center"/>
              <w:rPr>
                <w:rFonts w:ascii="仿宋_GB2312" w:hAnsi="宋体" w:eastAsia="仿宋_GB2312"/>
                <w:color w:val="000000"/>
                <w:kern w:val="0"/>
                <w:sz w:val="24"/>
              </w:rPr>
            </w:pPr>
            <w:r>
              <w:rPr>
                <w:rFonts w:hint="eastAsia" w:ascii="仿宋_GB2312" w:hAnsi="宋体" w:eastAsia="仿宋_GB2312"/>
                <w:color w:val="000000"/>
                <w:kern w:val="0"/>
                <w:sz w:val="24"/>
              </w:rPr>
              <w:t>垫片</w:t>
            </w:r>
          </w:p>
        </w:tc>
        <w:tc>
          <w:tcPr>
            <w:tcW w:w="4819" w:type="dxa"/>
            <w:vAlign w:val="center"/>
          </w:tcPr>
          <w:p w14:paraId="205F39D1">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浙江国泰密封材料股份有限公司</w:t>
            </w:r>
          </w:p>
          <w:p w14:paraId="26EE2360">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艾志(南京)工业技术有限公司</w:t>
            </w:r>
          </w:p>
          <w:p w14:paraId="20D9435B">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广州市东山南方密封件有限公司</w:t>
            </w:r>
          </w:p>
          <w:p w14:paraId="2379BF58">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无锡石化通用件</w:t>
            </w:r>
          </w:p>
          <w:p w14:paraId="4A4B9107">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慈溪恒力密封材料有限公司</w:t>
            </w:r>
          </w:p>
          <w:p w14:paraId="2B484A76">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慈溪高新密封材料有限公司</w:t>
            </w:r>
          </w:p>
          <w:p w14:paraId="7EA3A427">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无锡市胜特石化配件有限公司</w:t>
            </w:r>
          </w:p>
        </w:tc>
        <w:tc>
          <w:tcPr>
            <w:tcW w:w="3090" w:type="dxa"/>
            <w:vAlign w:val="center"/>
          </w:tcPr>
          <w:p w14:paraId="518BE342">
            <w:pPr>
              <w:spacing w:line="360" w:lineRule="auto"/>
              <w:jc w:val="center"/>
              <w:rPr>
                <w:rFonts w:ascii="仿宋_GB2312" w:hAnsi="宋体" w:eastAsia="仿宋_GB2312"/>
                <w:color w:val="000000"/>
                <w:kern w:val="0"/>
                <w:sz w:val="24"/>
              </w:rPr>
            </w:pPr>
          </w:p>
        </w:tc>
      </w:tr>
      <w:tr w14:paraId="3C82F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9" w:type="dxa"/>
            <w:vAlign w:val="center"/>
          </w:tcPr>
          <w:p w14:paraId="46EADD31">
            <w:pPr>
              <w:spacing w:line="360" w:lineRule="auto"/>
              <w:jc w:val="center"/>
              <w:rPr>
                <w:rFonts w:ascii="仿宋_GB2312" w:hAnsi="宋体" w:eastAsia="仿宋_GB2312"/>
                <w:color w:val="000000"/>
                <w:kern w:val="0"/>
                <w:sz w:val="24"/>
              </w:rPr>
            </w:pPr>
            <w:r>
              <w:rPr>
                <w:rFonts w:hint="eastAsia" w:ascii="仿宋_GB2312" w:hAnsi="宋体" w:eastAsia="仿宋_GB2312"/>
                <w:color w:val="000000"/>
                <w:kern w:val="0"/>
                <w:sz w:val="24"/>
              </w:rPr>
              <w:t>紧固件</w:t>
            </w:r>
          </w:p>
        </w:tc>
        <w:tc>
          <w:tcPr>
            <w:tcW w:w="4819" w:type="dxa"/>
            <w:vAlign w:val="center"/>
          </w:tcPr>
          <w:p w14:paraId="3674CFF0">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浙江高强度紧固件有限公司</w:t>
            </w:r>
          </w:p>
          <w:p w14:paraId="1B624141">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无锡市标准件厂有限公司</w:t>
            </w:r>
          </w:p>
          <w:p w14:paraId="6B5D03F0">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宁波市北仑特种紧固件有限公司(原宁波市北仑特种紧固件</w:t>
            </w:r>
          </w:p>
          <w:p w14:paraId="0C68CC09">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北京燕行同盛化工设备安装工程有限公司</w:t>
            </w:r>
          </w:p>
          <w:p w14:paraId="5F1A57CA">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辽宁实强机械制造有限公司</w:t>
            </w:r>
          </w:p>
          <w:p w14:paraId="1DFD0773">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山东美陵化工设备股份有限公司</w:t>
            </w:r>
          </w:p>
          <w:p w14:paraId="22833795">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无锡市第二标准件制造有限公司</w:t>
            </w:r>
          </w:p>
          <w:p w14:paraId="0DB6E1A8">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杭州同宇机械有限公司</w:t>
            </w:r>
          </w:p>
          <w:p w14:paraId="0BB24280">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宁波九龙紧固件制造有限公司</w:t>
            </w:r>
          </w:p>
          <w:p w14:paraId="3F28F120">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茂名华粤机电设备有限公司</w:t>
            </w:r>
          </w:p>
        </w:tc>
        <w:tc>
          <w:tcPr>
            <w:tcW w:w="3090" w:type="dxa"/>
            <w:vAlign w:val="center"/>
          </w:tcPr>
          <w:p w14:paraId="7643A2C7">
            <w:pPr>
              <w:spacing w:line="360" w:lineRule="auto"/>
              <w:jc w:val="center"/>
              <w:rPr>
                <w:rFonts w:ascii="仿宋_GB2312" w:hAnsi="宋体" w:eastAsia="仿宋_GB2312"/>
                <w:color w:val="000000"/>
                <w:kern w:val="0"/>
                <w:sz w:val="24"/>
              </w:rPr>
            </w:pPr>
          </w:p>
        </w:tc>
      </w:tr>
      <w:tr w14:paraId="0A24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9" w:type="dxa"/>
            <w:vAlign w:val="center"/>
          </w:tcPr>
          <w:p w14:paraId="75E27903">
            <w:pPr>
              <w:spacing w:line="360" w:lineRule="auto"/>
              <w:jc w:val="center"/>
              <w:rPr>
                <w:rFonts w:ascii="仿宋_GB2312" w:hAnsi="宋体" w:eastAsia="仿宋_GB2312"/>
                <w:color w:val="000000"/>
                <w:kern w:val="0"/>
                <w:sz w:val="24"/>
              </w:rPr>
            </w:pPr>
            <w:r>
              <w:rPr>
                <w:rFonts w:hint="eastAsia" w:ascii="仿宋_GB2312" w:hAnsi="宋体" w:eastAsia="仿宋_GB2312"/>
                <w:color w:val="000000"/>
                <w:kern w:val="0"/>
                <w:sz w:val="24"/>
              </w:rPr>
              <w:t>焊材</w:t>
            </w:r>
          </w:p>
        </w:tc>
        <w:tc>
          <w:tcPr>
            <w:tcW w:w="4819" w:type="dxa"/>
            <w:vAlign w:val="center"/>
          </w:tcPr>
          <w:p w14:paraId="141249DB">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哈焊所</w:t>
            </w:r>
          </w:p>
          <w:p w14:paraId="0FB9E239">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天泰焊材(昆山有限公司)</w:t>
            </w:r>
          </w:p>
          <w:p w14:paraId="68AE7B59">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四川大西洋焊材股份有限公司</w:t>
            </w:r>
          </w:p>
          <w:p w14:paraId="703F7B77">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四川西冶</w:t>
            </w:r>
          </w:p>
          <w:p w14:paraId="631A8A5F">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中国船舶重工集团公司七二五所</w:t>
            </w:r>
          </w:p>
          <w:p w14:paraId="0FD8A7F2">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北京钢铁研究院</w:t>
            </w:r>
          </w:p>
          <w:p w14:paraId="690551AD">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日本神户钢铁进口</w:t>
            </w:r>
          </w:p>
          <w:p w14:paraId="424876A7">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奥钢联博</w:t>
            </w:r>
          </w:p>
        </w:tc>
        <w:tc>
          <w:tcPr>
            <w:tcW w:w="3090" w:type="dxa"/>
            <w:vAlign w:val="center"/>
          </w:tcPr>
          <w:p w14:paraId="2CA826A7">
            <w:pPr>
              <w:spacing w:line="360" w:lineRule="auto"/>
              <w:jc w:val="center"/>
              <w:rPr>
                <w:rFonts w:ascii="仿宋_GB2312" w:hAnsi="宋体" w:eastAsia="仿宋_GB2312"/>
                <w:color w:val="000000"/>
                <w:kern w:val="0"/>
                <w:sz w:val="24"/>
              </w:rPr>
            </w:pPr>
          </w:p>
        </w:tc>
      </w:tr>
      <w:tr w14:paraId="3B40A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9" w:type="dxa"/>
            <w:vAlign w:val="center"/>
          </w:tcPr>
          <w:p w14:paraId="4F6C7DD0">
            <w:pPr>
              <w:spacing w:line="360" w:lineRule="auto"/>
              <w:jc w:val="center"/>
              <w:rPr>
                <w:rFonts w:ascii="仿宋_GB2312" w:hAnsi="宋体" w:eastAsia="仿宋_GB2312"/>
                <w:color w:val="000000"/>
                <w:kern w:val="0"/>
                <w:sz w:val="24"/>
              </w:rPr>
            </w:pPr>
            <w:r>
              <w:rPr>
                <w:rFonts w:hint="eastAsia" w:ascii="仿宋_GB2312" w:hAnsi="宋体" w:eastAsia="仿宋_GB2312"/>
                <w:color w:val="000000"/>
                <w:kern w:val="0"/>
                <w:sz w:val="24"/>
              </w:rPr>
              <w:t>换热管多孔层加工(烧结型高通量管)</w:t>
            </w:r>
          </w:p>
        </w:tc>
        <w:tc>
          <w:tcPr>
            <w:tcW w:w="4819" w:type="dxa"/>
            <w:vAlign w:val="center"/>
          </w:tcPr>
          <w:p w14:paraId="4CCE4F7D">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无锡化工装备股份有限公司</w:t>
            </w:r>
          </w:p>
          <w:p w14:paraId="103AF7C1">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北京广厦环能科技股份有限公司</w:t>
            </w:r>
          </w:p>
          <w:p w14:paraId="055D73B5">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永大高通量管业(如皋)有限公司</w:t>
            </w:r>
          </w:p>
          <w:p w14:paraId="27F20D3D">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美国UOP</w:t>
            </w:r>
          </w:p>
        </w:tc>
        <w:tc>
          <w:tcPr>
            <w:tcW w:w="3090" w:type="dxa"/>
            <w:vAlign w:val="center"/>
          </w:tcPr>
          <w:p w14:paraId="5A7E1C08">
            <w:pPr>
              <w:spacing w:line="360" w:lineRule="auto"/>
              <w:jc w:val="left"/>
              <w:rPr>
                <w:rFonts w:ascii="仿宋_GB2312" w:hAnsi="宋体" w:eastAsia="仿宋_GB2312"/>
                <w:color w:val="000000"/>
                <w:kern w:val="0"/>
                <w:sz w:val="24"/>
              </w:rPr>
            </w:pPr>
            <w:r>
              <w:rPr>
                <w:rFonts w:hint="eastAsia" w:ascii="仿宋_GB2312" w:hAnsi="宋体" w:eastAsia="仿宋_GB2312"/>
                <w:color w:val="000000"/>
                <w:kern w:val="0"/>
                <w:sz w:val="24"/>
              </w:rPr>
              <w:t>换热器执行标准：HG/T 4379-2012烧结型高通量换热管，本次高通量换热器换热管形式限制为烧结型高通量换热管</w:t>
            </w:r>
          </w:p>
        </w:tc>
      </w:tr>
    </w:tbl>
    <w:p w14:paraId="4156F789">
      <w:pPr>
        <w:ind w:left="1265" w:hanging="1265" w:hangingChars="450"/>
        <w:rPr>
          <w:rFonts w:ascii="仿宋_GB2312" w:eastAsia="仿宋_GB2312"/>
          <w:sz w:val="28"/>
          <w:szCs w:val="28"/>
        </w:rPr>
      </w:pPr>
      <w:r>
        <w:rPr>
          <w:rFonts w:hint="eastAsia" w:ascii="仿宋_GB2312" w:hAnsi="宋体" w:eastAsia="仿宋_GB2312"/>
          <w:b/>
          <w:sz w:val="28"/>
          <w:szCs w:val="28"/>
        </w:rPr>
        <w:t>3.3技术要求</w:t>
      </w:r>
    </w:p>
    <w:p w14:paraId="6DFAB075">
      <w:pPr>
        <w:spacing w:line="360" w:lineRule="auto"/>
        <w:ind w:firstLine="480" w:firstLineChars="200"/>
        <w:rPr>
          <w:rFonts w:ascii="仿宋_GB2312" w:eastAsia="仿宋_GB2312"/>
          <w:sz w:val="24"/>
        </w:rPr>
      </w:pPr>
      <w:r>
        <w:rPr>
          <w:rFonts w:hint="eastAsia" w:ascii="仿宋_GB2312" w:eastAsia="仿宋_GB2312"/>
          <w:sz w:val="24"/>
        </w:rPr>
        <w:t xml:space="preserve">3.3.1换热器管束的设计与制造应遵循本技术条件及相关标准规范的要求；本管束按GB/T151-2014中I级管束的要求进行制造、检验及验收； </w:t>
      </w:r>
    </w:p>
    <w:p w14:paraId="0C06DDF2">
      <w:pPr>
        <w:spacing w:line="360" w:lineRule="auto"/>
        <w:ind w:firstLine="480" w:firstLineChars="200"/>
        <w:rPr>
          <w:rFonts w:ascii="仿宋_GB2312" w:eastAsia="仿宋_GB2312"/>
          <w:sz w:val="24"/>
        </w:rPr>
      </w:pPr>
      <w:r>
        <w:rPr>
          <w:rFonts w:hint="eastAsia" w:ascii="仿宋_GB2312" w:eastAsia="仿宋_GB2312"/>
          <w:sz w:val="24"/>
        </w:rPr>
        <w:t xml:space="preserve">3.3.2 锻件用16Mn钢板应符合NB/T 47008-2008的要求且以正火状态供货； </w:t>
      </w:r>
    </w:p>
    <w:p w14:paraId="4EBA1198">
      <w:pPr>
        <w:spacing w:line="360" w:lineRule="auto"/>
        <w:ind w:firstLine="480" w:firstLineChars="200"/>
        <w:rPr>
          <w:rFonts w:ascii="仿宋_GB2312" w:eastAsia="仿宋_GB2312"/>
          <w:sz w:val="24"/>
        </w:rPr>
      </w:pPr>
      <w:r>
        <w:rPr>
          <w:rFonts w:hint="eastAsia" w:ascii="仿宋_GB2312" w:eastAsia="仿宋_GB2312"/>
          <w:sz w:val="24"/>
        </w:rPr>
        <w:t>3.3.3 换</w:t>
      </w:r>
      <m:oMath>
        <m:r>
          <m:rPr>
            <m:sty m:val="p"/>
          </m:rPr>
          <w:rPr>
            <w:rFonts w:hint="eastAsia" w:ascii="Cambria Math" w:hAnsi="Cambria Math" w:eastAsia="仿宋_GB2312"/>
            <w:sz w:val="24"/>
          </w:rPr>
          <m:t>热</m:t>
        </m:r>
      </m:oMath>
      <w:r>
        <w:rPr>
          <w:rFonts w:hint="eastAsia" w:ascii="仿宋_GB2312" w:eastAsia="仿宋_GB2312"/>
          <w:sz w:val="24"/>
        </w:rPr>
        <w:t>管应符合GB9948-2013标准中冷拔、高精度管的要求；</w:t>
      </w:r>
    </w:p>
    <w:p w14:paraId="201CB9B4">
      <w:pPr>
        <w:spacing w:line="360" w:lineRule="auto"/>
        <w:ind w:firstLine="480" w:firstLineChars="200"/>
        <w:rPr>
          <w:rFonts w:ascii="仿宋_GB2312" w:eastAsia="仿宋_GB2312"/>
          <w:color w:val="000000" w:themeColor="text1"/>
          <w:sz w:val="24"/>
        </w:rPr>
      </w:pPr>
      <w:r>
        <w:rPr>
          <w:rFonts w:hint="eastAsia" w:ascii="仿宋_GB2312" w:eastAsia="仿宋_GB2312"/>
          <w:color w:val="000000" w:themeColor="text1"/>
          <w:sz w:val="24"/>
        </w:rPr>
        <w:t>3.3.4换热管与管板的焊接采用氩弧焊，至少焊两遍，焊接接头100%PT检测，符合JB/T 4730.5-2005中I级合格；焊缝不得有裂纹未熔合未焊透等缺陷；</w:t>
      </w:r>
    </w:p>
    <w:p w14:paraId="43AEF2DF">
      <w:pPr>
        <w:spacing w:line="360" w:lineRule="auto"/>
        <w:ind w:firstLine="480" w:firstLineChars="200"/>
        <w:rPr>
          <w:rFonts w:ascii="仿宋_GB2312" w:eastAsia="仿宋_GB2312"/>
          <w:sz w:val="24"/>
        </w:rPr>
      </w:pPr>
      <w:r>
        <w:rPr>
          <w:rFonts w:hint="eastAsia" w:ascii="仿宋_GB2312" w:eastAsia="仿宋_GB2312"/>
          <w:sz w:val="24"/>
        </w:rPr>
        <w:t>3.3.5焊接接头的类型及尺寸，除图纸中注明外，按HG/T 20583-2011中的规定，角焊缝的焊脚高度为较薄件的厚度，对接焊接接头及角焊缝均须全焊透；</w:t>
      </w:r>
    </w:p>
    <w:p w14:paraId="56EF0011">
      <w:pPr>
        <w:spacing w:line="360" w:lineRule="auto"/>
        <w:ind w:firstLine="480" w:firstLineChars="200"/>
        <w:rPr>
          <w:rFonts w:ascii="仿宋_GB2312" w:eastAsia="仿宋_GB2312"/>
          <w:sz w:val="24"/>
        </w:rPr>
      </w:pPr>
      <w:r>
        <w:rPr>
          <w:rFonts w:hint="eastAsia" w:ascii="仿宋_GB2312" w:eastAsia="仿宋_GB2312"/>
          <w:sz w:val="24"/>
        </w:rPr>
        <w:t>3.3.6导流筒支撑板与导流筒、折流板焊牢。</w:t>
      </w:r>
    </w:p>
    <w:p w14:paraId="521A1167">
      <w:pPr>
        <w:spacing w:line="360" w:lineRule="auto"/>
        <w:ind w:firstLine="480" w:firstLineChars="200"/>
        <w:rPr>
          <w:rFonts w:ascii="仿宋_GB2312" w:eastAsia="仿宋_GB2312"/>
          <w:sz w:val="24"/>
        </w:rPr>
      </w:pPr>
      <w:r>
        <w:rPr>
          <w:rFonts w:hint="eastAsia" w:ascii="仿宋_GB2312" w:eastAsia="仿宋_GB2312"/>
          <w:sz w:val="24"/>
        </w:rPr>
        <w:t>3.3.7水压试验完毕应立即将水渍清理干净、吹干，充氮0.05MPa；</w:t>
      </w:r>
    </w:p>
    <w:p w14:paraId="01720C1E">
      <w:pPr>
        <w:spacing w:line="360" w:lineRule="auto"/>
        <w:ind w:left="1079" w:leftChars="228" w:hanging="600" w:hangingChars="250"/>
        <w:rPr>
          <w:rFonts w:ascii="仿宋_GB2312" w:eastAsia="仿宋_GB2312"/>
          <w:sz w:val="24"/>
        </w:rPr>
      </w:pPr>
      <w:r>
        <w:rPr>
          <w:rFonts w:hint="eastAsia" w:ascii="仿宋_GB2312" w:eastAsia="仿宋_GB2312"/>
          <w:sz w:val="24"/>
        </w:rPr>
        <w:t>3.3.8设备涂覆、包装运输按JB/T4673-2003及项目规定。</w:t>
      </w:r>
    </w:p>
    <w:p w14:paraId="1E70AFCA">
      <w:pPr>
        <w:spacing w:line="360" w:lineRule="auto"/>
        <w:ind w:firstLine="480" w:firstLineChars="200"/>
        <w:jc w:val="left"/>
        <w:rPr>
          <w:rFonts w:ascii="仿宋_GB2312" w:eastAsia="仿宋_GB2312"/>
          <w:sz w:val="24"/>
        </w:rPr>
      </w:pPr>
      <w:r>
        <w:rPr>
          <w:rFonts w:hint="eastAsia" w:ascii="仿宋_GB2312" w:eastAsia="仿宋_GB2312"/>
          <w:sz w:val="24"/>
        </w:rPr>
        <w:t>3.3.9按照《特种设备安全安全技术规范》规定实施制造监检。</w:t>
      </w:r>
    </w:p>
    <w:p w14:paraId="37420B39">
      <w:pPr>
        <w:spacing w:line="360" w:lineRule="auto"/>
        <w:ind w:firstLine="480" w:firstLineChars="200"/>
        <w:rPr>
          <w:rFonts w:ascii="仿宋_GB2312" w:hAnsi="宋体" w:eastAsia="仿宋_GB2312"/>
          <w:sz w:val="24"/>
          <w:shd w:val="clear" w:color="auto" w:fill="FFFFFF"/>
        </w:rPr>
      </w:pPr>
      <w:r>
        <w:rPr>
          <w:rFonts w:hint="eastAsia" w:ascii="仿宋_GB2312" w:hAnsi="宋体" w:eastAsia="仿宋_GB2312"/>
          <w:sz w:val="24"/>
          <w:shd w:val="clear" w:color="auto" w:fill="FFFFFF"/>
        </w:rPr>
        <w:t xml:space="preserve">3.3.10 </w:t>
      </w:r>
      <w:r>
        <w:rPr>
          <w:rFonts w:hint="eastAsia" w:ascii="仿宋_GB2312" w:hAnsi="宋体" w:eastAsia="仿宋_GB2312" w:cs="Arial"/>
          <w:sz w:val="24"/>
        </w:rPr>
        <w:t>37-E-109AB重芳烃塔蒸汽发生器</w:t>
      </w:r>
      <w:r>
        <w:rPr>
          <w:rFonts w:hint="eastAsia" w:ascii="仿宋_GB2312" w:hAnsi="宋体" w:eastAsia="仿宋_GB2312" w:cs="宋体"/>
          <w:sz w:val="24"/>
          <w:shd w:val="clear" w:color="auto" w:fill="FFFFFF"/>
        </w:rPr>
        <w:t>，</w:t>
      </w:r>
      <w:r>
        <w:rPr>
          <w:rFonts w:hint="eastAsia" w:ascii="仿宋_GB2312" w:hAnsi="宋体" w:eastAsia="仿宋_GB2312"/>
          <w:sz w:val="24"/>
          <w:shd w:val="clear" w:color="auto" w:fill="FFFFFF"/>
        </w:rPr>
        <w:t>计2台。</w:t>
      </w:r>
    </w:p>
    <w:p w14:paraId="7630A4F5">
      <w:pPr>
        <w:spacing w:line="360" w:lineRule="auto"/>
        <w:ind w:firstLine="480" w:firstLineChars="200"/>
        <w:rPr>
          <w:rFonts w:ascii="仿宋_GB2312" w:hAnsi="宋体" w:eastAsia="仿宋_GB2312"/>
          <w:sz w:val="24"/>
        </w:rPr>
      </w:pPr>
      <w:r>
        <w:rPr>
          <w:rFonts w:hint="eastAsia" w:ascii="仿宋_GB2312" w:hAnsi="宋体" w:eastAsia="仿宋_GB2312"/>
          <w:sz w:val="24"/>
        </w:rPr>
        <w:t>3.3.11 详见附件《评标细则》</w:t>
      </w:r>
    </w:p>
    <w:p w14:paraId="56184719">
      <w:pPr>
        <w:ind w:left="1265" w:hanging="1265" w:hangingChars="450"/>
        <w:rPr>
          <w:rFonts w:ascii="仿宋_GB2312" w:eastAsia="仿宋_GB2312"/>
          <w:sz w:val="28"/>
          <w:szCs w:val="28"/>
        </w:rPr>
      </w:pPr>
      <w:r>
        <w:rPr>
          <w:rFonts w:hint="eastAsia" w:ascii="仿宋_GB2312" w:hAnsi="宋体" w:eastAsia="仿宋_GB2312"/>
          <w:b/>
          <w:sz w:val="28"/>
          <w:szCs w:val="28"/>
        </w:rPr>
        <w:t>3.4其他技术要求</w:t>
      </w:r>
    </w:p>
    <w:p w14:paraId="177A7650">
      <w:pPr>
        <w:spacing w:line="500" w:lineRule="exact"/>
        <w:ind w:firstLine="480" w:firstLineChars="200"/>
        <w:rPr>
          <w:rFonts w:ascii="仿宋_GB2312" w:eastAsia="仿宋_GB2312"/>
          <w:sz w:val="24"/>
        </w:rPr>
      </w:pPr>
      <w:r>
        <w:rPr>
          <w:rFonts w:hint="eastAsia" w:ascii="仿宋_GB2312" w:eastAsia="仿宋_GB2312"/>
          <w:sz w:val="24"/>
        </w:rPr>
        <w:t>3.4.1业主有权每台抽查3根委托第三方检验单位对高通量换热管多孔层性能参数（孔隙率、孔径、多孔层厚度、金相形貌等）按照HG/T 4379-2012《烧结型高通量换热管》或者技术协议的要求进行检测，其检测结果作为验收的重要依据。</w:t>
      </w:r>
    </w:p>
    <w:p w14:paraId="1930BDC3">
      <w:pPr>
        <w:spacing w:line="500" w:lineRule="exact"/>
        <w:ind w:firstLine="480" w:firstLineChars="200"/>
        <w:rPr>
          <w:rFonts w:ascii="仿宋_GB2312" w:eastAsia="仿宋_GB2312"/>
          <w:sz w:val="24"/>
        </w:rPr>
      </w:pPr>
      <w:r>
        <w:rPr>
          <w:rFonts w:hint="eastAsia" w:ascii="仿宋_GB2312" w:eastAsia="仿宋_GB2312"/>
          <w:sz w:val="24"/>
        </w:rPr>
        <w:t>3.4.2换热器穿管时，制造商应通知业主，业主有权监督其穿管全过程。</w:t>
      </w:r>
    </w:p>
    <w:p w14:paraId="45807FA5">
      <w:pPr>
        <w:spacing w:line="500" w:lineRule="exact"/>
        <w:ind w:firstLine="480" w:firstLineChars="200"/>
        <w:rPr>
          <w:rFonts w:ascii="仿宋_GB2312" w:eastAsia="仿宋_GB2312"/>
          <w:sz w:val="24"/>
        </w:rPr>
      </w:pPr>
      <w:r>
        <w:rPr>
          <w:rFonts w:hint="eastAsia" w:ascii="仿宋_GB2312" w:eastAsia="仿宋_GB2312"/>
          <w:sz w:val="24"/>
        </w:rPr>
        <w:t>3.4.3设备运行6-12个月之间，制造商应对该高通量换热器进行性能标定。</w:t>
      </w:r>
    </w:p>
    <w:p w14:paraId="0E58277B">
      <w:pPr>
        <w:ind w:left="1265" w:hanging="1265" w:hangingChars="450"/>
        <w:rPr>
          <w:rFonts w:ascii="仿宋_GB2312" w:hAnsi="宋体" w:eastAsia="仿宋_GB2312"/>
          <w:b/>
          <w:sz w:val="28"/>
          <w:szCs w:val="28"/>
        </w:rPr>
      </w:pPr>
      <w:r>
        <w:rPr>
          <w:rFonts w:hint="eastAsia" w:ascii="仿宋_GB2312" w:hAnsi="宋体" w:eastAsia="仿宋_GB2312"/>
          <w:b/>
          <w:sz w:val="28"/>
          <w:szCs w:val="28"/>
        </w:rPr>
        <w:t>3.5性能保证</w:t>
      </w:r>
    </w:p>
    <w:p w14:paraId="3446613C">
      <w:pPr>
        <w:spacing w:line="500" w:lineRule="exact"/>
        <w:ind w:firstLine="480" w:firstLineChars="200"/>
        <w:rPr>
          <w:rFonts w:ascii="仿宋_GB2312" w:hAnsi="宋体" w:eastAsia="仿宋_GB2312"/>
          <w:sz w:val="24"/>
        </w:rPr>
      </w:pPr>
      <w:r>
        <w:rPr>
          <w:rFonts w:hint="eastAsia" w:ascii="仿宋_GB2312" w:hAnsi="宋体" w:eastAsia="仿宋_GB2312"/>
          <w:sz w:val="24"/>
        </w:rPr>
        <w:t>质量保证期为交货18个月或者运行12个月，以先到为准。</w:t>
      </w:r>
    </w:p>
    <w:p w14:paraId="62C33BCC">
      <w:pPr>
        <w:pStyle w:val="12"/>
        <w:spacing w:line="360" w:lineRule="auto"/>
        <w:ind w:firstLine="0" w:firstLineChars="0"/>
        <w:jc w:val="left"/>
        <w:rPr>
          <w:rFonts w:ascii="仿宋_GB2312" w:eastAsia="仿宋_GB2312"/>
          <w:b/>
          <w:sz w:val="28"/>
          <w:szCs w:val="28"/>
        </w:rPr>
      </w:pPr>
      <w:r>
        <w:rPr>
          <w:rFonts w:hint="eastAsia" w:ascii="仿宋_GB2312" w:eastAsia="仿宋_GB2312"/>
          <w:b/>
          <w:sz w:val="28"/>
          <w:szCs w:val="28"/>
        </w:rPr>
        <w:t>四、技术资料交付</w:t>
      </w:r>
    </w:p>
    <w:p w14:paraId="30817BEB">
      <w:pPr>
        <w:spacing w:line="360" w:lineRule="auto"/>
        <w:jc w:val="center"/>
        <w:rPr>
          <w:rFonts w:ascii="仿宋_GB2312" w:hAnsi="宋体" w:eastAsia="仿宋_GB2312"/>
          <w:b/>
          <w:sz w:val="24"/>
        </w:rPr>
      </w:pPr>
      <w:r>
        <w:rPr>
          <w:rFonts w:hint="eastAsia" w:ascii="仿宋_GB2312" w:hAnsi="宋体" w:eastAsia="仿宋_GB2312"/>
          <w:b/>
          <w:sz w:val="24"/>
        </w:rPr>
        <w:t>技术资料交付清单</w:t>
      </w:r>
    </w:p>
    <w:tbl>
      <w:tblPr>
        <w:tblStyle w:val="9"/>
        <w:tblW w:w="8307" w:type="dxa"/>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773"/>
        <w:gridCol w:w="3181"/>
        <w:gridCol w:w="1190"/>
        <w:gridCol w:w="3163"/>
      </w:tblGrid>
      <w:tr w14:paraId="6610340A">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73" w:type="dxa"/>
            <w:vAlign w:val="center"/>
          </w:tcPr>
          <w:p w14:paraId="0F35EA5C">
            <w:pPr>
              <w:spacing w:line="360" w:lineRule="auto"/>
              <w:jc w:val="center"/>
              <w:rPr>
                <w:rFonts w:ascii="仿宋_GB2312" w:hAnsi="宋体" w:eastAsia="仿宋_GB2312"/>
                <w:sz w:val="24"/>
              </w:rPr>
            </w:pPr>
            <w:r>
              <w:rPr>
                <w:rFonts w:hint="eastAsia" w:ascii="仿宋_GB2312" w:hAnsi="宋体" w:eastAsia="仿宋_GB2312"/>
                <w:sz w:val="24"/>
              </w:rPr>
              <w:t>序号</w:t>
            </w:r>
          </w:p>
        </w:tc>
        <w:tc>
          <w:tcPr>
            <w:tcW w:w="3181" w:type="dxa"/>
            <w:vAlign w:val="center"/>
          </w:tcPr>
          <w:p w14:paraId="2875B751">
            <w:pPr>
              <w:spacing w:line="360" w:lineRule="auto"/>
              <w:jc w:val="center"/>
              <w:rPr>
                <w:rFonts w:ascii="仿宋_GB2312" w:hAnsi="宋体" w:eastAsia="仿宋_GB2312"/>
                <w:sz w:val="24"/>
              </w:rPr>
            </w:pPr>
            <w:r>
              <w:rPr>
                <w:rFonts w:hint="eastAsia" w:ascii="仿宋_GB2312" w:hAnsi="宋体" w:eastAsia="仿宋_GB2312"/>
                <w:sz w:val="24"/>
              </w:rPr>
              <w:t>名称</w:t>
            </w:r>
          </w:p>
        </w:tc>
        <w:tc>
          <w:tcPr>
            <w:tcW w:w="1190" w:type="dxa"/>
            <w:vAlign w:val="center"/>
          </w:tcPr>
          <w:p w14:paraId="2E06DAB3">
            <w:pPr>
              <w:spacing w:line="360" w:lineRule="auto"/>
              <w:jc w:val="center"/>
              <w:rPr>
                <w:rFonts w:ascii="仿宋_GB2312" w:hAnsi="宋体" w:eastAsia="仿宋_GB2312"/>
                <w:sz w:val="24"/>
              </w:rPr>
            </w:pPr>
            <w:r>
              <w:rPr>
                <w:rFonts w:hint="eastAsia" w:ascii="仿宋_GB2312" w:hAnsi="宋体" w:eastAsia="仿宋_GB2312"/>
                <w:sz w:val="24"/>
              </w:rPr>
              <w:t>数量</w:t>
            </w:r>
          </w:p>
        </w:tc>
        <w:tc>
          <w:tcPr>
            <w:tcW w:w="3163" w:type="dxa"/>
            <w:vAlign w:val="center"/>
          </w:tcPr>
          <w:p w14:paraId="09B5A351">
            <w:pPr>
              <w:spacing w:line="360" w:lineRule="auto"/>
              <w:jc w:val="center"/>
              <w:rPr>
                <w:rFonts w:ascii="仿宋_GB2312" w:hAnsi="宋体" w:eastAsia="仿宋_GB2312"/>
                <w:sz w:val="24"/>
              </w:rPr>
            </w:pPr>
            <w:r>
              <w:rPr>
                <w:rFonts w:hint="eastAsia" w:ascii="仿宋_GB2312" w:hAnsi="宋体" w:eastAsia="仿宋_GB2312"/>
                <w:sz w:val="24"/>
              </w:rPr>
              <w:t>提交日期</w:t>
            </w:r>
          </w:p>
        </w:tc>
      </w:tr>
      <w:tr w14:paraId="314CBDB7">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73" w:type="dxa"/>
            <w:vAlign w:val="center"/>
          </w:tcPr>
          <w:p w14:paraId="79294668">
            <w:pPr>
              <w:numPr>
                <w:ilvl w:val="0"/>
                <w:numId w:val="3"/>
              </w:numPr>
              <w:spacing w:line="360" w:lineRule="auto"/>
              <w:jc w:val="center"/>
              <w:rPr>
                <w:rFonts w:ascii="仿宋_GB2312" w:hAnsi="宋体" w:eastAsia="仿宋_GB2312"/>
                <w:sz w:val="22"/>
                <w:szCs w:val="22"/>
              </w:rPr>
            </w:pPr>
          </w:p>
        </w:tc>
        <w:tc>
          <w:tcPr>
            <w:tcW w:w="3181" w:type="dxa"/>
            <w:vAlign w:val="center"/>
          </w:tcPr>
          <w:p w14:paraId="50B60ED9">
            <w:pPr>
              <w:spacing w:line="360" w:lineRule="auto"/>
              <w:jc w:val="center"/>
              <w:rPr>
                <w:rFonts w:ascii="仿宋_GB2312" w:hAnsi="宋体" w:eastAsia="仿宋_GB2312"/>
                <w:sz w:val="22"/>
                <w:szCs w:val="22"/>
              </w:rPr>
            </w:pPr>
            <w:r>
              <w:rPr>
                <w:rFonts w:hint="eastAsia" w:ascii="仿宋_GB2312" w:hAnsi="宋体" w:eastAsia="仿宋_GB2312"/>
                <w:sz w:val="22"/>
                <w:szCs w:val="22"/>
              </w:rPr>
              <w:t>厂家资质及相关业绩</w:t>
            </w:r>
          </w:p>
        </w:tc>
        <w:tc>
          <w:tcPr>
            <w:tcW w:w="1190" w:type="dxa"/>
            <w:vAlign w:val="center"/>
          </w:tcPr>
          <w:p w14:paraId="792A31D2">
            <w:pPr>
              <w:spacing w:line="360" w:lineRule="auto"/>
              <w:jc w:val="center"/>
              <w:rPr>
                <w:rFonts w:ascii="仿宋_GB2312" w:hAnsi="宋体" w:eastAsia="仿宋_GB2312"/>
                <w:caps/>
                <w:sz w:val="22"/>
                <w:szCs w:val="22"/>
              </w:rPr>
            </w:pPr>
            <w:r>
              <w:rPr>
                <w:rFonts w:hint="eastAsia" w:ascii="仿宋_GB2312" w:hAnsi="宋体" w:eastAsia="仿宋_GB2312"/>
                <w:caps/>
                <w:sz w:val="22"/>
                <w:szCs w:val="22"/>
              </w:rPr>
              <w:t>2C+1E</w:t>
            </w:r>
          </w:p>
        </w:tc>
        <w:tc>
          <w:tcPr>
            <w:tcW w:w="3163" w:type="dxa"/>
            <w:vAlign w:val="center"/>
          </w:tcPr>
          <w:p w14:paraId="6C6A16B6">
            <w:pPr>
              <w:spacing w:line="360" w:lineRule="auto"/>
              <w:jc w:val="center"/>
              <w:rPr>
                <w:rFonts w:ascii="仿宋_GB2312" w:hAnsi="宋体" w:eastAsia="仿宋_GB2312"/>
                <w:sz w:val="22"/>
                <w:szCs w:val="22"/>
              </w:rPr>
            </w:pPr>
            <w:r>
              <w:rPr>
                <w:rFonts w:hint="eastAsia" w:ascii="仿宋_GB2312" w:hAnsi="宋体" w:eastAsia="仿宋_GB2312"/>
                <w:sz w:val="22"/>
                <w:szCs w:val="22"/>
              </w:rPr>
              <w:t>报名时</w:t>
            </w:r>
          </w:p>
        </w:tc>
      </w:tr>
      <w:tr w14:paraId="60744F46">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73" w:type="dxa"/>
            <w:vAlign w:val="center"/>
          </w:tcPr>
          <w:p w14:paraId="605B83B7">
            <w:pPr>
              <w:numPr>
                <w:ilvl w:val="0"/>
                <w:numId w:val="3"/>
              </w:numPr>
              <w:spacing w:line="360" w:lineRule="auto"/>
              <w:jc w:val="center"/>
              <w:rPr>
                <w:rFonts w:ascii="仿宋_GB2312" w:hAnsi="宋体" w:eastAsia="仿宋_GB2312"/>
                <w:sz w:val="22"/>
                <w:szCs w:val="22"/>
              </w:rPr>
            </w:pPr>
          </w:p>
        </w:tc>
        <w:tc>
          <w:tcPr>
            <w:tcW w:w="3181" w:type="dxa"/>
            <w:vAlign w:val="center"/>
          </w:tcPr>
          <w:p w14:paraId="5D3EF5E1">
            <w:pPr>
              <w:spacing w:line="360" w:lineRule="auto"/>
              <w:jc w:val="center"/>
              <w:rPr>
                <w:rFonts w:ascii="仿宋_GB2312" w:hAnsi="宋体" w:eastAsia="仿宋_GB2312"/>
                <w:sz w:val="22"/>
                <w:szCs w:val="22"/>
              </w:rPr>
            </w:pPr>
            <w:r>
              <w:rPr>
                <w:rFonts w:hint="eastAsia" w:ascii="仿宋_GB2312" w:eastAsia="仿宋_GB2312"/>
                <w:sz w:val="22"/>
                <w:szCs w:val="22"/>
              </w:rPr>
              <w:t>主要零部件和标准件</w:t>
            </w:r>
            <w:r>
              <w:rPr>
                <w:rFonts w:hint="eastAsia" w:ascii="仿宋_GB2312" w:hAnsi="宋体" w:eastAsia="仿宋_GB2312"/>
                <w:sz w:val="22"/>
                <w:szCs w:val="22"/>
              </w:rPr>
              <w:t>材质证明</w:t>
            </w:r>
          </w:p>
        </w:tc>
        <w:tc>
          <w:tcPr>
            <w:tcW w:w="1190" w:type="dxa"/>
            <w:vAlign w:val="center"/>
          </w:tcPr>
          <w:p w14:paraId="6DA5B0C7">
            <w:pPr>
              <w:spacing w:line="360" w:lineRule="auto"/>
              <w:jc w:val="center"/>
              <w:rPr>
                <w:rFonts w:ascii="仿宋_GB2312" w:hAnsi="宋体" w:eastAsia="仿宋_GB2312"/>
                <w:caps/>
                <w:sz w:val="22"/>
                <w:szCs w:val="22"/>
              </w:rPr>
            </w:pPr>
            <w:r>
              <w:rPr>
                <w:rFonts w:hint="eastAsia" w:ascii="仿宋_GB2312" w:hAnsi="宋体" w:eastAsia="仿宋_GB2312"/>
                <w:caps/>
                <w:sz w:val="22"/>
                <w:szCs w:val="22"/>
              </w:rPr>
              <w:t>2C+1E</w:t>
            </w:r>
          </w:p>
        </w:tc>
        <w:tc>
          <w:tcPr>
            <w:tcW w:w="3163" w:type="dxa"/>
            <w:vAlign w:val="center"/>
          </w:tcPr>
          <w:p w14:paraId="48455E16">
            <w:pPr>
              <w:spacing w:line="360" w:lineRule="auto"/>
              <w:jc w:val="center"/>
              <w:rPr>
                <w:rFonts w:ascii="仿宋_GB2312" w:hAnsi="宋体" w:eastAsia="仿宋_GB2312"/>
                <w:sz w:val="22"/>
                <w:szCs w:val="22"/>
              </w:rPr>
            </w:pPr>
            <w:r>
              <w:rPr>
                <w:rFonts w:hint="eastAsia" w:ascii="仿宋_GB2312" w:hAnsi="宋体" w:eastAsia="仿宋_GB2312"/>
                <w:caps/>
                <w:sz w:val="22"/>
                <w:szCs w:val="22"/>
              </w:rPr>
              <w:t>发货时</w:t>
            </w:r>
          </w:p>
        </w:tc>
      </w:tr>
      <w:tr w14:paraId="3857D6A0">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73" w:type="dxa"/>
            <w:vAlign w:val="center"/>
          </w:tcPr>
          <w:p w14:paraId="55C89E26">
            <w:pPr>
              <w:numPr>
                <w:ilvl w:val="0"/>
                <w:numId w:val="3"/>
              </w:numPr>
              <w:spacing w:line="360" w:lineRule="auto"/>
              <w:jc w:val="center"/>
              <w:rPr>
                <w:rFonts w:ascii="仿宋_GB2312" w:hAnsi="宋体" w:eastAsia="仿宋_GB2312"/>
                <w:sz w:val="22"/>
                <w:szCs w:val="22"/>
              </w:rPr>
            </w:pPr>
          </w:p>
        </w:tc>
        <w:tc>
          <w:tcPr>
            <w:tcW w:w="3181" w:type="dxa"/>
            <w:vAlign w:val="center"/>
          </w:tcPr>
          <w:p w14:paraId="656ABE7B">
            <w:pPr>
              <w:spacing w:line="360" w:lineRule="auto"/>
              <w:jc w:val="center"/>
              <w:rPr>
                <w:rFonts w:ascii="仿宋_GB2312" w:hAnsi="宋体" w:eastAsia="仿宋_GB2312"/>
                <w:sz w:val="22"/>
                <w:szCs w:val="22"/>
              </w:rPr>
            </w:pPr>
            <w:r>
              <w:rPr>
                <w:rFonts w:hint="eastAsia" w:ascii="仿宋_GB2312" w:hAnsi="宋体" w:eastAsia="仿宋_GB2312"/>
                <w:sz w:val="22"/>
                <w:szCs w:val="22"/>
              </w:rPr>
              <w:t>合格证</w:t>
            </w:r>
          </w:p>
        </w:tc>
        <w:tc>
          <w:tcPr>
            <w:tcW w:w="1190" w:type="dxa"/>
            <w:vAlign w:val="center"/>
          </w:tcPr>
          <w:p w14:paraId="03DFF684">
            <w:pPr>
              <w:spacing w:line="360" w:lineRule="auto"/>
              <w:jc w:val="center"/>
              <w:rPr>
                <w:rFonts w:ascii="仿宋_GB2312" w:hAnsi="宋体" w:eastAsia="仿宋_GB2312"/>
                <w:caps/>
                <w:sz w:val="22"/>
                <w:szCs w:val="22"/>
              </w:rPr>
            </w:pPr>
            <w:r>
              <w:rPr>
                <w:rFonts w:hint="eastAsia" w:ascii="仿宋_GB2312" w:hAnsi="宋体" w:eastAsia="仿宋_GB2312"/>
                <w:caps/>
                <w:sz w:val="22"/>
                <w:szCs w:val="22"/>
              </w:rPr>
              <w:t>2C+1E</w:t>
            </w:r>
          </w:p>
        </w:tc>
        <w:tc>
          <w:tcPr>
            <w:tcW w:w="3163" w:type="dxa"/>
          </w:tcPr>
          <w:p w14:paraId="0BB503B4">
            <w:pPr>
              <w:spacing w:line="360" w:lineRule="auto"/>
              <w:jc w:val="center"/>
              <w:rPr>
                <w:rFonts w:ascii="仿宋_GB2312" w:hAnsi="宋体" w:eastAsia="仿宋_GB2312"/>
                <w:sz w:val="22"/>
                <w:szCs w:val="22"/>
              </w:rPr>
            </w:pPr>
            <w:r>
              <w:rPr>
                <w:rFonts w:hint="eastAsia" w:ascii="仿宋_GB2312" w:hAnsi="宋体" w:eastAsia="仿宋_GB2312"/>
                <w:caps/>
                <w:sz w:val="22"/>
                <w:szCs w:val="22"/>
              </w:rPr>
              <w:t>发货时</w:t>
            </w:r>
          </w:p>
        </w:tc>
      </w:tr>
      <w:tr w14:paraId="151113D1">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73" w:type="dxa"/>
            <w:vAlign w:val="center"/>
          </w:tcPr>
          <w:p w14:paraId="0283E8A8">
            <w:pPr>
              <w:numPr>
                <w:ilvl w:val="0"/>
                <w:numId w:val="3"/>
              </w:numPr>
              <w:spacing w:line="360" w:lineRule="auto"/>
              <w:jc w:val="center"/>
              <w:rPr>
                <w:rFonts w:ascii="仿宋_GB2312" w:hAnsi="宋体" w:eastAsia="仿宋_GB2312"/>
                <w:sz w:val="22"/>
                <w:szCs w:val="22"/>
              </w:rPr>
            </w:pPr>
          </w:p>
        </w:tc>
        <w:tc>
          <w:tcPr>
            <w:tcW w:w="3181" w:type="dxa"/>
            <w:vAlign w:val="center"/>
          </w:tcPr>
          <w:p w14:paraId="52B26FE3">
            <w:pPr>
              <w:spacing w:line="360" w:lineRule="auto"/>
              <w:jc w:val="center"/>
              <w:rPr>
                <w:rFonts w:ascii="仿宋_GB2312" w:hAnsi="宋体" w:eastAsia="仿宋_GB2312"/>
                <w:sz w:val="22"/>
                <w:szCs w:val="22"/>
              </w:rPr>
            </w:pPr>
            <w:r>
              <w:rPr>
                <w:rFonts w:hint="eastAsia" w:ascii="仿宋_GB2312" w:hAnsi="宋体" w:eastAsia="仿宋_GB2312"/>
                <w:sz w:val="22"/>
                <w:szCs w:val="22"/>
              </w:rPr>
              <w:t>检测报告</w:t>
            </w:r>
          </w:p>
        </w:tc>
        <w:tc>
          <w:tcPr>
            <w:tcW w:w="1190" w:type="dxa"/>
            <w:vAlign w:val="center"/>
          </w:tcPr>
          <w:p w14:paraId="7EE14628">
            <w:pPr>
              <w:spacing w:line="360" w:lineRule="auto"/>
              <w:jc w:val="center"/>
              <w:rPr>
                <w:rFonts w:ascii="仿宋_GB2312" w:hAnsi="宋体" w:eastAsia="仿宋_GB2312"/>
                <w:caps/>
                <w:sz w:val="22"/>
                <w:szCs w:val="22"/>
              </w:rPr>
            </w:pPr>
            <w:r>
              <w:rPr>
                <w:rFonts w:hint="eastAsia" w:ascii="仿宋_GB2312" w:hAnsi="宋体" w:eastAsia="仿宋_GB2312"/>
                <w:caps/>
                <w:sz w:val="22"/>
                <w:szCs w:val="22"/>
              </w:rPr>
              <w:t>2C+1E</w:t>
            </w:r>
          </w:p>
        </w:tc>
        <w:tc>
          <w:tcPr>
            <w:tcW w:w="3163" w:type="dxa"/>
          </w:tcPr>
          <w:p w14:paraId="176E7B53">
            <w:pPr>
              <w:spacing w:line="360" w:lineRule="auto"/>
              <w:jc w:val="center"/>
              <w:rPr>
                <w:rFonts w:ascii="仿宋_GB2312" w:hAnsi="宋体" w:eastAsia="仿宋_GB2312"/>
                <w:sz w:val="22"/>
                <w:szCs w:val="22"/>
              </w:rPr>
            </w:pPr>
            <w:r>
              <w:rPr>
                <w:rFonts w:hint="eastAsia" w:ascii="仿宋_GB2312" w:hAnsi="宋体" w:eastAsia="仿宋_GB2312"/>
                <w:caps/>
                <w:sz w:val="22"/>
                <w:szCs w:val="22"/>
              </w:rPr>
              <w:t>发货时</w:t>
            </w:r>
          </w:p>
        </w:tc>
      </w:tr>
      <w:tr w14:paraId="6752431D">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73" w:type="dxa"/>
            <w:vAlign w:val="center"/>
          </w:tcPr>
          <w:p w14:paraId="638482B7">
            <w:pPr>
              <w:numPr>
                <w:ilvl w:val="0"/>
                <w:numId w:val="3"/>
              </w:numPr>
              <w:spacing w:line="360" w:lineRule="auto"/>
              <w:jc w:val="center"/>
              <w:rPr>
                <w:rFonts w:ascii="仿宋_GB2312" w:hAnsi="宋体" w:eastAsia="仿宋_GB2312"/>
                <w:sz w:val="22"/>
                <w:szCs w:val="22"/>
              </w:rPr>
            </w:pPr>
          </w:p>
        </w:tc>
        <w:tc>
          <w:tcPr>
            <w:tcW w:w="3181" w:type="dxa"/>
            <w:vAlign w:val="center"/>
          </w:tcPr>
          <w:p w14:paraId="0876BE3B">
            <w:pPr>
              <w:spacing w:line="360" w:lineRule="auto"/>
              <w:jc w:val="center"/>
              <w:rPr>
                <w:rFonts w:ascii="仿宋_GB2312" w:hAnsi="宋体" w:eastAsia="仿宋_GB2312"/>
                <w:sz w:val="22"/>
                <w:szCs w:val="22"/>
              </w:rPr>
            </w:pPr>
            <w:r>
              <w:rPr>
                <w:rFonts w:hint="eastAsia" w:ascii="仿宋_GB2312" w:hAnsi="宋体" w:eastAsia="仿宋_GB2312"/>
                <w:sz w:val="22"/>
                <w:szCs w:val="22"/>
              </w:rPr>
              <w:t>送货单</w:t>
            </w:r>
          </w:p>
        </w:tc>
        <w:tc>
          <w:tcPr>
            <w:tcW w:w="1190" w:type="dxa"/>
            <w:vAlign w:val="center"/>
          </w:tcPr>
          <w:p w14:paraId="2F96E3EF">
            <w:pPr>
              <w:spacing w:line="360" w:lineRule="auto"/>
              <w:jc w:val="center"/>
              <w:rPr>
                <w:rFonts w:ascii="仿宋_GB2312" w:hAnsi="宋体" w:eastAsia="仿宋_GB2312"/>
                <w:caps/>
                <w:sz w:val="22"/>
                <w:szCs w:val="22"/>
              </w:rPr>
            </w:pPr>
            <w:r>
              <w:rPr>
                <w:rFonts w:hint="eastAsia" w:ascii="仿宋_GB2312" w:hAnsi="宋体" w:eastAsia="仿宋_GB2312"/>
                <w:caps/>
                <w:sz w:val="22"/>
                <w:szCs w:val="22"/>
              </w:rPr>
              <w:t>2C+1E</w:t>
            </w:r>
          </w:p>
        </w:tc>
        <w:tc>
          <w:tcPr>
            <w:tcW w:w="3163" w:type="dxa"/>
          </w:tcPr>
          <w:p w14:paraId="73C32B05">
            <w:pPr>
              <w:spacing w:line="360" w:lineRule="auto"/>
              <w:jc w:val="center"/>
              <w:rPr>
                <w:rFonts w:ascii="仿宋_GB2312" w:hAnsi="宋体" w:eastAsia="仿宋_GB2312"/>
                <w:sz w:val="22"/>
                <w:szCs w:val="22"/>
              </w:rPr>
            </w:pPr>
            <w:r>
              <w:rPr>
                <w:rFonts w:hint="eastAsia" w:ascii="仿宋_GB2312" w:hAnsi="宋体" w:eastAsia="仿宋_GB2312"/>
                <w:caps/>
                <w:sz w:val="22"/>
                <w:szCs w:val="22"/>
              </w:rPr>
              <w:t>发货时</w:t>
            </w:r>
          </w:p>
        </w:tc>
      </w:tr>
      <w:tr w14:paraId="43C25D13">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73" w:type="dxa"/>
            <w:vAlign w:val="center"/>
          </w:tcPr>
          <w:p w14:paraId="3DA17590">
            <w:pPr>
              <w:numPr>
                <w:ilvl w:val="0"/>
                <w:numId w:val="3"/>
              </w:numPr>
              <w:spacing w:line="360" w:lineRule="auto"/>
              <w:jc w:val="center"/>
              <w:rPr>
                <w:rFonts w:ascii="仿宋_GB2312" w:hAnsi="宋体" w:eastAsia="仿宋_GB2312"/>
                <w:sz w:val="22"/>
                <w:szCs w:val="22"/>
              </w:rPr>
            </w:pPr>
          </w:p>
        </w:tc>
        <w:tc>
          <w:tcPr>
            <w:tcW w:w="3181" w:type="dxa"/>
            <w:vAlign w:val="center"/>
          </w:tcPr>
          <w:p w14:paraId="32F31AD2">
            <w:pPr>
              <w:spacing w:line="360" w:lineRule="auto"/>
              <w:jc w:val="center"/>
              <w:rPr>
                <w:rFonts w:ascii="仿宋_GB2312" w:hAnsi="宋体" w:eastAsia="仿宋_GB2312"/>
                <w:sz w:val="22"/>
                <w:szCs w:val="22"/>
              </w:rPr>
            </w:pPr>
            <w:r>
              <w:rPr>
                <w:rFonts w:hint="eastAsia" w:ascii="仿宋_GB2312" w:hAnsi="宋体" w:eastAsia="仿宋_GB2312"/>
                <w:color w:val="000000"/>
                <w:kern w:val="0"/>
                <w:sz w:val="24"/>
              </w:rPr>
              <w:t>制造监检报告</w:t>
            </w:r>
          </w:p>
        </w:tc>
        <w:tc>
          <w:tcPr>
            <w:tcW w:w="1190" w:type="dxa"/>
            <w:vAlign w:val="center"/>
          </w:tcPr>
          <w:p w14:paraId="04DCF825">
            <w:pPr>
              <w:spacing w:line="360" w:lineRule="auto"/>
              <w:jc w:val="center"/>
              <w:rPr>
                <w:rFonts w:ascii="仿宋_GB2312" w:hAnsi="宋体" w:eastAsia="仿宋_GB2312"/>
                <w:caps/>
                <w:sz w:val="22"/>
                <w:szCs w:val="22"/>
              </w:rPr>
            </w:pPr>
            <w:r>
              <w:rPr>
                <w:rFonts w:hint="eastAsia" w:ascii="仿宋_GB2312" w:hAnsi="宋体" w:eastAsia="仿宋_GB2312"/>
                <w:caps/>
                <w:sz w:val="22"/>
                <w:szCs w:val="22"/>
              </w:rPr>
              <w:t>2C+1E</w:t>
            </w:r>
          </w:p>
        </w:tc>
        <w:tc>
          <w:tcPr>
            <w:tcW w:w="3163" w:type="dxa"/>
          </w:tcPr>
          <w:p w14:paraId="59568A05">
            <w:pPr>
              <w:spacing w:line="360" w:lineRule="auto"/>
              <w:jc w:val="center"/>
              <w:rPr>
                <w:rFonts w:ascii="仿宋_GB2312" w:hAnsi="宋体" w:eastAsia="仿宋_GB2312"/>
                <w:caps/>
                <w:sz w:val="22"/>
                <w:szCs w:val="22"/>
              </w:rPr>
            </w:pPr>
            <w:r>
              <w:rPr>
                <w:rFonts w:hint="eastAsia" w:ascii="仿宋_GB2312" w:hAnsi="宋体" w:eastAsia="仿宋_GB2312"/>
                <w:caps/>
                <w:sz w:val="22"/>
                <w:szCs w:val="22"/>
              </w:rPr>
              <w:t>发货时</w:t>
            </w:r>
          </w:p>
        </w:tc>
      </w:tr>
      <w:tr w14:paraId="263350E7">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307" w:type="dxa"/>
            <w:gridSpan w:val="4"/>
            <w:vAlign w:val="center"/>
          </w:tcPr>
          <w:p w14:paraId="0E821EC0">
            <w:pPr>
              <w:spacing w:line="360" w:lineRule="auto"/>
              <w:rPr>
                <w:rFonts w:ascii="仿宋_GB2312" w:hAnsi="宋体" w:eastAsia="仿宋_GB2312"/>
                <w:sz w:val="22"/>
                <w:szCs w:val="22"/>
              </w:rPr>
            </w:pPr>
            <w:r>
              <w:rPr>
                <w:rFonts w:hint="eastAsia" w:ascii="仿宋_GB2312" w:hAnsi="宋体" w:eastAsia="仿宋_GB2312"/>
                <w:sz w:val="22"/>
                <w:szCs w:val="22"/>
              </w:rPr>
              <w:t>注：C—纸质资料，E—pdf版资料。</w:t>
            </w:r>
          </w:p>
        </w:tc>
      </w:tr>
    </w:tbl>
    <w:p w14:paraId="4096F100">
      <w:pPr>
        <w:pStyle w:val="12"/>
        <w:spacing w:line="360" w:lineRule="auto"/>
        <w:ind w:firstLine="0" w:firstLineChars="0"/>
        <w:jc w:val="left"/>
        <w:rPr>
          <w:rFonts w:ascii="仿宋_GB2312" w:eastAsia="仿宋_GB2312"/>
          <w:b/>
          <w:sz w:val="28"/>
          <w:szCs w:val="28"/>
        </w:rPr>
      </w:pPr>
      <w:r>
        <w:rPr>
          <w:rFonts w:hint="eastAsia" w:ascii="仿宋_GB2312" w:eastAsia="仿宋_GB2312"/>
          <w:b/>
          <w:sz w:val="28"/>
          <w:szCs w:val="28"/>
        </w:rPr>
        <w:t>五、交货期</w:t>
      </w:r>
    </w:p>
    <w:p w14:paraId="3A5AF043">
      <w:pPr>
        <w:spacing w:line="360" w:lineRule="auto"/>
        <w:ind w:firstLine="480" w:firstLineChars="200"/>
        <w:rPr>
          <w:rFonts w:ascii="仿宋_GB2312" w:hAnsi="宋体" w:eastAsia="仿宋_GB2312"/>
          <w:sz w:val="24"/>
        </w:rPr>
      </w:pPr>
      <w:r>
        <w:rPr>
          <w:rFonts w:hint="eastAsia" w:ascii="仿宋_GB2312" w:hAnsi="宋体" w:eastAsia="仿宋_GB2312"/>
          <w:sz w:val="24"/>
        </w:rPr>
        <w:t>交货期：</w:t>
      </w:r>
      <w:r>
        <w:rPr>
          <w:rFonts w:hint="eastAsia" w:ascii="仿宋_GB2312" w:hAnsi="宋体" w:eastAsia="仿宋_GB2312" w:cs="Arial"/>
          <w:sz w:val="24"/>
        </w:rPr>
        <w:t>37-E-109AB重芳烃塔蒸汽发生器</w:t>
      </w:r>
      <w:r>
        <w:rPr>
          <w:rFonts w:hint="eastAsia" w:ascii="仿宋_GB2312" w:hAnsi="宋体" w:eastAsia="仿宋_GB2312"/>
          <w:sz w:val="24"/>
        </w:rPr>
        <w:t>交货期210个自然日（合同签订日算起）</w:t>
      </w:r>
      <w:bookmarkStart w:id="0" w:name="_GoBack"/>
      <w:bookmarkEnd w:id="0"/>
    </w:p>
    <w:p w14:paraId="39245C45">
      <w:pPr>
        <w:pStyle w:val="12"/>
        <w:spacing w:line="360" w:lineRule="auto"/>
        <w:ind w:firstLine="0" w:firstLineChars="0"/>
        <w:jc w:val="left"/>
        <w:rPr>
          <w:rFonts w:ascii="仿宋_GB2312" w:eastAsia="仿宋_GB2312"/>
          <w:b/>
          <w:sz w:val="28"/>
          <w:szCs w:val="28"/>
        </w:rPr>
      </w:pPr>
      <w:r>
        <w:rPr>
          <w:rFonts w:hint="eastAsia" w:ascii="仿宋_GB2312" w:eastAsia="仿宋_GB2312"/>
          <w:b/>
          <w:sz w:val="28"/>
          <w:szCs w:val="28"/>
        </w:rPr>
        <w:t>六、运输包装、运输及验收</w:t>
      </w:r>
    </w:p>
    <w:p w14:paraId="771FDA05">
      <w:pPr>
        <w:spacing w:line="360" w:lineRule="auto"/>
        <w:ind w:firstLine="480" w:firstLineChars="200"/>
        <w:rPr>
          <w:rFonts w:ascii="仿宋_GB2312" w:hAnsi="宋体" w:eastAsia="仿宋_GB2312"/>
          <w:sz w:val="24"/>
        </w:rPr>
      </w:pPr>
      <w:r>
        <w:rPr>
          <w:rFonts w:hint="eastAsia" w:ascii="仿宋_GB2312" w:hAnsi="宋体" w:eastAsia="仿宋_GB2312"/>
          <w:sz w:val="24"/>
        </w:rPr>
        <w:t>5.1包装外部的标记应包括的内容有，产品名称、型号，数量，识别标志，出厂日期，制造厂名称，重量。</w:t>
      </w:r>
    </w:p>
    <w:p w14:paraId="622B2E08">
      <w:pPr>
        <w:spacing w:line="360" w:lineRule="auto"/>
        <w:ind w:firstLine="480" w:firstLineChars="200"/>
        <w:rPr>
          <w:rFonts w:ascii="仿宋_GB2312" w:hAnsi="宋体" w:eastAsia="仿宋_GB2312"/>
          <w:sz w:val="24"/>
        </w:rPr>
      </w:pPr>
      <w:r>
        <w:rPr>
          <w:rFonts w:hint="eastAsia" w:ascii="仿宋_GB2312" w:hAnsi="宋体" w:eastAsia="仿宋_GB2312"/>
          <w:sz w:val="24"/>
        </w:rPr>
        <w:t>5.2包装由乙方负责，并负责运送到甲方指定现场。在运输过程中乙方应提供足够的保护措施以防止运输过程中的造成的设备机械损伤。</w:t>
      </w:r>
    </w:p>
    <w:p w14:paraId="4B20985D">
      <w:pPr>
        <w:spacing w:line="360" w:lineRule="auto"/>
        <w:ind w:firstLine="480" w:firstLineChars="200"/>
        <w:rPr>
          <w:rFonts w:ascii="仿宋_GB2312" w:hAnsi="宋体" w:eastAsia="仿宋_GB2312"/>
          <w:sz w:val="24"/>
        </w:rPr>
      </w:pPr>
      <w:r>
        <w:rPr>
          <w:rFonts w:hint="eastAsia" w:ascii="仿宋_GB2312" w:hAnsi="宋体" w:eastAsia="仿宋_GB2312"/>
          <w:sz w:val="24"/>
        </w:rPr>
        <w:t>5.3设备到达甲方指定地点后，甲方对设备的质量、规格、数量等进行初步的检验，如发现不符可向乙方索赔，验收合格后双方签字确认。</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781229"/>
    <w:multiLevelType w:val="singleLevel"/>
    <w:tmpl w:val="97781229"/>
    <w:lvl w:ilvl="0" w:tentative="0">
      <w:start w:val="1"/>
      <w:numFmt w:val="chineseCounting"/>
      <w:suff w:val="nothing"/>
      <w:lvlText w:val="%1、"/>
      <w:lvlJc w:val="left"/>
      <w:rPr>
        <w:rFonts w:hint="eastAsia"/>
      </w:rPr>
    </w:lvl>
  </w:abstractNum>
  <w:abstractNum w:abstractNumId="1">
    <w:nsid w:val="2ED5B9A2"/>
    <w:multiLevelType w:val="singleLevel"/>
    <w:tmpl w:val="2ED5B9A2"/>
    <w:lvl w:ilvl="0" w:tentative="0">
      <w:start w:val="1"/>
      <w:numFmt w:val="decimal"/>
      <w:suff w:val="nothing"/>
      <w:lvlText w:val="%1、"/>
      <w:lvlJc w:val="left"/>
    </w:lvl>
  </w:abstractNum>
  <w:abstractNum w:abstractNumId="2">
    <w:nsid w:val="4F873AA2"/>
    <w:multiLevelType w:val="multilevel"/>
    <w:tmpl w:val="4F873AA2"/>
    <w:lvl w:ilvl="0" w:tentative="0">
      <w:start w:val="1"/>
      <w:numFmt w:val="decimal"/>
      <w:lvlText w:val="%1"/>
      <w:lvlJc w:val="left"/>
      <w:pPr>
        <w:tabs>
          <w:tab w:val="left" w:pos="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TQxN2NjZWRiZDYwMWVlMzNiMjVhODM1YTk1ZWQ0YmQifQ=="/>
  </w:docVars>
  <w:rsids>
    <w:rsidRoot w:val="00172A27"/>
    <w:rsid w:val="00031C58"/>
    <w:rsid w:val="000360D1"/>
    <w:rsid w:val="00065D7F"/>
    <w:rsid w:val="000719FC"/>
    <w:rsid w:val="000862B6"/>
    <w:rsid w:val="000864F0"/>
    <w:rsid w:val="0009078A"/>
    <w:rsid w:val="000A074D"/>
    <w:rsid w:val="000A263C"/>
    <w:rsid w:val="000A5D3E"/>
    <w:rsid w:val="000A65B9"/>
    <w:rsid w:val="000B2884"/>
    <w:rsid w:val="000B3443"/>
    <w:rsid w:val="000B7E85"/>
    <w:rsid w:val="000C296A"/>
    <w:rsid w:val="000C7D76"/>
    <w:rsid w:val="000D2C0C"/>
    <w:rsid w:val="000D60D3"/>
    <w:rsid w:val="000D6732"/>
    <w:rsid w:val="000F462A"/>
    <w:rsid w:val="0011533D"/>
    <w:rsid w:val="001256E8"/>
    <w:rsid w:val="00144A67"/>
    <w:rsid w:val="0016244A"/>
    <w:rsid w:val="00166E60"/>
    <w:rsid w:val="001703B5"/>
    <w:rsid w:val="00172A27"/>
    <w:rsid w:val="00186742"/>
    <w:rsid w:val="001A27C5"/>
    <w:rsid w:val="001B22ED"/>
    <w:rsid w:val="001C4D13"/>
    <w:rsid w:val="001C61C9"/>
    <w:rsid w:val="001D40B3"/>
    <w:rsid w:val="001E5D5B"/>
    <w:rsid w:val="001F4E3E"/>
    <w:rsid w:val="002059D6"/>
    <w:rsid w:val="0022118C"/>
    <w:rsid w:val="00223682"/>
    <w:rsid w:val="0022569A"/>
    <w:rsid w:val="00227BD6"/>
    <w:rsid w:val="00251D88"/>
    <w:rsid w:val="00257889"/>
    <w:rsid w:val="002666B8"/>
    <w:rsid w:val="00276588"/>
    <w:rsid w:val="002901C3"/>
    <w:rsid w:val="00294378"/>
    <w:rsid w:val="002A0B75"/>
    <w:rsid w:val="002B1F85"/>
    <w:rsid w:val="002F1A8F"/>
    <w:rsid w:val="002F3132"/>
    <w:rsid w:val="00300EF1"/>
    <w:rsid w:val="003337F3"/>
    <w:rsid w:val="00342088"/>
    <w:rsid w:val="0035204A"/>
    <w:rsid w:val="00361D10"/>
    <w:rsid w:val="00363744"/>
    <w:rsid w:val="0036757C"/>
    <w:rsid w:val="00371CFD"/>
    <w:rsid w:val="00372BFE"/>
    <w:rsid w:val="003734C2"/>
    <w:rsid w:val="00375959"/>
    <w:rsid w:val="0038408E"/>
    <w:rsid w:val="0038411E"/>
    <w:rsid w:val="00385DC5"/>
    <w:rsid w:val="003A294E"/>
    <w:rsid w:val="003A2C44"/>
    <w:rsid w:val="003A2DFB"/>
    <w:rsid w:val="003A7B93"/>
    <w:rsid w:val="003C5F7F"/>
    <w:rsid w:val="003E449D"/>
    <w:rsid w:val="003F1465"/>
    <w:rsid w:val="003F471F"/>
    <w:rsid w:val="00401E35"/>
    <w:rsid w:val="00402681"/>
    <w:rsid w:val="00406B39"/>
    <w:rsid w:val="004110C1"/>
    <w:rsid w:val="004163FA"/>
    <w:rsid w:val="00455EA0"/>
    <w:rsid w:val="0046766C"/>
    <w:rsid w:val="00477D39"/>
    <w:rsid w:val="00481713"/>
    <w:rsid w:val="004A1B0A"/>
    <w:rsid w:val="004A2194"/>
    <w:rsid w:val="004A362F"/>
    <w:rsid w:val="004A7F67"/>
    <w:rsid w:val="0050214D"/>
    <w:rsid w:val="00503AA7"/>
    <w:rsid w:val="005055CF"/>
    <w:rsid w:val="0051178F"/>
    <w:rsid w:val="005143DC"/>
    <w:rsid w:val="0054547C"/>
    <w:rsid w:val="00546E6E"/>
    <w:rsid w:val="005620CA"/>
    <w:rsid w:val="00584A77"/>
    <w:rsid w:val="00590762"/>
    <w:rsid w:val="005B0528"/>
    <w:rsid w:val="005B7D17"/>
    <w:rsid w:val="005C02FE"/>
    <w:rsid w:val="005D4487"/>
    <w:rsid w:val="005D58EC"/>
    <w:rsid w:val="00602925"/>
    <w:rsid w:val="00607EF7"/>
    <w:rsid w:val="00611080"/>
    <w:rsid w:val="00615B0E"/>
    <w:rsid w:val="00616E10"/>
    <w:rsid w:val="00634B4E"/>
    <w:rsid w:val="00670B57"/>
    <w:rsid w:val="00670F79"/>
    <w:rsid w:val="006713E5"/>
    <w:rsid w:val="00697E09"/>
    <w:rsid w:val="006A5BBD"/>
    <w:rsid w:val="006A71E5"/>
    <w:rsid w:val="006B33AB"/>
    <w:rsid w:val="006B559E"/>
    <w:rsid w:val="006C2CB4"/>
    <w:rsid w:val="006C56CE"/>
    <w:rsid w:val="006F37CE"/>
    <w:rsid w:val="006F7A24"/>
    <w:rsid w:val="007130F7"/>
    <w:rsid w:val="007207A3"/>
    <w:rsid w:val="007223FB"/>
    <w:rsid w:val="007237F7"/>
    <w:rsid w:val="00730675"/>
    <w:rsid w:val="0075525E"/>
    <w:rsid w:val="0078194F"/>
    <w:rsid w:val="00787576"/>
    <w:rsid w:val="00793E1A"/>
    <w:rsid w:val="007C2E25"/>
    <w:rsid w:val="007C4509"/>
    <w:rsid w:val="007C4C0F"/>
    <w:rsid w:val="007D43AB"/>
    <w:rsid w:val="007E046D"/>
    <w:rsid w:val="007F7A09"/>
    <w:rsid w:val="00803B71"/>
    <w:rsid w:val="00807B85"/>
    <w:rsid w:val="00815C81"/>
    <w:rsid w:val="00820546"/>
    <w:rsid w:val="008268A8"/>
    <w:rsid w:val="00831FF7"/>
    <w:rsid w:val="00833742"/>
    <w:rsid w:val="0086142A"/>
    <w:rsid w:val="00863453"/>
    <w:rsid w:val="00872717"/>
    <w:rsid w:val="008A7E69"/>
    <w:rsid w:val="008C3092"/>
    <w:rsid w:val="008C320B"/>
    <w:rsid w:val="008C661B"/>
    <w:rsid w:val="008D283A"/>
    <w:rsid w:val="00901537"/>
    <w:rsid w:val="00920387"/>
    <w:rsid w:val="009305A0"/>
    <w:rsid w:val="009545BF"/>
    <w:rsid w:val="009549EA"/>
    <w:rsid w:val="00973518"/>
    <w:rsid w:val="009906B1"/>
    <w:rsid w:val="009E26A1"/>
    <w:rsid w:val="009F0936"/>
    <w:rsid w:val="009F3447"/>
    <w:rsid w:val="00A06C71"/>
    <w:rsid w:val="00A41248"/>
    <w:rsid w:val="00A42E89"/>
    <w:rsid w:val="00A70820"/>
    <w:rsid w:val="00A72576"/>
    <w:rsid w:val="00A74D15"/>
    <w:rsid w:val="00A844D1"/>
    <w:rsid w:val="00A95AA6"/>
    <w:rsid w:val="00AA06B6"/>
    <w:rsid w:val="00AE3177"/>
    <w:rsid w:val="00AF0FFB"/>
    <w:rsid w:val="00AF546E"/>
    <w:rsid w:val="00B0170A"/>
    <w:rsid w:val="00B135AF"/>
    <w:rsid w:val="00B22460"/>
    <w:rsid w:val="00B22B31"/>
    <w:rsid w:val="00B23043"/>
    <w:rsid w:val="00B26719"/>
    <w:rsid w:val="00B504B3"/>
    <w:rsid w:val="00B5600C"/>
    <w:rsid w:val="00B66046"/>
    <w:rsid w:val="00B8743A"/>
    <w:rsid w:val="00B908A2"/>
    <w:rsid w:val="00B95444"/>
    <w:rsid w:val="00B978DD"/>
    <w:rsid w:val="00BB65E9"/>
    <w:rsid w:val="00BC0E71"/>
    <w:rsid w:val="00BC2F16"/>
    <w:rsid w:val="00BF2723"/>
    <w:rsid w:val="00BF449B"/>
    <w:rsid w:val="00BF54F3"/>
    <w:rsid w:val="00C20C18"/>
    <w:rsid w:val="00C43F4B"/>
    <w:rsid w:val="00C67C51"/>
    <w:rsid w:val="00C80579"/>
    <w:rsid w:val="00C84C42"/>
    <w:rsid w:val="00C8566E"/>
    <w:rsid w:val="00C8752A"/>
    <w:rsid w:val="00C93FD5"/>
    <w:rsid w:val="00CA01AE"/>
    <w:rsid w:val="00CB0658"/>
    <w:rsid w:val="00CB75D4"/>
    <w:rsid w:val="00CC296C"/>
    <w:rsid w:val="00CD0E94"/>
    <w:rsid w:val="00D16789"/>
    <w:rsid w:val="00D172A7"/>
    <w:rsid w:val="00D30719"/>
    <w:rsid w:val="00D45FFA"/>
    <w:rsid w:val="00D60251"/>
    <w:rsid w:val="00D71F2C"/>
    <w:rsid w:val="00D83066"/>
    <w:rsid w:val="00D95F3E"/>
    <w:rsid w:val="00DB0303"/>
    <w:rsid w:val="00DB5025"/>
    <w:rsid w:val="00DE272E"/>
    <w:rsid w:val="00DF4021"/>
    <w:rsid w:val="00DF6E96"/>
    <w:rsid w:val="00E05CC1"/>
    <w:rsid w:val="00E11858"/>
    <w:rsid w:val="00E4459A"/>
    <w:rsid w:val="00E51C0E"/>
    <w:rsid w:val="00E52B92"/>
    <w:rsid w:val="00E56271"/>
    <w:rsid w:val="00E73BAB"/>
    <w:rsid w:val="00E75B4C"/>
    <w:rsid w:val="00E84D02"/>
    <w:rsid w:val="00E9314A"/>
    <w:rsid w:val="00EA1240"/>
    <w:rsid w:val="00EA26A5"/>
    <w:rsid w:val="00EA73D7"/>
    <w:rsid w:val="00EB5F6D"/>
    <w:rsid w:val="00EC15EF"/>
    <w:rsid w:val="00EC3743"/>
    <w:rsid w:val="00EC6A8B"/>
    <w:rsid w:val="00ED044D"/>
    <w:rsid w:val="00ED0494"/>
    <w:rsid w:val="00ED3214"/>
    <w:rsid w:val="00EE1F09"/>
    <w:rsid w:val="00EE2034"/>
    <w:rsid w:val="00EF6A33"/>
    <w:rsid w:val="00F02A41"/>
    <w:rsid w:val="00F21E9E"/>
    <w:rsid w:val="00F30509"/>
    <w:rsid w:val="00F32C14"/>
    <w:rsid w:val="00F36DB0"/>
    <w:rsid w:val="00F439EA"/>
    <w:rsid w:val="00F50F5A"/>
    <w:rsid w:val="00F51955"/>
    <w:rsid w:val="00F65F78"/>
    <w:rsid w:val="00F83BCF"/>
    <w:rsid w:val="00F91EC1"/>
    <w:rsid w:val="00F950E5"/>
    <w:rsid w:val="00FB583B"/>
    <w:rsid w:val="00FC1F0A"/>
    <w:rsid w:val="00FD4247"/>
    <w:rsid w:val="00FD6C95"/>
    <w:rsid w:val="00FE0AF6"/>
    <w:rsid w:val="00FF443A"/>
    <w:rsid w:val="05094F9C"/>
    <w:rsid w:val="05964CD1"/>
    <w:rsid w:val="0E5E319D"/>
    <w:rsid w:val="14401878"/>
    <w:rsid w:val="2B8862E1"/>
    <w:rsid w:val="2E9E3436"/>
    <w:rsid w:val="3B077FD6"/>
    <w:rsid w:val="434A05ED"/>
    <w:rsid w:val="45633767"/>
    <w:rsid w:val="48EB07B8"/>
    <w:rsid w:val="4AE61EFD"/>
    <w:rsid w:val="5D703AA3"/>
    <w:rsid w:val="5E837E67"/>
    <w:rsid w:val="63F85AB2"/>
    <w:rsid w:val="6F211CA4"/>
    <w:rsid w:val="70663794"/>
    <w:rsid w:val="72D57CC0"/>
    <w:rsid w:val="75D40CC4"/>
    <w:rsid w:val="77113731"/>
    <w:rsid w:val="78F772BC"/>
    <w:rsid w:val="792654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21"/>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lang w:eastAsia="en-US"/>
    </w:rPr>
  </w:style>
  <w:style w:type="paragraph" w:styleId="4">
    <w:name w:val="Balloon Text"/>
    <w:basedOn w:val="1"/>
    <w:link w:val="17"/>
    <w:qFormat/>
    <w:uiPriority w:val="0"/>
    <w:rPr>
      <w:sz w:val="18"/>
      <w:szCs w:val="18"/>
    </w:rPr>
  </w:style>
  <w:style w:type="paragraph" w:styleId="5">
    <w:name w:val="footer"/>
    <w:basedOn w:val="1"/>
    <w:link w:val="16"/>
    <w:qFormat/>
    <w:uiPriority w:val="0"/>
    <w:pPr>
      <w:tabs>
        <w:tab w:val="center" w:pos="4153"/>
        <w:tab w:val="right" w:pos="8306"/>
      </w:tabs>
      <w:snapToGrid w:val="0"/>
      <w:jc w:val="left"/>
    </w:pPr>
    <w:rPr>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kinsoku w:val="0"/>
      <w:autoSpaceDE w:val="0"/>
      <w:autoSpaceDN w:val="0"/>
      <w:adjustRightInd w:val="0"/>
      <w:snapToGrid w:val="0"/>
      <w:spacing w:before="100" w:beforeAutospacing="1" w:after="100" w:afterAutospacing="1"/>
      <w:jc w:val="left"/>
      <w:textAlignment w:val="baseline"/>
    </w:pPr>
    <w:rPr>
      <w:rFonts w:ascii="宋体" w:hAnsi="宋体" w:cs="宋体"/>
      <w:snapToGrid w:val="0"/>
      <w:color w:val="000000"/>
      <w:kern w:val="0"/>
      <w:sz w:val="24"/>
      <w:szCs w:val="21"/>
    </w:rPr>
  </w:style>
  <w:style w:type="paragraph" w:styleId="8">
    <w:name w:val="Title"/>
    <w:basedOn w:val="1"/>
    <w:qFormat/>
    <w:uiPriority w:val="0"/>
    <w:pPr>
      <w:spacing w:line="360" w:lineRule="auto"/>
      <w:jc w:val="center"/>
    </w:pPr>
    <w:rPr>
      <w:rFonts w:eastAsia="黑体"/>
      <w:b/>
      <w:bCs/>
      <w:color w:val="000000"/>
      <w:sz w:val="36"/>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2">
    <w:name w:val="List Paragraph"/>
    <w:basedOn w:val="1"/>
    <w:qFormat/>
    <w:uiPriority w:val="34"/>
    <w:pPr>
      <w:ind w:firstLine="420" w:firstLineChars="200"/>
    </w:pPr>
  </w:style>
  <w:style w:type="paragraph" w:customStyle="1" w:styleId="13">
    <w:name w:val="_Style 20"/>
    <w:basedOn w:val="1"/>
    <w:next w:val="12"/>
    <w:qFormat/>
    <w:uiPriority w:val="34"/>
    <w:pPr>
      <w:ind w:firstLine="420" w:firstLineChars="200"/>
    </w:pPr>
  </w:style>
  <w:style w:type="paragraph" w:customStyle="1" w:styleId="14">
    <w:name w:val="Default"/>
    <w:unhideWhenUsed/>
    <w:qFormat/>
    <w:uiPriority w:val="99"/>
    <w:pPr>
      <w:widowControl w:val="0"/>
      <w:autoSpaceDE w:val="0"/>
      <w:autoSpaceDN w:val="0"/>
      <w:adjustRightInd w:val="0"/>
    </w:pPr>
    <w:rPr>
      <w:rFonts w:hint="eastAsia" w:ascii="宋体" w:hAnsi="宋体" w:eastAsia="宋体" w:cstheme="minorBidi"/>
      <w:color w:val="000000"/>
      <w:sz w:val="24"/>
      <w:szCs w:val="24"/>
      <w:lang w:val="en-US" w:eastAsia="zh-CN" w:bidi="ar-SA"/>
    </w:rPr>
  </w:style>
  <w:style w:type="character" w:customStyle="1" w:styleId="15">
    <w:name w:val="页眉 Char"/>
    <w:basedOn w:val="11"/>
    <w:link w:val="6"/>
    <w:qFormat/>
    <w:uiPriority w:val="0"/>
    <w:rPr>
      <w:rFonts w:ascii="Times New Roman" w:hAnsi="Times New Roman" w:eastAsia="宋体" w:cs="Times New Roman"/>
      <w:kern w:val="2"/>
      <w:sz w:val="18"/>
      <w:szCs w:val="18"/>
    </w:rPr>
  </w:style>
  <w:style w:type="character" w:customStyle="1" w:styleId="16">
    <w:name w:val="页脚 Char"/>
    <w:basedOn w:val="11"/>
    <w:link w:val="5"/>
    <w:qFormat/>
    <w:uiPriority w:val="0"/>
    <w:rPr>
      <w:rFonts w:ascii="Times New Roman" w:hAnsi="Times New Roman" w:eastAsia="宋体" w:cs="Times New Roman"/>
      <w:kern w:val="2"/>
      <w:sz w:val="18"/>
      <w:szCs w:val="18"/>
    </w:rPr>
  </w:style>
  <w:style w:type="character" w:customStyle="1" w:styleId="17">
    <w:name w:val="批注框文本 Char"/>
    <w:basedOn w:val="11"/>
    <w:link w:val="4"/>
    <w:qFormat/>
    <w:uiPriority w:val="0"/>
    <w:rPr>
      <w:rFonts w:ascii="Times New Roman" w:hAnsi="Times New Roman" w:eastAsia="宋体" w:cs="Times New Roman"/>
      <w:kern w:val="2"/>
      <w:sz w:val="18"/>
      <w:szCs w:val="18"/>
    </w:rPr>
  </w:style>
  <w:style w:type="paragraph" w:customStyle="1" w:styleId="18">
    <w:name w:val="_Style 2"/>
    <w:basedOn w:val="1"/>
    <w:qFormat/>
    <w:uiPriority w:val="0"/>
    <w:pPr>
      <w:adjustRightInd w:val="0"/>
      <w:ind w:firstLine="420" w:firstLineChars="200"/>
      <w:jc w:val="left"/>
      <w:textAlignment w:val="baseline"/>
    </w:pPr>
    <w:rPr>
      <w:kern w:val="0"/>
      <w:szCs w:val="20"/>
    </w:rPr>
  </w:style>
  <w:style w:type="character" w:customStyle="1" w:styleId="19">
    <w:name w:val="font01"/>
    <w:basedOn w:val="11"/>
    <w:qFormat/>
    <w:uiPriority w:val="0"/>
    <w:rPr>
      <w:rFonts w:hint="eastAsia" w:ascii="宋体" w:hAnsi="宋体" w:eastAsia="宋体" w:cs="宋体"/>
      <w:color w:val="000000"/>
      <w:sz w:val="22"/>
      <w:szCs w:val="22"/>
      <w:u w:val="none"/>
    </w:rPr>
  </w:style>
  <w:style w:type="table" w:customStyle="1" w:styleId="20">
    <w:name w:val="Table Normal"/>
    <w:unhideWhenUsed/>
    <w:qFormat/>
    <w:uiPriority w:val="0"/>
    <w:pPr>
      <w:spacing w:after="160" w:line="278" w:lineRule="auto"/>
    </w:pPr>
    <w:tblPr>
      <w:tblCellMar>
        <w:top w:w="0" w:type="dxa"/>
        <w:left w:w="0" w:type="dxa"/>
        <w:bottom w:w="0" w:type="dxa"/>
        <w:right w:w="0" w:type="dxa"/>
      </w:tblCellMar>
    </w:tblPr>
  </w:style>
  <w:style w:type="character" w:customStyle="1" w:styleId="21">
    <w:name w:val="正文文本 Char"/>
    <w:basedOn w:val="11"/>
    <w:link w:val="3"/>
    <w:qFormat/>
    <w:uiPriority w:val="0"/>
    <w:rPr>
      <w:rFonts w:ascii="Arial" w:hAnsi="Arial" w:eastAsia="Arial" w:cs="Arial"/>
      <w:snapToGrid w:val="0"/>
      <w:color w:val="000000"/>
      <w:sz w:val="21"/>
      <w:szCs w:val="21"/>
      <w:lang w:eastAsia="en-US"/>
    </w:rPr>
  </w:style>
  <w:style w:type="paragraph" w:customStyle="1" w:styleId="22">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24"/>
      <w:lang w:eastAsia="en-US"/>
    </w:rPr>
  </w:style>
  <w:style w:type="paragraph" w:customStyle="1" w:styleId="23">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7</Pages>
  <Words>196</Words>
  <Characters>214</Characters>
  <Lines>38</Lines>
  <Paragraphs>10</Paragraphs>
  <TotalTime>0</TotalTime>
  <ScaleCrop>false</ScaleCrop>
  <LinksUpToDate>false</LinksUpToDate>
  <CharactersWithSpaces>214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2026-05-19T06:36:00Z</dcterms:created>
  <dc:creator>qybai</dc:creator>
  <cp:lastModifiedBy>GM9</cp:lastModifiedBy>
  <cp:lastPrinted>2023-04-28T07:26:00Z</cp:lastPrinted>
  <dcterms:modified xsi:type="dcterms:W3CDTF">2026-06-03T02:12:49Z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98853AEF1B9447C5B94C2ABA5F50FB05</vt:lpwstr>
  </property>
  <property fmtid="{D5CDD505-2E9C-101B-9397-08002B2CF9AE}" pid="4" name="KSOTemplateDocerSaveRecord">
    <vt:lpwstr>eyJoZGlkIjoiNGYwZDdhODNlMmM3NjQ3OGUyNjYwYTRmNmIzZTYzMjQiLCJ1c2VySWQiOiIxNTY4NzkzMDYxIn0=</vt:lpwstr>
  </property>
</Properties>
</file>