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0939DF31">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700F47C0">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沸腾床渣油加氢装置膜分离3台高压磁浮子液位计维修</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FAP1-CGSQ-202606-003</w:t>
      </w:r>
      <w:r>
        <w:rPr>
          <w:color w:val="000000" w:themeColor="text1"/>
          <w:sz w:val="28"/>
          <w:szCs w:val="28"/>
          <w:u w:val="single"/>
        </w:rPr>
        <w:t xml:space="preserve"> </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7D371813">
      <w:pPr>
        <w:jc w:val="center"/>
        <w:rPr>
          <w:rFonts w:hint="eastAsia"/>
          <w:b/>
          <w:bCs/>
          <w:sz w:val="32"/>
          <w:lang w:eastAsia="zh-CN"/>
        </w:rPr>
      </w:pPr>
      <w:r>
        <w:rPr>
          <w:rFonts w:hint="eastAsia"/>
          <w:b/>
          <w:bCs/>
          <w:sz w:val="32"/>
          <w:lang w:eastAsia="zh-CN"/>
        </w:rPr>
        <w:t>福建福海创石油化工有限公司</w:t>
      </w:r>
    </w:p>
    <w:p w14:paraId="69299382">
      <w:pPr>
        <w:jc w:val="center"/>
        <w:rPr>
          <w:rFonts w:hint="eastAsia"/>
          <w:b/>
          <w:bCs/>
          <w:sz w:val="32"/>
          <w:lang w:eastAsia="zh-CN"/>
        </w:rPr>
      </w:pPr>
      <w:r>
        <w:rPr>
          <w:rFonts w:hint="eastAsia"/>
          <w:b/>
          <w:bCs/>
          <w:sz w:val="32"/>
          <w:lang w:eastAsia="zh-CN"/>
        </w:rPr>
        <w:t>沸腾床渣油加氢装置膜分离3台高压磁浮子液位计维修</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福建福海创石油化工有限公司沸腾床渣油加氢装置膜分离3台高压磁浮子液位计维修（项目编号：FAP1-CGSQ-202606-003）</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C45BC9F">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1.项目名称：福建福海创石油化工有限公司沸腾床渣油加氢装置膜分离3台高压磁浮子液位计维修</w:t>
      </w:r>
    </w:p>
    <w:p w14:paraId="6D9E0F83">
      <w:pPr>
        <w:pStyle w:val="21"/>
        <w:spacing w:before="26" w:line="360" w:lineRule="auto"/>
        <w:ind w:right="121" w:firstLine="480" w:firstLineChars="200"/>
        <w:jc w:val="both"/>
        <w:rPr>
          <w:rFonts w:hint="eastAsia"/>
          <w:lang w:eastAsia="zh-CN"/>
        </w:rPr>
      </w:pPr>
      <w:r>
        <w:rPr>
          <w:rFonts w:hint="eastAsia"/>
          <w:lang w:eastAsia="zh-CN"/>
        </w:rPr>
        <w:t>2.采购项目简要说明：福建福海创石油化工有限公司沸腾床渣油加氢装置膜分离3台高压磁浮子液位计维修，</w:t>
      </w:r>
      <w:r>
        <w:rPr>
          <w:rFonts w:hint="eastAsia"/>
          <w:lang w:val="en-US" w:eastAsia="zh-CN"/>
        </w:rPr>
        <w:t>乙方</w:t>
      </w:r>
      <w:r>
        <w:rPr>
          <w:rFonts w:hint="eastAsia"/>
          <w:lang w:eastAsia="zh-CN"/>
        </w:rPr>
        <w:t>负责将3台液位计从</w:t>
      </w:r>
      <w:r>
        <w:rPr>
          <w:rFonts w:hint="eastAsia"/>
          <w:lang w:val="en-US" w:eastAsia="zh-CN"/>
        </w:rPr>
        <w:t>甲方</w:t>
      </w:r>
      <w:r>
        <w:rPr>
          <w:rFonts w:hint="eastAsia"/>
          <w:lang w:eastAsia="zh-CN"/>
        </w:rPr>
        <w:t>现场安全运至维修工厂，维修完成后再运回现场。包装须满足精密高压仪表的防护要求（防震、防潮、防尘、固定可靠）。运输过程中的损失、损坏、延误等均由</w:t>
      </w:r>
      <w:r>
        <w:rPr>
          <w:rFonts w:hint="eastAsia"/>
          <w:lang w:val="en-US" w:eastAsia="zh-CN"/>
        </w:rPr>
        <w:t>乙方</w:t>
      </w:r>
      <w:r>
        <w:rPr>
          <w:rFonts w:hint="eastAsia"/>
          <w:lang w:eastAsia="zh-CN"/>
        </w:rPr>
        <w:t>承担。</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w:t>
      </w:r>
      <w:r>
        <w:rPr>
          <w:rFonts w:hint="eastAsia"/>
          <w:lang w:val="en-US" w:eastAsia="zh-CN"/>
        </w:rPr>
        <w:t>80000元（含13%增值税）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要求：全部维修、检测、包装及运输工作完成，设备返回到</w:t>
      </w:r>
      <w:r>
        <w:rPr>
          <w:rFonts w:hint="eastAsia"/>
          <w:lang w:val="en-US" w:eastAsia="zh-CN"/>
        </w:rPr>
        <w:t>甲方</w:t>
      </w:r>
      <w:r>
        <w:rPr>
          <w:rFonts w:hint="eastAsia"/>
          <w:lang w:eastAsia="zh-CN"/>
        </w:rPr>
        <w:t>现场的</w:t>
      </w:r>
      <w:r>
        <w:rPr>
          <w:rFonts w:hint="eastAsia"/>
          <w:lang w:val="en-US" w:eastAsia="zh-CN"/>
        </w:rPr>
        <w:t>时间不晚于合同签订且液位计具体下线条件后6周</w:t>
      </w:r>
      <w:r>
        <w:rPr>
          <w:rFonts w:hint="eastAsia"/>
          <w:lang w:eastAsia="zh-CN"/>
        </w:rPr>
        <w:t>。</w:t>
      </w:r>
      <w:r>
        <w:rPr>
          <w:rFonts w:hint="eastAsia"/>
          <w:lang w:val="en-US" w:eastAsia="zh-CN"/>
        </w:rPr>
        <w:t xml:space="preserve">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167D0C1">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2.最终维修单位须为WIKA（威卡）原厂维修中心，参比人须为WIKA原厂或WIKA正式授权的代理商。</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福建福海创石油化工有限公司沸腾床渣油加氢装置膜分离3台高压磁浮子液位计维修（项目编号：FAP1-CGSQ-202606-003）的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6674460">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福建福海创石油化工有限公司沸腾床渣油加氢装置膜分离3台高压磁浮子液位计维修</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含税总价包干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发包技术要求</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eastAsia="宋体"/>
          <w:color w:val="FF0000"/>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 xml:space="preserve">曾志鑫 </w:t>
      </w:r>
      <w:r>
        <w:rPr>
          <w:lang w:eastAsia="zh-CN"/>
        </w:rPr>
        <w:t>0596-6311164</w:t>
      </w:r>
      <w:r>
        <w:rPr>
          <w:rFonts w:hint="eastAsia"/>
          <w:lang w:eastAsia="zh-CN"/>
        </w:rPr>
        <w:t>，</w:t>
      </w:r>
      <w:r>
        <w:rPr>
          <w:lang w:eastAsia="zh-CN"/>
        </w:rPr>
        <w:t>15759696592</w:t>
      </w:r>
      <w:r>
        <w:rPr>
          <w:rFonts w:hint="eastAsia"/>
          <w:lang w:eastAsia="zh-CN"/>
        </w:rPr>
        <w:t>，</w:t>
      </w:r>
      <w:r>
        <w:rPr>
          <w:lang w:eastAsia="zh-CN"/>
        </w:rPr>
        <w:t>zxzeng</w:t>
      </w:r>
      <w:r>
        <w:rPr>
          <w:rFonts w:hint="eastAsia"/>
          <w:lang w:eastAsia="zh-CN"/>
        </w:rPr>
        <w:t>@fhcpec.com.cn</w:t>
      </w:r>
      <w:r>
        <w:rPr>
          <w:rFonts w:hint="default"/>
          <w:lang w:eastAsia="zh-CN"/>
        </w:rPr>
        <w:t> </w:t>
      </w:r>
      <w:r>
        <w:rPr>
          <w:rFonts w:hint="eastAsia"/>
          <w:lang w:eastAsia="zh-CN"/>
        </w:rPr>
        <w:t xml:space="preserve">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59FC611E">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18939D2C">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2.最终维修单位须为WIKA（威卡）原厂维修中心，参比人须为WIKA原厂或WIKA正式授权的代理商。</w:t>
      </w:r>
    </w:p>
    <w:p w14:paraId="56F8C88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6DF01C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4</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不设置</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26</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color w:val="000000" w:themeColor="text1"/>
          <w:lang w:eastAsia="zh-CN"/>
        </w:rPr>
        <w:t>/3921639</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default"/>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、授权文件等；</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w:t>
      </w:r>
      <w:r>
        <w:rPr>
          <w:rFonts w:hint="eastAsia" w:cs="宋体"/>
          <w:b/>
          <w:color w:val="000000" w:themeColor="text1"/>
          <w:lang w:val="en-US" w:eastAsia="zh-CN"/>
        </w:rPr>
        <w:t>80000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设备维修</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6EC784C0">
      <w:pPr>
        <w:pStyle w:val="211"/>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rPr>
        <w:t>福建福海创石油化工有限公司</w:t>
      </w:r>
    </w:p>
    <w:p w14:paraId="723CA87D">
      <w:pPr>
        <w:pStyle w:val="211"/>
        <w:jc w:val="center"/>
        <w:rPr>
          <w:rFonts w:hint="eastAsia" w:ascii="宋体" w:hAnsi="宋体" w:eastAsia="宋体" w:cs="宋体"/>
        </w:rPr>
      </w:pPr>
      <w:r>
        <w:rPr>
          <w:rFonts w:hint="eastAsia" w:ascii="宋体" w:hAnsi="宋体" w:eastAsia="宋体" w:cs="宋体"/>
          <w:b/>
          <w:sz w:val="44"/>
          <w:szCs w:val="44"/>
          <w:highlight w:val="none"/>
        </w:rPr>
        <w:t>沸腾床渣油加氢装置膜分离3台高压磁浮子液位计维修</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719F1224">
      <w:pPr>
        <w:spacing w:line="360" w:lineRule="auto"/>
        <w:ind w:firstLine="540" w:firstLineChars="225"/>
        <w:rPr>
          <w:sz w:val="24"/>
          <w:lang w:eastAsia="zh-CN"/>
        </w:rPr>
      </w:pPr>
      <w:r>
        <w:rPr>
          <w:rFonts w:hint="eastAsia"/>
          <w:sz w:val="24"/>
          <w:lang w:eastAsia="zh-CN"/>
        </w:rPr>
        <w:t>根据《中华人民共和国民法典》等有关规定，就甲方委托乙方维修</w:t>
      </w:r>
      <w:r>
        <w:rPr>
          <w:rFonts w:hint="eastAsia"/>
          <w:sz w:val="24"/>
          <w:u w:val="single"/>
          <w:lang w:eastAsia="zh-CN"/>
        </w:rPr>
        <w:t xml:space="preserve"> 沸腾床渣油加氢装置膜分离3台高压磁浮子液位计</w:t>
      </w:r>
      <w:r>
        <w:rPr>
          <w:rFonts w:hint="eastAsia"/>
          <w:sz w:val="24"/>
          <w:lang w:eastAsia="zh-CN"/>
        </w:rPr>
        <w:t>相关事宜，甲乙双方在公平合理、互利互惠的基础上，经平等、友好、充分协商一致，签订本合同。</w:t>
      </w:r>
    </w:p>
    <w:p w14:paraId="26D2436F">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4E3DD708">
      <w:pPr>
        <w:numPr>
          <w:ilvl w:val="0"/>
          <w:numId w:val="8"/>
        </w:numPr>
        <w:spacing w:line="360" w:lineRule="auto"/>
        <w:rPr>
          <w:rFonts w:hint="eastAsia"/>
          <w:b/>
          <w:sz w:val="24"/>
          <w:lang w:val="en-US" w:eastAsia="zh-CN"/>
        </w:rPr>
      </w:pPr>
      <w:r>
        <w:rPr>
          <w:rFonts w:hint="eastAsia"/>
          <w:b/>
          <w:sz w:val="24"/>
          <w:lang w:val="en-US" w:eastAsia="zh-CN"/>
        </w:rPr>
        <w:t>合同价格</w:t>
      </w:r>
    </w:p>
    <w:p w14:paraId="2E830EE0">
      <w:pPr>
        <w:pStyle w:val="4"/>
        <w:numPr>
          <w:numId w:val="0"/>
        </w:numPr>
        <w:rPr>
          <w:rFonts w:hint="default" w:ascii="宋体" w:hAnsi="宋体" w:eastAsia="宋体" w:cs="宋体"/>
          <w:color w:val="000000"/>
          <w:sz w:val="24"/>
          <w:szCs w:val="22"/>
          <w:lang w:val="en-US" w:eastAsia="zh-CN" w:bidi="ar-SA"/>
        </w:rPr>
      </w:pPr>
      <w:r>
        <w:rPr>
          <w:rFonts w:hint="eastAsia" w:hAnsi="宋体" w:cs="宋体"/>
          <w:color w:val="000000"/>
          <w:sz w:val="24"/>
          <w:szCs w:val="22"/>
          <w:lang w:val="en-US" w:eastAsia="zh-CN" w:bidi="ar-SA"/>
        </w:rPr>
        <w:t xml:space="preserve">   本合同维修总价款为：人民币</w:t>
      </w:r>
      <w:r>
        <w:rPr>
          <w:rFonts w:hint="eastAsia" w:hAnsi="宋体" w:cs="宋体"/>
          <w:color w:val="000000"/>
          <w:sz w:val="24"/>
          <w:szCs w:val="22"/>
          <w:u w:val="single"/>
          <w:lang w:val="en-US" w:eastAsia="zh-CN" w:bidi="ar-SA"/>
        </w:rPr>
        <w:t xml:space="preserve">   </w:t>
      </w:r>
      <w:r>
        <w:rPr>
          <w:rFonts w:hint="eastAsia" w:hAnsi="宋体" w:cs="宋体"/>
          <w:color w:val="000000"/>
          <w:sz w:val="24"/>
          <w:szCs w:val="22"/>
          <w:lang w:val="en-US" w:eastAsia="zh-CN" w:bidi="ar-SA"/>
        </w:rPr>
        <w:t>元（含13%增值税），不含税金额为：</w:t>
      </w:r>
      <w:r>
        <w:rPr>
          <w:rFonts w:hint="eastAsia" w:hAnsi="宋体" w:cs="宋体"/>
          <w:color w:val="000000"/>
          <w:sz w:val="24"/>
          <w:szCs w:val="22"/>
          <w:u w:val="single"/>
          <w:lang w:val="en-US" w:eastAsia="zh-CN" w:bidi="ar-SA"/>
        </w:rPr>
        <w:t xml:space="preserve">   </w:t>
      </w:r>
      <w:r>
        <w:rPr>
          <w:rFonts w:hint="eastAsia" w:hAnsi="宋体" w:cs="宋体"/>
          <w:color w:val="000000"/>
          <w:sz w:val="24"/>
          <w:szCs w:val="22"/>
          <w:lang w:val="en-US" w:eastAsia="zh-CN" w:bidi="ar-SA"/>
        </w:rPr>
        <w:t>元。</w:t>
      </w:r>
    </w:p>
    <w:p w14:paraId="73C89A76">
      <w:pPr>
        <w:spacing w:line="360" w:lineRule="auto"/>
        <w:ind w:firstLine="540" w:firstLineChars="225"/>
        <w:rPr>
          <w:rFonts w:hint="eastAsia"/>
          <w:sz w:val="24"/>
          <w:lang w:eastAsia="zh-CN"/>
        </w:rPr>
      </w:pPr>
      <w:r>
        <w:rPr>
          <w:rFonts w:hint="eastAsia"/>
          <w:sz w:val="24"/>
          <w:lang w:eastAsia="zh-CN"/>
        </w:rPr>
        <w:t>本合同的设备维修保养及调试服务费</w:t>
      </w:r>
      <w:r>
        <w:rPr>
          <w:rFonts w:hint="eastAsia"/>
          <w:sz w:val="24"/>
          <w:lang w:eastAsia="zh-CN"/>
        </w:rPr>
        <w:t>包括乙方工作涉及到的所有税费、配件费、劳务费、管理费、工具费、劳保费、各种保险、安全费用、利润、食宿费、加班费、饮用水、办公费、运输费、耗材费及合同涉及到的所有风险、责任、义务等费用，除非另有约定，甲方不再承担其他费用。若检测发现超出允许范围的缺陷，</w:t>
      </w:r>
      <w:r>
        <w:rPr>
          <w:rFonts w:hint="eastAsia"/>
          <w:sz w:val="24"/>
          <w:lang w:val="en-US" w:eastAsia="zh-CN"/>
        </w:rPr>
        <w:t>乙方</w:t>
      </w:r>
      <w:r>
        <w:rPr>
          <w:rFonts w:hint="eastAsia"/>
          <w:sz w:val="24"/>
          <w:lang w:eastAsia="zh-CN"/>
        </w:rPr>
        <w:t>须书面提交处理方案并征得</w:t>
      </w:r>
      <w:r>
        <w:rPr>
          <w:rFonts w:hint="eastAsia"/>
          <w:sz w:val="24"/>
          <w:lang w:val="en-US" w:eastAsia="zh-CN"/>
        </w:rPr>
        <w:t>甲方</w:t>
      </w:r>
      <w:r>
        <w:rPr>
          <w:rFonts w:hint="eastAsia"/>
          <w:sz w:val="24"/>
          <w:lang w:eastAsia="zh-CN"/>
        </w:rPr>
        <w:t>同意后方可继续维修。</w:t>
      </w:r>
    </w:p>
    <w:p w14:paraId="7E4CD2E6">
      <w:pPr>
        <w:tabs>
          <w:tab w:val="left" w:pos="1080"/>
        </w:tabs>
        <w:spacing w:line="360" w:lineRule="auto"/>
        <w:ind w:firstLine="118" w:firstLineChars="49"/>
        <w:rPr>
          <w:b/>
          <w:sz w:val="24"/>
          <w:lang w:eastAsia="zh-CN"/>
        </w:rPr>
      </w:pPr>
      <w:r>
        <w:rPr>
          <w:rFonts w:hint="eastAsia"/>
          <w:b/>
          <w:sz w:val="24"/>
          <w:lang w:eastAsia="zh-CN"/>
        </w:rPr>
        <w:t>二、服务标准及操作要求</w:t>
      </w:r>
    </w:p>
    <w:p w14:paraId="4ACCC59F">
      <w:pPr>
        <w:widowControl/>
        <w:spacing w:line="360" w:lineRule="auto"/>
        <w:ind w:firstLine="480" w:firstLineChars="200"/>
        <w:rPr>
          <w:rFonts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、维修方式、地点：</w:t>
      </w:r>
      <w:r>
        <w:rPr>
          <w:rFonts w:hint="eastAsia"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val="en-US" w:eastAsia="zh-CN"/>
        </w:rPr>
        <w:t xml:space="preserve">甲方工厂及WIKA（威卡）原厂维修中心      </w:t>
      </w:r>
    </w:p>
    <w:p w14:paraId="19622CE4">
      <w:pPr>
        <w:pStyle w:val="21"/>
        <w:spacing w:before="26" w:line="360" w:lineRule="auto"/>
        <w:ind w:right="121" w:firstLine="480" w:firstLineChars="200"/>
        <w:jc w:val="both"/>
        <w:rPr>
          <w:rFonts w:hint="eastAsia"/>
          <w:lang w:eastAsia="zh-CN"/>
        </w:rPr>
      </w:pPr>
      <w:r>
        <w:rPr>
          <w:rFonts w:hint="eastAsia" w:cs="Arial" w:asciiTheme="minorEastAsia" w:hAnsiTheme="minorEastAsia" w:eastAsiaTheme="minorEastAsia"/>
          <w:sz w:val="24"/>
          <w:lang w:eastAsia="zh-CN"/>
        </w:rPr>
        <w:t>2、维修期限：</w:t>
      </w:r>
      <w:r>
        <w:rPr>
          <w:rFonts w:hint="eastAsia" w:cs="Arial" w:asciiTheme="minorEastAsia" w:hAnsiTheme="minorEastAsia" w:eastAsiaTheme="minorEastAsia"/>
          <w:sz w:val="24"/>
          <w:szCs w:val="22"/>
          <w:u w:val="single"/>
          <w:lang w:val="en-US" w:eastAsia="zh-CN" w:bidi="ar-SA"/>
        </w:rPr>
        <w:t>全部维修、检测、包装及运输工作完成，设备返回到甲方现场的时间不晚于合同签订且液位计具体下线条件后6周。</w:t>
      </w:r>
      <w:r>
        <w:rPr>
          <w:rFonts w:hint="eastAsia"/>
          <w:lang w:val="en-US" w:eastAsia="zh-CN"/>
        </w:rPr>
        <w:t xml:space="preserve"> </w:t>
      </w:r>
    </w:p>
    <w:p w14:paraId="60B60DD4">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3、设备维修的质量要求、技术标准：</w:t>
      </w:r>
      <w:r>
        <w:rPr>
          <w:rFonts w:cs="Arial" w:asciiTheme="minorEastAsia" w:hAnsiTheme="minorEastAsia" w:eastAsiaTheme="minorEastAsia"/>
          <w:sz w:val="24"/>
          <w:lang w:eastAsia="zh-CN"/>
        </w:rPr>
        <w:t xml:space="preserve"> </w:t>
      </w:r>
    </w:p>
    <w:p w14:paraId="45DA804E">
      <w:pPr>
        <w:widowControl/>
        <w:spacing w:line="360" w:lineRule="auto"/>
        <w:ind w:firstLine="360" w:firstLineChars="15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14:paraId="36103547">
      <w:pPr>
        <w:adjustRightInd w:val="0"/>
        <w:spacing w:line="360" w:lineRule="auto"/>
        <w:ind w:firstLine="480" w:firstLineChars="200"/>
        <w:rPr>
          <w:rFonts w:asciiTheme="minorEastAsia" w:hAnsiTheme="minorEastAsia" w:eastAsiaTheme="minorEastAsia"/>
          <w:sz w:val="24"/>
          <w:lang w:eastAsia="zh-CN"/>
        </w:rPr>
      </w:pPr>
      <w:r>
        <w:rPr>
          <w:rFonts w:hint="eastAsia" w:cs="Arial" w:asciiTheme="minorEastAsia" w:hAnsiTheme="minorEastAsia" w:eastAsiaTheme="minorEastAsia"/>
          <w:sz w:val="24"/>
          <w:lang w:eastAsia="zh-CN"/>
        </w:rPr>
        <w:t>4、验收标准及方法：设备维修后，各项指标应达到国家及行业标准。</w:t>
      </w:r>
      <w:r>
        <w:rPr>
          <w:rFonts w:hint="eastAsia" w:asciiTheme="minorEastAsia" w:hAnsiTheme="minorEastAsia" w:eastAsiaTheme="minorEastAsia"/>
          <w:sz w:val="24"/>
          <w:lang w:eastAsia="zh-CN"/>
        </w:rPr>
        <w:t>确保甲方设备安全、正常运行。具体以技术</w:t>
      </w:r>
      <w:r>
        <w:rPr>
          <w:rFonts w:hint="eastAsia" w:asciiTheme="minorEastAsia" w:hAnsiTheme="minorEastAsia" w:eastAsiaTheme="minorEastAsia"/>
          <w:sz w:val="24"/>
          <w:lang w:val="en-US" w:eastAsia="zh-CN"/>
        </w:rPr>
        <w:t>要求</w:t>
      </w:r>
      <w:r>
        <w:rPr>
          <w:rFonts w:hint="eastAsia" w:asciiTheme="minorEastAsia" w:hAnsiTheme="minorEastAsia" w:eastAsiaTheme="minorEastAsia"/>
          <w:sz w:val="24"/>
          <w:lang w:eastAsia="zh-CN"/>
        </w:rPr>
        <w:t>为准。</w:t>
      </w:r>
    </w:p>
    <w:p w14:paraId="16D0AC3C">
      <w:pPr>
        <w:adjustRightInd w:val="0"/>
        <w:spacing w:line="360" w:lineRule="auto"/>
        <w:ind w:firstLine="440" w:firstLineChars="200"/>
        <w:rPr>
          <w:rFonts w:asciiTheme="minorEastAsia" w:hAnsiTheme="minorEastAsia" w:eastAsiaTheme="minorEastAsia"/>
          <w:sz w:val="24"/>
          <w:u w:val="single"/>
          <w:lang w:eastAsia="zh-CN"/>
        </w:rPr>
      </w:pPr>
      <w:r>
        <w:rPr>
          <w:rFonts w:hint="eastAsia"/>
          <w:lang w:eastAsia="zh-CN"/>
        </w:rPr>
        <w:t xml:space="preserve">   </w:t>
      </w:r>
      <w:r>
        <w:rPr>
          <w:rFonts w:hint="eastAsia" w:cs="Arial" w:asciiTheme="minorEastAsia" w:hAnsiTheme="minorEastAsia" w:eastAsiaTheme="minorEastAsia"/>
          <w:sz w:val="24"/>
          <w:lang w:eastAsia="zh-CN"/>
        </w:rPr>
        <w:t>验收地点：</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甲方现场，液位计现场安装、投运后，连续稳定运行72小时无异常（包括液位指示准确、无泄漏、无卡滞）。</w:t>
      </w:r>
    </w:p>
    <w:p w14:paraId="6031A90B">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14:paraId="3B3EC6E4">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14:paraId="33AC589B">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14:paraId="0532EE54">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14:paraId="6257639B">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14:paraId="522A19C1">
      <w:pPr>
        <w:spacing w:before="240" w:line="360" w:lineRule="auto"/>
        <w:rPr>
          <w:b/>
          <w:sz w:val="24"/>
          <w:lang w:eastAsia="zh-CN"/>
        </w:rPr>
      </w:pPr>
      <w:r>
        <w:rPr>
          <w:rFonts w:hint="eastAsia"/>
          <w:b/>
          <w:sz w:val="24"/>
          <w:lang w:eastAsia="zh-CN"/>
        </w:rPr>
        <w:t>三、费用结算方式及支付期限</w:t>
      </w:r>
    </w:p>
    <w:p w14:paraId="7CE95525">
      <w:pPr>
        <w:tabs>
          <w:tab w:val="left" w:pos="1080"/>
        </w:tabs>
        <w:spacing w:line="360" w:lineRule="auto"/>
        <w:ind w:firstLine="480" w:firstLineChars="200"/>
        <w:rPr>
          <w:sz w:val="24"/>
          <w:lang w:eastAsia="zh-CN"/>
        </w:rPr>
      </w:pPr>
      <w:r>
        <w:rPr>
          <w:rFonts w:hint="eastAsia"/>
          <w:sz w:val="24"/>
          <w:lang w:eastAsia="zh-CN"/>
        </w:rPr>
        <w:t>1、设备维修完成，且经甲方验收合格后，乙方提供全额本合同总价税率为</w:t>
      </w:r>
      <w:r>
        <w:rPr>
          <w:rFonts w:hint="eastAsia"/>
          <w:sz w:val="24"/>
          <w:u w:val="single"/>
          <w:lang w:val="en-US" w:eastAsia="zh-CN"/>
        </w:rPr>
        <w:t>13</w:t>
      </w:r>
      <w:r>
        <w:rPr>
          <w:rFonts w:hint="eastAsia"/>
          <w:sz w:val="24"/>
          <w:u w:val="single"/>
          <w:lang w:eastAsia="zh-CN"/>
        </w:rPr>
        <w:t>%</w:t>
      </w:r>
      <w:r>
        <w:rPr>
          <w:rFonts w:hint="eastAsia"/>
          <w:sz w:val="24"/>
          <w:lang w:eastAsia="zh-CN"/>
        </w:rPr>
        <w:t>增值税专用发票，甲方于收到发票后60日内支付合同总价的</w:t>
      </w:r>
      <w:r>
        <w:rPr>
          <w:rFonts w:hint="eastAsia"/>
          <w:sz w:val="24"/>
          <w:u w:val="single"/>
          <w:lang w:val="en-US" w:eastAsia="zh-CN"/>
        </w:rPr>
        <w:t>90</w:t>
      </w:r>
      <w:r>
        <w:rPr>
          <w:rFonts w:hint="eastAsia"/>
          <w:sz w:val="24"/>
          <w:u w:val="single"/>
          <w:lang w:eastAsia="zh-CN"/>
        </w:rPr>
        <w:t>%</w:t>
      </w:r>
      <w:r>
        <w:rPr>
          <w:rFonts w:hint="eastAsia"/>
          <w:sz w:val="24"/>
          <w:u w:val="none"/>
          <w:lang w:eastAsia="zh-CN"/>
        </w:rPr>
        <w:t>。</w:t>
      </w:r>
      <w:r>
        <w:rPr>
          <w:rFonts w:hint="eastAsia"/>
          <w:sz w:val="24"/>
          <w:lang w:eastAsia="zh-CN"/>
        </w:rPr>
        <w:t>剩余</w:t>
      </w:r>
      <w:r>
        <w:rPr>
          <w:rFonts w:hint="eastAsia"/>
          <w:sz w:val="24"/>
          <w:lang w:val="en-US" w:eastAsia="zh-CN"/>
        </w:rPr>
        <w:t>10</w:t>
      </w:r>
      <w:r>
        <w:rPr>
          <w:rFonts w:hint="eastAsia"/>
          <w:sz w:val="24"/>
          <w:lang w:eastAsia="zh-CN"/>
        </w:rPr>
        <w:t xml:space="preserve"> %作为质保款，质保期满后，如无质量问题等争议，甲方支付剩余款项。乙方未及时提供发票的，甲方有权顺延付款时间且无需承担逾期付款违约责任。</w:t>
      </w:r>
    </w:p>
    <w:p w14:paraId="7412A078">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14:paraId="6E8EC837">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14:paraId="7174F696">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14:paraId="28C99535">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14:paraId="0D0369B1">
      <w:pPr>
        <w:spacing w:line="360" w:lineRule="auto"/>
        <w:rPr>
          <w:b/>
          <w:sz w:val="24"/>
          <w:lang w:eastAsia="zh-CN"/>
        </w:rPr>
      </w:pPr>
      <w:r>
        <w:rPr>
          <w:rFonts w:hint="eastAsia"/>
          <w:lang w:eastAsia="zh-CN"/>
        </w:rPr>
        <w:t xml:space="preserve">   </w:t>
      </w:r>
      <w:r>
        <w:rPr>
          <w:rFonts w:hint="eastAsia"/>
          <w:b/>
          <w:sz w:val="24"/>
          <w:lang w:eastAsia="zh-CN"/>
        </w:rPr>
        <w:t>四、质保期</w:t>
      </w:r>
    </w:p>
    <w:p w14:paraId="3B4685FE">
      <w:pPr>
        <w:widowControl/>
        <w:spacing w:line="36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 xml:space="preserve"> 1、安装使用后12个月；或货到</w:t>
      </w:r>
      <w:r>
        <w:rPr>
          <w:rFonts w:hint="eastAsia" w:asciiTheme="minorEastAsia" w:hAnsiTheme="minorEastAsia" w:eastAsiaTheme="minorEastAsia"/>
          <w:sz w:val="24"/>
          <w:lang w:val="en-US" w:eastAsia="zh-CN"/>
        </w:rPr>
        <w:t>甲方</w:t>
      </w:r>
      <w:r>
        <w:rPr>
          <w:rFonts w:hint="eastAsia" w:asciiTheme="minorEastAsia" w:hAnsiTheme="minorEastAsia" w:eastAsiaTheme="minorEastAsia"/>
          <w:sz w:val="24"/>
          <w:lang w:eastAsia="zh-CN"/>
        </w:rPr>
        <w:t>现场后18个月。质保期内，因维修质量（含更换件质量）导致的任何故障，</w:t>
      </w:r>
      <w:r>
        <w:rPr>
          <w:rFonts w:hint="eastAsia" w:asciiTheme="minorEastAsia" w:hAnsiTheme="minorEastAsia" w:eastAsiaTheme="minorEastAsia"/>
          <w:sz w:val="24"/>
          <w:lang w:val="en-US" w:eastAsia="zh-CN"/>
        </w:rPr>
        <w:t>乙方</w:t>
      </w:r>
      <w:r>
        <w:rPr>
          <w:rFonts w:hint="eastAsia" w:asciiTheme="minorEastAsia" w:hAnsiTheme="minorEastAsia" w:eastAsiaTheme="minorEastAsia"/>
          <w:sz w:val="24"/>
          <w:lang w:eastAsia="zh-CN"/>
        </w:rPr>
        <w:t>须在接到通知后</w:t>
      </w:r>
      <w:r>
        <w:rPr>
          <w:rFonts w:hint="eastAsia" w:asciiTheme="minorEastAsia" w:hAnsiTheme="minorEastAsia" w:eastAsiaTheme="minorEastAsia"/>
          <w:sz w:val="24"/>
          <w:lang w:val="en-US" w:eastAsia="zh-CN"/>
        </w:rPr>
        <w:t>24</w:t>
      </w:r>
      <w:r>
        <w:rPr>
          <w:rFonts w:hint="eastAsia" w:asciiTheme="minorEastAsia" w:hAnsiTheme="minorEastAsia" w:eastAsiaTheme="minorEastAsia"/>
          <w:sz w:val="24"/>
          <w:lang w:eastAsia="zh-CN"/>
        </w:rPr>
        <w:t>小时内响应，并免费负责修复或更换，同时承担所有往返运输、人工及再检测费用。</w:t>
      </w:r>
    </w:p>
    <w:p w14:paraId="710F4734">
      <w:pPr>
        <w:widowControl/>
        <w:spacing w:line="360" w:lineRule="auto"/>
        <w:ind w:firstLine="440" w:firstLineChars="200"/>
        <w:rPr>
          <w:rFonts w:asciiTheme="minorEastAsia" w:hAnsiTheme="minorEastAsia" w:eastAsiaTheme="minorEastAsia"/>
          <w:b/>
          <w:sz w:val="24"/>
          <w:lang w:eastAsia="zh-CN"/>
        </w:rPr>
      </w:pPr>
      <w:r>
        <w:rPr>
          <w:rFonts w:hint="eastAsia"/>
          <w:lang w:eastAsia="zh-CN"/>
        </w:rPr>
        <w:t xml:space="preserve"> 2、</w:t>
      </w:r>
      <w:r>
        <w:rPr>
          <w:rFonts w:hint="eastAsia" w:asciiTheme="minorEastAsia" w:hAnsiTheme="minorEastAsia" w:eastAsiaTheme="minorEastAsia"/>
          <w:sz w:val="24"/>
          <w:lang w:eastAsia="zh-CN"/>
        </w:rPr>
        <w:t>保修期内设备出现故障的，乙方应在接到甲方通知后</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lang w:eastAsia="zh-CN"/>
        </w:rPr>
        <w:t>4个小时内响应，并在甲方要求的时间内完成修复，确保设备的正常运行。</w:t>
      </w:r>
      <w:r>
        <w:rPr>
          <w:rFonts w:hint="eastAsia" w:asciiTheme="minorEastAsia" w:hAnsiTheme="minorEastAsia" w:eastAsiaTheme="minorEastAsia"/>
          <w:b/>
          <w:sz w:val="24"/>
          <w:lang w:eastAsia="zh-CN"/>
        </w:rPr>
        <w:t>乙方未在甲方要求的时间内完成修复的，甲方亦有权自行委托第三方进行维修，所产生的一切费用由乙方承担。</w:t>
      </w:r>
    </w:p>
    <w:p w14:paraId="425D08F5">
      <w:pPr>
        <w:widowControl/>
        <w:spacing w:line="360" w:lineRule="auto"/>
        <w:rPr>
          <w:rFonts w:hint="eastAsia" w:asciiTheme="minorEastAsia" w:hAnsiTheme="minorEastAsia" w:eastAsiaTheme="minorEastAsia"/>
          <w:b/>
          <w:sz w:val="24"/>
          <w:lang w:eastAsia="zh-CN"/>
        </w:rPr>
      </w:pPr>
      <w:r>
        <w:rPr>
          <w:rFonts w:hint="eastAsia"/>
          <w:b/>
          <w:sz w:val="24"/>
        </w:rPr>
        <w:t>五</w:t>
      </w:r>
      <w:r>
        <w:rPr>
          <w:rFonts w:hint="eastAsia" w:asciiTheme="minorEastAsia" w:hAnsiTheme="minorEastAsia" w:eastAsiaTheme="minorEastAsia"/>
          <w:b/>
          <w:sz w:val="24"/>
          <w:lang w:eastAsia="zh-CN"/>
        </w:rPr>
        <w:t>、安全责任：</w:t>
      </w:r>
    </w:p>
    <w:p w14:paraId="5ACF735A">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14:paraId="507B257B">
      <w:pPr>
        <w:spacing w:line="360" w:lineRule="auto"/>
        <w:rPr>
          <w:b/>
          <w:sz w:val="24"/>
          <w:lang w:eastAsia="zh-CN"/>
        </w:rPr>
      </w:pPr>
      <w:r>
        <w:rPr>
          <w:rFonts w:hint="eastAsia"/>
          <w:b/>
          <w:sz w:val="24"/>
          <w:lang w:eastAsia="zh-CN"/>
        </w:rPr>
        <w:t>六、违约责任</w:t>
      </w:r>
    </w:p>
    <w:p w14:paraId="48552F05">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Pr>
          <w:rFonts w:hint="eastAsia"/>
          <w:color w:val="000000"/>
          <w:sz w:val="24"/>
          <w:u w:val="single"/>
          <w:lang w:val="en-US" w:eastAsia="zh-CN"/>
        </w:rPr>
        <w:t>1</w:t>
      </w:r>
      <w:r>
        <w:rPr>
          <w:rFonts w:hint="eastAsia"/>
          <w:color w:val="000000"/>
          <w:sz w:val="24"/>
          <w:u w:val="single"/>
          <w:lang w:eastAsia="zh-CN"/>
        </w:rPr>
        <w:t xml:space="preserve"> </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u w:val="single"/>
          <w:lang w:eastAsia="zh-CN"/>
        </w:rPr>
        <w:t xml:space="preserve"> </w:t>
      </w:r>
      <w:r>
        <w:rPr>
          <w:rFonts w:hint="eastAsia"/>
          <w:b/>
          <w:color w:val="000000"/>
          <w:sz w:val="24"/>
          <w:u w:val="single"/>
          <w:lang w:val="en-US" w:eastAsia="zh-CN"/>
        </w:rPr>
        <w:t>10</w:t>
      </w:r>
      <w:r>
        <w:rPr>
          <w:rFonts w:hint="eastAsia"/>
          <w:b/>
          <w:color w:val="000000"/>
          <w:sz w:val="24"/>
          <w:u w:val="single"/>
          <w:lang w:eastAsia="zh-CN"/>
        </w:rPr>
        <w:t xml:space="preserve"> </w:t>
      </w:r>
      <w:r>
        <w:rPr>
          <w:rFonts w:hint="eastAsia"/>
          <w:b/>
          <w:color w:val="000000"/>
          <w:sz w:val="24"/>
          <w:lang w:eastAsia="zh-CN"/>
        </w:rPr>
        <w:t>日，甲方有权解除本合同，并要求乙方支付合同总价20%的违约金，违约金不足以弥补甲方损失的，甲方有权追偿。</w:t>
      </w:r>
    </w:p>
    <w:p w14:paraId="02B80F24">
      <w:pPr>
        <w:spacing w:line="360" w:lineRule="auto"/>
        <w:ind w:firstLine="480" w:firstLineChars="200"/>
        <w:rPr>
          <w:b/>
          <w:sz w:val="24"/>
          <w:lang w:eastAsia="zh-CN"/>
        </w:rPr>
      </w:pPr>
      <w:r>
        <w:rPr>
          <w:rFonts w:hint="eastAsia"/>
          <w:sz w:val="24"/>
          <w:lang w:eastAsia="zh-CN"/>
        </w:rPr>
        <w:t>2、乙方维修后的设备达不到合同约定的质量标准或甲方的要求，乙方应无偿返修或返工，并承担由此给甲方造成的损失。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14:paraId="4D761451">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14:paraId="74543F36">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14:paraId="34CBBAC9">
      <w:pPr>
        <w:pStyle w:val="4"/>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14:paraId="1A1669BE">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甲方无正当理由未按本合同规定履行向乙方支付维修费的，按照全国银行间同业拆借中心公布的</w:t>
      </w:r>
      <w:r>
        <w:rPr>
          <w:rFonts w:hint="eastAsia"/>
          <w:sz w:val="24"/>
          <w:lang w:val="en-US" w:eastAsia="zh-CN"/>
        </w:rPr>
        <w:t>一年期</w:t>
      </w:r>
      <w:r>
        <w:rPr>
          <w:rFonts w:hint="eastAsia"/>
          <w:sz w:val="24"/>
          <w:lang w:eastAsia="zh-CN"/>
        </w:rPr>
        <w:t>贷款市场报价利率支付利息。</w:t>
      </w:r>
      <w:bookmarkStart w:id="1" w:name="_GoBack"/>
      <w:bookmarkEnd w:id="1"/>
    </w:p>
    <w:p w14:paraId="3FC00450">
      <w:pPr>
        <w:spacing w:line="360" w:lineRule="auto"/>
        <w:rPr>
          <w:b/>
          <w:sz w:val="24"/>
          <w:lang w:eastAsia="zh-CN"/>
        </w:rPr>
      </w:pPr>
      <w:r>
        <w:rPr>
          <w:rFonts w:hint="eastAsia"/>
          <w:b/>
          <w:sz w:val="24"/>
          <w:lang w:eastAsia="zh-CN"/>
        </w:rPr>
        <w:t>七、不可抗力</w:t>
      </w:r>
    </w:p>
    <w:p w14:paraId="50D7E754">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14:paraId="41D7C045">
      <w:pPr>
        <w:spacing w:line="360" w:lineRule="auto"/>
        <w:rPr>
          <w:b/>
          <w:sz w:val="24"/>
          <w:lang w:eastAsia="zh-CN"/>
        </w:rPr>
      </w:pPr>
      <w:r>
        <w:rPr>
          <w:rFonts w:hint="eastAsia"/>
          <w:b/>
          <w:sz w:val="24"/>
          <w:lang w:eastAsia="zh-CN"/>
        </w:rPr>
        <w:t>八、通知</w:t>
      </w:r>
    </w:p>
    <w:p w14:paraId="2914A1E6">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47AACD4">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14:paraId="0154B24B">
      <w:pPr>
        <w:spacing w:line="360" w:lineRule="auto"/>
        <w:ind w:firstLine="420"/>
        <w:rPr>
          <w:sz w:val="24"/>
          <w:lang w:eastAsia="zh-CN"/>
        </w:rPr>
      </w:pPr>
      <w:r>
        <w:rPr>
          <w:sz w:val="24"/>
          <w:lang w:eastAsia="zh-CN"/>
        </w:rPr>
        <w:t>1</w:t>
      </w:r>
      <w:r>
        <w:rPr>
          <w:rFonts w:hint="eastAsia"/>
          <w:sz w:val="24"/>
          <w:lang w:eastAsia="zh-CN"/>
        </w:rPr>
        <w:t>、本合同适用中华人民共和国法律。</w:t>
      </w:r>
    </w:p>
    <w:p w14:paraId="036DD119">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14:paraId="40F53194">
      <w:pPr>
        <w:spacing w:line="360" w:lineRule="auto"/>
        <w:rPr>
          <w:b/>
          <w:sz w:val="24"/>
          <w:lang w:eastAsia="zh-CN"/>
        </w:rPr>
      </w:pPr>
      <w:r>
        <w:rPr>
          <w:rFonts w:hint="eastAsia"/>
          <w:b/>
          <w:sz w:val="24"/>
          <w:lang w:eastAsia="zh-CN"/>
        </w:rPr>
        <w:t>十、其他</w:t>
      </w:r>
    </w:p>
    <w:p w14:paraId="43D91CD8">
      <w:pPr>
        <w:tabs>
          <w:tab w:val="left" w:pos="1080"/>
        </w:tabs>
        <w:spacing w:line="360" w:lineRule="auto"/>
        <w:ind w:firstLine="470" w:firstLineChars="196"/>
        <w:rPr>
          <w:sz w:val="24"/>
          <w:lang w:eastAsia="zh-CN"/>
        </w:rPr>
      </w:pPr>
      <w:r>
        <w:rPr>
          <w:rFonts w:hint="eastAsia"/>
          <w:sz w:val="24"/>
          <w:lang w:eastAsia="zh-CN"/>
        </w:rPr>
        <w:t>1、本合同自双方加盖公章后生效。</w:t>
      </w:r>
    </w:p>
    <w:p w14:paraId="0C46F2FA">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14:paraId="6BBFD41E">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14:paraId="63EAE1CE">
      <w:pPr>
        <w:spacing w:line="360" w:lineRule="auto"/>
        <w:ind w:firstLine="480" w:firstLineChars="200"/>
        <w:rPr>
          <w:rFonts w:hint="eastAsia"/>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ascii="宋体" w:hAnsi="宋体"/>
          <w:bCs/>
          <w:szCs w:val="21"/>
          <w:highlight w:val="none"/>
        </w:rPr>
        <w:t>人员、车辆入厂安全管理协议</w:t>
      </w:r>
      <w:r>
        <w:rPr>
          <w:rFonts w:hint="eastAsia"/>
          <w:sz w:val="24"/>
          <w:lang w:eastAsia="zh-CN"/>
        </w:rPr>
        <w:t>》</w:t>
      </w:r>
    </w:p>
    <w:p w14:paraId="6E7B5B27">
      <w:pPr>
        <w:spacing w:line="360" w:lineRule="auto"/>
        <w:ind w:firstLine="480" w:firstLineChars="200"/>
        <w:rPr>
          <w:sz w:val="24"/>
          <w:lang w:eastAsia="zh-CN"/>
        </w:rPr>
      </w:pPr>
      <w:r>
        <w:rPr>
          <w:rFonts w:hint="eastAsia"/>
          <w:sz w:val="24"/>
          <w:lang w:val="en-US" w:eastAsia="zh-CN"/>
        </w:rPr>
        <w:t>附件2：</w:t>
      </w:r>
      <w:r>
        <w:rPr>
          <w:rFonts w:hint="eastAsia"/>
          <w:sz w:val="24"/>
          <w:lang w:eastAsia="zh-CN"/>
        </w:rPr>
        <w:t>《</w:t>
      </w:r>
      <w:r>
        <w:rPr>
          <w:rFonts w:hint="eastAsia"/>
          <w:sz w:val="24"/>
          <w:lang w:val="en-US" w:eastAsia="zh-CN"/>
        </w:rPr>
        <w:t>技术要求</w:t>
      </w:r>
      <w:r>
        <w:rPr>
          <w:rFonts w:hint="eastAsia"/>
          <w:sz w:val="24"/>
          <w:lang w:eastAsia="zh-CN"/>
        </w:rPr>
        <w:t>》</w:t>
      </w:r>
    </w:p>
    <w:p w14:paraId="6A54E044">
      <w:pPr>
        <w:pStyle w:val="4"/>
        <w:rPr>
          <w:sz w:val="24"/>
          <w:szCs w:val="24"/>
        </w:rPr>
      </w:pPr>
    </w:p>
    <w:p w14:paraId="7584838F">
      <w:pPr>
        <w:rPr>
          <w:rFonts w:cs="Arial"/>
          <w:b/>
          <w:sz w:val="24"/>
          <w:lang w:eastAsia="zh-CN"/>
        </w:rPr>
      </w:pPr>
      <w:r>
        <w:rPr>
          <w:rFonts w:hint="eastAsia" w:cs="Arial"/>
          <w:b/>
          <w:sz w:val="24"/>
          <w:lang w:eastAsia="zh-CN"/>
        </w:rPr>
        <w:t>（以下无正文）</w:t>
      </w:r>
    </w:p>
    <w:p w14:paraId="5300DA61">
      <w:pPr>
        <w:widowControl/>
        <w:spacing w:line="360" w:lineRule="auto"/>
        <w:rPr>
          <w:color w:val="000000"/>
          <w:sz w:val="24"/>
          <w:lang w:eastAsia="zh-CN"/>
        </w:rPr>
      </w:pPr>
    </w:p>
    <w:p w14:paraId="1B94E12B">
      <w:pPr>
        <w:spacing w:line="360" w:lineRule="auto"/>
        <w:rPr>
          <w:sz w:val="24"/>
          <w:lang w:eastAsia="zh-CN"/>
        </w:rPr>
      </w:pPr>
      <w:r>
        <w:rPr>
          <w:rFonts w:hint="eastAsia"/>
          <w:color w:val="000000"/>
          <w:sz w:val="24"/>
          <w:lang w:eastAsia="zh-CN"/>
        </w:rPr>
        <w:t>甲方：</w:t>
      </w:r>
      <w:r>
        <w:rPr>
          <w:rFonts w:hint="eastAsia"/>
          <w:color w:val="000000"/>
          <w:sz w:val="24"/>
          <w:lang w:val="en-US" w:eastAsia="zh-CN"/>
        </w:rPr>
        <w:t>福建福海创石油化工有限公司</w:t>
      </w:r>
      <w:r>
        <w:rPr>
          <w:rFonts w:hint="eastAsia"/>
          <w:color w:val="000000"/>
          <w:sz w:val="24"/>
          <w:lang w:eastAsia="zh-CN"/>
        </w:rPr>
        <w:t xml:space="preserve">       </w:t>
      </w:r>
      <w:r>
        <w:rPr>
          <w:rFonts w:hint="eastAsia"/>
          <w:sz w:val="24"/>
          <w:lang w:eastAsia="zh-CN"/>
        </w:rPr>
        <w:t>乙方</w:t>
      </w:r>
    </w:p>
    <w:p w14:paraId="544FE203">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14:paraId="3798F57B">
      <w:pPr>
        <w:spacing w:line="360" w:lineRule="auto"/>
        <w:rPr>
          <w:color w:val="000000"/>
          <w:sz w:val="24"/>
          <w:lang w:eastAsia="zh-CN"/>
        </w:rPr>
      </w:pPr>
    </w:p>
    <w:p w14:paraId="12A42395">
      <w:pPr>
        <w:spacing w:line="360" w:lineRule="auto"/>
        <w:ind w:left="6480" w:hanging="6480" w:hangingChars="2700"/>
        <w:rPr>
          <w:sz w:val="24"/>
          <w:lang w:eastAsia="zh-CN"/>
        </w:rPr>
      </w:pPr>
      <w:r>
        <w:rPr>
          <w:rFonts w:hint="eastAsia"/>
          <w:color w:val="000000"/>
          <w:sz w:val="24"/>
          <w:lang w:val="en-US" w:eastAsia="zh-CN"/>
        </w:rPr>
        <w:t>日  期</w:t>
      </w:r>
      <w:r>
        <w:rPr>
          <w:rFonts w:hint="eastAsia"/>
          <w:color w:val="000000"/>
          <w:sz w:val="24"/>
          <w:lang w:eastAsia="zh-CN"/>
        </w:rPr>
        <w:t>：</w:t>
      </w:r>
      <w:r>
        <w:rPr>
          <w:rFonts w:hint="eastAsia"/>
          <w:sz w:val="24"/>
          <w:lang w:eastAsia="zh-CN"/>
        </w:rPr>
        <w:t xml:space="preserve">                     </w:t>
      </w:r>
      <w:r>
        <w:rPr>
          <w:sz w:val="24"/>
          <w:lang w:eastAsia="zh-CN"/>
        </w:rPr>
        <w:t xml:space="preserve">          </w:t>
      </w:r>
      <w:r>
        <w:rPr>
          <w:rFonts w:hint="eastAsia"/>
          <w:color w:val="000000"/>
          <w:sz w:val="24"/>
          <w:lang w:val="en-US" w:eastAsia="zh-CN"/>
        </w:rPr>
        <w:t>日  期</w:t>
      </w:r>
      <w:r>
        <w:rPr>
          <w:rFonts w:hint="eastAsia"/>
          <w:color w:val="000000"/>
          <w:sz w:val="24"/>
          <w:lang w:eastAsia="zh-CN"/>
        </w:rPr>
        <w:t>：</w:t>
      </w:r>
    </w:p>
    <w:p w14:paraId="14617715">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22890E19">
      <w:pPr>
        <w:jc w:val="center"/>
        <w:rPr>
          <w:rFonts w:hint="eastAsia" w:ascii="宋体" w:hAnsi="宋体"/>
          <w:bCs/>
          <w:szCs w:val="21"/>
          <w:highlight w:val="none"/>
        </w:rPr>
      </w:pPr>
    </w:p>
    <w:p w14:paraId="3B92140E">
      <w:pPr>
        <w:jc w:val="center"/>
        <w:rPr>
          <w:rFonts w:hint="eastAsia" w:ascii="宋体" w:hAnsi="宋体"/>
          <w:bCs/>
          <w:szCs w:val="21"/>
          <w:highlight w:val="none"/>
        </w:rPr>
      </w:pPr>
    </w:p>
    <w:p w14:paraId="013336C0">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62F2E6C3">
      <w:pPr>
        <w:pStyle w:val="4"/>
        <w:jc w:val="center"/>
        <w:rPr>
          <w:rFonts w:hint="eastAsia"/>
          <w:sz w:val="22"/>
          <w:szCs w:val="22"/>
          <w:highlight w:val="none"/>
          <w:lang w:val="en-US" w:eastAsia="zh-CN"/>
        </w:rPr>
      </w:pPr>
    </w:p>
    <w:p w14:paraId="21EA59A4">
      <w:pPr>
        <w:pStyle w:val="4"/>
        <w:jc w:val="center"/>
        <w:rPr>
          <w:rFonts w:hint="default"/>
          <w:sz w:val="22"/>
          <w:szCs w:val="22"/>
          <w:highlight w:val="none"/>
          <w:lang w:val="en-US" w:eastAsia="zh-CN"/>
        </w:rPr>
      </w:pPr>
      <w:r>
        <w:rPr>
          <w:rFonts w:hint="eastAsia"/>
          <w:sz w:val="22"/>
          <w:szCs w:val="22"/>
          <w:highlight w:val="none"/>
          <w:lang w:val="en-US" w:eastAsia="zh-CN"/>
        </w:rPr>
        <w:t>附件2、技术要求</w:t>
      </w:r>
    </w:p>
    <w:p w14:paraId="46D00F5F">
      <w:pPr>
        <w:pStyle w:val="44"/>
        <w:keepNext w:val="0"/>
        <w:keepLines w:val="0"/>
        <w:widowControl/>
        <w:numPr>
          <w:ilvl w:val="0"/>
          <w:numId w:val="13"/>
        </w:numPr>
        <w:suppressLineNumbers w:val="0"/>
        <w:shd w:val="clear" w:color="auto" w:fill="FFFFFF"/>
        <w:spacing w:before="192" w:beforeAutospacing="0" w:after="192" w:afterAutospacing="0"/>
        <w:ind w:left="0" w:leftChars="0" w:right="0" w:rightChars="0" w:firstLine="0" w:firstLineChars="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范围</w:t>
      </w:r>
    </w:p>
    <w:p w14:paraId="31796E4C">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lang w:eastAsia="zh-CN"/>
        </w:rPr>
      </w:pPr>
      <w:r>
        <w:rPr>
          <w:rFonts w:hint="eastAsia" w:ascii="宋体" w:hAnsi="宋体" w:eastAsia="宋体" w:cs="宋体"/>
          <w:i w:val="0"/>
          <w:iCs w:val="0"/>
          <w:caps w:val="0"/>
          <w:color w:val="0F1115"/>
          <w:spacing w:val="0"/>
          <w:sz w:val="22"/>
          <w:szCs w:val="22"/>
          <w:shd w:val="clear" w:color="auto" w:fill="FFFFFF"/>
        </w:rPr>
        <w:t>本技术附件规定了沸腾床渣油加氢装置膜分离单元</w:t>
      </w:r>
      <w:r>
        <w:rPr>
          <w:rFonts w:hint="eastAsia" w:ascii="宋体" w:hAnsi="宋体" w:eastAsia="宋体" w:cs="宋体"/>
          <w:b/>
          <w:bCs/>
          <w:i w:val="0"/>
          <w:iCs w:val="0"/>
          <w:caps w:val="0"/>
          <w:color w:val="0F1115"/>
          <w:spacing w:val="0"/>
          <w:sz w:val="22"/>
          <w:szCs w:val="22"/>
          <w:shd w:val="clear" w:color="auto" w:fill="FFFFFF"/>
        </w:rPr>
        <w:t>3台高压磁浮子液位计</w:t>
      </w:r>
      <w:r>
        <w:rPr>
          <w:rFonts w:hint="eastAsia" w:ascii="宋体" w:hAnsi="宋体" w:eastAsia="宋体" w:cs="宋体"/>
          <w:i w:val="0"/>
          <w:iCs w:val="0"/>
          <w:caps w:val="0"/>
          <w:color w:val="0F1115"/>
          <w:spacing w:val="0"/>
          <w:sz w:val="22"/>
          <w:szCs w:val="22"/>
          <w:shd w:val="clear" w:color="auto" w:fill="FFFFFF"/>
        </w:rPr>
        <w:t>（位号：A103-LG-14421、A103-LG-14422A、A103-LG-14422B）维修工作的技术要求、交付成果、验收标准及质量保证等。投标人提供的维修服务须完全满足本附件要求</w:t>
      </w:r>
      <w:r>
        <w:rPr>
          <w:rFonts w:hint="eastAsia" w:ascii="宋体" w:hAnsi="宋体" w:eastAsia="宋体" w:cs="宋体"/>
          <w:i w:val="0"/>
          <w:iCs w:val="0"/>
          <w:caps w:val="0"/>
          <w:color w:val="0F1115"/>
          <w:spacing w:val="0"/>
          <w:sz w:val="22"/>
          <w:szCs w:val="22"/>
          <w:shd w:val="clear" w:color="auto" w:fill="FFFFFF"/>
          <w:lang w:eastAsia="zh-CN"/>
        </w:rPr>
        <w:t>。</w:t>
      </w:r>
    </w:p>
    <w:p w14:paraId="58818211">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规范性引用文件</w:t>
      </w:r>
    </w:p>
    <w:p w14:paraId="13D8DD64">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下列文件中的条款通过本附件的引用而成为本技术附件的条款。凡不注日期的引用文件，其最新版本（包括修改单）适用于本附件。</w:t>
      </w:r>
    </w:p>
    <w:p w14:paraId="7FA60671">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原液位计制造厂技术规范及维修手册</w:t>
      </w:r>
    </w:p>
    <w:p w14:paraId="0555CB92">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NB/T 47013 《承压设备无损检测》</w:t>
      </w:r>
    </w:p>
    <w:p w14:paraId="2E40D72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GB/T 25153 《化工压力容器用磁浮子液位计》或等同标准</w:t>
      </w:r>
    </w:p>
    <w:p w14:paraId="1E6A8B0B">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TSG 21 《固定式压力容器安全技术监察规程》（如适用）</w:t>
      </w:r>
    </w:p>
    <w:p w14:paraId="24619BCB">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工作内容及技术要求</w:t>
      </w:r>
    </w:p>
    <w:p w14:paraId="7BB848DD">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3.1 损坏部件更换</w:t>
      </w:r>
    </w:p>
    <w:p w14:paraId="2002B8C0">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sz w:val="22"/>
          <w:szCs w:val="22"/>
        </w:rPr>
      </w:pPr>
      <w:r>
        <w:rPr>
          <w:rFonts w:hint="eastAsia" w:ascii="宋体" w:hAnsi="宋体" w:eastAsia="宋体" w:cs="宋体"/>
          <w:i w:val="0"/>
          <w:iCs w:val="0"/>
          <w:caps w:val="0"/>
          <w:color w:val="0F1115"/>
          <w:spacing w:val="0"/>
          <w:sz w:val="22"/>
          <w:szCs w:val="22"/>
          <w:shd w:val="clear" w:color="auto" w:fill="FFFFFF"/>
        </w:rPr>
        <w:t>更换A103-LG-14421及A103-LG-14422A共计2台液位计的高压磁浮子。</w:t>
      </w:r>
    </w:p>
    <w:p w14:paraId="5D4ED3ED">
      <w:pPr>
        <w:pStyle w:val="44"/>
        <w:keepNext w:val="0"/>
        <w:keepLines w:val="0"/>
        <w:widowControl/>
        <w:suppressLineNumbers w:val="0"/>
        <w:spacing w:before="0" w:beforeAutospacing="0" w:after="0" w:afterAutospacing="0"/>
        <w:ind w:left="0" w:right="0"/>
        <w:rPr>
          <w:rFonts w:hint="eastAsia" w:ascii="宋体" w:hAnsi="宋体" w:eastAsia="宋体" w:cs="宋体"/>
          <w:sz w:val="22"/>
          <w:szCs w:val="22"/>
        </w:rPr>
      </w:pPr>
      <w:r>
        <w:rPr>
          <w:rFonts w:hint="eastAsia" w:ascii="宋体" w:hAnsi="宋体" w:eastAsia="宋体" w:cs="宋体"/>
          <w:i w:val="0"/>
          <w:iCs w:val="0"/>
          <w:caps w:val="0"/>
          <w:color w:val="0F1115"/>
          <w:spacing w:val="0"/>
          <w:sz w:val="22"/>
          <w:szCs w:val="22"/>
          <w:shd w:val="clear" w:color="auto" w:fill="FFFFFF"/>
        </w:rPr>
        <w:t>更换用浮子须为原厂同型号或经招标人书面认可的性能等效型号，并提供材质证明与出厂合格证。</w:t>
      </w:r>
    </w:p>
    <w:p w14:paraId="58631EF2">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3.2 返厂无损检测</w:t>
      </w:r>
    </w:p>
    <w:p w14:paraId="30E13D35">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对全部3台液位计进行返厂解体，并对下列部件执行无损检测（检测方法及验收级别见下表）：</w:t>
      </w:r>
    </w:p>
    <w:tbl>
      <w:tblPr>
        <w:tblStyle w:val="5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219"/>
        <w:gridCol w:w="3451"/>
        <w:gridCol w:w="4077"/>
      </w:tblGrid>
      <w:tr w14:paraId="285B0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noWrap w:val="0"/>
            <w:tcMar>
              <w:top w:w="120" w:type="dxa"/>
              <w:left w:w="0" w:type="dxa"/>
              <w:bottom w:w="120" w:type="dxa"/>
              <w:right w:w="192" w:type="dxa"/>
            </w:tcMar>
            <w:vAlign w:val="center"/>
          </w:tcPr>
          <w:p w14:paraId="5E0F39B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部件名称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192" w:type="dxa"/>
            </w:tcMar>
            <w:vAlign w:val="center"/>
          </w:tcPr>
          <w:p w14:paraId="67EC2C07">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检测方法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192" w:type="dxa"/>
            </w:tcMar>
            <w:vAlign w:val="center"/>
          </w:tcPr>
          <w:p w14:paraId="2ADC9543">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验收级别</w:t>
            </w:r>
          </w:p>
        </w:tc>
      </w:tr>
      <w:tr w14:paraId="63609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0" w:type="dxa"/>
              <w:bottom w:w="120" w:type="dxa"/>
              <w:right w:w="192" w:type="dxa"/>
            </w:tcMar>
            <w:vAlign w:val="center"/>
          </w:tcPr>
          <w:p w14:paraId="623BF5EF">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磁浮子</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192" w:type="dxa"/>
            </w:tcMar>
            <w:vAlign w:val="center"/>
          </w:tcPr>
          <w:p w14:paraId="7B870679">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渗透检测（PT）或射线检测（RT）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0" w:type="dxa"/>
            </w:tcMar>
            <w:vAlign w:val="center"/>
          </w:tcPr>
          <w:p w14:paraId="05E90A57">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NB/T 47013.5 Ⅰ级或无任何裂纹、气孔</w:t>
            </w:r>
          </w:p>
        </w:tc>
      </w:tr>
      <w:tr w14:paraId="331B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0" w:type="dxa"/>
              <w:bottom w:w="120" w:type="dxa"/>
              <w:right w:w="192" w:type="dxa"/>
            </w:tcMar>
            <w:vAlign w:val="center"/>
          </w:tcPr>
          <w:p w14:paraId="03C8D32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法兰密封面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192" w:type="dxa"/>
            </w:tcMar>
            <w:vAlign w:val="center"/>
          </w:tcPr>
          <w:p w14:paraId="75DC92DB">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宏观检查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0" w:type="dxa"/>
            </w:tcMar>
            <w:vAlign w:val="center"/>
          </w:tcPr>
          <w:p w14:paraId="7670BAAC">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无贯穿性缺陷，密封面粗糙度 ≤ Ra3.2μm</w:t>
            </w:r>
          </w:p>
        </w:tc>
      </w:tr>
      <w:tr w14:paraId="5A527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0" w:type="dxa"/>
              <w:bottom w:w="120" w:type="dxa"/>
              <w:right w:w="192" w:type="dxa"/>
            </w:tcMar>
            <w:vAlign w:val="center"/>
          </w:tcPr>
          <w:p w14:paraId="7D8D74AF">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筒体内壁</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192" w:type="dxa"/>
            </w:tcMar>
            <w:vAlign w:val="center"/>
          </w:tcPr>
          <w:p w14:paraId="75470C80">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内窥镜 + 宏观检查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tcMar>
              <w:top w:w="120" w:type="dxa"/>
              <w:left w:w="192" w:type="dxa"/>
              <w:bottom w:w="120" w:type="dxa"/>
              <w:right w:w="0" w:type="dxa"/>
            </w:tcMar>
            <w:vAlign w:val="center"/>
          </w:tcPr>
          <w:p w14:paraId="21744FBF">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b w:val="0"/>
                <w:i w:val="0"/>
                <w:iCs w:val="0"/>
                <w:caps w:val="0"/>
                <w:color w:val="000000"/>
                <w:spacing w:val="0"/>
                <w:sz w:val="22"/>
                <w:szCs w:val="22"/>
                <w:shd w:val="clear" w:color="auto" w:fill="FFFFFF"/>
              </w:rPr>
            </w:pPr>
            <w:r>
              <w:rPr>
                <w:rFonts w:hint="eastAsia" w:ascii="宋体" w:hAnsi="宋体" w:eastAsia="宋体" w:cs="宋体"/>
                <w:b w:val="0"/>
                <w:i w:val="0"/>
                <w:iCs w:val="0"/>
                <w:caps w:val="0"/>
                <w:color w:val="000000"/>
                <w:spacing w:val="0"/>
                <w:sz w:val="22"/>
                <w:szCs w:val="22"/>
                <w:shd w:val="clear" w:color="auto" w:fill="FFFFFF"/>
                <w:lang w:val="en-US" w:eastAsia="zh-CN"/>
              </w:rPr>
              <w:t>无严重腐蚀、划伤或变形</w:t>
            </w:r>
          </w:p>
        </w:tc>
      </w:tr>
    </w:tbl>
    <w:p w14:paraId="20799582">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若检测发现超出允许范围的缺陷，投标人须书面提交处理方案并征得招标人同意后方可继续维修。</w:t>
      </w:r>
    </w:p>
    <w:p w14:paraId="6924F75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3.3 包装与往返运输</w:t>
      </w:r>
    </w:p>
    <w:p w14:paraId="07497A8B">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投标人负责将3台液位计从招标人现场安全运至维修工厂，维修完成后再运回现场。包装须满足精密高压仪表的防护要求（防震、防潮、防尘、固定可靠）。运输过程中的损失、损坏、延误等均由投标人承担。</w:t>
      </w:r>
    </w:p>
    <w:p w14:paraId="1A073B82">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3.4 现场安装指导</w:t>
      </w:r>
    </w:p>
    <w:p w14:paraId="386A8BBF">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维修完成后，投标人须派遣至少1名具有同类仪表维修经验的工程师至现场提供安装指导。安装指导内容包括：回装顺序、密封面清理、螺栓紧固力矩、浮子方向确认、联调测试配合等。现场服务时间不少于2个工作日，如需延长，不另行收费。</w:t>
      </w:r>
    </w:p>
    <w:p w14:paraId="3F9435B4">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交货（完工）期</w:t>
      </w:r>
    </w:p>
    <w:p w14:paraId="419DB89B">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全部维修、检测、包装及运输工作完成，设备返回到招标人现场的</w:t>
      </w:r>
      <w:r>
        <w:rPr>
          <w:rFonts w:hint="eastAsia" w:ascii="宋体" w:hAnsi="宋体" w:eastAsia="宋体" w:cs="宋体"/>
          <w:i w:val="0"/>
          <w:iCs w:val="0"/>
          <w:caps w:val="0"/>
          <w:color w:val="0F1115"/>
          <w:spacing w:val="0"/>
          <w:sz w:val="22"/>
          <w:szCs w:val="22"/>
          <w:shd w:val="clear" w:color="auto" w:fill="FFFFFF"/>
          <w:lang w:val="en-US" w:eastAsia="zh-CN"/>
        </w:rPr>
        <w:t>时间不晚于合同签订且液位计具体下线条件后6周</w:t>
      </w:r>
      <w:r>
        <w:rPr>
          <w:rFonts w:hint="eastAsia" w:ascii="宋体" w:hAnsi="宋体" w:eastAsia="宋体" w:cs="宋体"/>
          <w:i w:val="0"/>
          <w:iCs w:val="0"/>
          <w:caps w:val="0"/>
          <w:color w:val="0F1115"/>
          <w:spacing w:val="0"/>
          <w:sz w:val="22"/>
          <w:szCs w:val="22"/>
          <w:highlight w:val="none"/>
          <w:shd w:val="clear" w:color="auto" w:fill="FFFFFF"/>
        </w:rPr>
        <w:t>。</w:t>
      </w:r>
    </w:p>
    <w:p w14:paraId="7367904D">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交付成果</w:t>
      </w:r>
    </w:p>
    <w:p w14:paraId="3219ED0B">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维修结束后，投标人须向招标人提供每台液位计的以下资料（纸质版+电子版PDF）：</w:t>
      </w:r>
    </w:p>
    <w:p w14:paraId="221C62C9">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拆解检查记录及无损检测报告（附照片及检测位置图）</w:t>
      </w:r>
    </w:p>
    <w:p w14:paraId="4F2188F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更换部件清单（含品牌、型号、材质、合格证）</w:t>
      </w:r>
    </w:p>
    <w:p w14:paraId="12E63CB6">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维修后压力试验/密封性试验报告</w:t>
      </w:r>
    </w:p>
    <w:p w14:paraId="3F224A82">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合格证及维修出厂检验记录</w:t>
      </w:r>
    </w:p>
    <w:p w14:paraId="6153378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现场安装指导服务确认单</w:t>
      </w:r>
    </w:p>
    <w:p w14:paraId="6FF4EF53">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验收标准</w:t>
      </w:r>
    </w:p>
    <w:p w14:paraId="4FF25A5F">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6.1 出厂验收</w:t>
      </w:r>
    </w:p>
    <w:p w14:paraId="6114BB72">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投标人应提前5个工作日通知招标人派人或其授权代表到维修工厂参加出厂验收（可选）。若招标人不能到场，以投标人出具的合格检测报告作为临时依据。</w:t>
      </w:r>
    </w:p>
    <w:p w14:paraId="776CAB01">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6.2 现场最终验收</w:t>
      </w:r>
    </w:p>
    <w:p w14:paraId="2A15A77E">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液位计现场安装、投运后，连续稳定运行72小时无异常（包括液位指示准确、无泄漏、无卡滞），由双方签署《最终验收证书》。</w:t>
      </w:r>
    </w:p>
    <w:p w14:paraId="55F96BAD">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质量保证期</w:t>
      </w:r>
    </w:p>
    <w:p w14:paraId="69449615">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质保期自以下两个时间点中较早者起算：</w:t>
      </w:r>
    </w:p>
    <w:p w14:paraId="1CA80607">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安装使用后12个月；或货到招标人现场后18个月。质保期内，因维修质量（含更换件质量）导致的任何故障，投标人须在接到通知后</w:t>
      </w:r>
      <w:r>
        <w:rPr>
          <w:rFonts w:hint="eastAsia" w:ascii="宋体" w:hAnsi="宋体" w:eastAsia="宋体" w:cs="宋体"/>
          <w:i w:val="0"/>
          <w:iCs w:val="0"/>
          <w:caps w:val="0"/>
          <w:color w:val="0F1115"/>
          <w:spacing w:val="0"/>
          <w:sz w:val="22"/>
          <w:szCs w:val="22"/>
          <w:shd w:val="clear" w:color="auto" w:fill="FFFFFF"/>
          <w:lang w:val="en-US" w:eastAsia="zh-CN"/>
        </w:rPr>
        <w:t>24</w:t>
      </w:r>
      <w:r>
        <w:rPr>
          <w:rFonts w:hint="eastAsia" w:ascii="宋体" w:hAnsi="宋体" w:eastAsia="宋体" w:cs="宋体"/>
          <w:i w:val="0"/>
          <w:iCs w:val="0"/>
          <w:caps w:val="0"/>
          <w:color w:val="0F1115"/>
          <w:spacing w:val="0"/>
          <w:sz w:val="22"/>
          <w:szCs w:val="22"/>
          <w:shd w:val="clear" w:color="auto" w:fill="FFFFFF"/>
        </w:rPr>
        <w:t>小时内响应，并免费负责修复或更换，同时承担所有往返运输、人工及再检测费用。</w:t>
      </w:r>
    </w:p>
    <w:p w14:paraId="555D749F">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投标人资质要求</w:t>
      </w:r>
    </w:p>
    <w:p w14:paraId="4B93DAA5">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lang w:val="en-US" w:eastAsia="zh-CN"/>
        </w:rPr>
      </w:pPr>
      <w:r>
        <w:rPr>
          <w:rFonts w:hint="eastAsia" w:ascii="宋体" w:hAnsi="宋体" w:eastAsia="宋体" w:cs="宋体"/>
          <w:i w:val="0"/>
          <w:iCs w:val="0"/>
          <w:caps w:val="0"/>
          <w:color w:val="0F1115"/>
          <w:spacing w:val="0"/>
          <w:sz w:val="22"/>
          <w:szCs w:val="22"/>
          <w:shd w:val="clear" w:color="auto" w:fill="FFFFFF"/>
          <w:lang w:val="en-US" w:eastAsia="zh-CN"/>
        </w:rPr>
        <w:t>最终维修单位须为WIKA（威卡）原厂维修中心，投标人须为WIKA原厂或WIKA正式授权的代理商。</w:t>
      </w:r>
    </w:p>
    <w:p w14:paraId="2208D510">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偏离表</w:t>
      </w:r>
    </w:p>
    <w:p w14:paraId="6B7AE9FA">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rPr>
      </w:pPr>
      <w:r>
        <w:rPr>
          <w:rFonts w:hint="eastAsia" w:ascii="宋体" w:hAnsi="宋体" w:eastAsia="宋体" w:cs="宋体"/>
          <w:i w:val="0"/>
          <w:iCs w:val="0"/>
          <w:caps w:val="0"/>
          <w:color w:val="0F1115"/>
          <w:spacing w:val="0"/>
          <w:sz w:val="22"/>
          <w:szCs w:val="22"/>
          <w:shd w:val="clear" w:color="auto" w:fill="FFFFFF"/>
        </w:rPr>
        <w:t>投标人对本技术附件的任何条款若有偏离，须逐条填写《技术偏离表》，并说明替代方案。未填写偏离表的，视为完全响应。</w:t>
      </w:r>
    </w:p>
    <w:p w14:paraId="02BDEA62">
      <w:pPr>
        <w:pStyle w:val="44"/>
        <w:keepNext w:val="0"/>
        <w:keepLines w:val="0"/>
        <w:widowControl/>
        <w:numPr>
          <w:ilvl w:val="0"/>
          <w:numId w:val="14"/>
        </w:numPr>
        <w:suppressLineNumbers w:val="0"/>
        <w:shd w:val="clear" w:color="auto" w:fill="FFFFFF"/>
        <w:spacing w:before="192" w:beforeAutospacing="0" w:after="192" w:afterAutospacing="0"/>
        <w:ind w:left="0" w:right="0" w:firstLine="0"/>
        <w:rPr>
          <w:rFonts w:hint="eastAsia" w:ascii="宋体" w:hAnsi="宋体" w:eastAsia="宋体" w:cs="宋体"/>
          <w:b/>
          <w:bCs/>
          <w:i w:val="0"/>
          <w:iCs w:val="0"/>
          <w:caps w:val="0"/>
          <w:color w:val="0F1115"/>
          <w:spacing w:val="0"/>
          <w:sz w:val="22"/>
          <w:szCs w:val="22"/>
          <w:shd w:val="clear" w:color="auto" w:fill="FFFFFF"/>
          <w:lang w:val="en-US" w:eastAsia="zh-CN"/>
        </w:rPr>
      </w:pPr>
      <w:r>
        <w:rPr>
          <w:rFonts w:hint="eastAsia" w:ascii="宋体" w:hAnsi="宋体" w:eastAsia="宋体" w:cs="宋体"/>
          <w:b/>
          <w:bCs/>
          <w:i w:val="0"/>
          <w:iCs w:val="0"/>
          <w:caps w:val="0"/>
          <w:color w:val="0F1115"/>
          <w:spacing w:val="0"/>
          <w:sz w:val="22"/>
          <w:szCs w:val="22"/>
          <w:shd w:val="clear" w:color="auto" w:fill="FFFFFF"/>
          <w:lang w:val="en-US" w:eastAsia="zh-CN"/>
        </w:rPr>
        <w:t>附件及图样</w:t>
      </w:r>
    </w:p>
    <w:p w14:paraId="271651B0">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lang w:val="en-US" w:eastAsia="zh-CN"/>
        </w:rPr>
      </w:pPr>
      <w:r>
        <w:rPr>
          <w:rFonts w:hint="eastAsia" w:ascii="宋体" w:hAnsi="宋体" w:eastAsia="宋体" w:cs="宋体"/>
          <w:i w:val="0"/>
          <w:iCs w:val="0"/>
          <w:caps w:val="0"/>
          <w:color w:val="0F1115"/>
          <w:spacing w:val="0"/>
          <w:sz w:val="22"/>
          <w:szCs w:val="22"/>
          <w:shd w:val="clear" w:color="auto" w:fill="FFFFFF"/>
        </w:rPr>
        <w:t>附件1：</w:t>
      </w:r>
      <w:r>
        <w:rPr>
          <w:rFonts w:hint="eastAsia" w:ascii="宋体" w:hAnsi="宋体" w:eastAsia="宋体" w:cs="宋体"/>
          <w:i w:val="0"/>
          <w:iCs w:val="0"/>
          <w:caps w:val="0"/>
          <w:color w:val="0F1115"/>
          <w:spacing w:val="0"/>
          <w:sz w:val="22"/>
          <w:szCs w:val="22"/>
          <w:shd w:val="clear" w:color="auto" w:fill="FFFFFF"/>
          <w:lang w:val="en-US" w:eastAsia="zh-CN"/>
        </w:rPr>
        <w:t>3台磁浮子液位计数据表</w:t>
      </w:r>
    </w:p>
    <w:p w14:paraId="736B1323">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22"/>
          <w:szCs w:val="22"/>
          <w:shd w:val="clear" w:color="auto" w:fill="FFFFFF"/>
          <w:lang w:val="en-US" w:eastAsia="zh-CN"/>
        </w:rPr>
      </w:pPr>
      <w:r>
        <w:rPr>
          <w:rFonts w:hint="eastAsia" w:ascii="宋体" w:hAnsi="宋体" w:eastAsia="宋体" w:cs="宋体"/>
          <w:i w:val="0"/>
          <w:iCs w:val="0"/>
          <w:caps w:val="0"/>
          <w:color w:val="0F1115"/>
          <w:spacing w:val="0"/>
          <w:sz w:val="22"/>
          <w:szCs w:val="22"/>
          <w:shd w:val="clear" w:color="auto" w:fill="FFFFFF"/>
        </w:rPr>
        <w:t>附件2：原液位计</w:t>
      </w:r>
      <w:r>
        <w:rPr>
          <w:rFonts w:hint="eastAsia" w:ascii="宋体" w:hAnsi="宋体" w:eastAsia="宋体" w:cs="宋体"/>
          <w:i w:val="0"/>
          <w:iCs w:val="0"/>
          <w:caps w:val="0"/>
          <w:color w:val="0F1115"/>
          <w:spacing w:val="0"/>
          <w:sz w:val="22"/>
          <w:szCs w:val="22"/>
          <w:shd w:val="clear" w:color="auto" w:fill="FFFFFF"/>
          <w:lang w:val="en-US" w:eastAsia="zh-CN"/>
        </w:rPr>
        <w:t>出厂铭牌信息</w:t>
      </w:r>
      <w:r>
        <w:rPr>
          <w:rFonts w:hint="eastAsia" w:ascii="宋体" w:hAnsi="宋体" w:eastAsia="宋体" w:cs="宋体"/>
          <w:i w:val="0"/>
          <w:iCs w:val="0"/>
          <w:caps w:val="0"/>
          <w:color w:val="0F1115"/>
          <w:spacing w:val="0"/>
          <w:sz w:val="22"/>
          <w:szCs w:val="22"/>
          <w:shd w:val="clear" w:color="auto" w:fill="FFFFFF"/>
          <w:lang w:val="en-US" w:eastAsia="zh-CN"/>
        </w:rPr>
        <w:object>
          <v:shape id="_x0000_i1025" o:spt="75" type="#_x0000_t75" style="height:35pt;width:104.95pt;" o:ole="t" filled="f" o:preferrelative="t" stroked="f" coordsize="21600,21600">
            <v:path/>
            <v:fill on="f" focussize="0,0"/>
            <v:stroke on="f"/>
            <v:imagedata r:id="rId9" o:title=""/>
            <o:lock v:ext="edit" aspectratio="t"/>
            <w10:wrap type="none"/>
            <w10:anchorlock/>
          </v:shape>
          <o:OLEObject Type="Embed" ProgID="Package" ShapeID="_x0000_i1025" DrawAspect="Content" ObjectID="_1468075725" r:id="rId8">
            <o:LockedField>false</o:LockedField>
          </o:OLEObject>
        </w:object>
      </w:r>
    </w:p>
    <w:p w14:paraId="48AB90FD">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19"/>
          <w:szCs w:val="19"/>
          <w:shd w:val="clear" w:color="auto" w:fill="FFFFFF"/>
          <w:lang w:val="en-US" w:eastAsia="zh-CN"/>
        </w:rPr>
      </w:pPr>
      <w:r>
        <w:rPr>
          <w:rFonts w:hint="eastAsia" w:ascii="宋体" w:hAnsi="宋体" w:eastAsia="宋体" w:cs="宋体"/>
          <w:i w:val="0"/>
          <w:iCs w:val="0"/>
          <w:caps w:val="0"/>
          <w:color w:val="0F1115"/>
          <w:spacing w:val="0"/>
          <w:sz w:val="19"/>
          <w:szCs w:val="19"/>
          <w:shd w:val="clear" w:color="auto" w:fill="FFFFFF"/>
          <w:lang w:val="en-US" w:eastAsia="zh-CN"/>
        </w:rPr>
        <w:drawing>
          <wp:inline distT="0" distB="0" distL="114300" distR="114300">
            <wp:extent cx="2778125" cy="3374390"/>
            <wp:effectExtent l="0" t="0" r="3175" b="16510"/>
            <wp:docPr id="2" name="图片 2" descr="a9f30277c7f6db6e3483b7a7ad71d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9f30277c7f6db6e3483b7a7ad71dc9b"/>
                    <pic:cNvPicPr>
                      <a:picLocks noChangeAspect="1"/>
                    </pic:cNvPicPr>
                  </pic:nvPicPr>
                  <pic:blipFill>
                    <a:blip r:embed="rId10"/>
                    <a:stretch>
                      <a:fillRect/>
                    </a:stretch>
                  </pic:blipFill>
                  <pic:spPr>
                    <a:xfrm>
                      <a:off x="0" y="0"/>
                      <a:ext cx="2778125" cy="3374390"/>
                    </a:xfrm>
                    <a:prstGeom prst="rect">
                      <a:avLst/>
                    </a:prstGeom>
                    <a:noFill/>
                    <a:ln>
                      <a:noFill/>
                    </a:ln>
                  </pic:spPr>
                </pic:pic>
              </a:graphicData>
            </a:graphic>
          </wp:inline>
        </w:drawing>
      </w:r>
      <w:r>
        <w:rPr>
          <w:rFonts w:hint="eastAsia" w:ascii="宋体" w:hAnsi="宋体" w:eastAsia="宋体" w:cs="宋体"/>
          <w:i w:val="0"/>
          <w:iCs w:val="0"/>
          <w:caps w:val="0"/>
          <w:color w:val="0F1115"/>
          <w:spacing w:val="0"/>
          <w:sz w:val="19"/>
          <w:szCs w:val="19"/>
          <w:shd w:val="clear" w:color="auto" w:fill="FFFFFF"/>
          <w:lang w:val="en-US" w:eastAsia="zh-CN"/>
        </w:rPr>
        <w:drawing>
          <wp:inline distT="0" distB="0" distL="114300" distR="114300">
            <wp:extent cx="3146425" cy="3383280"/>
            <wp:effectExtent l="0" t="0" r="15875" b="7620"/>
            <wp:docPr id="3" name="图片 3" descr="c780ea49386285b2d8f33810be3191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780ea49386285b2d8f33810be3191dd"/>
                    <pic:cNvPicPr>
                      <a:picLocks noChangeAspect="1"/>
                    </pic:cNvPicPr>
                  </pic:nvPicPr>
                  <pic:blipFill>
                    <a:blip r:embed="rId11"/>
                    <a:stretch>
                      <a:fillRect/>
                    </a:stretch>
                  </pic:blipFill>
                  <pic:spPr>
                    <a:xfrm>
                      <a:off x="0" y="0"/>
                      <a:ext cx="3146425" cy="3383280"/>
                    </a:xfrm>
                    <a:prstGeom prst="rect">
                      <a:avLst/>
                    </a:prstGeom>
                    <a:noFill/>
                    <a:ln>
                      <a:noFill/>
                    </a:ln>
                  </pic:spPr>
                </pic:pic>
              </a:graphicData>
            </a:graphic>
          </wp:inline>
        </w:drawing>
      </w:r>
    </w:p>
    <w:p w14:paraId="5B16F5F9">
      <w:pPr>
        <w:pStyle w:val="44"/>
        <w:keepNext w:val="0"/>
        <w:keepLines w:val="0"/>
        <w:widowControl/>
        <w:suppressLineNumbers w:val="0"/>
        <w:shd w:val="clear" w:color="auto" w:fill="FFFFFF"/>
        <w:spacing w:before="192" w:beforeAutospacing="0" w:after="192" w:afterAutospacing="0"/>
        <w:ind w:left="0" w:right="0" w:firstLine="0"/>
        <w:rPr>
          <w:rFonts w:hint="eastAsia" w:ascii="宋体" w:hAnsi="宋体" w:eastAsia="宋体" w:cs="宋体"/>
          <w:i w:val="0"/>
          <w:iCs w:val="0"/>
          <w:caps w:val="0"/>
          <w:color w:val="0F1115"/>
          <w:spacing w:val="0"/>
          <w:sz w:val="19"/>
          <w:szCs w:val="19"/>
          <w:shd w:val="clear" w:color="auto" w:fill="FFFFFF"/>
          <w:lang w:val="en-US" w:eastAsia="zh-CN"/>
        </w:rPr>
      </w:pPr>
      <w:r>
        <w:rPr>
          <w:rFonts w:hint="eastAsia" w:ascii="宋体" w:hAnsi="宋体" w:eastAsia="宋体" w:cs="宋体"/>
          <w:i w:val="0"/>
          <w:iCs w:val="0"/>
          <w:caps w:val="0"/>
          <w:color w:val="0F1115"/>
          <w:spacing w:val="0"/>
          <w:sz w:val="19"/>
          <w:szCs w:val="19"/>
          <w:shd w:val="clear" w:color="auto" w:fill="FFFFFF"/>
          <w:lang w:val="en-US" w:eastAsia="zh-CN"/>
        </w:rPr>
        <w:drawing>
          <wp:inline distT="0" distB="0" distL="114300" distR="114300">
            <wp:extent cx="2847340" cy="3338830"/>
            <wp:effectExtent l="0" t="0" r="10160" b="13970"/>
            <wp:docPr id="1" name="图片 4" descr="59b12bbdebac00668f8f9111c9f5bb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59b12bbdebac00668f8f9111c9f5bb52"/>
                    <pic:cNvPicPr>
                      <a:picLocks noChangeAspect="1"/>
                    </pic:cNvPicPr>
                  </pic:nvPicPr>
                  <pic:blipFill>
                    <a:blip r:embed="rId12"/>
                    <a:stretch>
                      <a:fillRect/>
                    </a:stretch>
                  </pic:blipFill>
                  <pic:spPr>
                    <a:xfrm>
                      <a:off x="0" y="0"/>
                      <a:ext cx="2847340" cy="3338830"/>
                    </a:xfrm>
                    <a:prstGeom prst="rect">
                      <a:avLst/>
                    </a:prstGeom>
                    <a:noFill/>
                    <a:ln>
                      <a:noFill/>
                    </a:ln>
                  </pic:spPr>
                </pic:pic>
              </a:graphicData>
            </a:graphic>
          </wp:inline>
        </w:drawing>
      </w:r>
    </w:p>
    <w:p w14:paraId="407F16A4">
      <w:pPr>
        <w:pStyle w:val="215"/>
        <w:numPr>
          <w:ilvl w:val="0"/>
          <w:numId w:val="0"/>
        </w:numPr>
        <w:kinsoku w:val="0"/>
        <w:overflowPunct w:val="0"/>
        <w:spacing w:line="328" w:lineRule="exact"/>
        <w:outlineLvl w:val="9"/>
        <w:rPr>
          <w:rFonts w:hint="default" w:ascii="宋体" w:hAnsi="宋体" w:eastAsia="宋体" w:cs="Arial"/>
          <w:kern w:val="28"/>
          <w:sz w:val="24"/>
          <w:szCs w:val="24"/>
          <w:lang w:val="en-US" w:eastAsia="zh-CN"/>
        </w:rPr>
      </w:pPr>
    </w:p>
    <w:p w14:paraId="792EF88B">
      <w:pPr>
        <w:pStyle w:val="4"/>
      </w:pPr>
    </w:p>
    <w:p w14:paraId="1B131E35">
      <w:pPr>
        <w:pStyle w:val="4"/>
      </w:pPr>
    </w:p>
    <w:p w14:paraId="5D956DBD">
      <w:pPr>
        <w:pStyle w:val="4"/>
      </w:pPr>
    </w:p>
    <w:p w14:paraId="59C531C0">
      <w:pPr>
        <w:pStyle w:val="4"/>
      </w:pPr>
    </w:p>
    <w:p w14:paraId="71AF2540">
      <w:pPr>
        <w:pStyle w:val="4"/>
      </w:pPr>
    </w:p>
    <w:p w14:paraId="419AF8D9">
      <w:pPr>
        <w:pStyle w:val="4"/>
      </w:pPr>
    </w:p>
    <w:p w14:paraId="343408DA">
      <w:pPr>
        <w:pStyle w:val="4"/>
      </w:pPr>
    </w:p>
    <w:p w14:paraId="392788B7">
      <w:pPr>
        <w:pStyle w:val="4"/>
      </w:pPr>
    </w:p>
    <w:p w14:paraId="0DC221CF">
      <w:pPr>
        <w:pStyle w:val="4"/>
      </w:pPr>
    </w:p>
    <w:p w14:paraId="63CA5AB0">
      <w:pPr>
        <w:pStyle w:val="4"/>
      </w:pPr>
    </w:p>
    <w:p w14:paraId="480CCB15">
      <w:pPr>
        <w:pStyle w:val="4"/>
      </w:pPr>
    </w:p>
    <w:p w14:paraId="085B562D">
      <w:pPr>
        <w:pStyle w:val="4"/>
      </w:pPr>
    </w:p>
    <w:p w14:paraId="4B348231">
      <w:pPr>
        <w:pStyle w:val="4"/>
      </w:pPr>
    </w:p>
    <w:p w14:paraId="0E0345BB">
      <w:pPr>
        <w:pStyle w:val="4"/>
      </w:pPr>
    </w:p>
    <w:p w14:paraId="05D36D27">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20858495">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沸腾床渣油加氢装置膜分离3台高压磁浮子液位计维修</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96F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9C401EC">
            <w:pPr>
              <w:spacing w:line="500" w:lineRule="exact"/>
              <w:jc w:val="center"/>
              <w:rPr>
                <w:rFonts w:hint="eastAsia" w:eastAsia="宋体"/>
                <w:sz w:val="24"/>
                <w:lang w:val="en-US" w:eastAsia="zh-CN"/>
              </w:rPr>
            </w:pPr>
            <w:r>
              <w:rPr>
                <w:rFonts w:hint="eastAsia"/>
                <w:sz w:val="24"/>
                <w:lang w:val="en-US" w:eastAsia="zh-CN"/>
              </w:rPr>
              <w:t>7</w:t>
            </w:r>
          </w:p>
        </w:tc>
        <w:tc>
          <w:tcPr>
            <w:tcW w:w="6023" w:type="dxa"/>
          </w:tcPr>
          <w:p w14:paraId="21B97974">
            <w:pPr>
              <w:spacing w:line="500" w:lineRule="exact"/>
              <w:rPr>
                <w:rFonts w:hint="default" w:eastAsia="宋体"/>
                <w:sz w:val="24"/>
                <w:lang w:val="en-US" w:eastAsia="zh-CN"/>
              </w:rPr>
            </w:pPr>
            <w:r>
              <w:rPr>
                <w:rFonts w:hint="eastAsia"/>
                <w:sz w:val="24"/>
                <w:lang w:val="en-US" w:eastAsia="zh-CN"/>
              </w:rPr>
              <w:t>授权文件</w:t>
            </w:r>
          </w:p>
        </w:tc>
        <w:tc>
          <w:tcPr>
            <w:tcW w:w="1843" w:type="dxa"/>
          </w:tcPr>
          <w:p w14:paraId="06676CA6">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8</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73B0F68F">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沸腾床渣油加氢装置膜分离3台高压磁浮子液位计维修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118097BC">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授权文件</w:t>
      </w:r>
    </w:p>
    <w:p w14:paraId="6D29FBE5">
      <w:pPr>
        <w:spacing w:line="360" w:lineRule="auto"/>
        <w:jc w:val="center"/>
        <w:rPr>
          <w:rFonts w:hint="eastAsia" w:ascii="Times New Roman" w:hAnsi="Times New Roman" w:cs="Times New Roman"/>
          <w:b/>
          <w:sz w:val="36"/>
          <w:szCs w:val="36"/>
          <w:lang w:val="en-US" w:eastAsia="zh-CN"/>
        </w:rPr>
      </w:pPr>
    </w:p>
    <w:p w14:paraId="7AE8509D">
      <w:pPr>
        <w:spacing w:line="360" w:lineRule="auto"/>
        <w:jc w:val="center"/>
        <w:rPr>
          <w:rFonts w:hint="eastAsia" w:ascii="Times New Roman" w:hAnsi="Times New Roman" w:cs="Times New Roman"/>
          <w:b/>
          <w:sz w:val="36"/>
          <w:szCs w:val="36"/>
          <w:lang w:val="en-US" w:eastAsia="zh-CN"/>
        </w:rPr>
      </w:pPr>
    </w:p>
    <w:p w14:paraId="3B367EA5">
      <w:pPr>
        <w:spacing w:line="360" w:lineRule="auto"/>
        <w:jc w:val="center"/>
        <w:rPr>
          <w:rFonts w:hint="eastAsia" w:ascii="Times New Roman" w:hAnsi="Times New Roman" w:cs="Times New Roman"/>
          <w:b/>
          <w:sz w:val="36"/>
          <w:szCs w:val="36"/>
          <w:lang w:val="en-US" w:eastAsia="zh-CN"/>
        </w:rPr>
      </w:pPr>
    </w:p>
    <w:p w14:paraId="44F67F8C">
      <w:pPr>
        <w:spacing w:line="360" w:lineRule="auto"/>
        <w:jc w:val="center"/>
        <w:rPr>
          <w:rFonts w:hint="eastAsia" w:ascii="Times New Roman" w:hAnsi="Times New Roman" w:cs="Times New Roman"/>
          <w:b/>
          <w:sz w:val="36"/>
          <w:szCs w:val="36"/>
          <w:lang w:val="en-US" w:eastAsia="zh-CN"/>
        </w:rPr>
      </w:pPr>
    </w:p>
    <w:p w14:paraId="78A45DBE">
      <w:pPr>
        <w:spacing w:line="360" w:lineRule="auto"/>
        <w:jc w:val="center"/>
        <w:rPr>
          <w:rFonts w:hint="eastAsia" w:ascii="Times New Roman" w:hAnsi="Times New Roman" w:cs="Times New Roman"/>
          <w:b/>
          <w:sz w:val="36"/>
          <w:szCs w:val="36"/>
          <w:lang w:val="en-US" w:eastAsia="zh-CN"/>
        </w:rPr>
      </w:pPr>
    </w:p>
    <w:p w14:paraId="7E0B42EC">
      <w:pPr>
        <w:spacing w:line="360" w:lineRule="auto"/>
        <w:jc w:val="center"/>
        <w:rPr>
          <w:rFonts w:hint="eastAsia" w:ascii="Times New Roman" w:hAnsi="Times New Roman" w:cs="Times New Roman"/>
          <w:b/>
          <w:sz w:val="36"/>
          <w:szCs w:val="36"/>
          <w:lang w:val="en-US" w:eastAsia="zh-CN"/>
        </w:rPr>
      </w:pPr>
    </w:p>
    <w:p w14:paraId="087E0B27">
      <w:pPr>
        <w:spacing w:line="360" w:lineRule="auto"/>
        <w:jc w:val="center"/>
        <w:rPr>
          <w:rFonts w:hint="eastAsia" w:ascii="Times New Roman" w:hAnsi="Times New Roman" w:cs="Times New Roman"/>
          <w:b/>
          <w:sz w:val="36"/>
          <w:szCs w:val="36"/>
          <w:lang w:val="en-US" w:eastAsia="zh-CN"/>
        </w:rPr>
      </w:pPr>
    </w:p>
    <w:p w14:paraId="07DB238E">
      <w:pPr>
        <w:spacing w:line="360" w:lineRule="auto"/>
        <w:jc w:val="center"/>
        <w:rPr>
          <w:rFonts w:hint="eastAsia" w:ascii="Times New Roman" w:hAnsi="Times New Roman" w:cs="Times New Roman"/>
          <w:b/>
          <w:sz w:val="36"/>
          <w:szCs w:val="36"/>
          <w:lang w:val="en-US" w:eastAsia="zh-CN"/>
        </w:rPr>
      </w:pPr>
    </w:p>
    <w:p w14:paraId="1B01EA32">
      <w:pPr>
        <w:spacing w:line="360" w:lineRule="auto"/>
        <w:jc w:val="center"/>
        <w:rPr>
          <w:rFonts w:hint="eastAsia" w:ascii="Times New Roman" w:hAnsi="Times New Roman" w:cs="Times New Roman"/>
          <w:b/>
          <w:sz w:val="36"/>
          <w:szCs w:val="36"/>
          <w:lang w:val="en-US" w:eastAsia="zh-CN"/>
        </w:rPr>
      </w:pPr>
    </w:p>
    <w:p w14:paraId="64386A10">
      <w:pPr>
        <w:spacing w:line="360" w:lineRule="auto"/>
        <w:jc w:val="center"/>
        <w:rPr>
          <w:rFonts w:hint="eastAsia" w:ascii="Times New Roman" w:hAnsi="Times New Roman" w:cs="Times New Roman"/>
          <w:b/>
          <w:sz w:val="36"/>
          <w:szCs w:val="36"/>
          <w:lang w:val="en-US" w:eastAsia="zh-CN"/>
        </w:rPr>
      </w:pPr>
    </w:p>
    <w:p w14:paraId="5945EBF3">
      <w:pPr>
        <w:spacing w:line="360" w:lineRule="auto"/>
        <w:jc w:val="center"/>
        <w:rPr>
          <w:rFonts w:hint="eastAsia" w:ascii="Times New Roman" w:hAnsi="Times New Roman" w:cs="Times New Roman"/>
          <w:b/>
          <w:sz w:val="36"/>
          <w:szCs w:val="36"/>
          <w:lang w:val="en-US" w:eastAsia="zh-CN"/>
        </w:rPr>
      </w:pPr>
    </w:p>
    <w:p w14:paraId="0C2B7EFE">
      <w:pPr>
        <w:spacing w:line="360" w:lineRule="auto"/>
        <w:jc w:val="center"/>
        <w:rPr>
          <w:rFonts w:hint="eastAsia" w:ascii="Times New Roman" w:hAnsi="Times New Roman" w:cs="Times New Roman"/>
          <w:b/>
          <w:sz w:val="36"/>
          <w:szCs w:val="36"/>
          <w:lang w:val="en-US" w:eastAsia="zh-CN"/>
        </w:rPr>
      </w:pPr>
    </w:p>
    <w:p w14:paraId="0FD35950">
      <w:pPr>
        <w:spacing w:line="360" w:lineRule="auto"/>
        <w:jc w:val="center"/>
        <w:rPr>
          <w:rFonts w:hint="eastAsia" w:ascii="Times New Roman" w:hAnsi="Times New Roman" w:cs="Times New Roman"/>
          <w:b/>
          <w:sz w:val="36"/>
          <w:szCs w:val="36"/>
          <w:lang w:val="en-US" w:eastAsia="zh-CN"/>
        </w:rPr>
      </w:pPr>
    </w:p>
    <w:p w14:paraId="3B052FBF">
      <w:pPr>
        <w:spacing w:line="360" w:lineRule="auto"/>
        <w:jc w:val="center"/>
        <w:rPr>
          <w:rFonts w:hint="eastAsia" w:ascii="Times New Roman" w:hAnsi="Times New Roman" w:cs="Times New Roman"/>
          <w:b/>
          <w:sz w:val="36"/>
          <w:szCs w:val="36"/>
          <w:lang w:val="en-US" w:eastAsia="zh-CN"/>
        </w:rPr>
      </w:pPr>
    </w:p>
    <w:p w14:paraId="702344A8">
      <w:pPr>
        <w:spacing w:line="360" w:lineRule="auto"/>
        <w:jc w:val="center"/>
        <w:rPr>
          <w:rFonts w:hint="eastAsia" w:ascii="Times New Roman" w:hAnsi="Times New Roman" w:cs="Times New Roman"/>
          <w:b/>
          <w:sz w:val="36"/>
          <w:szCs w:val="36"/>
          <w:lang w:val="en-US" w:eastAsia="zh-CN"/>
        </w:rPr>
      </w:pPr>
    </w:p>
    <w:p w14:paraId="334FBF13">
      <w:pPr>
        <w:spacing w:line="360" w:lineRule="auto"/>
        <w:jc w:val="center"/>
        <w:rPr>
          <w:rFonts w:hint="eastAsia" w:ascii="Times New Roman" w:hAnsi="Times New Roman" w:cs="Times New Roman"/>
          <w:b/>
          <w:sz w:val="36"/>
          <w:szCs w:val="36"/>
          <w:lang w:val="en-US" w:eastAsia="zh-CN"/>
        </w:rPr>
      </w:pPr>
    </w:p>
    <w:p w14:paraId="52387065">
      <w:pPr>
        <w:spacing w:line="360" w:lineRule="auto"/>
        <w:jc w:val="center"/>
        <w:rPr>
          <w:rFonts w:hint="eastAsia" w:ascii="Times New Roman" w:hAnsi="Times New Roman" w:cs="Times New Roman"/>
          <w:b/>
          <w:sz w:val="36"/>
          <w:szCs w:val="36"/>
          <w:lang w:val="en-US" w:eastAsia="zh-CN"/>
        </w:rPr>
      </w:pPr>
    </w:p>
    <w:p w14:paraId="19A38D8C">
      <w:pPr>
        <w:spacing w:line="360" w:lineRule="auto"/>
        <w:jc w:val="center"/>
        <w:rPr>
          <w:rFonts w:hint="eastAsia" w:ascii="Times New Roman" w:hAnsi="Times New Roman" w:cs="Times New Roman"/>
          <w:b/>
          <w:sz w:val="36"/>
          <w:szCs w:val="36"/>
          <w:lang w:val="en-US" w:eastAsia="zh-CN"/>
        </w:rPr>
      </w:pPr>
    </w:p>
    <w:p w14:paraId="133F2257">
      <w:pPr>
        <w:spacing w:line="360" w:lineRule="auto"/>
        <w:jc w:val="center"/>
        <w:rPr>
          <w:rFonts w:hint="eastAsia" w:ascii="Times New Roman" w:hAnsi="Times New Roman" w:cs="Times New Roman"/>
          <w:b/>
          <w:sz w:val="36"/>
          <w:szCs w:val="36"/>
          <w:lang w:val="en-US" w:eastAsia="zh-CN"/>
        </w:rPr>
      </w:pPr>
    </w:p>
    <w:p w14:paraId="2AD8D92D">
      <w:pPr>
        <w:spacing w:line="360" w:lineRule="auto"/>
        <w:jc w:val="center"/>
        <w:rPr>
          <w:rFonts w:hint="eastAsia" w:ascii="Times New Roman" w:hAnsi="Times New Roman" w:cs="Times New Roman"/>
          <w:b/>
          <w:sz w:val="36"/>
          <w:szCs w:val="36"/>
          <w:lang w:val="en-US" w:eastAsia="zh-CN"/>
        </w:rPr>
      </w:pPr>
    </w:p>
    <w:p w14:paraId="7AB48AAB">
      <w:pPr>
        <w:spacing w:line="360" w:lineRule="auto"/>
        <w:jc w:val="center"/>
        <w:rPr>
          <w:rFonts w:hint="eastAsia" w:ascii="Times New Roman" w:hAnsi="Times New Roman" w:cs="Times New Roman"/>
          <w:b/>
          <w:sz w:val="36"/>
          <w:szCs w:val="36"/>
          <w:lang w:val="en-US" w:eastAsia="zh-CN"/>
        </w:rPr>
      </w:pPr>
    </w:p>
    <w:p w14:paraId="17162968">
      <w:pPr>
        <w:spacing w:line="360" w:lineRule="auto"/>
        <w:jc w:val="center"/>
        <w:rPr>
          <w:rFonts w:hint="eastAsia" w:ascii="Times New Roman" w:hAnsi="Times New Roman" w:cs="Times New Roman"/>
          <w:b/>
          <w:sz w:val="36"/>
          <w:szCs w:val="36"/>
          <w:lang w:val="en-US"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研究福建福海创石油化工有限公司沸腾床渣油加氢装置膜分离3台高压磁浮子液位计维修采购文件的全部内容后，我方愿以以下报价，严格按照采购文件的要求，交付本项目并维修其中的任何缺陷。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4679C02D">
            <w:pPr>
              <w:spacing w:line="360" w:lineRule="auto"/>
              <w:ind w:firstLine="980" w:firstLineChars="350"/>
              <w:rPr>
                <w:rFonts w:ascii="Times New Roman" w:hAnsi="Times New Roman"/>
                <w:sz w:val="28"/>
                <w:szCs w:val="28"/>
                <w:lang w:eastAsia="zh-CN"/>
              </w:rPr>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4DAA6F87">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Adobe 黑体 Std R">
    <w:altName w:val="Arial Unicode MS"/>
    <w:panose1 w:val="020B0400000000000000"/>
    <w:charset w:val="86"/>
    <w:family w:val="swiss"/>
    <w:pitch w:val="default"/>
    <w:sig w:usb0="00000000" w:usb1="00000000" w:usb2="00000016" w:usb3="00000000" w:csb0="00060007" w:csb1="00000000"/>
  </w:font>
  <w:font w:name="KSOF867CDE08">
    <w:panose1 w:val="020B0604020202020204"/>
    <w:charset w:val="86"/>
    <w:family w:val="auto"/>
    <w:pitch w:val="default"/>
    <w:sig w:usb0="00000001" w:usb1="00000000" w:usb2="00000000" w:usb3="00000000" w:csb0="0006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0C3EDEE8"/>
    <w:multiLevelType w:val="singleLevel"/>
    <w:tmpl w:val="0C3EDEE8"/>
    <w:lvl w:ilvl="0" w:tentative="0">
      <w:start w:val="1"/>
      <w:numFmt w:val="chineseCounting"/>
      <w:suff w:val="nothing"/>
      <w:lvlText w:val="%1、"/>
      <w:lvlJc w:val="left"/>
      <w:rPr>
        <w:rFonts w:hint="eastAsia"/>
      </w:rPr>
    </w:lvl>
  </w:abstractNum>
  <w:abstractNum w:abstractNumId="5">
    <w:nsid w:val="14B8213F"/>
    <w:multiLevelType w:val="singleLevel"/>
    <w:tmpl w:val="14B8213F"/>
    <w:lvl w:ilvl="0" w:tentative="0">
      <w:start w:val="1"/>
      <w:numFmt w:val="chineseCounting"/>
      <w:suff w:val="nothing"/>
      <w:lvlText w:val="%1、"/>
      <w:lvlJc w:val="left"/>
      <w:pPr>
        <w:ind w:left="0" w:firstLine="420"/>
      </w:pPr>
      <w:rPr>
        <w:rFonts w:hint="eastAsia"/>
      </w:rPr>
    </w:lvl>
  </w:abstractNum>
  <w:abstractNum w:abstractNumId="6">
    <w:nsid w:val="284AEC98"/>
    <w:multiLevelType w:val="singleLevel"/>
    <w:tmpl w:val="284AEC98"/>
    <w:lvl w:ilvl="0" w:tentative="0">
      <w:start w:val="2"/>
      <w:numFmt w:val="chineseCounting"/>
      <w:suff w:val="nothing"/>
      <w:lvlText w:val="%1、"/>
      <w:lvlJc w:val="left"/>
      <w:rPr>
        <w:rFonts w:hint="eastAsia"/>
      </w:rPr>
    </w:lvl>
  </w:abstractNum>
  <w:abstractNum w:abstractNumId="7">
    <w:nsid w:val="2B86DC3C"/>
    <w:multiLevelType w:val="singleLevel"/>
    <w:tmpl w:val="2B86DC3C"/>
    <w:lvl w:ilvl="0" w:tentative="0">
      <w:start w:val="1"/>
      <w:numFmt w:val="decimal"/>
      <w:suff w:val="nothing"/>
      <w:lvlText w:val="%1、"/>
      <w:lvlJc w:val="left"/>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4B44014A"/>
    <w:multiLevelType w:val="singleLevel"/>
    <w:tmpl w:val="4B44014A"/>
    <w:lvl w:ilvl="0" w:tentative="0">
      <w:start w:val="9"/>
      <w:numFmt w:val="chineseCounting"/>
      <w:suff w:val="nothing"/>
      <w:lvlText w:val="%1、"/>
      <w:lvlJc w:val="left"/>
      <w:rPr>
        <w:rFonts w:hint="eastAsia"/>
      </w:rPr>
    </w:lvl>
  </w:abstractNum>
  <w:abstractNum w:abstractNumId="12">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3"/>
  </w:num>
  <w:num w:numId="3">
    <w:abstractNumId w:val="11"/>
  </w:num>
  <w:num w:numId="4">
    <w:abstractNumId w:val="8"/>
  </w:num>
  <w:num w:numId="5">
    <w:abstractNumId w:val="9"/>
  </w:num>
  <w:num w:numId="6">
    <w:abstractNumId w:val="10"/>
  </w:num>
  <w:num w:numId="7">
    <w:abstractNumId w:val="13"/>
  </w:num>
  <w:num w:numId="8">
    <w:abstractNumId w:val="4"/>
  </w:num>
  <w:num w:numId="9">
    <w:abstractNumId w:val="1"/>
  </w:num>
  <w:num w:numId="10">
    <w:abstractNumId w:val="7"/>
  </w:num>
  <w:num w:numId="11">
    <w:abstractNumId w:val="0"/>
  </w:num>
  <w:num w:numId="12">
    <w:abstractNumId w:val="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9A08F9"/>
    <w:rsid w:val="03D16C91"/>
    <w:rsid w:val="061139E5"/>
    <w:rsid w:val="06F50B00"/>
    <w:rsid w:val="071208DE"/>
    <w:rsid w:val="076E1278"/>
    <w:rsid w:val="08D1141D"/>
    <w:rsid w:val="0B296DE2"/>
    <w:rsid w:val="0E1B4C41"/>
    <w:rsid w:val="10294AA3"/>
    <w:rsid w:val="10E40CA0"/>
    <w:rsid w:val="114E0702"/>
    <w:rsid w:val="136130D9"/>
    <w:rsid w:val="144E062A"/>
    <w:rsid w:val="15EC04AB"/>
    <w:rsid w:val="16933BA9"/>
    <w:rsid w:val="18DD4F7E"/>
    <w:rsid w:val="195B58A2"/>
    <w:rsid w:val="1E085A14"/>
    <w:rsid w:val="1EBB29E4"/>
    <w:rsid w:val="1FE30229"/>
    <w:rsid w:val="1FF43DDB"/>
    <w:rsid w:val="1FFF643B"/>
    <w:rsid w:val="2085387C"/>
    <w:rsid w:val="20F326ED"/>
    <w:rsid w:val="21933AA2"/>
    <w:rsid w:val="22C543E9"/>
    <w:rsid w:val="24D17A31"/>
    <w:rsid w:val="25BF356F"/>
    <w:rsid w:val="25DB0C2D"/>
    <w:rsid w:val="269469E7"/>
    <w:rsid w:val="29375E29"/>
    <w:rsid w:val="29FC3B14"/>
    <w:rsid w:val="2B11792E"/>
    <w:rsid w:val="31C54755"/>
    <w:rsid w:val="3216608C"/>
    <w:rsid w:val="335E6981"/>
    <w:rsid w:val="344622E0"/>
    <w:rsid w:val="34CE14C6"/>
    <w:rsid w:val="34D84CEC"/>
    <w:rsid w:val="35386DE0"/>
    <w:rsid w:val="36065CBA"/>
    <w:rsid w:val="37AF5AB7"/>
    <w:rsid w:val="39916B30"/>
    <w:rsid w:val="3B1C3371"/>
    <w:rsid w:val="3CC23198"/>
    <w:rsid w:val="3DDF4815"/>
    <w:rsid w:val="3FE669E5"/>
    <w:rsid w:val="43C46838"/>
    <w:rsid w:val="4AAD035C"/>
    <w:rsid w:val="4BC3600A"/>
    <w:rsid w:val="4EF47F0C"/>
    <w:rsid w:val="4F2142E4"/>
    <w:rsid w:val="4F2D7040"/>
    <w:rsid w:val="4F8849BF"/>
    <w:rsid w:val="50060D27"/>
    <w:rsid w:val="50F63E28"/>
    <w:rsid w:val="51AE1E68"/>
    <w:rsid w:val="5221007F"/>
    <w:rsid w:val="52926B5A"/>
    <w:rsid w:val="534E1433"/>
    <w:rsid w:val="545C5E51"/>
    <w:rsid w:val="5486175B"/>
    <w:rsid w:val="55E72F2E"/>
    <w:rsid w:val="57667D24"/>
    <w:rsid w:val="57CE5BC3"/>
    <w:rsid w:val="59B51AED"/>
    <w:rsid w:val="5AE1516A"/>
    <w:rsid w:val="5B6A3A79"/>
    <w:rsid w:val="5B7F63EC"/>
    <w:rsid w:val="5BAF4E87"/>
    <w:rsid w:val="5C1A5F7B"/>
    <w:rsid w:val="5E836CBA"/>
    <w:rsid w:val="621E205B"/>
    <w:rsid w:val="645771F8"/>
    <w:rsid w:val="686C3513"/>
    <w:rsid w:val="6A54112D"/>
    <w:rsid w:val="6AA035AE"/>
    <w:rsid w:val="6CFE3587"/>
    <w:rsid w:val="6D810F65"/>
    <w:rsid w:val="6E0F2E14"/>
    <w:rsid w:val="6E191737"/>
    <w:rsid w:val="6F1E141D"/>
    <w:rsid w:val="6F5354F8"/>
    <w:rsid w:val="739A7D73"/>
    <w:rsid w:val="740A2BDE"/>
    <w:rsid w:val="751839E0"/>
    <w:rsid w:val="761E63CE"/>
    <w:rsid w:val="76274F93"/>
    <w:rsid w:val="76C35971"/>
    <w:rsid w:val="79EB3F2F"/>
    <w:rsid w:val="7B11789E"/>
    <w:rsid w:val="7B9B6789"/>
    <w:rsid w:val="7BC609BA"/>
    <w:rsid w:val="7C792A7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uiPriority w:val="0"/>
    <w:pPr>
      <w:widowControl/>
      <w:autoSpaceDE/>
      <w:autoSpaceDN/>
      <w:spacing w:before="100" w:beforeAutospacing="1" w:after="100" w:afterAutospacing="1"/>
    </w:pPr>
    <w:rPr>
      <w:sz w:val="24"/>
      <w:szCs w:val="24"/>
      <w:lang w:eastAsia="zh-CN"/>
    </w:rPr>
  </w:style>
  <w:style w:type="paragraph" w:styleId="45">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 w:type="paragraph" w:customStyle="1" w:styleId="215">
    <w:name w:val="Heading 7"/>
    <w:basedOn w:val="1"/>
    <w:uiPriority w:val="0"/>
    <w:pPr>
      <w:ind w:left="2567"/>
      <w:outlineLvl w:val="6"/>
    </w:pPr>
    <w:rPr>
      <w:rFonts w:ascii="微软雅黑" w:eastAsia="微软雅黑" w:cs="微软雅黑"/>
      <w:b/>
      <w:bCs/>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34</Pages>
  <Words>880</Words>
  <Characters>1046</Characters>
  <Lines>127</Lines>
  <Paragraphs>35</Paragraphs>
  <TotalTime>0</TotalTime>
  <ScaleCrop>false</ScaleCrop>
  <LinksUpToDate>false</LinksUpToDate>
  <CharactersWithSpaces>1213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2026-06-16T06:02:27Z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