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4F787D58">
      <w:pPr>
        <w:pStyle w:val="59"/>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73F854D7">
      <w:pPr>
        <w:pStyle w:val="59"/>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干气分离及重芳烃轻质化项目工业管道及设备化学清洗服务</w:t>
      </w:r>
    </w:p>
    <w:p w14:paraId="41DFB9F3">
      <w:pPr>
        <w:pStyle w:val="59"/>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FAP1-CGSQ-202606-004</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59"/>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8"/>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9"/>
      </w:pPr>
    </w:p>
    <w:p w14:paraId="678BF23D">
      <w:pPr>
        <w:jc w:val="center"/>
        <w:rPr>
          <w:rFonts w:hint="eastAsia"/>
          <w:b/>
          <w:bCs/>
          <w:sz w:val="32"/>
          <w:lang w:eastAsia="zh-CN"/>
        </w:rPr>
      </w:pPr>
      <w:r>
        <w:rPr>
          <w:rFonts w:hint="eastAsia"/>
          <w:b/>
          <w:bCs/>
          <w:sz w:val="32"/>
          <w:lang w:eastAsia="zh-CN"/>
        </w:rPr>
        <w:t>福建福海创石油化工有限公司</w:t>
      </w:r>
    </w:p>
    <w:p w14:paraId="0C666278">
      <w:pPr>
        <w:jc w:val="center"/>
        <w:rPr>
          <w:rFonts w:hint="eastAsia"/>
          <w:b/>
          <w:bCs/>
          <w:sz w:val="32"/>
          <w:lang w:eastAsia="zh-CN"/>
        </w:rPr>
      </w:pPr>
      <w:r>
        <w:rPr>
          <w:rFonts w:hint="eastAsia"/>
          <w:b/>
          <w:bCs/>
          <w:sz w:val="32"/>
          <w:lang w:eastAsia="zh-CN"/>
        </w:rPr>
        <w:t>干气分离及重芳烃轻质化项目工业管道及设备化学清洗服务</w:t>
      </w:r>
    </w:p>
    <w:p w14:paraId="448318D1">
      <w:pPr>
        <w:jc w:val="center"/>
        <w:rPr>
          <w:rFonts w:hint="eastAsia"/>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福建福海创石油化工有限公司干气分离及重芳烃轻质化项目工业管道及设备化学清洗服务（项目编号：FAP1-CGSQ-202606-004）</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项目名称：福建福海创石油化工有限公司干气分离及重芳烃轻质化项目工业管道及设备化学清洗服务</w:t>
      </w:r>
    </w:p>
    <w:p w14:paraId="2E678DB7">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2.采购项目简要说明：福建福海创石油化工有限公司干气分离及重芳烃轻质化项目工业管道及设备化学清洗服务，具体详见附件化学清洗清单、工艺流程图、管道单线图及设备图等。</w:t>
      </w:r>
    </w:p>
    <w:p w14:paraId="10E7CD1A">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3.采购控制价：780955.49元（含</w:t>
      </w:r>
      <w:r>
        <w:rPr>
          <w:rFonts w:hint="eastAsia"/>
          <w:sz w:val="24"/>
          <w:szCs w:val="24"/>
          <w:lang w:val="en-US" w:eastAsia="zh-CN"/>
        </w:rPr>
        <w:t>6</w:t>
      </w:r>
      <w:r>
        <w:rPr>
          <w:rFonts w:hint="eastAsia"/>
          <w:sz w:val="24"/>
          <w:szCs w:val="24"/>
          <w:lang w:eastAsia="zh-CN"/>
        </w:rPr>
        <w:t>%增值税）</w:t>
      </w:r>
      <w:r>
        <w:rPr>
          <w:rFonts w:hint="eastAsia"/>
          <w:sz w:val="24"/>
          <w:szCs w:val="24"/>
          <w:lang w:val="en-US" w:eastAsia="zh-CN"/>
        </w:rPr>
        <w:t>。</w:t>
      </w:r>
    </w:p>
    <w:p w14:paraId="6B0FDC55">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4.工期要求：</w:t>
      </w:r>
      <w:r>
        <w:rPr>
          <w:rFonts w:hint="eastAsia"/>
          <w:sz w:val="24"/>
          <w:szCs w:val="24"/>
          <w:lang w:val="en-US" w:eastAsia="zh-CN"/>
        </w:rPr>
        <w:t>本项目工期要求不大于 7 个日历天，开工日期根据发包人通知。</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2E890429">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必须具有工业清洗企业资质证书化学清洗</w:t>
      </w:r>
      <w:r>
        <w:rPr>
          <w:rFonts w:hint="eastAsia"/>
          <w:sz w:val="24"/>
          <w:szCs w:val="24"/>
          <w:lang w:val="en-US" w:eastAsia="zh-CN"/>
        </w:rPr>
        <w:t>A</w:t>
      </w:r>
      <w:r>
        <w:rPr>
          <w:rFonts w:hint="eastAsia"/>
          <w:sz w:val="24"/>
          <w:szCs w:val="24"/>
          <w:lang w:eastAsia="zh-CN"/>
        </w:rPr>
        <w:t>级，具备有效的安全生产许可证，且近3年内无重大安全事故记录。</w:t>
      </w:r>
    </w:p>
    <w:p w14:paraId="47192DFD">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3.参比人2021年1月1日至今具有石油化工装置工艺管道清洗业绩不少于2项，需提供合同复印件和技术文件复印件。</w:t>
      </w:r>
    </w:p>
    <w:p w14:paraId="12607273">
      <w:pPr>
        <w:tabs>
          <w:tab w:val="left" w:pos="709"/>
        </w:tabs>
        <w:spacing w:line="360" w:lineRule="auto"/>
        <w:ind w:firstLine="480" w:firstLineChars="200"/>
        <w:rPr>
          <w:rFonts w:hint="default" w:eastAsia="宋体"/>
          <w:sz w:val="24"/>
          <w:szCs w:val="24"/>
          <w:lang w:val="en-US" w:eastAsia="zh-CN"/>
        </w:rPr>
      </w:pPr>
      <w:r>
        <w:rPr>
          <w:rFonts w:hint="eastAsia"/>
          <w:sz w:val="24"/>
          <w:szCs w:val="24"/>
          <w:lang w:val="en-US" w:eastAsia="zh-CN"/>
        </w:rPr>
        <w:t>4.参比人拥有专业的化学清洗施工团队，团队成员需具备相应的从业资格证书，关键岗位人员（如现场负责人、技术负责人）需有5年以上工业管道化学清洗施工经验。关键岗位人员需要提供工作履历。</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5</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6</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14:paraId="65EDB709">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资质证书</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9"/>
      </w:pPr>
    </w:p>
    <w:p w14:paraId="0480057A">
      <w:pPr>
        <w:pStyle w:val="59"/>
      </w:pPr>
    </w:p>
    <w:p w14:paraId="3E5EC0CF">
      <w:pPr>
        <w:pStyle w:val="59"/>
      </w:pPr>
    </w:p>
    <w:p w14:paraId="31559779">
      <w:pPr>
        <w:pStyle w:val="59"/>
      </w:pPr>
    </w:p>
    <w:p w14:paraId="55228FBD">
      <w:pPr>
        <w:pStyle w:val="59"/>
      </w:pPr>
    </w:p>
    <w:p w14:paraId="3002329D">
      <w:pPr>
        <w:pStyle w:val="59"/>
      </w:pPr>
    </w:p>
    <w:p w14:paraId="77031BBD">
      <w:pPr>
        <w:pStyle w:val="59"/>
      </w:pPr>
    </w:p>
    <w:p w14:paraId="02B33D47">
      <w:pPr>
        <w:pStyle w:val="59"/>
      </w:pPr>
    </w:p>
    <w:p w14:paraId="2AF800CB">
      <w:pPr>
        <w:pStyle w:val="59"/>
      </w:pPr>
    </w:p>
    <w:p w14:paraId="5E398EA5">
      <w:pPr>
        <w:pStyle w:val="59"/>
      </w:pPr>
    </w:p>
    <w:p w14:paraId="4FF60EEB">
      <w:pPr>
        <w:pStyle w:val="59"/>
      </w:pPr>
    </w:p>
    <w:p w14:paraId="511C7B09">
      <w:pPr>
        <w:pStyle w:val="59"/>
      </w:pPr>
    </w:p>
    <w:p w14:paraId="35C1D2D2">
      <w:pPr>
        <w:pStyle w:val="59"/>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sz w:val="24"/>
          <w:szCs w:val="24"/>
          <w:lang w:eastAsia="zh-CN"/>
        </w:rPr>
        <w:t>福建福海创石油化工有限公司干气分离及重芳烃轻质化项目工业管道及设备化学清洗服务</w:t>
      </w:r>
      <w:r>
        <w:rPr>
          <w:rFonts w:hint="eastAsia" w:hAnsi="Calibri" w:cs="黑体"/>
          <w:color w:val="000000" w:themeColor="text1"/>
          <w:sz w:val="24"/>
          <w:szCs w:val="24"/>
          <w:u w:val="single"/>
          <w:lang w:eastAsia="zh-CN"/>
        </w:rPr>
        <w:t>（项目编号：FAP1-CGSQ-202606-004）</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9"/>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C0FA8F">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福建福海创石油化工有限公司干气分离及重芳烃轻质化项目工业管道及设备化学清洗服务</w:t>
      </w:r>
    </w:p>
    <w:p w14:paraId="48298414">
      <w:pPr>
        <w:pStyle w:val="21"/>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1"/>
        <w:spacing w:line="360" w:lineRule="auto"/>
        <w:ind w:right="121"/>
        <w:jc w:val="both"/>
        <w:rPr>
          <w:rFonts w:hint="default"/>
          <w:lang w:val="en-US"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固定单价，据实结算</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21"/>
        <w:spacing w:line="360" w:lineRule="auto"/>
        <w:ind w:right="121"/>
        <w:jc w:val="both"/>
        <w:rPr>
          <w:lang w:eastAsia="zh-CN"/>
        </w:rPr>
      </w:pPr>
      <w:r>
        <w:rPr>
          <w:rFonts w:hint="eastAsia"/>
          <w:lang w:eastAsia="zh-CN"/>
        </w:rPr>
        <w:t xml:space="preserve">    5.项目联系人</w:t>
      </w:r>
    </w:p>
    <w:p w14:paraId="2939A3EF">
      <w:pPr>
        <w:pStyle w:val="21"/>
        <w:spacing w:line="360" w:lineRule="auto"/>
        <w:ind w:right="121" w:firstLine="480"/>
        <w:jc w:val="both"/>
        <w:rPr>
          <w:rFonts w:ascii="Arial" w:hAnsi="Arial" w:eastAsia="宋体" w:cs="Arial"/>
          <w:i w:val="0"/>
          <w:iCs w:val="0"/>
          <w:caps w:val="0"/>
          <w:color w:val="111111"/>
          <w:spacing w:val="0"/>
          <w:sz w:val="18"/>
          <w:szCs w:val="18"/>
          <w:shd w:val="clear" w:fill="E7F2FD"/>
        </w:rPr>
      </w:pPr>
      <w:r>
        <w:rPr>
          <w:rFonts w:hint="eastAsia" w:ascii="宋体" w:hAnsi="宋体" w:eastAsia="宋体" w:cs="宋体"/>
          <w:lang w:eastAsia="zh-CN"/>
        </w:rPr>
        <w:t>技术联系人：</w:t>
      </w:r>
      <w:r>
        <w:rPr>
          <w:rFonts w:hint="eastAsia" w:cs="宋体"/>
          <w:lang w:val="en-US" w:eastAsia="zh-CN"/>
        </w:rPr>
        <w:t xml:space="preserve">迟嘉庚 </w:t>
      </w:r>
      <w:r>
        <w:rPr>
          <w:rFonts w:hint="eastAsia"/>
          <w:lang w:val="en-US" w:eastAsia="zh-CN"/>
        </w:rPr>
        <w:t>15260183460</w:t>
      </w:r>
      <w:r>
        <w:rPr>
          <w:rFonts w:hint="eastAsia"/>
          <w:lang w:val="en-US" w:eastAsia="zh-CN"/>
        </w:rPr>
        <w:fldChar w:fldCharType="begin"/>
      </w:r>
      <w:r>
        <w:rPr>
          <w:rFonts w:hint="eastAsia"/>
          <w:lang w:val="en-US" w:eastAsia="zh-CN"/>
        </w:rPr>
        <w:instrText xml:space="preserve"> HYPERLINK "mailto:，jgchi@fhcpec.com.cn" </w:instrText>
      </w:r>
      <w:r>
        <w:rPr>
          <w:rFonts w:hint="eastAsia"/>
          <w:lang w:val="en-US" w:eastAsia="zh-CN"/>
        </w:rPr>
        <w:fldChar w:fldCharType="separate"/>
      </w:r>
      <w:r>
        <w:rPr>
          <w:rFonts w:hint="eastAsia"/>
          <w:lang w:val="en-US" w:eastAsia="zh-CN"/>
        </w:rPr>
        <w:t>，jgchi@fhcpec.com.cn</w:t>
      </w:r>
      <w:r>
        <w:rPr>
          <w:rFonts w:hint="eastAsia"/>
          <w:lang w:val="en-US" w:eastAsia="zh-CN"/>
        </w:rPr>
        <w:fldChar w:fldCharType="end"/>
      </w:r>
    </w:p>
    <w:p w14:paraId="008EC890">
      <w:pPr>
        <w:pStyle w:val="21"/>
        <w:spacing w:line="360" w:lineRule="auto"/>
        <w:ind w:right="121" w:firstLine="480"/>
        <w:jc w:val="both"/>
        <w:rPr>
          <w:lang w:eastAsia="zh-CN"/>
        </w:rPr>
      </w:pPr>
      <w:r>
        <w:rPr>
          <w:rFonts w:hint="eastAsia"/>
          <w:lang w:eastAsia="zh-CN"/>
        </w:rPr>
        <w:t xml:space="preserve">商务联系人：张华娟 </w:t>
      </w:r>
      <w:r>
        <w:rPr>
          <w:rFonts w:hint="eastAsia"/>
          <w:lang w:val="en-US" w:eastAsia="zh-CN"/>
        </w:rPr>
        <w:t>0596-6311821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8B046D">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7CB34E78">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必须具有工业清洗企业资质证书化学清洗</w:t>
      </w:r>
      <w:r>
        <w:rPr>
          <w:rFonts w:hint="eastAsia"/>
          <w:sz w:val="24"/>
          <w:szCs w:val="24"/>
          <w:lang w:val="en-US" w:eastAsia="zh-CN"/>
        </w:rPr>
        <w:t>A</w:t>
      </w:r>
      <w:r>
        <w:rPr>
          <w:rFonts w:hint="eastAsia"/>
          <w:sz w:val="24"/>
          <w:szCs w:val="24"/>
          <w:lang w:eastAsia="zh-CN"/>
        </w:rPr>
        <w:t>级，具备有效的安全生产许可证，且近3年内无重大安全事故记录。</w:t>
      </w:r>
    </w:p>
    <w:p w14:paraId="010F6656">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3.参比人2021年1月1日至今具有石油化工装置工艺管道清洗业绩不少于2项，需提供合同复印件和技术文件复印件。</w:t>
      </w:r>
    </w:p>
    <w:p w14:paraId="1B078DF4">
      <w:pPr>
        <w:tabs>
          <w:tab w:val="left" w:pos="709"/>
        </w:tabs>
        <w:spacing w:line="360" w:lineRule="auto"/>
        <w:ind w:firstLine="480" w:firstLineChars="200"/>
        <w:rPr>
          <w:rFonts w:hint="default" w:eastAsia="宋体"/>
          <w:sz w:val="24"/>
          <w:szCs w:val="24"/>
          <w:lang w:val="en-US" w:eastAsia="zh-CN"/>
        </w:rPr>
      </w:pPr>
      <w:r>
        <w:rPr>
          <w:rFonts w:hint="eastAsia"/>
          <w:sz w:val="24"/>
          <w:szCs w:val="24"/>
          <w:lang w:val="en-US" w:eastAsia="zh-CN"/>
        </w:rPr>
        <w:t>4.参比人拥有专业的化学清洗施工团队，团队成员需具备相应的从业资格证书，关键岗位人员（如现场负责人、技术负责人）需有5年以上工业管道化学清洗施工经验。关键岗位人员需要提供工作履历。</w:t>
      </w:r>
    </w:p>
    <w:p w14:paraId="7EBB4882">
      <w:pPr>
        <w:tabs>
          <w:tab w:val="left" w:pos="709"/>
        </w:tabs>
        <w:spacing w:line="360" w:lineRule="auto"/>
        <w:ind w:firstLine="480" w:firstLineChars="200"/>
        <w:rPr>
          <w:sz w:val="24"/>
          <w:szCs w:val="24"/>
          <w:lang w:eastAsia="zh-CN"/>
        </w:rPr>
      </w:pPr>
      <w:r>
        <w:rPr>
          <w:rFonts w:hint="eastAsia"/>
          <w:sz w:val="24"/>
          <w:szCs w:val="24"/>
          <w:lang w:val="en-US" w:eastAsia="zh-CN"/>
        </w:rPr>
        <w:t>5</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2313C02D">
      <w:pPr>
        <w:tabs>
          <w:tab w:val="left" w:pos="709"/>
        </w:tabs>
        <w:spacing w:line="360" w:lineRule="auto"/>
        <w:ind w:firstLine="480" w:firstLineChars="200"/>
        <w:rPr>
          <w:sz w:val="24"/>
          <w:szCs w:val="24"/>
          <w:lang w:eastAsia="zh-CN"/>
        </w:rPr>
      </w:pPr>
      <w:r>
        <w:rPr>
          <w:rFonts w:hint="eastAsia"/>
          <w:sz w:val="24"/>
          <w:szCs w:val="24"/>
          <w:lang w:val="en-US" w:eastAsia="zh-CN"/>
        </w:rPr>
        <w:t>6</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1"/>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w:t>
      </w:r>
    </w:p>
    <w:p w14:paraId="49DA7653">
      <w:pPr>
        <w:pStyle w:val="21"/>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15000</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化学清洗服务工程</w:t>
      </w:r>
      <w:r>
        <w:rPr>
          <w:color w:val="000000" w:themeColor="text1"/>
          <w:lang w:eastAsia="zh-CN"/>
        </w:rPr>
        <w:t>参选保证金</w:t>
      </w:r>
    </w:p>
    <w:p w14:paraId="1BBCB624">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1"/>
        <w:spacing w:line="360" w:lineRule="auto"/>
        <w:ind w:right="121"/>
        <w:jc w:val="both"/>
        <w:rPr>
          <w:lang w:eastAsia="zh-CN"/>
        </w:rPr>
      </w:pPr>
      <w:r>
        <w:rPr>
          <w:rFonts w:hint="eastAsia"/>
          <w:lang w:eastAsia="zh-CN"/>
        </w:rPr>
        <w:t xml:space="preserve">    5.如有下列情况发生，将被没收参比保证金：</w:t>
      </w:r>
    </w:p>
    <w:p w14:paraId="7E8A3E58">
      <w:pPr>
        <w:pStyle w:val="21"/>
        <w:spacing w:line="360" w:lineRule="auto"/>
        <w:ind w:right="121"/>
        <w:jc w:val="both"/>
        <w:rPr>
          <w:lang w:eastAsia="zh-CN"/>
        </w:rPr>
      </w:pPr>
      <w:r>
        <w:rPr>
          <w:rFonts w:hint="eastAsia"/>
          <w:lang w:eastAsia="zh-CN"/>
        </w:rPr>
        <w:t xml:space="preserve">    （1）参比单位在参选有效期内撤回询比文件；</w:t>
      </w:r>
    </w:p>
    <w:p w14:paraId="1886C2E9">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1"/>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6</w:t>
      </w:r>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4"/>
        <w:rPr>
          <w:lang w:eastAsia="zh-CN"/>
        </w:rPr>
      </w:pPr>
    </w:p>
    <w:p w14:paraId="7480A594">
      <w:pPr>
        <w:rPr>
          <w:lang w:eastAsia="zh-CN"/>
        </w:rPr>
      </w:pPr>
    </w:p>
    <w:p w14:paraId="7EC7A497">
      <w:pPr>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58B2145F">
      <w:pPr>
        <w:pStyle w:val="21"/>
        <w:spacing w:line="360" w:lineRule="auto"/>
        <w:ind w:right="121" w:firstLine="360" w:firstLineChars="15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eastAsia="zh-CN"/>
        </w:rPr>
        <w:t>、</w:t>
      </w:r>
      <w:r>
        <w:rPr>
          <w:rFonts w:hint="eastAsia"/>
          <w:lang w:val="en-US" w:eastAsia="zh-CN"/>
        </w:rPr>
        <w:t>资质证书；</w:t>
      </w:r>
    </w:p>
    <w:p w14:paraId="663EC7C7">
      <w:pPr>
        <w:pStyle w:val="21"/>
        <w:spacing w:line="360" w:lineRule="auto"/>
        <w:ind w:right="121" w:firstLine="360" w:firstLineChars="150"/>
        <w:jc w:val="both"/>
        <w:rPr>
          <w:rFonts w:hint="default"/>
          <w:lang w:val="en-US" w:eastAsia="zh-CN"/>
        </w:rPr>
      </w:pPr>
      <w:r>
        <w:rPr>
          <w:rFonts w:hint="eastAsia"/>
          <w:lang w:val="en-US" w:eastAsia="zh-CN"/>
        </w:rPr>
        <w:t>（2）施工方案；</w:t>
      </w:r>
    </w:p>
    <w:p w14:paraId="0578C973">
      <w:pPr>
        <w:pStyle w:val="21"/>
        <w:spacing w:line="360" w:lineRule="auto"/>
        <w:ind w:right="121" w:firstLine="360" w:firstLineChars="150"/>
        <w:jc w:val="both"/>
        <w:rPr>
          <w:rFonts w:hint="eastAsia"/>
          <w:lang w:eastAsia="zh-CN"/>
        </w:rPr>
      </w:pPr>
      <w:r>
        <w:rPr>
          <w:rFonts w:hint="eastAsia"/>
          <w:lang w:eastAsia="zh-CN"/>
        </w:rPr>
        <w:t>（</w:t>
      </w:r>
      <w:r>
        <w:rPr>
          <w:rFonts w:hint="eastAsia"/>
          <w:lang w:val="en-US" w:eastAsia="zh-CN"/>
        </w:rPr>
        <w:t>3</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0" w:firstLineChars="200"/>
        <w:jc w:val="both"/>
        <w:rPr>
          <w:rFonts w:hint="eastAsia"/>
          <w:lang w:eastAsia="zh-CN"/>
        </w:rPr>
      </w:pPr>
      <w:r>
        <w:rPr>
          <w:rFonts w:hint="eastAsia"/>
          <w:lang w:eastAsia="zh-CN"/>
        </w:rPr>
        <w:t>本项目设置最高控制</w:t>
      </w:r>
      <w:r>
        <w:rPr>
          <w:rFonts w:hint="eastAsia"/>
          <w:lang w:val="en-US" w:eastAsia="zh-CN"/>
        </w:rPr>
        <w:t>780955.49</w:t>
      </w:r>
      <w:r>
        <w:rPr>
          <w:rFonts w:hint="eastAsia"/>
          <w:lang w:eastAsia="zh-CN"/>
        </w:rPr>
        <w:t>元整（含税总价）。参比人所填报的报价高于本项目最高限价的，其参比将被评审小组予以否决。</w:t>
      </w:r>
      <w:r>
        <w:rPr>
          <w:rFonts w:hint="eastAsia"/>
          <w:lang w:eastAsia="zh-CN"/>
        </w:rPr>
        <w:fldChar w:fldCharType="begin"/>
      </w:r>
      <w:r>
        <w:rPr>
          <w:rFonts w:hint="eastAsia"/>
          <w:lang w:eastAsia="zh-CN"/>
        </w:rPr>
        <w:instrText xml:space="preserve"> HYPERLINK "mailto:如参比人对控制价存疑请于报价截止前发邮件至hjzhang@fhcpec.com.cn" </w:instrText>
      </w:r>
      <w:r>
        <w:rPr>
          <w:rFonts w:hint="eastAsia"/>
          <w:lang w:eastAsia="zh-CN"/>
        </w:rP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409F617">
      <w:pPr>
        <w:pStyle w:val="21"/>
        <w:spacing w:line="360" w:lineRule="auto"/>
        <w:ind w:right="121" w:firstLine="480" w:firstLineChars="200"/>
        <w:jc w:val="both"/>
        <w:rPr>
          <w:lang w:eastAsia="zh-CN"/>
        </w:rPr>
      </w:pPr>
      <w:r>
        <w:rPr>
          <w:rFonts w:hint="eastAsia"/>
          <w:lang w:eastAsia="zh-CN"/>
        </w:rPr>
        <w:t>采用综合评审的方式，从商务和技术两部分进行综合评价。商务分与技术分的比例为</w:t>
      </w:r>
      <w:r>
        <w:rPr>
          <w:lang w:eastAsia="zh-CN"/>
        </w:rPr>
        <w:t>70</w:t>
      </w:r>
      <w:r>
        <w:rPr>
          <w:rFonts w:hint="eastAsia"/>
          <w:lang w:eastAsia="zh-CN"/>
        </w:rPr>
        <w:t>：</w:t>
      </w:r>
      <w:r>
        <w:rPr>
          <w:lang w:eastAsia="zh-CN"/>
        </w:rPr>
        <w:t>30</w:t>
      </w:r>
      <w:r>
        <w:rPr>
          <w:rFonts w:hint="eastAsia"/>
          <w:lang w:eastAsia="zh-CN"/>
        </w:rPr>
        <w:t>。综合得分最高者作为第一中选人。</w:t>
      </w:r>
    </w:p>
    <w:p w14:paraId="22838E0D">
      <w:pPr>
        <w:pStyle w:val="21"/>
        <w:spacing w:line="360" w:lineRule="auto"/>
        <w:ind w:right="121" w:firstLine="480" w:firstLineChars="200"/>
        <w:jc w:val="both"/>
        <w:rPr>
          <w:lang w:eastAsia="zh-CN"/>
        </w:rPr>
      </w:pPr>
      <w:r>
        <w:rPr>
          <w:rFonts w:hint="eastAsia"/>
          <w:lang w:eastAsia="zh-CN"/>
        </w:rPr>
        <w:t>评分细则如下：</w:t>
      </w:r>
    </w:p>
    <w:tbl>
      <w:tblPr>
        <w:tblStyle w:val="50"/>
        <w:tblW w:w="0" w:type="auto"/>
        <w:tblInd w:w="108" w:type="dxa"/>
        <w:tblLayout w:type="autofit"/>
        <w:tblCellMar>
          <w:top w:w="0" w:type="dxa"/>
          <w:left w:w="108" w:type="dxa"/>
          <w:bottom w:w="0" w:type="dxa"/>
          <w:right w:w="108" w:type="dxa"/>
        </w:tblCellMar>
      </w:tblPr>
      <w:tblGrid>
        <w:gridCol w:w="638"/>
        <w:gridCol w:w="1060"/>
        <w:gridCol w:w="5966"/>
        <w:gridCol w:w="638"/>
        <w:gridCol w:w="638"/>
        <w:gridCol w:w="638"/>
      </w:tblGrid>
      <w:tr w14:paraId="25D6BFDB">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ED4557">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889F26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F25EE9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D3E795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0C19C8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E9DC68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CDF3C1A">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A8AEF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7F0416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商务评分</w:t>
            </w:r>
          </w:p>
        </w:tc>
        <w:tc>
          <w:tcPr>
            <w:tcW w:w="0" w:type="auto"/>
            <w:tcBorders>
              <w:top w:val="nil"/>
              <w:left w:val="nil"/>
              <w:bottom w:val="single" w:color="auto" w:sz="4" w:space="0"/>
              <w:right w:val="single" w:color="auto" w:sz="4" w:space="0"/>
            </w:tcBorders>
            <w:shd w:val="clear" w:color="auto" w:fill="auto"/>
            <w:noWrap/>
            <w:vAlign w:val="center"/>
          </w:tcPr>
          <w:p w14:paraId="5AE877A5">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70</w:t>
            </w:r>
          </w:p>
        </w:tc>
        <w:tc>
          <w:tcPr>
            <w:tcW w:w="0" w:type="auto"/>
            <w:tcBorders>
              <w:top w:val="nil"/>
              <w:left w:val="nil"/>
              <w:bottom w:val="single" w:color="auto" w:sz="4" w:space="0"/>
              <w:right w:val="single" w:color="auto" w:sz="4" w:space="0"/>
            </w:tcBorders>
            <w:shd w:val="clear" w:color="auto" w:fill="auto"/>
            <w:noWrap/>
            <w:vAlign w:val="center"/>
          </w:tcPr>
          <w:p w14:paraId="2342D6E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63A125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4BA62D8">
        <w:tblPrEx>
          <w:tblCellMar>
            <w:top w:w="0" w:type="dxa"/>
            <w:left w:w="108" w:type="dxa"/>
            <w:bottom w:w="0" w:type="dxa"/>
            <w:right w:w="108" w:type="dxa"/>
          </w:tblCellMar>
        </w:tblPrEx>
        <w:trPr>
          <w:trHeight w:val="280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B115B6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13EC73D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6F72385B">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t>根据评标细则规定对投标</w:t>
            </w:r>
            <w:r>
              <w:rPr>
                <w:rFonts w:hint="eastAsia" w:ascii="宋体" w:hAnsi="宋体" w:cs="宋体"/>
                <w:color w:val="auto"/>
                <w:sz w:val="21"/>
                <w:szCs w:val="21"/>
                <w:lang w:val="en-US" w:bidi="zh-CN"/>
              </w:rPr>
              <w:t>总</w:t>
            </w:r>
            <w:r>
              <w:rPr>
                <w:rFonts w:hint="eastAsia" w:ascii="宋体" w:hAnsi="宋体" w:cs="宋体"/>
                <w:color w:val="auto"/>
                <w:sz w:val="21"/>
                <w:szCs w:val="21"/>
                <w:lang w:val="zh-CN" w:bidi="zh-CN"/>
              </w:rPr>
              <w:t>报价进行算术性错误修正。投标人的投标</w:t>
            </w:r>
            <w:r>
              <w:rPr>
                <w:rFonts w:hint="eastAsia" w:ascii="宋体" w:hAnsi="宋体" w:cs="宋体"/>
                <w:color w:val="auto"/>
                <w:sz w:val="21"/>
                <w:szCs w:val="21"/>
                <w:lang w:val="en-US" w:bidi="zh-CN"/>
              </w:rPr>
              <w:t>总</w:t>
            </w:r>
            <w:r>
              <w:rPr>
                <w:rFonts w:hint="eastAsia" w:ascii="宋体" w:hAnsi="宋体" w:cs="宋体"/>
                <w:color w:val="auto"/>
                <w:sz w:val="21"/>
                <w:szCs w:val="21"/>
                <w:lang w:val="zh-CN" w:bidi="zh-CN"/>
              </w:rPr>
              <w:t>报价经上述修正后，计算出报价评标价。</w:t>
            </w:r>
          </w:p>
          <w:p w14:paraId="21733673">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t>报价评分按以下公式计算（取小数点后的2位数）</w:t>
            </w:r>
          </w:p>
          <w:p w14:paraId="5270E709">
            <w:pPr>
              <w:spacing w:line="420" w:lineRule="exact"/>
              <w:ind w:firstLine="1050" w:firstLineChars="500"/>
              <w:rPr>
                <w:rFonts w:hint="eastAsia" w:ascii="宋体" w:hAnsi="宋体" w:cs="宋体"/>
                <w:color w:val="auto"/>
                <w:sz w:val="21"/>
                <w:szCs w:val="21"/>
                <w:lang w:val="zh-CN" w:bidi="zh-CN"/>
              </w:rPr>
            </w:pPr>
            <w:r>
              <w:rPr>
                <w:rFonts w:hint="eastAsia" w:ascii="宋体" w:hAnsi="宋体" w:cs="宋体"/>
                <w:color w:val="auto"/>
                <w:sz w:val="21"/>
                <w:szCs w:val="21"/>
                <w:lang w:val="zh-CN" w:bidi="zh-CN"/>
              </w:rPr>
              <w:t xml:space="preserve">│ An－0.97×B │        </w:t>
            </w:r>
          </w:p>
          <w:p w14:paraId="7968629D">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pict>
                <v:line id="直接连接符 2" o:spid="_x0000_s1028" o:spt="20" style="position:absolute;left:0pt;margin-left:55.85pt;margin-top:6.2pt;height:0.05pt;width:80.25pt;z-index:251662336;mso-width-relative:page;mso-height-relative:page;" filled="f" stroked="t" coordsize="21600,21600" o:gfxdata="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Bx0nnWAAAACQEAAA8AAAAAAAAAAQAgAAAAIgAAAGRycy9kb3ducmV2LnhtbFBLAQIU&#10;ABQAAAAIAIdO4kD5zes49QEAAOYDAAAOAAAAAAAAAAEAIAAAACUBAABkcnMvZTJvRG9jLnhtbFBL&#10;BQYAAAAABgAGAFkBAACMBQAAAAA=&#10;">
                  <v:path arrowok="t"/>
                  <v:fill on="f" focussize="0,0"/>
                  <v:stroke color="#000000" joinstyle="round"/>
                  <v:imagedata o:title=""/>
                  <o:lock v:ext="edit" aspectratio="f"/>
                </v:line>
              </w:pict>
            </w:r>
            <w:r>
              <w:rPr>
                <w:rFonts w:hint="eastAsia" w:ascii="宋体" w:hAnsi="宋体" w:cs="宋体"/>
                <w:color w:val="auto"/>
                <w:sz w:val="21"/>
                <w:szCs w:val="21"/>
                <w:lang w:val="zh-CN" w:bidi="zh-CN"/>
              </w:rPr>
              <w:t xml:space="preserve">   P＝M－        0.97×B      ×100×Q</w:t>
            </w:r>
          </w:p>
          <w:p w14:paraId="4BE96806">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t>其中： An为符合性审查通过的各投标人的报价，B为符合性审查通过的各投标人的报价的平均值。Q为折扣分（即投标报价每偏差评标基准价1％所扣的分数），M为报价得分满分值</w:t>
            </w:r>
          </w:p>
          <w:p w14:paraId="746E78FD">
            <w:pPr>
              <w:spacing w:line="420" w:lineRule="exact"/>
              <w:rPr>
                <w:rFonts w:hint="eastAsia" w:ascii="宋体" w:hAnsi="宋体" w:cs="宋体"/>
                <w:color w:val="auto"/>
                <w:sz w:val="21"/>
                <w:szCs w:val="21"/>
                <w:lang w:val="zh-CN" w:bidi="zh-CN"/>
              </w:rPr>
            </w:pPr>
            <w:r>
              <w:rPr>
                <w:rFonts w:hint="eastAsia" w:ascii="宋体" w:hAnsi="宋体" w:cs="宋体"/>
                <w:color w:val="auto"/>
                <w:sz w:val="21"/>
                <w:szCs w:val="21"/>
                <w:lang w:val="zh-CN" w:bidi="zh-CN"/>
              </w:rPr>
              <w:t>采用不对称扣分：An≤0.97×B 时，Q=0.5；</w:t>
            </w:r>
          </w:p>
          <w:p w14:paraId="2A2A7D40">
            <w:pPr>
              <w:widowControl/>
              <w:autoSpaceDE/>
              <w:autoSpaceDN/>
              <w:rPr>
                <w:rFonts w:asciiTheme="minorEastAsia" w:hAnsiTheme="minorEastAsia" w:eastAsiaTheme="minorEastAsia"/>
                <w:color w:val="000000"/>
                <w:sz w:val="21"/>
                <w:szCs w:val="21"/>
                <w:lang w:eastAsia="zh-CN"/>
              </w:rPr>
            </w:pPr>
            <w:r>
              <w:rPr>
                <w:rFonts w:hint="eastAsia" w:ascii="宋体" w:hAnsi="宋体" w:cs="宋体"/>
                <w:color w:val="auto"/>
                <w:sz w:val="21"/>
                <w:szCs w:val="21"/>
                <w:lang w:val="zh-CN" w:bidi="zh-CN"/>
              </w:rPr>
              <w:t xml:space="preserve">                An＞0.97×B 时，Q=1.5。</w:t>
            </w:r>
          </w:p>
        </w:tc>
        <w:tc>
          <w:tcPr>
            <w:tcW w:w="0" w:type="auto"/>
            <w:tcBorders>
              <w:top w:val="nil"/>
              <w:left w:val="nil"/>
              <w:bottom w:val="single" w:color="auto" w:sz="4" w:space="0"/>
              <w:right w:val="single" w:color="auto" w:sz="4" w:space="0"/>
            </w:tcBorders>
            <w:shd w:val="clear" w:color="auto" w:fill="auto"/>
            <w:noWrap/>
            <w:vAlign w:val="center"/>
          </w:tcPr>
          <w:p w14:paraId="611E398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F92925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503FAD4">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199F0AA4">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D6ECB6B">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6E7E7E44">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05BEF1F7">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30</w:t>
            </w:r>
          </w:p>
        </w:tc>
        <w:tc>
          <w:tcPr>
            <w:tcW w:w="0" w:type="auto"/>
            <w:tcBorders>
              <w:top w:val="nil"/>
              <w:left w:val="nil"/>
              <w:bottom w:val="single" w:color="auto" w:sz="4" w:space="0"/>
              <w:right w:val="single" w:color="auto" w:sz="4" w:space="0"/>
            </w:tcBorders>
            <w:shd w:val="clear" w:color="auto" w:fill="auto"/>
            <w:noWrap/>
            <w:vAlign w:val="center"/>
          </w:tcPr>
          <w:p w14:paraId="09553C9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60144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72B6646A">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2562374">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7D9AEA22">
            <w:pPr>
              <w:widowControl/>
              <w:autoSpaceDE/>
              <w:autoSpaceDN/>
              <w:rPr>
                <w:rFonts w:asciiTheme="minorEastAsia" w:hAnsiTheme="minorEastAsia" w:eastAsiaTheme="minorEastAsia"/>
                <w:color w:val="000000"/>
                <w:sz w:val="21"/>
                <w:szCs w:val="21"/>
                <w:lang w:eastAsia="zh-CN"/>
              </w:rPr>
            </w:pPr>
            <w:r>
              <w:rPr>
                <w:rFonts w:hint="eastAsia"/>
                <w:sz w:val="21"/>
                <w:szCs w:val="21"/>
                <w:lang w:eastAsia="zh-CN" w:bidi="ar"/>
              </w:rPr>
              <w:t>综合实力</w:t>
            </w:r>
          </w:p>
        </w:tc>
        <w:tc>
          <w:tcPr>
            <w:tcW w:w="0" w:type="auto"/>
            <w:tcBorders>
              <w:top w:val="nil"/>
              <w:left w:val="nil"/>
              <w:bottom w:val="single" w:color="auto" w:sz="4" w:space="0"/>
              <w:right w:val="single" w:color="auto" w:sz="4" w:space="0"/>
            </w:tcBorders>
            <w:shd w:val="clear" w:color="auto" w:fill="auto"/>
            <w:vAlign w:val="center"/>
          </w:tcPr>
          <w:p w14:paraId="3B15281E">
            <w:pPr>
              <w:rPr>
                <w:bCs/>
                <w:sz w:val="21"/>
                <w:szCs w:val="21"/>
                <w:lang w:eastAsia="zh-CN"/>
              </w:rPr>
            </w:pPr>
            <w:r>
              <w:rPr>
                <w:rFonts w:hint="eastAsia"/>
                <w:sz w:val="21"/>
                <w:szCs w:val="21"/>
                <w:lang w:eastAsia="zh-CN" w:bidi="ar"/>
              </w:rPr>
              <w:t>根据投标人企业概况、企业规模、企业优势、企业的专业性、企业资质等方面进行评分。</w:t>
            </w:r>
          </w:p>
        </w:tc>
        <w:tc>
          <w:tcPr>
            <w:tcW w:w="0" w:type="auto"/>
            <w:tcBorders>
              <w:top w:val="nil"/>
              <w:left w:val="nil"/>
              <w:bottom w:val="single" w:color="auto" w:sz="4" w:space="0"/>
              <w:right w:val="single" w:color="auto" w:sz="4" w:space="0"/>
            </w:tcBorders>
            <w:shd w:val="clear" w:color="auto" w:fill="auto"/>
            <w:noWrap/>
            <w:vAlign w:val="center"/>
          </w:tcPr>
          <w:p w14:paraId="35B0D3DA">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5BBC1A9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A546513">
            <w:pPr>
              <w:widowControl/>
              <w:autoSpaceDE/>
              <w:autoSpaceDN/>
              <w:jc w:val="center"/>
              <w:rPr>
                <w:rFonts w:asciiTheme="minorEastAsia" w:hAnsiTheme="minorEastAsia" w:eastAsiaTheme="minorEastAsia"/>
                <w:color w:val="000000"/>
                <w:sz w:val="21"/>
                <w:szCs w:val="21"/>
                <w:lang w:eastAsia="zh-CN"/>
              </w:rPr>
            </w:pPr>
          </w:p>
        </w:tc>
      </w:tr>
      <w:tr w14:paraId="4D9BBC9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B0AE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w:t>
            </w:r>
          </w:p>
        </w:tc>
        <w:tc>
          <w:tcPr>
            <w:tcW w:w="0" w:type="auto"/>
            <w:tcBorders>
              <w:top w:val="nil"/>
              <w:left w:val="single" w:color="auto" w:sz="4" w:space="0"/>
              <w:bottom w:val="single" w:color="auto" w:sz="4" w:space="0"/>
              <w:right w:val="single" w:color="auto" w:sz="4" w:space="0"/>
            </w:tcBorders>
            <w:shd w:val="clear" w:color="auto" w:fill="auto"/>
            <w:vAlign w:val="center"/>
          </w:tcPr>
          <w:p w14:paraId="2F187C20">
            <w:pPr>
              <w:widowControl/>
              <w:autoSpaceDE/>
              <w:autoSpaceDN/>
              <w:rPr>
                <w:sz w:val="21"/>
                <w:szCs w:val="21"/>
                <w:lang w:eastAsia="zh-CN" w:bidi="ar"/>
              </w:rPr>
            </w:pPr>
            <w:r>
              <w:rPr>
                <w:rFonts w:hint="eastAsia"/>
                <w:sz w:val="21"/>
                <w:szCs w:val="21"/>
                <w:lang w:eastAsia="zh-CN" w:bidi="ar"/>
              </w:rPr>
              <w:t>类似业绩</w:t>
            </w:r>
          </w:p>
        </w:tc>
        <w:tc>
          <w:tcPr>
            <w:tcW w:w="0" w:type="auto"/>
            <w:tcBorders>
              <w:top w:val="nil"/>
              <w:left w:val="nil"/>
              <w:bottom w:val="single" w:color="auto" w:sz="4" w:space="0"/>
              <w:right w:val="single" w:color="auto" w:sz="4" w:space="0"/>
            </w:tcBorders>
            <w:shd w:val="clear" w:color="auto" w:fill="auto"/>
            <w:vAlign w:val="center"/>
          </w:tcPr>
          <w:p w14:paraId="595EB309">
            <w:pPr>
              <w:rPr>
                <w:sz w:val="21"/>
                <w:szCs w:val="21"/>
                <w:lang w:eastAsia="zh-CN" w:bidi="ar"/>
              </w:rPr>
            </w:pPr>
            <w:r>
              <w:rPr>
                <w:rFonts w:hint="eastAsia"/>
                <w:sz w:val="21"/>
                <w:szCs w:val="21"/>
                <w:lang w:eastAsia="zh-CN" w:bidi="ar"/>
              </w:rPr>
              <w:t>根据投标人</w:t>
            </w:r>
            <w:r>
              <w:rPr>
                <w:rFonts w:hint="eastAsia"/>
                <w:sz w:val="21"/>
                <w:szCs w:val="21"/>
                <w:lang w:val="en-US" w:eastAsia="zh-CN" w:bidi="ar"/>
              </w:rPr>
              <w:t>自</w:t>
            </w:r>
            <w:r>
              <w:rPr>
                <w:rFonts w:hint="eastAsia" w:ascii="宋体" w:hAnsi="宋体" w:cs="宋体"/>
                <w:color w:val="auto"/>
                <w:sz w:val="21"/>
                <w:szCs w:val="21"/>
                <w:highlight w:val="none"/>
              </w:rPr>
              <w:t>202</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年1月1日至今</w:t>
            </w:r>
            <w:r>
              <w:rPr>
                <w:sz w:val="21"/>
                <w:szCs w:val="21"/>
                <w:lang w:eastAsia="zh-CN" w:bidi="ar"/>
              </w:rPr>
              <w:t>承揽过的与本次招标项目类似业绩</w:t>
            </w:r>
            <w:r>
              <w:rPr>
                <w:rFonts w:hint="eastAsia"/>
                <w:sz w:val="21"/>
                <w:szCs w:val="21"/>
                <w:lang w:eastAsia="zh-CN" w:bidi="ar"/>
              </w:rPr>
              <w:t>（以签订合同为准）</w:t>
            </w:r>
            <w:r>
              <w:rPr>
                <w:sz w:val="21"/>
                <w:szCs w:val="21"/>
                <w:lang w:eastAsia="zh-CN" w:bidi="ar"/>
              </w:rPr>
              <w:t>，有一项业绩得</w:t>
            </w:r>
            <w:r>
              <w:rPr>
                <w:rFonts w:hint="eastAsia"/>
                <w:sz w:val="21"/>
                <w:szCs w:val="21"/>
                <w:lang w:eastAsia="zh-CN" w:bidi="ar"/>
              </w:rPr>
              <w:t>1</w:t>
            </w:r>
            <w:r>
              <w:rPr>
                <w:sz w:val="21"/>
                <w:szCs w:val="21"/>
                <w:lang w:eastAsia="zh-CN" w:bidi="ar"/>
              </w:rPr>
              <w:t>分</w:t>
            </w:r>
            <w:r>
              <w:rPr>
                <w:rFonts w:hint="eastAsia"/>
                <w:sz w:val="21"/>
                <w:szCs w:val="21"/>
                <w:lang w:eastAsia="zh-CN" w:bidi="ar"/>
              </w:rPr>
              <w:t>，</w:t>
            </w:r>
            <w:r>
              <w:rPr>
                <w:sz w:val="21"/>
                <w:szCs w:val="21"/>
                <w:lang w:eastAsia="zh-CN" w:bidi="ar"/>
              </w:rPr>
              <w:t>满分</w:t>
            </w:r>
            <w:r>
              <w:rPr>
                <w:rFonts w:hint="eastAsia"/>
                <w:sz w:val="21"/>
                <w:szCs w:val="21"/>
                <w:lang w:eastAsia="zh-CN" w:bidi="ar"/>
              </w:rPr>
              <w:t>5分。</w:t>
            </w:r>
          </w:p>
        </w:tc>
        <w:tc>
          <w:tcPr>
            <w:tcW w:w="0" w:type="auto"/>
            <w:tcBorders>
              <w:top w:val="nil"/>
              <w:left w:val="nil"/>
              <w:bottom w:val="single" w:color="auto" w:sz="4" w:space="0"/>
              <w:right w:val="single" w:color="auto" w:sz="4" w:space="0"/>
            </w:tcBorders>
            <w:shd w:val="clear" w:color="auto" w:fill="auto"/>
            <w:noWrap/>
            <w:vAlign w:val="center"/>
          </w:tcPr>
          <w:p w14:paraId="21075130">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30C26E0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2E033F2F">
            <w:pPr>
              <w:widowControl/>
              <w:autoSpaceDE/>
              <w:autoSpaceDN/>
              <w:jc w:val="center"/>
              <w:rPr>
                <w:rFonts w:asciiTheme="minorEastAsia" w:hAnsiTheme="minorEastAsia" w:eastAsiaTheme="minorEastAsia"/>
                <w:color w:val="000000"/>
                <w:sz w:val="21"/>
                <w:szCs w:val="21"/>
                <w:lang w:eastAsia="zh-CN"/>
              </w:rPr>
            </w:pPr>
          </w:p>
        </w:tc>
      </w:tr>
      <w:tr w14:paraId="182E102E">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6F3C2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tcBorders>
              <w:top w:val="nil"/>
              <w:left w:val="single" w:color="auto" w:sz="4" w:space="0"/>
              <w:bottom w:val="single" w:color="auto" w:sz="4" w:space="0"/>
              <w:right w:val="single" w:color="auto" w:sz="4" w:space="0"/>
            </w:tcBorders>
            <w:shd w:val="clear" w:color="auto" w:fill="auto"/>
            <w:vAlign w:val="center"/>
          </w:tcPr>
          <w:p w14:paraId="0662670E">
            <w:pPr>
              <w:widowControl/>
              <w:autoSpaceDE/>
              <w:autoSpaceDN/>
              <w:rPr>
                <w:sz w:val="21"/>
                <w:szCs w:val="21"/>
                <w:lang w:eastAsia="zh-CN" w:bidi="ar"/>
              </w:rPr>
            </w:pPr>
            <w:r>
              <w:rPr>
                <w:rFonts w:hint="eastAsia" w:ascii="宋体" w:hAnsi="宋体" w:cs="宋体"/>
                <w:color w:val="auto"/>
                <w:sz w:val="21"/>
                <w:szCs w:val="21"/>
              </w:rPr>
              <w:t>投标文件响应性</w:t>
            </w:r>
          </w:p>
        </w:tc>
        <w:tc>
          <w:tcPr>
            <w:tcW w:w="0" w:type="auto"/>
            <w:tcBorders>
              <w:top w:val="nil"/>
              <w:left w:val="nil"/>
              <w:bottom w:val="single" w:color="auto" w:sz="4" w:space="0"/>
              <w:right w:val="single" w:color="auto" w:sz="4" w:space="0"/>
            </w:tcBorders>
            <w:shd w:val="clear" w:color="auto" w:fill="auto"/>
            <w:vAlign w:val="center"/>
          </w:tcPr>
          <w:p w14:paraId="081825E2">
            <w:pPr>
              <w:rPr>
                <w:rFonts w:hint="eastAsia" w:eastAsia="宋体"/>
                <w:sz w:val="21"/>
                <w:szCs w:val="21"/>
                <w:lang w:eastAsia="zh-CN" w:bidi="ar"/>
              </w:rPr>
            </w:pPr>
            <w:r>
              <w:rPr>
                <w:rFonts w:hint="eastAsia" w:ascii="宋体" w:hAnsi="宋体" w:cs="宋体"/>
                <w:color w:val="auto"/>
                <w:sz w:val="21"/>
                <w:szCs w:val="21"/>
              </w:rPr>
              <w:t>根据投标人提供的投标文件的质量，内容编制是否规范合理，响应文件编制是否完整等方面情况</w:t>
            </w:r>
            <w:r>
              <w:rPr>
                <w:rFonts w:hint="eastAsia" w:ascii="宋体" w:hAnsi="宋体" w:cs="宋体"/>
                <w:color w:val="auto"/>
                <w:sz w:val="21"/>
                <w:szCs w:val="21"/>
                <w:lang w:eastAsia="zh-CN"/>
              </w:rPr>
              <w:t>。</w:t>
            </w:r>
          </w:p>
        </w:tc>
        <w:tc>
          <w:tcPr>
            <w:tcW w:w="0" w:type="auto"/>
            <w:tcBorders>
              <w:top w:val="nil"/>
              <w:left w:val="nil"/>
              <w:bottom w:val="single" w:color="auto" w:sz="4" w:space="0"/>
              <w:right w:val="single" w:color="auto" w:sz="4" w:space="0"/>
            </w:tcBorders>
            <w:shd w:val="clear" w:color="auto" w:fill="auto"/>
            <w:noWrap/>
            <w:vAlign w:val="center"/>
          </w:tcPr>
          <w:p w14:paraId="2171FF8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2D63DEBE">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B64E18F">
            <w:pPr>
              <w:widowControl/>
              <w:autoSpaceDE/>
              <w:autoSpaceDN/>
              <w:jc w:val="center"/>
              <w:rPr>
                <w:rFonts w:asciiTheme="minorEastAsia" w:hAnsiTheme="minorEastAsia" w:eastAsiaTheme="minorEastAsia"/>
                <w:color w:val="000000"/>
                <w:sz w:val="21"/>
                <w:szCs w:val="21"/>
                <w:lang w:eastAsia="zh-CN"/>
              </w:rPr>
            </w:pPr>
          </w:p>
        </w:tc>
      </w:tr>
      <w:tr w14:paraId="4727B517">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6803F5">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4</w:t>
            </w:r>
          </w:p>
        </w:tc>
        <w:tc>
          <w:tcPr>
            <w:tcW w:w="0" w:type="auto"/>
            <w:vMerge w:val="restart"/>
            <w:tcBorders>
              <w:top w:val="single" w:color="auto" w:sz="4" w:space="0"/>
              <w:left w:val="single" w:color="auto" w:sz="4" w:space="0"/>
              <w:right w:val="single" w:color="auto" w:sz="4" w:space="0"/>
            </w:tcBorders>
            <w:shd w:val="clear" w:color="auto" w:fill="auto"/>
            <w:vAlign w:val="center"/>
          </w:tcPr>
          <w:p w14:paraId="026C815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施工方案</w:t>
            </w:r>
          </w:p>
        </w:tc>
        <w:tc>
          <w:tcPr>
            <w:tcW w:w="0" w:type="auto"/>
            <w:tcBorders>
              <w:top w:val="nil"/>
              <w:left w:val="nil"/>
              <w:bottom w:val="single" w:color="auto" w:sz="4" w:space="0"/>
              <w:right w:val="single" w:color="auto" w:sz="4" w:space="0"/>
            </w:tcBorders>
            <w:shd w:val="clear" w:color="auto" w:fill="auto"/>
            <w:vAlign w:val="center"/>
          </w:tcPr>
          <w:p w14:paraId="15910C3A">
            <w:pPr>
              <w:rPr>
                <w:bCs/>
                <w:sz w:val="21"/>
                <w:szCs w:val="21"/>
                <w:highlight w:val="none"/>
                <w:lang w:eastAsia="zh-CN"/>
              </w:rPr>
            </w:pPr>
            <w:r>
              <w:rPr>
                <w:rFonts w:hint="eastAsia"/>
                <w:bCs/>
                <w:sz w:val="21"/>
                <w:szCs w:val="21"/>
                <w:highlight w:val="none"/>
                <w:lang w:eastAsia="zh-CN"/>
              </w:rPr>
              <w:t>施工项目重点难点分析（</w:t>
            </w:r>
            <w:r>
              <w:rPr>
                <w:rFonts w:hint="eastAsia"/>
                <w:bCs/>
                <w:sz w:val="21"/>
                <w:szCs w:val="21"/>
                <w:highlight w:val="none"/>
                <w:lang w:val="en-US" w:eastAsia="zh-CN"/>
              </w:rPr>
              <w:t>3</w:t>
            </w:r>
            <w:r>
              <w:rPr>
                <w:rFonts w:hint="eastAsia"/>
                <w:bCs/>
                <w:sz w:val="21"/>
                <w:szCs w:val="21"/>
                <w:highlight w:val="none"/>
                <w:lang w:eastAsia="zh-CN"/>
              </w:rPr>
              <w:t>分）</w:t>
            </w:r>
          </w:p>
          <w:p w14:paraId="7DD631AA">
            <w:pPr>
              <w:widowControl/>
              <w:autoSpaceDE/>
              <w:autoSpaceDN/>
              <w:rPr>
                <w:rFonts w:asciiTheme="minorEastAsia" w:hAnsiTheme="minorEastAsia" w:eastAsiaTheme="minorEastAsia"/>
                <w:color w:val="000000"/>
                <w:sz w:val="21"/>
                <w:szCs w:val="21"/>
                <w:lang w:eastAsia="zh-CN"/>
              </w:rPr>
            </w:pPr>
            <w:r>
              <w:rPr>
                <w:rFonts w:hint="eastAsia"/>
                <w:bCs/>
                <w:sz w:val="21"/>
                <w:szCs w:val="21"/>
                <w:highlight w:val="none"/>
              </w:rPr>
              <w:t>1、描述完整，原因分析到位，得</w:t>
            </w:r>
            <w:r>
              <w:rPr>
                <w:rFonts w:hint="eastAsia"/>
                <w:bCs/>
                <w:sz w:val="21"/>
                <w:szCs w:val="21"/>
                <w:highlight w:val="none"/>
                <w:lang w:val="en-US" w:eastAsia="zh-CN"/>
              </w:rPr>
              <w:t>2</w:t>
            </w:r>
            <w:r>
              <w:rPr>
                <w:rFonts w:hint="eastAsia"/>
                <w:bCs/>
                <w:sz w:val="21"/>
                <w:szCs w:val="21"/>
                <w:highlight w:val="none"/>
              </w:rPr>
              <w:t>-</w:t>
            </w:r>
            <w:r>
              <w:rPr>
                <w:rFonts w:hint="eastAsia"/>
                <w:bCs/>
                <w:sz w:val="21"/>
                <w:szCs w:val="21"/>
                <w:highlight w:val="none"/>
                <w:lang w:val="en-US" w:eastAsia="zh-CN"/>
              </w:rPr>
              <w:t>3</w:t>
            </w:r>
            <w:r>
              <w:rPr>
                <w:rFonts w:hint="eastAsia"/>
                <w:bCs/>
                <w:sz w:val="21"/>
                <w:szCs w:val="21"/>
                <w:highlight w:val="none"/>
              </w:rPr>
              <w:t>分</w:t>
            </w:r>
            <w:r>
              <w:rPr>
                <w:rFonts w:hint="eastAsia"/>
                <w:bCs/>
                <w:sz w:val="21"/>
                <w:szCs w:val="21"/>
                <w:highlight w:val="none"/>
                <w:lang w:eastAsia="zh-CN"/>
              </w:rPr>
              <w:t>（</w:t>
            </w:r>
            <w:r>
              <w:rPr>
                <w:rFonts w:hint="eastAsia"/>
                <w:bCs/>
                <w:sz w:val="21"/>
                <w:szCs w:val="21"/>
                <w:highlight w:val="none"/>
                <w:lang w:val="en-US" w:eastAsia="zh-CN"/>
              </w:rPr>
              <w:t>含3不含2</w:t>
            </w:r>
            <w:r>
              <w:rPr>
                <w:rFonts w:hint="eastAsia"/>
                <w:bCs/>
                <w:sz w:val="21"/>
                <w:szCs w:val="21"/>
                <w:highlight w:val="none"/>
                <w:lang w:eastAsia="zh-CN"/>
              </w:rPr>
              <w:t>）</w:t>
            </w:r>
            <w:r>
              <w:rPr>
                <w:rFonts w:hint="eastAsia"/>
                <w:bCs/>
                <w:sz w:val="21"/>
                <w:szCs w:val="21"/>
                <w:highlight w:val="none"/>
              </w:rPr>
              <w:t xml:space="preserve">。 </w:t>
            </w:r>
            <w:r>
              <w:rPr>
                <w:bCs/>
                <w:sz w:val="21"/>
                <w:szCs w:val="21"/>
                <w:highlight w:val="none"/>
              </w:rPr>
              <w:t xml:space="preserve">                              </w:t>
            </w:r>
            <w:r>
              <w:rPr>
                <w:rFonts w:hint="eastAsia"/>
                <w:bCs/>
                <w:sz w:val="21"/>
                <w:szCs w:val="21"/>
                <w:highlight w:val="none"/>
              </w:rPr>
              <w:t>2、描述完整，原因分析不到位，得</w:t>
            </w:r>
            <w:r>
              <w:rPr>
                <w:rFonts w:hint="eastAsia"/>
                <w:bCs/>
                <w:sz w:val="21"/>
                <w:szCs w:val="21"/>
                <w:highlight w:val="none"/>
                <w:lang w:val="en-US" w:eastAsia="zh-CN"/>
              </w:rPr>
              <w:t>1</w:t>
            </w:r>
            <w:r>
              <w:rPr>
                <w:rFonts w:hint="eastAsia"/>
                <w:bCs/>
                <w:sz w:val="21"/>
                <w:szCs w:val="21"/>
                <w:highlight w:val="none"/>
              </w:rPr>
              <w:t>-</w:t>
            </w:r>
            <w:r>
              <w:rPr>
                <w:rFonts w:hint="eastAsia"/>
                <w:bCs/>
                <w:sz w:val="21"/>
                <w:szCs w:val="21"/>
                <w:highlight w:val="none"/>
                <w:lang w:val="en-US" w:eastAsia="zh-CN"/>
              </w:rPr>
              <w:t>2</w:t>
            </w:r>
            <w:r>
              <w:rPr>
                <w:rFonts w:hint="eastAsia"/>
                <w:bCs/>
                <w:sz w:val="21"/>
                <w:szCs w:val="21"/>
                <w:highlight w:val="none"/>
              </w:rPr>
              <w:t>分</w:t>
            </w:r>
            <w:r>
              <w:rPr>
                <w:rFonts w:hint="eastAsia"/>
                <w:bCs/>
                <w:sz w:val="21"/>
                <w:szCs w:val="21"/>
                <w:highlight w:val="none"/>
                <w:lang w:eastAsia="zh-CN"/>
              </w:rPr>
              <w:t>（</w:t>
            </w:r>
            <w:r>
              <w:rPr>
                <w:rFonts w:hint="eastAsia"/>
                <w:bCs/>
                <w:sz w:val="21"/>
                <w:szCs w:val="21"/>
                <w:highlight w:val="none"/>
                <w:lang w:val="en-US" w:eastAsia="zh-CN"/>
              </w:rPr>
              <w:t>含2不含1</w:t>
            </w:r>
            <w:r>
              <w:rPr>
                <w:rFonts w:hint="eastAsia"/>
                <w:bCs/>
                <w:sz w:val="21"/>
                <w:szCs w:val="21"/>
                <w:highlight w:val="none"/>
                <w:lang w:eastAsia="zh-CN"/>
              </w:rPr>
              <w:t>）</w:t>
            </w:r>
            <w:r>
              <w:rPr>
                <w:rFonts w:hint="eastAsia"/>
                <w:bCs/>
                <w:sz w:val="21"/>
                <w:szCs w:val="21"/>
                <w:highlight w:val="none"/>
              </w:rPr>
              <w:t xml:space="preserve">。 </w:t>
            </w:r>
            <w:r>
              <w:rPr>
                <w:bCs/>
                <w:sz w:val="21"/>
                <w:szCs w:val="21"/>
                <w:highlight w:val="none"/>
              </w:rPr>
              <w:t xml:space="preserve">                                  </w:t>
            </w:r>
            <w:r>
              <w:rPr>
                <w:rFonts w:hint="eastAsia"/>
                <w:bCs/>
                <w:sz w:val="21"/>
                <w:szCs w:val="21"/>
                <w:highlight w:val="none"/>
              </w:rPr>
              <w:t>3、描述缺失并原因分析不到位，</w:t>
            </w:r>
            <w:r>
              <w:rPr>
                <w:rFonts w:hint="eastAsia"/>
                <w:bCs/>
                <w:sz w:val="21"/>
                <w:szCs w:val="21"/>
                <w:highlight w:val="none"/>
                <w:lang w:val="en-US" w:eastAsia="zh-CN"/>
              </w:rPr>
              <w:t>得0-1（含1）</w:t>
            </w:r>
            <w:r>
              <w:rPr>
                <w:rFonts w:hint="eastAsia"/>
                <w:bCs/>
                <w:sz w:val="21"/>
                <w:szCs w:val="21"/>
                <w:highlight w:val="none"/>
              </w:rPr>
              <w:t>。</w:t>
            </w:r>
          </w:p>
        </w:tc>
        <w:tc>
          <w:tcPr>
            <w:tcW w:w="0" w:type="auto"/>
            <w:tcBorders>
              <w:top w:val="nil"/>
              <w:left w:val="nil"/>
              <w:bottom w:val="single" w:color="auto" w:sz="4" w:space="0"/>
              <w:right w:val="single" w:color="auto" w:sz="4" w:space="0"/>
            </w:tcBorders>
            <w:shd w:val="clear" w:color="auto" w:fill="auto"/>
            <w:noWrap/>
            <w:vAlign w:val="center"/>
          </w:tcPr>
          <w:p w14:paraId="1D3C519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2E134AC0">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5277E5E">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67DFAE8">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5AFE22">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5</w:t>
            </w:r>
          </w:p>
        </w:tc>
        <w:tc>
          <w:tcPr>
            <w:tcW w:w="0" w:type="auto"/>
            <w:vMerge w:val="continue"/>
            <w:tcBorders>
              <w:left w:val="single" w:color="auto" w:sz="4" w:space="0"/>
              <w:bottom w:val="single" w:color="auto" w:sz="4" w:space="0"/>
              <w:right w:val="single" w:color="auto" w:sz="4" w:space="0"/>
            </w:tcBorders>
            <w:vAlign w:val="center"/>
          </w:tcPr>
          <w:p w14:paraId="12D442D5">
            <w:pPr>
              <w:widowControl/>
              <w:autoSpaceDE/>
              <w:autoSpaceDN/>
              <w:rPr>
                <w:rFonts w:asciiTheme="minorEastAsia" w:hAnsiTheme="minorEastAsia" w:eastAsiaTheme="minorEastAsia"/>
                <w:color w:val="000000"/>
                <w:sz w:val="21"/>
                <w:szCs w:val="21"/>
                <w:lang w:eastAsia="zh-CN"/>
              </w:rPr>
            </w:pPr>
          </w:p>
        </w:tc>
        <w:tc>
          <w:tcPr>
            <w:tcW w:w="0" w:type="auto"/>
            <w:tcBorders>
              <w:top w:val="single" w:color="auto" w:sz="4" w:space="0"/>
              <w:left w:val="nil"/>
              <w:bottom w:val="single" w:color="auto" w:sz="4" w:space="0"/>
              <w:right w:val="single" w:color="auto" w:sz="4" w:space="0"/>
            </w:tcBorders>
            <w:shd w:val="clear" w:color="auto" w:fill="auto"/>
          </w:tcPr>
          <w:p w14:paraId="731B1C0B">
            <w:pPr>
              <w:tabs>
                <w:tab w:val="left" w:pos="500"/>
              </w:tabs>
              <w:snapToGrid w:val="0"/>
              <w:jc w:val="both"/>
              <w:rPr>
                <w:rFonts w:ascii="宋体" w:hAnsi="宋体" w:cs="宋体"/>
                <w:bCs/>
                <w:color w:val="auto"/>
                <w:sz w:val="21"/>
                <w:szCs w:val="21"/>
              </w:rPr>
            </w:pPr>
            <w:r>
              <w:rPr>
                <w:rFonts w:hint="eastAsia" w:ascii="宋体" w:hAnsi="宋体" w:cs="宋体"/>
                <w:bCs/>
                <w:color w:val="auto"/>
                <w:sz w:val="21"/>
                <w:szCs w:val="21"/>
              </w:rPr>
              <w:t>施工方案内容：</w:t>
            </w:r>
          </w:p>
          <w:p w14:paraId="63689F5A">
            <w:pPr>
              <w:tabs>
                <w:tab w:val="left" w:pos="500"/>
              </w:tabs>
              <w:snapToGrid w:val="0"/>
              <w:jc w:val="both"/>
              <w:rPr>
                <w:rFonts w:ascii="宋体" w:hAnsi="宋体" w:cs="宋体"/>
                <w:bCs/>
                <w:color w:val="auto"/>
                <w:sz w:val="21"/>
                <w:szCs w:val="21"/>
              </w:rPr>
            </w:pPr>
            <w:r>
              <w:rPr>
                <w:rFonts w:hint="eastAsia" w:ascii="宋体" w:hAnsi="宋体" w:cs="宋体"/>
                <w:bCs/>
                <w:color w:val="auto"/>
                <w:sz w:val="21"/>
                <w:szCs w:val="21"/>
              </w:rPr>
              <w:t xml:space="preserve">1、施工方案清晰完整，措施标准操作性强，8-10分。 </w:t>
            </w:r>
            <w:r>
              <w:rPr>
                <w:rFonts w:ascii="宋体" w:hAnsi="宋体" w:cs="宋体"/>
                <w:bCs/>
                <w:color w:val="auto"/>
                <w:sz w:val="21"/>
                <w:szCs w:val="21"/>
              </w:rPr>
              <w:t xml:space="preserve">                              </w:t>
            </w:r>
          </w:p>
          <w:p w14:paraId="43536791">
            <w:pPr>
              <w:tabs>
                <w:tab w:val="left" w:pos="500"/>
              </w:tabs>
              <w:snapToGrid w:val="0"/>
              <w:jc w:val="both"/>
              <w:rPr>
                <w:rFonts w:hint="eastAsia" w:ascii="宋体" w:hAnsi="宋体" w:cs="宋体"/>
                <w:bCs/>
                <w:color w:val="auto"/>
                <w:sz w:val="21"/>
                <w:szCs w:val="21"/>
              </w:rPr>
            </w:pPr>
            <w:r>
              <w:rPr>
                <w:rFonts w:hint="eastAsia" w:ascii="宋体" w:hAnsi="宋体" w:cs="宋体"/>
                <w:bCs/>
                <w:color w:val="auto"/>
                <w:sz w:val="21"/>
                <w:szCs w:val="21"/>
              </w:rPr>
              <w:t xml:space="preserve">2、施工方案较清晰完整，措施标准操作性一般，4-7分。 </w:t>
            </w:r>
            <w:r>
              <w:rPr>
                <w:rFonts w:ascii="宋体" w:hAnsi="宋体" w:cs="宋体"/>
                <w:bCs/>
                <w:color w:val="auto"/>
                <w:sz w:val="21"/>
                <w:szCs w:val="21"/>
              </w:rPr>
              <w:t xml:space="preserve">                            </w:t>
            </w:r>
          </w:p>
          <w:p w14:paraId="63E392C9">
            <w:pPr>
              <w:rPr>
                <w:rFonts w:ascii="宋体" w:hAnsi="宋体" w:cs="宋体"/>
                <w:bCs/>
                <w:color w:val="auto"/>
                <w:sz w:val="21"/>
                <w:szCs w:val="21"/>
              </w:rPr>
            </w:pPr>
            <w:r>
              <w:rPr>
                <w:rFonts w:hint="eastAsia" w:ascii="宋体" w:hAnsi="宋体" w:cs="宋体"/>
                <w:bCs/>
                <w:color w:val="auto"/>
                <w:sz w:val="21"/>
                <w:szCs w:val="21"/>
              </w:rPr>
              <w:t>3、施工方案有缺失，措施标准较差，1-3分。</w:t>
            </w:r>
          </w:p>
          <w:p w14:paraId="24CE7340">
            <w:pPr>
              <w:widowControl/>
              <w:autoSpaceDE/>
              <w:autoSpaceDN/>
              <w:rPr>
                <w:lang w:eastAsia="zh-CN"/>
              </w:rPr>
            </w:pPr>
            <w:r>
              <w:rPr>
                <w:rFonts w:hint="eastAsia" w:ascii="宋体" w:hAnsi="宋体" w:cs="宋体"/>
                <w:bCs/>
                <w:color w:val="auto"/>
                <w:sz w:val="21"/>
                <w:szCs w:val="21"/>
              </w:rPr>
              <w:t>4、施工方案无针对性，内容存在明显错误，0分.</w:t>
            </w:r>
          </w:p>
        </w:tc>
        <w:tc>
          <w:tcPr>
            <w:tcW w:w="0" w:type="auto"/>
            <w:tcBorders>
              <w:top w:val="nil"/>
              <w:left w:val="nil"/>
              <w:bottom w:val="single" w:color="auto" w:sz="4" w:space="0"/>
              <w:right w:val="single" w:color="auto" w:sz="4" w:space="0"/>
            </w:tcBorders>
            <w:shd w:val="clear" w:color="auto" w:fill="auto"/>
            <w:noWrap/>
            <w:vAlign w:val="center"/>
          </w:tcPr>
          <w:p w14:paraId="70F0196C">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10</w:t>
            </w:r>
          </w:p>
        </w:tc>
        <w:tc>
          <w:tcPr>
            <w:tcW w:w="0" w:type="auto"/>
            <w:tcBorders>
              <w:top w:val="nil"/>
              <w:left w:val="nil"/>
              <w:bottom w:val="single" w:color="auto" w:sz="4" w:space="0"/>
              <w:right w:val="single" w:color="auto" w:sz="4" w:space="0"/>
            </w:tcBorders>
            <w:shd w:val="clear" w:color="auto" w:fill="auto"/>
            <w:noWrap/>
            <w:vAlign w:val="center"/>
          </w:tcPr>
          <w:p w14:paraId="460C3BF8">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E657D1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1C2FE208">
        <w:tblPrEx>
          <w:tblCellMar>
            <w:top w:w="0" w:type="dxa"/>
            <w:left w:w="108" w:type="dxa"/>
            <w:bottom w:w="0" w:type="dxa"/>
            <w:right w:w="108" w:type="dxa"/>
          </w:tblCellMar>
        </w:tblPrEx>
        <w:trPr>
          <w:trHeight w:val="12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A0F7EA8">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6</w:t>
            </w:r>
          </w:p>
        </w:tc>
        <w:tc>
          <w:tcPr>
            <w:tcW w:w="0" w:type="auto"/>
            <w:tcBorders>
              <w:top w:val="single" w:color="auto" w:sz="4" w:space="0"/>
              <w:left w:val="single" w:color="auto" w:sz="4" w:space="0"/>
              <w:bottom w:val="single" w:color="auto" w:sz="4" w:space="0"/>
              <w:right w:val="single" w:color="auto" w:sz="4" w:space="0"/>
            </w:tcBorders>
            <w:vAlign w:val="center"/>
          </w:tcPr>
          <w:p w14:paraId="453A96DF">
            <w:pPr>
              <w:widowControl/>
              <w:autoSpaceDE/>
              <w:autoSpaceDN/>
              <w:rPr>
                <w:rFonts w:asciiTheme="minorEastAsia" w:hAnsiTheme="minorEastAsia" w:eastAsiaTheme="minorEastAsia"/>
                <w:color w:val="000000"/>
                <w:sz w:val="21"/>
                <w:szCs w:val="21"/>
                <w:lang w:eastAsia="zh-CN"/>
              </w:rPr>
            </w:pPr>
            <w:r>
              <w:rPr>
                <w:rFonts w:hint="eastAsia"/>
                <w:sz w:val="21"/>
                <w:szCs w:val="21"/>
              </w:rPr>
              <w:t>进度管理</w:t>
            </w:r>
          </w:p>
        </w:tc>
        <w:tc>
          <w:tcPr>
            <w:tcW w:w="0" w:type="auto"/>
            <w:tcBorders>
              <w:top w:val="single" w:color="auto" w:sz="4" w:space="0"/>
              <w:left w:val="nil"/>
              <w:bottom w:val="single" w:color="auto" w:sz="4" w:space="0"/>
              <w:right w:val="single" w:color="auto" w:sz="4" w:space="0"/>
            </w:tcBorders>
            <w:shd w:val="clear" w:color="auto" w:fill="auto"/>
            <w:vAlign w:val="center"/>
          </w:tcPr>
          <w:p w14:paraId="0BA9DA79">
            <w:pPr>
              <w:spacing w:line="360" w:lineRule="auto"/>
              <w:rPr>
                <w:rFonts w:hint="eastAsia" w:ascii="宋体" w:hAnsi="宋体"/>
                <w:color w:val="auto"/>
                <w:sz w:val="21"/>
                <w:szCs w:val="21"/>
              </w:rPr>
            </w:pPr>
            <w:r>
              <w:rPr>
                <w:rFonts w:hint="eastAsia" w:ascii="宋体" w:hAnsi="宋体"/>
                <w:color w:val="auto"/>
                <w:sz w:val="21"/>
                <w:szCs w:val="21"/>
              </w:rPr>
              <w:t>1 、投标书中制定了施工进度计划、施工周期保证措施，措施切实可行并具有针对性的，得1-2分；投标书中施工保证措施无针对性或无施工周期保证措施，得0分。</w:t>
            </w:r>
          </w:p>
          <w:p w14:paraId="0B4A56CC">
            <w:pPr>
              <w:spacing w:line="360" w:lineRule="auto"/>
              <w:rPr>
                <w:rFonts w:hint="eastAsia" w:ascii="宋体" w:hAnsi="宋体"/>
                <w:color w:val="auto"/>
                <w:sz w:val="21"/>
                <w:szCs w:val="21"/>
              </w:rPr>
            </w:pPr>
            <w:r>
              <w:rPr>
                <w:rFonts w:hint="eastAsia" w:ascii="宋体" w:hAnsi="宋体"/>
                <w:color w:val="auto"/>
                <w:sz w:val="21"/>
                <w:szCs w:val="21"/>
              </w:rPr>
              <w:t>2、在满足</w:t>
            </w:r>
            <w:r>
              <w:rPr>
                <w:rFonts w:hint="eastAsia" w:ascii="宋体" w:hAnsi="宋体"/>
                <w:color w:val="auto"/>
                <w:sz w:val="21"/>
                <w:szCs w:val="21"/>
                <w:lang w:val="en-US" w:eastAsia="zh-CN"/>
              </w:rPr>
              <w:t>7</w:t>
            </w:r>
            <w:r>
              <w:rPr>
                <w:rFonts w:hint="eastAsia" w:ascii="宋体" w:hAnsi="宋体"/>
                <w:color w:val="auto"/>
                <w:sz w:val="21"/>
                <w:szCs w:val="21"/>
              </w:rPr>
              <w:t>个日历天完工基础上，工期每提前1天，得</w:t>
            </w:r>
            <w:r>
              <w:rPr>
                <w:rFonts w:hint="eastAsia" w:ascii="宋体" w:hAnsi="宋体"/>
                <w:color w:val="auto"/>
                <w:sz w:val="21"/>
                <w:szCs w:val="21"/>
                <w:lang w:val="en-US" w:eastAsia="zh-CN"/>
              </w:rPr>
              <w:t>1</w:t>
            </w:r>
            <w:r>
              <w:rPr>
                <w:rFonts w:hint="eastAsia" w:ascii="宋体" w:hAnsi="宋体"/>
                <w:color w:val="auto"/>
                <w:sz w:val="21"/>
                <w:szCs w:val="21"/>
              </w:rPr>
              <w:t>分，满分2分。</w:t>
            </w:r>
          </w:p>
          <w:p w14:paraId="627557D3">
            <w:pPr>
              <w:widowControl/>
              <w:autoSpaceDE/>
              <w:autoSpaceDN/>
              <w:rPr>
                <w:lang w:eastAsia="zh-CN"/>
              </w:rPr>
            </w:pPr>
            <w:r>
              <w:rPr>
                <w:rFonts w:hint="eastAsia" w:ascii="宋体" w:hAnsi="宋体"/>
                <w:color w:val="auto"/>
                <w:sz w:val="21"/>
                <w:szCs w:val="21"/>
              </w:rPr>
              <w:t>*此项为承诺项，投标人承诺项将写入合同中约束。</w:t>
            </w:r>
          </w:p>
        </w:tc>
        <w:tc>
          <w:tcPr>
            <w:tcW w:w="0" w:type="auto"/>
            <w:tcBorders>
              <w:top w:val="nil"/>
              <w:left w:val="nil"/>
              <w:bottom w:val="single" w:color="auto" w:sz="4" w:space="0"/>
              <w:right w:val="single" w:color="auto" w:sz="4" w:space="0"/>
            </w:tcBorders>
            <w:shd w:val="clear" w:color="auto" w:fill="auto"/>
            <w:noWrap/>
            <w:vAlign w:val="center"/>
          </w:tcPr>
          <w:p w14:paraId="0C2F1113">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04AECBE4">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40D08FF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0004CC1F">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5FB09FD">
            <w:pPr>
              <w:widowControl/>
              <w:autoSpaceDE/>
              <w:autoSpaceDN/>
              <w:jc w:val="center"/>
              <w:rPr>
                <w:rFonts w:cs="宋体" w:asciiTheme="minorEastAsia" w:hAnsiTheme="minorEastAsia" w:eastAsiaTheme="minorEastAsia"/>
                <w:color w:val="000000"/>
                <w:sz w:val="21"/>
                <w:szCs w:val="21"/>
                <w:lang w:val="en-US" w:eastAsia="zh-CN" w:bidi="ar-SA"/>
              </w:rPr>
            </w:pPr>
            <w:r>
              <w:rPr>
                <w:rFonts w:asciiTheme="minorEastAsia" w:hAnsiTheme="minorEastAsia" w:eastAsiaTheme="minorEastAsia"/>
                <w:color w:val="000000"/>
                <w:sz w:val="21"/>
                <w:szCs w:val="21"/>
                <w:lang w:eastAsia="zh-CN"/>
              </w:rPr>
              <w:t>7</w:t>
            </w:r>
          </w:p>
        </w:tc>
        <w:tc>
          <w:tcPr>
            <w:tcW w:w="0" w:type="auto"/>
            <w:tcBorders>
              <w:top w:val="single" w:color="auto" w:sz="4" w:space="0"/>
              <w:left w:val="single" w:color="auto" w:sz="4" w:space="0"/>
              <w:bottom w:val="nil"/>
              <w:right w:val="single" w:color="auto" w:sz="4" w:space="0"/>
            </w:tcBorders>
            <w:shd w:val="clear" w:color="auto" w:fill="auto"/>
            <w:vAlign w:val="center"/>
          </w:tcPr>
          <w:p w14:paraId="4E989273">
            <w:pPr>
              <w:widowControl/>
              <w:autoSpaceDE/>
              <w:autoSpaceDN/>
              <w:rPr>
                <w:rFonts w:hint="eastAsia" w:cs="宋体" w:asciiTheme="minorEastAsia" w:hAnsiTheme="minorEastAsia" w:eastAsiaTheme="minorEastAsia"/>
                <w:color w:val="000000"/>
                <w:sz w:val="21"/>
                <w:szCs w:val="21"/>
                <w:lang w:val="en-US" w:eastAsia="zh-CN" w:bidi="ar-SA"/>
              </w:rPr>
            </w:pPr>
            <w:r>
              <w:rPr>
                <w:rFonts w:hint="eastAsia"/>
                <w:sz w:val="21"/>
                <w:szCs w:val="21"/>
              </w:rPr>
              <w:t>安全管理</w:t>
            </w:r>
          </w:p>
        </w:tc>
        <w:tc>
          <w:tcPr>
            <w:tcW w:w="0" w:type="auto"/>
            <w:tcBorders>
              <w:top w:val="nil"/>
              <w:left w:val="nil"/>
              <w:bottom w:val="single" w:color="auto" w:sz="4" w:space="0"/>
              <w:right w:val="nil"/>
            </w:tcBorders>
            <w:shd w:val="clear" w:color="auto" w:fill="auto"/>
            <w:vAlign w:val="center"/>
          </w:tcPr>
          <w:p w14:paraId="07230AF3">
            <w:pPr>
              <w:tabs>
                <w:tab w:val="left" w:pos="500"/>
              </w:tabs>
              <w:snapToGrid w:val="0"/>
              <w:jc w:val="both"/>
              <w:rPr>
                <w:sz w:val="21"/>
                <w:szCs w:val="21"/>
                <w:lang w:eastAsia="zh-CN"/>
              </w:rPr>
            </w:pPr>
            <w:r>
              <w:rPr>
                <w:rFonts w:hint="eastAsia"/>
                <w:sz w:val="21"/>
                <w:szCs w:val="21"/>
                <w:lang w:eastAsia="zh-CN"/>
              </w:rPr>
              <w:t>1、方针目标明确、制度完善，控制计划和管控措施到位得</w:t>
            </w:r>
            <w:r>
              <w:rPr>
                <w:sz w:val="21"/>
                <w:szCs w:val="21"/>
                <w:lang w:eastAsia="zh-CN"/>
              </w:rPr>
              <w:t>2</w:t>
            </w:r>
            <w:r>
              <w:rPr>
                <w:rFonts w:hint="eastAsia"/>
                <w:sz w:val="21"/>
                <w:szCs w:val="21"/>
                <w:lang w:eastAsia="zh-CN"/>
              </w:rPr>
              <w:t>分。</w:t>
            </w:r>
          </w:p>
          <w:p w14:paraId="10B4E8E0">
            <w:pPr>
              <w:pStyle w:val="59"/>
              <w:rPr>
                <w:rFonts w:hint="eastAsia" w:cs="宋体" w:asciiTheme="minorEastAsia" w:hAnsiTheme="minorEastAsia" w:eastAsiaTheme="minorEastAsia"/>
                <w:color w:val="000000"/>
                <w:sz w:val="21"/>
                <w:szCs w:val="21"/>
                <w:lang w:val="en-US" w:eastAsia="zh-CN" w:bidi="ar-SA"/>
              </w:rPr>
            </w:pPr>
            <w:r>
              <w:rPr>
                <w:rFonts w:hint="eastAsia" w:hAnsi="宋体" w:cs="宋体"/>
                <w:sz w:val="21"/>
                <w:szCs w:val="21"/>
              </w:rPr>
              <w:t>2、方针目标、管理制度，控制计划和管控措施有缺失，每缺失或错误一项，扣0.5分。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05022ED">
            <w:pPr>
              <w:widowControl/>
              <w:autoSpaceDE/>
              <w:autoSpaceDN/>
              <w:jc w:val="center"/>
              <w:rPr>
                <w:rFonts w:cs="宋体" w:asciiTheme="minorEastAsia" w:hAnsiTheme="minorEastAsia" w:eastAsiaTheme="minorEastAsia"/>
                <w:color w:val="000000"/>
                <w:sz w:val="21"/>
                <w:szCs w:val="21"/>
                <w:lang w:val="en-US" w:eastAsia="zh-CN" w:bidi="ar-SA"/>
              </w:rPr>
            </w:pPr>
            <w:r>
              <w:rPr>
                <w:rFonts w:asciiTheme="minorEastAsia" w:hAnsiTheme="minorEastAsia" w:eastAsiaTheme="minorEastAsia"/>
                <w:color w:val="000000"/>
                <w:sz w:val="21"/>
                <w:szCs w:val="21"/>
                <w:lang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3B7F7525">
            <w:pPr>
              <w:widowControl/>
              <w:autoSpaceDE/>
              <w:autoSpaceDN/>
              <w:jc w:val="center"/>
              <w:rPr>
                <w:rFonts w:cs="宋体" w:asciiTheme="minorEastAsia" w:hAnsiTheme="minorEastAsia" w:eastAsiaTheme="minorEastAsia"/>
                <w:color w:val="00000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2202685D">
            <w:pPr>
              <w:widowControl/>
              <w:autoSpaceDE/>
              <w:autoSpaceDN/>
              <w:jc w:val="center"/>
              <w:rPr>
                <w:rFonts w:hint="eastAsia" w:cs="宋体" w:asciiTheme="minorEastAsia" w:hAnsiTheme="minorEastAsia" w:eastAsiaTheme="minorEastAsia"/>
                <w:color w:val="000000"/>
                <w:sz w:val="21"/>
                <w:szCs w:val="21"/>
                <w:lang w:val="en-US" w:eastAsia="zh-CN" w:bidi="ar-SA"/>
              </w:rPr>
            </w:pPr>
            <w:r>
              <w:rPr>
                <w:rFonts w:hint="eastAsia" w:asciiTheme="minorEastAsia" w:hAnsiTheme="minorEastAsia" w:eastAsiaTheme="minorEastAsia"/>
                <w:color w:val="000000"/>
                <w:sz w:val="21"/>
                <w:szCs w:val="21"/>
                <w:lang w:eastAsia="zh-CN"/>
              </w:rPr>
              <w:t>　</w:t>
            </w:r>
          </w:p>
        </w:tc>
      </w:tr>
      <w:tr w14:paraId="48AAEC68">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60A7A64">
            <w:pPr>
              <w:widowControl/>
              <w:autoSpaceDE/>
              <w:autoSpaceDN/>
              <w:jc w:val="center"/>
              <w:rPr>
                <w:rFonts w:hint="eastAsia" w:cs="宋体" w:asciiTheme="minorEastAsia" w:hAnsiTheme="minorEastAsia" w:eastAsiaTheme="minorEastAsia"/>
                <w:color w:val="000000"/>
                <w:sz w:val="21"/>
                <w:szCs w:val="21"/>
                <w:u w:val="none"/>
                <w:lang w:val="en-US" w:eastAsia="zh-CN" w:bidi="ar-SA"/>
              </w:rPr>
            </w:pPr>
            <w:r>
              <w:rPr>
                <w:rFonts w:hint="eastAsia" w:asciiTheme="minorEastAsia" w:hAnsiTheme="minorEastAsia" w:eastAsiaTheme="minorEastAsia"/>
                <w:color w:val="000000"/>
                <w:sz w:val="21"/>
                <w:szCs w:val="21"/>
                <w:u w:val="none"/>
                <w:lang w:val="en-US" w:eastAsia="zh-CN"/>
              </w:rPr>
              <w:t>8</w:t>
            </w:r>
          </w:p>
        </w:tc>
        <w:tc>
          <w:tcPr>
            <w:tcW w:w="0" w:type="auto"/>
            <w:tcBorders>
              <w:top w:val="single" w:color="auto" w:sz="4" w:space="0"/>
              <w:left w:val="single" w:color="auto" w:sz="4" w:space="0"/>
              <w:bottom w:val="nil"/>
              <w:right w:val="single" w:color="auto" w:sz="4" w:space="0"/>
            </w:tcBorders>
            <w:shd w:val="clear" w:color="auto" w:fill="auto"/>
            <w:vAlign w:val="center"/>
          </w:tcPr>
          <w:p w14:paraId="09DDFAFE">
            <w:pPr>
              <w:widowControl/>
              <w:autoSpaceDE/>
              <w:autoSpaceDN/>
              <w:rPr>
                <w:rFonts w:hint="eastAsia" w:cs="宋体" w:asciiTheme="minorEastAsia" w:hAnsiTheme="minorEastAsia" w:eastAsiaTheme="minorEastAsia"/>
                <w:color w:val="000000"/>
                <w:sz w:val="21"/>
                <w:szCs w:val="21"/>
                <w:u w:val="none"/>
                <w:lang w:val="en-US" w:eastAsia="zh-CN" w:bidi="ar-SA"/>
              </w:rPr>
            </w:pPr>
            <w:r>
              <w:rPr>
                <w:rFonts w:hint="eastAsia"/>
                <w:color w:val="auto"/>
                <w:sz w:val="21"/>
                <w:szCs w:val="21"/>
                <w:u w:val="none"/>
              </w:rPr>
              <w:t>资源配置情况</w:t>
            </w:r>
          </w:p>
        </w:tc>
        <w:tc>
          <w:tcPr>
            <w:tcW w:w="0" w:type="auto"/>
            <w:tcBorders>
              <w:top w:val="nil"/>
              <w:left w:val="nil"/>
              <w:bottom w:val="single" w:color="auto" w:sz="4" w:space="0"/>
              <w:right w:val="nil"/>
            </w:tcBorders>
            <w:shd w:val="clear" w:color="auto" w:fill="auto"/>
            <w:vAlign w:val="center"/>
          </w:tcPr>
          <w:p w14:paraId="42B6D9E7">
            <w:pPr>
              <w:rPr>
                <w:color w:val="auto"/>
                <w:sz w:val="21"/>
                <w:szCs w:val="21"/>
                <w:u w:val="none"/>
              </w:rPr>
            </w:pPr>
            <w:r>
              <w:rPr>
                <w:rFonts w:hint="eastAsia"/>
                <w:color w:val="auto"/>
                <w:sz w:val="21"/>
                <w:szCs w:val="21"/>
                <w:u w:val="none"/>
              </w:rPr>
              <w:t>1、施工机具完全满足招标文件要求，得</w:t>
            </w:r>
            <w:r>
              <w:rPr>
                <w:rFonts w:hint="eastAsia"/>
                <w:color w:val="auto"/>
                <w:sz w:val="21"/>
                <w:szCs w:val="21"/>
                <w:u w:val="none"/>
                <w:lang w:val="en-US" w:eastAsia="zh-CN"/>
              </w:rPr>
              <w:t>2</w:t>
            </w:r>
            <w:r>
              <w:rPr>
                <w:rFonts w:hint="eastAsia"/>
                <w:color w:val="auto"/>
                <w:sz w:val="21"/>
                <w:szCs w:val="21"/>
                <w:u w:val="none"/>
              </w:rPr>
              <w:t>分。</w:t>
            </w:r>
          </w:p>
          <w:p w14:paraId="42EC78A7">
            <w:pPr>
              <w:pStyle w:val="59"/>
              <w:rPr>
                <w:rFonts w:hint="eastAsia" w:cs="宋体" w:asciiTheme="minorEastAsia" w:hAnsiTheme="minorEastAsia" w:eastAsiaTheme="minorEastAsia"/>
                <w:color w:val="000000"/>
                <w:sz w:val="21"/>
                <w:szCs w:val="21"/>
                <w:u w:val="none"/>
                <w:lang w:val="en-US" w:eastAsia="zh-CN" w:bidi="ar-SA"/>
              </w:rPr>
            </w:pPr>
            <w:r>
              <w:rPr>
                <w:rFonts w:hint="eastAsia"/>
                <w:color w:val="auto"/>
                <w:sz w:val="21"/>
                <w:szCs w:val="21"/>
                <w:u w:val="none"/>
              </w:rPr>
              <w:t>2、施工机具不完全满足招标文件要求，根据程度得0-</w:t>
            </w:r>
            <w:r>
              <w:rPr>
                <w:rFonts w:hint="eastAsia"/>
                <w:color w:val="auto"/>
                <w:sz w:val="21"/>
                <w:szCs w:val="21"/>
                <w:u w:val="none"/>
                <w:lang w:val="en-US" w:eastAsia="zh-CN"/>
              </w:rPr>
              <w:t>1</w:t>
            </w:r>
            <w:r>
              <w:rPr>
                <w:rFonts w:hint="eastAsia"/>
                <w:color w:val="auto"/>
                <w:sz w:val="21"/>
                <w:szCs w:val="21"/>
                <w:u w:val="none"/>
              </w:rPr>
              <w:t>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25A1D57">
            <w:pPr>
              <w:widowControl/>
              <w:autoSpaceDE/>
              <w:autoSpaceDN/>
              <w:jc w:val="center"/>
              <w:rPr>
                <w:rFonts w:cs="宋体" w:asciiTheme="minorEastAsia" w:hAnsiTheme="minorEastAsia" w:eastAsiaTheme="minorEastAsia"/>
                <w:color w:val="000000"/>
                <w:sz w:val="21"/>
                <w:szCs w:val="21"/>
                <w:u w:val="none"/>
                <w:lang w:val="en-US" w:eastAsia="zh-CN" w:bidi="ar-SA"/>
              </w:rPr>
            </w:pPr>
            <w:r>
              <w:rPr>
                <w:rFonts w:asciiTheme="minorEastAsia" w:hAnsiTheme="minorEastAsia" w:eastAsiaTheme="minorEastAsia"/>
                <w:color w:val="000000"/>
                <w:sz w:val="21"/>
                <w:szCs w:val="21"/>
                <w:u w:val="none"/>
                <w:lang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70D87802">
            <w:pPr>
              <w:widowControl/>
              <w:autoSpaceDE/>
              <w:autoSpaceDN/>
              <w:jc w:val="center"/>
              <w:rPr>
                <w:rFonts w:cs="宋体" w:asciiTheme="minorEastAsia" w:hAnsiTheme="minorEastAsia" w:eastAsiaTheme="minorEastAsia"/>
                <w:color w:val="000000"/>
                <w:sz w:val="21"/>
                <w:szCs w:val="21"/>
                <w:u w:val="none"/>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010AA6D6">
            <w:pPr>
              <w:widowControl/>
              <w:autoSpaceDE/>
              <w:autoSpaceDN/>
              <w:jc w:val="center"/>
              <w:rPr>
                <w:rFonts w:hint="eastAsia" w:cs="宋体" w:asciiTheme="minorEastAsia" w:hAnsiTheme="minorEastAsia" w:eastAsiaTheme="minorEastAsia"/>
                <w:color w:val="000000"/>
                <w:sz w:val="21"/>
                <w:szCs w:val="21"/>
                <w:lang w:val="en-US" w:eastAsia="zh-CN" w:bidi="ar-SA"/>
              </w:rPr>
            </w:pPr>
            <w:r>
              <w:rPr>
                <w:rFonts w:hint="eastAsia" w:asciiTheme="minorEastAsia" w:hAnsiTheme="minorEastAsia" w:eastAsiaTheme="minorEastAsia"/>
                <w:color w:val="000000"/>
                <w:sz w:val="21"/>
                <w:szCs w:val="21"/>
                <w:lang w:eastAsia="zh-CN"/>
              </w:rPr>
              <w:t>　</w:t>
            </w:r>
          </w:p>
        </w:tc>
      </w:tr>
      <w:tr w14:paraId="64D875FC">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FF0493">
            <w:pPr>
              <w:widowControl/>
              <w:autoSpaceDE/>
              <w:autoSpaceDN/>
              <w:jc w:val="center"/>
              <w:rPr>
                <w:rFonts w:asciiTheme="minorEastAsia" w:hAnsiTheme="minorEastAsia" w:eastAsiaTheme="minorEastAsia"/>
                <w:color w:val="000000"/>
                <w:sz w:val="21"/>
                <w:szCs w:val="21"/>
                <w:u w:val="none"/>
                <w:lang w:eastAsia="zh-CN"/>
              </w:rPr>
            </w:pPr>
            <w:r>
              <w:rPr>
                <w:rFonts w:hint="eastAsia" w:asciiTheme="minorEastAsia" w:hAnsiTheme="minorEastAsia" w:eastAsiaTheme="minorEastAsia"/>
                <w:color w:val="000000"/>
                <w:sz w:val="21"/>
                <w:szCs w:val="21"/>
                <w:u w:val="none"/>
                <w:lang w:val="en-US" w:eastAsia="zh-CN"/>
              </w:rPr>
              <w:t>9</w:t>
            </w:r>
          </w:p>
        </w:tc>
        <w:tc>
          <w:tcPr>
            <w:tcW w:w="0" w:type="auto"/>
            <w:tcBorders>
              <w:top w:val="single" w:color="auto" w:sz="4" w:space="0"/>
              <w:left w:val="single" w:color="auto" w:sz="4" w:space="0"/>
              <w:bottom w:val="nil"/>
              <w:right w:val="single" w:color="auto" w:sz="4" w:space="0"/>
            </w:tcBorders>
            <w:vAlign w:val="center"/>
          </w:tcPr>
          <w:p w14:paraId="195F7A09">
            <w:pPr>
              <w:widowControl/>
              <w:autoSpaceDE/>
              <w:autoSpaceDN/>
              <w:rPr>
                <w:rFonts w:asciiTheme="minorEastAsia" w:hAnsiTheme="minorEastAsia" w:eastAsiaTheme="minorEastAsia"/>
                <w:color w:val="000000"/>
                <w:sz w:val="21"/>
                <w:szCs w:val="21"/>
                <w:u w:val="none"/>
                <w:lang w:eastAsia="zh-CN"/>
              </w:rPr>
            </w:pPr>
            <w:r>
              <w:rPr>
                <w:rFonts w:hint="eastAsia" w:ascii="宋体" w:hAnsi="宋体" w:cs="宋体"/>
                <w:color w:val="auto"/>
                <w:sz w:val="21"/>
                <w:szCs w:val="21"/>
              </w:rPr>
              <w:t>风险识别完整性</w:t>
            </w:r>
          </w:p>
        </w:tc>
        <w:tc>
          <w:tcPr>
            <w:tcW w:w="0" w:type="auto"/>
            <w:tcBorders>
              <w:top w:val="nil"/>
              <w:left w:val="nil"/>
              <w:bottom w:val="single" w:color="auto" w:sz="4" w:space="0"/>
              <w:right w:val="nil"/>
            </w:tcBorders>
            <w:shd w:val="clear" w:color="auto" w:fill="auto"/>
            <w:vAlign w:val="center"/>
          </w:tcPr>
          <w:p w14:paraId="5A6820D1">
            <w:pPr>
              <w:tabs>
                <w:tab w:val="left" w:pos="500"/>
              </w:tabs>
              <w:snapToGrid w:val="0"/>
              <w:jc w:val="both"/>
              <w:rPr>
                <w:rFonts w:ascii="宋体" w:hAnsi="宋体" w:cs="宋体"/>
                <w:color w:val="auto"/>
                <w:sz w:val="21"/>
                <w:szCs w:val="21"/>
              </w:rPr>
            </w:pPr>
            <w:r>
              <w:rPr>
                <w:rFonts w:hint="eastAsia" w:ascii="宋体" w:hAnsi="宋体" w:cs="宋体"/>
                <w:color w:val="auto"/>
                <w:sz w:val="21"/>
                <w:szCs w:val="21"/>
              </w:rPr>
              <w:t xml:space="preserve">1、对该标段主要危害因素和作业风险识别完整准确，得1分。 </w:t>
            </w:r>
            <w:r>
              <w:rPr>
                <w:rFonts w:ascii="宋体" w:hAnsi="宋体" w:cs="宋体"/>
                <w:color w:val="auto"/>
                <w:sz w:val="21"/>
                <w:szCs w:val="21"/>
              </w:rPr>
              <w:t xml:space="preserve">                       </w:t>
            </w:r>
          </w:p>
          <w:p w14:paraId="4BB89CF9">
            <w:pPr>
              <w:pStyle w:val="59"/>
              <w:rPr>
                <w:rFonts w:cs="宋体" w:asciiTheme="minorEastAsia" w:hAnsiTheme="minorEastAsia" w:eastAsiaTheme="minorEastAsia"/>
                <w:color w:val="000000"/>
                <w:sz w:val="21"/>
                <w:szCs w:val="21"/>
                <w:u w:val="none"/>
              </w:rPr>
            </w:pPr>
            <w:r>
              <w:rPr>
                <w:rFonts w:hint="eastAsia" w:ascii="宋体" w:hAnsi="宋体" w:cs="宋体"/>
                <w:color w:val="auto"/>
                <w:sz w:val="21"/>
                <w:szCs w:val="21"/>
              </w:rPr>
              <w:t>2、主要危害因素和作业风险识别不完整，根据程度得0-0.5分。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6504AB8">
            <w:pPr>
              <w:widowControl/>
              <w:autoSpaceDE/>
              <w:autoSpaceDN/>
              <w:jc w:val="center"/>
              <w:rPr>
                <w:rFonts w:asciiTheme="minorEastAsia" w:hAnsiTheme="minorEastAsia" w:eastAsiaTheme="minorEastAsia"/>
                <w:color w:val="000000"/>
                <w:sz w:val="21"/>
                <w:szCs w:val="21"/>
                <w:u w:val="none"/>
                <w:lang w:eastAsia="zh-CN"/>
              </w:rPr>
            </w:pPr>
            <w:r>
              <w:rPr>
                <w:rFonts w:hint="eastAsia" w:asciiTheme="minorEastAsia" w:hAnsiTheme="minorEastAsia" w:eastAsiaTheme="minorEastAsia"/>
                <w:color w:val="000000"/>
                <w:sz w:val="21"/>
                <w:szCs w:val="21"/>
                <w:u w:val="none"/>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514F1CDB">
            <w:pPr>
              <w:widowControl/>
              <w:autoSpaceDE/>
              <w:autoSpaceDN/>
              <w:jc w:val="center"/>
              <w:rPr>
                <w:rFonts w:asciiTheme="minorEastAsia" w:hAnsiTheme="minorEastAsia" w:eastAsiaTheme="minorEastAsia"/>
                <w:color w:val="000000"/>
                <w:sz w:val="21"/>
                <w:szCs w:val="21"/>
                <w:u w:val="none"/>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312D73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1B8F5AB">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7AA0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1060" w:type="dxa"/>
            <w:tcBorders>
              <w:top w:val="single" w:color="auto" w:sz="4" w:space="0"/>
              <w:left w:val="nil"/>
              <w:bottom w:val="single" w:color="auto" w:sz="4" w:space="0"/>
              <w:right w:val="single" w:color="auto" w:sz="4" w:space="0"/>
            </w:tcBorders>
            <w:shd w:val="clear" w:color="auto" w:fill="auto"/>
            <w:vAlign w:val="center"/>
          </w:tcPr>
          <w:p w14:paraId="2B691212">
            <w:pPr>
              <w:widowControl/>
              <w:autoSpaceDE/>
              <w:autoSpaceDN/>
              <w:jc w:val="center"/>
              <w:rPr>
                <w:rFonts w:asciiTheme="minorEastAsia" w:hAnsiTheme="minorEastAsia" w:eastAsiaTheme="minorEastAsia"/>
                <w:color w:val="000000"/>
                <w:sz w:val="21"/>
                <w:szCs w:val="21"/>
                <w:lang w:eastAsia="zh-CN"/>
              </w:rPr>
            </w:pPr>
          </w:p>
        </w:tc>
        <w:tc>
          <w:tcPr>
            <w:tcW w:w="5966" w:type="dxa"/>
            <w:tcBorders>
              <w:top w:val="single" w:color="auto" w:sz="4" w:space="0"/>
              <w:left w:val="single" w:color="auto" w:sz="4" w:space="0"/>
              <w:bottom w:val="single" w:color="auto" w:sz="4" w:space="0"/>
              <w:right w:val="single" w:color="auto" w:sz="4" w:space="0"/>
            </w:tcBorders>
            <w:shd w:val="clear" w:color="auto" w:fill="auto"/>
            <w:vAlign w:val="center"/>
          </w:tcPr>
          <w:p w14:paraId="6975A78E">
            <w:pPr>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E7174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5474D75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176B2E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21DDB2AA">
      <w:pPr>
        <w:rPr>
          <w:lang w:eastAsia="zh-CN"/>
        </w:rPr>
      </w:pP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清洗服务</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9"/>
      </w:pPr>
    </w:p>
    <w:p w14:paraId="00ABAC03">
      <w:pPr>
        <w:pStyle w:val="59"/>
      </w:pPr>
    </w:p>
    <w:p w14:paraId="54F29C7F">
      <w:pPr>
        <w:pStyle w:val="59"/>
      </w:pPr>
    </w:p>
    <w:p w14:paraId="7A6A90D2">
      <w:pPr>
        <w:pStyle w:val="59"/>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7DE5F4FE">
      <w:pPr>
        <w:spacing w:line="480" w:lineRule="exact"/>
        <w:jc w:val="center"/>
        <w:rPr>
          <w:rFonts w:hint="eastAsia"/>
          <w:b/>
          <w:color w:val="000000"/>
          <w:sz w:val="44"/>
          <w:szCs w:val="44"/>
          <w:lang w:eastAsia="zh-CN"/>
        </w:rPr>
      </w:pPr>
    </w:p>
    <w:p w14:paraId="7F6F2ED9">
      <w:pPr>
        <w:spacing w:line="480" w:lineRule="exact"/>
        <w:jc w:val="center"/>
        <w:rPr>
          <w:rFonts w:hint="eastAsia"/>
          <w:b/>
          <w:color w:val="000000"/>
          <w:sz w:val="44"/>
          <w:szCs w:val="44"/>
          <w:lang w:eastAsia="zh-CN"/>
        </w:rPr>
      </w:pPr>
    </w:p>
    <w:p w14:paraId="77EC9FE0">
      <w:pPr>
        <w:spacing w:line="480" w:lineRule="exact"/>
        <w:jc w:val="center"/>
        <w:rPr>
          <w:rFonts w:hint="eastAsia"/>
          <w:b/>
          <w:color w:val="000000"/>
          <w:sz w:val="44"/>
          <w:szCs w:val="44"/>
          <w:lang w:eastAsia="zh-CN"/>
        </w:rPr>
      </w:pPr>
      <w:r>
        <w:rPr>
          <w:rFonts w:hint="eastAsia"/>
          <w:b/>
          <w:color w:val="000000"/>
          <w:sz w:val="44"/>
          <w:szCs w:val="44"/>
          <w:lang w:eastAsia="zh-CN"/>
        </w:rPr>
        <w:t>福建福海创石油化工有限公司</w:t>
      </w:r>
    </w:p>
    <w:p w14:paraId="71BBA46D">
      <w:pPr>
        <w:pStyle w:val="59"/>
        <w:rPr>
          <w:rFonts w:hint="eastAsia"/>
          <w:lang w:eastAsia="zh-CN"/>
        </w:rPr>
      </w:pPr>
    </w:p>
    <w:p w14:paraId="49096341">
      <w:pPr>
        <w:spacing w:line="480" w:lineRule="exact"/>
        <w:jc w:val="center"/>
        <w:rPr>
          <w:rFonts w:hint="eastAsia"/>
          <w:b/>
          <w:color w:val="000000"/>
          <w:sz w:val="44"/>
          <w:szCs w:val="44"/>
          <w:lang w:eastAsia="zh-CN"/>
        </w:rPr>
      </w:pPr>
      <w:r>
        <w:rPr>
          <w:rFonts w:hint="eastAsia"/>
          <w:b/>
          <w:color w:val="000000"/>
          <w:sz w:val="44"/>
          <w:szCs w:val="44"/>
          <w:lang w:eastAsia="zh-CN"/>
        </w:rPr>
        <w:t>干气分离及重芳烃轻质化项目工业管道及设</w:t>
      </w:r>
    </w:p>
    <w:p w14:paraId="6AFBB0FE">
      <w:pPr>
        <w:spacing w:line="480" w:lineRule="exact"/>
        <w:jc w:val="center"/>
        <w:rPr>
          <w:rFonts w:hint="eastAsia"/>
          <w:b/>
          <w:color w:val="000000"/>
          <w:sz w:val="44"/>
          <w:szCs w:val="44"/>
          <w:lang w:eastAsia="zh-CN"/>
        </w:rPr>
      </w:pPr>
    </w:p>
    <w:p w14:paraId="68665A3D">
      <w:pPr>
        <w:spacing w:line="480" w:lineRule="exact"/>
        <w:jc w:val="center"/>
        <w:rPr>
          <w:b/>
          <w:color w:val="000000"/>
          <w:sz w:val="44"/>
          <w:szCs w:val="44"/>
          <w:lang w:eastAsia="zh-CN"/>
        </w:rPr>
      </w:pPr>
      <w:r>
        <w:rPr>
          <w:rFonts w:hint="eastAsia"/>
          <w:b/>
          <w:color w:val="000000"/>
          <w:sz w:val="44"/>
          <w:szCs w:val="44"/>
          <w:lang w:eastAsia="zh-CN"/>
        </w:rPr>
        <w:t>备化学清洗服务合同</w:t>
      </w:r>
    </w:p>
    <w:p w14:paraId="20B6EEC9">
      <w:pPr>
        <w:spacing w:line="480" w:lineRule="exact"/>
        <w:jc w:val="center"/>
        <w:rPr>
          <w:b/>
          <w:color w:val="000000"/>
          <w:sz w:val="44"/>
          <w:szCs w:val="44"/>
          <w:lang w:eastAsia="zh-CN"/>
        </w:rPr>
      </w:pPr>
    </w:p>
    <w:p w14:paraId="60F27AE7">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40796346">
      <w:pPr>
        <w:rPr>
          <w:b/>
          <w:sz w:val="30"/>
          <w:lang w:eastAsia="zh-CN"/>
        </w:rPr>
      </w:pPr>
    </w:p>
    <w:p w14:paraId="6CF15F3B">
      <w:pPr>
        <w:rPr>
          <w:b/>
          <w:sz w:val="30"/>
          <w:lang w:eastAsia="zh-CN"/>
        </w:rPr>
      </w:pPr>
    </w:p>
    <w:p w14:paraId="35A2FCB5">
      <w:pPr>
        <w:rPr>
          <w:b/>
          <w:sz w:val="30"/>
          <w:lang w:eastAsia="zh-CN"/>
        </w:rPr>
      </w:pPr>
    </w:p>
    <w:p w14:paraId="75E4E154">
      <w:pPr>
        <w:rPr>
          <w:b/>
          <w:sz w:val="30"/>
          <w:lang w:eastAsia="zh-CN"/>
        </w:rPr>
      </w:pPr>
    </w:p>
    <w:p w14:paraId="171044E8">
      <w:pPr>
        <w:rPr>
          <w:b/>
          <w:sz w:val="30"/>
          <w:lang w:eastAsia="zh-CN"/>
        </w:rPr>
      </w:pPr>
    </w:p>
    <w:p w14:paraId="0A8CBA65">
      <w:pPr>
        <w:rPr>
          <w:b/>
          <w:sz w:val="30"/>
          <w:lang w:eastAsia="zh-CN"/>
        </w:rPr>
      </w:pPr>
    </w:p>
    <w:p w14:paraId="14B6878B">
      <w:pPr>
        <w:pStyle w:val="59"/>
      </w:pPr>
    </w:p>
    <w:p w14:paraId="652FDE45">
      <w:pPr>
        <w:pStyle w:val="59"/>
      </w:pPr>
    </w:p>
    <w:p w14:paraId="62C2C2CD">
      <w:pPr>
        <w:pStyle w:val="59"/>
      </w:pPr>
    </w:p>
    <w:p w14:paraId="26849C8B">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7801A708">
      <w:pPr>
        <w:rPr>
          <w:sz w:val="32"/>
          <w:szCs w:val="32"/>
          <w:lang w:eastAsia="zh-CN"/>
        </w:rPr>
      </w:pPr>
      <w:r>
        <w:rPr>
          <w:rFonts w:hint="eastAsia"/>
          <w:sz w:val="32"/>
          <w:szCs w:val="32"/>
          <w:lang w:eastAsia="zh-CN"/>
        </w:rPr>
        <w:t xml:space="preserve">承包人（乙方）： </w:t>
      </w:r>
    </w:p>
    <w:p w14:paraId="0E8AF025">
      <w:pPr>
        <w:ind w:firstLine="800" w:firstLineChars="250"/>
        <w:rPr>
          <w:sz w:val="32"/>
          <w:szCs w:val="32"/>
          <w:lang w:eastAsia="zh-CN"/>
        </w:rPr>
      </w:pPr>
    </w:p>
    <w:p w14:paraId="620EEF93">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7</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7FC7EBBB">
      <w:pPr>
        <w:tabs>
          <w:tab w:val="left" w:pos="2130"/>
          <w:tab w:val="center" w:pos="4535"/>
        </w:tabs>
        <w:jc w:val="center"/>
        <w:rPr>
          <w:b/>
          <w:sz w:val="30"/>
          <w:szCs w:val="30"/>
          <w:lang w:eastAsia="zh-CN"/>
        </w:rPr>
      </w:pPr>
    </w:p>
    <w:p w14:paraId="12DF2B94">
      <w:pPr>
        <w:spacing w:line="440" w:lineRule="exact"/>
        <w:rPr>
          <w:rFonts w:asciiTheme="majorEastAsia" w:hAnsiTheme="majorEastAsia" w:eastAsiaTheme="majorEastAsia"/>
          <w:sz w:val="24"/>
          <w:szCs w:val="24"/>
          <w:lang w:eastAsia="zh-CN"/>
        </w:rPr>
      </w:pPr>
      <w:r>
        <w:rPr>
          <w:rFonts w:hint="eastAsia"/>
          <w:b/>
          <w:sz w:val="30"/>
          <w:szCs w:val="30"/>
          <w:lang w:eastAsia="zh-CN"/>
        </w:rPr>
        <w:br w:type="page"/>
      </w:r>
      <w:r>
        <w:rPr>
          <w:rFonts w:hint="eastAsia" w:asciiTheme="majorEastAsia" w:hAnsiTheme="majorEastAsia" w:eastAsiaTheme="majorEastAsia"/>
          <w:sz w:val="24"/>
          <w:szCs w:val="24"/>
          <w:lang w:eastAsia="zh-CN"/>
        </w:rPr>
        <w:t>发包人（甲方）：福建福海创石油化工有限公司</w:t>
      </w:r>
    </w:p>
    <w:p w14:paraId="5146416A">
      <w:pPr>
        <w:pStyle w:val="59"/>
        <w:adjustRightInd/>
        <w:spacing w:line="44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 </w:t>
      </w:r>
      <w:r>
        <w:rPr>
          <w:rFonts w:asciiTheme="majorEastAsia" w:hAnsiTheme="majorEastAsia" w:eastAsiaTheme="majorEastAsia"/>
          <w:sz w:val="24"/>
          <w:szCs w:val="24"/>
        </w:rPr>
        <w:t xml:space="preserve">               </w:t>
      </w:r>
    </w:p>
    <w:p w14:paraId="696AED9C">
      <w:pPr>
        <w:spacing w:line="440" w:lineRule="exact"/>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承包人（乙方）：</w:t>
      </w:r>
    </w:p>
    <w:p w14:paraId="0B8F1D9F">
      <w:pPr>
        <w:spacing w:line="440" w:lineRule="exact"/>
        <w:rPr>
          <w:rFonts w:hint="eastAsia" w:asciiTheme="majorEastAsia" w:hAnsiTheme="majorEastAsia" w:eastAsiaTheme="majorEastAsia"/>
          <w:sz w:val="24"/>
          <w:szCs w:val="24"/>
          <w:lang w:eastAsia="zh-CN"/>
        </w:rPr>
      </w:pPr>
    </w:p>
    <w:p w14:paraId="2DD3F113">
      <w:pPr>
        <w:spacing w:line="440" w:lineRule="exact"/>
        <w:ind w:firstLine="42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依照《中华人民共和国民法典》及其他有关法律、行政法规，遵循平等、自愿、公平和诚实信用的原则，双方就本合同中承包范围内的工程事项协商一致，订立本合同。</w:t>
      </w:r>
    </w:p>
    <w:p w14:paraId="39AFB682">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工程概况</w:t>
      </w:r>
    </w:p>
    <w:p w14:paraId="5D1905D5">
      <w:pPr>
        <w:numPr>
          <w:ilvl w:val="0"/>
          <w:numId w:val="10"/>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工程名称：</w:t>
      </w:r>
      <w:r>
        <w:rPr>
          <w:rFonts w:hint="eastAsia" w:cs="Arial" w:asciiTheme="majorEastAsia" w:hAnsiTheme="majorEastAsia" w:eastAsiaTheme="majorEastAsia"/>
          <w:sz w:val="24"/>
          <w:szCs w:val="24"/>
          <w:lang w:eastAsia="zh-CN"/>
        </w:rPr>
        <w:t>福建福海创石油化工有限公司干气分离及重芳烃轻质化项目工业管道及设备化学清洗服务</w:t>
      </w:r>
    </w:p>
    <w:p w14:paraId="19EAF124">
      <w:pPr>
        <w:numPr>
          <w:ilvl w:val="0"/>
          <w:numId w:val="10"/>
        </w:numPr>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工程地点：福建省漳州古雷开发区</w:t>
      </w:r>
    </w:p>
    <w:p w14:paraId="4DC40DDB">
      <w:pPr>
        <w:numPr>
          <w:ilvl w:val="0"/>
          <w:numId w:val="10"/>
        </w:numPr>
        <w:spacing w:line="440" w:lineRule="exact"/>
        <w:ind w:left="0" w:firstLine="0"/>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工程范围：</w:t>
      </w:r>
      <w:r>
        <w:rPr>
          <w:rFonts w:hint="eastAsia" w:asciiTheme="majorEastAsia" w:hAnsiTheme="majorEastAsia" w:eastAsiaTheme="majorEastAsia"/>
          <w:sz w:val="24"/>
          <w:szCs w:val="24"/>
          <w:lang w:val="en-US" w:eastAsia="zh-CN"/>
        </w:rPr>
        <w:t>化学清洗范围：本次需要清洗设备共计6台，设备材质为Q345R（HIC）,本次需清洗工业管道共计约 1030.8米，总清洗预估体积约227 m³，管径范围 15 mm - 700mm，管道材质主要为碳钢（PSL1 L245、20#、ASTM A106-B等），具体详见附件化学清洗清单、工艺流程图、管道单线图及设备图等。</w:t>
      </w:r>
    </w:p>
    <w:p w14:paraId="2DE9A1CC">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合同价款</w:t>
      </w:r>
    </w:p>
    <w:p w14:paraId="1F94E6DC">
      <w:pPr>
        <w:pStyle w:val="18"/>
        <w:spacing w:line="44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rPr>
        <w:t>1、承包方式与计价原则</w:t>
      </w:r>
    </w:p>
    <w:p w14:paraId="5CDE2487">
      <w:pPr>
        <w:pStyle w:val="18"/>
        <w:spacing w:line="440" w:lineRule="exact"/>
        <w:ind w:firstLine="360"/>
        <w:jc w:val="left"/>
        <w:rPr>
          <w:rFonts w:asciiTheme="majorEastAsia" w:hAnsiTheme="majorEastAsia" w:eastAsiaTheme="majorEastAsia"/>
          <w:sz w:val="24"/>
          <w:szCs w:val="24"/>
        </w:rPr>
      </w:pPr>
      <w:r>
        <w:rPr>
          <w:rFonts w:hint="eastAsia" w:asciiTheme="majorEastAsia" w:hAnsiTheme="majorEastAsia" w:eastAsiaTheme="majorEastAsia"/>
          <w:sz w:val="24"/>
          <w:szCs w:val="24"/>
        </w:rPr>
        <w:t>本合同乙方采用包工、包质量、包工期、包安全文明施工、包维修风险、包运输的承包方式，计价采用固定单价、据实结算的方式执行。</w:t>
      </w:r>
    </w:p>
    <w:p w14:paraId="51C8A286">
      <w:pPr>
        <w:pStyle w:val="206"/>
        <w:numPr>
          <w:ilvl w:val="0"/>
          <w:numId w:val="9"/>
        </w:numPr>
        <w:tabs>
          <w:tab w:val="left" w:pos="0"/>
          <w:tab w:val="clear" w:pos="360"/>
        </w:tabs>
        <w:spacing w:line="440" w:lineRule="exact"/>
        <w:ind w:left="0" w:firstLine="0" w:firstLineChars="0"/>
        <w:jc w:val="left"/>
        <w:rPr>
          <w:rFonts w:asciiTheme="majorEastAsia" w:hAnsiTheme="majorEastAsia" w:eastAsiaTheme="majorEastAsia"/>
          <w:bCs/>
          <w:sz w:val="24"/>
        </w:rPr>
      </w:pPr>
      <w:r>
        <w:rPr>
          <w:rFonts w:hint="eastAsia" w:asciiTheme="majorEastAsia" w:hAnsiTheme="majorEastAsia" w:eastAsiaTheme="majorEastAsia"/>
          <w:bCs/>
          <w:sz w:val="24"/>
        </w:rPr>
        <w:t>工程款结算方式及期限</w:t>
      </w:r>
    </w:p>
    <w:p w14:paraId="72307050">
      <w:pPr>
        <w:spacing w:line="440" w:lineRule="exact"/>
        <w:ind w:firstLine="240" w:firstLine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1、合同价款</w:t>
      </w:r>
    </w:p>
    <w:p w14:paraId="01F8CDF3">
      <w:pPr>
        <w:spacing w:line="440" w:lineRule="exact"/>
        <w:ind w:firstLine="240" w:firstLineChars="100"/>
        <w:rPr>
          <w:rFonts w:hint="eastAsia" w:asciiTheme="majorEastAsia" w:hAnsiTheme="majorEastAsia" w:eastAsiaTheme="majorEastAsia"/>
          <w:color w:val="3C3C3C"/>
          <w:sz w:val="24"/>
          <w:szCs w:val="24"/>
          <w:lang w:eastAsia="zh-CN"/>
        </w:rPr>
      </w:pPr>
      <w:r>
        <w:rPr>
          <w:rFonts w:hint="eastAsia" w:asciiTheme="majorEastAsia" w:hAnsiTheme="majorEastAsia" w:eastAsiaTheme="majorEastAsia"/>
          <w:sz w:val="24"/>
          <w:szCs w:val="24"/>
          <w:lang w:eastAsia="zh-CN"/>
        </w:rPr>
        <w:t xml:space="preserve">1.1 </w:t>
      </w:r>
      <w:r>
        <w:rPr>
          <w:rFonts w:hint="eastAsia" w:asciiTheme="majorEastAsia" w:hAnsiTheme="majorEastAsia" w:eastAsiaTheme="majorEastAsia"/>
          <w:color w:val="3C3C3C"/>
          <w:sz w:val="24"/>
          <w:szCs w:val="24"/>
          <w:lang w:eastAsia="zh-CN"/>
        </w:rPr>
        <w:t>本合同价款按以下方式执行：</w:t>
      </w:r>
    </w:p>
    <w:p w14:paraId="1879E4C7">
      <w:pPr>
        <w:spacing w:line="440" w:lineRule="exact"/>
        <w:ind w:firstLine="240" w:firstLineChars="100"/>
        <w:rPr>
          <w:rFonts w:hint="default" w:asciiTheme="majorEastAsia" w:hAnsiTheme="majorEastAsia" w:eastAsiaTheme="majorEastAsia"/>
          <w:color w:val="3C3C3C"/>
          <w:sz w:val="24"/>
          <w:szCs w:val="24"/>
          <w:lang w:val="en-US" w:eastAsia="zh-CN"/>
        </w:rPr>
      </w:pPr>
      <w:r>
        <w:rPr>
          <w:rFonts w:hint="eastAsia" w:asciiTheme="majorEastAsia" w:hAnsiTheme="majorEastAsia" w:eastAsiaTheme="majorEastAsia"/>
          <w:sz w:val="24"/>
          <w:szCs w:val="24"/>
          <w:highlight w:val="none"/>
          <w:lang w:val="en-US" w:eastAsia="zh-CN"/>
        </w:rPr>
        <w:t>合同暂定总价为：</w:t>
      </w:r>
      <w:r>
        <w:rPr>
          <w:rFonts w:asciiTheme="majorEastAsia" w:hAnsiTheme="majorEastAsia" w:eastAsiaTheme="majorEastAsia"/>
          <w:sz w:val="24"/>
          <w:szCs w:val="24"/>
          <w:highlight w:val="none"/>
        </w:rPr>
        <w:t>人民币</w:t>
      </w:r>
      <w:r>
        <w:rPr>
          <w:rFonts w:hint="eastAsia" w:asciiTheme="majorEastAsia" w:hAnsiTheme="majorEastAsia" w:eastAsiaTheme="majorEastAsia"/>
          <w:sz w:val="24"/>
          <w:szCs w:val="24"/>
          <w:highlight w:val="none"/>
          <w:lang w:val="en-US" w:eastAsia="zh-CN"/>
        </w:rPr>
        <w:t xml:space="preserve">  </w:t>
      </w:r>
      <w:r>
        <w:rPr>
          <w:rFonts w:hint="eastAsia" w:asciiTheme="majorEastAsia" w:hAnsiTheme="majorEastAsia" w:eastAsiaTheme="majorEastAsia"/>
          <w:sz w:val="24"/>
          <w:szCs w:val="24"/>
          <w:highlight w:val="none"/>
          <w:u w:val="single"/>
          <w:lang w:val="en-US" w:eastAsia="zh-CN"/>
        </w:rPr>
        <w:t xml:space="preserve">     </w:t>
      </w:r>
      <w:r>
        <w:rPr>
          <w:rFonts w:asciiTheme="majorEastAsia" w:hAnsiTheme="majorEastAsia" w:eastAsiaTheme="majorEastAsia"/>
          <w:sz w:val="24"/>
          <w:szCs w:val="24"/>
          <w:highlight w:val="none"/>
        </w:rPr>
        <w:t>元（</w:t>
      </w:r>
      <w:r>
        <w:rPr>
          <w:rFonts w:hint="eastAsia" w:asciiTheme="majorEastAsia" w:hAnsiTheme="majorEastAsia" w:eastAsiaTheme="majorEastAsia"/>
          <w:sz w:val="24"/>
          <w:szCs w:val="24"/>
          <w:highlight w:val="none"/>
          <w:lang w:val="en-US" w:eastAsia="zh-CN"/>
        </w:rPr>
        <w:t>含税，</w:t>
      </w:r>
      <w:r>
        <w:rPr>
          <w:rFonts w:asciiTheme="majorEastAsia" w:hAnsiTheme="majorEastAsia" w:eastAsiaTheme="majorEastAsia"/>
          <w:sz w:val="24"/>
          <w:szCs w:val="24"/>
          <w:highlight w:val="none"/>
        </w:rPr>
        <w:t>大写：</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w:t>
      </w:r>
      <w:r>
        <w:rPr>
          <w:rFonts w:hint="eastAsia" w:asciiTheme="majorEastAsia" w:hAnsiTheme="majorEastAsia" w:eastAsiaTheme="majorEastAsia"/>
          <w:sz w:val="24"/>
          <w:szCs w:val="24"/>
          <w:highlight w:val="none"/>
          <w:lang w:eastAsia="zh-CN"/>
        </w:rPr>
        <w:t>，</w:t>
      </w:r>
      <w:r>
        <w:rPr>
          <w:rFonts w:hint="eastAsia" w:asciiTheme="majorEastAsia" w:hAnsiTheme="majorEastAsia" w:eastAsiaTheme="majorEastAsia"/>
          <w:sz w:val="24"/>
          <w:szCs w:val="24"/>
          <w:highlight w:val="none"/>
          <w:lang w:val="en-US" w:eastAsia="zh-CN"/>
        </w:rPr>
        <w:t>不含税金额为：</w:t>
      </w:r>
      <w:r>
        <w:rPr>
          <w:rFonts w:asciiTheme="majorEastAsia" w:hAnsiTheme="majorEastAsia" w:eastAsiaTheme="majorEastAsia"/>
          <w:sz w:val="24"/>
          <w:szCs w:val="24"/>
          <w:highlight w:val="none"/>
        </w:rPr>
        <w:t>人民币</w:t>
      </w:r>
      <w:r>
        <w:rPr>
          <w:rFonts w:hint="eastAsia" w:asciiTheme="majorEastAsia" w:hAnsiTheme="majorEastAsia" w:eastAsiaTheme="majorEastAsia"/>
          <w:sz w:val="24"/>
          <w:szCs w:val="24"/>
          <w:highlight w:val="none"/>
          <w:lang w:val="en-US" w:eastAsia="zh-CN"/>
        </w:rPr>
        <w:t xml:space="preserve"> </w:t>
      </w:r>
      <w:r>
        <w:rPr>
          <w:rFonts w:hint="eastAsia" w:asciiTheme="majorEastAsia" w:hAnsiTheme="majorEastAsia" w:eastAsiaTheme="majorEastAsia"/>
          <w:sz w:val="24"/>
          <w:szCs w:val="24"/>
          <w:highlight w:val="none"/>
          <w:u w:val="single"/>
          <w:lang w:val="en-US" w:eastAsia="zh-CN"/>
        </w:rPr>
        <w:t xml:space="preserve">      </w:t>
      </w:r>
      <w:r>
        <w:rPr>
          <w:rFonts w:asciiTheme="majorEastAsia" w:hAnsiTheme="majorEastAsia" w:eastAsiaTheme="majorEastAsia"/>
          <w:sz w:val="24"/>
          <w:szCs w:val="24"/>
          <w:highlight w:val="none"/>
        </w:rPr>
        <w:t>元</w:t>
      </w:r>
      <w:r>
        <w:rPr>
          <w:rFonts w:hint="eastAsia" w:asciiTheme="majorEastAsia" w:hAnsiTheme="majorEastAsia" w:eastAsiaTheme="majorEastAsia"/>
          <w:sz w:val="24"/>
          <w:szCs w:val="24"/>
          <w:highlight w:val="none"/>
          <w:lang w:eastAsia="zh-CN"/>
        </w:rPr>
        <w:t>。</w:t>
      </w:r>
      <w:r>
        <w:rPr>
          <w:rFonts w:hint="eastAsia" w:asciiTheme="majorEastAsia" w:hAnsiTheme="majorEastAsia" w:eastAsiaTheme="majorEastAsia"/>
          <w:sz w:val="24"/>
          <w:szCs w:val="24"/>
          <w:highlight w:val="none"/>
          <w:lang w:val="en-US" w:eastAsia="zh-CN"/>
        </w:rPr>
        <w:t>其中：</w:t>
      </w:r>
    </w:p>
    <w:p w14:paraId="77A089A3">
      <w:pPr>
        <w:pStyle w:val="18"/>
        <w:numPr>
          <w:ilvl w:val="0"/>
          <w:numId w:val="11"/>
        </w:numPr>
        <w:spacing w:line="440" w:lineRule="exact"/>
        <w:jc w:val="left"/>
        <w:rPr>
          <w:rFonts w:asciiTheme="majorEastAsia" w:hAnsiTheme="majorEastAsia" w:eastAsiaTheme="majorEastAsia"/>
          <w:sz w:val="24"/>
          <w:szCs w:val="24"/>
          <w:highlight w:val="none"/>
        </w:rPr>
      </w:pPr>
      <w:r>
        <w:rPr>
          <w:rFonts w:hint="eastAsia" w:asciiTheme="majorEastAsia" w:hAnsiTheme="majorEastAsia" w:eastAsiaTheme="majorEastAsia"/>
          <w:sz w:val="24"/>
          <w:szCs w:val="24"/>
        </w:rPr>
        <w:t xml:space="preserve"> </w:t>
      </w:r>
      <w:r>
        <w:rPr>
          <w:rFonts w:hint="eastAsia" w:asciiTheme="majorEastAsia" w:hAnsiTheme="majorEastAsia" w:eastAsiaTheme="majorEastAsia"/>
          <w:sz w:val="24"/>
          <w:szCs w:val="24"/>
          <w:highlight w:val="none"/>
          <w:lang w:val="en-US" w:eastAsia="zh-CN"/>
        </w:rPr>
        <w:t>干气分离项目：固定综合单价：</w:t>
      </w:r>
      <w:r>
        <w:rPr>
          <w:rFonts w:hint="eastAsia" w:asciiTheme="majorEastAsia" w:hAnsiTheme="majorEastAsia" w:eastAsiaTheme="majorEastAsia"/>
          <w:sz w:val="24"/>
          <w:szCs w:val="24"/>
          <w:highlight w:val="none"/>
          <w:u w:val="single"/>
          <w:lang w:val="en-US" w:eastAsia="zh-CN"/>
        </w:rPr>
        <w:t xml:space="preserve">    </w:t>
      </w:r>
      <w:r>
        <w:rPr>
          <w:rFonts w:hint="eastAsia" w:asciiTheme="majorEastAsia" w:hAnsiTheme="majorEastAsia" w:eastAsiaTheme="majorEastAsia"/>
          <w:sz w:val="24"/>
          <w:szCs w:val="24"/>
          <w:highlight w:val="none"/>
          <w:lang w:val="en-US" w:eastAsia="zh-CN"/>
        </w:rPr>
        <w:t>元/ m³ ，预估体积为56.59m³，</w:t>
      </w:r>
      <w:r>
        <w:rPr>
          <w:rFonts w:asciiTheme="majorEastAsia" w:hAnsiTheme="majorEastAsia" w:eastAsiaTheme="majorEastAsia"/>
          <w:sz w:val="24"/>
          <w:szCs w:val="24"/>
          <w:highlight w:val="none"/>
        </w:rPr>
        <w:t>暂定</w:t>
      </w:r>
      <w:r>
        <w:rPr>
          <w:rFonts w:hint="eastAsia" w:asciiTheme="majorEastAsia" w:hAnsiTheme="majorEastAsia" w:eastAsiaTheme="majorEastAsia"/>
          <w:sz w:val="24"/>
          <w:szCs w:val="24"/>
          <w:highlight w:val="none"/>
          <w:lang w:val="en-US" w:eastAsia="zh-CN"/>
        </w:rPr>
        <w:t>总价</w:t>
      </w:r>
      <w:r>
        <w:rPr>
          <w:rFonts w:asciiTheme="majorEastAsia" w:hAnsiTheme="majorEastAsia" w:eastAsiaTheme="majorEastAsia"/>
          <w:sz w:val="24"/>
          <w:szCs w:val="24"/>
          <w:highlight w:val="none"/>
        </w:rPr>
        <w:t>为</w:t>
      </w:r>
      <w:r>
        <w:rPr>
          <w:rFonts w:hint="eastAsia" w:asciiTheme="majorEastAsia" w:hAnsiTheme="majorEastAsia" w:eastAsiaTheme="majorEastAsia"/>
          <w:sz w:val="24"/>
          <w:szCs w:val="24"/>
          <w:highlight w:val="none"/>
          <w:lang w:eastAsia="zh-CN"/>
        </w:rPr>
        <w:t>：</w:t>
      </w:r>
      <w:r>
        <w:rPr>
          <w:rFonts w:asciiTheme="majorEastAsia" w:hAnsiTheme="majorEastAsia" w:eastAsiaTheme="majorEastAsia"/>
          <w:sz w:val="24"/>
          <w:szCs w:val="24"/>
          <w:highlight w:val="none"/>
        </w:rPr>
        <w:t>人民币</w:t>
      </w:r>
      <w:r>
        <w:rPr>
          <w:rFonts w:hint="eastAsia" w:asciiTheme="majorEastAsia" w:hAnsiTheme="majorEastAsia" w:eastAsiaTheme="majorEastAsia"/>
          <w:sz w:val="24"/>
          <w:szCs w:val="24"/>
          <w:highlight w:val="none"/>
          <w:lang w:val="en-US" w:eastAsia="zh-CN"/>
        </w:rPr>
        <w:t xml:space="preserve"> </w:t>
      </w:r>
      <w:r>
        <w:rPr>
          <w:rFonts w:hint="eastAsia" w:asciiTheme="majorEastAsia" w:hAnsiTheme="majorEastAsia" w:eastAsiaTheme="majorEastAsia"/>
          <w:sz w:val="24"/>
          <w:szCs w:val="24"/>
          <w:highlight w:val="none"/>
          <w:u w:val="single"/>
          <w:lang w:val="en-US" w:eastAsia="zh-CN"/>
        </w:rPr>
        <w:t xml:space="preserve">    </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元（</w:t>
      </w:r>
      <w:r>
        <w:rPr>
          <w:rFonts w:hint="eastAsia" w:asciiTheme="majorEastAsia" w:hAnsiTheme="majorEastAsia" w:eastAsiaTheme="majorEastAsia"/>
          <w:sz w:val="24"/>
          <w:szCs w:val="24"/>
          <w:highlight w:val="none"/>
          <w:lang w:val="en-US" w:eastAsia="zh-CN"/>
        </w:rPr>
        <w:t>含税，</w:t>
      </w:r>
      <w:r>
        <w:rPr>
          <w:rFonts w:asciiTheme="majorEastAsia" w:hAnsiTheme="majorEastAsia" w:eastAsiaTheme="majorEastAsia"/>
          <w:sz w:val="24"/>
          <w:szCs w:val="24"/>
          <w:highlight w:val="none"/>
        </w:rPr>
        <w:t>大写：</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w:t>
      </w:r>
    </w:p>
    <w:p w14:paraId="0B8EF52F">
      <w:pPr>
        <w:pStyle w:val="18"/>
        <w:numPr>
          <w:ilvl w:val="0"/>
          <w:numId w:val="11"/>
        </w:numPr>
        <w:spacing w:line="440" w:lineRule="exact"/>
        <w:jc w:val="left"/>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lang w:val="en-US" w:eastAsia="zh-CN"/>
        </w:rPr>
        <w:t>重芳烃轻质化项目：固定综合单价：</w:t>
      </w:r>
      <w:r>
        <w:rPr>
          <w:rFonts w:hint="eastAsia" w:asciiTheme="majorEastAsia" w:hAnsiTheme="majorEastAsia" w:eastAsiaTheme="majorEastAsia"/>
          <w:sz w:val="24"/>
          <w:szCs w:val="24"/>
          <w:highlight w:val="none"/>
          <w:u w:val="single"/>
          <w:lang w:val="en-US" w:eastAsia="zh-CN"/>
        </w:rPr>
        <w:t xml:space="preserve">    </w:t>
      </w:r>
      <w:r>
        <w:rPr>
          <w:rFonts w:hint="eastAsia" w:asciiTheme="majorEastAsia" w:hAnsiTheme="majorEastAsia" w:eastAsiaTheme="majorEastAsia"/>
          <w:sz w:val="24"/>
          <w:szCs w:val="24"/>
          <w:highlight w:val="none"/>
          <w:lang w:val="en-US" w:eastAsia="zh-CN"/>
        </w:rPr>
        <w:t>元/ m³ ，预估体积170.41m³，</w:t>
      </w:r>
      <w:r>
        <w:rPr>
          <w:rFonts w:asciiTheme="majorEastAsia" w:hAnsiTheme="majorEastAsia" w:eastAsiaTheme="majorEastAsia"/>
          <w:sz w:val="24"/>
          <w:szCs w:val="24"/>
          <w:highlight w:val="none"/>
        </w:rPr>
        <w:t>暂定</w:t>
      </w:r>
      <w:r>
        <w:rPr>
          <w:rFonts w:hint="eastAsia" w:asciiTheme="majorEastAsia" w:hAnsiTheme="majorEastAsia" w:eastAsiaTheme="majorEastAsia"/>
          <w:sz w:val="24"/>
          <w:szCs w:val="24"/>
          <w:highlight w:val="none"/>
          <w:lang w:val="en-US" w:eastAsia="zh-CN"/>
        </w:rPr>
        <w:t>总价</w:t>
      </w:r>
      <w:r>
        <w:rPr>
          <w:rFonts w:asciiTheme="majorEastAsia" w:hAnsiTheme="majorEastAsia" w:eastAsiaTheme="majorEastAsia"/>
          <w:sz w:val="24"/>
          <w:szCs w:val="24"/>
          <w:highlight w:val="none"/>
        </w:rPr>
        <w:t>为</w:t>
      </w:r>
      <w:r>
        <w:rPr>
          <w:rFonts w:hint="eastAsia" w:asciiTheme="majorEastAsia" w:hAnsiTheme="majorEastAsia" w:eastAsiaTheme="majorEastAsia"/>
          <w:sz w:val="24"/>
          <w:szCs w:val="24"/>
          <w:highlight w:val="none"/>
          <w:lang w:eastAsia="zh-CN"/>
        </w:rPr>
        <w:t>：</w:t>
      </w:r>
      <w:r>
        <w:rPr>
          <w:rFonts w:asciiTheme="majorEastAsia" w:hAnsiTheme="majorEastAsia" w:eastAsiaTheme="majorEastAsia"/>
          <w:sz w:val="24"/>
          <w:szCs w:val="24"/>
          <w:highlight w:val="none"/>
        </w:rPr>
        <w:t>人民币</w:t>
      </w:r>
      <w:r>
        <w:rPr>
          <w:rFonts w:hint="eastAsia" w:asciiTheme="majorEastAsia" w:hAnsiTheme="majorEastAsia" w:eastAsiaTheme="majorEastAsia"/>
          <w:sz w:val="24"/>
          <w:szCs w:val="24"/>
          <w:highlight w:val="none"/>
          <w:lang w:val="en-US" w:eastAsia="zh-CN"/>
        </w:rPr>
        <w:t xml:space="preserve"> </w:t>
      </w:r>
      <w:r>
        <w:rPr>
          <w:rFonts w:hint="eastAsia" w:asciiTheme="majorEastAsia" w:hAnsiTheme="majorEastAsia" w:eastAsiaTheme="majorEastAsia"/>
          <w:sz w:val="24"/>
          <w:szCs w:val="24"/>
          <w:highlight w:val="none"/>
          <w:u w:val="single"/>
          <w:lang w:val="en-US" w:eastAsia="zh-CN"/>
        </w:rPr>
        <w:t xml:space="preserve">    </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元（</w:t>
      </w:r>
      <w:r>
        <w:rPr>
          <w:rFonts w:hint="eastAsia" w:asciiTheme="majorEastAsia" w:hAnsiTheme="majorEastAsia" w:eastAsiaTheme="majorEastAsia"/>
          <w:sz w:val="24"/>
          <w:szCs w:val="24"/>
          <w:highlight w:val="none"/>
          <w:lang w:val="en-US" w:eastAsia="zh-CN"/>
        </w:rPr>
        <w:t>含税，</w:t>
      </w:r>
      <w:r>
        <w:rPr>
          <w:rFonts w:asciiTheme="majorEastAsia" w:hAnsiTheme="majorEastAsia" w:eastAsiaTheme="majorEastAsia"/>
          <w:sz w:val="24"/>
          <w:szCs w:val="24"/>
          <w:highlight w:val="none"/>
        </w:rPr>
        <w:t>大写：</w:t>
      </w:r>
      <w:r>
        <w:rPr>
          <w:rFonts w:hint="eastAsia" w:asciiTheme="majorEastAsia" w:hAnsiTheme="majorEastAsia" w:eastAsiaTheme="majorEastAsia"/>
          <w:sz w:val="24"/>
          <w:szCs w:val="24"/>
          <w:highlight w:val="none"/>
          <w:lang w:val="en-US" w:eastAsia="zh-CN"/>
        </w:rPr>
        <w:t xml:space="preserve">   </w:t>
      </w:r>
      <w:r>
        <w:rPr>
          <w:rFonts w:asciiTheme="majorEastAsia" w:hAnsiTheme="majorEastAsia" w:eastAsiaTheme="majorEastAsia"/>
          <w:sz w:val="24"/>
          <w:szCs w:val="24"/>
          <w:highlight w:val="none"/>
        </w:rPr>
        <w:t>）。</w:t>
      </w:r>
    </w:p>
    <w:p w14:paraId="7B265F72">
      <w:pPr>
        <w:pStyle w:val="59"/>
        <w:adjustRightInd/>
        <w:spacing w:line="440" w:lineRule="exact"/>
        <w:jc w:val="left"/>
        <w:rPr>
          <w:rFonts w:cs="宋体" w:asciiTheme="majorEastAsia" w:hAnsiTheme="majorEastAsia" w:eastAsiaTheme="majorEastAsia"/>
          <w:sz w:val="24"/>
          <w:szCs w:val="24"/>
        </w:rPr>
      </w:pPr>
      <w:r>
        <w:rPr>
          <w:rFonts w:hint="eastAsia" w:cs="Arial" w:asciiTheme="majorEastAsia" w:hAnsiTheme="majorEastAsia" w:eastAsiaTheme="majorEastAsia"/>
          <w:sz w:val="24"/>
          <w:szCs w:val="24"/>
        </w:rPr>
        <w:t xml:space="preserve">  1.</w:t>
      </w:r>
      <w:r>
        <w:rPr>
          <w:rFonts w:hint="eastAsia" w:cs="Arial" w:asciiTheme="majorEastAsia" w:hAnsiTheme="majorEastAsia" w:eastAsiaTheme="majorEastAsia"/>
          <w:sz w:val="24"/>
          <w:szCs w:val="24"/>
          <w:lang w:val="en-US" w:eastAsia="zh-CN"/>
        </w:rPr>
        <w:t>2</w:t>
      </w:r>
      <w:r>
        <w:rPr>
          <w:rFonts w:cs="宋体" w:asciiTheme="majorEastAsia" w:hAnsiTheme="majorEastAsia" w:eastAsiaTheme="majorEastAsia"/>
          <w:snapToGrid w:val="0"/>
          <w:sz w:val="24"/>
          <w:szCs w:val="24"/>
        </w:rPr>
        <w:t>合同价款（</w:t>
      </w:r>
      <w:r>
        <w:rPr>
          <w:rFonts w:hint="eastAsia" w:cs="宋体" w:asciiTheme="majorEastAsia" w:hAnsiTheme="majorEastAsia" w:eastAsiaTheme="majorEastAsia"/>
          <w:snapToGrid w:val="0"/>
          <w:sz w:val="24"/>
          <w:szCs w:val="24"/>
          <w:lang w:val="en-US" w:eastAsia="zh-CN"/>
        </w:rPr>
        <w:t>完工</w:t>
      </w:r>
      <w:r>
        <w:rPr>
          <w:rFonts w:cs="宋体" w:asciiTheme="majorEastAsia" w:hAnsiTheme="majorEastAsia" w:eastAsiaTheme="majorEastAsia"/>
          <w:snapToGrid w:val="0"/>
          <w:sz w:val="24"/>
          <w:szCs w:val="24"/>
        </w:rPr>
        <w:t>结算价）</w:t>
      </w:r>
      <w:r>
        <w:rPr>
          <w:rFonts w:hint="eastAsia" w:cs="宋体" w:asciiTheme="majorEastAsia" w:hAnsiTheme="majorEastAsia" w:eastAsiaTheme="majorEastAsia"/>
          <w:snapToGrid w:val="0"/>
          <w:sz w:val="24"/>
          <w:szCs w:val="24"/>
        </w:rPr>
        <w:t>：指乙方按合同约定完成了包括缺陷责任期内的全部承包工作后，甲方应付给乙方的金额，包括在履行合同过程中按合同约定进行的变更和调整。中选后，除甲方要求变更以及采购询比文件另有规定外，乙方在工作准备及工作直至验收合格所发生的一切费用均由乙方承担；</w:t>
      </w:r>
    </w:p>
    <w:p w14:paraId="780A5904">
      <w:pPr>
        <w:pStyle w:val="59"/>
        <w:adjustRightInd/>
        <w:spacing w:line="440" w:lineRule="exact"/>
        <w:jc w:val="left"/>
        <w:rPr>
          <w:rFonts w:asciiTheme="majorEastAsia" w:hAnsiTheme="majorEastAsia" w:eastAsiaTheme="majorEastAsia"/>
          <w:sz w:val="24"/>
          <w:szCs w:val="24"/>
        </w:rPr>
      </w:pPr>
      <w:r>
        <w:rPr>
          <w:rFonts w:hint="eastAsia" w:cs="宋体" w:asciiTheme="majorEastAsia" w:hAnsiTheme="majorEastAsia" w:eastAsiaTheme="majorEastAsia"/>
          <w:sz w:val="24"/>
          <w:szCs w:val="24"/>
        </w:rPr>
        <w:t xml:space="preserve">  1.</w:t>
      </w:r>
      <w:r>
        <w:rPr>
          <w:rFonts w:hint="eastAsia" w:cs="宋体" w:asciiTheme="majorEastAsia" w:hAnsiTheme="majorEastAsia" w:eastAsiaTheme="majorEastAsia"/>
          <w:sz w:val="24"/>
          <w:szCs w:val="24"/>
          <w:lang w:val="en-US" w:eastAsia="zh-CN"/>
        </w:rPr>
        <w:t>3</w:t>
      </w:r>
      <w:r>
        <w:rPr>
          <w:rFonts w:hint="eastAsia" w:cs="宋体" w:asciiTheme="majorEastAsia" w:hAnsiTheme="majorEastAsia" w:eastAsiaTheme="majorEastAsia"/>
          <w:sz w:val="24"/>
          <w:szCs w:val="24"/>
        </w:rPr>
        <w:t xml:space="preserve"> </w:t>
      </w:r>
      <w:r>
        <w:rPr>
          <w:rFonts w:hint="eastAsia" w:cs="宋体" w:asciiTheme="majorEastAsia" w:hAnsiTheme="majorEastAsia" w:eastAsiaTheme="majorEastAsia"/>
          <w:snapToGrid w:val="0"/>
          <w:sz w:val="24"/>
          <w:szCs w:val="24"/>
        </w:rPr>
        <w:t>合同价款最终以甲方审定的工程结算为准。甲方对乙方的清洗检修结算，按审核后（扣除甲供材料、设备）的结算额作为实际工作造价，不做任何优惠。</w:t>
      </w:r>
    </w:p>
    <w:p w14:paraId="11438A8A">
      <w:pPr>
        <w:spacing w:line="440" w:lineRule="exact"/>
        <w:ind w:right="-279" w:rightChars="-127" w:firstLine="240" w:firstLine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 xml:space="preserve"> 乙方开具</w:t>
      </w:r>
      <w:r>
        <w:rPr>
          <w:rFonts w:hint="eastAsia" w:asciiTheme="majorEastAsia" w:hAnsiTheme="majorEastAsia" w:eastAsiaTheme="majorEastAsia"/>
          <w:sz w:val="24"/>
          <w:szCs w:val="24"/>
          <w:u w:val="single"/>
          <w:lang w:eastAsia="zh-CN"/>
        </w:rPr>
        <w:t xml:space="preserve"> </w:t>
      </w:r>
      <w:r>
        <w:rPr>
          <w:rFonts w:asciiTheme="majorEastAsia" w:hAnsiTheme="majorEastAsia" w:eastAsiaTheme="majorEastAsia"/>
          <w:sz w:val="24"/>
          <w:szCs w:val="24"/>
          <w:u w:val="single"/>
          <w:lang w:eastAsia="zh-CN"/>
        </w:rPr>
        <w:t>6</w:t>
      </w:r>
      <w:r>
        <w:rPr>
          <w:rFonts w:hint="eastAsia" w:asciiTheme="majorEastAsia" w:hAnsiTheme="majorEastAsia" w:eastAsiaTheme="majorEastAsia"/>
          <w:sz w:val="24"/>
          <w:szCs w:val="24"/>
          <w:u w:val="single"/>
          <w:lang w:eastAsia="zh-CN"/>
        </w:rPr>
        <w:t xml:space="preserve"> </w:t>
      </w:r>
      <w:r>
        <w:rPr>
          <w:rFonts w:asciiTheme="majorEastAsia" w:hAnsiTheme="majorEastAsia" w:eastAsiaTheme="majorEastAsia"/>
          <w:sz w:val="24"/>
          <w:szCs w:val="24"/>
          <w:lang w:eastAsia="zh-CN"/>
        </w:rPr>
        <w:t>%</w:t>
      </w:r>
      <w:r>
        <w:rPr>
          <w:rFonts w:hint="eastAsia" w:asciiTheme="majorEastAsia" w:hAnsiTheme="majorEastAsia" w:eastAsiaTheme="majorEastAsia"/>
          <w:sz w:val="24"/>
          <w:szCs w:val="24"/>
          <w:lang w:eastAsia="zh-CN"/>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Pr>
          <w:rFonts w:hint="eastAsia" w:asciiTheme="majorEastAsia" w:hAnsiTheme="majorEastAsia" w:eastAsiaTheme="majorEastAsia"/>
          <w:color w:val="000000"/>
          <w:sz w:val="24"/>
          <w:szCs w:val="24"/>
          <w:lang w:eastAsia="zh-CN"/>
        </w:rPr>
        <w:t>。</w:t>
      </w:r>
      <w:r>
        <w:rPr>
          <w:rFonts w:hint="eastAsia" w:asciiTheme="majorEastAsia" w:hAnsiTheme="majorEastAsia" w:eastAsiaTheme="majorEastAsia"/>
          <w:sz w:val="24"/>
          <w:szCs w:val="24"/>
          <w:lang w:eastAsia="zh-CN"/>
        </w:rPr>
        <w:t>除非双方另有书面约定，甲方不再承担其他费用。</w:t>
      </w:r>
    </w:p>
    <w:p w14:paraId="46339D55">
      <w:pPr>
        <w:spacing w:line="440" w:lineRule="exact"/>
        <w:ind w:firstLine="360" w:firstLineChars="15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2、付款方式</w:t>
      </w:r>
    </w:p>
    <w:p w14:paraId="37FFE561">
      <w:pPr>
        <w:pStyle w:val="44"/>
        <w:spacing w:before="0" w:beforeAutospacing="0" w:after="0" w:afterAutospacing="0" w:line="440" w:lineRule="exact"/>
        <w:ind w:firstLine="480" w:firstLineChars="200"/>
        <w:rPr>
          <w:rFonts w:asciiTheme="majorEastAsia" w:hAnsiTheme="majorEastAsia" w:eastAsiaTheme="majorEastAsia"/>
        </w:rPr>
      </w:pPr>
      <w:r>
        <w:rPr>
          <w:rFonts w:hint="eastAsia" w:asciiTheme="majorEastAsia" w:hAnsiTheme="majorEastAsia" w:eastAsiaTheme="majorEastAsia"/>
          <w:sz w:val="24"/>
          <w:szCs w:val="24"/>
          <w:lang w:eastAsia="zh-CN"/>
        </w:rPr>
        <w:t xml:space="preserve">2.1 </w:t>
      </w:r>
      <w:r>
        <w:rPr>
          <w:rFonts w:hint="eastAsia" w:asciiTheme="majorEastAsia" w:hAnsiTheme="majorEastAsia" w:eastAsiaTheme="majorEastAsia"/>
          <w:sz w:val="24"/>
          <w:szCs w:val="24"/>
          <w:lang w:val="en-US" w:eastAsia="zh-CN"/>
        </w:rPr>
        <w:t>乙方完成化学清洗并经甲方验收合格后，</w:t>
      </w:r>
      <w:r>
        <w:rPr>
          <w:rFonts w:hint="eastAsia" w:asciiTheme="majorEastAsia" w:hAnsiTheme="majorEastAsia" w:eastAsiaTheme="majorEastAsia"/>
          <w:snapToGrid w:val="0"/>
          <w:sz w:val="24"/>
          <w:szCs w:val="24"/>
          <w:lang w:eastAsia="zh-CN"/>
        </w:rPr>
        <w:t>乙方开具</w:t>
      </w:r>
      <w:r>
        <w:rPr>
          <w:rFonts w:hint="eastAsia" w:asciiTheme="majorEastAsia" w:hAnsiTheme="majorEastAsia" w:eastAsiaTheme="majorEastAsia"/>
          <w:snapToGrid w:val="0"/>
          <w:sz w:val="24"/>
          <w:szCs w:val="24"/>
          <w:lang w:val="en-US" w:eastAsia="zh-CN"/>
        </w:rPr>
        <w:t>结算金额全额</w:t>
      </w:r>
      <w:r>
        <w:rPr>
          <w:rFonts w:hint="eastAsia" w:asciiTheme="majorEastAsia" w:hAnsiTheme="majorEastAsia" w:eastAsiaTheme="majorEastAsia"/>
          <w:snapToGrid w:val="0"/>
          <w:sz w:val="24"/>
          <w:szCs w:val="24"/>
          <w:lang w:eastAsia="zh-CN"/>
        </w:rPr>
        <w:t>增值税</w:t>
      </w:r>
      <w:r>
        <w:rPr>
          <w:rFonts w:hint="eastAsia" w:asciiTheme="majorEastAsia" w:hAnsiTheme="majorEastAsia" w:eastAsiaTheme="majorEastAsia"/>
          <w:snapToGrid w:val="0"/>
          <w:sz w:val="24"/>
          <w:szCs w:val="24"/>
          <w:lang w:val="en-US" w:eastAsia="zh-CN"/>
        </w:rPr>
        <w:t>专用</w:t>
      </w:r>
      <w:r>
        <w:rPr>
          <w:rFonts w:hint="eastAsia" w:asciiTheme="majorEastAsia" w:hAnsiTheme="majorEastAsia" w:eastAsiaTheme="majorEastAsia"/>
          <w:snapToGrid w:val="0"/>
          <w:sz w:val="24"/>
          <w:szCs w:val="24"/>
          <w:lang w:eastAsia="zh-CN"/>
        </w:rPr>
        <w:t>发票（税率</w:t>
      </w:r>
      <w:r>
        <w:rPr>
          <w:rFonts w:hint="eastAsia" w:asciiTheme="majorEastAsia" w:hAnsiTheme="majorEastAsia" w:eastAsiaTheme="majorEastAsia"/>
          <w:b/>
          <w:snapToGrid w:val="0"/>
          <w:sz w:val="24"/>
          <w:szCs w:val="24"/>
          <w:u w:val="single"/>
          <w:lang w:eastAsia="zh-CN"/>
        </w:rPr>
        <w:t xml:space="preserve"> </w:t>
      </w:r>
      <w:r>
        <w:rPr>
          <w:rFonts w:asciiTheme="majorEastAsia" w:hAnsiTheme="majorEastAsia" w:eastAsiaTheme="majorEastAsia"/>
          <w:b/>
          <w:snapToGrid w:val="0"/>
          <w:sz w:val="24"/>
          <w:szCs w:val="24"/>
          <w:u w:val="single"/>
          <w:lang w:eastAsia="zh-CN"/>
        </w:rPr>
        <w:t>6</w:t>
      </w:r>
      <w:r>
        <w:rPr>
          <w:rFonts w:hint="eastAsia" w:asciiTheme="majorEastAsia" w:hAnsiTheme="majorEastAsia" w:eastAsiaTheme="majorEastAsia"/>
          <w:b/>
          <w:snapToGrid w:val="0"/>
          <w:sz w:val="24"/>
          <w:szCs w:val="24"/>
          <w:u w:val="single"/>
          <w:lang w:eastAsia="zh-CN"/>
        </w:rPr>
        <w:t xml:space="preserve"> </w:t>
      </w:r>
      <w:r>
        <w:rPr>
          <w:rFonts w:hint="eastAsia" w:asciiTheme="majorEastAsia" w:hAnsiTheme="majorEastAsia" w:eastAsiaTheme="majorEastAsia"/>
          <w:b/>
          <w:snapToGrid w:val="0"/>
          <w:sz w:val="24"/>
          <w:szCs w:val="24"/>
          <w:lang w:eastAsia="zh-CN"/>
        </w:rPr>
        <w:t>%</w:t>
      </w:r>
      <w:r>
        <w:rPr>
          <w:rFonts w:hint="eastAsia" w:asciiTheme="majorEastAsia" w:hAnsiTheme="majorEastAsia" w:eastAsiaTheme="majorEastAsia"/>
          <w:snapToGrid w:val="0"/>
          <w:sz w:val="24"/>
          <w:szCs w:val="24"/>
          <w:lang w:eastAsia="zh-CN"/>
        </w:rPr>
        <w:t>），</w:t>
      </w:r>
      <w:r>
        <w:rPr>
          <w:rFonts w:hint="eastAsia" w:asciiTheme="majorEastAsia" w:hAnsiTheme="majorEastAsia" w:eastAsiaTheme="majorEastAsia"/>
          <w:snapToGrid w:val="0"/>
          <w:sz w:val="24"/>
          <w:szCs w:val="24"/>
          <w:lang w:val="en-US" w:eastAsia="zh-CN"/>
        </w:rPr>
        <w:t>甲方30日内一次性支付结算金额的100%。</w:t>
      </w:r>
    </w:p>
    <w:p w14:paraId="4D20B17F">
      <w:pPr>
        <w:pStyle w:val="44"/>
        <w:spacing w:before="0" w:beforeAutospacing="0" w:after="0" w:afterAutospacing="0" w:line="440" w:lineRule="exact"/>
        <w:ind w:firstLine="360" w:firstLineChars="150"/>
        <w:rPr>
          <w:rFonts w:asciiTheme="majorEastAsia" w:hAnsiTheme="majorEastAsia" w:eastAsiaTheme="majorEastAsia"/>
        </w:rPr>
      </w:pPr>
      <w:r>
        <w:rPr>
          <w:rFonts w:hint="eastAsia" w:asciiTheme="majorEastAsia" w:hAnsiTheme="majorEastAsia" w:eastAsiaTheme="majorEastAsia"/>
        </w:rPr>
        <w:t>2.</w:t>
      </w:r>
      <w:r>
        <w:rPr>
          <w:rFonts w:hint="eastAsia" w:asciiTheme="majorEastAsia" w:hAnsiTheme="majorEastAsia" w:eastAsiaTheme="majorEastAsia"/>
          <w:lang w:val="en-US" w:eastAsia="zh-CN"/>
        </w:rPr>
        <w:t>2</w:t>
      </w:r>
      <w:r>
        <w:rPr>
          <w:rFonts w:hint="eastAsia" w:asciiTheme="majorEastAsia" w:hAnsiTheme="majorEastAsia" w:eastAsiaTheme="majorEastAsia"/>
        </w:rPr>
        <w:t xml:space="preserve"> 所有支付的款项均以人民币支付, 付款方式为电汇或银行转账。乙方应在甲方付款期限届满</w:t>
      </w:r>
      <w:r>
        <w:rPr>
          <w:rFonts w:hint="eastAsia" w:asciiTheme="majorEastAsia" w:hAnsiTheme="majorEastAsia" w:eastAsiaTheme="majorEastAsia"/>
          <w:u w:val="single"/>
          <w:lang w:val="en-US" w:eastAsia="zh-CN"/>
        </w:rPr>
        <w:t>30</w:t>
      </w:r>
      <w:r>
        <w:rPr>
          <w:rFonts w:hint="eastAsia" w:asciiTheme="majorEastAsia" w:hAnsiTheme="majorEastAsia" w:eastAsiaTheme="majorEastAsia"/>
        </w:rPr>
        <w:t>日前提供相应的增值税专用发票，否则甲方有权顺延付款。上述技术服务及咨询报酬直接支付至乙方指定的下列账号：</w:t>
      </w:r>
    </w:p>
    <w:p w14:paraId="1B8FD7C5">
      <w:pPr>
        <w:pStyle w:val="75"/>
        <w:tabs>
          <w:tab w:val="left" w:pos="1080"/>
        </w:tabs>
        <w:spacing w:before="0" w:line="440" w:lineRule="exact"/>
        <w:ind w:left="0"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 xml:space="preserve">户  名： </w:t>
      </w:r>
      <w:r>
        <w:rPr>
          <w:rFonts w:hint="eastAsia" w:ascii="Arial" w:hAnsi="Arial" w:cs="Arial" w:eastAsiaTheme="minorEastAsia"/>
          <w:bCs/>
          <w:sz w:val="24"/>
          <w:u w:val="single"/>
          <w:lang w:val="en-US" w:eastAsia="zh-CN"/>
        </w:rPr>
        <w:t xml:space="preserve">             </w:t>
      </w:r>
    </w:p>
    <w:p w14:paraId="488BFDFD">
      <w:pPr>
        <w:pStyle w:val="75"/>
        <w:tabs>
          <w:tab w:val="left" w:pos="1080"/>
        </w:tabs>
        <w:spacing w:before="0" w:line="440" w:lineRule="exact"/>
        <w:ind w:left="0"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eastAsia="zh-CN"/>
        </w:rPr>
        <w:t>开户行：</w:t>
      </w:r>
      <w:r>
        <w:rPr>
          <w:rFonts w:ascii="Arial" w:hAnsi="Arial" w:cs="Arial" w:eastAsiaTheme="minorEastAsia"/>
          <w:bCs/>
          <w:sz w:val="24"/>
          <w:u w:val="single"/>
          <w:lang w:eastAsia="zh-CN"/>
        </w:rPr>
        <w:t xml:space="preserve"> </w:t>
      </w:r>
      <w:r>
        <w:rPr>
          <w:rFonts w:hint="eastAsia" w:ascii="Arial" w:hAnsi="Arial" w:cs="Arial" w:eastAsiaTheme="minorEastAsia"/>
          <w:bCs/>
          <w:sz w:val="24"/>
          <w:u w:val="single"/>
          <w:lang w:val="en-US" w:eastAsia="zh-CN"/>
        </w:rPr>
        <w:t xml:space="preserve">             </w:t>
      </w:r>
    </w:p>
    <w:p w14:paraId="53933814">
      <w:pPr>
        <w:tabs>
          <w:tab w:val="left" w:pos="360"/>
        </w:tabs>
        <w:autoSpaceDE/>
        <w:autoSpaceDN/>
        <w:spacing w:line="440" w:lineRule="exact"/>
        <w:ind w:firstLine="480" w:firstLineChars="200"/>
        <w:rPr>
          <w:rFonts w:asciiTheme="majorEastAsia" w:hAnsiTheme="majorEastAsia" w:eastAsiaTheme="majorEastAsia"/>
          <w:sz w:val="24"/>
          <w:szCs w:val="24"/>
          <w:lang w:eastAsia="zh-CN"/>
        </w:rPr>
      </w:pPr>
      <w:r>
        <w:rPr>
          <w:rFonts w:hint="eastAsia" w:asciiTheme="minorEastAsia" w:hAnsiTheme="minorEastAsia" w:eastAsiaTheme="minorEastAsia"/>
          <w:sz w:val="24"/>
        </w:rPr>
        <w:t>账  号：</w:t>
      </w:r>
      <w:r>
        <w:rPr>
          <w:rFonts w:hint="eastAsia" w:ascii="Arial" w:hAnsi="Arial" w:cs="Arial" w:eastAsiaTheme="minorEastAsia"/>
          <w:bCs/>
          <w:sz w:val="24"/>
          <w:u w:val="single"/>
          <w:lang w:val="en-US" w:eastAsia="zh-CN"/>
        </w:rPr>
        <w:t xml:space="preserve">             </w:t>
      </w:r>
    </w:p>
    <w:p w14:paraId="43629150">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施工要求</w:t>
      </w:r>
    </w:p>
    <w:p w14:paraId="52B7A2E8">
      <w:pPr>
        <w:numPr>
          <w:ilvl w:val="0"/>
          <w:numId w:val="12"/>
        </w:numPr>
        <w:tabs>
          <w:tab w:val="left" w:pos="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施工过程中，需要改动的施工，乙方需全力配合，听从甲方工程人员的安排。</w:t>
      </w:r>
      <w:r>
        <w:rPr>
          <w:rFonts w:hint="eastAsia" w:asciiTheme="minorEastAsia" w:hAnsiTheme="minorEastAsia" w:eastAsiaTheme="minorEastAsia"/>
          <w:sz w:val="24"/>
          <w:szCs w:val="24"/>
          <w:lang w:eastAsia="zh-CN"/>
        </w:rPr>
        <w:t>甲方要求变更以及超出合同范围外工作量，甲乙双方需签订合同补充协议书。</w:t>
      </w:r>
    </w:p>
    <w:p w14:paraId="7273A636">
      <w:pPr>
        <w:numPr>
          <w:ilvl w:val="0"/>
          <w:numId w:val="12"/>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乙方应遵守国家劳动法和地方政府有关用工规定，负责己方人员的安全和劳动保险，保证安全生产，乙方人员工作中的工伤事故，由乙方依据国家及地方政府的相关工伤保险条例处理，甲方不承担法律上的责任。</w:t>
      </w:r>
    </w:p>
    <w:p w14:paraId="259B587B">
      <w:pPr>
        <w:numPr>
          <w:ilvl w:val="0"/>
          <w:numId w:val="12"/>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乙方必须保证施工质量及时间要求，经施工后如有质量问题应于</w:t>
      </w:r>
      <w:r>
        <w:rPr>
          <w:rFonts w:asciiTheme="majorEastAsia" w:hAnsiTheme="majorEastAsia" w:eastAsiaTheme="majorEastAsia"/>
          <w:sz w:val="24"/>
          <w:szCs w:val="24"/>
          <w:lang w:eastAsia="zh-CN"/>
        </w:rPr>
        <w:t>24</w:t>
      </w:r>
      <w:r>
        <w:rPr>
          <w:rFonts w:hint="eastAsia" w:asciiTheme="majorEastAsia" w:hAnsiTheme="majorEastAsia" w:eastAsiaTheme="majorEastAsia"/>
          <w:sz w:val="24"/>
          <w:szCs w:val="24"/>
          <w:lang w:eastAsia="zh-CN"/>
        </w:rPr>
        <w:t>小时内应甲方要求到达甲方工程地点进行维修，确保生产的顺利进行。</w:t>
      </w:r>
    </w:p>
    <w:p w14:paraId="10820B98">
      <w:pPr>
        <w:numPr>
          <w:ilvl w:val="0"/>
          <w:numId w:val="12"/>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乙方在施工中不得损坏相关设备，如果损坏甲方设备应该负责修复或承担修复费用；造成甲方生产及其它损失的应对全部损失承担赔偿责任。</w:t>
      </w:r>
    </w:p>
    <w:p w14:paraId="6D17B06F">
      <w:pPr>
        <w:numPr>
          <w:ilvl w:val="0"/>
          <w:numId w:val="12"/>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乙方必须遵守甲方各项管理规定，甲方有权对工厂内发生的违反公司规章制度的行为进行处罚。</w:t>
      </w:r>
    </w:p>
    <w:p w14:paraId="3E436F2C">
      <w:pPr>
        <w:pStyle w:val="59"/>
        <w:spacing w:line="440" w:lineRule="exact"/>
        <w:rPr>
          <w:sz w:val="24"/>
          <w:szCs w:val="24"/>
        </w:rPr>
      </w:pPr>
      <w:r>
        <w:rPr>
          <w:rFonts w:hint="eastAsia"/>
          <w:sz w:val="24"/>
          <w:szCs w:val="24"/>
        </w:rPr>
        <w:t>6、罐底杂质（包含油泥、沥青、污泥沙等）须装桶清理，并运至甲方场内指定地点。</w:t>
      </w:r>
    </w:p>
    <w:p w14:paraId="7A30E5CB">
      <w:pPr>
        <w:pStyle w:val="59"/>
        <w:spacing w:line="440" w:lineRule="exact"/>
      </w:pPr>
      <w:r>
        <w:rPr>
          <w:rFonts w:hint="eastAsia"/>
          <w:sz w:val="24"/>
          <w:szCs w:val="24"/>
        </w:rPr>
        <w:t>7、具体详见</w:t>
      </w:r>
      <w:r>
        <w:rPr>
          <w:rFonts w:hint="eastAsia" w:cs="Arial" w:asciiTheme="minorEastAsia" w:hAnsiTheme="minorEastAsia" w:eastAsiaTheme="minorEastAsia"/>
          <w:sz w:val="24"/>
          <w:szCs w:val="24"/>
        </w:rPr>
        <w:t>附件</w:t>
      </w:r>
      <w:r>
        <w:rPr>
          <w:rFonts w:cs="Arial" w:asciiTheme="minorEastAsia" w:hAnsiTheme="minorEastAsia" w:eastAsiaTheme="minorEastAsia"/>
          <w:sz w:val="24"/>
          <w:szCs w:val="24"/>
        </w:rPr>
        <w:t>1</w:t>
      </w:r>
      <w:r>
        <w:rPr>
          <w:rFonts w:hint="eastAsia" w:cs="Arial" w:asciiTheme="minorEastAsia" w:hAnsiTheme="minorEastAsia" w:eastAsiaTheme="minorEastAsia"/>
          <w:sz w:val="24"/>
          <w:szCs w:val="24"/>
        </w:rPr>
        <w:t>：技术要求</w:t>
      </w:r>
    </w:p>
    <w:p w14:paraId="64F3BE05">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工期要求：</w:t>
      </w:r>
    </w:p>
    <w:p w14:paraId="7171DA4A">
      <w:pPr>
        <w:numPr>
          <w:ilvl w:val="0"/>
          <w:numId w:val="13"/>
        </w:numPr>
        <w:tabs>
          <w:tab w:val="left" w:pos="284"/>
          <w:tab w:val="left" w:pos="360"/>
        </w:tabs>
        <w:autoSpaceDE/>
        <w:autoSpaceDN/>
        <w:spacing w:line="440" w:lineRule="exact"/>
        <w:ind w:left="0" w:firstLine="0"/>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本项目工期要求不大于 7 个日历天，开工日期根据甲方通知。</w:t>
      </w:r>
    </w:p>
    <w:p w14:paraId="41203631">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施工的质量要求</w:t>
      </w:r>
    </w:p>
    <w:p w14:paraId="1964003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工程质量应当达到</w:t>
      </w:r>
      <w:r>
        <w:rPr>
          <w:rFonts w:hint="eastAsia" w:asciiTheme="majorEastAsia" w:hAnsiTheme="majorEastAsia" w:eastAsiaTheme="majorEastAsia"/>
          <w:sz w:val="24"/>
          <w:szCs w:val="24"/>
          <w:u w:val="single"/>
          <w:lang w:eastAsia="zh-CN"/>
        </w:rPr>
        <w:t>合格</w:t>
      </w:r>
      <w:r>
        <w:rPr>
          <w:rFonts w:hint="eastAsia" w:asciiTheme="majorEastAsia" w:hAnsiTheme="majorEastAsia" w:eastAsiaTheme="majorEastAsia"/>
          <w:sz w:val="24"/>
          <w:szCs w:val="24"/>
          <w:lang w:eastAsia="zh-CN"/>
        </w:rPr>
        <w:t>标准，质量标准的评定以国家或行业的质量检验评定标准</w:t>
      </w:r>
      <w:r>
        <w:rPr>
          <w:rFonts w:hint="eastAsia" w:asciiTheme="minorEastAsia" w:hAnsiTheme="minorEastAsia" w:eastAsiaTheme="minorEastAsia"/>
          <w:sz w:val="24"/>
          <w:szCs w:val="24"/>
          <w:lang w:eastAsia="zh-CN"/>
        </w:rPr>
        <w:t>及甲方清洗整体</w:t>
      </w:r>
      <w:r>
        <w:rPr>
          <w:rFonts w:hint="eastAsia" w:asciiTheme="majorEastAsia" w:hAnsiTheme="majorEastAsia" w:eastAsiaTheme="majorEastAsia"/>
          <w:sz w:val="24"/>
          <w:szCs w:val="24"/>
          <w:lang w:eastAsia="zh-CN"/>
        </w:rPr>
        <w:t>为依据。</w:t>
      </w:r>
    </w:p>
    <w:p w14:paraId="24454327">
      <w:pPr>
        <w:numPr>
          <w:ilvl w:val="0"/>
          <w:numId w:val="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原材料的提供办法及规格、数量、质量</w:t>
      </w:r>
    </w:p>
    <w:p w14:paraId="3C3D94F4">
      <w:pPr>
        <w:numPr>
          <w:ilvl w:val="0"/>
          <w:numId w:val="14"/>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必须依照合同规定选用原材料，并接受甲方检验。乙方隐瞒原材料的缺陷或者使用不符合合同、国家、行业标准的原材料施工影响工程质量时，甲方有权要求乙方更换、重做、减少价款，有关费用由乙方承担，由此造成甲方损失的，乙方应承担赔偿责任。</w:t>
      </w:r>
    </w:p>
    <w:p w14:paraId="66BB7414">
      <w:pPr>
        <w:numPr>
          <w:ilvl w:val="0"/>
          <w:numId w:val="14"/>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乙方使用的材料必须先提供样板并经甲方书面认可，方可采购进场施工。</w:t>
      </w:r>
    </w:p>
    <w:p w14:paraId="7F4A999E">
      <w:pPr>
        <w:numPr>
          <w:ilvl w:val="0"/>
          <w:numId w:val="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技术资料、图纸提供办法</w:t>
      </w:r>
    </w:p>
    <w:p w14:paraId="7A7B0E09">
      <w:pPr>
        <w:numPr>
          <w:ilvl w:val="0"/>
          <w:numId w:val="15"/>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甲方应当提供技术资料、图纸等文件资料。</w:t>
      </w:r>
    </w:p>
    <w:p w14:paraId="42AABE67">
      <w:pPr>
        <w:numPr>
          <w:ilvl w:val="0"/>
          <w:numId w:val="15"/>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乙方在依照甲方要求进行工作期间，发现提供的图纸或技术要求不合理的，应当立即通知甲方；甲方应当在收到通知起</w:t>
      </w: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日内回复，提出修改意见。乙方在约定的时间内未得到答复的，有权停止工作。</w:t>
      </w:r>
    </w:p>
    <w:p w14:paraId="56E70652">
      <w:pPr>
        <w:numPr>
          <w:ilvl w:val="0"/>
          <w:numId w:val="15"/>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乙方对于承揽的工作，应当严格保密，未经甲方事先书面同意，不得泄露给任何第三人，也不得留存任何技术资料及其复制品。</w:t>
      </w:r>
    </w:p>
    <w:p w14:paraId="3E6FE4D5">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rPr>
        <w:t>验收标准和方法</w:t>
      </w:r>
    </w:p>
    <w:p w14:paraId="10558C88">
      <w:pPr>
        <w:numPr>
          <w:ilvl w:val="0"/>
          <w:numId w:val="16"/>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符合现行国家或行业标准并符合甲方使用目的，达到运行标准，以合同明确规定的图纸、质量要求作为验收依据。</w:t>
      </w:r>
    </w:p>
    <w:p w14:paraId="171D9161">
      <w:pPr>
        <w:numPr>
          <w:ilvl w:val="0"/>
          <w:numId w:val="16"/>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乙方在自检合格后向甲方提交书面验收要求，甲方应在15日内对乙方所完成的工作进行验收。验收前乙方应当向甲方提交必须的技术资料和有关质量证明。逾期未经验收而提前进入使用者，视作通过验收。</w:t>
      </w:r>
    </w:p>
    <w:p w14:paraId="572BD8F3">
      <w:pPr>
        <w:numPr>
          <w:ilvl w:val="0"/>
          <w:numId w:val="16"/>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隐蔽工程必须经甲方检查验收合格后签章。</w:t>
      </w:r>
    </w:p>
    <w:p w14:paraId="31581230">
      <w:pPr>
        <w:pStyle w:val="59"/>
        <w:adjustRightInd/>
        <w:spacing w:line="44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rPr>
        <w:t>4、甲方已就本合同项下涉及乙方重大利害关系的条款向乙方作出详细说明，乙方充分理解上述条款含义，并自愿签订本合同。</w:t>
      </w:r>
    </w:p>
    <w:p w14:paraId="15CD9575">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rPr>
        <w:t>保修期及保修责任</w:t>
      </w:r>
    </w:p>
    <w:p w14:paraId="1B9C4806">
      <w:pPr>
        <w:numPr>
          <w:ilvl w:val="0"/>
          <w:numId w:val="17"/>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如发现质量问题，除甲方使用、保管不当等原因外，乙方应在甲方指定期限内修复，其一切工料费用均由乙方负责。如乙方未在约定时间内整改，甲方有权自行修复或请第三方进行修复，所发生的一切费用由乙方承担。</w:t>
      </w:r>
    </w:p>
    <w:p w14:paraId="78355AFC">
      <w:pPr>
        <w:pStyle w:val="75"/>
        <w:numPr>
          <w:ilvl w:val="0"/>
          <w:numId w:val="17"/>
        </w:numPr>
        <w:tabs>
          <w:tab w:val="left" w:pos="2010"/>
        </w:tabs>
        <w:spacing w:before="0"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双方确定，甲方指定</w:t>
      </w:r>
      <w:r>
        <w:rPr>
          <w:rFonts w:hint="eastAsia" w:asciiTheme="minorEastAsia" w:hAnsiTheme="minorEastAsia" w:eastAsiaTheme="minorEastAsia"/>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为甲方项目联系人，乙方指定</w:t>
      </w:r>
      <w:r>
        <w:rPr>
          <w:rFonts w:hint="eastAsia" w:asciiTheme="majorEastAsia" w:hAnsiTheme="majorEastAsia" w:eastAsiaTheme="majorEastAsia"/>
          <w:sz w:val="24"/>
          <w:szCs w:val="24"/>
          <w:u w:val="single"/>
          <w:lang w:eastAsia="zh-CN"/>
        </w:rPr>
        <w:t xml:space="preserve">  </w:t>
      </w:r>
      <w:r>
        <w:rPr>
          <w:rFonts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为乙方项目联系人。项目联系人承担以下责任：</w:t>
      </w:r>
      <w:r>
        <w:rPr>
          <w:rFonts w:hint="eastAsia" w:asciiTheme="majorEastAsia" w:hAnsiTheme="majorEastAsia" w:eastAsiaTheme="majorEastAsia"/>
          <w:sz w:val="24"/>
          <w:szCs w:val="24"/>
          <w:u w:val="single"/>
          <w:lang w:eastAsia="zh-CN"/>
        </w:rPr>
        <w:t xml:space="preserve">  联系具体项目进度并实施</w:t>
      </w:r>
      <w:r>
        <w:rPr>
          <w:rFonts w:asciiTheme="majorEastAsia" w:hAnsiTheme="majorEastAsia" w:eastAsiaTheme="majorEastAsia"/>
          <w:sz w:val="24"/>
          <w:szCs w:val="24"/>
          <w:u w:val="single"/>
          <w:lang w:eastAsia="zh-CN"/>
        </w:rPr>
        <w:t xml:space="preserve">  </w:t>
      </w:r>
    </w:p>
    <w:p w14:paraId="4E5C52FB">
      <w:pPr>
        <w:spacing w:line="440" w:lineRule="exact"/>
        <w:ind w:hanging="1"/>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、乙方同意本合同项下甲方对乙方的通知可以邮寄、邮件或公告方式送达。以邮寄送达的，甲方按本合同所载地址向乙方以特快专递方式发出通知后的第</w:t>
      </w: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42F46E1F">
      <w:pPr>
        <w:autoSpaceDE/>
        <w:autoSpaceDN/>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hint="eastAsia"/>
          <w:sz w:val="24"/>
          <w:szCs w:val="24"/>
          <w:lang w:eastAsia="zh-CN"/>
        </w:rPr>
        <w:t>甲方已就本合同项下涉及乙方重大利害关系的条款向乙方作出详细说明，乙方充分理解上述条款含义，并自愿签订本合同。</w:t>
      </w:r>
    </w:p>
    <w:p w14:paraId="2198E9EE">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乙方的违约责任</w:t>
      </w:r>
    </w:p>
    <w:p w14:paraId="44181DD1">
      <w:pPr>
        <w:numPr>
          <w:ilvl w:val="0"/>
          <w:numId w:val="18"/>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未按合同规定的质量完成工作，乙方应当负责修理，如果修理后的交付时间超过合同约定的日期，应当承担逾期交付责任。</w:t>
      </w:r>
    </w:p>
    <w:p w14:paraId="18759E52">
      <w:pPr>
        <w:numPr>
          <w:ilvl w:val="0"/>
          <w:numId w:val="18"/>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在工程现场，乙方进场设备保管责任由乙方承担。由于乙方原因造成甲方提供的原材料、设备、包装物及其他物品毁损、灭失的，应当由乙方承担赔偿责任。</w:t>
      </w:r>
    </w:p>
    <w:p w14:paraId="15207354">
      <w:pPr>
        <w:numPr>
          <w:ilvl w:val="0"/>
          <w:numId w:val="18"/>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逾期交付项目（包括因返修、更换、补交等造成的逾期），应当向甲方偿付违约金，每逾期一天，按合同预估总额的</w:t>
      </w:r>
      <w:r>
        <w:rPr>
          <w:rFonts w:asciiTheme="majorEastAsia" w:hAnsiTheme="majorEastAsia" w:eastAsiaTheme="majorEastAsia"/>
          <w:sz w:val="24"/>
          <w:szCs w:val="24"/>
          <w:lang w:eastAsia="zh-CN"/>
        </w:rPr>
        <w:t>0.</w:t>
      </w:r>
      <w:r>
        <w:rPr>
          <w:rFonts w:hint="eastAsia" w:asciiTheme="majorEastAsia" w:hAnsiTheme="majorEastAsia" w:eastAsiaTheme="majorEastAsia"/>
          <w:sz w:val="24"/>
          <w:szCs w:val="24"/>
          <w:lang w:eastAsia="zh-CN"/>
        </w:rPr>
        <w:t>1％偿付违约金。逾期超过</w:t>
      </w:r>
      <w:r>
        <w:rPr>
          <w:rFonts w:asciiTheme="majorEastAsia" w:hAnsiTheme="majorEastAsia" w:eastAsiaTheme="majorEastAsia"/>
          <w:sz w:val="24"/>
          <w:szCs w:val="24"/>
          <w:lang w:eastAsia="zh-CN"/>
        </w:rPr>
        <w:t>5</w:t>
      </w:r>
      <w:r>
        <w:rPr>
          <w:rFonts w:hint="eastAsia" w:asciiTheme="majorEastAsia" w:hAnsiTheme="majorEastAsia" w:eastAsiaTheme="majorEastAsia"/>
          <w:sz w:val="24"/>
          <w:szCs w:val="24"/>
          <w:lang w:eastAsia="zh-CN"/>
        </w:rPr>
        <w:t>日，甲方有权要求乙方按第十一条第</w:t>
      </w:r>
      <w:r>
        <w:rPr>
          <w:rFonts w:asciiTheme="majorEastAsia" w:hAnsiTheme="majorEastAsia" w:eastAsiaTheme="majorEastAsia"/>
          <w:sz w:val="24"/>
          <w:szCs w:val="24"/>
          <w:lang w:eastAsia="zh-CN"/>
        </w:rPr>
        <w:t>6</w:t>
      </w:r>
      <w:r>
        <w:rPr>
          <w:rFonts w:hint="eastAsia" w:asciiTheme="majorEastAsia" w:hAnsiTheme="majorEastAsia" w:eastAsiaTheme="majorEastAsia"/>
          <w:sz w:val="24"/>
          <w:szCs w:val="24"/>
          <w:lang w:eastAsia="zh-CN"/>
        </w:rPr>
        <w:t>款承担责任。</w:t>
      </w:r>
    </w:p>
    <w:p w14:paraId="6241E339">
      <w:pPr>
        <w:numPr>
          <w:ilvl w:val="0"/>
          <w:numId w:val="18"/>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擅自调换经甲方验收合格的原材料或零部件，乙方按照甲方要求重做并补偿甲方因此造成的损失、超过合同约定的交付期限的，应承担逾期交付的责任。</w:t>
      </w:r>
    </w:p>
    <w:p w14:paraId="6656D77F">
      <w:pPr>
        <w:numPr>
          <w:ilvl w:val="0"/>
          <w:numId w:val="18"/>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乙方逾期提交必须的技术资料和有关质量证明，应当向甲方偿付违约金，每逾期一天，按合同预估总金额的</w:t>
      </w:r>
      <w:r>
        <w:rPr>
          <w:rFonts w:asciiTheme="majorEastAsia" w:hAnsiTheme="majorEastAsia" w:eastAsiaTheme="majorEastAsia"/>
          <w:sz w:val="24"/>
          <w:szCs w:val="24"/>
          <w:lang w:eastAsia="zh-CN"/>
        </w:rPr>
        <w:t>0.1%</w:t>
      </w:r>
      <w:r>
        <w:rPr>
          <w:rFonts w:hint="eastAsia" w:asciiTheme="majorEastAsia" w:hAnsiTheme="majorEastAsia" w:eastAsiaTheme="majorEastAsia"/>
          <w:sz w:val="24"/>
          <w:szCs w:val="24"/>
          <w:lang w:eastAsia="zh-CN"/>
        </w:rPr>
        <w:t>偿付违约金，逾期超过</w:t>
      </w:r>
      <w:r>
        <w:rPr>
          <w:rFonts w:asciiTheme="majorEastAsia" w:hAnsiTheme="majorEastAsia" w:eastAsiaTheme="majorEastAsia"/>
          <w:sz w:val="24"/>
          <w:szCs w:val="24"/>
          <w:lang w:eastAsia="zh-CN"/>
        </w:rPr>
        <w:t>5</w:t>
      </w:r>
      <w:r>
        <w:rPr>
          <w:rFonts w:hint="eastAsia" w:asciiTheme="majorEastAsia" w:hAnsiTheme="majorEastAsia" w:eastAsiaTheme="majorEastAsia"/>
          <w:sz w:val="24"/>
          <w:szCs w:val="24"/>
          <w:lang w:eastAsia="zh-CN"/>
        </w:rPr>
        <w:t>日，甲方有权要求乙方按第十一条第</w:t>
      </w:r>
      <w:r>
        <w:rPr>
          <w:rFonts w:asciiTheme="majorEastAsia" w:hAnsiTheme="majorEastAsia" w:eastAsiaTheme="majorEastAsia"/>
          <w:sz w:val="24"/>
          <w:szCs w:val="24"/>
          <w:lang w:eastAsia="zh-CN"/>
        </w:rPr>
        <w:t>6</w:t>
      </w:r>
      <w:r>
        <w:rPr>
          <w:rFonts w:hint="eastAsia" w:asciiTheme="majorEastAsia" w:hAnsiTheme="majorEastAsia" w:eastAsiaTheme="majorEastAsia"/>
          <w:sz w:val="24"/>
          <w:szCs w:val="24"/>
          <w:lang w:eastAsia="zh-CN"/>
        </w:rPr>
        <w:t>款承担责任。</w:t>
      </w:r>
    </w:p>
    <w:p w14:paraId="06E0DD2E">
      <w:pPr>
        <w:numPr>
          <w:ilvl w:val="0"/>
          <w:numId w:val="18"/>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不履行合同约定的义务或履行义务不符合合同约定的，经甲方通知后仍不履行或采取补救措施的，甲方有权要求乙方支付合同预估总价10％的违约金，并有权解除合同，由此给甲方造成的各种损失由乙方承担。</w:t>
      </w:r>
    </w:p>
    <w:p w14:paraId="4116C1BD">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甲方的违约责任</w:t>
      </w:r>
    </w:p>
    <w:p w14:paraId="303A4DEE">
      <w:pPr>
        <w:numPr>
          <w:ilvl w:val="0"/>
          <w:numId w:val="19"/>
        </w:numPr>
        <w:autoSpaceDE/>
        <w:autoSpaceDN/>
        <w:spacing w:line="440" w:lineRule="exact"/>
        <w:ind w:left="0" w:firstLine="0"/>
        <w:rPr>
          <w:rFonts w:asciiTheme="majorEastAsia" w:hAnsiTheme="majorEastAsia" w:eastAsiaTheme="majorEastAsia"/>
          <w:sz w:val="24"/>
          <w:szCs w:val="24"/>
          <w:lang w:eastAsia="zh-CN"/>
        </w:rPr>
      </w:pPr>
      <w:r>
        <w:rPr>
          <w:rStyle w:val="83"/>
          <w:rFonts w:hint="eastAsia" w:asciiTheme="majorEastAsia" w:hAnsiTheme="majorEastAsia" w:eastAsiaTheme="majorEastAsia"/>
          <w:color w:val="000000"/>
          <w:sz w:val="24"/>
          <w:szCs w:val="24"/>
          <w:lang w:eastAsia="zh-CN"/>
        </w:rPr>
        <w:t>甲方无正当理由未按本合同规定履行向乙方支付服务费的，应以未付款项为基数，应按全国银行间同业拆借中心公布的一年期贷款市场报价利率向乙方支付利息。（最多不超过合同暂定总额的</w:t>
      </w:r>
      <w:r>
        <w:rPr>
          <w:rStyle w:val="83"/>
          <w:rFonts w:asciiTheme="majorEastAsia" w:hAnsiTheme="majorEastAsia" w:eastAsiaTheme="majorEastAsia"/>
          <w:color w:val="000000"/>
          <w:sz w:val="24"/>
          <w:szCs w:val="24"/>
          <w:lang w:eastAsia="zh-CN"/>
        </w:rPr>
        <w:t>5%</w:t>
      </w:r>
      <w:r>
        <w:rPr>
          <w:rStyle w:val="83"/>
          <w:rFonts w:hint="eastAsia" w:asciiTheme="majorEastAsia" w:hAnsiTheme="majorEastAsia" w:eastAsiaTheme="majorEastAsia"/>
          <w:color w:val="000000"/>
          <w:sz w:val="24"/>
          <w:szCs w:val="24"/>
          <w:lang w:eastAsia="zh-CN"/>
        </w:rPr>
        <w:t>）</w:t>
      </w:r>
    </w:p>
    <w:p w14:paraId="26A2362B">
      <w:pPr>
        <w:numPr>
          <w:ilvl w:val="0"/>
          <w:numId w:val="19"/>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无故拒绝验收工程，应当赔偿乙方因此造成的损失。</w:t>
      </w:r>
    </w:p>
    <w:p w14:paraId="3E2A4763">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廉洁条款</w:t>
      </w:r>
    </w:p>
    <w:p w14:paraId="152AD889">
      <w:pPr>
        <w:spacing w:line="440" w:lineRule="exact"/>
        <w:ind w:firstLine="36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rFonts w:asciiTheme="majorEastAsia" w:hAnsiTheme="majorEastAsia" w:eastAsiaTheme="majorEastAsia"/>
          <w:sz w:val="24"/>
          <w:szCs w:val="24"/>
          <w:lang w:eastAsia="zh-CN"/>
        </w:rPr>
        <w:t>50</w:t>
      </w:r>
      <w:r>
        <w:rPr>
          <w:rFonts w:hint="eastAsia" w:asciiTheme="majorEastAsia" w:hAnsiTheme="majorEastAsia" w:eastAsiaTheme="majorEastAsia"/>
          <w:sz w:val="24"/>
          <w:szCs w:val="24"/>
          <w:lang w:eastAsia="zh-CN"/>
        </w:rPr>
        <w:t>％的违约金，因解除相关合同给甲方造成损失的，由乙方承担赔偿责任；同时，乙方如有其它违约，仍须承担违约责任。</w:t>
      </w:r>
    </w:p>
    <w:p w14:paraId="0D3ECBED">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合同的解除</w:t>
      </w:r>
    </w:p>
    <w:p w14:paraId="7B0AB6B3">
      <w:pPr>
        <w:numPr>
          <w:ilvl w:val="0"/>
          <w:numId w:val="20"/>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乙方有下列情形之一者，甲方有权解除合同：</w:t>
      </w:r>
    </w:p>
    <w:p w14:paraId="482792F1">
      <w:pPr>
        <w:numPr>
          <w:ilvl w:val="0"/>
          <w:numId w:val="21"/>
        </w:numPr>
        <w:tabs>
          <w:tab w:val="left" w:pos="36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乙方逾约定开工日期</w:t>
      </w: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天，或逾期完工超过5天，或甲方认为不能依限完工时。</w:t>
      </w:r>
    </w:p>
    <w:p w14:paraId="1204D2B2">
      <w:pPr>
        <w:numPr>
          <w:ilvl w:val="0"/>
          <w:numId w:val="21"/>
        </w:numPr>
        <w:tabs>
          <w:tab w:val="left" w:pos="36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乙方违反合同约定义务或发生变故不能履行合同时。</w:t>
      </w:r>
    </w:p>
    <w:p w14:paraId="3C4A01B4">
      <w:pPr>
        <w:numPr>
          <w:ilvl w:val="0"/>
          <w:numId w:val="21"/>
        </w:numPr>
        <w:tabs>
          <w:tab w:val="left" w:pos="36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乙方之施工材料严重不符约定标准，经两次纠正后仍达不到标准时。</w:t>
      </w:r>
    </w:p>
    <w:p w14:paraId="3A3B75DF">
      <w:pPr>
        <w:numPr>
          <w:ilvl w:val="0"/>
          <w:numId w:val="21"/>
        </w:numPr>
        <w:tabs>
          <w:tab w:val="left" w:pos="36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乙方无正当理由，自停工达</w:t>
      </w:r>
      <w:r>
        <w:rPr>
          <w:rFonts w:asciiTheme="majorEastAsia" w:hAnsiTheme="majorEastAsia" w:eastAsiaTheme="majorEastAsia"/>
          <w:sz w:val="24"/>
          <w:szCs w:val="24"/>
          <w:lang w:eastAsia="zh-CN"/>
        </w:rPr>
        <w:t>48</w:t>
      </w:r>
      <w:r>
        <w:rPr>
          <w:rFonts w:hint="eastAsia" w:asciiTheme="majorEastAsia" w:hAnsiTheme="majorEastAsia" w:eastAsiaTheme="majorEastAsia"/>
          <w:sz w:val="24"/>
          <w:szCs w:val="24"/>
          <w:lang w:eastAsia="zh-CN"/>
        </w:rPr>
        <w:t>小时以上时。</w:t>
      </w:r>
    </w:p>
    <w:p w14:paraId="3C1FD164">
      <w:pPr>
        <w:numPr>
          <w:ilvl w:val="0"/>
          <w:numId w:val="20"/>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因上述原因导致合同解除时，乙方应按合同预估总价的10</w:t>
      </w:r>
      <w:r>
        <w:rPr>
          <w:rFonts w:asciiTheme="majorEastAsia" w:hAnsiTheme="majorEastAsia" w:eastAsiaTheme="majorEastAsia"/>
          <w:sz w:val="24"/>
          <w:szCs w:val="24"/>
          <w:lang w:eastAsia="zh-CN"/>
        </w:rPr>
        <w:t>%</w:t>
      </w:r>
      <w:r>
        <w:rPr>
          <w:rFonts w:hint="eastAsia" w:asciiTheme="majorEastAsia" w:hAnsiTheme="majorEastAsia" w:eastAsiaTheme="majorEastAsia"/>
          <w:sz w:val="24"/>
          <w:szCs w:val="24"/>
          <w:lang w:eastAsia="zh-CN"/>
        </w:rPr>
        <w:t>向甲方支付违约金，并承担甲方由此造成的一切损失。</w:t>
      </w:r>
    </w:p>
    <w:p w14:paraId="7AFED0FD">
      <w:pPr>
        <w:numPr>
          <w:ilvl w:val="0"/>
          <w:numId w:val="20"/>
        </w:numPr>
        <w:autoSpaceDE/>
        <w:autoSpaceDN/>
        <w:spacing w:line="440" w:lineRule="exact"/>
        <w:ind w:left="0" w:right="-422" w:rightChars="-192"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解除合同时，乙方应缴还甲方提供的一切资料，如经甲方要求，乙方应继续承担保密义务。</w:t>
      </w:r>
    </w:p>
    <w:p w14:paraId="1EC3B19F">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争议解决</w:t>
      </w:r>
    </w:p>
    <w:p w14:paraId="3526840B">
      <w:pPr>
        <w:spacing w:line="440" w:lineRule="exact"/>
        <w:ind w:firstLine="36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本合同发生纠纷时，当事人双方应协商解决；协商不成的，双方均应向甲方所在地人民法院提起诉讼。</w:t>
      </w:r>
    </w:p>
    <w:p w14:paraId="49DFE2A9">
      <w:pPr>
        <w:numPr>
          <w:ilvl w:val="0"/>
          <w:numId w:val="9"/>
        </w:numPr>
        <w:autoSpaceDE/>
        <w:autoSpaceDN/>
        <w:spacing w:line="440" w:lineRule="exact"/>
        <w:ind w:left="0" w:firstLine="0"/>
        <w:rPr>
          <w:rFonts w:asciiTheme="majorEastAsia" w:hAnsiTheme="majorEastAsia" w:eastAsiaTheme="majorEastAsia"/>
          <w:sz w:val="24"/>
          <w:szCs w:val="24"/>
        </w:rPr>
      </w:pPr>
      <w:r>
        <w:rPr>
          <w:rFonts w:hint="eastAsia" w:asciiTheme="majorEastAsia" w:hAnsiTheme="majorEastAsia" w:eastAsiaTheme="majorEastAsia"/>
          <w:sz w:val="24"/>
          <w:szCs w:val="24"/>
        </w:rPr>
        <w:t>附则</w:t>
      </w:r>
    </w:p>
    <w:p w14:paraId="07696B06">
      <w:pPr>
        <w:numPr>
          <w:ilvl w:val="0"/>
          <w:numId w:val="22"/>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本合同如有未尽事宜，经双方友好协商，另签补充协议。经双方签字确认的补充协议等书面材料均为本合同的组成部分，与本合同具同等法律效力，内容如有冲突，以时间在后的为准。</w:t>
      </w:r>
    </w:p>
    <w:p w14:paraId="64E35269">
      <w:pPr>
        <w:numPr>
          <w:ilvl w:val="0"/>
          <w:numId w:val="22"/>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本合同经双方加盖公章后生效。</w:t>
      </w:r>
    </w:p>
    <w:p w14:paraId="2DF5EA7E">
      <w:pPr>
        <w:numPr>
          <w:ilvl w:val="0"/>
          <w:numId w:val="22"/>
        </w:numPr>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本合同项下的任何权利义务，未经一方书面同意，任何一方均不得转让。</w:t>
      </w:r>
    </w:p>
    <w:p w14:paraId="084230E7">
      <w:pPr>
        <w:numPr>
          <w:ilvl w:val="0"/>
          <w:numId w:val="22"/>
        </w:numPr>
        <w:tabs>
          <w:tab w:val="left" w:pos="0"/>
        </w:tabs>
        <w:autoSpaceDE/>
        <w:autoSpaceDN/>
        <w:spacing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合同一式6份，甲方执4份，乙方执2份，具有同等法律效力。</w:t>
      </w:r>
    </w:p>
    <w:p w14:paraId="4A44BB32">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合同附件：</w:t>
      </w:r>
    </w:p>
    <w:p w14:paraId="3D0F2D6A">
      <w:pPr>
        <w:spacing w:line="440" w:lineRule="exact"/>
        <w:rPr>
          <w:rFonts w:hint="default" w:cs="Arial" w:asciiTheme="majorEastAsia" w:hAnsiTheme="majorEastAsia" w:eastAsiaTheme="majorEastAsia"/>
          <w:sz w:val="24"/>
          <w:szCs w:val="24"/>
          <w:lang w:val="en-US" w:eastAsia="zh-CN"/>
        </w:rPr>
      </w:pPr>
      <w:r>
        <w:rPr>
          <w:rFonts w:hint="eastAsia" w:cs="Arial" w:asciiTheme="majorEastAsia" w:hAnsiTheme="majorEastAsia" w:eastAsiaTheme="majorEastAsia"/>
          <w:sz w:val="24"/>
          <w:szCs w:val="24"/>
          <w:lang w:eastAsia="zh-CN"/>
        </w:rPr>
        <w:t>附件1：</w:t>
      </w:r>
      <w:r>
        <w:rPr>
          <w:rFonts w:hint="eastAsia" w:cs="Arial" w:asciiTheme="majorEastAsia" w:hAnsiTheme="majorEastAsia" w:eastAsiaTheme="majorEastAsia"/>
          <w:sz w:val="24"/>
          <w:szCs w:val="24"/>
          <w:lang w:val="en-US" w:eastAsia="zh-CN"/>
        </w:rPr>
        <w:t>技术要求</w:t>
      </w:r>
    </w:p>
    <w:p w14:paraId="27F68A30">
      <w:pPr>
        <w:spacing w:line="440" w:lineRule="exact"/>
        <w:rPr>
          <w:rFonts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附件2：价格清单</w:t>
      </w:r>
    </w:p>
    <w:p w14:paraId="74C2CE4F">
      <w:pPr>
        <w:spacing w:line="440" w:lineRule="exact"/>
        <w:rPr>
          <w:rFonts w:hint="eastAsia"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附件3：安全环保协议书</w:t>
      </w:r>
    </w:p>
    <w:p w14:paraId="7803DDE7">
      <w:pPr>
        <w:spacing w:line="440" w:lineRule="exact"/>
        <w:rPr>
          <w:rFonts w:hint="eastAsia" w:cs="Arial"/>
          <w:b/>
          <w:sz w:val="24"/>
          <w:lang w:eastAsia="zh-CN"/>
        </w:rPr>
      </w:pPr>
      <w:r>
        <w:rPr>
          <w:rFonts w:hint="eastAsia" w:cs="Arial"/>
          <w:b/>
          <w:sz w:val="24"/>
          <w:lang w:eastAsia="zh-CN"/>
        </w:rPr>
        <w:t>（以下为签署栏，无正文）</w:t>
      </w:r>
    </w:p>
    <w:p w14:paraId="6D567C00">
      <w:pPr>
        <w:tabs>
          <w:tab w:val="left" w:pos="2010"/>
        </w:tabs>
        <w:spacing w:line="360" w:lineRule="auto"/>
        <w:ind w:firstLine="964" w:firstLineChars="400"/>
        <w:rPr>
          <w:rFonts w:hint="eastAsia" w:cs="Arial"/>
          <w:b/>
          <w:sz w:val="24"/>
          <w:lang w:eastAsia="zh-CN"/>
        </w:rPr>
      </w:pPr>
    </w:p>
    <w:p w14:paraId="5287531D">
      <w:pPr>
        <w:tabs>
          <w:tab w:val="left" w:pos="2010"/>
        </w:tabs>
        <w:spacing w:line="360" w:lineRule="auto"/>
        <w:ind w:firstLine="964" w:firstLineChars="400"/>
        <w:rPr>
          <w:rFonts w:hint="eastAsia" w:cs="Arial"/>
          <w:b/>
          <w:sz w:val="24"/>
          <w:lang w:eastAsia="zh-CN"/>
        </w:rPr>
      </w:pPr>
    </w:p>
    <w:p w14:paraId="33A8380A">
      <w:pPr>
        <w:tabs>
          <w:tab w:val="left" w:pos="2010"/>
        </w:tabs>
        <w:spacing w:line="360" w:lineRule="auto"/>
        <w:ind w:firstLine="964" w:firstLineChars="400"/>
        <w:rPr>
          <w:rFonts w:hint="eastAsia" w:cs="Arial"/>
          <w:b/>
          <w:sz w:val="24"/>
          <w:lang w:eastAsia="zh-CN"/>
        </w:rPr>
      </w:pPr>
    </w:p>
    <w:p w14:paraId="7B84F5CF">
      <w:pPr>
        <w:tabs>
          <w:tab w:val="left" w:pos="2010"/>
        </w:tabs>
        <w:spacing w:line="360" w:lineRule="auto"/>
        <w:ind w:firstLine="964" w:firstLineChars="400"/>
        <w:rPr>
          <w:rFonts w:hint="eastAsia" w:cs="Arial"/>
          <w:b/>
          <w:sz w:val="24"/>
          <w:lang w:eastAsia="zh-CN"/>
        </w:rPr>
      </w:pPr>
    </w:p>
    <w:p w14:paraId="1B303C1F">
      <w:pPr>
        <w:tabs>
          <w:tab w:val="left" w:pos="2010"/>
        </w:tabs>
        <w:spacing w:line="360" w:lineRule="auto"/>
        <w:ind w:firstLine="964" w:firstLineChars="400"/>
        <w:rPr>
          <w:rFonts w:hint="eastAsia" w:cs="Arial"/>
          <w:b/>
          <w:sz w:val="24"/>
          <w:lang w:eastAsia="zh-CN"/>
        </w:rPr>
      </w:pPr>
      <w:bookmarkStart w:id="36" w:name="_GoBack"/>
      <w:bookmarkEnd w:id="36"/>
    </w:p>
    <w:p w14:paraId="7EA3F721">
      <w:pPr>
        <w:tabs>
          <w:tab w:val="left" w:pos="2010"/>
        </w:tabs>
        <w:spacing w:line="360" w:lineRule="auto"/>
        <w:ind w:firstLine="964" w:firstLineChars="400"/>
        <w:rPr>
          <w:rFonts w:hint="eastAsia" w:cs="Arial"/>
          <w:b/>
          <w:sz w:val="24"/>
          <w:lang w:eastAsia="zh-CN"/>
        </w:rPr>
      </w:pPr>
    </w:p>
    <w:p w14:paraId="02BBBEE5">
      <w:pPr>
        <w:spacing w:line="460" w:lineRule="exact"/>
        <w:rPr>
          <w:rFonts w:hint="eastAsia"/>
          <w:sz w:val="24"/>
          <w:szCs w:val="24"/>
          <w:u w:val="single"/>
          <w:lang w:eastAsia="zh-CN"/>
        </w:rPr>
      </w:pPr>
      <w:r>
        <w:rPr>
          <w:rFonts w:hint="eastAsia"/>
          <w:b/>
          <w:sz w:val="24"/>
          <w:szCs w:val="24"/>
          <w:lang w:eastAsia="zh-CN"/>
        </w:rPr>
        <w:t>甲方（盖章）：</w:t>
      </w:r>
      <w:r>
        <w:rPr>
          <w:b/>
          <w:sz w:val="24"/>
          <w:szCs w:val="24"/>
          <w:u w:val="single"/>
          <w:lang w:eastAsia="zh-CN"/>
        </w:rPr>
        <w:t xml:space="preserve">  </w:t>
      </w:r>
      <w:r>
        <w:rPr>
          <w:rFonts w:hint="eastAsia"/>
          <w:sz w:val="24"/>
          <w:szCs w:val="24"/>
          <w:u w:val="single"/>
          <w:lang w:eastAsia="zh-CN"/>
        </w:rPr>
        <w:t xml:space="preserve">福建福海创石油化工有限公司   </w:t>
      </w:r>
    </w:p>
    <w:p w14:paraId="3CC87A84">
      <w:pPr>
        <w:spacing w:line="460" w:lineRule="exact"/>
        <w:rPr>
          <w:rFonts w:hint="eastAsia"/>
          <w:sz w:val="24"/>
          <w:szCs w:val="24"/>
          <w:u w:val="single"/>
          <w:lang w:eastAsia="zh-CN"/>
        </w:rPr>
      </w:pPr>
    </w:p>
    <w:p w14:paraId="605229CE">
      <w:pPr>
        <w:spacing w:line="460" w:lineRule="exact"/>
        <w:rPr>
          <w:rFonts w:hint="eastAsia" w:asciiTheme="majorEastAsia" w:hAnsiTheme="majorEastAsia" w:eastAsiaTheme="majorEastAsia"/>
          <w:sz w:val="24"/>
          <w:szCs w:val="24"/>
          <w:lang w:eastAsia="zh-CN"/>
        </w:rPr>
      </w:pPr>
      <w:r>
        <w:rPr>
          <w:rFonts w:hint="eastAsia"/>
          <w:sz w:val="24"/>
          <w:szCs w:val="24"/>
          <w:lang w:eastAsia="zh-CN"/>
        </w:rPr>
        <w:t>地址：</w:t>
      </w:r>
      <w:r>
        <w:rPr>
          <w:rFonts w:hint="eastAsia"/>
          <w:sz w:val="24"/>
          <w:szCs w:val="24"/>
          <w:u w:val="single"/>
          <w:lang w:eastAsia="zh-CN"/>
        </w:rPr>
        <w:t xml:space="preserve"> </w:t>
      </w:r>
      <w:r>
        <w:rPr>
          <w:rFonts w:asciiTheme="majorEastAsia" w:hAnsiTheme="majorEastAsia" w:eastAsiaTheme="majorEastAsia"/>
          <w:sz w:val="24"/>
          <w:szCs w:val="24"/>
          <w:u w:val="single"/>
          <w:lang w:eastAsia="zh-CN"/>
        </w:rPr>
        <w:t>福建省漳州市古雷港经济开发区</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 xml:space="preserve">  </w:t>
      </w:r>
    </w:p>
    <w:p w14:paraId="0AB12D85">
      <w:pPr>
        <w:spacing w:line="460" w:lineRule="exact"/>
        <w:rPr>
          <w:sz w:val="24"/>
          <w:szCs w:val="24"/>
          <w:lang w:eastAsia="zh-CN"/>
        </w:rPr>
      </w:pPr>
      <w:r>
        <w:rPr>
          <w:rFonts w:hint="eastAsia" w:asciiTheme="majorEastAsia" w:hAnsiTheme="majorEastAsia" w:eastAsiaTheme="majorEastAsia"/>
          <w:sz w:val="24"/>
          <w:szCs w:val="24"/>
          <w:lang w:eastAsia="zh-CN"/>
        </w:rPr>
        <w:t xml:space="preserve">    </w:t>
      </w:r>
      <w:r>
        <w:rPr>
          <w:sz w:val="24"/>
          <w:szCs w:val="24"/>
          <w:lang w:eastAsia="zh-CN"/>
        </w:rPr>
        <w:t xml:space="preserve">   </w:t>
      </w:r>
    </w:p>
    <w:p w14:paraId="02AF404C">
      <w:pPr>
        <w:spacing w:line="460" w:lineRule="exact"/>
        <w:ind w:left="5760" w:hanging="5760" w:hangingChars="2400"/>
        <w:rPr>
          <w:rFonts w:hint="eastAsia"/>
          <w:sz w:val="24"/>
          <w:szCs w:val="24"/>
          <w:lang w:eastAsia="zh-CN"/>
        </w:rPr>
      </w:pPr>
      <w:r>
        <w:rPr>
          <w:rFonts w:hint="eastAsia"/>
          <w:sz w:val="24"/>
          <w:szCs w:val="24"/>
          <w:lang w:eastAsia="zh-CN"/>
        </w:rPr>
        <w:t xml:space="preserve">开户银行： </w:t>
      </w:r>
      <w:r>
        <w:rPr>
          <w:rFonts w:hint="eastAsia"/>
          <w:sz w:val="24"/>
          <w:szCs w:val="24"/>
          <w:u w:val="single"/>
          <w:lang w:eastAsia="zh-CN"/>
        </w:rPr>
        <w:t xml:space="preserve">中国银行股份有限公司漳州古雷经济开发区支行 </w:t>
      </w:r>
    </w:p>
    <w:p w14:paraId="0467F0F5">
      <w:pPr>
        <w:spacing w:line="460" w:lineRule="exact"/>
        <w:ind w:left="5760" w:hanging="5760" w:hangingChars="2400"/>
        <w:rPr>
          <w:rFonts w:hint="eastAsia"/>
          <w:sz w:val="24"/>
          <w:szCs w:val="24"/>
          <w:lang w:eastAsia="zh-CN"/>
        </w:rPr>
      </w:pPr>
    </w:p>
    <w:p w14:paraId="3A189FDE">
      <w:pPr>
        <w:spacing w:line="460" w:lineRule="exact"/>
        <w:rPr>
          <w:sz w:val="24"/>
          <w:szCs w:val="24"/>
          <w:lang w:eastAsia="zh-CN"/>
        </w:rPr>
      </w:pPr>
      <w:r>
        <w:rPr>
          <w:rFonts w:hint="eastAsia"/>
          <w:sz w:val="24"/>
          <w:szCs w:val="24"/>
          <w:lang w:val="en-US" w:eastAsia="zh-CN"/>
        </w:rPr>
        <w:t>账户：</w:t>
      </w:r>
      <w:r>
        <w:rPr>
          <w:rFonts w:hint="eastAsia"/>
          <w:sz w:val="24"/>
          <w:szCs w:val="24"/>
          <w:u w:val="single"/>
          <w:lang w:eastAsia="zh-CN"/>
        </w:rPr>
        <w:t>406574816628</w:t>
      </w:r>
    </w:p>
    <w:p w14:paraId="60DE31B0">
      <w:pPr>
        <w:spacing w:line="460" w:lineRule="exact"/>
        <w:rPr>
          <w:b/>
          <w:sz w:val="24"/>
          <w:szCs w:val="24"/>
          <w:lang w:eastAsia="zh-CN"/>
        </w:rPr>
      </w:pPr>
    </w:p>
    <w:p w14:paraId="4234B3F6">
      <w:pPr>
        <w:pStyle w:val="59"/>
      </w:pPr>
    </w:p>
    <w:p w14:paraId="2CEC2A03">
      <w:pPr>
        <w:pStyle w:val="59"/>
      </w:pPr>
    </w:p>
    <w:p w14:paraId="4C7B4CAF">
      <w:pPr>
        <w:spacing w:line="460" w:lineRule="exact"/>
        <w:rPr>
          <w:rFonts w:asciiTheme="minorEastAsia" w:hAnsiTheme="minorEastAsia" w:eastAsiaTheme="minorEastAsia"/>
          <w:sz w:val="24"/>
          <w:szCs w:val="24"/>
          <w:u w:val="single"/>
          <w:lang w:eastAsia="zh-CN"/>
        </w:rPr>
      </w:pPr>
      <w:r>
        <w:rPr>
          <w:rFonts w:hint="eastAsia"/>
          <w:b/>
          <w:sz w:val="24"/>
          <w:szCs w:val="24"/>
          <w:lang w:eastAsia="zh-CN"/>
        </w:rPr>
        <w:t>乙方（盖章）：</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lang w:eastAsia="zh-CN"/>
        </w:rPr>
        <w:t xml:space="preserve"> </w:t>
      </w:r>
    </w:p>
    <w:p w14:paraId="2D953335">
      <w:pPr>
        <w:spacing w:line="460" w:lineRule="exact"/>
        <w:ind w:firstLine="240" w:firstLineChars="100"/>
        <w:rPr>
          <w:rFonts w:asciiTheme="minorEastAsia" w:hAnsiTheme="minorEastAsia" w:eastAsiaTheme="minorEastAsia"/>
          <w:sz w:val="24"/>
          <w:szCs w:val="24"/>
          <w:u w:val="single"/>
          <w:lang w:eastAsia="zh-CN"/>
        </w:rPr>
      </w:pPr>
    </w:p>
    <w:p w14:paraId="17A7E002">
      <w:pPr>
        <w:spacing w:line="460" w:lineRule="exact"/>
        <w:rPr>
          <w:sz w:val="24"/>
          <w:szCs w:val="24"/>
          <w:u w:val="single"/>
          <w:lang w:eastAsia="zh-CN"/>
        </w:rPr>
      </w:pPr>
      <w:r>
        <w:rPr>
          <w:rFonts w:hint="eastAsia"/>
          <w:sz w:val="24"/>
          <w:szCs w:val="24"/>
          <w:lang w:eastAsia="zh-CN"/>
        </w:rPr>
        <w:t>地址：</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lang w:eastAsia="zh-CN"/>
        </w:rPr>
        <w:t xml:space="preserve"> </w:t>
      </w:r>
    </w:p>
    <w:p w14:paraId="2FAF4D59">
      <w:pPr>
        <w:spacing w:line="460" w:lineRule="exact"/>
        <w:textAlignment w:val="baseline"/>
        <w:rPr>
          <w:rFonts w:asciiTheme="minorEastAsia" w:hAnsiTheme="minorEastAsia" w:eastAsiaTheme="minorEastAsia"/>
          <w:sz w:val="24"/>
          <w:szCs w:val="24"/>
          <w:lang w:eastAsia="zh-CN"/>
        </w:rPr>
      </w:pPr>
    </w:p>
    <w:p w14:paraId="08981DF3">
      <w:pPr>
        <w:spacing w:line="460" w:lineRule="exact"/>
        <w:rPr>
          <w:sz w:val="24"/>
          <w:szCs w:val="24"/>
          <w:u w:val="single"/>
          <w:lang w:eastAsia="zh-CN"/>
        </w:rPr>
      </w:pPr>
      <w:r>
        <w:rPr>
          <w:rFonts w:hint="eastAsia"/>
          <w:sz w:val="24"/>
          <w:szCs w:val="24"/>
          <w:lang w:eastAsia="zh-CN"/>
        </w:rPr>
        <w:t>开户银行：</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lang w:eastAsia="zh-CN"/>
        </w:rPr>
        <w:t xml:space="preserve"> </w:t>
      </w:r>
    </w:p>
    <w:p w14:paraId="073A16A1">
      <w:pPr>
        <w:tabs>
          <w:tab w:val="left" w:pos="1080"/>
        </w:tabs>
        <w:spacing w:line="420" w:lineRule="exact"/>
        <w:rPr>
          <w:rFonts w:asciiTheme="minorEastAsia" w:hAnsiTheme="minorEastAsia" w:eastAsiaTheme="minorEastAsia"/>
          <w:sz w:val="24"/>
          <w:szCs w:val="24"/>
          <w:lang w:eastAsia="zh-CN"/>
        </w:rPr>
      </w:pPr>
    </w:p>
    <w:p w14:paraId="47E83767">
      <w:pPr>
        <w:spacing w:line="460" w:lineRule="exact"/>
        <w:rPr>
          <w:sz w:val="24"/>
          <w:szCs w:val="24"/>
          <w:u w:val="single"/>
          <w:lang w:eastAsia="zh-CN"/>
        </w:rPr>
      </w:pPr>
      <w:r>
        <w:rPr>
          <w:rFonts w:hint="eastAsia" w:asciiTheme="minorEastAsia" w:hAnsiTheme="minorEastAsia" w:eastAsiaTheme="minorEastAsia"/>
          <w:sz w:val="24"/>
          <w:szCs w:val="24"/>
          <w:lang w:eastAsia="zh-CN"/>
        </w:rPr>
        <w:t>账号：</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lang w:eastAsia="zh-CN"/>
        </w:rPr>
        <w:t xml:space="preserve"> </w:t>
      </w:r>
    </w:p>
    <w:p w14:paraId="77B91A58">
      <w:pPr>
        <w:spacing w:line="240" w:lineRule="atLeast"/>
        <w:ind w:right="-147" w:rightChars="-67"/>
        <w:rPr>
          <w:szCs w:val="21"/>
          <w:lang w:eastAsia="zh-CN"/>
        </w:rPr>
      </w:pPr>
    </w:p>
    <w:p w14:paraId="51F79D1C">
      <w:pPr>
        <w:pStyle w:val="59"/>
        <w:rPr>
          <w:b/>
          <w:sz w:val="28"/>
          <w:szCs w:val="28"/>
        </w:rPr>
      </w:pPr>
    </w:p>
    <w:p w14:paraId="122DA6E7">
      <w:pPr>
        <w:pStyle w:val="59"/>
        <w:rPr>
          <w:b/>
          <w:sz w:val="28"/>
          <w:szCs w:val="28"/>
        </w:rPr>
      </w:pPr>
    </w:p>
    <w:p w14:paraId="6B3829C4">
      <w:pPr>
        <w:pStyle w:val="59"/>
        <w:rPr>
          <w:b/>
          <w:sz w:val="28"/>
          <w:szCs w:val="28"/>
        </w:rPr>
      </w:pPr>
    </w:p>
    <w:p w14:paraId="25717ADC">
      <w:pPr>
        <w:pStyle w:val="59"/>
        <w:rPr>
          <w:b/>
          <w:sz w:val="28"/>
          <w:szCs w:val="28"/>
        </w:rPr>
      </w:pPr>
    </w:p>
    <w:p w14:paraId="1DB3FAB7">
      <w:pPr>
        <w:pStyle w:val="59"/>
        <w:rPr>
          <w:b/>
          <w:sz w:val="28"/>
          <w:szCs w:val="28"/>
        </w:rPr>
      </w:pPr>
    </w:p>
    <w:p w14:paraId="60C39EF6">
      <w:pPr>
        <w:pStyle w:val="59"/>
        <w:rPr>
          <w:b/>
          <w:sz w:val="28"/>
          <w:szCs w:val="28"/>
        </w:rPr>
      </w:pPr>
    </w:p>
    <w:p w14:paraId="47A93B75">
      <w:pPr>
        <w:pStyle w:val="59"/>
        <w:rPr>
          <w:b/>
          <w:sz w:val="28"/>
          <w:szCs w:val="28"/>
        </w:rPr>
      </w:pPr>
    </w:p>
    <w:p w14:paraId="1792F3DF">
      <w:pPr>
        <w:pStyle w:val="59"/>
        <w:rPr>
          <w:b/>
          <w:sz w:val="28"/>
          <w:szCs w:val="28"/>
        </w:rPr>
      </w:pPr>
    </w:p>
    <w:p w14:paraId="7898E6B0">
      <w:pPr>
        <w:pStyle w:val="59"/>
        <w:rPr>
          <w:b/>
          <w:sz w:val="28"/>
          <w:szCs w:val="28"/>
        </w:rPr>
      </w:pPr>
    </w:p>
    <w:p w14:paraId="0D5E3A22">
      <w:pPr>
        <w:pStyle w:val="59"/>
        <w:keepNext w:val="0"/>
        <w:keepLines w:val="0"/>
        <w:pageBreakBefore w:val="0"/>
        <w:kinsoku/>
        <w:wordWrap/>
        <w:overflowPunct/>
        <w:topLinePunct w:val="0"/>
        <w:bidi w:val="0"/>
        <w:snapToGrid/>
        <w:spacing w:line="360" w:lineRule="auto"/>
        <w:rPr>
          <w:rFonts w:hint="eastAsia" w:ascii="宋体" w:hAnsi="宋体" w:eastAsia="宋体" w:cs="宋体"/>
          <w:b/>
          <w:sz w:val="24"/>
          <w:szCs w:val="24"/>
        </w:rPr>
      </w:pPr>
    </w:p>
    <w:p w14:paraId="50D287E3">
      <w:pPr>
        <w:pStyle w:val="59"/>
        <w:keepNext w:val="0"/>
        <w:keepLines w:val="0"/>
        <w:pageBreakBefore w:val="0"/>
        <w:kinsoku/>
        <w:wordWrap/>
        <w:overflowPunct/>
        <w:topLinePunct w:val="0"/>
        <w:bidi w:val="0"/>
        <w:snapToGrid/>
        <w:spacing w:line="360" w:lineRule="auto"/>
        <w:rPr>
          <w:rFonts w:hint="eastAsia" w:ascii="宋体" w:hAnsi="宋体" w:eastAsia="宋体" w:cs="宋体"/>
          <w:b/>
          <w:bCs/>
          <w:sz w:val="24"/>
          <w:szCs w:val="24"/>
          <w:lang w:val="en-US" w:eastAsia="zh-CN"/>
        </w:rPr>
      </w:pPr>
      <w:r>
        <w:rPr>
          <w:rFonts w:hint="eastAsia" w:ascii="宋体" w:hAnsi="宋体" w:eastAsia="宋体" w:cs="宋体"/>
          <w:b/>
          <w:sz w:val="24"/>
          <w:szCs w:val="24"/>
        </w:rPr>
        <w:t>附件1：</w:t>
      </w:r>
      <w:r>
        <w:rPr>
          <w:rFonts w:hint="eastAsia" w:ascii="宋体" w:hAnsi="宋体" w:eastAsia="宋体" w:cs="宋体"/>
          <w:kern w:val="59"/>
          <w:sz w:val="24"/>
          <w:szCs w:val="24"/>
          <w:lang w:eastAsia="zh-CN"/>
        </w:rPr>
        <w:t xml:space="preserve">  </w:t>
      </w:r>
      <w:r>
        <w:rPr>
          <w:rFonts w:hint="eastAsia" w:ascii="宋体" w:hAnsi="宋体" w:eastAsia="宋体" w:cs="宋体"/>
          <w:b/>
          <w:bCs/>
          <w:sz w:val="24"/>
          <w:szCs w:val="24"/>
          <w:lang w:val="en-US" w:eastAsia="zh-CN"/>
        </w:rPr>
        <w:t>技术要求</w:t>
      </w:r>
    </w:p>
    <w:p w14:paraId="637E2A68">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0"/>
        <w:rPr>
          <w:rFonts w:hint="eastAsia" w:ascii="宋体" w:hAnsi="宋体" w:eastAsia="宋体" w:cs="宋体"/>
          <w:sz w:val="24"/>
          <w:szCs w:val="24"/>
        </w:rPr>
      </w:pPr>
      <w:bookmarkStart w:id="1" w:name="heading_0"/>
      <w:r>
        <w:rPr>
          <w:rFonts w:hint="eastAsia" w:ascii="宋体" w:hAnsi="宋体" w:eastAsia="宋体" w:cs="宋体"/>
          <w:b/>
          <w:sz w:val="24"/>
          <w:szCs w:val="24"/>
        </w:rPr>
        <w:t>1. 总则</w:t>
      </w:r>
      <w:bookmarkEnd w:id="1"/>
    </w:p>
    <w:p w14:paraId="01CBC1B6">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b/>
          <w:sz w:val="24"/>
          <w:szCs w:val="24"/>
        </w:rPr>
      </w:pPr>
      <w:bookmarkStart w:id="2" w:name="heading_1"/>
      <w:r>
        <w:rPr>
          <w:rFonts w:hint="eastAsia" w:ascii="宋体" w:hAnsi="宋体" w:eastAsia="宋体" w:cs="宋体"/>
          <w:b/>
          <w:sz w:val="24"/>
          <w:szCs w:val="24"/>
        </w:rPr>
        <w:t>1.1 、工程介绍</w:t>
      </w:r>
    </w:p>
    <w:p w14:paraId="61948FBF">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outlineLvl w:val="1"/>
        <w:rPr>
          <w:rFonts w:hint="eastAsia" w:ascii="宋体" w:hAnsi="宋体" w:eastAsia="宋体" w:cs="宋体"/>
          <w:bCs/>
          <w:sz w:val="24"/>
          <w:szCs w:val="24"/>
        </w:rPr>
      </w:pPr>
      <w:r>
        <w:rPr>
          <w:rFonts w:hint="eastAsia" w:ascii="宋体" w:hAnsi="宋体" w:eastAsia="宋体" w:cs="宋体"/>
          <w:bCs/>
          <w:sz w:val="24"/>
          <w:szCs w:val="24"/>
        </w:rPr>
        <w:t xml:space="preserve">本次采购的项目为福建福海创石油化工有限公司干气分离及重芳烃轻质化项目工业管道及设备化学清洗工程。 </w:t>
      </w:r>
      <w:bookmarkEnd w:id="2"/>
    </w:p>
    <w:p w14:paraId="0036B777">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b/>
          <w:sz w:val="24"/>
          <w:szCs w:val="24"/>
        </w:rPr>
      </w:pPr>
      <w:r>
        <w:rPr>
          <w:rFonts w:hint="eastAsia" w:ascii="宋体" w:hAnsi="宋体" w:eastAsia="宋体" w:cs="宋体"/>
          <w:b/>
          <w:sz w:val="24"/>
          <w:szCs w:val="24"/>
        </w:rPr>
        <w:t>1.2、发包说明</w:t>
      </w:r>
    </w:p>
    <w:p w14:paraId="6A88C69B">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outlineLvl w:val="1"/>
        <w:rPr>
          <w:rFonts w:hint="eastAsia" w:ascii="宋体" w:hAnsi="宋体" w:eastAsia="宋体" w:cs="宋体"/>
          <w:sz w:val="24"/>
          <w:szCs w:val="24"/>
        </w:rPr>
      </w:pPr>
      <w:r>
        <w:rPr>
          <w:rFonts w:hint="eastAsia" w:ascii="宋体" w:hAnsi="宋体" w:eastAsia="宋体" w:cs="宋体"/>
          <w:bCs/>
          <w:sz w:val="24"/>
          <w:szCs w:val="24"/>
        </w:rPr>
        <w:t>本文件规范了本次管道及设备化学清洗工程承包管理，明确清洗范围、技术要求、质量标准、安全环保要求及双方责任，确保清洗工程安全、高效、合规完成，保障管道及设备后续稳定运行。</w:t>
      </w:r>
      <w:r>
        <w:rPr>
          <w:rFonts w:hint="eastAsia" w:ascii="宋体" w:hAnsi="宋体" w:eastAsia="宋体" w:cs="宋体"/>
          <w:sz w:val="24"/>
          <w:szCs w:val="24"/>
        </w:rPr>
        <w:t>本文件适用于本次工业管道及设备化学清洗工程的投标单位（以下简称“投标方”）的筛选、施工指导、质量验收及安全管理，涵盖清洗工程的全部工序、人员、设备、药剂及环保处置等相关环节。</w:t>
      </w:r>
    </w:p>
    <w:p w14:paraId="68DC79FF">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3" w:name="heading_3"/>
      <w:r>
        <w:rPr>
          <w:rFonts w:hint="eastAsia" w:ascii="宋体" w:hAnsi="宋体" w:eastAsia="宋体" w:cs="宋体"/>
          <w:b/>
          <w:sz w:val="24"/>
          <w:szCs w:val="24"/>
        </w:rPr>
        <w:t>1.3 编制依据</w:t>
      </w:r>
      <w:bookmarkEnd w:id="3"/>
    </w:p>
    <w:p w14:paraId="53972BB1">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本技术文件编制严格遵循以下国家及行业标准、规范，承包方施工过程中必须严格执行：</w:t>
      </w:r>
    </w:p>
    <w:p w14:paraId="10FF44AB">
      <w:pPr>
        <w:keepNext w:val="0"/>
        <w:keepLines w:val="0"/>
        <w:pageBreakBefore w:val="0"/>
        <w:widowControl w:val="0"/>
        <w:numPr>
          <w:ilvl w:val="0"/>
          <w:numId w:val="23"/>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《工业金属管道工程施工质量验收规范》（GB 50235-2010）</w:t>
      </w:r>
    </w:p>
    <w:p w14:paraId="106F2AB7">
      <w:pPr>
        <w:keepNext w:val="0"/>
        <w:keepLines w:val="0"/>
        <w:pageBreakBefore w:val="0"/>
        <w:widowControl w:val="0"/>
        <w:numPr>
          <w:ilvl w:val="0"/>
          <w:numId w:val="24"/>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《石油化工管道清洗及钝化技术规范》（SH/T 3547-2011）</w:t>
      </w:r>
    </w:p>
    <w:p w14:paraId="3690F61F">
      <w:pPr>
        <w:keepNext w:val="0"/>
        <w:keepLines w:val="0"/>
        <w:pageBreakBefore w:val="0"/>
        <w:widowControl w:val="0"/>
        <w:numPr>
          <w:ilvl w:val="0"/>
          <w:numId w:val="25"/>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《工业设备化学清洗质量标准》（HG/T 2387-2007）</w:t>
      </w:r>
    </w:p>
    <w:p w14:paraId="76096450">
      <w:pPr>
        <w:keepNext w:val="0"/>
        <w:keepLines w:val="0"/>
        <w:pageBreakBefore w:val="0"/>
        <w:widowControl w:val="0"/>
        <w:numPr>
          <w:ilvl w:val="0"/>
          <w:numId w:val="26"/>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《危险化学品安全管理条例》（国务院令第591号）</w:t>
      </w:r>
    </w:p>
    <w:p w14:paraId="08CEBA15">
      <w:pPr>
        <w:keepNext w:val="0"/>
        <w:keepLines w:val="0"/>
        <w:pageBreakBefore w:val="0"/>
        <w:widowControl w:val="0"/>
        <w:numPr>
          <w:ilvl w:val="0"/>
          <w:numId w:val="27"/>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《污水综合排放标准》（GB 8978-1996）</w:t>
      </w:r>
    </w:p>
    <w:p w14:paraId="0BC43795">
      <w:pPr>
        <w:keepNext w:val="0"/>
        <w:keepLines w:val="0"/>
        <w:pageBreakBefore w:val="0"/>
        <w:widowControl w:val="0"/>
        <w:numPr>
          <w:ilvl w:val="0"/>
          <w:numId w:val="28"/>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本次清洗管道的设计文件、材质证明等相关文件资料</w:t>
      </w:r>
    </w:p>
    <w:p w14:paraId="4B8B4CB2">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4" w:name="heading_4"/>
      <w:r>
        <w:rPr>
          <w:rFonts w:hint="eastAsia" w:ascii="宋体" w:hAnsi="宋体" w:eastAsia="宋体" w:cs="宋体"/>
          <w:b/>
          <w:sz w:val="24"/>
          <w:szCs w:val="24"/>
        </w:rPr>
        <w:t>1.4 工程概况</w:t>
      </w:r>
      <w:bookmarkEnd w:id="4"/>
    </w:p>
    <w:p w14:paraId="68B36DE8">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highlight w:val="yellow"/>
        </w:rPr>
      </w:pPr>
      <w:r>
        <w:rPr>
          <w:rFonts w:hint="eastAsia" w:ascii="宋体" w:hAnsi="宋体" w:eastAsia="宋体" w:cs="宋体"/>
          <w:sz w:val="24"/>
          <w:szCs w:val="24"/>
        </w:rPr>
        <w:t>1.4.1 化学清洗范围：本次需要清洗设备共计6台，设备材质为Q345R（HIC）</w:t>
      </w:r>
      <w:r>
        <w:rPr>
          <w:rFonts w:hint="eastAsia" w:ascii="宋体" w:hAnsi="宋体" w:eastAsia="宋体" w:cs="宋体"/>
          <w:sz w:val="24"/>
          <w:szCs w:val="24"/>
        </w:rPr>
        <w:t>,本次需清洗工业管道共计约</w:t>
      </w:r>
      <w:r>
        <w:rPr>
          <w:rFonts w:hint="eastAsia" w:ascii="宋体" w:hAnsi="宋体" w:eastAsia="宋体" w:cs="宋体"/>
          <w:sz w:val="24"/>
          <w:szCs w:val="24"/>
          <w:u w:val="single"/>
        </w:rPr>
        <w:t xml:space="preserve"> 1030.8</w:t>
      </w:r>
      <w:r>
        <w:rPr>
          <w:rFonts w:hint="eastAsia" w:ascii="宋体" w:hAnsi="宋体" w:eastAsia="宋体" w:cs="宋体"/>
          <w:sz w:val="24"/>
          <w:szCs w:val="24"/>
          <w:u w:val="single"/>
        </w:rPr>
        <w:t>米</w:t>
      </w:r>
      <w:r>
        <w:rPr>
          <w:rFonts w:hint="eastAsia" w:ascii="宋体" w:hAnsi="宋体" w:eastAsia="宋体" w:cs="宋体"/>
          <w:sz w:val="24"/>
          <w:szCs w:val="24"/>
        </w:rPr>
        <w:t>，总清洗预估体积</w:t>
      </w:r>
      <w:r>
        <w:rPr>
          <w:rFonts w:hint="eastAsia" w:ascii="宋体" w:hAnsi="宋体" w:eastAsia="宋体" w:cs="宋体"/>
          <w:sz w:val="24"/>
          <w:szCs w:val="24"/>
          <w:u w:val="single"/>
        </w:rPr>
        <w:t>约227</w:t>
      </w:r>
      <w:r>
        <w:rPr>
          <w:rFonts w:hint="eastAsia" w:ascii="宋体" w:hAnsi="宋体" w:eastAsia="宋体" w:cs="宋体"/>
          <w:sz w:val="24"/>
          <w:szCs w:val="24"/>
          <w:u w:val="single"/>
        </w:rPr>
        <w:t xml:space="preserve"> </w:t>
      </w:r>
      <w:r>
        <w:rPr>
          <w:rFonts w:hint="eastAsia" w:ascii="宋体" w:hAnsi="宋体" w:eastAsia="宋体" w:cs="宋体"/>
          <w:sz w:val="24"/>
          <w:szCs w:val="24"/>
        </w:rPr>
        <w:t>m³，管径范围</w:t>
      </w:r>
      <w:r>
        <w:rPr>
          <w:rFonts w:hint="eastAsia" w:ascii="宋体" w:hAnsi="宋体" w:eastAsia="宋体" w:cs="宋体"/>
          <w:sz w:val="24"/>
          <w:szCs w:val="24"/>
          <w:u w:val="single"/>
        </w:rPr>
        <w:t xml:space="preserve"> 15</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mm - </w:t>
      </w:r>
      <w:r>
        <w:rPr>
          <w:rFonts w:hint="eastAsia" w:ascii="宋体" w:hAnsi="宋体" w:eastAsia="宋体" w:cs="宋体"/>
          <w:sz w:val="24"/>
          <w:szCs w:val="24"/>
          <w:u w:val="single"/>
        </w:rPr>
        <w:t>70</w:t>
      </w:r>
      <w:r>
        <w:rPr>
          <w:rFonts w:hint="eastAsia" w:ascii="宋体" w:hAnsi="宋体" w:eastAsia="宋体" w:cs="宋体"/>
          <w:sz w:val="24"/>
          <w:szCs w:val="24"/>
          <w:u w:val="single"/>
        </w:rPr>
        <w:t>0</w:t>
      </w:r>
      <w:r>
        <w:rPr>
          <w:rFonts w:hint="eastAsia" w:ascii="宋体" w:hAnsi="宋体" w:eastAsia="宋体" w:cs="宋体"/>
          <w:sz w:val="24"/>
          <w:szCs w:val="24"/>
        </w:rPr>
        <w:t>mm，管道材质主要为碳钢（PSL1 L245</w:t>
      </w:r>
      <w:r>
        <w:rPr>
          <w:rFonts w:hint="eastAsia" w:ascii="宋体" w:hAnsi="宋体" w:eastAsia="宋体" w:cs="宋体"/>
          <w:sz w:val="24"/>
          <w:szCs w:val="24"/>
        </w:rPr>
        <w:t>、20#、ASTM A106-B</w:t>
      </w:r>
      <w:r>
        <w:rPr>
          <w:rFonts w:hint="eastAsia" w:ascii="宋体" w:hAnsi="宋体" w:eastAsia="宋体" w:cs="宋体"/>
          <w:sz w:val="24"/>
          <w:szCs w:val="24"/>
        </w:rPr>
        <w:t>等），具体详见附件化学清洗清单、工艺流程图、管道单线图及设备图等。</w:t>
      </w:r>
    </w:p>
    <w:p w14:paraId="0213CA7F">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1.4.2 污垢类型：管道及设备内主要污垢为铁锈、氧化皮、焊渣、杂质等。</w:t>
      </w:r>
    </w:p>
    <w:p w14:paraId="371B1E6A">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1.4.3 清洗目的：通过化学清洗，彻底清除管道内各类污垢，恢复管道通流能力，提升介质输送效率，防止管道内壁腐蚀，形成均匀致密的钝化保护膜，满足管道开车/检修后的运行标准，保障介质纯度。</w:t>
      </w:r>
    </w:p>
    <w:p w14:paraId="00A9B344">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1.4.4 承包方需制定详细的施工技术方案、施工进度计划，报发包方批准后方可实施，确保按期保质保量完工。</w:t>
      </w:r>
    </w:p>
    <w:p w14:paraId="5F55F70B">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1.4.5 本项目工期要求不大于</w:t>
      </w:r>
      <w:r>
        <w:rPr>
          <w:rFonts w:hint="eastAsia" w:ascii="宋体" w:hAnsi="宋体" w:eastAsia="宋体" w:cs="宋体"/>
          <w:sz w:val="24"/>
          <w:szCs w:val="24"/>
          <w:u w:val="single"/>
        </w:rPr>
        <w:t xml:space="preserve"> 7 </w:t>
      </w:r>
      <w:r>
        <w:rPr>
          <w:rFonts w:hint="eastAsia" w:ascii="宋体" w:hAnsi="宋体" w:eastAsia="宋体" w:cs="宋体"/>
          <w:sz w:val="24"/>
          <w:szCs w:val="24"/>
        </w:rPr>
        <w:t>个日历天，开工日期根据发包人通知。</w:t>
      </w:r>
    </w:p>
    <w:p w14:paraId="0D5F11AD">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0"/>
        <w:rPr>
          <w:rFonts w:hint="eastAsia" w:ascii="宋体" w:hAnsi="宋体" w:eastAsia="宋体" w:cs="宋体"/>
          <w:sz w:val="24"/>
          <w:szCs w:val="24"/>
        </w:rPr>
      </w:pPr>
      <w:bookmarkStart w:id="5" w:name="heading_5"/>
      <w:r>
        <w:rPr>
          <w:rFonts w:hint="eastAsia" w:ascii="宋体" w:hAnsi="宋体" w:eastAsia="宋体" w:cs="宋体"/>
          <w:b/>
          <w:sz w:val="24"/>
          <w:szCs w:val="24"/>
        </w:rPr>
        <w:t>2. 承包方要求</w:t>
      </w:r>
      <w:bookmarkEnd w:id="5"/>
    </w:p>
    <w:p w14:paraId="46DCCDCF">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6" w:name="heading_6"/>
      <w:r>
        <w:rPr>
          <w:rFonts w:hint="eastAsia" w:ascii="宋体" w:hAnsi="宋体" w:eastAsia="宋体" w:cs="宋体"/>
          <w:b/>
          <w:sz w:val="24"/>
          <w:szCs w:val="24"/>
        </w:rPr>
        <w:t>2.1 资格要求</w:t>
      </w:r>
      <w:bookmarkEnd w:id="6"/>
    </w:p>
    <w:p w14:paraId="4B50F519">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投标方必须具备以下资质，方可参与本次发包投标及施工，资质文件需在投标时提供：</w:t>
      </w:r>
    </w:p>
    <w:p w14:paraId="734815D6">
      <w:pPr>
        <w:keepNext w:val="0"/>
        <w:keepLines w:val="0"/>
        <w:pageBreakBefore w:val="0"/>
        <w:widowControl w:val="0"/>
        <w:numPr>
          <w:ilvl w:val="0"/>
          <w:numId w:val="29"/>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具备独立法人资格，持有有效的营业执照（三证合一证件）；</w:t>
      </w:r>
    </w:p>
    <w:p w14:paraId="3DC64FE9">
      <w:pPr>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投标方必须取得工业清洗企业资质证书化学清洗A级；</w:t>
      </w:r>
    </w:p>
    <w:p w14:paraId="33ADD571">
      <w:pPr>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具备有效的安全生产许可证，且近3年内无重大安全事故记录；</w:t>
      </w:r>
    </w:p>
    <w:p w14:paraId="457BBA00">
      <w:pPr>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投标方近5年（2021年1月1日至今）具有石油化工装置工艺管道清洗业绩不少于2项，投标人需提供合同复印件和技术文件复印件。</w:t>
      </w:r>
    </w:p>
    <w:p w14:paraId="45E6F2A4">
      <w:pPr>
        <w:keepNext w:val="0"/>
        <w:keepLines w:val="0"/>
        <w:pageBreakBefore w:val="0"/>
        <w:widowControl w:val="0"/>
        <w:numPr>
          <w:ilvl w:val="0"/>
          <w:numId w:val="31"/>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拥有专业的化学清洗施工团队，团队成员需具备相应的从业资格证书，关键岗位人员（如现场负责人、技术负责人）需有5年以上工业管道化学清洗施工经验；</w:t>
      </w:r>
      <w:bookmarkStart w:id="7" w:name="heading_7"/>
    </w:p>
    <w:p w14:paraId="478179B6">
      <w:pPr>
        <w:keepNext w:val="0"/>
        <w:keepLines w:val="0"/>
        <w:pageBreakBefore w:val="0"/>
        <w:widowControl w:val="0"/>
        <w:numPr>
          <w:ilvl w:val="0"/>
          <w:numId w:val="31"/>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投标方需建立并实施质量、环境、安全、职业健康管理体系且正常运行；</w:t>
      </w:r>
    </w:p>
    <w:p w14:paraId="55FA0A07">
      <w:pPr>
        <w:keepNext w:val="0"/>
        <w:keepLines w:val="0"/>
        <w:pageBreakBefore w:val="0"/>
        <w:widowControl w:val="0"/>
        <w:numPr>
          <w:ilvl w:val="0"/>
          <w:numId w:val="31"/>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近三年内，投标方在其承包的工程项目中，未出现过被政府及相关部门通报事件。</w:t>
      </w:r>
    </w:p>
    <w:p w14:paraId="7AF757A7">
      <w:pPr>
        <w:keepNext w:val="0"/>
        <w:keepLines w:val="0"/>
        <w:pageBreakBefore w:val="0"/>
        <w:widowControl w:val="0"/>
        <w:numPr>
          <w:ilvl w:val="0"/>
          <w:numId w:val="31"/>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投标方未处于企业不良行为记录处置执行期。</w:t>
      </w:r>
    </w:p>
    <w:p w14:paraId="54F4D0FC">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rPr>
          <w:rFonts w:hint="eastAsia" w:ascii="宋体" w:hAnsi="宋体" w:eastAsia="宋体" w:cs="宋体"/>
          <w:sz w:val="24"/>
          <w:szCs w:val="24"/>
        </w:rPr>
      </w:pPr>
      <w:r>
        <w:rPr>
          <w:rFonts w:hint="eastAsia" w:ascii="宋体" w:hAnsi="宋体" w:eastAsia="宋体" w:cs="宋体"/>
          <w:b/>
          <w:sz w:val="24"/>
          <w:szCs w:val="24"/>
        </w:rPr>
        <w:t>2.2 设备及药剂要求</w:t>
      </w:r>
      <w:bookmarkEnd w:id="7"/>
    </w:p>
    <w:p w14:paraId="48E4350F">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2.2.1 施工设备：承包方需配备满足本次清洗工程需求的全套施工设备，且设备性能良好、运行稳定，主要包括：循环泵、清洗槽、过滤器、加热设备、检测仪器（如pH计、铁离子测定仪、电导率仪、腐蚀率测定仪等）、安全防护设备等，设备清单及校验证明需在开工前提交发包方审核</w:t>
      </w:r>
      <w:r>
        <w:rPr>
          <w:rFonts w:hint="eastAsia" w:ascii="宋体" w:hAnsi="宋体" w:eastAsia="宋体" w:cs="宋体"/>
          <w:sz w:val="24"/>
          <w:szCs w:val="24"/>
        </w:rPr>
        <w:tab/>
      </w:r>
      <w:r>
        <w:rPr>
          <w:rFonts w:hint="eastAsia" w:ascii="宋体" w:hAnsi="宋体" w:eastAsia="宋体" w:cs="宋体"/>
          <w:sz w:val="24"/>
          <w:szCs w:val="24"/>
        </w:rPr>
        <w:t>。</w:t>
      </w:r>
    </w:p>
    <w:p w14:paraId="3ACB84F5">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highlight w:val="yellow"/>
        </w:rPr>
      </w:pPr>
      <w:r>
        <w:rPr>
          <w:rFonts w:hint="eastAsia" w:ascii="宋体" w:hAnsi="宋体" w:eastAsia="宋体" w:cs="宋体"/>
          <w:sz w:val="24"/>
          <w:szCs w:val="24"/>
        </w:rPr>
        <w:t>2.2.2 清洗药剂：承包方需根据管道材质、污垢类型，选用符合国家及行业标准的环保型清洗药剂，严禁使用国家禁止的有毒、有害、高污染药剂。药剂需提供产品合格证、检测报告，明确药剂成分、浓度、使用方法及安全注意事项，且药剂选型需经发包方技术部门确认。不锈钢管道清洗严禁使用盐酸及含氯离子药剂，氯离子含量需控制在25ppm以内。</w:t>
      </w:r>
    </w:p>
    <w:p w14:paraId="1602B2F9">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8" w:name="heading_8"/>
      <w:r>
        <w:rPr>
          <w:rFonts w:hint="eastAsia" w:ascii="宋体" w:hAnsi="宋体" w:eastAsia="宋体" w:cs="宋体"/>
          <w:b/>
          <w:sz w:val="24"/>
          <w:szCs w:val="24"/>
        </w:rPr>
        <w:t>2.3 人员要求</w:t>
      </w:r>
      <w:bookmarkEnd w:id="8"/>
    </w:p>
    <w:p w14:paraId="10A25B95">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2.3.1 承包方需配备专职现场负责人1名、技术负责人1名、安全管理员1名、质量检查员1名，及足够数量的施工人员，所有人员需持证上岗，且岗前需进行安全、技术培训，培训记录需提交发包方备案。</w:t>
      </w:r>
    </w:p>
    <w:p w14:paraId="233F7327">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2.3.2 现场负责人需具备较强的现场管理能力，能够协调解决施工过程中的各类问题，确保施工顺利进行；技术负责人需具备丰富的化学清洗技术经验，能够指导施工人员规范操作，处理清洗过程中的技术难题；安全管理员需负责现场安全巡查、隐患排查，确保施工安全；质量检查员需全程监督施工质量，做好质量记录。</w:t>
      </w:r>
    </w:p>
    <w:p w14:paraId="6DB60C2A">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0"/>
        <w:rPr>
          <w:rFonts w:hint="eastAsia" w:ascii="宋体" w:hAnsi="宋体" w:eastAsia="宋体" w:cs="宋体"/>
          <w:sz w:val="24"/>
          <w:szCs w:val="24"/>
        </w:rPr>
      </w:pPr>
      <w:bookmarkStart w:id="9" w:name="heading_9"/>
      <w:r>
        <w:rPr>
          <w:rFonts w:hint="eastAsia" w:ascii="宋体" w:hAnsi="宋体" w:eastAsia="宋体" w:cs="宋体"/>
          <w:b/>
          <w:sz w:val="24"/>
          <w:szCs w:val="24"/>
        </w:rPr>
        <w:t>3. 施工技术要求</w:t>
      </w:r>
      <w:bookmarkEnd w:id="9"/>
    </w:p>
    <w:p w14:paraId="1B5EA2D0">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10" w:name="heading_10"/>
      <w:r>
        <w:rPr>
          <w:rFonts w:hint="eastAsia" w:ascii="宋体" w:hAnsi="宋体" w:eastAsia="宋体" w:cs="宋体"/>
          <w:b/>
          <w:sz w:val="24"/>
          <w:szCs w:val="24"/>
        </w:rPr>
        <w:t>3.1 施工准备</w:t>
      </w:r>
      <w:bookmarkEnd w:id="10"/>
    </w:p>
    <w:p w14:paraId="417B0017">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3.1.1 系统隔离：承包方负责在开工前，按照发包方要求，对清洗管道进行彻底隔离，关闭相关阀门，加装盲板（盲板规格、数量需经发包方确认），确保清洗管道与运行设备、无关管线完全断开，防止清洗液泄漏及交叉污染，同时要求仪表阀门及管道式流量计下线隔离，不参与酸洗，隔离完成后需经发包方验收合格方可进入下一工序。</w:t>
      </w:r>
    </w:p>
    <w:p w14:paraId="6FE338AC">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3.1.2 系统试漏：隔离完成后，承包方需搭建临时清洗回路，对回路进行气压/液压试漏，试漏压力为管道设计压力的1.05~1.1倍，保压30分钟，无泄漏、压力无下降即为合格，试漏记录需提交发包方签字确认。</w:t>
      </w:r>
    </w:p>
    <w:p w14:paraId="3A93DE70">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3.1.3 现场布置：承包方需在施工区域设置明显的安全警示标志（如“酸碱作业危险”“禁止入内”等），划分作业区域，配备充足的安全防护用品、中和液（稀碱/稀酸）及应急冲洗水源，确保施工环境安全。</w:t>
      </w:r>
    </w:p>
    <w:p w14:paraId="69BFDFE1">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3.1.4 技术交底：开工前，承包方技术负责人需向施工人员进行详细的技术交底，明确清洗工艺、药剂使用方法、操作规范、质量标准及安全注意事项，交底记录需经所有施工人员签字确认，并提交发包方备案。</w:t>
      </w:r>
    </w:p>
    <w:p w14:paraId="54569E2B">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11" w:name="heading_11"/>
      <w:r>
        <w:rPr>
          <w:rFonts w:hint="eastAsia" w:ascii="宋体" w:hAnsi="宋体" w:eastAsia="宋体" w:cs="宋体"/>
          <w:b/>
          <w:sz w:val="24"/>
          <w:szCs w:val="24"/>
        </w:rPr>
        <w:t>3.2 清洗工艺基本要求</w:t>
      </w:r>
      <w:bookmarkEnd w:id="11"/>
    </w:p>
    <w:p w14:paraId="4C987F71">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本次清洗采用循环清洗方式（特殊部位可采用浸泡、喷淋辅助清洗），包括系统水冲洗、脱脂、酸洗、漂洗、钝化和保护等。每道工序完成后需经发包方质量验收合格，方可进入下一工序：</w:t>
      </w:r>
    </w:p>
    <w:p w14:paraId="433D389C">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2"/>
        <w:rPr>
          <w:rFonts w:hint="eastAsia" w:ascii="宋体" w:hAnsi="宋体" w:eastAsia="宋体" w:cs="宋体"/>
          <w:sz w:val="24"/>
          <w:szCs w:val="24"/>
        </w:rPr>
      </w:pPr>
      <w:bookmarkStart w:id="12" w:name="heading_13"/>
      <w:r>
        <w:rPr>
          <w:rFonts w:hint="eastAsia" w:ascii="宋体" w:hAnsi="宋体" w:eastAsia="宋体" w:cs="宋体"/>
          <w:b/>
          <w:sz w:val="24"/>
          <w:szCs w:val="24"/>
        </w:rPr>
        <w:t>3.2.1 水冲洗</w:t>
      </w:r>
      <w:bookmarkEnd w:id="12"/>
    </w:p>
    <w:p w14:paraId="568F075A">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用水对管道进行循环冲洗，无明显油污、悬浮物，经验收合格后，进入酸洗工序。</w:t>
      </w:r>
    </w:p>
    <w:p w14:paraId="103F8B34">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2"/>
        <w:rPr>
          <w:rFonts w:hint="eastAsia" w:ascii="宋体" w:hAnsi="宋体" w:eastAsia="宋体" w:cs="宋体"/>
          <w:sz w:val="24"/>
          <w:szCs w:val="24"/>
        </w:rPr>
      </w:pPr>
      <w:bookmarkStart w:id="13" w:name="heading_14"/>
      <w:r>
        <w:rPr>
          <w:rFonts w:hint="eastAsia" w:ascii="宋体" w:hAnsi="宋体" w:eastAsia="宋体" w:cs="宋体"/>
          <w:b/>
          <w:sz w:val="24"/>
          <w:szCs w:val="24"/>
        </w:rPr>
        <w:t>3.2.2 酸洗（除锈/除垢）</w:t>
      </w:r>
      <w:bookmarkEnd w:id="13"/>
    </w:p>
    <w:p w14:paraId="06DB80D7">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3.2.2.1 药剂选用：根据管道材质选用对应酸洗药剂，药剂配制后需检测浓度，确保符合要求，缓蚀剂需提前加入，充分搅拌均匀。</w:t>
      </w:r>
    </w:p>
    <w:p w14:paraId="78CAF384">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3.2.2.2 质量检查：清洗过程要定时检测酸浓度及铁离子含量，做好记录，酸浓度趋于稳定，铁离子含量不再上升，管道内壁无明显铁锈、氧化皮、焊渣，经发包方验收合格后，停止酸洗。</w:t>
      </w:r>
    </w:p>
    <w:p w14:paraId="20B908C6">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3.2.2.3 注意事项：酸洗过程中需密切监测管道腐蚀情况，若发现腐蚀率超标，需立即停止酸洗，调整药剂浓度或更换缓蚀剂；不锈钢管道酸洗过程中，需严格控制氯离子含量，严禁混入含氯杂质。</w:t>
      </w:r>
    </w:p>
    <w:p w14:paraId="66C19B00">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2"/>
        <w:rPr>
          <w:rFonts w:hint="eastAsia" w:ascii="宋体" w:hAnsi="宋体" w:eastAsia="宋体" w:cs="宋体"/>
          <w:sz w:val="24"/>
          <w:szCs w:val="24"/>
        </w:rPr>
      </w:pPr>
      <w:bookmarkStart w:id="14" w:name="heading_15"/>
      <w:r>
        <w:rPr>
          <w:rFonts w:hint="eastAsia" w:ascii="宋体" w:hAnsi="宋体" w:eastAsia="宋体" w:cs="宋体"/>
          <w:b/>
          <w:sz w:val="24"/>
          <w:szCs w:val="24"/>
        </w:rPr>
        <w:t>3.2.3 水冲洗及漂洗（酸洗后）</w:t>
      </w:r>
      <w:bookmarkEnd w:id="14"/>
    </w:p>
    <w:p w14:paraId="0A0ABB53">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酸洗完成后，用大流量清水对管道进行循环冲洗，冲洗流速不低于1.0m/s，直至排水pH值达到5~6为宜，无悬浮物、无明显酸迹，铁离子含量满足要求，经验收合格后，进入中和工序。</w:t>
      </w:r>
    </w:p>
    <w:p w14:paraId="207B1C18">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2"/>
        <w:rPr>
          <w:rFonts w:hint="eastAsia" w:ascii="宋体" w:hAnsi="宋体" w:eastAsia="宋体" w:cs="宋体"/>
          <w:sz w:val="24"/>
          <w:szCs w:val="24"/>
        </w:rPr>
      </w:pPr>
      <w:bookmarkStart w:id="15" w:name="heading_16"/>
      <w:r>
        <w:rPr>
          <w:rFonts w:hint="eastAsia" w:ascii="宋体" w:hAnsi="宋体" w:eastAsia="宋体" w:cs="宋体"/>
          <w:b/>
          <w:sz w:val="24"/>
          <w:szCs w:val="24"/>
        </w:rPr>
        <w:t>3.2.4 中和与钝化</w:t>
      </w:r>
      <w:bookmarkEnd w:id="15"/>
    </w:p>
    <w:p w14:paraId="6DD5D6B5">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3.2.5.1 中和：水冲洗结束后，采用碱性溶液对管道进行循环中和，直至排水pH值达到7~8，无酸性残留，中和时间不少于30分钟。</w:t>
      </w:r>
    </w:p>
    <w:p w14:paraId="45AF557D">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3.2.5.2 钝化：根据管道材质选用对应钝化药剂，钝化过程中需监测钝化液浓度及pH值，做好记录。</w:t>
      </w:r>
    </w:p>
    <w:p w14:paraId="3F594E5D">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3.2.5.3 验收：管道内壁形成均匀致密的钝化膜，无花斑、无锈蚀，经发包方验收合格后，停止钝化。</w:t>
      </w:r>
    </w:p>
    <w:p w14:paraId="0AE82861">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2"/>
        <w:rPr>
          <w:rFonts w:hint="eastAsia" w:ascii="宋体" w:hAnsi="宋体" w:eastAsia="宋体" w:cs="宋体"/>
          <w:sz w:val="24"/>
          <w:szCs w:val="24"/>
        </w:rPr>
      </w:pPr>
      <w:bookmarkStart w:id="16" w:name="heading_17"/>
      <w:r>
        <w:rPr>
          <w:rFonts w:hint="eastAsia" w:ascii="宋体" w:hAnsi="宋体" w:eastAsia="宋体" w:cs="宋体"/>
          <w:b/>
          <w:sz w:val="24"/>
          <w:szCs w:val="24"/>
        </w:rPr>
        <w:t>3.2.6 最终冲洗与干燥</w:t>
      </w:r>
      <w:bookmarkEnd w:id="16"/>
    </w:p>
    <w:p w14:paraId="374756BC">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3.2.6.1 最终冲洗：用除盐水对管道进行循环冲洗，直至无任何杂质残留，经验收合格后，停止冲洗。</w:t>
      </w:r>
    </w:p>
    <w:p w14:paraId="1772A03D">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3.2.6.2 干燥：采用压缩空气或氮气对管道进行吹干，确保管道内壁无积水、无潮湿痕迹，干燥完成后，对管道进行封闭保护，防止二次污染。</w:t>
      </w:r>
    </w:p>
    <w:p w14:paraId="36E30D4C">
      <w:pPr>
        <w:pStyle w:val="21"/>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3.2.7</w:t>
      </w:r>
      <w:r>
        <w:rPr>
          <w:rFonts w:hint="eastAsia" w:ascii="宋体" w:hAnsi="宋体" w:eastAsia="宋体" w:cs="宋体"/>
          <w:b/>
          <w:bCs/>
          <w:spacing w:val="1"/>
          <w:sz w:val="24"/>
          <w:szCs w:val="24"/>
        </w:rPr>
        <w:t>浸泡清洗</w:t>
      </w:r>
    </w:p>
    <w:p w14:paraId="0CB61C96">
      <w:pPr>
        <w:pStyle w:val="21"/>
        <w:keepNext w:val="0"/>
        <w:keepLines w:val="0"/>
        <w:pageBreakBefore w:val="0"/>
        <w:widowControl w:val="0"/>
        <w:kinsoku/>
        <w:wordWrap/>
        <w:overflowPunct/>
        <w:topLinePunct w:val="0"/>
        <w:autoSpaceDE w:val="0"/>
        <w:autoSpaceDN w:val="0"/>
        <w:bidi w:val="0"/>
        <w:adjustRightInd/>
        <w:snapToGrid/>
        <w:spacing w:line="360" w:lineRule="auto"/>
        <w:ind w:lef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小型零部件、管段及管件宜采用浸泡清洗。</w:t>
      </w:r>
      <w:r>
        <w:rPr>
          <w:rFonts w:hint="eastAsia" w:ascii="宋体" w:hAnsi="宋体" w:eastAsia="宋体" w:cs="宋体"/>
          <w:spacing w:val="-1"/>
          <w:sz w:val="24"/>
          <w:szCs w:val="24"/>
        </w:rPr>
        <w:t>清洗容器和储槽满足清洗件的使用要求，且应设置安全防护设施。各零部件在溶液中应每0.5h</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rPr>
        <w:t>翻动一次，并按程序及时进行倒槽。</w:t>
      </w:r>
      <w:r>
        <w:rPr>
          <w:rFonts w:hint="eastAsia" w:ascii="宋体" w:hAnsi="宋体" w:eastAsia="宋体" w:cs="宋体"/>
          <w:spacing w:val="3"/>
          <w:sz w:val="24"/>
          <w:szCs w:val="24"/>
        </w:rPr>
        <w:t>清洗过程控制，其清洗时间和控制条件满足SHT 3547-2011 石油化工设备和管道化学清洗施工及验收规范相关要求</w:t>
      </w:r>
      <w:r>
        <w:rPr>
          <w:rFonts w:hint="eastAsia" w:ascii="宋体" w:hAnsi="宋体" w:eastAsia="宋体" w:cs="宋体"/>
          <w:spacing w:val="2"/>
          <w:sz w:val="24"/>
          <w:szCs w:val="24"/>
        </w:rPr>
        <w:t>。</w:t>
      </w:r>
      <w:r>
        <w:rPr>
          <w:rFonts w:hint="eastAsia" w:ascii="宋体" w:hAnsi="宋体" w:eastAsia="宋体" w:cs="宋体"/>
          <w:sz w:val="24"/>
          <w:szCs w:val="24"/>
        </w:rPr>
        <w:t>清洗结束后，废液中和达标排放。</w:t>
      </w:r>
    </w:p>
    <w:p w14:paraId="48764410">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17" w:name="heading_18"/>
      <w:r>
        <w:rPr>
          <w:rFonts w:hint="eastAsia" w:ascii="宋体" w:hAnsi="宋体" w:eastAsia="宋体" w:cs="宋体"/>
          <w:b/>
          <w:sz w:val="24"/>
          <w:szCs w:val="24"/>
        </w:rPr>
        <w:t>3.3 特殊部位处理</w:t>
      </w:r>
      <w:bookmarkEnd w:id="17"/>
    </w:p>
    <w:p w14:paraId="63C66C82">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对于管道弯头、阀门、法兰、换热器管束等特殊部位，承包方需采取针对性的清洗措施，确保清洗彻底，无污垢残留；阀门、仪表等易损坏部件，需提前拆卸或采取保护措施，清洗完成后及时复位，确保其性能完好。</w:t>
      </w:r>
    </w:p>
    <w:p w14:paraId="3FDF270D">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18" w:name="heading_19"/>
      <w:r>
        <w:rPr>
          <w:rFonts w:hint="eastAsia" w:ascii="宋体" w:hAnsi="宋体" w:eastAsia="宋体" w:cs="宋体"/>
          <w:b/>
          <w:sz w:val="24"/>
          <w:szCs w:val="24"/>
        </w:rPr>
        <w:t>3.4 施工记录要求</w:t>
      </w:r>
      <w:bookmarkEnd w:id="18"/>
    </w:p>
    <w:p w14:paraId="7A5C8C39">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承包方需安排专人做好施工全过程记录，记录内容包括但不限于：施工日期、工序名称、药剂名称及浓度、施工温度、循环时间、流速、检测数据（pH值、铁离子含量、腐蚀率、电导率等）、验收结果、施工人员签字等，施工记录需真实、完整、规范，每天提交发包方审核，工程完工后，整理成册按照发包方档案管理有关要求进行档案存档。</w:t>
      </w:r>
    </w:p>
    <w:p w14:paraId="5593B615">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0"/>
        <w:rPr>
          <w:rFonts w:hint="eastAsia" w:ascii="宋体" w:hAnsi="宋体" w:eastAsia="宋体" w:cs="宋体"/>
          <w:sz w:val="24"/>
          <w:szCs w:val="24"/>
        </w:rPr>
      </w:pPr>
      <w:bookmarkStart w:id="19" w:name="heading_20"/>
      <w:r>
        <w:rPr>
          <w:rFonts w:hint="eastAsia" w:ascii="宋体" w:hAnsi="宋体" w:eastAsia="宋体" w:cs="宋体"/>
          <w:b/>
          <w:sz w:val="24"/>
          <w:szCs w:val="24"/>
        </w:rPr>
        <w:t>4. 质量标准与验收</w:t>
      </w:r>
      <w:bookmarkEnd w:id="19"/>
    </w:p>
    <w:p w14:paraId="336BB83B">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20" w:name="heading_21"/>
      <w:r>
        <w:rPr>
          <w:rFonts w:hint="eastAsia" w:ascii="宋体" w:hAnsi="宋体" w:eastAsia="宋体" w:cs="宋体"/>
          <w:b/>
          <w:sz w:val="24"/>
          <w:szCs w:val="24"/>
        </w:rPr>
        <w:t>4.1 质量标准</w:t>
      </w:r>
      <w:bookmarkEnd w:id="20"/>
    </w:p>
    <w:p w14:paraId="19DD36FA">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本次工业管道化学清洗质量严格遵循SH/T 3547-2011及HG/T 2387-2007标准，具体要求如下：</w:t>
      </w:r>
    </w:p>
    <w:p w14:paraId="035A4F40">
      <w:pPr>
        <w:keepNext w:val="0"/>
        <w:keepLines w:val="0"/>
        <w:pageBreakBefore w:val="0"/>
        <w:widowControl w:val="0"/>
        <w:numPr>
          <w:ilvl w:val="0"/>
          <w:numId w:val="32"/>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目视标准：被清洗设备和管道表面应清洁，管道内壁无锈、无氧化皮、无焊渣、无油污、无污垢残留，呈金属本色，钝化膜均匀致密、无花斑、无二次锈蚀，无金属粗晶析出的过酸洗现象，并有完整的钝化膜。</w:t>
      </w:r>
    </w:p>
    <w:p w14:paraId="067AE5C4">
      <w:pPr>
        <w:keepNext w:val="0"/>
        <w:keepLines w:val="0"/>
        <w:pageBreakBefore w:val="0"/>
        <w:widowControl w:val="0"/>
        <w:numPr>
          <w:ilvl w:val="0"/>
          <w:numId w:val="32"/>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清洗质量测定：碳钢材质的钝化膜质量，可用酸性硫酸铜点滴液检验，点滴液由蓝色变为红色的时间不小于5s 为合格。奥氏体不锈钢材质的钝化膜质量，可用酸性铁氰化钾点滴液检验，点滴液覆盖面内10min 内出现的蓝色小点不多于8点为合格。</w:t>
      </w:r>
    </w:p>
    <w:p w14:paraId="53AD22F2">
      <w:pPr>
        <w:keepNext w:val="0"/>
        <w:keepLines w:val="0"/>
        <w:pageBreakBefore w:val="0"/>
        <w:widowControl w:val="0"/>
        <w:numPr>
          <w:ilvl w:val="0"/>
          <w:numId w:val="33"/>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除垢率：管道内污垢除垢率≥95%；</w:t>
      </w:r>
    </w:p>
    <w:p w14:paraId="70972927">
      <w:pPr>
        <w:keepNext w:val="0"/>
        <w:keepLines w:val="0"/>
        <w:pageBreakBefore w:val="0"/>
        <w:widowControl w:val="0"/>
        <w:numPr>
          <w:ilvl w:val="0"/>
          <w:numId w:val="34"/>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腐蚀率：碳钢管道腐蚀率＜6g/(m²·h)，不锈钢管道腐蚀率＜2g/(m²·h)，无点蚀、过腐蚀、氢脆等现象；</w:t>
      </w:r>
    </w:p>
    <w:p w14:paraId="35B99C37">
      <w:pPr>
        <w:keepNext w:val="0"/>
        <w:keepLines w:val="0"/>
        <w:pageBreakBefore w:val="0"/>
        <w:widowControl w:val="0"/>
        <w:numPr>
          <w:ilvl w:val="0"/>
          <w:numId w:val="35"/>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钝化膜标准：钝化膜附着力强，经擦拭无脱落，浸泡试验无锈蚀。</w:t>
      </w:r>
    </w:p>
    <w:p w14:paraId="0410344B">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21" w:name="heading_22"/>
      <w:r>
        <w:rPr>
          <w:rFonts w:hint="eastAsia" w:ascii="宋体" w:hAnsi="宋体" w:eastAsia="宋体" w:cs="宋体"/>
          <w:b/>
          <w:sz w:val="24"/>
          <w:szCs w:val="24"/>
        </w:rPr>
        <w:t>4.2 验收流程</w:t>
      </w:r>
      <w:bookmarkEnd w:id="21"/>
    </w:p>
    <w:p w14:paraId="4F74B8D5">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4.2.1 工序验收：每道清洗工序完成后，承包方需向发包方提交验收申请，发包方质量检查人员在接到申请后安排技术人员进行现场验收，验收合格后签署验收记录，方可进入下一工序；验收不合格的，承包方需立即整改，整改完成后重新申请验收，直至合格，整改费用由承包方承担。清洗工作结束后，承包方将现场设备设施及时转运出现场，做到“工完料净场地清”。</w:t>
      </w:r>
    </w:p>
    <w:p w14:paraId="3DD6697B">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4.2.2 竣工验收：工程全部完工后，承包方需整理施工记录、药剂检测报告、资质文件、验收记录等相关资料，向发包方提交竣工验收申请，发包方组织技术、质量、安全等相关部门进行全面验收，验收内容包括现场管道清洗质量、资料完整性等，验收合格后签署竣工验收报告；验收不合格的，承包方需在规定期限内整改，直至验收合格，逾期未整改合格的，按合同约定承担违约责任。</w:t>
      </w:r>
    </w:p>
    <w:p w14:paraId="1CEA9804">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22" w:name="heading_23"/>
      <w:r>
        <w:rPr>
          <w:rFonts w:hint="eastAsia" w:ascii="宋体" w:hAnsi="宋体" w:eastAsia="宋体" w:cs="宋体"/>
          <w:b/>
          <w:sz w:val="24"/>
          <w:szCs w:val="24"/>
        </w:rPr>
        <w:t>4.3 质量保修</w:t>
      </w:r>
      <w:bookmarkEnd w:id="22"/>
    </w:p>
    <w:p w14:paraId="3EA79B10">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竣工验收合格后，承包方需提供12个月的质量保修期，保修期内，若因承包方施工原因导致管道内壁出现锈蚀、钝化膜脱落等质量问题，承包方需在接到通知后24小时内派员到场处理，免费进行返工清洗，确保达到质量标准，并承担由此给发包方造成的损失。</w:t>
      </w:r>
    </w:p>
    <w:p w14:paraId="1E1405A6">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0"/>
        <w:rPr>
          <w:rFonts w:hint="eastAsia" w:ascii="宋体" w:hAnsi="宋体" w:eastAsia="宋体" w:cs="宋体"/>
          <w:sz w:val="24"/>
          <w:szCs w:val="24"/>
        </w:rPr>
      </w:pPr>
      <w:bookmarkStart w:id="23" w:name="heading_24"/>
      <w:r>
        <w:rPr>
          <w:rFonts w:hint="eastAsia" w:ascii="宋体" w:hAnsi="宋体" w:eastAsia="宋体" w:cs="宋体"/>
          <w:b/>
          <w:sz w:val="24"/>
          <w:szCs w:val="24"/>
        </w:rPr>
        <w:t>5. 安全管理要求</w:t>
      </w:r>
      <w:bookmarkEnd w:id="23"/>
    </w:p>
    <w:p w14:paraId="2DBEFE76">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24" w:name="heading_25"/>
      <w:r>
        <w:rPr>
          <w:rFonts w:hint="eastAsia" w:ascii="宋体" w:hAnsi="宋体" w:eastAsia="宋体" w:cs="宋体"/>
          <w:b/>
          <w:sz w:val="24"/>
          <w:szCs w:val="24"/>
        </w:rPr>
        <w:t>5.1 安全责任</w:t>
      </w:r>
      <w:bookmarkEnd w:id="24"/>
    </w:p>
    <w:p w14:paraId="4FFABF9C">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承包方是本次清洗工程的安全责任主体，负责施工全过程的安全管理工作，承担因施工安全管理不当造成的一切安全事故责任及经济损失；发包方负责对施工安全进行监督管理，发现安全隐患，有权要求承包方立即整改，整改不合格的，有权停止施工。</w:t>
      </w:r>
    </w:p>
    <w:p w14:paraId="6BAEF531">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25" w:name="heading_26"/>
      <w:r>
        <w:rPr>
          <w:rFonts w:hint="eastAsia" w:ascii="宋体" w:hAnsi="宋体" w:eastAsia="宋体" w:cs="宋体"/>
          <w:b/>
          <w:sz w:val="24"/>
          <w:szCs w:val="24"/>
        </w:rPr>
        <w:t>5.2 安全防护</w:t>
      </w:r>
      <w:bookmarkEnd w:id="25"/>
    </w:p>
    <w:p w14:paraId="6C351740">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5.2.1 承包方施工人员必须佩戴齐全安全防护用品（如防酸服、护目镜、防毒面具、耐酸碱手套、防滑鞋等），严禁无防护作业；现场需配备充足的应急防护用品及急救药品，确保应急使用。</w:t>
      </w:r>
    </w:p>
    <w:p w14:paraId="4CEC2A43">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5.2.2 酸碱药剂的储存、运输、使用需严格遵循危险化学品安全管理规定，单独存放，设置明显警示标志，严禁与其他化学品混存，防止泄漏、爆炸、中毒等事故发生；药剂配制需在通风良好的区域进行，操作人员需严格按操作规程操作，防止药剂飞溅。</w:t>
      </w:r>
    </w:p>
    <w:p w14:paraId="72956EA0">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26" w:name="heading_27"/>
      <w:r>
        <w:rPr>
          <w:rFonts w:hint="eastAsia" w:ascii="宋体" w:hAnsi="宋体" w:eastAsia="宋体" w:cs="宋体"/>
          <w:b/>
          <w:sz w:val="24"/>
          <w:szCs w:val="24"/>
        </w:rPr>
        <w:t>5.3 现场安全管理</w:t>
      </w:r>
      <w:bookmarkEnd w:id="26"/>
    </w:p>
    <w:p w14:paraId="3340C744">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5.3.1 施工区域需设置封闭围挡及安全警示标志，严禁无关人员进入作业区域；施工过程中，需保持现场通风良好，尤其是密闭空间作业，需采取强制通风措施，检测有毒有害气体浓度，浓度达标后方可作业，作业过程中需安排专人监护。</w:t>
      </w:r>
    </w:p>
    <w:p w14:paraId="1A2C7908">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5.3.2 施工设备需定期检查、维护，确保运行稳定，严禁设备带故障作业；电气设备需做好防漏电、防短路措施，避免因电气故障引发安全事故。</w:t>
      </w:r>
    </w:p>
    <w:p w14:paraId="5B4D331A">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5.3.3 现场作业需要服从发包方管理，作业开展前承包方需按照发包方有关要求办理作业票审批手续，作业票审批同意后方可开展作业，作业现场需安排专人监护。</w:t>
      </w:r>
    </w:p>
    <w:p w14:paraId="56FEFB5A">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27" w:name="heading_28"/>
      <w:r>
        <w:rPr>
          <w:rFonts w:hint="eastAsia" w:ascii="宋体" w:hAnsi="宋体" w:eastAsia="宋体" w:cs="宋体"/>
          <w:b/>
          <w:sz w:val="24"/>
          <w:szCs w:val="24"/>
        </w:rPr>
        <w:t>5.4 应急处置</w:t>
      </w:r>
      <w:bookmarkEnd w:id="27"/>
    </w:p>
    <w:p w14:paraId="746ABEDA">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承包方需制定完善的安全应急预案，针对酸碱泄漏、人员中毒、火灾等突发事故，明确应急处置流程、责任人员及应急措施；施工现场需配备应急救援设备及物资，定期组织应急演练，确保突发事故发生时能够及时、有效处置，减少人员伤亡及经济损失；发生安全事故时，承包方需立即启动应急预案，组织救援，并第一时间通知发包方及相关部门。</w:t>
      </w:r>
    </w:p>
    <w:p w14:paraId="0CE1D7E5">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0"/>
        <w:rPr>
          <w:rFonts w:hint="eastAsia" w:ascii="宋体" w:hAnsi="宋体" w:eastAsia="宋体" w:cs="宋体"/>
          <w:sz w:val="24"/>
          <w:szCs w:val="24"/>
        </w:rPr>
      </w:pPr>
      <w:bookmarkStart w:id="28" w:name="heading_29"/>
      <w:r>
        <w:rPr>
          <w:rFonts w:hint="eastAsia" w:ascii="宋体" w:hAnsi="宋体" w:eastAsia="宋体" w:cs="宋体"/>
          <w:b/>
          <w:sz w:val="24"/>
          <w:szCs w:val="24"/>
        </w:rPr>
        <w:t>6. 环保管理要求</w:t>
      </w:r>
      <w:bookmarkEnd w:id="28"/>
    </w:p>
    <w:p w14:paraId="212D4834">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29" w:name="heading_30"/>
      <w:r>
        <w:rPr>
          <w:rFonts w:hint="eastAsia" w:ascii="宋体" w:hAnsi="宋体" w:eastAsia="宋体" w:cs="宋体"/>
          <w:b/>
          <w:sz w:val="24"/>
          <w:szCs w:val="24"/>
        </w:rPr>
        <w:t>6.1 环保责任</w:t>
      </w:r>
      <w:bookmarkEnd w:id="29"/>
    </w:p>
    <w:p w14:paraId="7E9C6B15">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承包方负责本次清洗工程的环保处置工作，严格遵守国家及地方环保法规，承担因环保处置不当造成的一切环保责任及经济损失；发包方负责对环保处置情况进行监督检查。</w:t>
      </w:r>
    </w:p>
    <w:p w14:paraId="72D0E630">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30" w:name="heading_31"/>
      <w:r>
        <w:rPr>
          <w:rFonts w:hint="eastAsia" w:ascii="宋体" w:hAnsi="宋体" w:eastAsia="宋体" w:cs="宋体"/>
          <w:b/>
          <w:sz w:val="24"/>
          <w:szCs w:val="24"/>
        </w:rPr>
        <w:t>6.2 废液处置</w:t>
      </w:r>
      <w:bookmarkEnd w:id="30"/>
    </w:p>
    <w:p w14:paraId="14D16C3F">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清洗过程中产生的酸洗废液、脱脂废液、冲洗废水等，承包方需进行集中收集，严禁直接排放；废液（酸洗废液、钝化废液、废水等）需先进行中和处理，废液需先去除重金属、悬浮物等杂质，经检测达标后，方可排放至发包方指定的污水处理设施。所有废液转运（车辆或管道）工作全部由承包方负责，承包方须提前到现场勘察发包方污水处理实施情况。</w:t>
      </w:r>
    </w:p>
    <w:p w14:paraId="54617A59">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31" w:name="heading_32"/>
      <w:r>
        <w:rPr>
          <w:rFonts w:hint="eastAsia" w:ascii="宋体" w:hAnsi="宋体" w:eastAsia="宋体" w:cs="宋体"/>
          <w:b/>
          <w:sz w:val="24"/>
          <w:szCs w:val="24"/>
        </w:rPr>
        <w:t>6.3 废渣及废弃物处置</w:t>
      </w:r>
      <w:bookmarkEnd w:id="31"/>
    </w:p>
    <w:p w14:paraId="507C928A">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清洗过程中产生的废渣（如除锈渣、污垢等）、废弃药剂包装等，承包方需进行分类收集，妥善存放，严禁随意丢弃；废渣需委托具备相应资质的单位进行无害化处理，废弃药剂包装需按危险废物管理规定进行处置。</w:t>
      </w:r>
    </w:p>
    <w:p w14:paraId="2AA0EB2F">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32" w:name="heading_33"/>
      <w:r>
        <w:rPr>
          <w:rFonts w:hint="eastAsia" w:ascii="宋体" w:hAnsi="宋体" w:eastAsia="宋体" w:cs="宋体"/>
          <w:b/>
          <w:sz w:val="24"/>
          <w:szCs w:val="24"/>
        </w:rPr>
        <w:t>6.4 现场环保要求</w:t>
      </w:r>
      <w:bookmarkEnd w:id="32"/>
    </w:p>
    <w:p w14:paraId="23C9B937">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施工过程中，需采取有效措施，防止药剂泄漏、废液流失，避免污染土壤、地下水及周边环境；施工结束后，承包方需清理施工现场，恢复场地原貌，做到工完、料尽、场地清。</w:t>
      </w:r>
    </w:p>
    <w:p w14:paraId="2AEDB092">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6.5 特别说明</w:t>
      </w:r>
    </w:p>
    <w:p w14:paraId="2D78050B">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因本项目特殊性，投标方报价前须安排技术人员到装置现场进行实地勘察，清楚了解项目实际情况，若因投标方未进行现场实地勘察导致对本项目实际工程量、实施难度等理解出现偏差导致一些损失由投标方承担。 </w:t>
      </w:r>
    </w:p>
    <w:p w14:paraId="29E2F9A2">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0"/>
        <w:rPr>
          <w:rFonts w:hint="eastAsia" w:ascii="宋体" w:hAnsi="宋体" w:eastAsia="宋体" w:cs="宋体"/>
          <w:sz w:val="24"/>
          <w:szCs w:val="24"/>
        </w:rPr>
      </w:pPr>
      <w:bookmarkStart w:id="33" w:name="heading_34"/>
      <w:r>
        <w:rPr>
          <w:rFonts w:hint="eastAsia" w:ascii="宋体" w:hAnsi="宋体" w:eastAsia="宋体" w:cs="宋体"/>
          <w:b/>
          <w:sz w:val="24"/>
          <w:szCs w:val="24"/>
        </w:rPr>
        <w:t>7. 双方责任与义务</w:t>
      </w:r>
      <w:bookmarkEnd w:id="33"/>
    </w:p>
    <w:p w14:paraId="33D38BEC">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sz w:val="24"/>
          <w:szCs w:val="24"/>
        </w:rPr>
      </w:pPr>
      <w:bookmarkStart w:id="34" w:name="heading_35"/>
      <w:r>
        <w:rPr>
          <w:rFonts w:hint="eastAsia" w:ascii="宋体" w:hAnsi="宋体" w:eastAsia="宋体" w:cs="宋体"/>
          <w:b/>
          <w:sz w:val="24"/>
          <w:szCs w:val="24"/>
        </w:rPr>
        <w:t>7.1 发包方责任与义务</w:t>
      </w:r>
      <w:bookmarkEnd w:id="34"/>
    </w:p>
    <w:p w14:paraId="2D72B86C">
      <w:pPr>
        <w:keepNext w:val="0"/>
        <w:keepLines w:val="0"/>
        <w:pageBreakBefore w:val="0"/>
        <w:widowControl w:val="0"/>
        <w:numPr>
          <w:ilvl w:val="0"/>
          <w:numId w:val="36"/>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提供本次清洗管道的设计文件、材质证明等相关技术资料，明确清洗范围及要求；</w:t>
      </w:r>
    </w:p>
    <w:p w14:paraId="618A14EC">
      <w:pPr>
        <w:keepNext w:val="0"/>
        <w:keepLines w:val="0"/>
        <w:pageBreakBefore w:val="0"/>
        <w:widowControl w:val="0"/>
        <w:numPr>
          <w:ilvl w:val="0"/>
          <w:numId w:val="37"/>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负责协调现场相关单位，为承包方提供必要的施工场地、水电供应，协助承包方办理现场施工作业所需的相关手续；</w:t>
      </w:r>
    </w:p>
    <w:p w14:paraId="23777964">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安排专人对施工过程进行监督、检查，及时验收各道工序质量，协调解决施工过程中的相关问题；</w:t>
      </w:r>
    </w:p>
    <w:p w14:paraId="70C10C01">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b/>
          <w:sz w:val="24"/>
          <w:szCs w:val="24"/>
        </w:rPr>
      </w:pPr>
      <w:bookmarkStart w:id="35" w:name="heading_36"/>
      <w:r>
        <w:rPr>
          <w:rFonts w:hint="eastAsia" w:ascii="宋体" w:hAnsi="宋体" w:eastAsia="宋体" w:cs="宋体"/>
          <w:b/>
          <w:sz w:val="24"/>
          <w:szCs w:val="24"/>
        </w:rPr>
        <w:t>7.2 承包方责任与义务</w:t>
      </w:r>
      <w:bookmarkEnd w:id="35"/>
    </w:p>
    <w:p w14:paraId="42D2F64C">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outlineLvl w:val="1"/>
        <w:rPr>
          <w:rFonts w:hint="eastAsia" w:ascii="宋体" w:hAnsi="宋体" w:eastAsia="宋体" w:cs="宋体"/>
          <w:b/>
          <w:sz w:val="24"/>
          <w:szCs w:val="24"/>
        </w:rPr>
      </w:pPr>
      <w:r>
        <w:rPr>
          <w:rFonts w:hint="eastAsia" w:ascii="宋体" w:hAnsi="宋体" w:eastAsia="宋体" w:cs="宋体"/>
          <w:b/>
          <w:sz w:val="24"/>
          <w:szCs w:val="24"/>
        </w:rPr>
        <w:t>包括但不限于：</w:t>
      </w:r>
    </w:p>
    <w:p w14:paraId="7645A55A">
      <w:pPr>
        <w:keepNext w:val="0"/>
        <w:keepLines w:val="0"/>
        <w:pageBreakBefore w:val="0"/>
        <w:widowControl w:val="0"/>
        <w:numPr>
          <w:ilvl w:val="0"/>
          <w:numId w:val="39"/>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严格按照本技术文件及合同约定，组织施工，确保施工质量、安全、环保及工期要求；</w:t>
      </w:r>
    </w:p>
    <w:p w14:paraId="200035A1">
      <w:pPr>
        <w:keepNext w:val="0"/>
        <w:keepLines w:val="0"/>
        <w:pageBreakBefore w:val="0"/>
        <w:widowControl w:val="0"/>
        <w:numPr>
          <w:ilvl w:val="0"/>
          <w:numId w:val="40"/>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负责施工人员的安全、技术培训，配备齐全安全防护设备及环保处置设备，规范施工操作；</w:t>
      </w:r>
    </w:p>
    <w:p w14:paraId="4AC60CF6">
      <w:pPr>
        <w:keepNext w:val="0"/>
        <w:keepLines w:val="0"/>
        <w:pageBreakBefore w:val="0"/>
        <w:widowControl w:val="0"/>
        <w:numPr>
          <w:ilvl w:val="0"/>
          <w:numId w:val="41"/>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严格执行国家及行业标准、规范，做好施工全过程记录，及时提交验收申请及相关资料；</w:t>
      </w:r>
    </w:p>
    <w:p w14:paraId="2EE0DBB5">
      <w:pPr>
        <w:keepNext w:val="0"/>
        <w:keepLines w:val="0"/>
        <w:pageBreakBefore w:val="0"/>
        <w:widowControl w:val="0"/>
        <w:numPr>
          <w:ilvl w:val="0"/>
          <w:numId w:val="42"/>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负责施工过程中的安全事故、环保事故的应急处置，承担相应的责任及经济损失；</w:t>
      </w:r>
    </w:p>
    <w:p w14:paraId="11C7BA66">
      <w:pPr>
        <w:keepNext w:val="0"/>
        <w:keepLines w:val="0"/>
        <w:pageBreakBefore w:val="0"/>
        <w:widowControl w:val="0"/>
        <w:numPr>
          <w:ilvl w:val="0"/>
          <w:numId w:val="43"/>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接受发包方的监督、检查，对发包方提出的整改要求，及时整改到位；</w:t>
      </w:r>
    </w:p>
    <w:p w14:paraId="291AA911">
      <w:pPr>
        <w:keepNext w:val="0"/>
        <w:keepLines w:val="0"/>
        <w:pageBreakBefore w:val="0"/>
        <w:widowControl w:val="0"/>
        <w:numPr>
          <w:ilvl w:val="0"/>
          <w:numId w:val="44"/>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工程完工后，负责清理施工现场，恢复场地原貌，提交完整的施工资料，并按照发包方档案管理有关要求移交发包方存档；</w:t>
      </w:r>
    </w:p>
    <w:p w14:paraId="3B9DF8D6">
      <w:pPr>
        <w:keepNext w:val="0"/>
        <w:keepLines w:val="0"/>
        <w:pageBreakBefore w:val="0"/>
        <w:widowControl w:val="0"/>
        <w:numPr>
          <w:ilvl w:val="0"/>
          <w:numId w:val="45"/>
        </w:numPr>
        <w:kinsoku/>
        <w:wordWrap/>
        <w:overflowPunct/>
        <w:topLinePunct w:val="0"/>
        <w:autoSpaceDE w:val="0"/>
        <w:autoSpaceDN w:val="0"/>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承担质量保修期内的质量保修责任，及时处理质量问题。</w:t>
      </w:r>
    </w:p>
    <w:p w14:paraId="62C180ED">
      <w:pPr>
        <w:keepNext w:val="0"/>
        <w:keepLines w:val="0"/>
        <w:pageBreakBefore w:val="0"/>
        <w:widowControl w:val="0"/>
        <w:numPr>
          <w:ilvl w:val="0"/>
          <w:numId w:val="0"/>
        </w:numPr>
        <w:kinsoku/>
        <w:wordWrap/>
        <w:overflowPunct/>
        <w:topLinePunct w:val="0"/>
        <w:autoSpaceDE w:val="0"/>
        <w:autoSpaceDN w:val="0"/>
        <w:bidi w:val="0"/>
        <w:adjustRightInd/>
        <w:snapToGrid/>
        <w:spacing w:before="120" w:after="120" w:line="360" w:lineRule="auto"/>
        <w:jc w:val="left"/>
        <w:textAlignment w:val="auto"/>
        <w:rPr>
          <w:rFonts w:hint="eastAsia" w:ascii="宋体" w:hAnsi="宋体" w:eastAsia="宋体" w:cs="宋体"/>
          <w:color w:val="auto"/>
          <w:sz w:val="24"/>
          <w:szCs w:val="24"/>
        </w:rPr>
      </w:pPr>
    </w:p>
    <w:p w14:paraId="6B04D166">
      <w:pPr>
        <w:keepNext w:val="0"/>
        <w:keepLines w:val="0"/>
        <w:pageBreakBefore w:val="0"/>
        <w:widowControl w:val="0"/>
        <w:numPr>
          <w:ilvl w:val="0"/>
          <w:numId w:val="0"/>
        </w:numPr>
        <w:kinsoku/>
        <w:wordWrap/>
        <w:overflowPunct/>
        <w:topLinePunct w:val="0"/>
        <w:autoSpaceDE w:val="0"/>
        <w:autoSpaceDN w:val="0"/>
        <w:bidi w:val="0"/>
        <w:adjustRightInd/>
        <w:snapToGrid/>
        <w:spacing w:before="120" w:after="120" w:line="360" w:lineRule="auto"/>
        <w:jc w:val="left"/>
        <w:textAlignment w:val="auto"/>
        <w:rPr>
          <w:rFonts w:hint="eastAsia" w:ascii="宋体" w:hAnsi="宋体" w:eastAsia="宋体" w:cs="宋体"/>
          <w:color w:val="auto"/>
          <w:sz w:val="24"/>
          <w:szCs w:val="24"/>
        </w:rPr>
      </w:pPr>
    </w:p>
    <w:p w14:paraId="59C812D4">
      <w:pPr>
        <w:keepNext w:val="0"/>
        <w:keepLines w:val="0"/>
        <w:pageBreakBefore w:val="0"/>
        <w:widowControl w:val="0"/>
        <w:numPr>
          <w:ilvl w:val="0"/>
          <w:numId w:val="0"/>
        </w:numPr>
        <w:kinsoku/>
        <w:wordWrap/>
        <w:overflowPunct/>
        <w:topLinePunct w:val="0"/>
        <w:autoSpaceDE w:val="0"/>
        <w:autoSpaceDN w:val="0"/>
        <w:bidi w:val="0"/>
        <w:adjustRightInd/>
        <w:snapToGrid/>
        <w:spacing w:before="120" w:after="120" w:line="360" w:lineRule="auto"/>
        <w:jc w:val="left"/>
        <w:textAlignment w:val="auto"/>
        <w:rPr>
          <w:rFonts w:hint="eastAsia" w:ascii="宋体" w:hAnsi="宋体" w:eastAsia="宋体" w:cs="宋体"/>
          <w:color w:val="auto"/>
          <w:sz w:val="24"/>
          <w:szCs w:val="24"/>
        </w:rPr>
      </w:pPr>
    </w:p>
    <w:p w14:paraId="16B1CAA7">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06C3BC90">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4AB25038">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72DC14B0">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1D0ADDEE">
      <w:pPr>
        <w:keepNext w:val="0"/>
        <w:keepLines w:val="0"/>
        <w:pageBreakBefore w:val="0"/>
        <w:widowControl w:val="0"/>
        <w:numPr>
          <w:ilvl w:val="0"/>
          <w:numId w:val="0"/>
        </w:numPr>
        <w:kinsoku/>
        <w:wordWrap/>
        <w:overflowPunct/>
        <w:topLinePunct w:val="0"/>
        <w:autoSpaceDE w:val="0"/>
        <w:autoSpaceDN w:val="0"/>
        <w:bidi w:val="0"/>
        <w:snapToGrid/>
        <w:spacing w:before="120" w:after="120" w:line="360" w:lineRule="auto"/>
        <w:jc w:val="left"/>
        <w:rPr>
          <w:rFonts w:hint="eastAsia" w:ascii="宋体" w:hAnsi="宋体" w:eastAsia="宋体" w:cs="宋体"/>
          <w:color w:val="auto"/>
          <w:sz w:val="24"/>
          <w:szCs w:val="24"/>
        </w:rPr>
      </w:pPr>
    </w:p>
    <w:p w14:paraId="2B3E7CB6">
      <w:pPr>
        <w:spacing w:line="360" w:lineRule="auto"/>
        <w:rPr>
          <w:b/>
          <w:sz w:val="28"/>
          <w:szCs w:val="28"/>
          <w:lang w:eastAsia="zh-CN"/>
        </w:rPr>
      </w:pPr>
      <w:r>
        <w:rPr>
          <w:rFonts w:hint="eastAsia" w:hAnsi="Calibri" w:cs="Times New Roman"/>
          <w:b/>
          <w:sz w:val="28"/>
          <w:szCs w:val="28"/>
          <w:lang w:eastAsia="zh-CN"/>
        </w:rPr>
        <w:t>附件</w:t>
      </w:r>
      <w:r>
        <w:rPr>
          <w:rFonts w:hint="eastAsia" w:hAnsi="Calibri" w:cs="Times New Roman"/>
          <w:b/>
          <w:sz w:val="28"/>
          <w:szCs w:val="28"/>
          <w:lang w:val="en-US" w:eastAsia="zh-CN"/>
        </w:rPr>
        <w:t>2</w:t>
      </w:r>
      <w:r>
        <w:rPr>
          <w:rFonts w:hint="eastAsia"/>
          <w:b/>
          <w:sz w:val="28"/>
          <w:szCs w:val="28"/>
          <w:lang w:eastAsia="zh-CN"/>
        </w:rPr>
        <w:t>：</w:t>
      </w:r>
    </w:p>
    <w:p w14:paraId="343E382E">
      <w:pPr>
        <w:pStyle w:val="26"/>
        <w:spacing w:line="360"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安全环保协议书</w:t>
      </w:r>
    </w:p>
    <w:p w14:paraId="04B5AAB2">
      <w:pPr>
        <w:spacing w:line="440" w:lineRule="exact"/>
        <w:rPr>
          <w:rFonts w:asciiTheme="majorEastAsia" w:hAnsiTheme="majorEastAsia" w:eastAsiaTheme="majorEastAsia"/>
          <w:sz w:val="24"/>
          <w:szCs w:val="24"/>
          <w:u w:val="single"/>
          <w:lang w:eastAsia="zh-CN"/>
        </w:rPr>
      </w:pPr>
      <w:r>
        <w:rPr>
          <w:rFonts w:hint="eastAsia" w:asciiTheme="majorEastAsia" w:hAnsiTheme="majorEastAsia" w:eastAsiaTheme="majorEastAsia"/>
          <w:sz w:val="24"/>
          <w:szCs w:val="24"/>
          <w:lang w:eastAsia="zh-CN"/>
        </w:rPr>
        <w:t>发包单位（以下简称甲方）：</w:t>
      </w:r>
      <w:r>
        <w:rPr>
          <w:rFonts w:hint="eastAsia" w:asciiTheme="majorEastAsia" w:hAnsiTheme="majorEastAsia" w:eastAsiaTheme="majorEastAsia"/>
          <w:sz w:val="24"/>
          <w:szCs w:val="24"/>
          <w:u w:val="single"/>
          <w:lang w:eastAsia="zh-CN"/>
        </w:rPr>
        <w:t xml:space="preserve"> 福建</w:t>
      </w:r>
      <w:r>
        <w:rPr>
          <w:rFonts w:asciiTheme="majorEastAsia" w:hAnsiTheme="majorEastAsia" w:eastAsiaTheme="majorEastAsia"/>
          <w:sz w:val="24"/>
          <w:szCs w:val="24"/>
          <w:u w:val="single"/>
          <w:lang w:eastAsia="zh-CN"/>
        </w:rPr>
        <w:t>福海创石油化工有限公司</w:t>
      </w:r>
    </w:p>
    <w:p w14:paraId="578D460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承包单位（以下简称乙方）：</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 xml:space="preserve">    </w:t>
      </w:r>
    </w:p>
    <w:p w14:paraId="395E2EC4">
      <w:pPr>
        <w:spacing w:line="440" w:lineRule="exact"/>
        <w:ind w:left="1"/>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双方就</w:t>
      </w:r>
      <w:r>
        <w:rPr>
          <w:rFonts w:hint="eastAsia"/>
          <w:sz w:val="24"/>
          <w:szCs w:val="24"/>
          <w:lang w:eastAsia="zh-CN"/>
        </w:rPr>
        <w:t>福建福海创石油化工有限公司干气分离及重芳烃轻质化项目工业管道及设备化学清洗服务</w:t>
      </w:r>
      <w:r>
        <w:rPr>
          <w:rFonts w:hint="eastAsia" w:asciiTheme="majorEastAsia" w:hAnsiTheme="majorEastAsia" w:eastAsiaTheme="majorEastAsia"/>
          <w:sz w:val="24"/>
          <w:szCs w:val="24"/>
          <w:lang w:eastAsia="zh-CN"/>
        </w:rPr>
        <w:t>签订了</w:t>
      </w:r>
      <w:r>
        <w:rPr>
          <w:rFonts w:hint="eastAsia" w:asciiTheme="majorEastAsia" w:hAnsiTheme="majorEastAsia" w:eastAsiaTheme="majorEastAsia"/>
          <w:sz w:val="24"/>
          <w:szCs w:val="24"/>
          <w:u w:val="single"/>
          <w:lang w:eastAsia="zh-CN"/>
        </w:rPr>
        <w:t>福建福海创石油化工有限公司干气分离及重芳烃轻质化项目工业管道及设备化学清洗服务</w:t>
      </w:r>
      <w:r>
        <w:rPr>
          <w:rFonts w:hint="eastAsia" w:asciiTheme="majorEastAsia" w:hAnsiTheme="majorEastAsia" w:eastAsiaTheme="major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14:paraId="7C5FFA5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b/>
          <w:sz w:val="24"/>
          <w:szCs w:val="24"/>
          <w:lang w:eastAsia="zh-CN"/>
        </w:rPr>
        <w:t>一、甲方的权利和义务：</w:t>
      </w:r>
    </w:p>
    <w:p w14:paraId="36A9B750">
      <w:pPr>
        <w:pStyle w:val="75"/>
        <w:spacing w:before="0"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1、甲方有权对乙方的资质进行审查，确认其符合且具备进厂条件，方可进厂施工。</w:t>
      </w:r>
    </w:p>
    <w:p w14:paraId="56298D3B">
      <w:pPr>
        <w:pStyle w:val="75"/>
        <w:spacing w:before="0" w:line="440" w:lineRule="exact"/>
        <w:ind w:left="0" w:firstLine="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2、甲方有权要求乙方维护好甲方相关的安全环保设施、设备和器材。</w:t>
      </w:r>
    </w:p>
    <w:p w14:paraId="2C368887">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1C2825D7">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71B4D21C">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5、甲方有权对乙方不服从管理和严重违章者，驱除施工现场。</w:t>
      </w:r>
    </w:p>
    <w:p w14:paraId="00B7F1A1">
      <w:pPr>
        <w:pStyle w:val="75"/>
        <w:spacing w:before="0" w:line="440" w:lineRule="exact"/>
        <w:ind w:left="0" w:firstLine="0"/>
        <w:rPr>
          <w:rFonts w:asciiTheme="majorEastAsia" w:hAnsiTheme="majorEastAsia" w:eastAsiaTheme="majorEastAsia"/>
          <w:b/>
          <w:sz w:val="24"/>
          <w:szCs w:val="24"/>
          <w:lang w:eastAsia="zh-CN"/>
        </w:rPr>
      </w:pPr>
      <w:r>
        <w:rPr>
          <w:rFonts w:hint="eastAsia" w:asciiTheme="majorEastAsia" w:hAnsiTheme="majorEastAsia" w:eastAsiaTheme="majorEastAsia"/>
          <w:sz w:val="24"/>
          <w:szCs w:val="24"/>
          <w:lang w:eastAsia="zh-CN"/>
        </w:rPr>
        <w:t>6、甲方负责对乙方进行厂级和部门级安全培训教育和考核，考核合格方可办理入厂手续。</w:t>
      </w:r>
    </w:p>
    <w:p w14:paraId="2CA3A1A6">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7、甲方负责各装置的工艺处理、退料、置换、吹扫及盲板隔离工作，为本项目提供安全的施工条件。</w:t>
      </w:r>
    </w:p>
    <w:p w14:paraId="64212B82">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8、甲方应乙方要求，向乙方提供与乙方作业相关的甲方有毒有害、易燃易爆物品的数据。</w:t>
      </w:r>
    </w:p>
    <w:p w14:paraId="29A2AECD">
      <w:pPr>
        <w:tabs>
          <w:tab w:val="left" w:pos="360"/>
          <w:tab w:val="left" w:pos="840"/>
        </w:tabs>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9、甲方在开工前必须对乙方进行全面的安全技术及文明施工交底。</w:t>
      </w:r>
    </w:p>
    <w:p w14:paraId="11C74ADD">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二、乙方的权利和义务：</w:t>
      </w:r>
    </w:p>
    <w:p w14:paraId="2C5A2E9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21956768">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2、乙方有权对甲方安全管理工作提出合理化建议或改进措施。</w:t>
      </w:r>
    </w:p>
    <w:p w14:paraId="555FA379">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3、乙方对甲方管理人员违章指挥、强令冒险作业、有权拒绝执行。对打击和报复行为有权向上级和有关部门汇报。 </w:t>
      </w:r>
    </w:p>
    <w:p w14:paraId="38EE7C7F">
      <w:pPr>
        <w:spacing w:line="440" w:lineRule="exact"/>
        <w:ind w:right="-427" w:rightChars="-194"/>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4、乙方对危及生命安全和身体健康的施工作业条件和环境，有权提出整改建议拒绝施工作业。</w:t>
      </w:r>
    </w:p>
    <w:p w14:paraId="7EEEB7A4">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5、乙方施工过程中在发生严重危及作业人员生命安全的不可抗拒紧急情况时，有权采取必要的避险措施，并立即向管理部门报告。</w:t>
      </w:r>
    </w:p>
    <w:p w14:paraId="54A21CB6">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6、乙方有权要求甲方提供相关的安全资料。</w:t>
      </w:r>
    </w:p>
    <w:p w14:paraId="14331952">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sz w:val="24"/>
          <w:szCs w:val="24"/>
          <w:lang w:eastAsia="zh-CN"/>
        </w:rPr>
        <w:t>7、</w:t>
      </w:r>
      <w:r>
        <w:rPr>
          <w:rFonts w:hint="eastAsia" w:cs="Arial" w:asciiTheme="majorEastAsia" w:hAnsiTheme="majorEastAsia" w:eastAsiaTheme="majorEastAsia"/>
          <w:sz w:val="24"/>
          <w:szCs w:val="24"/>
          <w:lang w:eastAsia="zh-CN"/>
        </w:rPr>
        <w:t>乙方必须建立健全HSE管理网络、HSE保证体系和HSE责任制，成立专职HSE管理机构</w:t>
      </w:r>
      <w:r>
        <w:rPr>
          <w:rFonts w:hint="eastAsia" w:asciiTheme="majorEastAsia" w:hAnsiTheme="majorEastAsia" w:eastAsiaTheme="majorEastAsia"/>
          <w:sz w:val="24"/>
          <w:szCs w:val="24"/>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4"/>
          <w:szCs w:val="24"/>
          <w:lang w:eastAsia="zh-CN"/>
        </w:rPr>
        <w:t>并佩戴明显标志；编制和实施各安全环保施工方案和专项应急预案。</w:t>
      </w:r>
    </w:p>
    <w:p w14:paraId="45EB94A0">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1BADC41">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14:paraId="2574FA89">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2D5FEC4">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11、乙方应按《中华人民共和国劳动法》等法律、法规、规定用工，严禁使用未成年工和有职业禁忌的人员进行施工作业。</w:t>
      </w:r>
      <w:r>
        <w:rPr>
          <w:rFonts w:asciiTheme="majorEastAsia" w:hAnsiTheme="majorEastAsia" w:eastAsiaTheme="majorEastAsia"/>
          <w:sz w:val="24"/>
          <w:szCs w:val="24"/>
          <w:lang w:eastAsia="zh-CN"/>
        </w:rPr>
        <w:t xml:space="preserve"> </w:t>
      </w:r>
    </w:p>
    <w:p w14:paraId="405E9C81">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14:paraId="602B9743">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14:paraId="7080AB87">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36C0F10C">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14:paraId="11FC5AA8">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989E0B5">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17、</w:t>
      </w:r>
      <w:r>
        <w:rPr>
          <w:rFonts w:hint="eastAsia" w:asciiTheme="majorEastAsia" w:hAnsiTheme="majorEastAsia" w:eastAsiaTheme="maj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F4D58E4">
      <w:pPr>
        <w:spacing w:line="440" w:lineRule="exact"/>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18、</w:t>
      </w:r>
      <w:r>
        <w:rPr>
          <w:rFonts w:hint="eastAsia" w:asciiTheme="majorEastAsia" w:hAnsiTheme="majorEastAsia" w:eastAsiaTheme="majorEastAsia"/>
          <w:sz w:val="24"/>
          <w:szCs w:val="24"/>
          <w:lang w:eastAsia="zh-CN"/>
        </w:rPr>
        <w:t>乙方</w:t>
      </w:r>
      <w:r>
        <w:rPr>
          <w:rFonts w:hint="eastAsia" w:asciiTheme="majorEastAsia" w:hAnsiTheme="majorEastAsia" w:eastAsiaTheme="maj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4"/>
          <w:szCs w:val="24"/>
          <w:lang w:eastAsia="zh-CN"/>
        </w:rPr>
        <w:t>GB 2894-2008）</w:t>
      </w:r>
      <w:r>
        <w:rPr>
          <w:rFonts w:hint="eastAsia" w:asciiTheme="majorEastAsia" w:hAnsiTheme="majorEastAsia" w:eastAsiaTheme="majorEastAsia"/>
          <w:bCs/>
          <w:sz w:val="24"/>
          <w:szCs w:val="24"/>
          <w:lang w:eastAsia="zh-CN"/>
        </w:rPr>
        <w:t>的规定。</w:t>
      </w:r>
    </w:p>
    <w:p w14:paraId="4AD50842">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19、</w:t>
      </w:r>
      <w:r>
        <w:rPr>
          <w:rFonts w:hint="eastAsia" w:asciiTheme="majorEastAsia" w:hAnsiTheme="majorEastAsia" w:eastAsiaTheme="majorEastAsia"/>
          <w:sz w:val="24"/>
          <w:szCs w:val="24"/>
          <w:lang w:eastAsia="zh-CN"/>
        </w:rPr>
        <w:t>乙方</w:t>
      </w:r>
      <w:r>
        <w:rPr>
          <w:rFonts w:hint="eastAsia" w:asciiTheme="majorEastAsia" w:hAnsiTheme="majorEastAsia" w:eastAsiaTheme="maj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94F9C4B">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20、乙方施工产生的</w:t>
      </w:r>
      <w:r>
        <w:rPr>
          <w:rFonts w:hint="eastAsia" w:asciiTheme="majorEastAsia" w:hAnsiTheme="majorEastAsia" w:eastAsiaTheme="maj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14:paraId="6D480EC4">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4EEADDC">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22、</w:t>
      </w:r>
      <w:r>
        <w:rPr>
          <w:rFonts w:hint="eastAsia" w:asciiTheme="majorEastAsia" w:hAnsiTheme="majorEastAsia" w:eastAsiaTheme="maj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5735213">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三、违约责任及处理</w:t>
      </w:r>
    </w:p>
    <w:p w14:paraId="62042977">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1、乙方不得转包、违法分包及挂靠等违法行为；未经福海创许可，不得将工程分包。</w:t>
      </w:r>
    </w:p>
    <w:p w14:paraId="76D15883">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2、发生安全事故时，甲乙双方均有抢险、救灾的义务，所发生的费用由责任方承担。</w:t>
      </w:r>
    </w:p>
    <w:p w14:paraId="398504E7">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7F067791">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4、甲方违约造成的事故，甲方承担全部责任，并按规定追究有关人员责任及上报。</w:t>
      </w:r>
    </w:p>
    <w:p w14:paraId="72EA73CA">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2F2BD46F">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3AAA32AB">
      <w:pPr>
        <w:spacing w:line="44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25004BDA">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四、 不可抗力：</w:t>
      </w:r>
    </w:p>
    <w:p w14:paraId="6B69B407">
      <w:pPr>
        <w:spacing w:line="440" w:lineRule="exact"/>
        <w:ind w:left="214"/>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由于不可抗力造成合同项目施工作业事故及产生的损失，甲乙双方各自承担相应的损失。</w:t>
      </w:r>
    </w:p>
    <w:p w14:paraId="74FB50C5">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六、本协议书经双方盖章后生效。</w:t>
      </w:r>
    </w:p>
    <w:p w14:paraId="0EA3BD96">
      <w:pPr>
        <w:spacing w:line="440" w:lineRule="exact"/>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七、协议期限：</w:t>
      </w:r>
      <w:r>
        <w:rPr>
          <w:rFonts w:hint="eastAsia" w:asciiTheme="majorEastAsia" w:hAnsiTheme="majorEastAsia" w:eastAsiaTheme="majorEastAsia"/>
          <w:sz w:val="24"/>
          <w:szCs w:val="24"/>
          <w:lang w:eastAsia="zh-CN"/>
        </w:rPr>
        <w:t>本协议期限应与主合同期限一致。如果主合同因故需要变更期限，本合同应与主同变更至相同期限。</w:t>
      </w:r>
    </w:p>
    <w:p w14:paraId="4233F763">
      <w:pPr>
        <w:spacing w:line="440" w:lineRule="exact"/>
        <w:ind w:left="94"/>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（以下无正文）</w:t>
      </w:r>
    </w:p>
    <w:p w14:paraId="094F9E84">
      <w:pPr>
        <w:spacing w:line="360" w:lineRule="auto"/>
        <w:ind w:left="1"/>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甲方 (章)：                                  乙方(章)：</w:t>
      </w:r>
    </w:p>
    <w:p w14:paraId="74509EDB">
      <w:pPr>
        <w:spacing w:line="360" w:lineRule="auto"/>
        <w:rPr>
          <w:rFonts w:asciiTheme="majorEastAsia" w:hAnsiTheme="majorEastAsia" w:eastAsiaTheme="majorEastAsia"/>
          <w:b/>
          <w:bCs/>
          <w:sz w:val="24"/>
          <w:szCs w:val="24"/>
          <w:lang w:eastAsia="zh-CN"/>
        </w:rPr>
      </w:pPr>
      <w:r>
        <w:rPr>
          <w:rFonts w:asciiTheme="majorEastAsia" w:hAnsiTheme="majorEastAsia" w:eastAsiaTheme="majorEastAsia"/>
          <w:b/>
          <w:bCs/>
          <w:sz w:val="24"/>
          <w:szCs w:val="24"/>
          <w:lang w:eastAsia="zh-CN"/>
        </w:rPr>
        <w:t>福建福海创石油化工有限公司</w:t>
      </w:r>
      <w:r>
        <w:rPr>
          <w:rFonts w:hint="eastAsia" w:asciiTheme="majorEastAsia" w:hAnsiTheme="majorEastAsia" w:eastAsiaTheme="majorEastAsia"/>
          <w:b/>
          <w:bCs/>
          <w:sz w:val="24"/>
          <w:szCs w:val="24"/>
          <w:lang w:eastAsia="zh-CN"/>
        </w:rPr>
        <w:t xml:space="preserve"> </w:t>
      </w:r>
      <w:r>
        <w:rPr>
          <w:rFonts w:asciiTheme="majorEastAsia" w:hAnsiTheme="majorEastAsia" w:eastAsiaTheme="majorEastAsia"/>
          <w:b/>
          <w:bCs/>
          <w:sz w:val="24"/>
          <w:szCs w:val="24"/>
          <w:lang w:eastAsia="zh-CN"/>
        </w:rPr>
        <w:t xml:space="preserve">                   </w:t>
      </w:r>
    </w:p>
    <w:p w14:paraId="41F8914F">
      <w:pPr>
        <w:spacing w:line="360" w:lineRule="auto"/>
        <w:rPr>
          <w:rFonts w:asciiTheme="majorEastAsia" w:hAnsiTheme="majorEastAsia" w:eastAsiaTheme="majorEastAsia"/>
          <w:b/>
          <w:bCs/>
          <w:sz w:val="24"/>
          <w:szCs w:val="24"/>
          <w:lang w:eastAsia="zh-CN"/>
        </w:rPr>
      </w:pPr>
    </w:p>
    <w:p w14:paraId="5E5F395E">
      <w:pPr>
        <w:spacing w:line="360" w:lineRule="auto"/>
        <w:ind w:left="1"/>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签定日期：</w:t>
      </w:r>
      <w:r>
        <w:rPr>
          <w:rFonts w:asciiTheme="majorEastAsia" w:hAnsiTheme="majorEastAsia" w:eastAsiaTheme="majorEastAsia"/>
          <w:sz w:val="24"/>
          <w:szCs w:val="24"/>
          <w:lang w:eastAsia="zh-CN"/>
        </w:rPr>
        <w:t>2026</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lang w:eastAsia="zh-CN"/>
        </w:rPr>
        <w:t xml:space="preserve">日                   </w:t>
      </w:r>
      <w:r>
        <w:rPr>
          <w:rFonts w:asciiTheme="majorEastAsia" w:hAnsiTheme="majorEastAsia" w:eastAsiaTheme="majorEastAsia"/>
          <w:sz w:val="24"/>
          <w:szCs w:val="24"/>
          <w:lang w:eastAsia="zh-CN"/>
        </w:rPr>
        <w:t xml:space="preserve">      2026</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月    日</w:t>
      </w:r>
    </w:p>
    <w:p w14:paraId="70199741">
      <w:pPr>
        <w:rPr>
          <w:rFonts w:ascii="Times New Roman" w:hAnsi="Times New Roman" w:cs="Times New Roman"/>
          <w:sz w:val="24"/>
          <w:szCs w:val="24"/>
          <w:lang w:eastAsia="zh-CN"/>
        </w:rPr>
      </w:pPr>
    </w:p>
    <w:p w14:paraId="42CFC663">
      <w:pPr>
        <w:pStyle w:val="59"/>
        <w:rPr>
          <w:b/>
          <w:bCs/>
          <w:sz w:val="24"/>
          <w:szCs w:val="24"/>
        </w:rPr>
      </w:pPr>
      <w:r>
        <w:rPr>
          <w:rFonts w:hint="eastAsia"/>
          <w:b/>
          <w:bCs/>
          <w:sz w:val="24"/>
          <w:szCs w:val="24"/>
        </w:rPr>
        <w:t>附件二、参比文件范本</w:t>
      </w:r>
    </w:p>
    <w:p w14:paraId="37FA9111">
      <w:pPr>
        <w:pStyle w:val="26"/>
        <w:jc w:val="center"/>
        <w:rPr>
          <w:rFonts w:ascii="Times New Roman" w:hAnsi="Times New Roman"/>
          <w:b/>
          <w:sz w:val="52"/>
          <w:szCs w:val="52"/>
          <w:lang w:eastAsia="zh-CN"/>
        </w:rPr>
      </w:pPr>
    </w:p>
    <w:p w14:paraId="0E7A0286">
      <w:pPr>
        <w:pStyle w:val="26"/>
        <w:jc w:val="center"/>
        <w:rPr>
          <w:rFonts w:ascii="Times New Roman" w:hAnsi="Times New Roman"/>
          <w:b/>
          <w:sz w:val="52"/>
          <w:szCs w:val="52"/>
          <w:lang w:eastAsia="zh-CN"/>
        </w:rPr>
      </w:pPr>
    </w:p>
    <w:p w14:paraId="229C0F7F">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6"/>
        <w:spacing w:line="615" w:lineRule="exact"/>
        <w:jc w:val="center"/>
        <w:rPr>
          <w:rFonts w:ascii="方正小标宋简体" w:hAnsi="方正小标宋简体" w:eastAsia="方正小标宋简体" w:cs="方正小标宋简体"/>
          <w:b/>
          <w:sz w:val="44"/>
          <w:szCs w:val="44"/>
          <w:lang w:eastAsia="zh-CN"/>
        </w:rPr>
      </w:pPr>
    </w:p>
    <w:p w14:paraId="4177FE27">
      <w:pPr>
        <w:pStyle w:val="26"/>
        <w:spacing w:line="615" w:lineRule="exact"/>
        <w:jc w:val="center"/>
        <w:rPr>
          <w:rFonts w:ascii="方正小标宋简体" w:hAnsi="方正小标宋简体" w:eastAsia="方正小标宋简体" w:cs="方正小标宋简体"/>
          <w:b/>
          <w:sz w:val="44"/>
          <w:szCs w:val="44"/>
          <w:lang w:eastAsia="zh-CN"/>
        </w:rPr>
      </w:pPr>
    </w:p>
    <w:p w14:paraId="3F7B81AF">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干气分离及重芳烃轻质化项目工业管道及设备化学清洗服务</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9"/>
      </w:pPr>
    </w:p>
    <w:p w14:paraId="54C8DC60">
      <w:pPr>
        <w:pStyle w:val="26"/>
        <w:rPr>
          <w:rFonts w:ascii="Times New Roman" w:hAnsi="Times New Roman"/>
          <w:lang w:eastAsia="zh-CN"/>
        </w:rPr>
      </w:pPr>
    </w:p>
    <w:p w14:paraId="38BB3959">
      <w:pPr>
        <w:pStyle w:val="26"/>
        <w:rPr>
          <w:rFonts w:ascii="Times New Roman" w:hAnsi="Times New Roman"/>
          <w:lang w:eastAsia="zh-CN"/>
        </w:rPr>
      </w:pPr>
    </w:p>
    <w:p w14:paraId="0193E972">
      <w:pPr>
        <w:pStyle w:val="26"/>
        <w:rPr>
          <w:rFonts w:ascii="Times New Roman" w:hAnsi="Times New Roman"/>
          <w:lang w:eastAsia="zh-CN"/>
        </w:rPr>
      </w:pPr>
    </w:p>
    <w:p w14:paraId="226F7349">
      <w:pPr>
        <w:pStyle w:val="26"/>
        <w:rPr>
          <w:rFonts w:ascii="Times New Roman" w:hAnsi="Times New Roman"/>
          <w:lang w:eastAsia="zh-CN"/>
        </w:rPr>
      </w:pPr>
    </w:p>
    <w:p w14:paraId="28A68C31">
      <w:pPr>
        <w:pStyle w:val="26"/>
        <w:rPr>
          <w:rFonts w:ascii="Times New Roman" w:hAnsi="Times New Roman"/>
          <w:lang w:eastAsia="zh-CN"/>
        </w:rPr>
      </w:pPr>
    </w:p>
    <w:p w14:paraId="185CFC85">
      <w:pPr>
        <w:pStyle w:val="26"/>
        <w:rPr>
          <w:rFonts w:ascii="Times New Roman" w:hAnsi="Times New Roman"/>
          <w:b/>
          <w:bCs/>
          <w:sz w:val="32"/>
          <w:szCs w:val="32"/>
          <w:lang w:eastAsia="zh-CN"/>
        </w:rPr>
      </w:pPr>
    </w:p>
    <w:p w14:paraId="2E8EF8E2">
      <w:pPr>
        <w:pStyle w:val="26"/>
        <w:rPr>
          <w:rFonts w:ascii="Times New Roman" w:hAnsi="Times New Roman"/>
          <w:b/>
          <w:bCs/>
          <w:sz w:val="32"/>
          <w:szCs w:val="32"/>
          <w:lang w:eastAsia="zh-CN"/>
        </w:rPr>
      </w:pPr>
    </w:p>
    <w:p w14:paraId="51C1B120">
      <w:pPr>
        <w:pStyle w:val="26"/>
        <w:rPr>
          <w:rFonts w:ascii="Times New Roman" w:hAnsi="Times New Roman"/>
          <w:b/>
          <w:bCs/>
          <w:sz w:val="32"/>
          <w:szCs w:val="32"/>
          <w:lang w:eastAsia="zh-CN"/>
        </w:rPr>
      </w:pPr>
    </w:p>
    <w:p w14:paraId="7607F365">
      <w:pPr>
        <w:pStyle w:val="26"/>
        <w:rPr>
          <w:rFonts w:ascii="Times New Roman" w:hAnsi="Times New Roman"/>
          <w:b/>
          <w:bCs/>
          <w:sz w:val="32"/>
          <w:szCs w:val="32"/>
          <w:lang w:eastAsia="zh-CN"/>
        </w:rPr>
      </w:pPr>
    </w:p>
    <w:p w14:paraId="1D78D2A0">
      <w:pPr>
        <w:pStyle w:val="26"/>
        <w:rPr>
          <w:rFonts w:ascii="Times New Roman" w:hAnsi="Times New Roman"/>
          <w:b/>
          <w:bCs/>
          <w:sz w:val="32"/>
          <w:szCs w:val="32"/>
          <w:lang w:eastAsia="zh-CN"/>
        </w:rPr>
      </w:pPr>
    </w:p>
    <w:p w14:paraId="70BAA1B5">
      <w:pPr>
        <w:pStyle w:val="26"/>
        <w:jc w:val="center"/>
        <w:rPr>
          <w:rFonts w:hint="eastAsia"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3618E5DB">
      <w:pPr>
        <w:pStyle w:val="26"/>
        <w:jc w:val="center"/>
        <w:rPr>
          <w:rFonts w:hint="eastAsia" w:ascii="Times New Roman" w:hAnsi="Times New Roman"/>
          <w:b/>
          <w:bCs/>
          <w:sz w:val="32"/>
          <w:szCs w:val="32"/>
          <w:lang w:eastAsia="zh-CN"/>
        </w:rPr>
      </w:pPr>
    </w:p>
    <w:p w14:paraId="42DA82A8">
      <w:pPr>
        <w:pStyle w:val="26"/>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9"/>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7"/>
        <w:spacing w:beforeLines="0" w:afterLines="0" w:line="240" w:lineRule="auto"/>
        <w:ind w:firstLine="618" w:firstLineChars="221"/>
        <w:rPr>
          <w:rFonts w:cs="Times New Roman"/>
          <w:bCs w:val="0"/>
          <w:color w:val="C00000"/>
          <w:lang w:eastAsia="zh-CN"/>
        </w:rPr>
      </w:pPr>
    </w:p>
    <w:p w14:paraId="696004D1">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9"/>
      </w:pPr>
    </w:p>
    <w:p w14:paraId="0A45359F">
      <w:pPr>
        <w:pStyle w:val="59"/>
      </w:pPr>
    </w:p>
    <w:p w14:paraId="1C26CB50">
      <w:pPr>
        <w:pStyle w:val="59"/>
      </w:pPr>
    </w:p>
    <w:p w14:paraId="17527888">
      <w:pPr>
        <w:pStyle w:val="59"/>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0"/>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业绩清单及证明文件</w:t>
            </w:r>
          </w:p>
        </w:tc>
        <w:tc>
          <w:tcPr>
            <w:tcW w:w="1843" w:type="dxa"/>
          </w:tcPr>
          <w:p w14:paraId="2A48CFE6">
            <w:pPr>
              <w:spacing w:line="500" w:lineRule="exact"/>
              <w:rPr>
                <w:rFonts w:hint="eastAsia"/>
                <w:sz w:val="24"/>
                <w:lang w:val="en-US" w:eastAsia="zh-CN"/>
              </w:rPr>
            </w:pPr>
          </w:p>
        </w:tc>
      </w:tr>
      <w:tr w14:paraId="62B7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FF38D4D">
            <w:pPr>
              <w:spacing w:line="500" w:lineRule="exact"/>
              <w:jc w:val="center"/>
              <w:rPr>
                <w:rFonts w:hint="default"/>
                <w:sz w:val="24"/>
                <w:lang w:val="en-US" w:eastAsia="zh-CN"/>
              </w:rPr>
            </w:pPr>
            <w:r>
              <w:rPr>
                <w:rFonts w:hint="eastAsia"/>
                <w:sz w:val="24"/>
                <w:lang w:val="en-US" w:eastAsia="zh-CN"/>
              </w:rPr>
              <w:t>9</w:t>
            </w:r>
          </w:p>
        </w:tc>
        <w:tc>
          <w:tcPr>
            <w:tcW w:w="6023" w:type="dxa"/>
          </w:tcPr>
          <w:p w14:paraId="436FE574">
            <w:pPr>
              <w:spacing w:line="500" w:lineRule="exact"/>
              <w:rPr>
                <w:rFonts w:hint="eastAsia"/>
                <w:sz w:val="24"/>
                <w:lang w:val="en-US" w:eastAsia="zh-CN"/>
              </w:rPr>
            </w:pPr>
            <w:r>
              <w:rPr>
                <w:rFonts w:hint="eastAsia"/>
                <w:sz w:val="24"/>
                <w:lang w:val="en-US" w:eastAsia="zh-CN"/>
              </w:rPr>
              <w:t>施工方案</w:t>
            </w:r>
          </w:p>
        </w:tc>
        <w:tc>
          <w:tcPr>
            <w:tcW w:w="1843" w:type="dxa"/>
          </w:tcPr>
          <w:p w14:paraId="6875CE43">
            <w:pPr>
              <w:spacing w:line="500" w:lineRule="exact"/>
              <w:rPr>
                <w:rFonts w:hint="default"/>
                <w:sz w:val="24"/>
                <w:lang w:val="en-US" w:eastAsia="zh-CN"/>
              </w:rPr>
            </w:pPr>
          </w:p>
        </w:tc>
      </w:tr>
      <w:tr w14:paraId="332F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8F134B">
            <w:pPr>
              <w:spacing w:line="500" w:lineRule="exact"/>
              <w:jc w:val="center"/>
              <w:rPr>
                <w:rFonts w:hint="default"/>
                <w:sz w:val="24"/>
                <w:lang w:val="en-US" w:eastAsia="zh-CN"/>
              </w:rPr>
            </w:pPr>
            <w:r>
              <w:rPr>
                <w:rFonts w:hint="eastAsia"/>
                <w:sz w:val="24"/>
                <w:lang w:val="en-US" w:eastAsia="zh-CN"/>
              </w:rPr>
              <w:t>10</w:t>
            </w:r>
          </w:p>
        </w:tc>
        <w:tc>
          <w:tcPr>
            <w:tcW w:w="6023" w:type="dxa"/>
          </w:tcPr>
          <w:p w14:paraId="53274D94">
            <w:pPr>
              <w:spacing w:line="500" w:lineRule="exact"/>
              <w:rPr>
                <w:rFonts w:hint="default"/>
                <w:sz w:val="24"/>
                <w:lang w:val="en-US" w:eastAsia="zh-CN"/>
              </w:rPr>
            </w:pPr>
            <w:r>
              <w:rPr>
                <w:rFonts w:hint="eastAsia"/>
                <w:sz w:val="24"/>
                <w:lang w:val="en-US" w:eastAsia="zh-CN"/>
              </w:rPr>
              <w:t>技术评分细项其他关注内容</w:t>
            </w:r>
          </w:p>
        </w:tc>
        <w:tc>
          <w:tcPr>
            <w:tcW w:w="1843" w:type="dxa"/>
          </w:tcPr>
          <w:p w14:paraId="62A3A065">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11</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default"/>
                <w:sz w:val="24"/>
                <w:lang w:val="en-US" w:eastAsia="zh-CN"/>
              </w:rPr>
            </w:pPr>
            <w:r>
              <w:rPr>
                <w:rFonts w:hint="eastAsia"/>
                <w:sz w:val="24"/>
                <w:lang w:val="en-US" w:eastAsia="zh-CN"/>
              </w:rPr>
              <w:t>商务参选文件</w:t>
            </w:r>
          </w:p>
        </w:tc>
      </w:tr>
    </w:tbl>
    <w:p w14:paraId="3C540CE6">
      <w:pPr>
        <w:spacing w:line="500" w:lineRule="exact"/>
        <w:jc w:val="center"/>
        <w:rPr>
          <w:b/>
          <w:bCs/>
          <w:sz w:val="24"/>
        </w:rPr>
      </w:pPr>
    </w:p>
    <w:p w14:paraId="12E3C699">
      <w:pPr>
        <w:pStyle w:val="59"/>
        <w:rPr>
          <w:b/>
          <w:bCs/>
          <w:sz w:val="36"/>
          <w:szCs w:val="36"/>
        </w:rPr>
      </w:pPr>
    </w:p>
    <w:p w14:paraId="47469ECB">
      <w:pPr>
        <w:pStyle w:val="59"/>
        <w:rPr>
          <w:b/>
          <w:bCs/>
          <w:sz w:val="36"/>
          <w:szCs w:val="36"/>
        </w:rPr>
      </w:pPr>
    </w:p>
    <w:p w14:paraId="7B46A8F6">
      <w:pPr>
        <w:pStyle w:val="59"/>
        <w:rPr>
          <w:b/>
          <w:bCs/>
          <w:sz w:val="36"/>
          <w:szCs w:val="36"/>
        </w:rPr>
      </w:pPr>
    </w:p>
    <w:p w14:paraId="60CCCFB0">
      <w:pPr>
        <w:spacing w:line="500" w:lineRule="exact"/>
        <w:rPr>
          <w:b/>
          <w:bCs/>
          <w:sz w:val="36"/>
          <w:szCs w:val="36"/>
          <w:lang w:eastAsia="zh-CN"/>
        </w:rPr>
      </w:pPr>
    </w:p>
    <w:p w14:paraId="2C48898D">
      <w:pPr>
        <w:pStyle w:val="59"/>
        <w:rPr>
          <w:b/>
          <w:bCs/>
          <w:sz w:val="36"/>
          <w:szCs w:val="36"/>
        </w:rPr>
      </w:pPr>
    </w:p>
    <w:p w14:paraId="75D1AE4D">
      <w:pPr>
        <w:pStyle w:val="59"/>
        <w:rPr>
          <w:b/>
          <w:bCs/>
          <w:sz w:val="36"/>
          <w:szCs w:val="36"/>
        </w:rPr>
      </w:pPr>
    </w:p>
    <w:p w14:paraId="0818B623">
      <w:pPr>
        <w:pStyle w:val="59"/>
      </w:pPr>
    </w:p>
    <w:p w14:paraId="3710216D">
      <w:pPr>
        <w:pStyle w:val="59"/>
      </w:pPr>
    </w:p>
    <w:p w14:paraId="00DF1BBB">
      <w:pPr>
        <w:pStyle w:val="59"/>
      </w:pPr>
    </w:p>
    <w:p w14:paraId="7F084D50">
      <w:pPr>
        <w:pStyle w:val="59"/>
      </w:pPr>
    </w:p>
    <w:p w14:paraId="3E9413F2">
      <w:pPr>
        <w:pStyle w:val="59"/>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9"/>
      </w:pPr>
    </w:p>
    <w:p w14:paraId="2D9283E2">
      <w:pPr>
        <w:pStyle w:val="59"/>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9"/>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9"/>
        <w:jc w:val="center"/>
      </w:pPr>
    </w:p>
    <w:p w14:paraId="39BC4322">
      <w:pPr>
        <w:pStyle w:val="59"/>
        <w:jc w:val="center"/>
      </w:pPr>
    </w:p>
    <w:p w14:paraId="066842E7">
      <w:pPr>
        <w:pStyle w:val="59"/>
        <w:jc w:val="center"/>
      </w:pPr>
    </w:p>
    <w:p w14:paraId="68DB3955">
      <w:pPr>
        <w:pStyle w:val="59"/>
        <w:jc w:val="center"/>
      </w:pPr>
    </w:p>
    <w:p w14:paraId="3D337288">
      <w:pPr>
        <w:pStyle w:val="59"/>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9"/>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干气分离及重芳烃轻质化项目工业管道及设备化学清洗服务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9"/>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9"/>
      </w:pPr>
    </w:p>
    <w:p w14:paraId="4A7A6043">
      <w:pPr>
        <w:pStyle w:val="59"/>
      </w:pPr>
    </w:p>
    <w:p w14:paraId="53CBD1E4">
      <w:pPr>
        <w:pStyle w:val="59"/>
      </w:pPr>
    </w:p>
    <w:p w14:paraId="4D3FF2B7">
      <w:pPr>
        <w:pStyle w:val="59"/>
      </w:pPr>
    </w:p>
    <w:p w14:paraId="294F3CFC">
      <w:pPr>
        <w:pStyle w:val="59"/>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9"/>
        <w:jc w:val="center"/>
        <w:rPr>
          <w:color w:val="4E6127"/>
        </w:rPr>
      </w:pPr>
    </w:p>
    <w:p w14:paraId="2F57EEC8">
      <w:pPr>
        <w:pStyle w:val="59"/>
        <w:jc w:val="center"/>
      </w:pPr>
    </w:p>
    <w:p w14:paraId="5B702F78">
      <w:pPr>
        <w:pStyle w:val="59"/>
        <w:jc w:val="center"/>
      </w:pPr>
    </w:p>
    <w:p w14:paraId="79D9ED00">
      <w:pPr>
        <w:pStyle w:val="59"/>
        <w:jc w:val="center"/>
      </w:pPr>
    </w:p>
    <w:p w14:paraId="3866141C">
      <w:pPr>
        <w:pStyle w:val="59"/>
        <w:jc w:val="center"/>
      </w:pPr>
    </w:p>
    <w:p w14:paraId="3F1E3A6F">
      <w:pPr>
        <w:pStyle w:val="59"/>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9"/>
        <w:rPr>
          <w:b/>
          <w:bCs/>
          <w:color w:val="4E6127"/>
          <w:sz w:val="36"/>
          <w:szCs w:val="36"/>
        </w:rPr>
      </w:pPr>
    </w:p>
    <w:p w14:paraId="79261888">
      <w:pPr>
        <w:pStyle w:val="59"/>
        <w:rPr>
          <w:b/>
          <w:bCs/>
          <w:color w:val="4E6127"/>
          <w:sz w:val="36"/>
          <w:szCs w:val="36"/>
        </w:rPr>
      </w:pPr>
    </w:p>
    <w:p w14:paraId="4588254C">
      <w:pPr>
        <w:pStyle w:val="59"/>
        <w:rPr>
          <w:b/>
          <w:bCs/>
          <w:color w:val="4E6127"/>
          <w:sz w:val="36"/>
          <w:szCs w:val="36"/>
        </w:rPr>
      </w:pPr>
    </w:p>
    <w:p w14:paraId="130BB33F">
      <w:pPr>
        <w:pStyle w:val="59"/>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9"/>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9"/>
        <w:jc w:val="center"/>
        <w:rPr>
          <w:color w:val="FF0000"/>
        </w:rPr>
      </w:pPr>
    </w:p>
    <w:p w14:paraId="71BD34CF">
      <w:pPr>
        <w:pStyle w:val="59"/>
        <w:jc w:val="center"/>
      </w:pPr>
    </w:p>
    <w:p w14:paraId="029FD09B">
      <w:pPr>
        <w:pStyle w:val="59"/>
        <w:jc w:val="center"/>
      </w:pPr>
    </w:p>
    <w:p w14:paraId="481270E6">
      <w:pPr>
        <w:pStyle w:val="59"/>
        <w:jc w:val="center"/>
      </w:pPr>
    </w:p>
    <w:p w14:paraId="0681EFF1">
      <w:pPr>
        <w:pStyle w:val="59"/>
        <w:jc w:val="center"/>
      </w:pPr>
    </w:p>
    <w:p w14:paraId="41DEA680">
      <w:pPr>
        <w:pStyle w:val="59"/>
        <w:jc w:val="center"/>
      </w:pPr>
    </w:p>
    <w:p w14:paraId="15A64DF3">
      <w:pPr>
        <w:pStyle w:val="59"/>
        <w:jc w:val="center"/>
      </w:pPr>
    </w:p>
    <w:p w14:paraId="280927C3">
      <w:pPr>
        <w:pStyle w:val="59"/>
        <w:jc w:val="center"/>
      </w:pPr>
    </w:p>
    <w:p w14:paraId="02473E6F">
      <w:pPr>
        <w:pStyle w:val="59"/>
        <w:jc w:val="center"/>
      </w:pPr>
    </w:p>
    <w:p w14:paraId="0232CC98">
      <w:pPr>
        <w:pStyle w:val="59"/>
        <w:jc w:val="center"/>
      </w:pPr>
    </w:p>
    <w:p w14:paraId="71DF9366">
      <w:pPr>
        <w:pStyle w:val="59"/>
        <w:jc w:val="center"/>
      </w:pPr>
    </w:p>
    <w:p w14:paraId="29269907">
      <w:pPr>
        <w:pStyle w:val="59"/>
        <w:jc w:val="center"/>
      </w:pPr>
    </w:p>
    <w:p w14:paraId="48C95FCF">
      <w:pPr>
        <w:pStyle w:val="59"/>
        <w:jc w:val="center"/>
      </w:pPr>
    </w:p>
    <w:p w14:paraId="706D5FDD">
      <w:pPr>
        <w:pStyle w:val="59"/>
        <w:jc w:val="center"/>
      </w:pPr>
    </w:p>
    <w:p w14:paraId="2F038F0E">
      <w:pPr>
        <w:pStyle w:val="59"/>
        <w:jc w:val="center"/>
      </w:pPr>
    </w:p>
    <w:p w14:paraId="3693E9F9">
      <w:pPr>
        <w:pStyle w:val="59"/>
        <w:jc w:val="center"/>
      </w:pPr>
    </w:p>
    <w:p w14:paraId="6383BFC9">
      <w:pPr>
        <w:pStyle w:val="59"/>
        <w:jc w:val="center"/>
      </w:pPr>
    </w:p>
    <w:p w14:paraId="5061630D">
      <w:pPr>
        <w:pStyle w:val="59"/>
        <w:jc w:val="center"/>
      </w:pPr>
    </w:p>
    <w:p w14:paraId="4321CC2E">
      <w:pPr>
        <w:pStyle w:val="59"/>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9"/>
        <w:jc w:val="center"/>
      </w:pPr>
    </w:p>
    <w:p w14:paraId="0B9A4F61">
      <w:pPr>
        <w:pStyle w:val="59"/>
        <w:jc w:val="center"/>
      </w:pPr>
    </w:p>
    <w:p w14:paraId="39E3EE84">
      <w:pPr>
        <w:pStyle w:val="59"/>
        <w:jc w:val="center"/>
      </w:pPr>
    </w:p>
    <w:p w14:paraId="78421338">
      <w:pPr>
        <w:pStyle w:val="59"/>
        <w:jc w:val="center"/>
      </w:pPr>
    </w:p>
    <w:p w14:paraId="19E8404F">
      <w:pPr>
        <w:pStyle w:val="59"/>
        <w:jc w:val="center"/>
      </w:pPr>
    </w:p>
    <w:p w14:paraId="7DF7DF00">
      <w:pPr>
        <w:pStyle w:val="59"/>
        <w:jc w:val="center"/>
      </w:pPr>
    </w:p>
    <w:p w14:paraId="29330E12">
      <w:pPr>
        <w:pStyle w:val="59"/>
        <w:jc w:val="center"/>
      </w:pPr>
    </w:p>
    <w:p w14:paraId="26AF80D0">
      <w:pPr>
        <w:pStyle w:val="59"/>
        <w:jc w:val="center"/>
      </w:pPr>
    </w:p>
    <w:p w14:paraId="35ED6ED9">
      <w:pPr>
        <w:pStyle w:val="59"/>
        <w:jc w:val="center"/>
      </w:pPr>
    </w:p>
    <w:p w14:paraId="70C25904">
      <w:pPr>
        <w:pStyle w:val="59"/>
        <w:jc w:val="center"/>
      </w:pPr>
    </w:p>
    <w:p w14:paraId="6ADDD4A7">
      <w:pPr>
        <w:pStyle w:val="59"/>
        <w:jc w:val="center"/>
      </w:pPr>
    </w:p>
    <w:p w14:paraId="5B340194">
      <w:pPr>
        <w:pStyle w:val="59"/>
        <w:jc w:val="center"/>
      </w:pPr>
    </w:p>
    <w:p w14:paraId="752D6ECB">
      <w:pPr>
        <w:pStyle w:val="59"/>
        <w:jc w:val="center"/>
      </w:pPr>
    </w:p>
    <w:p w14:paraId="6B004E64">
      <w:pPr>
        <w:pStyle w:val="59"/>
        <w:jc w:val="center"/>
      </w:pPr>
    </w:p>
    <w:p w14:paraId="05CC3ADB">
      <w:pPr>
        <w:pStyle w:val="59"/>
        <w:jc w:val="center"/>
      </w:pPr>
    </w:p>
    <w:p w14:paraId="06FAA606">
      <w:pPr>
        <w:pStyle w:val="59"/>
        <w:jc w:val="center"/>
      </w:pPr>
    </w:p>
    <w:p w14:paraId="58BFEC13">
      <w:pPr>
        <w:pStyle w:val="59"/>
        <w:jc w:val="center"/>
      </w:pPr>
    </w:p>
    <w:p w14:paraId="55D08212">
      <w:pPr>
        <w:pStyle w:val="59"/>
        <w:jc w:val="center"/>
      </w:pPr>
    </w:p>
    <w:p w14:paraId="3B1ADF54">
      <w:pPr>
        <w:pStyle w:val="59"/>
        <w:jc w:val="center"/>
      </w:pPr>
    </w:p>
    <w:p w14:paraId="10F67DD9">
      <w:pPr>
        <w:pStyle w:val="59"/>
      </w:pPr>
    </w:p>
    <w:p w14:paraId="199023FB">
      <w:pPr>
        <w:pStyle w:val="59"/>
      </w:pPr>
    </w:p>
    <w:p w14:paraId="5B46A9A0">
      <w:pPr>
        <w:pStyle w:val="59"/>
        <w:jc w:val="center"/>
        <w:rPr>
          <w:rFonts w:ascii="Times New Roman" w:hAnsi="Times New Roman"/>
          <w:b/>
          <w:bCs/>
          <w:kern w:val="2"/>
          <w:sz w:val="36"/>
          <w:szCs w:val="36"/>
        </w:rPr>
      </w:pPr>
    </w:p>
    <w:p w14:paraId="3FD0CE97">
      <w:pPr>
        <w:pStyle w:val="59"/>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9"/>
        <w:tabs>
          <w:tab w:val="left" w:pos="4944"/>
        </w:tabs>
        <w:jc w:val="left"/>
        <w:rPr>
          <w:color w:val="4E6127"/>
        </w:rPr>
      </w:pPr>
    </w:p>
    <w:p w14:paraId="2D267141">
      <w:pPr>
        <w:pStyle w:val="59"/>
        <w:tabs>
          <w:tab w:val="left" w:pos="4944"/>
        </w:tabs>
        <w:jc w:val="left"/>
        <w:rPr>
          <w:color w:val="0000FF"/>
        </w:rPr>
      </w:pPr>
    </w:p>
    <w:p w14:paraId="36D3A427">
      <w:pPr>
        <w:pStyle w:val="59"/>
        <w:tabs>
          <w:tab w:val="left" w:pos="4944"/>
        </w:tabs>
        <w:jc w:val="left"/>
        <w:rPr>
          <w:color w:val="0000FF"/>
        </w:rPr>
      </w:pPr>
    </w:p>
    <w:p w14:paraId="704D4854">
      <w:pPr>
        <w:pStyle w:val="59"/>
        <w:tabs>
          <w:tab w:val="left" w:pos="4944"/>
        </w:tabs>
        <w:jc w:val="left"/>
        <w:rPr>
          <w:color w:val="0000FF"/>
        </w:rPr>
      </w:pPr>
    </w:p>
    <w:p w14:paraId="5FDCA863">
      <w:pPr>
        <w:pStyle w:val="59"/>
        <w:tabs>
          <w:tab w:val="left" w:pos="4944"/>
        </w:tabs>
        <w:jc w:val="left"/>
        <w:rPr>
          <w:color w:val="0000FF"/>
        </w:rPr>
      </w:pPr>
    </w:p>
    <w:p w14:paraId="2F34D122">
      <w:pPr>
        <w:pStyle w:val="59"/>
        <w:tabs>
          <w:tab w:val="left" w:pos="4944"/>
        </w:tabs>
        <w:jc w:val="left"/>
        <w:rPr>
          <w:color w:val="0000FF"/>
        </w:rPr>
      </w:pPr>
    </w:p>
    <w:p w14:paraId="1847BFCC">
      <w:pPr>
        <w:pStyle w:val="59"/>
        <w:tabs>
          <w:tab w:val="left" w:pos="4944"/>
        </w:tabs>
        <w:jc w:val="left"/>
        <w:rPr>
          <w:color w:val="0000FF"/>
        </w:rPr>
      </w:pPr>
    </w:p>
    <w:p w14:paraId="1395C2AA">
      <w:pPr>
        <w:pStyle w:val="59"/>
        <w:tabs>
          <w:tab w:val="left" w:pos="4944"/>
        </w:tabs>
        <w:jc w:val="left"/>
        <w:rPr>
          <w:color w:val="0000FF"/>
        </w:rPr>
      </w:pPr>
    </w:p>
    <w:p w14:paraId="7359A728">
      <w:pPr>
        <w:pStyle w:val="59"/>
        <w:tabs>
          <w:tab w:val="left" w:pos="4944"/>
        </w:tabs>
        <w:jc w:val="left"/>
        <w:rPr>
          <w:color w:val="0000FF"/>
        </w:rPr>
      </w:pPr>
    </w:p>
    <w:p w14:paraId="516E9A99">
      <w:pPr>
        <w:pStyle w:val="59"/>
        <w:tabs>
          <w:tab w:val="left" w:pos="4944"/>
        </w:tabs>
        <w:jc w:val="left"/>
        <w:rPr>
          <w:color w:val="0000FF"/>
        </w:rPr>
      </w:pPr>
    </w:p>
    <w:p w14:paraId="1B2DBD2C">
      <w:pPr>
        <w:pStyle w:val="59"/>
        <w:tabs>
          <w:tab w:val="left" w:pos="4944"/>
        </w:tabs>
        <w:jc w:val="left"/>
        <w:rPr>
          <w:color w:val="0000FF"/>
        </w:rPr>
      </w:pPr>
    </w:p>
    <w:p w14:paraId="44BEEF71">
      <w:pPr>
        <w:pStyle w:val="59"/>
        <w:tabs>
          <w:tab w:val="left" w:pos="4944"/>
        </w:tabs>
        <w:jc w:val="left"/>
        <w:rPr>
          <w:color w:val="0000FF"/>
        </w:rPr>
      </w:pPr>
    </w:p>
    <w:p w14:paraId="6BF48D34">
      <w:pPr>
        <w:pStyle w:val="59"/>
        <w:tabs>
          <w:tab w:val="left" w:pos="4944"/>
        </w:tabs>
        <w:jc w:val="left"/>
        <w:rPr>
          <w:color w:val="0000FF"/>
        </w:rPr>
      </w:pPr>
    </w:p>
    <w:p w14:paraId="1FD9E4DA">
      <w:pPr>
        <w:pStyle w:val="59"/>
        <w:tabs>
          <w:tab w:val="left" w:pos="4944"/>
        </w:tabs>
        <w:jc w:val="left"/>
        <w:rPr>
          <w:color w:val="0000FF"/>
        </w:rPr>
      </w:pPr>
    </w:p>
    <w:p w14:paraId="052D3479">
      <w:pPr>
        <w:pStyle w:val="59"/>
        <w:tabs>
          <w:tab w:val="left" w:pos="4944"/>
        </w:tabs>
        <w:jc w:val="left"/>
        <w:rPr>
          <w:color w:val="0000FF"/>
        </w:rPr>
      </w:pPr>
    </w:p>
    <w:p w14:paraId="3242BF0E">
      <w:pPr>
        <w:pStyle w:val="59"/>
        <w:tabs>
          <w:tab w:val="left" w:pos="4944"/>
        </w:tabs>
        <w:jc w:val="left"/>
        <w:rPr>
          <w:color w:val="0000FF"/>
        </w:rPr>
      </w:pPr>
    </w:p>
    <w:p w14:paraId="45A83F4C">
      <w:pPr>
        <w:pStyle w:val="59"/>
        <w:tabs>
          <w:tab w:val="left" w:pos="4944"/>
        </w:tabs>
        <w:jc w:val="left"/>
        <w:rPr>
          <w:color w:val="0000FF"/>
        </w:rPr>
      </w:pPr>
    </w:p>
    <w:p w14:paraId="62911DD3">
      <w:pPr>
        <w:pStyle w:val="59"/>
        <w:tabs>
          <w:tab w:val="left" w:pos="4944"/>
        </w:tabs>
        <w:jc w:val="left"/>
        <w:rPr>
          <w:color w:val="0000FF"/>
        </w:rPr>
      </w:pPr>
    </w:p>
    <w:p w14:paraId="743211F9">
      <w:pPr>
        <w:pStyle w:val="59"/>
        <w:tabs>
          <w:tab w:val="left" w:pos="4944"/>
        </w:tabs>
        <w:jc w:val="left"/>
        <w:rPr>
          <w:color w:val="0000FF"/>
        </w:rPr>
      </w:pPr>
    </w:p>
    <w:p w14:paraId="3FE873FE">
      <w:pPr>
        <w:pStyle w:val="59"/>
        <w:tabs>
          <w:tab w:val="left" w:pos="4944"/>
        </w:tabs>
        <w:jc w:val="left"/>
        <w:rPr>
          <w:color w:val="0000FF"/>
        </w:rPr>
      </w:pPr>
    </w:p>
    <w:p w14:paraId="53B6BEE6">
      <w:pPr>
        <w:pStyle w:val="59"/>
        <w:jc w:val="center"/>
        <w:rPr>
          <w:rFonts w:ascii="Times New Roman" w:hAnsi="Times New Roman"/>
          <w:b/>
          <w:bCs/>
          <w:kern w:val="2"/>
          <w:sz w:val="36"/>
          <w:szCs w:val="36"/>
        </w:rPr>
      </w:pPr>
    </w:p>
    <w:p w14:paraId="24C65F6A">
      <w:pPr>
        <w:pStyle w:val="59"/>
        <w:jc w:val="center"/>
        <w:rPr>
          <w:rFonts w:ascii="Times New Roman" w:hAnsi="Times New Roman"/>
          <w:b/>
          <w:bCs/>
          <w:kern w:val="2"/>
          <w:sz w:val="36"/>
          <w:szCs w:val="36"/>
        </w:rPr>
      </w:pPr>
    </w:p>
    <w:p w14:paraId="452DE68B">
      <w:pPr>
        <w:pStyle w:val="59"/>
        <w:jc w:val="center"/>
        <w:rPr>
          <w:rFonts w:hint="eastAsia" w:ascii="Times New Roman" w:hAnsi="Times New Roman" w:cs="Times New Roman"/>
          <w:b/>
          <w:bCs/>
          <w:kern w:val="2"/>
          <w:sz w:val="36"/>
          <w:szCs w:val="36"/>
          <w:lang w:val="en-US" w:eastAsia="zh-CN"/>
        </w:rPr>
      </w:pPr>
      <w:r>
        <w:rPr>
          <w:rFonts w:hint="eastAsia" w:ascii="Times New Roman" w:hAnsi="Times New Roman" w:cs="Times New Roman"/>
          <w:b/>
          <w:bCs/>
          <w:kern w:val="2"/>
          <w:sz w:val="36"/>
          <w:szCs w:val="36"/>
          <w:lang w:val="en-US" w:eastAsia="zh-CN"/>
        </w:rPr>
        <w:t>业绩清单及证明文件</w:t>
      </w:r>
    </w:p>
    <w:p w14:paraId="16232A71">
      <w:pPr>
        <w:pStyle w:val="59"/>
        <w:jc w:val="center"/>
        <w:rPr>
          <w:rFonts w:hint="eastAsia" w:ascii="Times New Roman" w:hAnsi="Times New Roman" w:cs="Times New Roman"/>
          <w:b/>
          <w:bCs/>
          <w:kern w:val="2"/>
          <w:sz w:val="36"/>
          <w:szCs w:val="36"/>
          <w:lang w:val="en-US" w:eastAsia="zh-CN"/>
        </w:rPr>
      </w:pPr>
    </w:p>
    <w:p w14:paraId="7156115F">
      <w:pPr>
        <w:pStyle w:val="59"/>
        <w:jc w:val="center"/>
        <w:rPr>
          <w:rFonts w:hint="eastAsia" w:ascii="Times New Roman" w:hAnsi="Times New Roman" w:cs="Times New Roman"/>
          <w:b/>
          <w:bCs/>
          <w:kern w:val="2"/>
          <w:sz w:val="36"/>
          <w:szCs w:val="36"/>
          <w:lang w:val="en-US" w:eastAsia="zh-CN"/>
        </w:rPr>
      </w:pPr>
    </w:p>
    <w:p w14:paraId="35B0C21E">
      <w:pPr>
        <w:pStyle w:val="59"/>
        <w:jc w:val="center"/>
        <w:rPr>
          <w:rFonts w:hint="eastAsia" w:ascii="Times New Roman" w:hAnsi="Times New Roman" w:cs="Times New Roman"/>
          <w:b/>
          <w:bCs/>
          <w:kern w:val="2"/>
          <w:sz w:val="36"/>
          <w:szCs w:val="36"/>
          <w:lang w:val="en-US" w:eastAsia="zh-CN"/>
        </w:rPr>
      </w:pPr>
    </w:p>
    <w:p w14:paraId="0238F06B">
      <w:pPr>
        <w:pStyle w:val="59"/>
        <w:jc w:val="center"/>
        <w:rPr>
          <w:rFonts w:hint="eastAsia" w:ascii="Times New Roman" w:hAnsi="Times New Roman" w:cs="Times New Roman"/>
          <w:b/>
          <w:bCs/>
          <w:kern w:val="2"/>
          <w:sz w:val="36"/>
          <w:szCs w:val="36"/>
          <w:lang w:val="en-US" w:eastAsia="zh-CN"/>
        </w:rPr>
      </w:pPr>
    </w:p>
    <w:p w14:paraId="71BCA46C">
      <w:pPr>
        <w:pStyle w:val="59"/>
        <w:jc w:val="center"/>
        <w:rPr>
          <w:rFonts w:hint="eastAsia" w:ascii="Times New Roman" w:hAnsi="Times New Roman" w:cs="Times New Roman"/>
          <w:b/>
          <w:bCs/>
          <w:kern w:val="2"/>
          <w:sz w:val="36"/>
          <w:szCs w:val="36"/>
          <w:lang w:val="en-US" w:eastAsia="zh-CN"/>
        </w:rPr>
      </w:pPr>
    </w:p>
    <w:p w14:paraId="7EBA12F4">
      <w:pPr>
        <w:pStyle w:val="59"/>
        <w:jc w:val="center"/>
        <w:rPr>
          <w:rFonts w:hint="eastAsia" w:ascii="Times New Roman" w:hAnsi="Times New Roman" w:cs="Times New Roman"/>
          <w:b/>
          <w:bCs/>
          <w:kern w:val="2"/>
          <w:sz w:val="36"/>
          <w:szCs w:val="36"/>
          <w:lang w:val="en-US" w:eastAsia="zh-CN"/>
        </w:rPr>
      </w:pPr>
    </w:p>
    <w:p w14:paraId="701011FC">
      <w:pPr>
        <w:pStyle w:val="59"/>
        <w:jc w:val="center"/>
        <w:rPr>
          <w:rFonts w:hint="eastAsia" w:ascii="Times New Roman" w:hAnsi="Times New Roman" w:cs="Times New Roman"/>
          <w:b/>
          <w:bCs/>
          <w:kern w:val="2"/>
          <w:sz w:val="36"/>
          <w:szCs w:val="36"/>
          <w:lang w:val="en-US" w:eastAsia="zh-CN"/>
        </w:rPr>
      </w:pPr>
    </w:p>
    <w:p w14:paraId="55F86B5D">
      <w:pPr>
        <w:pStyle w:val="59"/>
        <w:jc w:val="center"/>
        <w:rPr>
          <w:rFonts w:hint="eastAsia" w:ascii="Times New Roman" w:hAnsi="Times New Roman" w:cs="Times New Roman"/>
          <w:b/>
          <w:bCs/>
          <w:kern w:val="2"/>
          <w:sz w:val="36"/>
          <w:szCs w:val="36"/>
          <w:lang w:val="en-US" w:eastAsia="zh-CN"/>
        </w:rPr>
      </w:pPr>
    </w:p>
    <w:p w14:paraId="7DC3A531">
      <w:pPr>
        <w:pStyle w:val="59"/>
        <w:jc w:val="center"/>
        <w:rPr>
          <w:rFonts w:hint="eastAsia" w:ascii="Times New Roman" w:hAnsi="Times New Roman" w:cs="Times New Roman"/>
          <w:b/>
          <w:bCs/>
          <w:kern w:val="2"/>
          <w:sz w:val="36"/>
          <w:szCs w:val="36"/>
          <w:lang w:val="en-US" w:eastAsia="zh-CN"/>
        </w:rPr>
      </w:pPr>
    </w:p>
    <w:p w14:paraId="7D7BA520">
      <w:pPr>
        <w:pStyle w:val="59"/>
        <w:jc w:val="center"/>
        <w:rPr>
          <w:rFonts w:hint="eastAsia" w:ascii="Times New Roman" w:hAnsi="Times New Roman" w:cs="Times New Roman"/>
          <w:b/>
          <w:bCs/>
          <w:kern w:val="2"/>
          <w:sz w:val="36"/>
          <w:szCs w:val="36"/>
          <w:lang w:val="en-US" w:eastAsia="zh-CN"/>
        </w:rPr>
      </w:pPr>
    </w:p>
    <w:p w14:paraId="3CEDFB12">
      <w:pPr>
        <w:pStyle w:val="59"/>
        <w:jc w:val="center"/>
        <w:rPr>
          <w:rFonts w:hint="eastAsia" w:ascii="Times New Roman" w:hAnsi="Times New Roman" w:cs="Times New Roman"/>
          <w:b/>
          <w:bCs/>
          <w:kern w:val="2"/>
          <w:sz w:val="36"/>
          <w:szCs w:val="36"/>
          <w:lang w:val="en-US" w:eastAsia="zh-CN"/>
        </w:rPr>
      </w:pPr>
    </w:p>
    <w:p w14:paraId="0416EB57">
      <w:pPr>
        <w:pStyle w:val="59"/>
        <w:jc w:val="center"/>
        <w:rPr>
          <w:rFonts w:hint="eastAsia" w:ascii="Times New Roman" w:hAnsi="Times New Roman" w:cs="Times New Roman"/>
          <w:b/>
          <w:bCs/>
          <w:kern w:val="2"/>
          <w:sz w:val="36"/>
          <w:szCs w:val="36"/>
          <w:lang w:val="en-US" w:eastAsia="zh-CN"/>
        </w:rPr>
      </w:pPr>
    </w:p>
    <w:p w14:paraId="0F5D5978">
      <w:pPr>
        <w:pStyle w:val="59"/>
        <w:jc w:val="center"/>
        <w:rPr>
          <w:rFonts w:hint="eastAsia" w:ascii="Times New Roman" w:hAnsi="Times New Roman" w:cs="Times New Roman"/>
          <w:b/>
          <w:bCs/>
          <w:kern w:val="2"/>
          <w:sz w:val="36"/>
          <w:szCs w:val="36"/>
          <w:lang w:val="en-US" w:eastAsia="zh-CN"/>
        </w:rPr>
      </w:pPr>
    </w:p>
    <w:p w14:paraId="28DECFE4">
      <w:pPr>
        <w:pStyle w:val="59"/>
        <w:jc w:val="center"/>
        <w:rPr>
          <w:rFonts w:hint="eastAsia" w:ascii="Times New Roman" w:hAnsi="Times New Roman" w:cs="Times New Roman"/>
          <w:b/>
          <w:bCs/>
          <w:kern w:val="2"/>
          <w:sz w:val="36"/>
          <w:szCs w:val="36"/>
          <w:lang w:val="en-US" w:eastAsia="zh-CN"/>
        </w:rPr>
      </w:pPr>
    </w:p>
    <w:p w14:paraId="6B6317B6">
      <w:pPr>
        <w:pStyle w:val="59"/>
        <w:jc w:val="center"/>
        <w:rPr>
          <w:rFonts w:hint="eastAsia" w:ascii="Times New Roman" w:hAnsi="Times New Roman" w:cs="Times New Roman"/>
          <w:b/>
          <w:bCs/>
          <w:kern w:val="2"/>
          <w:sz w:val="36"/>
          <w:szCs w:val="36"/>
          <w:lang w:val="en-US" w:eastAsia="zh-CN"/>
        </w:rPr>
      </w:pPr>
    </w:p>
    <w:p w14:paraId="48E63F47">
      <w:pPr>
        <w:pStyle w:val="59"/>
        <w:jc w:val="center"/>
        <w:rPr>
          <w:rFonts w:hint="eastAsia" w:ascii="Times New Roman" w:hAnsi="Times New Roman" w:cs="Times New Roman"/>
          <w:b/>
          <w:bCs/>
          <w:kern w:val="2"/>
          <w:sz w:val="36"/>
          <w:szCs w:val="36"/>
          <w:lang w:val="en-US" w:eastAsia="zh-CN"/>
        </w:rPr>
      </w:pPr>
    </w:p>
    <w:p w14:paraId="73525F61">
      <w:pPr>
        <w:pStyle w:val="59"/>
        <w:jc w:val="center"/>
        <w:rPr>
          <w:rFonts w:hint="eastAsia" w:ascii="Times New Roman" w:hAnsi="Times New Roman" w:cs="Times New Roman"/>
          <w:b/>
          <w:bCs/>
          <w:kern w:val="2"/>
          <w:sz w:val="36"/>
          <w:szCs w:val="36"/>
          <w:lang w:val="en-US" w:eastAsia="zh-CN"/>
        </w:rPr>
      </w:pPr>
    </w:p>
    <w:p w14:paraId="32489EEF">
      <w:pPr>
        <w:pStyle w:val="59"/>
        <w:jc w:val="center"/>
        <w:rPr>
          <w:rFonts w:hint="eastAsia" w:ascii="Times New Roman" w:hAnsi="Times New Roman" w:cs="Times New Roman"/>
          <w:b/>
          <w:bCs/>
          <w:kern w:val="2"/>
          <w:sz w:val="36"/>
          <w:szCs w:val="36"/>
          <w:lang w:val="en-US" w:eastAsia="zh-CN"/>
        </w:rPr>
      </w:pPr>
    </w:p>
    <w:p w14:paraId="33CE6247">
      <w:pPr>
        <w:pStyle w:val="59"/>
        <w:jc w:val="center"/>
        <w:rPr>
          <w:rFonts w:hint="eastAsia" w:ascii="Times New Roman" w:hAnsi="Times New Roman" w:cs="Times New Roman"/>
          <w:b/>
          <w:bCs/>
          <w:kern w:val="2"/>
          <w:sz w:val="36"/>
          <w:szCs w:val="36"/>
          <w:lang w:val="en-US" w:eastAsia="zh-CN"/>
        </w:rPr>
      </w:pPr>
    </w:p>
    <w:p w14:paraId="2592B7A2">
      <w:pPr>
        <w:pStyle w:val="59"/>
        <w:jc w:val="center"/>
        <w:rPr>
          <w:rFonts w:hint="eastAsia" w:ascii="Times New Roman" w:hAnsi="Times New Roman" w:cs="Times New Roman"/>
          <w:b/>
          <w:bCs/>
          <w:kern w:val="2"/>
          <w:sz w:val="36"/>
          <w:szCs w:val="36"/>
          <w:lang w:val="en-US" w:eastAsia="zh-CN"/>
        </w:rPr>
      </w:pPr>
    </w:p>
    <w:p w14:paraId="488BF2A6">
      <w:pPr>
        <w:pStyle w:val="59"/>
        <w:jc w:val="center"/>
        <w:rPr>
          <w:rFonts w:hint="eastAsia" w:ascii="Times New Roman" w:hAnsi="Times New Roman" w:cs="Times New Roman"/>
          <w:b/>
          <w:bCs/>
          <w:kern w:val="2"/>
          <w:sz w:val="36"/>
          <w:szCs w:val="36"/>
          <w:lang w:val="en-US" w:eastAsia="zh-CN"/>
        </w:rPr>
      </w:pPr>
    </w:p>
    <w:p w14:paraId="56CC65B5">
      <w:pPr>
        <w:pStyle w:val="59"/>
        <w:jc w:val="center"/>
        <w:rPr>
          <w:rFonts w:hint="eastAsia" w:ascii="Times New Roman" w:hAnsi="Times New Roman" w:cs="Times New Roman"/>
          <w:b/>
          <w:bCs/>
          <w:kern w:val="2"/>
          <w:sz w:val="36"/>
          <w:szCs w:val="36"/>
          <w:lang w:val="en-US" w:eastAsia="zh-CN"/>
        </w:rPr>
      </w:pPr>
    </w:p>
    <w:p w14:paraId="3729CAE3">
      <w:pPr>
        <w:pStyle w:val="59"/>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施工方案</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40E63704">
      <w:pPr>
        <w:pStyle w:val="59"/>
        <w:jc w:val="center"/>
        <w:rPr>
          <w:rFonts w:ascii="Times New Roman" w:hAnsi="Times New Roman"/>
          <w:b/>
          <w:bCs/>
          <w:kern w:val="2"/>
          <w:sz w:val="36"/>
          <w:szCs w:val="36"/>
        </w:rPr>
      </w:pPr>
    </w:p>
    <w:p w14:paraId="32EFBA93">
      <w:pPr>
        <w:spacing w:line="360" w:lineRule="auto"/>
        <w:jc w:val="center"/>
        <w:rPr>
          <w:rFonts w:hint="eastAsia"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技术评分细项其他关注内容</w:t>
      </w:r>
    </w:p>
    <w:p w14:paraId="70C14AC4">
      <w:pPr>
        <w:spacing w:line="360" w:lineRule="auto"/>
        <w:jc w:val="center"/>
        <w:rPr>
          <w:rFonts w:hint="eastAsia" w:ascii="Times New Roman" w:hAnsi="Times New Roman" w:cs="Times New Roman"/>
          <w:b/>
          <w:sz w:val="36"/>
          <w:szCs w:val="36"/>
          <w:lang w:val="en-US" w:eastAsia="zh-CN"/>
        </w:rPr>
      </w:pPr>
    </w:p>
    <w:p w14:paraId="49668F99">
      <w:pPr>
        <w:spacing w:line="360" w:lineRule="auto"/>
        <w:jc w:val="center"/>
        <w:rPr>
          <w:rFonts w:hint="eastAsia" w:ascii="Times New Roman" w:hAnsi="Times New Roman" w:cs="Times New Roman"/>
          <w:b/>
          <w:sz w:val="36"/>
          <w:szCs w:val="36"/>
          <w:lang w:val="en-US" w:eastAsia="zh-CN"/>
        </w:rPr>
      </w:pPr>
    </w:p>
    <w:p w14:paraId="5AE6FBE9">
      <w:pPr>
        <w:spacing w:line="360" w:lineRule="auto"/>
        <w:jc w:val="center"/>
        <w:rPr>
          <w:rFonts w:hint="eastAsia" w:ascii="Times New Roman" w:hAnsi="Times New Roman" w:cs="Times New Roman"/>
          <w:b/>
          <w:sz w:val="36"/>
          <w:szCs w:val="36"/>
          <w:lang w:val="en-US" w:eastAsia="zh-CN"/>
        </w:rPr>
      </w:pPr>
    </w:p>
    <w:p w14:paraId="349FD8CB">
      <w:pPr>
        <w:spacing w:line="360" w:lineRule="auto"/>
        <w:jc w:val="center"/>
        <w:rPr>
          <w:rFonts w:hint="eastAsia" w:ascii="Times New Roman" w:hAnsi="Times New Roman" w:cs="Times New Roman"/>
          <w:b/>
          <w:sz w:val="36"/>
          <w:szCs w:val="36"/>
          <w:lang w:val="en-US" w:eastAsia="zh-CN"/>
        </w:rPr>
      </w:pPr>
    </w:p>
    <w:p w14:paraId="400E310A">
      <w:pPr>
        <w:spacing w:line="360" w:lineRule="auto"/>
        <w:jc w:val="center"/>
        <w:rPr>
          <w:rFonts w:hint="eastAsia" w:ascii="Times New Roman" w:hAnsi="Times New Roman" w:cs="Times New Roman"/>
          <w:b/>
          <w:sz w:val="36"/>
          <w:szCs w:val="36"/>
          <w:lang w:val="en-US" w:eastAsia="zh-CN"/>
        </w:rPr>
      </w:pPr>
    </w:p>
    <w:p w14:paraId="19BEC324">
      <w:pPr>
        <w:spacing w:line="360" w:lineRule="auto"/>
        <w:jc w:val="center"/>
        <w:rPr>
          <w:rFonts w:hint="eastAsia" w:ascii="Times New Roman" w:hAnsi="Times New Roman" w:cs="Times New Roman"/>
          <w:b/>
          <w:sz w:val="36"/>
          <w:szCs w:val="36"/>
          <w:lang w:val="en-US" w:eastAsia="zh-CN"/>
        </w:rPr>
      </w:pPr>
    </w:p>
    <w:p w14:paraId="714A1718">
      <w:pPr>
        <w:spacing w:line="360" w:lineRule="auto"/>
        <w:jc w:val="center"/>
        <w:rPr>
          <w:rFonts w:hint="eastAsia" w:ascii="Times New Roman" w:hAnsi="Times New Roman" w:cs="Times New Roman"/>
          <w:b/>
          <w:sz w:val="36"/>
          <w:szCs w:val="36"/>
          <w:lang w:val="en-US" w:eastAsia="zh-CN"/>
        </w:rPr>
      </w:pPr>
    </w:p>
    <w:p w14:paraId="314404F1">
      <w:pPr>
        <w:spacing w:line="360" w:lineRule="auto"/>
        <w:jc w:val="center"/>
        <w:rPr>
          <w:rFonts w:hint="eastAsia" w:ascii="Times New Roman" w:hAnsi="Times New Roman" w:cs="Times New Roman"/>
          <w:b/>
          <w:sz w:val="36"/>
          <w:szCs w:val="36"/>
          <w:lang w:val="en-US" w:eastAsia="zh-CN"/>
        </w:rPr>
      </w:pPr>
    </w:p>
    <w:p w14:paraId="6FD3AF73">
      <w:pPr>
        <w:spacing w:line="360" w:lineRule="auto"/>
        <w:jc w:val="center"/>
        <w:rPr>
          <w:rFonts w:hint="eastAsia" w:ascii="Times New Roman" w:hAnsi="Times New Roman" w:cs="Times New Roman"/>
          <w:b/>
          <w:sz w:val="36"/>
          <w:szCs w:val="36"/>
          <w:lang w:val="en-US" w:eastAsia="zh-CN"/>
        </w:rPr>
      </w:pPr>
    </w:p>
    <w:p w14:paraId="4435BCF1">
      <w:pPr>
        <w:spacing w:line="360" w:lineRule="auto"/>
        <w:jc w:val="center"/>
        <w:rPr>
          <w:rFonts w:hint="eastAsia" w:ascii="Times New Roman" w:hAnsi="Times New Roman" w:cs="Times New Roman"/>
          <w:b/>
          <w:sz w:val="36"/>
          <w:szCs w:val="36"/>
          <w:lang w:val="en-US" w:eastAsia="zh-CN"/>
        </w:rPr>
      </w:pPr>
    </w:p>
    <w:p w14:paraId="42E66F11">
      <w:pPr>
        <w:spacing w:line="360" w:lineRule="auto"/>
        <w:jc w:val="center"/>
        <w:rPr>
          <w:rFonts w:hint="eastAsia" w:ascii="Times New Roman" w:hAnsi="Times New Roman" w:cs="Times New Roman"/>
          <w:b/>
          <w:sz w:val="36"/>
          <w:szCs w:val="36"/>
          <w:lang w:val="en-US" w:eastAsia="zh-CN"/>
        </w:rPr>
      </w:pPr>
    </w:p>
    <w:p w14:paraId="0580D558">
      <w:pPr>
        <w:spacing w:line="360" w:lineRule="auto"/>
        <w:jc w:val="center"/>
        <w:rPr>
          <w:rFonts w:hint="eastAsia" w:ascii="Times New Roman" w:hAnsi="Times New Roman" w:cs="Times New Roman"/>
          <w:b/>
          <w:sz w:val="36"/>
          <w:szCs w:val="36"/>
          <w:lang w:val="en-US" w:eastAsia="zh-CN"/>
        </w:rPr>
      </w:pPr>
    </w:p>
    <w:p w14:paraId="2201C80D">
      <w:pPr>
        <w:spacing w:line="360" w:lineRule="auto"/>
        <w:jc w:val="center"/>
        <w:rPr>
          <w:rFonts w:hint="eastAsia" w:ascii="Times New Roman" w:hAnsi="Times New Roman" w:cs="Times New Roman"/>
          <w:b/>
          <w:sz w:val="36"/>
          <w:szCs w:val="36"/>
          <w:lang w:val="en-US" w:eastAsia="zh-CN"/>
        </w:rPr>
      </w:pPr>
    </w:p>
    <w:p w14:paraId="3BD565D6">
      <w:pPr>
        <w:spacing w:line="360" w:lineRule="auto"/>
        <w:jc w:val="center"/>
        <w:rPr>
          <w:rFonts w:hint="eastAsia" w:ascii="Times New Roman" w:hAnsi="Times New Roman" w:cs="Times New Roman"/>
          <w:b/>
          <w:sz w:val="36"/>
          <w:szCs w:val="36"/>
          <w:lang w:val="en-US" w:eastAsia="zh-CN"/>
        </w:rPr>
      </w:pPr>
    </w:p>
    <w:p w14:paraId="151FC2DC">
      <w:pPr>
        <w:spacing w:line="360" w:lineRule="auto"/>
        <w:jc w:val="center"/>
        <w:rPr>
          <w:rFonts w:hint="eastAsia" w:ascii="Times New Roman" w:hAnsi="Times New Roman" w:cs="Times New Roman"/>
          <w:b/>
          <w:sz w:val="36"/>
          <w:szCs w:val="36"/>
          <w:lang w:val="en-US" w:eastAsia="zh-CN"/>
        </w:rPr>
      </w:pPr>
    </w:p>
    <w:p w14:paraId="06644825">
      <w:pPr>
        <w:spacing w:line="360" w:lineRule="auto"/>
        <w:jc w:val="center"/>
        <w:rPr>
          <w:rFonts w:hint="eastAsia" w:ascii="Times New Roman" w:hAnsi="Times New Roman" w:cs="Times New Roman"/>
          <w:b/>
          <w:sz w:val="36"/>
          <w:szCs w:val="36"/>
          <w:lang w:val="en-US" w:eastAsia="zh-CN"/>
        </w:rPr>
      </w:pPr>
    </w:p>
    <w:p w14:paraId="44AEA30E">
      <w:pPr>
        <w:spacing w:line="360" w:lineRule="auto"/>
        <w:jc w:val="center"/>
        <w:rPr>
          <w:rFonts w:hint="eastAsia" w:ascii="Times New Roman" w:hAnsi="Times New Roman" w:cs="Times New Roman"/>
          <w:b/>
          <w:sz w:val="36"/>
          <w:szCs w:val="36"/>
          <w:lang w:val="en-US" w:eastAsia="zh-CN"/>
        </w:rPr>
      </w:pPr>
    </w:p>
    <w:p w14:paraId="6CC9C3B2">
      <w:pPr>
        <w:spacing w:line="360" w:lineRule="auto"/>
        <w:jc w:val="center"/>
        <w:rPr>
          <w:rFonts w:hint="eastAsia" w:ascii="Times New Roman" w:hAnsi="Times New Roman" w:cs="Times New Roman"/>
          <w:b/>
          <w:sz w:val="36"/>
          <w:szCs w:val="36"/>
          <w:lang w:val="en-US" w:eastAsia="zh-CN"/>
        </w:rPr>
      </w:pPr>
    </w:p>
    <w:p w14:paraId="579EE12A">
      <w:pPr>
        <w:spacing w:line="360" w:lineRule="auto"/>
        <w:jc w:val="center"/>
        <w:rPr>
          <w:rFonts w:hint="eastAsia" w:ascii="Times New Roman" w:hAnsi="Times New Roman" w:cs="Times New Roman"/>
          <w:b/>
          <w:sz w:val="36"/>
          <w:szCs w:val="36"/>
          <w:lang w:val="en-US" w:eastAsia="zh-CN"/>
        </w:rPr>
      </w:pPr>
    </w:p>
    <w:p w14:paraId="6D810725">
      <w:pPr>
        <w:spacing w:line="360" w:lineRule="auto"/>
        <w:jc w:val="center"/>
        <w:rPr>
          <w:rFonts w:hint="eastAsia" w:ascii="Times New Roman" w:hAnsi="Times New Roman" w:cs="Times New Roman"/>
          <w:b/>
          <w:sz w:val="36"/>
          <w:szCs w:val="36"/>
          <w:lang w:val="en-US" w:eastAsia="zh-CN"/>
        </w:rPr>
      </w:pPr>
    </w:p>
    <w:p w14:paraId="1B7F9B7B">
      <w:pPr>
        <w:spacing w:line="360" w:lineRule="auto"/>
        <w:jc w:val="center"/>
        <w:rPr>
          <w:rFonts w:hint="eastAsia" w:ascii="Times New Roman" w:hAnsi="Times New Roman" w:cs="Times New Roman"/>
          <w:b/>
          <w:sz w:val="36"/>
          <w:szCs w:val="36"/>
          <w:lang w:val="en-US" w:eastAsia="zh-CN"/>
        </w:rPr>
      </w:pPr>
    </w:p>
    <w:p w14:paraId="6C88500A">
      <w:pPr>
        <w:spacing w:line="360" w:lineRule="auto"/>
        <w:jc w:val="center"/>
        <w:rPr>
          <w:rFonts w:hint="eastAsia" w:ascii="Times New Roman" w:hAnsi="Times New Roman" w:cs="Times New Roman"/>
          <w:b/>
          <w:sz w:val="36"/>
          <w:szCs w:val="36"/>
          <w:lang w:val="en-US"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研究福建福海创石油化工有限公司干气分离及重芳烃轻质化项目工业管道及设备化学清洗服务采购文件的全部内容后，我方愿以以下报价，严格按照采购文件的要求，交付本项目并维修其中的任何缺陷。</w:t>
      </w:r>
    </w:p>
    <w:tbl>
      <w:tblPr>
        <w:tblStyle w:val="50"/>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4939"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本项目</w:t>
            </w:r>
            <w:r>
              <w:rPr>
                <w:rFonts w:hint="eastAsia" w:ascii="Times New Roman" w:hAnsi="Times New Roman"/>
                <w:sz w:val="28"/>
                <w:szCs w:val="28"/>
                <w:lang w:val="en-US" w:eastAsia="zh-CN"/>
              </w:rPr>
              <w:t>清单内</w:t>
            </w:r>
            <w:r>
              <w:rPr>
                <w:rFonts w:hint="eastAsia" w:ascii="Times New Roman" w:hAnsi="Times New Roman"/>
                <w:sz w:val="28"/>
                <w:szCs w:val="28"/>
                <w:lang w:eastAsia="zh-CN"/>
              </w:rPr>
              <w:t>含税</w:t>
            </w:r>
            <w:r>
              <w:rPr>
                <w:rFonts w:hint="eastAsia" w:ascii="Times New Roman" w:hAnsi="Times New Roman"/>
                <w:sz w:val="28"/>
                <w:szCs w:val="28"/>
                <w:lang w:val="en-US" w:eastAsia="zh-CN"/>
              </w:rPr>
              <w:t>暂定</w:t>
            </w:r>
            <w:r>
              <w:rPr>
                <w:rFonts w:hint="eastAsia" w:ascii="Times New Roman" w:hAnsi="Times New Roman"/>
                <w:sz w:val="28"/>
                <w:szCs w:val="28"/>
                <w:lang w:eastAsia="zh-CN"/>
              </w:rPr>
              <w:t xml:space="preserve">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6</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hint="eastAsia" w:ascii="Times New Roman" w:hAnsi="Times New Roman"/>
                <w:sz w:val="28"/>
                <w:szCs w:val="28"/>
                <w:lang w:val="en-US" w:eastAsia="zh-CN"/>
              </w:rPr>
              <w:t>下表</w:t>
            </w:r>
            <w:r>
              <w:rPr>
                <w:rFonts w:ascii="Times New Roman" w:hAnsi="Times New Roman"/>
                <w:sz w:val="28"/>
                <w:szCs w:val="28"/>
                <w:lang w:eastAsia="zh-CN"/>
              </w:rPr>
              <w:t>：</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95"/>
              <w:gridCol w:w="2295"/>
              <w:gridCol w:w="1546"/>
              <w:gridCol w:w="2696"/>
              <w:gridCol w:w="1063"/>
              <w:gridCol w:w="878"/>
            </w:tblGrid>
            <w:tr w14:paraId="6BF2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37" w:hRule="atLeast"/>
              </w:trPr>
              <w:tc>
                <w:tcPr>
                  <w:tcW w:w="795" w:type="dxa"/>
                </w:tcPr>
                <w:p w14:paraId="0DDD899F">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序号</w:t>
                  </w:r>
                </w:p>
              </w:tc>
              <w:tc>
                <w:tcPr>
                  <w:tcW w:w="2295" w:type="dxa"/>
                </w:tcPr>
                <w:p w14:paraId="14371E1E">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项目名称</w:t>
                  </w:r>
                </w:p>
              </w:tc>
              <w:tc>
                <w:tcPr>
                  <w:tcW w:w="1546" w:type="dxa"/>
                </w:tcPr>
                <w:p w14:paraId="6264CA19">
                  <w:pPr>
                    <w:spacing w:line="360" w:lineRule="auto"/>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清洗量</w:t>
                  </w:r>
                </w:p>
                <w:p w14:paraId="3982A3C8">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w:t>
                  </w:r>
                  <w:r>
                    <w:rPr>
                      <w:rFonts w:hint="default" w:ascii="Times New Roman" w:hAnsi="Times New Roman"/>
                      <w:sz w:val="24"/>
                      <w:szCs w:val="24"/>
                      <w:lang w:val="en-US" w:eastAsia="zh-CN"/>
                    </w:rPr>
                    <w:t>m3</w:t>
                  </w:r>
                  <w:r>
                    <w:rPr>
                      <w:rFonts w:hint="eastAsia" w:ascii="Times New Roman" w:hAnsi="Times New Roman"/>
                      <w:sz w:val="24"/>
                      <w:szCs w:val="24"/>
                      <w:lang w:val="en-US" w:eastAsia="zh-CN"/>
                    </w:rPr>
                    <w:t>）</w:t>
                  </w:r>
                </w:p>
              </w:tc>
              <w:tc>
                <w:tcPr>
                  <w:tcW w:w="2696" w:type="dxa"/>
                </w:tcPr>
                <w:p w14:paraId="768685A3">
                  <w:pPr>
                    <w:spacing w:line="360" w:lineRule="auto"/>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固定综合单价</w:t>
                  </w:r>
                </w:p>
                <w:p w14:paraId="3E01306D">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（元/m3）</w:t>
                  </w:r>
                </w:p>
              </w:tc>
              <w:tc>
                <w:tcPr>
                  <w:tcW w:w="1063" w:type="dxa"/>
                </w:tcPr>
                <w:p w14:paraId="2AF566F4">
                  <w:pPr>
                    <w:spacing w:line="360" w:lineRule="auto"/>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小计</w:t>
                  </w:r>
                </w:p>
                <w:p w14:paraId="211F2FCD">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（元）</w:t>
                  </w:r>
                </w:p>
              </w:tc>
              <w:tc>
                <w:tcPr>
                  <w:tcW w:w="878" w:type="dxa"/>
                </w:tcPr>
                <w:p w14:paraId="099A40A4">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备注</w:t>
                  </w:r>
                </w:p>
              </w:tc>
            </w:tr>
            <w:tr w14:paraId="3390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95" w:type="dxa"/>
                </w:tcPr>
                <w:p w14:paraId="31927A3E">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1</w:t>
                  </w:r>
                </w:p>
              </w:tc>
              <w:tc>
                <w:tcPr>
                  <w:tcW w:w="2295" w:type="dxa"/>
                </w:tcPr>
                <w:p w14:paraId="4E626D70">
                  <w:pPr>
                    <w:spacing w:line="360" w:lineRule="auto"/>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干气分离项目</w:t>
                  </w:r>
                </w:p>
              </w:tc>
              <w:tc>
                <w:tcPr>
                  <w:tcW w:w="1546" w:type="dxa"/>
                </w:tcPr>
                <w:p w14:paraId="08C0EB23">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56.59</w:t>
                  </w:r>
                </w:p>
              </w:tc>
              <w:tc>
                <w:tcPr>
                  <w:tcW w:w="2696" w:type="dxa"/>
                </w:tcPr>
                <w:p w14:paraId="0BBBDBF4">
                  <w:pPr>
                    <w:spacing w:line="360" w:lineRule="auto"/>
                    <w:ind w:firstLine="840" w:firstLineChars="350"/>
                    <w:jc w:val="center"/>
                    <w:rPr>
                      <w:rFonts w:hint="eastAsia" w:ascii="Times New Roman" w:hAnsi="Times New Roman"/>
                      <w:sz w:val="24"/>
                      <w:szCs w:val="24"/>
                      <w:lang w:val="en-US" w:eastAsia="zh-CN"/>
                    </w:rPr>
                  </w:pPr>
                </w:p>
              </w:tc>
              <w:tc>
                <w:tcPr>
                  <w:tcW w:w="1063" w:type="dxa"/>
                </w:tcPr>
                <w:p w14:paraId="7B52CA68">
                  <w:pPr>
                    <w:spacing w:line="360" w:lineRule="auto"/>
                    <w:ind w:firstLine="840" w:firstLineChars="350"/>
                    <w:jc w:val="center"/>
                    <w:rPr>
                      <w:rFonts w:hint="eastAsia" w:ascii="Times New Roman" w:hAnsi="Times New Roman"/>
                      <w:sz w:val="24"/>
                      <w:szCs w:val="24"/>
                      <w:lang w:val="en-US" w:eastAsia="zh-CN"/>
                    </w:rPr>
                  </w:pPr>
                </w:p>
              </w:tc>
              <w:tc>
                <w:tcPr>
                  <w:tcW w:w="878" w:type="dxa"/>
                </w:tcPr>
                <w:p w14:paraId="2A7B66CB">
                  <w:pPr>
                    <w:spacing w:line="360" w:lineRule="auto"/>
                    <w:ind w:firstLine="840" w:firstLineChars="350"/>
                    <w:jc w:val="center"/>
                    <w:rPr>
                      <w:rFonts w:hint="eastAsia" w:ascii="Times New Roman" w:hAnsi="Times New Roman"/>
                      <w:sz w:val="24"/>
                      <w:szCs w:val="24"/>
                      <w:lang w:val="en-US" w:eastAsia="zh-CN"/>
                    </w:rPr>
                  </w:pPr>
                </w:p>
              </w:tc>
            </w:tr>
            <w:tr w14:paraId="0D6C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95" w:type="dxa"/>
                </w:tcPr>
                <w:p w14:paraId="734E40B7">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2</w:t>
                  </w:r>
                </w:p>
              </w:tc>
              <w:tc>
                <w:tcPr>
                  <w:tcW w:w="2295" w:type="dxa"/>
                </w:tcPr>
                <w:p w14:paraId="202DD4BB">
                  <w:pPr>
                    <w:spacing w:line="360" w:lineRule="auto"/>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重芳烃轻质化项目</w:t>
                  </w:r>
                </w:p>
              </w:tc>
              <w:tc>
                <w:tcPr>
                  <w:tcW w:w="1546" w:type="dxa"/>
                </w:tcPr>
                <w:p w14:paraId="3EA0AA3A">
                  <w:pPr>
                    <w:spacing w:line="360" w:lineRule="auto"/>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170.41</w:t>
                  </w:r>
                </w:p>
              </w:tc>
              <w:tc>
                <w:tcPr>
                  <w:tcW w:w="2696" w:type="dxa"/>
                </w:tcPr>
                <w:p w14:paraId="055388B2">
                  <w:pPr>
                    <w:spacing w:line="360" w:lineRule="auto"/>
                    <w:ind w:firstLine="840" w:firstLineChars="350"/>
                    <w:jc w:val="center"/>
                    <w:rPr>
                      <w:rFonts w:hint="eastAsia" w:ascii="Times New Roman" w:hAnsi="Times New Roman"/>
                      <w:sz w:val="24"/>
                      <w:szCs w:val="24"/>
                      <w:lang w:val="en-US" w:eastAsia="zh-CN"/>
                    </w:rPr>
                  </w:pPr>
                </w:p>
              </w:tc>
              <w:tc>
                <w:tcPr>
                  <w:tcW w:w="1063" w:type="dxa"/>
                </w:tcPr>
                <w:p w14:paraId="030F544E">
                  <w:pPr>
                    <w:spacing w:line="360" w:lineRule="auto"/>
                    <w:ind w:firstLine="840" w:firstLineChars="350"/>
                    <w:jc w:val="center"/>
                    <w:rPr>
                      <w:rFonts w:hint="eastAsia" w:ascii="Times New Roman" w:hAnsi="Times New Roman"/>
                      <w:sz w:val="24"/>
                      <w:szCs w:val="24"/>
                      <w:lang w:val="en-US" w:eastAsia="zh-CN"/>
                    </w:rPr>
                  </w:pPr>
                </w:p>
              </w:tc>
              <w:tc>
                <w:tcPr>
                  <w:tcW w:w="878" w:type="dxa"/>
                </w:tcPr>
                <w:p w14:paraId="13962A75">
                  <w:pPr>
                    <w:spacing w:line="360" w:lineRule="auto"/>
                    <w:ind w:firstLine="840" w:firstLineChars="350"/>
                    <w:jc w:val="center"/>
                    <w:rPr>
                      <w:rFonts w:hint="eastAsia" w:ascii="Times New Roman" w:hAnsi="Times New Roman"/>
                      <w:sz w:val="24"/>
                      <w:szCs w:val="24"/>
                      <w:lang w:val="en-US" w:eastAsia="zh-CN"/>
                    </w:rPr>
                  </w:pPr>
                </w:p>
              </w:tc>
            </w:tr>
            <w:tr w14:paraId="4B27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32" w:type="dxa"/>
                  <w:gridSpan w:val="4"/>
                </w:tcPr>
                <w:p w14:paraId="4172F0EB">
                  <w:pPr>
                    <w:spacing w:line="360" w:lineRule="auto"/>
                    <w:ind w:firstLine="840" w:firstLineChars="350"/>
                    <w:jc w:val="center"/>
                    <w:rPr>
                      <w:rFonts w:hint="default" w:ascii="Times New Roman" w:hAnsi="Times New Roman"/>
                      <w:sz w:val="24"/>
                      <w:szCs w:val="24"/>
                      <w:lang w:val="en-US" w:eastAsia="zh-CN"/>
                    </w:rPr>
                  </w:pPr>
                  <w:r>
                    <w:rPr>
                      <w:rFonts w:hint="eastAsia" w:ascii="Times New Roman" w:hAnsi="Times New Roman"/>
                      <w:sz w:val="24"/>
                      <w:szCs w:val="24"/>
                      <w:lang w:val="en-US" w:eastAsia="zh-CN"/>
                    </w:rPr>
                    <w:t>合计（含税）</w:t>
                  </w:r>
                </w:p>
              </w:tc>
              <w:tc>
                <w:tcPr>
                  <w:tcW w:w="1063" w:type="dxa"/>
                </w:tcPr>
                <w:p w14:paraId="67508A3F">
                  <w:pPr>
                    <w:spacing w:line="360" w:lineRule="auto"/>
                    <w:ind w:firstLine="840" w:firstLineChars="350"/>
                    <w:jc w:val="center"/>
                    <w:rPr>
                      <w:rFonts w:hint="eastAsia" w:ascii="Times New Roman" w:hAnsi="Times New Roman"/>
                      <w:sz w:val="24"/>
                      <w:szCs w:val="24"/>
                      <w:lang w:val="en-US" w:eastAsia="zh-CN"/>
                    </w:rPr>
                  </w:pPr>
                </w:p>
              </w:tc>
              <w:tc>
                <w:tcPr>
                  <w:tcW w:w="878" w:type="dxa"/>
                </w:tcPr>
                <w:p w14:paraId="1E2834B5">
                  <w:pPr>
                    <w:spacing w:line="360" w:lineRule="auto"/>
                    <w:ind w:firstLine="840" w:firstLineChars="350"/>
                    <w:jc w:val="center"/>
                    <w:rPr>
                      <w:rFonts w:hint="eastAsia" w:ascii="Times New Roman" w:hAnsi="Times New Roman"/>
                      <w:sz w:val="24"/>
                      <w:szCs w:val="24"/>
                      <w:lang w:val="en-US" w:eastAsia="zh-CN"/>
                    </w:rPr>
                  </w:pPr>
                </w:p>
              </w:tc>
            </w:tr>
          </w:tbl>
          <w:p w14:paraId="735338FC">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9"/>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1"/>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60758"/>
                  <w:docPartObj>
                    <w:docPartGallery w:val="autotext"/>
                  </w:docPartObj>
                </w:sdtPr>
                <w:sdtContent>
                  <w:sdt>
                    <w:sdtPr>
                      <w:id w:val="147481427"/>
                      <w:docPartObj>
                        <w:docPartGallery w:val="autotext"/>
                      </w:docPartObj>
                    </w:sdtPr>
                    <w:sdtContent>
                      <w:p w14:paraId="234BA5F7">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640E6DD"/>
            </w:txbxContent>
          </v:textbox>
        </v:shape>
      </w:pict>
    </w:r>
  </w:p>
  <w:p w14:paraId="7552A791">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1"/>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66970"/>
                  <w:docPartObj>
                    <w:docPartGallery w:val="autotext"/>
                  </w:docPartObj>
                </w:sdtPr>
                <w:sdtContent>
                  <w:sdt>
                    <w:sdtPr>
                      <w:id w:val="147459615"/>
                      <w:docPartObj>
                        <w:docPartGallery w:val="autotext"/>
                      </w:docPartObj>
                    </w:sdtPr>
                    <w:sdtContent>
                      <w:p w14:paraId="7A778668">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F04BF97"/>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5020AD3">
                <w:pPr>
                  <w:pStyle w:val="31"/>
                </w:pPr>
                <w:r>
                  <w:fldChar w:fldCharType="begin"/>
                </w:r>
                <w:r>
                  <w:instrText xml:space="preserve"> PAGE  \* MERGEFORMAT </w:instrText>
                </w:r>
                <w:r>
                  <w:fldChar w:fldCharType="separate"/>
                </w:r>
                <w:r>
                  <w:t>11</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91413BA">
                <w:pPr>
                  <w:pStyle w:val="31"/>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0"/>
      <w:numFmt w:val="bullet"/>
      <w:lvlText w:val="•"/>
      <w:lvlJc w:val="left"/>
      <w:rPr>
        <w:color w:val="3370FF"/>
      </w:rPr>
    </w:lvl>
  </w:abstractNum>
  <w:abstractNum w:abstractNumId="1">
    <w:nsid w:val="9288B902"/>
    <w:multiLevelType w:val="singleLevel"/>
    <w:tmpl w:val="9288B902"/>
    <w:lvl w:ilvl="0" w:tentative="0">
      <w:start w:val="0"/>
      <w:numFmt w:val="bullet"/>
      <w:lvlText w:val="•"/>
      <w:lvlJc w:val="left"/>
      <w:rPr>
        <w:color w:val="3370FF"/>
      </w:rPr>
    </w:lvl>
  </w:abstractNum>
  <w:abstractNum w:abstractNumId="2">
    <w:nsid w:val="9C8AC8EF"/>
    <w:multiLevelType w:val="singleLevel"/>
    <w:tmpl w:val="9C8AC8EF"/>
    <w:lvl w:ilvl="0" w:tentative="0">
      <w:start w:val="0"/>
      <w:numFmt w:val="bullet"/>
      <w:lvlText w:val="•"/>
      <w:lvlJc w:val="left"/>
      <w:rPr>
        <w:color w:val="3370FF"/>
      </w:rPr>
    </w:lvl>
  </w:abstractNum>
  <w:abstractNum w:abstractNumId="3">
    <w:nsid w:val="A6FA852A"/>
    <w:multiLevelType w:val="singleLevel"/>
    <w:tmpl w:val="A6FA852A"/>
    <w:lvl w:ilvl="0" w:tentative="0">
      <w:start w:val="1"/>
      <w:numFmt w:val="decimal"/>
      <w:suff w:val="nothing"/>
      <w:lvlText w:val="（%1）"/>
      <w:lvlJc w:val="left"/>
    </w:lvl>
  </w:abstractNum>
  <w:abstractNum w:abstractNumId="4">
    <w:nsid w:val="B0F1ACD9"/>
    <w:multiLevelType w:val="singleLevel"/>
    <w:tmpl w:val="B0F1ACD9"/>
    <w:lvl w:ilvl="0" w:tentative="0">
      <w:start w:val="0"/>
      <w:numFmt w:val="bullet"/>
      <w:lvlText w:val="•"/>
      <w:lvlJc w:val="left"/>
      <w:rPr>
        <w:color w:val="3370FF"/>
      </w:rPr>
    </w:lvl>
  </w:abstractNum>
  <w:abstractNum w:abstractNumId="5">
    <w:nsid w:val="B5E306ED"/>
    <w:multiLevelType w:val="singleLevel"/>
    <w:tmpl w:val="B5E306ED"/>
    <w:lvl w:ilvl="0" w:tentative="0">
      <w:start w:val="0"/>
      <w:numFmt w:val="bullet"/>
      <w:lvlText w:val="•"/>
      <w:lvlJc w:val="left"/>
      <w:rPr>
        <w:color w:val="3370FF"/>
      </w:rPr>
    </w:lvl>
  </w:abstractNum>
  <w:abstractNum w:abstractNumId="6">
    <w:nsid w:val="BE923771"/>
    <w:multiLevelType w:val="singleLevel"/>
    <w:tmpl w:val="BE923771"/>
    <w:lvl w:ilvl="0" w:tentative="0">
      <w:start w:val="0"/>
      <w:numFmt w:val="bullet"/>
      <w:lvlText w:val="•"/>
      <w:lvlJc w:val="left"/>
      <w:rPr>
        <w:color w:val="3370FF"/>
      </w:rPr>
    </w:lvl>
  </w:abstractNum>
  <w:abstractNum w:abstractNumId="7">
    <w:nsid w:val="BF205925"/>
    <w:multiLevelType w:val="singleLevel"/>
    <w:tmpl w:val="BF205925"/>
    <w:lvl w:ilvl="0" w:tentative="0">
      <w:start w:val="0"/>
      <w:numFmt w:val="bullet"/>
      <w:lvlText w:val="•"/>
      <w:lvlJc w:val="left"/>
      <w:rPr>
        <w:color w:val="3370FF"/>
      </w:rPr>
    </w:lvl>
  </w:abstractNum>
  <w:abstractNum w:abstractNumId="8">
    <w:nsid w:val="CF092B84"/>
    <w:multiLevelType w:val="singleLevel"/>
    <w:tmpl w:val="CF092B84"/>
    <w:lvl w:ilvl="0" w:tentative="0">
      <w:start w:val="0"/>
      <w:numFmt w:val="bullet"/>
      <w:lvlText w:val="•"/>
      <w:lvlJc w:val="left"/>
      <w:rPr>
        <w:color w:val="3370FF"/>
      </w:rPr>
    </w:lvl>
  </w:abstractNum>
  <w:abstractNum w:abstractNumId="9">
    <w:nsid w:val="DCBA6B53"/>
    <w:multiLevelType w:val="singleLevel"/>
    <w:tmpl w:val="DCBA6B53"/>
    <w:lvl w:ilvl="0" w:tentative="0">
      <w:start w:val="0"/>
      <w:numFmt w:val="bullet"/>
      <w:lvlText w:val="•"/>
      <w:lvlJc w:val="left"/>
      <w:rPr>
        <w:color w:val="3370FF"/>
      </w:rPr>
    </w:lvl>
  </w:abstractNum>
  <w:abstractNum w:abstractNumId="10">
    <w:nsid w:val="F4B5D9F5"/>
    <w:multiLevelType w:val="singleLevel"/>
    <w:tmpl w:val="F4B5D9F5"/>
    <w:lvl w:ilvl="0" w:tentative="0">
      <w:start w:val="0"/>
      <w:numFmt w:val="bullet"/>
      <w:lvlText w:val="•"/>
      <w:lvlJc w:val="left"/>
      <w:rPr>
        <w:color w:val="3370FF"/>
      </w:rPr>
    </w:lvl>
  </w:abstractNum>
  <w:abstractNum w:abstractNumId="11">
    <w:nsid w:val="0053208E"/>
    <w:multiLevelType w:val="singleLevel"/>
    <w:tmpl w:val="0053208E"/>
    <w:lvl w:ilvl="0" w:tentative="0">
      <w:start w:val="0"/>
      <w:numFmt w:val="bullet"/>
      <w:lvlText w:val="•"/>
      <w:lvlJc w:val="left"/>
      <w:rPr>
        <w:color w:val="3370FF"/>
      </w:rPr>
    </w:lvl>
  </w:abstractNum>
  <w:abstractNum w:abstractNumId="12">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3">
    <w:nsid w:val="03D62ECE"/>
    <w:multiLevelType w:val="singleLevel"/>
    <w:tmpl w:val="03D62ECE"/>
    <w:lvl w:ilvl="0" w:tentative="0">
      <w:start w:val="0"/>
      <w:numFmt w:val="bullet"/>
      <w:lvlText w:val="•"/>
      <w:lvlJc w:val="left"/>
      <w:rPr>
        <w:color w:val="3370FF"/>
      </w:rPr>
    </w:lvl>
  </w:abstractNum>
  <w:abstractNum w:abstractNumId="14">
    <w:nsid w:val="0B5E4FB9"/>
    <w:multiLevelType w:val="multilevel"/>
    <w:tmpl w:val="0B5E4FB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E640482"/>
    <w:multiLevelType w:val="singleLevel"/>
    <w:tmpl w:val="0E640482"/>
    <w:lvl w:ilvl="0" w:tentative="0">
      <w:start w:val="0"/>
      <w:numFmt w:val="bullet"/>
      <w:lvlText w:val="•"/>
      <w:lvlJc w:val="left"/>
      <w:rPr>
        <w:color w:val="3370FF"/>
      </w:rPr>
    </w:lvl>
  </w:abstractNum>
  <w:abstractNum w:abstractNumId="16">
    <w:nsid w:val="115A65B1"/>
    <w:multiLevelType w:val="multilevel"/>
    <w:tmpl w:val="115A65B1"/>
    <w:lvl w:ilvl="0" w:tentative="0">
      <w:start w:val="1"/>
      <w:numFmt w:val="decimal"/>
      <w:lvlText w:val="%1、"/>
      <w:lvlJc w:val="left"/>
      <w:pPr>
        <w:tabs>
          <w:tab w:val="left" w:pos="360"/>
        </w:tabs>
        <w:ind w:left="360" w:hanging="360"/>
      </w:pPr>
      <w:rPr>
        <w:color w:val="auto"/>
      </w:rPr>
    </w:lvl>
    <w:lvl w:ilvl="1" w:tentative="0">
      <w:start w:val="1"/>
      <w:numFmt w:val="decimal"/>
      <w:lvlText w:val="（%2）"/>
      <w:lvlJc w:val="left"/>
      <w:pPr>
        <w:ind w:left="1140" w:hanging="7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93B2303"/>
    <w:multiLevelType w:val="multilevel"/>
    <w:tmpl w:val="193B2303"/>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1F484AD2"/>
    <w:multiLevelType w:val="multilevel"/>
    <w:tmpl w:val="1F484AD2"/>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2470EC97"/>
    <w:multiLevelType w:val="singleLevel"/>
    <w:tmpl w:val="2470EC97"/>
    <w:lvl w:ilvl="0" w:tentative="0">
      <w:start w:val="0"/>
      <w:numFmt w:val="bullet"/>
      <w:lvlText w:val="•"/>
      <w:lvlJc w:val="left"/>
      <w:rPr>
        <w:color w:val="3370FF"/>
      </w:rPr>
    </w:lvl>
  </w:abstractNum>
  <w:abstractNum w:abstractNumId="21">
    <w:nsid w:val="25B654F3"/>
    <w:multiLevelType w:val="singleLevel"/>
    <w:tmpl w:val="25B654F3"/>
    <w:lvl w:ilvl="0" w:tentative="0">
      <w:start w:val="0"/>
      <w:numFmt w:val="bullet"/>
      <w:lvlText w:val="•"/>
      <w:lvlJc w:val="left"/>
      <w:rPr>
        <w:color w:val="3370FF"/>
      </w:rPr>
    </w:lvl>
  </w:abstractNum>
  <w:abstractNum w:abstractNumId="22">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4">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25">
    <w:nsid w:val="39A0D9AC"/>
    <w:multiLevelType w:val="singleLevel"/>
    <w:tmpl w:val="39A0D9AC"/>
    <w:lvl w:ilvl="0" w:tentative="0">
      <w:start w:val="0"/>
      <w:numFmt w:val="bullet"/>
      <w:lvlText w:val="•"/>
      <w:lvlJc w:val="left"/>
      <w:rPr>
        <w:color w:val="3370FF"/>
      </w:rPr>
    </w:lvl>
  </w:abstractNum>
  <w:abstractNum w:abstractNumId="26">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3B321FCE"/>
    <w:multiLevelType w:val="multilevel"/>
    <w:tmpl w:val="3B321FCE"/>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45F5045D"/>
    <w:multiLevelType w:val="multilevel"/>
    <w:tmpl w:val="45F5045D"/>
    <w:lvl w:ilvl="0" w:tentative="0">
      <w:start w:val="1"/>
      <w:numFmt w:val="decimal"/>
      <w:pStyle w:val="212"/>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1">
    <w:nsid w:val="49F44BE4"/>
    <w:multiLevelType w:val="multilevel"/>
    <w:tmpl w:val="49F44BE4"/>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4B44014A"/>
    <w:multiLevelType w:val="singleLevel"/>
    <w:tmpl w:val="4B44014A"/>
    <w:lvl w:ilvl="0" w:tentative="0">
      <w:start w:val="9"/>
      <w:numFmt w:val="chineseCounting"/>
      <w:suff w:val="nothing"/>
      <w:lvlText w:val="%1、"/>
      <w:lvlJc w:val="left"/>
      <w:rPr>
        <w:rFonts w:hint="eastAsia"/>
      </w:rPr>
    </w:lvl>
  </w:abstractNum>
  <w:abstractNum w:abstractNumId="33">
    <w:nsid w:val="4C1BAE26"/>
    <w:multiLevelType w:val="singleLevel"/>
    <w:tmpl w:val="4C1BAE26"/>
    <w:lvl w:ilvl="0" w:tentative="0">
      <w:start w:val="0"/>
      <w:numFmt w:val="bullet"/>
      <w:lvlText w:val="•"/>
      <w:lvlJc w:val="left"/>
      <w:rPr>
        <w:color w:val="3370FF"/>
      </w:rPr>
    </w:lvl>
  </w:abstractNum>
  <w:abstractNum w:abstractNumId="34">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59ADCABA"/>
    <w:multiLevelType w:val="singleLevel"/>
    <w:tmpl w:val="59ADCABA"/>
    <w:lvl w:ilvl="0" w:tentative="0">
      <w:start w:val="0"/>
      <w:numFmt w:val="bullet"/>
      <w:lvlText w:val="•"/>
      <w:lvlJc w:val="left"/>
      <w:rPr>
        <w:color w:val="3370FF"/>
      </w:rPr>
    </w:lvl>
  </w:abstractNum>
  <w:abstractNum w:abstractNumId="36">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37">
    <w:nsid w:val="60382F6E"/>
    <w:multiLevelType w:val="singleLevel"/>
    <w:tmpl w:val="60382F6E"/>
    <w:lvl w:ilvl="0" w:tentative="0">
      <w:start w:val="0"/>
      <w:numFmt w:val="bullet"/>
      <w:lvlText w:val="•"/>
      <w:lvlJc w:val="left"/>
      <w:rPr>
        <w:color w:val="3370FF"/>
      </w:rPr>
    </w:lvl>
  </w:abstractNum>
  <w:abstractNum w:abstractNumId="38">
    <w:nsid w:val="629F7852"/>
    <w:multiLevelType w:val="singleLevel"/>
    <w:tmpl w:val="629F7852"/>
    <w:lvl w:ilvl="0" w:tentative="0">
      <w:start w:val="0"/>
      <w:numFmt w:val="bullet"/>
      <w:lvlText w:val="•"/>
      <w:lvlJc w:val="left"/>
      <w:rPr>
        <w:color w:val="3370FF"/>
      </w:rPr>
    </w:lvl>
  </w:abstractNum>
  <w:abstractNum w:abstractNumId="39">
    <w:nsid w:val="66006974"/>
    <w:multiLevelType w:val="multilevel"/>
    <w:tmpl w:val="66006974"/>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41">
    <w:nsid w:val="72183CF9"/>
    <w:multiLevelType w:val="singleLevel"/>
    <w:tmpl w:val="72183CF9"/>
    <w:lvl w:ilvl="0" w:tentative="0">
      <w:start w:val="0"/>
      <w:numFmt w:val="bullet"/>
      <w:lvlText w:val="•"/>
      <w:lvlJc w:val="left"/>
      <w:rPr>
        <w:color w:val="3370FF"/>
      </w:rPr>
    </w:lvl>
  </w:abstractNum>
  <w:abstractNum w:abstractNumId="42">
    <w:nsid w:val="75080D9B"/>
    <w:multiLevelType w:val="multilevel"/>
    <w:tmpl w:val="75080D9B"/>
    <w:lvl w:ilvl="0" w:tentative="0">
      <w:start w:val="1"/>
      <w:numFmt w:val="decimal"/>
      <w:lvlText w:val="%1、"/>
      <w:lvlJc w:val="left"/>
      <w:pPr>
        <w:tabs>
          <w:tab w:val="left" w:pos="7307"/>
        </w:tabs>
        <w:ind w:left="7307" w:hanging="360"/>
      </w:pPr>
    </w:lvl>
    <w:lvl w:ilvl="1" w:tentative="0">
      <w:start w:val="7"/>
      <w:numFmt w:val="japaneseCounting"/>
      <w:lvlText w:val="第%2条"/>
      <w:lvlJc w:val="left"/>
      <w:pPr>
        <w:tabs>
          <w:tab w:val="left" w:pos="7803"/>
        </w:tabs>
        <w:ind w:left="7803" w:hanging="720"/>
      </w:pPr>
    </w:lvl>
    <w:lvl w:ilvl="2" w:tentative="0">
      <w:start w:val="1"/>
      <w:numFmt w:val="lowerRoman"/>
      <w:lvlText w:val="%3."/>
      <w:lvlJc w:val="right"/>
      <w:pPr>
        <w:tabs>
          <w:tab w:val="left" w:pos="7923"/>
        </w:tabs>
        <w:ind w:left="7923" w:hanging="420"/>
      </w:pPr>
    </w:lvl>
    <w:lvl w:ilvl="3" w:tentative="0">
      <w:start w:val="1"/>
      <w:numFmt w:val="decimal"/>
      <w:lvlText w:val="%4."/>
      <w:lvlJc w:val="left"/>
      <w:pPr>
        <w:tabs>
          <w:tab w:val="left" w:pos="8343"/>
        </w:tabs>
        <w:ind w:left="8343" w:hanging="420"/>
      </w:pPr>
    </w:lvl>
    <w:lvl w:ilvl="4" w:tentative="0">
      <w:start w:val="1"/>
      <w:numFmt w:val="lowerLetter"/>
      <w:lvlText w:val="%5)"/>
      <w:lvlJc w:val="left"/>
      <w:pPr>
        <w:tabs>
          <w:tab w:val="left" w:pos="8763"/>
        </w:tabs>
        <w:ind w:left="8763" w:hanging="420"/>
      </w:pPr>
    </w:lvl>
    <w:lvl w:ilvl="5" w:tentative="0">
      <w:start w:val="1"/>
      <w:numFmt w:val="lowerRoman"/>
      <w:lvlText w:val="%6."/>
      <w:lvlJc w:val="right"/>
      <w:pPr>
        <w:tabs>
          <w:tab w:val="left" w:pos="9183"/>
        </w:tabs>
        <w:ind w:left="9183" w:hanging="420"/>
      </w:pPr>
    </w:lvl>
    <w:lvl w:ilvl="6" w:tentative="0">
      <w:start w:val="1"/>
      <w:numFmt w:val="decimal"/>
      <w:lvlText w:val="%7."/>
      <w:lvlJc w:val="left"/>
      <w:pPr>
        <w:tabs>
          <w:tab w:val="left" w:pos="9603"/>
        </w:tabs>
        <w:ind w:left="9603" w:hanging="420"/>
      </w:pPr>
    </w:lvl>
    <w:lvl w:ilvl="7" w:tentative="0">
      <w:start w:val="1"/>
      <w:numFmt w:val="lowerLetter"/>
      <w:lvlText w:val="%8)"/>
      <w:lvlJc w:val="left"/>
      <w:pPr>
        <w:tabs>
          <w:tab w:val="left" w:pos="10023"/>
        </w:tabs>
        <w:ind w:left="10023" w:hanging="420"/>
      </w:pPr>
    </w:lvl>
    <w:lvl w:ilvl="8" w:tentative="0">
      <w:start w:val="1"/>
      <w:numFmt w:val="lowerRoman"/>
      <w:lvlText w:val="%9."/>
      <w:lvlJc w:val="right"/>
      <w:pPr>
        <w:tabs>
          <w:tab w:val="left" w:pos="10443"/>
        </w:tabs>
        <w:ind w:left="10443" w:hanging="420"/>
      </w:pPr>
    </w:lvl>
  </w:abstractNum>
  <w:abstractNum w:abstractNumId="43">
    <w:nsid w:val="77ECEA79"/>
    <w:multiLevelType w:val="singleLevel"/>
    <w:tmpl w:val="77ECEA79"/>
    <w:lvl w:ilvl="0" w:tentative="0">
      <w:start w:val="0"/>
      <w:numFmt w:val="bullet"/>
      <w:lvlText w:val="•"/>
      <w:lvlJc w:val="left"/>
      <w:rPr>
        <w:color w:val="3370FF"/>
      </w:rPr>
    </w:lvl>
  </w:abstractNum>
  <w:abstractNum w:abstractNumId="44">
    <w:nsid w:val="7C246926"/>
    <w:multiLevelType w:val="singleLevel"/>
    <w:tmpl w:val="7C246926"/>
    <w:lvl w:ilvl="0" w:tentative="0">
      <w:start w:val="0"/>
      <w:numFmt w:val="bullet"/>
      <w:lvlText w:val="•"/>
      <w:lvlJc w:val="left"/>
      <w:rPr>
        <w:color w:val="3370FF"/>
      </w:rPr>
    </w:lvl>
  </w:abstractNum>
  <w:num w:numId="1">
    <w:abstractNumId w:val="36"/>
  </w:num>
  <w:num w:numId="2">
    <w:abstractNumId w:val="12"/>
  </w:num>
  <w:num w:numId="3">
    <w:abstractNumId w:val="32"/>
  </w:num>
  <w:num w:numId="4">
    <w:abstractNumId w:val="23"/>
  </w:num>
  <w:num w:numId="5">
    <w:abstractNumId w:val="24"/>
  </w:num>
  <w:num w:numId="6">
    <w:abstractNumId w:val="26"/>
  </w:num>
  <w:num w:numId="7">
    <w:abstractNumId w:val="30"/>
  </w:num>
  <w:num w:numId="8">
    <w:abstractNumId w:val="40"/>
  </w:num>
  <w:num w:numId="9">
    <w:abstractNumId w:val="28"/>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8"/>
  </w:num>
  <w:num w:numId="25">
    <w:abstractNumId w:val="35"/>
  </w:num>
  <w:num w:numId="26">
    <w:abstractNumId w:val="7"/>
  </w:num>
  <w:num w:numId="27">
    <w:abstractNumId w:val="5"/>
  </w:num>
  <w:num w:numId="28">
    <w:abstractNumId w:val="13"/>
  </w:num>
  <w:num w:numId="29">
    <w:abstractNumId w:val="21"/>
  </w:num>
  <w:num w:numId="30">
    <w:abstractNumId w:val="41"/>
  </w:num>
  <w:num w:numId="31">
    <w:abstractNumId w:val="0"/>
  </w:num>
  <w:num w:numId="32">
    <w:abstractNumId w:val="10"/>
  </w:num>
  <w:num w:numId="33">
    <w:abstractNumId w:val="20"/>
  </w:num>
  <w:num w:numId="34">
    <w:abstractNumId w:val="9"/>
  </w:num>
  <w:num w:numId="35">
    <w:abstractNumId w:val="2"/>
  </w:num>
  <w:num w:numId="36">
    <w:abstractNumId w:val="33"/>
  </w:num>
  <w:num w:numId="37">
    <w:abstractNumId w:val="37"/>
  </w:num>
  <w:num w:numId="38">
    <w:abstractNumId w:val="15"/>
  </w:num>
  <w:num w:numId="39">
    <w:abstractNumId w:val="4"/>
  </w:num>
  <w:num w:numId="40">
    <w:abstractNumId w:val="44"/>
  </w:num>
  <w:num w:numId="41">
    <w:abstractNumId w:val="43"/>
  </w:num>
  <w:num w:numId="42">
    <w:abstractNumId w:val="6"/>
  </w:num>
  <w:num w:numId="43">
    <w:abstractNumId w:val="38"/>
  </w:num>
  <w:num w:numId="44">
    <w:abstractNumId w:val="1"/>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38577D1"/>
    <w:rsid w:val="04602F94"/>
    <w:rsid w:val="05B82AAB"/>
    <w:rsid w:val="061139E5"/>
    <w:rsid w:val="06F50B00"/>
    <w:rsid w:val="076E1278"/>
    <w:rsid w:val="077A3CEC"/>
    <w:rsid w:val="08D1141D"/>
    <w:rsid w:val="08ED05EB"/>
    <w:rsid w:val="0B157AA4"/>
    <w:rsid w:val="0B296DE2"/>
    <w:rsid w:val="0DFF66F2"/>
    <w:rsid w:val="0ED3625B"/>
    <w:rsid w:val="0EEF4894"/>
    <w:rsid w:val="10294AA3"/>
    <w:rsid w:val="10E40CA0"/>
    <w:rsid w:val="10F468BD"/>
    <w:rsid w:val="136130D9"/>
    <w:rsid w:val="14FB4921"/>
    <w:rsid w:val="17FD4E8E"/>
    <w:rsid w:val="18DD4F7E"/>
    <w:rsid w:val="195B58A2"/>
    <w:rsid w:val="197049BD"/>
    <w:rsid w:val="19C62C11"/>
    <w:rsid w:val="1BF53514"/>
    <w:rsid w:val="1DF07639"/>
    <w:rsid w:val="1E085A14"/>
    <w:rsid w:val="1E1D4384"/>
    <w:rsid w:val="1FF43DDB"/>
    <w:rsid w:val="1FF753B5"/>
    <w:rsid w:val="216F43E6"/>
    <w:rsid w:val="217B3D59"/>
    <w:rsid w:val="21933AA2"/>
    <w:rsid w:val="25BF356F"/>
    <w:rsid w:val="25DB0C2D"/>
    <w:rsid w:val="269469E7"/>
    <w:rsid w:val="279C517A"/>
    <w:rsid w:val="29FC3B14"/>
    <w:rsid w:val="2B11792E"/>
    <w:rsid w:val="2DAC0C87"/>
    <w:rsid w:val="2DD82A71"/>
    <w:rsid w:val="2FAD43AF"/>
    <w:rsid w:val="30070A90"/>
    <w:rsid w:val="30C85944"/>
    <w:rsid w:val="31C54755"/>
    <w:rsid w:val="3216608C"/>
    <w:rsid w:val="34CE14C6"/>
    <w:rsid w:val="34D84CEC"/>
    <w:rsid w:val="37781C85"/>
    <w:rsid w:val="37AF5AB7"/>
    <w:rsid w:val="39EB35CF"/>
    <w:rsid w:val="3A5807D1"/>
    <w:rsid w:val="3A782036"/>
    <w:rsid w:val="3B1C3371"/>
    <w:rsid w:val="3B2C2488"/>
    <w:rsid w:val="3BBF3035"/>
    <w:rsid w:val="3CC23198"/>
    <w:rsid w:val="3DDF4815"/>
    <w:rsid w:val="3E7F2F9B"/>
    <w:rsid w:val="3FE669E5"/>
    <w:rsid w:val="41A67CD2"/>
    <w:rsid w:val="4498267C"/>
    <w:rsid w:val="4650718D"/>
    <w:rsid w:val="47D04287"/>
    <w:rsid w:val="48BE4A7F"/>
    <w:rsid w:val="4963470F"/>
    <w:rsid w:val="4997476B"/>
    <w:rsid w:val="4A6A0986"/>
    <w:rsid w:val="4CFC025C"/>
    <w:rsid w:val="4DFE3005"/>
    <w:rsid w:val="4E946BAA"/>
    <w:rsid w:val="4F2B0FC0"/>
    <w:rsid w:val="50F63E28"/>
    <w:rsid w:val="51E001BA"/>
    <w:rsid w:val="51EF1550"/>
    <w:rsid w:val="5221007F"/>
    <w:rsid w:val="52285E83"/>
    <w:rsid w:val="525B5056"/>
    <w:rsid w:val="52926B5A"/>
    <w:rsid w:val="545C5E51"/>
    <w:rsid w:val="5486175B"/>
    <w:rsid w:val="550E412C"/>
    <w:rsid w:val="5548183E"/>
    <w:rsid w:val="55F339DD"/>
    <w:rsid w:val="57667D24"/>
    <w:rsid w:val="57CE5BC3"/>
    <w:rsid w:val="598B597F"/>
    <w:rsid w:val="5AE1516A"/>
    <w:rsid w:val="5B2A7BED"/>
    <w:rsid w:val="5B6A3A79"/>
    <w:rsid w:val="5B7C46D1"/>
    <w:rsid w:val="5C1A5F7B"/>
    <w:rsid w:val="5CB820DB"/>
    <w:rsid w:val="5FBD506D"/>
    <w:rsid w:val="5FD01045"/>
    <w:rsid w:val="60BA1B88"/>
    <w:rsid w:val="61391581"/>
    <w:rsid w:val="62220EC2"/>
    <w:rsid w:val="645771F8"/>
    <w:rsid w:val="66667CFD"/>
    <w:rsid w:val="67A9486E"/>
    <w:rsid w:val="695042A7"/>
    <w:rsid w:val="6A54112D"/>
    <w:rsid w:val="6AA035AE"/>
    <w:rsid w:val="6B3545B5"/>
    <w:rsid w:val="6D506F5E"/>
    <w:rsid w:val="6E0F2E14"/>
    <w:rsid w:val="6F1E141D"/>
    <w:rsid w:val="6F5354F8"/>
    <w:rsid w:val="739569E8"/>
    <w:rsid w:val="740A2BDE"/>
    <w:rsid w:val="74D64079"/>
    <w:rsid w:val="751839E0"/>
    <w:rsid w:val="75897CC2"/>
    <w:rsid w:val="75D63924"/>
    <w:rsid w:val="76274F93"/>
    <w:rsid w:val="77CF6B1B"/>
    <w:rsid w:val="79B95FD7"/>
    <w:rsid w:val="79EB3F2F"/>
    <w:rsid w:val="7A0B5A69"/>
    <w:rsid w:val="7B11789E"/>
    <w:rsid w:val="7C9C3DE9"/>
    <w:rsid w:val="7D85545B"/>
    <w:rsid w:val="7D8E45FE"/>
    <w:rsid w:val="7DC94A0A"/>
    <w:rsid w:val="7EA56095"/>
    <w:rsid w:val="7F7D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iPriority="99"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qFormat="1" w:uiPriority="99"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0"/>
    <w:qFormat/>
    <w:uiPriority w:val="0"/>
    <w:pPr>
      <w:ind w:left="538"/>
      <w:outlineLvl w:val="0"/>
    </w:pPr>
    <w:rPr>
      <w:b/>
      <w:bCs/>
      <w:sz w:val="28"/>
      <w:szCs w:val="28"/>
    </w:rPr>
  </w:style>
  <w:style w:type="paragraph" w:styleId="3">
    <w:name w:val="heading 2"/>
    <w:basedOn w:val="1"/>
    <w:next w:val="1"/>
    <w:link w:val="61"/>
    <w:qFormat/>
    <w:uiPriority w:val="0"/>
    <w:pPr>
      <w:ind w:left="629"/>
      <w:outlineLvl w:val="1"/>
    </w:pPr>
    <w:rPr>
      <w:b/>
      <w:bCs/>
      <w:sz w:val="24"/>
      <w:szCs w:val="24"/>
    </w:rPr>
  </w:style>
  <w:style w:type="paragraph" w:styleId="4">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List 3"/>
    <w:basedOn w:val="1"/>
    <w:semiHidden/>
    <w:unhideWhenUsed/>
    <w:qFormat/>
    <w:uiPriority w:val="99"/>
    <w:pPr>
      <w:autoSpaceDE/>
      <w:autoSpaceDN/>
      <w:ind w:left="100" w:leftChars="400" w:hanging="200" w:hangingChars="200"/>
      <w:contextualSpacing/>
      <w:jc w:val="both"/>
    </w:pPr>
    <w:rPr>
      <w:rFonts w:ascii="Times New Roman" w:hAnsi="Times New Roman" w:cs="Times New Roman"/>
      <w:kern w:val="2"/>
      <w:sz w:val="21"/>
      <w:szCs w:val="24"/>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index 8"/>
    <w:basedOn w:val="1"/>
    <w:next w:val="1"/>
    <w:qFormat/>
    <w:uiPriority w:val="99"/>
    <w:pPr>
      <w:ind w:left="1400" w:leftChars="1400"/>
    </w:p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71"/>
    <w:qFormat/>
    <w:uiPriority w:val="99"/>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72"/>
    <w:qFormat/>
    <w:uiPriority w:val="99"/>
    <w:pPr>
      <w:tabs>
        <w:tab w:val="center" w:pos="4153"/>
        <w:tab w:val="right" w:pos="8306"/>
      </w:tabs>
      <w:snapToGrid w:val="0"/>
    </w:pPr>
    <w:rPr>
      <w:sz w:val="18"/>
      <w:szCs w:val="18"/>
    </w:rPr>
  </w:style>
  <w:style w:type="paragraph" w:styleId="32">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List Continue 2"/>
    <w:basedOn w:val="1"/>
    <w:semiHidden/>
    <w:unhideWhenUsed/>
    <w:qFormat/>
    <w:uiPriority w:val="99"/>
    <w:pPr>
      <w:autoSpaceDE/>
      <w:autoSpaceDN/>
      <w:spacing w:after="120"/>
      <w:ind w:left="840" w:leftChars="400"/>
      <w:contextualSpacing/>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semiHidden/>
    <w:unhideWhenUsed/>
    <w:qFormat/>
    <w:uiPriority w:val="99"/>
    <w:pPr>
      <w:autoSpaceDE/>
      <w:autoSpaceDN/>
      <w:ind w:firstLine="420" w:firstLineChars="200"/>
      <w:jc w:val="both"/>
    </w:pPr>
    <w:rPr>
      <w:rFonts w:ascii="Times New Roman" w:hAnsi="Times New Roman" w:cs="Times New Roman"/>
      <w:kern w:val="2"/>
      <w:sz w:val="21"/>
      <w:szCs w:val="24"/>
      <w:lang w:eastAsia="zh-CN"/>
    </w:rPr>
  </w:style>
  <w:style w:type="table" w:styleId="51">
    <w:name w:val="Table Grid"/>
    <w:basedOn w:val="5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22"/>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basedOn w:val="52"/>
    <w:qFormat/>
    <w:uiPriority w:val="0"/>
  </w:style>
  <w:style w:type="character" w:styleId="57">
    <w:name w:val="Hyperlink"/>
    <w:basedOn w:val="52"/>
    <w:qFormat/>
    <w:uiPriority w:val="0"/>
    <w:rPr>
      <w:color w:val="0000FF" w:themeColor="hyperlink"/>
      <w:u w:val="single"/>
    </w:rPr>
  </w:style>
  <w:style w:type="character" w:styleId="58">
    <w:name w:val="annotation reference"/>
    <w:basedOn w:val="52"/>
    <w:qFormat/>
    <w:uiPriority w:val="0"/>
    <w:rPr>
      <w:sz w:val="21"/>
      <w:szCs w:val="21"/>
    </w:rPr>
  </w:style>
  <w:style w:type="paragraph" w:customStyle="1" w:styleId="5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0">
    <w:name w:val="标题 1 Char"/>
    <w:basedOn w:val="52"/>
    <w:link w:val="2"/>
    <w:qFormat/>
    <w:uiPriority w:val="0"/>
    <w:rPr>
      <w:rFonts w:ascii="宋体" w:hAnsi="宋体" w:cs="宋体"/>
      <w:b/>
      <w:bCs/>
      <w:sz w:val="28"/>
      <w:szCs w:val="28"/>
      <w:lang w:eastAsia="en-US"/>
    </w:rPr>
  </w:style>
  <w:style w:type="character" w:customStyle="1" w:styleId="61">
    <w:name w:val="标题 2 Char"/>
    <w:basedOn w:val="52"/>
    <w:link w:val="3"/>
    <w:qFormat/>
    <w:uiPriority w:val="0"/>
    <w:rPr>
      <w:rFonts w:ascii="宋体" w:hAnsi="宋体" w:cs="宋体"/>
      <w:b/>
      <w:bCs/>
      <w:sz w:val="24"/>
      <w:szCs w:val="24"/>
      <w:lang w:eastAsia="en-US"/>
    </w:rPr>
  </w:style>
  <w:style w:type="character" w:customStyle="1" w:styleId="62">
    <w:name w:val="标题 3 Char"/>
    <w:basedOn w:val="52"/>
    <w:link w:val="4"/>
    <w:qFormat/>
    <w:uiPriority w:val="0"/>
    <w:rPr>
      <w:b/>
      <w:bCs/>
      <w:kern w:val="2"/>
      <w:sz w:val="32"/>
      <w:szCs w:val="32"/>
    </w:rPr>
  </w:style>
  <w:style w:type="character" w:customStyle="1" w:styleId="63">
    <w:name w:val="标题 4 Char"/>
    <w:basedOn w:val="52"/>
    <w:link w:val="5"/>
    <w:qFormat/>
    <w:uiPriority w:val="0"/>
    <w:rPr>
      <w:b/>
      <w:kern w:val="2"/>
      <w:sz w:val="24"/>
      <w:szCs w:val="24"/>
    </w:rPr>
  </w:style>
  <w:style w:type="character" w:customStyle="1" w:styleId="64">
    <w:name w:val="标题 5 Char"/>
    <w:basedOn w:val="52"/>
    <w:link w:val="6"/>
    <w:qFormat/>
    <w:uiPriority w:val="0"/>
    <w:rPr>
      <w:b/>
      <w:bCs/>
      <w:kern w:val="2"/>
      <w:sz w:val="28"/>
      <w:szCs w:val="28"/>
    </w:rPr>
  </w:style>
  <w:style w:type="character" w:customStyle="1" w:styleId="65">
    <w:name w:val="标题 6 Char"/>
    <w:basedOn w:val="52"/>
    <w:link w:val="7"/>
    <w:qFormat/>
    <w:uiPriority w:val="0"/>
    <w:rPr>
      <w:b/>
      <w:sz w:val="24"/>
    </w:rPr>
  </w:style>
  <w:style w:type="character" w:customStyle="1" w:styleId="66">
    <w:name w:val="正文缩进 Char"/>
    <w:basedOn w:val="52"/>
    <w:link w:val="9"/>
    <w:qFormat/>
    <w:uiPriority w:val="0"/>
    <w:rPr>
      <w:sz w:val="24"/>
    </w:rPr>
  </w:style>
  <w:style w:type="character" w:customStyle="1" w:styleId="67">
    <w:name w:val="标题 7 Char"/>
    <w:basedOn w:val="52"/>
    <w:link w:val="8"/>
    <w:qFormat/>
    <w:uiPriority w:val="0"/>
    <w:rPr>
      <w:b/>
      <w:kern w:val="2"/>
      <w:sz w:val="24"/>
    </w:rPr>
  </w:style>
  <w:style w:type="character" w:customStyle="1" w:styleId="68">
    <w:name w:val="标题 8 Char"/>
    <w:basedOn w:val="52"/>
    <w:link w:val="10"/>
    <w:qFormat/>
    <w:uiPriority w:val="0"/>
    <w:rPr>
      <w:rFonts w:ascii="Arial" w:hAnsi="Arial" w:eastAsia="黑体"/>
      <w:kern w:val="2"/>
      <w:sz w:val="24"/>
    </w:rPr>
  </w:style>
  <w:style w:type="character" w:customStyle="1" w:styleId="69">
    <w:name w:val="标题 9 Char"/>
    <w:basedOn w:val="52"/>
    <w:link w:val="11"/>
    <w:qFormat/>
    <w:uiPriority w:val="0"/>
    <w:rPr>
      <w:rFonts w:ascii="Arial" w:hAnsi="Arial" w:eastAsia="黑体"/>
      <w:kern w:val="2"/>
      <w:sz w:val="21"/>
    </w:rPr>
  </w:style>
  <w:style w:type="character" w:customStyle="1" w:styleId="70">
    <w:name w:val="正文文本 Char1"/>
    <w:basedOn w:val="52"/>
    <w:link w:val="21"/>
    <w:qFormat/>
    <w:uiPriority w:val="1"/>
    <w:rPr>
      <w:rFonts w:ascii="宋体" w:hAnsi="宋体" w:cs="宋体"/>
      <w:sz w:val="24"/>
      <w:szCs w:val="24"/>
      <w:lang w:eastAsia="en-US"/>
    </w:rPr>
  </w:style>
  <w:style w:type="character" w:customStyle="1" w:styleId="71">
    <w:name w:val="纯文本 Char"/>
    <w:basedOn w:val="52"/>
    <w:link w:val="26"/>
    <w:qFormat/>
    <w:uiPriority w:val="99"/>
    <w:rPr>
      <w:rFonts w:ascii="宋体" w:hAnsi="Courier New" w:cs="Courier New"/>
      <w:sz w:val="22"/>
      <w:szCs w:val="21"/>
      <w:lang w:eastAsia="en-US"/>
    </w:rPr>
  </w:style>
  <w:style w:type="character" w:customStyle="1" w:styleId="72">
    <w:name w:val="页脚 Char"/>
    <w:basedOn w:val="52"/>
    <w:link w:val="31"/>
    <w:qFormat/>
    <w:uiPriority w:val="99"/>
    <w:rPr>
      <w:rFonts w:ascii="宋体" w:hAnsi="宋体" w:cs="宋体"/>
      <w:sz w:val="18"/>
      <w:szCs w:val="18"/>
      <w:lang w:eastAsia="en-US"/>
    </w:rPr>
  </w:style>
  <w:style w:type="character" w:customStyle="1" w:styleId="73">
    <w:name w:val="页眉 Char"/>
    <w:basedOn w:val="52"/>
    <w:link w:val="32"/>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2"/>
    <w:link w:val="20"/>
    <w:qFormat/>
    <w:uiPriority w:val="0"/>
    <w:rPr>
      <w:b/>
      <w:kern w:val="2"/>
      <w:sz w:val="21"/>
    </w:rPr>
  </w:style>
  <w:style w:type="character" w:customStyle="1" w:styleId="81">
    <w:name w:val="普通(网站) Char"/>
    <w:basedOn w:val="52"/>
    <w:link w:val="44"/>
    <w:qFormat/>
    <w:locked/>
    <w:uiPriority w:val="0"/>
    <w:rPr>
      <w:rFonts w:ascii="宋体" w:hAnsi="宋体" w:cs="宋体"/>
      <w:sz w:val="24"/>
      <w:szCs w:val="24"/>
    </w:rPr>
  </w:style>
  <w:style w:type="character" w:customStyle="1" w:styleId="82">
    <w:name w:val="xdrichtextbox2"/>
    <w:basedOn w:val="52"/>
    <w:qFormat/>
    <w:uiPriority w:val="0"/>
    <w:rPr>
      <w:color w:val="0000FF"/>
      <w:sz w:val="18"/>
      <w:szCs w:val="18"/>
      <w:u w:val="none"/>
      <w:bdr w:val="single" w:color="DCDCDC" w:sz="8" w:space="0"/>
      <w:shd w:val="clear" w:color="auto" w:fill="FFFFFF"/>
    </w:rPr>
  </w:style>
  <w:style w:type="character" w:customStyle="1" w:styleId="83">
    <w:name w:val="apple-converted-space"/>
    <w:basedOn w:val="52"/>
    <w:qFormat/>
    <w:uiPriority w:val="0"/>
  </w:style>
  <w:style w:type="character" w:customStyle="1" w:styleId="84">
    <w:name w:val="无间隔 Char"/>
    <w:basedOn w:val="52"/>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2"/>
    <w:link w:val="18"/>
    <w:qFormat/>
    <w:uiPriority w:val="0"/>
    <w:rPr>
      <w:kern w:val="2"/>
      <w:sz w:val="21"/>
    </w:rPr>
  </w:style>
  <w:style w:type="character" w:customStyle="1" w:styleId="87">
    <w:name w:val="批注框文本 Char"/>
    <w:basedOn w:val="52"/>
    <w:link w:val="30"/>
    <w:qFormat/>
    <w:uiPriority w:val="0"/>
    <w:rPr>
      <w:kern w:val="2"/>
      <w:sz w:val="18"/>
      <w:szCs w:val="18"/>
    </w:rPr>
  </w:style>
  <w:style w:type="character" w:customStyle="1" w:styleId="88">
    <w:name w:val="正文文本缩进 3 Char"/>
    <w:basedOn w:val="52"/>
    <w:link w:val="37"/>
    <w:qFormat/>
    <w:uiPriority w:val="0"/>
    <w:rPr>
      <w:kern w:val="2"/>
      <w:sz w:val="28"/>
    </w:rPr>
  </w:style>
  <w:style w:type="character" w:customStyle="1" w:styleId="89">
    <w:name w:val="正文文本缩进 2 Char"/>
    <w:basedOn w:val="52"/>
    <w:link w:val="29"/>
    <w:qFormat/>
    <w:uiPriority w:val="0"/>
    <w:rPr>
      <w:rFonts w:ascii="宋体" w:hAnsi="宋体"/>
      <w:iCs/>
      <w:kern w:val="2"/>
      <w:sz w:val="24"/>
      <w:szCs w:val="24"/>
    </w:rPr>
  </w:style>
  <w:style w:type="character" w:customStyle="1" w:styleId="90">
    <w:name w:val="正文文本 Char"/>
    <w:basedOn w:val="52"/>
    <w:qFormat/>
    <w:uiPriority w:val="0"/>
    <w:rPr>
      <w:rFonts w:eastAsia="宋体"/>
      <w:sz w:val="24"/>
      <w:szCs w:val="24"/>
      <w:lang w:val="en-US" w:eastAsia="zh-CN" w:bidi="ar-SA"/>
    </w:rPr>
  </w:style>
  <w:style w:type="character" w:customStyle="1" w:styleId="91">
    <w:name w:val="en1"/>
    <w:basedOn w:val="52"/>
    <w:qFormat/>
    <w:uiPriority w:val="0"/>
    <w:rPr>
      <w:b/>
      <w:bCs/>
      <w:color w:val="154C7F"/>
      <w:sz w:val="24"/>
      <w:szCs w:val="24"/>
    </w:rPr>
  </w:style>
  <w:style w:type="character" w:customStyle="1" w:styleId="92">
    <w:name w:val="font01"/>
    <w:basedOn w:val="52"/>
    <w:qFormat/>
    <w:uiPriority w:val="0"/>
    <w:rPr>
      <w:rFonts w:hint="eastAsia" w:ascii="宋体" w:hAnsi="宋体" w:eastAsia="宋体" w:cs="宋体"/>
      <w:color w:val="000000"/>
      <w:sz w:val="20"/>
      <w:szCs w:val="20"/>
      <w:u w:val="none"/>
    </w:rPr>
  </w:style>
  <w:style w:type="character" w:customStyle="1" w:styleId="93">
    <w:name w:val="标题 Char"/>
    <w:basedOn w:val="52"/>
    <w:link w:val="46"/>
    <w:qFormat/>
    <w:uiPriority w:val="0"/>
    <w:rPr>
      <w:rFonts w:ascii="Arial" w:hAnsi="Arial" w:cs="Arial"/>
      <w:b/>
      <w:bCs/>
      <w:sz w:val="44"/>
      <w:szCs w:val="32"/>
    </w:rPr>
  </w:style>
  <w:style w:type="character" w:customStyle="1" w:styleId="94">
    <w:name w:val="正文文本缩进 Char"/>
    <w:basedOn w:val="52"/>
    <w:link w:val="22"/>
    <w:qFormat/>
    <w:uiPriority w:val="0"/>
    <w:rPr>
      <w:i/>
      <w:iCs/>
      <w:kern w:val="2"/>
      <w:sz w:val="21"/>
    </w:rPr>
  </w:style>
  <w:style w:type="character" w:customStyle="1" w:styleId="95">
    <w:name w:val="正文文本 3 Char"/>
    <w:basedOn w:val="52"/>
    <w:link w:val="19"/>
    <w:qFormat/>
    <w:uiPriority w:val="0"/>
    <w:rPr>
      <w:color w:val="0000FF"/>
      <w:kern w:val="2"/>
      <w:sz w:val="24"/>
      <w:szCs w:val="24"/>
    </w:rPr>
  </w:style>
  <w:style w:type="character" w:customStyle="1" w:styleId="96">
    <w:name w:val="font11"/>
    <w:basedOn w:val="52"/>
    <w:qFormat/>
    <w:uiPriority w:val="0"/>
    <w:rPr>
      <w:rFonts w:hint="default" w:ascii="Times New Roman" w:hAnsi="Times New Roman" w:cs="Times New Roman"/>
      <w:color w:val="000000"/>
      <w:sz w:val="20"/>
      <w:szCs w:val="20"/>
      <w:u w:val="none"/>
    </w:rPr>
  </w:style>
  <w:style w:type="character" w:customStyle="1" w:styleId="97">
    <w:name w:val="glossaryitem"/>
    <w:basedOn w:val="52"/>
    <w:qFormat/>
    <w:uiPriority w:val="0"/>
    <w:rPr>
      <w:u w:val="none"/>
    </w:rPr>
  </w:style>
  <w:style w:type="character" w:customStyle="1" w:styleId="98">
    <w:name w:val="HTML 预设格式 Char"/>
    <w:basedOn w:val="52"/>
    <w:link w:val="43"/>
    <w:qFormat/>
    <w:uiPriority w:val="0"/>
    <w:rPr>
      <w:rFonts w:ascii="Arial Unicode MS" w:hAnsi="Arial Unicode MS" w:eastAsia="Courier New" w:cs="Courier New"/>
    </w:rPr>
  </w:style>
  <w:style w:type="character" w:customStyle="1" w:styleId="99">
    <w:name w:val="文档结构图 Char"/>
    <w:basedOn w:val="52"/>
    <w:link w:val="17"/>
    <w:qFormat/>
    <w:uiPriority w:val="0"/>
    <w:rPr>
      <w:rFonts w:ascii="宋体"/>
      <w:sz w:val="28"/>
      <w:shd w:val="clear" w:color="auto" w:fill="000080"/>
    </w:rPr>
  </w:style>
  <w:style w:type="character" w:customStyle="1" w:styleId="100">
    <w:name w:val="日期 Char"/>
    <w:basedOn w:val="52"/>
    <w:link w:val="28"/>
    <w:qFormat/>
    <w:uiPriority w:val="0"/>
    <w:rPr>
      <w:kern w:val="2"/>
      <w:sz w:val="21"/>
      <w:szCs w:val="24"/>
    </w:rPr>
  </w:style>
  <w:style w:type="character" w:customStyle="1" w:styleId="101">
    <w:name w:val="正文文本 2 Char"/>
    <w:basedOn w:val="52"/>
    <w:link w:val="40"/>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4"/>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2"/>
    <w:link w:val="42"/>
    <w:qFormat/>
    <w:uiPriority w:val="0"/>
    <w:rPr>
      <w:rFonts w:ascii="Arial" w:hAnsi="Arial" w:cs="Arial"/>
      <w:kern w:val="2"/>
      <w:sz w:val="24"/>
      <w:szCs w:val="24"/>
      <w:shd w:val="pct20" w:color="auto" w:fill="auto"/>
    </w:rPr>
  </w:style>
  <w:style w:type="character" w:customStyle="1" w:styleId="108">
    <w:name w:val="正文文本 3 Char1"/>
    <w:basedOn w:val="52"/>
    <w:qFormat/>
    <w:uiPriority w:val="0"/>
    <w:rPr>
      <w:rFonts w:ascii="宋体" w:hAnsi="宋体" w:cs="宋体"/>
      <w:sz w:val="16"/>
      <w:szCs w:val="16"/>
      <w:lang w:eastAsia="en-US"/>
    </w:rPr>
  </w:style>
  <w:style w:type="paragraph" w:customStyle="1" w:styleId="109">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2"/>
    <w:qFormat/>
    <w:uiPriority w:val="0"/>
    <w:rPr>
      <w:rFonts w:ascii="宋体" w:hAnsi="宋体" w:cs="宋体"/>
      <w:sz w:val="22"/>
      <w:szCs w:val="22"/>
      <w:lang w:eastAsia="en-US"/>
    </w:rPr>
  </w:style>
  <w:style w:type="character" w:customStyle="1" w:styleId="112">
    <w:name w:val="批注文字 Char1"/>
    <w:basedOn w:val="52"/>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2"/>
    <w:qFormat/>
    <w:uiPriority w:val="0"/>
    <w:rPr>
      <w:rFonts w:ascii="宋体" w:hAnsi="宋体" w:cs="宋体"/>
      <w:sz w:val="18"/>
      <w:szCs w:val="18"/>
      <w:lang w:eastAsia="en-US"/>
    </w:rPr>
  </w:style>
  <w:style w:type="character" w:customStyle="1" w:styleId="117">
    <w:name w:val="日期 Char1"/>
    <w:basedOn w:val="52"/>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2"/>
    <w:qFormat/>
    <w:uiPriority w:val="0"/>
    <w:rPr>
      <w:rFonts w:ascii="Courier New" w:hAnsi="Courier New" w:cs="Courier New"/>
      <w:lang w:eastAsia="en-US"/>
    </w:rPr>
  </w:style>
  <w:style w:type="character" w:customStyle="1" w:styleId="122">
    <w:name w:val="正文文本缩进 Char1"/>
    <w:basedOn w:val="52"/>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2"/>
    <w:qFormat/>
    <w:uiPriority w:val="0"/>
    <w:rPr>
      <w:rFonts w:ascii="宋体" w:hAnsi="宋体" w:cs="宋体"/>
      <w:sz w:val="22"/>
      <w:szCs w:val="22"/>
      <w:lang w:eastAsia="en-US"/>
    </w:rPr>
  </w:style>
  <w:style w:type="character" w:customStyle="1" w:styleId="130">
    <w:name w:val="标题 Char1"/>
    <w:basedOn w:val="52"/>
    <w:qFormat/>
    <w:uiPriority w:val="0"/>
    <w:rPr>
      <w:rFonts w:asciiTheme="majorHAnsi" w:hAnsiTheme="majorHAnsi" w:cstheme="majorBidi"/>
      <w:b/>
      <w:bCs/>
      <w:sz w:val="32"/>
      <w:szCs w:val="32"/>
      <w:lang w:eastAsia="en-US"/>
    </w:rPr>
  </w:style>
  <w:style w:type="character" w:customStyle="1" w:styleId="131">
    <w:name w:val="正文文本缩进 3 Char1"/>
    <w:basedOn w:val="52"/>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2"/>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2"/>
    <w:qFormat/>
    <w:uiPriority w:val="0"/>
  </w:style>
  <w:style w:type="character" w:customStyle="1" w:styleId="208">
    <w:name w:val="xdrichtextbox3"/>
    <w:basedOn w:val="52"/>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 w:type="character" w:customStyle="1" w:styleId="211">
    <w:name w:val="NormalCharacter"/>
    <w:autoRedefine/>
    <w:qFormat/>
    <w:uiPriority w:val="0"/>
  </w:style>
  <w:style w:type="paragraph" w:customStyle="1" w:styleId="212">
    <w:name w:val="章标题"/>
    <w:next w:val="1"/>
    <w:autoRedefine/>
    <w:qFormat/>
    <w:uiPriority w:val="0"/>
    <w:pPr>
      <w:numPr>
        <w:ilvl w:val="0"/>
        <w:numId w:val="7"/>
      </w:numPr>
      <w:spacing w:before="312" w:beforeLines="100" w:line="360" w:lineRule="auto"/>
      <w:jc w:val="both"/>
      <w:outlineLvl w:val="0"/>
    </w:pPr>
    <w:rPr>
      <w:rFonts w:ascii="宋体" w:hAnsi="宋体" w:eastAsia="宋体" w:cs="宋体"/>
      <w:b/>
      <w:bCs/>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8"/>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47</Pages>
  <Words>11352</Words>
  <Characters>12005</Characters>
  <Lines>121</Lines>
  <Paragraphs>34</Paragraphs>
  <TotalTime>42</TotalTime>
  <ScaleCrop>false</ScaleCrop>
  <LinksUpToDate>false</LinksUpToDate>
  <CharactersWithSpaces>12994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2026-06-23T07:13:18Z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