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4A1F4">
      <w:pPr>
        <w:rPr>
          <w:rFonts w:hint="eastAsia" w:ascii="宋体" w:hAnsi="宋体" w:eastAsia="宋体" w:cs="宋体"/>
          <w:b/>
          <w:color w:val="auto"/>
          <w:sz w:val="44"/>
          <w:szCs w:val="44"/>
        </w:rPr>
      </w:pPr>
    </w:p>
    <w:p w14:paraId="7E11DD64">
      <w:pPr>
        <w:spacing w:line="240" w:lineRule="auto"/>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福建福海创石油化工有限公司</w:t>
      </w:r>
    </w:p>
    <w:p w14:paraId="39AF3F92">
      <w:pPr>
        <w:spacing w:line="240" w:lineRule="auto"/>
        <w:jc w:val="center"/>
        <w:rPr>
          <w:rFonts w:hint="default" w:ascii="宋体" w:hAnsi="宋体" w:eastAsia="宋体" w:cs="宋体"/>
          <w:b/>
          <w:bCs/>
          <w:color w:val="auto"/>
          <w:sz w:val="44"/>
          <w:szCs w:val="44"/>
          <w:lang w:val="en-US" w:eastAsia="zh-CN"/>
        </w:rPr>
      </w:pPr>
      <w:r>
        <w:rPr>
          <w:rFonts w:hint="eastAsia" w:ascii="宋体" w:hAnsi="宋体" w:eastAsia="宋体" w:cs="宋体"/>
          <w:b/>
          <w:bCs/>
          <w:color w:val="auto"/>
          <w:sz w:val="44"/>
          <w:szCs w:val="44"/>
        </w:rPr>
        <w:t>芳烃装置优化节能改造项目</w:t>
      </w:r>
      <w:r>
        <w:rPr>
          <w:rFonts w:hint="eastAsia" w:ascii="宋体" w:hAnsi="宋体" w:eastAsia="宋体" w:cs="宋体"/>
          <w:b/>
          <w:bCs/>
          <w:color w:val="auto"/>
          <w:sz w:val="44"/>
          <w:szCs w:val="44"/>
          <w:lang w:val="en-US" w:eastAsia="zh-CN"/>
        </w:rPr>
        <w:t>工业管道及设备化学清洗服务工程</w:t>
      </w:r>
    </w:p>
    <w:p w14:paraId="0CA8ACD0">
      <w:pPr>
        <w:pStyle w:val="2"/>
        <w:kinsoku w:val="0"/>
        <w:overflowPunct w:val="0"/>
        <w:spacing w:before="153" w:line="240" w:lineRule="auto"/>
        <w:ind w:left="2910" w:right="2926"/>
        <w:jc w:val="center"/>
        <w:rPr>
          <w:rFonts w:hint="eastAsia" w:ascii="宋体" w:hAnsi="宋体" w:eastAsia="宋体" w:cs="宋体"/>
          <w:b/>
          <w:color w:val="auto"/>
          <w:spacing w:val="1"/>
          <w:w w:val="99"/>
          <w:sz w:val="44"/>
          <w:szCs w:val="44"/>
        </w:rPr>
      </w:pPr>
    </w:p>
    <w:p w14:paraId="5E0E556E">
      <w:pPr>
        <w:pStyle w:val="2"/>
        <w:kinsoku w:val="0"/>
        <w:overflowPunct w:val="0"/>
        <w:spacing w:before="153" w:line="240" w:lineRule="auto"/>
        <w:ind w:left="2910" w:right="2926"/>
        <w:jc w:val="center"/>
        <w:rPr>
          <w:rFonts w:hint="eastAsia" w:ascii="宋体" w:hAnsi="宋体" w:eastAsia="宋体" w:cs="宋体"/>
          <w:b/>
          <w:color w:val="auto"/>
          <w:spacing w:val="1"/>
          <w:w w:val="99"/>
          <w:sz w:val="44"/>
          <w:szCs w:val="44"/>
        </w:rPr>
      </w:pPr>
    </w:p>
    <w:p w14:paraId="5A4EC2CD">
      <w:pPr>
        <w:spacing w:line="240" w:lineRule="auto"/>
        <w:jc w:val="center"/>
        <w:rPr>
          <w:rFonts w:hint="eastAsia" w:ascii="宋体" w:hAnsi="宋体" w:eastAsia="宋体" w:cs="宋体"/>
          <w:color w:val="auto"/>
          <w:sz w:val="44"/>
          <w:szCs w:val="44"/>
        </w:rPr>
      </w:pPr>
      <w:bookmarkStart w:id="0" w:name="_Hlk190692153"/>
      <w:r>
        <w:rPr>
          <w:rFonts w:hint="eastAsia" w:ascii="宋体" w:hAnsi="宋体" w:eastAsia="宋体" w:cs="宋体"/>
          <w:b/>
          <w:color w:val="auto"/>
          <w:sz w:val="44"/>
          <w:szCs w:val="44"/>
        </w:rPr>
        <w:t>采购技术要求</w:t>
      </w:r>
    </w:p>
    <w:bookmarkEnd w:id="0"/>
    <w:p w14:paraId="4DB9DD99">
      <w:pPr>
        <w:pStyle w:val="2"/>
        <w:kinsoku w:val="0"/>
        <w:overflowPunct w:val="0"/>
        <w:spacing w:before="0" w:line="240" w:lineRule="auto"/>
        <w:ind w:left="1039" w:right="1054"/>
        <w:jc w:val="center"/>
        <w:rPr>
          <w:rFonts w:hint="eastAsia" w:ascii="宋体" w:hAnsi="宋体" w:eastAsia="宋体" w:cs="宋体"/>
          <w:b/>
          <w:color w:val="auto"/>
          <w:sz w:val="44"/>
          <w:szCs w:val="44"/>
        </w:rPr>
      </w:pPr>
    </w:p>
    <w:p w14:paraId="31915BEB">
      <w:pPr>
        <w:pStyle w:val="2"/>
        <w:kinsoku w:val="0"/>
        <w:overflowPunct w:val="0"/>
        <w:spacing w:before="0" w:line="240" w:lineRule="auto"/>
        <w:ind w:left="0"/>
        <w:rPr>
          <w:rFonts w:hint="eastAsia" w:ascii="宋体" w:hAnsi="宋体" w:eastAsia="宋体" w:cs="宋体"/>
          <w:b/>
          <w:color w:val="auto"/>
          <w:sz w:val="44"/>
          <w:szCs w:val="44"/>
        </w:rPr>
      </w:pPr>
    </w:p>
    <w:p w14:paraId="617305A6">
      <w:pPr>
        <w:pStyle w:val="2"/>
        <w:kinsoku w:val="0"/>
        <w:overflowPunct w:val="0"/>
        <w:spacing w:before="0" w:line="240" w:lineRule="auto"/>
        <w:ind w:left="0"/>
        <w:rPr>
          <w:rFonts w:hint="eastAsia" w:ascii="宋体" w:hAnsi="宋体" w:eastAsia="宋体" w:cs="宋体"/>
          <w:b/>
          <w:color w:val="auto"/>
          <w:sz w:val="44"/>
          <w:szCs w:val="44"/>
        </w:rPr>
      </w:pPr>
    </w:p>
    <w:p w14:paraId="0665D9A5">
      <w:pPr>
        <w:pStyle w:val="2"/>
        <w:kinsoku w:val="0"/>
        <w:overflowPunct w:val="0"/>
        <w:spacing w:before="0" w:line="240" w:lineRule="auto"/>
        <w:ind w:left="0"/>
        <w:rPr>
          <w:rFonts w:hint="eastAsia" w:ascii="宋体" w:hAnsi="宋体" w:eastAsia="宋体" w:cs="宋体"/>
          <w:b/>
          <w:color w:val="auto"/>
          <w:sz w:val="28"/>
          <w:szCs w:val="28"/>
        </w:rPr>
      </w:pPr>
    </w:p>
    <w:p w14:paraId="671E0DEE">
      <w:pPr>
        <w:pStyle w:val="2"/>
        <w:kinsoku w:val="0"/>
        <w:overflowPunct w:val="0"/>
        <w:spacing w:before="0" w:line="240" w:lineRule="auto"/>
        <w:ind w:left="0"/>
        <w:rPr>
          <w:rFonts w:hint="eastAsia" w:ascii="宋体" w:hAnsi="宋体" w:eastAsia="宋体" w:cs="宋体"/>
          <w:b/>
          <w:color w:val="auto"/>
          <w:sz w:val="28"/>
          <w:szCs w:val="28"/>
        </w:rPr>
      </w:pPr>
    </w:p>
    <w:p w14:paraId="3C2FB4DF">
      <w:pPr>
        <w:pStyle w:val="2"/>
        <w:kinsoku w:val="0"/>
        <w:overflowPunct w:val="0"/>
        <w:spacing w:before="0" w:line="240" w:lineRule="auto"/>
        <w:ind w:left="0"/>
        <w:rPr>
          <w:rFonts w:hint="eastAsia" w:ascii="宋体" w:hAnsi="宋体" w:eastAsia="宋体" w:cs="宋体"/>
          <w:b/>
          <w:color w:val="auto"/>
          <w:sz w:val="28"/>
          <w:szCs w:val="28"/>
        </w:rPr>
      </w:pPr>
    </w:p>
    <w:p w14:paraId="4ADE4826">
      <w:pPr>
        <w:pStyle w:val="2"/>
        <w:kinsoku w:val="0"/>
        <w:overflowPunct w:val="0"/>
        <w:spacing w:before="0" w:line="240" w:lineRule="auto"/>
        <w:ind w:left="0"/>
        <w:rPr>
          <w:rFonts w:hint="eastAsia" w:ascii="宋体" w:hAnsi="宋体" w:eastAsia="宋体" w:cs="宋体"/>
          <w:b/>
          <w:color w:val="auto"/>
          <w:sz w:val="28"/>
          <w:szCs w:val="28"/>
        </w:rPr>
      </w:pPr>
    </w:p>
    <w:p w14:paraId="711E23BA">
      <w:pPr>
        <w:pStyle w:val="2"/>
        <w:kinsoku w:val="0"/>
        <w:overflowPunct w:val="0"/>
        <w:spacing w:before="0" w:line="240" w:lineRule="auto"/>
        <w:ind w:left="0"/>
        <w:rPr>
          <w:rFonts w:hint="eastAsia" w:ascii="宋体" w:hAnsi="宋体" w:eastAsia="宋体" w:cs="宋体"/>
          <w:b/>
          <w:color w:val="auto"/>
          <w:sz w:val="28"/>
          <w:szCs w:val="28"/>
        </w:rPr>
      </w:pPr>
    </w:p>
    <w:p w14:paraId="69E31845">
      <w:pPr>
        <w:pStyle w:val="2"/>
        <w:kinsoku w:val="0"/>
        <w:overflowPunct w:val="0"/>
        <w:spacing w:before="0" w:line="240" w:lineRule="auto"/>
        <w:ind w:left="0"/>
        <w:rPr>
          <w:rFonts w:hint="eastAsia" w:ascii="宋体" w:hAnsi="宋体" w:eastAsia="宋体" w:cs="宋体"/>
          <w:b/>
          <w:color w:val="auto"/>
          <w:sz w:val="28"/>
          <w:szCs w:val="28"/>
        </w:rPr>
      </w:pPr>
    </w:p>
    <w:p w14:paraId="2A6D6628">
      <w:pPr>
        <w:pStyle w:val="2"/>
        <w:kinsoku w:val="0"/>
        <w:overflowPunct w:val="0"/>
        <w:spacing w:before="0" w:line="240" w:lineRule="auto"/>
        <w:ind w:left="0"/>
        <w:rPr>
          <w:rFonts w:hint="eastAsia" w:ascii="宋体" w:hAnsi="宋体" w:eastAsia="宋体" w:cs="宋体"/>
          <w:b/>
          <w:color w:val="auto"/>
          <w:sz w:val="28"/>
          <w:szCs w:val="28"/>
        </w:rPr>
      </w:pPr>
    </w:p>
    <w:p w14:paraId="2967011B">
      <w:pPr>
        <w:pStyle w:val="2"/>
        <w:kinsoku w:val="0"/>
        <w:overflowPunct w:val="0"/>
        <w:spacing w:before="0" w:line="240" w:lineRule="auto"/>
        <w:ind w:left="0"/>
        <w:rPr>
          <w:rFonts w:hint="eastAsia" w:ascii="宋体" w:hAnsi="宋体" w:eastAsia="宋体" w:cs="宋体"/>
          <w:b/>
          <w:color w:val="auto"/>
          <w:sz w:val="28"/>
          <w:szCs w:val="28"/>
        </w:rPr>
      </w:pPr>
    </w:p>
    <w:p w14:paraId="3A3A41C5">
      <w:pPr>
        <w:pStyle w:val="2"/>
        <w:kinsoku w:val="0"/>
        <w:overflowPunct w:val="0"/>
        <w:spacing w:before="0" w:line="240" w:lineRule="auto"/>
        <w:ind w:left="0"/>
        <w:rPr>
          <w:rFonts w:hint="eastAsia" w:ascii="宋体" w:hAnsi="宋体" w:eastAsia="宋体" w:cs="宋体"/>
          <w:b/>
          <w:color w:val="auto"/>
          <w:sz w:val="28"/>
          <w:szCs w:val="28"/>
        </w:rPr>
      </w:pPr>
    </w:p>
    <w:p w14:paraId="24996DDB">
      <w:pPr>
        <w:pStyle w:val="2"/>
        <w:kinsoku w:val="0"/>
        <w:overflowPunct w:val="0"/>
        <w:spacing w:before="0" w:line="240" w:lineRule="auto"/>
        <w:ind w:left="0"/>
        <w:rPr>
          <w:rFonts w:hint="eastAsia" w:ascii="宋体" w:hAnsi="宋体" w:eastAsia="宋体" w:cs="宋体"/>
          <w:b/>
          <w:color w:val="auto"/>
          <w:sz w:val="28"/>
          <w:szCs w:val="28"/>
        </w:rPr>
      </w:pPr>
    </w:p>
    <w:p w14:paraId="1F60F85C">
      <w:pPr>
        <w:pStyle w:val="2"/>
        <w:kinsoku w:val="0"/>
        <w:overflowPunct w:val="0"/>
        <w:spacing w:before="0" w:line="240" w:lineRule="auto"/>
        <w:ind w:left="0"/>
        <w:rPr>
          <w:rFonts w:hint="eastAsia" w:ascii="宋体" w:hAnsi="宋体" w:eastAsia="宋体" w:cs="宋体"/>
          <w:b/>
          <w:color w:val="auto"/>
          <w:sz w:val="36"/>
          <w:szCs w:val="36"/>
        </w:rPr>
      </w:pPr>
    </w:p>
    <w:p w14:paraId="64A5C87F">
      <w:pPr>
        <w:pStyle w:val="2"/>
        <w:kinsoku w:val="0"/>
        <w:overflowPunct w:val="0"/>
        <w:spacing w:before="6" w:line="240" w:lineRule="auto"/>
        <w:ind w:left="0"/>
        <w:rPr>
          <w:rFonts w:hint="eastAsia" w:ascii="宋体" w:hAnsi="宋体" w:eastAsia="宋体" w:cs="宋体"/>
          <w:b/>
          <w:color w:val="auto"/>
          <w:sz w:val="36"/>
          <w:szCs w:val="36"/>
        </w:rPr>
      </w:pPr>
    </w:p>
    <w:p w14:paraId="1C60EE19">
      <w:pPr>
        <w:spacing w:line="240" w:lineRule="auto"/>
        <w:jc w:val="center"/>
        <w:rPr>
          <w:rFonts w:hint="eastAsia" w:ascii="宋体" w:hAnsi="宋体" w:eastAsia="宋体" w:cs="宋体"/>
          <w:color w:val="auto"/>
          <w:sz w:val="36"/>
          <w:szCs w:val="36"/>
          <w:lang w:val="en-US" w:eastAsia="zh-CN"/>
        </w:rPr>
        <w:sectPr>
          <w:footerReference r:id="rId3" w:type="default"/>
          <w:pgSz w:w="11910" w:h="16840"/>
          <w:pgMar w:top="1440" w:right="1803" w:bottom="1440" w:left="1803" w:header="720" w:footer="720" w:gutter="0"/>
          <w:lnNumType w:countBy="0" w:distance="360"/>
          <w:pgNumType w:fmt="decimal" w:start="1"/>
          <w:cols w:space="720" w:num="1"/>
        </w:sectPr>
      </w:pPr>
      <w:r>
        <w:rPr>
          <w:rFonts w:hint="eastAsia" w:ascii="宋体" w:hAnsi="宋体" w:eastAsia="宋体" w:cs="宋体"/>
          <w:color w:val="auto"/>
          <w:sz w:val="36"/>
          <w:szCs w:val="36"/>
        </w:rPr>
        <w:t>202</w:t>
      </w:r>
      <w:r>
        <w:rPr>
          <w:rFonts w:hint="eastAsia" w:ascii="宋体" w:hAnsi="宋体" w:eastAsia="宋体" w:cs="宋体"/>
          <w:color w:val="auto"/>
          <w:sz w:val="36"/>
          <w:szCs w:val="36"/>
          <w:lang w:val="en-US" w:eastAsia="zh-CN"/>
        </w:rPr>
        <w:t>6</w:t>
      </w:r>
      <w:r>
        <w:rPr>
          <w:rFonts w:hint="eastAsia" w:ascii="宋体" w:hAnsi="宋体" w:eastAsia="宋体" w:cs="宋体"/>
          <w:color w:val="auto"/>
          <w:sz w:val="36"/>
          <w:szCs w:val="36"/>
        </w:rPr>
        <w:t>年</w:t>
      </w:r>
      <w:r>
        <w:rPr>
          <w:rFonts w:hint="eastAsia" w:ascii="宋体" w:hAnsi="宋体" w:eastAsia="宋体" w:cs="宋体"/>
          <w:color w:val="auto"/>
          <w:sz w:val="36"/>
          <w:szCs w:val="36"/>
          <w:lang w:val="en-US" w:eastAsia="zh-CN"/>
        </w:rPr>
        <w:t>3月</w:t>
      </w:r>
    </w:p>
    <w:p w14:paraId="0AC5FB6A">
      <w:pPr>
        <w:spacing w:before="380" w:after="140" w:line="240" w:lineRule="auto"/>
        <w:ind w:left="0"/>
        <w:jc w:val="left"/>
        <w:outlineLvl w:val="0"/>
        <w:rPr>
          <w:rFonts w:hint="eastAsia" w:ascii="宋体" w:hAnsi="宋体" w:eastAsia="宋体" w:cs="宋体"/>
          <w:color w:val="auto"/>
          <w:sz w:val="28"/>
          <w:szCs w:val="28"/>
        </w:rPr>
      </w:pPr>
      <w:bookmarkStart w:id="1" w:name="heading_0"/>
      <w:r>
        <w:rPr>
          <w:rFonts w:hint="eastAsia" w:ascii="宋体" w:hAnsi="宋体" w:eastAsia="宋体" w:cs="宋体"/>
          <w:b/>
          <w:color w:val="auto"/>
          <w:sz w:val="28"/>
          <w:szCs w:val="28"/>
        </w:rPr>
        <w:t>1. 总则</w:t>
      </w:r>
      <w:bookmarkEnd w:id="1"/>
    </w:p>
    <w:p w14:paraId="046DBAD3">
      <w:pPr>
        <w:spacing w:before="320" w:after="120" w:line="240" w:lineRule="auto"/>
        <w:ind w:left="0"/>
        <w:jc w:val="left"/>
        <w:outlineLvl w:val="1"/>
        <w:rPr>
          <w:rFonts w:hint="eastAsia" w:ascii="宋体" w:hAnsi="宋体" w:eastAsia="宋体" w:cs="宋体"/>
          <w:b/>
          <w:color w:val="auto"/>
          <w:sz w:val="28"/>
          <w:szCs w:val="28"/>
        </w:rPr>
      </w:pPr>
      <w:bookmarkStart w:id="2" w:name="heading_1"/>
      <w:r>
        <w:rPr>
          <w:rFonts w:hint="eastAsia" w:ascii="宋体" w:hAnsi="宋体" w:eastAsia="宋体" w:cs="宋体"/>
          <w:b/>
          <w:color w:val="auto"/>
          <w:sz w:val="28"/>
          <w:szCs w:val="28"/>
        </w:rPr>
        <w:t>1.1 、工程介绍</w:t>
      </w:r>
    </w:p>
    <w:p w14:paraId="3603D4AC">
      <w:pPr>
        <w:spacing w:before="320" w:after="120" w:line="240" w:lineRule="auto"/>
        <w:ind w:left="0"/>
        <w:jc w:val="left"/>
        <w:outlineLvl w:val="1"/>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本次采购的项目为福建福海创石油化工有限公司芳烃装置优化节能改造项目</w:t>
      </w:r>
      <w:r>
        <w:rPr>
          <w:rFonts w:hint="eastAsia" w:ascii="宋体" w:hAnsi="宋体" w:eastAsia="宋体" w:cs="宋体"/>
          <w:b w:val="0"/>
          <w:bCs/>
          <w:color w:val="auto"/>
          <w:sz w:val="28"/>
          <w:szCs w:val="28"/>
          <w:lang w:val="en-US" w:eastAsia="zh-CN"/>
        </w:rPr>
        <w:t>工业管道及设备化学清洗工程</w:t>
      </w:r>
      <w:r>
        <w:rPr>
          <w:rFonts w:hint="eastAsia" w:ascii="宋体" w:hAnsi="宋体" w:eastAsia="宋体" w:cs="宋体"/>
          <w:b w:val="0"/>
          <w:bCs/>
          <w:color w:val="auto"/>
          <w:sz w:val="28"/>
          <w:szCs w:val="28"/>
        </w:rPr>
        <w:t xml:space="preserve">。 </w:t>
      </w:r>
      <w:bookmarkEnd w:id="2"/>
    </w:p>
    <w:p w14:paraId="69E09740">
      <w:pPr>
        <w:spacing w:before="320" w:after="120" w:line="240" w:lineRule="auto"/>
        <w:ind w:left="0"/>
        <w:jc w:val="left"/>
        <w:outlineLvl w:val="1"/>
        <w:rPr>
          <w:rFonts w:hint="default" w:ascii="宋体" w:hAnsi="宋体" w:eastAsia="宋体" w:cs="宋体"/>
          <w:b/>
          <w:bCs w:val="0"/>
          <w:color w:val="auto"/>
          <w:sz w:val="28"/>
          <w:szCs w:val="28"/>
          <w:lang w:val="en-US" w:eastAsia="zh-CN"/>
        </w:rPr>
      </w:pPr>
      <w:r>
        <w:rPr>
          <w:rFonts w:hint="eastAsia" w:ascii="宋体" w:hAnsi="宋体" w:eastAsia="宋体" w:cs="宋体"/>
          <w:b/>
          <w:bCs w:val="0"/>
          <w:color w:val="auto"/>
          <w:sz w:val="28"/>
          <w:szCs w:val="28"/>
          <w:lang w:val="en-US" w:eastAsia="zh-CN"/>
        </w:rPr>
        <w:t>1.2、发包说明</w:t>
      </w:r>
    </w:p>
    <w:p w14:paraId="75AC89AE">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本文件规范了本次管道及设备化学清洗工程承包管理，明确清洗范 </w:t>
      </w:r>
    </w:p>
    <w:p w14:paraId="2E6A7FE4">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围、技术要求、质量标准、安全环保要求及双方责任，确保清洗工 </w:t>
      </w:r>
    </w:p>
    <w:p w14:paraId="1839D6EA">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程安全、高效、合规完成，保障管道及设备后续稳定运行。本文件 </w:t>
      </w:r>
    </w:p>
    <w:p w14:paraId="71029806">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适用于本次工业管道及设备化学清洗工程的投标单位（以下简称“ </w:t>
      </w:r>
    </w:p>
    <w:p w14:paraId="18D0D02E">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投标方”）的筛选、施工指导、质量验收及安全管理，涵盖清洗工 </w:t>
      </w:r>
    </w:p>
    <w:p w14:paraId="1585D040">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程的全部工序（含脚手架等施工措施）、人员、设备、药剂及环 </w:t>
      </w:r>
    </w:p>
    <w:p w14:paraId="44CBC506">
      <w:pPr>
        <w:keepNext w:val="0"/>
        <w:keepLines w:val="0"/>
        <w:widowControl/>
        <w:suppressLineNumbers w:val="0"/>
        <w:jc w:val="left"/>
        <w:rPr>
          <w:rFonts w:hint="eastAsia" w:ascii="宋体" w:hAnsi="宋体" w:eastAsia="宋体" w:cs="宋体"/>
          <w:color w:val="auto"/>
          <w:sz w:val="28"/>
          <w:szCs w:val="28"/>
        </w:rPr>
      </w:pPr>
      <w:r>
        <w:rPr>
          <w:rFonts w:hint="eastAsia" w:ascii="宋体" w:hAnsi="宋体" w:eastAsia="宋体" w:cs="宋体"/>
          <w:color w:val="000000"/>
          <w:kern w:val="0"/>
          <w:sz w:val="28"/>
          <w:szCs w:val="28"/>
          <w:lang w:val="en-US" w:eastAsia="zh-CN" w:bidi="ar"/>
        </w:rPr>
        <w:t>保处置等相关环节。</w:t>
      </w:r>
    </w:p>
    <w:p w14:paraId="7193F873">
      <w:pPr>
        <w:spacing w:before="320" w:after="120" w:line="240" w:lineRule="auto"/>
        <w:ind w:left="0"/>
        <w:jc w:val="left"/>
        <w:outlineLvl w:val="1"/>
        <w:rPr>
          <w:rFonts w:hint="eastAsia" w:ascii="宋体" w:hAnsi="宋体" w:eastAsia="宋体" w:cs="宋体"/>
          <w:color w:val="auto"/>
          <w:sz w:val="28"/>
          <w:szCs w:val="28"/>
        </w:rPr>
      </w:pPr>
      <w:bookmarkStart w:id="3" w:name="heading_3"/>
      <w:r>
        <w:rPr>
          <w:rFonts w:hint="eastAsia" w:ascii="宋体" w:hAnsi="宋体" w:eastAsia="宋体" w:cs="宋体"/>
          <w:b/>
          <w:color w:val="auto"/>
          <w:sz w:val="28"/>
          <w:szCs w:val="28"/>
        </w:rPr>
        <w:t>1.3 编制依据</w:t>
      </w:r>
      <w:bookmarkEnd w:id="3"/>
    </w:p>
    <w:p w14:paraId="7069C260">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本技术文件编制严格遵循以下国家及行业标准、规范，承包方施工过程中必须严格执行：</w:t>
      </w:r>
    </w:p>
    <w:p w14:paraId="36999886">
      <w:pPr>
        <w:numPr>
          <w:ilvl w:val="0"/>
          <w:numId w:val="1"/>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《工业金属管道工程施工质量验收规范》（GB 50235-2010）</w:t>
      </w:r>
    </w:p>
    <w:p w14:paraId="447769E1">
      <w:pPr>
        <w:numPr>
          <w:ilvl w:val="0"/>
          <w:numId w:val="2"/>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《石油化工管道清洗及钝化技术规范》（SH/T 3547-2011）</w:t>
      </w:r>
    </w:p>
    <w:p w14:paraId="7CAE71F1">
      <w:pPr>
        <w:numPr>
          <w:ilvl w:val="0"/>
          <w:numId w:val="3"/>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《工业设备化学清洗质量标准》（HG/T 2387-2007）</w:t>
      </w:r>
    </w:p>
    <w:p w14:paraId="269A4A08">
      <w:pPr>
        <w:numPr>
          <w:ilvl w:val="0"/>
          <w:numId w:val="4"/>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《危险化学品安全管理条例》（国务院令第591号）</w:t>
      </w:r>
    </w:p>
    <w:p w14:paraId="057D0FC8">
      <w:pPr>
        <w:numPr>
          <w:ilvl w:val="0"/>
          <w:numId w:val="5"/>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《污水综合排放标准》（GB 8978-1996）</w:t>
      </w:r>
    </w:p>
    <w:p w14:paraId="54BD3679">
      <w:pPr>
        <w:numPr>
          <w:ilvl w:val="0"/>
          <w:numId w:val="6"/>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本次清洗管道的设计文件、材质证明</w:t>
      </w:r>
      <w:r>
        <w:rPr>
          <w:rFonts w:hint="eastAsia" w:ascii="宋体" w:hAnsi="宋体" w:eastAsia="宋体" w:cs="宋体"/>
          <w:color w:val="auto"/>
          <w:sz w:val="28"/>
          <w:szCs w:val="28"/>
          <w:lang w:val="en-US" w:eastAsia="zh-CN"/>
        </w:rPr>
        <w:t>等相关文件资料</w:t>
      </w:r>
    </w:p>
    <w:p w14:paraId="446BF805">
      <w:pPr>
        <w:spacing w:before="320" w:after="120" w:line="240" w:lineRule="auto"/>
        <w:ind w:left="0"/>
        <w:jc w:val="left"/>
        <w:outlineLvl w:val="1"/>
        <w:rPr>
          <w:rFonts w:hint="eastAsia" w:ascii="宋体" w:hAnsi="宋体" w:eastAsia="宋体" w:cs="宋体"/>
          <w:color w:val="auto"/>
          <w:sz w:val="28"/>
          <w:szCs w:val="28"/>
        </w:rPr>
      </w:pPr>
      <w:bookmarkStart w:id="4" w:name="heading_4"/>
      <w:r>
        <w:rPr>
          <w:rFonts w:hint="eastAsia" w:ascii="宋体" w:hAnsi="宋体" w:eastAsia="宋体" w:cs="宋体"/>
          <w:b/>
          <w:color w:val="auto"/>
          <w:sz w:val="28"/>
          <w:szCs w:val="28"/>
        </w:rPr>
        <w:t>1.4 工程概况</w:t>
      </w:r>
      <w:bookmarkEnd w:id="4"/>
    </w:p>
    <w:p w14:paraId="4DC40DDB">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1.4.1 </w:t>
      </w:r>
      <w:r>
        <w:rPr>
          <w:rFonts w:hint="eastAsia" w:ascii="宋体" w:hAnsi="宋体" w:eastAsia="宋体" w:cs="宋体"/>
          <w:color w:val="auto"/>
          <w:sz w:val="28"/>
          <w:szCs w:val="28"/>
          <w:lang w:val="en-US" w:eastAsia="zh-CN"/>
        </w:rPr>
        <w:t>化学清洗范围</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本次需要对6台设备进行清洗，设备材质为Q345R与304不锈钢；</w:t>
      </w:r>
      <w:r>
        <w:rPr>
          <w:rFonts w:hint="eastAsia" w:ascii="宋体" w:hAnsi="宋体" w:eastAsia="宋体" w:cs="宋体"/>
          <w:color w:val="auto"/>
          <w:sz w:val="28"/>
          <w:szCs w:val="28"/>
        </w:rPr>
        <w:t>本次需清洗工业管道共计</w:t>
      </w:r>
      <w:r>
        <w:rPr>
          <w:rFonts w:hint="eastAsia" w:ascii="宋体" w:hAnsi="宋体" w:eastAsia="宋体" w:cs="宋体"/>
          <w:color w:val="auto"/>
          <w:sz w:val="28"/>
          <w:szCs w:val="28"/>
          <w:lang w:val="en-US" w:eastAsia="zh-CN"/>
        </w:rPr>
        <w:t>约</w:t>
      </w:r>
      <w:r>
        <w:rPr>
          <w:rFonts w:hint="eastAsia" w:ascii="宋体" w:hAnsi="宋体" w:eastAsia="宋体" w:cs="宋体"/>
          <w:color w:val="auto"/>
          <w:sz w:val="28"/>
          <w:szCs w:val="28"/>
          <w:u w:val="single"/>
          <w:lang w:val="en-US" w:eastAsia="zh-CN"/>
        </w:rPr>
        <w:t xml:space="preserve"> 500</w:t>
      </w:r>
      <w:r>
        <w:rPr>
          <w:rFonts w:hint="eastAsia" w:ascii="宋体" w:hAnsi="宋体" w:eastAsia="宋体" w:cs="宋体"/>
          <w:color w:val="auto"/>
          <w:sz w:val="28"/>
          <w:szCs w:val="28"/>
          <w:u w:val="single"/>
        </w:rPr>
        <w:t>米</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总清洗预估体积</w:t>
      </w:r>
      <w:r>
        <w:rPr>
          <w:rFonts w:hint="eastAsia" w:ascii="宋体" w:hAnsi="宋体" w:eastAsia="宋体" w:cs="宋体"/>
          <w:color w:val="auto"/>
          <w:sz w:val="28"/>
          <w:szCs w:val="28"/>
          <w:u w:val="single"/>
          <w:lang w:val="en-US" w:eastAsia="zh-CN"/>
        </w:rPr>
        <w:t xml:space="preserve">约289.8 </w:t>
      </w:r>
      <w:r>
        <w:rPr>
          <w:rFonts w:hint="eastAsia" w:ascii="宋体" w:hAnsi="宋体" w:eastAsia="宋体" w:cs="宋体"/>
          <w:color w:val="auto"/>
          <w:sz w:val="28"/>
          <w:szCs w:val="28"/>
          <w:lang w:val="en-US" w:eastAsia="zh-CN"/>
        </w:rPr>
        <w:t>m³，</w:t>
      </w:r>
      <w:r>
        <w:rPr>
          <w:rFonts w:hint="eastAsia" w:ascii="宋体" w:hAnsi="宋体" w:eastAsia="宋体" w:cs="宋体"/>
          <w:color w:val="auto"/>
          <w:sz w:val="28"/>
          <w:szCs w:val="28"/>
        </w:rPr>
        <w:t>管径范围</w:t>
      </w:r>
      <w:r>
        <w:rPr>
          <w:rFonts w:hint="eastAsia" w:ascii="宋体" w:hAnsi="宋体" w:eastAsia="宋体" w:cs="宋体"/>
          <w:color w:val="auto"/>
          <w:sz w:val="28"/>
          <w:szCs w:val="28"/>
          <w:u w:val="single"/>
          <w:lang w:val="en-US" w:eastAsia="zh-CN"/>
        </w:rPr>
        <w:t xml:space="preserve"> 15 </w:t>
      </w:r>
      <w:r>
        <w:rPr>
          <w:rFonts w:hint="eastAsia" w:ascii="宋体" w:hAnsi="宋体" w:eastAsia="宋体" w:cs="宋体"/>
          <w:color w:val="auto"/>
          <w:sz w:val="28"/>
          <w:szCs w:val="28"/>
        </w:rPr>
        <w:t>mm</w:t>
      </w:r>
      <w:r>
        <w:rPr>
          <w:rFonts w:hint="eastAsia" w:ascii="宋体" w:hAnsi="宋体" w:eastAsia="宋体" w:cs="宋体"/>
          <w:color w:val="auto"/>
          <w:sz w:val="28"/>
          <w:szCs w:val="28"/>
          <w:lang w:val="en-US" w:eastAsia="zh-CN"/>
        </w:rPr>
        <w:t xml:space="preserve"> - </w:t>
      </w:r>
      <w:r>
        <w:rPr>
          <w:rFonts w:hint="eastAsia" w:ascii="宋体" w:hAnsi="宋体" w:eastAsia="宋体" w:cs="宋体"/>
          <w:color w:val="auto"/>
          <w:sz w:val="28"/>
          <w:szCs w:val="28"/>
          <w:u w:val="single"/>
          <w:lang w:val="en-US" w:eastAsia="zh-CN"/>
        </w:rPr>
        <w:t>950</w:t>
      </w:r>
      <w:r>
        <w:rPr>
          <w:rFonts w:hint="eastAsia" w:ascii="宋体" w:hAnsi="宋体" w:eastAsia="宋体" w:cs="宋体"/>
          <w:color w:val="auto"/>
          <w:sz w:val="28"/>
          <w:szCs w:val="28"/>
        </w:rPr>
        <w:t>mm，</w:t>
      </w:r>
      <w:r>
        <w:rPr>
          <w:rFonts w:hint="eastAsia" w:ascii="宋体" w:hAnsi="宋体" w:eastAsia="宋体" w:cs="宋体"/>
          <w:color w:val="auto"/>
          <w:sz w:val="28"/>
          <w:szCs w:val="28"/>
          <w:highlight w:val="none"/>
        </w:rPr>
        <w:t>管道材质主要为碳钢（</w:t>
      </w:r>
      <w:r>
        <w:rPr>
          <w:rFonts w:hint="eastAsia" w:ascii="宋体" w:hAnsi="宋体" w:eastAsia="宋体" w:cs="宋体"/>
          <w:color w:val="auto"/>
          <w:sz w:val="28"/>
          <w:szCs w:val="28"/>
          <w:highlight w:val="none"/>
          <w:lang w:val="en-US" w:eastAsia="zh-CN"/>
        </w:rPr>
        <w:t>Q345B、20#等</w:t>
      </w:r>
      <w:r>
        <w:rPr>
          <w:rFonts w:hint="eastAsia" w:ascii="宋体" w:hAnsi="宋体" w:eastAsia="宋体" w:cs="宋体"/>
          <w:color w:val="auto"/>
          <w:sz w:val="28"/>
          <w:szCs w:val="28"/>
          <w:highlight w:val="none"/>
        </w:rPr>
        <w:t>）、不锈钢（如S30408），</w:t>
      </w:r>
      <w:r>
        <w:rPr>
          <w:rFonts w:hint="eastAsia" w:ascii="宋体" w:hAnsi="宋体" w:eastAsia="宋体" w:cs="宋体"/>
          <w:color w:val="auto"/>
          <w:sz w:val="28"/>
          <w:szCs w:val="28"/>
          <w:highlight w:val="none"/>
          <w:lang w:val="en-US" w:eastAsia="zh-CN"/>
        </w:rPr>
        <w:t>具体详见附件化学清洗清单、工艺流程图、管道单线图及设备图等</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lang w:val="en-US" w:eastAsia="zh-CN"/>
        </w:rPr>
        <w:t>本次招标共计分为两个标段，标段一为必须完成工作量，标段二根据甲方工作指令执行。</w:t>
      </w:r>
    </w:p>
    <w:p w14:paraId="4EC3250E">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1.4.2 污垢类型：管道</w:t>
      </w:r>
      <w:r>
        <w:rPr>
          <w:rFonts w:hint="eastAsia" w:ascii="宋体" w:hAnsi="宋体" w:eastAsia="宋体" w:cs="宋体"/>
          <w:color w:val="auto"/>
          <w:sz w:val="28"/>
          <w:szCs w:val="28"/>
          <w:lang w:val="en-US" w:eastAsia="zh-CN"/>
        </w:rPr>
        <w:t>及设备</w:t>
      </w:r>
      <w:r>
        <w:rPr>
          <w:rFonts w:hint="eastAsia" w:ascii="宋体" w:hAnsi="宋体" w:eastAsia="宋体" w:cs="宋体"/>
          <w:color w:val="auto"/>
          <w:sz w:val="28"/>
          <w:szCs w:val="28"/>
        </w:rPr>
        <w:t>内主要污垢为铁锈、氧化皮、焊渣</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杂质等</w:t>
      </w:r>
      <w:r>
        <w:rPr>
          <w:rFonts w:hint="eastAsia" w:ascii="宋体" w:hAnsi="宋体" w:eastAsia="宋体" w:cs="宋体"/>
          <w:color w:val="auto"/>
          <w:sz w:val="28"/>
          <w:szCs w:val="28"/>
        </w:rPr>
        <w:t>。</w:t>
      </w:r>
    </w:p>
    <w:p w14:paraId="2504BB3F">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1.4.3 清洗目的：通过化学清洗，彻底清除管道内各类污垢，恢复管道通流能力，提升介质输送效率，防止管道内壁腐蚀，形成均匀致密的钝化保护膜，满足管道开车/检修后的运行标准，保障介质纯度。</w:t>
      </w:r>
    </w:p>
    <w:p w14:paraId="1E46943C">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1.4.4 承包方需制定详细的</w:t>
      </w:r>
      <w:r>
        <w:rPr>
          <w:rFonts w:hint="eastAsia" w:ascii="宋体" w:hAnsi="宋体" w:eastAsia="宋体" w:cs="宋体"/>
          <w:color w:val="auto"/>
          <w:sz w:val="28"/>
          <w:szCs w:val="28"/>
          <w:lang w:val="en-US" w:eastAsia="zh-CN"/>
        </w:rPr>
        <w:t>施工技术方案、</w:t>
      </w:r>
      <w:r>
        <w:rPr>
          <w:rFonts w:hint="eastAsia" w:ascii="宋体" w:hAnsi="宋体" w:eastAsia="宋体" w:cs="宋体"/>
          <w:color w:val="auto"/>
          <w:sz w:val="28"/>
          <w:szCs w:val="28"/>
        </w:rPr>
        <w:t>施工进度计划，</w:t>
      </w:r>
      <w:r>
        <w:rPr>
          <w:rFonts w:hint="eastAsia" w:ascii="宋体" w:hAnsi="宋体" w:eastAsia="宋体" w:cs="宋体"/>
          <w:color w:val="auto"/>
          <w:sz w:val="28"/>
          <w:szCs w:val="28"/>
          <w:lang w:val="en-US" w:eastAsia="zh-CN"/>
        </w:rPr>
        <w:t>报发包方批准后方可实施，</w:t>
      </w:r>
      <w:r>
        <w:rPr>
          <w:rFonts w:hint="eastAsia" w:ascii="宋体" w:hAnsi="宋体" w:eastAsia="宋体" w:cs="宋体"/>
          <w:color w:val="auto"/>
          <w:sz w:val="28"/>
          <w:szCs w:val="28"/>
        </w:rPr>
        <w:t>确保按期</w:t>
      </w:r>
      <w:r>
        <w:rPr>
          <w:rFonts w:hint="eastAsia" w:ascii="宋体" w:hAnsi="宋体" w:eastAsia="宋体" w:cs="宋体"/>
          <w:color w:val="auto"/>
          <w:sz w:val="28"/>
          <w:szCs w:val="28"/>
          <w:lang w:val="en-US" w:eastAsia="zh-CN"/>
        </w:rPr>
        <w:t>保质保量</w:t>
      </w:r>
      <w:r>
        <w:rPr>
          <w:rFonts w:hint="eastAsia" w:ascii="宋体" w:hAnsi="宋体" w:eastAsia="宋体" w:cs="宋体"/>
          <w:color w:val="auto"/>
          <w:sz w:val="28"/>
          <w:szCs w:val="28"/>
        </w:rPr>
        <w:t>完工。</w:t>
      </w:r>
    </w:p>
    <w:p w14:paraId="7171DA4A">
      <w:pPr>
        <w:spacing w:before="120" w:after="120" w:line="240" w:lineRule="auto"/>
        <w:ind w:left="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1.4.5 本项目工期要求不</w:t>
      </w:r>
      <w:r>
        <w:rPr>
          <w:rFonts w:hint="eastAsia" w:ascii="宋体" w:hAnsi="宋体" w:eastAsia="宋体" w:cs="宋体"/>
          <w:color w:val="auto"/>
          <w:sz w:val="28"/>
          <w:szCs w:val="28"/>
          <w:highlight w:val="none"/>
          <w:lang w:val="en-US" w:eastAsia="zh-CN"/>
        </w:rPr>
        <w:t>大于</w:t>
      </w:r>
      <w:r>
        <w:rPr>
          <w:rFonts w:hint="eastAsia" w:ascii="宋体" w:hAnsi="宋体" w:eastAsia="宋体" w:cs="宋体"/>
          <w:color w:val="auto"/>
          <w:sz w:val="28"/>
          <w:szCs w:val="28"/>
          <w:highlight w:val="none"/>
          <w:u w:val="single"/>
          <w:lang w:val="en-US" w:eastAsia="zh-CN"/>
        </w:rPr>
        <w:t xml:space="preserve"> 7 </w:t>
      </w:r>
      <w:r>
        <w:rPr>
          <w:rFonts w:hint="eastAsia" w:ascii="宋体" w:hAnsi="宋体" w:eastAsia="宋体" w:cs="宋体"/>
          <w:color w:val="auto"/>
          <w:sz w:val="28"/>
          <w:szCs w:val="28"/>
          <w:highlight w:val="none"/>
          <w:lang w:val="en-US" w:eastAsia="zh-CN"/>
        </w:rPr>
        <w:t>个日历天，</w:t>
      </w:r>
      <w:r>
        <w:rPr>
          <w:rFonts w:hint="eastAsia" w:ascii="宋体" w:hAnsi="宋体" w:eastAsia="宋体" w:cs="宋体"/>
          <w:color w:val="auto"/>
          <w:sz w:val="28"/>
          <w:szCs w:val="28"/>
          <w:lang w:val="en-US" w:eastAsia="zh-CN"/>
        </w:rPr>
        <w:t>开工日期根据发包人通知。</w:t>
      </w:r>
    </w:p>
    <w:p w14:paraId="3ED8C98B">
      <w:pPr>
        <w:spacing w:before="120" w:after="120" w:line="240" w:lineRule="auto"/>
        <w:ind w:left="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1.4.6 投标报价以附件中拟化学清单工作量中预估体积作为投标报价基准，本次招标共分为两个标段，投标总价为标段一报价+标段二报价，因芳烃装置优化节能改造项目与装置合拢统筹计划安排，标段二现场实施可能性较低，标段一与标段二可浮动报价，要求标段一报价占比投标总报价比例不得高于50%。</w:t>
      </w:r>
    </w:p>
    <w:p w14:paraId="24E80416">
      <w:pPr>
        <w:spacing w:before="120" w:after="120" w:line="240" w:lineRule="auto"/>
        <w:ind w:left="0"/>
        <w:jc w:val="left"/>
        <w:rPr>
          <w:rFonts w:hint="default" w:ascii="宋体" w:hAnsi="宋体" w:eastAsia="宋体" w:cs="宋体"/>
          <w:color w:val="auto"/>
          <w:sz w:val="28"/>
          <w:szCs w:val="28"/>
          <w:lang w:val="en-US" w:eastAsia="zh-CN"/>
        </w:rPr>
      </w:pPr>
    </w:p>
    <w:p w14:paraId="020A9481">
      <w:pPr>
        <w:spacing w:before="380" w:after="140" w:line="240" w:lineRule="auto"/>
        <w:ind w:left="0"/>
        <w:jc w:val="left"/>
        <w:outlineLvl w:val="0"/>
        <w:rPr>
          <w:rFonts w:hint="eastAsia" w:ascii="宋体" w:hAnsi="宋体" w:eastAsia="宋体" w:cs="宋体"/>
          <w:color w:val="auto"/>
          <w:sz w:val="28"/>
          <w:szCs w:val="28"/>
        </w:rPr>
      </w:pPr>
      <w:bookmarkStart w:id="5" w:name="heading_5"/>
      <w:r>
        <w:rPr>
          <w:rFonts w:hint="eastAsia" w:ascii="宋体" w:hAnsi="宋体" w:eastAsia="宋体" w:cs="宋体"/>
          <w:b/>
          <w:color w:val="auto"/>
          <w:sz w:val="28"/>
          <w:szCs w:val="28"/>
        </w:rPr>
        <w:t>2. 承包方要求</w:t>
      </w:r>
      <w:bookmarkEnd w:id="5"/>
    </w:p>
    <w:p w14:paraId="210126AA">
      <w:pPr>
        <w:spacing w:before="320" w:after="120" w:line="240" w:lineRule="auto"/>
        <w:ind w:left="0"/>
        <w:jc w:val="left"/>
        <w:outlineLvl w:val="1"/>
        <w:rPr>
          <w:rFonts w:hint="eastAsia" w:ascii="宋体" w:hAnsi="宋体" w:eastAsia="宋体" w:cs="宋体"/>
          <w:color w:val="auto"/>
          <w:sz w:val="28"/>
          <w:szCs w:val="28"/>
        </w:rPr>
      </w:pPr>
      <w:bookmarkStart w:id="6" w:name="heading_6"/>
      <w:r>
        <w:rPr>
          <w:rFonts w:hint="eastAsia" w:ascii="宋体" w:hAnsi="宋体" w:eastAsia="宋体" w:cs="宋体"/>
          <w:b/>
          <w:color w:val="auto"/>
          <w:sz w:val="28"/>
          <w:szCs w:val="28"/>
        </w:rPr>
        <w:t xml:space="preserve">2.1 </w:t>
      </w:r>
      <w:r>
        <w:rPr>
          <w:rFonts w:hint="eastAsia" w:ascii="宋体" w:hAnsi="宋体" w:eastAsia="宋体" w:cs="宋体"/>
          <w:b/>
          <w:color w:val="auto"/>
          <w:sz w:val="28"/>
          <w:szCs w:val="28"/>
          <w:lang w:val="en-US" w:eastAsia="zh-CN"/>
        </w:rPr>
        <w:t>资格</w:t>
      </w:r>
      <w:r>
        <w:rPr>
          <w:rFonts w:hint="eastAsia" w:ascii="宋体" w:hAnsi="宋体" w:eastAsia="宋体" w:cs="宋体"/>
          <w:b/>
          <w:color w:val="auto"/>
          <w:sz w:val="28"/>
          <w:szCs w:val="28"/>
        </w:rPr>
        <w:t>要求</w:t>
      </w:r>
      <w:bookmarkEnd w:id="6"/>
    </w:p>
    <w:p w14:paraId="17ED2141">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投标</w:t>
      </w:r>
      <w:r>
        <w:rPr>
          <w:rFonts w:hint="eastAsia" w:ascii="宋体" w:hAnsi="宋体" w:eastAsia="宋体" w:cs="宋体"/>
          <w:color w:val="auto"/>
          <w:sz w:val="28"/>
          <w:szCs w:val="28"/>
        </w:rPr>
        <w:t>方必须具备以下资质，方可参与本次发包投标及施工，资质文件需在投标时提供：</w:t>
      </w:r>
    </w:p>
    <w:p w14:paraId="0D025077">
      <w:pPr>
        <w:numPr>
          <w:ilvl w:val="0"/>
          <w:numId w:val="7"/>
        </w:numPr>
        <w:spacing w:before="120" w:after="120" w:line="240" w:lineRule="auto"/>
        <w:ind w:left="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具备独立法人资格，持有有效的营业执照（三证合一证件）；</w:t>
      </w:r>
    </w:p>
    <w:p w14:paraId="16AAF3AE">
      <w:pPr>
        <w:numPr>
          <w:ilvl w:val="0"/>
          <w:numId w:val="8"/>
        </w:numPr>
        <w:spacing w:before="120" w:after="120" w:line="240" w:lineRule="auto"/>
        <w:ind w:left="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投标方</w:t>
      </w:r>
      <w:r>
        <w:rPr>
          <w:rFonts w:hint="eastAsia" w:ascii="宋体" w:hAnsi="宋体" w:eastAsia="宋体" w:cs="宋体"/>
          <w:color w:val="auto"/>
          <w:sz w:val="28"/>
          <w:szCs w:val="28"/>
          <w:highlight w:val="none"/>
        </w:rPr>
        <w:t>必须取得工业清洗企业资质证书化学清洗</w:t>
      </w:r>
      <w:r>
        <w:rPr>
          <w:rFonts w:hint="eastAsia" w:ascii="宋体" w:hAnsi="宋体" w:eastAsia="宋体" w:cs="宋体"/>
          <w:color w:val="auto"/>
          <w:sz w:val="28"/>
          <w:szCs w:val="28"/>
          <w:highlight w:val="none"/>
          <w:lang w:val="en-US" w:eastAsia="zh-CN"/>
        </w:rPr>
        <w:t>A</w:t>
      </w:r>
      <w:r>
        <w:rPr>
          <w:rFonts w:hint="eastAsia" w:ascii="宋体" w:hAnsi="宋体" w:eastAsia="宋体" w:cs="宋体"/>
          <w:color w:val="auto"/>
          <w:sz w:val="28"/>
          <w:szCs w:val="28"/>
          <w:highlight w:val="none"/>
        </w:rPr>
        <w:t>级；</w:t>
      </w:r>
    </w:p>
    <w:p w14:paraId="2E890429">
      <w:pPr>
        <w:numPr>
          <w:ilvl w:val="0"/>
          <w:numId w:val="9"/>
        </w:numPr>
        <w:spacing w:before="120" w:after="120" w:line="240" w:lineRule="auto"/>
        <w:ind w:left="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具备有效的安全生产许可证，且近3年内无重大安全事故记录；</w:t>
      </w:r>
    </w:p>
    <w:p w14:paraId="3536E627">
      <w:pPr>
        <w:numPr>
          <w:ilvl w:val="0"/>
          <w:numId w:val="9"/>
        </w:numPr>
        <w:spacing w:before="120" w:after="120" w:line="240" w:lineRule="auto"/>
        <w:ind w:left="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投标方近5年（2021年1月1日至今）具有石油化工装置工艺管道清洗业绩不少于2项，投标人需提供合同复印件和技术文件复印件。</w:t>
      </w:r>
    </w:p>
    <w:p w14:paraId="76FCA1E5">
      <w:pPr>
        <w:numPr>
          <w:ilvl w:val="0"/>
          <w:numId w:val="10"/>
        </w:numPr>
        <w:spacing w:before="120" w:after="120" w:line="240" w:lineRule="auto"/>
        <w:ind w:left="0"/>
        <w:jc w:val="left"/>
        <w:rPr>
          <w:rFonts w:hint="eastAsia" w:ascii="宋体" w:hAnsi="宋体" w:eastAsia="宋体" w:cs="宋体"/>
          <w:b w:val="0"/>
          <w:bCs w:val="0"/>
          <w:color w:val="auto"/>
          <w:sz w:val="28"/>
          <w:szCs w:val="28"/>
        </w:rPr>
      </w:pPr>
      <w:r>
        <w:rPr>
          <w:rFonts w:hint="eastAsia" w:ascii="宋体" w:hAnsi="宋体" w:eastAsia="宋体" w:cs="宋体"/>
          <w:color w:val="auto"/>
          <w:sz w:val="28"/>
          <w:szCs w:val="28"/>
        </w:rPr>
        <w:t>拥有专业的化学清洗施工团队，团队成员需具备相应的从业资格证书，关键岗位人员（如现场负责人、技术负责人）需有5年以</w:t>
      </w:r>
      <w:r>
        <w:rPr>
          <w:rFonts w:hint="eastAsia" w:ascii="宋体" w:hAnsi="宋体" w:eastAsia="宋体" w:cs="宋体"/>
          <w:b w:val="0"/>
          <w:bCs w:val="0"/>
          <w:color w:val="auto"/>
          <w:sz w:val="28"/>
          <w:szCs w:val="28"/>
        </w:rPr>
        <w:t>上工业管道化学清洗施工经验；</w:t>
      </w:r>
      <w:bookmarkStart w:id="7" w:name="heading_7"/>
    </w:p>
    <w:p w14:paraId="7E005FBD">
      <w:pPr>
        <w:numPr>
          <w:ilvl w:val="0"/>
          <w:numId w:val="10"/>
        </w:numPr>
        <w:spacing w:before="120" w:after="120" w:line="240" w:lineRule="auto"/>
        <w:ind w:left="0"/>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投标方需建立并实施质量、环境、安全、职业健康管理体系且正常运行；</w:t>
      </w:r>
    </w:p>
    <w:p w14:paraId="12D6D620">
      <w:pPr>
        <w:numPr>
          <w:ilvl w:val="0"/>
          <w:numId w:val="10"/>
        </w:numPr>
        <w:spacing w:before="120" w:after="120" w:line="240" w:lineRule="auto"/>
        <w:ind w:left="0"/>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近三年内，投标方在其承包的工程项目中，未出现过被政府及相关部门通报事件。</w:t>
      </w:r>
    </w:p>
    <w:p w14:paraId="729F50A5">
      <w:pPr>
        <w:numPr>
          <w:ilvl w:val="0"/>
          <w:numId w:val="10"/>
        </w:numPr>
        <w:spacing w:before="120" w:after="120" w:line="240" w:lineRule="auto"/>
        <w:ind w:left="0"/>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投标方未处于企业不良行为记录处置执行期。</w:t>
      </w:r>
    </w:p>
    <w:p w14:paraId="418CD9A0">
      <w:pPr>
        <w:numPr>
          <w:ilvl w:val="0"/>
          <w:numId w:val="0"/>
        </w:numPr>
        <w:spacing w:before="120" w:after="120" w:line="240" w:lineRule="auto"/>
        <w:jc w:val="left"/>
        <w:rPr>
          <w:rFonts w:hint="eastAsia" w:ascii="宋体" w:hAnsi="宋体" w:eastAsia="宋体" w:cs="宋体"/>
          <w:color w:val="auto"/>
          <w:sz w:val="28"/>
          <w:szCs w:val="28"/>
        </w:rPr>
      </w:pPr>
      <w:r>
        <w:rPr>
          <w:rFonts w:hint="eastAsia" w:ascii="宋体" w:hAnsi="宋体" w:eastAsia="宋体" w:cs="宋体"/>
          <w:b/>
          <w:color w:val="auto"/>
          <w:sz w:val="28"/>
          <w:szCs w:val="28"/>
        </w:rPr>
        <w:t>2.2 设备及药剂要求</w:t>
      </w:r>
      <w:bookmarkEnd w:id="7"/>
    </w:p>
    <w:p w14:paraId="0349AB64">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2.2.1 施工设备：承包方需配备满足本次清洗工程需求的全套施工设备，且设备性能良好、运行稳定，主要包括：循环泵、清洗槽、过滤器、加热设备、检测仪器（如pH计、铁离子测定仪、电导率仪、腐蚀率测定仪</w:t>
      </w:r>
      <w:r>
        <w:rPr>
          <w:rFonts w:hint="eastAsia" w:ascii="宋体" w:hAnsi="宋体" w:eastAsia="宋体" w:cs="宋体"/>
          <w:color w:val="auto"/>
          <w:sz w:val="28"/>
          <w:szCs w:val="28"/>
          <w:lang w:val="en-US" w:eastAsia="zh-CN"/>
        </w:rPr>
        <w:t>等</w:t>
      </w:r>
      <w:r>
        <w:rPr>
          <w:rFonts w:hint="eastAsia" w:ascii="宋体" w:hAnsi="宋体" w:eastAsia="宋体" w:cs="宋体"/>
          <w:color w:val="auto"/>
          <w:sz w:val="28"/>
          <w:szCs w:val="28"/>
        </w:rPr>
        <w:t>）、安全防护设备等，设备清单及校验证明需在开工前提交发包方审核</w:t>
      </w:r>
      <w:r>
        <w:rPr>
          <w:rFonts w:hint="eastAsia" w:ascii="宋体" w:hAnsi="宋体" w:eastAsia="宋体" w:cs="宋体"/>
          <w:color w:val="auto"/>
          <w:sz w:val="28"/>
          <w:szCs w:val="28"/>
          <w:lang w:val="en-US" w:eastAsia="zh-CN"/>
        </w:rPr>
        <w:tab/>
      </w:r>
      <w:r>
        <w:rPr>
          <w:rFonts w:hint="eastAsia" w:ascii="宋体" w:hAnsi="宋体" w:eastAsia="宋体" w:cs="宋体"/>
          <w:color w:val="auto"/>
          <w:sz w:val="28"/>
          <w:szCs w:val="28"/>
        </w:rPr>
        <w:t>。</w:t>
      </w:r>
    </w:p>
    <w:p w14:paraId="08276499">
      <w:pPr>
        <w:numPr>
          <w:ilvl w:val="0"/>
          <w:numId w:val="0"/>
        </w:numPr>
        <w:spacing w:before="120" w:after="120" w:line="240" w:lineRule="auto"/>
        <w:jc w:val="left"/>
        <w:rPr>
          <w:rFonts w:hint="eastAsia" w:ascii="宋体" w:hAnsi="宋体" w:eastAsia="宋体" w:cs="宋体"/>
          <w:color w:val="auto"/>
          <w:sz w:val="28"/>
          <w:szCs w:val="28"/>
          <w:highlight w:val="yellow"/>
        </w:rPr>
      </w:pPr>
      <w:r>
        <w:rPr>
          <w:rFonts w:hint="eastAsia" w:ascii="宋体" w:hAnsi="宋体" w:eastAsia="宋体" w:cs="宋体"/>
          <w:color w:val="auto"/>
          <w:sz w:val="28"/>
          <w:szCs w:val="28"/>
        </w:rPr>
        <w:t>2.2.2 清洗药剂：承包方需根据管道材质、污垢类型，选用符合国家及行业标准的环保型清洗药剂，严禁使用国家禁止的有毒、有害、高污染药剂。药剂需提供产品合格证、检测报告，明确药剂成分、浓度、使用方法及安全注意事项，且药剂选型需经发包方技术部门确认</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不锈钢管道清洗</w:t>
      </w:r>
      <w:r>
        <w:rPr>
          <w:rFonts w:hint="eastAsia" w:ascii="宋体" w:hAnsi="宋体" w:eastAsia="宋体" w:cs="宋体"/>
          <w:color w:val="auto"/>
          <w:sz w:val="28"/>
          <w:szCs w:val="28"/>
          <w:highlight w:val="none"/>
        </w:rPr>
        <w:t>严禁使用盐酸及含氯离子药剂，氯离子含量需控制在25ppm以内</w:t>
      </w:r>
      <w:r>
        <w:rPr>
          <w:rFonts w:hint="eastAsia" w:ascii="宋体" w:hAnsi="宋体" w:eastAsia="宋体" w:cs="宋体"/>
          <w:color w:val="auto"/>
          <w:sz w:val="28"/>
          <w:szCs w:val="28"/>
          <w:highlight w:val="none"/>
          <w:lang w:eastAsia="zh-CN"/>
        </w:rPr>
        <w:t>。</w:t>
      </w:r>
    </w:p>
    <w:p w14:paraId="2EC9D815">
      <w:pPr>
        <w:spacing w:before="320" w:after="120" w:line="240" w:lineRule="auto"/>
        <w:ind w:left="0"/>
        <w:jc w:val="left"/>
        <w:outlineLvl w:val="1"/>
        <w:rPr>
          <w:rFonts w:hint="eastAsia" w:ascii="宋体" w:hAnsi="宋体" w:eastAsia="宋体" w:cs="宋体"/>
          <w:color w:val="auto"/>
          <w:sz w:val="28"/>
          <w:szCs w:val="28"/>
        </w:rPr>
      </w:pPr>
      <w:bookmarkStart w:id="8" w:name="heading_8"/>
      <w:r>
        <w:rPr>
          <w:rFonts w:hint="eastAsia" w:ascii="宋体" w:hAnsi="宋体" w:eastAsia="宋体" w:cs="宋体"/>
          <w:b/>
          <w:color w:val="auto"/>
          <w:sz w:val="28"/>
          <w:szCs w:val="28"/>
        </w:rPr>
        <w:t>2.3 人员要求</w:t>
      </w:r>
      <w:bookmarkEnd w:id="8"/>
    </w:p>
    <w:p w14:paraId="5724179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2.3.1 承包方需配备专职现场负责人1名、技术负责人1名、安全管理员1名、质量检查员1名，及足够数量的施工人员，所有人员需持证上岗，且岗前需进行安全、技术培训，培训记录需提交发包方备案。</w:t>
      </w:r>
    </w:p>
    <w:p w14:paraId="03EA7AD2">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2.3.2 现场负责人需具备较强的现场管理能力，能够协调解决施工过程中的各类问题，确保施工顺利进行；技术负责人需具备丰富的化学清洗技术经验，能够指导施工人员规范操作，处理清洗过程中的技术难题；安全管理员需负责现场安全巡查、隐患排查，确保施工安全；质量检查员需全程监督施工质量，做好质量记录。</w:t>
      </w:r>
    </w:p>
    <w:p w14:paraId="21F8A179">
      <w:pPr>
        <w:spacing w:before="380" w:after="140" w:line="240" w:lineRule="auto"/>
        <w:ind w:left="0"/>
        <w:jc w:val="left"/>
        <w:outlineLvl w:val="0"/>
        <w:rPr>
          <w:rFonts w:hint="eastAsia" w:ascii="宋体" w:hAnsi="宋体" w:eastAsia="宋体" w:cs="宋体"/>
          <w:color w:val="auto"/>
          <w:sz w:val="28"/>
          <w:szCs w:val="28"/>
        </w:rPr>
      </w:pPr>
      <w:bookmarkStart w:id="9" w:name="heading_9"/>
      <w:r>
        <w:rPr>
          <w:rFonts w:hint="eastAsia" w:ascii="宋体" w:hAnsi="宋体" w:eastAsia="宋体" w:cs="宋体"/>
          <w:b/>
          <w:color w:val="auto"/>
          <w:sz w:val="28"/>
          <w:szCs w:val="28"/>
        </w:rPr>
        <w:t>3. 施工技术要求</w:t>
      </w:r>
      <w:bookmarkEnd w:id="9"/>
    </w:p>
    <w:p w14:paraId="50B63604">
      <w:pPr>
        <w:spacing w:before="320" w:after="120" w:line="240" w:lineRule="auto"/>
        <w:ind w:left="0"/>
        <w:jc w:val="left"/>
        <w:outlineLvl w:val="1"/>
        <w:rPr>
          <w:rFonts w:hint="eastAsia" w:ascii="宋体" w:hAnsi="宋体" w:eastAsia="宋体" w:cs="宋体"/>
          <w:color w:val="auto"/>
          <w:sz w:val="28"/>
          <w:szCs w:val="28"/>
        </w:rPr>
      </w:pPr>
      <w:bookmarkStart w:id="10" w:name="heading_10"/>
      <w:r>
        <w:rPr>
          <w:rFonts w:hint="eastAsia" w:ascii="宋体" w:hAnsi="宋体" w:eastAsia="宋体" w:cs="宋体"/>
          <w:b/>
          <w:color w:val="auto"/>
          <w:sz w:val="28"/>
          <w:szCs w:val="28"/>
        </w:rPr>
        <w:t>3.1 施工准备</w:t>
      </w:r>
      <w:bookmarkEnd w:id="10"/>
    </w:p>
    <w:p w14:paraId="05E9EEF6">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3.1.1 系统隔离：承包方</w:t>
      </w:r>
      <w:r>
        <w:rPr>
          <w:rFonts w:hint="eastAsia" w:ascii="宋体" w:hAnsi="宋体" w:eastAsia="宋体" w:cs="宋体"/>
          <w:color w:val="auto"/>
          <w:sz w:val="28"/>
          <w:szCs w:val="28"/>
          <w:lang w:val="en-US" w:eastAsia="zh-CN"/>
        </w:rPr>
        <w:t>负责</w:t>
      </w:r>
      <w:r>
        <w:rPr>
          <w:rFonts w:hint="eastAsia" w:ascii="宋体" w:hAnsi="宋体" w:eastAsia="宋体" w:cs="宋体"/>
          <w:color w:val="auto"/>
          <w:sz w:val="28"/>
          <w:szCs w:val="28"/>
        </w:rPr>
        <w:t>在开工前，按照发包方要求，对清洗管道进行彻底隔离，关闭相关阀门，加装盲板（盲板规格、数量需经发包方确认），确保清洗管道与运行设备、无关管线完全断开，防止清洗液泄漏及交叉污染，隔离完成后需经发包方验收合格方可进入下一工序。</w:t>
      </w:r>
    </w:p>
    <w:p w14:paraId="3C8AFB74">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3.1.2 系统试漏：隔离完成后，承包方需搭建临时清洗回路，对回路进行气压/液压试漏，试漏压力为管道设计压力的1.05~1.1倍，保压30分钟，无泄漏、压力无下降即为合格，试漏记录需提交发包方签字确认。</w:t>
      </w:r>
    </w:p>
    <w:p w14:paraId="1EF31350">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3.1.3 现场布置：承包方需在施工区域设置明显的安全警示标志（如“酸碱作业危险”“禁止入内”等），划分作业区域，配备充足的安全防护用品、中和液（稀碱/稀酸）及应急冲洗水源，确保施工环境安全。</w:t>
      </w:r>
    </w:p>
    <w:p w14:paraId="7AAB3C70">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3.1.4 技术交底：开工前，承包方技术负责人需向施工人员进行详细的技术交底，明确清洗工艺、药剂使用方法、操作规范、质量标准及安全注意事项，交底记录需经所有施工人员签字确认，并提交发包方备案。</w:t>
      </w:r>
    </w:p>
    <w:p w14:paraId="03EAF32F">
      <w:pPr>
        <w:spacing w:before="320" w:after="120" w:line="240" w:lineRule="auto"/>
        <w:ind w:left="0"/>
        <w:jc w:val="left"/>
        <w:outlineLvl w:val="1"/>
        <w:rPr>
          <w:rFonts w:hint="eastAsia" w:ascii="宋体" w:hAnsi="宋体" w:eastAsia="宋体" w:cs="宋体"/>
          <w:color w:val="auto"/>
          <w:sz w:val="28"/>
          <w:szCs w:val="28"/>
        </w:rPr>
      </w:pPr>
      <w:bookmarkStart w:id="11" w:name="heading_11"/>
      <w:r>
        <w:rPr>
          <w:rFonts w:hint="eastAsia" w:ascii="宋体" w:hAnsi="宋体" w:eastAsia="宋体" w:cs="宋体"/>
          <w:b/>
          <w:color w:val="auto"/>
          <w:sz w:val="28"/>
          <w:szCs w:val="28"/>
        </w:rPr>
        <w:t>3.2 清洗工艺</w:t>
      </w:r>
      <w:r>
        <w:rPr>
          <w:rFonts w:hint="eastAsia" w:ascii="宋体" w:hAnsi="宋体" w:eastAsia="宋体" w:cs="宋体"/>
          <w:b/>
          <w:color w:val="auto"/>
          <w:sz w:val="28"/>
          <w:szCs w:val="28"/>
          <w:lang w:val="en-US" w:eastAsia="zh-CN"/>
        </w:rPr>
        <w:t>基本</w:t>
      </w:r>
      <w:r>
        <w:rPr>
          <w:rFonts w:hint="eastAsia" w:ascii="宋体" w:hAnsi="宋体" w:eastAsia="宋体" w:cs="宋体"/>
          <w:b/>
          <w:color w:val="auto"/>
          <w:sz w:val="28"/>
          <w:szCs w:val="28"/>
        </w:rPr>
        <w:t>要求</w:t>
      </w:r>
      <w:bookmarkEnd w:id="11"/>
    </w:p>
    <w:p w14:paraId="453CEE43">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本次清洗采用循环清洗方式（特殊部位可采用浸泡、喷淋辅助清洗），包括系统水冲洗、脱脂、酸洗、漂洗、钝化和保护等。每道工序完成后需经发包方质量验收合格，方可进入下一工序：</w:t>
      </w:r>
    </w:p>
    <w:p w14:paraId="4F0B7EE0">
      <w:pPr>
        <w:spacing w:before="300" w:after="120" w:line="240" w:lineRule="auto"/>
        <w:ind w:left="0"/>
        <w:jc w:val="left"/>
        <w:outlineLvl w:val="2"/>
        <w:rPr>
          <w:rFonts w:hint="eastAsia" w:ascii="宋体" w:hAnsi="宋体" w:eastAsia="宋体" w:cs="宋体"/>
          <w:color w:val="auto"/>
          <w:sz w:val="28"/>
          <w:szCs w:val="28"/>
        </w:rPr>
      </w:pPr>
      <w:bookmarkStart w:id="12" w:name="heading_13"/>
      <w:r>
        <w:rPr>
          <w:rFonts w:hint="eastAsia" w:ascii="宋体" w:hAnsi="宋体" w:eastAsia="宋体" w:cs="宋体"/>
          <w:b/>
          <w:color w:val="auto"/>
          <w:sz w:val="28"/>
          <w:szCs w:val="28"/>
        </w:rPr>
        <w:t>3.2.</w:t>
      </w:r>
      <w:r>
        <w:rPr>
          <w:rFonts w:hint="eastAsia" w:ascii="宋体" w:hAnsi="宋体" w:eastAsia="宋体" w:cs="宋体"/>
          <w:b/>
          <w:color w:val="auto"/>
          <w:sz w:val="28"/>
          <w:szCs w:val="28"/>
          <w:lang w:val="en-US" w:eastAsia="zh-CN"/>
        </w:rPr>
        <w:t>1</w:t>
      </w:r>
      <w:r>
        <w:rPr>
          <w:rFonts w:hint="eastAsia" w:ascii="宋体" w:hAnsi="宋体" w:eastAsia="宋体" w:cs="宋体"/>
          <w:b/>
          <w:color w:val="auto"/>
          <w:sz w:val="28"/>
          <w:szCs w:val="28"/>
        </w:rPr>
        <w:t xml:space="preserve"> 水冲洗</w:t>
      </w:r>
      <w:bookmarkEnd w:id="12"/>
    </w:p>
    <w:p w14:paraId="740C53AB">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用水对管道进行循环冲洗，无明显油污、悬浮物，经验收合格后，进入酸洗工序。</w:t>
      </w:r>
    </w:p>
    <w:p w14:paraId="2400C7AA">
      <w:pPr>
        <w:spacing w:before="300" w:after="120" w:line="240" w:lineRule="auto"/>
        <w:ind w:left="0"/>
        <w:jc w:val="left"/>
        <w:outlineLvl w:val="2"/>
        <w:rPr>
          <w:rFonts w:hint="eastAsia" w:ascii="宋体" w:hAnsi="宋体" w:eastAsia="宋体" w:cs="宋体"/>
          <w:color w:val="auto"/>
          <w:sz w:val="28"/>
          <w:szCs w:val="28"/>
        </w:rPr>
      </w:pPr>
      <w:bookmarkStart w:id="13" w:name="heading_14"/>
      <w:r>
        <w:rPr>
          <w:rFonts w:hint="eastAsia" w:ascii="宋体" w:hAnsi="宋体" w:eastAsia="宋体" w:cs="宋体"/>
          <w:b/>
          <w:color w:val="auto"/>
          <w:sz w:val="28"/>
          <w:szCs w:val="28"/>
        </w:rPr>
        <w:t>3.2.</w:t>
      </w:r>
      <w:r>
        <w:rPr>
          <w:rFonts w:hint="eastAsia" w:ascii="宋体" w:hAnsi="宋体" w:eastAsia="宋体" w:cs="宋体"/>
          <w:b/>
          <w:color w:val="auto"/>
          <w:sz w:val="28"/>
          <w:szCs w:val="28"/>
          <w:lang w:val="en-US" w:eastAsia="zh-CN"/>
        </w:rPr>
        <w:t>2</w:t>
      </w:r>
      <w:r>
        <w:rPr>
          <w:rFonts w:hint="eastAsia" w:ascii="宋体" w:hAnsi="宋体" w:eastAsia="宋体" w:cs="宋体"/>
          <w:b/>
          <w:color w:val="auto"/>
          <w:sz w:val="28"/>
          <w:szCs w:val="28"/>
        </w:rPr>
        <w:t xml:space="preserve"> 酸洗（除锈/除垢）</w:t>
      </w:r>
      <w:bookmarkEnd w:id="13"/>
    </w:p>
    <w:p w14:paraId="4A36D13F">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.1 药剂选用：根据管道材质选用对应酸洗药剂，药剂配制后需检测浓度，确保符合要求，缓蚀剂需提前加入，充分搅拌均匀。</w:t>
      </w:r>
    </w:p>
    <w:p w14:paraId="33A3310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 xml:space="preserve">.2 </w:t>
      </w:r>
      <w:r>
        <w:rPr>
          <w:rFonts w:hint="eastAsia" w:ascii="宋体" w:hAnsi="宋体" w:eastAsia="宋体" w:cs="宋体"/>
          <w:color w:val="auto"/>
          <w:sz w:val="28"/>
          <w:szCs w:val="28"/>
          <w:lang w:val="en-US" w:eastAsia="zh-CN"/>
        </w:rPr>
        <w:t>质量检查</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清洗过程要定时</w:t>
      </w:r>
      <w:r>
        <w:rPr>
          <w:rFonts w:hint="eastAsia" w:ascii="宋体" w:hAnsi="宋体" w:eastAsia="宋体" w:cs="宋体"/>
          <w:color w:val="auto"/>
          <w:sz w:val="28"/>
          <w:szCs w:val="28"/>
        </w:rPr>
        <w:t>检测酸浓度及铁离子含量，做好记录</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酸浓度趋于稳定，铁离子含量不再上升，管道内壁无明显铁锈、氧化皮、焊渣，经发包方验收合格后，停止酸洗。</w:t>
      </w:r>
    </w:p>
    <w:p w14:paraId="162A78FB">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 xml:space="preserve"> 注意事项：酸洗过程中需密切监测管道腐蚀情况，若发现腐蚀率超标，需立即停止酸洗，调整药剂浓度或更换缓蚀剂；不锈钢管道酸洗过程中，需严格控制氯离子含量，严禁混入含氯杂质。</w:t>
      </w:r>
    </w:p>
    <w:p w14:paraId="26D52901">
      <w:pPr>
        <w:spacing w:before="300" w:after="120" w:line="240" w:lineRule="auto"/>
        <w:ind w:left="0"/>
        <w:jc w:val="left"/>
        <w:outlineLvl w:val="2"/>
        <w:rPr>
          <w:rFonts w:hint="eastAsia" w:ascii="宋体" w:hAnsi="宋体" w:eastAsia="宋体" w:cs="宋体"/>
          <w:color w:val="auto"/>
          <w:sz w:val="28"/>
          <w:szCs w:val="28"/>
        </w:rPr>
      </w:pPr>
      <w:bookmarkStart w:id="14" w:name="heading_15"/>
      <w:r>
        <w:rPr>
          <w:rFonts w:hint="eastAsia" w:ascii="宋体" w:hAnsi="宋体" w:eastAsia="宋体" w:cs="宋体"/>
          <w:b/>
          <w:color w:val="auto"/>
          <w:sz w:val="28"/>
          <w:szCs w:val="28"/>
        </w:rPr>
        <w:t>3.2.</w:t>
      </w:r>
      <w:r>
        <w:rPr>
          <w:rFonts w:hint="eastAsia" w:ascii="宋体" w:hAnsi="宋体" w:eastAsia="宋体" w:cs="宋体"/>
          <w:b/>
          <w:color w:val="auto"/>
          <w:sz w:val="28"/>
          <w:szCs w:val="28"/>
          <w:lang w:val="en-US" w:eastAsia="zh-CN"/>
        </w:rPr>
        <w:t>3</w:t>
      </w:r>
      <w:r>
        <w:rPr>
          <w:rFonts w:hint="eastAsia" w:ascii="宋体" w:hAnsi="宋体" w:eastAsia="宋体" w:cs="宋体"/>
          <w:b/>
          <w:color w:val="auto"/>
          <w:sz w:val="28"/>
          <w:szCs w:val="28"/>
        </w:rPr>
        <w:t xml:space="preserve"> </w:t>
      </w:r>
      <w:r>
        <w:rPr>
          <w:rFonts w:hint="eastAsia" w:ascii="宋体" w:hAnsi="宋体" w:eastAsia="宋体" w:cs="宋体"/>
          <w:b/>
          <w:color w:val="auto"/>
          <w:sz w:val="28"/>
          <w:szCs w:val="28"/>
          <w:lang w:val="en-US" w:eastAsia="zh-CN"/>
        </w:rPr>
        <w:t>水冲洗及漂</w:t>
      </w:r>
      <w:r>
        <w:rPr>
          <w:rFonts w:hint="eastAsia" w:ascii="宋体" w:hAnsi="宋体" w:eastAsia="宋体" w:cs="宋体"/>
          <w:b/>
          <w:color w:val="auto"/>
          <w:sz w:val="28"/>
          <w:szCs w:val="28"/>
        </w:rPr>
        <w:t>洗（酸洗后）</w:t>
      </w:r>
      <w:bookmarkEnd w:id="14"/>
    </w:p>
    <w:p w14:paraId="01B318A8">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highlight w:val="none"/>
        </w:rPr>
        <w:t>酸洗完成后，用大流量清水对管道进行循环冲洗，冲洗流速不低于1.0m/s，直至排水pH值达到5~6</w:t>
      </w:r>
      <w:r>
        <w:rPr>
          <w:rFonts w:hint="eastAsia" w:ascii="宋体" w:hAnsi="宋体" w:eastAsia="宋体" w:cs="宋体"/>
          <w:color w:val="auto"/>
          <w:sz w:val="28"/>
          <w:szCs w:val="28"/>
          <w:highlight w:val="none"/>
          <w:lang w:val="en-US" w:eastAsia="zh-CN"/>
        </w:rPr>
        <w:t>为宜</w:t>
      </w:r>
      <w:r>
        <w:rPr>
          <w:rFonts w:hint="eastAsia" w:ascii="宋体" w:hAnsi="宋体" w:eastAsia="宋体" w:cs="宋体"/>
          <w:color w:val="auto"/>
          <w:sz w:val="28"/>
          <w:szCs w:val="28"/>
          <w:highlight w:val="none"/>
        </w:rPr>
        <w:t>，无悬浮物、无明显酸迹，铁离子含量</w:t>
      </w:r>
      <w:r>
        <w:rPr>
          <w:rFonts w:hint="eastAsia" w:ascii="宋体" w:hAnsi="宋体" w:eastAsia="宋体" w:cs="宋体"/>
          <w:color w:val="auto"/>
          <w:sz w:val="28"/>
          <w:szCs w:val="28"/>
          <w:highlight w:val="none"/>
          <w:lang w:val="en-US" w:eastAsia="zh-CN"/>
        </w:rPr>
        <w:t>满足要求</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经验收合格后，进入中和工序。</w:t>
      </w:r>
    </w:p>
    <w:p w14:paraId="3F266BAF">
      <w:pPr>
        <w:spacing w:before="300" w:after="120" w:line="240" w:lineRule="auto"/>
        <w:ind w:left="0"/>
        <w:jc w:val="left"/>
        <w:outlineLvl w:val="2"/>
        <w:rPr>
          <w:rFonts w:hint="eastAsia" w:ascii="宋体" w:hAnsi="宋体" w:eastAsia="宋体" w:cs="宋体"/>
          <w:color w:val="auto"/>
          <w:sz w:val="28"/>
          <w:szCs w:val="28"/>
        </w:rPr>
      </w:pPr>
      <w:bookmarkStart w:id="15" w:name="heading_16"/>
      <w:r>
        <w:rPr>
          <w:rFonts w:hint="eastAsia" w:ascii="宋体" w:hAnsi="宋体" w:eastAsia="宋体" w:cs="宋体"/>
          <w:b/>
          <w:color w:val="auto"/>
          <w:sz w:val="28"/>
          <w:szCs w:val="28"/>
        </w:rPr>
        <w:t>3.2.</w:t>
      </w:r>
      <w:r>
        <w:rPr>
          <w:rFonts w:hint="eastAsia" w:ascii="宋体" w:hAnsi="宋体" w:eastAsia="宋体" w:cs="宋体"/>
          <w:b/>
          <w:color w:val="auto"/>
          <w:sz w:val="28"/>
          <w:szCs w:val="28"/>
          <w:lang w:val="en-US" w:eastAsia="zh-CN"/>
        </w:rPr>
        <w:t>4</w:t>
      </w:r>
      <w:r>
        <w:rPr>
          <w:rFonts w:hint="eastAsia" w:ascii="宋体" w:hAnsi="宋体" w:eastAsia="宋体" w:cs="宋体"/>
          <w:b/>
          <w:color w:val="auto"/>
          <w:sz w:val="28"/>
          <w:szCs w:val="28"/>
        </w:rPr>
        <w:t xml:space="preserve"> 中和与钝化</w:t>
      </w:r>
      <w:bookmarkEnd w:id="15"/>
    </w:p>
    <w:p w14:paraId="3D47F5F6">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3.2.5.1 中和：</w:t>
      </w:r>
      <w:r>
        <w:rPr>
          <w:rFonts w:hint="eastAsia" w:ascii="宋体" w:hAnsi="宋体" w:eastAsia="宋体" w:cs="宋体"/>
          <w:color w:val="auto"/>
          <w:sz w:val="28"/>
          <w:szCs w:val="28"/>
          <w:lang w:val="en-US" w:eastAsia="zh-CN"/>
        </w:rPr>
        <w:t>水冲洗结束后，</w:t>
      </w:r>
      <w:r>
        <w:rPr>
          <w:rFonts w:hint="eastAsia" w:ascii="宋体" w:hAnsi="宋体" w:eastAsia="宋体" w:cs="宋体"/>
          <w:color w:val="auto"/>
          <w:sz w:val="28"/>
          <w:szCs w:val="28"/>
        </w:rPr>
        <w:t>采用</w:t>
      </w:r>
      <w:r>
        <w:rPr>
          <w:rFonts w:hint="eastAsia" w:ascii="宋体" w:hAnsi="宋体" w:eastAsia="宋体" w:cs="宋体"/>
          <w:color w:val="auto"/>
          <w:sz w:val="28"/>
          <w:szCs w:val="28"/>
          <w:lang w:val="en-US" w:eastAsia="zh-CN"/>
        </w:rPr>
        <w:t>碱性溶液</w:t>
      </w:r>
      <w:r>
        <w:rPr>
          <w:rFonts w:hint="eastAsia" w:ascii="宋体" w:hAnsi="宋体" w:eastAsia="宋体" w:cs="宋体"/>
          <w:color w:val="auto"/>
          <w:sz w:val="28"/>
          <w:szCs w:val="28"/>
        </w:rPr>
        <w:t>对管道进行循环中和，直至排水pH值达到7~8，无酸性残留，中和时间不少于30分钟。</w:t>
      </w:r>
    </w:p>
    <w:p w14:paraId="6857C08E">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3.2.5.2 钝化：根据管道材质选用对应钝化药剂，钝化过程中需监测钝化液浓度及pH值，做好记录。</w:t>
      </w:r>
    </w:p>
    <w:p w14:paraId="011C2268">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3.2.5.3 </w:t>
      </w:r>
      <w:r>
        <w:rPr>
          <w:rFonts w:hint="eastAsia" w:ascii="宋体" w:hAnsi="宋体" w:eastAsia="宋体" w:cs="宋体"/>
          <w:color w:val="auto"/>
          <w:sz w:val="28"/>
          <w:szCs w:val="28"/>
          <w:lang w:val="en-US" w:eastAsia="zh-CN"/>
        </w:rPr>
        <w:t>验收</w:t>
      </w:r>
      <w:r>
        <w:rPr>
          <w:rFonts w:hint="eastAsia" w:ascii="宋体" w:hAnsi="宋体" w:eastAsia="宋体" w:cs="宋体"/>
          <w:color w:val="auto"/>
          <w:sz w:val="28"/>
          <w:szCs w:val="28"/>
        </w:rPr>
        <w:t>：管道内壁形成均匀致密的钝化膜，无花斑、无锈蚀，经发包方验收合格后，停止钝化。</w:t>
      </w:r>
    </w:p>
    <w:p w14:paraId="7453F902">
      <w:pPr>
        <w:spacing w:before="300" w:after="120" w:line="240" w:lineRule="auto"/>
        <w:ind w:left="0"/>
        <w:jc w:val="left"/>
        <w:outlineLvl w:val="2"/>
        <w:rPr>
          <w:rFonts w:hint="eastAsia" w:ascii="宋体" w:hAnsi="宋体" w:eastAsia="宋体" w:cs="宋体"/>
          <w:color w:val="auto"/>
          <w:sz w:val="28"/>
          <w:szCs w:val="28"/>
        </w:rPr>
      </w:pPr>
      <w:bookmarkStart w:id="16" w:name="heading_17"/>
      <w:r>
        <w:rPr>
          <w:rFonts w:hint="eastAsia" w:ascii="宋体" w:hAnsi="宋体" w:eastAsia="宋体" w:cs="宋体"/>
          <w:b/>
          <w:color w:val="auto"/>
          <w:sz w:val="28"/>
          <w:szCs w:val="28"/>
        </w:rPr>
        <w:t>3.2.6 最终冲洗与干燥</w:t>
      </w:r>
      <w:bookmarkEnd w:id="16"/>
    </w:p>
    <w:p w14:paraId="2768E05C">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3.2.6.1 最终冲洗：用除盐水对管道进行循环冲洗，直至无任何杂质残留，经验收合格后，停止冲洗。</w:t>
      </w:r>
    </w:p>
    <w:p w14:paraId="53D6040E">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3.2.6.2 干燥：采用压缩空气或氮气对管道进行吹干，确保管道内壁无积水、无潮湿痕迹，干燥完成后，对管道进行封闭保护，防止二次污染。</w:t>
      </w:r>
    </w:p>
    <w:p w14:paraId="087F8DA3">
      <w:pPr>
        <w:pStyle w:val="2"/>
        <w:spacing w:before="72" w:line="240" w:lineRule="auto"/>
        <w:ind w:left="80"/>
        <w:outlineLvl w:val="0"/>
        <w:rPr>
          <w:b/>
          <w:bCs/>
          <w:color w:val="auto"/>
          <w:sz w:val="28"/>
          <w:szCs w:val="28"/>
        </w:rPr>
      </w:pPr>
      <w:r>
        <w:rPr>
          <w:rFonts w:hint="eastAsia" w:ascii="宋体" w:hAnsi="宋体" w:eastAsia="宋体" w:cs="宋体"/>
          <w:b/>
          <w:bCs/>
          <w:color w:val="auto"/>
          <w:sz w:val="28"/>
          <w:szCs w:val="28"/>
          <w:lang w:val="en-US" w:eastAsia="zh-CN"/>
        </w:rPr>
        <w:t>3.2.7</w:t>
      </w:r>
      <w:r>
        <w:rPr>
          <w:b/>
          <w:bCs/>
          <w:color w:val="auto"/>
          <w:spacing w:val="1"/>
          <w:sz w:val="28"/>
          <w:szCs w:val="28"/>
        </w:rPr>
        <w:t>浸泡清洗</w:t>
      </w:r>
    </w:p>
    <w:p w14:paraId="0F3DC952">
      <w:pPr>
        <w:pStyle w:val="2"/>
        <w:spacing w:before="69" w:line="240" w:lineRule="auto"/>
        <w:ind w:left="80" w:firstLine="564" w:firstLineChars="200"/>
        <w:rPr>
          <w:rFonts w:hint="default" w:ascii="宋体" w:hAnsi="宋体" w:eastAsia="宋体" w:cs="宋体"/>
          <w:color w:val="auto"/>
          <w:sz w:val="28"/>
          <w:szCs w:val="28"/>
          <w:lang w:val="en-US" w:eastAsia="zh-CN"/>
        </w:rPr>
      </w:pPr>
      <w:r>
        <w:rPr>
          <w:color w:val="auto"/>
          <w:spacing w:val="1"/>
          <w:sz w:val="28"/>
          <w:szCs w:val="28"/>
        </w:rPr>
        <w:t>小型零部件、管段及管件宜采用浸泡清洗</w:t>
      </w:r>
      <w:r>
        <w:rPr>
          <w:rFonts w:hint="eastAsia"/>
          <w:color w:val="auto"/>
          <w:spacing w:val="1"/>
          <w:sz w:val="28"/>
          <w:szCs w:val="28"/>
          <w:lang w:eastAsia="zh-CN"/>
        </w:rPr>
        <w:t>。</w:t>
      </w:r>
      <w:r>
        <w:rPr>
          <w:color w:val="auto"/>
          <w:spacing w:val="-1"/>
          <w:sz w:val="28"/>
          <w:szCs w:val="28"/>
        </w:rPr>
        <w:t>清洗容器和储槽满足清洗件的使用要求，且应设置安全防护设施。各零部件在溶液中应每0.5</w:t>
      </w:r>
      <w:r>
        <w:rPr>
          <w:rFonts w:ascii="Times New Roman" w:hAnsi="Times New Roman" w:eastAsia="Times New Roman" w:cs="Times New Roman"/>
          <w:color w:val="auto"/>
          <w:spacing w:val="-1"/>
          <w:sz w:val="28"/>
          <w:szCs w:val="28"/>
        </w:rPr>
        <w:t>h</w:t>
      </w:r>
      <w:r>
        <w:rPr>
          <w:rFonts w:ascii="Times New Roman" w:hAnsi="Times New Roman" w:eastAsia="Times New Roman" w:cs="Times New Roman"/>
          <w:color w:val="auto"/>
          <w:spacing w:val="1"/>
          <w:sz w:val="28"/>
          <w:szCs w:val="28"/>
        </w:rPr>
        <w:t xml:space="preserve"> </w:t>
      </w:r>
      <w:r>
        <w:rPr>
          <w:color w:val="auto"/>
          <w:spacing w:val="-1"/>
          <w:sz w:val="28"/>
          <w:szCs w:val="28"/>
        </w:rPr>
        <w:t>翻动一次，并按程序及时进行倒槽</w:t>
      </w:r>
      <w:r>
        <w:rPr>
          <w:rFonts w:hint="eastAsia"/>
          <w:color w:val="auto"/>
          <w:spacing w:val="-1"/>
          <w:sz w:val="28"/>
          <w:szCs w:val="28"/>
          <w:lang w:eastAsia="zh-CN"/>
        </w:rPr>
        <w:t>。</w:t>
      </w:r>
      <w:r>
        <w:rPr>
          <w:color w:val="auto"/>
          <w:spacing w:val="3"/>
          <w:sz w:val="28"/>
          <w:szCs w:val="28"/>
        </w:rPr>
        <w:t>清洗过程控制，其清洗时间和控制条件</w:t>
      </w:r>
      <w:r>
        <w:rPr>
          <w:rFonts w:hint="eastAsia"/>
          <w:color w:val="auto"/>
          <w:spacing w:val="3"/>
          <w:sz w:val="28"/>
          <w:szCs w:val="28"/>
          <w:lang w:val="en-US" w:eastAsia="zh-CN"/>
        </w:rPr>
        <w:t>满足SHT 3547-2011 石油化工设备和管道化学清洗施工及验收规范相关要求</w:t>
      </w:r>
      <w:r>
        <w:rPr>
          <w:color w:val="auto"/>
          <w:spacing w:val="2"/>
          <w:sz w:val="28"/>
          <w:szCs w:val="28"/>
        </w:rPr>
        <w:t>。</w:t>
      </w:r>
      <w:r>
        <w:rPr>
          <w:color w:val="auto"/>
          <w:sz w:val="28"/>
          <w:szCs w:val="28"/>
        </w:rPr>
        <w:t>清洗结束后，废液中和达标排放。</w:t>
      </w:r>
    </w:p>
    <w:p w14:paraId="043F3061">
      <w:pPr>
        <w:spacing w:before="320" w:after="120" w:line="240" w:lineRule="auto"/>
        <w:ind w:left="0"/>
        <w:jc w:val="left"/>
        <w:outlineLvl w:val="1"/>
        <w:rPr>
          <w:rFonts w:hint="eastAsia" w:ascii="宋体" w:hAnsi="宋体" w:eastAsia="宋体" w:cs="宋体"/>
          <w:color w:val="auto"/>
          <w:sz w:val="28"/>
          <w:szCs w:val="28"/>
        </w:rPr>
      </w:pPr>
      <w:bookmarkStart w:id="17" w:name="heading_18"/>
      <w:r>
        <w:rPr>
          <w:rFonts w:hint="eastAsia" w:ascii="宋体" w:hAnsi="宋体" w:eastAsia="宋体" w:cs="宋体"/>
          <w:b/>
          <w:color w:val="auto"/>
          <w:sz w:val="28"/>
          <w:szCs w:val="28"/>
        </w:rPr>
        <w:t>3.3 特殊部位处理</w:t>
      </w:r>
      <w:bookmarkEnd w:id="17"/>
    </w:p>
    <w:p w14:paraId="0362873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对于管道弯头、阀门、法兰、换热器管束等特殊部位，承包方需采取针对性的清洗措施，确保清洗彻底，无污垢残留；阀门、仪表等易损坏部件，需提前拆卸或采取保护措施，清洗完成后及时复位，确保其性能完好。</w:t>
      </w:r>
    </w:p>
    <w:p w14:paraId="6DE95990">
      <w:pPr>
        <w:spacing w:before="320" w:after="120" w:line="240" w:lineRule="auto"/>
        <w:ind w:left="0"/>
        <w:jc w:val="left"/>
        <w:outlineLvl w:val="1"/>
        <w:rPr>
          <w:rFonts w:hint="eastAsia" w:ascii="宋体" w:hAnsi="宋体" w:eastAsia="宋体" w:cs="宋体"/>
          <w:color w:val="auto"/>
          <w:sz w:val="28"/>
          <w:szCs w:val="28"/>
        </w:rPr>
      </w:pPr>
      <w:bookmarkStart w:id="18" w:name="heading_19"/>
      <w:r>
        <w:rPr>
          <w:rFonts w:hint="eastAsia" w:ascii="宋体" w:hAnsi="宋体" w:eastAsia="宋体" w:cs="宋体"/>
          <w:b/>
          <w:color w:val="auto"/>
          <w:sz w:val="28"/>
          <w:szCs w:val="28"/>
        </w:rPr>
        <w:t>3.4 施工记录要求</w:t>
      </w:r>
      <w:bookmarkEnd w:id="18"/>
    </w:p>
    <w:p w14:paraId="693B78BD">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承包方需安排专人做好施工全过程记录，记录内容包括但不限于：施工日期、工序名称、药剂名称及浓度、施工温度、循环时间、流速、检测数据（pH值、铁离子含量、腐蚀率、电导率等）、验收结果、施工人员签字等，施工记录需真实、完整、规范，每天提交发包方审核，工程完工后，整理成册</w:t>
      </w:r>
      <w:r>
        <w:rPr>
          <w:rFonts w:hint="eastAsia" w:ascii="宋体" w:hAnsi="宋体" w:eastAsia="宋体" w:cs="宋体"/>
          <w:color w:val="auto"/>
          <w:sz w:val="28"/>
          <w:szCs w:val="28"/>
          <w:lang w:val="en-US" w:eastAsia="zh-CN"/>
        </w:rPr>
        <w:t>按照发包方档案管理有关要求进行档案</w:t>
      </w:r>
      <w:r>
        <w:rPr>
          <w:rFonts w:hint="eastAsia" w:ascii="宋体" w:hAnsi="宋体" w:eastAsia="宋体" w:cs="宋体"/>
          <w:color w:val="auto"/>
          <w:sz w:val="28"/>
          <w:szCs w:val="28"/>
        </w:rPr>
        <w:t>存档。</w:t>
      </w:r>
    </w:p>
    <w:p w14:paraId="084263EC">
      <w:pPr>
        <w:spacing w:before="380" w:after="140" w:line="240" w:lineRule="auto"/>
        <w:ind w:left="0"/>
        <w:jc w:val="left"/>
        <w:outlineLvl w:val="0"/>
        <w:rPr>
          <w:rFonts w:hint="eastAsia" w:ascii="宋体" w:hAnsi="宋体" w:eastAsia="宋体" w:cs="宋体"/>
          <w:color w:val="auto"/>
          <w:sz w:val="28"/>
          <w:szCs w:val="28"/>
        </w:rPr>
      </w:pPr>
      <w:bookmarkStart w:id="19" w:name="heading_20"/>
      <w:r>
        <w:rPr>
          <w:rFonts w:hint="eastAsia" w:ascii="宋体" w:hAnsi="宋体" w:eastAsia="宋体" w:cs="宋体"/>
          <w:b/>
          <w:color w:val="auto"/>
          <w:sz w:val="28"/>
          <w:szCs w:val="28"/>
        </w:rPr>
        <w:t>4. 质量标准与验收</w:t>
      </w:r>
      <w:bookmarkEnd w:id="19"/>
    </w:p>
    <w:p w14:paraId="0CACF6E2">
      <w:pPr>
        <w:spacing w:before="320" w:after="120" w:line="240" w:lineRule="auto"/>
        <w:ind w:left="0"/>
        <w:jc w:val="left"/>
        <w:outlineLvl w:val="1"/>
        <w:rPr>
          <w:rFonts w:hint="eastAsia" w:ascii="宋体" w:hAnsi="宋体" w:eastAsia="宋体" w:cs="宋体"/>
          <w:color w:val="auto"/>
          <w:sz w:val="28"/>
          <w:szCs w:val="28"/>
        </w:rPr>
      </w:pPr>
      <w:bookmarkStart w:id="20" w:name="heading_21"/>
      <w:r>
        <w:rPr>
          <w:rFonts w:hint="eastAsia" w:ascii="宋体" w:hAnsi="宋体" w:eastAsia="宋体" w:cs="宋体"/>
          <w:b/>
          <w:color w:val="auto"/>
          <w:sz w:val="28"/>
          <w:szCs w:val="28"/>
        </w:rPr>
        <w:t>4.1 质量标准</w:t>
      </w:r>
      <w:bookmarkEnd w:id="20"/>
    </w:p>
    <w:p w14:paraId="635DFD2A">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本次工业管道化学清洗质量严格遵循SH/T 3547-2011及HG/T 2387-2007标准，具体要求如下：</w:t>
      </w:r>
    </w:p>
    <w:p w14:paraId="59812618">
      <w:pPr>
        <w:numPr>
          <w:ilvl w:val="0"/>
          <w:numId w:val="11"/>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目视标准：被清洗设备和管道表面应清洁，管道内壁无锈、无氧化皮、无焊渣、无油污、无污垢残留，呈金属本色，钝化膜均匀致密、无花斑、无二次锈蚀</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无金属粗晶析出的过酸洗现象，并有完整的钝化膜。</w:t>
      </w:r>
    </w:p>
    <w:p w14:paraId="0321F623">
      <w:pPr>
        <w:numPr>
          <w:ilvl w:val="0"/>
          <w:numId w:val="11"/>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清洗质量测定：</w:t>
      </w:r>
      <w:r>
        <w:rPr>
          <w:rFonts w:hint="eastAsia" w:ascii="宋体" w:hAnsi="宋体" w:eastAsia="宋体" w:cs="宋体"/>
          <w:color w:val="auto"/>
          <w:sz w:val="28"/>
          <w:szCs w:val="28"/>
        </w:rPr>
        <w:t>碳钢材质的钝化膜质量，可用酸性硫酸铜点滴液检验</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点滴液由蓝色变为红色的时间不小于5s 为合格。奥氏体不锈钢材质的钝化膜质量，可用酸性铁氰化钾点滴液检验</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点滴液覆盖面内10min 内出现的蓝色小点不多于8点为合格。</w:t>
      </w:r>
    </w:p>
    <w:p w14:paraId="16DEFD0D">
      <w:pPr>
        <w:numPr>
          <w:ilvl w:val="0"/>
          <w:numId w:val="12"/>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除垢率：管道内污垢除垢率≥95%；</w:t>
      </w:r>
    </w:p>
    <w:p w14:paraId="2835076D">
      <w:pPr>
        <w:numPr>
          <w:ilvl w:val="0"/>
          <w:numId w:val="13"/>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腐蚀率：碳钢管道腐蚀率＜6g/(m²·h)，不锈钢管道腐蚀率＜2g/(m²·h)，无点蚀、过腐蚀、氢脆等现象；</w:t>
      </w:r>
    </w:p>
    <w:p w14:paraId="1CEC4A39">
      <w:pPr>
        <w:numPr>
          <w:ilvl w:val="0"/>
          <w:numId w:val="14"/>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钝化膜标准：钝化膜附着力强，经擦拭无脱落，浸泡试验无锈蚀。</w:t>
      </w:r>
    </w:p>
    <w:p w14:paraId="25C6066C">
      <w:pPr>
        <w:spacing w:before="320" w:after="120" w:line="240" w:lineRule="auto"/>
        <w:ind w:left="0"/>
        <w:jc w:val="left"/>
        <w:outlineLvl w:val="1"/>
        <w:rPr>
          <w:rFonts w:hint="eastAsia" w:ascii="宋体" w:hAnsi="宋体" w:eastAsia="宋体" w:cs="宋体"/>
          <w:color w:val="auto"/>
          <w:sz w:val="28"/>
          <w:szCs w:val="28"/>
        </w:rPr>
      </w:pPr>
      <w:bookmarkStart w:id="21" w:name="heading_22"/>
      <w:r>
        <w:rPr>
          <w:rFonts w:hint="eastAsia" w:ascii="宋体" w:hAnsi="宋体" w:eastAsia="宋体" w:cs="宋体"/>
          <w:b/>
          <w:color w:val="auto"/>
          <w:sz w:val="28"/>
          <w:szCs w:val="28"/>
        </w:rPr>
        <w:t>4.2 验收流程</w:t>
      </w:r>
      <w:bookmarkEnd w:id="21"/>
    </w:p>
    <w:p w14:paraId="20E73603">
      <w:pPr>
        <w:spacing w:before="120" w:after="120" w:line="240" w:lineRule="auto"/>
        <w:ind w:left="0"/>
        <w:jc w:val="left"/>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4.2.1 工序验收：每道清洗工序完成后，承包方需向发包方提交验收申请，发包方质量检查</w:t>
      </w:r>
      <w:r>
        <w:rPr>
          <w:rFonts w:hint="eastAsia" w:ascii="宋体" w:hAnsi="宋体" w:eastAsia="宋体" w:cs="宋体"/>
          <w:color w:val="auto"/>
          <w:sz w:val="28"/>
          <w:szCs w:val="28"/>
          <w:lang w:val="en-US" w:eastAsia="zh-CN"/>
        </w:rPr>
        <w:t>人</w:t>
      </w:r>
      <w:r>
        <w:rPr>
          <w:rFonts w:hint="eastAsia" w:ascii="宋体" w:hAnsi="宋体" w:eastAsia="宋体" w:cs="宋体"/>
          <w:color w:val="auto"/>
          <w:sz w:val="28"/>
          <w:szCs w:val="28"/>
        </w:rPr>
        <w:t>员在接到申请后</w:t>
      </w:r>
      <w:r>
        <w:rPr>
          <w:rFonts w:hint="eastAsia" w:ascii="宋体" w:hAnsi="宋体" w:eastAsia="宋体" w:cs="宋体"/>
          <w:color w:val="auto"/>
          <w:sz w:val="28"/>
          <w:szCs w:val="28"/>
          <w:lang w:val="en-US" w:eastAsia="zh-CN"/>
        </w:rPr>
        <w:t>安排技术人员</w:t>
      </w:r>
      <w:r>
        <w:rPr>
          <w:rFonts w:hint="eastAsia" w:ascii="宋体" w:hAnsi="宋体" w:eastAsia="宋体" w:cs="宋体"/>
          <w:color w:val="auto"/>
          <w:sz w:val="28"/>
          <w:szCs w:val="28"/>
        </w:rPr>
        <w:t>进行现场验收，验收合格后签署验收记录，方可进入下一工序；验收不合格的，承包方需立即整改，整改完成后重新申请验收，直至合格，整改费用由承包方承担。</w:t>
      </w:r>
      <w:r>
        <w:rPr>
          <w:rFonts w:hint="eastAsia" w:ascii="宋体" w:hAnsi="宋体" w:eastAsia="宋体" w:cs="宋体"/>
          <w:color w:val="auto"/>
          <w:sz w:val="28"/>
          <w:szCs w:val="28"/>
          <w:lang w:val="en-US" w:eastAsia="zh-CN"/>
        </w:rPr>
        <w:t>清洗工作结束后，承包方将现场设备设施及时转运出现场，做到“工完料净场地清”。</w:t>
      </w:r>
    </w:p>
    <w:p w14:paraId="48B943E5">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4.2.2 竣工验收：工程全部完工后，承包方需整理施工记录、药剂检测报告、资质文件、验收记录等相关资料，向发包方提交竣工验收申请，发包方组织技术、质量、安全等相关部门进行全面验收，验收内容包括现场管道清洗质量、资料完整性等，验收合格后签署竣工验收报告；验收不合格的，承包方需在规定期限内整改，直至验收合格，逾期未整改合格的，按合同约定承担违约责任。</w:t>
      </w:r>
    </w:p>
    <w:p w14:paraId="6D2B35FD">
      <w:pPr>
        <w:spacing w:before="320" w:after="120" w:line="240" w:lineRule="auto"/>
        <w:ind w:left="0"/>
        <w:jc w:val="left"/>
        <w:outlineLvl w:val="1"/>
        <w:rPr>
          <w:rFonts w:hint="eastAsia" w:ascii="宋体" w:hAnsi="宋体" w:eastAsia="宋体" w:cs="宋体"/>
          <w:color w:val="auto"/>
          <w:sz w:val="28"/>
          <w:szCs w:val="28"/>
        </w:rPr>
      </w:pPr>
      <w:bookmarkStart w:id="22" w:name="heading_23"/>
      <w:r>
        <w:rPr>
          <w:rFonts w:hint="eastAsia" w:ascii="宋体" w:hAnsi="宋体" w:eastAsia="宋体" w:cs="宋体"/>
          <w:b/>
          <w:color w:val="auto"/>
          <w:sz w:val="28"/>
          <w:szCs w:val="28"/>
        </w:rPr>
        <w:t>4.3 质量保修</w:t>
      </w:r>
      <w:bookmarkEnd w:id="22"/>
    </w:p>
    <w:p w14:paraId="5A1E890D">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竣工验收合格后，承包方需提供</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rPr>
        <w:t>个月的质量保修期，保修期内，若因承包方施工原因导致管道内壁出现锈蚀、钝化膜脱落等质量问题，承包方需在接到通知后24小时内派员到场处理，免费进行返工清洗，确保达到质量标准，并承担由此给发包方造成的损失。</w:t>
      </w:r>
    </w:p>
    <w:p w14:paraId="1BCA313F">
      <w:pPr>
        <w:spacing w:before="380" w:after="140" w:line="240" w:lineRule="auto"/>
        <w:ind w:left="0"/>
        <w:jc w:val="left"/>
        <w:outlineLvl w:val="0"/>
        <w:rPr>
          <w:rFonts w:hint="eastAsia" w:ascii="宋体" w:hAnsi="宋体" w:eastAsia="宋体" w:cs="宋体"/>
          <w:color w:val="auto"/>
          <w:sz w:val="28"/>
          <w:szCs w:val="28"/>
        </w:rPr>
      </w:pPr>
      <w:bookmarkStart w:id="23" w:name="heading_24"/>
      <w:r>
        <w:rPr>
          <w:rFonts w:hint="eastAsia" w:ascii="宋体" w:hAnsi="宋体" w:eastAsia="宋体" w:cs="宋体"/>
          <w:b/>
          <w:color w:val="auto"/>
          <w:sz w:val="28"/>
          <w:szCs w:val="28"/>
        </w:rPr>
        <w:t>5. 安全管理要求</w:t>
      </w:r>
      <w:bookmarkEnd w:id="23"/>
    </w:p>
    <w:p w14:paraId="01BC43B6">
      <w:pPr>
        <w:spacing w:before="320" w:after="120" w:line="240" w:lineRule="auto"/>
        <w:ind w:left="0"/>
        <w:jc w:val="left"/>
        <w:outlineLvl w:val="1"/>
        <w:rPr>
          <w:rFonts w:hint="eastAsia" w:ascii="宋体" w:hAnsi="宋体" w:eastAsia="宋体" w:cs="宋体"/>
          <w:color w:val="auto"/>
          <w:sz w:val="28"/>
          <w:szCs w:val="28"/>
        </w:rPr>
      </w:pPr>
      <w:bookmarkStart w:id="24" w:name="heading_25"/>
      <w:r>
        <w:rPr>
          <w:rFonts w:hint="eastAsia" w:ascii="宋体" w:hAnsi="宋体" w:eastAsia="宋体" w:cs="宋体"/>
          <w:b/>
          <w:color w:val="auto"/>
          <w:sz w:val="28"/>
          <w:szCs w:val="28"/>
        </w:rPr>
        <w:t>5.1 安全责任</w:t>
      </w:r>
      <w:bookmarkEnd w:id="24"/>
    </w:p>
    <w:p w14:paraId="32030C1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承包方是本次清洗工程的安全责任主体，负责施工全过程的安全管理工作，承担因施工安全管理不当造成的一切安全事故责任及经济损失；发包方负责对施工安全进行监督</w:t>
      </w:r>
      <w:r>
        <w:rPr>
          <w:rFonts w:hint="eastAsia" w:ascii="宋体" w:hAnsi="宋体" w:eastAsia="宋体" w:cs="宋体"/>
          <w:color w:val="auto"/>
          <w:sz w:val="28"/>
          <w:szCs w:val="28"/>
          <w:lang w:val="en-US" w:eastAsia="zh-CN"/>
        </w:rPr>
        <w:t>管理</w:t>
      </w:r>
      <w:r>
        <w:rPr>
          <w:rFonts w:hint="eastAsia" w:ascii="宋体" w:hAnsi="宋体" w:eastAsia="宋体" w:cs="宋体"/>
          <w:color w:val="auto"/>
          <w:sz w:val="28"/>
          <w:szCs w:val="28"/>
        </w:rPr>
        <w:t>，发现安全隐患，有权要求承包方立即整改，整改不合格的，有权停止施工。</w:t>
      </w:r>
    </w:p>
    <w:p w14:paraId="0B5C406C">
      <w:pPr>
        <w:spacing w:before="320" w:after="120" w:line="240" w:lineRule="auto"/>
        <w:ind w:left="0"/>
        <w:jc w:val="left"/>
        <w:outlineLvl w:val="1"/>
        <w:rPr>
          <w:rFonts w:hint="eastAsia" w:ascii="宋体" w:hAnsi="宋体" w:eastAsia="宋体" w:cs="宋体"/>
          <w:color w:val="auto"/>
          <w:sz w:val="28"/>
          <w:szCs w:val="28"/>
        </w:rPr>
      </w:pPr>
      <w:bookmarkStart w:id="25" w:name="heading_26"/>
      <w:r>
        <w:rPr>
          <w:rFonts w:hint="eastAsia" w:ascii="宋体" w:hAnsi="宋体" w:eastAsia="宋体" w:cs="宋体"/>
          <w:b/>
          <w:color w:val="auto"/>
          <w:sz w:val="28"/>
          <w:szCs w:val="28"/>
        </w:rPr>
        <w:t>5.2 安全防护</w:t>
      </w:r>
      <w:bookmarkEnd w:id="25"/>
    </w:p>
    <w:p w14:paraId="1A49E52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5.2.1 承包方施工人员必须佩戴齐全安全防护用品（如防酸服、护目镜、防毒面具、耐酸碱手套、防滑鞋等），严禁无防护作业；现场需配备充足的应急防护用品及急救药品，确保应急使用。</w:t>
      </w:r>
    </w:p>
    <w:p w14:paraId="2DFA4D62">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5.2.2 酸碱药剂的储存、运输、使用需严格遵循危险化学品安全管理规定，单独存放，设置明显警示标志，严禁与其他化学品混存，防止泄漏、爆炸、中毒等事故发生；药剂配制需在通风良好的区域进行，操作人员需严格按操作规程操作，防止药剂飞溅。</w:t>
      </w:r>
    </w:p>
    <w:p w14:paraId="412D848F">
      <w:pPr>
        <w:spacing w:before="320" w:after="120" w:line="240" w:lineRule="auto"/>
        <w:ind w:left="0"/>
        <w:jc w:val="left"/>
        <w:outlineLvl w:val="1"/>
        <w:rPr>
          <w:rFonts w:hint="eastAsia" w:ascii="宋体" w:hAnsi="宋体" w:eastAsia="宋体" w:cs="宋体"/>
          <w:color w:val="auto"/>
          <w:sz w:val="28"/>
          <w:szCs w:val="28"/>
        </w:rPr>
      </w:pPr>
      <w:bookmarkStart w:id="26" w:name="heading_27"/>
      <w:r>
        <w:rPr>
          <w:rFonts w:hint="eastAsia" w:ascii="宋体" w:hAnsi="宋体" w:eastAsia="宋体" w:cs="宋体"/>
          <w:b/>
          <w:color w:val="auto"/>
          <w:sz w:val="28"/>
          <w:szCs w:val="28"/>
        </w:rPr>
        <w:t>5.3 现场安全管理</w:t>
      </w:r>
      <w:bookmarkEnd w:id="26"/>
    </w:p>
    <w:p w14:paraId="4DC35F4C">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5.3.1 施工区域需设置封闭围挡及安全警示标志，严禁无关人员进入作业区域；施工过程中，需保持现场通风良好，尤其是密闭空间作业，需采取强制通风措施，检测有毒有害气体浓度，浓度达标后方可作业，作业过程中需安排专人监护。</w:t>
      </w:r>
    </w:p>
    <w:p w14:paraId="64F6EB42">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5.3.2 施工设备需定期检查、维护，确保运行稳定，严禁设备带故障作业；电气设备需做好防漏电、防短路措施，避免因电气故障引发安全事故。</w:t>
      </w:r>
    </w:p>
    <w:p w14:paraId="05CCDF5F">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5.3.3 </w:t>
      </w:r>
      <w:r>
        <w:rPr>
          <w:rFonts w:hint="eastAsia" w:ascii="宋体" w:hAnsi="宋体" w:eastAsia="宋体" w:cs="宋体"/>
          <w:color w:val="auto"/>
          <w:sz w:val="28"/>
          <w:szCs w:val="28"/>
          <w:lang w:val="en-US" w:eastAsia="zh-CN"/>
        </w:rPr>
        <w:t>现场作业需要服从发包方管理</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作业开展前承包方</w:t>
      </w:r>
      <w:r>
        <w:rPr>
          <w:rFonts w:hint="eastAsia" w:ascii="宋体" w:hAnsi="宋体" w:eastAsia="宋体" w:cs="宋体"/>
          <w:color w:val="auto"/>
          <w:sz w:val="28"/>
          <w:szCs w:val="28"/>
        </w:rPr>
        <w:t>需</w:t>
      </w:r>
      <w:r>
        <w:rPr>
          <w:rFonts w:hint="eastAsia" w:ascii="宋体" w:hAnsi="宋体" w:eastAsia="宋体" w:cs="宋体"/>
          <w:color w:val="auto"/>
          <w:sz w:val="28"/>
          <w:szCs w:val="28"/>
          <w:lang w:val="en-US" w:eastAsia="zh-CN"/>
        </w:rPr>
        <w:t>按照发包方有关要求</w:t>
      </w:r>
      <w:r>
        <w:rPr>
          <w:rFonts w:hint="eastAsia" w:ascii="宋体" w:hAnsi="宋体" w:eastAsia="宋体" w:cs="宋体"/>
          <w:color w:val="auto"/>
          <w:sz w:val="28"/>
          <w:szCs w:val="28"/>
        </w:rPr>
        <w:t>办理</w:t>
      </w:r>
      <w:r>
        <w:rPr>
          <w:rFonts w:hint="eastAsia" w:ascii="宋体" w:hAnsi="宋体" w:eastAsia="宋体" w:cs="宋体"/>
          <w:color w:val="auto"/>
          <w:sz w:val="28"/>
          <w:szCs w:val="28"/>
          <w:lang w:val="en-US" w:eastAsia="zh-CN"/>
        </w:rPr>
        <w:t>作业票</w:t>
      </w:r>
      <w:r>
        <w:rPr>
          <w:rFonts w:hint="eastAsia" w:ascii="宋体" w:hAnsi="宋体" w:eastAsia="宋体" w:cs="宋体"/>
          <w:color w:val="auto"/>
          <w:sz w:val="28"/>
          <w:szCs w:val="28"/>
        </w:rPr>
        <w:t>审批手续，</w:t>
      </w:r>
      <w:r>
        <w:rPr>
          <w:rFonts w:hint="eastAsia" w:ascii="宋体" w:hAnsi="宋体" w:eastAsia="宋体" w:cs="宋体"/>
          <w:color w:val="auto"/>
          <w:sz w:val="28"/>
          <w:szCs w:val="28"/>
          <w:lang w:val="en-US" w:eastAsia="zh-CN"/>
        </w:rPr>
        <w:t>作业票审批同意后方可开展作业，作业现场需安排专人监护</w:t>
      </w:r>
      <w:r>
        <w:rPr>
          <w:rFonts w:hint="eastAsia" w:ascii="宋体" w:hAnsi="宋体" w:eastAsia="宋体" w:cs="宋体"/>
          <w:color w:val="auto"/>
          <w:sz w:val="28"/>
          <w:szCs w:val="28"/>
        </w:rPr>
        <w:t>。</w:t>
      </w:r>
    </w:p>
    <w:p w14:paraId="03941220">
      <w:pPr>
        <w:spacing w:before="320" w:after="120" w:line="240" w:lineRule="auto"/>
        <w:ind w:left="0"/>
        <w:jc w:val="left"/>
        <w:outlineLvl w:val="1"/>
        <w:rPr>
          <w:rFonts w:hint="eastAsia" w:ascii="宋体" w:hAnsi="宋体" w:eastAsia="宋体" w:cs="宋体"/>
          <w:color w:val="auto"/>
          <w:sz w:val="28"/>
          <w:szCs w:val="28"/>
        </w:rPr>
      </w:pPr>
      <w:bookmarkStart w:id="27" w:name="heading_28"/>
      <w:r>
        <w:rPr>
          <w:rFonts w:hint="eastAsia" w:ascii="宋体" w:hAnsi="宋体" w:eastAsia="宋体" w:cs="宋体"/>
          <w:b/>
          <w:color w:val="auto"/>
          <w:sz w:val="28"/>
          <w:szCs w:val="28"/>
        </w:rPr>
        <w:t>5.4 应急处置</w:t>
      </w:r>
      <w:bookmarkEnd w:id="27"/>
    </w:p>
    <w:p w14:paraId="6039C110">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承包方需制定完善的安全应急预案，针对酸碱泄漏、人员中毒、火灾等突发事故，明确应急处置流程、责任人员及应急措施；施工现场需配备应急救援设备及物资，定期组织应急演练，确保突发事故发生时能够及时、有效处置，减少人员伤亡及经济损失；发生安全事故时，承包方需立即启动应急预案，组织救援，并第一时间通知发包方及相关部门。</w:t>
      </w:r>
    </w:p>
    <w:p w14:paraId="68E27A32">
      <w:pPr>
        <w:spacing w:before="380" w:after="140" w:line="240" w:lineRule="auto"/>
        <w:ind w:left="0"/>
        <w:jc w:val="left"/>
        <w:outlineLvl w:val="0"/>
        <w:rPr>
          <w:rFonts w:hint="eastAsia" w:ascii="宋体" w:hAnsi="宋体" w:eastAsia="宋体" w:cs="宋体"/>
          <w:color w:val="auto"/>
          <w:sz w:val="28"/>
          <w:szCs w:val="28"/>
        </w:rPr>
      </w:pPr>
      <w:bookmarkStart w:id="28" w:name="heading_29"/>
      <w:r>
        <w:rPr>
          <w:rFonts w:hint="eastAsia" w:ascii="宋体" w:hAnsi="宋体" w:eastAsia="宋体" w:cs="宋体"/>
          <w:b/>
          <w:color w:val="auto"/>
          <w:sz w:val="28"/>
          <w:szCs w:val="28"/>
        </w:rPr>
        <w:t>6. 环保管理要求</w:t>
      </w:r>
      <w:bookmarkEnd w:id="28"/>
    </w:p>
    <w:p w14:paraId="75F910A6">
      <w:pPr>
        <w:spacing w:before="320" w:after="120" w:line="240" w:lineRule="auto"/>
        <w:ind w:left="0"/>
        <w:jc w:val="left"/>
        <w:outlineLvl w:val="1"/>
        <w:rPr>
          <w:rFonts w:hint="eastAsia" w:ascii="宋体" w:hAnsi="宋体" w:eastAsia="宋体" w:cs="宋体"/>
          <w:color w:val="auto"/>
          <w:sz w:val="28"/>
          <w:szCs w:val="28"/>
        </w:rPr>
      </w:pPr>
      <w:bookmarkStart w:id="29" w:name="heading_30"/>
      <w:r>
        <w:rPr>
          <w:rFonts w:hint="eastAsia" w:ascii="宋体" w:hAnsi="宋体" w:eastAsia="宋体" w:cs="宋体"/>
          <w:b/>
          <w:color w:val="auto"/>
          <w:sz w:val="28"/>
          <w:szCs w:val="28"/>
        </w:rPr>
        <w:t>6.1 环保责任</w:t>
      </w:r>
      <w:bookmarkEnd w:id="29"/>
    </w:p>
    <w:p w14:paraId="13A2B5E4">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承包方负责本次清洗工程的环保处置工作，严格遵守国家及地方环保法规，承担因环保处置不当造成的一切环保责任及经济损失；发包方负责对环保处置情况进行监督检查。</w:t>
      </w:r>
    </w:p>
    <w:p w14:paraId="5F27D78C">
      <w:pPr>
        <w:spacing w:before="320" w:after="120" w:line="240" w:lineRule="auto"/>
        <w:ind w:left="0"/>
        <w:jc w:val="left"/>
        <w:outlineLvl w:val="1"/>
        <w:rPr>
          <w:rFonts w:hint="eastAsia" w:ascii="宋体" w:hAnsi="宋体" w:eastAsia="宋体" w:cs="宋体"/>
          <w:color w:val="auto"/>
          <w:sz w:val="28"/>
          <w:szCs w:val="28"/>
        </w:rPr>
      </w:pPr>
      <w:bookmarkStart w:id="30" w:name="heading_31"/>
      <w:r>
        <w:rPr>
          <w:rFonts w:hint="eastAsia" w:ascii="宋体" w:hAnsi="宋体" w:eastAsia="宋体" w:cs="宋体"/>
          <w:b/>
          <w:color w:val="auto"/>
          <w:sz w:val="28"/>
          <w:szCs w:val="28"/>
        </w:rPr>
        <w:t>6.2 废液处置</w:t>
      </w:r>
      <w:bookmarkEnd w:id="30"/>
    </w:p>
    <w:p w14:paraId="2E4F8EA0">
      <w:pPr>
        <w:spacing w:before="120" w:after="120" w:line="240" w:lineRule="auto"/>
        <w:ind w:left="0"/>
        <w:jc w:val="left"/>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清洗过程中产生的酸洗废液、脱脂废液、冲洗废水等，承包方需进行集中收集，严禁直接排放；废液</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酸洗废液</w:t>
      </w:r>
      <w:r>
        <w:rPr>
          <w:rFonts w:hint="eastAsia" w:ascii="宋体" w:hAnsi="宋体" w:eastAsia="宋体" w:cs="宋体"/>
          <w:color w:val="auto"/>
          <w:sz w:val="28"/>
          <w:szCs w:val="28"/>
          <w:lang w:val="en-US" w:eastAsia="zh-CN"/>
        </w:rPr>
        <w:t>、钝化</w:t>
      </w:r>
      <w:r>
        <w:rPr>
          <w:rFonts w:hint="eastAsia" w:ascii="宋体" w:hAnsi="宋体" w:eastAsia="宋体" w:cs="宋体"/>
          <w:color w:val="auto"/>
          <w:sz w:val="28"/>
          <w:szCs w:val="28"/>
        </w:rPr>
        <w:t>废液</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废水等</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需先进行中和处理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废液</w:t>
      </w:r>
      <w:r>
        <w:rPr>
          <w:rFonts w:hint="eastAsia" w:ascii="宋体" w:hAnsi="宋体" w:eastAsia="宋体" w:cs="宋体"/>
          <w:color w:val="auto"/>
          <w:sz w:val="28"/>
          <w:szCs w:val="28"/>
          <w:lang w:val="en-US" w:eastAsia="zh-CN"/>
        </w:rPr>
        <w:t>需先</w:t>
      </w:r>
      <w:r>
        <w:rPr>
          <w:rFonts w:hint="eastAsia" w:ascii="宋体" w:hAnsi="宋体" w:eastAsia="宋体" w:cs="宋体"/>
          <w:color w:val="auto"/>
          <w:sz w:val="28"/>
          <w:szCs w:val="28"/>
        </w:rPr>
        <w:t>去除重金属、悬浮物等杂质，经检测达标后，方可排放至发包方指定的污水处理设施。</w:t>
      </w:r>
      <w:r>
        <w:rPr>
          <w:rFonts w:hint="eastAsia" w:ascii="宋体" w:hAnsi="宋体" w:eastAsia="宋体" w:cs="宋体"/>
          <w:color w:val="auto"/>
          <w:sz w:val="28"/>
          <w:szCs w:val="28"/>
          <w:lang w:val="en-US" w:eastAsia="zh-CN"/>
        </w:rPr>
        <w:t>所有废液转运（车辆或管道）工作全部由承包方负责，承包方须提前到现场勘察发包方污水处理实施情况。</w:t>
      </w:r>
    </w:p>
    <w:p w14:paraId="02A957FD">
      <w:pPr>
        <w:spacing w:before="320" w:after="120" w:line="240" w:lineRule="auto"/>
        <w:ind w:left="0"/>
        <w:jc w:val="left"/>
        <w:outlineLvl w:val="1"/>
        <w:rPr>
          <w:rFonts w:hint="eastAsia" w:ascii="宋体" w:hAnsi="宋体" w:eastAsia="宋体" w:cs="宋体"/>
          <w:color w:val="auto"/>
          <w:sz w:val="28"/>
          <w:szCs w:val="28"/>
        </w:rPr>
      </w:pPr>
      <w:bookmarkStart w:id="31" w:name="heading_32"/>
      <w:r>
        <w:rPr>
          <w:rFonts w:hint="eastAsia" w:ascii="宋体" w:hAnsi="宋体" w:eastAsia="宋体" w:cs="宋体"/>
          <w:b/>
          <w:color w:val="auto"/>
          <w:sz w:val="28"/>
          <w:szCs w:val="28"/>
        </w:rPr>
        <w:t>6.3 废渣及废弃物处置</w:t>
      </w:r>
      <w:bookmarkEnd w:id="31"/>
    </w:p>
    <w:p w14:paraId="6A7C6EDC">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清洗过程中产生的废渣（如除锈渣、污垢等）、废弃药剂包装等，承包方需进行分类收集，妥善存放，严禁随意丢弃；废渣需委托具备相应资质的单位进行无害化处理，废弃药剂包装需按危险废物管理规定进行处置。</w:t>
      </w:r>
    </w:p>
    <w:p w14:paraId="2516F8D2">
      <w:pPr>
        <w:spacing w:before="320" w:after="120" w:line="240" w:lineRule="auto"/>
        <w:ind w:left="0"/>
        <w:jc w:val="left"/>
        <w:outlineLvl w:val="1"/>
        <w:rPr>
          <w:rFonts w:hint="eastAsia" w:ascii="宋体" w:hAnsi="宋体" w:eastAsia="宋体" w:cs="宋体"/>
          <w:color w:val="auto"/>
          <w:sz w:val="28"/>
          <w:szCs w:val="28"/>
        </w:rPr>
      </w:pPr>
      <w:bookmarkStart w:id="32" w:name="heading_33"/>
      <w:r>
        <w:rPr>
          <w:rFonts w:hint="eastAsia" w:ascii="宋体" w:hAnsi="宋体" w:eastAsia="宋体" w:cs="宋体"/>
          <w:b/>
          <w:color w:val="auto"/>
          <w:sz w:val="28"/>
          <w:szCs w:val="28"/>
        </w:rPr>
        <w:t>6.4 现场环保要求</w:t>
      </w:r>
      <w:bookmarkEnd w:id="32"/>
    </w:p>
    <w:p w14:paraId="7EB67519">
      <w:p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施工过程中，需采取有效措施，防止药剂泄漏、废液流失，避免污染土壤、地下水及周边环境；施工结束后，承包方需清理施工现场，恢复场地原貌，做到工完、料尽、场地清。</w:t>
      </w:r>
    </w:p>
    <w:p w14:paraId="5411D0F0">
      <w:pPr>
        <w:spacing w:before="120" w:after="120" w:line="240" w:lineRule="auto"/>
        <w:ind w:left="0"/>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6.5 特别说明</w:t>
      </w:r>
    </w:p>
    <w:p w14:paraId="1329D4BA">
      <w:pPr>
        <w:spacing w:before="120" w:after="120" w:line="240" w:lineRule="auto"/>
        <w:ind w:left="0"/>
        <w:jc w:val="left"/>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因本项目特殊性，投标方报价前须安排技术人员到装置现场进行实地勘察，清楚了解项目实际情况，若因投标方未进行现场实地勘察导致对本项目实际工程量、实施难度等理解出现偏差导致一些损失由投标方承担。 </w:t>
      </w:r>
    </w:p>
    <w:p w14:paraId="12B4F4BA">
      <w:pPr>
        <w:spacing w:before="380" w:after="140" w:line="240" w:lineRule="auto"/>
        <w:ind w:left="0"/>
        <w:jc w:val="left"/>
        <w:outlineLvl w:val="0"/>
        <w:rPr>
          <w:rFonts w:hint="eastAsia" w:ascii="宋体" w:hAnsi="宋体" w:eastAsia="宋体" w:cs="宋体"/>
          <w:color w:val="auto"/>
          <w:sz w:val="28"/>
          <w:szCs w:val="28"/>
        </w:rPr>
      </w:pPr>
      <w:bookmarkStart w:id="33" w:name="heading_34"/>
      <w:r>
        <w:rPr>
          <w:rFonts w:hint="eastAsia" w:ascii="宋体" w:hAnsi="宋体" w:eastAsia="宋体" w:cs="宋体"/>
          <w:b/>
          <w:color w:val="auto"/>
          <w:sz w:val="28"/>
          <w:szCs w:val="28"/>
        </w:rPr>
        <w:t>7. 双方责任与义务</w:t>
      </w:r>
      <w:bookmarkEnd w:id="33"/>
    </w:p>
    <w:p w14:paraId="31F18FBE">
      <w:pPr>
        <w:spacing w:before="320" w:after="120" w:line="240" w:lineRule="auto"/>
        <w:ind w:left="0"/>
        <w:jc w:val="left"/>
        <w:outlineLvl w:val="1"/>
        <w:rPr>
          <w:rFonts w:hint="eastAsia" w:ascii="宋体" w:hAnsi="宋体" w:eastAsia="宋体" w:cs="宋体"/>
          <w:color w:val="auto"/>
          <w:sz w:val="28"/>
          <w:szCs w:val="28"/>
        </w:rPr>
      </w:pPr>
      <w:bookmarkStart w:id="34" w:name="heading_35"/>
      <w:r>
        <w:rPr>
          <w:rFonts w:hint="eastAsia" w:ascii="宋体" w:hAnsi="宋体" w:eastAsia="宋体" w:cs="宋体"/>
          <w:b/>
          <w:color w:val="auto"/>
          <w:sz w:val="28"/>
          <w:szCs w:val="28"/>
        </w:rPr>
        <w:t>7.1 发包方责任与义务</w:t>
      </w:r>
      <w:bookmarkEnd w:id="34"/>
    </w:p>
    <w:p w14:paraId="16F63D4D">
      <w:pPr>
        <w:numPr>
          <w:ilvl w:val="0"/>
          <w:numId w:val="15"/>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提供本次清洗管道的设计文件、材质证明等相关技术资料，明确清洗范围及要求；</w:t>
      </w:r>
    </w:p>
    <w:p w14:paraId="186734A5">
      <w:pPr>
        <w:numPr>
          <w:ilvl w:val="0"/>
          <w:numId w:val="16"/>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负责协调现场相关单位，为承包方提供必要的施工场地、水电供应，协助承包方办理现场施工</w:t>
      </w:r>
      <w:r>
        <w:rPr>
          <w:rFonts w:hint="eastAsia" w:ascii="宋体" w:hAnsi="宋体" w:eastAsia="宋体" w:cs="宋体"/>
          <w:color w:val="auto"/>
          <w:sz w:val="28"/>
          <w:szCs w:val="28"/>
          <w:lang w:val="en-US" w:eastAsia="zh-CN"/>
        </w:rPr>
        <w:t>作业</w:t>
      </w:r>
      <w:r>
        <w:rPr>
          <w:rFonts w:hint="eastAsia" w:ascii="宋体" w:hAnsi="宋体" w:eastAsia="宋体" w:cs="宋体"/>
          <w:color w:val="auto"/>
          <w:sz w:val="28"/>
          <w:szCs w:val="28"/>
        </w:rPr>
        <w:t>所需的相关手续；</w:t>
      </w:r>
    </w:p>
    <w:p w14:paraId="10476E12">
      <w:pPr>
        <w:numPr>
          <w:ilvl w:val="0"/>
          <w:numId w:val="17"/>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安排专人对施工过程进行监督、检查，及时验收各道工序质量，协调解决施工过程中的相关问题；</w:t>
      </w:r>
    </w:p>
    <w:p w14:paraId="6E2A5872">
      <w:pPr>
        <w:spacing w:before="320" w:after="120" w:line="240" w:lineRule="auto"/>
        <w:ind w:left="0"/>
        <w:jc w:val="left"/>
        <w:outlineLvl w:val="1"/>
        <w:rPr>
          <w:rFonts w:hint="eastAsia" w:ascii="宋体" w:hAnsi="宋体" w:eastAsia="宋体" w:cs="宋体"/>
          <w:b/>
          <w:color w:val="auto"/>
          <w:sz w:val="28"/>
          <w:szCs w:val="28"/>
        </w:rPr>
      </w:pPr>
      <w:bookmarkStart w:id="35" w:name="heading_36"/>
      <w:r>
        <w:rPr>
          <w:rFonts w:hint="eastAsia" w:ascii="宋体" w:hAnsi="宋体" w:eastAsia="宋体" w:cs="宋体"/>
          <w:b/>
          <w:color w:val="auto"/>
          <w:sz w:val="28"/>
          <w:szCs w:val="28"/>
        </w:rPr>
        <w:t>7.2 承包方责任与义务</w:t>
      </w:r>
      <w:bookmarkEnd w:id="35"/>
    </w:p>
    <w:p w14:paraId="7877F59C">
      <w:pPr>
        <w:spacing w:before="320" w:after="120" w:line="240" w:lineRule="auto"/>
        <w:ind w:left="0"/>
        <w:jc w:val="left"/>
        <w:outlineLvl w:val="1"/>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包括但不限于：</w:t>
      </w:r>
    </w:p>
    <w:p w14:paraId="00D0E3BF">
      <w:pPr>
        <w:numPr>
          <w:ilvl w:val="0"/>
          <w:numId w:val="18"/>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严格按照本技术文件及合同约定，组织施工，确保施工质量、安全、环保及工期要求；</w:t>
      </w:r>
    </w:p>
    <w:p w14:paraId="521B00C8">
      <w:pPr>
        <w:numPr>
          <w:ilvl w:val="0"/>
          <w:numId w:val="19"/>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负责施工人员的安全、技术培训，配备齐全安全防护设备及环保处置设备，规范施工操作；</w:t>
      </w:r>
    </w:p>
    <w:p w14:paraId="14B5FD9D">
      <w:pPr>
        <w:numPr>
          <w:ilvl w:val="0"/>
          <w:numId w:val="20"/>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严格执行国家及行业标准、规范，做好施工全过程记录，及时提交验收申请及相关资料；</w:t>
      </w:r>
    </w:p>
    <w:p w14:paraId="319AF770">
      <w:pPr>
        <w:numPr>
          <w:ilvl w:val="0"/>
          <w:numId w:val="21"/>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负责施工过程中的安全事故、环保事故的应急处置，承担相应的责任及经济损失；</w:t>
      </w:r>
    </w:p>
    <w:p w14:paraId="6DE580FD">
      <w:pPr>
        <w:numPr>
          <w:ilvl w:val="0"/>
          <w:numId w:val="22"/>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接受发包方的监督、检查，对发包方提出的整改要求，及时整改到位；</w:t>
      </w:r>
    </w:p>
    <w:p w14:paraId="074BB485">
      <w:pPr>
        <w:numPr>
          <w:ilvl w:val="0"/>
          <w:numId w:val="23"/>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工程完工后，负责清理施工现场，恢复场地原貌，提交完整的施工资料</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并按照发包方档案管理有关要求移交发包方存档</w:t>
      </w:r>
      <w:r>
        <w:rPr>
          <w:rFonts w:hint="eastAsia" w:ascii="宋体" w:hAnsi="宋体" w:eastAsia="宋体" w:cs="宋体"/>
          <w:color w:val="auto"/>
          <w:sz w:val="28"/>
          <w:szCs w:val="28"/>
        </w:rPr>
        <w:t>；</w:t>
      </w:r>
    </w:p>
    <w:p w14:paraId="3D94C9E6">
      <w:pPr>
        <w:numPr>
          <w:ilvl w:val="0"/>
          <w:numId w:val="24"/>
        </w:numPr>
        <w:spacing w:before="120" w:after="120" w:line="240" w:lineRule="auto"/>
        <w:ind w:left="0"/>
        <w:jc w:val="left"/>
        <w:rPr>
          <w:rFonts w:hint="eastAsia" w:ascii="宋体" w:hAnsi="宋体" w:eastAsia="宋体" w:cs="宋体"/>
          <w:color w:val="auto"/>
          <w:sz w:val="28"/>
          <w:szCs w:val="28"/>
        </w:rPr>
      </w:pPr>
      <w:r>
        <w:rPr>
          <w:rFonts w:hint="eastAsia" w:ascii="宋体" w:hAnsi="宋体" w:eastAsia="宋体" w:cs="宋体"/>
          <w:color w:val="auto"/>
          <w:sz w:val="28"/>
          <w:szCs w:val="28"/>
        </w:rPr>
        <w:t>承担质量保修期内的质量保修责任，及时处理质量问题。</w:t>
      </w:r>
      <w:bookmarkStart w:id="36" w:name="_GoBack"/>
      <w:bookmarkEnd w:id="36"/>
    </w:p>
    <w:sectPr>
      <w:headerReference r:id="rId4" w:type="default"/>
      <w:footerReference r:id="rId5" w:type="default"/>
      <w:pgSz w:w="11905" w:h="1684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32D7">
    <w:pPr>
      <w:pStyle w:val="3"/>
      <w:jc w:val="center"/>
      <w:rPr>
        <w:rFonts w:hint="eastAsia"/>
      </w:rPr>
    </w:pPr>
  </w:p>
  <w:p w14:paraId="352394D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06B8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09C894">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5009C894">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97C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0"/>
      <w:numFmt w:val="bullet"/>
      <w:lvlText w:val="•"/>
      <w:lvlJc w:val="left"/>
      <w:rPr>
        <w:color w:val="3370FF"/>
      </w:rPr>
    </w:lvl>
  </w:abstractNum>
  <w:abstractNum w:abstractNumId="1">
    <w:nsid w:val="9288B902"/>
    <w:multiLevelType w:val="singleLevel"/>
    <w:tmpl w:val="9288B902"/>
    <w:lvl w:ilvl="0" w:tentative="0">
      <w:start w:val="0"/>
      <w:numFmt w:val="bullet"/>
      <w:lvlText w:val="•"/>
      <w:lvlJc w:val="left"/>
      <w:rPr>
        <w:color w:val="3370FF"/>
      </w:rPr>
    </w:lvl>
  </w:abstractNum>
  <w:abstractNum w:abstractNumId="2">
    <w:nsid w:val="9C8AC8EF"/>
    <w:multiLevelType w:val="singleLevel"/>
    <w:tmpl w:val="9C8AC8EF"/>
    <w:lvl w:ilvl="0" w:tentative="0">
      <w:start w:val="0"/>
      <w:numFmt w:val="bullet"/>
      <w:lvlText w:val="•"/>
      <w:lvlJc w:val="left"/>
      <w:rPr>
        <w:color w:val="3370FF"/>
      </w:rPr>
    </w:lvl>
  </w:abstractNum>
  <w:abstractNum w:abstractNumId="3">
    <w:nsid w:val="B0F1ACD9"/>
    <w:multiLevelType w:val="singleLevel"/>
    <w:tmpl w:val="B0F1ACD9"/>
    <w:lvl w:ilvl="0" w:tentative="0">
      <w:start w:val="0"/>
      <w:numFmt w:val="bullet"/>
      <w:lvlText w:val="•"/>
      <w:lvlJc w:val="left"/>
      <w:rPr>
        <w:color w:val="3370FF"/>
      </w:rPr>
    </w:lvl>
  </w:abstractNum>
  <w:abstractNum w:abstractNumId="4">
    <w:nsid w:val="B5E306ED"/>
    <w:multiLevelType w:val="singleLevel"/>
    <w:tmpl w:val="B5E306ED"/>
    <w:lvl w:ilvl="0" w:tentative="0">
      <w:start w:val="0"/>
      <w:numFmt w:val="bullet"/>
      <w:lvlText w:val="•"/>
      <w:lvlJc w:val="left"/>
      <w:rPr>
        <w:color w:val="3370FF"/>
      </w:rPr>
    </w:lvl>
  </w:abstractNum>
  <w:abstractNum w:abstractNumId="5">
    <w:nsid w:val="BE923771"/>
    <w:multiLevelType w:val="singleLevel"/>
    <w:tmpl w:val="BE923771"/>
    <w:lvl w:ilvl="0" w:tentative="0">
      <w:start w:val="0"/>
      <w:numFmt w:val="bullet"/>
      <w:lvlText w:val="•"/>
      <w:lvlJc w:val="left"/>
      <w:rPr>
        <w:color w:val="3370FF"/>
      </w:rPr>
    </w:lvl>
  </w:abstractNum>
  <w:abstractNum w:abstractNumId="6">
    <w:nsid w:val="BF205925"/>
    <w:multiLevelType w:val="singleLevel"/>
    <w:tmpl w:val="BF205925"/>
    <w:lvl w:ilvl="0" w:tentative="0">
      <w:start w:val="0"/>
      <w:numFmt w:val="bullet"/>
      <w:lvlText w:val="•"/>
      <w:lvlJc w:val="left"/>
      <w:rPr>
        <w:color w:val="3370FF"/>
      </w:rPr>
    </w:lvl>
  </w:abstractNum>
  <w:abstractNum w:abstractNumId="7">
    <w:nsid w:val="CF092B84"/>
    <w:multiLevelType w:val="singleLevel"/>
    <w:tmpl w:val="CF092B84"/>
    <w:lvl w:ilvl="0" w:tentative="0">
      <w:start w:val="0"/>
      <w:numFmt w:val="bullet"/>
      <w:lvlText w:val="•"/>
      <w:lvlJc w:val="left"/>
      <w:rPr>
        <w:color w:val="3370FF"/>
      </w:rPr>
    </w:lvl>
  </w:abstractNum>
  <w:abstractNum w:abstractNumId="8">
    <w:nsid w:val="DCBA6B53"/>
    <w:multiLevelType w:val="singleLevel"/>
    <w:tmpl w:val="DCBA6B53"/>
    <w:lvl w:ilvl="0" w:tentative="0">
      <w:start w:val="0"/>
      <w:numFmt w:val="bullet"/>
      <w:lvlText w:val="•"/>
      <w:lvlJc w:val="left"/>
      <w:rPr>
        <w:color w:val="3370FF"/>
      </w:rPr>
    </w:lvl>
  </w:abstractNum>
  <w:abstractNum w:abstractNumId="9">
    <w:nsid w:val="F4B5D9F5"/>
    <w:multiLevelType w:val="singleLevel"/>
    <w:tmpl w:val="F4B5D9F5"/>
    <w:lvl w:ilvl="0" w:tentative="0">
      <w:start w:val="0"/>
      <w:numFmt w:val="bullet"/>
      <w:lvlText w:val="•"/>
      <w:lvlJc w:val="left"/>
      <w:rPr>
        <w:color w:val="3370FF"/>
      </w:rPr>
    </w:lvl>
  </w:abstractNum>
  <w:abstractNum w:abstractNumId="10">
    <w:nsid w:val="0053208E"/>
    <w:multiLevelType w:val="singleLevel"/>
    <w:tmpl w:val="0053208E"/>
    <w:lvl w:ilvl="0" w:tentative="0">
      <w:start w:val="0"/>
      <w:numFmt w:val="bullet"/>
      <w:lvlText w:val="•"/>
      <w:lvlJc w:val="left"/>
      <w:rPr>
        <w:color w:val="3370FF"/>
      </w:rPr>
    </w:lvl>
  </w:abstractNum>
  <w:abstractNum w:abstractNumId="11">
    <w:nsid w:val="0248C179"/>
    <w:multiLevelType w:val="singleLevel"/>
    <w:tmpl w:val="0248C179"/>
    <w:lvl w:ilvl="0" w:tentative="0">
      <w:start w:val="0"/>
      <w:numFmt w:val="bullet"/>
      <w:lvlText w:val="•"/>
      <w:lvlJc w:val="left"/>
      <w:rPr>
        <w:color w:val="3370FF"/>
      </w:rPr>
    </w:lvl>
  </w:abstractNum>
  <w:abstractNum w:abstractNumId="12">
    <w:nsid w:val="03D62ECE"/>
    <w:multiLevelType w:val="singleLevel"/>
    <w:tmpl w:val="03D62ECE"/>
    <w:lvl w:ilvl="0" w:tentative="0">
      <w:start w:val="0"/>
      <w:numFmt w:val="bullet"/>
      <w:lvlText w:val="•"/>
      <w:lvlJc w:val="left"/>
      <w:rPr>
        <w:color w:val="3370FF"/>
      </w:rPr>
    </w:lvl>
  </w:abstractNum>
  <w:abstractNum w:abstractNumId="13">
    <w:nsid w:val="0E640482"/>
    <w:multiLevelType w:val="singleLevel"/>
    <w:tmpl w:val="0E640482"/>
    <w:lvl w:ilvl="0" w:tentative="0">
      <w:start w:val="0"/>
      <w:numFmt w:val="bullet"/>
      <w:lvlText w:val="•"/>
      <w:lvlJc w:val="left"/>
      <w:rPr>
        <w:color w:val="3370FF"/>
      </w:rPr>
    </w:lvl>
  </w:abstractNum>
  <w:abstractNum w:abstractNumId="14">
    <w:nsid w:val="2470EC97"/>
    <w:multiLevelType w:val="singleLevel"/>
    <w:tmpl w:val="2470EC97"/>
    <w:lvl w:ilvl="0" w:tentative="0">
      <w:start w:val="0"/>
      <w:numFmt w:val="bullet"/>
      <w:lvlText w:val="•"/>
      <w:lvlJc w:val="left"/>
      <w:rPr>
        <w:color w:val="3370FF"/>
      </w:rPr>
    </w:lvl>
  </w:abstractNum>
  <w:abstractNum w:abstractNumId="15">
    <w:nsid w:val="25B654F3"/>
    <w:multiLevelType w:val="singleLevel"/>
    <w:tmpl w:val="25B654F3"/>
    <w:lvl w:ilvl="0" w:tentative="0">
      <w:start w:val="0"/>
      <w:numFmt w:val="bullet"/>
      <w:lvlText w:val="•"/>
      <w:lvlJc w:val="left"/>
      <w:rPr>
        <w:color w:val="3370FF"/>
      </w:rPr>
    </w:lvl>
  </w:abstractNum>
  <w:abstractNum w:abstractNumId="16">
    <w:nsid w:val="39A0D9AC"/>
    <w:multiLevelType w:val="singleLevel"/>
    <w:tmpl w:val="39A0D9AC"/>
    <w:lvl w:ilvl="0" w:tentative="0">
      <w:start w:val="0"/>
      <w:numFmt w:val="bullet"/>
      <w:lvlText w:val="•"/>
      <w:lvlJc w:val="left"/>
      <w:rPr>
        <w:color w:val="3370FF"/>
      </w:rPr>
    </w:lvl>
  </w:abstractNum>
  <w:abstractNum w:abstractNumId="17">
    <w:nsid w:val="4C1BAE26"/>
    <w:multiLevelType w:val="singleLevel"/>
    <w:tmpl w:val="4C1BAE26"/>
    <w:lvl w:ilvl="0" w:tentative="0">
      <w:start w:val="0"/>
      <w:numFmt w:val="bullet"/>
      <w:lvlText w:val="•"/>
      <w:lvlJc w:val="left"/>
      <w:rPr>
        <w:color w:val="3370FF"/>
      </w:rPr>
    </w:lvl>
  </w:abstractNum>
  <w:abstractNum w:abstractNumId="18">
    <w:nsid w:val="59ADCABA"/>
    <w:multiLevelType w:val="singleLevel"/>
    <w:tmpl w:val="59ADCABA"/>
    <w:lvl w:ilvl="0" w:tentative="0">
      <w:start w:val="0"/>
      <w:numFmt w:val="bullet"/>
      <w:lvlText w:val="•"/>
      <w:lvlJc w:val="left"/>
      <w:rPr>
        <w:color w:val="3370FF"/>
      </w:rPr>
    </w:lvl>
  </w:abstractNum>
  <w:abstractNum w:abstractNumId="19">
    <w:nsid w:val="60382F6E"/>
    <w:multiLevelType w:val="singleLevel"/>
    <w:tmpl w:val="60382F6E"/>
    <w:lvl w:ilvl="0" w:tentative="0">
      <w:start w:val="0"/>
      <w:numFmt w:val="bullet"/>
      <w:lvlText w:val="•"/>
      <w:lvlJc w:val="left"/>
      <w:rPr>
        <w:color w:val="3370FF"/>
      </w:rPr>
    </w:lvl>
  </w:abstractNum>
  <w:abstractNum w:abstractNumId="20">
    <w:nsid w:val="629F7852"/>
    <w:multiLevelType w:val="singleLevel"/>
    <w:tmpl w:val="629F7852"/>
    <w:lvl w:ilvl="0" w:tentative="0">
      <w:start w:val="0"/>
      <w:numFmt w:val="bullet"/>
      <w:lvlText w:val="•"/>
      <w:lvlJc w:val="left"/>
      <w:rPr>
        <w:color w:val="3370FF"/>
      </w:rPr>
    </w:lvl>
  </w:abstractNum>
  <w:abstractNum w:abstractNumId="21">
    <w:nsid w:val="72183CF9"/>
    <w:multiLevelType w:val="singleLevel"/>
    <w:tmpl w:val="72183CF9"/>
    <w:lvl w:ilvl="0" w:tentative="0">
      <w:start w:val="0"/>
      <w:numFmt w:val="bullet"/>
      <w:lvlText w:val="•"/>
      <w:lvlJc w:val="left"/>
      <w:rPr>
        <w:color w:val="3370FF"/>
      </w:rPr>
    </w:lvl>
  </w:abstractNum>
  <w:abstractNum w:abstractNumId="22">
    <w:nsid w:val="77ECEA79"/>
    <w:multiLevelType w:val="singleLevel"/>
    <w:tmpl w:val="77ECEA79"/>
    <w:lvl w:ilvl="0" w:tentative="0">
      <w:start w:val="0"/>
      <w:numFmt w:val="bullet"/>
      <w:lvlText w:val="•"/>
      <w:lvlJc w:val="left"/>
      <w:rPr>
        <w:color w:val="3370FF"/>
      </w:rPr>
    </w:lvl>
  </w:abstractNum>
  <w:abstractNum w:abstractNumId="23">
    <w:nsid w:val="7C246926"/>
    <w:multiLevelType w:val="singleLevel"/>
    <w:tmpl w:val="7C246926"/>
    <w:lvl w:ilvl="0" w:tentative="0">
      <w:start w:val="0"/>
      <w:numFmt w:val="bullet"/>
      <w:lvlText w:val="•"/>
      <w:lvlJc w:val="left"/>
      <w:rPr>
        <w:color w:val="3370FF"/>
      </w:rPr>
    </w:lvl>
  </w:abstractNum>
  <w:num w:numId="1">
    <w:abstractNumId w:val="10"/>
  </w:num>
  <w:num w:numId="2">
    <w:abstractNumId w:val="7"/>
  </w:num>
  <w:num w:numId="3">
    <w:abstractNumId w:val="18"/>
  </w:num>
  <w:num w:numId="4">
    <w:abstractNumId w:val="6"/>
  </w:num>
  <w:num w:numId="5">
    <w:abstractNumId w:val="4"/>
  </w:num>
  <w:num w:numId="6">
    <w:abstractNumId w:val="12"/>
  </w:num>
  <w:num w:numId="7">
    <w:abstractNumId w:val="15"/>
  </w:num>
  <w:num w:numId="8">
    <w:abstractNumId w:val="21"/>
  </w:num>
  <w:num w:numId="9">
    <w:abstractNumId w:val="11"/>
  </w:num>
  <w:num w:numId="10">
    <w:abstractNumId w:val="0"/>
  </w:num>
  <w:num w:numId="11">
    <w:abstractNumId w:val="9"/>
  </w:num>
  <w:num w:numId="12">
    <w:abstractNumId w:val="14"/>
  </w:num>
  <w:num w:numId="13">
    <w:abstractNumId w:val="8"/>
  </w:num>
  <w:num w:numId="14">
    <w:abstractNumId w:val="2"/>
  </w:num>
  <w:num w:numId="15">
    <w:abstractNumId w:val="17"/>
  </w:num>
  <w:num w:numId="16">
    <w:abstractNumId w:val="19"/>
  </w:num>
  <w:num w:numId="17">
    <w:abstractNumId w:val="13"/>
  </w:num>
  <w:num w:numId="18">
    <w:abstractNumId w:val="3"/>
  </w:num>
  <w:num w:numId="19">
    <w:abstractNumId w:val="23"/>
  </w:num>
  <w:num w:numId="20">
    <w:abstractNumId w:val="22"/>
  </w:num>
  <w:num w:numId="21">
    <w:abstractNumId w:val="5"/>
  </w:num>
  <w:num w:numId="22">
    <w:abstractNumId w:val="20"/>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16C40"/>
    <w:rsid w:val="02F67AF2"/>
    <w:rsid w:val="03B93072"/>
    <w:rsid w:val="043D6204"/>
    <w:rsid w:val="0A3665F0"/>
    <w:rsid w:val="0BA852CC"/>
    <w:rsid w:val="0CFC3964"/>
    <w:rsid w:val="0D1268DA"/>
    <w:rsid w:val="0E32239F"/>
    <w:rsid w:val="0EBF70A2"/>
    <w:rsid w:val="0F583699"/>
    <w:rsid w:val="1A0C2EC9"/>
    <w:rsid w:val="1A310B82"/>
    <w:rsid w:val="1B41010E"/>
    <w:rsid w:val="1C445D5B"/>
    <w:rsid w:val="1C961170"/>
    <w:rsid w:val="22DA2031"/>
    <w:rsid w:val="24557BB4"/>
    <w:rsid w:val="25C11F8B"/>
    <w:rsid w:val="28CE097F"/>
    <w:rsid w:val="2C7B0F7D"/>
    <w:rsid w:val="2D064944"/>
    <w:rsid w:val="2D124C41"/>
    <w:rsid w:val="2E4119B7"/>
    <w:rsid w:val="332B2E6E"/>
    <w:rsid w:val="33D10AFB"/>
    <w:rsid w:val="33F24C1D"/>
    <w:rsid w:val="36D265FE"/>
    <w:rsid w:val="388C36FB"/>
    <w:rsid w:val="39524A37"/>
    <w:rsid w:val="3B4C2CCE"/>
    <w:rsid w:val="3E8E1160"/>
    <w:rsid w:val="3EA9217A"/>
    <w:rsid w:val="3FAA32D5"/>
    <w:rsid w:val="40C874D9"/>
    <w:rsid w:val="44C15265"/>
    <w:rsid w:val="44D03331"/>
    <w:rsid w:val="45424796"/>
    <w:rsid w:val="45451719"/>
    <w:rsid w:val="45E52835"/>
    <w:rsid w:val="46805F22"/>
    <w:rsid w:val="47574ED5"/>
    <w:rsid w:val="4CF65612"/>
    <w:rsid w:val="4DB97C92"/>
    <w:rsid w:val="500F5C67"/>
    <w:rsid w:val="51CC5C43"/>
    <w:rsid w:val="56892BD1"/>
    <w:rsid w:val="5823361D"/>
    <w:rsid w:val="5C0056E3"/>
    <w:rsid w:val="5C2869E8"/>
    <w:rsid w:val="5E5304B5"/>
    <w:rsid w:val="5E552A0F"/>
    <w:rsid w:val="5EA622E0"/>
    <w:rsid w:val="5FC4070D"/>
    <w:rsid w:val="61A93345"/>
    <w:rsid w:val="64AC70A5"/>
    <w:rsid w:val="68EF4B15"/>
    <w:rsid w:val="6B0349C6"/>
    <w:rsid w:val="6F804FDB"/>
    <w:rsid w:val="70A71805"/>
    <w:rsid w:val="70C7556A"/>
    <w:rsid w:val="715319C5"/>
    <w:rsid w:val="725260E8"/>
    <w:rsid w:val="74021CF4"/>
    <w:rsid w:val="7A450E8B"/>
    <w:rsid w:val="7CA2046D"/>
    <w:rsid w:val="7CB15FC6"/>
    <w:rsid w:val="7CF16C56"/>
    <w:rsid w:val="7CF20C20"/>
    <w:rsid w:val="7D7811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before="154"/>
      <w:ind w:left="580"/>
    </w:pPr>
    <w:rPr>
      <w:rFonts w:hint="eastAsia" w:ascii="宋体" w:hAnsi="宋体" w:eastAsia="宋体"/>
      <w:sz w:val="24"/>
      <w:szCs w:val="24"/>
    </w:rPr>
  </w:style>
  <w:style w:type="paragraph" w:styleId="3">
    <w:name w:val="footer"/>
    <w:basedOn w:val="1"/>
    <w:qFormat/>
    <w:uiPriority w:val="99"/>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Paragraph"/>
    <w:basedOn w:val="1"/>
    <w:unhideWhenUsed/>
    <w:qFormat/>
    <w:uiPriority w:val="1"/>
    <w:rPr>
      <w:rFonts w:hint="default"/>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7387</Words>
  <Characters>7813</Characters>
  <TotalTime>33</TotalTime>
  <ScaleCrop>false</ScaleCrop>
  <LinksUpToDate>false</LinksUpToDate>
  <CharactersWithSpaces>8510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2026-03-11T06:07:00Z</dcterms:created>
  <dc:creator>Apache POI</dc:creator>
  <cp:lastModifiedBy>张华娟</cp:lastModifiedBy>
  <cp:lastPrinted>2026-03-26T08:04:00Z</cp:lastPrinted>
  <dcterms:modified xsi:type="dcterms:W3CDTF">2026-04-27T09:15:20Z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eyJoZGlkIjoiM2RjZTMyYzJjNTA4OWEwZTA4YTBlMjcyOTRiYjQzNmYiLCJ1c2VySWQiOiIxNTY4Mzk2MzIyIn0=</vt:lpwstr>
  </property>
  <property fmtid="{D5CDD505-2E9C-101B-9397-08002B2CF9AE}" pid="3" name="KSOProductBuildVer">
    <vt:lpwstr>2052-12.1.0.25865</vt:lpwstr>
  </property>
  <property fmtid="{D5CDD505-2E9C-101B-9397-08002B2CF9AE}" pid="4" name="ICV">
    <vt:lpwstr>3F7CFD85B1264A8F89F9BF3E18A60B13_13</vt:lpwstr>
  </property>
</Properties>
</file>