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0"/>
        <w:rPr>
          <w:rFonts w:ascii="Times New Roman"/>
          <w:sz w:val="20"/>
          <w:lang w:eastAsia="zh-CN"/>
        </w:rPr>
      </w:pPr>
    </w:p>
    <w:p w14:paraId="71ACEBD5">
      <w:pPr>
        <w:pStyle w:val="20"/>
        <w:rPr>
          <w:rFonts w:ascii="Times New Roman"/>
          <w:sz w:val="20"/>
        </w:rPr>
      </w:pPr>
    </w:p>
    <w:p w14:paraId="11E04291">
      <w:pPr>
        <w:pStyle w:val="20"/>
        <w:rPr>
          <w:rFonts w:ascii="Times New Roman"/>
          <w:sz w:val="20"/>
        </w:rPr>
      </w:pPr>
    </w:p>
    <w:p w14:paraId="636675A3">
      <w:pPr>
        <w:pStyle w:val="20"/>
        <w:rPr>
          <w:rFonts w:ascii="Times New Roman"/>
          <w:sz w:val="20"/>
        </w:rPr>
      </w:pPr>
    </w:p>
    <w:p w14:paraId="6CBBDA8F">
      <w:pPr>
        <w:pStyle w:val="20"/>
        <w:rPr>
          <w:rFonts w:ascii="Times New Roman"/>
          <w:sz w:val="20"/>
        </w:rPr>
      </w:pPr>
    </w:p>
    <w:p w14:paraId="7DBC92D0">
      <w:pPr>
        <w:pStyle w:val="20"/>
        <w:spacing w:before="5"/>
        <w:rPr>
          <w:rFonts w:ascii="Times New Roman"/>
          <w:sz w:val="20"/>
        </w:rPr>
      </w:pPr>
    </w:p>
    <w:p w14:paraId="21880E3D">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14:paraId="59D8A13E">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吸附分离预处理技</w:t>
      </w:r>
      <w:r>
        <w:rPr>
          <w:rFonts w:hint="eastAsia" w:ascii="微软雅黑" w:eastAsia="微软雅黑"/>
          <w:b/>
          <w:color w:val="000000" w:themeColor="text1"/>
          <w:sz w:val="52"/>
          <w:szCs w:val="22"/>
          <w:u w:val="single"/>
          <w:lang w:val="en-US" w:eastAsia="zh-CN"/>
        </w:rPr>
        <w:t>改</w:t>
      </w:r>
      <w:r>
        <w:rPr>
          <w:rFonts w:hint="eastAsia" w:ascii="微软雅黑" w:eastAsia="微软雅黑"/>
          <w:b/>
          <w:color w:val="000000" w:themeColor="text1"/>
          <w:sz w:val="52"/>
          <w:szCs w:val="22"/>
          <w:u w:val="single"/>
          <w:lang w:eastAsia="zh-CN"/>
        </w:rPr>
        <w:t>项目及海西天然气古雷段能化专线工程职业病危害预评价报告书编制</w:t>
      </w:r>
    </w:p>
    <w:p w14:paraId="1F595A08">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55"/>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GD-2026-003-CGSQ-202603-001</w:t>
      </w:r>
      <w:r>
        <w:rPr>
          <w:rFonts w:hint="eastAsia"/>
          <w:color w:val="000000" w:themeColor="text1"/>
          <w:sz w:val="28"/>
          <w:szCs w:val="28"/>
        </w:rPr>
        <w:t xml:space="preserve"> ）</w:t>
      </w:r>
    </w:p>
    <w:p w14:paraId="3EED7F56">
      <w:pPr>
        <w:pStyle w:val="20"/>
        <w:rPr>
          <w:rFonts w:ascii="微软雅黑"/>
          <w:b/>
          <w:sz w:val="94"/>
          <w:lang w:eastAsia="zh-CN"/>
        </w:rPr>
      </w:pPr>
    </w:p>
    <w:p w14:paraId="383ADAD6">
      <w:pPr>
        <w:pStyle w:val="20"/>
        <w:rPr>
          <w:rFonts w:ascii="微软雅黑"/>
          <w:b/>
          <w:sz w:val="94"/>
          <w:lang w:eastAsia="zh-CN"/>
        </w:rPr>
      </w:pPr>
    </w:p>
    <w:p w14:paraId="44EA205B">
      <w:pPr>
        <w:pStyle w:val="20"/>
        <w:rPr>
          <w:rFonts w:ascii="微软雅黑"/>
          <w:b/>
          <w:sz w:val="32"/>
          <w:szCs w:val="32"/>
          <w:lang w:eastAsia="zh-CN"/>
        </w:rPr>
      </w:pPr>
    </w:p>
    <w:p w14:paraId="64E80A04">
      <w:pPr>
        <w:pStyle w:val="20"/>
        <w:rPr>
          <w:rFonts w:ascii="微软雅黑"/>
          <w:b/>
          <w:sz w:val="32"/>
          <w:szCs w:val="32"/>
          <w:lang w:eastAsia="zh-CN"/>
        </w:rPr>
      </w:pPr>
    </w:p>
    <w:p w14:paraId="34D515D1">
      <w:pPr>
        <w:pStyle w:val="20"/>
        <w:rPr>
          <w:rFonts w:ascii="微软雅黑"/>
          <w:b/>
          <w:sz w:val="32"/>
          <w:szCs w:val="32"/>
          <w:lang w:eastAsia="zh-CN"/>
        </w:rPr>
      </w:pPr>
    </w:p>
    <w:p w14:paraId="6DB2CF03">
      <w:pPr>
        <w:pStyle w:val="20"/>
        <w:rPr>
          <w:rFonts w:ascii="微软雅黑"/>
          <w:b/>
          <w:sz w:val="32"/>
          <w:szCs w:val="32"/>
          <w:lang w:eastAsia="zh-CN"/>
        </w:rPr>
      </w:pPr>
    </w:p>
    <w:p w14:paraId="7FBC88FE">
      <w:pPr>
        <w:pStyle w:val="20"/>
        <w:rPr>
          <w:rFonts w:ascii="微软雅黑"/>
          <w:b/>
          <w:sz w:val="32"/>
          <w:szCs w:val="32"/>
          <w:lang w:eastAsia="zh-CN"/>
        </w:rPr>
      </w:pPr>
    </w:p>
    <w:p w14:paraId="7EE06F7B">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0"/>
        <w:rPr>
          <w:rFonts w:ascii="黑体"/>
          <w:sz w:val="20"/>
          <w:lang w:eastAsia="zh-CN"/>
        </w:rPr>
      </w:pPr>
    </w:p>
    <w:p w14:paraId="2601590C">
      <w:pPr>
        <w:pStyle w:val="20"/>
        <w:rPr>
          <w:rFonts w:ascii="黑体"/>
          <w:sz w:val="20"/>
          <w:lang w:eastAsia="zh-CN"/>
        </w:rPr>
      </w:pPr>
    </w:p>
    <w:p w14:paraId="1CC1F056">
      <w:pPr>
        <w:pStyle w:val="20"/>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1"/>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5"/>
      </w:pPr>
    </w:p>
    <w:p w14:paraId="09BB391B">
      <w:pPr>
        <w:jc w:val="center"/>
        <w:rPr>
          <w:rFonts w:hint="eastAsia"/>
          <w:b/>
          <w:bCs/>
          <w:sz w:val="32"/>
          <w:lang w:eastAsia="zh-CN"/>
        </w:rPr>
      </w:pPr>
      <w:r>
        <w:rPr>
          <w:rFonts w:hint="eastAsia"/>
          <w:b/>
          <w:bCs/>
          <w:sz w:val="32"/>
          <w:lang w:eastAsia="zh-CN"/>
        </w:rPr>
        <w:t>福建福海创石油化工有限公司</w:t>
      </w:r>
    </w:p>
    <w:p w14:paraId="2DAD7A5A">
      <w:pPr>
        <w:jc w:val="center"/>
        <w:rPr>
          <w:b/>
          <w:bCs/>
          <w:sz w:val="32"/>
          <w:lang w:eastAsia="zh-CN"/>
        </w:rPr>
      </w:pPr>
      <w:r>
        <w:rPr>
          <w:rFonts w:hint="eastAsia"/>
          <w:b/>
          <w:bCs/>
          <w:sz w:val="32"/>
          <w:lang w:eastAsia="zh-CN"/>
        </w:rPr>
        <w:t>吸附分离预处理技</w:t>
      </w:r>
      <w:r>
        <w:rPr>
          <w:rFonts w:hint="eastAsia"/>
          <w:b/>
          <w:bCs/>
          <w:sz w:val="32"/>
          <w:lang w:val="en-US" w:eastAsia="zh-CN"/>
        </w:rPr>
        <w:t>改</w:t>
      </w:r>
      <w:r>
        <w:rPr>
          <w:rFonts w:hint="eastAsia"/>
          <w:b/>
          <w:bCs/>
          <w:sz w:val="32"/>
          <w:lang w:eastAsia="zh-CN"/>
        </w:rPr>
        <w:t xml:space="preserve">项目及海西天然气古雷段能化专线工程职业病危害预评价报告书编制 </w:t>
      </w:r>
    </w:p>
    <w:p w14:paraId="448318D1">
      <w:pPr>
        <w:jc w:val="center"/>
        <w:rPr>
          <w:b/>
          <w:bCs/>
          <w:sz w:val="32"/>
          <w:lang w:eastAsia="zh-CN"/>
        </w:rPr>
      </w:pPr>
      <w:r>
        <w:rPr>
          <w:rFonts w:hint="eastAsia"/>
          <w:b/>
          <w:bCs/>
          <w:sz w:val="32"/>
          <w:lang w:eastAsia="zh-CN"/>
        </w:rPr>
        <w:t>询比公告</w:t>
      </w:r>
    </w:p>
    <w:p w14:paraId="745BDD3E">
      <w:pPr>
        <w:pStyle w:val="20"/>
        <w:rPr>
          <w:b/>
          <w:sz w:val="28"/>
          <w:lang w:eastAsia="zh-CN"/>
        </w:rPr>
      </w:pPr>
    </w:p>
    <w:p w14:paraId="03439321">
      <w:pPr>
        <w:pStyle w:val="20"/>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福建福海创石油化工有限公司吸附分离预处理技</w:t>
      </w:r>
      <w:r>
        <w:rPr>
          <w:rFonts w:hint="eastAsia"/>
          <w:color w:val="000000" w:themeColor="text1"/>
          <w:u w:val="single"/>
          <w:lang w:val="en-US" w:eastAsia="zh-CN"/>
        </w:rPr>
        <w:t>改</w:t>
      </w:r>
      <w:r>
        <w:rPr>
          <w:rFonts w:hint="eastAsia"/>
          <w:color w:val="000000" w:themeColor="text1"/>
          <w:u w:val="single"/>
          <w:lang w:eastAsia="zh-CN"/>
        </w:rPr>
        <w:t>项目及海西天然气古雷段能化专线工程职业病危害预评价报告书编制（项目编号：GD-2026-003-CGSQ-202603-001）</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2A993CED">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项目名称：福建福海创石油化工有限公司吸附分离预处理技</w:t>
      </w:r>
      <w:r>
        <w:rPr>
          <w:rFonts w:hint="eastAsia"/>
          <w:sz w:val="24"/>
          <w:szCs w:val="24"/>
          <w:lang w:val="en-US" w:eastAsia="zh-CN"/>
        </w:rPr>
        <w:t>改</w:t>
      </w:r>
      <w:r>
        <w:rPr>
          <w:rFonts w:hint="eastAsia"/>
          <w:sz w:val="24"/>
          <w:szCs w:val="24"/>
          <w:lang w:eastAsia="zh-CN"/>
        </w:rPr>
        <w:t>项目及海西天然气古雷段能化专线工程职业病危害预评价报告书编制</w:t>
      </w:r>
    </w:p>
    <w:p w14:paraId="78439F67">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2.采购项目简要说明：</w:t>
      </w:r>
      <w:r>
        <w:rPr>
          <w:rFonts w:hint="eastAsia"/>
          <w:sz w:val="24"/>
          <w:szCs w:val="24"/>
          <w:lang w:val="en-US" w:eastAsia="zh-CN"/>
        </w:rPr>
        <w:t>甲方提供可行性研究报告和原料适应性技改项目预评价报告，乙方负责编制《吸附分离预处理技改项目职业病危害预评价报告书》和《海西天然气古雷段能化专线工程职业病危害预评价报告书》。</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w:t>
      </w:r>
      <w:r>
        <w:rPr>
          <w:rFonts w:hint="eastAsia"/>
          <w:sz w:val="24"/>
          <w:szCs w:val="24"/>
          <w:lang w:val="en-US" w:eastAsia="zh-CN"/>
        </w:rPr>
        <w:t>14万</w:t>
      </w:r>
      <w:r>
        <w:rPr>
          <w:sz w:val="24"/>
          <w:szCs w:val="24"/>
          <w:lang w:eastAsia="zh-CN"/>
        </w:rPr>
        <w:t>元</w:t>
      </w:r>
      <w:r>
        <w:rPr>
          <w:rFonts w:hint="eastAsia"/>
          <w:sz w:val="24"/>
          <w:szCs w:val="24"/>
          <w:lang w:eastAsia="zh-CN"/>
        </w:rPr>
        <w:t>（含</w:t>
      </w:r>
      <w:r>
        <w:rPr>
          <w:rFonts w:hint="eastAsia"/>
          <w:sz w:val="24"/>
          <w:szCs w:val="24"/>
          <w:lang w:val="en-US" w:eastAsia="zh-CN"/>
        </w:rPr>
        <w:t>6</w:t>
      </w:r>
      <w:r>
        <w:rPr>
          <w:rFonts w:hint="eastAsia"/>
          <w:sz w:val="24"/>
          <w:szCs w:val="24"/>
          <w:lang w:eastAsia="zh-CN"/>
        </w:rPr>
        <w:t>%增值税）</w:t>
      </w:r>
    </w:p>
    <w:p w14:paraId="6B0FDC55">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4.工期要求：</w:t>
      </w:r>
      <w:r>
        <w:rPr>
          <w:rFonts w:hint="eastAsia"/>
          <w:sz w:val="24"/>
          <w:szCs w:val="24"/>
          <w:lang w:val="en-US" w:eastAsia="zh-CN"/>
        </w:rPr>
        <w:t>合同签订且甲方具备条件后2个月内提交报告书</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1F712135">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5673E71E">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2.参比人</w:t>
      </w:r>
      <w:r>
        <w:rPr>
          <w:rFonts w:hint="eastAsia"/>
          <w:sz w:val="24"/>
          <w:szCs w:val="24"/>
          <w:lang w:eastAsia="zh-CN"/>
        </w:rPr>
        <w:t>必须具有化工、石化及医药行业职业卫生技术服务机构资质（提供资质证书或政府部门出具的资质证明文件）。</w:t>
      </w:r>
    </w:p>
    <w:p w14:paraId="28935A5B">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3.参比人</w:t>
      </w:r>
      <w:r>
        <w:rPr>
          <w:rFonts w:hint="eastAsia"/>
          <w:sz w:val="24"/>
          <w:szCs w:val="24"/>
          <w:lang w:eastAsia="zh-CN"/>
        </w:rPr>
        <w:t>在近3年（202</w:t>
      </w:r>
      <w:r>
        <w:rPr>
          <w:rFonts w:hint="eastAsia"/>
          <w:sz w:val="24"/>
          <w:szCs w:val="24"/>
          <w:lang w:val="en-US" w:eastAsia="zh-CN"/>
        </w:rPr>
        <w:t>2</w:t>
      </w:r>
      <w:r>
        <w:rPr>
          <w:rFonts w:hint="eastAsia"/>
          <w:sz w:val="24"/>
          <w:szCs w:val="24"/>
          <w:lang w:eastAsia="zh-CN"/>
        </w:rPr>
        <w:t>-202</w:t>
      </w:r>
      <w:r>
        <w:rPr>
          <w:rFonts w:hint="eastAsia"/>
          <w:sz w:val="24"/>
          <w:szCs w:val="24"/>
          <w:lang w:val="en-US" w:eastAsia="zh-CN"/>
        </w:rPr>
        <w:t>5</w:t>
      </w:r>
      <w:r>
        <w:rPr>
          <w:rFonts w:hint="eastAsia"/>
          <w:sz w:val="24"/>
          <w:szCs w:val="24"/>
          <w:lang w:eastAsia="zh-CN"/>
        </w:rPr>
        <w:t>）主持完成1个及以上</w:t>
      </w:r>
      <w:r>
        <w:rPr>
          <w:rFonts w:hint="eastAsia"/>
          <w:sz w:val="24"/>
          <w:szCs w:val="24"/>
          <w:lang w:val="en-US" w:eastAsia="zh-CN"/>
        </w:rPr>
        <w:t>投资金额大于3亿的</w:t>
      </w:r>
      <w:r>
        <w:rPr>
          <w:rFonts w:hint="eastAsia"/>
          <w:sz w:val="24"/>
          <w:szCs w:val="24"/>
          <w:lang w:eastAsia="zh-CN"/>
        </w:rPr>
        <w:t>石化</w:t>
      </w:r>
      <w:r>
        <w:rPr>
          <w:rFonts w:hint="eastAsia"/>
          <w:sz w:val="24"/>
          <w:szCs w:val="24"/>
          <w:lang w:val="en-US" w:eastAsia="zh-CN"/>
        </w:rPr>
        <w:t>行业</w:t>
      </w:r>
      <w:r>
        <w:rPr>
          <w:rFonts w:hint="eastAsia"/>
          <w:sz w:val="24"/>
          <w:szCs w:val="24"/>
          <w:lang w:eastAsia="zh-CN"/>
        </w:rPr>
        <w:t>新、改、扩建设项目的职业卫生</w:t>
      </w:r>
      <w:r>
        <w:rPr>
          <w:rFonts w:hint="eastAsia"/>
          <w:sz w:val="24"/>
          <w:szCs w:val="24"/>
          <w:lang w:val="en-US" w:eastAsia="zh-CN"/>
        </w:rPr>
        <w:t>预</w:t>
      </w:r>
      <w:r>
        <w:rPr>
          <w:rFonts w:hint="eastAsia"/>
          <w:sz w:val="24"/>
          <w:szCs w:val="24"/>
          <w:lang w:eastAsia="zh-CN"/>
        </w:rPr>
        <w:t>评价技术服务业绩,并通过专家评审。（至少包含首页和签署页，提供体现项目投资</w:t>
      </w:r>
      <w:r>
        <w:rPr>
          <w:rFonts w:hint="eastAsia"/>
          <w:sz w:val="24"/>
          <w:szCs w:val="24"/>
          <w:lang w:val="en-US" w:eastAsia="zh-CN"/>
        </w:rPr>
        <w:t>金额证明文件</w:t>
      </w:r>
      <w:r>
        <w:rPr>
          <w:rFonts w:hint="eastAsia"/>
          <w:sz w:val="24"/>
          <w:szCs w:val="24"/>
          <w:lang w:eastAsia="zh-CN"/>
        </w:rPr>
        <w:t>和报告书专家评审意见）。</w:t>
      </w:r>
    </w:p>
    <w:p w14:paraId="048F1F37">
      <w:pPr>
        <w:tabs>
          <w:tab w:val="left" w:pos="709"/>
        </w:tabs>
        <w:spacing w:line="360" w:lineRule="auto"/>
        <w:ind w:firstLine="480" w:firstLineChars="200"/>
        <w:rPr>
          <w:sz w:val="24"/>
          <w:szCs w:val="24"/>
          <w:lang w:eastAsia="zh-CN"/>
        </w:rPr>
      </w:pPr>
      <w:r>
        <w:rPr>
          <w:rFonts w:hint="eastAsia"/>
          <w:sz w:val="24"/>
          <w:szCs w:val="24"/>
          <w:lang w:val="en-US" w:eastAsia="zh-CN"/>
        </w:rPr>
        <w:t>4</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32B76D9">
      <w:pPr>
        <w:tabs>
          <w:tab w:val="left" w:pos="709"/>
        </w:tabs>
        <w:spacing w:line="360" w:lineRule="auto"/>
        <w:ind w:firstLine="480" w:firstLineChars="200"/>
        <w:rPr>
          <w:sz w:val="24"/>
          <w:szCs w:val="24"/>
          <w:lang w:eastAsia="zh-CN"/>
        </w:rPr>
      </w:pPr>
      <w:r>
        <w:rPr>
          <w:rFonts w:hint="eastAsia"/>
          <w:sz w:val="24"/>
          <w:szCs w:val="24"/>
          <w:lang w:val="en-US" w:eastAsia="zh-CN"/>
        </w:rPr>
        <w:t>5</w:t>
      </w:r>
      <w:r>
        <w:rPr>
          <w:sz w:val="24"/>
          <w:szCs w:val="24"/>
          <w:lang w:eastAsia="zh-CN"/>
        </w:rPr>
        <w:t>.与</w:t>
      </w:r>
      <w:r>
        <w:rPr>
          <w:rFonts w:hint="eastAsia"/>
          <w:sz w:val="24"/>
          <w:szCs w:val="24"/>
          <w:lang w:eastAsia="zh-CN"/>
        </w:rPr>
        <w:t>采购人</w:t>
      </w:r>
      <w:r>
        <w:rPr>
          <w:sz w:val="24"/>
          <w:szCs w:val="24"/>
          <w:lang w:eastAsia="zh-CN"/>
        </w:rPr>
        <w:t>无诉讼纠纷。</w:t>
      </w:r>
    </w:p>
    <w:p w14:paraId="7F9E27F1">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6.参比人在近3年（2022-2025）内不得有职业卫生相关行政处罚或警告记录。</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18</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22</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1F599011">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14:paraId="65EDB709">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3</w:t>
      </w:r>
      <w:r>
        <w:rPr>
          <w:rFonts w:hint="eastAsia"/>
          <w:color w:val="000000" w:themeColor="text1"/>
          <w:sz w:val="24"/>
          <w:szCs w:val="24"/>
          <w:lang w:eastAsia="zh-CN"/>
        </w:rPr>
        <w:t>）</w:t>
      </w:r>
      <w:r>
        <w:rPr>
          <w:rFonts w:hint="eastAsia"/>
          <w:color w:val="000000" w:themeColor="text1"/>
          <w:sz w:val="24"/>
          <w:szCs w:val="24"/>
          <w:lang w:val="en-US" w:eastAsia="zh-CN"/>
        </w:rPr>
        <w:t>资质证书</w:t>
      </w:r>
      <w:r>
        <w:rPr>
          <w:rFonts w:hint="eastAsia"/>
          <w:color w:val="000000" w:themeColor="text1"/>
          <w:sz w:val="24"/>
          <w:szCs w:val="24"/>
          <w:lang w:eastAsia="zh-CN"/>
        </w:rPr>
        <w:t>（加盖单位公章的扫描件）。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BE7EC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B55A66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0FDD6E33">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23</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17</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5"/>
      </w:pPr>
    </w:p>
    <w:p w14:paraId="0480057A">
      <w:pPr>
        <w:pStyle w:val="55"/>
      </w:pPr>
    </w:p>
    <w:p w14:paraId="3E5EC0CF">
      <w:pPr>
        <w:pStyle w:val="55"/>
      </w:pPr>
    </w:p>
    <w:p w14:paraId="31559779">
      <w:pPr>
        <w:pStyle w:val="55"/>
      </w:pPr>
    </w:p>
    <w:p w14:paraId="55228FBD">
      <w:pPr>
        <w:pStyle w:val="55"/>
      </w:pPr>
    </w:p>
    <w:p w14:paraId="3002329D">
      <w:pPr>
        <w:pStyle w:val="55"/>
      </w:pPr>
    </w:p>
    <w:p w14:paraId="77031BBD">
      <w:pPr>
        <w:pStyle w:val="55"/>
      </w:pPr>
    </w:p>
    <w:p w14:paraId="02B33D47">
      <w:pPr>
        <w:pStyle w:val="55"/>
      </w:pPr>
    </w:p>
    <w:p w14:paraId="2AF800CB">
      <w:pPr>
        <w:pStyle w:val="55"/>
      </w:pPr>
    </w:p>
    <w:p w14:paraId="5E398EA5">
      <w:pPr>
        <w:pStyle w:val="55"/>
      </w:pPr>
    </w:p>
    <w:p w14:paraId="2085F22F">
      <w:pPr>
        <w:pStyle w:val="55"/>
      </w:pPr>
    </w:p>
    <w:p w14:paraId="7439BE29">
      <w:pPr>
        <w:pStyle w:val="55"/>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color w:val="000000" w:themeColor="text1"/>
          <w:sz w:val="24"/>
          <w:szCs w:val="24"/>
          <w:u w:val="single"/>
          <w:lang w:eastAsia="zh-CN"/>
        </w:rPr>
        <w:t>福建福海创石油化工有限公司吸附分离预处理技</w:t>
      </w:r>
      <w:r>
        <w:rPr>
          <w:rFonts w:hint="eastAsia" w:hAnsi="Calibri" w:cs="黑体"/>
          <w:color w:val="000000" w:themeColor="text1"/>
          <w:sz w:val="24"/>
          <w:szCs w:val="24"/>
          <w:u w:val="single"/>
          <w:lang w:val="en-US" w:eastAsia="zh-CN"/>
        </w:rPr>
        <w:t>改</w:t>
      </w:r>
      <w:r>
        <w:rPr>
          <w:rFonts w:hint="eastAsia" w:hAnsi="Calibri" w:cs="黑体"/>
          <w:color w:val="000000" w:themeColor="text1"/>
          <w:sz w:val="24"/>
          <w:szCs w:val="24"/>
          <w:u w:val="single"/>
          <w:lang w:eastAsia="zh-CN"/>
        </w:rPr>
        <w:t>项目及海西天然气古雷段能化专线工程职业病危害预评价报告书编制（项目编号：GD-2026-003-CGSQ-202603-001）</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5"/>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C0FA8F">
      <w:pPr>
        <w:pStyle w:val="20"/>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福建福海创石油化工有限公司吸附分离预处理技</w:t>
      </w:r>
      <w:r>
        <w:rPr>
          <w:rFonts w:hint="eastAsia"/>
          <w:color w:val="000000" w:themeColor="text1"/>
          <w:lang w:val="en-US" w:eastAsia="zh-CN"/>
        </w:rPr>
        <w:t>改</w:t>
      </w:r>
      <w:r>
        <w:rPr>
          <w:rFonts w:hint="eastAsia"/>
          <w:color w:val="000000" w:themeColor="text1"/>
          <w:lang w:eastAsia="zh-CN"/>
        </w:rPr>
        <w:t>项目及海西天然气古雷段能化专线工程职业病危害预评价报告书编制</w:t>
      </w:r>
    </w:p>
    <w:p w14:paraId="48298414">
      <w:pPr>
        <w:pStyle w:val="20"/>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0"/>
        <w:spacing w:line="360" w:lineRule="auto"/>
        <w:ind w:right="121"/>
        <w:jc w:val="both"/>
        <w:rPr>
          <w:rFonts w:hint="default"/>
          <w:lang w:val="en-US" w:eastAsia="zh-CN"/>
        </w:rPr>
      </w:pPr>
      <w:r>
        <w:rPr>
          <w:rFonts w:hint="eastAsia"/>
          <w:lang w:eastAsia="zh-CN"/>
        </w:rPr>
        <w:t xml:space="preserve">    3.承包方</w:t>
      </w:r>
      <w:r>
        <w:rPr>
          <w:rFonts w:hint="eastAsia"/>
          <w:color w:val="000000" w:themeColor="text1"/>
          <w:lang w:eastAsia="zh-CN"/>
        </w:rPr>
        <w:t>式：</w:t>
      </w:r>
      <w:r>
        <w:rPr>
          <w:rFonts w:hint="eastAsia"/>
          <w:color w:val="000000" w:themeColor="text1"/>
          <w:lang w:val="en-US" w:eastAsia="zh-CN"/>
        </w:rPr>
        <w:t>固定总价</w:t>
      </w:r>
    </w:p>
    <w:p w14:paraId="17CA1751">
      <w:pPr>
        <w:pStyle w:val="20"/>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技术发包说明</w:t>
      </w:r>
    </w:p>
    <w:p w14:paraId="3EED35CC">
      <w:pPr>
        <w:pStyle w:val="20"/>
        <w:spacing w:line="360" w:lineRule="auto"/>
        <w:ind w:right="121"/>
        <w:jc w:val="both"/>
        <w:rPr>
          <w:lang w:eastAsia="zh-CN"/>
        </w:rPr>
      </w:pPr>
      <w:r>
        <w:rPr>
          <w:rFonts w:hint="eastAsia"/>
          <w:lang w:eastAsia="zh-CN"/>
        </w:rPr>
        <w:t xml:space="preserve">    5.项目联系人</w:t>
      </w:r>
    </w:p>
    <w:p w14:paraId="610E3187">
      <w:pPr>
        <w:pStyle w:val="20"/>
        <w:spacing w:line="360" w:lineRule="auto"/>
        <w:ind w:right="121" w:firstLine="480"/>
        <w:jc w:val="both"/>
        <w:rPr>
          <w:rFonts w:hint="eastAsia" w:ascii="宋体" w:hAnsi="宋体" w:eastAsia="宋体" w:cs="宋体"/>
          <w:lang w:eastAsia="zh-CN"/>
        </w:rPr>
      </w:pPr>
      <w:r>
        <w:rPr>
          <w:rFonts w:hint="eastAsia" w:ascii="宋体" w:hAnsi="宋体" w:eastAsia="宋体" w:cs="宋体"/>
          <w:lang w:eastAsia="zh-CN"/>
        </w:rPr>
        <w:t>技术联系人：</w:t>
      </w:r>
      <w:r>
        <w:rPr>
          <w:rFonts w:hint="eastAsia" w:cs="宋体"/>
          <w:lang w:val="en-US" w:eastAsia="zh-CN"/>
        </w:rPr>
        <w:t>陈国强</w:t>
      </w:r>
      <w:r>
        <w:rPr>
          <w:rFonts w:hint="eastAsia" w:ascii="宋体" w:hAnsi="宋体" w:eastAsia="宋体" w:cs="宋体"/>
          <w:lang w:val="en-US" w:eastAsia="zh-CN"/>
        </w:rPr>
        <w:t xml:space="preserve"> </w:t>
      </w:r>
      <w:r>
        <w:rPr>
          <w:rFonts w:hint="eastAsia" w:ascii="宋体" w:hAnsi="宋体" w:eastAsia="宋体" w:cs="宋体"/>
          <w:lang w:eastAsia="zh-CN"/>
        </w:rPr>
        <w:t>0596-6311</w:t>
      </w:r>
      <w:r>
        <w:rPr>
          <w:rFonts w:hint="eastAsia" w:cs="宋体"/>
          <w:lang w:val="en-US" w:eastAsia="zh-CN"/>
        </w:rPr>
        <w:t>107，</w:t>
      </w:r>
      <w:r>
        <w:rPr>
          <w:rFonts w:hint="eastAsia" w:ascii="宋体" w:hAnsi="宋体" w:eastAsia="宋体" w:cs="宋体"/>
          <w:lang w:eastAsia="zh-CN"/>
        </w:rPr>
        <w:t>15880311796，</w:t>
      </w:r>
      <w:r>
        <w:rPr>
          <w:rFonts w:hint="eastAsia" w:cs="宋体"/>
          <w:lang w:val="en-US" w:eastAsia="zh-CN"/>
        </w:rPr>
        <w:t>chengq</w:t>
      </w:r>
      <w:r>
        <w:rPr>
          <w:rFonts w:hint="eastAsia" w:ascii="宋体" w:hAnsi="宋体" w:eastAsia="宋体" w:cs="宋体"/>
          <w:lang w:eastAsia="zh-CN"/>
        </w:rPr>
        <w:t xml:space="preserve">@fhcpec.com.cn </w:t>
      </w:r>
    </w:p>
    <w:p w14:paraId="008EC890">
      <w:pPr>
        <w:pStyle w:val="20"/>
        <w:spacing w:line="360" w:lineRule="auto"/>
        <w:ind w:right="121" w:firstLine="480"/>
        <w:jc w:val="both"/>
        <w:rPr>
          <w:lang w:eastAsia="zh-CN"/>
        </w:rPr>
      </w:pPr>
      <w:r>
        <w:rPr>
          <w:rFonts w:hint="eastAsia"/>
          <w:lang w:eastAsia="zh-CN"/>
        </w:rPr>
        <w:t xml:space="preserve">商务联系人：张华娟 </w:t>
      </w:r>
      <w:r>
        <w:rPr>
          <w:lang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0"/>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0"/>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0"/>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0"/>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0"/>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200AFE43">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5142683A">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2.参比人</w:t>
      </w:r>
      <w:r>
        <w:rPr>
          <w:rFonts w:hint="eastAsia"/>
          <w:sz w:val="24"/>
          <w:szCs w:val="24"/>
          <w:lang w:eastAsia="zh-CN"/>
        </w:rPr>
        <w:t>须具有化工、石化及医药行业职业卫生技术服务机构资质（提供资质证书或政府部门出具的资质证明文件）。</w:t>
      </w:r>
    </w:p>
    <w:p w14:paraId="7F132121">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3.参比人</w:t>
      </w:r>
      <w:r>
        <w:rPr>
          <w:rFonts w:hint="eastAsia"/>
          <w:sz w:val="24"/>
          <w:szCs w:val="24"/>
          <w:lang w:eastAsia="zh-CN"/>
        </w:rPr>
        <w:t>在近3年（202</w:t>
      </w:r>
      <w:r>
        <w:rPr>
          <w:rFonts w:hint="eastAsia"/>
          <w:sz w:val="24"/>
          <w:szCs w:val="24"/>
          <w:lang w:val="en-US" w:eastAsia="zh-CN"/>
        </w:rPr>
        <w:t>2</w:t>
      </w:r>
      <w:r>
        <w:rPr>
          <w:rFonts w:hint="eastAsia"/>
          <w:sz w:val="24"/>
          <w:szCs w:val="24"/>
          <w:lang w:eastAsia="zh-CN"/>
        </w:rPr>
        <w:t>-202</w:t>
      </w:r>
      <w:r>
        <w:rPr>
          <w:rFonts w:hint="eastAsia"/>
          <w:sz w:val="24"/>
          <w:szCs w:val="24"/>
          <w:lang w:val="en-US" w:eastAsia="zh-CN"/>
        </w:rPr>
        <w:t>5</w:t>
      </w:r>
      <w:r>
        <w:rPr>
          <w:rFonts w:hint="eastAsia"/>
          <w:sz w:val="24"/>
          <w:szCs w:val="24"/>
          <w:lang w:eastAsia="zh-CN"/>
        </w:rPr>
        <w:t>）主持完成1个及以上</w:t>
      </w:r>
      <w:r>
        <w:rPr>
          <w:rFonts w:hint="eastAsia"/>
          <w:sz w:val="24"/>
          <w:szCs w:val="24"/>
          <w:lang w:val="en-US" w:eastAsia="zh-CN"/>
        </w:rPr>
        <w:t>投资金额大于3亿的</w:t>
      </w:r>
      <w:r>
        <w:rPr>
          <w:rFonts w:hint="eastAsia"/>
          <w:sz w:val="24"/>
          <w:szCs w:val="24"/>
          <w:lang w:eastAsia="zh-CN"/>
        </w:rPr>
        <w:t>石化</w:t>
      </w:r>
      <w:r>
        <w:rPr>
          <w:rFonts w:hint="eastAsia"/>
          <w:sz w:val="24"/>
          <w:szCs w:val="24"/>
          <w:lang w:val="en-US" w:eastAsia="zh-CN"/>
        </w:rPr>
        <w:t>行业</w:t>
      </w:r>
      <w:r>
        <w:rPr>
          <w:rFonts w:hint="eastAsia"/>
          <w:sz w:val="24"/>
          <w:szCs w:val="24"/>
          <w:lang w:eastAsia="zh-CN"/>
        </w:rPr>
        <w:t>新、改、扩建设项目的职业卫生</w:t>
      </w:r>
      <w:r>
        <w:rPr>
          <w:rFonts w:hint="eastAsia"/>
          <w:sz w:val="24"/>
          <w:szCs w:val="24"/>
          <w:lang w:val="en-US" w:eastAsia="zh-CN"/>
        </w:rPr>
        <w:t>预</w:t>
      </w:r>
      <w:r>
        <w:rPr>
          <w:rFonts w:hint="eastAsia"/>
          <w:sz w:val="24"/>
          <w:szCs w:val="24"/>
          <w:lang w:eastAsia="zh-CN"/>
        </w:rPr>
        <w:t>评价技术服务业绩,并通过专家评审。（至少包含首页和签署页，提供体现项目投资</w:t>
      </w:r>
      <w:r>
        <w:rPr>
          <w:rFonts w:hint="eastAsia"/>
          <w:sz w:val="24"/>
          <w:szCs w:val="24"/>
          <w:lang w:val="en-US" w:eastAsia="zh-CN"/>
        </w:rPr>
        <w:t>金额证明文件</w:t>
      </w:r>
      <w:r>
        <w:rPr>
          <w:rFonts w:hint="eastAsia"/>
          <w:sz w:val="24"/>
          <w:szCs w:val="24"/>
          <w:lang w:eastAsia="zh-CN"/>
        </w:rPr>
        <w:t>和报告书专家评审意见））。</w:t>
      </w:r>
    </w:p>
    <w:p w14:paraId="3B452C51">
      <w:pPr>
        <w:tabs>
          <w:tab w:val="left" w:pos="709"/>
        </w:tabs>
        <w:spacing w:line="360" w:lineRule="auto"/>
        <w:ind w:firstLine="480" w:firstLineChars="200"/>
        <w:rPr>
          <w:sz w:val="24"/>
          <w:szCs w:val="24"/>
          <w:lang w:eastAsia="zh-CN"/>
        </w:rPr>
      </w:pPr>
      <w:r>
        <w:rPr>
          <w:rFonts w:hint="eastAsia"/>
          <w:sz w:val="24"/>
          <w:szCs w:val="24"/>
          <w:lang w:val="en-US" w:eastAsia="zh-CN"/>
        </w:rPr>
        <w:t>4</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64C4D70D">
      <w:pPr>
        <w:tabs>
          <w:tab w:val="left" w:pos="709"/>
        </w:tabs>
        <w:spacing w:line="360" w:lineRule="auto"/>
        <w:ind w:firstLine="480" w:firstLineChars="200"/>
        <w:rPr>
          <w:sz w:val="24"/>
          <w:szCs w:val="24"/>
          <w:lang w:eastAsia="zh-CN"/>
        </w:rPr>
      </w:pPr>
      <w:r>
        <w:rPr>
          <w:rFonts w:hint="eastAsia"/>
          <w:sz w:val="24"/>
          <w:szCs w:val="24"/>
          <w:lang w:val="en-US" w:eastAsia="zh-CN"/>
        </w:rPr>
        <w:t>5</w:t>
      </w:r>
      <w:r>
        <w:rPr>
          <w:sz w:val="24"/>
          <w:szCs w:val="24"/>
          <w:lang w:eastAsia="zh-CN"/>
        </w:rPr>
        <w:t>.与</w:t>
      </w:r>
      <w:r>
        <w:rPr>
          <w:rFonts w:hint="eastAsia"/>
          <w:sz w:val="24"/>
          <w:szCs w:val="24"/>
          <w:lang w:eastAsia="zh-CN"/>
        </w:rPr>
        <w:t>采购人</w:t>
      </w:r>
      <w:r>
        <w:rPr>
          <w:sz w:val="24"/>
          <w:szCs w:val="24"/>
          <w:lang w:eastAsia="zh-CN"/>
        </w:rPr>
        <w:t>无诉讼纠纷。</w:t>
      </w:r>
    </w:p>
    <w:p w14:paraId="68A0D9A0">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6.参比人在近3年（2022-2025）内不得有职业卫生相关行政处罚或警告记录。</w:t>
      </w:r>
    </w:p>
    <w:p w14:paraId="60D79776">
      <w:pPr>
        <w:pStyle w:val="20"/>
        <w:spacing w:line="360" w:lineRule="auto"/>
        <w:ind w:right="121"/>
        <w:jc w:val="both"/>
        <w:rPr>
          <w:rFonts w:hint="default"/>
          <w:b/>
          <w:w w:val="95"/>
          <w:sz w:val="28"/>
          <w:lang w:val="en-US"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w w:val="95"/>
          <w:sz w:val="28"/>
          <w:lang w:val="en-US" w:eastAsia="zh-CN"/>
        </w:rPr>
        <w:t xml:space="preserve">  </w:t>
      </w:r>
    </w:p>
    <w:p w14:paraId="49DA7653">
      <w:pPr>
        <w:pStyle w:val="20"/>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2800</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5CFA3840">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064CD0E3">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4BF63B94">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40586F90">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职业病危害预评价报告书编制</w:t>
      </w:r>
      <w:r>
        <w:rPr>
          <w:color w:val="000000" w:themeColor="text1"/>
          <w:lang w:eastAsia="zh-CN"/>
        </w:rPr>
        <w:t>参选保证金</w:t>
      </w:r>
    </w:p>
    <w:p w14:paraId="1BBCB624">
      <w:pPr>
        <w:pStyle w:val="20"/>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31A439DA">
      <w:pPr>
        <w:pStyle w:val="20"/>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044C3192">
      <w:pPr>
        <w:pStyle w:val="20"/>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7A166B8D">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4929054C">
      <w:pPr>
        <w:pStyle w:val="20"/>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45BCFEDD">
      <w:pPr>
        <w:pStyle w:val="20"/>
        <w:spacing w:line="360" w:lineRule="auto"/>
        <w:ind w:right="121"/>
        <w:jc w:val="both"/>
        <w:rPr>
          <w:lang w:eastAsia="zh-CN"/>
        </w:rPr>
      </w:pPr>
      <w:r>
        <w:rPr>
          <w:rFonts w:hint="eastAsia"/>
          <w:lang w:eastAsia="zh-CN"/>
        </w:rPr>
        <w:t xml:space="preserve">    5.如有下列情况发生，将被没收参比保证金：</w:t>
      </w:r>
    </w:p>
    <w:p w14:paraId="7E8A3E58">
      <w:pPr>
        <w:pStyle w:val="20"/>
        <w:spacing w:line="360" w:lineRule="auto"/>
        <w:ind w:right="121"/>
        <w:jc w:val="both"/>
        <w:rPr>
          <w:lang w:eastAsia="zh-CN"/>
        </w:rPr>
      </w:pPr>
      <w:r>
        <w:rPr>
          <w:rFonts w:hint="eastAsia"/>
          <w:lang w:eastAsia="zh-CN"/>
        </w:rPr>
        <w:t xml:space="preserve">    （1）参比单位在参选有效期内撤回询比文件；</w:t>
      </w:r>
    </w:p>
    <w:p w14:paraId="1886C2E9">
      <w:pPr>
        <w:pStyle w:val="20"/>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pStyle w:val="20"/>
        <w:spacing w:line="360" w:lineRule="auto"/>
        <w:ind w:right="121"/>
        <w:jc w:val="both"/>
        <w:rPr>
          <w:b/>
          <w:w w:val="95"/>
          <w:sz w:val="28"/>
          <w:lang w:eastAsia="zh-CN"/>
        </w:rPr>
      </w:pPr>
      <w:r>
        <w:rPr>
          <w:rFonts w:hint="eastAsia"/>
          <w:lang w:eastAsia="zh-CN"/>
        </w:rPr>
        <w:t xml:space="preserve">  </w:t>
      </w:r>
      <w:r>
        <w:rPr>
          <w:lang w:eastAsia="zh-CN"/>
        </w:rPr>
        <w:t xml:space="preserve">  </w:t>
      </w:r>
      <w:r>
        <w:rPr>
          <w:b/>
          <w:w w:val="95"/>
          <w:sz w:val="28"/>
          <w:lang w:eastAsia="zh-CN"/>
        </w:rPr>
        <w:t>八、</w:t>
      </w:r>
      <w:r>
        <w:rPr>
          <w:rFonts w:hint="eastAsia"/>
          <w:b/>
          <w:w w:val="95"/>
          <w:sz w:val="28"/>
          <w:lang w:eastAsia="zh-CN"/>
        </w:rPr>
        <w:t>参比</w:t>
      </w:r>
      <w:r>
        <w:rPr>
          <w:b/>
          <w:w w:val="95"/>
          <w:sz w:val="28"/>
          <w:lang w:eastAsia="zh-CN"/>
        </w:rPr>
        <w:t>文件的递交</w:t>
      </w:r>
    </w:p>
    <w:p w14:paraId="31E79E49">
      <w:pPr>
        <w:pStyle w:val="3"/>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3</w:t>
      </w:r>
      <w:r>
        <w:rPr>
          <w:rFonts w:hint="eastAsia"/>
          <w:color w:val="000000" w:themeColor="text1"/>
          <w:lang w:eastAsia="zh-CN"/>
        </w:rPr>
        <w:t>月</w:t>
      </w:r>
      <w:r>
        <w:rPr>
          <w:rFonts w:hint="eastAsia"/>
          <w:color w:val="000000" w:themeColor="text1"/>
          <w:lang w:val="en-US" w:eastAsia="zh-CN"/>
        </w:rPr>
        <w:t>23</w:t>
      </w:r>
      <w:r>
        <w:rPr>
          <w:rFonts w:hint="eastAsia"/>
          <w:color w:val="000000" w:themeColor="text1"/>
          <w:lang w:eastAsia="zh-CN"/>
        </w:rPr>
        <w:t>日14时0分。</w:t>
      </w:r>
    </w:p>
    <w:p w14:paraId="1DB01E61">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088A2A23">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377F2B5A">
      <w:pPr>
        <w:pStyle w:val="20"/>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24AEDCBC">
      <w:pPr>
        <w:pStyle w:val="20"/>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6356E53F">
      <w:pPr>
        <w:pStyle w:val="20"/>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7A590A2">
      <w:pPr>
        <w:pStyle w:val="20"/>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339E6B69">
      <w:pPr>
        <w:pStyle w:val="2"/>
        <w:tabs>
          <w:tab w:val="left" w:pos="4627"/>
        </w:tabs>
        <w:spacing w:line="355" w:lineRule="exact"/>
        <w:ind w:left="3363"/>
        <w:rPr>
          <w:lang w:eastAsia="zh-CN"/>
        </w:rPr>
      </w:pPr>
    </w:p>
    <w:p w14:paraId="5F8B5ECE">
      <w:pPr>
        <w:pStyle w:val="2"/>
        <w:tabs>
          <w:tab w:val="left" w:pos="4627"/>
        </w:tabs>
        <w:spacing w:line="355" w:lineRule="exact"/>
        <w:ind w:left="3363"/>
        <w:rPr>
          <w:lang w:eastAsia="zh-CN"/>
        </w:rPr>
      </w:pPr>
    </w:p>
    <w:p w14:paraId="00C0DF81">
      <w:pPr>
        <w:pStyle w:val="2"/>
        <w:tabs>
          <w:tab w:val="left" w:pos="4627"/>
        </w:tabs>
        <w:spacing w:line="355" w:lineRule="exact"/>
        <w:ind w:left="3363"/>
        <w:rPr>
          <w:lang w:eastAsia="zh-CN"/>
        </w:rPr>
      </w:pPr>
    </w:p>
    <w:p w14:paraId="024B031A">
      <w:pPr>
        <w:pStyle w:val="2"/>
        <w:tabs>
          <w:tab w:val="left" w:pos="4627"/>
        </w:tabs>
        <w:spacing w:line="355" w:lineRule="exact"/>
        <w:ind w:left="3363"/>
        <w:rPr>
          <w:lang w:eastAsia="zh-CN"/>
        </w:rPr>
      </w:pPr>
    </w:p>
    <w:p w14:paraId="12C2A882">
      <w:pPr>
        <w:pStyle w:val="2"/>
        <w:tabs>
          <w:tab w:val="left" w:pos="4627"/>
        </w:tabs>
        <w:spacing w:line="355" w:lineRule="exact"/>
        <w:ind w:left="3363"/>
        <w:rPr>
          <w:lang w:eastAsia="zh-CN"/>
        </w:rPr>
      </w:pPr>
    </w:p>
    <w:p w14:paraId="50C73AB5">
      <w:pPr>
        <w:pStyle w:val="2"/>
        <w:tabs>
          <w:tab w:val="left" w:pos="4627"/>
        </w:tabs>
        <w:spacing w:line="355" w:lineRule="exact"/>
        <w:ind w:left="3363"/>
        <w:rPr>
          <w:lang w:eastAsia="zh-CN"/>
        </w:rPr>
      </w:pPr>
    </w:p>
    <w:p w14:paraId="06241B25">
      <w:pPr>
        <w:pStyle w:val="2"/>
        <w:tabs>
          <w:tab w:val="left" w:pos="4627"/>
        </w:tabs>
        <w:spacing w:line="355" w:lineRule="exact"/>
        <w:ind w:left="3363"/>
        <w:rPr>
          <w:lang w:eastAsia="zh-CN"/>
        </w:rPr>
      </w:pPr>
    </w:p>
    <w:p w14:paraId="32320D18">
      <w:pPr>
        <w:pStyle w:val="2"/>
        <w:tabs>
          <w:tab w:val="left" w:pos="4627"/>
        </w:tabs>
        <w:spacing w:line="355" w:lineRule="exact"/>
        <w:ind w:left="3363"/>
        <w:rPr>
          <w:lang w:eastAsia="zh-CN"/>
        </w:rPr>
      </w:pPr>
    </w:p>
    <w:p w14:paraId="4FAE7573">
      <w:pPr>
        <w:rPr>
          <w:lang w:eastAsia="zh-CN"/>
        </w:rPr>
      </w:pPr>
    </w:p>
    <w:p w14:paraId="0944422D">
      <w:pPr>
        <w:pStyle w:val="13"/>
        <w:rPr>
          <w:lang w:eastAsia="zh-CN"/>
        </w:rPr>
      </w:pPr>
    </w:p>
    <w:p w14:paraId="0C051BA6">
      <w:pPr>
        <w:rPr>
          <w:lang w:eastAsia="zh-CN"/>
        </w:rPr>
      </w:pPr>
    </w:p>
    <w:p w14:paraId="6394DEB7">
      <w:pPr>
        <w:pStyle w:val="13"/>
        <w:rPr>
          <w:lang w:eastAsia="zh-CN"/>
        </w:rPr>
      </w:pPr>
    </w:p>
    <w:p w14:paraId="014F421C">
      <w:pPr>
        <w:rPr>
          <w:lang w:eastAsia="zh-CN"/>
        </w:r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ind w:firstLine="534"/>
        <w:rPr>
          <w:b/>
          <w:w w:val="95"/>
          <w:sz w:val="28"/>
          <w:lang w:eastAsia="zh-CN"/>
        </w:rPr>
      </w:pPr>
      <w:r>
        <w:rPr>
          <w:rFonts w:hint="eastAsia"/>
          <w:b/>
          <w:w w:val="95"/>
          <w:sz w:val="28"/>
          <w:lang w:eastAsia="zh-CN"/>
        </w:rPr>
        <w:t>一、</w:t>
      </w:r>
      <w:r>
        <w:rPr>
          <w:b/>
          <w:w w:val="95"/>
          <w:sz w:val="28"/>
          <w:lang w:eastAsia="zh-CN"/>
        </w:rPr>
        <w:t>参</w:t>
      </w:r>
      <w:r>
        <w:rPr>
          <w:rFonts w:hint="eastAsia"/>
          <w:b/>
          <w:w w:val="95"/>
          <w:sz w:val="28"/>
          <w:lang w:eastAsia="zh-CN"/>
        </w:rPr>
        <w:t>比</w:t>
      </w:r>
      <w:r>
        <w:rPr>
          <w:b/>
          <w:w w:val="95"/>
          <w:sz w:val="28"/>
          <w:lang w:eastAsia="zh-CN"/>
        </w:rPr>
        <w:t>文件的组成：</w:t>
      </w:r>
    </w:p>
    <w:p w14:paraId="58B2145F">
      <w:pPr>
        <w:pStyle w:val="20"/>
        <w:spacing w:line="360" w:lineRule="auto"/>
        <w:ind w:right="121" w:firstLine="360" w:firstLineChars="15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eastAsia="zh-CN"/>
        </w:rPr>
        <w:t>、</w:t>
      </w:r>
      <w:r>
        <w:rPr>
          <w:rFonts w:hint="eastAsia"/>
          <w:lang w:val="en-US" w:eastAsia="zh-CN"/>
        </w:rPr>
        <w:t>资质证书；</w:t>
      </w:r>
    </w:p>
    <w:p w14:paraId="663EC7C7">
      <w:pPr>
        <w:pStyle w:val="20"/>
        <w:spacing w:line="360" w:lineRule="auto"/>
        <w:ind w:right="121" w:firstLine="360" w:firstLineChars="150"/>
        <w:jc w:val="both"/>
        <w:rPr>
          <w:rFonts w:hint="default"/>
          <w:lang w:val="en-US" w:eastAsia="zh-CN"/>
        </w:rPr>
      </w:pPr>
      <w:r>
        <w:rPr>
          <w:rFonts w:hint="eastAsia"/>
          <w:lang w:val="en-US" w:eastAsia="zh-CN"/>
        </w:rPr>
        <w:t>（2）业绩清单及证明文件；</w:t>
      </w:r>
    </w:p>
    <w:p w14:paraId="0578C973">
      <w:pPr>
        <w:pStyle w:val="20"/>
        <w:spacing w:line="360" w:lineRule="auto"/>
        <w:ind w:right="121" w:firstLine="360" w:firstLineChars="150"/>
        <w:jc w:val="both"/>
        <w:rPr>
          <w:rFonts w:hint="eastAsia"/>
          <w:lang w:eastAsia="zh-CN"/>
        </w:rPr>
      </w:pPr>
      <w:r>
        <w:rPr>
          <w:rFonts w:hint="eastAsia"/>
          <w:lang w:eastAsia="zh-CN"/>
        </w:rPr>
        <w:t>（</w:t>
      </w:r>
      <w:r>
        <w:rPr>
          <w:rFonts w:hint="eastAsia"/>
          <w:lang w:val="en-US" w:eastAsia="zh-CN"/>
        </w:rPr>
        <w:t>3</w:t>
      </w: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0"/>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0"/>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0"/>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0"/>
        <w:spacing w:line="360" w:lineRule="auto"/>
        <w:ind w:right="121" w:firstLine="480" w:firstLineChars="200"/>
        <w:jc w:val="both"/>
        <w:rPr>
          <w:rFonts w:hint="eastAsia"/>
          <w:lang w:eastAsia="zh-CN"/>
        </w:rPr>
      </w:pPr>
      <w:r>
        <w:rPr>
          <w:rFonts w:hint="eastAsia"/>
          <w:lang w:eastAsia="zh-CN"/>
        </w:rPr>
        <w:t>本项目设置最高控制</w:t>
      </w:r>
      <w:r>
        <w:rPr>
          <w:rFonts w:hint="eastAsia"/>
          <w:lang w:val="en-US" w:eastAsia="zh-CN"/>
        </w:rPr>
        <w:t>14万</w:t>
      </w:r>
      <w:r>
        <w:rPr>
          <w:rFonts w:hint="eastAsia"/>
          <w:lang w:eastAsia="zh-CN"/>
        </w:rPr>
        <w:t>元整（含税包干总价），</w:t>
      </w:r>
      <w:r>
        <w:rPr>
          <w:rFonts w:hint="eastAsia"/>
          <w:lang w:val="en-US" w:eastAsia="zh-CN"/>
        </w:rPr>
        <w:t>其中</w:t>
      </w:r>
      <w:r>
        <w:rPr>
          <w:rFonts w:hint="eastAsia"/>
          <w:lang w:eastAsia="zh-CN"/>
        </w:rPr>
        <w:t>吸附分离预处理技改项目</w:t>
      </w:r>
      <w:r>
        <w:rPr>
          <w:rFonts w:hint="eastAsia"/>
          <w:lang w:val="en-US" w:eastAsia="zh-CN"/>
        </w:rPr>
        <w:t>9万元，海西天然气古雷段能化专线工程项目5万元</w:t>
      </w:r>
      <w:r>
        <w:rPr>
          <w:rFonts w:hint="eastAsia"/>
          <w:lang w:eastAsia="zh-CN"/>
        </w:rPr>
        <w:t>。参比人所填报的报价高于本项目最高限价的，其参比将被评审小组予以否决。</w:t>
      </w:r>
      <w:r>
        <w:rPr>
          <w:rFonts w:hint="eastAsia"/>
          <w:lang w:eastAsia="zh-CN"/>
        </w:rPr>
        <w:fldChar w:fldCharType="begin"/>
      </w:r>
      <w:r>
        <w:rPr>
          <w:rFonts w:hint="eastAsia"/>
          <w:lang w:eastAsia="zh-CN"/>
        </w:rPr>
        <w:instrText xml:space="preserve"> HYPERLINK "mailto:如参比人对控制价存疑请于报价截止前发邮件至hjzhang@fhcpec.com.cn" </w:instrText>
      </w:r>
      <w:r>
        <w:rPr>
          <w:rFonts w:hint="eastAsia"/>
          <w:lang w:eastAsia="zh-CN"/>
        </w:rP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54282FC1">
      <w:pPr>
        <w:pStyle w:val="20"/>
        <w:spacing w:line="360" w:lineRule="auto"/>
        <w:ind w:right="121" w:firstLine="480" w:firstLineChars="200"/>
        <w:jc w:val="both"/>
        <w:rPr>
          <w:rFonts w:hint="eastAsia"/>
          <w:lang w:eastAsia="zh-CN"/>
        </w:rPr>
      </w:pPr>
      <w:r>
        <w:rPr>
          <w:rFonts w:hint="eastAsia"/>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0"/>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0"/>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0"/>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0"/>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0"/>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0"/>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0"/>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0"/>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0"/>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0"/>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0"/>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技术服务</w:t>
      </w:r>
      <w:r>
        <w:rPr>
          <w:rFonts w:hint="eastAsia"/>
          <w:lang w:eastAsia="zh-CN"/>
        </w:rPr>
        <w:t>合同</w:t>
      </w:r>
      <w:r>
        <w:rPr>
          <w:lang w:eastAsia="zh-CN"/>
        </w:rPr>
        <w:t>（详见附件一）的规定。</w:t>
      </w:r>
    </w:p>
    <w:p w14:paraId="2B23763A">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0"/>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5"/>
      </w:pPr>
    </w:p>
    <w:p w14:paraId="00ABAC03">
      <w:pPr>
        <w:pStyle w:val="55"/>
      </w:pPr>
    </w:p>
    <w:p w14:paraId="54F29C7F">
      <w:pPr>
        <w:pStyle w:val="55"/>
      </w:pPr>
    </w:p>
    <w:p w14:paraId="7A6A90D2">
      <w:pPr>
        <w:pStyle w:val="55"/>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0"/>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0"/>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0"/>
        <w:spacing w:line="360" w:lineRule="auto"/>
        <w:ind w:left="215"/>
        <w:rPr>
          <w:lang w:eastAsia="zh-CN"/>
        </w:rPr>
      </w:pPr>
      <w:r>
        <w:rPr>
          <w:lang w:eastAsia="zh-CN"/>
        </w:rPr>
        <w:br w:type="page"/>
      </w:r>
    </w:p>
    <w:p w14:paraId="3F4B5FBC">
      <w:pPr>
        <w:pStyle w:val="20"/>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54570A3D">
      <w:pPr>
        <w:spacing w:line="480" w:lineRule="exact"/>
        <w:jc w:val="center"/>
        <w:rPr>
          <w:b/>
          <w:color w:val="000000"/>
          <w:sz w:val="44"/>
          <w:szCs w:val="44"/>
          <w:lang w:eastAsia="zh-CN"/>
        </w:rPr>
      </w:pPr>
      <w:r>
        <w:rPr>
          <w:rFonts w:hint="eastAsia"/>
          <w:b/>
          <w:color w:val="000000"/>
          <w:sz w:val="44"/>
          <w:szCs w:val="44"/>
          <w:lang w:eastAsia="zh-CN"/>
        </w:rPr>
        <w:t>福建福海创石油化工有限公司</w:t>
      </w:r>
    </w:p>
    <w:p w14:paraId="2A30A206">
      <w:pPr>
        <w:jc w:val="center"/>
        <w:rPr>
          <w:b/>
          <w:color w:val="000000"/>
          <w:sz w:val="44"/>
          <w:szCs w:val="44"/>
          <w:lang w:eastAsia="zh-CN"/>
        </w:rPr>
      </w:pPr>
    </w:p>
    <w:p w14:paraId="5D8F57EC">
      <w:pPr>
        <w:spacing w:line="480" w:lineRule="exact"/>
        <w:jc w:val="center"/>
        <w:rPr>
          <w:rFonts w:hint="default"/>
          <w:b/>
          <w:color w:val="000000"/>
          <w:sz w:val="44"/>
          <w:szCs w:val="44"/>
          <w:lang w:val="en-US" w:eastAsia="zh-CN"/>
        </w:rPr>
      </w:pPr>
      <w:r>
        <w:rPr>
          <w:rFonts w:hint="eastAsia"/>
          <w:b/>
          <w:color w:val="000000"/>
          <w:sz w:val="44"/>
          <w:szCs w:val="44"/>
          <w:lang w:eastAsia="zh-CN"/>
        </w:rPr>
        <w:t>吸附分离预处理技改项目及海西天然气古雷段能化专线工程职业病危害预评价报告书编制</w:t>
      </w:r>
      <w:r>
        <w:rPr>
          <w:rFonts w:hint="eastAsia"/>
          <w:b/>
          <w:color w:val="000000"/>
          <w:sz w:val="44"/>
          <w:szCs w:val="44"/>
          <w:lang w:val="en-US" w:eastAsia="zh-CN"/>
        </w:rPr>
        <w:t>技术咨询服务合同</w:t>
      </w:r>
    </w:p>
    <w:p w14:paraId="5F2CD113">
      <w:pPr>
        <w:spacing w:line="480" w:lineRule="exact"/>
        <w:jc w:val="center"/>
        <w:rPr>
          <w:b/>
          <w:color w:val="000000"/>
          <w:sz w:val="44"/>
          <w:szCs w:val="44"/>
          <w:lang w:eastAsia="zh-CN"/>
        </w:rPr>
      </w:pPr>
    </w:p>
    <w:p w14:paraId="555DA5A9">
      <w:pPr>
        <w:adjustRightInd w:val="0"/>
        <w:jc w:val="center"/>
        <w:rPr>
          <w:color w:val="000000"/>
          <w:sz w:val="32"/>
          <w:szCs w:val="32"/>
          <w:lang w:eastAsia="zh-CN"/>
        </w:rPr>
      </w:pPr>
      <w:r>
        <w:rPr>
          <w:rFonts w:hint="eastAsia"/>
          <w:color w:val="000000"/>
          <w:sz w:val="32"/>
          <w:szCs w:val="32"/>
          <w:lang w:eastAsia="zh-CN"/>
        </w:rPr>
        <w:t xml:space="preserve">(合同编号： </w:t>
      </w:r>
      <w:r>
        <w:rPr>
          <w:color w:val="000000"/>
          <w:sz w:val="32"/>
          <w:szCs w:val="32"/>
          <w:lang w:eastAsia="zh-CN"/>
        </w:rPr>
        <w:t xml:space="preserve">          </w:t>
      </w:r>
      <w:r>
        <w:rPr>
          <w:rFonts w:hint="eastAsia"/>
          <w:color w:val="000000"/>
          <w:sz w:val="32"/>
          <w:szCs w:val="32"/>
          <w:lang w:eastAsia="zh-CN"/>
        </w:rPr>
        <w:t>)</w:t>
      </w:r>
    </w:p>
    <w:p w14:paraId="04A9237C">
      <w:pPr>
        <w:rPr>
          <w:b/>
          <w:sz w:val="30"/>
          <w:lang w:eastAsia="zh-CN"/>
        </w:rPr>
      </w:pPr>
    </w:p>
    <w:p w14:paraId="67C2EC6A">
      <w:pPr>
        <w:rPr>
          <w:b/>
          <w:sz w:val="30"/>
          <w:lang w:eastAsia="zh-CN"/>
        </w:rPr>
      </w:pPr>
    </w:p>
    <w:p w14:paraId="3BF48A55">
      <w:pPr>
        <w:rPr>
          <w:b/>
          <w:sz w:val="30"/>
          <w:lang w:eastAsia="zh-CN"/>
        </w:rPr>
      </w:pPr>
    </w:p>
    <w:p w14:paraId="2F6BA0F8">
      <w:pPr>
        <w:rPr>
          <w:b/>
          <w:sz w:val="30"/>
          <w:lang w:eastAsia="zh-CN"/>
        </w:rPr>
      </w:pPr>
    </w:p>
    <w:p w14:paraId="4F0B0583">
      <w:pPr>
        <w:rPr>
          <w:b/>
          <w:sz w:val="30"/>
          <w:lang w:eastAsia="zh-CN"/>
        </w:rPr>
      </w:pPr>
    </w:p>
    <w:p w14:paraId="74DF4E00">
      <w:pPr>
        <w:rPr>
          <w:b/>
          <w:sz w:val="30"/>
          <w:lang w:eastAsia="zh-CN"/>
        </w:rPr>
      </w:pPr>
    </w:p>
    <w:p w14:paraId="35C046EB">
      <w:pPr>
        <w:pStyle w:val="55"/>
      </w:pPr>
    </w:p>
    <w:p w14:paraId="2C6D7505">
      <w:pPr>
        <w:pStyle w:val="55"/>
      </w:pPr>
    </w:p>
    <w:p w14:paraId="7E2F1DE0">
      <w:pPr>
        <w:pStyle w:val="55"/>
      </w:pPr>
    </w:p>
    <w:p w14:paraId="709A0B24">
      <w:pPr>
        <w:ind w:firstLine="643" w:firstLineChars="200"/>
        <w:rPr>
          <w:sz w:val="32"/>
          <w:szCs w:val="32"/>
          <w:lang w:eastAsia="zh-CN"/>
        </w:rPr>
      </w:pPr>
      <w:r>
        <w:rPr>
          <w:rFonts w:hint="eastAsia"/>
          <w:b/>
          <w:bCs/>
          <w:sz w:val="32"/>
          <w:szCs w:val="32"/>
          <w:lang w:eastAsia="zh-CN"/>
        </w:rPr>
        <w:t>委托方（甲方）</w:t>
      </w:r>
      <w:r>
        <w:rPr>
          <w:rFonts w:hint="eastAsia"/>
          <w:sz w:val="32"/>
          <w:szCs w:val="32"/>
          <w:lang w:eastAsia="zh-CN"/>
        </w:rPr>
        <w:t>：</w:t>
      </w:r>
      <w:r>
        <w:rPr>
          <w:rFonts w:hint="eastAsia"/>
          <w:b/>
          <w:bCs/>
          <w:sz w:val="32"/>
          <w:szCs w:val="32"/>
          <w:lang w:eastAsia="zh-CN"/>
        </w:rPr>
        <w:t>福建福海创石油化工有限公司</w:t>
      </w:r>
    </w:p>
    <w:p w14:paraId="60AA4C27">
      <w:pPr>
        <w:ind w:firstLine="643" w:firstLineChars="200"/>
        <w:rPr>
          <w:sz w:val="32"/>
          <w:szCs w:val="32"/>
          <w:lang w:eastAsia="zh-CN"/>
        </w:rPr>
      </w:pPr>
      <w:r>
        <w:rPr>
          <w:rFonts w:hint="eastAsia"/>
          <w:b/>
          <w:bCs/>
          <w:sz w:val="32"/>
          <w:szCs w:val="32"/>
          <w:lang w:eastAsia="zh-CN"/>
        </w:rPr>
        <w:t>受托方（乙方）：</w:t>
      </w:r>
      <w:r>
        <w:rPr>
          <w:rFonts w:hint="eastAsia"/>
          <w:sz w:val="32"/>
          <w:szCs w:val="32"/>
          <w:lang w:eastAsia="zh-CN"/>
        </w:rPr>
        <w:t xml:space="preserve"> </w:t>
      </w:r>
    </w:p>
    <w:p w14:paraId="0038598D">
      <w:pPr>
        <w:ind w:firstLine="800" w:firstLineChars="250"/>
        <w:rPr>
          <w:sz w:val="32"/>
          <w:szCs w:val="32"/>
          <w:lang w:eastAsia="zh-CN"/>
        </w:rPr>
      </w:pPr>
    </w:p>
    <w:p w14:paraId="0CD0207C">
      <w:pPr>
        <w:tabs>
          <w:tab w:val="right" w:pos="9638"/>
        </w:tabs>
        <w:jc w:val="center"/>
        <w:rPr>
          <w:sz w:val="32"/>
          <w:szCs w:val="32"/>
          <w:lang w:eastAsia="zh-CN"/>
        </w:rPr>
      </w:pPr>
      <w:r>
        <w:rPr>
          <w:rFonts w:hint="eastAsia"/>
          <w:sz w:val="32"/>
          <w:szCs w:val="32"/>
          <w:lang w:eastAsia="zh-CN"/>
        </w:rPr>
        <w:t>日    期: 202</w:t>
      </w:r>
      <w:r>
        <w:rPr>
          <w:rFonts w:hint="eastAsia"/>
          <w:sz w:val="32"/>
          <w:szCs w:val="32"/>
          <w:lang w:val="en-US" w:eastAsia="zh-CN"/>
        </w:rPr>
        <w:t>6</w:t>
      </w:r>
      <w:r>
        <w:rPr>
          <w:rFonts w:hint="eastAsia"/>
          <w:sz w:val="32"/>
          <w:szCs w:val="32"/>
          <w:lang w:eastAsia="zh-CN"/>
        </w:rPr>
        <w:t>年</w:t>
      </w:r>
      <w:r>
        <w:rPr>
          <w:rFonts w:hint="eastAsia"/>
          <w:sz w:val="32"/>
          <w:szCs w:val="32"/>
          <w:lang w:val="en-US" w:eastAsia="zh-CN"/>
        </w:rPr>
        <w:t>3</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277AF99C">
      <w:pPr>
        <w:tabs>
          <w:tab w:val="left" w:pos="2130"/>
          <w:tab w:val="center" w:pos="4535"/>
        </w:tabs>
        <w:jc w:val="center"/>
        <w:rPr>
          <w:b/>
          <w:sz w:val="30"/>
          <w:szCs w:val="30"/>
          <w:lang w:eastAsia="zh-CN"/>
        </w:rPr>
      </w:pPr>
    </w:p>
    <w:p w14:paraId="1BB1311F">
      <w:pPr>
        <w:pStyle w:val="25"/>
        <w:spacing w:line="400" w:lineRule="exact"/>
        <w:jc w:val="left"/>
        <w:rPr>
          <w:rFonts w:hAnsi="宋体"/>
          <w:szCs w:val="21"/>
        </w:rPr>
      </w:pPr>
      <w:r>
        <w:rPr>
          <w:rFonts w:hint="eastAsia"/>
          <w:b/>
          <w:sz w:val="30"/>
          <w:szCs w:val="30"/>
          <w:lang w:eastAsia="zh-CN"/>
        </w:rPr>
        <w:br w:type="page"/>
      </w:r>
    </w:p>
    <w:p w14:paraId="0B89AB63">
      <w:pPr>
        <w:pStyle w:val="25"/>
        <w:spacing w:line="400" w:lineRule="exact"/>
        <w:jc w:val="left"/>
        <w:rPr>
          <w:rFonts w:hAnsi="宋体"/>
          <w:szCs w:val="21"/>
        </w:rPr>
      </w:pPr>
      <w:r>
        <w:rPr>
          <w:rFonts w:hAnsi="宋体"/>
          <w:szCs w:val="21"/>
        </w:rPr>
        <w:t>委托方（甲方）</w:t>
      </w:r>
      <w:r>
        <w:rPr>
          <w:rFonts w:hint="eastAsia" w:hAnsi="宋体"/>
          <w:szCs w:val="21"/>
        </w:rPr>
        <w:t>：</w:t>
      </w:r>
      <w:r>
        <w:rPr>
          <w:rFonts w:hAnsi="宋体"/>
          <w:szCs w:val="21"/>
        </w:rPr>
        <w:t xml:space="preserve"> </w:t>
      </w:r>
    </w:p>
    <w:p w14:paraId="2A764CB0">
      <w:pPr>
        <w:pStyle w:val="25"/>
        <w:spacing w:line="400" w:lineRule="exact"/>
        <w:jc w:val="left"/>
        <w:rPr>
          <w:rFonts w:hAnsi="宋体"/>
          <w:szCs w:val="21"/>
        </w:rPr>
      </w:pPr>
      <w:r>
        <w:rPr>
          <w:rFonts w:hAnsi="宋体"/>
          <w:szCs w:val="21"/>
        </w:rPr>
        <w:t>住  所  地：</w:t>
      </w:r>
    </w:p>
    <w:p w14:paraId="329366FF">
      <w:pPr>
        <w:pStyle w:val="25"/>
        <w:spacing w:line="400" w:lineRule="exact"/>
        <w:jc w:val="left"/>
        <w:rPr>
          <w:rFonts w:hAnsi="宋体"/>
          <w:szCs w:val="21"/>
        </w:rPr>
      </w:pPr>
      <w:r>
        <w:rPr>
          <w:rFonts w:hAnsi="宋体"/>
          <w:szCs w:val="21"/>
        </w:rPr>
        <w:t>法定代表人</w:t>
      </w:r>
      <w:r>
        <w:rPr>
          <w:rFonts w:hint="eastAsia" w:hAnsi="宋体"/>
          <w:szCs w:val="21"/>
        </w:rPr>
        <w:t>：</w:t>
      </w:r>
    </w:p>
    <w:p w14:paraId="168F0166">
      <w:pPr>
        <w:pStyle w:val="25"/>
        <w:spacing w:line="400" w:lineRule="exact"/>
        <w:jc w:val="left"/>
        <w:rPr>
          <w:rFonts w:hAnsi="宋体"/>
          <w:szCs w:val="21"/>
        </w:rPr>
      </w:pPr>
      <w:r>
        <w:rPr>
          <w:rFonts w:hAnsi="宋体"/>
          <w:szCs w:val="21"/>
        </w:rPr>
        <w:t>项目联系人</w:t>
      </w:r>
      <w:r>
        <w:rPr>
          <w:rFonts w:hint="eastAsia" w:hAnsi="宋体"/>
          <w:szCs w:val="21"/>
        </w:rPr>
        <w:t>：</w:t>
      </w:r>
    </w:p>
    <w:p w14:paraId="5E0F1417">
      <w:pPr>
        <w:pStyle w:val="25"/>
        <w:spacing w:line="400" w:lineRule="exact"/>
        <w:jc w:val="left"/>
        <w:rPr>
          <w:rFonts w:hAnsi="宋体"/>
          <w:szCs w:val="21"/>
        </w:rPr>
      </w:pPr>
      <w:r>
        <w:rPr>
          <w:rFonts w:hAnsi="宋体"/>
          <w:szCs w:val="21"/>
        </w:rPr>
        <w:t>通讯地址</w:t>
      </w:r>
      <w:r>
        <w:rPr>
          <w:rFonts w:hint="eastAsia" w:hAnsi="宋体"/>
          <w:szCs w:val="21"/>
        </w:rPr>
        <w:t>：</w:t>
      </w:r>
    </w:p>
    <w:p w14:paraId="718CC61F">
      <w:pPr>
        <w:pStyle w:val="25"/>
        <w:spacing w:line="400" w:lineRule="exact"/>
        <w:jc w:val="left"/>
        <w:rPr>
          <w:rFonts w:hAnsi="宋体"/>
          <w:szCs w:val="21"/>
        </w:rPr>
      </w:pPr>
      <w:r>
        <w:rPr>
          <w:rFonts w:hAnsi="宋体"/>
          <w:szCs w:val="21"/>
        </w:rPr>
        <w:t>电    话</w:t>
      </w:r>
      <w:r>
        <w:rPr>
          <w:rFonts w:hint="eastAsia" w:hAnsi="宋体"/>
          <w:szCs w:val="21"/>
        </w:rPr>
        <w:t>：</w:t>
      </w:r>
    </w:p>
    <w:p w14:paraId="06578FE5">
      <w:pPr>
        <w:pStyle w:val="25"/>
        <w:spacing w:line="400" w:lineRule="exact"/>
        <w:jc w:val="left"/>
        <w:rPr>
          <w:rFonts w:hAnsi="宋体"/>
          <w:szCs w:val="21"/>
        </w:rPr>
      </w:pPr>
      <w:r>
        <w:rPr>
          <w:rFonts w:hAnsi="宋体"/>
          <w:szCs w:val="21"/>
        </w:rPr>
        <w:t>传</w:t>
      </w:r>
      <w:r>
        <w:rPr>
          <w:rFonts w:hint="eastAsia" w:hAnsi="宋体"/>
          <w:szCs w:val="21"/>
        </w:rPr>
        <w:t xml:space="preserve">  </w:t>
      </w:r>
      <w:r>
        <w:rPr>
          <w:rFonts w:hAnsi="宋体"/>
          <w:szCs w:val="21"/>
        </w:rPr>
        <w:t xml:space="preserve">  真</w:t>
      </w:r>
      <w:r>
        <w:rPr>
          <w:rFonts w:hint="eastAsia" w:hAnsi="宋体"/>
          <w:szCs w:val="21"/>
        </w:rPr>
        <w:t>：</w:t>
      </w:r>
    </w:p>
    <w:p w14:paraId="7B001F39">
      <w:pPr>
        <w:pStyle w:val="25"/>
        <w:spacing w:line="400" w:lineRule="exact"/>
        <w:jc w:val="left"/>
        <w:rPr>
          <w:rFonts w:hAnsi="宋体"/>
          <w:szCs w:val="21"/>
        </w:rPr>
      </w:pPr>
      <w:r>
        <w:rPr>
          <w:rFonts w:hAnsi="宋体"/>
          <w:szCs w:val="21"/>
        </w:rPr>
        <w:t>电子信箱</w:t>
      </w:r>
      <w:r>
        <w:rPr>
          <w:rFonts w:hint="eastAsia" w:hAnsi="宋体"/>
          <w:szCs w:val="21"/>
        </w:rPr>
        <w:t>：</w:t>
      </w:r>
    </w:p>
    <w:p w14:paraId="614AD2AD">
      <w:pPr>
        <w:pStyle w:val="25"/>
        <w:spacing w:line="400" w:lineRule="exact"/>
        <w:jc w:val="left"/>
        <w:rPr>
          <w:rFonts w:hAnsi="宋体"/>
          <w:szCs w:val="21"/>
        </w:rPr>
      </w:pPr>
    </w:p>
    <w:p w14:paraId="0782A3EC">
      <w:pPr>
        <w:pStyle w:val="25"/>
        <w:spacing w:line="400" w:lineRule="exact"/>
        <w:jc w:val="left"/>
        <w:rPr>
          <w:rFonts w:hAnsi="宋体"/>
          <w:szCs w:val="21"/>
        </w:rPr>
      </w:pPr>
      <w:r>
        <w:rPr>
          <w:rFonts w:hAnsi="宋体"/>
          <w:szCs w:val="21"/>
        </w:rPr>
        <w:t>受托方（乙方）</w:t>
      </w:r>
      <w:r>
        <w:rPr>
          <w:rFonts w:hint="eastAsia" w:hAnsi="宋体"/>
          <w:szCs w:val="21"/>
        </w:rPr>
        <w:t>：</w:t>
      </w:r>
    </w:p>
    <w:p w14:paraId="1C5209CC">
      <w:pPr>
        <w:pStyle w:val="25"/>
        <w:spacing w:line="400" w:lineRule="exact"/>
        <w:jc w:val="left"/>
        <w:rPr>
          <w:rFonts w:hAnsi="宋体"/>
          <w:szCs w:val="21"/>
        </w:rPr>
      </w:pPr>
      <w:r>
        <w:rPr>
          <w:rFonts w:hAnsi="宋体"/>
          <w:szCs w:val="21"/>
        </w:rPr>
        <w:t>住  所  地</w:t>
      </w:r>
      <w:r>
        <w:rPr>
          <w:rFonts w:hint="eastAsia" w:hAnsi="宋体"/>
          <w:szCs w:val="21"/>
        </w:rPr>
        <w:t>：</w:t>
      </w:r>
    </w:p>
    <w:p w14:paraId="558D64F8">
      <w:pPr>
        <w:pStyle w:val="25"/>
        <w:spacing w:line="400" w:lineRule="exact"/>
        <w:jc w:val="left"/>
        <w:rPr>
          <w:rFonts w:hAnsi="宋体"/>
          <w:szCs w:val="21"/>
        </w:rPr>
      </w:pPr>
      <w:r>
        <w:rPr>
          <w:rFonts w:hAnsi="宋体"/>
          <w:szCs w:val="21"/>
        </w:rPr>
        <w:t>法定代表人</w:t>
      </w:r>
      <w:r>
        <w:rPr>
          <w:rFonts w:hint="eastAsia" w:hAnsi="宋体"/>
          <w:szCs w:val="21"/>
        </w:rPr>
        <w:t>：</w:t>
      </w:r>
    </w:p>
    <w:p w14:paraId="627B2AC9">
      <w:pPr>
        <w:pStyle w:val="25"/>
        <w:spacing w:line="400" w:lineRule="exact"/>
        <w:jc w:val="left"/>
        <w:rPr>
          <w:rFonts w:hAnsi="宋体"/>
          <w:szCs w:val="21"/>
        </w:rPr>
      </w:pPr>
      <w:r>
        <w:rPr>
          <w:rFonts w:hAnsi="宋体"/>
          <w:szCs w:val="21"/>
        </w:rPr>
        <w:t>通讯地址</w:t>
      </w:r>
      <w:r>
        <w:rPr>
          <w:rFonts w:hint="eastAsia" w:hAnsi="宋体"/>
          <w:szCs w:val="21"/>
        </w:rPr>
        <w:t>：</w:t>
      </w:r>
    </w:p>
    <w:p w14:paraId="15FB7558">
      <w:pPr>
        <w:pStyle w:val="25"/>
        <w:spacing w:line="400" w:lineRule="exact"/>
        <w:jc w:val="left"/>
        <w:rPr>
          <w:rFonts w:hAnsi="宋体"/>
          <w:szCs w:val="21"/>
        </w:rPr>
      </w:pPr>
      <w:r>
        <w:rPr>
          <w:rFonts w:hAnsi="宋体"/>
          <w:szCs w:val="21"/>
        </w:rPr>
        <w:t>电    话</w:t>
      </w:r>
      <w:r>
        <w:rPr>
          <w:rFonts w:hint="eastAsia" w:hAnsi="宋体"/>
          <w:szCs w:val="21"/>
        </w:rPr>
        <w:t>：</w:t>
      </w:r>
    </w:p>
    <w:p w14:paraId="55B9A05F">
      <w:pPr>
        <w:pStyle w:val="25"/>
        <w:spacing w:line="400" w:lineRule="exact"/>
        <w:jc w:val="left"/>
        <w:rPr>
          <w:rFonts w:hAnsi="宋体"/>
          <w:szCs w:val="21"/>
        </w:rPr>
      </w:pPr>
      <w:r>
        <w:rPr>
          <w:rFonts w:hAnsi="宋体"/>
          <w:szCs w:val="21"/>
        </w:rPr>
        <w:t>传    真：</w:t>
      </w:r>
    </w:p>
    <w:p w14:paraId="456E9E17">
      <w:pPr>
        <w:pStyle w:val="25"/>
        <w:spacing w:line="400" w:lineRule="exact"/>
        <w:jc w:val="left"/>
        <w:rPr>
          <w:rFonts w:hAnsi="宋体"/>
          <w:szCs w:val="21"/>
        </w:rPr>
      </w:pPr>
      <w:r>
        <w:rPr>
          <w:rFonts w:hAnsi="宋体"/>
          <w:szCs w:val="21"/>
        </w:rPr>
        <w:t>电子信箱</w:t>
      </w:r>
      <w:r>
        <w:rPr>
          <w:rFonts w:hint="eastAsia" w:hAnsi="宋体"/>
          <w:szCs w:val="21"/>
        </w:rPr>
        <w:t>：</w:t>
      </w:r>
    </w:p>
    <w:p w14:paraId="7CF582B8">
      <w:pPr>
        <w:pStyle w:val="25"/>
        <w:spacing w:line="400" w:lineRule="exact"/>
        <w:jc w:val="left"/>
        <w:rPr>
          <w:rFonts w:hAnsi="宋体"/>
          <w:szCs w:val="21"/>
        </w:rPr>
      </w:pPr>
      <w:r>
        <w:rPr>
          <w:rFonts w:hint="eastAsia" w:hAnsi="宋体"/>
          <w:szCs w:val="21"/>
        </w:rPr>
        <w:t xml:space="preserve">    </w:t>
      </w:r>
    </w:p>
    <w:p w14:paraId="283F0EB4">
      <w:pPr>
        <w:spacing w:line="120" w:lineRule="auto"/>
        <w:ind w:firstLine="440" w:firstLineChars="200"/>
        <w:rPr>
          <w:sz w:val="24"/>
        </w:rPr>
      </w:pPr>
      <w:r>
        <w:rPr>
          <w:rFonts w:hint="eastAsia" w:hAnsi="宋体"/>
          <w:szCs w:val="21"/>
        </w:rPr>
        <w:t xml:space="preserve">    本合同由甲方委托乙方就</w:t>
      </w:r>
      <w:r>
        <w:rPr>
          <w:rFonts w:hint="eastAsia" w:hAnsi="宋体"/>
          <w:szCs w:val="21"/>
          <w:u w:val="single"/>
        </w:rPr>
        <w:t xml:space="preserve">福建福海创石油化工有限公司吸附分离预处理技改项目及海西天然气古雷段能化专线工程职业病危害预评价报告书编制 </w:t>
      </w:r>
      <w:r>
        <w:rPr>
          <w:rFonts w:hint="eastAsia" w:hAnsi="宋体"/>
          <w:szCs w:val="21"/>
        </w:rPr>
        <w:t>进行技术服务及咨询，并支付技术服务及咨询报酬。双方经过平等协商，在真实、充分地表达各自意愿的基础上，根据《中华人民共和国民法典》的规定，达成如下协议，并由双方共同恪守。（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0AD90446">
      <w:pPr>
        <w:pStyle w:val="25"/>
        <w:spacing w:line="400" w:lineRule="exact"/>
        <w:jc w:val="left"/>
        <w:rPr>
          <w:rFonts w:hAnsi="宋体"/>
          <w:szCs w:val="21"/>
        </w:rPr>
      </w:pPr>
    </w:p>
    <w:p w14:paraId="3D31508A">
      <w:pPr>
        <w:pStyle w:val="25"/>
        <w:spacing w:line="400" w:lineRule="exact"/>
        <w:jc w:val="left"/>
        <w:rPr>
          <w:rFonts w:hAnsi="宋体"/>
          <w:szCs w:val="21"/>
        </w:rPr>
      </w:pPr>
      <w:r>
        <w:rPr>
          <w:rFonts w:hint="eastAsia" w:hAnsi="宋体"/>
          <w:szCs w:val="21"/>
        </w:rPr>
        <w:t xml:space="preserve">    第一条　乙方进行技术咨询的内容、要求、方式：</w:t>
      </w:r>
    </w:p>
    <w:p w14:paraId="3A9802FD">
      <w:pPr>
        <w:pStyle w:val="25"/>
        <w:spacing w:line="400" w:lineRule="exact"/>
        <w:jc w:val="left"/>
        <w:rPr>
          <w:rFonts w:hint="default" w:hAnsi="宋体"/>
          <w:szCs w:val="21"/>
          <w:lang w:val="en-US"/>
        </w:rPr>
      </w:pPr>
      <w:r>
        <w:rPr>
          <w:rFonts w:hint="eastAsia" w:hAnsi="宋体"/>
          <w:szCs w:val="21"/>
        </w:rPr>
        <w:t xml:space="preserve">    1.技术服务及咨询内容：</w:t>
      </w:r>
      <w:r>
        <w:rPr>
          <w:rFonts w:hint="eastAsia" w:hAnsi="宋体"/>
          <w:szCs w:val="21"/>
          <w:u w:val="single"/>
          <w:lang w:val="en-US" w:eastAsia="zh-CN"/>
        </w:rPr>
        <w:t>乙方负责完成两项职业病危害预评价报告书的编制工作，具体包括《吸附分离预处理技改项目职业病危害预评价报告书》和《海西天然气古雷段能化专线工程职业病危害预评价报告书》，编制工作需符合国家相关法律法规、行业标准及评审要求。具体详见附件发包说明。</w:t>
      </w:r>
    </w:p>
    <w:p w14:paraId="33255B5B">
      <w:pPr>
        <w:pStyle w:val="25"/>
        <w:spacing w:line="400" w:lineRule="exact"/>
        <w:jc w:val="left"/>
        <w:rPr>
          <w:rFonts w:hint="eastAsia" w:hAnsi="宋体" w:eastAsia="宋体"/>
          <w:szCs w:val="21"/>
          <w:lang w:eastAsia="zh-CN"/>
        </w:rPr>
      </w:pPr>
      <w:r>
        <w:rPr>
          <w:rFonts w:hint="eastAsia" w:hAnsi="宋体"/>
          <w:szCs w:val="21"/>
        </w:rPr>
        <w:t xml:space="preserve">    2.技术服务及咨询要求：</w:t>
      </w:r>
      <w:r>
        <w:rPr>
          <w:rFonts w:hint="eastAsia" w:hAnsi="宋体"/>
          <w:szCs w:val="21"/>
          <w:u w:val="single"/>
          <w:lang w:val="en-US" w:eastAsia="zh-CN"/>
        </w:rPr>
        <w:t>符合国家相关法律法规、行业标准及评审要求</w:t>
      </w:r>
      <w:r>
        <w:rPr>
          <w:rFonts w:hint="eastAsia" w:hAnsi="宋体"/>
          <w:szCs w:val="21"/>
          <w:u w:val="single"/>
          <w:lang w:eastAsia="zh-CN"/>
        </w:rPr>
        <w:t>。</w:t>
      </w:r>
    </w:p>
    <w:p w14:paraId="0FEBC578">
      <w:pPr>
        <w:pStyle w:val="25"/>
        <w:spacing w:line="400" w:lineRule="exact"/>
        <w:jc w:val="left"/>
        <w:rPr>
          <w:rFonts w:hAnsi="宋体"/>
          <w:szCs w:val="21"/>
        </w:rPr>
      </w:pPr>
      <w:r>
        <w:rPr>
          <w:rFonts w:hint="eastAsia" w:hAnsi="宋体"/>
          <w:szCs w:val="21"/>
        </w:rPr>
        <w:t xml:space="preserve">    第二条 乙方按照下列要求进行本合同项目的技术咨询工作：</w:t>
      </w:r>
    </w:p>
    <w:p w14:paraId="150ADD1F">
      <w:pPr>
        <w:pStyle w:val="25"/>
        <w:spacing w:line="400" w:lineRule="exact"/>
        <w:jc w:val="left"/>
        <w:rPr>
          <w:rFonts w:hAnsi="宋体"/>
          <w:szCs w:val="21"/>
        </w:rPr>
      </w:pPr>
      <w:r>
        <w:rPr>
          <w:rFonts w:hint="eastAsia" w:hAnsi="宋体"/>
          <w:szCs w:val="21"/>
        </w:rPr>
        <w:t xml:space="preserve">    1.技术服务及咨询地点：</w:t>
      </w:r>
      <w:r>
        <w:rPr>
          <w:rFonts w:hint="eastAsia" w:hAnsi="宋体"/>
          <w:szCs w:val="21"/>
          <w:u w:val="single"/>
        </w:rPr>
        <w:t xml:space="preserve">    </w:t>
      </w:r>
      <w:r>
        <w:rPr>
          <w:rFonts w:hint="eastAsia" w:hAnsi="宋体"/>
          <w:szCs w:val="21"/>
          <w:u w:val="single"/>
          <w:lang w:val="en-US" w:eastAsia="zh-CN"/>
        </w:rPr>
        <w:t>甲方现场所在地。</w:t>
      </w:r>
      <w:r>
        <w:rPr>
          <w:rFonts w:hint="eastAsia" w:hAnsi="宋体"/>
          <w:szCs w:val="21"/>
          <w:u w:val="single"/>
        </w:rPr>
        <w:t xml:space="preserve">      </w:t>
      </w:r>
    </w:p>
    <w:p w14:paraId="1B897108">
      <w:pPr>
        <w:pStyle w:val="25"/>
        <w:spacing w:line="400" w:lineRule="exact"/>
        <w:jc w:val="left"/>
        <w:rPr>
          <w:rFonts w:hAnsi="宋体"/>
          <w:szCs w:val="21"/>
        </w:rPr>
      </w:pPr>
      <w:r>
        <w:rPr>
          <w:rFonts w:hint="eastAsia" w:hAnsi="宋体"/>
          <w:szCs w:val="21"/>
        </w:rPr>
        <w:t xml:space="preserve">    2.技术服务及咨询期限：</w:t>
      </w:r>
      <w:r>
        <w:rPr>
          <w:rFonts w:hint="eastAsia" w:hAnsi="宋体"/>
          <w:szCs w:val="21"/>
          <w:u w:val="single"/>
        </w:rPr>
        <w:t xml:space="preserve">   </w:t>
      </w:r>
      <w:r>
        <w:rPr>
          <w:rFonts w:hint="eastAsia" w:hAnsi="宋体"/>
          <w:szCs w:val="21"/>
          <w:u w:val="single"/>
          <w:lang w:val="en-US" w:eastAsia="zh-CN"/>
        </w:rPr>
        <w:t>合同签订至项目评审通过。</w:t>
      </w:r>
      <w:r>
        <w:rPr>
          <w:rFonts w:hint="eastAsia" w:hAnsi="宋体"/>
          <w:szCs w:val="21"/>
          <w:u w:val="single"/>
        </w:rPr>
        <w:t xml:space="preserve">             </w:t>
      </w:r>
    </w:p>
    <w:p w14:paraId="7D4B9812">
      <w:pPr>
        <w:pStyle w:val="25"/>
        <w:spacing w:line="400" w:lineRule="exact"/>
        <w:jc w:val="left"/>
        <w:rPr>
          <w:rFonts w:hAnsi="宋体"/>
          <w:szCs w:val="21"/>
        </w:rPr>
      </w:pPr>
      <w:r>
        <w:rPr>
          <w:rFonts w:hint="eastAsia" w:hAnsi="宋体"/>
          <w:szCs w:val="21"/>
        </w:rPr>
        <w:t xml:space="preserve">    3.技术服务及咨询进度：</w:t>
      </w:r>
      <w:r>
        <w:rPr>
          <w:rFonts w:hint="eastAsia" w:hAnsi="宋体"/>
          <w:szCs w:val="21"/>
          <w:u w:val="single"/>
        </w:rPr>
        <w:t xml:space="preserve">   </w:t>
      </w:r>
      <w:r>
        <w:rPr>
          <w:rFonts w:hint="eastAsia" w:hAnsi="宋体"/>
          <w:szCs w:val="21"/>
          <w:u w:val="single"/>
          <w:lang w:val="en-US" w:eastAsia="zh-CN"/>
        </w:rPr>
        <w:t>合同签订且甲方具体条件后提交报告上。</w:t>
      </w:r>
      <w:r>
        <w:rPr>
          <w:rFonts w:hint="eastAsia" w:hAnsi="宋体"/>
          <w:szCs w:val="21"/>
          <w:u w:val="single"/>
        </w:rPr>
        <w:t xml:space="preserve">    </w:t>
      </w:r>
    </w:p>
    <w:p w14:paraId="6F522442">
      <w:pPr>
        <w:pStyle w:val="25"/>
        <w:spacing w:line="400" w:lineRule="exact"/>
        <w:jc w:val="left"/>
        <w:rPr>
          <w:rFonts w:hAnsi="宋体"/>
          <w:szCs w:val="21"/>
        </w:rPr>
      </w:pPr>
      <w:r>
        <w:rPr>
          <w:rFonts w:hint="eastAsia" w:hAnsi="宋体"/>
          <w:szCs w:val="21"/>
        </w:rPr>
        <w:t xml:space="preserve">    4、技术服务及咨询质量要求：</w:t>
      </w:r>
      <w:r>
        <w:rPr>
          <w:rFonts w:hint="eastAsia" w:hAnsi="宋体"/>
          <w:szCs w:val="21"/>
          <w:u w:val="single"/>
        </w:rPr>
        <w:t xml:space="preserve">   </w:t>
      </w:r>
      <w:r>
        <w:rPr>
          <w:rFonts w:hint="eastAsia" w:hAnsi="宋体"/>
          <w:szCs w:val="21"/>
          <w:u w:val="single"/>
          <w:lang w:val="en-US" w:eastAsia="zh-CN"/>
        </w:rPr>
        <w:t>符合国家相关法律法规、行业标准及评审要求。</w:t>
      </w:r>
      <w:r>
        <w:rPr>
          <w:rFonts w:hint="eastAsia" w:hAnsi="宋体"/>
          <w:szCs w:val="21"/>
          <w:u w:val="single"/>
        </w:rPr>
        <w:t xml:space="preserve">           </w:t>
      </w:r>
    </w:p>
    <w:p w14:paraId="72554D3E">
      <w:pPr>
        <w:pStyle w:val="25"/>
        <w:spacing w:line="400" w:lineRule="exact"/>
        <w:ind w:firstLine="440" w:firstLineChars="200"/>
        <w:jc w:val="left"/>
        <w:rPr>
          <w:rFonts w:hAnsi="宋体"/>
          <w:szCs w:val="21"/>
        </w:rPr>
      </w:pPr>
      <w:r>
        <w:rPr>
          <w:rFonts w:hint="eastAsia" w:hAnsi="宋体"/>
          <w:szCs w:val="21"/>
        </w:rPr>
        <w:t>5、技术服务及咨询质量期限要求：</w:t>
      </w:r>
      <w:r>
        <w:rPr>
          <w:rFonts w:hint="eastAsia" w:hAnsi="宋体"/>
          <w:szCs w:val="21"/>
          <w:u w:val="single"/>
        </w:rPr>
        <w:t xml:space="preserve"> </w:t>
      </w:r>
      <w:r>
        <w:rPr>
          <w:rFonts w:hint="eastAsia" w:hAnsi="宋体"/>
          <w:szCs w:val="21"/>
          <w:u w:val="single"/>
          <w:lang w:val="en-US" w:eastAsia="zh-CN"/>
        </w:rPr>
        <w:t>符合国家相关法律法规、行业标准及评审要求。</w:t>
      </w:r>
      <w:r>
        <w:rPr>
          <w:rFonts w:hint="eastAsia" w:hAnsi="宋体"/>
          <w:szCs w:val="21"/>
          <w:u w:val="single"/>
        </w:rPr>
        <w:t xml:space="preserve">   </w:t>
      </w:r>
    </w:p>
    <w:p w14:paraId="58502E19">
      <w:pPr>
        <w:pStyle w:val="25"/>
        <w:spacing w:line="400" w:lineRule="exact"/>
        <w:ind w:firstLine="440" w:firstLineChars="200"/>
        <w:jc w:val="left"/>
        <w:rPr>
          <w:rFonts w:hAnsi="宋体"/>
          <w:szCs w:val="21"/>
        </w:rPr>
      </w:pPr>
      <w:r>
        <w:rPr>
          <w:rFonts w:hint="eastAsia" w:hAnsi="宋体"/>
          <w:szCs w:val="21"/>
        </w:rPr>
        <w:t>第三条 为保证乙方有效进行技术咨询工作，甲方应当向乙方提供下列协作事项：</w:t>
      </w:r>
    </w:p>
    <w:p w14:paraId="7A10E1D0">
      <w:pPr>
        <w:pStyle w:val="25"/>
        <w:spacing w:line="400" w:lineRule="exact"/>
        <w:ind w:firstLine="440" w:firstLineChars="200"/>
        <w:jc w:val="left"/>
        <w:rPr>
          <w:rFonts w:hAnsi="宋体"/>
          <w:szCs w:val="21"/>
        </w:rPr>
      </w:pPr>
      <w:r>
        <w:rPr>
          <w:rFonts w:hint="eastAsia" w:hAnsi="宋体"/>
          <w:szCs w:val="21"/>
        </w:rPr>
        <w:t>提供技术资料：</w:t>
      </w:r>
      <w:r>
        <w:rPr>
          <w:rFonts w:hint="eastAsia" w:hAnsi="宋体"/>
          <w:szCs w:val="21"/>
          <w:u w:val="single"/>
          <w:lang w:val="en-US" w:eastAsia="zh-CN"/>
        </w:rPr>
        <w:t>甲方负责提供可行性研究报告、原料适应性技改项目预评价报告，作为乙方编制相关报告书的基础资料，确保所提供资料的真实性、完整性和有效性。</w:t>
      </w:r>
      <w:r>
        <w:rPr>
          <w:rFonts w:hint="eastAsia" w:hAnsi="宋体"/>
          <w:szCs w:val="21"/>
          <w:u w:val="single"/>
        </w:rPr>
        <w:t xml:space="preserve">  </w:t>
      </w:r>
    </w:p>
    <w:p w14:paraId="312AE772">
      <w:pPr>
        <w:pStyle w:val="25"/>
        <w:spacing w:line="400" w:lineRule="exact"/>
        <w:ind w:firstLine="440" w:firstLineChars="200"/>
        <w:jc w:val="left"/>
        <w:rPr>
          <w:rFonts w:hAnsi="宋体"/>
          <w:b/>
          <w:szCs w:val="21"/>
          <w:u w:val="single"/>
        </w:rPr>
      </w:pPr>
      <w:r>
        <w:t>若甲方提供文件资料、材料</w:t>
      </w:r>
      <w:r>
        <w:rPr>
          <w:rFonts w:hint="eastAsia"/>
        </w:rPr>
        <w:t>及工作条件等协作事项</w:t>
      </w:r>
      <w:r>
        <w:t>的，乙方应以其专业判断，检验、审查并了解甲方</w:t>
      </w:r>
      <w:r>
        <w:rPr>
          <w:rFonts w:hint="eastAsia"/>
        </w:rPr>
        <w:t>提供</w:t>
      </w:r>
      <w:r>
        <w:t>的资料、材料</w:t>
      </w:r>
      <w:r>
        <w:rPr>
          <w:rFonts w:hint="eastAsia"/>
        </w:rPr>
        <w:t>、工作条件等协作事项</w:t>
      </w:r>
      <w:r>
        <w:t>，并在发现甲方少交、迟交、或有任何错误、遗漏</w:t>
      </w:r>
      <w:r>
        <w:rPr>
          <w:rFonts w:hint="eastAsia"/>
        </w:rPr>
        <w:t>、不符合要求等</w:t>
      </w:r>
      <w:r>
        <w:t>后立即向甲方报告。</w:t>
      </w:r>
      <w:r>
        <w:rPr>
          <w:b/>
        </w:rPr>
        <w:t>若发现上述资料、材料</w:t>
      </w:r>
      <w:r>
        <w:rPr>
          <w:rFonts w:hint="eastAsia"/>
          <w:b/>
        </w:rPr>
        <w:t>、工作条件等</w:t>
      </w:r>
      <w:r>
        <w:rPr>
          <w:b/>
        </w:rPr>
        <w:t>不符合约定的，应当在收到材料</w:t>
      </w:r>
      <w:r>
        <w:rPr>
          <w:rFonts w:hint="eastAsia"/>
          <w:b/>
        </w:rPr>
        <w:t>或协作事项落实</w:t>
      </w:r>
      <w:r>
        <w:rPr>
          <w:b/>
        </w:rPr>
        <w:t>后</w:t>
      </w:r>
      <w:r>
        <w:rPr>
          <w:rFonts w:hint="eastAsia"/>
          <w:b/>
        </w:rPr>
        <w:t>7</w:t>
      </w:r>
      <w:r>
        <w:rPr>
          <w:b/>
        </w:rPr>
        <w:t>天内书面通知甲方。若逾期未提出异议的，视作甲方的资料、材料</w:t>
      </w:r>
      <w:r>
        <w:rPr>
          <w:rFonts w:hint="eastAsia"/>
          <w:b/>
        </w:rPr>
        <w:t>、工作条件等协作事项</w:t>
      </w:r>
      <w:r>
        <w:rPr>
          <w:b/>
        </w:rPr>
        <w:t>符合合同约定。</w:t>
      </w:r>
    </w:p>
    <w:p w14:paraId="796E0FA8">
      <w:pPr>
        <w:pStyle w:val="25"/>
        <w:spacing w:line="400" w:lineRule="exact"/>
        <w:ind w:firstLine="440" w:firstLineChars="200"/>
        <w:jc w:val="left"/>
        <w:rPr>
          <w:rFonts w:hAnsi="宋体"/>
          <w:szCs w:val="21"/>
        </w:rPr>
      </w:pPr>
      <w:r>
        <w:rPr>
          <w:rFonts w:hint="eastAsia" w:hAnsi="宋体"/>
          <w:szCs w:val="21"/>
        </w:rPr>
        <w:t>第四条 甲方向乙方支付技术服务及咨询报酬及支付方式为：</w:t>
      </w:r>
    </w:p>
    <w:p w14:paraId="74007EB9">
      <w:pPr>
        <w:pStyle w:val="25"/>
        <w:spacing w:line="400" w:lineRule="exact"/>
        <w:ind w:firstLine="440" w:firstLineChars="200"/>
        <w:jc w:val="left"/>
        <w:rPr>
          <w:rFonts w:hint="default" w:hAnsi="宋体" w:eastAsia="宋体"/>
          <w:szCs w:val="21"/>
          <w:lang w:val="en-US" w:eastAsia="zh-CN"/>
        </w:rPr>
      </w:pPr>
      <w:r>
        <w:rPr>
          <w:rFonts w:hint="eastAsia" w:hAnsi="宋体"/>
          <w:szCs w:val="21"/>
        </w:rPr>
        <w:t>1. 技术服务及咨询报酬总价款为：</w:t>
      </w:r>
      <w:r>
        <w:rPr>
          <w:rFonts w:hAnsi="宋体"/>
          <w:szCs w:val="21"/>
        </w:rPr>
        <w:t>人民币</w:t>
      </w:r>
      <w:r>
        <w:rPr>
          <w:rFonts w:hint="eastAsia" w:hAnsi="宋体"/>
          <w:szCs w:val="21"/>
          <w:u w:val="single"/>
        </w:rPr>
        <w:t xml:space="preserve">           </w:t>
      </w:r>
      <w:r>
        <w:rPr>
          <w:rFonts w:hint="eastAsia" w:hAnsi="宋体"/>
          <w:szCs w:val="21"/>
        </w:rPr>
        <w:t>元（含</w:t>
      </w:r>
      <w:r>
        <w:rPr>
          <w:rFonts w:hint="eastAsia" w:hAnsi="宋体"/>
          <w:szCs w:val="21"/>
          <w:lang w:val="en-US" w:eastAsia="zh-CN"/>
        </w:rPr>
        <w:t>6%增值税</w:t>
      </w:r>
      <w:r>
        <w:rPr>
          <w:rFonts w:hint="eastAsia" w:hAnsi="宋体"/>
          <w:szCs w:val="21"/>
        </w:rPr>
        <w:t>）</w:t>
      </w:r>
      <w:r>
        <w:rPr>
          <w:rFonts w:hint="eastAsia" w:hAnsi="宋体"/>
          <w:szCs w:val="21"/>
          <w:lang w:eastAsia="zh-CN"/>
        </w:rPr>
        <w:t>，</w:t>
      </w:r>
      <w:r>
        <w:rPr>
          <w:rFonts w:hint="eastAsia" w:hAnsi="宋体"/>
          <w:szCs w:val="21"/>
          <w:lang w:val="en-US" w:eastAsia="zh-CN"/>
        </w:rPr>
        <w:t>其中吸附分离预处理技改项目技术服务费用为：</w:t>
      </w:r>
      <w:r>
        <w:rPr>
          <w:rFonts w:hint="eastAsia" w:hAnsi="宋体"/>
          <w:szCs w:val="21"/>
          <w:u w:val="single"/>
          <w:lang w:val="en-US" w:eastAsia="zh-CN"/>
        </w:rPr>
        <w:t xml:space="preserve">          </w:t>
      </w:r>
      <w:r>
        <w:rPr>
          <w:rFonts w:hint="eastAsia" w:hAnsi="宋体"/>
          <w:szCs w:val="21"/>
          <w:u w:val="none"/>
          <w:lang w:val="en-US" w:eastAsia="zh-CN"/>
        </w:rPr>
        <w:t>元</w:t>
      </w:r>
      <w:r>
        <w:rPr>
          <w:rFonts w:hint="eastAsia" w:hAnsi="宋体"/>
          <w:szCs w:val="21"/>
          <w:lang w:val="en-US" w:eastAsia="zh-CN"/>
        </w:rPr>
        <w:t>，海西天然气古雷段能化专线工程技术服务费用为：</w:t>
      </w:r>
      <w:r>
        <w:rPr>
          <w:rFonts w:hint="eastAsia" w:hAnsi="宋体"/>
          <w:szCs w:val="21"/>
          <w:u w:val="single"/>
          <w:lang w:val="en-US" w:eastAsia="zh-CN"/>
        </w:rPr>
        <w:t xml:space="preserve">       </w:t>
      </w:r>
      <w:r>
        <w:rPr>
          <w:rFonts w:hint="eastAsia" w:hAnsi="宋体"/>
          <w:szCs w:val="21"/>
          <w:lang w:val="en-US" w:eastAsia="zh-CN"/>
        </w:rPr>
        <w:t>元。</w:t>
      </w:r>
    </w:p>
    <w:p w14:paraId="78490EC4">
      <w:pPr>
        <w:pStyle w:val="25"/>
        <w:spacing w:line="400" w:lineRule="exact"/>
        <w:jc w:val="left"/>
        <w:rPr>
          <w:rFonts w:hint="eastAsia" w:hAnsi="宋体"/>
          <w:szCs w:val="21"/>
        </w:rPr>
      </w:pPr>
      <w:r>
        <w:rPr>
          <w:rFonts w:hAnsi="宋体"/>
          <w:szCs w:val="21"/>
        </w:rPr>
        <w:t xml:space="preserve"> </w:t>
      </w:r>
      <w:r>
        <w:rPr>
          <w:rFonts w:hint="eastAsia" w:hAnsi="宋体"/>
          <w:szCs w:val="21"/>
        </w:rPr>
        <w:t xml:space="preserve">    具体支付方式和时间分配如下：</w:t>
      </w:r>
    </w:p>
    <w:p w14:paraId="7AC752E3">
      <w:pPr>
        <w:pStyle w:val="25"/>
        <w:spacing w:line="400" w:lineRule="exact"/>
        <w:jc w:val="left"/>
        <w:rPr>
          <w:rFonts w:hint="default" w:hAnsi="宋体" w:eastAsia="宋体"/>
          <w:szCs w:val="21"/>
          <w:lang w:val="en-US" w:eastAsia="zh-CN"/>
        </w:rPr>
      </w:pPr>
      <w:r>
        <w:rPr>
          <w:rFonts w:hint="eastAsia" w:hAnsi="宋体"/>
          <w:szCs w:val="21"/>
          <w:lang w:val="en-US" w:eastAsia="zh-CN"/>
        </w:rPr>
        <w:t xml:space="preserve">     两个项目根据项目进度分别进行付款。</w:t>
      </w:r>
    </w:p>
    <w:p w14:paraId="25BA36A9">
      <w:pPr>
        <w:pStyle w:val="25"/>
        <w:spacing w:line="400" w:lineRule="exact"/>
        <w:jc w:val="left"/>
        <w:rPr>
          <w:rFonts w:hAnsi="宋体"/>
          <w:szCs w:val="21"/>
        </w:rPr>
      </w:pPr>
      <w:r>
        <w:rPr>
          <w:rFonts w:hAnsi="宋体"/>
          <w:szCs w:val="21"/>
        </w:rPr>
        <w:t xml:space="preserve">   </w:t>
      </w:r>
      <w:r>
        <w:rPr>
          <w:rFonts w:hint="eastAsia" w:hAnsi="宋体"/>
          <w:szCs w:val="21"/>
        </w:rPr>
        <w:t>（</w:t>
      </w:r>
      <w:r>
        <w:rPr>
          <w:rFonts w:hAnsi="宋体"/>
          <w:szCs w:val="21"/>
        </w:rPr>
        <w:t>1</w:t>
      </w:r>
      <w:r>
        <w:rPr>
          <w:rFonts w:hint="eastAsia" w:hAnsi="宋体"/>
          <w:szCs w:val="21"/>
        </w:rPr>
        <w:t>）乙方按照合同约定提供</w:t>
      </w:r>
      <w:r>
        <w:rPr>
          <w:rFonts w:hAnsi="宋体"/>
          <w:szCs w:val="21"/>
        </w:rPr>
        <w:t>完整</w:t>
      </w:r>
      <w:r>
        <w:rPr>
          <w:rFonts w:hint="eastAsia" w:hAnsi="宋体"/>
          <w:szCs w:val="21"/>
        </w:rPr>
        <w:t>的服务，并出具经甲方认可的正式</w:t>
      </w:r>
      <w:r>
        <w:rPr>
          <w:rFonts w:hint="eastAsia" w:hAnsi="宋体"/>
          <w:szCs w:val="21"/>
          <w:u w:val="single"/>
        </w:rPr>
        <w:t xml:space="preserve"> </w:t>
      </w:r>
      <w:r>
        <w:rPr>
          <w:rFonts w:hint="eastAsia" w:hAnsi="宋体"/>
          <w:szCs w:val="21"/>
          <w:u w:val="single"/>
          <w:lang w:val="en-US" w:eastAsia="zh-CN"/>
        </w:rPr>
        <w:t>职业病危害预评价报告书</w:t>
      </w:r>
      <w:r>
        <w:rPr>
          <w:rFonts w:hint="eastAsia" w:hAnsi="宋体"/>
          <w:szCs w:val="21"/>
        </w:rPr>
        <w:t>后</w:t>
      </w:r>
      <w:r>
        <w:rPr>
          <w:rFonts w:hint="eastAsia" w:hAnsi="宋体"/>
          <w:szCs w:val="21"/>
          <w:u w:val="single"/>
        </w:rPr>
        <w:t xml:space="preserve"> </w:t>
      </w:r>
      <w:r>
        <w:rPr>
          <w:rFonts w:hint="eastAsia" w:hAnsi="宋体"/>
          <w:szCs w:val="21"/>
          <w:u w:val="single"/>
          <w:lang w:val="en-US" w:eastAsia="zh-CN"/>
        </w:rPr>
        <w:t>20</w:t>
      </w:r>
      <w:r>
        <w:rPr>
          <w:rFonts w:hint="eastAsia" w:hAnsi="宋体"/>
          <w:szCs w:val="21"/>
        </w:rPr>
        <w:t>个工作日内，甲方支付</w:t>
      </w:r>
      <w:r>
        <w:rPr>
          <w:rFonts w:hint="eastAsia" w:hAnsi="宋体"/>
          <w:szCs w:val="21"/>
          <w:lang w:val="en-US" w:eastAsia="zh-CN"/>
        </w:rPr>
        <w:t>该项目</w:t>
      </w:r>
      <w:r>
        <w:rPr>
          <w:rFonts w:hint="eastAsia" w:hAnsi="宋体"/>
          <w:szCs w:val="21"/>
        </w:rPr>
        <w:t>总价款的</w:t>
      </w:r>
      <w:r>
        <w:rPr>
          <w:rFonts w:hint="eastAsia" w:hAnsi="宋体"/>
          <w:szCs w:val="21"/>
          <w:u w:val="single"/>
        </w:rPr>
        <w:t xml:space="preserve"> </w:t>
      </w:r>
      <w:r>
        <w:rPr>
          <w:rFonts w:hint="eastAsia" w:hAnsi="宋体"/>
          <w:szCs w:val="21"/>
          <w:u w:val="single"/>
          <w:lang w:val="en-US" w:eastAsia="zh-CN"/>
        </w:rPr>
        <w:t>80</w:t>
      </w:r>
      <w:r>
        <w:rPr>
          <w:rFonts w:hint="eastAsia" w:hAnsi="宋体"/>
          <w:szCs w:val="21"/>
          <w:u w:val="single"/>
        </w:rPr>
        <w:t xml:space="preserve"> </w:t>
      </w:r>
      <w:r>
        <w:rPr>
          <w:rFonts w:hint="eastAsia" w:hAnsi="宋体"/>
          <w:szCs w:val="21"/>
        </w:rPr>
        <w:t xml:space="preserve"> %。</w:t>
      </w:r>
    </w:p>
    <w:p w14:paraId="6E89D491">
      <w:pPr>
        <w:pStyle w:val="25"/>
        <w:spacing w:line="400" w:lineRule="exact"/>
        <w:ind w:firstLine="330" w:firstLineChars="150"/>
        <w:jc w:val="left"/>
        <w:rPr>
          <w:rFonts w:hAnsi="宋体"/>
          <w:szCs w:val="21"/>
        </w:rPr>
      </w:pPr>
      <w:r>
        <w:rPr>
          <w:rFonts w:hint="eastAsia" w:hAnsi="宋体"/>
          <w:szCs w:val="21"/>
        </w:rPr>
        <w:t>（</w:t>
      </w:r>
      <w:r>
        <w:rPr>
          <w:rFonts w:hint="eastAsia" w:hAnsi="宋体"/>
          <w:szCs w:val="21"/>
          <w:lang w:val="en-US" w:eastAsia="zh-CN"/>
        </w:rPr>
        <w:t>2</w:t>
      </w:r>
      <w:r>
        <w:rPr>
          <w:rFonts w:hint="eastAsia" w:hAnsi="宋体"/>
          <w:szCs w:val="21"/>
        </w:rPr>
        <w:t>）在乙方</w:t>
      </w:r>
      <w:r>
        <w:rPr>
          <w:rFonts w:hAnsi="宋体"/>
          <w:szCs w:val="21"/>
        </w:rPr>
        <w:t>报告</w:t>
      </w:r>
      <w:r>
        <w:rPr>
          <w:rFonts w:hint="eastAsia" w:hAnsi="宋体"/>
          <w:szCs w:val="21"/>
        </w:rPr>
        <w:t>经审批通过后</w:t>
      </w:r>
      <w:r>
        <w:rPr>
          <w:rFonts w:hint="eastAsia" w:hAnsi="宋体"/>
          <w:szCs w:val="21"/>
          <w:u w:val="single"/>
        </w:rPr>
        <w:t xml:space="preserve"> </w:t>
      </w:r>
      <w:r>
        <w:rPr>
          <w:rFonts w:hint="eastAsia" w:hAnsi="宋体"/>
          <w:szCs w:val="21"/>
          <w:u w:val="single"/>
          <w:lang w:val="en-US" w:eastAsia="zh-CN"/>
        </w:rPr>
        <w:t>20</w:t>
      </w:r>
      <w:r>
        <w:rPr>
          <w:rFonts w:hint="eastAsia" w:hAnsi="宋体"/>
          <w:szCs w:val="21"/>
          <w:u w:val="single"/>
        </w:rPr>
        <w:t xml:space="preserve"> </w:t>
      </w:r>
      <w:r>
        <w:rPr>
          <w:rFonts w:hint="eastAsia" w:hAnsi="宋体"/>
          <w:szCs w:val="21"/>
        </w:rPr>
        <w:t>个工作日内，甲方支付</w:t>
      </w:r>
      <w:r>
        <w:rPr>
          <w:rFonts w:hint="eastAsia" w:hAnsi="宋体"/>
          <w:szCs w:val="21"/>
          <w:lang w:val="en-US" w:eastAsia="zh-CN"/>
        </w:rPr>
        <w:t>该项目</w:t>
      </w:r>
      <w:r>
        <w:rPr>
          <w:rFonts w:hint="eastAsia" w:hAnsi="宋体"/>
          <w:szCs w:val="21"/>
        </w:rPr>
        <w:t>剩余款。</w:t>
      </w:r>
    </w:p>
    <w:p w14:paraId="0BC88833">
      <w:pPr>
        <w:pStyle w:val="25"/>
        <w:spacing w:line="400" w:lineRule="exact"/>
        <w:ind w:firstLine="330" w:firstLineChars="150"/>
        <w:jc w:val="left"/>
        <w:rPr>
          <w:rFonts w:hAnsi="宋体"/>
          <w:szCs w:val="21"/>
        </w:rPr>
      </w:pPr>
      <w:r>
        <w:rPr>
          <w:rFonts w:hint="eastAsia" w:hAnsi="宋体"/>
          <w:szCs w:val="21"/>
        </w:rPr>
        <w:t>（</w:t>
      </w:r>
      <w:r>
        <w:rPr>
          <w:rFonts w:hint="eastAsia" w:hAnsi="宋体"/>
          <w:szCs w:val="21"/>
          <w:lang w:val="en-US" w:eastAsia="zh-CN"/>
        </w:rPr>
        <w:t>3</w:t>
      </w:r>
      <w:r>
        <w:rPr>
          <w:rFonts w:hint="eastAsia" w:hAnsi="宋体"/>
          <w:szCs w:val="21"/>
        </w:rPr>
        <w:t>）乙方应根据合同约定进度，在甲方付款期限届满</w:t>
      </w:r>
      <w:r>
        <w:rPr>
          <w:rFonts w:hint="eastAsia" w:hAnsi="宋体"/>
          <w:szCs w:val="21"/>
          <w:u w:val="single"/>
        </w:rPr>
        <w:t xml:space="preserve"> </w:t>
      </w:r>
      <w:r>
        <w:rPr>
          <w:rFonts w:hint="eastAsia" w:hAnsi="宋体"/>
          <w:szCs w:val="21"/>
          <w:u w:val="single"/>
          <w:lang w:val="en-US" w:eastAsia="zh-CN"/>
        </w:rPr>
        <w:t>20个工作</w:t>
      </w:r>
      <w:bookmarkStart w:id="3" w:name="_GoBack"/>
      <w:bookmarkEnd w:id="3"/>
      <w:r>
        <w:rPr>
          <w:rFonts w:hAnsi="宋体"/>
          <w:szCs w:val="21"/>
          <w:u w:val="single"/>
        </w:rPr>
        <w:t xml:space="preserve"> </w:t>
      </w:r>
      <w:r>
        <w:rPr>
          <w:rFonts w:hint="eastAsia" w:hAnsi="宋体"/>
          <w:szCs w:val="21"/>
        </w:rPr>
        <w:t>日前提供合法、有效的增值税专用发票，否则甲方有权顺延付款。上述技术服务及咨询报酬直接支付至乙方指定的下列账号：</w:t>
      </w:r>
    </w:p>
    <w:p w14:paraId="7734838F">
      <w:pPr>
        <w:pStyle w:val="25"/>
        <w:spacing w:line="400" w:lineRule="exact"/>
        <w:ind w:firstLine="440" w:firstLineChars="200"/>
        <w:jc w:val="left"/>
        <w:rPr>
          <w:rFonts w:hAnsi="宋体"/>
          <w:szCs w:val="21"/>
        </w:rPr>
      </w:pPr>
      <w:r>
        <w:rPr>
          <w:rFonts w:hint="eastAsia" w:hAnsi="宋体"/>
          <w:szCs w:val="21"/>
        </w:rPr>
        <w:t>乙方公司名称：</w:t>
      </w:r>
      <w:r>
        <w:rPr>
          <w:rFonts w:hint="eastAsia" w:hAnsi="宋体"/>
          <w:szCs w:val="21"/>
          <w:u w:val="single"/>
        </w:rPr>
        <w:t xml:space="preserve">    </w:t>
      </w:r>
      <w:r>
        <w:rPr>
          <w:rFonts w:hAnsi="宋体"/>
          <w:szCs w:val="21"/>
          <w:u w:val="single"/>
        </w:rPr>
        <w:t xml:space="preserve">                  </w:t>
      </w:r>
    </w:p>
    <w:p w14:paraId="556BC2A8">
      <w:pPr>
        <w:pStyle w:val="25"/>
        <w:spacing w:line="400" w:lineRule="exact"/>
        <w:ind w:firstLine="440" w:firstLineChars="200"/>
        <w:jc w:val="left"/>
        <w:rPr>
          <w:rFonts w:hAnsi="宋体"/>
          <w:szCs w:val="21"/>
        </w:rPr>
      </w:pPr>
      <w:r>
        <w:rPr>
          <w:rFonts w:hint="eastAsia" w:hAnsi="宋体"/>
          <w:szCs w:val="21"/>
        </w:rPr>
        <w:t>开户银行：</w:t>
      </w:r>
      <w:r>
        <w:rPr>
          <w:rFonts w:hint="eastAsia" w:hAnsi="宋体"/>
          <w:szCs w:val="21"/>
          <w:u w:val="single"/>
        </w:rPr>
        <w:t xml:space="preserve">    </w:t>
      </w:r>
      <w:r>
        <w:rPr>
          <w:rFonts w:hAnsi="宋体"/>
          <w:szCs w:val="21"/>
          <w:u w:val="single"/>
        </w:rPr>
        <w:t xml:space="preserve">                  </w:t>
      </w:r>
    </w:p>
    <w:p w14:paraId="11A2C190">
      <w:pPr>
        <w:pStyle w:val="25"/>
        <w:spacing w:line="400" w:lineRule="exact"/>
        <w:ind w:firstLine="440" w:firstLineChars="200"/>
        <w:jc w:val="left"/>
        <w:rPr>
          <w:rFonts w:hAnsi="宋体"/>
          <w:szCs w:val="21"/>
        </w:rPr>
      </w:pPr>
      <w:r>
        <w:rPr>
          <w:rFonts w:hint="eastAsia" w:hAnsi="宋体"/>
          <w:szCs w:val="21"/>
        </w:rPr>
        <w:t>账号：</w:t>
      </w:r>
      <w:r>
        <w:rPr>
          <w:rFonts w:hint="eastAsia" w:hAnsi="宋体"/>
          <w:szCs w:val="21"/>
          <w:u w:val="single"/>
        </w:rPr>
        <w:t xml:space="preserve">    </w:t>
      </w:r>
      <w:r>
        <w:rPr>
          <w:rFonts w:hAnsi="宋体"/>
          <w:szCs w:val="21"/>
          <w:u w:val="single"/>
        </w:rPr>
        <w:t xml:space="preserve">                  </w:t>
      </w:r>
    </w:p>
    <w:p w14:paraId="19EC21C0">
      <w:pPr>
        <w:pStyle w:val="25"/>
        <w:spacing w:line="400" w:lineRule="exact"/>
        <w:ind w:firstLine="440" w:firstLineChars="200"/>
        <w:jc w:val="left"/>
        <w:rPr>
          <w:rFonts w:hAnsi="宋体"/>
          <w:szCs w:val="21"/>
        </w:rPr>
      </w:pPr>
      <w:r>
        <w:rPr>
          <w:rFonts w:hint="eastAsia" w:hAnsi="宋体"/>
          <w:szCs w:val="21"/>
        </w:rPr>
        <w:t>第五条 双方确定因履行本合同应遵守的保密义务如下：</w:t>
      </w:r>
    </w:p>
    <w:p w14:paraId="394C698E">
      <w:pPr>
        <w:pStyle w:val="25"/>
        <w:spacing w:line="400" w:lineRule="exact"/>
        <w:ind w:firstLine="440" w:firstLineChars="200"/>
        <w:jc w:val="left"/>
        <w:rPr>
          <w:rFonts w:hAnsi="宋体"/>
          <w:szCs w:val="21"/>
        </w:rPr>
      </w:pPr>
      <w:r>
        <w:rPr>
          <w:rFonts w:hint="eastAsia" w:hAnsi="宋体"/>
          <w:szCs w:val="21"/>
        </w:rPr>
        <w:t>甲方：</w:t>
      </w:r>
    </w:p>
    <w:p w14:paraId="0D1008B7">
      <w:pPr>
        <w:pStyle w:val="25"/>
        <w:spacing w:line="400" w:lineRule="exact"/>
        <w:ind w:firstLine="440" w:firstLineChars="200"/>
        <w:jc w:val="left"/>
        <w:rPr>
          <w:rFonts w:hAnsi="宋体"/>
          <w:szCs w:val="21"/>
        </w:rPr>
      </w:pPr>
      <w:r>
        <w:rPr>
          <w:rFonts w:hint="eastAsia" w:hAnsi="宋体"/>
          <w:szCs w:val="21"/>
        </w:rPr>
        <w:t>1.保密内容：乙方提供的资料，服务咨询报告及该服务咨询报告的附件资料除外。</w:t>
      </w:r>
    </w:p>
    <w:p w14:paraId="1DFB63CD">
      <w:pPr>
        <w:pStyle w:val="25"/>
        <w:spacing w:line="400" w:lineRule="exact"/>
        <w:ind w:firstLine="440" w:firstLineChars="200"/>
        <w:jc w:val="left"/>
        <w:rPr>
          <w:rFonts w:hAnsi="宋体"/>
          <w:szCs w:val="21"/>
        </w:rPr>
      </w:pPr>
      <w:r>
        <w:rPr>
          <w:rFonts w:hint="eastAsia" w:hAnsi="宋体"/>
          <w:szCs w:val="21"/>
        </w:rPr>
        <w:t xml:space="preserve">2.涉密人员范围：甲方及甲方工作人员 </w:t>
      </w:r>
    </w:p>
    <w:p w14:paraId="7317CCAA">
      <w:pPr>
        <w:pStyle w:val="25"/>
        <w:spacing w:line="400" w:lineRule="exact"/>
        <w:ind w:firstLine="440" w:firstLineChars="200"/>
        <w:jc w:val="left"/>
        <w:rPr>
          <w:rFonts w:hAnsi="宋体"/>
          <w:szCs w:val="21"/>
        </w:rPr>
      </w:pPr>
      <w:r>
        <w:rPr>
          <w:rFonts w:hint="eastAsia" w:hAnsi="宋体"/>
          <w:szCs w:val="21"/>
        </w:rPr>
        <w:t xml:space="preserve">3.泄密责任：  按本合同约定及国家有关保密法的规定执行 </w:t>
      </w:r>
    </w:p>
    <w:p w14:paraId="521C7EC6">
      <w:pPr>
        <w:pStyle w:val="25"/>
        <w:spacing w:line="400" w:lineRule="exact"/>
        <w:ind w:firstLine="440" w:firstLineChars="200"/>
        <w:jc w:val="left"/>
        <w:rPr>
          <w:rFonts w:hAnsi="宋体"/>
          <w:szCs w:val="21"/>
        </w:rPr>
      </w:pPr>
      <w:r>
        <w:rPr>
          <w:rFonts w:hint="eastAsia" w:hAnsi="宋体"/>
          <w:szCs w:val="21"/>
        </w:rPr>
        <w:t>乙方：</w:t>
      </w:r>
    </w:p>
    <w:p w14:paraId="1F6FA77B">
      <w:pPr>
        <w:pStyle w:val="25"/>
        <w:spacing w:line="400" w:lineRule="exact"/>
        <w:ind w:firstLine="440" w:firstLineChars="200"/>
        <w:jc w:val="left"/>
        <w:rPr>
          <w:rFonts w:hAnsi="宋体"/>
          <w:szCs w:val="21"/>
        </w:rPr>
      </w:pPr>
      <w:r>
        <w:rPr>
          <w:rFonts w:hint="eastAsia" w:hAnsi="宋体"/>
          <w:szCs w:val="21"/>
        </w:rPr>
        <w:t xml:space="preserve">1.保密内容：甲方提供的资料以及乙方在提供本合同约定服务过程中知悉的甲方技术信息、经营信息、生产工艺、操作流程等。 </w:t>
      </w:r>
    </w:p>
    <w:p w14:paraId="71C58BFC">
      <w:pPr>
        <w:pStyle w:val="25"/>
        <w:spacing w:line="400" w:lineRule="exact"/>
        <w:ind w:firstLine="440" w:firstLineChars="200"/>
        <w:jc w:val="left"/>
        <w:rPr>
          <w:rFonts w:hAnsi="宋体"/>
          <w:szCs w:val="21"/>
        </w:rPr>
      </w:pPr>
      <w:r>
        <w:rPr>
          <w:rFonts w:hint="eastAsia" w:hAnsi="宋体"/>
          <w:szCs w:val="21"/>
        </w:rPr>
        <w:t xml:space="preserve">2.涉密人员范围：乙方及乙方工作人员 </w:t>
      </w:r>
    </w:p>
    <w:p w14:paraId="372E28FA">
      <w:pPr>
        <w:pStyle w:val="25"/>
        <w:spacing w:line="400" w:lineRule="exact"/>
        <w:ind w:firstLine="440" w:firstLineChars="200"/>
        <w:jc w:val="left"/>
        <w:rPr>
          <w:rFonts w:hAnsi="宋体"/>
          <w:szCs w:val="21"/>
        </w:rPr>
      </w:pPr>
      <w:r>
        <w:rPr>
          <w:rFonts w:hint="eastAsia" w:hAnsi="宋体"/>
          <w:szCs w:val="21"/>
        </w:rPr>
        <w:t xml:space="preserve">3.泄密责任：按本合同约定及国家有关保密法的规定执行 </w:t>
      </w:r>
    </w:p>
    <w:p w14:paraId="694C49AF">
      <w:pPr>
        <w:pStyle w:val="25"/>
        <w:spacing w:line="400" w:lineRule="exact"/>
        <w:ind w:firstLine="440" w:firstLineChars="200"/>
        <w:jc w:val="left"/>
        <w:rPr>
          <w:rFonts w:hAnsi="宋体"/>
          <w:szCs w:val="21"/>
        </w:rPr>
      </w:pPr>
      <w:r>
        <w:rPr>
          <w:rFonts w:hint="eastAsia" w:hAnsi="宋体"/>
          <w:szCs w:val="21"/>
        </w:rPr>
        <w:t>第六条 本合同的变更必须由双方协商一致，并以书面形式确定。</w:t>
      </w:r>
    </w:p>
    <w:p w14:paraId="48597660">
      <w:pPr>
        <w:pStyle w:val="25"/>
        <w:spacing w:line="400" w:lineRule="exact"/>
        <w:ind w:firstLine="440" w:firstLineChars="200"/>
        <w:jc w:val="left"/>
        <w:rPr>
          <w:rFonts w:hAnsi="宋体"/>
          <w:szCs w:val="21"/>
        </w:rPr>
      </w:pPr>
      <w:r>
        <w:rPr>
          <w:rFonts w:hint="eastAsia" w:hAnsi="宋体"/>
          <w:szCs w:val="21"/>
        </w:rPr>
        <w:t>第七条 双方确定，按以下标准和方式对乙方提交的技术咨询工作成果进行验收：</w:t>
      </w:r>
    </w:p>
    <w:p w14:paraId="45C1682A">
      <w:pPr>
        <w:pStyle w:val="25"/>
        <w:spacing w:line="400" w:lineRule="exact"/>
        <w:ind w:firstLine="440" w:firstLineChars="200"/>
        <w:jc w:val="left"/>
        <w:rPr>
          <w:rFonts w:hAnsi="宋体"/>
          <w:szCs w:val="21"/>
        </w:rPr>
      </w:pPr>
      <w:r>
        <w:rPr>
          <w:rFonts w:hint="eastAsia" w:hAnsi="宋体"/>
          <w:szCs w:val="21"/>
        </w:rPr>
        <w:t>1、乙方提交技术工作成果的形式：</w:t>
      </w:r>
      <w:r>
        <w:rPr>
          <w:rFonts w:hint="eastAsia" w:hAnsi="宋体"/>
          <w:szCs w:val="21"/>
          <w:u w:val="single"/>
        </w:rPr>
        <w:t xml:space="preserve">   正式版本一式8套及包括WORD版（内容不设置复制权限）、PDF版电子文档（含图件、附件)的拷贝</w:t>
      </w:r>
      <w:r>
        <w:rPr>
          <w:rFonts w:hint="eastAsia" w:hAnsi="宋体"/>
          <w:szCs w:val="21"/>
          <w:u w:val="single"/>
          <w:lang w:val="en-US" w:eastAsia="zh-CN"/>
        </w:rPr>
        <w:t>1</w:t>
      </w:r>
      <w:r>
        <w:rPr>
          <w:rFonts w:hint="eastAsia" w:hAnsi="宋体"/>
          <w:szCs w:val="21"/>
          <w:u w:val="single"/>
        </w:rPr>
        <w:t xml:space="preserve">份  </w:t>
      </w:r>
      <w:r>
        <w:rPr>
          <w:rFonts w:hint="eastAsia" w:hAnsi="宋体"/>
          <w:szCs w:val="21"/>
          <w:u w:val="single"/>
          <w:lang w:eastAsia="zh-CN"/>
        </w:rPr>
        <w:t>。</w:t>
      </w:r>
      <w:r>
        <w:rPr>
          <w:rFonts w:hint="eastAsia" w:hAnsi="宋体"/>
          <w:szCs w:val="21"/>
          <w:u w:val="single"/>
        </w:rPr>
        <w:t xml:space="preserve"> </w:t>
      </w:r>
      <w:r>
        <w:rPr>
          <w:rFonts w:hAnsi="宋体"/>
          <w:szCs w:val="21"/>
          <w:u w:val="single"/>
        </w:rPr>
        <w:t xml:space="preserve">  </w:t>
      </w:r>
    </w:p>
    <w:p w14:paraId="7B3B3E23">
      <w:pPr>
        <w:pStyle w:val="25"/>
        <w:spacing w:line="400" w:lineRule="exact"/>
        <w:ind w:firstLine="440" w:firstLineChars="200"/>
        <w:jc w:val="left"/>
        <w:rPr>
          <w:rFonts w:hAnsi="宋体"/>
          <w:szCs w:val="21"/>
        </w:rPr>
      </w:pPr>
      <w:r>
        <w:rPr>
          <w:rFonts w:hint="eastAsia" w:hAnsi="宋体"/>
          <w:szCs w:val="21"/>
        </w:rPr>
        <w:t>2、技术工作成果的验收标准：</w:t>
      </w:r>
      <w:r>
        <w:rPr>
          <w:rFonts w:hint="eastAsia" w:hAnsi="宋体"/>
          <w:szCs w:val="21"/>
          <w:u w:val="single"/>
        </w:rPr>
        <w:t xml:space="preserve">  </w:t>
      </w:r>
      <w:r>
        <w:rPr>
          <w:rFonts w:hint="eastAsia" w:hAnsi="宋体"/>
          <w:szCs w:val="21"/>
          <w:u w:val="single"/>
          <w:lang w:val="en-US" w:eastAsia="zh-CN"/>
        </w:rPr>
        <w:t>通过评审</w:t>
      </w:r>
      <w:r>
        <w:rPr>
          <w:rFonts w:hAnsi="宋体"/>
          <w:szCs w:val="21"/>
          <w:u w:val="single"/>
        </w:rPr>
        <w:t xml:space="preserve">      </w:t>
      </w:r>
    </w:p>
    <w:p w14:paraId="799B7089">
      <w:pPr>
        <w:pStyle w:val="25"/>
        <w:spacing w:line="400" w:lineRule="exact"/>
        <w:ind w:firstLine="440" w:firstLineChars="200"/>
        <w:jc w:val="left"/>
        <w:rPr>
          <w:rFonts w:hAnsi="宋体"/>
          <w:szCs w:val="21"/>
        </w:rPr>
      </w:pPr>
      <w:r>
        <w:rPr>
          <w:rFonts w:hint="eastAsia" w:hAnsi="宋体"/>
          <w:szCs w:val="21"/>
        </w:rPr>
        <w:t>3、验收地点：</w:t>
      </w:r>
      <w:r>
        <w:rPr>
          <w:rFonts w:hint="eastAsia" w:hAnsi="宋体"/>
          <w:szCs w:val="21"/>
          <w:u w:val="single"/>
        </w:rPr>
        <w:t xml:space="preserve">    </w:t>
      </w:r>
      <w:r>
        <w:rPr>
          <w:rFonts w:hint="eastAsia" w:hAnsi="宋体"/>
          <w:szCs w:val="21"/>
          <w:u w:val="single"/>
          <w:lang w:val="en-US" w:eastAsia="zh-CN"/>
        </w:rPr>
        <w:t>甲方所在地</w:t>
      </w:r>
      <w:r>
        <w:rPr>
          <w:rFonts w:hAnsi="宋体"/>
          <w:szCs w:val="21"/>
          <w:u w:val="single"/>
        </w:rPr>
        <w:t xml:space="preserve">                 </w:t>
      </w:r>
    </w:p>
    <w:p w14:paraId="50BC5AD7">
      <w:pPr>
        <w:spacing w:line="520" w:lineRule="exact"/>
        <w:ind w:firstLine="440" w:firstLineChars="200"/>
        <w:rPr>
          <w:rFonts w:ascii="宋体" w:hAnsi="宋体"/>
          <w:sz w:val="24"/>
        </w:rPr>
      </w:pPr>
      <w:r>
        <w:rPr>
          <w:rFonts w:hint="eastAsia" w:hAnsi="宋体"/>
          <w:szCs w:val="21"/>
        </w:rPr>
        <w:t>4、双方确认，</w:t>
      </w:r>
      <w:r>
        <w:rPr>
          <w:rFonts w:hint="eastAsia" w:hAnsi="宋体"/>
          <w:b/>
          <w:szCs w:val="21"/>
        </w:rPr>
        <w:t>甲方的验收仅作为付款依据，不代表甲方对乙方工作成果的最终认可。在技术咨询成果运用过程中，如有证据表明乙方存在弄虚作假等违反合同约定的情形，甲方仍有权要求乙方承担由此造成的损失和法律后果</w:t>
      </w:r>
      <w:r>
        <w:rPr>
          <w:rFonts w:hint="eastAsia" w:hAnsi="宋体"/>
          <w:szCs w:val="21"/>
        </w:rPr>
        <w:t>。</w:t>
      </w:r>
    </w:p>
    <w:p w14:paraId="6D30C140">
      <w:pPr>
        <w:pStyle w:val="25"/>
        <w:spacing w:line="400" w:lineRule="exact"/>
        <w:ind w:firstLine="440" w:firstLineChars="200"/>
        <w:jc w:val="left"/>
        <w:rPr>
          <w:rFonts w:hAnsi="宋体"/>
          <w:szCs w:val="21"/>
        </w:rPr>
      </w:pPr>
      <w:r>
        <w:rPr>
          <w:rFonts w:hint="eastAsia" w:hAnsi="宋体"/>
          <w:szCs w:val="21"/>
        </w:rPr>
        <w:t>第八条 双方确定，甲方指定</w:t>
      </w:r>
      <w:r>
        <w:rPr>
          <w:rFonts w:hint="eastAsia" w:hAnsi="宋体"/>
          <w:szCs w:val="21"/>
          <w:u w:val="single"/>
          <w:lang w:val="en-US" w:eastAsia="zh-CN"/>
        </w:rPr>
        <w:t>陈国强</w:t>
      </w:r>
      <w:r>
        <w:rPr>
          <w:rFonts w:hAnsi="宋体"/>
          <w:szCs w:val="21"/>
          <w:u w:val="single"/>
        </w:rPr>
        <w:t xml:space="preserve"> </w:t>
      </w:r>
      <w:r>
        <w:rPr>
          <w:rFonts w:hint="eastAsia" w:hAnsi="宋体"/>
          <w:szCs w:val="21"/>
        </w:rPr>
        <w:t>为甲方项目联系人，乙方指定</w:t>
      </w:r>
      <w:r>
        <w:rPr>
          <w:rFonts w:hint="eastAsia" w:hAnsi="宋体"/>
          <w:szCs w:val="21"/>
          <w:u w:val="single"/>
        </w:rPr>
        <w:t xml:space="preserve">    </w:t>
      </w:r>
      <w:r>
        <w:rPr>
          <w:rFonts w:hAnsi="宋体"/>
          <w:szCs w:val="21"/>
          <w:u w:val="single"/>
        </w:rPr>
        <w:t xml:space="preserve"> </w:t>
      </w:r>
      <w:r>
        <w:rPr>
          <w:rFonts w:hint="eastAsia" w:hAnsi="宋体"/>
          <w:szCs w:val="21"/>
        </w:rPr>
        <w:t>为乙方项目联系人。</w:t>
      </w:r>
    </w:p>
    <w:p w14:paraId="10AE2537">
      <w:pPr>
        <w:pStyle w:val="25"/>
        <w:spacing w:line="400" w:lineRule="exact"/>
        <w:ind w:firstLine="440" w:firstLineChars="200"/>
        <w:jc w:val="left"/>
        <w:rPr>
          <w:rFonts w:hAnsi="宋体"/>
          <w:szCs w:val="21"/>
        </w:rPr>
      </w:pPr>
      <w:r>
        <w:rPr>
          <w:rFonts w:hint="eastAsia" w:hAnsi="宋体"/>
          <w:szCs w:val="21"/>
        </w:rPr>
        <w:t>一方变更项目联系人的，应当及时以书面形式通知另一方。未及时通知并影响本合同履行或造成损失的，应承担相应的责任。</w:t>
      </w:r>
    </w:p>
    <w:p w14:paraId="0F488E43">
      <w:pPr>
        <w:pStyle w:val="25"/>
        <w:spacing w:line="400" w:lineRule="exact"/>
        <w:ind w:firstLine="440" w:firstLineChars="200"/>
        <w:jc w:val="left"/>
        <w:rPr>
          <w:rFonts w:hAnsi="宋体"/>
          <w:szCs w:val="21"/>
        </w:rPr>
      </w:pPr>
      <w:r>
        <w:rPr>
          <w:rFonts w:hint="eastAsia" w:hAnsi="宋体"/>
          <w:szCs w:val="21"/>
        </w:rPr>
        <w:t>第九条  违约责任</w:t>
      </w:r>
    </w:p>
    <w:p w14:paraId="616E9055">
      <w:pPr>
        <w:spacing w:line="400" w:lineRule="exact"/>
        <w:ind w:firstLine="440" w:firstLineChars="200"/>
        <w:rPr>
          <w:rStyle w:val="79"/>
          <w:color w:val="000000"/>
        </w:rPr>
      </w:pPr>
      <w:r>
        <w:rPr>
          <w:rStyle w:val="79"/>
          <w:rFonts w:hint="eastAsia"/>
          <w:color w:val="000000"/>
        </w:rPr>
        <w:t>1．乙方逾期提交服务咨询报告等工作成果的，</w:t>
      </w:r>
      <w:r>
        <w:rPr>
          <w:rStyle w:val="79"/>
          <w:rFonts w:hint="eastAsia"/>
          <w:b/>
          <w:color w:val="000000"/>
        </w:rPr>
        <w:t>每日按照合同总价</w:t>
      </w:r>
      <w:r>
        <w:rPr>
          <w:rStyle w:val="79"/>
          <w:rFonts w:hint="eastAsia"/>
          <w:b/>
          <w:color w:val="000000"/>
          <w:u w:val="single"/>
        </w:rPr>
        <w:t xml:space="preserve"> </w:t>
      </w:r>
      <w:r>
        <w:rPr>
          <w:rStyle w:val="79"/>
          <w:rFonts w:hint="eastAsia"/>
          <w:b/>
          <w:color w:val="000000"/>
          <w:u w:val="single"/>
          <w:lang w:val="en-US" w:eastAsia="zh-CN"/>
        </w:rPr>
        <w:t>0.1</w:t>
      </w:r>
      <w:r>
        <w:rPr>
          <w:rStyle w:val="79"/>
          <w:rFonts w:hint="eastAsia"/>
          <w:b/>
          <w:color w:val="000000"/>
          <w:u w:val="single"/>
        </w:rPr>
        <w:t xml:space="preserve"> </w:t>
      </w:r>
      <w:r>
        <w:rPr>
          <w:rStyle w:val="79"/>
          <w:rFonts w:hint="eastAsia"/>
          <w:b/>
          <w:color w:val="000000"/>
        </w:rPr>
        <w:t>%向甲方支付违约金，逾期超过</w:t>
      </w:r>
      <w:r>
        <w:rPr>
          <w:rFonts w:hint="eastAsia" w:hAnsi="宋体"/>
          <w:b/>
          <w:szCs w:val="21"/>
          <w:u w:val="single"/>
        </w:rPr>
        <w:t xml:space="preserve"> </w:t>
      </w:r>
      <w:r>
        <w:rPr>
          <w:rFonts w:hint="eastAsia" w:hAnsi="宋体"/>
          <w:b/>
          <w:szCs w:val="21"/>
          <w:u w:val="single"/>
          <w:lang w:val="en-US" w:eastAsia="zh-CN"/>
        </w:rPr>
        <w:t>20</w:t>
      </w:r>
      <w:r>
        <w:rPr>
          <w:rFonts w:hAnsi="宋体"/>
          <w:b/>
          <w:szCs w:val="21"/>
          <w:u w:val="single"/>
        </w:rPr>
        <w:t xml:space="preserve"> </w:t>
      </w:r>
      <w:r>
        <w:rPr>
          <w:rStyle w:val="79"/>
          <w:rFonts w:hint="eastAsia"/>
          <w:b/>
          <w:color w:val="000000"/>
        </w:rPr>
        <w:t>日的，甲方有权解除本合同并要求乙方退还已经收取的费用，乙方应按照合同总价20%向甲方支付违约金，违约金不足以弥补甲方损失的，甲方有权追偿</w:t>
      </w:r>
      <w:r>
        <w:rPr>
          <w:rStyle w:val="79"/>
          <w:rFonts w:hint="eastAsia"/>
          <w:color w:val="000000"/>
        </w:rPr>
        <w:t>。</w:t>
      </w:r>
    </w:p>
    <w:p w14:paraId="1D462961">
      <w:pPr>
        <w:pStyle w:val="25"/>
        <w:spacing w:line="400" w:lineRule="exact"/>
        <w:ind w:firstLine="440" w:firstLineChars="200"/>
        <w:jc w:val="left"/>
        <w:rPr>
          <w:rStyle w:val="79"/>
          <w:b/>
          <w:color w:val="000000"/>
        </w:rPr>
      </w:pPr>
      <w:r>
        <w:rPr>
          <w:rStyle w:val="79"/>
          <w:rFonts w:hint="eastAsia"/>
          <w:color w:val="000000"/>
        </w:rPr>
        <w:t>2．乙方提交的服务咨询报告不符合合同约定的，应在甲方指定期限内修改完善直至符合合同约定为止，</w:t>
      </w:r>
      <w:r>
        <w:rPr>
          <w:rStyle w:val="79"/>
          <w:rFonts w:hint="eastAsia"/>
          <w:b/>
          <w:color w:val="000000"/>
        </w:rPr>
        <w:t>由此造成逾期提交的，按照第1款约定执行。</w:t>
      </w:r>
    </w:p>
    <w:p w14:paraId="7BD44743">
      <w:pPr>
        <w:pStyle w:val="25"/>
        <w:spacing w:line="400" w:lineRule="exact"/>
        <w:ind w:firstLine="440" w:firstLineChars="200"/>
        <w:jc w:val="left"/>
        <w:rPr>
          <w:rFonts w:hAnsi="宋体"/>
          <w:szCs w:val="21"/>
        </w:rPr>
      </w:pPr>
      <w:r>
        <w:rPr>
          <w:rStyle w:val="79"/>
          <w:rFonts w:hint="eastAsia"/>
          <w:color w:val="000000"/>
        </w:rPr>
        <w:t>3．任何一方违反保密义务的，应向对方支付违约金人民币</w:t>
      </w:r>
      <w:r>
        <w:rPr>
          <w:rFonts w:hint="eastAsia" w:hAnsi="宋体"/>
          <w:szCs w:val="21"/>
          <w:u w:val="single"/>
        </w:rPr>
        <w:t xml:space="preserve"> </w:t>
      </w:r>
      <w:r>
        <w:rPr>
          <w:rFonts w:hint="eastAsia" w:hAnsi="宋体"/>
          <w:szCs w:val="21"/>
          <w:u w:val="single"/>
          <w:lang w:val="en-US" w:eastAsia="zh-CN"/>
        </w:rPr>
        <w:t>10000</w:t>
      </w:r>
      <w:r>
        <w:rPr>
          <w:rStyle w:val="79"/>
          <w:rFonts w:hint="eastAsia"/>
          <w:color w:val="000000"/>
        </w:rPr>
        <w:t>元；赔偿由此给对方造成的损失。</w:t>
      </w:r>
    </w:p>
    <w:p w14:paraId="6D14033B">
      <w:pPr>
        <w:pStyle w:val="25"/>
        <w:spacing w:line="400" w:lineRule="exact"/>
        <w:ind w:firstLine="440" w:firstLineChars="200"/>
        <w:jc w:val="left"/>
        <w:rPr>
          <w:rFonts w:hAnsi="宋体"/>
          <w:szCs w:val="21"/>
        </w:rPr>
      </w:pPr>
      <w:r>
        <w:rPr>
          <w:rFonts w:hint="eastAsia" w:hAnsi="宋体"/>
          <w:szCs w:val="21"/>
        </w:rPr>
        <w:t>第十条 双方因履行本合同而发生的争议，可协商、调解解决，也可直接采取下列第</w:t>
      </w:r>
      <w:r>
        <w:rPr>
          <w:rFonts w:hint="eastAsia" w:hAnsi="宋体"/>
          <w:szCs w:val="21"/>
          <w:u w:val="single"/>
        </w:rPr>
        <w:t xml:space="preserve">    </w:t>
      </w:r>
      <w:r>
        <w:rPr>
          <w:rFonts w:hAnsi="宋体"/>
          <w:szCs w:val="21"/>
          <w:u w:val="single"/>
        </w:rPr>
        <w:t xml:space="preserve"> </w:t>
      </w:r>
      <w:r>
        <w:rPr>
          <w:rFonts w:hint="eastAsia" w:hAnsi="宋体"/>
          <w:szCs w:val="21"/>
        </w:rPr>
        <w:t>种方式解决：</w:t>
      </w:r>
    </w:p>
    <w:p w14:paraId="3F7B722D">
      <w:pPr>
        <w:pStyle w:val="25"/>
        <w:spacing w:line="400" w:lineRule="exact"/>
        <w:ind w:firstLine="440" w:firstLineChars="200"/>
        <w:jc w:val="left"/>
        <w:rPr>
          <w:rFonts w:hAnsi="宋体"/>
          <w:szCs w:val="21"/>
        </w:rPr>
      </w:pPr>
      <w:r>
        <w:rPr>
          <w:rFonts w:hint="eastAsia" w:hAnsi="宋体"/>
          <w:szCs w:val="21"/>
        </w:rPr>
        <w:t>1．向</w:t>
      </w:r>
      <w:r>
        <w:rPr>
          <w:rFonts w:hint="eastAsia" w:hAnsi="宋体"/>
          <w:szCs w:val="21"/>
          <w:u w:val="single"/>
        </w:rPr>
        <w:t xml:space="preserve">    </w:t>
      </w:r>
      <w:r>
        <w:rPr>
          <w:rFonts w:hAnsi="宋体"/>
          <w:szCs w:val="21"/>
          <w:u w:val="single"/>
        </w:rPr>
        <w:t xml:space="preserve"> </w:t>
      </w:r>
      <w:r>
        <w:rPr>
          <w:rFonts w:hint="eastAsia" w:hAnsi="宋体"/>
          <w:szCs w:val="21"/>
        </w:rPr>
        <w:t>仲裁委员会申请仲裁；</w:t>
      </w:r>
    </w:p>
    <w:p w14:paraId="6D7A44D3">
      <w:pPr>
        <w:pStyle w:val="25"/>
        <w:spacing w:line="400" w:lineRule="exact"/>
        <w:ind w:firstLine="440" w:firstLineChars="200"/>
        <w:jc w:val="left"/>
        <w:rPr>
          <w:rFonts w:hAnsi="宋体"/>
          <w:szCs w:val="21"/>
        </w:rPr>
      </w:pPr>
      <w:r>
        <w:rPr>
          <w:rFonts w:hint="eastAsia" w:hAnsi="宋体"/>
          <w:szCs w:val="21"/>
        </w:rPr>
        <w:t>2．向甲方所在地人民法院提起诉讼。</w:t>
      </w:r>
    </w:p>
    <w:p w14:paraId="2B466D5B">
      <w:pPr>
        <w:pStyle w:val="25"/>
        <w:spacing w:line="400" w:lineRule="exact"/>
        <w:ind w:firstLine="440" w:firstLineChars="200"/>
        <w:jc w:val="left"/>
        <w:rPr>
          <w:rFonts w:hAnsi="宋体"/>
          <w:szCs w:val="21"/>
        </w:rPr>
      </w:pPr>
      <w:r>
        <w:rPr>
          <w:rFonts w:hint="eastAsia" w:hAnsi="宋体"/>
          <w:szCs w:val="21"/>
        </w:rPr>
        <w:t>第十一条 其他</w:t>
      </w:r>
    </w:p>
    <w:p w14:paraId="68F3B2DE">
      <w:pPr>
        <w:pStyle w:val="25"/>
        <w:spacing w:line="400" w:lineRule="exact"/>
        <w:ind w:firstLine="440" w:firstLineChars="200"/>
        <w:jc w:val="left"/>
        <w:rPr>
          <w:rStyle w:val="79"/>
          <w:color w:val="000000"/>
        </w:rPr>
      </w:pPr>
      <w:r>
        <w:rPr>
          <w:rStyle w:val="79"/>
          <w:rFonts w:hint="eastAsia"/>
          <w:color w:val="000000"/>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52903E1">
      <w:pPr>
        <w:pStyle w:val="25"/>
        <w:spacing w:line="400" w:lineRule="exact"/>
        <w:ind w:firstLine="440" w:firstLineChars="200"/>
        <w:jc w:val="left"/>
        <w:rPr>
          <w:ins w:id="0" w:author="南极的北极熊" w:date="2022-07-04T12:08:00Z"/>
          <w:rFonts w:hAnsi="宋体"/>
          <w:b/>
          <w:szCs w:val="21"/>
        </w:rPr>
      </w:pPr>
      <w:r>
        <w:rPr>
          <w:rFonts w:hint="eastAsia" w:hAnsi="宋体"/>
          <w:szCs w:val="21"/>
        </w:rPr>
        <w:t>2．</w:t>
      </w:r>
      <w:r>
        <w:rPr>
          <w:rFonts w:hint="eastAsia" w:hAnsi="宋体"/>
          <w:b/>
          <w:szCs w:val="21"/>
        </w:rPr>
        <w:t>乙方提交的服务咨询报告及其所包含的技术成果的所有权及知识产权归甲方所有，甲方在此基础上可以进行技术创新和改进并对创新和改进的结果享有知识产权。乙方不得自用或将服务咨询报告提供给第三方使用，如有违反按照泄密处理。</w:t>
      </w:r>
    </w:p>
    <w:p w14:paraId="5AFAD87D">
      <w:pPr>
        <w:pStyle w:val="25"/>
        <w:spacing w:line="400" w:lineRule="exact"/>
        <w:ind w:firstLine="440" w:firstLineChars="200"/>
        <w:jc w:val="left"/>
        <w:rPr>
          <w:rFonts w:hint="eastAsia" w:hAnsi="宋体"/>
          <w:szCs w:val="21"/>
        </w:rPr>
      </w:pPr>
      <w:r>
        <w:rPr>
          <w:rFonts w:hint="eastAsia" w:hAnsi="宋体"/>
          <w:szCs w:val="21"/>
        </w:rPr>
        <w:t>第十二条 本合同经双方签订后生效。本合同一式</w:t>
      </w:r>
      <w:r>
        <w:rPr>
          <w:rFonts w:hint="eastAsia" w:hAnsi="宋体"/>
          <w:szCs w:val="21"/>
          <w:u w:val="single"/>
        </w:rPr>
        <w:t xml:space="preserve"> </w:t>
      </w:r>
      <w:r>
        <w:rPr>
          <w:rFonts w:hint="eastAsia" w:hAnsi="宋体"/>
          <w:szCs w:val="21"/>
          <w:u w:val="single"/>
          <w:lang w:val="en-US" w:eastAsia="zh-CN"/>
        </w:rPr>
        <w:t>5</w:t>
      </w:r>
      <w:r>
        <w:rPr>
          <w:rFonts w:hAnsi="宋体"/>
          <w:szCs w:val="21"/>
          <w:u w:val="single"/>
        </w:rPr>
        <w:t xml:space="preserve"> </w:t>
      </w:r>
      <w:r>
        <w:rPr>
          <w:rFonts w:hint="eastAsia" w:hAnsi="宋体"/>
          <w:szCs w:val="21"/>
        </w:rPr>
        <w:t>份，甲方执</w:t>
      </w:r>
      <w:r>
        <w:rPr>
          <w:rFonts w:hint="eastAsia" w:hAnsi="宋体"/>
          <w:szCs w:val="21"/>
          <w:u w:val="single"/>
        </w:rPr>
        <w:t xml:space="preserve">  </w:t>
      </w:r>
      <w:r>
        <w:rPr>
          <w:rFonts w:hint="eastAsia" w:hAnsi="宋体"/>
          <w:szCs w:val="21"/>
          <w:u w:val="single"/>
          <w:lang w:val="en-US" w:eastAsia="zh-CN"/>
        </w:rPr>
        <w:t>3</w:t>
      </w:r>
      <w:r>
        <w:rPr>
          <w:rFonts w:hAnsi="宋体"/>
          <w:szCs w:val="21"/>
          <w:u w:val="single"/>
        </w:rPr>
        <w:t xml:space="preserve"> </w:t>
      </w:r>
      <w:r>
        <w:rPr>
          <w:rFonts w:hint="eastAsia" w:hAnsi="宋体"/>
          <w:szCs w:val="21"/>
        </w:rPr>
        <w:t>份，乙方执</w:t>
      </w:r>
      <w:r>
        <w:rPr>
          <w:rFonts w:hint="eastAsia" w:hAnsi="宋体"/>
          <w:szCs w:val="21"/>
          <w:u w:val="single"/>
        </w:rPr>
        <w:t xml:space="preserve"> </w:t>
      </w:r>
      <w:r>
        <w:rPr>
          <w:rFonts w:hint="eastAsia" w:hAnsi="宋体"/>
          <w:szCs w:val="21"/>
          <w:u w:val="single"/>
          <w:lang w:val="en-US" w:eastAsia="zh-CN"/>
        </w:rPr>
        <w:t>2</w:t>
      </w:r>
      <w:r>
        <w:rPr>
          <w:rFonts w:hint="eastAsia" w:hAnsi="宋体"/>
          <w:szCs w:val="21"/>
          <w:u w:val="single"/>
        </w:rPr>
        <w:t xml:space="preserve"> </w:t>
      </w:r>
      <w:r>
        <w:rPr>
          <w:rFonts w:hAnsi="宋体"/>
          <w:szCs w:val="21"/>
          <w:u w:val="single"/>
        </w:rPr>
        <w:t xml:space="preserve"> </w:t>
      </w:r>
      <w:r>
        <w:rPr>
          <w:rFonts w:hint="eastAsia" w:hAnsi="宋体"/>
          <w:szCs w:val="21"/>
        </w:rPr>
        <w:t>份，具有同等法律效力。</w:t>
      </w:r>
    </w:p>
    <w:p w14:paraId="5175A823">
      <w:pPr>
        <w:pStyle w:val="25"/>
        <w:spacing w:line="400" w:lineRule="exact"/>
        <w:ind w:firstLine="440" w:firstLineChars="200"/>
        <w:jc w:val="left"/>
        <w:rPr>
          <w:rFonts w:hint="default" w:hAnsi="宋体" w:eastAsia="宋体"/>
          <w:szCs w:val="21"/>
          <w:lang w:val="en-US" w:eastAsia="zh-CN"/>
        </w:rPr>
      </w:pPr>
      <w:r>
        <w:rPr>
          <w:rFonts w:hint="eastAsia" w:hAnsi="宋体"/>
          <w:szCs w:val="21"/>
          <w:lang w:val="en-US" w:eastAsia="zh-CN"/>
        </w:rPr>
        <w:t>附件1、发包说</w:t>
      </w:r>
    </w:p>
    <w:p w14:paraId="35E57305">
      <w:pPr>
        <w:pStyle w:val="25"/>
        <w:spacing w:line="400" w:lineRule="exact"/>
        <w:jc w:val="left"/>
        <w:rPr>
          <w:rFonts w:hAnsi="宋体"/>
          <w:szCs w:val="21"/>
        </w:rPr>
      </w:pPr>
    </w:p>
    <w:p w14:paraId="6A69F9B6">
      <w:pPr>
        <w:pStyle w:val="25"/>
        <w:spacing w:line="400" w:lineRule="exact"/>
        <w:ind w:firstLine="440" w:firstLineChars="200"/>
        <w:jc w:val="left"/>
        <w:rPr>
          <w:rFonts w:hAnsi="宋体"/>
          <w:szCs w:val="21"/>
        </w:rPr>
      </w:pPr>
      <w:r>
        <w:rPr>
          <w:rFonts w:hint="eastAsia" w:hAnsi="宋体"/>
          <w:szCs w:val="21"/>
        </w:rPr>
        <w:t>甲方（公章）:   　                                 乙方：（公章）</w:t>
      </w:r>
    </w:p>
    <w:p w14:paraId="16A2756F">
      <w:pPr>
        <w:pStyle w:val="25"/>
        <w:spacing w:line="400" w:lineRule="exact"/>
        <w:ind w:firstLine="440" w:firstLineChars="200"/>
        <w:jc w:val="left"/>
        <w:rPr>
          <w:rFonts w:hAnsi="宋体"/>
          <w:szCs w:val="21"/>
        </w:rPr>
      </w:pPr>
      <w:r>
        <w:rPr>
          <w:rFonts w:hint="eastAsia" w:hAnsi="宋体"/>
          <w:szCs w:val="21"/>
        </w:rPr>
        <w:t xml:space="preserve">                           </w:t>
      </w:r>
    </w:p>
    <w:p w14:paraId="67E7DD04">
      <w:pPr>
        <w:pStyle w:val="25"/>
        <w:spacing w:line="400" w:lineRule="exact"/>
        <w:jc w:val="left"/>
        <w:rPr>
          <w:rFonts w:hAnsi="宋体"/>
          <w:szCs w:val="21"/>
        </w:rPr>
      </w:pPr>
      <w:r>
        <w:rPr>
          <w:rFonts w:hint="eastAsia" w:hAnsi="宋体"/>
          <w:szCs w:val="21"/>
        </w:rPr>
        <w:t xml:space="preserve">   </w:t>
      </w:r>
      <w:r>
        <w:rPr>
          <w:rFonts w:hAnsi="宋体"/>
          <w:szCs w:val="21"/>
        </w:rPr>
        <w:t xml:space="preserve">      年      月      日</w:t>
      </w:r>
      <w:r>
        <w:rPr>
          <w:rFonts w:hint="eastAsia" w:hAnsi="宋体"/>
          <w:szCs w:val="21"/>
        </w:rPr>
        <w:t xml:space="preserve">                         </w:t>
      </w:r>
      <w:r>
        <w:rPr>
          <w:rFonts w:hAnsi="宋体"/>
          <w:szCs w:val="21"/>
        </w:rPr>
        <w:t xml:space="preserve">      年      月      日</w:t>
      </w:r>
    </w:p>
    <w:p w14:paraId="41F80B83">
      <w:pPr>
        <w:pStyle w:val="55"/>
      </w:pPr>
    </w:p>
    <w:p w14:paraId="65A57C48">
      <w:pPr>
        <w:pStyle w:val="55"/>
      </w:pPr>
    </w:p>
    <w:p w14:paraId="469109B1">
      <w:pPr>
        <w:pStyle w:val="55"/>
      </w:pPr>
    </w:p>
    <w:p w14:paraId="0F26A69C">
      <w:pPr>
        <w:pStyle w:val="55"/>
      </w:pPr>
    </w:p>
    <w:p w14:paraId="0778A461">
      <w:pPr>
        <w:pStyle w:val="55"/>
      </w:pPr>
    </w:p>
    <w:p w14:paraId="6493F831">
      <w:pPr>
        <w:pStyle w:val="55"/>
      </w:pPr>
    </w:p>
    <w:p w14:paraId="346464C2">
      <w:pPr>
        <w:pStyle w:val="55"/>
      </w:pPr>
    </w:p>
    <w:p w14:paraId="43DD38EC">
      <w:pPr>
        <w:pStyle w:val="55"/>
      </w:pPr>
    </w:p>
    <w:p w14:paraId="456E3A28">
      <w:pPr>
        <w:pStyle w:val="55"/>
      </w:pPr>
    </w:p>
    <w:p w14:paraId="61109858">
      <w:pPr>
        <w:pStyle w:val="55"/>
      </w:pPr>
    </w:p>
    <w:p w14:paraId="7A09D1B5">
      <w:pPr>
        <w:pStyle w:val="55"/>
      </w:pPr>
    </w:p>
    <w:p w14:paraId="42A68116">
      <w:pPr>
        <w:pStyle w:val="55"/>
      </w:pPr>
    </w:p>
    <w:p w14:paraId="1CB79FDD">
      <w:pPr>
        <w:pStyle w:val="55"/>
      </w:pPr>
    </w:p>
    <w:p w14:paraId="7B52AA18">
      <w:pPr>
        <w:pStyle w:val="55"/>
      </w:pPr>
    </w:p>
    <w:p w14:paraId="233ED596">
      <w:pPr>
        <w:pStyle w:val="55"/>
      </w:pPr>
    </w:p>
    <w:p w14:paraId="54AAFDE5">
      <w:pPr>
        <w:pStyle w:val="55"/>
      </w:pPr>
    </w:p>
    <w:p w14:paraId="4AB1C8C6">
      <w:pPr>
        <w:pStyle w:val="55"/>
      </w:pPr>
    </w:p>
    <w:p w14:paraId="0AF13FD0">
      <w:pPr>
        <w:pStyle w:val="55"/>
      </w:pPr>
    </w:p>
    <w:p w14:paraId="7F9D0D77">
      <w:pPr>
        <w:pStyle w:val="55"/>
      </w:pPr>
    </w:p>
    <w:p w14:paraId="668A29DD">
      <w:pPr>
        <w:pStyle w:val="55"/>
      </w:pPr>
    </w:p>
    <w:p w14:paraId="0782300A">
      <w:pPr>
        <w:spacing w:line="360" w:lineRule="auto"/>
        <w:jc w:val="center"/>
        <w:rPr>
          <w:rFonts w:hint="eastAsia" w:ascii="仿宋_GB2312" w:eastAsia="仿宋_GB2312"/>
          <w:b/>
          <w:bCs/>
          <w:sz w:val="32"/>
          <w:szCs w:val="30"/>
        </w:rPr>
      </w:pPr>
    </w:p>
    <w:p w14:paraId="23B53058">
      <w:pPr>
        <w:spacing w:line="360" w:lineRule="auto"/>
        <w:jc w:val="center"/>
        <w:rPr>
          <w:rFonts w:hint="eastAsia" w:ascii="宋体" w:hAnsi="宋体" w:eastAsia="宋体" w:cs="宋体"/>
          <w:b/>
          <w:bCs/>
          <w:sz w:val="22"/>
          <w:szCs w:val="22"/>
        </w:rPr>
      </w:pPr>
      <w:r>
        <w:rPr>
          <w:rFonts w:hint="eastAsia" w:ascii="宋体" w:hAnsi="宋体" w:eastAsia="宋体" w:cs="宋体"/>
          <w:b/>
          <w:bCs/>
          <w:sz w:val="22"/>
          <w:szCs w:val="22"/>
          <w:lang w:val="en-US" w:eastAsia="zh-CN"/>
        </w:rPr>
        <w:t>附件1、</w:t>
      </w:r>
      <w:r>
        <w:rPr>
          <w:rFonts w:hint="eastAsia" w:ascii="宋体" w:hAnsi="宋体" w:eastAsia="宋体" w:cs="宋体"/>
          <w:b/>
          <w:bCs/>
          <w:sz w:val="22"/>
          <w:szCs w:val="22"/>
        </w:rPr>
        <w:t>福建福海创石油化工有限公司</w:t>
      </w:r>
    </w:p>
    <w:p w14:paraId="23085FB0">
      <w:pPr>
        <w:spacing w:line="360" w:lineRule="auto"/>
        <w:jc w:val="center"/>
        <w:rPr>
          <w:rFonts w:hint="eastAsia" w:ascii="宋体" w:hAnsi="宋体" w:eastAsia="宋体" w:cs="宋体"/>
          <w:b/>
          <w:bCs/>
          <w:sz w:val="22"/>
          <w:szCs w:val="22"/>
          <w:lang w:val="en-US" w:eastAsia="zh-CN"/>
        </w:rPr>
      </w:pPr>
      <w:r>
        <w:rPr>
          <w:rFonts w:hint="eastAsia" w:ascii="宋体" w:hAnsi="宋体" w:eastAsia="宋体" w:cs="宋体"/>
          <w:b/>
          <w:bCs/>
          <w:sz w:val="22"/>
          <w:szCs w:val="22"/>
        </w:rPr>
        <w:t>吸附分离预处理技改项目</w:t>
      </w:r>
      <w:r>
        <w:rPr>
          <w:rFonts w:hint="eastAsia" w:ascii="宋体" w:hAnsi="宋体" w:eastAsia="宋体" w:cs="宋体"/>
          <w:b/>
          <w:bCs/>
          <w:sz w:val="22"/>
          <w:szCs w:val="22"/>
          <w:lang w:val="en-US" w:eastAsia="zh-CN"/>
        </w:rPr>
        <w:t>及海西天然气古雷段能化专线工程</w:t>
      </w:r>
    </w:p>
    <w:p w14:paraId="321B3223">
      <w:pPr>
        <w:spacing w:line="360" w:lineRule="auto"/>
        <w:jc w:val="center"/>
        <w:rPr>
          <w:rFonts w:hint="eastAsia" w:ascii="宋体" w:hAnsi="宋体" w:eastAsia="宋体" w:cs="宋体"/>
          <w:b/>
          <w:bCs/>
          <w:sz w:val="22"/>
          <w:szCs w:val="22"/>
        </w:rPr>
      </w:pPr>
      <w:r>
        <w:rPr>
          <w:rFonts w:hint="eastAsia" w:ascii="宋体" w:hAnsi="宋体" w:eastAsia="宋体" w:cs="宋体"/>
          <w:b/>
          <w:bCs/>
          <w:sz w:val="22"/>
          <w:szCs w:val="22"/>
        </w:rPr>
        <w:t>职业病</w:t>
      </w:r>
      <w:r>
        <w:rPr>
          <w:rFonts w:hint="eastAsia" w:ascii="宋体" w:hAnsi="宋体" w:eastAsia="宋体" w:cs="宋体"/>
          <w:b/>
          <w:bCs/>
          <w:sz w:val="22"/>
          <w:szCs w:val="22"/>
          <w:lang w:val="en-US" w:eastAsia="zh-CN"/>
        </w:rPr>
        <w:t>危害预评价报告书</w:t>
      </w:r>
      <w:r>
        <w:rPr>
          <w:rFonts w:hint="eastAsia" w:ascii="宋体" w:hAnsi="宋体" w:eastAsia="宋体" w:cs="宋体"/>
          <w:b/>
          <w:bCs/>
          <w:sz w:val="22"/>
          <w:szCs w:val="22"/>
        </w:rPr>
        <w:t>编制发包说明</w:t>
      </w:r>
    </w:p>
    <w:p w14:paraId="5DF4BA39">
      <w:pPr>
        <w:numPr>
          <w:ilvl w:val="0"/>
          <w:numId w:val="8"/>
        </w:numPr>
        <w:spacing w:line="360" w:lineRule="auto"/>
        <w:ind w:left="964" w:hanging="758" w:hangingChars="343"/>
        <w:rPr>
          <w:rFonts w:hint="eastAsia" w:ascii="宋体" w:hAnsi="宋体" w:eastAsia="宋体" w:cs="宋体"/>
          <w:b/>
          <w:sz w:val="22"/>
          <w:szCs w:val="22"/>
        </w:rPr>
      </w:pPr>
      <w:r>
        <w:rPr>
          <w:rFonts w:hint="eastAsia" w:ascii="宋体" w:hAnsi="宋体" w:eastAsia="宋体" w:cs="宋体"/>
          <w:b/>
          <w:sz w:val="22"/>
          <w:szCs w:val="22"/>
        </w:rPr>
        <w:t>企业简介</w:t>
      </w:r>
    </w:p>
    <w:p w14:paraId="765CC7A1">
      <w:pPr>
        <w:autoSpaceDE w:val="0"/>
        <w:autoSpaceDN w:val="0"/>
        <w:adjustRightIn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福建福海创石油化工有限公司成立于2017年10月27日，位于福建省漳州古雷港经济开发区。公司由福建福化古雷石油化工有限公司（由福建石化集团公司和漳州市九龙江集团公司共同出资设立）与腾龙翔鹭集团（富能控股有限公司、华利财务有限公司、翔鹭石化股份有限公司、 腾龙特种树脂（厦门）有限公司等四家企业）共同投资设立，其中福建省福化古雷石油化工有限公司以现金出资持股 90%，原台方股东以重组标的净资产出资持股10%。 公司于2018 年1月28日股权重组和债务重组协议生效后，正式运作。重组后公司定员1599人。公司按照福建石化集团统一部署，创新拓展发展思路，整合集团优势资源，做大做强古雷石化产业。目前公司总投资约290亿元人民币，拥有年产450万吨精对苯二甲酸（PTA）、年产160万吨对二甲苯（PX）生产装置、液体化工码头、散杂货码头等公用配套设施，合计年生产商品量1050万吨，年销售收入超400亿元，年利税总额超40亿元。公司PX、PTA及配套装置是福建石化集团打造古雷石化产业群的重要组成部分，项目互为依托，实现生产成本最优化，具有较强的行业竞争力，同时带动古雷港经济开发区相关产业的发展。</w:t>
      </w:r>
    </w:p>
    <w:p w14:paraId="24AA655F">
      <w:pPr>
        <w:numPr>
          <w:ilvl w:val="0"/>
          <w:numId w:val="8"/>
        </w:numPr>
        <w:spacing w:line="360" w:lineRule="auto"/>
        <w:ind w:left="964" w:hanging="758" w:hangingChars="343"/>
        <w:rPr>
          <w:rFonts w:hint="eastAsia" w:ascii="宋体" w:hAnsi="宋体" w:eastAsia="宋体" w:cs="宋体"/>
          <w:b/>
          <w:sz w:val="22"/>
          <w:szCs w:val="22"/>
        </w:rPr>
      </w:pPr>
      <w:r>
        <w:rPr>
          <w:rFonts w:hint="eastAsia" w:ascii="宋体" w:hAnsi="宋体" w:eastAsia="宋体" w:cs="宋体"/>
          <w:b/>
          <w:sz w:val="22"/>
          <w:szCs w:val="22"/>
        </w:rPr>
        <w:t>项目定义</w:t>
      </w:r>
    </w:p>
    <w:p w14:paraId="154329F0">
      <w:pPr>
        <w:autoSpaceDE w:val="0"/>
        <w:autoSpaceDN w:val="0"/>
        <w:adjustRightInd w:val="0"/>
        <w:spacing w:line="360" w:lineRule="auto"/>
        <w:ind w:firstLine="660" w:firstLineChars="300"/>
        <w:jc w:val="left"/>
        <w:rPr>
          <w:rFonts w:hint="eastAsia" w:ascii="宋体" w:hAnsi="宋体" w:eastAsia="宋体" w:cs="宋体"/>
          <w:sz w:val="22"/>
          <w:szCs w:val="22"/>
        </w:rPr>
      </w:pPr>
      <w:bookmarkStart w:id="1" w:name="_Toc193013965"/>
      <w:bookmarkStart w:id="2" w:name="_Toc153873499"/>
      <w:r>
        <w:rPr>
          <w:rFonts w:hint="eastAsia" w:ascii="宋体" w:hAnsi="宋体" w:eastAsia="宋体" w:cs="宋体"/>
          <w:sz w:val="22"/>
          <w:szCs w:val="22"/>
        </w:rPr>
        <w:t>项目名称：</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1</w:t>
      </w:r>
      <w:r>
        <w:rPr>
          <w:rFonts w:hint="eastAsia" w:ascii="宋体" w:hAnsi="宋体" w:eastAsia="宋体" w:cs="宋体"/>
          <w:sz w:val="22"/>
          <w:szCs w:val="22"/>
          <w:lang w:eastAsia="zh-CN"/>
        </w:rPr>
        <w:t>）</w:t>
      </w:r>
      <w:r>
        <w:rPr>
          <w:rFonts w:hint="eastAsia" w:ascii="宋体" w:hAnsi="宋体" w:eastAsia="宋体" w:cs="宋体"/>
          <w:sz w:val="22"/>
          <w:szCs w:val="22"/>
        </w:rPr>
        <w:t>吸附分离预处理技改项目</w:t>
      </w:r>
    </w:p>
    <w:p w14:paraId="5B215178">
      <w:pPr>
        <w:autoSpaceDE w:val="0"/>
        <w:autoSpaceDN w:val="0"/>
        <w:adjustRightInd w:val="0"/>
        <w:spacing w:line="360" w:lineRule="auto"/>
        <w:ind w:firstLine="1760" w:firstLineChars="800"/>
        <w:jc w:val="left"/>
        <w:rPr>
          <w:rFonts w:hint="eastAsia" w:ascii="宋体" w:hAnsi="宋体" w:eastAsia="宋体" w:cs="宋体"/>
          <w:sz w:val="22"/>
          <w:szCs w:val="22"/>
          <w:lang w:eastAsia="zh-CN"/>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2</w:t>
      </w:r>
      <w:r>
        <w:rPr>
          <w:rFonts w:hint="eastAsia" w:ascii="宋体" w:hAnsi="宋体" w:eastAsia="宋体" w:cs="宋体"/>
          <w:sz w:val="22"/>
          <w:szCs w:val="22"/>
          <w:lang w:eastAsia="zh-CN"/>
        </w:rPr>
        <w:t>）海西天然气古雷段能化专线工程</w:t>
      </w:r>
    </w:p>
    <w:p w14:paraId="6F69050B">
      <w:pPr>
        <w:autoSpaceDE w:val="0"/>
        <w:autoSpaceDN w:val="0"/>
        <w:adjustRightInd w:val="0"/>
        <w:spacing w:line="360" w:lineRule="auto"/>
        <w:ind w:firstLine="660" w:firstLineChars="300"/>
        <w:jc w:val="left"/>
        <w:rPr>
          <w:rFonts w:hint="eastAsia" w:ascii="宋体" w:hAnsi="宋体" w:eastAsia="宋体" w:cs="宋体"/>
          <w:sz w:val="22"/>
          <w:szCs w:val="22"/>
        </w:rPr>
      </w:pPr>
      <w:r>
        <w:rPr>
          <w:rFonts w:hint="eastAsia" w:ascii="宋体" w:hAnsi="宋体" w:eastAsia="宋体" w:cs="宋体"/>
          <w:sz w:val="22"/>
          <w:szCs w:val="22"/>
        </w:rPr>
        <w:t>项目地点：福建省漳州市古雷港经济开发区</w:t>
      </w:r>
    </w:p>
    <w:p w14:paraId="0552D087">
      <w:pPr>
        <w:autoSpaceDE w:val="0"/>
        <w:autoSpaceDN w:val="0"/>
        <w:adjustRightInd w:val="0"/>
        <w:spacing w:line="360" w:lineRule="auto"/>
        <w:ind w:firstLine="660" w:firstLineChars="300"/>
        <w:jc w:val="left"/>
        <w:rPr>
          <w:rFonts w:hint="eastAsia" w:ascii="宋体" w:hAnsi="宋体" w:eastAsia="宋体" w:cs="宋体"/>
          <w:sz w:val="22"/>
          <w:szCs w:val="22"/>
        </w:rPr>
      </w:pPr>
      <w:r>
        <w:rPr>
          <w:rFonts w:hint="eastAsia" w:ascii="宋体" w:hAnsi="宋体" w:eastAsia="宋体" w:cs="宋体"/>
          <w:sz w:val="22"/>
          <w:szCs w:val="22"/>
        </w:rPr>
        <w:t>项目简介：</w:t>
      </w:r>
      <w:bookmarkEnd w:id="1"/>
      <w:bookmarkEnd w:id="2"/>
    </w:p>
    <w:p w14:paraId="673080EE">
      <w:pPr>
        <w:autoSpaceDE w:val="0"/>
        <w:autoSpaceDN w:val="0"/>
        <w:adjustRightInd w:val="0"/>
        <w:spacing w:line="360" w:lineRule="auto"/>
        <w:ind w:firstLine="660" w:firstLineChars="300"/>
        <w:jc w:val="left"/>
        <w:rPr>
          <w:rFonts w:hint="eastAsia" w:ascii="宋体" w:hAnsi="宋体" w:eastAsia="宋体" w:cs="宋体"/>
          <w:sz w:val="22"/>
          <w:szCs w:val="22"/>
          <w:lang w:eastAsia="zh-CN"/>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1</w:t>
      </w:r>
      <w:r>
        <w:rPr>
          <w:rFonts w:hint="eastAsia" w:ascii="宋体" w:hAnsi="宋体" w:eastAsia="宋体" w:cs="宋体"/>
          <w:sz w:val="22"/>
          <w:szCs w:val="22"/>
          <w:lang w:eastAsia="zh-CN"/>
        </w:rPr>
        <w:t>）</w:t>
      </w:r>
      <w:r>
        <w:rPr>
          <w:rFonts w:hint="eastAsia" w:ascii="宋体" w:hAnsi="宋体" w:eastAsia="宋体" w:cs="宋体"/>
          <w:sz w:val="22"/>
          <w:szCs w:val="22"/>
        </w:rPr>
        <w:t>吸附分离预处理技改项目</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福海创在厂区内</w:t>
      </w:r>
      <w:r>
        <w:rPr>
          <w:rFonts w:hint="eastAsia" w:ascii="宋体" w:hAnsi="宋体" w:eastAsia="宋体" w:cs="宋体"/>
          <w:sz w:val="22"/>
          <w:szCs w:val="22"/>
        </w:rPr>
        <w:t>原减粘装置地块改建1套180万吨/年吸附分离预处理装置。吸附分离预处理装置的主要产品为精制轻裂解料和石脑油，副产低分气、汽提塔顶气。加氢后的精制轻裂解料的硫、氮指标可以满足AGO吸附分离装置的要求</w:t>
      </w:r>
      <w:r>
        <w:rPr>
          <w:rFonts w:hint="eastAsia" w:ascii="宋体" w:hAnsi="宋体" w:eastAsia="宋体" w:cs="宋体"/>
          <w:sz w:val="22"/>
          <w:szCs w:val="22"/>
          <w:lang w:eastAsia="zh-CN"/>
        </w:rPr>
        <w:t>。</w:t>
      </w:r>
    </w:p>
    <w:p w14:paraId="5509455B">
      <w:pPr>
        <w:autoSpaceDE w:val="0"/>
        <w:autoSpaceDN w:val="0"/>
        <w:adjustRightInd w:val="0"/>
        <w:spacing w:line="360" w:lineRule="auto"/>
        <w:ind w:firstLine="660" w:firstLineChars="300"/>
        <w:jc w:val="left"/>
        <w:rPr>
          <w:rFonts w:hint="eastAsia" w:ascii="宋体" w:hAnsi="宋体" w:eastAsia="宋体" w:cs="宋体"/>
          <w:sz w:val="22"/>
          <w:szCs w:val="22"/>
          <w:lang w:eastAsia="zh-CN"/>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2</w:t>
      </w:r>
      <w:r>
        <w:rPr>
          <w:rFonts w:hint="eastAsia" w:ascii="宋体" w:hAnsi="宋体" w:eastAsia="宋体" w:cs="宋体"/>
          <w:sz w:val="22"/>
          <w:szCs w:val="22"/>
          <w:lang w:eastAsia="zh-CN"/>
        </w:rPr>
        <w:t>）海西天然气古雷段能化专线工程：本工程自海西天然气管网二期工程(漳州-诏安段)旧镇分输站接气，沿途向西侧敷设，沿途新建</w:t>
      </w:r>
      <w:r>
        <w:rPr>
          <w:rFonts w:hint="eastAsia" w:ascii="宋体" w:hAnsi="宋体" w:eastAsia="宋体" w:cs="宋体"/>
          <w:sz w:val="22"/>
          <w:szCs w:val="22"/>
          <w:lang w:val="en-US" w:eastAsia="zh-CN"/>
        </w:rPr>
        <w:t>霞美</w:t>
      </w:r>
      <w:r>
        <w:rPr>
          <w:rFonts w:hint="eastAsia" w:ascii="宋体" w:hAnsi="宋体" w:eastAsia="宋体" w:cs="宋体"/>
          <w:sz w:val="22"/>
          <w:szCs w:val="22"/>
          <w:lang w:eastAsia="zh-CN"/>
        </w:rPr>
        <w:t>门站、环网调压站，终点为福海创调压站。线路全长约 36.43km,设计压力为 4.0Mpa,设计输量 15x108Nm/a,管径 DN500,采用质 L360M直缝埋弧焊钢管。沿线设置站场3座，分别为旧镇门站、环网调压站和福海创调压站，阀井2座，分别为1#和 2#阀井。</w:t>
      </w:r>
    </w:p>
    <w:p w14:paraId="382B5A1E">
      <w:pPr>
        <w:numPr>
          <w:ilvl w:val="0"/>
          <w:numId w:val="8"/>
        </w:numPr>
        <w:spacing w:line="360" w:lineRule="auto"/>
        <w:ind w:left="964" w:hanging="758" w:hangingChars="343"/>
        <w:rPr>
          <w:rFonts w:hint="eastAsia" w:ascii="宋体" w:hAnsi="宋体" w:eastAsia="宋体" w:cs="宋体"/>
          <w:b/>
          <w:sz w:val="22"/>
          <w:szCs w:val="22"/>
        </w:rPr>
      </w:pPr>
      <w:r>
        <w:rPr>
          <w:rFonts w:hint="eastAsia" w:ascii="宋体" w:hAnsi="宋体" w:eastAsia="宋体" w:cs="宋体"/>
          <w:b/>
          <w:sz w:val="22"/>
          <w:szCs w:val="22"/>
        </w:rPr>
        <w:t>招标内容</w:t>
      </w:r>
    </w:p>
    <w:p w14:paraId="7FD65864">
      <w:pPr>
        <w:numPr>
          <w:ilvl w:val="0"/>
          <w:numId w:val="9"/>
        </w:numPr>
        <w:autoSpaceDE w:val="0"/>
        <w:autoSpaceDN w:val="0"/>
        <w:adjustRightInd w:val="0"/>
        <w:spacing w:line="360" w:lineRule="auto"/>
        <w:ind w:left="425" w:leftChars="0" w:hanging="425" w:firstLineChars="0"/>
        <w:jc w:val="left"/>
        <w:rPr>
          <w:rFonts w:hint="eastAsia" w:ascii="宋体" w:hAnsi="宋体" w:eastAsia="宋体" w:cs="宋体"/>
          <w:sz w:val="22"/>
          <w:szCs w:val="22"/>
        </w:rPr>
      </w:pPr>
      <w:r>
        <w:rPr>
          <w:rFonts w:hint="eastAsia" w:ascii="宋体" w:hAnsi="宋体" w:eastAsia="宋体" w:cs="宋体"/>
          <w:sz w:val="22"/>
          <w:szCs w:val="22"/>
          <w:lang w:val="en-US" w:eastAsia="zh-CN"/>
        </w:rPr>
        <w:t>资料提供：甲方负责提供可行性研究报告、原料适应性技改项目预评价报告，作为乙方编制相关报告书的基础资料，确保所提供资料的真实性、完整性和有效性。</w:t>
      </w:r>
    </w:p>
    <w:p w14:paraId="1E174D97">
      <w:pPr>
        <w:numPr>
          <w:ilvl w:val="0"/>
          <w:numId w:val="9"/>
        </w:numPr>
        <w:autoSpaceDE w:val="0"/>
        <w:autoSpaceDN w:val="0"/>
        <w:adjustRightInd w:val="0"/>
        <w:spacing w:line="360" w:lineRule="auto"/>
        <w:ind w:left="425" w:leftChars="0" w:hanging="425" w:firstLineChars="0"/>
        <w:jc w:val="left"/>
        <w:rPr>
          <w:rFonts w:hint="eastAsia" w:ascii="宋体" w:hAnsi="宋体" w:eastAsia="宋体" w:cs="宋体"/>
          <w:sz w:val="22"/>
          <w:szCs w:val="22"/>
        </w:rPr>
      </w:pPr>
      <w:r>
        <w:rPr>
          <w:rFonts w:hint="eastAsia" w:ascii="宋体" w:hAnsi="宋体" w:eastAsia="宋体" w:cs="宋体"/>
          <w:sz w:val="22"/>
          <w:szCs w:val="22"/>
          <w:lang w:val="en-US" w:eastAsia="zh-CN"/>
        </w:rPr>
        <w:t>乙方职责：乙方负责完成两项职业病危害预评价报告书的编制工作，具体包括《吸附分离预处理技改项目职业病危害预评价报告书》和《海西天然气古雷段能化专线工程职业病危害预评价报告书》，编制工作需符合国家相关法律法规、行业标准及评审要求。</w:t>
      </w:r>
    </w:p>
    <w:p w14:paraId="6A81B254">
      <w:pPr>
        <w:numPr>
          <w:ilvl w:val="0"/>
          <w:numId w:val="9"/>
        </w:numPr>
        <w:autoSpaceDE w:val="0"/>
        <w:autoSpaceDN w:val="0"/>
        <w:adjustRightInd w:val="0"/>
        <w:spacing w:line="360" w:lineRule="auto"/>
        <w:ind w:left="425" w:leftChars="0" w:hanging="425" w:firstLineChars="0"/>
        <w:jc w:val="left"/>
        <w:rPr>
          <w:rFonts w:hint="eastAsia" w:ascii="宋体" w:hAnsi="宋体" w:eastAsia="宋体" w:cs="宋体"/>
          <w:sz w:val="22"/>
          <w:szCs w:val="22"/>
        </w:rPr>
      </w:pPr>
      <w:r>
        <w:rPr>
          <w:rFonts w:hint="eastAsia" w:ascii="宋体" w:hAnsi="宋体" w:eastAsia="宋体" w:cs="宋体"/>
          <w:sz w:val="22"/>
          <w:szCs w:val="22"/>
          <w:lang w:val="en-US" w:eastAsia="zh-CN"/>
        </w:rPr>
        <w:t>项目实施要求：上述两个项目实行单独编制、单独评审，乙方需分别完成每个项目的报告书编制、评审配合等相关工作，确保每个项目顺利通过评审。</w:t>
      </w:r>
    </w:p>
    <w:p w14:paraId="75F08965">
      <w:pPr>
        <w:numPr>
          <w:ilvl w:val="0"/>
          <w:numId w:val="9"/>
        </w:numPr>
        <w:autoSpaceDE w:val="0"/>
        <w:autoSpaceDN w:val="0"/>
        <w:adjustRightInd w:val="0"/>
        <w:spacing w:line="360" w:lineRule="auto"/>
        <w:ind w:left="425" w:leftChars="0" w:hanging="425" w:firstLineChars="0"/>
        <w:jc w:val="left"/>
        <w:rPr>
          <w:rFonts w:hint="eastAsia" w:ascii="宋体" w:hAnsi="宋体" w:eastAsia="宋体" w:cs="宋体"/>
          <w:sz w:val="22"/>
          <w:szCs w:val="22"/>
        </w:rPr>
      </w:pPr>
      <w:r>
        <w:rPr>
          <w:rFonts w:hint="eastAsia" w:ascii="宋体" w:hAnsi="宋体" w:eastAsia="宋体" w:cs="宋体"/>
          <w:sz w:val="22"/>
          <w:szCs w:val="22"/>
          <w:lang w:val="en-US" w:eastAsia="zh-CN"/>
        </w:rPr>
        <w:t>报价与结算：两个项目分开报价、分开结算，甲方按照双方约定的各项目报价，根据项目进度及结算要求，分别向乙方支付对应项目的服务费用，双方另行明确各项目具体报价及结算细节。</w:t>
      </w:r>
    </w:p>
    <w:p w14:paraId="278F3819">
      <w:pPr>
        <w:spacing w:before="312" w:beforeLines="100" w:line="360" w:lineRule="auto"/>
        <w:rPr>
          <w:rFonts w:hint="eastAsia" w:ascii="宋体" w:hAnsi="宋体" w:eastAsia="宋体" w:cs="宋体"/>
          <w:b/>
          <w:sz w:val="22"/>
          <w:szCs w:val="22"/>
        </w:rPr>
      </w:pPr>
      <w:r>
        <w:rPr>
          <w:rFonts w:hint="eastAsia" w:cs="宋体"/>
          <w:b/>
          <w:sz w:val="22"/>
          <w:szCs w:val="22"/>
          <w:lang w:val="en-US" w:eastAsia="zh-CN"/>
        </w:rPr>
        <w:t>四</w:t>
      </w:r>
      <w:r>
        <w:rPr>
          <w:rFonts w:hint="eastAsia" w:ascii="宋体" w:hAnsi="宋体" w:eastAsia="宋体" w:cs="宋体"/>
          <w:b/>
          <w:sz w:val="22"/>
          <w:szCs w:val="22"/>
        </w:rPr>
        <w:t xml:space="preserve">、发包要求  </w:t>
      </w:r>
    </w:p>
    <w:p w14:paraId="72552812">
      <w:pPr>
        <w:numPr>
          <w:ilvl w:val="0"/>
          <w:numId w:val="10"/>
        </w:numPr>
        <w:autoSpaceDE w:val="0"/>
        <w:autoSpaceDN w:val="0"/>
        <w:adjustRightInd w:val="0"/>
        <w:spacing w:line="360" w:lineRule="auto"/>
        <w:jc w:val="left"/>
        <w:rPr>
          <w:rFonts w:hint="eastAsia" w:ascii="宋体" w:hAnsi="宋体" w:eastAsia="宋体" w:cs="宋体"/>
          <w:sz w:val="22"/>
          <w:szCs w:val="22"/>
        </w:rPr>
      </w:pPr>
      <w:r>
        <w:rPr>
          <w:rFonts w:hint="eastAsia" w:ascii="宋体" w:hAnsi="宋体" w:eastAsia="宋体" w:cs="宋体"/>
          <w:sz w:val="22"/>
          <w:szCs w:val="22"/>
        </w:rPr>
        <w:t>根据《职业病危害预评价导则》等法律法规，编制本项目职业病危害预评价报告书，组织召开专家评审会并根据评审会专家审查意见限期完成修订工作，直至最终通过专家评审。</w:t>
      </w:r>
    </w:p>
    <w:p w14:paraId="084CB524">
      <w:pPr>
        <w:numPr>
          <w:ilvl w:val="0"/>
          <w:numId w:val="10"/>
        </w:numPr>
        <w:autoSpaceDE w:val="0"/>
        <w:autoSpaceDN w:val="0"/>
        <w:adjustRightInd w:val="0"/>
        <w:spacing w:line="360" w:lineRule="auto"/>
        <w:jc w:val="left"/>
        <w:rPr>
          <w:rFonts w:hint="eastAsia" w:ascii="宋体" w:hAnsi="宋体" w:eastAsia="宋体" w:cs="宋体"/>
          <w:sz w:val="22"/>
          <w:szCs w:val="22"/>
        </w:rPr>
      </w:pPr>
      <w:r>
        <w:rPr>
          <w:rFonts w:hint="eastAsia" w:ascii="宋体" w:hAnsi="宋体" w:eastAsia="宋体" w:cs="宋体"/>
          <w:sz w:val="22"/>
          <w:szCs w:val="22"/>
        </w:rPr>
        <w:t>编制的项目职业病危害预评价报告书须符合国家和地方政府相应的各项法律、法规、标准和规范。</w:t>
      </w:r>
    </w:p>
    <w:p w14:paraId="41080D64">
      <w:pPr>
        <w:numPr>
          <w:ilvl w:val="0"/>
          <w:numId w:val="10"/>
        </w:numPr>
        <w:autoSpaceDE w:val="0"/>
        <w:autoSpaceDN w:val="0"/>
        <w:adjustRightInd w:val="0"/>
        <w:spacing w:line="360" w:lineRule="auto"/>
        <w:jc w:val="left"/>
        <w:rPr>
          <w:rFonts w:hint="eastAsia" w:ascii="宋体" w:hAnsi="宋体" w:eastAsia="宋体" w:cs="宋体"/>
          <w:sz w:val="22"/>
          <w:szCs w:val="22"/>
        </w:rPr>
      </w:pPr>
      <w:r>
        <w:rPr>
          <w:rFonts w:hint="eastAsia" w:ascii="宋体" w:hAnsi="宋体" w:eastAsia="宋体" w:cs="宋体"/>
          <w:sz w:val="22"/>
          <w:szCs w:val="22"/>
        </w:rPr>
        <w:t>乙方负责组织专家评审会，乙方负责报告评审时汇报和解释评审专家提出的问题，甲方协助完成评审工作。乙方报价需包含专家评审会专家费、会议费、餐费、交通费、住宿费等全部费用。</w:t>
      </w:r>
    </w:p>
    <w:p w14:paraId="46BB562F">
      <w:pPr>
        <w:numPr>
          <w:ilvl w:val="0"/>
          <w:numId w:val="10"/>
        </w:numPr>
        <w:autoSpaceDE w:val="0"/>
        <w:autoSpaceDN w:val="0"/>
        <w:adjustRightInd w:val="0"/>
        <w:spacing w:line="360" w:lineRule="auto"/>
        <w:jc w:val="left"/>
        <w:rPr>
          <w:rFonts w:hint="eastAsia" w:ascii="宋体" w:hAnsi="宋体" w:eastAsia="宋体" w:cs="宋体"/>
          <w:sz w:val="22"/>
          <w:szCs w:val="22"/>
        </w:rPr>
      </w:pPr>
      <w:r>
        <w:rPr>
          <w:rFonts w:hint="eastAsia" w:ascii="宋体" w:hAnsi="宋体" w:eastAsia="宋体" w:cs="宋体"/>
          <w:sz w:val="22"/>
          <w:szCs w:val="22"/>
        </w:rPr>
        <w:t>乙方需全程参与本项目评审工作，并根据评审意见对报告进行修改。</w:t>
      </w:r>
    </w:p>
    <w:p w14:paraId="17E7FD05">
      <w:pPr>
        <w:numPr>
          <w:ilvl w:val="0"/>
          <w:numId w:val="10"/>
        </w:numPr>
        <w:autoSpaceDE w:val="0"/>
        <w:autoSpaceDN w:val="0"/>
        <w:adjustRightInd w:val="0"/>
        <w:spacing w:line="360" w:lineRule="auto"/>
        <w:jc w:val="left"/>
        <w:rPr>
          <w:rFonts w:hint="eastAsia" w:ascii="宋体" w:hAnsi="宋体" w:eastAsia="宋体" w:cs="宋体"/>
          <w:sz w:val="22"/>
          <w:szCs w:val="22"/>
        </w:rPr>
      </w:pPr>
      <w:r>
        <w:rPr>
          <w:rFonts w:hint="eastAsia" w:ascii="宋体" w:hAnsi="宋体" w:eastAsia="宋体" w:cs="宋体"/>
          <w:sz w:val="22"/>
          <w:szCs w:val="22"/>
        </w:rPr>
        <w:t>本项目工作成果的验收方法:通过专家评审</w:t>
      </w:r>
      <w:r>
        <w:rPr>
          <w:rFonts w:hint="eastAsia" w:ascii="宋体" w:hAnsi="宋体" w:eastAsia="宋体" w:cs="宋体"/>
          <w:sz w:val="22"/>
          <w:szCs w:val="22"/>
          <w:lang w:val="en-US" w:eastAsia="zh-CN"/>
        </w:rPr>
        <w:t>取得专家确认签字</w:t>
      </w:r>
      <w:r>
        <w:rPr>
          <w:rFonts w:hint="eastAsia" w:ascii="宋体" w:hAnsi="宋体" w:eastAsia="宋体" w:cs="宋体"/>
          <w:sz w:val="22"/>
          <w:szCs w:val="22"/>
        </w:rPr>
        <w:t>。</w:t>
      </w:r>
    </w:p>
    <w:p w14:paraId="3B1C81BE">
      <w:pPr>
        <w:numPr>
          <w:ilvl w:val="0"/>
          <w:numId w:val="10"/>
        </w:numPr>
        <w:autoSpaceDE w:val="0"/>
        <w:autoSpaceDN w:val="0"/>
        <w:adjustRightInd w:val="0"/>
        <w:spacing w:line="360" w:lineRule="auto"/>
        <w:jc w:val="left"/>
        <w:rPr>
          <w:rFonts w:hint="eastAsia" w:ascii="宋体" w:hAnsi="宋体" w:eastAsia="宋体" w:cs="宋体"/>
          <w:sz w:val="22"/>
          <w:szCs w:val="22"/>
        </w:rPr>
      </w:pPr>
      <w:r>
        <w:rPr>
          <w:rFonts w:hint="eastAsia" w:ascii="宋体" w:hAnsi="宋体" w:eastAsia="宋体" w:cs="宋体"/>
          <w:sz w:val="22"/>
          <w:szCs w:val="22"/>
        </w:rPr>
        <w:t>本项目职业病危害预评价报告书评审通过或经修改后获专家及政府监管部门认可均为验收合格。如因编制不规范致使本项目报告书未通过专家评审则视为验收不合格。</w:t>
      </w:r>
    </w:p>
    <w:p w14:paraId="72788779">
      <w:pPr>
        <w:numPr>
          <w:ilvl w:val="0"/>
          <w:numId w:val="10"/>
        </w:numPr>
        <w:autoSpaceDE w:val="0"/>
        <w:autoSpaceDN w:val="0"/>
        <w:adjustRightInd w:val="0"/>
        <w:spacing w:line="360" w:lineRule="auto"/>
        <w:jc w:val="left"/>
        <w:rPr>
          <w:rFonts w:hint="eastAsia" w:ascii="宋体" w:hAnsi="宋体" w:eastAsia="宋体" w:cs="宋体"/>
          <w:sz w:val="22"/>
          <w:szCs w:val="22"/>
        </w:rPr>
      </w:pPr>
      <w:r>
        <w:rPr>
          <w:rFonts w:hint="eastAsia" w:ascii="宋体" w:hAnsi="宋体" w:eastAsia="宋体" w:cs="宋体"/>
          <w:sz w:val="22"/>
          <w:szCs w:val="22"/>
        </w:rPr>
        <w:t>乙方提交技术咨询工作成果的形式:全部成果以书面报告书及相关图件方式提交甲方使用，通过审批后，除去已提交政府部门及专家评审用的报告，还应提交成果报告数量为:正式版本一式8套及包括WORD版（内容不设置复制权限）、PDF版电子文档（含图件、附件)的拷贝</w:t>
      </w:r>
      <w:r>
        <w:rPr>
          <w:rFonts w:hint="eastAsia" w:ascii="宋体" w:hAnsi="宋体" w:eastAsia="宋体" w:cs="宋体"/>
          <w:sz w:val="22"/>
          <w:szCs w:val="22"/>
          <w:lang w:val="en-US" w:eastAsia="zh-CN"/>
        </w:rPr>
        <w:t>1</w:t>
      </w:r>
      <w:r>
        <w:rPr>
          <w:rFonts w:hint="eastAsia" w:ascii="宋体" w:hAnsi="宋体" w:eastAsia="宋体" w:cs="宋体"/>
          <w:sz w:val="22"/>
          <w:szCs w:val="22"/>
        </w:rPr>
        <w:t>份。</w:t>
      </w:r>
    </w:p>
    <w:p w14:paraId="722889E4">
      <w:pPr>
        <w:spacing w:line="360" w:lineRule="auto"/>
        <w:rPr>
          <w:rFonts w:hint="eastAsia" w:ascii="宋体" w:hAnsi="宋体" w:eastAsia="宋体" w:cs="宋体"/>
          <w:b/>
          <w:sz w:val="22"/>
          <w:szCs w:val="22"/>
        </w:rPr>
      </w:pPr>
      <w:r>
        <w:rPr>
          <w:rFonts w:hint="eastAsia" w:cs="宋体"/>
          <w:b/>
          <w:sz w:val="22"/>
          <w:szCs w:val="22"/>
          <w:lang w:val="en-US" w:eastAsia="zh-CN"/>
        </w:rPr>
        <w:t>五</w:t>
      </w:r>
      <w:r>
        <w:rPr>
          <w:rFonts w:hint="eastAsia" w:ascii="宋体" w:hAnsi="宋体" w:eastAsia="宋体" w:cs="宋体"/>
          <w:b/>
          <w:sz w:val="22"/>
          <w:szCs w:val="22"/>
        </w:rPr>
        <w:t>、保密:</w:t>
      </w:r>
    </w:p>
    <w:p w14:paraId="19551FF8">
      <w:pPr>
        <w:numPr>
          <w:ilvl w:val="0"/>
          <w:numId w:val="11"/>
        </w:numPr>
        <w:autoSpaceDE w:val="0"/>
        <w:autoSpaceDN w:val="0"/>
        <w:adjustRightInd w:val="0"/>
        <w:spacing w:line="360" w:lineRule="auto"/>
        <w:jc w:val="left"/>
        <w:rPr>
          <w:rFonts w:hint="eastAsia" w:ascii="宋体" w:hAnsi="宋体" w:eastAsia="宋体" w:cs="宋体"/>
          <w:sz w:val="22"/>
          <w:szCs w:val="22"/>
        </w:rPr>
      </w:pPr>
      <w:r>
        <w:rPr>
          <w:rFonts w:hint="eastAsia" w:ascii="宋体" w:hAnsi="宋体" w:eastAsia="宋体" w:cs="宋体"/>
          <w:sz w:val="22"/>
          <w:szCs w:val="22"/>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14:paraId="1A4BE560">
      <w:pPr>
        <w:pStyle w:val="55"/>
      </w:pPr>
    </w:p>
    <w:p w14:paraId="3AAF2313">
      <w:pPr>
        <w:pStyle w:val="55"/>
      </w:pPr>
    </w:p>
    <w:p w14:paraId="6C2F9E2B">
      <w:pPr>
        <w:pStyle w:val="55"/>
      </w:pPr>
    </w:p>
    <w:p w14:paraId="448219BC">
      <w:pPr>
        <w:pStyle w:val="55"/>
      </w:pPr>
    </w:p>
    <w:p w14:paraId="371166E6">
      <w:pPr>
        <w:pStyle w:val="55"/>
      </w:pPr>
    </w:p>
    <w:p w14:paraId="290B7F4B">
      <w:pPr>
        <w:pStyle w:val="55"/>
      </w:pPr>
    </w:p>
    <w:p w14:paraId="25201C6F">
      <w:pPr>
        <w:pStyle w:val="55"/>
      </w:pPr>
    </w:p>
    <w:p w14:paraId="425FA634">
      <w:pPr>
        <w:pStyle w:val="55"/>
      </w:pPr>
    </w:p>
    <w:p w14:paraId="48500847">
      <w:pPr>
        <w:pStyle w:val="55"/>
      </w:pPr>
    </w:p>
    <w:p w14:paraId="1DDB90D9">
      <w:pPr>
        <w:pStyle w:val="55"/>
      </w:pPr>
    </w:p>
    <w:p w14:paraId="67114EAB">
      <w:pPr>
        <w:pStyle w:val="55"/>
      </w:pPr>
    </w:p>
    <w:p w14:paraId="1D3FDD99">
      <w:pPr>
        <w:pStyle w:val="55"/>
      </w:pPr>
    </w:p>
    <w:p w14:paraId="243F563A">
      <w:pPr>
        <w:pStyle w:val="55"/>
      </w:pPr>
    </w:p>
    <w:p w14:paraId="15A0B5EC">
      <w:pPr>
        <w:pStyle w:val="55"/>
      </w:pPr>
    </w:p>
    <w:p w14:paraId="49E29B2A">
      <w:pPr>
        <w:pStyle w:val="55"/>
      </w:pPr>
    </w:p>
    <w:p w14:paraId="13342750">
      <w:pPr>
        <w:pStyle w:val="55"/>
      </w:pPr>
    </w:p>
    <w:p w14:paraId="09E67CDA">
      <w:pPr>
        <w:pStyle w:val="55"/>
      </w:pPr>
    </w:p>
    <w:p w14:paraId="15A005DF">
      <w:pPr>
        <w:pStyle w:val="55"/>
      </w:pPr>
    </w:p>
    <w:p w14:paraId="0DF94BD8">
      <w:pPr>
        <w:pStyle w:val="55"/>
      </w:pPr>
    </w:p>
    <w:p w14:paraId="08BE3266">
      <w:pPr>
        <w:pStyle w:val="55"/>
        <w:rPr>
          <w:rFonts w:hint="eastAsia"/>
          <w:b/>
          <w:bCs/>
          <w:sz w:val="24"/>
          <w:szCs w:val="24"/>
        </w:rPr>
      </w:pPr>
    </w:p>
    <w:p w14:paraId="42CFC663">
      <w:pPr>
        <w:pStyle w:val="55"/>
        <w:rPr>
          <w:b/>
          <w:bCs/>
          <w:sz w:val="24"/>
          <w:szCs w:val="24"/>
        </w:rPr>
      </w:pPr>
      <w:r>
        <w:rPr>
          <w:rFonts w:hint="eastAsia"/>
          <w:b/>
          <w:bCs/>
          <w:sz w:val="24"/>
          <w:szCs w:val="24"/>
        </w:rPr>
        <w:t>附件二、参比文件范本</w:t>
      </w:r>
    </w:p>
    <w:p w14:paraId="37FA9111">
      <w:pPr>
        <w:pStyle w:val="25"/>
        <w:jc w:val="center"/>
        <w:rPr>
          <w:rFonts w:ascii="Times New Roman" w:hAnsi="Times New Roman"/>
          <w:b/>
          <w:sz w:val="52"/>
          <w:szCs w:val="52"/>
          <w:lang w:eastAsia="zh-CN"/>
        </w:rPr>
      </w:pPr>
    </w:p>
    <w:p w14:paraId="229C0F7F">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5"/>
        <w:spacing w:line="615" w:lineRule="exact"/>
        <w:jc w:val="center"/>
        <w:rPr>
          <w:rFonts w:ascii="方正小标宋简体" w:hAnsi="方正小标宋简体" w:eastAsia="方正小标宋简体" w:cs="方正小标宋简体"/>
          <w:b/>
          <w:sz w:val="44"/>
          <w:szCs w:val="44"/>
          <w:lang w:eastAsia="zh-CN"/>
        </w:rPr>
      </w:pPr>
    </w:p>
    <w:p w14:paraId="4177FE27">
      <w:pPr>
        <w:pStyle w:val="25"/>
        <w:spacing w:line="615" w:lineRule="exact"/>
        <w:jc w:val="center"/>
        <w:rPr>
          <w:rFonts w:ascii="方正小标宋简体" w:hAnsi="方正小标宋简体" w:eastAsia="方正小标宋简体" w:cs="方正小标宋简体"/>
          <w:b/>
          <w:sz w:val="44"/>
          <w:szCs w:val="44"/>
          <w:lang w:eastAsia="zh-CN"/>
        </w:rPr>
      </w:pPr>
    </w:p>
    <w:p w14:paraId="0CAEA62B">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吸附分离预处理技改项目及海西天然气古雷段能化专线工程职业病危害预评价报告书编制</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5"/>
      </w:pPr>
    </w:p>
    <w:p w14:paraId="54C8DC60">
      <w:pPr>
        <w:pStyle w:val="25"/>
        <w:rPr>
          <w:rFonts w:ascii="Times New Roman" w:hAnsi="Times New Roman"/>
          <w:lang w:eastAsia="zh-CN"/>
        </w:rPr>
      </w:pPr>
    </w:p>
    <w:p w14:paraId="38BB3959">
      <w:pPr>
        <w:pStyle w:val="25"/>
        <w:rPr>
          <w:rFonts w:ascii="Times New Roman" w:hAnsi="Times New Roman"/>
          <w:lang w:eastAsia="zh-CN"/>
        </w:rPr>
      </w:pPr>
    </w:p>
    <w:p w14:paraId="0193E972">
      <w:pPr>
        <w:pStyle w:val="25"/>
        <w:rPr>
          <w:rFonts w:ascii="Times New Roman" w:hAnsi="Times New Roman"/>
          <w:lang w:eastAsia="zh-CN"/>
        </w:rPr>
      </w:pPr>
    </w:p>
    <w:p w14:paraId="226F7349">
      <w:pPr>
        <w:pStyle w:val="25"/>
        <w:rPr>
          <w:rFonts w:ascii="Times New Roman" w:hAnsi="Times New Roman"/>
          <w:lang w:eastAsia="zh-CN"/>
        </w:rPr>
      </w:pPr>
    </w:p>
    <w:p w14:paraId="28A68C31">
      <w:pPr>
        <w:pStyle w:val="25"/>
        <w:rPr>
          <w:rFonts w:ascii="Times New Roman" w:hAnsi="Times New Roman"/>
          <w:lang w:eastAsia="zh-CN"/>
        </w:rPr>
      </w:pPr>
    </w:p>
    <w:p w14:paraId="185CFC85">
      <w:pPr>
        <w:pStyle w:val="25"/>
        <w:rPr>
          <w:rFonts w:ascii="Times New Roman" w:hAnsi="Times New Roman"/>
          <w:b/>
          <w:bCs/>
          <w:sz w:val="32"/>
          <w:szCs w:val="32"/>
          <w:lang w:eastAsia="zh-CN"/>
        </w:rPr>
      </w:pPr>
    </w:p>
    <w:p w14:paraId="2E8EF8E2">
      <w:pPr>
        <w:pStyle w:val="25"/>
        <w:rPr>
          <w:rFonts w:ascii="Times New Roman" w:hAnsi="Times New Roman"/>
          <w:b/>
          <w:bCs/>
          <w:sz w:val="32"/>
          <w:szCs w:val="32"/>
          <w:lang w:eastAsia="zh-CN"/>
        </w:rPr>
      </w:pPr>
    </w:p>
    <w:p w14:paraId="42504BCD">
      <w:pPr>
        <w:pStyle w:val="25"/>
        <w:rPr>
          <w:rFonts w:ascii="Times New Roman" w:hAnsi="Times New Roman"/>
          <w:b/>
          <w:bCs/>
          <w:sz w:val="32"/>
          <w:szCs w:val="32"/>
          <w:lang w:eastAsia="zh-CN"/>
        </w:rPr>
      </w:pPr>
    </w:p>
    <w:p w14:paraId="1D78D2A0">
      <w:pPr>
        <w:pStyle w:val="25"/>
        <w:rPr>
          <w:rFonts w:ascii="Times New Roman" w:hAnsi="Times New Roman"/>
          <w:b/>
          <w:bCs/>
          <w:sz w:val="32"/>
          <w:szCs w:val="32"/>
          <w:lang w:eastAsia="zh-CN"/>
        </w:rPr>
      </w:pPr>
    </w:p>
    <w:p w14:paraId="70BAA1B5">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55"/>
      </w:pPr>
    </w:p>
    <w:p w14:paraId="435EBD37">
      <w:pPr>
        <w:pStyle w:val="55"/>
      </w:pPr>
    </w:p>
    <w:p w14:paraId="117D9CE1">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1AF82C5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42C9DF36">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078E00D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w:t>
      </w:r>
      <w:r>
        <w:rPr>
          <w:rFonts w:hint="eastAsia" w:cs="Times New Roman"/>
          <w:bCs w:val="0"/>
          <w:color w:val="C00000"/>
          <w:sz w:val="24"/>
          <w:szCs w:val="24"/>
          <w:lang w:val="en-US" w:eastAsia="zh-CN"/>
        </w:rPr>
        <w:t>清单</w:t>
      </w:r>
      <w:r>
        <w:rPr>
          <w:rFonts w:hint="eastAsia" w:cs="Times New Roman"/>
          <w:bCs w:val="0"/>
          <w:color w:val="C00000"/>
          <w:sz w:val="24"/>
          <w:szCs w:val="24"/>
          <w:lang w:eastAsia="zh-CN"/>
        </w:rPr>
        <w:t>）一个包装、技术参比文件一个包装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DC3A1A8">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3"/>
        <w:spacing w:beforeLines="0" w:afterLines="0" w:line="240" w:lineRule="auto"/>
        <w:ind w:firstLine="618" w:firstLineChars="221"/>
        <w:rPr>
          <w:rFonts w:cs="Times New Roman"/>
          <w:bCs w:val="0"/>
          <w:color w:val="C00000"/>
          <w:lang w:eastAsia="zh-CN"/>
        </w:rPr>
      </w:pPr>
    </w:p>
    <w:p w14:paraId="696004D1">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26533855">
      <w:pPr>
        <w:rPr>
          <w:szCs w:val="21"/>
          <w:lang w:eastAsia="zh-CN"/>
        </w:rPr>
      </w:pPr>
    </w:p>
    <w:p w14:paraId="61A4CC79">
      <w:pPr>
        <w:pStyle w:val="55"/>
      </w:pPr>
    </w:p>
    <w:p w14:paraId="0A45359F">
      <w:pPr>
        <w:pStyle w:val="55"/>
      </w:pPr>
    </w:p>
    <w:p w14:paraId="1C26CB50">
      <w:pPr>
        <w:pStyle w:val="55"/>
      </w:pPr>
    </w:p>
    <w:p w14:paraId="17527888">
      <w:pPr>
        <w:pStyle w:val="55"/>
      </w:pPr>
    </w:p>
    <w:p w14:paraId="51E6C34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85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DEA51C">
            <w:pPr>
              <w:spacing w:line="500" w:lineRule="exact"/>
              <w:jc w:val="center"/>
              <w:rPr>
                <w:b/>
                <w:bCs/>
                <w:sz w:val="24"/>
              </w:rPr>
            </w:pPr>
            <w:r>
              <w:rPr>
                <w:rFonts w:hint="eastAsia"/>
                <w:b/>
                <w:bCs/>
                <w:sz w:val="24"/>
              </w:rPr>
              <w:t>序号</w:t>
            </w:r>
          </w:p>
        </w:tc>
        <w:tc>
          <w:tcPr>
            <w:tcW w:w="6023" w:type="dxa"/>
          </w:tcPr>
          <w:p w14:paraId="2470D1A1">
            <w:pPr>
              <w:spacing w:line="500" w:lineRule="exact"/>
              <w:jc w:val="center"/>
              <w:rPr>
                <w:b/>
                <w:bCs/>
                <w:sz w:val="24"/>
              </w:rPr>
            </w:pPr>
            <w:r>
              <w:rPr>
                <w:rFonts w:hint="eastAsia"/>
                <w:b/>
                <w:bCs/>
                <w:sz w:val="24"/>
              </w:rPr>
              <w:t>内容</w:t>
            </w:r>
          </w:p>
        </w:tc>
        <w:tc>
          <w:tcPr>
            <w:tcW w:w="1843" w:type="dxa"/>
          </w:tcPr>
          <w:p w14:paraId="1726D8A5">
            <w:pPr>
              <w:spacing w:line="500" w:lineRule="exact"/>
              <w:jc w:val="center"/>
              <w:rPr>
                <w:b/>
                <w:bCs/>
                <w:sz w:val="24"/>
              </w:rPr>
            </w:pPr>
            <w:r>
              <w:rPr>
                <w:rFonts w:hint="eastAsia"/>
                <w:b/>
                <w:bCs/>
                <w:sz w:val="24"/>
              </w:rPr>
              <w:t>页码</w:t>
            </w:r>
          </w:p>
        </w:tc>
      </w:tr>
      <w:tr w14:paraId="7F0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9EC1F43">
            <w:pPr>
              <w:spacing w:line="500" w:lineRule="exact"/>
              <w:jc w:val="center"/>
              <w:rPr>
                <w:sz w:val="24"/>
              </w:rPr>
            </w:pPr>
            <w:r>
              <w:rPr>
                <w:rFonts w:hint="eastAsia"/>
                <w:sz w:val="24"/>
              </w:rPr>
              <w:t>1</w:t>
            </w:r>
          </w:p>
        </w:tc>
        <w:tc>
          <w:tcPr>
            <w:tcW w:w="6023" w:type="dxa"/>
          </w:tcPr>
          <w:p w14:paraId="4277F880">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0F8511F5">
            <w:pPr>
              <w:spacing w:line="500" w:lineRule="exact"/>
              <w:jc w:val="center"/>
              <w:rPr>
                <w:sz w:val="24"/>
              </w:rPr>
            </w:pPr>
          </w:p>
        </w:tc>
      </w:tr>
      <w:tr w14:paraId="3313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D54C12C">
            <w:pPr>
              <w:spacing w:line="500" w:lineRule="exact"/>
              <w:jc w:val="center"/>
              <w:rPr>
                <w:sz w:val="24"/>
              </w:rPr>
            </w:pPr>
            <w:r>
              <w:rPr>
                <w:rFonts w:hint="eastAsia"/>
                <w:sz w:val="24"/>
              </w:rPr>
              <w:t>2</w:t>
            </w:r>
          </w:p>
        </w:tc>
        <w:tc>
          <w:tcPr>
            <w:tcW w:w="6023" w:type="dxa"/>
          </w:tcPr>
          <w:p w14:paraId="6783AE71">
            <w:pPr>
              <w:spacing w:line="500" w:lineRule="exact"/>
              <w:rPr>
                <w:sz w:val="24"/>
              </w:rPr>
            </w:pPr>
            <w:r>
              <w:rPr>
                <w:rFonts w:hint="eastAsia"/>
                <w:sz w:val="24"/>
              </w:rPr>
              <w:t>法定代表人授权书</w:t>
            </w:r>
          </w:p>
        </w:tc>
        <w:tc>
          <w:tcPr>
            <w:tcW w:w="1843" w:type="dxa"/>
          </w:tcPr>
          <w:p w14:paraId="41C80FD3">
            <w:pPr>
              <w:spacing w:line="500" w:lineRule="exact"/>
              <w:jc w:val="center"/>
              <w:rPr>
                <w:sz w:val="24"/>
              </w:rPr>
            </w:pPr>
          </w:p>
        </w:tc>
      </w:tr>
      <w:tr w14:paraId="2FF1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4F7D2F">
            <w:pPr>
              <w:spacing w:line="500" w:lineRule="exact"/>
              <w:jc w:val="center"/>
              <w:rPr>
                <w:sz w:val="24"/>
              </w:rPr>
            </w:pPr>
            <w:r>
              <w:rPr>
                <w:rFonts w:hint="eastAsia"/>
                <w:sz w:val="24"/>
              </w:rPr>
              <w:t>3</w:t>
            </w:r>
          </w:p>
        </w:tc>
        <w:tc>
          <w:tcPr>
            <w:tcW w:w="6023" w:type="dxa"/>
          </w:tcPr>
          <w:p w14:paraId="0D8223E2">
            <w:pPr>
              <w:spacing w:line="500" w:lineRule="exact"/>
              <w:rPr>
                <w:sz w:val="24"/>
                <w:lang w:eastAsia="zh-CN"/>
              </w:rPr>
            </w:pPr>
            <w:r>
              <w:rPr>
                <w:rFonts w:hint="eastAsia"/>
                <w:sz w:val="24"/>
                <w:lang w:eastAsia="zh-CN"/>
              </w:rPr>
              <w:t>法定代表人身份证复印件</w:t>
            </w:r>
          </w:p>
        </w:tc>
        <w:tc>
          <w:tcPr>
            <w:tcW w:w="1843" w:type="dxa"/>
          </w:tcPr>
          <w:p w14:paraId="54A7443B">
            <w:pPr>
              <w:spacing w:line="500" w:lineRule="exact"/>
              <w:jc w:val="center"/>
              <w:rPr>
                <w:sz w:val="24"/>
                <w:lang w:eastAsia="zh-CN"/>
              </w:rPr>
            </w:pPr>
          </w:p>
        </w:tc>
      </w:tr>
      <w:tr w14:paraId="16F3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39CF6B">
            <w:pPr>
              <w:spacing w:line="500" w:lineRule="exact"/>
              <w:jc w:val="center"/>
              <w:rPr>
                <w:sz w:val="24"/>
              </w:rPr>
            </w:pPr>
            <w:r>
              <w:rPr>
                <w:rFonts w:hint="eastAsia"/>
                <w:sz w:val="24"/>
              </w:rPr>
              <w:t>4</w:t>
            </w:r>
          </w:p>
        </w:tc>
        <w:tc>
          <w:tcPr>
            <w:tcW w:w="6023" w:type="dxa"/>
          </w:tcPr>
          <w:p w14:paraId="30D71ABB">
            <w:pPr>
              <w:spacing w:line="500" w:lineRule="exact"/>
              <w:rPr>
                <w:sz w:val="24"/>
                <w:lang w:eastAsia="zh-CN"/>
              </w:rPr>
            </w:pPr>
            <w:r>
              <w:rPr>
                <w:rFonts w:hint="eastAsia"/>
                <w:sz w:val="24"/>
                <w:lang w:eastAsia="zh-CN"/>
              </w:rPr>
              <w:t>授权代表身份证复印件</w:t>
            </w:r>
          </w:p>
        </w:tc>
        <w:tc>
          <w:tcPr>
            <w:tcW w:w="1843" w:type="dxa"/>
          </w:tcPr>
          <w:p w14:paraId="47295020">
            <w:pPr>
              <w:spacing w:line="500" w:lineRule="exact"/>
              <w:jc w:val="center"/>
              <w:rPr>
                <w:sz w:val="24"/>
                <w:lang w:eastAsia="zh-CN"/>
              </w:rPr>
            </w:pPr>
          </w:p>
        </w:tc>
      </w:tr>
      <w:tr w14:paraId="3874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51D5BE">
            <w:pPr>
              <w:spacing w:line="500" w:lineRule="exact"/>
              <w:jc w:val="center"/>
              <w:rPr>
                <w:sz w:val="24"/>
              </w:rPr>
            </w:pPr>
            <w:r>
              <w:rPr>
                <w:rFonts w:hint="eastAsia"/>
                <w:sz w:val="24"/>
              </w:rPr>
              <w:t>5</w:t>
            </w:r>
          </w:p>
        </w:tc>
        <w:tc>
          <w:tcPr>
            <w:tcW w:w="6023" w:type="dxa"/>
          </w:tcPr>
          <w:p w14:paraId="6781A001">
            <w:pPr>
              <w:spacing w:line="500" w:lineRule="exact"/>
              <w:rPr>
                <w:sz w:val="24"/>
                <w:lang w:eastAsia="zh-CN"/>
              </w:rPr>
            </w:pPr>
            <w:r>
              <w:rPr>
                <w:rFonts w:hint="eastAsia"/>
                <w:sz w:val="24"/>
                <w:szCs w:val="28"/>
                <w:lang w:eastAsia="zh-CN"/>
              </w:rPr>
              <w:t>企业概况</w:t>
            </w:r>
          </w:p>
        </w:tc>
        <w:tc>
          <w:tcPr>
            <w:tcW w:w="1843" w:type="dxa"/>
          </w:tcPr>
          <w:p w14:paraId="72E4393A">
            <w:pPr>
              <w:spacing w:line="500" w:lineRule="exact"/>
              <w:jc w:val="center"/>
              <w:rPr>
                <w:sz w:val="24"/>
                <w:lang w:eastAsia="zh-CN"/>
              </w:rPr>
            </w:pPr>
          </w:p>
        </w:tc>
      </w:tr>
      <w:tr w14:paraId="4EF7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62612F">
            <w:pPr>
              <w:spacing w:line="500" w:lineRule="exact"/>
              <w:jc w:val="center"/>
              <w:rPr>
                <w:sz w:val="24"/>
              </w:rPr>
            </w:pPr>
            <w:r>
              <w:rPr>
                <w:rFonts w:hint="eastAsia"/>
                <w:sz w:val="24"/>
              </w:rPr>
              <w:t>6</w:t>
            </w:r>
          </w:p>
        </w:tc>
        <w:tc>
          <w:tcPr>
            <w:tcW w:w="6023" w:type="dxa"/>
          </w:tcPr>
          <w:p w14:paraId="16372058">
            <w:pPr>
              <w:spacing w:line="500" w:lineRule="exact"/>
              <w:rPr>
                <w:sz w:val="24"/>
              </w:rPr>
            </w:pPr>
            <w:r>
              <w:rPr>
                <w:rFonts w:hint="eastAsia"/>
                <w:sz w:val="24"/>
              </w:rPr>
              <w:t>营业执照复印件</w:t>
            </w:r>
          </w:p>
        </w:tc>
        <w:tc>
          <w:tcPr>
            <w:tcW w:w="1843" w:type="dxa"/>
          </w:tcPr>
          <w:p w14:paraId="5BE08265">
            <w:pPr>
              <w:spacing w:line="500" w:lineRule="exact"/>
              <w:jc w:val="center"/>
              <w:rPr>
                <w:sz w:val="24"/>
              </w:rPr>
            </w:pPr>
          </w:p>
        </w:tc>
      </w:tr>
      <w:tr w14:paraId="20A7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5B20E9">
            <w:pPr>
              <w:spacing w:line="500" w:lineRule="exact"/>
              <w:jc w:val="center"/>
              <w:rPr>
                <w:sz w:val="24"/>
              </w:rPr>
            </w:pPr>
            <w:r>
              <w:rPr>
                <w:rFonts w:hint="eastAsia"/>
                <w:sz w:val="24"/>
              </w:rPr>
              <w:t>7</w:t>
            </w:r>
          </w:p>
        </w:tc>
        <w:tc>
          <w:tcPr>
            <w:tcW w:w="6023" w:type="dxa"/>
          </w:tcPr>
          <w:p w14:paraId="090A79FE">
            <w:pPr>
              <w:spacing w:line="500" w:lineRule="exact"/>
              <w:rPr>
                <w:sz w:val="24"/>
                <w:lang w:eastAsia="zh-CN"/>
              </w:rPr>
            </w:pPr>
            <w:r>
              <w:rPr>
                <w:rFonts w:hint="eastAsia"/>
                <w:sz w:val="24"/>
              </w:rPr>
              <w:t>资质</w:t>
            </w:r>
            <w:r>
              <w:rPr>
                <w:rFonts w:hint="eastAsia"/>
                <w:sz w:val="24"/>
                <w:lang w:eastAsia="zh-CN"/>
              </w:rPr>
              <w:t>文件</w:t>
            </w:r>
          </w:p>
        </w:tc>
        <w:tc>
          <w:tcPr>
            <w:tcW w:w="1843" w:type="dxa"/>
          </w:tcPr>
          <w:p w14:paraId="71F6B5C0">
            <w:pPr>
              <w:spacing w:line="500" w:lineRule="exact"/>
              <w:jc w:val="center"/>
              <w:rPr>
                <w:sz w:val="24"/>
              </w:rPr>
            </w:pPr>
          </w:p>
        </w:tc>
      </w:tr>
      <w:tr w14:paraId="465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E734F0">
            <w:pPr>
              <w:spacing w:line="500" w:lineRule="exact"/>
              <w:jc w:val="center"/>
              <w:rPr>
                <w:rFonts w:hint="eastAsia"/>
                <w:sz w:val="24"/>
                <w:lang w:val="en-US" w:eastAsia="zh-CN"/>
              </w:rPr>
            </w:pPr>
            <w:r>
              <w:rPr>
                <w:rFonts w:hint="eastAsia"/>
                <w:sz w:val="24"/>
                <w:lang w:val="en-US" w:eastAsia="zh-CN"/>
              </w:rPr>
              <w:t>8</w:t>
            </w:r>
          </w:p>
        </w:tc>
        <w:tc>
          <w:tcPr>
            <w:tcW w:w="6023" w:type="dxa"/>
          </w:tcPr>
          <w:p w14:paraId="16E6AB5D">
            <w:pPr>
              <w:spacing w:line="500" w:lineRule="exact"/>
              <w:rPr>
                <w:rFonts w:hint="default"/>
                <w:sz w:val="24"/>
                <w:lang w:val="en-US" w:eastAsia="zh-CN"/>
              </w:rPr>
            </w:pPr>
            <w:r>
              <w:rPr>
                <w:rFonts w:hint="eastAsia"/>
                <w:sz w:val="24"/>
                <w:lang w:val="en-US" w:eastAsia="zh-CN"/>
              </w:rPr>
              <w:t>业绩清单及证明文件</w:t>
            </w:r>
          </w:p>
        </w:tc>
        <w:tc>
          <w:tcPr>
            <w:tcW w:w="1843" w:type="dxa"/>
          </w:tcPr>
          <w:p w14:paraId="2A48CFE6">
            <w:pPr>
              <w:spacing w:line="500" w:lineRule="exact"/>
              <w:rPr>
                <w:rFonts w:hint="eastAsia"/>
                <w:sz w:val="24"/>
                <w:lang w:val="en-US" w:eastAsia="zh-CN"/>
              </w:rPr>
            </w:pPr>
          </w:p>
        </w:tc>
      </w:tr>
      <w:tr w14:paraId="769E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56CD294">
            <w:pPr>
              <w:spacing w:line="500" w:lineRule="exact"/>
              <w:jc w:val="center"/>
              <w:rPr>
                <w:rFonts w:hint="default"/>
                <w:sz w:val="24"/>
                <w:lang w:val="en-US" w:eastAsia="zh-CN"/>
              </w:rPr>
            </w:pPr>
            <w:r>
              <w:rPr>
                <w:rFonts w:hint="eastAsia"/>
                <w:sz w:val="24"/>
                <w:lang w:val="en-US" w:eastAsia="zh-CN"/>
              </w:rPr>
              <w:t>9</w:t>
            </w:r>
          </w:p>
        </w:tc>
        <w:tc>
          <w:tcPr>
            <w:tcW w:w="6023" w:type="dxa"/>
          </w:tcPr>
          <w:p w14:paraId="1AD763D1">
            <w:pPr>
              <w:spacing w:line="500" w:lineRule="exact"/>
              <w:rPr>
                <w:rFonts w:hint="eastAsia"/>
                <w:sz w:val="24"/>
                <w:lang w:val="en-US" w:eastAsia="zh-CN"/>
              </w:rPr>
            </w:pPr>
            <w:r>
              <w:rPr>
                <w:rFonts w:hint="eastAsia"/>
                <w:sz w:val="24"/>
                <w:lang w:val="en-US" w:eastAsia="zh-CN"/>
              </w:rPr>
              <w:t>商务报价单</w:t>
            </w:r>
          </w:p>
        </w:tc>
        <w:tc>
          <w:tcPr>
            <w:tcW w:w="1843" w:type="dxa"/>
          </w:tcPr>
          <w:p w14:paraId="541CF98E">
            <w:pPr>
              <w:spacing w:line="500" w:lineRule="exact"/>
              <w:rPr>
                <w:rFonts w:hint="default"/>
                <w:sz w:val="24"/>
                <w:lang w:val="en-US" w:eastAsia="zh-CN"/>
              </w:rPr>
            </w:pPr>
          </w:p>
        </w:tc>
      </w:tr>
    </w:tbl>
    <w:p w14:paraId="3C540CE6">
      <w:pPr>
        <w:spacing w:line="500" w:lineRule="exact"/>
        <w:jc w:val="center"/>
        <w:rPr>
          <w:b/>
          <w:bCs/>
          <w:sz w:val="24"/>
        </w:rPr>
      </w:pPr>
    </w:p>
    <w:p w14:paraId="12E3C699">
      <w:pPr>
        <w:pStyle w:val="55"/>
        <w:rPr>
          <w:b/>
          <w:bCs/>
          <w:sz w:val="36"/>
          <w:szCs w:val="36"/>
        </w:rPr>
      </w:pPr>
    </w:p>
    <w:p w14:paraId="47469ECB">
      <w:pPr>
        <w:pStyle w:val="55"/>
        <w:rPr>
          <w:b/>
          <w:bCs/>
          <w:sz w:val="36"/>
          <w:szCs w:val="36"/>
        </w:rPr>
      </w:pPr>
    </w:p>
    <w:p w14:paraId="7B46A8F6">
      <w:pPr>
        <w:pStyle w:val="55"/>
        <w:rPr>
          <w:b/>
          <w:bCs/>
          <w:sz w:val="36"/>
          <w:szCs w:val="36"/>
        </w:rPr>
      </w:pPr>
    </w:p>
    <w:p w14:paraId="60CCCFB0">
      <w:pPr>
        <w:spacing w:line="500" w:lineRule="exact"/>
        <w:rPr>
          <w:b/>
          <w:bCs/>
          <w:sz w:val="36"/>
          <w:szCs w:val="36"/>
          <w:lang w:eastAsia="zh-CN"/>
        </w:rPr>
      </w:pPr>
    </w:p>
    <w:p w14:paraId="2C48898D">
      <w:pPr>
        <w:pStyle w:val="55"/>
        <w:rPr>
          <w:b/>
          <w:bCs/>
          <w:sz w:val="36"/>
          <w:szCs w:val="36"/>
        </w:rPr>
      </w:pPr>
    </w:p>
    <w:p w14:paraId="75D1AE4D">
      <w:pPr>
        <w:pStyle w:val="55"/>
        <w:rPr>
          <w:b/>
          <w:bCs/>
          <w:sz w:val="36"/>
          <w:szCs w:val="36"/>
        </w:rPr>
      </w:pPr>
    </w:p>
    <w:p w14:paraId="0818B623">
      <w:pPr>
        <w:pStyle w:val="55"/>
      </w:pPr>
    </w:p>
    <w:p w14:paraId="3710216D">
      <w:pPr>
        <w:pStyle w:val="55"/>
      </w:pPr>
    </w:p>
    <w:p w14:paraId="00DF1BBB">
      <w:pPr>
        <w:pStyle w:val="55"/>
      </w:pPr>
    </w:p>
    <w:p w14:paraId="7F084D50">
      <w:pPr>
        <w:pStyle w:val="55"/>
      </w:pPr>
    </w:p>
    <w:p w14:paraId="3E9413F2">
      <w:pPr>
        <w:pStyle w:val="55"/>
      </w:pPr>
    </w:p>
    <w:p w14:paraId="434BFF7D">
      <w:pPr>
        <w:pStyle w:val="55"/>
      </w:pPr>
    </w:p>
    <w:p w14:paraId="5B94BBBB">
      <w:pPr>
        <w:pStyle w:val="55"/>
      </w:pPr>
    </w:p>
    <w:p w14:paraId="0A379334">
      <w:pPr>
        <w:spacing w:line="500" w:lineRule="exact"/>
        <w:jc w:val="center"/>
        <w:rPr>
          <w:b/>
          <w:bCs/>
          <w:sz w:val="36"/>
          <w:szCs w:val="36"/>
          <w:lang w:eastAsia="zh-CN"/>
        </w:rPr>
      </w:pPr>
      <w:r>
        <w:rPr>
          <w:rFonts w:hint="eastAsia"/>
          <w:b/>
          <w:bCs/>
          <w:sz w:val="36"/>
          <w:szCs w:val="36"/>
          <w:lang w:eastAsia="zh-CN"/>
        </w:rPr>
        <w:t>参比书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5"/>
      </w:pPr>
    </w:p>
    <w:p w14:paraId="2D9283E2">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5"/>
        <w:jc w:val="center"/>
      </w:pPr>
    </w:p>
    <w:p w14:paraId="39BC4322">
      <w:pPr>
        <w:pStyle w:val="55"/>
        <w:jc w:val="center"/>
      </w:pPr>
    </w:p>
    <w:p w14:paraId="066842E7">
      <w:pPr>
        <w:pStyle w:val="55"/>
        <w:jc w:val="center"/>
      </w:pPr>
    </w:p>
    <w:p w14:paraId="68DB3955">
      <w:pPr>
        <w:pStyle w:val="55"/>
        <w:jc w:val="center"/>
      </w:pPr>
    </w:p>
    <w:p w14:paraId="3D337288">
      <w:pPr>
        <w:pStyle w:val="55"/>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5"/>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吸附分离预处理技改项目及海西天然气古雷段能化专线工程职业病危害预评价报告书编制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5"/>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5"/>
      </w:pPr>
    </w:p>
    <w:p w14:paraId="4A7A6043">
      <w:pPr>
        <w:pStyle w:val="55"/>
      </w:pPr>
    </w:p>
    <w:p w14:paraId="53CBD1E4">
      <w:pPr>
        <w:pStyle w:val="55"/>
      </w:pPr>
    </w:p>
    <w:p w14:paraId="4D3FF2B7">
      <w:pPr>
        <w:pStyle w:val="55"/>
      </w:pPr>
    </w:p>
    <w:p w14:paraId="294F3CFC">
      <w:pPr>
        <w:pStyle w:val="55"/>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5"/>
        <w:jc w:val="center"/>
        <w:rPr>
          <w:color w:val="4E6127"/>
        </w:rPr>
      </w:pPr>
    </w:p>
    <w:p w14:paraId="2F57EEC8">
      <w:pPr>
        <w:pStyle w:val="55"/>
        <w:jc w:val="center"/>
      </w:pPr>
    </w:p>
    <w:p w14:paraId="5B702F78">
      <w:pPr>
        <w:pStyle w:val="55"/>
        <w:jc w:val="center"/>
      </w:pPr>
    </w:p>
    <w:p w14:paraId="79D9ED00">
      <w:pPr>
        <w:pStyle w:val="55"/>
        <w:jc w:val="center"/>
      </w:pPr>
    </w:p>
    <w:p w14:paraId="3866141C">
      <w:pPr>
        <w:pStyle w:val="55"/>
        <w:jc w:val="center"/>
      </w:pPr>
    </w:p>
    <w:p w14:paraId="3F1E3A6F">
      <w:pPr>
        <w:pStyle w:val="55"/>
        <w:jc w:val="center"/>
      </w:pPr>
    </w:p>
    <w:p w14:paraId="214AE873">
      <w:pPr>
        <w:spacing w:line="500" w:lineRule="exact"/>
        <w:jc w:val="center"/>
        <w:rPr>
          <w:rFonts w:hint="eastAsia" w:ascii="Times New Roman" w:hAnsi="Times New Roman" w:cs="Times New Roman"/>
          <w:b/>
          <w:bCs/>
          <w:sz w:val="36"/>
          <w:szCs w:val="36"/>
          <w:lang w:eastAsia="zh-CN"/>
        </w:rPr>
      </w:pPr>
    </w:p>
    <w:p w14:paraId="0498ABEB">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5"/>
        <w:rPr>
          <w:b/>
          <w:bCs/>
          <w:color w:val="4E6127"/>
          <w:sz w:val="36"/>
          <w:szCs w:val="36"/>
        </w:rPr>
      </w:pPr>
    </w:p>
    <w:p w14:paraId="79261888">
      <w:pPr>
        <w:pStyle w:val="55"/>
        <w:rPr>
          <w:b/>
          <w:bCs/>
          <w:color w:val="4E6127"/>
          <w:sz w:val="36"/>
          <w:szCs w:val="36"/>
        </w:rPr>
      </w:pPr>
    </w:p>
    <w:p w14:paraId="4588254C">
      <w:pPr>
        <w:pStyle w:val="55"/>
        <w:rPr>
          <w:b/>
          <w:bCs/>
          <w:color w:val="4E6127"/>
          <w:sz w:val="36"/>
          <w:szCs w:val="36"/>
        </w:rPr>
      </w:pPr>
    </w:p>
    <w:p w14:paraId="130BB33F">
      <w:pPr>
        <w:pStyle w:val="55"/>
        <w:rPr>
          <w:b/>
          <w:bCs/>
          <w:color w:val="4E6127"/>
          <w:sz w:val="36"/>
          <w:szCs w:val="36"/>
        </w:rPr>
      </w:pPr>
    </w:p>
    <w:p w14:paraId="42E83B2C">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55"/>
        <w:rPr>
          <w:b/>
          <w:bCs/>
          <w:sz w:val="36"/>
          <w:szCs w:val="36"/>
        </w:rPr>
      </w:pPr>
    </w:p>
    <w:p w14:paraId="23C989C7">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55"/>
        <w:jc w:val="center"/>
        <w:rPr>
          <w:color w:val="FF0000"/>
        </w:rPr>
      </w:pPr>
    </w:p>
    <w:p w14:paraId="71BD34CF">
      <w:pPr>
        <w:pStyle w:val="55"/>
        <w:jc w:val="center"/>
      </w:pPr>
    </w:p>
    <w:p w14:paraId="029FD09B">
      <w:pPr>
        <w:pStyle w:val="55"/>
        <w:jc w:val="center"/>
      </w:pPr>
    </w:p>
    <w:p w14:paraId="481270E6">
      <w:pPr>
        <w:pStyle w:val="55"/>
        <w:jc w:val="center"/>
      </w:pPr>
    </w:p>
    <w:p w14:paraId="0681EFF1">
      <w:pPr>
        <w:pStyle w:val="55"/>
        <w:jc w:val="center"/>
      </w:pPr>
    </w:p>
    <w:p w14:paraId="41DEA680">
      <w:pPr>
        <w:pStyle w:val="55"/>
        <w:jc w:val="center"/>
      </w:pPr>
    </w:p>
    <w:p w14:paraId="15A64DF3">
      <w:pPr>
        <w:pStyle w:val="55"/>
        <w:jc w:val="center"/>
      </w:pPr>
    </w:p>
    <w:p w14:paraId="280927C3">
      <w:pPr>
        <w:pStyle w:val="55"/>
        <w:jc w:val="center"/>
      </w:pPr>
    </w:p>
    <w:p w14:paraId="02473E6F">
      <w:pPr>
        <w:pStyle w:val="55"/>
        <w:jc w:val="center"/>
      </w:pPr>
    </w:p>
    <w:p w14:paraId="0232CC98">
      <w:pPr>
        <w:pStyle w:val="55"/>
        <w:jc w:val="center"/>
      </w:pPr>
    </w:p>
    <w:p w14:paraId="71DF9366">
      <w:pPr>
        <w:pStyle w:val="55"/>
        <w:jc w:val="center"/>
      </w:pPr>
    </w:p>
    <w:p w14:paraId="29269907">
      <w:pPr>
        <w:pStyle w:val="55"/>
        <w:jc w:val="center"/>
      </w:pPr>
    </w:p>
    <w:p w14:paraId="48C95FCF">
      <w:pPr>
        <w:pStyle w:val="55"/>
        <w:jc w:val="center"/>
      </w:pPr>
    </w:p>
    <w:p w14:paraId="706D5FDD">
      <w:pPr>
        <w:pStyle w:val="55"/>
        <w:jc w:val="center"/>
      </w:pPr>
    </w:p>
    <w:p w14:paraId="2F038F0E">
      <w:pPr>
        <w:pStyle w:val="55"/>
        <w:jc w:val="center"/>
      </w:pPr>
    </w:p>
    <w:p w14:paraId="3693E9F9">
      <w:pPr>
        <w:pStyle w:val="55"/>
        <w:jc w:val="center"/>
      </w:pPr>
    </w:p>
    <w:p w14:paraId="6383BFC9">
      <w:pPr>
        <w:pStyle w:val="55"/>
        <w:jc w:val="center"/>
      </w:pPr>
    </w:p>
    <w:p w14:paraId="5061630D">
      <w:pPr>
        <w:pStyle w:val="55"/>
        <w:jc w:val="center"/>
      </w:pPr>
    </w:p>
    <w:p w14:paraId="4321CC2E">
      <w:pPr>
        <w:pStyle w:val="55"/>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5"/>
        <w:jc w:val="center"/>
      </w:pPr>
    </w:p>
    <w:p w14:paraId="0B9A4F61">
      <w:pPr>
        <w:pStyle w:val="55"/>
        <w:jc w:val="center"/>
      </w:pPr>
    </w:p>
    <w:p w14:paraId="39E3EE84">
      <w:pPr>
        <w:pStyle w:val="55"/>
        <w:jc w:val="center"/>
      </w:pPr>
    </w:p>
    <w:p w14:paraId="78421338">
      <w:pPr>
        <w:pStyle w:val="55"/>
        <w:jc w:val="center"/>
      </w:pPr>
    </w:p>
    <w:p w14:paraId="19E8404F">
      <w:pPr>
        <w:pStyle w:val="55"/>
        <w:jc w:val="center"/>
      </w:pPr>
    </w:p>
    <w:p w14:paraId="7DF7DF00">
      <w:pPr>
        <w:pStyle w:val="55"/>
        <w:jc w:val="center"/>
      </w:pPr>
    </w:p>
    <w:p w14:paraId="29330E12">
      <w:pPr>
        <w:pStyle w:val="55"/>
        <w:jc w:val="center"/>
      </w:pPr>
    </w:p>
    <w:p w14:paraId="26AF80D0">
      <w:pPr>
        <w:pStyle w:val="55"/>
        <w:jc w:val="center"/>
      </w:pPr>
    </w:p>
    <w:p w14:paraId="35ED6ED9">
      <w:pPr>
        <w:pStyle w:val="55"/>
        <w:jc w:val="center"/>
      </w:pPr>
    </w:p>
    <w:p w14:paraId="70C25904">
      <w:pPr>
        <w:pStyle w:val="55"/>
        <w:jc w:val="center"/>
      </w:pPr>
    </w:p>
    <w:p w14:paraId="6ADDD4A7">
      <w:pPr>
        <w:pStyle w:val="55"/>
        <w:jc w:val="center"/>
      </w:pPr>
    </w:p>
    <w:p w14:paraId="5B340194">
      <w:pPr>
        <w:pStyle w:val="55"/>
        <w:jc w:val="center"/>
      </w:pPr>
    </w:p>
    <w:p w14:paraId="752D6ECB">
      <w:pPr>
        <w:pStyle w:val="55"/>
        <w:jc w:val="center"/>
      </w:pPr>
    </w:p>
    <w:p w14:paraId="6B004E64">
      <w:pPr>
        <w:pStyle w:val="55"/>
        <w:jc w:val="center"/>
      </w:pPr>
    </w:p>
    <w:p w14:paraId="05CC3ADB">
      <w:pPr>
        <w:pStyle w:val="55"/>
        <w:jc w:val="center"/>
      </w:pPr>
    </w:p>
    <w:p w14:paraId="06FAA606">
      <w:pPr>
        <w:pStyle w:val="55"/>
        <w:jc w:val="center"/>
      </w:pPr>
    </w:p>
    <w:p w14:paraId="58BFEC13">
      <w:pPr>
        <w:pStyle w:val="55"/>
        <w:jc w:val="center"/>
      </w:pPr>
    </w:p>
    <w:p w14:paraId="55D08212">
      <w:pPr>
        <w:pStyle w:val="55"/>
        <w:jc w:val="center"/>
      </w:pPr>
    </w:p>
    <w:p w14:paraId="3B1ADF54">
      <w:pPr>
        <w:pStyle w:val="55"/>
        <w:jc w:val="center"/>
      </w:pPr>
    </w:p>
    <w:p w14:paraId="10F67DD9">
      <w:pPr>
        <w:pStyle w:val="55"/>
      </w:pPr>
    </w:p>
    <w:p w14:paraId="199023FB">
      <w:pPr>
        <w:pStyle w:val="55"/>
      </w:pPr>
    </w:p>
    <w:p w14:paraId="5B46A9A0">
      <w:pPr>
        <w:pStyle w:val="55"/>
        <w:jc w:val="center"/>
        <w:rPr>
          <w:rFonts w:ascii="Times New Roman" w:hAnsi="Times New Roman"/>
          <w:b/>
          <w:bCs/>
          <w:kern w:val="2"/>
          <w:sz w:val="36"/>
          <w:szCs w:val="36"/>
        </w:rPr>
      </w:pPr>
    </w:p>
    <w:p w14:paraId="3FD0CE97">
      <w:pPr>
        <w:pStyle w:val="55"/>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48923C77">
      <w:pPr>
        <w:pStyle w:val="55"/>
        <w:tabs>
          <w:tab w:val="left" w:pos="4944"/>
        </w:tabs>
        <w:jc w:val="left"/>
        <w:rPr>
          <w:color w:val="4E6127"/>
        </w:rPr>
      </w:pPr>
    </w:p>
    <w:p w14:paraId="2D267141">
      <w:pPr>
        <w:pStyle w:val="55"/>
        <w:tabs>
          <w:tab w:val="left" w:pos="4944"/>
        </w:tabs>
        <w:jc w:val="left"/>
        <w:rPr>
          <w:color w:val="0000FF"/>
        </w:rPr>
      </w:pPr>
    </w:p>
    <w:p w14:paraId="36D3A427">
      <w:pPr>
        <w:pStyle w:val="55"/>
        <w:tabs>
          <w:tab w:val="left" w:pos="4944"/>
        </w:tabs>
        <w:jc w:val="left"/>
        <w:rPr>
          <w:color w:val="0000FF"/>
        </w:rPr>
      </w:pPr>
    </w:p>
    <w:p w14:paraId="704D4854">
      <w:pPr>
        <w:pStyle w:val="55"/>
        <w:tabs>
          <w:tab w:val="left" w:pos="4944"/>
        </w:tabs>
        <w:jc w:val="left"/>
        <w:rPr>
          <w:color w:val="0000FF"/>
        </w:rPr>
      </w:pPr>
    </w:p>
    <w:p w14:paraId="5FDCA863">
      <w:pPr>
        <w:pStyle w:val="55"/>
        <w:tabs>
          <w:tab w:val="left" w:pos="4944"/>
        </w:tabs>
        <w:jc w:val="left"/>
        <w:rPr>
          <w:color w:val="0000FF"/>
        </w:rPr>
      </w:pPr>
    </w:p>
    <w:p w14:paraId="2F34D122">
      <w:pPr>
        <w:pStyle w:val="55"/>
        <w:tabs>
          <w:tab w:val="left" w:pos="4944"/>
        </w:tabs>
        <w:jc w:val="left"/>
        <w:rPr>
          <w:color w:val="0000FF"/>
        </w:rPr>
      </w:pPr>
    </w:p>
    <w:p w14:paraId="1847BFCC">
      <w:pPr>
        <w:pStyle w:val="55"/>
        <w:tabs>
          <w:tab w:val="left" w:pos="4944"/>
        </w:tabs>
        <w:jc w:val="left"/>
        <w:rPr>
          <w:color w:val="0000FF"/>
        </w:rPr>
      </w:pPr>
    </w:p>
    <w:p w14:paraId="1395C2AA">
      <w:pPr>
        <w:pStyle w:val="55"/>
        <w:tabs>
          <w:tab w:val="left" w:pos="4944"/>
        </w:tabs>
        <w:jc w:val="left"/>
        <w:rPr>
          <w:color w:val="0000FF"/>
        </w:rPr>
      </w:pPr>
    </w:p>
    <w:p w14:paraId="7359A728">
      <w:pPr>
        <w:pStyle w:val="55"/>
        <w:tabs>
          <w:tab w:val="left" w:pos="4944"/>
        </w:tabs>
        <w:jc w:val="left"/>
        <w:rPr>
          <w:color w:val="0000FF"/>
        </w:rPr>
      </w:pPr>
    </w:p>
    <w:p w14:paraId="516E9A99">
      <w:pPr>
        <w:pStyle w:val="55"/>
        <w:tabs>
          <w:tab w:val="left" w:pos="4944"/>
        </w:tabs>
        <w:jc w:val="left"/>
        <w:rPr>
          <w:color w:val="0000FF"/>
        </w:rPr>
      </w:pPr>
    </w:p>
    <w:p w14:paraId="1B2DBD2C">
      <w:pPr>
        <w:pStyle w:val="55"/>
        <w:tabs>
          <w:tab w:val="left" w:pos="4944"/>
        </w:tabs>
        <w:jc w:val="left"/>
        <w:rPr>
          <w:color w:val="0000FF"/>
        </w:rPr>
      </w:pPr>
    </w:p>
    <w:p w14:paraId="44BEEF71">
      <w:pPr>
        <w:pStyle w:val="55"/>
        <w:tabs>
          <w:tab w:val="left" w:pos="4944"/>
        </w:tabs>
        <w:jc w:val="left"/>
        <w:rPr>
          <w:color w:val="0000FF"/>
        </w:rPr>
      </w:pPr>
    </w:p>
    <w:p w14:paraId="6BF48D34">
      <w:pPr>
        <w:pStyle w:val="55"/>
        <w:tabs>
          <w:tab w:val="left" w:pos="4944"/>
        </w:tabs>
        <w:jc w:val="left"/>
        <w:rPr>
          <w:color w:val="0000FF"/>
        </w:rPr>
      </w:pPr>
    </w:p>
    <w:p w14:paraId="1FD9E4DA">
      <w:pPr>
        <w:pStyle w:val="55"/>
        <w:tabs>
          <w:tab w:val="left" w:pos="4944"/>
        </w:tabs>
        <w:jc w:val="left"/>
        <w:rPr>
          <w:color w:val="0000FF"/>
        </w:rPr>
      </w:pPr>
    </w:p>
    <w:p w14:paraId="052D3479">
      <w:pPr>
        <w:pStyle w:val="55"/>
        <w:tabs>
          <w:tab w:val="left" w:pos="4944"/>
        </w:tabs>
        <w:jc w:val="left"/>
        <w:rPr>
          <w:color w:val="0000FF"/>
        </w:rPr>
      </w:pPr>
    </w:p>
    <w:p w14:paraId="3242BF0E">
      <w:pPr>
        <w:pStyle w:val="55"/>
        <w:tabs>
          <w:tab w:val="left" w:pos="4944"/>
        </w:tabs>
        <w:jc w:val="left"/>
        <w:rPr>
          <w:color w:val="0000FF"/>
        </w:rPr>
      </w:pPr>
    </w:p>
    <w:p w14:paraId="45A83F4C">
      <w:pPr>
        <w:pStyle w:val="55"/>
        <w:tabs>
          <w:tab w:val="left" w:pos="4944"/>
        </w:tabs>
        <w:jc w:val="left"/>
        <w:rPr>
          <w:color w:val="0000FF"/>
        </w:rPr>
      </w:pPr>
    </w:p>
    <w:p w14:paraId="62911DD3">
      <w:pPr>
        <w:pStyle w:val="55"/>
        <w:tabs>
          <w:tab w:val="left" w:pos="4944"/>
        </w:tabs>
        <w:jc w:val="left"/>
        <w:rPr>
          <w:color w:val="0000FF"/>
        </w:rPr>
      </w:pPr>
    </w:p>
    <w:p w14:paraId="743211F9">
      <w:pPr>
        <w:pStyle w:val="55"/>
        <w:tabs>
          <w:tab w:val="left" w:pos="4944"/>
        </w:tabs>
        <w:jc w:val="left"/>
        <w:rPr>
          <w:color w:val="0000FF"/>
        </w:rPr>
      </w:pPr>
    </w:p>
    <w:p w14:paraId="3FE873FE">
      <w:pPr>
        <w:pStyle w:val="55"/>
        <w:tabs>
          <w:tab w:val="left" w:pos="4944"/>
        </w:tabs>
        <w:jc w:val="left"/>
        <w:rPr>
          <w:color w:val="0000FF"/>
        </w:rPr>
      </w:pPr>
    </w:p>
    <w:p w14:paraId="53B6BEE6">
      <w:pPr>
        <w:pStyle w:val="55"/>
        <w:jc w:val="center"/>
        <w:rPr>
          <w:rFonts w:ascii="Times New Roman" w:hAnsi="Times New Roman"/>
          <w:b/>
          <w:bCs/>
          <w:kern w:val="2"/>
          <w:sz w:val="36"/>
          <w:szCs w:val="36"/>
        </w:rPr>
      </w:pPr>
    </w:p>
    <w:p w14:paraId="24C65F6A">
      <w:pPr>
        <w:pStyle w:val="55"/>
        <w:jc w:val="center"/>
        <w:rPr>
          <w:rFonts w:ascii="Times New Roman" w:hAnsi="Times New Roman"/>
          <w:b/>
          <w:bCs/>
          <w:kern w:val="2"/>
          <w:sz w:val="36"/>
          <w:szCs w:val="36"/>
        </w:rPr>
      </w:pPr>
    </w:p>
    <w:p w14:paraId="3729CAE3">
      <w:pPr>
        <w:pStyle w:val="55"/>
        <w:jc w:val="center"/>
        <w:rPr>
          <w:rFonts w:hint="eastAsia" w:ascii="Times New Roman" w:hAnsi="Times New Roman" w:cs="Times New Roman"/>
          <w:b/>
          <w:bCs/>
          <w:kern w:val="2"/>
          <w:sz w:val="36"/>
          <w:szCs w:val="36"/>
          <w:lang w:eastAsia="zh-CN"/>
        </w:rPr>
      </w:pPr>
      <w:r>
        <w:rPr>
          <w:rFonts w:hint="eastAsia" w:ascii="Times New Roman" w:hAnsi="Times New Roman" w:cs="Times New Roman"/>
          <w:b/>
          <w:bCs/>
          <w:kern w:val="2"/>
          <w:sz w:val="36"/>
          <w:szCs w:val="36"/>
          <w:lang w:val="en-US" w:eastAsia="zh-CN"/>
        </w:rPr>
        <w:t>业绩清单及证明文件</w:t>
      </w:r>
      <w:r>
        <w:rPr>
          <w:rFonts w:hint="eastAsia" w:ascii="Times New Roman" w:hAnsi="Times New Roman" w:cs="Times New Roman"/>
          <w:b/>
          <w:bCs/>
          <w:kern w:val="2"/>
          <w:sz w:val="36"/>
          <w:szCs w:val="36"/>
          <w:lang w:eastAsia="zh-CN"/>
        </w:rPr>
        <w:t xml:space="preserve">     </w:t>
      </w:r>
    </w:p>
    <w:p w14:paraId="5959275A">
      <w:pPr>
        <w:spacing w:line="360" w:lineRule="auto"/>
        <w:jc w:val="center"/>
        <w:rPr>
          <w:rFonts w:ascii="Times New Roman" w:hAnsi="Times New Roman" w:cs="Times New Roman"/>
          <w:b/>
          <w:sz w:val="36"/>
          <w:szCs w:val="36"/>
          <w:lang w:eastAsia="zh-CN"/>
        </w:rPr>
      </w:pPr>
    </w:p>
    <w:p w14:paraId="4C478D13">
      <w:pPr>
        <w:spacing w:line="360" w:lineRule="auto"/>
        <w:jc w:val="center"/>
        <w:rPr>
          <w:rFonts w:ascii="Times New Roman" w:hAnsi="Times New Roman" w:cs="Times New Roman"/>
          <w:b/>
          <w:sz w:val="36"/>
          <w:szCs w:val="36"/>
          <w:lang w:eastAsia="zh-CN"/>
        </w:rPr>
      </w:pPr>
    </w:p>
    <w:p w14:paraId="6FFBE286">
      <w:pPr>
        <w:spacing w:line="360" w:lineRule="auto"/>
        <w:jc w:val="center"/>
        <w:rPr>
          <w:rFonts w:ascii="Times New Roman" w:hAnsi="Times New Roman" w:cs="Times New Roman"/>
          <w:b/>
          <w:sz w:val="36"/>
          <w:szCs w:val="36"/>
          <w:lang w:eastAsia="zh-CN"/>
        </w:rPr>
      </w:pPr>
    </w:p>
    <w:p w14:paraId="2D2E199B">
      <w:pPr>
        <w:spacing w:line="360" w:lineRule="auto"/>
        <w:jc w:val="center"/>
        <w:rPr>
          <w:rFonts w:ascii="Times New Roman" w:hAnsi="Times New Roman" w:cs="Times New Roman"/>
          <w:b/>
          <w:sz w:val="36"/>
          <w:szCs w:val="36"/>
          <w:lang w:eastAsia="zh-CN"/>
        </w:rPr>
      </w:pPr>
    </w:p>
    <w:p w14:paraId="5C990A93">
      <w:pPr>
        <w:spacing w:line="360" w:lineRule="auto"/>
        <w:jc w:val="center"/>
        <w:rPr>
          <w:rFonts w:ascii="Times New Roman" w:hAnsi="Times New Roman" w:cs="Times New Roman"/>
          <w:b/>
          <w:sz w:val="36"/>
          <w:szCs w:val="36"/>
          <w:lang w:eastAsia="zh-CN"/>
        </w:rPr>
      </w:pPr>
    </w:p>
    <w:p w14:paraId="76379D3D">
      <w:pPr>
        <w:spacing w:line="360" w:lineRule="auto"/>
        <w:jc w:val="center"/>
        <w:rPr>
          <w:rFonts w:ascii="Times New Roman" w:hAnsi="Times New Roman" w:cs="Times New Roman"/>
          <w:b/>
          <w:sz w:val="36"/>
          <w:szCs w:val="36"/>
          <w:lang w:eastAsia="zh-CN"/>
        </w:rPr>
      </w:pPr>
    </w:p>
    <w:p w14:paraId="4E982652">
      <w:pPr>
        <w:spacing w:line="360" w:lineRule="auto"/>
        <w:jc w:val="center"/>
        <w:rPr>
          <w:rFonts w:ascii="Times New Roman" w:hAnsi="Times New Roman" w:cs="Times New Roman"/>
          <w:b/>
          <w:sz w:val="36"/>
          <w:szCs w:val="36"/>
          <w:lang w:eastAsia="zh-CN"/>
        </w:rPr>
      </w:pPr>
    </w:p>
    <w:p w14:paraId="3E02E6B0">
      <w:pPr>
        <w:spacing w:line="360" w:lineRule="auto"/>
        <w:jc w:val="center"/>
        <w:rPr>
          <w:rFonts w:ascii="Times New Roman" w:hAnsi="Times New Roman" w:cs="Times New Roman"/>
          <w:b/>
          <w:sz w:val="36"/>
          <w:szCs w:val="36"/>
          <w:lang w:eastAsia="zh-CN"/>
        </w:rPr>
      </w:pPr>
    </w:p>
    <w:p w14:paraId="1058D20C">
      <w:pPr>
        <w:spacing w:line="360" w:lineRule="auto"/>
        <w:jc w:val="center"/>
        <w:rPr>
          <w:rFonts w:ascii="Times New Roman" w:hAnsi="Times New Roman" w:cs="Times New Roman"/>
          <w:b/>
          <w:sz w:val="36"/>
          <w:szCs w:val="36"/>
          <w:lang w:eastAsia="zh-CN"/>
        </w:rPr>
      </w:pPr>
    </w:p>
    <w:p w14:paraId="3A7EBD3F">
      <w:pPr>
        <w:spacing w:line="360" w:lineRule="auto"/>
        <w:jc w:val="center"/>
        <w:rPr>
          <w:rFonts w:ascii="Times New Roman" w:hAnsi="Times New Roman" w:cs="Times New Roman"/>
          <w:b/>
          <w:sz w:val="36"/>
          <w:szCs w:val="36"/>
          <w:lang w:eastAsia="zh-CN"/>
        </w:rPr>
      </w:pPr>
    </w:p>
    <w:p w14:paraId="2B2EFE24">
      <w:pPr>
        <w:spacing w:line="360" w:lineRule="auto"/>
        <w:jc w:val="center"/>
        <w:rPr>
          <w:rFonts w:ascii="Times New Roman" w:hAnsi="Times New Roman" w:cs="Times New Roman"/>
          <w:b/>
          <w:sz w:val="36"/>
          <w:szCs w:val="36"/>
          <w:lang w:eastAsia="zh-CN"/>
        </w:rPr>
      </w:pPr>
    </w:p>
    <w:p w14:paraId="44D88644">
      <w:pPr>
        <w:spacing w:line="360" w:lineRule="auto"/>
        <w:jc w:val="center"/>
        <w:rPr>
          <w:rFonts w:ascii="Times New Roman" w:hAnsi="Times New Roman" w:cs="Times New Roman"/>
          <w:b/>
          <w:sz w:val="36"/>
          <w:szCs w:val="36"/>
          <w:lang w:eastAsia="zh-CN"/>
        </w:rPr>
      </w:pPr>
    </w:p>
    <w:p w14:paraId="41A3BAB7">
      <w:pPr>
        <w:spacing w:line="360" w:lineRule="auto"/>
        <w:jc w:val="center"/>
        <w:rPr>
          <w:rFonts w:ascii="Times New Roman" w:hAnsi="Times New Roman" w:cs="Times New Roman"/>
          <w:b/>
          <w:sz w:val="36"/>
          <w:szCs w:val="36"/>
          <w:lang w:eastAsia="zh-CN"/>
        </w:rPr>
      </w:pPr>
    </w:p>
    <w:p w14:paraId="413EDA6B">
      <w:pPr>
        <w:spacing w:line="360" w:lineRule="auto"/>
        <w:jc w:val="center"/>
        <w:rPr>
          <w:rFonts w:ascii="Times New Roman" w:hAnsi="Times New Roman" w:cs="Times New Roman"/>
          <w:b/>
          <w:sz w:val="36"/>
          <w:szCs w:val="36"/>
          <w:lang w:eastAsia="zh-CN"/>
        </w:rPr>
      </w:pPr>
    </w:p>
    <w:p w14:paraId="234E0FD8">
      <w:pPr>
        <w:spacing w:line="360" w:lineRule="auto"/>
        <w:jc w:val="center"/>
        <w:rPr>
          <w:rFonts w:ascii="Times New Roman" w:hAnsi="Times New Roman" w:cs="Times New Roman"/>
          <w:b/>
          <w:sz w:val="36"/>
          <w:szCs w:val="36"/>
          <w:lang w:eastAsia="zh-CN"/>
        </w:rPr>
      </w:pPr>
    </w:p>
    <w:p w14:paraId="04C28433">
      <w:pPr>
        <w:spacing w:line="360" w:lineRule="auto"/>
        <w:jc w:val="center"/>
        <w:rPr>
          <w:rFonts w:ascii="Times New Roman" w:hAnsi="Times New Roman" w:cs="Times New Roman"/>
          <w:b/>
          <w:sz w:val="36"/>
          <w:szCs w:val="36"/>
          <w:lang w:eastAsia="zh-CN"/>
        </w:rPr>
      </w:pPr>
    </w:p>
    <w:p w14:paraId="35564AE1">
      <w:pPr>
        <w:spacing w:line="360" w:lineRule="auto"/>
        <w:jc w:val="center"/>
        <w:rPr>
          <w:rFonts w:ascii="Times New Roman" w:hAnsi="Times New Roman" w:cs="Times New Roman"/>
          <w:b/>
          <w:sz w:val="36"/>
          <w:szCs w:val="36"/>
          <w:lang w:eastAsia="zh-CN"/>
        </w:rPr>
      </w:pPr>
    </w:p>
    <w:p w14:paraId="4A8375FA">
      <w:pPr>
        <w:spacing w:line="360" w:lineRule="auto"/>
        <w:jc w:val="center"/>
        <w:rPr>
          <w:rFonts w:ascii="Times New Roman" w:hAnsi="Times New Roman" w:cs="Times New Roman"/>
          <w:b/>
          <w:sz w:val="36"/>
          <w:szCs w:val="36"/>
          <w:lang w:eastAsia="zh-CN"/>
        </w:rPr>
      </w:pPr>
    </w:p>
    <w:p w14:paraId="3051C24D">
      <w:pPr>
        <w:spacing w:line="360" w:lineRule="auto"/>
        <w:jc w:val="center"/>
        <w:rPr>
          <w:rFonts w:ascii="Times New Roman" w:hAnsi="Times New Roman" w:cs="Times New Roman"/>
          <w:b/>
          <w:sz w:val="36"/>
          <w:szCs w:val="36"/>
          <w:lang w:eastAsia="zh-CN"/>
        </w:rPr>
      </w:pPr>
    </w:p>
    <w:p w14:paraId="4B97CC94">
      <w:pPr>
        <w:spacing w:line="360" w:lineRule="auto"/>
        <w:jc w:val="center"/>
        <w:rPr>
          <w:rFonts w:ascii="Times New Roman" w:hAnsi="Times New Roman" w:cs="Times New Roman"/>
          <w:b/>
          <w:sz w:val="36"/>
          <w:szCs w:val="36"/>
          <w:lang w:eastAsia="zh-CN"/>
        </w:rPr>
      </w:pPr>
    </w:p>
    <w:p w14:paraId="0DD73796">
      <w:pPr>
        <w:pStyle w:val="2"/>
        <w:rPr>
          <w:lang w:eastAsia="zh-CN"/>
        </w:rPr>
      </w:pPr>
    </w:p>
    <w:p w14:paraId="40E63704">
      <w:pPr>
        <w:pStyle w:val="55"/>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吸附分离预处理技改项目及海西天然气古雷段能化专线工程职业病危害预评价报告书编制采购文件的全部内容后，我方愿以以下报价，严格按照采购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6</w:t>
            </w:r>
            <w:r>
              <w:rPr>
                <w:rFonts w:hint="eastAsia" w:ascii="Times New Roman" w:hAnsi="Times New Roman"/>
                <w:sz w:val="28"/>
                <w:szCs w:val="28"/>
                <w:u w:val="single"/>
                <w:lang w:eastAsia="zh-CN"/>
              </w:rPr>
              <w:t xml:space="preserve">%） </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5308"/>
              <w:gridCol w:w="1465"/>
              <w:gridCol w:w="1714"/>
            </w:tblGrid>
            <w:tr w14:paraId="711E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70A14B6D">
                  <w:pPr>
                    <w:spacing w:line="360" w:lineRule="auto"/>
                    <w:jc w:val="center"/>
                    <w:rPr>
                      <w:rFonts w:hint="eastAsia" w:ascii="Times New Roman" w:hAnsi="Times New Roman"/>
                      <w:sz w:val="28"/>
                      <w:szCs w:val="28"/>
                      <w:lang w:val="en-US" w:eastAsia="zh-CN"/>
                    </w:rPr>
                  </w:pPr>
                  <w:r>
                    <w:rPr>
                      <w:rFonts w:hint="eastAsia" w:ascii="Times New Roman" w:hAnsi="Times New Roman"/>
                      <w:sz w:val="28"/>
                      <w:szCs w:val="28"/>
                      <w:lang w:val="en-US" w:eastAsia="zh-CN"/>
                    </w:rPr>
                    <w:t>序号</w:t>
                  </w:r>
                </w:p>
              </w:tc>
              <w:tc>
                <w:tcPr>
                  <w:tcW w:w="5308" w:type="dxa"/>
                </w:tcPr>
                <w:p w14:paraId="3F2EAE01">
                  <w:pPr>
                    <w:spacing w:line="360" w:lineRule="auto"/>
                    <w:jc w:val="center"/>
                    <w:rPr>
                      <w:rFonts w:hint="default" w:ascii="Times New Roman" w:hAnsi="Times New Roman"/>
                      <w:sz w:val="28"/>
                      <w:szCs w:val="28"/>
                      <w:lang w:val="en-US" w:eastAsia="zh-CN"/>
                    </w:rPr>
                  </w:pPr>
                  <w:r>
                    <w:rPr>
                      <w:rFonts w:hint="eastAsia" w:ascii="Times New Roman" w:hAnsi="Times New Roman"/>
                      <w:sz w:val="28"/>
                      <w:szCs w:val="28"/>
                      <w:lang w:val="en-US" w:eastAsia="zh-CN"/>
                    </w:rPr>
                    <w:t>项目名称</w:t>
                  </w:r>
                </w:p>
              </w:tc>
              <w:tc>
                <w:tcPr>
                  <w:tcW w:w="1465" w:type="dxa"/>
                </w:tcPr>
                <w:p w14:paraId="228BF5DA">
                  <w:pPr>
                    <w:spacing w:line="360" w:lineRule="auto"/>
                    <w:jc w:val="center"/>
                    <w:rPr>
                      <w:rFonts w:hint="eastAsia" w:ascii="Times New Roman" w:hAnsi="Times New Roman"/>
                      <w:sz w:val="28"/>
                      <w:szCs w:val="28"/>
                      <w:lang w:val="en-US" w:eastAsia="zh-CN"/>
                    </w:rPr>
                  </w:pPr>
                  <w:r>
                    <w:rPr>
                      <w:rFonts w:hint="eastAsia" w:ascii="Times New Roman" w:hAnsi="Times New Roman"/>
                      <w:sz w:val="28"/>
                      <w:szCs w:val="28"/>
                      <w:lang w:val="en-US" w:eastAsia="zh-CN"/>
                    </w:rPr>
                    <w:t>小计</w:t>
                  </w:r>
                </w:p>
              </w:tc>
              <w:tc>
                <w:tcPr>
                  <w:tcW w:w="1714" w:type="dxa"/>
                </w:tcPr>
                <w:p w14:paraId="75DAF6C6">
                  <w:pPr>
                    <w:spacing w:line="360" w:lineRule="auto"/>
                    <w:jc w:val="center"/>
                    <w:rPr>
                      <w:rFonts w:hint="eastAsia" w:ascii="Times New Roman" w:hAnsi="Times New Roman"/>
                      <w:sz w:val="28"/>
                      <w:szCs w:val="28"/>
                      <w:lang w:val="en-US" w:eastAsia="zh-CN"/>
                    </w:rPr>
                  </w:pPr>
                  <w:r>
                    <w:rPr>
                      <w:rFonts w:hint="eastAsia" w:ascii="Times New Roman" w:hAnsi="Times New Roman"/>
                      <w:sz w:val="28"/>
                      <w:szCs w:val="28"/>
                      <w:lang w:val="en-US" w:eastAsia="zh-CN"/>
                    </w:rPr>
                    <w:t>备注</w:t>
                  </w:r>
                </w:p>
              </w:tc>
            </w:tr>
            <w:tr w14:paraId="1945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231C8A57">
                  <w:pPr>
                    <w:spacing w:line="360" w:lineRule="auto"/>
                    <w:jc w:val="center"/>
                    <w:rPr>
                      <w:rFonts w:hint="eastAsia" w:ascii="Times New Roman" w:hAnsi="Times New Roman"/>
                      <w:sz w:val="28"/>
                      <w:szCs w:val="28"/>
                      <w:lang w:val="en-US" w:eastAsia="zh-CN"/>
                    </w:rPr>
                  </w:pPr>
                  <w:r>
                    <w:rPr>
                      <w:rFonts w:hint="eastAsia" w:ascii="Times New Roman" w:hAnsi="Times New Roman"/>
                      <w:sz w:val="28"/>
                      <w:szCs w:val="28"/>
                      <w:lang w:val="en-US" w:eastAsia="zh-CN"/>
                    </w:rPr>
                    <w:t>1</w:t>
                  </w:r>
                </w:p>
              </w:tc>
              <w:tc>
                <w:tcPr>
                  <w:tcW w:w="5308" w:type="dxa"/>
                </w:tcPr>
                <w:p w14:paraId="3E7E2BF4">
                  <w:pPr>
                    <w:spacing w:line="360" w:lineRule="auto"/>
                    <w:jc w:val="center"/>
                    <w:rPr>
                      <w:rFonts w:hint="eastAsia" w:ascii="Times New Roman" w:hAnsi="Times New Roman"/>
                      <w:sz w:val="28"/>
                      <w:szCs w:val="28"/>
                      <w:lang w:eastAsia="zh-CN"/>
                    </w:rPr>
                  </w:pPr>
                  <w:r>
                    <w:rPr>
                      <w:rFonts w:hint="eastAsia" w:ascii="Times New Roman" w:hAnsi="Times New Roman"/>
                      <w:sz w:val="28"/>
                      <w:szCs w:val="28"/>
                      <w:lang w:eastAsia="zh-CN"/>
                    </w:rPr>
                    <w:t>吸附分离预处理技改项目</w:t>
                  </w:r>
                </w:p>
              </w:tc>
              <w:tc>
                <w:tcPr>
                  <w:tcW w:w="1465" w:type="dxa"/>
                </w:tcPr>
                <w:p w14:paraId="37D577A1">
                  <w:pPr>
                    <w:spacing w:line="360" w:lineRule="auto"/>
                    <w:ind w:firstLine="980" w:firstLineChars="350"/>
                    <w:jc w:val="center"/>
                    <w:rPr>
                      <w:rFonts w:hint="eastAsia" w:ascii="Times New Roman" w:hAnsi="Times New Roman"/>
                      <w:sz w:val="28"/>
                      <w:szCs w:val="28"/>
                      <w:lang w:eastAsia="zh-CN"/>
                    </w:rPr>
                  </w:pPr>
                </w:p>
              </w:tc>
              <w:tc>
                <w:tcPr>
                  <w:tcW w:w="1714" w:type="dxa"/>
                </w:tcPr>
                <w:p w14:paraId="56FD61D3">
                  <w:pPr>
                    <w:spacing w:line="360" w:lineRule="auto"/>
                    <w:ind w:firstLine="980" w:firstLineChars="350"/>
                    <w:jc w:val="center"/>
                    <w:rPr>
                      <w:rFonts w:hint="eastAsia" w:ascii="Times New Roman" w:hAnsi="Times New Roman"/>
                      <w:sz w:val="28"/>
                      <w:szCs w:val="28"/>
                      <w:lang w:eastAsia="zh-CN"/>
                    </w:rPr>
                  </w:pPr>
                </w:p>
              </w:tc>
            </w:tr>
            <w:tr w14:paraId="75E2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27A30074">
                  <w:pPr>
                    <w:spacing w:line="360" w:lineRule="auto"/>
                    <w:jc w:val="center"/>
                    <w:rPr>
                      <w:rFonts w:hint="eastAsia" w:ascii="Times New Roman" w:hAnsi="Times New Roman"/>
                      <w:sz w:val="28"/>
                      <w:szCs w:val="28"/>
                      <w:lang w:val="en-US" w:eastAsia="zh-CN"/>
                    </w:rPr>
                  </w:pPr>
                  <w:r>
                    <w:rPr>
                      <w:rFonts w:hint="eastAsia" w:ascii="Times New Roman" w:hAnsi="Times New Roman"/>
                      <w:sz w:val="28"/>
                      <w:szCs w:val="28"/>
                      <w:lang w:val="en-US" w:eastAsia="zh-CN"/>
                    </w:rPr>
                    <w:t>2</w:t>
                  </w:r>
                </w:p>
              </w:tc>
              <w:tc>
                <w:tcPr>
                  <w:tcW w:w="5308" w:type="dxa"/>
                </w:tcPr>
                <w:p w14:paraId="33362DF2">
                  <w:pPr>
                    <w:spacing w:line="360" w:lineRule="auto"/>
                    <w:jc w:val="center"/>
                    <w:rPr>
                      <w:rFonts w:hint="eastAsia" w:ascii="Times New Roman" w:hAnsi="Times New Roman"/>
                      <w:sz w:val="28"/>
                      <w:szCs w:val="28"/>
                      <w:lang w:eastAsia="zh-CN"/>
                    </w:rPr>
                  </w:pPr>
                  <w:r>
                    <w:rPr>
                      <w:rFonts w:hint="eastAsia" w:ascii="Times New Roman" w:hAnsi="Times New Roman"/>
                      <w:sz w:val="28"/>
                      <w:szCs w:val="28"/>
                      <w:lang w:eastAsia="zh-CN"/>
                    </w:rPr>
                    <w:t>海西天然气古雷段能化专线工程</w:t>
                  </w:r>
                </w:p>
              </w:tc>
              <w:tc>
                <w:tcPr>
                  <w:tcW w:w="1465" w:type="dxa"/>
                </w:tcPr>
                <w:p w14:paraId="721CCF40">
                  <w:pPr>
                    <w:spacing w:line="360" w:lineRule="auto"/>
                    <w:ind w:firstLine="980" w:firstLineChars="350"/>
                    <w:jc w:val="center"/>
                    <w:rPr>
                      <w:rFonts w:hint="eastAsia" w:ascii="Times New Roman" w:hAnsi="Times New Roman"/>
                      <w:sz w:val="28"/>
                      <w:szCs w:val="28"/>
                      <w:lang w:eastAsia="zh-CN"/>
                    </w:rPr>
                  </w:pPr>
                </w:p>
              </w:tc>
              <w:tc>
                <w:tcPr>
                  <w:tcW w:w="1714" w:type="dxa"/>
                </w:tcPr>
                <w:p w14:paraId="56711435">
                  <w:pPr>
                    <w:spacing w:line="360" w:lineRule="auto"/>
                    <w:ind w:firstLine="980" w:firstLineChars="350"/>
                    <w:jc w:val="center"/>
                    <w:rPr>
                      <w:rFonts w:hint="eastAsia" w:ascii="Times New Roman" w:hAnsi="Times New Roman"/>
                      <w:sz w:val="28"/>
                      <w:szCs w:val="28"/>
                      <w:lang w:eastAsia="zh-CN"/>
                    </w:rPr>
                  </w:pPr>
                </w:p>
              </w:tc>
            </w:tr>
            <w:tr w14:paraId="67C2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4" w:type="dxa"/>
                  <w:gridSpan w:val="2"/>
                </w:tcPr>
                <w:p w14:paraId="0634A1D7">
                  <w:pPr>
                    <w:spacing w:line="360" w:lineRule="auto"/>
                    <w:ind w:firstLine="980" w:firstLineChars="350"/>
                    <w:jc w:val="center"/>
                    <w:rPr>
                      <w:rFonts w:hint="default" w:ascii="Times New Roman" w:hAnsi="Times New Roman"/>
                      <w:sz w:val="28"/>
                      <w:szCs w:val="28"/>
                      <w:lang w:val="en-US" w:eastAsia="zh-CN"/>
                    </w:rPr>
                  </w:pPr>
                  <w:r>
                    <w:rPr>
                      <w:rFonts w:hint="eastAsia" w:ascii="Times New Roman" w:hAnsi="Times New Roman"/>
                      <w:sz w:val="28"/>
                      <w:szCs w:val="28"/>
                      <w:lang w:val="en-US" w:eastAsia="zh-CN"/>
                    </w:rPr>
                    <w:t>合计</w:t>
                  </w:r>
                </w:p>
              </w:tc>
              <w:tc>
                <w:tcPr>
                  <w:tcW w:w="1465" w:type="dxa"/>
                </w:tcPr>
                <w:p w14:paraId="5303904C">
                  <w:pPr>
                    <w:spacing w:line="360" w:lineRule="auto"/>
                    <w:ind w:firstLine="980" w:firstLineChars="350"/>
                    <w:jc w:val="center"/>
                    <w:rPr>
                      <w:rFonts w:hint="eastAsia" w:ascii="Times New Roman" w:hAnsi="Times New Roman"/>
                      <w:sz w:val="28"/>
                      <w:szCs w:val="28"/>
                      <w:lang w:eastAsia="zh-CN"/>
                    </w:rPr>
                  </w:pPr>
                </w:p>
              </w:tc>
              <w:tc>
                <w:tcPr>
                  <w:tcW w:w="1714" w:type="dxa"/>
                </w:tcPr>
                <w:p w14:paraId="6AA1BF34">
                  <w:pPr>
                    <w:spacing w:line="360" w:lineRule="auto"/>
                    <w:jc w:val="both"/>
                    <w:rPr>
                      <w:rFonts w:hint="default" w:ascii="Times New Roman" w:hAnsi="Times New Roman"/>
                      <w:sz w:val="28"/>
                      <w:szCs w:val="28"/>
                      <w:lang w:val="en-US" w:eastAsia="zh-CN"/>
                    </w:rPr>
                  </w:pPr>
                  <w:r>
                    <w:rPr>
                      <w:rFonts w:hint="eastAsia" w:ascii="Times New Roman" w:hAnsi="Times New Roman"/>
                      <w:sz w:val="28"/>
                      <w:szCs w:val="28"/>
                      <w:lang w:val="en-US" w:eastAsia="zh-CN"/>
                    </w:rPr>
                    <w:t>含6%增值税</w:t>
                  </w:r>
                </w:p>
              </w:tc>
            </w:tr>
          </w:tbl>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5"/>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7552A791">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42D1A21">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9CB3EE"/>
    <w:multiLevelType w:val="singleLevel"/>
    <w:tmpl w:val="CC9CB3EE"/>
    <w:lvl w:ilvl="0" w:tentative="0">
      <w:start w:val="1"/>
      <w:numFmt w:val="decimal"/>
      <w:lvlText w:val="%1."/>
      <w:lvlJc w:val="left"/>
      <w:pPr>
        <w:ind w:left="425" w:hanging="425"/>
      </w:pPr>
      <w:rPr>
        <w:rFonts w:hint="default"/>
      </w:rPr>
    </w:lvl>
  </w:abstractNum>
  <w:abstractNum w:abstractNumId="1">
    <w:nsid w:val="E168562E"/>
    <w:multiLevelType w:val="multilevel"/>
    <w:tmpl w:val="E168562E"/>
    <w:lvl w:ilvl="0" w:tentative="0">
      <w:start w:val="1"/>
      <w:numFmt w:val="decimal"/>
      <w:lvlText w:val="(%1)"/>
      <w:lvlJc w:val="left"/>
      <w:pPr>
        <w:tabs>
          <w:tab w:val="left" w:pos="720"/>
        </w:tabs>
        <w:ind w:left="720" w:hanging="72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04F96BDC"/>
    <w:multiLevelType w:val="multilevel"/>
    <w:tmpl w:val="04F96BDC"/>
    <w:lvl w:ilvl="0" w:tentative="0">
      <w:start w:val="1"/>
      <w:numFmt w:val="decimal"/>
      <w:lvlText w:val="(%1)"/>
      <w:lvlJc w:val="left"/>
      <w:pPr>
        <w:tabs>
          <w:tab w:val="left" w:pos="720"/>
        </w:tabs>
        <w:ind w:left="720" w:hanging="72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DB90928"/>
    <w:multiLevelType w:val="multilevel"/>
    <w:tmpl w:val="1DB90928"/>
    <w:lvl w:ilvl="0" w:tentative="0">
      <w:start w:val="1"/>
      <w:numFmt w:val="japaneseCounting"/>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2"/>
  </w:num>
  <w:num w:numId="3">
    <w:abstractNumId w:val="8"/>
  </w:num>
  <w:num w:numId="4">
    <w:abstractNumId w:val="5"/>
  </w:num>
  <w:num w:numId="5">
    <w:abstractNumId w:val="6"/>
  </w:num>
  <w:num w:numId="6">
    <w:abstractNumId w:val="7"/>
  </w:num>
  <w:num w:numId="7">
    <w:abstractNumId w:val="1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 w:numId="11">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南极的北极熊">
    <w15:presenceInfo w15:providerId="WPS Office" w15:userId="15529718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14402"/>
    <w:rsid w:val="00022793"/>
    <w:rsid w:val="00025717"/>
    <w:rsid w:val="000277D1"/>
    <w:rsid w:val="00030933"/>
    <w:rsid w:val="00034C8E"/>
    <w:rsid w:val="000367ED"/>
    <w:rsid w:val="00037D7F"/>
    <w:rsid w:val="00047837"/>
    <w:rsid w:val="00051984"/>
    <w:rsid w:val="00052C0E"/>
    <w:rsid w:val="00057E4C"/>
    <w:rsid w:val="00060DB7"/>
    <w:rsid w:val="00061BA3"/>
    <w:rsid w:val="00065E22"/>
    <w:rsid w:val="000674E3"/>
    <w:rsid w:val="00074760"/>
    <w:rsid w:val="00074A34"/>
    <w:rsid w:val="00085CA2"/>
    <w:rsid w:val="000866C9"/>
    <w:rsid w:val="00092243"/>
    <w:rsid w:val="0009500D"/>
    <w:rsid w:val="000962C0"/>
    <w:rsid w:val="00097183"/>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33D2"/>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5E03"/>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2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696E"/>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4A9D"/>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16BE"/>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0F5D"/>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42FE"/>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35D4"/>
    <w:rsid w:val="00964F96"/>
    <w:rsid w:val="009663D1"/>
    <w:rsid w:val="00967702"/>
    <w:rsid w:val="00971BD1"/>
    <w:rsid w:val="00974883"/>
    <w:rsid w:val="00975EAC"/>
    <w:rsid w:val="00983BF9"/>
    <w:rsid w:val="009873FF"/>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7B8"/>
    <w:rsid w:val="00B8397A"/>
    <w:rsid w:val="00B84124"/>
    <w:rsid w:val="00B841E6"/>
    <w:rsid w:val="00B908A4"/>
    <w:rsid w:val="00B912C6"/>
    <w:rsid w:val="00B92794"/>
    <w:rsid w:val="00B9284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26E5"/>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31F8"/>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174C"/>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5752"/>
    <w:rsid w:val="00DA7F1E"/>
    <w:rsid w:val="00DC279C"/>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94306"/>
    <w:rsid w:val="00FA12B9"/>
    <w:rsid w:val="00FB0C70"/>
    <w:rsid w:val="00FB7A38"/>
    <w:rsid w:val="00FC6A22"/>
    <w:rsid w:val="00FD0D54"/>
    <w:rsid w:val="00FD1B14"/>
    <w:rsid w:val="00FD1DC9"/>
    <w:rsid w:val="00FD29D5"/>
    <w:rsid w:val="00FE1FBB"/>
    <w:rsid w:val="00FE65F9"/>
    <w:rsid w:val="00FF213C"/>
    <w:rsid w:val="00FF2A7F"/>
    <w:rsid w:val="00FF49E8"/>
    <w:rsid w:val="00FF5F83"/>
    <w:rsid w:val="025C7268"/>
    <w:rsid w:val="02F9158F"/>
    <w:rsid w:val="0367315B"/>
    <w:rsid w:val="04602F94"/>
    <w:rsid w:val="061139E5"/>
    <w:rsid w:val="06F50B00"/>
    <w:rsid w:val="076E1278"/>
    <w:rsid w:val="077A3CEC"/>
    <w:rsid w:val="08D1141D"/>
    <w:rsid w:val="08ED05EB"/>
    <w:rsid w:val="0B157AA4"/>
    <w:rsid w:val="0B296DE2"/>
    <w:rsid w:val="10294AA3"/>
    <w:rsid w:val="10E40CA0"/>
    <w:rsid w:val="10F468BD"/>
    <w:rsid w:val="136130D9"/>
    <w:rsid w:val="17FD4E8E"/>
    <w:rsid w:val="18DD4F7E"/>
    <w:rsid w:val="195B58A2"/>
    <w:rsid w:val="19C62C11"/>
    <w:rsid w:val="1E085A14"/>
    <w:rsid w:val="1E1D4384"/>
    <w:rsid w:val="1FF43DDB"/>
    <w:rsid w:val="217B3D59"/>
    <w:rsid w:val="21933AA2"/>
    <w:rsid w:val="25BF356F"/>
    <w:rsid w:val="25DB0C2D"/>
    <w:rsid w:val="269469E7"/>
    <w:rsid w:val="29FC3B14"/>
    <w:rsid w:val="2B11792E"/>
    <w:rsid w:val="2DAC0C87"/>
    <w:rsid w:val="2DD82A71"/>
    <w:rsid w:val="2FAD43AF"/>
    <w:rsid w:val="31C54755"/>
    <w:rsid w:val="3216608C"/>
    <w:rsid w:val="34CE14C6"/>
    <w:rsid w:val="34D84CEC"/>
    <w:rsid w:val="37AF5AB7"/>
    <w:rsid w:val="3A5807D1"/>
    <w:rsid w:val="3A782036"/>
    <w:rsid w:val="3B1C3371"/>
    <w:rsid w:val="3B2C2488"/>
    <w:rsid w:val="3CC23198"/>
    <w:rsid w:val="3DDF4815"/>
    <w:rsid w:val="3E7F2F9B"/>
    <w:rsid w:val="3FE669E5"/>
    <w:rsid w:val="4650718D"/>
    <w:rsid w:val="47D04287"/>
    <w:rsid w:val="48BE4A7F"/>
    <w:rsid w:val="4963470F"/>
    <w:rsid w:val="4997476B"/>
    <w:rsid w:val="4A6A0986"/>
    <w:rsid w:val="4F2B0FC0"/>
    <w:rsid w:val="50F63E28"/>
    <w:rsid w:val="51E001BA"/>
    <w:rsid w:val="5221007F"/>
    <w:rsid w:val="52285E83"/>
    <w:rsid w:val="525B5056"/>
    <w:rsid w:val="52926B5A"/>
    <w:rsid w:val="545C5E51"/>
    <w:rsid w:val="5486175B"/>
    <w:rsid w:val="550E412C"/>
    <w:rsid w:val="55F339DD"/>
    <w:rsid w:val="57667D24"/>
    <w:rsid w:val="57CE5BC3"/>
    <w:rsid w:val="598B597F"/>
    <w:rsid w:val="5AE1516A"/>
    <w:rsid w:val="5B2A7BED"/>
    <w:rsid w:val="5B6A3A79"/>
    <w:rsid w:val="5B7C46D1"/>
    <w:rsid w:val="5C1A5F7B"/>
    <w:rsid w:val="5FD01045"/>
    <w:rsid w:val="60BA1B88"/>
    <w:rsid w:val="61391581"/>
    <w:rsid w:val="645771F8"/>
    <w:rsid w:val="67A9486E"/>
    <w:rsid w:val="6A54112D"/>
    <w:rsid w:val="6AA035AE"/>
    <w:rsid w:val="6B3545B5"/>
    <w:rsid w:val="6D506F5E"/>
    <w:rsid w:val="6E0F2E14"/>
    <w:rsid w:val="6F1E141D"/>
    <w:rsid w:val="6F5354F8"/>
    <w:rsid w:val="739569E8"/>
    <w:rsid w:val="740A2BDE"/>
    <w:rsid w:val="751839E0"/>
    <w:rsid w:val="76274F93"/>
    <w:rsid w:val="77CF6B1B"/>
    <w:rsid w:val="79B95FD7"/>
    <w:rsid w:val="79EB3F2F"/>
    <w:rsid w:val="7B11789E"/>
    <w:rsid w:val="7C9C3DE9"/>
    <w:rsid w:val="7D85545B"/>
    <w:rsid w:val="7DC94A0A"/>
    <w:rsid w:val="7F7D5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index 8"/>
    <w:basedOn w:val="1"/>
    <w:next w:val="1"/>
    <w:qFormat/>
    <w:uiPriority w:val="99"/>
    <w:pPr>
      <w:ind w:left="1400" w:leftChars="1400"/>
    </w:p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99"/>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qFormat/>
    <w:uiPriority w:val="0"/>
    <w:pPr>
      <w:widowControl/>
    </w:pPr>
    <w:rPr>
      <w:b/>
      <w:bCs/>
      <w:sz w:val="24"/>
      <w:szCs w:val="24"/>
    </w:rPr>
  </w:style>
  <w:style w:type="paragraph" w:styleId="45">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20"/>
    <w:qFormat/>
    <w:uiPriority w:val="1"/>
    <w:rPr>
      <w:rFonts w:ascii="宋体" w:hAnsi="宋体" w:cs="宋体"/>
      <w:sz w:val="24"/>
      <w:szCs w:val="24"/>
      <w:lang w:eastAsia="en-US"/>
    </w:rPr>
  </w:style>
  <w:style w:type="character" w:customStyle="1" w:styleId="67">
    <w:name w:val="纯文本 Char"/>
    <w:basedOn w:val="48"/>
    <w:link w:val="25"/>
    <w:qFormat/>
    <w:uiPriority w:val="99"/>
    <w:rPr>
      <w:rFonts w:ascii="宋体" w:hAnsi="Courier New" w:cs="Courier New"/>
      <w:sz w:val="22"/>
      <w:szCs w:val="21"/>
      <w:lang w:eastAsia="en-US"/>
    </w:rPr>
  </w:style>
  <w:style w:type="character" w:customStyle="1" w:styleId="68">
    <w:name w:val="页脚 Char"/>
    <w:basedOn w:val="48"/>
    <w:link w:val="30"/>
    <w:qFormat/>
    <w:uiPriority w:val="99"/>
    <w:rPr>
      <w:rFonts w:ascii="宋体" w:hAnsi="宋体" w:cs="宋体"/>
      <w:sz w:val="18"/>
      <w:szCs w:val="18"/>
      <w:lang w:eastAsia="en-US"/>
    </w:rPr>
  </w:style>
  <w:style w:type="character" w:customStyle="1" w:styleId="69">
    <w:name w:val="页眉 Char"/>
    <w:basedOn w:val="48"/>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9"/>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7"/>
    <w:qFormat/>
    <w:uiPriority w:val="0"/>
    <w:rPr>
      <w:kern w:val="2"/>
      <w:sz w:val="21"/>
    </w:rPr>
  </w:style>
  <w:style w:type="character" w:customStyle="1" w:styleId="83">
    <w:name w:val="批注框文本 Char"/>
    <w:basedOn w:val="48"/>
    <w:link w:val="29"/>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8"/>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1"/>
    <w:qFormat/>
    <w:uiPriority w:val="0"/>
    <w:rPr>
      <w:i/>
      <w:iCs/>
      <w:kern w:val="2"/>
      <w:sz w:val="21"/>
    </w:rPr>
  </w:style>
  <w:style w:type="character" w:customStyle="1" w:styleId="91">
    <w:name w:val="正文文本 3 Char"/>
    <w:basedOn w:val="48"/>
    <w:link w:val="18"/>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6"/>
    <w:qFormat/>
    <w:uiPriority w:val="0"/>
    <w:rPr>
      <w:rFonts w:ascii="宋体"/>
      <w:sz w:val="28"/>
      <w:shd w:val="clear" w:color="auto" w:fill="000080"/>
    </w:rPr>
  </w:style>
  <w:style w:type="character" w:customStyle="1" w:styleId="96">
    <w:name w:val="日期 Char"/>
    <w:basedOn w:val="48"/>
    <w:link w:val="27"/>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6"/>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E7CA3-8DFC-4C1D-8414-390A14BE54C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33</Pages>
  <Words>4697</Words>
  <Characters>5094</Characters>
  <Lines>121</Lines>
  <Paragraphs>34</Paragraphs>
  <TotalTime>5</TotalTime>
  <ScaleCrop>false</ScaleCrop>
  <LinksUpToDate>false</LinksUpToDate>
  <CharactersWithSpaces>5537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2026-03-17T07:39:46Z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2052-12.1.0.25225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A3DED90A2E124D26B75B32ECA9B93502_12</vt:lpwstr>
  </property>
</Properties>
</file>