
<file path=[Content_Types].xml><?xml version="1.0" encoding="utf-8"?>
<Types xmlns="http://schemas.openxmlformats.org/package/2006/content-types">
  <Default Extension="xml" ContentType="application/xml"/>
  <Default Extension="docx" ContentType="application/vnd.openxmlformats-officedocument.wordprocessingml.document"/>
  <Default Extension="emf" ContentType="image/x-e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31562F">
      <w:pPr>
        <w:jc w:val="center"/>
        <w:rPr>
          <w:rFonts w:ascii="华文楷体" w:hAnsi="华文楷体" w:eastAsia="华文楷体"/>
          <w:sz w:val="28"/>
          <w:szCs w:val="28"/>
          <w:lang w:eastAsia="zh-CN"/>
        </w:rPr>
      </w:pPr>
    </w:p>
    <w:p w14:paraId="43EA7D8E">
      <w:pPr>
        <w:jc w:val="center"/>
        <w:rPr>
          <w:rFonts w:ascii="华文楷体" w:hAnsi="华文楷体" w:eastAsia="华文楷体"/>
          <w:sz w:val="28"/>
          <w:szCs w:val="28"/>
          <w:lang w:eastAsia="zh-CN"/>
        </w:rPr>
      </w:pPr>
    </w:p>
    <w:p w14:paraId="7681E2C3">
      <w:pPr>
        <w:jc w:val="center"/>
        <w:rPr>
          <w:rFonts w:ascii="华文楷体" w:hAnsi="华文楷体" w:eastAsia="华文楷体"/>
          <w:sz w:val="28"/>
          <w:szCs w:val="28"/>
          <w:lang w:eastAsia="zh-CN"/>
        </w:rPr>
      </w:pPr>
    </w:p>
    <w:p w14:paraId="4F70B587">
      <w:pPr>
        <w:jc w:val="center"/>
        <w:rPr>
          <w:rFonts w:ascii="华文楷体" w:hAnsi="华文楷体" w:eastAsia="华文楷体"/>
          <w:sz w:val="28"/>
          <w:szCs w:val="28"/>
          <w:lang w:eastAsia="zh-CN"/>
        </w:rPr>
      </w:pPr>
      <w:bookmarkStart w:id="0" w:name="_MON_1738481666"/>
      <w:bookmarkEnd w:id="0"/>
      <w:r>
        <w:rPr>
          <w:rFonts w:ascii="华文楷体" w:hAnsi="华文楷体" w:eastAsia="华文楷体"/>
          <w:sz w:val="28"/>
          <w:szCs w:val="28"/>
          <w:lang w:eastAsia="zh-CN"/>
        </w:rPr>
        <w:object>
          <v:shape id="_x0000_i1025" o:spt="75" type="#_x0000_t75" style="height:78pt;width:290.25pt;" o:ole="t" filled="f" o:preferrelative="t" stroked="f" coordsize="21600,21600">
            <v:path/>
            <v:fill on="f" focussize="0,0"/>
            <v:stroke on="f" joinstyle="miter"/>
            <v:imagedata r:id="rId10" o:title=""/>
            <o:lock v:ext="edit" aspectratio="t"/>
            <w10:wrap type="none"/>
            <w10:anchorlock/>
          </v:shape>
          <o:OLEObject Type="Embed" ProgID="Word.Document.12" ShapeID="_x0000_i1025" DrawAspect="Content" ObjectID="_1468075725" r:id="rId9">
            <o:LockedField>false</o:LockedField>
          </o:OLEObject>
        </w:object>
      </w:r>
    </w:p>
    <w:p w14:paraId="005AA12C">
      <w:pPr>
        <w:jc w:val="center"/>
        <w:rPr>
          <w:rFonts w:ascii="华文楷体" w:hAnsi="华文楷体" w:eastAsia="华文楷体"/>
          <w:sz w:val="28"/>
          <w:szCs w:val="28"/>
          <w:lang w:eastAsia="zh-CN"/>
        </w:rPr>
      </w:pPr>
    </w:p>
    <w:p w14:paraId="55B8783F">
      <w:pPr>
        <w:jc w:val="center"/>
        <w:rPr>
          <w:rFonts w:ascii="华文楷体" w:hAnsi="华文楷体" w:eastAsia="华文楷体"/>
          <w:sz w:val="28"/>
          <w:szCs w:val="28"/>
          <w:lang w:eastAsia="zh-CN"/>
        </w:rPr>
      </w:pPr>
    </w:p>
    <w:p w14:paraId="07D0FAFB">
      <w:pPr>
        <w:jc w:val="center"/>
        <w:rPr>
          <w:rFonts w:ascii="华文楷体" w:hAnsi="华文楷体" w:eastAsia="华文楷体"/>
          <w:sz w:val="28"/>
          <w:szCs w:val="28"/>
          <w:lang w:eastAsia="zh-CN"/>
        </w:rPr>
      </w:pPr>
    </w:p>
    <w:p w14:paraId="6610E020">
      <w:pPr>
        <w:jc w:val="center"/>
        <w:rPr>
          <w:rFonts w:ascii="华文楷体" w:hAnsi="华文楷体" w:eastAsia="华文楷体"/>
          <w:sz w:val="28"/>
          <w:szCs w:val="28"/>
          <w:lang w:eastAsia="zh-CN"/>
        </w:rPr>
      </w:pPr>
    </w:p>
    <w:p w14:paraId="4517840F">
      <w:pPr>
        <w:jc w:val="center"/>
        <w:rPr>
          <w:rFonts w:ascii="华文楷体" w:hAnsi="华文楷体" w:eastAsia="华文楷体"/>
          <w:caps/>
          <w:lang w:eastAsia="zh-CN"/>
        </w:rPr>
      </w:pPr>
    </w:p>
    <w:p w14:paraId="61AE7510">
      <w:pPr>
        <w:jc w:val="center"/>
        <w:rPr>
          <w:rFonts w:ascii="华文楷体" w:hAnsi="华文楷体" w:eastAsia="华文楷体"/>
          <w:sz w:val="28"/>
          <w:szCs w:val="28"/>
          <w:lang w:eastAsia="zh-CN"/>
        </w:rPr>
      </w:pPr>
    </w:p>
    <w:p w14:paraId="218DA81B">
      <w:pPr>
        <w:spacing w:line="360" w:lineRule="auto"/>
        <w:jc w:val="center"/>
        <w:rPr>
          <w:rFonts w:eastAsia="楷体_GB2312"/>
          <w:lang w:eastAsia="zh-CN"/>
        </w:rPr>
      </w:pPr>
    </w:p>
    <w:p w14:paraId="51AA501D">
      <w:pPr>
        <w:spacing w:line="360" w:lineRule="auto"/>
        <w:jc w:val="center"/>
        <w:rPr>
          <w:rFonts w:hint="eastAsia" w:ascii="标准粗黑" w:hAnsi="标准粗黑" w:eastAsia="标准粗黑" w:cs="标准粗黑"/>
          <w:sz w:val="48"/>
          <w:szCs w:val="48"/>
          <w:lang w:val="en-US" w:eastAsia="zh-CN"/>
        </w:rPr>
      </w:pPr>
      <w:r>
        <w:rPr>
          <w:rFonts w:hint="eastAsia" w:ascii="黑体" w:hAnsi="黑体" w:eastAsia="黑体" w:cs="黑体"/>
          <w:sz w:val="48"/>
          <w:szCs w:val="48"/>
          <w:lang w:eastAsia="zh-CN"/>
        </w:rPr>
        <w:t>PTA化验楼搬迁改造项目</w:t>
      </w:r>
      <w:r>
        <w:rPr>
          <w:rFonts w:hint="eastAsia" w:ascii="黑体" w:hAnsi="黑体" w:eastAsia="黑体" w:cs="黑体"/>
          <w:sz w:val="48"/>
          <w:szCs w:val="48"/>
          <w:lang w:val="en-US" w:eastAsia="zh-CN"/>
        </w:rPr>
        <w:t>工程</w:t>
      </w:r>
    </w:p>
    <w:p w14:paraId="6931D06D">
      <w:pPr>
        <w:spacing w:line="360" w:lineRule="auto"/>
        <w:jc w:val="center"/>
        <w:rPr>
          <w:rFonts w:eastAsia="楷体_GB2312"/>
          <w:lang w:eastAsia="zh-CN"/>
        </w:rPr>
      </w:pPr>
    </w:p>
    <w:p w14:paraId="5B1F3832">
      <w:pPr>
        <w:spacing w:line="300" w:lineRule="auto"/>
        <w:jc w:val="both"/>
        <w:rPr>
          <w:rFonts w:ascii="黑体" w:eastAsia="黑体"/>
          <w:b/>
          <w:sz w:val="32"/>
          <w:szCs w:val="32"/>
          <w:lang w:eastAsia="zh-CN"/>
        </w:rPr>
      </w:pPr>
    </w:p>
    <w:p w14:paraId="1C6D041F">
      <w:pPr>
        <w:jc w:val="center"/>
        <w:rPr>
          <w:rFonts w:ascii="黑体" w:hAnsi="华文楷体" w:eastAsia="黑体"/>
          <w:b/>
          <w:sz w:val="36"/>
          <w:szCs w:val="36"/>
          <w:lang w:eastAsia="zh-CN"/>
        </w:rPr>
      </w:pPr>
    </w:p>
    <w:p w14:paraId="03B27EFC">
      <w:pPr>
        <w:jc w:val="center"/>
        <w:rPr>
          <w:rFonts w:ascii="华文楷体" w:hAnsi="华文楷体" w:eastAsia="华文楷体"/>
          <w:sz w:val="24"/>
          <w:szCs w:val="24"/>
          <w:lang w:eastAsia="zh-CN"/>
        </w:rPr>
      </w:pPr>
    </w:p>
    <w:p w14:paraId="000AFB5C">
      <w:pPr>
        <w:pStyle w:val="2"/>
        <w:rPr>
          <w:lang w:eastAsia="zh-CN"/>
        </w:rPr>
      </w:pPr>
    </w:p>
    <w:p w14:paraId="0E15EA25">
      <w:pPr>
        <w:jc w:val="center"/>
        <w:rPr>
          <w:rFonts w:ascii="华文楷体" w:hAnsi="华文楷体" w:eastAsia="华文楷体"/>
          <w:sz w:val="24"/>
          <w:szCs w:val="24"/>
          <w:lang w:eastAsia="zh-CN"/>
        </w:rPr>
      </w:pPr>
    </w:p>
    <w:p w14:paraId="3394E695">
      <w:pPr>
        <w:jc w:val="center"/>
        <w:rPr>
          <w:rFonts w:ascii="华文楷体" w:hAnsi="华文楷体" w:eastAsia="华文楷体"/>
          <w:sz w:val="24"/>
          <w:szCs w:val="24"/>
          <w:lang w:eastAsia="zh-CN"/>
        </w:rPr>
      </w:pPr>
    </w:p>
    <w:p w14:paraId="75676B87">
      <w:pPr>
        <w:jc w:val="center"/>
        <w:rPr>
          <w:rFonts w:ascii="黑体" w:hAnsi="华文楷体" w:eastAsia="黑体"/>
          <w:b/>
          <w:sz w:val="36"/>
          <w:szCs w:val="36"/>
          <w:lang w:eastAsia="zh-CN"/>
        </w:rPr>
      </w:pPr>
      <w:r>
        <w:rPr>
          <w:rFonts w:hint="eastAsia" w:ascii="黑体" w:hAnsi="华文楷体" w:eastAsia="黑体"/>
          <w:b/>
          <w:sz w:val="36"/>
          <w:szCs w:val="36"/>
          <w:lang w:eastAsia="zh-CN"/>
        </w:rPr>
        <w:t>发包技术规格书</w:t>
      </w:r>
    </w:p>
    <w:p w14:paraId="75BF8F1E">
      <w:pPr>
        <w:jc w:val="center"/>
        <w:rPr>
          <w:rFonts w:hAnsi="华文楷体"/>
          <w:b/>
          <w:sz w:val="44"/>
          <w:szCs w:val="44"/>
          <w:lang w:eastAsia="zh-CN"/>
        </w:rPr>
      </w:pPr>
    </w:p>
    <w:p w14:paraId="5189C7BF">
      <w:pPr>
        <w:pStyle w:val="2"/>
        <w:rPr>
          <w:rFonts w:hAnsi="华文楷体"/>
          <w:b/>
          <w:sz w:val="44"/>
          <w:szCs w:val="44"/>
          <w:lang w:eastAsia="zh-CN"/>
        </w:rPr>
      </w:pPr>
    </w:p>
    <w:p w14:paraId="422FB024">
      <w:pPr>
        <w:rPr>
          <w:lang w:eastAsia="zh-CN"/>
        </w:rPr>
      </w:pPr>
    </w:p>
    <w:p w14:paraId="00AD85C3">
      <w:pPr>
        <w:pStyle w:val="2"/>
        <w:keepNext w:val="0"/>
        <w:snapToGrid w:val="0"/>
        <w:spacing w:before="120" w:beforeLines="50" w:after="0" w:line="288" w:lineRule="auto"/>
        <w:rPr>
          <w:rFonts w:asciiTheme="minorEastAsia" w:hAnsiTheme="minorEastAsia" w:eastAsiaTheme="minorEastAsia"/>
          <w:kern w:val="0"/>
          <w:sz w:val="24"/>
          <w:szCs w:val="24"/>
          <w:lang w:eastAsia="zh-CN"/>
        </w:rPr>
        <w:sectPr>
          <w:headerReference r:id="rId5" w:type="default"/>
          <w:pgSz w:w="11909" w:h="16834"/>
          <w:pgMar w:top="1440" w:right="1134" w:bottom="1440" w:left="1418" w:header="839" w:footer="720" w:gutter="0"/>
          <w:pgNumType w:start="1"/>
          <w:cols w:space="720" w:num="1"/>
        </w:sectPr>
      </w:pPr>
    </w:p>
    <w:sdt>
      <w:sdtPr>
        <w:rPr>
          <w:rFonts w:ascii="宋体" w:hAnsi="宋体" w:eastAsia="宋体" w:cs="Times New Roman"/>
          <w:sz w:val="21"/>
          <w:lang w:val="en-US" w:eastAsia="en-US" w:bidi="ar-SA"/>
        </w:rPr>
        <w:id w:val="147466356"/>
        <w15:color w:val="DBDBDB"/>
        <w:docPartObj>
          <w:docPartGallery w:val="Table of Contents"/>
          <w:docPartUnique/>
        </w:docPartObj>
      </w:sdtPr>
      <w:sdtEndPr>
        <w:rPr>
          <w:rFonts w:ascii="Times New Roman" w:hAnsi="Times New Roman" w:eastAsia="宋体" w:cs="Times New Roman"/>
          <w:sz w:val="21"/>
          <w:lang w:val="en-US" w:eastAsia="zh-CN" w:bidi="ar-SA"/>
        </w:rPr>
      </w:sdtEndPr>
      <w:sdtContent>
        <w:p w14:paraId="73B560D1">
          <w:pPr>
            <w:keepNext w:val="0"/>
            <w:keepLines w:val="0"/>
            <w:pageBreakBefore w:val="0"/>
            <w:widowControl/>
            <w:kinsoku/>
            <w:wordWrap/>
            <w:overflowPunct/>
            <w:topLinePunct w:val="0"/>
            <w:autoSpaceDE/>
            <w:autoSpaceDN/>
            <w:bidi w:val="0"/>
            <w:adjustRightInd/>
            <w:snapToGrid/>
            <w:spacing w:before="0" w:beforeLines="50" w:after="0" w:afterLines="50" w:line="360" w:lineRule="auto"/>
            <w:ind w:left="0" w:leftChars="0" w:right="0" w:rightChars="0" w:firstLine="0" w:firstLineChars="0"/>
            <w:jc w:val="center"/>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4"/>
              <w:szCs w:val="24"/>
            </w:rPr>
            <w:t>目录</w:t>
          </w:r>
        </w:p>
        <w:p w14:paraId="0A0B0970">
          <w:pPr>
            <w:pStyle w:val="30"/>
            <w:keepNext w:val="0"/>
            <w:keepLines w:val="0"/>
            <w:pageBreakBefore w:val="0"/>
            <w:widowControl/>
            <w:tabs>
              <w:tab w:val="right" w:leader="dot" w:pos="9357"/>
              <w:tab w:val="clear" w:pos="630"/>
              <w:tab w:val="clear" w:pos="8299"/>
            </w:tabs>
            <w:kinsoku/>
            <w:wordWrap/>
            <w:overflowPunct/>
            <w:topLinePunct w:val="0"/>
            <w:autoSpaceDE/>
            <w:autoSpaceDN/>
            <w:bidi w:val="0"/>
            <w:adjustRightInd/>
            <w:snapToGrid/>
            <w:spacing w:before="0" w:beforeLines="50"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bidi="ar-SA"/>
            </w:rPr>
            <w:fldChar w:fldCharType="begin"/>
          </w:r>
          <w:r>
            <w:rPr>
              <w:rFonts w:hint="eastAsia" w:asciiTheme="minorEastAsia" w:hAnsiTheme="minorEastAsia" w:eastAsiaTheme="minorEastAsia" w:cstheme="minorEastAsia"/>
              <w:sz w:val="24"/>
              <w:szCs w:val="24"/>
              <w:lang w:val="en-US" w:eastAsia="zh-CN" w:bidi="ar-SA"/>
            </w:rPr>
            <w:instrText xml:space="preserve">TOC \o "1-1" \h \u </w:instrText>
          </w:r>
          <w:r>
            <w:rPr>
              <w:rFonts w:hint="eastAsia" w:asciiTheme="minorEastAsia" w:hAnsiTheme="minorEastAsia" w:eastAsiaTheme="minorEastAsia" w:cstheme="minorEastAsia"/>
              <w:sz w:val="24"/>
              <w:szCs w:val="24"/>
              <w:lang w:val="en-US" w:eastAsia="zh-CN" w:bidi="ar-SA"/>
            </w:rPr>
            <w:fldChar w:fldCharType="separate"/>
          </w:r>
          <w:r>
            <w:rPr>
              <w:rFonts w:hint="eastAsia" w:asciiTheme="minorEastAsia" w:hAnsiTheme="minorEastAsia" w:eastAsiaTheme="minorEastAsia" w:cstheme="minorEastAsia"/>
              <w:sz w:val="24"/>
              <w:szCs w:val="24"/>
              <w:lang w:val="en-US" w:eastAsia="zh-CN" w:bidi="ar-SA"/>
            </w:rPr>
            <w:fldChar w:fldCharType="begin"/>
          </w:r>
          <w:r>
            <w:rPr>
              <w:rFonts w:hint="eastAsia" w:asciiTheme="minorEastAsia" w:hAnsiTheme="minorEastAsia" w:eastAsiaTheme="minorEastAsia" w:cstheme="minorEastAsia"/>
              <w:sz w:val="24"/>
              <w:szCs w:val="24"/>
              <w:lang w:val="en-US" w:eastAsia="zh-CN" w:bidi="ar-SA"/>
            </w:rPr>
            <w:instrText xml:space="preserve"> HYPERLINK \l _Toc6229 </w:instrText>
          </w:r>
          <w:r>
            <w:rPr>
              <w:rFonts w:hint="eastAsia" w:asciiTheme="minorEastAsia" w:hAnsiTheme="minorEastAsia" w:eastAsiaTheme="minorEastAsia" w:cstheme="minorEastAsia"/>
              <w:sz w:val="24"/>
              <w:szCs w:val="24"/>
              <w:lang w:val="en-US" w:eastAsia="zh-CN" w:bidi="ar-SA"/>
            </w:rPr>
            <w:fldChar w:fldCharType="separate"/>
          </w:r>
          <w:r>
            <w:rPr>
              <w:rFonts w:hint="eastAsia" w:asciiTheme="minorEastAsia" w:hAnsiTheme="minorEastAsia" w:eastAsiaTheme="minorEastAsia" w:cstheme="minorEastAsia"/>
              <w:sz w:val="24"/>
              <w:szCs w:val="24"/>
            </w:rPr>
            <w:t>一、项目简介</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_Toc6229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lang w:val="en-US" w:eastAsia="zh-CN" w:bidi="ar-SA"/>
            </w:rPr>
            <w:fldChar w:fldCharType="end"/>
          </w:r>
        </w:p>
        <w:p w14:paraId="0974FBD7">
          <w:pPr>
            <w:pStyle w:val="30"/>
            <w:keepNext w:val="0"/>
            <w:keepLines w:val="0"/>
            <w:pageBreakBefore w:val="0"/>
            <w:widowControl/>
            <w:tabs>
              <w:tab w:val="right" w:leader="dot" w:pos="9357"/>
              <w:tab w:val="clear" w:pos="630"/>
              <w:tab w:val="clear" w:pos="8299"/>
            </w:tabs>
            <w:kinsoku/>
            <w:wordWrap/>
            <w:overflowPunct/>
            <w:topLinePunct w:val="0"/>
            <w:autoSpaceDE/>
            <w:autoSpaceDN/>
            <w:bidi w:val="0"/>
            <w:adjustRightInd/>
            <w:snapToGrid/>
            <w:spacing w:before="0" w:beforeLines="50"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bidi="ar-SA"/>
            </w:rPr>
            <w:fldChar w:fldCharType="begin"/>
          </w:r>
          <w:r>
            <w:rPr>
              <w:rFonts w:hint="eastAsia" w:asciiTheme="minorEastAsia" w:hAnsiTheme="minorEastAsia" w:eastAsiaTheme="minorEastAsia" w:cstheme="minorEastAsia"/>
              <w:sz w:val="24"/>
              <w:szCs w:val="24"/>
              <w:lang w:val="en-US" w:eastAsia="zh-CN" w:bidi="ar-SA"/>
            </w:rPr>
            <w:instrText xml:space="preserve"> HYPERLINK \l _Toc15095 </w:instrText>
          </w:r>
          <w:r>
            <w:rPr>
              <w:rFonts w:hint="eastAsia" w:asciiTheme="minorEastAsia" w:hAnsiTheme="minorEastAsia" w:eastAsiaTheme="minorEastAsia" w:cstheme="minorEastAsia"/>
              <w:sz w:val="24"/>
              <w:szCs w:val="24"/>
              <w:lang w:val="en-US" w:eastAsia="zh-CN" w:bidi="ar-SA"/>
            </w:rPr>
            <w:fldChar w:fldCharType="separate"/>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lang w:eastAsia="zh-CN"/>
            </w:rPr>
            <w:t>、发包说明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_Toc15095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lang w:val="en-US" w:eastAsia="zh-CN" w:bidi="ar-SA"/>
            </w:rPr>
            <w:fldChar w:fldCharType="end"/>
          </w:r>
        </w:p>
        <w:p w14:paraId="0E4AC334">
          <w:pPr>
            <w:pStyle w:val="30"/>
            <w:keepNext w:val="0"/>
            <w:keepLines w:val="0"/>
            <w:pageBreakBefore w:val="0"/>
            <w:widowControl/>
            <w:tabs>
              <w:tab w:val="right" w:leader="dot" w:pos="9357"/>
              <w:tab w:val="clear" w:pos="630"/>
              <w:tab w:val="clear" w:pos="8299"/>
            </w:tabs>
            <w:kinsoku/>
            <w:wordWrap/>
            <w:overflowPunct/>
            <w:topLinePunct w:val="0"/>
            <w:autoSpaceDE/>
            <w:autoSpaceDN/>
            <w:bidi w:val="0"/>
            <w:adjustRightInd/>
            <w:snapToGrid/>
            <w:spacing w:before="0" w:beforeLines="50"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bidi="ar-SA"/>
            </w:rPr>
            <w:fldChar w:fldCharType="begin"/>
          </w:r>
          <w:r>
            <w:rPr>
              <w:rFonts w:hint="eastAsia" w:asciiTheme="minorEastAsia" w:hAnsiTheme="minorEastAsia" w:eastAsiaTheme="minorEastAsia" w:cstheme="minorEastAsia"/>
              <w:sz w:val="24"/>
              <w:szCs w:val="24"/>
              <w:lang w:val="en-US" w:eastAsia="zh-CN" w:bidi="ar-SA"/>
            </w:rPr>
            <w:instrText xml:space="preserve"> HYPERLINK \l _Toc27938 </w:instrText>
          </w:r>
          <w:r>
            <w:rPr>
              <w:rFonts w:hint="eastAsia" w:asciiTheme="minorEastAsia" w:hAnsiTheme="minorEastAsia" w:eastAsiaTheme="minorEastAsia" w:cstheme="minorEastAsia"/>
              <w:sz w:val="24"/>
              <w:szCs w:val="24"/>
              <w:lang w:val="en-US" w:eastAsia="zh-CN" w:bidi="ar-SA"/>
            </w:rPr>
            <w:fldChar w:fldCharType="separate"/>
          </w:r>
          <w:r>
            <w:rPr>
              <w:rFonts w:hint="eastAsia" w:asciiTheme="minorEastAsia" w:hAnsiTheme="minorEastAsia" w:eastAsiaTheme="minorEastAsia" w:cstheme="minorEastAsia"/>
              <w:sz w:val="24"/>
              <w:szCs w:val="24"/>
              <w:lang w:eastAsia="zh-CN"/>
            </w:rPr>
            <w:t>三、参选人资格要求</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_Toc27938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lang w:val="en-US" w:eastAsia="zh-CN" w:bidi="ar-SA"/>
            </w:rPr>
            <w:fldChar w:fldCharType="end"/>
          </w:r>
        </w:p>
        <w:p w14:paraId="1CB8A948">
          <w:pPr>
            <w:pStyle w:val="30"/>
            <w:keepNext w:val="0"/>
            <w:keepLines w:val="0"/>
            <w:pageBreakBefore w:val="0"/>
            <w:widowControl/>
            <w:tabs>
              <w:tab w:val="right" w:leader="dot" w:pos="9357"/>
              <w:tab w:val="clear" w:pos="630"/>
              <w:tab w:val="clear" w:pos="8299"/>
            </w:tabs>
            <w:kinsoku/>
            <w:wordWrap/>
            <w:overflowPunct/>
            <w:topLinePunct w:val="0"/>
            <w:autoSpaceDE/>
            <w:autoSpaceDN/>
            <w:bidi w:val="0"/>
            <w:adjustRightInd/>
            <w:snapToGrid/>
            <w:spacing w:before="0" w:beforeLines="50"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bidi="ar-SA"/>
            </w:rPr>
            <w:fldChar w:fldCharType="begin"/>
          </w:r>
          <w:r>
            <w:rPr>
              <w:rFonts w:hint="eastAsia" w:asciiTheme="minorEastAsia" w:hAnsiTheme="minorEastAsia" w:eastAsiaTheme="minorEastAsia" w:cstheme="minorEastAsia"/>
              <w:sz w:val="24"/>
              <w:szCs w:val="24"/>
              <w:lang w:val="en-US" w:eastAsia="zh-CN" w:bidi="ar-SA"/>
            </w:rPr>
            <w:instrText xml:space="preserve"> HYPERLINK \l _Toc14672 </w:instrText>
          </w:r>
          <w:r>
            <w:rPr>
              <w:rFonts w:hint="eastAsia" w:asciiTheme="minorEastAsia" w:hAnsiTheme="minorEastAsia" w:eastAsiaTheme="minorEastAsia" w:cstheme="minorEastAsia"/>
              <w:sz w:val="24"/>
              <w:szCs w:val="24"/>
              <w:lang w:val="en-US" w:eastAsia="zh-CN" w:bidi="ar-SA"/>
            </w:rPr>
            <w:fldChar w:fldCharType="separate"/>
          </w:r>
          <w:r>
            <w:rPr>
              <w:rFonts w:hint="eastAsia" w:asciiTheme="minorEastAsia" w:hAnsiTheme="minorEastAsia" w:eastAsiaTheme="minorEastAsia" w:cstheme="minorEastAsia"/>
              <w:sz w:val="24"/>
              <w:szCs w:val="24"/>
              <w:lang w:val="en-US" w:eastAsia="zh-CN"/>
            </w:rPr>
            <w:t>四</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业绩要求</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_Toc14672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lang w:val="en-US" w:eastAsia="zh-CN" w:bidi="ar-SA"/>
            </w:rPr>
            <w:fldChar w:fldCharType="end"/>
          </w:r>
        </w:p>
        <w:p w14:paraId="329C1898">
          <w:pPr>
            <w:pStyle w:val="30"/>
            <w:keepNext w:val="0"/>
            <w:keepLines w:val="0"/>
            <w:pageBreakBefore w:val="0"/>
            <w:widowControl/>
            <w:tabs>
              <w:tab w:val="right" w:leader="dot" w:pos="9357"/>
              <w:tab w:val="clear" w:pos="630"/>
              <w:tab w:val="clear" w:pos="8299"/>
            </w:tabs>
            <w:kinsoku/>
            <w:wordWrap/>
            <w:overflowPunct/>
            <w:topLinePunct w:val="0"/>
            <w:autoSpaceDE/>
            <w:autoSpaceDN/>
            <w:bidi w:val="0"/>
            <w:adjustRightInd/>
            <w:snapToGrid/>
            <w:spacing w:before="0" w:beforeLines="50"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bidi="ar-SA"/>
            </w:rPr>
            <w:fldChar w:fldCharType="begin"/>
          </w:r>
          <w:r>
            <w:rPr>
              <w:rFonts w:hint="eastAsia" w:asciiTheme="minorEastAsia" w:hAnsiTheme="minorEastAsia" w:eastAsiaTheme="minorEastAsia" w:cstheme="minorEastAsia"/>
              <w:sz w:val="24"/>
              <w:szCs w:val="24"/>
              <w:lang w:val="en-US" w:eastAsia="zh-CN" w:bidi="ar-SA"/>
            </w:rPr>
            <w:instrText xml:space="preserve"> HYPERLINK \l _Toc1991 </w:instrText>
          </w:r>
          <w:r>
            <w:rPr>
              <w:rFonts w:hint="eastAsia" w:asciiTheme="minorEastAsia" w:hAnsiTheme="minorEastAsia" w:eastAsiaTheme="minorEastAsia" w:cstheme="minorEastAsia"/>
              <w:sz w:val="24"/>
              <w:szCs w:val="24"/>
              <w:lang w:val="en-US" w:eastAsia="zh-CN" w:bidi="ar-SA"/>
            </w:rPr>
            <w:fldChar w:fldCharType="separate"/>
          </w:r>
          <w:r>
            <w:rPr>
              <w:rFonts w:hint="eastAsia" w:asciiTheme="minorEastAsia" w:hAnsiTheme="minorEastAsia" w:eastAsiaTheme="minorEastAsia" w:cstheme="minorEastAsia"/>
              <w:sz w:val="24"/>
              <w:szCs w:val="24"/>
              <w:lang w:val="en-US" w:eastAsia="zh-CN"/>
            </w:rPr>
            <w:t>五、投标报价要求及其他说明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_Toc1991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lang w:val="en-US" w:eastAsia="zh-CN" w:bidi="ar-SA"/>
            </w:rPr>
            <w:fldChar w:fldCharType="end"/>
          </w:r>
        </w:p>
        <w:p w14:paraId="638686E8">
          <w:pPr>
            <w:pStyle w:val="30"/>
            <w:keepNext w:val="0"/>
            <w:keepLines w:val="0"/>
            <w:pageBreakBefore w:val="0"/>
            <w:widowControl/>
            <w:tabs>
              <w:tab w:val="right" w:leader="dot" w:pos="9357"/>
              <w:tab w:val="clear" w:pos="630"/>
              <w:tab w:val="clear" w:pos="8299"/>
            </w:tabs>
            <w:kinsoku/>
            <w:wordWrap/>
            <w:overflowPunct/>
            <w:topLinePunct w:val="0"/>
            <w:autoSpaceDE/>
            <w:autoSpaceDN/>
            <w:bidi w:val="0"/>
            <w:adjustRightInd/>
            <w:snapToGrid/>
            <w:spacing w:before="0" w:beforeLines="50"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bidi="ar-SA"/>
            </w:rPr>
            <w:fldChar w:fldCharType="begin"/>
          </w:r>
          <w:r>
            <w:rPr>
              <w:rFonts w:hint="eastAsia" w:asciiTheme="minorEastAsia" w:hAnsiTheme="minorEastAsia" w:eastAsiaTheme="minorEastAsia" w:cstheme="minorEastAsia"/>
              <w:sz w:val="24"/>
              <w:szCs w:val="24"/>
              <w:lang w:val="en-US" w:eastAsia="zh-CN" w:bidi="ar-SA"/>
            </w:rPr>
            <w:instrText xml:space="preserve"> HYPERLINK \l _Toc19750 </w:instrText>
          </w:r>
          <w:r>
            <w:rPr>
              <w:rFonts w:hint="eastAsia" w:asciiTheme="minorEastAsia" w:hAnsiTheme="minorEastAsia" w:eastAsiaTheme="minorEastAsia" w:cstheme="minorEastAsia"/>
              <w:sz w:val="24"/>
              <w:szCs w:val="24"/>
              <w:lang w:val="en-US" w:eastAsia="zh-CN" w:bidi="ar-SA"/>
            </w:rPr>
            <w:fldChar w:fldCharType="separate"/>
          </w:r>
          <w:r>
            <w:rPr>
              <w:rFonts w:hint="eastAsia" w:asciiTheme="minorEastAsia" w:hAnsiTheme="minorEastAsia" w:eastAsiaTheme="minorEastAsia" w:cstheme="minorEastAsia"/>
              <w:sz w:val="24"/>
              <w:szCs w:val="24"/>
              <w:lang w:val="en-US" w:eastAsia="zh-CN"/>
            </w:rPr>
            <w:t>六</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发包范围</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_Toc19750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lang w:val="en-US" w:eastAsia="zh-CN" w:bidi="ar-SA"/>
            </w:rPr>
            <w:fldChar w:fldCharType="end"/>
          </w:r>
        </w:p>
        <w:p w14:paraId="4405FB3D">
          <w:pPr>
            <w:pStyle w:val="30"/>
            <w:keepNext w:val="0"/>
            <w:keepLines w:val="0"/>
            <w:pageBreakBefore w:val="0"/>
            <w:widowControl/>
            <w:tabs>
              <w:tab w:val="right" w:leader="dot" w:pos="9357"/>
              <w:tab w:val="clear" w:pos="630"/>
              <w:tab w:val="clear" w:pos="8299"/>
            </w:tabs>
            <w:kinsoku/>
            <w:wordWrap/>
            <w:overflowPunct/>
            <w:topLinePunct w:val="0"/>
            <w:autoSpaceDE/>
            <w:autoSpaceDN/>
            <w:bidi w:val="0"/>
            <w:adjustRightInd/>
            <w:snapToGrid/>
            <w:spacing w:before="0" w:beforeLines="50"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bidi="ar-SA"/>
            </w:rPr>
            <w:fldChar w:fldCharType="begin"/>
          </w:r>
          <w:r>
            <w:rPr>
              <w:rFonts w:hint="eastAsia" w:asciiTheme="minorEastAsia" w:hAnsiTheme="minorEastAsia" w:eastAsiaTheme="minorEastAsia" w:cstheme="minorEastAsia"/>
              <w:sz w:val="24"/>
              <w:szCs w:val="24"/>
              <w:lang w:val="en-US" w:eastAsia="zh-CN" w:bidi="ar-SA"/>
            </w:rPr>
            <w:instrText xml:space="preserve"> HYPERLINK \l _Toc22929 </w:instrText>
          </w:r>
          <w:r>
            <w:rPr>
              <w:rFonts w:hint="eastAsia" w:asciiTheme="minorEastAsia" w:hAnsiTheme="minorEastAsia" w:eastAsiaTheme="minorEastAsia" w:cstheme="minorEastAsia"/>
              <w:sz w:val="24"/>
              <w:szCs w:val="24"/>
              <w:lang w:val="en-US" w:eastAsia="zh-CN" w:bidi="ar-SA"/>
            </w:rPr>
            <w:fldChar w:fldCharType="separate"/>
          </w:r>
          <w:r>
            <w:rPr>
              <w:rFonts w:hint="eastAsia" w:asciiTheme="minorEastAsia" w:hAnsiTheme="minorEastAsia" w:eastAsiaTheme="minorEastAsia" w:cstheme="minorEastAsia"/>
              <w:sz w:val="24"/>
              <w:szCs w:val="24"/>
              <w:lang w:val="en-US" w:eastAsia="zh-CN"/>
            </w:rPr>
            <w:t>七、</w:t>
          </w:r>
          <w:r>
            <w:rPr>
              <w:rFonts w:hint="eastAsia" w:asciiTheme="minorEastAsia" w:hAnsiTheme="minorEastAsia" w:eastAsiaTheme="minorEastAsia" w:cstheme="minorEastAsia"/>
              <w:sz w:val="24"/>
              <w:szCs w:val="24"/>
              <w:lang w:eastAsia="zh-CN"/>
            </w:rPr>
            <w:t>工程要求及设备技术要求</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_Toc22929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lang w:val="en-US" w:eastAsia="zh-CN" w:bidi="ar-SA"/>
            </w:rPr>
            <w:fldChar w:fldCharType="end"/>
          </w:r>
          <w:r>
            <w:rPr>
              <w:rFonts w:hint="eastAsia" w:asciiTheme="minorEastAsia" w:hAnsiTheme="minorEastAsia" w:eastAsiaTheme="minorEastAsia" w:cstheme="minorEastAsia"/>
              <w:sz w:val="24"/>
              <w:szCs w:val="24"/>
              <w:lang w:val="en-US" w:eastAsia="zh-CN" w:bidi="ar-SA"/>
            </w:rPr>
            <w:fldChar w:fldCharType="begin"/>
          </w:r>
          <w:r>
            <w:rPr>
              <w:rFonts w:hint="eastAsia" w:asciiTheme="minorEastAsia" w:hAnsiTheme="minorEastAsia" w:eastAsiaTheme="minorEastAsia" w:cstheme="minorEastAsia"/>
              <w:sz w:val="24"/>
              <w:szCs w:val="24"/>
              <w:lang w:val="en-US" w:eastAsia="zh-CN" w:bidi="ar-SA"/>
            </w:rPr>
            <w:instrText xml:space="preserve"> HYPERLINK \l _Toc27985 </w:instrText>
          </w:r>
          <w:r>
            <w:rPr>
              <w:rFonts w:hint="eastAsia" w:asciiTheme="minorEastAsia" w:hAnsiTheme="minorEastAsia" w:eastAsiaTheme="minorEastAsia" w:cstheme="minorEastAsia"/>
              <w:sz w:val="24"/>
              <w:szCs w:val="24"/>
              <w:lang w:val="en-US" w:eastAsia="zh-CN" w:bidi="ar-SA"/>
            </w:rPr>
            <w:fldChar w:fldCharType="separate"/>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lang w:val="en-US" w:eastAsia="zh-CN" w:bidi="ar-SA"/>
            </w:rPr>
            <w:fldChar w:fldCharType="end"/>
          </w:r>
        </w:p>
        <w:p w14:paraId="657A9661">
          <w:pPr>
            <w:pStyle w:val="30"/>
            <w:keepNext w:val="0"/>
            <w:keepLines w:val="0"/>
            <w:pageBreakBefore w:val="0"/>
            <w:widowControl/>
            <w:tabs>
              <w:tab w:val="right" w:leader="dot" w:pos="9357"/>
              <w:tab w:val="clear" w:pos="630"/>
              <w:tab w:val="clear" w:pos="8299"/>
            </w:tabs>
            <w:kinsoku/>
            <w:wordWrap/>
            <w:overflowPunct/>
            <w:topLinePunct w:val="0"/>
            <w:autoSpaceDE/>
            <w:autoSpaceDN/>
            <w:bidi w:val="0"/>
            <w:adjustRightInd/>
            <w:snapToGrid/>
            <w:spacing w:before="0" w:beforeLines="50"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bidi="ar-SA"/>
            </w:rPr>
            <w:fldChar w:fldCharType="begin"/>
          </w:r>
          <w:r>
            <w:rPr>
              <w:rFonts w:hint="eastAsia" w:asciiTheme="minorEastAsia" w:hAnsiTheme="minorEastAsia" w:eastAsiaTheme="minorEastAsia" w:cstheme="minorEastAsia"/>
              <w:sz w:val="24"/>
              <w:szCs w:val="24"/>
              <w:lang w:val="en-US" w:eastAsia="zh-CN" w:bidi="ar-SA"/>
            </w:rPr>
            <w:instrText xml:space="preserve"> HYPERLINK \l _Toc6795 </w:instrText>
          </w:r>
          <w:r>
            <w:rPr>
              <w:rFonts w:hint="eastAsia" w:asciiTheme="minorEastAsia" w:hAnsiTheme="minorEastAsia" w:eastAsiaTheme="minorEastAsia" w:cstheme="minorEastAsia"/>
              <w:sz w:val="24"/>
              <w:szCs w:val="24"/>
              <w:lang w:val="en-US" w:eastAsia="zh-CN" w:bidi="ar-SA"/>
            </w:rPr>
            <w:fldChar w:fldCharType="separate"/>
          </w:r>
          <w:r>
            <w:rPr>
              <w:rFonts w:hint="eastAsia" w:asciiTheme="minorEastAsia" w:hAnsiTheme="minorEastAsia" w:eastAsiaTheme="minorEastAsia" w:cstheme="minorEastAsia"/>
              <w:sz w:val="24"/>
              <w:szCs w:val="24"/>
              <w:lang w:val="en-US" w:eastAsia="zh-CN"/>
            </w:rPr>
            <w:t>八、品牌推荐</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_Toc6795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lang w:val="en-US" w:eastAsia="zh-CN" w:bidi="ar-SA"/>
            </w:rPr>
            <w:fldChar w:fldCharType="end"/>
          </w:r>
        </w:p>
        <w:p w14:paraId="606FBCCF">
          <w:pPr>
            <w:pStyle w:val="30"/>
            <w:keepNext w:val="0"/>
            <w:keepLines w:val="0"/>
            <w:pageBreakBefore w:val="0"/>
            <w:widowControl/>
            <w:tabs>
              <w:tab w:val="right" w:leader="dot" w:pos="9357"/>
              <w:tab w:val="clear" w:pos="630"/>
              <w:tab w:val="clear" w:pos="8299"/>
            </w:tabs>
            <w:kinsoku/>
            <w:wordWrap/>
            <w:overflowPunct/>
            <w:topLinePunct w:val="0"/>
            <w:autoSpaceDE/>
            <w:autoSpaceDN/>
            <w:bidi w:val="0"/>
            <w:adjustRightInd/>
            <w:snapToGrid/>
            <w:spacing w:before="0" w:beforeLines="50"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bidi="ar-SA"/>
            </w:rPr>
            <w:fldChar w:fldCharType="begin"/>
          </w:r>
          <w:r>
            <w:rPr>
              <w:rFonts w:hint="eastAsia" w:asciiTheme="minorEastAsia" w:hAnsiTheme="minorEastAsia" w:eastAsiaTheme="minorEastAsia" w:cstheme="minorEastAsia"/>
              <w:sz w:val="24"/>
              <w:szCs w:val="24"/>
              <w:lang w:val="en-US" w:eastAsia="zh-CN" w:bidi="ar-SA"/>
            </w:rPr>
            <w:instrText xml:space="preserve"> HYPERLINK \l _Toc32155 </w:instrText>
          </w:r>
          <w:r>
            <w:rPr>
              <w:rFonts w:hint="eastAsia" w:asciiTheme="minorEastAsia" w:hAnsiTheme="minorEastAsia" w:eastAsiaTheme="minorEastAsia" w:cstheme="minorEastAsia"/>
              <w:sz w:val="24"/>
              <w:szCs w:val="24"/>
              <w:lang w:val="en-US" w:eastAsia="zh-CN" w:bidi="ar-SA"/>
            </w:rPr>
            <w:fldChar w:fldCharType="separate"/>
          </w:r>
          <w:r>
            <w:rPr>
              <w:rFonts w:hint="eastAsia" w:asciiTheme="minorEastAsia" w:hAnsiTheme="minorEastAsia" w:eastAsiaTheme="minorEastAsia" w:cstheme="minorEastAsia"/>
              <w:sz w:val="24"/>
              <w:szCs w:val="24"/>
              <w:lang w:val="en-US" w:eastAsia="zh-CN"/>
            </w:rPr>
            <w:t>九</w:t>
          </w:r>
          <w:r>
            <w:rPr>
              <w:rFonts w:hint="eastAsia" w:asciiTheme="minorEastAsia" w:hAnsiTheme="minorEastAsia" w:eastAsiaTheme="minorEastAsia" w:cstheme="minorEastAsia"/>
              <w:sz w:val="24"/>
              <w:szCs w:val="24"/>
              <w:lang w:eastAsia="zh-CN"/>
            </w:rPr>
            <w:t>、施工要求</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_Toc32155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lang w:val="en-US" w:eastAsia="zh-CN" w:bidi="ar-SA"/>
            </w:rPr>
            <w:fldChar w:fldCharType="end"/>
          </w:r>
        </w:p>
        <w:p w14:paraId="63F81353">
          <w:pPr>
            <w:pStyle w:val="30"/>
            <w:keepNext w:val="0"/>
            <w:keepLines w:val="0"/>
            <w:pageBreakBefore w:val="0"/>
            <w:widowControl/>
            <w:tabs>
              <w:tab w:val="right" w:leader="dot" w:pos="9357"/>
              <w:tab w:val="clear" w:pos="630"/>
              <w:tab w:val="clear" w:pos="8299"/>
            </w:tabs>
            <w:kinsoku/>
            <w:wordWrap/>
            <w:overflowPunct/>
            <w:topLinePunct w:val="0"/>
            <w:autoSpaceDE/>
            <w:autoSpaceDN/>
            <w:bidi w:val="0"/>
            <w:adjustRightInd/>
            <w:snapToGrid/>
            <w:spacing w:before="0" w:beforeLines="50"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bidi="ar-SA"/>
            </w:rPr>
            <w:fldChar w:fldCharType="begin"/>
          </w:r>
          <w:r>
            <w:rPr>
              <w:rFonts w:hint="eastAsia" w:asciiTheme="minorEastAsia" w:hAnsiTheme="minorEastAsia" w:eastAsiaTheme="minorEastAsia" w:cstheme="minorEastAsia"/>
              <w:sz w:val="24"/>
              <w:szCs w:val="24"/>
              <w:lang w:val="en-US" w:eastAsia="zh-CN" w:bidi="ar-SA"/>
            </w:rPr>
            <w:instrText xml:space="preserve"> HYPERLINK \l _Toc13727 </w:instrText>
          </w:r>
          <w:r>
            <w:rPr>
              <w:rFonts w:hint="eastAsia" w:asciiTheme="minorEastAsia" w:hAnsiTheme="minorEastAsia" w:eastAsiaTheme="minorEastAsia" w:cstheme="minorEastAsia"/>
              <w:sz w:val="24"/>
              <w:szCs w:val="24"/>
              <w:lang w:val="en-US" w:eastAsia="zh-CN" w:bidi="ar-SA"/>
            </w:rPr>
            <w:fldChar w:fldCharType="separate"/>
          </w:r>
          <w:r>
            <w:rPr>
              <w:rFonts w:hint="eastAsia" w:asciiTheme="minorEastAsia" w:hAnsiTheme="minorEastAsia" w:eastAsiaTheme="minorEastAsia" w:cstheme="minorEastAsia"/>
              <w:sz w:val="24"/>
              <w:szCs w:val="24"/>
              <w:lang w:val="en-US" w:eastAsia="zh-CN"/>
            </w:rPr>
            <w:t>十</w:t>
          </w:r>
          <w:r>
            <w:rPr>
              <w:rFonts w:hint="eastAsia" w:asciiTheme="minorEastAsia" w:hAnsiTheme="minorEastAsia" w:eastAsiaTheme="minorEastAsia" w:cstheme="minorEastAsia"/>
              <w:sz w:val="24"/>
              <w:szCs w:val="24"/>
              <w:lang w:eastAsia="zh-CN"/>
            </w:rPr>
            <w:t>、工期</w:t>
          </w:r>
          <w:r>
            <w:rPr>
              <w:rFonts w:hint="eastAsia" w:asciiTheme="minorEastAsia" w:hAnsiTheme="minorEastAsia" w:eastAsiaTheme="minorEastAsia" w:cstheme="minorEastAsia"/>
              <w:sz w:val="24"/>
              <w:szCs w:val="24"/>
              <w:lang w:val="en-US" w:eastAsia="zh-CN"/>
            </w:rPr>
            <w:t>及进度</w:t>
          </w:r>
          <w:r>
            <w:rPr>
              <w:rFonts w:hint="eastAsia" w:asciiTheme="minorEastAsia" w:hAnsiTheme="minorEastAsia" w:eastAsiaTheme="minorEastAsia" w:cstheme="minorEastAsia"/>
              <w:sz w:val="24"/>
              <w:szCs w:val="24"/>
              <w:lang w:eastAsia="zh-CN"/>
            </w:rPr>
            <w:t>要求</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_Toc13727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50</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lang w:val="en-US" w:eastAsia="zh-CN" w:bidi="ar-SA"/>
            </w:rPr>
            <w:fldChar w:fldCharType="end"/>
          </w:r>
        </w:p>
        <w:p w14:paraId="5C53E4DA">
          <w:pPr>
            <w:pStyle w:val="30"/>
            <w:keepNext w:val="0"/>
            <w:keepLines w:val="0"/>
            <w:pageBreakBefore w:val="0"/>
            <w:widowControl/>
            <w:tabs>
              <w:tab w:val="right" w:leader="dot" w:pos="9357"/>
              <w:tab w:val="clear" w:pos="630"/>
              <w:tab w:val="clear" w:pos="8299"/>
            </w:tabs>
            <w:kinsoku/>
            <w:wordWrap/>
            <w:overflowPunct/>
            <w:topLinePunct w:val="0"/>
            <w:autoSpaceDE/>
            <w:autoSpaceDN/>
            <w:bidi w:val="0"/>
            <w:adjustRightInd/>
            <w:snapToGrid/>
            <w:spacing w:before="0" w:beforeLines="50"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bidi="ar-SA"/>
            </w:rPr>
            <w:fldChar w:fldCharType="begin"/>
          </w:r>
          <w:r>
            <w:rPr>
              <w:rFonts w:hint="eastAsia" w:asciiTheme="minorEastAsia" w:hAnsiTheme="minorEastAsia" w:eastAsiaTheme="minorEastAsia" w:cstheme="minorEastAsia"/>
              <w:sz w:val="24"/>
              <w:szCs w:val="24"/>
              <w:lang w:val="en-US" w:eastAsia="zh-CN" w:bidi="ar-SA"/>
            </w:rPr>
            <w:instrText xml:space="preserve"> HYPERLINK \l _Toc5734 </w:instrText>
          </w:r>
          <w:r>
            <w:rPr>
              <w:rFonts w:hint="eastAsia" w:asciiTheme="minorEastAsia" w:hAnsiTheme="minorEastAsia" w:eastAsiaTheme="minorEastAsia" w:cstheme="minorEastAsia"/>
              <w:sz w:val="24"/>
              <w:szCs w:val="24"/>
              <w:lang w:val="en-US" w:eastAsia="zh-CN" w:bidi="ar-SA"/>
            </w:rPr>
            <w:fldChar w:fldCharType="separate"/>
          </w:r>
          <w:r>
            <w:rPr>
              <w:rFonts w:hint="eastAsia" w:asciiTheme="minorEastAsia" w:hAnsiTheme="minorEastAsia" w:eastAsiaTheme="minorEastAsia" w:cstheme="minorEastAsia"/>
              <w:sz w:val="24"/>
              <w:szCs w:val="24"/>
              <w:lang w:val="en-US" w:eastAsia="zh-CN"/>
            </w:rPr>
            <w:t>十一</w:t>
          </w:r>
          <w:r>
            <w:rPr>
              <w:rFonts w:hint="eastAsia" w:asciiTheme="minorEastAsia" w:hAnsiTheme="minorEastAsia" w:eastAsiaTheme="minorEastAsia" w:cstheme="minorEastAsia"/>
              <w:sz w:val="24"/>
              <w:szCs w:val="24"/>
              <w:lang w:eastAsia="zh-CN"/>
            </w:rPr>
            <w:t>、验收</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_Toc5734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50</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lang w:val="en-US" w:eastAsia="zh-CN" w:bidi="ar-SA"/>
            </w:rPr>
            <w:fldChar w:fldCharType="end"/>
          </w:r>
        </w:p>
        <w:p w14:paraId="76C145C8">
          <w:pPr>
            <w:pStyle w:val="30"/>
            <w:keepNext w:val="0"/>
            <w:keepLines w:val="0"/>
            <w:pageBreakBefore w:val="0"/>
            <w:widowControl/>
            <w:tabs>
              <w:tab w:val="right" w:leader="dot" w:pos="9357"/>
              <w:tab w:val="clear" w:pos="630"/>
              <w:tab w:val="clear" w:pos="8299"/>
            </w:tabs>
            <w:kinsoku/>
            <w:wordWrap/>
            <w:overflowPunct/>
            <w:topLinePunct w:val="0"/>
            <w:autoSpaceDE/>
            <w:autoSpaceDN/>
            <w:bidi w:val="0"/>
            <w:adjustRightInd/>
            <w:snapToGrid/>
            <w:spacing w:before="0" w:beforeLines="50"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bidi="ar-SA"/>
            </w:rPr>
            <w:fldChar w:fldCharType="begin"/>
          </w:r>
          <w:r>
            <w:rPr>
              <w:rFonts w:hint="eastAsia" w:asciiTheme="minorEastAsia" w:hAnsiTheme="minorEastAsia" w:eastAsiaTheme="minorEastAsia" w:cstheme="minorEastAsia"/>
              <w:sz w:val="24"/>
              <w:szCs w:val="24"/>
              <w:lang w:val="en-US" w:eastAsia="zh-CN" w:bidi="ar-SA"/>
            </w:rPr>
            <w:instrText xml:space="preserve"> HYPERLINK \l _Toc1785 </w:instrText>
          </w:r>
          <w:r>
            <w:rPr>
              <w:rFonts w:hint="eastAsia" w:asciiTheme="minorEastAsia" w:hAnsiTheme="minorEastAsia" w:eastAsiaTheme="minorEastAsia" w:cstheme="minorEastAsia"/>
              <w:sz w:val="24"/>
              <w:szCs w:val="24"/>
              <w:lang w:val="en-US" w:eastAsia="zh-CN" w:bidi="ar-SA"/>
            </w:rPr>
            <w:fldChar w:fldCharType="separate"/>
          </w:r>
          <w:r>
            <w:rPr>
              <w:rFonts w:hint="eastAsia" w:asciiTheme="minorEastAsia" w:hAnsiTheme="minorEastAsia" w:eastAsiaTheme="minorEastAsia" w:cstheme="minorEastAsia"/>
              <w:sz w:val="24"/>
              <w:szCs w:val="24"/>
              <w:lang w:val="en-US" w:eastAsia="zh-CN"/>
            </w:rPr>
            <w:t>十二</w:t>
          </w:r>
          <w:r>
            <w:rPr>
              <w:rFonts w:hint="eastAsia" w:asciiTheme="minorEastAsia" w:hAnsiTheme="minorEastAsia" w:eastAsiaTheme="minorEastAsia" w:cstheme="minorEastAsia"/>
              <w:sz w:val="24"/>
              <w:szCs w:val="24"/>
              <w:lang w:eastAsia="zh-CN"/>
            </w:rPr>
            <w:t>、质量保证</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_Toc1785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lang w:val="en-US" w:eastAsia="zh-CN" w:bidi="ar-SA"/>
            </w:rPr>
            <w:fldChar w:fldCharType="end"/>
          </w:r>
        </w:p>
        <w:p w14:paraId="00748A9B">
          <w:pPr>
            <w:pStyle w:val="30"/>
            <w:keepNext w:val="0"/>
            <w:keepLines w:val="0"/>
            <w:pageBreakBefore w:val="0"/>
            <w:widowControl/>
            <w:tabs>
              <w:tab w:val="right" w:leader="dot" w:pos="9357"/>
              <w:tab w:val="clear" w:pos="630"/>
              <w:tab w:val="clear" w:pos="8299"/>
            </w:tabs>
            <w:kinsoku/>
            <w:wordWrap/>
            <w:overflowPunct/>
            <w:topLinePunct w:val="0"/>
            <w:autoSpaceDE/>
            <w:autoSpaceDN/>
            <w:bidi w:val="0"/>
            <w:adjustRightInd/>
            <w:snapToGrid/>
            <w:spacing w:before="0" w:beforeLines="50"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bidi="ar-SA"/>
            </w:rPr>
            <w:fldChar w:fldCharType="begin"/>
          </w:r>
          <w:r>
            <w:rPr>
              <w:rFonts w:hint="eastAsia" w:asciiTheme="minorEastAsia" w:hAnsiTheme="minorEastAsia" w:eastAsiaTheme="minorEastAsia" w:cstheme="minorEastAsia"/>
              <w:sz w:val="24"/>
              <w:szCs w:val="24"/>
              <w:lang w:val="en-US" w:eastAsia="zh-CN" w:bidi="ar-SA"/>
            </w:rPr>
            <w:instrText xml:space="preserve"> HYPERLINK \l _Toc25338 </w:instrText>
          </w:r>
          <w:r>
            <w:rPr>
              <w:rFonts w:hint="eastAsia" w:asciiTheme="minorEastAsia" w:hAnsiTheme="minorEastAsia" w:eastAsiaTheme="minorEastAsia" w:cstheme="minorEastAsia"/>
              <w:sz w:val="24"/>
              <w:szCs w:val="24"/>
              <w:lang w:val="en-US" w:eastAsia="zh-CN" w:bidi="ar-SA"/>
            </w:rPr>
            <w:fldChar w:fldCharType="separate"/>
          </w:r>
          <w:r>
            <w:rPr>
              <w:rFonts w:hint="eastAsia" w:asciiTheme="minorEastAsia" w:hAnsiTheme="minorEastAsia" w:eastAsiaTheme="minorEastAsia" w:cstheme="minorEastAsia"/>
              <w:sz w:val="24"/>
              <w:szCs w:val="24"/>
              <w:lang w:val="en-US" w:eastAsia="zh-CN"/>
            </w:rPr>
            <w:t>十三</w:t>
          </w:r>
          <w:r>
            <w:rPr>
              <w:rFonts w:hint="eastAsia" w:asciiTheme="minorEastAsia" w:hAnsiTheme="minorEastAsia" w:eastAsiaTheme="minorEastAsia" w:cstheme="minorEastAsia"/>
              <w:sz w:val="24"/>
              <w:szCs w:val="24"/>
              <w:lang w:eastAsia="zh-CN"/>
            </w:rPr>
            <w:t>、售后服务</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_Toc25338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lang w:val="en-US" w:eastAsia="zh-CN" w:bidi="ar-SA"/>
            </w:rPr>
            <w:fldChar w:fldCharType="end"/>
          </w:r>
        </w:p>
        <w:p w14:paraId="6C8EE250">
          <w:pPr>
            <w:pStyle w:val="30"/>
            <w:keepNext w:val="0"/>
            <w:keepLines w:val="0"/>
            <w:pageBreakBefore w:val="0"/>
            <w:widowControl/>
            <w:tabs>
              <w:tab w:val="right" w:leader="dot" w:pos="9357"/>
              <w:tab w:val="clear" w:pos="630"/>
              <w:tab w:val="clear" w:pos="8299"/>
            </w:tabs>
            <w:kinsoku/>
            <w:wordWrap/>
            <w:overflowPunct/>
            <w:topLinePunct w:val="0"/>
            <w:autoSpaceDE/>
            <w:autoSpaceDN/>
            <w:bidi w:val="0"/>
            <w:adjustRightInd/>
            <w:snapToGrid/>
            <w:spacing w:before="0" w:beforeLines="50" w:line="400" w:lineRule="exact"/>
            <w:jc w:val="both"/>
            <w:textAlignment w:val="auto"/>
          </w:pPr>
          <w:r>
            <w:rPr>
              <w:rFonts w:hint="eastAsia" w:asciiTheme="minorEastAsia" w:hAnsiTheme="minorEastAsia" w:eastAsiaTheme="minorEastAsia" w:cstheme="minorEastAsia"/>
              <w:sz w:val="24"/>
              <w:szCs w:val="24"/>
              <w:lang w:val="en-US" w:eastAsia="zh-CN" w:bidi="ar-SA"/>
            </w:rPr>
            <w:fldChar w:fldCharType="begin"/>
          </w:r>
          <w:r>
            <w:rPr>
              <w:rFonts w:hint="eastAsia" w:asciiTheme="minorEastAsia" w:hAnsiTheme="minorEastAsia" w:eastAsiaTheme="minorEastAsia" w:cstheme="minorEastAsia"/>
              <w:sz w:val="24"/>
              <w:szCs w:val="24"/>
              <w:lang w:val="en-US" w:eastAsia="zh-CN" w:bidi="ar-SA"/>
            </w:rPr>
            <w:instrText xml:space="preserve"> HYPERLINK \l _Toc21109 </w:instrText>
          </w:r>
          <w:r>
            <w:rPr>
              <w:rFonts w:hint="eastAsia" w:asciiTheme="minorEastAsia" w:hAnsiTheme="minorEastAsia" w:eastAsiaTheme="minorEastAsia" w:cstheme="minorEastAsia"/>
              <w:sz w:val="24"/>
              <w:szCs w:val="24"/>
              <w:lang w:val="en-US" w:eastAsia="zh-CN" w:bidi="ar-SA"/>
            </w:rPr>
            <w:fldChar w:fldCharType="separate"/>
          </w:r>
          <w:r>
            <w:rPr>
              <w:rFonts w:hint="eastAsia" w:asciiTheme="minorEastAsia" w:hAnsiTheme="minorEastAsia" w:eastAsiaTheme="minorEastAsia" w:cstheme="minorEastAsia"/>
              <w:sz w:val="24"/>
              <w:szCs w:val="24"/>
              <w:lang w:val="en-US" w:eastAsia="zh-CN"/>
            </w:rPr>
            <w:t>十四</w:t>
          </w:r>
          <w:r>
            <w:rPr>
              <w:rFonts w:hint="eastAsia" w:asciiTheme="minorEastAsia" w:hAnsiTheme="minorEastAsia" w:eastAsiaTheme="minorEastAsia" w:cstheme="minorEastAsia"/>
              <w:sz w:val="24"/>
              <w:szCs w:val="24"/>
              <w:lang w:eastAsia="zh-CN"/>
            </w:rPr>
            <w:t>、附相关图：</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_Toc21109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lang w:val="en-US" w:eastAsia="zh-CN" w:bidi="ar-SA"/>
            </w:rPr>
            <w:fldChar w:fldCharType="end"/>
          </w:r>
        </w:p>
        <w:p w14:paraId="6C09AC8A">
          <w:pPr>
            <w:keepNext w:val="0"/>
            <w:keepLines w:val="0"/>
            <w:pageBreakBefore w:val="0"/>
            <w:widowControl/>
            <w:kinsoku/>
            <w:wordWrap/>
            <w:overflowPunct/>
            <w:topLinePunct w:val="0"/>
            <w:autoSpaceDE/>
            <w:autoSpaceDN/>
            <w:bidi w:val="0"/>
            <w:adjustRightInd/>
            <w:snapToGrid/>
            <w:spacing w:before="0" w:beforeLines="50" w:after="0" w:afterLines="50" w:line="360" w:lineRule="auto"/>
            <w:textAlignment w:val="auto"/>
            <w:outlineLvl w:val="0"/>
            <w:rPr>
              <w:rFonts w:ascii="Times New Roman" w:hAnsi="Times New Roman" w:eastAsia="宋体" w:cs="Times New Roman"/>
              <w:lang w:val="en-US" w:eastAsia="zh-CN" w:bidi="ar-SA"/>
            </w:rPr>
          </w:pPr>
          <w:r>
            <w:rPr>
              <w:rFonts w:hint="eastAsia" w:asciiTheme="minorEastAsia" w:hAnsiTheme="minorEastAsia" w:eastAsiaTheme="minorEastAsia" w:cstheme="minorEastAsia"/>
              <w:szCs w:val="24"/>
              <w:lang w:val="en-US" w:eastAsia="zh-CN" w:bidi="ar-SA"/>
            </w:rPr>
            <w:fldChar w:fldCharType="end"/>
          </w:r>
        </w:p>
      </w:sdtContent>
    </w:sdt>
    <w:p w14:paraId="63B9FDD5">
      <w:pPr>
        <w:outlineLvl w:val="0"/>
        <w:rPr>
          <w:rFonts w:ascii="Times New Roman" w:hAnsi="Times New Roman" w:eastAsia="宋体" w:cs="Times New Roman"/>
          <w:lang w:val="en-US" w:eastAsia="zh-CN" w:bidi="ar-SA"/>
        </w:rPr>
        <w:sectPr>
          <w:pgSz w:w="11909" w:h="16834"/>
          <w:pgMar w:top="1440" w:right="1134" w:bottom="1440" w:left="1418" w:header="839" w:footer="720" w:gutter="0"/>
          <w:pgNumType w:start="1"/>
          <w:cols w:space="720" w:num="1"/>
        </w:sectPr>
      </w:pPr>
    </w:p>
    <w:p w14:paraId="691C232C">
      <w:pPr>
        <w:pStyle w:val="2"/>
        <w:bidi w:val="0"/>
        <w:rPr>
          <w:rFonts w:hint="eastAsia" w:asciiTheme="minorEastAsia" w:hAnsiTheme="minorEastAsia" w:eastAsiaTheme="minorEastAsia" w:cstheme="minorEastAsia"/>
          <w:szCs w:val="24"/>
        </w:rPr>
      </w:pPr>
      <w:bookmarkStart w:id="1" w:name="_Toc4044"/>
      <w:bookmarkStart w:id="2" w:name="_Toc6229"/>
      <w:r>
        <w:rPr>
          <w:rFonts w:hint="eastAsia"/>
        </w:rPr>
        <w:t>一、项目简介</w:t>
      </w:r>
      <w:bookmarkEnd w:id="1"/>
      <w:bookmarkEnd w:id="2"/>
    </w:p>
    <w:p w14:paraId="2D9B4854">
      <w:pPr>
        <w:pStyle w:val="40"/>
        <w:keepNext w:val="0"/>
        <w:keepLines w:val="0"/>
        <w:pageBreakBefore w:val="0"/>
        <w:widowControl/>
        <w:kinsoku/>
        <w:wordWrap/>
        <w:overflowPunct/>
        <w:topLinePunct w:val="0"/>
        <w:autoSpaceDE/>
        <w:autoSpaceDN/>
        <w:bidi w:val="0"/>
        <w:adjustRightInd/>
        <w:snapToGrid w:val="0"/>
        <w:spacing w:before="0" w:beforeLines="0" w:beforeAutospacing="0" w:after="0" w:afterAutospacing="0" w:line="400" w:lineRule="exact"/>
        <w:ind w:left="0" w:leftChars="0" w:right="0" w:firstLine="480" w:firstLineChars="200"/>
        <w:textAlignment w:val="auto"/>
        <w:rPr>
          <w:rFonts w:hint="eastAsia" w:asciiTheme="minorEastAsia" w:hAnsiTheme="minorEastAsia" w:eastAsiaTheme="minorEastAsia" w:cstheme="minorEastAsia"/>
          <w:b w:val="0"/>
          <w:sz w:val="24"/>
          <w:szCs w:val="24"/>
        </w:rPr>
      </w:pPr>
      <w:bookmarkStart w:id="3" w:name="_Toc4795"/>
      <w:bookmarkStart w:id="4" w:name="_Toc808"/>
      <w:r>
        <w:rPr>
          <w:rFonts w:hint="eastAsia" w:asciiTheme="minorEastAsia" w:hAnsiTheme="minorEastAsia" w:eastAsiaTheme="minorEastAsia" w:cstheme="minorEastAsia"/>
          <w:b w:val="0"/>
          <w:sz w:val="24"/>
          <w:szCs w:val="24"/>
        </w:rPr>
        <w:t>本项目现化验检测团队属地共2个化验室，位于芳烃厂区</w:t>
      </w:r>
      <w:r>
        <w:rPr>
          <w:rFonts w:hint="eastAsia" w:asciiTheme="minorEastAsia" w:hAnsiTheme="minorEastAsia" w:eastAsiaTheme="minorEastAsia" w:cstheme="minorEastAsia"/>
          <w:b w:val="0"/>
          <w:sz w:val="24"/>
          <w:szCs w:val="24"/>
          <w:lang w:val="en-US" w:eastAsia="zh-CN"/>
        </w:rPr>
        <w:t>的</w:t>
      </w:r>
      <w:r>
        <w:rPr>
          <w:rFonts w:hint="eastAsia" w:asciiTheme="minorEastAsia" w:hAnsiTheme="minorEastAsia" w:eastAsiaTheme="minorEastAsia" w:cstheme="minorEastAsia"/>
          <w:b w:val="0"/>
          <w:sz w:val="24"/>
          <w:szCs w:val="24"/>
        </w:rPr>
        <w:t>芳烃化验室和位于PTA厂区</w:t>
      </w:r>
      <w:r>
        <w:rPr>
          <w:rFonts w:hint="eastAsia" w:asciiTheme="minorEastAsia" w:hAnsiTheme="minorEastAsia" w:eastAsiaTheme="minorEastAsia" w:cstheme="minorEastAsia"/>
          <w:b w:val="0"/>
          <w:sz w:val="24"/>
          <w:szCs w:val="24"/>
          <w:lang w:val="en-US" w:eastAsia="zh-CN"/>
        </w:rPr>
        <w:t>的</w:t>
      </w:r>
      <w:r>
        <w:rPr>
          <w:rFonts w:hint="eastAsia" w:asciiTheme="minorEastAsia" w:hAnsiTheme="minorEastAsia" w:eastAsiaTheme="minorEastAsia" w:cstheme="minorEastAsia"/>
          <w:b w:val="0"/>
          <w:sz w:val="24"/>
          <w:szCs w:val="24"/>
        </w:rPr>
        <w:t>PTA化验室。</w:t>
      </w:r>
      <w:bookmarkEnd w:id="3"/>
      <w:bookmarkEnd w:id="4"/>
    </w:p>
    <w:p w14:paraId="5CA3A626">
      <w:pPr>
        <w:pStyle w:val="40"/>
        <w:keepNext w:val="0"/>
        <w:keepLines w:val="0"/>
        <w:pageBreakBefore w:val="0"/>
        <w:widowControl/>
        <w:kinsoku/>
        <w:wordWrap/>
        <w:overflowPunct/>
        <w:topLinePunct w:val="0"/>
        <w:autoSpaceDE/>
        <w:autoSpaceDN/>
        <w:bidi w:val="0"/>
        <w:adjustRightInd/>
        <w:snapToGrid w:val="0"/>
        <w:spacing w:before="0" w:beforeLines="0" w:beforeAutospacing="0" w:after="0" w:afterAutospacing="0" w:line="400" w:lineRule="exact"/>
        <w:ind w:left="0" w:leftChars="0" w:right="0" w:firstLine="480" w:firstLineChars="200"/>
        <w:textAlignment w:val="auto"/>
        <w:rPr>
          <w:rFonts w:hint="eastAsia" w:asciiTheme="minorEastAsia" w:hAnsiTheme="minorEastAsia" w:eastAsiaTheme="minorEastAsia" w:cstheme="minorEastAsia"/>
          <w:b w:val="0"/>
          <w:sz w:val="24"/>
          <w:szCs w:val="24"/>
        </w:rPr>
      </w:pPr>
      <w:bookmarkStart w:id="5" w:name="_Toc30668"/>
      <w:bookmarkStart w:id="6" w:name="_Toc11479"/>
      <w:r>
        <w:rPr>
          <w:rFonts w:hint="eastAsia" w:asciiTheme="minorEastAsia" w:hAnsiTheme="minorEastAsia" w:eastAsiaTheme="minorEastAsia" w:cstheme="minorEastAsia"/>
          <w:b w:val="0"/>
          <w:sz w:val="24"/>
          <w:szCs w:val="24"/>
        </w:rPr>
        <w:t>2023年12月翔鹭石化安全标准化二级评审，省应急技术中心安全标准化评审专家组提出翔鹭石化PTA装置的化验室未按照《GB/T 50779-2022 石油化工建筑物抗爆设计标准》进行抗爆计算，要求对PTA化验楼进行整改。</w:t>
      </w:r>
      <w:bookmarkEnd w:id="5"/>
      <w:bookmarkEnd w:id="6"/>
    </w:p>
    <w:p w14:paraId="00D4F6F8">
      <w:pPr>
        <w:pStyle w:val="40"/>
        <w:keepNext w:val="0"/>
        <w:keepLines w:val="0"/>
        <w:pageBreakBefore w:val="0"/>
        <w:widowControl/>
        <w:kinsoku/>
        <w:wordWrap/>
        <w:overflowPunct/>
        <w:topLinePunct w:val="0"/>
        <w:autoSpaceDE/>
        <w:autoSpaceDN/>
        <w:bidi w:val="0"/>
        <w:adjustRightInd/>
        <w:snapToGrid w:val="0"/>
        <w:spacing w:before="0" w:beforeLines="0" w:beforeAutospacing="0" w:after="0" w:afterAutospacing="0" w:line="400" w:lineRule="exact"/>
        <w:ind w:left="0" w:leftChars="0" w:right="0" w:firstLine="480" w:firstLineChars="200"/>
        <w:textAlignment w:val="auto"/>
        <w:rPr>
          <w:rFonts w:hint="eastAsia" w:asciiTheme="minorEastAsia" w:hAnsiTheme="minorEastAsia" w:eastAsiaTheme="minorEastAsia" w:cstheme="minorEastAsia"/>
          <w:b w:val="0"/>
          <w:sz w:val="24"/>
          <w:szCs w:val="24"/>
        </w:rPr>
      </w:pPr>
      <w:bookmarkStart w:id="7" w:name="_Toc1642"/>
      <w:bookmarkStart w:id="8" w:name="_Toc2553"/>
      <w:r>
        <w:rPr>
          <w:rFonts w:hint="eastAsia" w:asciiTheme="minorEastAsia" w:hAnsiTheme="minorEastAsia" w:eastAsiaTheme="minorEastAsia" w:cstheme="minorEastAsia"/>
          <w:b w:val="0"/>
          <w:sz w:val="24"/>
          <w:szCs w:val="24"/>
        </w:rPr>
        <w:t>同时，根据公司发展规划，PTA改扩建项目将在现厂前区增加新线，届时PTA化验楼四周将全是装置区，依据《SH/T3103 石油化工中心化验室设计规范》、《GB50160 石油化工企业设计防火标准》、《GB50984 石油化工工厂布置设计规范》</w:t>
      </w:r>
      <w:r>
        <w:rPr>
          <w:rFonts w:hint="eastAsia" w:asciiTheme="minorEastAsia" w:hAnsiTheme="minorEastAsia" w:eastAsiaTheme="minorEastAsia" w:cstheme="minorEastAsia"/>
          <w:b w:val="0"/>
          <w:sz w:val="24"/>
          <w:szCs w:val="24"/>
          <w:lang w:val="en-US" w:eastAsia="zh-CN"/>
        </w:rPr>
        <w:t>等</w:t>
      </w:r>
      <w:r>
        <w:rPr>
          <w:rFonts w:hint="eastAsia" w:asciiTheme="minorEastAsia" w:hAnsiTheme="minorEastAsia" w:eastAsiaTheme="minorEastAsia" w:cstheme="minorEastAsia"/>
          <w:b w:val="0"/>
          <w:sz w:val="24"/>
          <w:szCs w:val="24"/>
        </w:rPr>
        <w:t>规范要求，化验楼宜建在装置外，因此PTA化验楼不宜继续保留。</w:t>
      </w:r>
      <w:bookmarkEnd w:id="7"/>
      <w:bookmarkEnd w:id="8"/>
    </w:p>
    <w:p w14:paraId="31808D7D">
      <w:pPr>
        <w:pStyle w:val="40"/>
        <w:keepNext w:val="0"/>
        <w:keepLines w:val="0"/>
        <w:pageBreakBefore w:val="0"/>
        <w:widowControl/>
        <w:kinsoku/>
        <w:wordWrap/>
        <w:overflowPunct/>
        <w:topLinePunct w:val="0"/>
        <w:autoSpaceDE/>
        <w:autoSpaceDN/>
        <w:bidi w:val="0"/>
        <w:adjustRightInd/>
        <w:snapToGrid w:val="0"/>
        <w:spacing w:before="0" w:beforeLines="0" w:beforeAutospacing="0" w:after="0" w:afterAutospacing="0" w:line="400" w:lineRule="exact"/>
        <w:ind w:left="0" w:leftChars="0" w:right="0" w:firstLine="480" w:firstLineChars="200"/>
        <w:textAlignment w:val="auto"/>
        <w:rPr>
          <w:rFonts w:hint="eastAsia" w:asciiTheme="minorEastAsia" w:hAnsiTheme="minorEastAsia" w:eastAsiaTheme="minorEastAsia" w:cstheme="minorEastAsia"/>
          <w:b w:val="0"/>
          <w:sz w:val="24"/>
          <w:szCs w:val="24"/>
        </w:rPr>
      </w:pPr>
      <w:bookmarkStart w:id="9" w:name="_Toc30763"/>
      <w:bookmarkStart w:id="10" w:name="_Toc5336"/>
      <w:r>
        <w:rPr>
          <w:rFonts w:hint="eastAsia" w:asciiTheme="minorEastAsia" w:hAnsiTheme="minorEastAsia" w:eastAsiaTheme="minorEastAsia" w:cstheme="minorEastAsia"/>
          <w:b w:val="0"/>
          <w:sz w:val="24"/>
          <w:szCs w:val="24"/>
        </w:rPr>
        <w:t>芳烃新中控楼投入使用</w:t>
      </w:r>
      <w:r>
        <w:rPr>
          <w:rFonts w:hint="eastAsia" w:asciiTheme="minorEastAsia" w:hAnsiTheme="minorEastAsia" w:eastAsiaTheme="minorEastAsia" w:cstheme="minorEastAsia"/>
          <w:b w:val="0"/>
          <w:sz w:val="24"/>
          <w:szCs w:val="24"/>
          <w:lang w:val="en-US" w:eastAsia="zh-CN"/>
        </w:rPr>
        <w:t>后</w:t>
      </w:r>
      <w:r>
        <w:rPr>
          <w:rFonts w:hint="eastAsia" w:asciiTheme="minorEastAsia" w:hAnsiTheme="minorEastAsia" w:eastAsiaTheme="minorEastAsia" w:cstheme="minorEastAsia"/>
          <w:b w:val="0"/>
          <w:sz w:val="24"/>
          <w:szCs w:val="24"/>
        </w:rPr>
        <w:t>，芳烃旧中控楼一楼</w:t>
      </w:r>
      <w:r>
        <w:rPr>
          <w:rFonts w:hint="eastAsia" w:asciiTheme="minorEastAsia" w:hAnsiTheme="minorEastAsia" w:eastAsiaTheme="minorEastAsia" w:cstheme="minorEastAsia"/>
          <w:b w:val="0"/>
          <w:sz w:val="24"/>
          <w:szCs w:val="24"/>
          <w:lang w:val="en-US" w:eastAsia="zh-CN"/>
        </w:rPr>
        <w:t>处于</w:t>
      </w:r>
      <w:r>
        <w:rPr>
          <w:rFonts w:hint="eastAsia" w:asciiTheme="minorEastAsia" w:hAnsiTheme="minorEastAsia" w:eastAsiaTheme="minorEastAsia" w:cstheme="minorEastAsia"/>
          <w:b w:val="0"/>
          <w:sz w:val="24"/>
          <w:szCs w:val="24"/>
        </w:rPr>
        <w:t>空闲。</w:t>
      </w:r>
      <w:r>
        <w:rPr>
          <w:rFonts w:hint="eastAsia" w:asciiTheme="minorEastAsia" w:hAnsiTheme="minorEastAsia" w:eastAsiaTheme="minorEastAsia" w:cstheme="minorEastAsia"/>
          <w:b w:val="0"/>
          <w:sz w:val="24"/>
          <w:szCs w:val="24"/>
          <w:lang w:val="en-US" w:eastAsia="zh-CN"/>
        </w:rPr>
        <w:t>现将</w:t>
      </w:r>
      <w:r>
        <w:rPr>
          <w:rFonts w:hint="eastAsia" w:asciiTheme="minorEastAsia" w:hAnsiTheme="minorEastAsia" w:eastAsiaTheme="minorEastAsia" w:cstheme="minorEastAsia"/>
          <w:b w:val="0"/>
          <w:sz w:val="24"/>
          <w:szCs w:val="24"/>
        </w:rPr>
        <w:t>芳烃旧中控楼一楼改造为化验</w:t>
      </w:r>
      <w:r>
        <w:rPr>
          <w:rFonts w:hint="eastAsia" w:asciiTheme="minorEastAsia" w:hAnsiTheme="minorEastAsia" w:eastAsiaTheme="minorEastAsia" w:cstheme="minorEastAsia"/>
          <w:b w:val="0"/>
          <w:sz w:val="24"/>
          <w:szCs w:val="24"/>
          <w:lang w:val="en-US" w:eastAsia="zh-CN"/>
        </w:rPr>
        <w:t>室</w:t>
      </w:r>
      <w:r>
        <w:rPr>
          <w:rFonts w:hint="eastAsia" w:asciiTheme="minorEastAsia" w:hAnsiTheme="minorEastAsia" w:eastAsiaTheme="minorEastAsia" w:cstheme="minorEastAsia"/>
          <w:b w:val="0"/>
          <w:sz w:val="24"/>
          <w:szCs w:val="24"/>
          <w:lang w:eastAsia="zh-CN"/>
        </w:rPr>
        <w:t>，</w:t>
      </w:r>
      <w:r>
        <w:rPr>
          <w:rFonts w:hint="eastAsia" w:asciiTheme="minorEastAsia" w:hAnsiTheme="minorEastAsia" w:eastAsiaTheme="minorEastAsia" w:cstheme="minorEastAsia"/>
          <w:b w:val="0"/>
          <w:sz w:val="24"/>
          <w:szCs w:val="24"/>
          <w:lang w:val="en-US" w:eastAsia="zh-CN"/>
        </w:rPr>
        <w:t>同时对芳烃化验楼进行改造</w:t>
      </w:r>
      <w:r>
        <w:rPr>
          <w:rFonts w:hint="eastAsia" w:asciiTheme="minorEastAsia" w:hAnsiTheme="minorEastAsia" w:eastAsiaTheme="minorEastAsia" w:cstheme="minorEastAsia"/>
          <w:b w:val="0"/>
          <w:sz w:val="24"/>
          <w:szCs w:val="24"/>
          <w:lang w:eastAsia="zh-CN"/>
        </w:rPr>
        <w:t>，</w:t>
      </w:r>
      <w:r>
        <w:rPr>
          <w:rFonts w:hint="eastAsia" w:asciiTheme="minorEastAsia" w:hAnsiTheme="minorEastAsia" w:eastAsiaTheme="minorEastAsia" w:cstheme="minorEastAsia"/>
          <w:b w:val="0"/>
          <w:sz w:val="24"/>
          <w:szCs w:val="24"/>
        </w:rPr>
        <w:t>使资源得到充分利用，同时可实现化验资源集中管理。</w:t>
      </w:r>
      <w:bookmarkEnd w:id="9"/>
      <w:bookmarkEnd w:id="10"/>
    </w:p>
    <w:p w14:paraId="37A71DB1">
      <w:pPr>
        <w:pStyle w:val="2"/>
        <w:bidi w:val="0"/>
        <w:rPr>
          <w:rFonts w:hint="eastAsia"/>
          <w:lang w:eastAsia="zh-CN"/>
        </w:rPr>
      </w:pPr>
      <w:bookmarkStart w:id="11" w:name="_Toc15095"/>
      <w:r>
        <w:rPr>
          <w:rFonts w:hint="eastAsia"/>
          <w:lang w:val="en-US" w:eastAsia="zh-CN"/>
        </w:rPr>
        <w:t>二</w:t>
      </w:r>
      <w:r>
        <w:rPr>
          <w:rFonts w:hint="eastAsia"/>
          <w:lang w:eastAsia="zh-CN"/>
        </w:rPr>
        <w:t>、发包说明</w:t>
      </w:r>
      <w:bookmarkEnd w:id="11"/>
    </w:p>
    <w:p w14:paraId="23E2CB37">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sz w:val="24"/>
          <w:szCs w:val="24"/>
        </w:rPr>
      </w:pPr>
      <w:bookmarkStart w:id="12" w:name="_Toc5008"/>
      <w:bookmarkStart w:id="13" w:name="_Toc24639"/>
      <w:r>
        <w:rPr>
          <w:rFonts w:hint="eastAsia" w:asciiTheme="minorEastAsia" w:hAnsiTheme="minorEastAsia" w:eastAsiaTheme="minorEastAsia" w:cstheme="minorEastAsia"/>
          <w:b w:val="0"/>
          <w:sz w:val="24"/>
          <w:szCs w:val="24"/>
        </w:rPr>
        <w:t>1、买方就</w:t>
      </w:r>
      <w:r>
        <w:rPr>
          <w:rFonts w:hint="eastAsia" w:asciiTheme="minorEastAsia" w:hAnsiTheme="minorEastAsia" w:eastAsiaTheme="minorEastAsia" w:cstheme="minorEastAsia"/>
          <w:b w:val="0"/>
          <w:sz w:val="24"/>
          <w:szCs w:val="24"/>
          <w:lang w:eastAsia="zh-CN"/>
        </w:rPr>
        <w:t>PTA化验楼搬迁改造项目</w:t>
      </w:r>
      <w:r>
        <w:rPr>
          <w:rFonts w:hint="eastAsia" w:asciiTheme="minorEastAsia" w:hAnsiTheme="minorEastAsia" w:eastAsiaTheme="minorEastAsia" w:cstheme="minorEastAsia"/>
          <w:b w:val="0"/>
          <w:sz w:val="24"/>
          <w:szCs w:val="24"/>
          <w:lang w:val="en-US" w:eastAsia="zh-CN"/>
        </w:rPr>
        <w:t>工程</w:t>
      </w:r>
      <w:r>
        <w:rPr>
          <w:rFonts w:hint="eastAsia" w:asciiTheme="minorEastAsia" w:hAnsiTheme="minorEastAsia" w:eastAsiaTheme="minorEastAsia" w:cstheme="minorEastAsia"/>
          <w:b w:val="0"/>
          <w:sz w:val="24"/>
          <w:szCs w:val="24"/>
        </w:rPr>
        <w:t>提出了发包要求，卖方需达成本发包技术规格书要求。发包技术规格书是编写技术协议书的基础文件；技术协议书作为商务合同附件与之同时生效，并具有同等法律效力。</w:t>
      </w:r>
      <w:bookmarkEnd w:id="12"/>
      <w:bookmarkEnd w:id="13"/>
    </w:p>
    <w:p w14:paraId="1DAFBED1">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sz w:val="24"/>
          <w:szCs w:val="24"/>
        </w:rPr>
      </w:pPr>
      <w:bookmarkStart w:id="14" w:name="_Toc4710"/>
      <w:bookmarkStart w:id="15" w:name="_Toc2901"/>
      <w:r>
        <w:rPr>
          <w:rFonts w:hint="eastAsia" w:asciiTheme="minorEastAsia" w:hAnsiTheme="minorEastAsia" w:eastAsiaTheme="minorEastAsia" w:cstheme="minorEastAsia"/>
          <w:b w:val="0"/>
          <w:sz w:val="24"/>
          <w:szCs w:val="24"/>
          <w:lang w:val="en-US" w:eastAsia="zh-CN"/>
        </w:rPr>
        <w:t>2、</w:t>
      </w:r>
      <w:r>
        <w:rPr>
          <w:rFonts w:hint="eastAsia" w:asciiTheme="minorEastAsia" w:hAnsiTheme="minorEastAsia" w:eastAsiaTheme="minorEastAsia" w:cstheme="minorEastAsia"/>
          <w:b w:val="0"/>
          <w:sz w:val="24"/>
          <w:szCs w:val="24"/>
        </w:rPr>
        <w:t>本项目改造方案</w:t>
      </w:r>
      <w:r>
        <w:rPr>
          <w:rFonts w:hint="eastAsia" w:asciiTheme="minorEastAsia" w:hAnsiTheme="minorEastAsia" w:eastAsiaTheme="minorEastAsia" w:cstheme="minorEastAsia"/>
          <w:b w:val="0"/>
          <w:sz w:val="24"/>
          <w:szCs w:val="24"/>
          <w:lang w:eastAsia="zh-CN"/>
        </w:rPr>
        <w:t>：</w:t>
      </w:r>
      <w:r>
        <w:rPr>
          <w:rFonts w:hint="eastAsia" w:asciiTheme="minorEastAsia" w:hAnsiTheme="minorEastAsia" w:eastAsiaTheme="minorEastAsia" w:cstheme="minorEastAsia"/>
          <w:b w:val="0"/>
          <w:sz w:val="24"/>
          <w:szCs w:val="24"/>
        </w:rPr>
        <w:t>将芳烃旧中控楼一楼改造为化验楼以实现化验统一集中管理。初步规划：将PTA化验主要分析仪器并到芳烃化验楼，将原芳烃化验楼的辅助功能区（如办公室、试剂间、备品备件间等）和煤质分析等转移至芳烃旧中控楼，请专业公司对芳烃化验楼</w:t>
      </w:r>
      <w:r>
        <w:rPr>
          <w:rFonts w:hint="eastAsia" w:asciiTheme="minorEastAsia" w:hAnsiTheme="minorEastAsia" w:eastAsiaTheme="minorEastAsia" w:cstheme="minorEastAsia"/>
          <w:b w:val="0"/>
          <w:sz w:val="24"/>
          <w:szCs w:val="24"/>
          <w:lang w:val="en-US" w:eastAsia="zh-CN"/>
        </w:rPr>
        <w:t>和</w:t>
      </w:r>
      <w:r>
        <w:rPr>
          <w:rFonts w:hint="eastAsia" w:asciiTheme="minorEastAsia" w:hAnsiTheme="minorEastAsia" w:eastAsiaTheme="minorEastAsia" w:cstheme="minorEastAsia"/>
          <w:b w:val="0"/>
          <w:sz w:val="24"/>
          <w:szCs w:val="24"/>
        </w:rPr>
        <w:t>芳烃旧中控楼</w:t>
      </w:r>
      <w:r>
        <w:rPr>
          <w:rFonts w:hint="eastAsia" w:asciiTheme="minorEastAsia" w:hAnsiTheme="minorEastAsia" w:eastAsiaTheme="minorEastAsia" w:cstheme="minorEastAsia"/>
          <w:b w:val="0"/>
          <w:sz w:val="24"/>
          <w:szCs w:val="24"/>
          <w:lang w:val="en-US" w:eastAsia="zh-CN"/>
        </w:rPr>
        <w:t>一楼</w:t>
      </w:r>
      <w:r>
        <w:rPr>
          <w:rFonts w:hint="eastAsia" w:asciiTheme="minorEastAsia" w:hAnsiTheme="minorEastAsia" w:eastAsiaTheme="minorEastAsia" w:cstheme="minorEastAsia"/>
          <w:b w:val="0"/>
          <w:sz w:val="24"/>
          <w:szCs w:val="24"/>
        </w:rPr>
        <w:t>进行实地考察并综合利用PTA化验部分旧家具，进行整体装修改造。改造涉及：按实验室需求增加</w:t>
      </w:r>
      <w:r>
        <w:rPr>
          <w:rFonts w:hint="eastAsia" w:asciiTheme="minorEastAsia" w:hAnsiTheme="minorEastAsia" w:eastAsiaTheme="minorEastAsia" w:cstheme="minorEastAsia"/>
          <w:b w:val="0"/>
          <w:sz w:val="24"/>
          <w:szCs w:val="24"/>
          <w:lang w:val="en-US" w:eastAsia="zh-CN"/>
        </w:rPr>
        <w:t>实验台、</w:t>
      </w:r>
      <w:r>
        <w:rPr>
          <w:rFonts w:hint="eastAsia" w:asciiTheme="minorEastAsia" w:hAnsiTheme="minorEastAsia" w:eastAsiaTheme="minorEastAsia" w:cstheme="minorEastAsia"/>
          <w:b w:val="0"/>
          <w:sz w:val="24"/>
          <w:szCs w:val="24"/>
        </w:rPr>
        <w:t>水电、室内装修、空调系统</w:t>
      </w:r>
      <w:r>
        <w:rPr>
          <w:rFonts w:hint="eastAsia" w:asciiTheme="minorEastAsia" w:hAnsiTheme="minorEastAsia" w:eastAsiaTheme="minorEastAsia" w:cstheme="minorEastAsia"/>
          <w:b w:val="0"/>
          <w:sz w:val="24"/>
          <w:szCs w:val="24"/>
          <w:lang w:val="en-US" w:eastAsia="zh-CN"/>
        </w:rPr>
        <w:t>改造</w:t>
      </w:r>
      <w:r>
        <w:rPr>
          <w:rFonts w:hint="eastAsia" w:asciiTheme="minorEastAsia" w:hAnsiTheme="minorEastAsia" w:eastAsiaTheme="minorEastAsia" w:cstheme="minorEastAsia"/>
          <w:b w:val="0"/>
          <w:sz w:val="24"/>
          <w:szCs w:val="24"/>
        </w:rPr>
        <w:t>（化验室需使用独立新风空调系统，避免实验室挥发性有毒气体串到办公区）、增加通风系统、实验台柜、气路</w:t>
      </w:r>
      <w:r>
        <w:rPr>
          <w:rFonts w:hint="eastAsia" w:asciiTheme="minorEastAsia" w:hAnsiTheme="minorEastAsia" w:eastAsiaTheme="minorEastAsia" w:cstheme="minorEastAsia"/>
          <w:b w:val="0"/>
          <w:sz w:val="24"/>
          <w:szCs w:val="24"/>
          <w:lang w:eastAsia="zh-CN"/>
        </w:rPr>
        <w:t>、</w:t>
      </w:r>
      <w:r>
        <w:rPr>
          <w:rFonts w:hint="eastAsia" w:asciiTheme="minorEastAsia" w:hAnsiTheme="minorEastAsia" w:eastAsiaTheme="minorEastAsia" w:cstheme="minorEastAsia"/>
          <w:b w:val="0"/>
          <w:sz w:val="24"/>
          <w:szCs w:val="24"/>
          <w:lang w:val="en-US" w:eastAsia="zh-CN"/>
        </w:rPr>
        <w:t>网络、监控</w:t>
      </w:r>
      <w:r>
        <w:rPr>
          <w:rFonts w:hint="eastAsia" w:asciiTheme="minorEastAsia" w:hAnsiTheme="minorEastAsia" w:eastAsiaTheme="minorEastAsia" w:cstheme="minorEastAsia"/>
          <w:b w:val="0"/>
          <w:sz w:val="24"/>
          <w:szCs w:val="24"/>
        </w:rPr>
        <w:t>等。</w:t>
      </w:r>
      <w:bookmarkEnd w:id="14"/>
      <w:bookmarkEnd w:id="15"/>
    </w:p>
    <w:p w14:paraId="7DBE690B">
      <w:pPr>
        <w:pStyle w:val="40"/>
        <w:pageBreakBefore w:val="0"/>
        <w:numPr>
          <w:ilvl w:val="0"/>
          <w:numId w:val="0"/>
        </w:numPr>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color w:val="auto"/>
          <w:sz w:val="24"/>
          <w:szCs w:val="24"/>
        </w:rPr>
      </w:pPr>
      <w:bookmarkStart w:id="16" w:name="_Toc5338"/>
      <w:bookmarkStart w:id="17" w:name="_Toc14346"/>
      <w:r>
        <w:rPr>
          <w:rFonts w:hint="eastAsia" w:asciiTheme="minorEastAsia" w:hAnsiTheme="minorEastAsia" w:eastAsiaTheme="minorEastAsia" w:cstheme="minorEastAsia"/>
          <w:b w:val="0"/>
          <w:kern w:val="0"/>
          <w:sz w:val="24"/>
          <w:szCs w:val="24"/>
          <w:lang w:val="en-US" w:eastAsia="zh-CN" w:bidi="ar-SA"/>
        </w:rPr>
        <w:t>3、</w:t>
      </w:r>
      <w:r>
        <w:rPr>
          <w:rFonts w:hint="eastAsia" w:asciiTheme="minorEastAsia" w:hAnsiTheme="minorEastAsia" w:eastAsiaTheme="minorEastAsia" w:cstheme="minorEastAsia"/>
          <w:b w:val="0"/>
          <w:sz w:val="24"/>
          <w:szCs w:val="24"/>
        </w:rPr>
        <w:t>参选前卖方需到现场确认设计方案、材料用量及规格，提供详细设计方案、产品结构图、气路</w:t>
      </w:r>
      <w:r>
        <w:rPr>
          <w:rFonts w:hint="eastAsia" w:asciiTheme="minorEastAsia" w:hAnsiTheme="minorEastAsia" w:eastAsiaTheme="minorEastAsia" w:cstheme="minorEastAsia"/>
          <w:b w:val="0"/>
          <w:sz w:val="24"/>
          <w:szCs w:val="24"/>
          <w:lang w:val="en-US" w:eastAsia="zh-CN"/>
        </w:rPr>
        <w:t>走向</w:t>
      </w:r>
      <w:r>
        <w:rPr>
          <w:rFonts w:hint="eastAsia" w:asciiTheme="minorEastAsia" w:hAnsiTheme="minorEastAsia" w:eastAsiaTheme="minorEastAsia" w:cstheme="minorEastAsia"/>
          <w:b w:val="0"/>
          <w:sz w:val="24"/>
          <w:szCs w:val="24"/>
        </w:rPr>
        <w:t>安装位置</w:t>
      </w:r>
      <w:r>
        <w:rPr>
          <w:rFonts w:hint="eastAsia" w:asciiTheme="minorEastAsia" w:hAnsiTheme="minorEastAsia" w:eastAsiaTheme="minorEastAsia" w:cstheme="minorEastAsia"/>
          <w:b w:val="0"/>
          <w:sz w:val="24"/>
          <w:szCs w:val="24"/>
          <w:lang w:val="en-US" w:eastAsia="zh-CN"/>
        </w:rPr>
        <w:t>平面</w:t>
      </w:r>
      <w:r>
        <w:rPr>
          <w:rFonts w:hint="eastAsia" w:asciiTheme="minorEastAsia" w:hAnsiTheme="minorEastAsia" w:eastAsiaTheme="minorEastAsia" w:cstheme="minorEastAsia"/>
          <w:b w:val="0"/>
          <w:sz w:val="24"/>
          <w:szCs w:val="24"/>
          <w:lang w:eastAsia="zh-CN"/>
        </w:rPr>
        <w:t>、</w:t>
      </w:r>
      <w:r>
        <w:rPr>
          <w:rFonts w:hint="eastAsia" w:asciiTheme="minorEastAsia" w:hAnsiTheme="minorEastAsia" w:eastAsiaTheme="minorEastAsia" w:cstheme="minorEastAsia"/>
          <w:b w:val="0"/>
          <w:sz w:val="24"/>
          <w:szCs w:val="24"/>
          <w:lang w:val="en-US" w:eastAsia="zh-CN"/>
        </w:rPr>
        <w:t>试验台安装平面图、电气线路安装平面图、网络电信安装平面图、上下水走向安装平面图等</w:t>
      </w:r>
      <w:r>
        <w:rPr>
          <w:rFonts w:hint="eastAsia" w:asciiTheme="minorEastAsia" w:hAnsiTheme="minorEastAsia" w:eastAsiaTheme="minorEastAsia" w:cstheme="minorEastAsia"/>
          <w:b w:val="0"/>
          <w:color w:val="auto"/>
          <w:sz w:val="24"/>
          <w:szCs w:val="24"/>
        </w:rPr>
        <w:t>，签订技术协议书。</w:t>
      </w:r>
      <w:bookmarkEnd w:id="16"/>
      <w:bookmarkEnd w:id="17"/>
    </w:p>
    <w:p w14:paraId="0356DA5A">
      <w:pPr>
        <w:pStyle w:val="40"/>
        <w:pageBreakBefore w:val="0"/>
        <w:numPr>
          <w:ilvl w:val="0"/>
          <w:numId w:val="0"/>
        </w:numPr>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sz w:val="24"/>
          <w:szCs w:val="24"/>
          <w:lang w:val="en-US" w:eastAsia="zh-CN"/>
        </w:rPr>
      </w:pPr>
      <w:bookmarkStart w:id="18" w:name="_Toc21298"/>
      <w:bookmarkStart w:id="19" w:name="_Toc27598"/>
      <w:r>
        <w:rPr>
          <w:rFonts w:hint="eastAsia" w:asciiTheme="minorEastAsia" w:hAnsiTheme="minorEastAsia" w:eastAsiaTheme="minorEastAsia" w:cstheme="minorEastAsia"/>
          <w:b w:val="0"/>
          <w:color w:val="auto"/>
          <w:sz w:val="24"/>
          <w:szCs w:val="24"/>
          <w:lang w:val="en-US" w:eastAsia="zh-CN"/>
        </w:rPr>
        <w:t>4、本项目施工前需要提供设计蓝图和设计说明，设计单位须具备</w:t>
      </w:r>
      <w:r>
        <w:rPr>
          <w:rFonts w:hint="eastAsia" w:ascii="宋体" w:hAnsi="宋体" w:eastAsia="宋体" w:cs="宋体"/>
          <w:color w:val="auto"/>
          <w:kern w:val="2"/>
          <w:sz w:val="24"/>
          <w:szCs w:val="24"/>
          <w:lang w:val="en-US" w:eastAsia="zh-CN" w:bidi="ar-SA"/>
        </w:rPr>
        <w:t>建筑装修装饰工程</w:t>
      </w:r>
      <w:r>
        <w:rPr>
          <w:rFonts w:hint="eastAsia" w:asciiTheme="minorEastAsia" w:hAnsiTheme="minorEastAsia" w:eastAsiaTheme="minorEastAsia" w:cstheme="minorEastAsia"/>
          <w:b w:val="0"/>
          <w:color w:val="auto"/>
          <w:sz w:val="24"/>
          <w:szCs w:val="24"/>
          <w:lang w:val="en-US" w:eastAsia="zh-CN"/>
        </w:rPr>
        <w:t>设计资质证书乙级以上的单位。</w:t>
      </w:r>
      <w:bookmarkEnd w:id="18"/>
      <w:bookmarkEnd w:id="19"/>
    </w:p>
    <w:p w14:paraId="15292665">
      <w:pPr>
        <w:pStyle w:val="40"/>
        <w:pageBreakBefore w:val="0"/>
        <w:numPr>
          <w:ilvl w:val="0"/>
          <w:numId w:val="0"/>
        </w:numPr>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sz w:val="24"/>
          <w:szCs w:val="24"/>
          <w:lang w:val="en-US" w:eastAsia="zh-CN"/>
        </w:rPr>
      </w:pPr>
      <w:bookmarkStart w:id="20" w:name="_Toc268"/>
      <w:bookmarkStart w:id="21" w:name="_Toc21952"/>
      <w:r>
        <w:rPr>
          <w:rFonts w:hint="eastAsia" w:asciiTheme="minorEastAsia" w:hAnsiTheme="minorEastAsia" w:eastAsiaTheme="minorEastAsia" w:cstheme="minorEastAsia"/>
          <w:b w:val="0"/>
          <w:sz w:val="24"/>
          <w:szCs w:val="24"/>
          <w:lang w:val="en-US" w:eastAsia="zh-CN"/>
        </w:rPr>
        <w:t>5、本工程为总承包工程。项目以包干形式完成发包范围内容</w:t>
      </w:r>
      <w:r>
        <w:rPr>
          <w:rFonts w:hint="eastAsia" w:asciiTheme="minorEastAsia" w:hAnsiTheme="minorEastAsia" w:eastAsiaTheme="minorEastAsia" w:cstheme="minorEastAsia"/>
          <w:b w:val="0"/>
          <w:sz w:val="24"/>
          <w:szCs w:val="24"/>
          <w:lang w:eastAsia="zh-CN"/>
        </w:rPr>
        <w:t>，</w:t>
      </w:r>
      <w:r>
        <w:rPr>
          <w:rFonts w:hint="eastAsia" w:asciiTheme="minorEastAsia" w:hAnsiTheme="minorEastAsia" w:eastAsiaTheme="minorEastAsia" w:cstheme="minorEastAsia"/>
          <w:b w:val="0"/>
          <w:sz w:val="24"/>
          <w:szCs w:val="24"/>
          <w:lang w:val="en-US" w:eastAsia="zh-CN"/>
        </w:rPr>
        <w:t>发包范围内</w:t>
      </w:r>
      <w:r>
        <w:rPr>
          <w:rFonts w:hint="eastAsia" w:asciiTheme="minorEastAsia" w:hAnsiTheme="minorEastAsia" w:eastAsiaTheme="minorEastAsia" w:cstheme="minorEastAsia"/>
          <w:b w:val="0"/>
          <w:sz w:val="24"/>
          <w:szCs w:val="24"/>
        </w:rPr>
        <w:t>项目所需的全部材料</w:t>
      </w:r>
      <w:r>
        <w:rPr>
          <w:rFonts w:hint="eastAsia" w:asciiTheme="minorEastAsia" w:hAnsiTheme="minorEastAsia" w:eastAsiaTheme="minorEastAsia" w:cstheme="minorEastAsia"/>
          <w:b w:val="0"/>
          <w:sz w:val="24"/>
          <w:szCs w:val="24"/>
          <w:lang w:eastAsia="zh-CN"/>
        </w:rPr>
        <w:t>（</w:t>
      </w:r>
      <w:r>
        <w:rPr>
          <w:rFonts w:hint="eastAsia" w:asciiTheme="minorEastAsia" w:hAnsiTheme="minorEastAsia" w:eastAsiaTheme="minorEastAsia" w:cstheme="minorEastAsia"/>
          <w:b w:val="0"/>
          <w:sz w:val="24"/>
          <w:szCs w:val="24"/>
          <w:lang w:val="en-US" w:eastAsia="zh-CN"/>
        </w:rPr>
        <w:t>包含但不限于协议书中清单的内容</w:t>
      </w:r>
      <w:r>
        <w:rPr>
          <w:rFonts w:hint="eastAsia" w:asciiTheme="minorEastAsia" w:hAnsiTheme="minorEastAsia" w:eastAsiaTheme="minorEastAsia" w:cstheme="minorEastAsia"/>
          <w:b w:val="0"/>
          <w:sz w:val="24"/>
          <w:szCs w:val="24"/>
          <w:lang w:eastAsia="zh-CN"/>
        </w:rPr>
        <w:t>）</w:t>
      </w:r>
      <w:r>
        <w:rPr>
          <w:rFonts w:hint="eastAsia" w:asciiTheme="minorEastAsia" w:hAnsiTheme="minorEastAsia" w:eastAsiaTheme="minorEastAsia" w:cstheme="minorEastAsia"/>
          <w:b w:val="0"/>
          <w:sz w:val="24"/>
          <w:szCs w:val="24"/>
        </w:rPr>
        <w:t>由卖方提供并安全运输到买方现场</w:t>
      </w:r>
      <w:r>
        <w:rPr>
          <w:rFonts w:hint="eastAsia" w:asciiTheme="minorEastAsia" w:hAnsiTheme="minorEastAsia" w:eastAsiaTheme="minorEastAsia" w:cstheme="minorEastAsia"/>
          <w:b w:val="0"/>
          <w:sz w:val="24"/>
          <w:szCs w:val="24"/>
          <w:lang w:val="en-US" w:eastAsia="zh-CN"/>
        </w:rPr>
        <w:t>进行安装</w:t>
      </w:r>
      <w:r>
        <w:rPr>
          <w:rFonts w:hint="eastAsia" w:asciiTheme="minorEastAsia" w:hAnsiTheme="minorEastAsia" w:eastAsiaTheme="minorEastAsia" w:cstheme="minorEastAsia"/>
          <w:b w:val="0"/>
          <w:sz w:val="24"/>
          <w:szCs w:val="24"/>
        </w:rPr>
        <w:t>。</w:t>
      </w:r>
      <w:r>
        <w:rPr>
          <w:rFonts w:hint="eastAsia" w:asciiTheme="minorEastAsia" w:hAnsiTheme="minorEastAsia" w:eastAsiaTheme="minorEastAsia" w:cstheme="minorEastAsia"/>
          <w:b w:val="0"/>
          <w:sz w:val="24"/>
          <w:szCs w:val="24"/>
          <w:lang w:val="en-US" w:eastAsia="zh-CN"/>
        </w:rPr>
        <w:t>利旧物件由卖方进行拆除、搬运至指定场所进行安装，并保证物件整洁及功能完好。</w:t>
      </w:r>
      <w:bookmarkEnd w:id="20"/>
      <w:bookmarkEnd w:id="21"/>
    </w:p>
    <w:p w14:paraId="5D3D51A3">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eastAsia="zh-CN"/>
        </w:rPr>
      </w:pPr>
      <w:bookmarkStart w:id="22" w:name="_Toc21793"/>
      <w:bookmarkStart w:id="23" w:name="_Toc10570"/>
      <w:r>
        <w:rPr>
          <w:rFonts w:hint="eastAsia" w:asciiTheme="minorEastAsia" w:hAnsiTheme="minorEastAsia" w:eastAsiaTheme="minorEastAsia" w:cstheme="minorEastAsia"/>
          <w:b w:val="0"/>
          <w:sz w:val="24"/>
          <w:szCs w:val="24"/>
          <w:lang w:val="en-US" w:eastAsia="zh-CN"/>
        </w:rPr>
        <w:t>6</w:t>
      </w:r>
      <w:r>
        <w:rPr>
          <w:rFonts w:hint="eastAsia" w:asciiTheme="minorEastAsia" w:hAnsiTheme="minorEastAsia" w:eastAsiaTheme="minorEastAsia" w:cstheme="minorEastAsia"/>
          <w:b w:val="0"/>
          <w:sz w:val="24"/>
          <w:szCs w:val="24"/>
        </w:rPr>
        <w:t>、由于本化验室已投入正常使用</w:t>
      </w:r>
      <w:r>
        <w:rPr>
          <w:rFonts w:hint="eastAsia" w:asciiTheme="minorEastAsia" w:hAnsiTheme="minorEastAsia" w:eastAsiaTheme="minorEastAsia" w:cstheme="minorEastAsia"/>
          <w:b w:val="0"/>
          <w:sz w:val="24"/>
          <w:szCs w:val="24"/>
          <w:lang w:val="en-US" w:eastAsia="zh-CN"/>
        </w:rPr>
        <w:t>且与实验室抗爆施工存在部分交叉</w:t>
      </w:r>
      <w:r>
        <w:rPr>
          <w:rFonts w:hint="eastAsia" w:asciiTheme="minorEastAsia" w:hAnsiTheme="minorEastAsia" w:eastAsiaTheme="minorEastAsia" w:cstheme="minorEastAsia"/>
          <w:b w:val="0"/>
          <w:sz w:val="24"/>
          <w:szCs w:val="24"/>
        </w:rPr>
        <w:t>，卖方一切安装不能影响买方实验室正常使用。一切安装事宜需服从买方的安排。</w:t>
      </w:r>
      <w:bookmarkEnd w:id="22"/>
      <w:bookmarkEnd w:id="23"/>
    </w:p>
    <w:p w14:paraId="68E44802">
      <w:pPr>
        <w:pStyle w:val="2"/>
        <w:bidi w:val="0"/>
        <w:rPr>
          <w:rFonts w:hint="eastAsia"/>
          <w:lang w:eastAsia="zh-CN"/>
        </w:rPr>
      </w:pPr>
      <w:bookmarkStart w:id="24" w:name="_Toc27938"/>
      <w:r>
        <w:rPr>
          <w:rFonts w:hint="eastAsia"/>
          <w:lang w:eastAsia="zh-CN"/>
        </w:rPr>
        <w:t>三、参选人资格要求</w:t>
      </w:r>
      <w:bookmarkEnd w:id="24"/>
    </w:p>
    <w:p w14:paraId="463A1D5E">
      <w:pPr>
        <w:pageBreakBefore w:val="0"/>
        <w:kinsoku/>
        <w:wordWrap/>
        <w:overflowPunct/>
        <w:topLinePunct w:val="0"/>
        <w:bidi w:val="0"/>
        <w:spacing w:beforeAutospacing="0" w:afterAutospacing="0" w:line="400" w:lineRule="exact"/>
        <w:ind w:left="0" w:leftChars="0" w:right="0" w:firstLine="0" w:firstLineChars="0"/>
        <w:rPr>
          <w:rFonts w:hint="eastAsia" w:ascii="宋体" w:hAnsi="宋体" w:eastAsia="宋体" w:cs="宋体"/>
          <w:color w:val="auto"/>
          <w:kern w:val="2"/>
          <w:sz w:val="24"/>
          <w:szCs w:val="24"/>
          <w:lang w:val="en-US" w:eastAsia="zh-CN" w:bidi="ar-SA"/>
        </w:rPr>
      </w:pPr>
      <w:r>
        <w:rPr>
          <w:rFonts w:hint="eastAsia" w:asciiTheme="minorEastAsia" w:hAnsiTheme="minorEastAsia" w:eastAsiaTheme="minorEastAsia" w:cstheme="minorEastAsia"/>
          <w:color w:val="auto"/>
          <w:sz w:val="24"/>
          <w:szCs w:val="24"/>
          <w:lang w:val="en-US" w:eastAsia="zh-CN"/>
        </w:rPr>
        <w:t>1、</w:t>
      </w:r>
      <w:r>
        <w:rPr>
          <w:rFonts w:hint="eastAsia" w:ascii="宋体" w:hAnsi="宋体" w:cs="宋体"/>
          <w:color w:val="auto"/>
          <w:kern w:val="2"/>
          <w:sz w:val="24"/>
          <w:szCs w:val="24"/>
          <w:lang w:val="en-US" w:eastAsia="zh-CN" w:bidi="ar-SA"/>
        </w:rPr>
        <w:t>参选</w:t>
      </w:r>
      <w:r>
        <w:rPr>
          <w:rFonts w:hint="eastAsia" w:ascii="宋体" w:hAnsi="宋体" w:eastAsia="宋体" w:cs="宋体"/>
          <w:color w:val="auto"/>
          <w:kern w:val="2"/>
          <w:sz w:val="24"/>
          <w:szCs w:val="24"/>
          <w:lang w:val="en-US" w:eastAsia="zh-CN" w:bidi="ar-SA"/>
        </w:rPr>
        <w:t>人须具备建设行政主管部门颁发的有效的不低于建筑装修装饰工程专业承包贰级资质，且应具备合格有效建筑施工企业《安全生产许可证》。</w:t>
      </w:r>
    </w:p>
    <w:p w14:paraId="756F260D">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lang w:eastAsia="zh-CN"/>
        </w:rPr>
        <w:t>、参选人在中华人民共和国境内（不含港澳台地区）注册，持有工商行政管理部门核发的法人营业执照。</w:t>
      </w:r>
    </w:p>
    <w:p w14:paraId="05DFE4A5">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lang w:eastAsia="zh-CN"/>
        </w:rPr>
        <w:t>、单位负责人为同一人或者存在控股、管理关系的不同单位不得同时参选。</w:t>
      </w:r>
    </w:p>
    <w:p w14:paraId="79EACCE8">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除蓝图设计单位外，</w:t>
      </w:r>
      <w:r>
        <w:rPr>
          <w:rFonts w:hint="eastAsia" w:asciiTheme="minorEastAsia" w:hAnsiTheme="minorEastAsia" w:eastAsiaTheme="minorEastAsia" w:cstheme="minorEastAsia"/>
          <w:color w:val="auto"/>
          <w:sz w:val="24"/>
          <w:szCs w:val="24"/>
          <w:lang w:eastAsia="zh-CN"/>
        </w:rPr>
        <w:t>本项目不接受</w:t>
      </w:r>
      <w:r>
        <w:rPr>
          <w:rFonts w:hint="eastAsia" w:asciiTheme="minorEastAsia" w:hAnsiTheme="minorEastAsia" w:eastAsiaTheme="minorEastAsia" w:cstheme="minorEastAsia"/>
          <w:color w:val="auto"/>
          <w:sz w:val="24"/>
          <w:szCs w:val="24"/>
          <w:lang w:val="en-US" w:eastAsia="zh-CN"/>
        </w:rPr>
        <w:t>其他</w:t>
      </w:r>
      <w:r>
        <w:rPr>
          <w:rFonts w:hint="eastAsia" w:asciiTheme="minorEastAsia" w:hAnsiTheme="minorEastAsia" w:eastAsiaTheme="minorEastAsia" w:cstheme="minorEastAsia"/>
          <w:color w:val="auto"/>
          <w:sz w:val="24"/>
          <w:szCs w:val="24"/>
          <w:lang w:eastAsia="zh-CN"/>
        </w:rPr>
        <w:t>联合体参选，不</w:t>
      </w:r>
      <w:r>
        <w:rPr>
          <w:rFonts w:hint="eastAsia" w:asciiTheme="minorEastAsia" w:hAnsiTheme="minorEastAsia" w:eastAsiaTheme="minorEastAsia" w:cstheme="minorEastAsia"/>
          <w:color w:val="auto"/>
          <w:sz w:val="24"/>
          <w:szCs w:val="24"/>
          <w:lang w:val="en-US" w:eastAsia="zh-CN"/>
        </w:rPr>
        <w:t>允许</w:t>
      </w:r>
      <w:r>
        <w:rPr>
          <w:rFonts w:hint="eastAsia" w:asciiTheme="minorEastAsia" w:hAnsiTheme="minorEastAsia" w:eastAsiaTheme="minorEastAsia" w:cstheme="minorEastAsia"/>
          <w:color w:val="auto"/>
          <w:sz w:val="24"/>
          <w:szCs w:val="24"/>
          <w:lang w:eastAsia="zh-CN"/>
        </w:rPr>
        <w:t>非法分包、杜绝转包。</w:t>
      </w:r>
    </w:p>
    <w:p w14:paraId="3E0ED702">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lang w:eastAsia="zh-CN"/>
        </w:rPr>
        <w:t>、承接类似项目服务合同复印件作为证明文件。</w:t>
      </w:r>
    </w:p>
    <w:p w14:paraId="71185AF6">
      <w:pPr>
        <w:pStyle w:val="2"/>
        <w:bidi w:val="0"/>
        <w:rPr>
          <w:rFonts w:hint="eastAsia" w:eastAsia="宋体" w:cs="Times New Roman"/>
          <w:color w:val="auto"/>
          <w:lang w:val="en-US" w:eastAsia="zh-CN"/>
        </w:rPr>
      </w:pPr>
      <w:bookmarkStart w:id="25" w:name="_Toc24650"/>
      <w:bookmarkStart w:id="26" w:name="_Toc14672"/>
      <w:r>
        <w:rPr>
          <w:rFonts w:hint="eastAsia" w:eastAsia="宋体" w:cs="Times New Roman"/>
          <w:color w:val="auto"/>
          <w:lang w:val="en-US" w:eastAsia="zh-CN"/>
        </w:rPr>
        <w:t>四</w:t>
      </w:r>
      <w:r>
        <w:rPr>
          <w:rFonts w:hint="eastAsia" w:eastAsia="宋体" w:cs="Times New Roman"/>
          <w:color w:val="auto"/>
          <w:lang w:eastAsia="zh-CN"/>
        </w:rPr>
        <w:t>、</w:t>
      </w:r>
      <w:r>
        <w:rPr>
          <w:rFonts w:hint="eastAsia" w:eastAsia="宋体" w:cs="Times New Roman"/>
          <w:color w:val="auto"/>
          <w:lang w:val="en-US" w:eastAsia="zh-CN"/>
        </w:rPr>
        <w:t>业绩要求</w:t>
      </w:r>
      <w:bookmarkEnd w:id="25"/>
      <w:bookmarkEnd w:id="26"/>
    </w:p>
    <w:p w14:paraId="74C7AD7F">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27" w:name="_Toc25955"/>
      <w:bookmarkStart w:id="28" w:name="_Toc30880"/>
      <w:r>
        <w:rPr>
          <w:rFonts w:hint="eastAsia" w:asciiTheme="minorEastAsia" w:hAnsiTheme="minorEastAsia" w:eastAsiaTheme="minorEastAsia" w:cstheme="minorEastAsia"/>
          <w:b w:val="0"/>
          <w:bCs/>
          <w:color w:val="auto"/>
          <w:sz w:val="24"/>
          <w:szCs w:val="24"/>
          <w:lang w:val="en-US" w:eastAsia="zh-CN"/>
        </w:rPr>
        <w:t>投标人需满足近 3 年内（2022 年 1 月 1 日至投标截止时间前）具有至少1项合同金额≥200万元并经验收合格的类似实验室建设或改造项目。 每一业绩均应同时提供合同文本原件扫描件，以及能够证明该业绩项目已经验收合格的相关证明文件原件扫描件。投标人必须保证所提供的业绩证明材料的真实性。</w:t>
      </w:r>
      <w:bookmarkEnd w:id="27"/>
      <w:bookmarkEnd w:id="28"/>
    </w:p>
    <w:p w14:paraId="24485F48">
      <w:pPr>
        <w:pStyle w:val="2"/>
        <w:bidi w:val="0"/>
        <w:rPr>
          <w:rFonts w:hint="eastAsia" w:eastAsia="宋体" w:cs="Times New Roman"/>
          <w:color w:val="auto"/>
          <w:lang w:val="en-US" w:eastAsia="zh-CN"/>
        </w:rPr>
      </w:pPr>
      <w:bookmarkStart w:id="29" w:name="_Toc1991"/>
      <w:r>
        <w:rPr>
          <w:rFonts w:hint="eastAsia" w:eastAsia="宋体" w:cs="Times New Roman"/>
          <w:color w:val="auto"/>
          <w:lang w:val="en-US" w:eastAsia="zh-CN"/>
        </w:rPr>
        <w:t>五、投标报价要求及其他说明</w:t>
      </w:r>
      <w:bookmarkEnd w:id="29"/>
      <w:r>
        <w:rPr>
          <w:rFonts w:hint="eastAsia" w:eastAsia="宋体" w:cs="Times New Roman"/>
          <w:color w:val="auto"/>
          <w:lang w:val="en-US" w:eastAsia="zh-CN"/>
        </w:rPr>
        <w:t xml:space="preserve"> </w:t>
      </w:r>
    </w:p>
    <w:p w14:paraId="05343CA3">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30" w:name="_Toc25458"/>
      <w:r>
        <w:rPr>
          <w:rFonts w:hint="eastAsia" w:asciiTheme="minorEastAsia" w:hAnsiTheme="minorEastAsia" w:eastAsiaTheme="minorEastAsia" w:cstheme="minorEastAsia"/>
          <w:b w:val="0"/>
          <w:bCs/>
          <w:color w:val="auto"/>
          <w:sz w:val="24"/>
          <w:szCs w:val="24"/>
          <w:lang w:val="en-US" w:eastAsia="zh-CN"/>
        </w:rPr>
        <w:t>1、本工程采用总价包干形式，报价货币单位为人民币。总价包含但不限于设计费、物资采购费、材料检测费、拆除费、搬迁费、施工费、间接费用、管理费、利润、税金、劳保费、保险费、计划工期内赶工费、取证费、质检费、环保费、安全费、风险费等为满足本工程而须设立的所有临时设施费、政策性文件规定费用、许可费、测量费、施工机械使用费、垃圾清运费、绿化道路破坏修复费及进退场费及其它行政性收费、法律法规规定的费用等为完成招标内容所列工程范围内的所有费用。</w:t>
      </w:r>
      <w:bookmarkEnd w:id="30"/>
    </w:p>
    <w:p w14:paraId="614C7677">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31" w:name="_Toc9183"/>
      <w:r>
        <w:rPr>
          <w:rFonts w:hint="eastAsia" w:asciiTheme="minorEastAsia" w:hAnsiTheme="minorEastAsia" w:eastAsiaTheme="minorEastAsia" w:cstheme="minorEastAsia"/>
          <w:b w:val="0"/>
          <w:bCs/>
          <w:color w:val="auto"/>
          <w:sz w:val="24"/>
          <w:szCs w:val="24"/>
          <w:lang w:val="en-US" w:eastAsia="zh-CN"/>
        </w:rPr>
        <w:t>2、本工程投标采用先</w:t>
      </w:r>
      <w:r>
        <w:rPr>
          <w:rFonts w:hint="eastAsia" w:asciiTheme="minorEastAsia" w:hAnsiTheme="minorEastAsia" w:eastAsiaTheme="minorEastAsia" w:cstheme="minorEastAsia"/>
          <w:b w:val="0"/>
          <w:bCs/>
          <w:color w:val="auto"/>
          <w:sz w:val="24"/>
          <w:szCs w:val="24"/>
        </w:rPr>
        <w:t>签订技术协议书</w:t>
      </w:r>
      <w:r>
        <w:rPr>
          <w:rFonts w:hint="eastAsia" w:asciiTheme="minorEastAsia" w:hAnsiTheme="minorEastAsia" w:eastAsiaTheme="minorEastAsia" w:cstheme="minorEastAsia"/>
          <w:b w:val="0"/>
          <w:bCs/>
          <w:color w:val="auto"/>
          <w:sz w:val="24"/>
          <w:szCs w:val="24"/>
          <w:lang w:val="en-US" w:eastAsia="zh-CN"/>
        </w:rPr>
        <w:t>以</w:t>
      </w:r>
      <w:r>
        <w:rPr>
          <w:rFonts w:hint="eastAsia" w:asciiTheme="minorEastAsia" w:hAnsiTheme="minorEastAsia" w:eastAsiaTheme="minorEastAsia" w:cstheme="minorEastAsia"/>
          <w:b w:val="0"/>
          <w:bCs/>
          <w:color w:val="auto"/>
          <w:sz w:val="24"/>
          <w:szCs w:val="24"/>
        </w:rPr>
        <w:t>最低投标价法</w:t>
      </w:r>
      <w:r>
        <w:rPr>
          <w:rFonts w:hint="eastAsia" w:asciiTheme="minorEastAsia" w:hAnsiTheme="minorEastAsia" w:eastAsiaTheme="minorEastAsia" w:cstheme="minorEastAsia"/>
          <w:b w:val="0"/>
          <w:bCs/>
          <w:color w:val="auto"/>
          <w:sz w:val="24"/>
          <w:szCs w:val="24"/>
          <w:lang w:val="en-US" w:eastAsia="zh-CN"/>
        </w:rPr>
        <w:t>进行招标。</w:t>
      </w:r>
      <w:bookmarkEnd w:id="31"/>
    </w:p>
    <w:p w14:paraId="320CE37C">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32" w:name="_Toc21630"/>
      <w:r>
        <w:rPr>
          <w:rFonts w:hint="eastAsia" w:asciiTheme="minorEastAsia" w:hAnsiTheme="minorEastAsia" w:eastAsiaTheme="minorEastAsia" w:cstheme="minorEastAsia"/>
          <w:b w:val="0"/>
          <w:bCs/>
          <w:color w:val="auto"/>
          <w:sz w:val="24"/>
          <w:szCs w:val="24"/>
          <w:lang w:val="en-US" w:eastAsia="zh-CN"/>
        </w:rPr>
        <w:t>3.投标报价包含因设计深度不足或设计疏漏而产生的设计变更及追加部分的工程费用。</w:t>
      </w:r>
      <w:bookmarkEnd w:id="32"/>
    </w:p>
    <w:p w14:paraId="63CE2900">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33" w:name="_Toc26713"/>
      <w:r>
        <w:rPr>
          <w:rFonts w:hint="eastAsia" w:asciiTheme="minorEastAsia" w:hAnsiTheme="minorEastAsia" w:eastAsiaTheme="minorEastAsia" w:cstheme="minorEastAsia"/>
          <w:b w:val="0"/>
          <w:bCs/>
          <w:color w:val="auto"/>
          <w:sz w:val="24"/>
          <w:szCs w:val="24"/>
          <w:lang w:val="en-US" w:eastAsia="zh-CN"/>
        </w:rPr>
        <w:t>4.总价包括且不限于上述相关费用，投标商须于报价中综合考虑如下因素和风险，不另外计价：</w:t>
      </w:r>
      <w:bookmarkEnd w:id="33"/>
      <w:r>
        <w:rPr>
          <w:rFonts w:hint="eastAsia" w:asciiTheme="minorEastAsia" w:hAnsiTheme="minorEastAsia" w:eastAsiaTheme="minorEastAsia" w:cstheme="minorEastAsia"/>
          <w:b w:val="0"/>
          <w:bCs/>
          <w:color w:val="auto"/>
          <w:sz w:val="24"/>
          <w:szCs w:val="24"/>
          <w:lang w:val="en-US" w:eastAsia="zh-CN"/>
        </w:rPr>
        <w:t xml:space="preserve"> </w:t>
      </w:r>
    </w:p>
    <w:p w14:paraId="3C7508DF">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34" w:name="_Toc2385"/>
      <w:r>
        <w:rPr>
          <w:rFonts w:hint="eastAsia" w:asciiTheme="minorEastAsia" w:hAnsiTheme="minorEastAsia" w:eastAsiaTheme="minorEastAsia" w:cstheme="minorEastAsia"/>
          <w:b w:val="0"/>
          <w:bCs/>
          <w:color w:val="auto"/>
          <w:sz w:val="24"/>
          <w:szCs w:val="24"/>
          <w:lang w:val="en-US" w:eastAsia="zh-CN"/>
        </w:rPr>
        <w:t>（1）承包人为达到按合同指定的开工期开工而进行临时调配的费用。</w:t>
      </w:r>
      <w:bookmarkEnd w:id="34"/>
    </w:p>
    <w:p w14:paraId="2A7552D3">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35" w:name="_Toc26560"/>
      <w:r>
        <w:rPr>
          <w:rFonts w:hint="eastAsia" w:asciiTheme="minorEastAsia" w:hAnsiTheme="minorEastAsia" w:eastAsiaTheme="minorEastAsia" w:cstheme="minorEastAsia"/>
          <w:b w:val="0"/>
          <w:bCs/>
          <w:color w:val="auto"/>
          <w:sz w:val="24"/>
          <w:szCs w:val="24"/>
          <w:lang w:val="en-US" w:eastAsia="zh-CN"/>
        </w:rPr>
        <w:t>（2）投标人应当充分考虑抗台排涝、申办各种许可手续、进退场费和临时施工道路、预制场建设等费用。</w:t>
      </w:r>
      <w:bookmarkEnd w:id="35"/>
    </w:p>
    <w:p w14:paraId="1DDF7E7B">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36" w:name="_Toc17316"/>
      <w:r>
        <w:rPr>
          <w:rFonts w:hint="eastAsia" w:asciiTheme="minorEastAsia" w:hAnsiTheme="minorEastAsia" w:eastAsiaTheme="minorEastAsia" w:cstheme="minorEastAsia"/>
          <w:b w:val="0"/>
          <w:bCs/>
          <w:color w:val="auto"/>
          <w:sz w:val="24"/>
          <w:szCs w:val="24"/>
          <w:lang w:val="en-US" w:eastAsia="zh-CN"/>
        </w:rPr>
        <w:t>（3）充分考虑市场变化、政策性调整导致材料价格变化。</w:t>
      </w:r>
      <w:bookmarkEnd w:id="36"/>
    </w:p>
    <w:p w14:paraId="0B07F31B">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37" w:name="_Toc22741"/>
      <w:r>
        <w:rPr>
          <w:rFonts w:hint="eastAsia" w:asciiTheme="minorEastAsia" w:hAnsiTheme="minorEastAsia" w:eastAsiaTheme="minorEastAsia" w:cstheme="minorEastAsia"/>
          <w:b w:val="0"/>
          <w:bCs/>
          <w:color w:val="auto"/>
          <w:sz w:val="24"/>
          <w:szCs w:val="24"/>
          <w:lang w:val="en-US" w:eastAsia="zh-CN"/>
        </w:rPr>
        <w:t>（4）充分考虑施工期间及保修期间的检测、观测、分析等所需要的各种费用；</w:t>
      </w:r>
      <w:bookmarkEnd w:id="37"/>
    </w:p>
    <w:p w14:paraId="50D279B5">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38" w:name="_Toc13144"/>
      <w:r>
        <w:rPr>
          <w:rFonts w:hint="eastAsia" w:asciiTheme="minorEastAsia" w:hAnsiTheme="minorEastAsia" w:eastAsiaTheme="minorEastAsia" w:cstheme="minorEastAsia"/>
          <w:b w:val="0"/>
          <w:bCs/>
          <w:color w:val="auto"/>
          <w:sz w:val="24"/>
          <w:szCs w:val="24"/>
          <w:lang w:val="en-US" w:eastAsia="zh-CN"/>
        </w:rPr>
        <w:t>（5）工程所需砂、石、土等地材由投标人自行考察确定，综合单价含资源费、运输、税金等一切费用。</w:t>
      </w:r>
      <w:bookmarkEnd w:id="38"/>
    </w:p>
    <w:p w14:paraId="66576CAD">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39" w:name="_Toc22393"/>
      <w:r>
        <w:rPr>
          <w:rFonts w:hint="eastAsia" w:asciiTheme="minorEastAsia" w:hAnsiTheme="minorEastAsia" w:eastAsiaTheme="minorEastAsia" w:cstheme="minorEastAsia"/>
          <w:b w:val="0"/>
          <w:bCs/>
          <w:color w:val="auto"/>
          <w:sz w:val="24"/>
          <w:szCs w:val="24"/>
          <w:lang w:val="en-US" w:eastAsia="zh-CN"/>
        </w:rPr>
        <w:t>（6）投标人应当充分考虑本工程与工程主体施工单位正常生产作业相协调、相配合、相交叉、相干扰所增加的成本与费用，合同签订后，任何交叉施工导致的额外费用、工期延误、质量问题等追索将不予支持。</w:t>
      </w:r>
      <w:bookmarkEnd w:id="39"/>
    </w:p>
    <w:p w14:paraId="3A370505">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40" w:name="_Toc2634"/>
      <w:r>
        <w:rPr>
          <w:rFonts w:hint="eastAsia" w:asciiTheme="minorEastAsia" w:hAnsiTheme="minorEastAsia" w:eastAsiaTheme="minorEastAsia" w:cstheme="minorEastAsia"/>
          <w:b w:val="0"/>
          <w:bCs/>
          <w:color w:val="auto"/>
          <w:sz w:val="24"/>
          <w:szCs w:val="24"/>
          <w:lang w:val="en-US" w:eastAsia="zh-CN"/>
        </w:rPr>
        <w:t>（7）技术规范、安全措施、环保措施要求的费用以及投标人认为需采取的其他措施费用应包括在投标报价中，合同条款另有约定的除外。</w:t>
      </w:r>
      <w:bookmarkEnd w:id="40"/>
    </w:p>
    <w:p w14:paraId="3B950F3D">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41" w:name="_Toc9640"/>
      <w:r>
        <w:rPr>
          <w:rFonts w:hint="eastAsia" w:asciiTheme="minorEastAsia" w:hAnsiTheme="minorEastAsia" w:eastAsiaTheme="minorEastAsia" w:cstheme="minorEastAsia"/>
          <w:b w:val="0"/>
          <w:bCs/>
          <w:color w:val="auto"/>
          <w:sz w:val="24"/>
          <w:szCs w:val="24"/>
          <w:lang w:val="en-US" w:eastAsia="zh-CN"/>
        </w:rPr>
        <w:t>（8）施工过程产生的道路破坏、绿化破坏，需于完工后进行恢复，各项费用应包括在投标报价中。</w:t>
      </w:r>
      <w:bookmarkEnd w:id="41"/>
    </w:p>
    <w:p w14:paraId="569492F2">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42" w:name="_Toc17361"/>
      <w:r>
        <w:rPr>
          <w:rFonts w:hint="eastAsia" w:asciiTheme="minorEastAsia" w:hAnsiTheme="minorEastAsia" w:eastAsiaTheme="minorEastAsia" w:cstheme="minorEastAsia"/>
          <w:b w:val="0"/>
          <w:bCs/>
          <w:color w:val="auto"/>
          <w:sz w:val="24"/>
          <w:szCs w:val="24"/>
          <w:lang w:val="en-US" w:eastAsia="zh-CN"/>
        </w:rPr>
        <w:t>（9）投标人踏勘现场发生的费用自理。</w:t>
      </w:r>
      <w:bookmarkEnd w:id="42"/>
    </w:p>
    <w:p w14:paraId="5CB03023">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43" w:name="_Toc13694"/>
      <w:r>
        <w:rPr>
          <w:rFonts w:hint="eastAsia" w:asciiTheme="minorEastAsia" w:hAnsiTheme="minorEastAsia" w:eastAsiaTheme="minorEastAsia" w:cstheme="minorEastAsia"/>
          <w:b w:val="0"/>
          <w:bCs/>
          <w:color w:val="auto"/>
          <w:sz w:val="24"/>
          <w:szCs w:val="24"/>
          <w:lang w:val="en-US" w:eastAsia="zh-CN"/>
        </w:rPr>
        <w:t>5.投标人应到工地踏勘以充分了解工地位置、情况、道路、空间及任何其它足以影响承包价的情况，任何因忽视或误解工地现场情况而导致的工程款追加或工期延长申请将不获批准。</w:t>
      </w:r>
      <w:bookmarkEnd w:id="43"/>
    </w:p>
    <w:p w14:paraId="6853B9A0">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44" w:name="_Toc25900"/>
      <w:r>
        <w:rPr>
          <w:rFonts w:hint="eastAsia" w:asciiTheme="minorEastAsia" w:hAnsiTheme="minorEastAsia" w:eastAsiaTheme="minorEastAsia" w:cstheme="minorEastAsia"/>
          <w:b w:val="0"/>
          <w:bCs/>
          <w:color w:val="auto"/>
          <w:sz w:val="24"/>
          <w:szCs w:val="24"/>
          <w:lang w:val="en-US" w:eastAsia="zh-CN"/>
        </w:rPr>
        <w:t>6.投标人在投标报价时应充分利用发包文件的有关资料自行作出判断，如有疑问，需及时提出，由于误解本发包说明及附件导致的费用增加将不予受理。</w:t>
      </w:r>
      <w:bookmarkEnd w:id="44"/>
    </w:p>
    <w:p w14:paraId="70AD1945">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45" w:name="_Toc19568"/>
      <w:r>
        <w:rPr>
          <w:rFonts w:hint="eastAsia" w:asciiTheme="minorEastAsia" w:hAnsiTheme="minorEastAsia" w:eastAsiaTheme="minorEastAsia" w:cstheme="minorEastAsia"/>
          <w:b w:val="0"/>
          <w:bCs/>
          <w:color w:val="auto"/>
          <w:sz w:val="24"/>
          <w:szCs w:val="24"/>
          <w:lang w:val="en-US" w:eastAsia="zh-CN"/>
        </w:rPr>
        <w:t>7.投标人需充分理解现有发包范围和附图，如有异议可自行核对。合同（或协议）签订后，除招标人提出的设计变更外，工程价款将不做调整。</w:t>
      </w:r>
      <w:bookmarkEnd w:id="45"/>
    </w:p>
    <w:p w14:paraId="656A4EF9">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46" w:name="_Toc26220"/>
      <w:r>
        <w:rPr>
          <w:rFonts w:hint="eastAsia" w:asciiTheme="minorEastAsia" w:hAnsiTheme="minorEastAsia" w:eastAsiaTheme="minorEastAsia" w:cstheme="minorEastAsia"/>
          <w:b w:val="0"/>
          <w:bCs/>
          <w:color w:val="auto"/>
          <w:sz w:val="24"/>
          <w:szCs w:val="24"/>
          <w:lang w:val="en-US" w:eastAsia="zh-CN"/>
        </w:rPr>
        <w:t>8.为满足发包工程范围内施工所需之一切机械、设备等均由承包人自行解决。</w:t>
      </w:r>
      <w:bookmarkEnd w:id="46"/>
    </w:p>
    <w:p w14:paraId="205990A6">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47" w:name="_Toc20749"/>
      <w:r>
        <w:rPr>
          <w:rFonts w:hint="eastAsia" w:asciiTheme="minorEastAsia" w:hAnsiTheme="minorEastAsia" w:eastAsiaTheme="minorEastAsia" w:cstheme="minorEastAsia"/>
          <w:b w:val="0"/>
          <w:bCs/>
          <w:color w:val="auto"/>
          <w:sz w:val="24"/>
          <w:szCs w:val="24"/>
          <w:lang w:val="en-US" w:eastAsia="zh-CN"/>
        </w:rPr>
        <w:t>9.所有按本发包文件应当计入的成本与费用，投标人所提供的单价和合价在合同实施期间不因市场变化因素而变动，投标人在计算报价时可考虑一定的风险系数；由于投标人原因在投标报价中没有或缺少计入的，招标人将一律不予补偿或调整，有关损失和后果均由投标人自行承担。</w:t>
      </w:r>
      <w:bookmarkEnd w:id="47"/>
    </w:p>
    <w:p w14:paraId="425A337C">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48" w:name="_Toc12188"/>
      <w:r>
        <w:rPr>
          <w:rFonts w:hint="eastAsia" w:asciiTheme="minorEastAsia" w:hAnsiTheme="minorEastAsia" w:eastAsiaTheme="minorEastAsia" w:cstheme="minorEastAsia"/>
          <w:b w:val="0"/>
          <w:bCs/>
          <w:color w:val="auto"/>
          <w:sz w:val="24"/>
          <w:szCs w:val="24"/>
          <w:lang w:val="en-US" w:eastAsia="zh-CN"/>
        </w:rPr>
        <w:t>10.施工用水、用电接口和运输通道由招标人协助提供，但相应的接引设施和水、电使用费、运输费均由承包人承担。</w:t>
      </w:r>
      <w:bookmarkEnd w:id="48"/>
    </w:p>
    <w:p w14:paraId="68F31B3F">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49" w:name="_Toc8198"/>
      <w:r>
        <w:rPr>
          <w:rFonts w:hint="eastAsia" w:asciiTheme="minorEastAsia" w:hAnsiTheme="minorEastAsia" w:eastAsiaTheme="minorEastAsia" w:cstheme="minorEastAsia"/>
          <w:b w:val="0"/>
          <w:bCs/>
          <w:color w:val="auto"/>
          <w:sz w:val="24"/>
          <w:szCs w:val="24"/>
          <w:lang w:val="en-US" w:eastAsia="zh-CN"/>
        </w:rPr>
        <w:t>11.承包人在施工过程中若因违反法律法规被政府有关部门罚款时，包括招标人的连带罚款均由承包人承担。</w:t>
      </w:r>
      <w:bookmarkEnd w:id="49"/>
    </w:p>
    <w:p w14:paraId="1295C662">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50" w:name="_Toc13364"/>
      <w:r>
        <w:rPr>
          <w:rFonts w:hint="eastAsia" w:asciiTheme="minorEastAsia" w:hAnsiTheme="minorEastAsia" w:eastAsiaTheme="minorEastAsia" w:cstheme="minorEastAsia"/>
          <w:b w:val="0"/>
          <w:bCs/>
          <w:color w:val="auto"/>
          <w:sz w:val="24"/>
          <w:szCs w:val="24"/>
          <w:lang w:val="en-US" w:eastAsia="zh-CN"/>
        </w:rPr>
        <w:t>12.若投标人认为有其他不可预见费用可于报价时单独列出，未列出则视同无异议。</w:t>
      </w:r>
      <w:bookmarkEnd w:id="50"/>
    </w:p>
    <w:p w14:paraId="6DBE81B7">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51" w:name="_Toc27223"/>
      <w:r>
        <w:rPr>
          <w:rFonts w:hint="eastAsia" w:asciiTheme="minorEastAsia" w:hAnsiTheme="minorEastAsia" w:eastAsiaTheme="minorEastAsia" w:cstheme="minorEastAsia"/>
          <w:b w:val="0"/>
          <w:bCs/>
          <w:color w:val="auto"/>
          <w:sz w:val="24"/>
          <w:szCs w:val="24"/>
          <w:lang w:val="en-US" w:eastAsia="zh-CN"/>
        </w:rPr>
        <w:t>13.本发包工程具体工程量投标商以本发包范围和附件为参考并应结合自身经验合理计算，任何为完成本招标项目的分项分类工程，如投标商缺报漏报已有的项目内容，则认为报价已包含在其他项目中综合考虑，施工中若无招标方要求的设计变更和工程项目增减，工程总价款均不予调整。</w:t>
      </w:r>
      <w:bookmarkEnd w:id="51"/>
    </w:p>
    <w:p w14:paraId="7FFBA5B9">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52" w:name="_Toc18202"/>
      <w:r>
        <w:rPr>
          <w:rFonts w:hint="eastAsia" w:asciiTheme="minorEastAsia" w:hAnsiTheme="minorEastAsia" w:eastAsiaTheme="minorEastAsia" w:cstheme="minorEastAsia"/>
          <w:b w:val="0"/>
          <w:bCs/>
          <w:color w:val="auto"/>
          <w:sz w:val="24"/>
          <w:szCs w:val="24"/>
          <w:lang w:val="en-US" w:eastAsia="zh-CN"/>
        </w:rPr>
        <w:t>14.承包人材料进厂后应立即通知发包人，并按规定取样送交有关部门检验，同时递交材料出厂说明和质量保证书，发包人对承包人提交材料质量有怀疑，且经检验材料不合格，承包人应立即调换保证质量之材料进场施工，不得以任何借口推诿，以至于拖延工期。若导致工期延期，每延期1天处罚合同总价款0.1%。</w:t>
      </w:r>
      <w:bookmarkEnd w:id="52"/>
    </w:p>
    <w:p w14:paraId="035AA1A1">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53" w:name="_Toc28092"/>
      <w:r>
        <w:rPr>
          <w:rFonts w:hint="eastAsia" w:asciiTheme="minorEastAsia" w:hAnsiTheme="minorEastAsia" w:eastAsiaTheme="minorEastAsia" w:cstheme="minorEastAsia"/>
          <w:b w:val="0"/>
          <w:bCs/>
          <w:color w:val="auto"/>
          <w:sz w:val="24"/>
          <w:szCs w:val="24"/>
          <w:lang w:val="en-US" w:eastAsia="zh-CN"/>
        </w:rPr>
        <w:t>15.罚则</w:t>
      </w:r>
      <w:bookmarkEnd w:id="53"/>
    </w:p>
    <w:p w14:paraId="39826D5B">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54" w:name="_Toc21442"/>
      <w:r>
        <w:rPr>
          <w:rFonts w:hint="eastAsia" w:asciiTheme="minorEastAsia" w:hAnsiTheme="minorEastAsia" w:eastAsiaTheme="minorEastAsia" w:cstheme="minorEastAsia"/>
          <w:b w:val="0"/>
          <w:bCs/>
          <w:color w:val="auto"/>
          <w:sz w:val="24"/>
          <w:szCs w:val="24"/>
          <w:lang w:val="en-US" w:eastAsia="zh-CN"/>
        </w:rPr>
        <w:t>（1）如承包人提供的材料或设备验收不合格，则由承包人在一个月内进行整改，使其达到验收标准，整改所产生的费用由投标方承担。整改后仍未通过验收的，扣除合同总额的 100%，视为项目失败。</w:t>
      </w:r>
      <w:bookmarkEnd w:id="54"/>
    </w:p>
    <w:p w14:paraId="49004A96">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bookmarkStart w:id="55" w:name="_Toc8672"/>
      <w:r>
        <w:rPr>
          <w:rFonts w:hint="eastAsia" w:asciiTheme="minorEastAsia" w:hAnsiTheme="minorEastAsia" w:eastAsiaTheme="minorEastAsia" w:cstheme="minorEastAsia"/>
          <w:b w:val="0"/>
          <w:bCs/>
          <w:color w:val="auto"/>
          <w:sz w:val="24"/>
          <w:szCs w:val="24"/>
          <w:lang w:val="en-US" w:eastAsia="zh-CN"/>
        </w:rPr>
        <w:t>（2）若承包人未能按照工期要求完成项目改造，每推迟一天对承包人罚款合同总价款0.1%。</w:t>
      </w:r>
      <w:bookmarkEnd w:id="55"/>
    </w:p>
    <w:p w14:paraId="0CB249B9">
      <w:pPr>
        <w:pStyle w:val="2"/>
        <w:bidi w:val="0"/>
        <w:rPr>
          <w:rFonts w:hint="eastAsia" w:eastAsia="宋体" w:cs="Times New Roman"/>
          <w:lang w:val="en-US" w:eastAsia="zh-CN"/>
        </w:rPr>
      </w:pPr>
      <w:bookmarkStart w:id="56" w:name="_Toc19750"/>
      <w:r>
        <w:rPr>
          <w:rFonts w:hint="eastAsia" w:cs="Times New Roman"/>
          <w:lang w:val="en-US" w:eastAsia="zh-CN"/>
        </w:rPr>
        <w:t>六</w:t>
      </w:r>
      <w:r>
        <w:rPr>
          <w:rFonts w:hint="eastAsia" w:eastAsia="宋体" w:cs="Times New Roman"/>
          <w:lang w:eastAsia="zh-CN"/>
        </w:rPr>
        <w:t>、</w:t>
      </w:r>
      <w:r>
        <w:rPr>
          <w:rFonts w:hint="eastAsia" w:eastAsia="宋体" w:cs="Times New Roman"/>
          <w:lang w:val="en-US" w:eastAsia="zh-CN"/>
        </w:rPr>
        <w:t>发包范围</w:t>
      </w:r>
      <w:bookmarkEnd w:id="56"/>
    </w:p>
    <w:p w14:paraId="73BBB245">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sz w:val="24"/>
          <w:szCs w:val="24"/>
          <w:lang w:val="en-US" w:eastAsia="zh-CN"/>
        </w:rPr>
      </w:pPr>
      <w:bookmarkStart w:id="57" w:name="_Toc2019"/>
      <w:bookmarkStart w:id="58" w:name="_Toc15991"/>
      <w:r>
        <w:rPr>
          <w:rFonts w:hint="eastAsia" w:asciiTheme="minorEastAsia" w:hAnsiTheme="minorEastAsia" w:eastAsiaTheme="minorEastAsia" w:cstheme="minorEastAsia"/>
          <w:b w:val="0"/>
          <w:sz w:val="24"/>
          <w:szCs w:val="24"/>
          <w:lang w:val="en-US" w:eastAsia="zh-CN"/>
        </w:rPr>
        <w:t>本项目改造初步需求范围如下所列，对应位置详看附件一的平面图带颜色部分。以下发包范围说明和图纸说明存在差异时，以现场沟通为准。</w:t>
      </w:r>
      <w:bookmarkEnd w:id="57"/>
      <w:bookmarkEnd w:id="58"/>
    </w:p>
    <w:p w14:paraId="3744AF47">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sz w:val="24"/>
          <w:szCs w:val="24"/>
          <w:lang w:eastAsia="zh-CN"/>
        </w:rPr>
      </w:pPr>
      <w:bookmarkStart w:id="59" w:name="_Toc27056"/>
      <w:bookmarkStart w:id="60" w:name="_Toc22465"/>
      <w:r>
        <w:rPr>
          <w:rFonts w:hint="eastAsia" w:asciiTheme="minorEastAsia" w:hAnsiTheme="minorEastAsia" w:eastAsiaTheme="minorEastAsia" w:cstheme="minorEastAsia"/>
          <w:b w:val="0"/>
          <w:sz w:val="24"/>
          <w:szCs w:val="24"/>
          <w:lang w:val="en-US" w:eastAsia="zh-CN"/>
        </w:rPr>
        <w:t>（一）</w:t>
      </w:r>
      <w:r>
        <w:rPr>
          <w:rFonts w:hint="eastAsia" w:asciiTheme="minorEastAsia" w:hAnsiTheme="minorEastAsia" w:eastAsiaTheme="minorEastAsia" w:cstheme="minorEastAsia"/>
          <w:b w:val="0"/>
          <w:sz w:val="24"/>
          <w:szCs w:val="24"/>
          <w:lang w:eastAsia="zh-CN"/>
        </w:rPr>
        <w:t>芳烃化验楼1层</w:t>
      </w:r>
      <w:bookmarkEnd w:id="59"/>
      <w:bookmarkEnd w:id="60"/>
    </w:p>
    <w:p w14:paraId="1414B916">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bCs/>
          <w:sz w:val="24"/>
          <w:szCs w:val="24"/>
          <w:lang w:val="en-US" w:eastAsia="zh-CN"/>
        </w:rPr>
      </w:pPr>
      <w:bookmarkStart w:id="61" w:name="_Toc30504"/>
      <w:bookmarkStart w:id="62" w:name="_Toc22151"/>
      <w:r>
        <w:rPr>
          <w:rFonts w:hint="eastAsia" w:asciiTheme="minorEastAsia" w:hAnsiTheme="minorEastAsia" w:eastAsiaTheme="minorEastAsia" w:cstheme="minorEastAsia"/>
          <w:b/>
          <w:bCs/>
          <w:sz w:val="24"/>
          <w:szCs w:val="24"/>
          <w:lang w:val="en-US" w:eastAsia="zh-CN"/>
        </w:rPr>
        <w:t>1、LPG分析室</w:t>
      </w:r>
      <w:bookmarkEnd w:id="61"/>
      <w:bookmarkEnd w:id="62"/>
    </w:p>
    <w:p w14:paraId="777BE510">
      <w:pPr>
        <w:pStyle w:val="40"/>
        <w:pageBreakBefore w:val="0"/>
        <w:kinsoku/>
        <w:wordWrap/>
        <w:overflowPunct/>
        <w:topLinePunct w:val="0"/>
        <w:bidi w:val="0"/>
        <w:spacing w:before="0" w:beforeLines="0" w:beforeAutospacing="0" w:after="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bookmarkStart w:id="63" w:name="_Toc15186"/>
      <w:bookmarkStart w:id="64" w:name="_Toc17337"/>
      <w:r>
        <w:rPr>
          <w:rFonts w:hint="eastAsia" w:asciiTheme="minorEastAsia" w:hAnsiTheme="minorEastAsia" w:eastAsiaTheme="minorEastAsia" w:cstheme="minorEastAsia"/>
          <w:b w:val="0"/>
          <w:sz w:val="24"/>
          <w:szCs w:val="24"/>
          <w:lang w:val="en-US" w:eastAsia="zh-CN"/>
        </w:rPr>
        <w:t>（1）新装1张1100</w:t>
      </w:r>
      <w:r>
        <w:rPr>
          <w:rFonts w:hint="eastAsia" w:asciiTheme="minorEastAsia" w:hAnsiTheme="minorEastAsia" w:eastAsiaTheme="minorEastAsia" w:cstheme="minorEastAsia"/>
          <w:b w:val="0"/>
          <w:bCs/>
          <w:sz w:val="24"/>
          <w:szCs w:val="24"/>
          <w:lang w:val="en-US" w:eastAsia="zh-CN"/>
        </w:rPr>
        <w:t>*750*850mm的钢木边台，</w:t>
      </w:r>
      <w:bookmarkEnd w:id="63"/>
      <w:bookmarkEnd w:id="64"/>
    </w:p>
    <w:p w14:paraId="5FD3C3A5">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2、量热仪间</w:t>
      </w:r>
    </w:p>
    <w:p w14:paraId="4C98F8C4">
      <w:pPr>
        <w:pageBreakBefore w:val="0"/>
        <w:numPr>
          <w:ilvl w:val="0"/>
          <w:numId w:val="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kern w:val="0"/>
          <w:sz w:val="24"/>
          <w:szCs w:val="24"/>
          <w:lang w:val="en-US" w:eastAsia="zh-CN" w:bidi="ar-SA"/>
        </w:rPr>
      </w:pPr>
      <w:r>
        <w:rPr>
          <w:rFonts w:hint="eastAsia" w:asciiTheme="minorEastAsia" w:hAnsiTheme="minorEastAsia" w:eastAsiaTheme="minorEastAsia" w:cstheme="minorEastAsia"/>
          <w:b w:val="0"/>
          <w:kern w:val="0"/>
          <w:sz w:val="24"/>
          <w:szCs w:val="24"/>
          <w:lang w:val="en-US" w:eastAsia="zh-CN" w:bidi="ar-SA"/>
        </w:rPr>
        <w:t>拆除一侧原有3790mm边台；</w:t>
      </w:r>
    </w:p>
    <w:p w14:paraId="5D3B587D">
      <w:pPr>
        <w:pageBreakBefore w:val="0"/>
        <w:numPr>
          <w:ilvl w:val="0"/>
          <w:numId w:val="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新装1张3790*750*850mm的钢木边台，配套对应插座和电源线路；</w:t>
      </w:r>
    </w:p>
    <w:p w14:paraId="52231A2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lang w:val="en-US" w:eastAsia="zh-CN"/>
        </w:rPr>
        <w:t>3、光谱室改男更衣室</w:t>
      </w:r>
    </w:p>
    <w:p w14:paraId="7ACDC8BC">
      <w:pPr>
        <w:pageBreakBefore w:val="0"/>
        <w:numPr>
          <w:ilvl w:val="0"/>
          <w:numId w:val="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拆除原有实验台柜</w:t>
      </w:r>
    </w:p>
    <w:p w14:paraId="43F8B8F6">
      <w:pPr>
        <w:pageBreakBefore w:val="0"/>
        <w:numPr>
          <w:ilvl w:val="0"/>
          <w:numId w:val="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拆除中间隔墙</w:t>
      </w:r>
    </w:p>
    <w:p w14:paraId="14A320DB">
      <w:pPr>
        <w:pageBreakBefore w:val="0"/>
        <w:numPr>
          <w:ilvl w:val="0"/>
          <w:numId w:val="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修复拆除隔墙后的地板和墙面，并粉</w:t>
      </w:r>
      <w:r>
        <w:rPr>
          <w:rFonts w:hint="eastAsia" w:asciiTheme="minorEastAsia" w:hAnsiTheme="minorEastAsia" w:eastAsiaTheme="minorEastAsia" w:cstheme="minorEastAsia"/>
          <w:b w:val="0"/>
          <w:bCs/>
          <w:color w:val="auto"/>
          <w:sz w:val="24"/>
          <w:szCs w:val="24"/>
          <w:lang w:val="en-US" w:eastAsia="zh-CN"/>
        </w:rPr>
        <w:t>刷</w:t>
      </w:r>
      <w:r>
        <w:rPr>
          <w:rFonts w:hint="eastAsia" w:asciiTheme="minorEastAsia" w:hAnsiTheme="minorEastAsia" w:eastAsiaTheme="minorEastAsia" w:cstheme="minorEastAsia"/>
          <w:b w:val="0"/>
          <w:bCs/>
          <w:color w:val="auto"/>
          <w:sz w:val="24"/>
          <w:szCs w:val="24"/>
          <w:highlight w:val="none"/>
          <w:lang w:val="en-US" w:eastAsia="zh-CN"/>
        </w:rPr>
        <w:t>整间实验室</w:t>
      </w:r>
      <w:r>
        <w:rPr>
          <w:rFonts w:hint="eastAsia" w:asciiTheme="minorEastAsia" w:hAnsiTheme="minorEastAsia" w:eastAsiaTheme="minorEastAsia" w:cstheme="minorEastAsia"/>
          <w:b w:val="0"/>
          <w:bCs/>
          <w:sz w:val="24"/>
          <w:szCs w:val="24"/>
          <w:lang w:val="en-US" w:eastAsia="zh-CN"/>
        </w:rPr>
        <w:t>。</w:t>
      </w:r>
    </w:p>
    <w:p w14:paraId="24F38684">
      <w:pPr>
        <w:pageBreakBefore w:val="0"/>
        <w:numPr>
          <w:ilvl w:val="0"/>
          <w:numId w:val="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w:t>
      </w:r>
      <w:r>
        <w:rPr>
          <w:rFonts w:hint="eastAsia" w:asciiTheme="minorEastAsia" w:hAnsiTheme="minorEastAsia" w:eastAsiaTheme="minorEastAsia" w:cstheme="minorEastAsia"/>
          <w:b w:val="0"/>
          <w:bCs/>
          <w:color w:val="auto"/>
          <w:sz w:val="24"/>
          <w:szCs w:val="24"/>
          <w:lang w:val="en-US" w:eastAsia="zh-CN"/>
        </w:rPr>
        <w:t>20个更衣柜，利旧10个更</w:t>
      </w:r>
      <w:r>
        <w:rPr>
          <w:rFonts w:hint="eastAsia" w:asciiTheme="minorEastAsia" w:hAnsiTheme="minorEastAsia" w:eastAsiaTheme="minorEastAsia" w:cstheme="minorEastAsia"/>
          <w:b w:val="0"/>
          <w:bCs/>
          <w:sz w:val="24"/>
          <w:szCs w:val="24"/>
          <w:lang w:val="en-US" w:eastAsia="zh-CN"/>
        </w:rPr>
        <w:t>衣柜；利旧部分包含从PTA化验室搬迁和安装。</w:t>
      </w:r>
    </w:p>
    <w:p w14:paraId="2F82E4CC">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lang w:val="en-US" w:eastAsia="zh-CN"/>
        </w:rPr>
        <w:t>4、油品分析室</w:t>
      </w:r>
    </w:p>
    <w:p w14:paraId="50897FB8">
      <w:pPr>
        <w:pageBreakBefore w:val="0"/>
        <w:numPr>
          <w:ilvl w:val="0"/>
          <w:numId w:val="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新装1张750×850×850mm的钢木边台；</w:t>
      </w:r>
    </w:p>
    <w:p w14:paraId="00DF5A29">
      <w:pPr>
        <w:pageBreakBefore w:val="0"/>
        <w:numPr>
          <w:ilvl w:val="0"/>
          <w:numId w:val="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新增两个监控点位，连接到二楼监控主机</w:t>
      </w:r>
    </w:p>
    <w:p w14:paraId="4C20CA8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5、样品处理室</w:t>
      </w:r>
    </w:p>
    <w:p w14:paraId="4CDF2C04">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新增一个监控点位，连接到二楼监控主机</w:t>
      </w:r>
    </w:p>
    <w:p w14:paraId="76CC6F5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6、洗瓶间</w:t>
      </w:r>
    </w:p>
    <w:p w14:paraId="19221BB8">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（1）外间</w:t>
      </w:r>
    </w:p>
    <w:p w14:paraId="43143D10">
      <w:pPr>
        <w:pageBreakBefore w:val="0"/>
        <w:numPr>
          <w:ilvl w:val="0"/>
          <w:numId w:val="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旧边台拆除（3.08米）；</w:t>
      </w:r>
    </w:p>
    <w:p w14:paraId="7AD25CB9">
      <w:pPr>
        <w:pageBreakBefore w:val="0"/>
        <w:numPr>
          <w:ilvl w:val="0"/>
          <w:numId w:val="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新装边台（3080*750*850mm，1850*750*850mm）；其中，3080mm台面利旧原有大理石台面；</w:t>
      </w:r>
    </w:p>
    <w:p w14:paraId="6DA2070F">
      <w:pPr>
        <w:pageBreakBefore w:val="0"/>
        <w:numPr>
          <w:ilvl w:val="0"/>
          <w:numId w:val="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新装线盒插座</w:t>
      </w:r>
    </w:p>
    <w:p w14:paraId="439B17F7">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bidi="ar-SA"/>
        </w:rPr>
        <w:t>（2）</w:t>
      </w:r>
      <w:r>
        <w:rPr>
          <w:rFonts w:hint="eastAsia" w:asciiTheme="minorEastAsia" w:hAnsiTheme="minorEastAsia" w:eastAsiaTheme="minorEastAsia" w:cstheme="minorEastAsia"/>
          <w:b w:val="0"/>
          <w:bCs/>
          <w:sz w:val="24"/>
          <w:szCs w:val="24"/>
          <w:lang w:val="en-US" w:eastAsia="zh-CN"/>
        </w:rPr>
        <w:t>里间</w:t>
      </w:r>
    </w:p>
    <w:p w14:paraId="7232AFC9">
      <w:pPr>
        <w:pageBreakBefore w:val="0"/>
        <w:numPr>
          <w:ilvl w:val="0"/>
          <w:numId w:val="0"/>
        </w:numPr>
        <w:kinsoku/>
        <w:wordWrap/>
        <w:overflowPunct/>
        <w:topLinePunct w:val="0"/>
        <w:bidi w:val="0"/>
        <w:spacing w:beforeAutospacing="0" w:afterAutospacing="0" w:line="400" w:lineRule="exact"/>
        <w:ind w:left="0" w:leftChars="0" w:right="0" w:rightChars="0" w:firstLine="0" w:firstLineChars="0"/>
        <w:rPr>
          <w:rFonts w:hint="eastAsia" w:asciiTheme="minorEastAsia" w:hAnsiTheme="minorEastAsia" w:eastAsiaTheme="minorEastAsia" w:cstheme="minorEastAsia"/>
          <w:b w:val="0"/>
          <w:bCs/>
          <w:sz w:val="24"/>
          <w:szCs w:val="24"/>
          <w:lang w:val="en-US" w:eastAsia="zh-CN"/>
        </w:rPr>
      </w:pPr>
      <w:r>
        <w:rPr>
          <w:rFonts w:hint="default" w:asciiTheme="minorEastAsia" w:hAnsiTheme="minorEastAsia" w:eastAsiaTheme="minorEastAsia" w:cstheme="minorEastAsia"/>
          <w:b w:val="0"/>
          <w:bCs/>
          <w:sz w:val="24"/>
          <w:szCs w:val="24"/>
          <w:lang w:val="en-US" w:eastAsia="zh-CN" w:bidi="ar-SA"/>
        </w:rPr>
        <w:t>1)</w:t>
      </w:r>
      <w:r>
        <w:rPr>
          <w:rFonts w:hint="eastAsia" w:asciiTheme="minorEastAsia" w:hAnsiTheme="minorEastAsia" w:eastAsiaTheme="minorEastAsia" w:cstheme="minorEastAsia"/>
          <w:b w:val="0"/>
          <w:bCs/>
          <w:sz w:val="24"/>
          <w:szCs w:val="24"/>
          <w:lang w:val="en-US" w:eastAsia="zh-CN"/>
        </w:rPr>
        <w:t>旧边台拆除；</w:t>
      </w:r>
    </w:p>
    <w:p w14:paraId="3E7BF06E">
      <w:pPr>
        <w:pageBreakBefore w:val="0"/>
        <w:numPr>
          <w:ilvl w:val="0"/>
          <w:numId w:val="0"/>
        </w:numPr>
        <w:kinsoku/>
        <w:wordWrap/>
        <w:overflowPunct/>
        <w:topLinePunct w:val="0"/>
        <w:bidi w:val="0"/>
        <w:spacing w:beforeAutospacing="0" w:afterAutospacing="0" w:line="400" w:lineRule="exact"/>
        <w:ind w:left="0" w:leftChars="0" w:right="0" w:rightChars="0" w:firstLine="0" w:firstLineChars="0"/>
        <w:rPr>
          <w:rFonts w:hint="eastAsia" w:asciiTheme="minorEastAsia" w:hAnsiTheme="minorEastAsia" w:eastAsiaTheme="minorEastAsia" w:cstheme="minorEastAsia"/>
          <w:b w:val="0"/>
          <w:bCs/>
          <w:sz w:val="24"/>
          <w:szCs w:val="24"/>
          <w:lang w:val="en-US" w:eastAsia="zh-CN"/>
        </w:rPr>
      </w:pPr>
      <w:r>
        <w:rPr>
          <w:rFonts w:hint="default" w:asciiTheme="minorEastAsia" w:hAnsiTheme="minorEastAsia" w:eastAsiaTheme="minorEastAsia" w:cstheme="minorEastAsia"/>
          <w:b w:val="0"/>
          <w:bCs/>
          <w:sz w:val="24"/>
          <w:szCs w:val="24"/>
          <w:lang w:val="en-US" w:eastAsia="zh-CN" w:bidi="ar-SA"/>
        </w:rPr>
        <w:t>2)</w:t>
      </w:r>
      <w:r>
        <w:rPr>
          <w:rFonts w:hint="eastAsia" w:asciiTheme="minorEastAsia" w:hAnsiTheme="minorEastAsia" w:eastAsiaTheme="minorEastAsia" w:cstheme="minorEastAsia"/>
          <w:b w:val="0"/>
          <w:bCs/>
          <w:sz w:val="24"/>
          <w:szCs w:val="24"/>
          <w:lang w:val="en-US" w:eastAsia="zh-CN"/>
        </w:rPr>
        <w:t>新装边台3000*750*850mm；其中，台面利旧原有大理石台面</w:t>
      </w:r>
    </w:p>
    <w:p w14:paraId="6BA074D7">
      <w:pPr>
        <w:pageBreakBefore w:val="0"/>
        <w:numPr>
          <w:ilvl w:val="0"/>
          <w:numId w:val="0"/>
        </w:numPr>
        <w:kinsoku/>
        <w:wordWrap/>
        <w:overflowPunct/>
        <w:topLinePunct w:val="0"/>
        <w:bidi w:val="0"/>
        <w:spacing w:beforeAutospacing="0" w:afterAutospacing="0" w:line="400" w:lineRule="exact"/>
        <w:ind w:left="0" w:leftChars="0" w:right="0" w:rightChars="0" w:firstLine="0" w:firstLineChars="0"/>
        <w:rPr>
          <w:rFonts w:hint="eastAsia" w:asciiTheme="minorEastAsia" w:hAnsiTheme="minorEastAsia" w:eastAsiaTheme="minorEastAsia" w:cstheme="minorEastAsia"/>
          <w:b w:val="0"/>
          <w:bCs/>
          <w:sz w:val="24"/>
          <w:szCs w:val="24"/>
          <w:lang w:val="en-US" w:eastAsia="zh-CN"/>
        </w:rPr>
      </w:pPr>
      <w:r>
        <w:rPr>
          <w:rFonts w:hint="default" w:asciiTheme="minorEastAsia" w:hAnsiTheme="minorEastAsia" w:eastAsiaTheme="minorEastAsia" w:cstheme="minorEastAsia"/>
          <w:b w:val="0"/>
          <w:bCs/>
          <w:sz w:val="24"/>
          <w:szCs w:val="24"/>
          <w:lang w:val="en-US" w:eastAsia="zh-CN" w:bidi="ar-SA"/>
        </w:rPr>
        <w:t>3)</w:t>
      </w:r>
      <w:r>
        <w:rPr>
          <w:rFonts w:hint="eastAsia" w:asciiTheme="minorEastAsia" w:hAnsiTheme="minorEastAsia" w:eastAsiaTheme="minorEastAsia" w:cstheme="minorEastAsia"/>
          <w:b w:val="0"/>
          <w:bCs/>
          <w:sz w:val="24"/>
          <w:szCs w:val="24"/>
          <w:lang w:val="en-US" w:eastAsia="zh-CN"/>
        </w:rPr>
        <w:t>新装线盒插座</w:t>
      </w:r>
    </w:p>
    <w:p w14:paraId="105DD43A">
      <w:pPr>
        <w:pageBreakBefore w:val="0"/>
        <w:numPr>
          <w:ilvl w:val="0"/>
          <w:numId w:val="0"/>
        </w:numPr>
        <w:kinsoku/>
        <w:wordWrap/>
        <w:overflowPunct/>
        <w:topLinePunct w:val="0"/>
        <w:bidi w:val="0"/>
        <w:spacing w:beforeAutospacing="0" w:afterAutospacing="0" w:line="400" w:lineRule="exact"/>
        <w:ind w:left="0" w:leftChars="0" w:right="0" w:rightChars="0" w:firstLine="0" w:firstLineChars="0"/>
        <w:rPr>
          <w:rFonts w:hint="eastAsia" w:asciiTheme="minorEastAsia" w:hAnsiTheme="minorEastAsia" w:eastAsiaTheme="minorEastAsia" w:cstheme="minorEastAsia"/>
          <w:b w:val="0"/>
          <w:bCs/>
          <w:sz w:val="24"/>
          <w:szCs w:val="24"/>
          <w:lang w:val="en-US" w:eastAsia="zh-CN"/>
        </w:rPr>
      </w:pPr>
      <w:r>
        <w:rPr>
          <w:rFonts w:hint="default" w:asciiTheme="minorEastAsia" w:hAnsiTheme="minorEastAsia" w:eastAsiaTheme="minorEastAsia" w:cstheme="minorEastAsia"/>
          <w:b w:val="0"/>
          <w:bCs/>
          <w:sz w:val="24"/>
          <w:szCs w:val="24"/>
          <w:lang w:val="en-US" w:eastAsia="zh-CN" w:bidi="ar-SA"/>
        </w:rPr>
        <w:t>4)</w:t>
      </w:r>
      <w:r>
        <w:rPr>
          <w:rFonts w:hint="eastAsia" w:asciiTheme="minorEastAsia" w:hAnsiTheme="minorEastAsia" w:eastAsiaTheme="minorEastAsia" w:cstheme="minorEastAsia"/>
          <w:b w:val="0"/>
          <w:bCs/>
          <w:sz w:val="24"/>
          <w:szCs w:val="24"/>
          <w:lang w:val="en-US" w:eastAsia="zh-CN"/>
        </w:rPr>
        <w:t>纯水改造：就近引一条纯水管，两个用水末端，末端用球阀，并配套两个下水</w:t>
      </w:r>
    </w:p>
    <w:p w14:paraId="46ED9B22">
      <w:pPr>
        <w:pageBreakBefore w:val="0"/>
        <w:numPr>
          <w:ilvl w:val="0"/>
          <w:numId w:val="0"/>
        </w:numPr>
        <w:kinsoku/>
        <w:wordWrap/>
        <w:overflowPunct/>
        <w:topLinePunct w:val="0"/>
        <w:bidi w:val="0"/>
        <w:spacing w:beforeAutospacing="0" w:afterAutospacing="0" w:line="400" w:lineRule="exact"/>
        <w:ind w:left="0" w:leftChars="0" w:right="0" w:rightChars="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7、母婴室改储物间</w:t>
      </w:r>
    </w:p>
    <w:p w14:paraId="577245A4">
      <w:pPr>
        <w:pageBreakBefore w:val="0"/>
        <w:numPr>
          <w:ilvl w:val="0"/>
          <w:numId w:val="5"/>
        </w:numPr>
        <w:kinsoku/>
        <w:wordWrap/>
        <w:overflowPunct/>
        <w:topLinePunct w:val="0"/>
        <w:bidi w:val="0"/>
        <w:spacing w:beforeAutospacing="0" w:afterAutospacing="0" w:line="400" w:lineRule="exact"/>
        <w:ind w:left="425" w:leftChars="0" w:right="0" w:rightChars="0" w:hanging="425"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原有室内设施拆除</w:t>
      </w:r>
    </w:p>
    <w:p w14:paraId="3EDE20B0">
      <w:pPr>
        <w:pageBreakBefore w:val="0"/>
        <w:numPr>
          <w:ilvl w:val="0"/>
          <w:numId w:val="5"/>
        </w:numPr>
        <w:kinsoku/>
        <w:wordWrap/>
        <w:overflowPunct/>
        <w:topLinePunct w:val="0"/>
        <w:bidi w:val="0"/>
        <w:spacing w:beforeAutospacing="0" w:afterAutospacing="0" w:line="400" w:lineRule="exact"/>
        <w:ind w:left="425" w:leftChars="0" w:right="0" w:rightChars="0" w:hanging="425"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拆除原有风机盘管空调，更换新的空调，</w:t>
      </w:r>
      <w:r>
        <w:rPr>
          <w:rFonts w:hint="eastAsia" w:asciiTheme="minorEastAsia" w:hAnsiTheme="minorEastAsia" w:eastAsiaTheme="minorEastAsia" w:cstheme="minorEastAsia"/>
          <w:b w:val="0"/>
          <w:bCs/>
          <w:color w:val="auto"/>
          <w:sz w:val="24"/>
          <w:szCs w:val="24"/>
          <w:highlight w:val="none"/>
          <w:lang w:val="en-US" w:eastAsia="zh-CN"/>
        </w:rPr>
        <w:t>包含控制器更换；</w:t>
      </w:r>
      <w:r>
        <w:rPr>
          <w:rFonts w:hint="eastAsia" w:asciiTheme="minorEastAsia" w:hAnsiTheme="minorEastAsia" w:eastAsiaTheme="minorEastAsia" w:cstheme="minorEastAsia"/>
          <w:b w:val="0"/>
          <w:bCs/>
          <w:sz w:val="24"/>
          <w:szCs w:val="24"/>
          <w:lang w:val="en-US" w:eastAsia="zh-CN"/>
        </w:rPr>
        <w:t>重做下水管。</w:t>
      </w:r>
    </w:p>
    <w:p w14:paraId="5C02CBF3">
      <w:pPr>
        <w:pageBreakBefore w:val="0"/>
        <w:numPr>
          <w:ilvl w:val="0"/>
          <w:numId w:val="5"/>
        </w:numPr>
        <w:kinsoku/>
        <w:wordWrap/>
        <w:overflowPunct/>
        <w:topLinePunct w:val="0"/>
        <w:bidi w:val="0"/>
        <w:spacing w:beforeAutospacing="0" w:afterAutospacing="0" w:line="400" w:lineRule="exact"/>
        <w:ind w:left="425" w:leftChars="0" w:right="0" w:rightChars="0" w:hanging="425"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货架利旧，利旧货架包含搬迁和安装。</w:t>
      </w:r>
    </w:p>
    <w:p w14:paraId="658CAF34">
      <w:pPr>
        <w:pageBreakBefore w:val="0"/>
        <w:numPr>
          <w:ilvl w:val="0"/>
          <w:numId w:val="0"/>
        </w:numPr>
        <w:kinsoku/>
        <w:wordWrap/>
        <w:overflowPunct/>
        <w:topLinePunct w:val="0"/>
        <w:bidi w:val="0"/>
        <w:spacing w:beforeAutospacing="0" w:afterAutospacing="0" w:line="400" w:lineRule="exact"/>
        <w:ind w:left="0" w:leftChars="0" w:right="0" w:rightChars="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8、茶水间</w:t>
      </w:r>
    </w:p>
    <w:p w14:paraId="7C711BED">
      <w:pPr>
        <w:pageBreakBefore w:val="0"/>
        <w:numPr>
          <w:ilvl w:val="0"/>
          <w:numId w:val="6"/>
        </w:numPr>
        <w:kinsoku/>
        <w:wordWrap/>
        <w:overflowPunct/>
        <w:topLinePunct w:val="0"/>
        <w:bidi w:val="0"/>
        <w:spacing w:beforeAutospacing="0" w:afterAutospacing="0" w:line="400" w:lineRule="exact"/>
        <w:ind w:left="425" w:leftChars="0" w:right="0" w:rightChars="0" w:hanging="425"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拆除大理石台面2米，确保地板和墙面瓷砖不破坏，清除垃圾；</w:t>
      </w:r>
    </w:p>
    <w:p w14:paraId="6CEA69BA">
      <w:pPr>
        <w:pageBreakBefore w:val="0"/>
        <w:numPr>
          <w:ilvl w:val="0"/>
          <w:numId w:val="6"/>
        </w:numPr>
        <w:kinsoku/>
        <w:wordWrap/>
        <w:overflowPunct/>
        <w:topLinePunct w:val="0"/>
        <w:bidi w:val="0"/>
        <w:spacing w:beforeAutospacing="0" w:afterAutospacing="0" w:line="400" w:lineRule="exact"/>
        <w:ind w:left="425" w:leftChars="0" w:right="0" w:rightChars="0" w:hanging="425"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货架利旧，利旧货架包含搬迁和安装。</w:t>
      </w:r>
    </w:p>
    <w:p w14:paraId="6A23D0AA">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lang w:val="en-US" w:eastAsia="zh-CN"/>
        </w:rPr>
        <w:t>9、男女卫生间改造</w:t>
      </w:r>
    </w:p>
    <w:p w14:paraId="541D463F">
      <w:pPr>
        <w:pageBreakBefore w:val="0"/>
        <w:numPr>
          <w:ilvl w:val="0"/>
          <w:numId w:val="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卫生间镜三块拆除和换新；</w:t>
      </w:r>
    </w:p>
    <w:p w14:paraId="793FDD60">
      <w:pPr>
        <w:pageBreakBefore w:val="0"/>
        <w:numPr>
          <w:ilvl w:val="0"/>
          <w:numId w:val="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蹲位隔板、小便池隔板拆除和换新。</w:t>
      </w:r>
    </w:p>
    <w:p w14:paraId="2C96AEE9">
      <w:pPr>
        <w:pageBreakBefore w:val="0"/>
        <w:numPr>
          <w:ilvl w:val="0"/>
          <w:numId w:val="8"/>
        </w:numPr>
        <w:kinsoku/>
        <w:wordWrap/>
        <w:overflowPunct/>
        <w:topLinePunct w:val="0"/>
        <w:bidi w:val="0"/>
        <w:spacing w:beforeAutospacing="0" w:afterAutospacing="0" w:line="400" w:lineRule="exact"/>
        <w:ind w:leftChars="0" w:right="0" w:right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油品大厅1#排风机更新</w:t>
      </w:r>
    </w:p>
    <w:p w14:paraId="6FEDD83A">
      <w:pPr>
        <w:pageBreakBefore w:val="0"/>
        <w:numPr>
          <w:ilvl w:val="0"/>
          <w:numId w:val="9"/>
        </w:numPr>
        <w:kinsoku/>
        <w:wordWrap/>
        <w:overflowPunct/>
        <w:topLinePunct w:val="0"/>
        <w:bidi w:val="0"/>
        <w:spacing w:beforeAutospacing="0" w:afterAutospacing="0" w:line="400" w:lineRule="exact"/>
        <w:ind w:left="425" w:leftChars="0" w:right="0" w:rightChars="0" w:hanging="425" w:firstLineChars="0"/>
        <w:rPr>
          <w:rFonts w:hint="default"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拆除屋面原有15kw排风机；</w:t>
      </w:r>
    </w:p>
    <w:p w14:paraId="59F43706">
      <w:pPr>
        <w:pageBreakBefore w:val="0"/>
        <w:numPr>
          <w:ilvl w:val="0"/>
          <w:numId w:val="9"/>
        </w:numPr>
        <w:kinsoku/>
        <w:wordWrap/>
        <w:overflowPunct/>
        <w:topLinePunct w:val="0"/>
        <w:bidi w:val="0"/>
        <w:spacing w:beforeAutospacing="0" w:afterAutospacing="0" w:line="400" w:lineRule="exact"/>
        <w:ind w:left="425" w:leftChars="0" w:right="0" w:rightChars="0" w:hanging="425" w:firstLineChars="0"/>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新装一台（29000-39000）m</w:t>
      </w:r>
      <w:r>
        <w:rPr>
          <w:rFonts w:hint="eastAsia" w:asciiTheme="minorEastAsia" w:hAnsiTheme="minorEastAsia" w:eastAsiaTheme="minorEastAsia" w:cstheme="minorEastAsia"/>
          <w:b w:val="0"/>
          <w:bCs/>
          <w:color w:val="auto"/>
          <w:sz w:val="24"/>
          <w:szCs w:val="24"/>
          <w:vertAlign w:val="superscript"/>
          <w:lang w:val="en-US" w:eastAsia="zh-CN"/>
        </w:rPr>
        <w:t>3</w:t>
      </w:r>
      <w:r>
        <w:rPr>
          <w:rFonts w:hint="eastAsia" w:asciiTheme="minorEastAsia" w:hAnsiTheme="minorEastAsia" w:eastAsiaTheme="minorEastAsia" w:cstheme="minorEastAsia"/>
          <w:b w:val="0"/>
          <w:bCs/>
          <w:color w:val="auto"/>
          <w:sz w:val="24"/>
          <w:szCs w:val="24"/>
          <w:lang w:val="en-US" w:eastAsia="zh-CN"/>
        </w:rPr>
        <w:t>/h风量玻璃钢排风机，配15kw防爆变频电机。</w:t>
      </w:r>
    </w:p>
    <w:p w14:paraId="2D3B3D64">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bCs w:val="0"/>
          <w:sz w:val="24"/>
          <w:szCs w:val="24"/>
          <w:lang w:val="en-US" w:eastAsia="zh-CN"/>
        </w:rPr>
        <w:t>（二）</w:t>
      </w:r>
      <w:r>
        <w:rPr>
          <w:rFonts w:hint="eastAsia" w:asciiTheme="minorEastAsia" w:hAnsiTheme="minorEastAsia" w:eastAsiaTheme="minorEastAsia" w:cstheme="minorEastAsia"/>
          <w:b/>
          <w:bCs w:val="0"/>
          <w:sz w:val="24"/>
          <w:szCs w:val="24"/>
          <w:lang w:eastAsia="zh-CN"/>
        </w:rPr>
        <w:t>芳烃化验楼</w:t>
      </w:r>
      <w:r>
        <w:rPr>
          <w:rFonts w:hint="eastAsia" w:asciiTheme="minorEastAsia" w:hAnsiTheme="minorEastAsia" w:eastAsiaTheme="minorEastAsia" w:cstheme="minorEastAsia"/>
          <w:b/>
          <w:bCs w:val="0"/>
          <w:sz w:val="24"/>
          <w:szCs w:val="24"/>
          <w:lang w:val="en-US" w:eastAsia="zh-CN"/>
        </w:rPr>
        <w:t>2</w:t>
      </w:r>
      <w:r>
        <w:rPr>
          <w:rFonts w:hint="eastAsia" w:asciiTheme="minorEastAsia" w:hAnsiTheme="minorEastAsia" w:eastAsiaTheme="minorEastAsia" w:cstheme="minorEastAsia"/>
          <w:b/>
          <w:bCs w:val="0"/>
          <w:sz w:val="24"/>
          <w:szCs w:val="24"/>
          <w:lang w:eastAsia="zh-CN"/>
        </w:rPr>
        <w:t>层</w:t>
      </w:r>
    </w:p>
    <w:p w14:paraId="5E93E324">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lang w:val="en-US" w:eastAsia="zh-CN"/>
        </w:rPr>
        <w:t>1、元素分析室（与色谱大厅连接）</w:t>
      </w:r>
    </w:p>
    <w:p w14:paraId="113F10AE">
      <w:pPr>
        <w:pageBreakBefore w:val="0"/>
        <w:numPr>
          <w:ilvl w:val="0"/>
          <w:numId w:val="1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新增两套新风出口</w:t>
      </w:r>
    </w:p>
    <w:p w14:paraId="0D8423FE">
      <w:pPr>
        <w:pageBreakBefore w:val="0"/>
        <w:numPr>
          <w:ilvl w:val="0"/>
          <w:numId w:val="1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新增相应的新风管路，就近接入原有新风管，包含保温、支吊架等。</w:t>
      </w:r>
    </w:p>
    <w:p w14:paraId="6DEE0308">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2、色谱大厅（元素分析室边）</w:t>
      </w:r>
    </w:p>
    <w:p w14:paraId="198F22B9">
      <w:pPr>
        <w:pageBreakBefore w:val="0"/>
        <w:numPr>
          <w:ilvl w:val="0"/>
          <w:numId w:val="1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拆除原有仪器台7200*750*850mm；保护原有电气线路和气体管路。</w:t>
      </w:r>
    </w:p>
    <w:p w14:paraId="532D55FB">
      <w:pPr>
        <w:pageBreakBefore w:val="0"/>
        <w:numPr>
          <w:ilvl w:val="0"/>
          <w:numId w:val="1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新装钢木结构边台7200*750*850m；</w:t>
      </w:r>
    </w:p>
    <w:p w14:paraId="122A2560">
      <w:pPr>
        <w:pageBreakBefore w:val="0"/>
        <w:numPr>
          <w:ilvl w:val="0"/>
          <w:numId w:val="1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新装插座和电源线缆；</w:t>
      </w:r>
    </w:p>
    <w:p w14:paraId="0E575206">
      <w:pPr>
        <w:pageBreakBefore w:val="0"/>
        <w:numPr>
          <w:ilvl w:val="0"/>
          <w:numId w:val="1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将气体管路复原到新装边台上</w:t>
      </w:r>
    </w:p>
    <w:p w14:paraId="0FAA6B1E">
      <w:pPr>
        <w:pageBreakBefore w:val="0"/>
        <w:numPr>
          <w:ilvl w:val="0"/>
          <w:numId w:val="1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相邻的边台上中间区域，增加氧气和氩气各1个点位。气源从本桌相邻管路加三通连接，末端配备相应球阀和转接头。</w:t>
      </w:r>
    </w:p>
    <w:p w14:paraId="3D339B35">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3、色谱大厅（靠东边窗户）</w:t>
      </w:r>
    </w:p>
    <w:p w14:paraId="28B10874">
      <w:pPr>
        <w:pageBreakBefore w:val="0"/>
        <w:numPr>
          <w:ilvl w:val="0"/>
          <w:numId w:val="1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拆除原有仪器台7200*750*850mm；</w:t>
      </w:r>
    </w:p>
    <w:p w14:paraId="6F2FDBE7">
      <w:pPr>
        <w:pageBreakBefore w:val="0"/>
        <w:numPr>
          <w:ilvl w:val="0"/>
          <w:numId w:val="1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新装7200*850*850的仪器台，配套对应插座和电源线路；</w:t>
      </w:r>
    </w:p>
    <w:p w14:paraId="6965912C">
      <w:pPr>
        <w:pageBreakBefore w:val="0"/>
        <w:numPr>
          <w:ilvl w:val="0"/>
          <w:numId w:val="1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新装4台1760*850*1500的桌上型通风柜；通过排风管就近接入天花上的原有排风管，配备相应的手动阀和电动风阀。</w:t>
      </w:r>
    </w:p>
    <w:p w14:paraId="26634509">
      <w:pPr>
        <w:pageBreakBefore w:val="0"/>
        <w:numPr>
          <w:ilvl w:val="0"/>
          <w:numId w:val="1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在该通风橱内配备相应的供气点位：氮气、氦气、空气、氢气个4个点位，配备4个二级减压阀、相应的终端阀门、球阀、管路和配件。氦气点位从色谱大厅南边墙的主管接入。其余种类气体就近的管路接入。</w:t>
      </w:r>
    </w:p>
    <w:p w14:paraId="77FBC615">
      <w:pPr>
        <w:pageBreakBefore w:val="0"/>
        <w:numPr>
          <w:ilvl w:val="0"/>
          <w:numId w:val="1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相邻仪器台增加4套万向排风罩，通过通过排风管就近接入天花上的原有排风管，配备相应的手动风阀。</w:t>
      </w:r>
    </w:p>
    <w:p w14:paraId="259B7300">
      <w:pPr>
        <w:pageBreakBefore w:val="0"/>
        <w:numPr>
          <w:ilvl w:val="0"/>
          <w:numId w:val="1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在相邻仪器台上增加相应的供气点位：2张仪器台各加4个氦气点，配备2个二级减压阀、相应的终端阀门、球阀、管路和配件。</w:t>
      </w:r>
    </w:p>
    <w:p w14:paraId="46403BD1">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lang w:val="en-US" w:eastAsia="zh-CN"/>
        </w:rPr>
        <w:t>4、无菌室</w:t>
      </w:r>
    </w:p>
    <w:p w14:paraId="53A6C587">
      <w:pPr>
        <w:pageBreakBefore w:val="0"/>
        <w:numPr>
          <w:ilvl w:val="0"/>
          <w:numId w:val="13"/>
        </w:numPr>
        <w:kinsoku/>
        <w:wordWrap/>
        <w:overflowPunct/>
        <w:topLinePunct w:val="0"/>
        <w:bidi w:val="0"/>
        <w:spacing w:beforeAutospacing="0" w:afterAutospacing="0" w:line="400" w:lineRule="exact"/>
        <w:ind w:left="425" w:leftChars="0" w:right="0" w:hanging="425"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拆除内外间的原有边台；</w:t>
      </w:r>
    </w:p>
    <w:p w14:paraId="481285FF">
      <w:pPr>
        <w:pageBreakBefore w:val="0"/>
        <w:numPr>
          <w:ilvl w:val="0"/>
          <w:numId w:val="13"/>
        </w:numPr>
        <w:kinsoku/>
        <w:wordWrap/>
        <w:overflowPunct/>
        <w:topLinePunct w:val="0"/>
        <w:bidi w:val="0"/>
        <w:spacing w:beforeAutospacing="0" w:afterAutospacing="0" w:line="400" w:lineRule="exact"/>
        <w:ind w:left="425" w:leftChars="0" w:right="0" w:hanging="425"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内间新装不锈钢边台2000*750*850mm，外间新装钢木结构边台4390*750*850mm，重装原有插座和电源线路；</w:t>
      </w:r>
    </w:p>
    <w:p w14:paraId="70635422">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5、天平室里间</w:t>
      </w:r>
    </w:p>
    <w:p w14:paraId="497CAD2E">
      <w:pPr>
        <w:pageBreakBefore w:val="0"/>
        <w:numPr>
          <w:ilvl w:val="0"/>
          <w:numId w:val="1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t>天平台利旧安装4台，利旧部分包含从PTA化验室搬迁和安装；</w:t>
      </w:r>
    </w:p>
    <w:p w14:paraId="7B9D4BB6">
      <w:pPr>
        <w:pageBreakBefore w:val="0"/>
        <w:numPr>
          <w:ilvl w:val="0"/>
          <w:numId w:val="1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t>新装钢木边台3205*750*850mm；</w:t>
      </w:r>
    </w:p>
    <w:p w14:paraId="36C7F733">
      <w:pPr>
        <w:pageBreakBefore w:val="0"/>
        <w:numPr>
          <w:ilvl w:val="0"/>
          <w:numId w:val="1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t>配套插座电气改造。</w:t>
      </w:r>
    </w:p>
    <w:p w14:paraId="690D2946">
      <w:pPr>
        <w:pageBreakBefore w:val="0"/>
        <w:numPr>
          <w:ilvl w:val="0"/>
          <w:numId w:val="1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t>整间墙面粉刷</w:t>
      </w:r>
    </w:p>
    <w:p w14:paraId="07F5B1C4">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lang w:val="en-US" w:eastAsia="zh-CN"/>
          <w14:textFill>
            <w14:solidFill>
              <w14:schemeClr w14:val="tx1"/>
            </w14:solidFill>
          </w14:textFill>
        </w:rPr>
        <w:t>6、休息室1改标液间</w:t>
      </w:r>
    </w:p>
    <w:p w14:paraId="7EA4A66F">
      <w:pPr>
        <w:pageBreakBefore w:val="0"/>
        <w:numPr>
          <w:ilvl w:val="0"/>
          <w:numId w:val="15"/>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t>外间新增一张钢木结构边台3200*750*900mm，配一套水槽和给水配件；</w:t>
      </w:r>
    </w:p>
    <w:p w14:paraId="18B3A53C">
      <w:pPr>
        <w:pageBreakBefore w:val="0"/>
        <w:numPr>
          <w:ilvl w:val="0"/>
          <w:numId w:val="15"/>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t>从外大实验室引入纯水管；</w:t>
      </w:r>
    </w:p>
    <w:p w14:paraId="43C5AFB5">
      <w:pPr>
        <w:pageBreakBefore w:val="0"/>
        <w:numPr>
          <w:ilvl w:val="0"/>
          <w:numId w:val="15"/>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t>排水系统改造，引入原冷凝水管，1楼冷凝水管需要改道，防止排水从1楼的空调出水口倒流漏出。</w:t>
      </w:r>
    </w:p>
    <w:p w14:paraId="2ED6635E">
      <w:pPr>
        <w:pageBreakBefore w:val="0"/>
        <w:numPr>
          <w:ilvl w:val="0"/>
          <w:numId w:val="15"/>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t>里外两间墙面修补粉刷。</w:t>
      </w:r>
    </w:p>
    <w:p w14:paraId="2920E7E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lang w:val="en-US" w:eastAsia="zh-CN"/>
          <w14:textFill>
            <w14:solidFill>
              <w14:schemeClr w14:val="tx1"/>
            </w14:solidFill>
          </w14:textFill>
        </w:rPr>
        <w:t>7、办公室改毛细管电泳间</w:t>
      </w:r>
    </w:p>
    <w:p w14:paraId="4BDCB241">
      <w:pPr>
        <w:pageBreakBefore w:val="0"/>
        <w:numPr>
          <w:ilvl w:val="0"/>
          <w:numId w:val="1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sz w:val="24"/>
          <w:szCs w:val="24"/>
          <w:lang w:val="en-US" w:eastAsia="zh-CN"/>
        </w:rPr>
        <w:t>拆除原办公室内设施</w:t>
      </w:r>
      <w:r>
        <w:rPr>
          <w:rFonts w:hint="eastAsia" w:asciiTheme="minorEastAsia" w:hAnsiTheme="minorEastAsia" w:eastAsiaTheme="minorEastAsia" w:cstheme="minorEastAsia"/>
          <w:b w:val="0"/>
          <w:bCs/>
          <w:color w:val="auto"/>
          <w:sz w:val="24"/>
          <w:szCs w:val="24"/>
          <w:lang w:val="en-US" w:eastAsia="zh-CN"/>
        </w:rPr>
        <w:t>设备，</w:t>
      </w:r>
      <w:r>
        <w:rPr>
          <w:rFonts w:hint="eastAsia" w:asciiTheme="minorEastAsia" w:hAnsiTheme="minorEastAsia" w:eastAsiaTheme="minorEastAsia" w:cstheme="minorEastAsia"/>
          <w:b w:val="0"/>
          <w:bCs/>
          <w:color w:val="auto"/>
          <w:sz w:val="24"/>
          <w:szCs w:val="24"/>
          <w:highlight w:val="none"/>
          <w:lang w:val="en-US" w:eastAsia="zh-CN"/>
        </w:rPr>
        <w:t>原有会议桌椅和资料柜搬迁至新中控楼；</w:t>
      </w:r>
    </w:p>
    <w:p w14:paraId="59F31EC5">
      <w:pPr>
        <w:pageBreakBefore w:val="0"/>
        <w:numPr>
          <w:ilvl w:val="0"/>
          <w:numId w:val="1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sz w:val="24"/>
          <w:szCs w:val="24"/>
          <w:lang w:val="en-US" w:eastAsia="zh-CN"/>
        </w:rPr>
        <w:t>新装4组钢木结构6500*750*850mm的边台</w:t>
      </w:r>
      <w:r>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t>，其中3张台面每张设置4个电脑位，电脑位在左侧；</w:t>
      </w:r>
    </w:p>
    <w:p w14:paraId="3B3576A2">
      <w:pPr>
        <w:pageBreakBefore w:val="0"/>
        <w:numPr>
          <w:ilvl w:val="0"/>
          <w:numId w:val="1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每组边台下配备小配电箱；台面配备4组插座、网络接口；每组3个插座；</w:t>
      </w:r>
    </w:p>
    <w:p w14:paraId="08E89164">
      <w:pPr>
        <w:pageBreakBefore w:val="0"/>
        <w:numPr>
          <w:ilvl w:val="0"/>
          <w:numId w:val="1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从外侧走廊配电箱引入相应电气线路（新增32A空开4组，配备线管、桥架等；</w:t>
      </w:r>
    </w:p>
    <w:p w14:paraId="750FB485">
      <w:pPr>
        <w:pStyle w:val="10"/>
        <w:pageBreakBefore w:val="0"/>
        <w:numPr>
          <w:ilvl w:val="0"/>
          <w:numId w:val="16"/>
        </w:numPr>
        <w:kinsoku/>
        <w:wordWrap/>
        <w:overflowPunct/>
        <w:topLinePunct w:val="0"/>
        <w:bidi w:val="0"/>
        <w:spacing w:beforeAutospacing="0" w:afterAutospacing="0" w:line="400" w:lineRule="exact"/>
        <w:ind w:left="0" w:leftChars="0" w:right="0" w:firstLine="0" w:firstLineChars="0"/>
        <w:rPr>
          <w:rFonts w:hint="eastAsia"/>
          <w:lang w:val="en-US" w:eastAsia="zh-CN"/>
        </w:rPr>
      </w:pPr>
      <w:r>
        <w:rPr>
          <w:rFonts w:hint="eastAsia" w:asciiTheme="minorEastAsia" w:hAnsiTheme="minorEastAsia" w:eastAsiaTheme="minorEastAsia" w:cstheme="minorEastAsia"/>
          <w:b w:val="0"/>
          <w:bCs/>
          <w:sz w:val="24"/>
          <w:szCs w:val="24"/>
          <w:lang w:val="en-US" w:eastAsia="zh-CN"/>
        </w:rPr>
        <w:t>新风管改造，主管连接处三通重装，里间改两个出风口；</w:t>
      </w:r>
    </w:p>
    <w:p w14:paraId="19888A32">
      <w:pPr>
        <w:pStyle w:val="10"/>
        <w:pageBreakBefore w:val="0"/>
        <w:numPr>
          <w:ilvl w:val="0"/>
          <w:numId w:val="16"/>
        </w:numPr>
        <w:kinsoku/>
        <w:wordWrap/>
        <w:overflowPunct/>
        <w:topLinePunct w:val="0"/>
        <w:bidi w:val="0"/>
        <w:spacing w:beforeAutospacing="0" w:afterAutospacing="0" w:line="400" w:lineRule="exact"/>
        <w:ind w:left="0" w:leftChars="0" w:right="0" w:firstLine="0" w:firstLineChars="0"/>
        <w:rPr>
          <w:rFonts w:hint="eastAsia"/>
          <w:lang w:val="en-US" w:eastAsia="zh-CN"/>
        </w:rPr>
      </w:pPr>
      <w:r>
        <w:rPr>
          <w:rFonts w:hint="eastAsia" w:asciiTheme="minorEastAsia" w:hAnsiTheme="minorEastAsia" w:eastAsiaTheme="minorEastAsia" w:cstheme="minorEastAsia"/>
          <w:b w:val="0"/>
          <w:bCs/>
          <w:sz w:val="24"/>
          <w:szCs w:val="24"/>
          <w:lang w:val="en-US" w:eastAsia="zh-CN"/>
        </w:rPr>
        <w:t>预留空调外机孔。</w:t>
      </w:r>
    </w:p>
    <w:p w14:paraId="187209B4">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lang w:val="en-US" w:eastAsia="zh-CN"/>
        </w:rPr>
        <w:t>8、试剂库改光谱间</w:t>
      </w:r>
    </w:p>
    <w:p w14:paraId="2E3A220D">
      <w:pPr>
        <w:pageBreakBefore w:val="0"/>
        <w:numPr>
          <w:ilvl w:val="0"/>
          <w:numId w:val="1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拆除或搬移原有储物柜，利旧的储物柜需要搬到旧中控玻仪库；</w:t>
      </w:r>
    </w:p>
    <w:p w14:paraId="3B3097EC">
      <w:pPr>
        <w:pageBreakBefore w:val="0"/>
        <w:numPr>
          <w:ilvl w:val="0"/>
          <w:numId w:val="1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原有排风管拆除多余部分，新增原子吸收罩4套，新增原子吸收罩排风管路，接入室内天花原有排风管。</w:t>
      </w:r>
    </w:p>
    <w:p w14:paraId="01F756E1">
      <w:pPr>
        <w:pageBreakBefore w:val="0"/>
        <w:numPr>
          <w:ilvl w:val="0"/>
          <w:numId w:val="1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sz w:val="24"/>
          <w:szCs w:val="24"/>
          <w:lang w:val="en-US" w:eastAsia="zh-CN"/>
        </w:rPr>
        <w:t>新装钢木结构仪器台6600×800*850mm和6000×800*850mm各一张，配套相应的电源插座和网络口，</w:t>
      </w:r>
      <w:r>
        <w:rPr>
          <w:rFonts w:hint="eastAsia" w:asciiTheme="minorEastAsia" w:hAnsiTheme="minorEastAsia" w:eastAsiaTheme="minorEastAsia" w:cstheme="minorEastAsia"/>
          <w:b/>
          <w:bCs w:val="0"/>
          <w:color w:val="auto"/>
          <w:sz w:val="24"/>
          <w:szCs w:val="24"/>
          <w:highlight w:val="none"/>
          <w:lang w:val="en-US" w:eastAsia="zh-CN"/>
        </w:rPr>
        <w:t>每个仪器位需配4个插座（3个10A,1个16A）和1个网络口（以下</w:t>
      </w:r>
      <w:r>
        <w:rPr>
          <w:rFonts w:hint="eastAsia" w:asciiTheme="minorEastAsia" w:hAnsiTheme="minorEastAsia" w:eastAsiaTheme="minorEastAsia" w:cstheme="minorEastAsia"/>
          <w:b/>
          <w:bCs w:val="0"/>
          <w:sz w:val="24"/>
          <w:szCs w:val="24"/>
          <w:lang w:val="en-US" w:eastAsia="zh-CN"/>
        </w:rPr>
        <w:t>插座和网络口要求</w:t>
      </w:r>
      <w:r>
        <w:rPr>
          <w:rFonts w:hint="eastAsia" w:asciiTheme="minorEastAsia" w:hAnsiTheme="minorEastAsia" w:eastAsiaTheme="minorEastAsia" w:cstheme="minorEastAsia"/>
          <w:b/>
          <w:bCs w:val="0"/>
          <w:color w:val="auto"/>
          <w:sz w:val="24"/>
          <w:szCs w:val="24"/>
          <w:highlight w:val="none"/>
          <w:lang w:val="en-US" w:eastAsia="zh-CN"/>
        </w:rPr>
        <w:t>同此描述）</w:t>
      </w:r>
      <w:r>
        <w:rPr>
          <w:rFonts w:hint="eastAsia" w:asciiTheme="minorEastAsia" w:hAnsiTheme="minorEastAsia" w:eastAsiaTheme="minorEastAsia" w:cstheme="minorEastAsia"/>
          <w:b w:val="0"/>
          <w:bCs/>
          <w:color w:val="auto"/>
          <w:sz w:val="24"/>
          <w:szCs w:val="24"/>
          <w:highlight w:val="none"/>
          <w:lang w:val="en-US" w:eastAsia="zh-CN"/>
        </w:rPr>
        <w:t>。</w:t>
      </w:r>
    </w:p>
    <w:p w14:paraId="5112135F">
      <w:pPr>
        <w:pageBreakBefore w:val="0"/>
        <w:numPr>
          <w:ilvl w:val="0"/>
          <w:numId w:val="1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从大厅交换机引入网络；</w:t>
      </w:r>
    </w:p>
    <w:p w14:paraId="1A8D0902">
      <w:pPr>
        <w:pageBreakBefore w:val="0"/>
        <w:numPr>
          <w:ilvl w:val="0"/>
          <w:numId w:val="1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从相邻空调机房室引入电源电缆，对房间进行电气改造；</w:t>
      </w:r>
    </w:p>
    <w:p w14:paraId="6BEC7E18">
      <w:pPr>
        <w:pageBreakBefore w:val="0"/>
        <w:numPr>
          <w:ilvl w:val="0"/>
          <w:numId w:val="1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新增供气系统：其中一张台面配氩气、氧气和空气各三个终端，ICP和AAS二级减压表分开；ICPMS设备台面配氩气、氧气、空气、氢气和氦气各1组；氢气、氧气配备报警控制系统。</w:t>
      </w:r>
    </w:p>
    <w:p w14:paraId="3CCB9E98">
      <w:pPr>
        <w:pageBreakBefore w:val="0"/>
        <w:numPr>
          <w:ilvl w:val="0"/>
          <w:numId w:val="1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拆除原有风机盘管空调，更换新的空调，</w:t>
      </w:r>
      <w:r>
        <w:rPr>
          <w:rFonts w:hint="eastAsia" w:asciiTheme="minorEastAsia" w:hAnsiTheme="minorEastAsia" w:eastAsiaTheme="minorEastAsia" w:cstheme="minorEastAsia"/>
          <w:b w:val="0"/>
          <w:bCs/>
          <w:color w:val="auto"/>
          <w:sz w:val="24"/>
          <w:szCs w:val="24"/>
          <w:highlight w:val="none"/>
          <w:lang w:val="en-US" w:eastAsia="zh-CN"/>
        </w:rPr>
        <w:t>包含控制器更换；</w:t>
      </w:r>
      <w:r>
        <w:rPr>
          <w:rFonts w:hint="eastAsia" w:asciiTheme="minorEastAsia" w:hAnsiTheme="minorEastAsia" w:eastAsiaTheme="minorEastAsia" w:cstheme="minorEastAsia"/>
          <w:b w:val="0"/>
          <w:bCs/>
          <w:sz w:val="24"/>
          <w:szCs w:val="24"/>
          <w:lang w:val="en-US" w:eastAsia="zh-CN"/>
        </w:rPr>
        <w:t>重做下水管。</w:t>
      </w:r>
    </w:p>
    <w:p w14:paraId="531DE58D">
      <w:pPr>
        <w:pageBreakBefore w:val="0"/>
        <w:numPr>
          <w:ilvl w:val="0"/>
          <w:numId w:val="1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房间墙面粉刷。</w:t>
      </w:r>
    </w:p>
    <w:p w14:paraId="29FFF9E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9、玻仪库改仪器间</w:t>
      </w:r>
    </w:p>
    <w:p w14:paraId="38248DD2">
      <w:pPr>
        <w:pageBreakBefore w:val="0"/>
        <w:numPr>
          <w:ilvl w:val="0"/>
          <w:numId w:val="1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拆除或搬移原有储物柜，利旧的储物柜需要搬到旧中控试剂库；</w:t>
      </w:r>
    </w:p>
    <w:p w14:paraId="557A956F">
      <w:pPr>
        <w:pageBreakBefore w:val="0"/>
        <w:numPr>
          <w:ilvl w:val="0"/>
          <w:numId w:val="1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新装钢木结构边台6800×750*850mm、5600×750*850m、1800×750*850mm各一张，1000×1000*850mm角柜各2张，配套相应的电源插座和网络口；</w:t>
      </w:r>
    </w:p>
    <w:p w14:paraId="1FFF6277">
      <w:pPr>
        <w:pageBreakBefore w:val="0"/>
        <w:numPr>
          <w:ilvl w:val="0"/>
          <w:numId w:val="1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配备水槽龙头以及从大厅引入纯水，新做排水引到一楼下水道；</w:t>
      </w:r>
    </w:p>
    <w:p w14:paraId="0A131A08">
      <w:pPr>
        <w:pageBreakBefore w:val="0"/>
        <w:numPr>
          <w:ilvl w:val="0"/>
          <w:numId w:val="1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从相邻空调机房室引入电源电缆，对房间进行电气改造。</w:t>
      </w:r>
    </w:p>
    <w:p w14:paraId="78CE1ABA">
      <w:pPr>
        <w:pageBreakBefore w:val="0"/>
        <w:numPr>
          <w:ilvl w:val="0"/>
          <w:numId w:val="1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从大厅交换机引入网络；</w:t>
      </w:r>
    </w:p>
    <w:p w14:paraId="19421549">
      <w:pPr>
        <w:pageBreakBefore w:val="0"/>
        <w:numPr>
          <w:ilvl w:val="0"/>
          <w:numId w:val="1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拆除原有风机盘管空调，更换新的空调，</w:t>
      </w:r>
      <w:r>
        <w:rPr>
          <w:rFonts w:hint="eastAsia" w:asciiTheme="minorEastAsia" w:hAnsiTheme="minorEastAsia" w:eastAsiaTheme="minorEastAsia" w:cstheme="minorEastAsia"/>
          <w:b w:val="0"/>
          <w:bCs/>
          <w:color w:val="auto"/>
          <w:sz w:val="24"/>
          <w:szCs w:val="24"/>
          <w:highlight w:val="none"/>
          <w:lang w:val="en-US" w:eastAsia="zh-CN"/>
        </w:rPr>
        <w:t>包含控制器更换；</w:t>
      </w:r>
      <w:r>
        <w:rPr>
          <w:rFonts w:hint="eastAsia" w:asciiTheme="minorEastAsia" w:hAnsiTheme="minorEastAsia" w:eastAsiaTheme="minorEastAsia" w:cstheme="minorEastAsia"/>
          <w:b w:val="0"/>
          <w:bCs/>
          <w:sz w:val="24"/>
          <w:szCs w:val="24"/>
          <w:lang w:val="en-US" w:eastAsia="zh-CN"/>
        </w:rPr>
        <w:t>重做下水管。</w:t>
      </w:r>
    </w:p>
    <w:p w14:paraId="7381B553">
      <w:pPr>
        <w:pageBreakBefore w:val="0"/>
        <w:numPr>
          <w:ilvl w:val="0"/>
          <w:numId w:val="1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整间墙面粉刷。</w:t>
      </w:r>
    </w:p>
    <w:p w14:paraId="7DD40485">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10、资料室（小间办公室）改休息室</w:t>
      </w:r>
    </w:p>
    <w:p w14:paraId="5CD94A5F">
      <w:pPr>
        <w:numPr>
          <w:ilvl w:val="0"/>
          <w:numId w:val="19"/>
        </w:numPr>
        <w:spacing w:beforeLines="0" w:afterLines="0"/>
        <w:ind w:left="425" w:leftChars="0" w:hanging="425" w:firstLineChars="0"/>
        <w:jc w:val="left"/>
        <w:rPr>
          <w:rFonts w:hint="eastAsia" w:ascii="宋体" w:hAnsi="宋体"/>
          <w:color w:val="auto"/>
          <w:sz w:val="24"/>
          <w:szCs w:val="24"/>
        </w:rPr>
      </w:pPr>
      <w:r>
        <w:rPr>
          <w:rFonts w:hint="eastAsia" w:ascii="宋体" w:hAnsi="宋体"/>
          <w:color w:val="auto"/>
          <w:sz w:val="24"/>
          <w:szCs w:val="24"/>
        </w:rPr>
        <w:t>移出原有办公家具到指定位置。</w:t>
      </w:r>
    </w:p>
    <w:p w14:paraId="706BEE24">
      <w:pPr>
        <w:numPr>
          <w:ilvl w:val="0"/>
          <w:numId w:val="19"/>
        </w:numPr>
        <w:spacing w:beforeLines="0" w:afterLines="0"/>
        <w:ind w:left="425" w:leftChars="0" w:hanging="425" w:firstLineChars="0"/>
        <w:jc w:val="left"/>
        <w:rPr>
          <w:rFonts w:hint="eastAsia" w:ascii="宋体" w:hAnsi="宋体"/>
          <w:color w:val="auto"/>
          <w:sz w:val="24"/>
          <w:szCs w:val="24"/>
        </w:rPr>
      </w:pPr>
      <w:r>
        <w:rPr>
          <w:rFonts w:hint="eastAsia" w:ascii="宋体" w:hAnsi="宋体"/>
          <w:color w:val="auto"/>
          <w:sz w:val="24"/>
          <w:szCs w:val="24"/>
        </w:rPr>
        <w:t>摆放利旧的桌子。</w:t>
      </w:r>
    </w:p>
    <w:p w14:paraId="2C731415">
      <w:pPr>
        <w:numPr>
          <w:ilvl w:val="0"/>
          <w:numId w:val="19"/>
        </w:numPr>
        <w:spacing w:beforeLines="0" w:afterLines="0"/>
        <w:ind w:left="425" w:leftChars="0" w:hanging="425" w:firstLineChars="0"/>
        <w:jc w:val="left"/>
        <w:rPr>
          <w:rFonts w:hint="eastAsia" w:ascii="宋体" w:hAnsi="宋体"/>
          <w:b w:val="0"/>
          <w:bCs w:val="0"/>
          <w:color w:val="auto"/>
          <w:sz w:val="24"/>
          <w:szCs w:val="24"/>
        </w:rPr>
      </w:pPr>
      <w:r>
        <w:rPr>
          <w:rFonts w:hint="eastAsia" w:ascii="宋体" w:hAnsi="宋体"/>
          <w:color w:val="auto"/>
          <w:sz w:val="24"/>
          <w:szCs w:val="24"/>
        </w:rPr>
        <w:t>配套10把圆凳</w:t>
      </w:r>
      <w:r>
        <w:rPr>
          <w:rFonts w:hint="eastAsia" w:ascii="宋体" w:hAnsi="宋体"/>
          <w:color w:val="auto"/>
          <w:sz w:val="24"/>
          <w:szCs w:val="24"/>
          <w:lang w:eastAsia="zh-CN"/>
        </w:rPr>
        <w:t>，</w:t>
      </w:r>
      <w:r>
        <w:rPr>
          <w:rFonts w:hint="eastAsia" w:ascii="宋体" w:hAnsi="宋体"/>
          <w:b w:val="0"/>
          <w:bCs w:val="0"/>
          <w:color w:val="auto"/>
          <w:sz w:val="24"/>
          <w:szCs w:val="24"/>
          <w:highlight w:val="none"/>
          <w:lang w:eastAsia="zh-CN"/>
        </w:rPr>
        <w:t>PU凳面，≥φ300mm，304不锈钢凳脚，高度</w:t>
      </w:r>
      <w:r>
        <w:rPr>
          <w:rFonts w:hint="eastAsia" w:ascii="宋体" w:hAnsi="宋体"/>
          <w:b w:val="0"/>
          <w:bCs w:val="0"/>
          <w:color w:val="auto"/>
          <w:sz w:val="24"/>
          <w:szCs w:val="24"/>
          <w:highlight w:val="none"/>
          <w:lang w:val="en-US" w:eastAsia="zh-CN"/>
        </w:rPr>
        <w:t>50</w:t>
      </w:r>
      <w:r>
        <w:rPr>
          <w:rFonts w:hint="eastAsia" w:ascii="宋体" w:hAnsi="宋体"/>
          <w:b w:val="0"/>
          <w:bCs w:val="0"/>
          <w:color w:val="auto"/>
          <w:sz w:val="24"/>
          <w:szCs w:val="24"/>
          <w:highlight w:val="none"/>
          <w:lang w:eastAsia="zh-CN"/>
        </w:rPr>
        <w:t>cm。</w:t>
      </w:r>
    </w:p>
    <w:p w14:paraId="10950EEA">
      <w:pPr>
        <w:numPr>
          <w:ilvl w:val="0"/>
          <w:numId w:val="19"/>
        </w:numPr>
        <w:spacing w:beforeLines="0" w:afterLines="0"/>
        <w:ind w:left="425" w:leftChars="0" w:hanging="425" w:firstLineChars="0"/>
        <w:jc w:val="left"/>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整间墙面粉刷。</w:t>
      </w:r>
    </w:p>
    <w:p w14:paraId="5924B50B">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bCs w:val="0"/>
          <w:color w:val="auto"/>
          <w:sz w:val="24"/>
          <w:szCs w:val="24"/>
          <w:lang w:val="en-US" w:eastAsia="zh-CN"/>
        </w:rPr>
        <w:t>11、环保处理室（二楼大厅）</w:t>
      </w:r>
    </w:p>
    <w:p w14:paraId="4F1E89E7">
      <w:pPr>
        <w:pageBreakBefore w:val="0"/>
        <w:numPr>
          <w:ilvl w:val="0"/>
          <w:numId w:val="2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将原中央台及试剂架拆除；</w:t>
      </w:r>
    </w:p>
    <w:p w14:paraId="3405A18F">
      <w:pPr>
        <w:pageBreakBefore w:val="0"/>
        <w:numPr>
          <w:ilvl w:val="0"/>
          <w:numId w:val="2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新装钢木中央台4200×1500×850mm；配备相应电源插座；</w:t>
      </w:r>
    </w:p>
    <w:p w14:paraId="3D20483D">
      <w:pPr>
        <w:pageBreakBefore w:val="0"/>
        <w:numPr>
          <w:ilvl w:val="0"/>
          <w:numId w:val="2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再新装全钢材质桌上型通风罩1400×1500×1500mm三组，并接入原有排风管路。配备相应的手动、电动风阀及相关配件。</w:t>
      </w:r>
    </w:p>
    <w:p w14:paraId="1AB9D4C1">
      <w:pPr>
        <w:pStyle w:val="10"/>
        <w:pageBreakBefore w:val="0"/>
        <w:numPr>
          <w:ilvl w:val="0"/>
          <w:numId w:val="2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pacing w:val="0"/>
          <w:sz w:val="24"/>
          <w:szCs w:val="24"/>
          <w:lang w:val="en-US" w:eastAsia="zh-CN" w:bidi="ar-SA"/>
        </w:rPr>
      </w:pPr>
      <w:r>
        <w:rPr>
          <w:rFonts w:hint="eastAsia" w:asciiTheme="minorEastAsia" w:hAnsiTheme="minorEastAsia" w:eastAsiaTheme="minorEastAsia" w:cstheme="minorEastAsia"/>
          <w:b w:val="0"/>
          <w:bCs/>
          <w:spacing w:val="0"/>
          <w:sz w:val="24"/>
          <w:szCs w:val="24"/>
          <w:lang w:val="en-US" w:eastAsia="zh-CN" w:bidi="ar-SA"/>
        </w:rPr>
        <w:t>新增一个监控点位，连接到二楼监控主机。</w:t>
      </w:r>
      <w:r>
        <w:rPr>
          <w:rFonts w:hint="eastAsia" w:asciiTheme="minorEastAsia" w:hAnsiTheme="minorEastAsia" w:eastAsiaTheme="minorEastAsia" w:cstheme="minorEastAsia"/>
          <w:b w:val="0"/>
          <w:bCs/>
          <w:color w:val="auto"/>
          <w:spacing w:val="0"/>
          <w:sz w:val="24"/>
          <w:szCs w:val="24"/>
          <w:highlight w:val="none"/>
          <w:lang w:val="en-US" w:eastAsia="zh-CN" w:bidi="ar-SA"/>
        </w:rPr>
        <w:t>二楼大厅新增监控交换机、监视器、硬盘、录像机等监控设备。</w:t>
      </w:r>
    </w:p>
    <w:p w14:paraId="5B5EE620">
      <w:pPr>
        <w:pStyle w:val="11"/>
        <w:numPr>
          <w:ilvl w:val="0"/>
          <w:numId w:val="0"/>
        </w:numPr>
        <w:ind w:left="425" w:leftChars="0" w:hanging="425" w:firstLineChars="0"/>
        <w:rPr>
          <w:rFonts w:hint="default"/>
          <w:lang w:val="en-US" w:eastAsia="zh-CN"/>
        </w:rPr>
      </w:pPr>
      <w:r>
        <w:rPr>
          <w:rFonts w:hint="eastAsia" w:asciiTheme="minorEastAsia" w:hAnsiTheme="minorEastAsia" w:eastAsiaTheme="minorEastAsia" w:cstheme="minorEastAsia"/>
          <w:b w:val="0"/>
          <w:bCs/>
          <w:spacing w:val="0"/>
          <w:sz w:val="24"/>
          <w:szCs w:val="24"/>
          <w:lang w:val="en-US" w:eastAsia="zh-CN" w:bidi="ar-SA"/>
        </w:rPr>
        <w:t>（5）大厅其中一张中央台增加纯水点，纯水点就近引入。</w:t>
      </w:r>
    </w:p>
    <w:p w14:paraId="55AE561D">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12、高温室</w:t>
      </w:r>
    </w:p>
    <w:p w14:paraId="4E33A5C1">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新装2张1200*800*850mm的高温台，大理石台面25-30mm,边缘加厚至50mm，每张配备相应的电源，16A和10A插座各一个。</w:t>
      </w:r>
    </w:p>
    <w:p w14:paraId="4CA57F9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13、标液间</w:t>
      </w:r>
    </w:p>
    <w:p w14:paraId="36966412">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（1）拆除</w:t>
      </w:r>
    </w:p>
    <w:p w14:paraId="13D3A6A9">
      <w:pPr>
        <w:pageBreakBefore w:val="0"/>
        <w:numPr>
          <w:ilvl w:val="0"/>
          <w:numId w:val="2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拆除原有台柜和设施设备</w:t>
      </w:r>
    </w:p>
    <w:p w14:paraId="532BA585">
      <w:pPr>
        <w:pageBreakBefore w:val="0"/>
        <w:numPr>
          <w:ilvl w:val="0"/>
          <w:numId w:val="2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拆除原有万向罩及排风管，封堵主管洞口；</w:t>
      </w:r>
    </w:p>
    <w:p w14:paraId="2687DC72">
      <w:pPr>
        <w:pageBreakBefore w:val="0"/>
        <w:numPr>
          <w:ilvl w:val="0"/>
          <w:numId w:val="2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拆除原有排风主管和墙洞；拆除原有屋面排风主管。</w:t>
      </w:r>
    </w:p>
    <w:p w14:paraId="27517FE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（2）台柜系统</w:t>
      </w:r>
    </w:p>
    <w:p w14:paraId="1987E37F">
      <w:pPr>
        <w:pageBreakBefore w:val="0"/>
        <w:numPr>
          <w:ilvl w:val="0"/>
          <w:numId w:val="2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新装1张6640*750*850的高温台（大理石台面30mm,边缘加厚至50mm），配套相应电源；配套1组水槽。</w:t>
      </w:r>
    </w:p>
    <w:p w14:paraId="554B8D77">
      <w:pPr>
        <w:pageBreakBefore w:val="0"/>
        <w:numPr>
          <w:ilvl w:val="0"/>
          <w:numId w:val="2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新装1台1.8米的全钢通风橱（不带水）及配套电源；</w:t>
      </w:r>
    </w:p>
    <w:p w14:paraId="68C45094">
      <w:pPr>
        <w:pStyle w:val="10"/>
        <w:pageBreakBefore w:val="0"/>
        <w:numPr>
          <w:ilvl w:val="0"/>
          <w:numId w:val="2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新装钢木结构中央台4200×1500×850mm；一格带2个水槽，对面安装</w:t>
      </w:r>
    </w:p>
    <w:p w14:paraId="2EBE67B3">
      <w:pPr>
        <w:pageBreakBefore w:val="0"/>
        <w:numPr>
          <w:ilvl w:val="0"/>
          <w:numId w:val="2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新中央台上新装PP桌上型通风罩4200*1500*1500一组及配套电源；</w:t>
      </w:r>
    </w:p>
    <w:p w14:paraId="630C5120">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（3）给排水系统</w:t>
      </w:r>
    </w:p>
    <w:p w14:paraId="42166B2A">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1）给水系统</w:t>
      </w:r>
    </w:p>
    <w:p w14:paraId="7B82DDAF">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C00000"/>
          <w:sz w:val="24"/>
          <w:szCs w:val="24"/>
          <w:lang w:val="en-US" w:eastAsia="zh-CN"/>
        </w:rPr>
      </w:pPr>
      <w:r>
        <w:rPr>
          <w:rFonts w:hint="eastAsia" w:asciiTheme="minorEastAsia" w:hAnsiTheme="minorEastAsia" w:eastAsiaTheme="minorEastAsia" w:cstheme="minorEastAsia"/>
          <w:b w:val="0"/>
          <w:bCs/>
          <w:sz w:val="24"/>
          <w:szCs w:val="24"/>
          <w:lang w:val="en-US" w:eastAsia="zh-CN"/>
        </w:rPr>
        <w:t>高温台/中央台给水采用：外间大厅引入纯水管路；</w:t>
      </w:r>
    </w:p>
    <w:p w14:paraId="0F5ABFD4">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2）排水系统</w:t>
      </w:r>
    </w:p>
    <w:p w14:paraId="7CDC3D6C">
      <w:pPr>
        <w:pageBreakBefore w:val="0"/>
        <w:numPr>
          <w:ilvl w:val="0"/>
          <w:numId w:val="2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高温台排水引至下层排水管；</w:t>
      </w:r>
      <w:r>
        <w:rPr>
          <w:rFonts w:hint="eastAsia" w:asciiTheme="minorEastAsia" w:hAnsiTheme="minorEastAsia" w:eastAsiaTheme="minorEastAsia" w:cstheme="minorEastAsia"/>
          <w:i w:val="0"/>
          <w:iCs w:val="0"/>
          <w:color w:val="000000"/>
          <w:kern w:val="0"/>
          <w:sz w:val="24"/>
          <w:szCs w:val="24"/>
          <w:u w:val="none"/>
          <w:lang w:val="en-US" w:eastAsia="zh-CN" w:bidi="ar"/>
        </w:rPr>
        <w:t>下水管改耐有机腐蚀材质。</w:t>
      </w:r>
    </w:p>
    <w:p w14:paraId="10EA3B47">
      <w:pPr>
        <w:pageBreakBefore w:val="0"/>
        <w:numPr>
          <w:ilvl w:val="0"/>
          <w:numId w:val="23"/>
        </w:numPr>
        <w:kinsoku/>
        <w:wordWrap/>
        <w:overflowPunct/>
        <w:topLinePunct w:val="0"/>
        <w:bidi w:val="0"/>
        <w:spacing w:beforeAutospacing="0" w:afterAutospacing="0" w:line="400" w:lineRule="exact"/>
        <w:ind w:left="0" w:leftChars="0" w:right="0" w:firstLine="0" w:firstLineChars="0"/>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中央台排水：楼板下面水道改为</w:t>
      </w:r>
      <w:r>
        <w:rPr>
          <w:rFonts w:hint="eastAsia" w:asciiTheme="minorEastAsia" w:hAnsiTheme="minorEastAsia" w:eastAsiaTheme="minorEastAsia" w:cstheme="minorEastAsia"/>
          <w:i w:val="0"/>
          <w:iCs w:val="0"/>
          <w:color w:val="000000"/>
          <w:kern w:val="0"/>
          <w:sz w:val="24"/>
          <w:szCs w:val="24"/>
          <w:u w:val="none"/>
          <w:lang w:val="en-US" w:eastAsia="zh-CN" w:bidi="ar"/>
        </w:rPr>
        <w:t>耐有机腐蚀材质。</w:t>
      </w:r>
    </w:p>
    <w:p w14:paraId="2B93A39D">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（4）新增通风系统</w:t>
      </w:r>
    </w:p>
    <w:p w14:paraId="411C48EA">
      <w:pPr>
        <w:pageBreakBefore w:val="0"/>
        <w:numPr>
          <w:ilvl w:val="0"/>
          <w:numId w:val="2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将新增的PP通风罩、1.8米通风柜接入本实验室原有通风系统；</w:t>
      </w:r>
    </w:p>
    <w:p w14:paraId="7578C213">
      <w:pPr>
        <w:pageBreakBefore w:val="0"/>
        <w:numPr>
          <w:ilvl w:val="0"/>
          <w:numId w:val="2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由2层引至屋面的通风主管由原先的600*600加大为800*800；</w:t>
      </w:r>
    </w:p>
    <w:p w14:paraId="5A6C9699">
      <w:pPr>
        <w:pageBreakBefore w:val="0"/>
        <w:numPr>
          <w:ilvl w:val="0"/>
          <w:numId w:val="2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屋面新装一套（18000-20000）m</w:t>
      </w:r>
      <w:r>
        <w:rPr>
          <w:rFonts w:hint="eastAsia" w:asciiTheme="minorEastAsia" w:hAnsiTheme="minorEastAsia" w:eastAsiaTheme="minorEastAsia" w:cstheme="minorEastAsia"/>
          <w:b w:val="0"/>
          <w:bCs/>
          <w:color w:val="auto"/>
          <w:sz w:val="24"/>
          <w:szCs w:val="24"/>
          <w:vertAlign w:val="superscript"/>
          <w:lang w:val="en-US" w:eastAsia="zh-CN"/>
        </w:rPr>
        <w:t>3</w:t>
      </w:r>
      <w:r>
        <w:rPr>
          <w:rFonts w:hint="eastAsia" w:asciiTheme="minorEastAsia" w:hAnsiTheme="minorEastAsia" w:eastAsiaTheme="minorEastAsia" w:cstheme="minorEastAsia"/>
          <w:b w:val="0"/>
          <w:bCs/>
          <w:color w:val="auto"/>
          <w:sz w:val="24"/>
          <w:szCs w:val="24"/>
          <w:lang w:val="en-US" w:eastAsia="zh-CN"/>
        </w:rPr>
        <w:t>/h风量</w:t>
      </w:r>
      <w:r>
        <w:rPr>
          <w:rFonts w:hint="eastAsia" w:ascii="宋体" w:hAnsi="宋体"/>
          <w:color w:val="auto"/>
          <w:sz w:val="24"/>
          <w:szCs w:val="24"/>
        </w:rPr>
        <w:t>(风量待确认)</w:t>
      </w:r>
      <w:r>
        <w:rPr>
          <w:rFonts w:hint="eastAsia" w:asciiTheme="minorEastAsia" w:hAnsiTheme="minorEastAsia" w:eastAsiaTheme="minorEastAsia" w:cstheme="minorEastAsia"/>
          <w:b w:val="0"/>
          <w:bCs/>
          <w:color w:val="auto"/>
          <w:sz w:val="24"/>
          <w:szCs w:val="24"/>
          <w:lang w:val="en-US" w:eastAsia="zh-CN"/>
        </w:rPr>
        <w:t>玻璃钢排风机，配防爆变频电机、</w:t>
      </w:r>
      <w:r>
        <w:rPr>
          <w:rFonts w:hint="eastAsia" w:asciiTheme="minorEastAsia" w:hAnsiTheme="minorEastAsia" w:eastAsiaTheme="minorEastAsia" w:cstheme="minorEastAsia"/>
          <w:b w:val="0"/>
          <w:bCs/>
          <w:sz w:val="24"/>
          <w:szCs w:val="24"/>
          <w:lang w:val="en-US" w:eastAsia="zh-CN"/>
        </w:rPr>
        <w:t>消音器；屋面主管换新，原风机利旧，设置为一备一用。</w:t>
      </w:r>
    </w:p>
    <w:p w14:paraId="6F7D2816">
      <w:pPr>
        <w:pageBreakBefore w:val="0"/>
        <w:numPr>
          <w:ilvl w:val="0"/>
          <w:numId w:val="2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配备相应的手动风阀、电动风阀、止回阀等；</w:t>
      </w:r>
    </w:p>
    <w:p w14:paraId="538FBE73">
      <w:pPr>
        <w:pageBreakBefore w:val="0"/>
        <w:numPr>
          <w:ilvl w:val="0"/>
          <w:numId w:val="2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新增一套变频控制系统，需要加原入有的触摸屏，实现远程控制开关和调速。</w:t>
      </w:r>
    </w:p>
    <w:p w14:paraId="28D6A7A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14、男女卫生间改造</w:t>
      </w:r>
    </w:p>
    <w:p w14:paraId="3A121ACB">
      <w:pPr>
        <w:pageBreakBefore w:val="0"/>
        <w:numPr>
          <w:ilvl w:val="0"/>
          <w:numId w:val="25"/>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卫生间镜三块拆除和换新</w:t>
      </w:r>
    </w:p>
    <w:p w14:paraId="1CFB0E51">
      <w:pPr>
        <w:pageBreakBefore w:val="0"/>
        <w:numPr>
          <w:ilvl w:val="0"/>
          <w:numId w:val="25"/>
        </w:numPr>
        <w:kinsoku/>
        <w:wordWrap/>
        <w:overflowPunct/>
        <w:topLinePunct w:val="0"/>
        <w:bidi w:val="0"/>
        <w:spacing w:beforeAutospacing="0" w:afterAutospacing="0" w:line="400" w:lineRule="exact"/>
        <w:ind w:left="0" w:leftChars="0" w:right="0" w:firstLine="0" w:firstLineChars="0"/>
        <w:rPr>
          <w:rFonts w:hint="default"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val="0"/>
          <w:bCs/>
          <w:sz w:val="24"/>
          <w:szCs w:val="24"/>
          <w:lang w:val="en-US" w:eastAsia="zh-CN"/>
        </w:rPr>
        <w:t>蹲位隔板、小便池隔板拆除和换新</w:t>
      </w:r>
    </w:p>
    <w:p w14:paraId="50D490F9">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eastAsia="zh-CN"/>
        </w:rPr>
      </w:pPr>
      <w:r>
        <w:rPr>
          <w:rFonts w:hint="eastAsia" w:asciiTheme="minorEastAsia" w:hAnsiTheme="minorEastAsia" w:eastAsiaTheme="minorEastAsia" w:cstheme="minorEastAsia"/>
          <w:b/>
          <w:bCs w:val="0"/>
          <w:sz w:val="24"/>
          <w:szCs w:val="24"/>
          <w:lang w:val="en-US" w:eastAsia="zh-CN"/>
        </w:rPr>
        <w:t>（三）原</w:t>
      </w:r>
      <w:r>
        <w:rPr>
          <w:rFonts w:hint="eastAsia" w:asciiTheme="minorEastAsia" w:hAnsiTheme="minorEastAsia" w:eastAsiaTheme="minorEastAsia" w:cstheme="minorEastAsia"/>
          <w:b/>
          <w:bCs w:val="0"/>
          <w:sz w:val="24"/>
          <w:szCs w:val="24"/>
          <w:lang w:eastAsia="zh-CN"/>
        </w:rPr>
        <w:t>中控楼1层</w:t>
      </w:r>
    </w:p>
    <w:p w14:paraId="1E9BD588">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lang w:val="en-US" w:eastAsia="zh-CN"/>
        </w:rPr>
        <w:t>1、原主机和辅机房改报废仪器堆放间</w:t>
      </w:r>
    </w:p>
    <w:p w14:paraId="1188591E">
      <w:pPr>
        <w:pageBreakBefore w:val="0"/>
        <w:numPr>
          <w:ilvl w:val="0"/>
          <w:numId w:val="2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拆除架空地板；</w:t>
      </w:r>
    </w:p>
    <w:p w14:paraId="342B81E2">
      <w:pPr>
        <w:pageBreakBefore w:val="0"/>
        <w:numPr>
          <w:ilvl w:val="0"/>
          <w:numId w:val="2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拆除中间一条高门槛，并修复墙体及隔断门；</w:t>
      </w:r>
    </w:p>
    <w:p w14:paraId="11A955A0">
      <w:pPr>
        <w:pageBreakBefore w:val="0"/>
        <w:numPr>
          <w:ilvl w:val="0"/>
          <w:numId w:val="2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拆除原有电气设施、仪器设备；</w:t>
      </w:r>
    </w:p>
    <w:p w14:paraId="10D93819">
      <w:pPr>
        <w:pageBreakBefore w:val="0"/>
        <w:numPr>
          <w:ilvl w:val="0"/>
          <w:numId w:val="2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sz w:val="24"/>
          <w:szCs w:val="24"/>
          <w:lang w:val="en-US" w:eastAsia="zh-CN"/>
        </w:rPr>
        <w:t>外</w:t>
      </w:r>
      <w:r>
        <w:rPr>
          <w:rFonts w:hint="eastAsia" w:asciiTheme="minorEastAsia" w:hAnsiTheme="minorEastAsia" w:eastAsiaTheme="minorEastAsia" w:cstheme="minorEastAsia"/>
          <w:b w:val="0"/>
          <w:bCs/>
          <w:color w:val="auto"/>
          <w:sz w:val="24"/>
          <w:szCs w:val="24"/>
          <w:lang w:val="en-US" w:eastAsia="zh-CN"/>
        </w:rPr>
        <w:t>间</w:t>
      </w:r>
      <w:r>
        <w:rPr>
          <w:rFonts w:hint="eastAsia" w:ascii="宋体" w:hAnsi="宋体"/>
          <w:color w:val="auto"/>
          <w:sz w:val="24"/>
          <w:szCs w:val="24"/>
        </w:rPr>
        <w:t>新装地板：</w:t>
      </w:r>
      <w:r>
        <w:rPr>
          <w:rFonts w:hint="eastAsia" w:ascii="宋体" w:hAnsi="宋体"/>
          <w:b w:val="0"/>
          <w:bCs w:val="0"/>
          <w:color w:val="auto"/>
          <w:sz w:val="24"/>
          <w:szCs w:val="24"/>
          <w:highlight w:val="none"/>
        </w:rPr>
        <w:t>原有地板打磨</w:t>
      </w:r>
      <w:r>
        <w:rPr>
          <w:rFonts w:hint="eastAsia" w:ascii="宋体" w:hAnsi="宋体"/>
          <w:b w:val="0"/>
          <w:bCs w:val="0"/>
          <w:color w:val="auto"/>
          <w:sz w:val="24"/>
          <w:szCs w:val="24"/>
          <w:highlight w:val="none"/>
          <w:lang w:eastAsia="zh-CN"/>
        </w:rPr>
        <w:t>，</w:t>
      </w:r>
      <w:r>
        <w:rPr>
          <w:rFonts w:hint="eastAsia" w:ascii="宋体" w:hAnsi="宋体"/>
          <w:b w:val="0"/>
          <w:bCs w:val="0"/>
          <w:color w:val="auto"/>
          <w:sz w:val="24"/>
          <w:szCs w:val="24"/>
          <w:highlight w:val="none"/>
          <w:lang w:val="en-US" w:eastAsia="zh-CN"/>
        </w:rPr>
        <w:t>铺贴</w:t>
      </w:r>
      <w:r>
        <w:rPr>
          <w:rFonts w:hint="eastAsia" w:ascii="宋体" w:hAnsi="宋体"/>
          <w:b w:val="0"/>
          <w:bCs w:val="0"/>
          <w:color w:val="auto"/>
          <w:sz w:val="24"/>
          <w:szCs w:val="24"/>
        </w:rPr>
        <w:t>2</w:t>
      </w:r>
      <w:r>
        <w:rPr>
          <w:rFonts w:hint="eastAsia" w:ascii="宋体" w:hAnsi="宋体"/>
          <w:color w:val="auto"/>
          <w:sz w:val="24"/>
          <w:szCs w:val="24"/>
        </w:rPr>
        <w:t>mm自流平，新铺环氧树脂地坪地板</w:t>
      </w:r>
      <w:r>
        <w:rPr>
          <w:rFonts w:hint="eastAsia" w:asciiTheme="minorEastAsia" w:hAnsiTheme="minorEastAsia" w:eastAsiaTheme="minorEastAsia" w:cstheme="minorEastAsia"/>
          <w:b w:val="0"/>
          <w:bCs/>
          <w:color w:val="auto"/>
          <w:sz w:val="24"/>
          <w:szCs w:val="24"/>
          <w:lang w:val="en-US" w:eastAsia="zh-CN"/>
        </w:rPr>
        <w:t>；</w:t>
      </w:r>
    </w:p>
    <w:p w14:paraId="7859A33A">
      <w:pPr>
        <w:pageBreakBefore w:val="0"/>
        <w:numPr>
          <w:ilvl w:val="0"/>
          <w:numId w:val="2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整个房间</w:t>
      </w:r>
      <w:r>
        <w:rPr>
          <w:rFonts w:hint="eastAsia" w:asciiTheme="minorEastAsia" w:hAnsiTheme="minorEastAsia" w:eastAsiaTheme="minorEastAsia" w:cstheme="minorEastAsia"/>
          <w:b w:val="0"/>
          <w:bCs/>
          <w:color w:val="auto"/>
          <w:sz w:val="24"/>
          <w:szCs w:val="24"/>
          <w:lang w:val="en-US" w:eastAsia="zh-CN"/>
        </w:rPr>
        <w:t>墙</w:t>
      </w:r>
      <w:r>
        <w:rPr>
          <w:rFonts w:hint="eastAsia" w:asciiTheme="minorEastAsia" w:hAnsiTheme="minorEastAsia" w:eastAsiaTheme="minorEastAsia" w:cstheme="minorEastAsia"/>
          <w:b w:val="0"/>
          <w:bCs/>
          <w:sz w:val="24"/>
          <w:szCs w:val="24"/>
          <w:lang w:val="en-US" w:eastAsia="zh-CN"/>
        </w:rPr>
        <w:t>面重新翻新粉刷；</w:t>
      </w:r>
    </w:p>
    <w:p w14:paraId="4145B529">
      <w:pPr>
        <w:pageBreakBefore w:val="0"/>
        <w:numPr>
          <w:ilvl w:val="0"/>
          <w:numId w:val="2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将PTA实验室的旧实验台搬至这里重装，安装5台，每台6500*750*850，配套相应电源插座。</w:t>
      </w:r>
    </w:p>
    <w:p w14:paraId="263B1D4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2、原仪表值班室改工人活动室</w:t>
      </w:r>
    </w:p>
    <w:p w14:paraId="27CC0885">
      <w:pPr>
        <w:pageBreakBefore w:val="0"/>
        <w:numPr>
          <w:ilvl w:val="0"/>
          <w:numId w:val="2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原有设施设备拆除；</w:t>
      </w:r>
    </w:p>
    <w:p w14:paraId="3AA57E70">
      <w:pPr>
        <w:pageBreakBefore w:val="0"/>
        <w:numPr>
          <w:ilvl w:val="0"/>
          <w:numId w:val="2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新增可拼接会议桌，培训时桌子可分开，满足40人使用，配套圆椅子；桌子利旧10张（从芳烃化验室1楼休息室搬迁），新增可折叠移动桌子10张</w:t>
      </w:r>
      <w:r>
        <w:rPr>
          <w:rFonts w:hint="eastAsia" w:asciiTheme="minorEastAsia" w:hAnsiTheme="minorEastAsia" w:eastAsiaTheme="minorEastAsia" w:cstheme="minorEastAsia"/>
          <w:b w:val="0"/>
          <w:bCs/>
          <w:color w:val="auto"/>
          <w:sz w:val="24"/>
          <w:szCs w:val="24"/>
          <w:highlight w:val="none"/>
          <w:lang w:val="en-US" w:eastAsia="zh-CN"/>
        </w:rPr>
        <w:t>（1200*400mm/张）</w:t>
      </w:r>
      <w:r>
        <w:rPr>
          <w:rFonts w:hint="eastAsia" w:asciiTheme="minorEastAsia" w:hAnsiTheme="minorEastAsia" w:eastAsiaTheme="minorEastAsia" w:cstheme="minorEastAsia"/>
          <w:b w:val="0"/>
          <w:bCs/>
          <w:color w:val="auto"/>
          <w:sz w:val="24"/>
          <w:szCs w:val="24"/>
          <w:lang w:val="en-US" w:eastAsia="zh-CN"/>
        </w:rPr>
        <w:t>，颜色和利旧桌子颜色接近。</w:t>
      </w:r>
    </w:p>
    <w:p w14:paraId="79D65621">
      <w:pPr>
        <w:pageBreakBefore w:val="0"/>
        <w:numPr>
          <w:ilvl w:val="0"/>
          <w:numId w:val="2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墙面四周预留网络和电源插座；</w:t>
      </w:r>
    </w:p>
    <w:p w14:paraId="06EEBCE4">
      <w:pPr>
        <w:pStyle w:val="10"/>
        <w:pageBreakBefore w:val="0"/>
        <w:numPr>
          <w:ilvl w:val="0"/>
          <w:numId w:val="2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sz w:val="24"/>
          <w:szCs w:val="24"/>
          <w:lang w:val="en-US" w:eastAsia="zh-CN"/>
        </w:rPr>
        <w:t>新增电脑桌，配套安装投影仪幕布，吊顶</w:t>
      </w:r>
      <w:r>
        <w:rPr>
          <w:rFonts w:hint="eastAsia" w:asciiTheme="minorEastAsia" w:hAnsiTheme="minorEastAsia" w:eastAsiaTheme="minorEastAsia" w:cstheme="minorEastAsia"/>
          <w:b w:val="0"/>
          <w:bCs/>
          <w:color w:val="auto"/>
          <w:sz w:val="24"/>
          <w:szCs w:val="24"/>
          <w:lang w:val="en-US" w:eastAsia="zh-CN"/>
        </w:rPr>
        <w:t>下安装投影仪；</w:t>
      </w:r>
      <w:r>
        <w:rPr>
          <w:rFonts w:hint="eastAsia" w:asciiTheme="minorEastAsia" w:hAnsiTheme="minorEastAsia" w:eastAsiaTheme="minorEastAsia" w:cstheme="minorEastAsia"/>
          <w:b w:val="0"/>
          <w:bCs/>
          <w:color w:val="auto"/>
          <w:sz w:val="24"/>
          <w:szCs w:val="24"/>
          <w:highlight w:val="none"/>
          <w:lang w:val="en-US" w:eastAsia="zh-CN"/>
        </w:rPr>
        <w:t>专业全频音箱两套，专业功放1台，效果器、专业电源时序器、专业无线话筒等配套；打印机1台。</w:t>
      </w:r>
    </w:p>
    <w:p w14:paraId="577BC792">
      <w:pPr>
        <w:pageBreakBefore w:val="0"/>
        <w:numPr>
          <w:ilvl w:val="0"/>
          <w:numId w:val="2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新装吊顶；</w:t>
      </w:r>
    </w:p>
    <w:p w14:paraId="68BA49A7">
      <w:pPr>
        <w:pStyle w:val="10"/>
        <w:pageBreakBefore w:val="0"/>
        <w:numPr>
          <w:ilvl w:val="0"/>
          <w:numId w:val="27"/>
        </w:numPr>
        <w:kinsoku/>
        <w:wordWrap/>
        <w:overflowPunct/>
        <w:topLinePunct w:val="0"/>
        <w:bidi w:val="0"/>
        <w:spacing w:beforeAutospacing="0" w:afterAutospacing="0" w:line="400" w:lineRule="exact"/>
        <w:ind w:left="0" w:leftChars="0" w:right="0" w:firstLine="0" w:firstLineChars="0"/>
        <w:rPr>
          <w:rFonts w:hint="eastAsia"/>
          <w:lang w:val="en-US" w:eastAsia="zh-CN"/>
        </w:rPr>
      </w:pPr>
      <w:r>
        <w:rPr>
          <w:rFonts w:hint="eastAsia" w:asciiTheme="minorEastAsia" w:hAnsiTheme="minorEastAsia" w:eastAsiaTheme="minorEastAsia" w:cstheme="minorEastAsia"/>
          <w:b w:val="0"/>
          <w:bCs/>
          <w:color w:val="auto"/>
          <w:sz w:val="24"/>
          <w:szCs w:val="24"/>
          <w:lang w:val="en-US" w:eastAsia="zh-CN"/>
        </w:rPr>
        <w:t>拆除原有风机盘管，新装2台风机盘管</w:t>
      </w:r>
      <w:r>
        <w:rPr>
          <w:rFonts w:hint="eastAsia" w:asciiTheme="minorEastAsia" w:hAnsiTheme="minorEastAsia" w:eastAsiaTheme="minorEastAsia" w:cstheme="minorEastAsia"/>
          <w:b w:val="0"/>
          <w:bCs/>
          <w:color w:val="auto"/>
          <w:sz w:val="24"/>
          <w:szCs w:val="24"/>
          <w:highlight w:val="none"/>
          <w:lang w:val="en-US" w:eastAsia="zh-CN"/>
        </w:rPr>
        <w:t>包含控制器更换；</w:t>
      </w:r>
      <w:r>
        <w:rPr>
          <w:rFonts w:hint="eastAsia" w:asciiTheme="minorEastAsia" w:hAnsiTheme="minorEastAsia" w:eastAsiaTheme="minorEastAsia" w:cstheme="minorEastAsia"/>
          <w:b w:val="0"/>
          <w:bCs/>
          <w:sz w:val="24"/>
          <w:szCs w:val="24"/>
          <w:lang w:val="en-US" w:eastAsia="zh-CN"/>
        </w:rPr>
        <w:t>冷凝排水管路改造。</w:t>
      </w:r>
    </w:p>
    <w:p w14:paraId="41C83CBD">
      <w:pPr>
        <w:pageBreakBefore w:val="0"/>
        <w:numPr>
          <w:ilvl w:val="0"/>
          <w:numId w:val="2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部分区域地板下空，地板填土、砂石50cm，硬化处理；</w:t>
      </w:r>
    </w:p>
    <w:p w14:paraId="55884D7C">
      <w:pPr>
        <w:pageBreakBefore w:val="0"/>
        <w:numPr>
          <w:ilvl w:val="0"/>
          <w:numId w:val="2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部分区域地板下空，地板填土后，水泥砂浆找平10cm；</w:t>
      </w:r>
    </w:p>
    <w:p w14:paraId="3ADA0E5B">
      <w:pPr>
        <w:pageBreakBefore w:val="0"/>
        <w:numPr>
          <w:ilvl w:val="0"/>
          <w:numId w:val="2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修复下空地板：采用相近颜色的瓷砖修复；</w:t>
      </w:r>
    </w:p>
    <w:p w14:paraId="1126798E">
      <w:pPr>
        <w:pageBreakBefore w:val="0"/>
        <w:numPr>
          <w:ilvl w:val="0"/>
          <w:numId w:val="2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根据党建活动室和职工之家要求墙面布置相应宣传，宣传版面2块4m*1.5米。</w:t>
      </w:r>
    </w:p>
    <w:p w14:paraId="78D1F4D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color w:val="auto"/>
          <w:sz w:val="24"/>
          <w:szCs w:val="24"/>
          <w:lang w:val="en-US" w:eastAsia="zh-CN"/>
        </w:rPr>
        <w:t>3、原工程师站办公室（两间）改PTA包装袋、热值和环保仪器间实验室</w:t>
      </w:r>
    </w:p>
    <w:p w14:paraId="54604C73">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（1）拆除</w:t>
      </w:r>
    </w:p>
    <w:p w14:paraId="20939511">
      <w:pPr>
        <w:pageBreakBefore w:val="0"/>
        <w:numPr>
          <w:ilvl w:val="0"/>
          <w:numId w:val="2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原有设施设备拆除</w:t>
      </w:r>
    </w:p>
    <w:p w14:paraId="6C51334B">
      <w:pPr>
        <w:pageBreakBefore w:val="0"/>
        <w:numPr>
          <w:ilvl w:val="0"/>
          <w:numId w:val="2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原中间隔墙拆除；</w:t>
      </w:r>
    </w:p>
    <w:p w14:paraId="098FA137">
      <w:pPr>
        <w:pageBreakBefore w:val="0"/>
        <w:numPr>
          <w:ilvl w:val="0"/>
          <w:numId w:val="2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原有门拆除（一扇双开门,1扇单开门）</w:t>
      </w:r>
    </w:p>
    <w:p w14:paraId="7760C43F">
      <w:pPr>
        <w:pageBreakBefore w:val="0"/>
        <w:numPr>
          <w:ilvl w:val="0"/>
          <w:numId w:val="2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原有电气拆除</w:t>
      </w:r>
    </w:p>
    <w:p w14:paraId="30EAA549">
      <w:pPr>
        <w:pageBreakBefore w:val="0"/>
        <w:numPr>
          <w:ilvl w:val="0"/>
          <w:numId w:val="2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拆除四台故障的风机盘管（含相应管路）</w:t>
      </w:r>
    </w:p>
    <w:p w14:paraId="4BB8567A">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（2）装饰装修</w:t>
      </w:r>
    </w:p>
    <w:p w14:paraId="0174EED4">
      <w:pPr>
        <w:pageBreakBefore w:val="0"/>
        <w:numPr>
          <w:ilvl w:val="0"/>
          <w:numId w:val="2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新砌隔墙3道，封堵一套门洞；含找平和粉刷；</w:t>
      </w:r>
    </w:p>
    <w:p w14:paraId="4E0DA640">
      <w:pPr>
        <w:pageBreakBefore w:val="0"/>
        <w:numPr>
          <w:ilvl w:val="0"/>
          <w:numId w:val="2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新砌2组隔墙配套圈梁；2组配套隔墙配套构造柱；</w:t>
      </w:r>
    </w:p>
    <w:p w14:paraId="429A921B">
      <w:pPr>
        <w:pageBreakBefore w:val="0"/>
        <w:numPr>
          <w:ilvl w:val="0"/>
          <w:numId w:val="2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原有墙面（吊顶下区域）修补及翻新；</w:t>
      </w:r>
    </w:p>
    <w:p w14:paraId="4215FCD4">
      <w:pPr>
        <w:pageBreakBefore w:val="0"/>
        <w:numPr>
          <w:ilvl w:val="0"/>
          <w:numId w:val="2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sz w:val="24"/>
          <w:szCs w:val="24"/>
          <w:lang w:val="en-US" w:eastAsia="zh-CN"/>
        </w:rPr>
        <w:t>原有吊顶修复；利旧大厅拆下吊顶进行修补</w:t>
      </w:r>
      <w:r>
        <w:rPr>
          <w:rFonts w:hint="eastAsia" w:asciiTheme="minorEastAsia" w:hAnsiTheme="minorEastAsia" w:eastAsiaTheme="minorEastAsia" w:cstheme="minorEastAsia"/>
          <w:b w:val="0"/>
          <w:bCs/>
          <w:color w:val="auto"/>
          <w:sz w:val="24"/>
          <w:szCs w:val="24"/>
          <w:highlight w:val="none"/>
          <w:lang w:val="en-US" w:eastAsia="zh-CN"/>
        </w:rPr>
        <w:t>，含龙骨需要的更换；</w:t>
      </w:r>
    </w:p>
    <w:p w14:paraId="407ED91A">
      <w:pPr>
        <w:pageBreakBefore w:val="0"/>
        <w:numPr>
          <w:ilvl w:val="0"/>
          <w:numId w:val="2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部分区域地板下空，地板填土、砂石50cm，硬化处理；</w:t>
      </w:r>
    </w:p>
    <w:p w14:paraId="4D4E569C">
      <w:pPr>
        <w:pageBreakBefore w:val="0"/>
        <w:numPr>
          <w:ilvl w:val="0"/>
          <w:numId w:val="2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部分区域地板下空，地板填土后，水泥砂浆找平10cm；</w:t>
      </w:r>
    </w:p>
    <w:p w14:paraId="3A2106E5">
      <w:pPr>
        <w:pageBreakBefore w:val="0"/>
        <w:numPr>
          <w:ilvl w:val="0"/>
          <w:numId w:val="2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修复下空地板：采用相近颜色的瓷砖修复；</w:t>
      </w:r>
    </w:p>
    <w:p w14:paraId="2CF89C7F">
      <w:pPr>
        <w:pageBreakBefore w:val="0"/>
        <w:numPr>
          <w:ilvl w:val="0"/>
          <w:numId w:val="2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新装门三樘：单开门，1000×2100mm 2樘；推拉门1000×2100mm 1樘。</w:t>
      </w:r>
    </w:p>
    <w:p w14:paraId="10FC09CF">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（3）电气系统改造</w:t>
      </w:r>
    </w:p>
    <w:p w14:paraId="01E1A897">
      <w:pPr>
        <w:pageBreakBefore w:val="0"/>
        <w:numPr>
          <w:ilvl w:val="0"/>
          <w:numId w:val="3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三个房间分配电箱</w:t>
      </w:r>
    </w:p>
    <w:p w14:paraId="7EA73788">
      <w:pPr>
        <w:pageBreakBefore w:val="0"/>
        <w:numPr>
          <w:ilvl w:val="0"/>
          <w:numId w:val="3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新装照明、插座、开关（墙面装足量电源插座）</w:t>
      </w:r>
    </w:p>
    <w:p w14:paraId="384B0C97">
      <w:pPr>
        <w:pageBreakBefore w:val="0"/>
        <w:numPr>
          <w:ilvl w:val="0"/>
          <w:numId w:val="3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电线线缆、桥架等改造；</w:t>
      </w:r>
    </w:p>
    <w:p w14:paraId="4AFD4EFE">
      <w:pPr>
        <w:pageBreakBefore w:val="0"/>
        <w:numPr>
          <w:ilvl w:val="0"/>
          <w:numId w:val="3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网络点位和线路改造。</w:t>
      </w:r>
    </w:p>
    <w:p w14:paraId="7D5F538F">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（4）暖通系统改造</w:t>
      </w:r>
    </w:p>
    <w:p w14:paraId="6F8BEFEF">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sz w:val="24"/>
          <w:szCs w:val="24"/>
          <w:lang w:val="en-US" w:eastAsia="zh-CN" w:bidi="ar-SA"/>
        </w:rPr>
        <w:t>1)</w:t>
      </w:r>
      <w:r>
        <w:rPr>
          <w:rFonts w:hint="eastAsia" w:asciiTheme="minorEastAsia" w:hAnsiTheme="minorEastAsia" w:eastAsiaTheme="minorEastAsia" w:cstheme="minorEastAsia"/>
          <w:b w:val="0"/>
          <w:bCs/>
          <w:sz w:val="24"/>
          <w:szCs w:val="24"/>
          <w:lang w:val="en-US" w:eastAsia="zh-CN"/>
        </w:rPr>
        <w:t>新装4台风机盘管，包含控制器更换；</w:t>
      </w:r>
    </w:p>
    <w:p w14:paraId="4B398593">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bidi="ar-SA"/>
        </w:rPr>
        <w:t>2)</w:t>
      </w:r>
      <w:r>
        <w:rPr>
          <w:rFonts w:hint="eastAsia" w:asciiTheme="minorEastAsia" w:hAnsiTheme="minorEastAsia" w:eastAsiaTheme="minorEastAsia" w:cstheme="minorEastAsia"/>
          <w:b w:val="0"/>
          <w:bCs/>
          <w:sz w:val="24"/>
          <w:szCs w:val="24"/>
          <w:lang w:val="en-US" w:eastAsia="zh-CN"/>
        </w:rPr>
        <w:t>冷凝排水管路改造；</w:t>
      </w:r>
    </w:p>
    <w:p w14:paraId="3C7729FC">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bidi="ar-SA"/>
        </w:rPr>
        <w:t>3)</w:t>
      </w:r>
      <w:r>
        <w:rPr>
          <w:rFonts w:hint="eastAsia" w:asciiTheme="minorEastAsia" w:hAnsiTheme="minorEastAsia" w:eastAsiaTheme="minorEastAsia" w:cstheme="minorEastAsia"/>
          <w:b w:val="0"/>
          <w:bCs/>
          <w:sz w:val="24"/>
          <w:szCs w:val="24"/>
          <w:lang w:val="en-US" w:eastAsia="zh-CN"/>
        </w:rPr>
        <w:t>风管风口改造：送风管、送回风口改造。</w:t>
      </w:r>
    </w:p>
    <w:p w14:paraId="14C91F84">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（5）台柜系统</w:t>
      </w:r>
    </w:p>
    <w:p w14:paraId="59CF2FE2">
      <w:pPr>
        <w:pageBreakBefore w:val="0"/>
        <w:numPr>
          <w:ilvl w:val="0"/>
          <w:numId w:val="3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i w:val="0"/>
          <w:iCs w:val="0"/>
          <w:color w:val="000000"/>
          <w:kern w:val="0"/>
          <w:sz w:val="24"/>
          <w:szCs w:val="24"/>
          <w:u w:val="none"/>
          <w:lang w:val="en-US" w:eastAsia="zh-CN" w:bidi="ar"/>
        </w:rPr>
      </w:pPr>
      <w:r>
        <w:rPr>
          <w:rFonts w:hint="eastAsia" w:asciiTheme="minorEastAsia" w:hAnsiTheme="minorEastAsia" w:eastAsiaTheme="minorEastAsia" w:cstheme="minorEastAsia"/>
          <w:b w:val="0"/>
          <w:bCs/>
          <w:sz w:val="24"/>
          <w:szCs w:val="24"/>
          <w:lang w:val="en-US" w:eastAsia="zh-CN"/>
        </w:rPr>
        <w:t>PTA包装间：新装</w:t>
      </w:r>
      <w:r>
        <w:rPr>
          <w:rFonts w:hint="eastAsia" w:asciiTheme="minorEastAsia" w:hAnsiTheme="minorEastAsia" w:eastAsiaTheme="minorEastAsia" w:cstheme="minorEastAsia"/>
          <w:b w:val="0"/>
          <w:bCs/>
          <w:i w:val="0"/>
          <w:iCs w:val="0"/>
          <w:color w:val="000000"/>
          <w:kern w:val="0"/>
          <w:sz w:val="24"/>
          <w:szCs w:val="24"/>
          <w:u w:val="none"/>
          <w:lang w:val="en-US" w:eastAsia="zh-CN" w:bidi="ar"/>
        </w:rPr>
        <w:t>1台全钢结构</w:t>
      </w:r>
      <w:r>
        <w:rPr>
          <w:rFonts w:hint="eastAsia" w:asciiTheme="minorEastAsia" w:hAnsiTheme="minorEastAsia" w:eastAsiaTheme="minorEastAsia" w:cstheme="minorEastAsia"/>
          <w:b w:val="0"/>
          <w:bCs/>
          <w:sz w:val="24"/>
          <w:szCs w:val="24"/>
          <w:lang w:val="en-US" w:eastAsia="zh-CN"/>
        </w:rPr>
        <w:t>边台</w:t>
      </w:r>
      <w:r>
        <w:rPr>
          <w:rFonts w:hint="eastAsia" w:asciiTheme="minorEastAsia" w:hAnsiTheme="minorEastAsia" w:eastAsiaTheme="minorEastAsia" w:cstheme="minorEastAsia"/>
          <w:b w:val="0"/>
          <w:bCs/>
          <w:i w:val="0"/>
          <w:iCs w:val="0"/>
          <w:color w:val="000000"/>
          <w:kern w:val="0"/>
          <w:sz w:val="24"/>
          <w:szCs w:val="24"/>
          <w:u w:val="none"/>
          <w:lang w:val="en-US" w:eastAsia="zh-CN" w:bidi="ar"/>
        </w:rPr>
        <w:t>3000*750*850，2台边台利旧中控大理石台子1600*850*750；</w:t>
      </w:r>
    </w:p>
    <w:p w14:paraId="330AD967">
      <w:pPr>
        <w:pStyle w:val="10"/>
        <w:pageBreakBefore w:val="0"/>
        <w:numPr>
          <w:ilvl w:val="0"/>
          <w:numId w:val="3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i w:val="0"/>
          <w:iCs w:val="0"/>
          <w:color w:val="000000"/>
          <w:kern w:val="0"/>
          <w:sz w:val="24"/>
          <w:szCs w:val="24"/>
          <w:u w:val="none"/>
          <w:lang w:val="en-US" w:eastAsia="zh-CN" w:bidi="ar"/>
        </w:rPr>
      </w:pPr>
      <w:r>
        <w:rPr>
          <w:rFonts w:hint="eastAsia" w:asciiTheme="minorEastAsia" w:hAnsiTheme="minorEastAsia" w:eastAsiaTheme="minorEastAsia" w:cstheme="minorEastAsia"/>
          <w:b w:val="0"/>
          <w:bCs/>
          <w:i w:val="0"/>
          <w:iCs w:val="0"/>
          <w:color w:val="000000"/>
          <w:kern w:val="0"/>
          <w:sz w:val="24"/>
          <w:szCs w:val="24"/>
          <w:u w:val="none"/>
          <w:lang w:val="en-US" w:eastAsia="zh-CN" w:bidi="ar"/>
        </w:rPr>
        <w:t>热值分析室：</w:t>
      </w:r>
      <w:r>
        <w:rPr>
          <w:rFonts w:hint="eastAsia" w:asciiTheme="minorEastAsia" w:hAnsiTheme="minorEastAsia" w:eastAsiaTheme="minorEastAsia" w:cstheme="minorEastAsia"/>
          <w:b w:val="0"/>
          <w:bCs/>
          <w:sz w:val="24"/>
          <w:szCs w:val="24"/>
          <w:lang w:val="en-US" w:eastAsia="zh-CN"/>
        </w:rPr>
        <w:t>新装</w:t>
      </w:r>
      <w:r>
        <w:rPr>
          <w:rFonts w:hint="eastAsia" w:asciiTheme="minorEastAsia" w:hAnsiTheme="minorEastAsia" w:eastAsiaTheme="minorEastAsia" w:cstheme="minorEastAsia"/>
          <w:b w:val="0"/>
          <w:bCs/>
          <w:i w:val="0"/>
          <w:iCs w:val="0"/>
          <w:color w:val="000000"/>
          <w:kern w:val="0"/>
          <w:sz w:val="24"/>
          <w:szCs w:val="24"/>
          <w:u w:val="none"/>
          <w:lang w:val="en-US" w:eastAsia="zh-CN" w:bidi="ar"/>
        </w:rPr>
        <w:t>2台全钢结构</w:t>
      </w:r>
      <w:r>
        <w:rPr>
          <w:rFonts w:hint="eastAsia" w:asciiTheme="minorEastAsia" w:hAnsiTheme="minorEastAsia" w:eastAsiaTheme="minorEastAsia" w:cstheme="minorEastAsia"/>
          <w:b w:val="0"/>
          <w:bCs/>
          <w:sz w:val="24"/>
          <w:szCs w:val="24"/>
          <w:lang w:val="en-US" w:eastAsia="zh-CN"/>
        </w:rPr>
        <w:t>边台</w:t>
      </w:r>
      <w:r>
        <w:rPr>
          <w:rFonts w:hint="eastAsia" w:asciiTheme="minorEastAsia" w:hAnsiTheme="minorEastAsia" w:eastAsiaTheme="minorEastAsia" w:cstheme="minorEastAsia"/>
          <w:b w:val="0"/>
          <w:bCs/>
          <w:i w:val="0"/>
          <w:iCs w:val="0"/>
          <w:color w:val="000000"/>
          <w:kern w:val="0"/>
          <w:sz w:val="24"/>
          <w:szCs w:val="24"/>
          <w:u w:val="none"/>
          <w:lang w:val="en-US" w:eastAsia="zh-CN" w:bidi="ar"/>
        </w:rPr>
        <w:t>3280*800*85</w:t>
      </w:r>
      <w:r>
        <w:rPr>
          <w:rFonts w:hint="eastAsia" w:asciiTheme="minorEastAsia" w:hAnsiTheme="minorEastAsia" w:eastAsiaTheme="minorEastAsia" w:cstheme="minorEastAsia"/>
          <w:b w:val="0"/>
          <w:bCs/>
          <w:i w:val="0"/>
          <w:iCs w:val="0"/>
          <w:color w:val="auto"/>
          <w:kern w:val="0"/>
          <w:sz w:val="24"/>
          <w:szCs w:val="24"/>
          <w:u w:val="none"/>
          <w:lang w:val="en-US" w:eastAsia="zh-CN" w:bidi="ar"/>
        </w:rPr>
        <w:t>0；</w:t>
      </w:r>
      <w:r>
        <w:rPr>
          <w:rFonts w:hint="eastAsia" w:asciiTheme="minorEastAsia" w:hAnsiTheme="minorEastAsia" w:eastAsiaTheme="minorEastAsia" w:cstheme="minorEastAsia"/>
          <w:b w:val="0"/>
          <w:bCs/>
          <w:i w:val="0"/>
          <w:iCs w:val="0"/>
          <w:color w:val="auto"/>
          <w:kern w:val="0"/>
          <w:sz w:val="24"/>
          <w:szCs w:val="24"/>
          <w:highlight w:val="none"/>
          <w:u w:val="none"/>
          <w:lang w:val="en-US" w:eastAsia="zh-CN" w:bidi="ar"/>
        </w:rPr>
        <w:t>边台配置移动柜；</w:t>
      </w:r>
    </w:p>
    <w:p w14:paraId="071A4853">
      <w:pPr>
        <w:pStyle w:val="11"/>
        <w:pageBreakBefore w:val="0"/>
        <w:numPr>
          <w:ilvl w:val="0"/>
          <w:numId w:val="3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val="0"/>
          <w:bCs/>
          <w:i w:val="0"/>
          <w:iCs w:val="0"/>
          <w:color w:val="000000"/>
          <w:kern w:val="0"/>
          <w:sz w:val="24"/>
          <w:szCs w:val="24"/>
          <w:u w:val="none"/>
          <w:lang w:val="en-US" w:eastAsia="zh-CN" w:bidi="ar"/>
        </w:rPr>
        <w:t>环保仪器间：</w:t>
      </w:r>
      <w:r>
        <w:rPr>
          <w:rFonts w:hint="eastAsia" w:asciiTheme="minorEastAsia" w:hAnsiTheme="minorEastAsia" w:eastAsiaTheme="minorEastAsia" w:cstheme="minorEastAsia"/>
          <w:b w:val="0"/>
          <w:bCs/>
          <w:sz w:val="24"/>
          <w:szCs w:val="24"/>
          <w:lang w:val="en-US" w:eastAsia="zh-CN"/>
        </w:rPr>
        <w:t>利旧中控大理石台边台4800*850*750</w:t>
      </w:r>
      <w:r>
        <w:rPr>
          <w:rFonts w:hint="eastAsia" w:asciiTheme="minorEastAsia" w:hAnsiTheme="minorEastAsia" w:eastAsiaTheme="minorEastAsia" w:cstheme="minorEastAsia"/>
          <w:i w:val="0"/>
          <w:iCs w:val="0"/>
          <w:color w:val="000000"/>
          <w:kern w:val="0"/>
          <w:sz w:val="24"/>
          <w:szCs w:val="24"/>
          <w:u w:val="none"/>
          <w:lang w:val="en-US" w:eastAsia="zh-CN" w:bidi="ar"/>
        </w:rPr>
        <w:t>，另一面墙放3台重型全钢结构货架2000*500*2000；</w:t>
      </w:r>
    </w:p>
    <w:p w14:paraId="1EB87D9B">
      <w:pPr>
        <w:pageBreakBefore w:val="0"/>
        <w:numPr>
          <w:ilvl w:val="0"/>
          <w:numId w:val="3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台面配套足量电源插座和网络插座。</w:t>
      </w:r>
    </w:p>
    <w:p w14:paraId="6DBBD76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（6）供气系统</w:t>
      </w:r>
    </w:p>
    <w:p w14:paraId="274A778D">
      <w:pPr>
        <w:pageBreakBefore w:val="0"/>
        <w:numPr>
          <w:ilvl w:val="0"/>
          <w:numId w:val="3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热值室配备两套氧气终端面板及其相应管路系统，氧气使用压力为4MPa；</w:t>
      </w:r>
    </w:p>
    <w:p w14:paraId="7FED8279">
      <w:pPr>
        <w:pStyle w:val="10"/>
        <w:pageBreakBefore w:val="0"/>
        <w:numPr>
          <w:ilvl w:val="0"/>
          <w:numId w:val="3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val="0"/>
          <w:bCs/>
          <w:spacing w:val="0"/>
          <w:sz w:val="24"/>
          <w:szCs w:val="24"/>
          <w:lang w:val="en-US" w:eastAsia="zh-CN" w:bidi="ar-SA"/>
        </w:rPr>
        <w:t>热值间增加氧气报警系统。</w:t>
      </w:r>
    </w:p>
    <w:p w14:paraId="718A23A7">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（7）纯水系统</w:t>
      </w:r>
    </w:p>
    <w:p w14:paraId="33C3686A">
      <w:pPr>
        <w:pageBreakBefore w:val="0"/>
        <w:kinsoku/>
        <w:wordWrap/>
        <w:overflowPunct/>
        <w:topLinePunct w:val="0"/>
        <w:bidi w:val="0"/>
        <w:spacing w:beforeAutospacing="0" w:afterAutospacing="0" w:line="400" w:lineRule="exact"/>
        <w:ind w:left="0" w:leftChars="0" w:right="0" w:firstLine="0" w:firstLineChars="0"/>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PTA包装袋分析区域配两组纯水管，预留单管配角阀；配套下水道。</w:t>
      </w:r>
    </w:p>
    <w:p w14:paraId="3C5F176E">
      <w:pPr>
        <w:pageBreakBefore w:val="0"/>
        <w:kinsoku/>
        <w:wordWrap/>
        <w:overflowPunct/>
        <w:topLinePunct w:val="0"/>
        <w:bidi w:val="0"/>
        <w:spacing w:beforeAutospacing="0" w:afterAutospacing="0" w:line="400" w:lineRule="exact"/>
        <w:ind w:left="0" w:leftChars="0" w:right="0" w:firstLine="0" w:firstLineChars="0"/>
        <w:rPr>
          <w:rFonts w:hint="default"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bCs w:val="0"/>
          <w:color w:val="auto"/>
          <w:sz w:val="24"/>
          <w:szCs w:val="24"/>
          <w:lang w:val="en-US" w:eastAsia="zh-CN"/>
        </w:rPr>
        <w:t>4、原机柜间改备品备件间、玻璃器皿间、试剂间</w:t>
      </w:r>
    </w:p>
    <w:p w14:paraId="02277DAB">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（1）拆除</w:t>
      </w:r>
    </w:p>
    <w:p w14:paraId="482638DD">
      <w:pPr>
        <w:pageBreakBefore w:val="0"/>
        <w:numPr>
          <w:ilvl w:val="0"/>
          <w:numId w:val="3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原有架高地板拆除；</w:t>
      </w:r>
    </w:p>
    <w:p w14:paraId="6CF259F7">
      <w:pPr>
        <w:pageBreakBefore w:val="0"/>
        <w:numPr>
          <w:ilvl w:val="0"/>
          <w:numId w:val="3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原有轻质隔墙拆除</w:t>
      </w:r>
    </w:p>
    <w:p w14:paraId="160CB0FE">
      <w:pPr>
        <w:pageBreakBefore w:val="0"/>
        <w:numPr>
          <w:ilvl w:val="0"/>
          <w:numId w:val="3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原有1樘门拆除</w:t>
      </w:r>
    </w:p>
    <w:p w14:paraId="767AF098">
      <w:pPr>
        <w:pageBreakBefore w:val="0"/>
        <w:numPr>
          <w:ilvl w:val="0"/>
          <w:numId w:val="3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原有电气拆除</w:t>
      </w:r>
    </w:p>
    <w:p w14:paraId="2288B643">
      <w:pPr>
        <w:pageBreakBefore w:val="0"/>
        <w:numPr>
          <w:ilvl w:val="0"/>
          <w:numId w:val="3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墙体新开1个门洞（试剂间往分析大厅）</w:t>
      </w:r>
    </w:p>
    <w:p w14:paraId="0E675327">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（2）装饰装修</w:t>
      </w:r>
    </w:p>
    <w:p w14:paraId="52231A57">
      <w:pPr>
        <w:pageBreakBefore w:val="0"/>
        <w:numPr>
          <w:ilvl w:val="0"/>
          <w:numId w:val="3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新砌隔墙2道，封堵两侧墙上的回风洞；封堵原1樘门的门洞；含找平和粉刷；东侧一面墙存在漏水进行查漏封堵；</w:t>
      </w:r>
    </w:p>
    <w:p w14:paraId="7030E729">
      <w:pPr>
        <w:pageBreakBefore w:val="0"/>
        <w:numPr>
          <w:ilvl w:val="0"/>
          <w:numId w:val="3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新砌2组隔墙配套圈梁；新砌墙体构造柱；</w:t>
      </w:r>
    </w:p>
    <w:p w14:paraId="3DA0BB3A">
      <w:pPr>
        <w:pageBreakBefore w:val="0"/>
        <w:numPr>
          <w:ilvl w:val="0"/>
          <w:numId w:val="3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新装1樘单开门、1樘双开门（门下部开百叶）；</w:t>
      </w:r>
    </w:p>
    <w:p w14:paraId="158AD056">
      <w:pPr>
        <w:pageBreakBefore w:val="0"/>
        <w:numPr>
          <w:ilvl w:val="0"/>
          <w:numId w:val="3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原有地面填土、硬化处理；表面水泥砂浆找平；</w:t>
      </w:r>
    </w:p>
    <w:p w14:paraId="543D7E10">
      <w:pPr>
        <w:pageBreakBefore w:val="0"/>
        <w:numPr>
          <w:ilvl w:val="0"/>
          <w:numId w:val="3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修复下空地板：采用相近颜色的瓷砖修复</w:t>
      </w:r>
      <w:r>
        <w:rPr>
          <w:rFonts w:hint="eastAsia" w:asciiTheme="minorEastAsia" w:hAnsiTheme="minorEastAsia" w:eastAsiaTheme="minorEastAsia" w:cstheme="minorEastAsia"/>
          <w:b w:val="0"/>
          <w:bCs/>
          <w:color w:val="auto"/>
          <w:sz w:val="24"/>
          <w:szCs w:val="24"/>
          <w:lang w:val="en-US" w:eastAsia="zh-CN"/>
        </w:rPr>
        <w:t>；</w:t>
      </w:r>
    </w:p>
    <w:p w14:paraId="4A638F61">
      <w:pPr>
        <w:pageBreakBefore w:val="0"/>
        <w:numPr>
          <w:ilvl w:val="0"/>
          <w:numId w:val="3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原有吊顶修复；利旧大厅拆下吊顶进行修补；</w:t>
      </w:r>
    </w:p>
    <w:p w14:paraId="21BD859F">
      <w:pPr>
        <w:pageBreakBefore w:val="0"/>
        <w:numPr>
          <w:ilvl w:val="0"/>
          <w:numId w:val="3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原有墙面（吊顶下区域）修补及翻新</w:t>
      </w:r>
    </w:p>
    <w:p w14:paraId="13784B20">
      <w:pPr>
        <w:pageBreakBefore w:val="0"/>
        <w:numPr>
          <w:ilvl w:val="0"/>
          <w:numId w:val="3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药品间地面出线处制作一个线缆竖井（含盖板）</w:t>
      </w:r>
    </w:p>
    <w:p w14:paraId="31D8306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（3）电气系统改造</w:t>
      </w:r>
    </w:p>
    <w:p w14:paraId="144AECB9">
      <w:pPr>
        <w:pageBreakBefore w:val="0"/>
        <w:numPr>
          <w:ilvl w:val="0"/>
          <w:numId w:val="35"/>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三个房间分配电箱</w:t>
      </w:r>
    </w:p>
    <w:p w14:paraId="50598787">
      <w:pPr>
        <w:pageBreakBefore w:val="0"/>
        <w:numPr>
          <w:ilvl w:val="0"/>
          <w:numId w:val="35"/>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新装照明、插座、开关</w:t>
      </w:r>
    </w:p>
    <w:p w14:paraId="3E810059">
      <w:pPr>
        <w:pageBreakBefore w:val="0"/>
        <w:numPr>
          <w:ilvl w:val="0"/>
          <w:numId w:val="35"/>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电线线缆、桥架等改造；</w:t>
      </w:r>
    </w:p>
    <w:p w14:paraId="1EE4CE7A">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（4）暖通系统改造</w:t>
      </w:r>
    </w:p>
    <w:p w14:paraId="7D4BD3D7">
      <w:pPr>
        <w:pageBreakBefore w:val="0"/>
        <w:numPr>
          <w:ilvl w:val="0"/>
          <w:numId w:val="3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根据新的布局调整风管；</w:t>
      </w:r>
    </w:p>
    <w:p w14:paraId="36D0C003">
      <w:pPr>
        <w:pageBreakBefore w:val="0"/>
        <w:numPr>
          <w:ilvl w:val="0"/>
          <w:numId w:val="3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备品备件间、玻璃器皿间</w:t>
      </w:r>
      <w:r>
        <w:rPr>
          <w:rFonts w:hint="eastAsia" w:asciiTheme="minorEastAsia" w:hAnsiTheme="minorEastAsia" w:eastAsiaTheme="minorEastAsia" w:cstheme="minorEastAsia"/>
          <w:b w:val="0"/>
          <w:bCs/>
          <w:sz w:val="24"/>
          <w:szCs w:val="24"/>
          <w:lang w:val="en-US" w:eastAsia="zh-CN"/>
        </w:rPr>
        <w:t>重新布置送风口，调小风量，药品储物间送风口封堵；</w:t>
      </w:r>
    </w:p>
    <w:p w14:paraId="275305BC">
      <w:pPr>
        <w:pageBreakBefore w:val="0"/>
        <w:numPr>
          <w:ilvl w:val="0"/>
          <w:numId w:val="3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药品储物间排风改造（包含药品柜排风和该房间排风）；</w:t>
      </w:r>
    </w:p>
    <w:p w14:paraId="0F9CF419">
      <w:pPr>
        <w:pageBreakBefore w:val="0"/>
        <w:numPr>
          <w:ilvl w:val="0"/>
          <w:numId w:val="3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药品储物间门的下部加装百叶新风口；</w:t>
      </w:r>
    </w:p>
    <w:p w14:paraId="37FD0134">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（5）台柜系统</w:t>
      </w:r>
    </w:p>
    <w:p w14:paraId="140E38A4">
      <w:pPr>
        <w:pageBreakBefore w:val="0"/>
        <w:numPr>
          <w:ilvl w:val="0"/>
          <w:numId w:val="3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新装排风药品柜8个，；</w:t>
      </w:r>
    </w:p>
    <w:p w14:paraId="304FAF38">
      <w:pPr>
        <w:pageBreakBefore w:val="0"/>
        <w:numPr>
          <w:ilvl w:val="0"/>
          <w:numId w:val="3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新装2米重型货架12个；</w:t>
      </w:r>
    </w:p>
    <w:p w14:paraId="6E5ED47D">
      <w:pPr>
        <w:pageBreakBefore w:val="0"/>
        <w:numPr>
          <w:ilvl w:val="0"/>
          <w:numId w:val="3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利旧柜子数量见附件一图示，需进行搬迁安装，并对损坏的柜子进行修复。</w:t>
      </w:r>
    </w:p>
    <w:p w14:paraId="3514BBAC">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5、两办公室修改</w:t>
      </w:r>
    </w:p>
    <w:p w14:paraId="0D2E4C3F">
      <w:pPr>
        <w:pageBreakBefore w:val="0"/>
        <w:numPr>
          <w:ilvl w:val="0"/>
          <w:numId w:val="3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新装扣板吊顶；</w:t>
      </w:r>
    </w:p>
    <w:p w14:paraId="466B947A">
      <w:pPr>
        <w:pageBreakBefore w:val="0"/>
        <w:numPr>
          <w:ilvl w:val="0"/>
          <w:numId w:val="3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新装照明电气；</w:t>
      </w:r>
    </w:p>
    <w:p w14:paraId="7875E07B">
      <w:pPr>
        <w:pageBreakBefore w:val="0"/>
        <w:numPr>
          <w:ilvl w:val="0"/>
          <w:numId w:val="3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新装墙面插座和网络插座线路；</w:t>
      </w:r>
    </w:p>
    <w:p w14:paraId="4D372C44">
      <w:pPr>
        <w:pageBreakBefore w:val="0"/>
        <w:numPr>
          <w:ilvl w:val="0"/>
          <w:numId w:val="3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新装办公桌椅、员工椅和资料柜；</w:t>
      </w:r>
    </w:p>
    <w:p w14:paraId="00A8F72D">
      <w:pPr>
        <w:pageBreakBefore w:val="0"/>
        <w:numPr>
          <w:ilvl w:val="0"/>
          <w:numId w:val="3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隔墙门门封堵，两间房间新增入户门。墙面粉刷。</w:t>
      </w:r>
    </w:p>
    <w:p w14:paraId="1D9B4B21">
      <w:pPr>
        <w:pageBreakBefore w:val="0"/>
        <w:numPr>
          <w:ilvl w:val="0"/>
          <w:numId w:val="3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拆除两台故障盘管空调，新装2台风机盘管</w:t>
      </w:r>
      <w:r>
        <w:rPr>
          <w:rFonts w:hint="eastAsia" w:asciiTheme="minorEastAsia" w:hAnsiTheme="minorEastAsia" w:eastAsiaTheme="minorEastAsia" w:cstheme="minorEastAsia"/>
          <w:b w:val="0"/>
          <w:bCs/>
          <w:color w:val="auto"/>
          <w:sz w:val="24"/>
          <w:szCs w:val="24"/>
          <w:lang w:val="en-US" w:eastAsia="zh-CN"/>
        </w:rPr>
        <w:t>，</w:t>
      </w:r>
      <w:r>
        <w:rPr>
          <w:rFonts w:hint="eastAsia" w:asciiTheme="minorEastAsia" w:hAnsiTheme="minorEastAsia" w:eastAsiaTheme="minorEastAsia" w:cstheme="minorEastAsia"/>
          <w:b w:val="0"/>
          <w:bCs/>
          <w:color w:val="auto"/>
          <w:sz w:val="24"/>
          <w:szCs w:val="24"/>
          <w:highlight w:val="none"/>
          <w:lang w:val="en-US" w:eastAsia="zh-CN"/>
        </w:rPr>
        <w:t>包含控制器更换；</w:t>
      </w:r>
    </w:p>
    <w:p w14:paraId="0A7D3EAF">
      <w:pPr>
        <w:pageBreakBefore w:val="0"/>
        <w:numPr>
          <w:ilvl w:val="0"/>
          <w:numId w:val="3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冷凝排水管路改造。</w:t>
      </w:r>
    </w:p>
    <w:p w14:paraId="4CB5CCCC">
      <w:pPr>
        <w:pageBreakBefore w:val="0"/>
        <w:numPr>
          <w:ilvl w:val="0"/>
          <w:numId w:val="3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原有线槽填土、硬化处理、表面水泥砂浆找平；</w:t>
      </w:r>
    </w:p>
    <w:p w14:paraId="4B296D9D">
      <w:pPr>
        <w:pageBreakBefore w:val="0"/>
        <w:numPr>
          <w:ilvl w:val="0"/>
          <w:numId w:val="3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修复下空地板：采用相近颜色的瓷砖修复。</w:t>
      </w:r>
    </w:p>
    <w:p w14:paraId="64F4B21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lang w:val="en-US" w:eastAsia="zh-CN"/>
        </w:rPr>
        <w:t>6、原休息室改为样品流转室</w:t>
      </w:r>
    </w:p>
    <w:p w14:paraId="7278262A">
      <w:pPr>
        <w:pageBreakBefore w:val="0"/>
        <w:numPr>
          <w:ilvl w:val="0"/>
          <w:numId w:val="3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新加圆凳4把，利旧文件柜4个；</w:t>
      </w:r>
    </w:p>
    <w:p w14:paraId="6E6B81C9">
      <w:pPr>
        <w:pageBreakBefore w:val="0"/>
        <w:numPr>
          <w:ilvl w:val="0"/>
          <w:numId w:val="3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拆除故障盘管空调，新装1台风机盘管；</w:t>
      </w:r>
    </w:p>
    <w:p w14:paraId="0AC74082">
      <w:pPr>
        <w:pStyle w:val="10"/>
        <w:pageBreakBefore w:val="0"/>
        <w:numPr>
          <w:ilvl w:val="0"/>
          <w:numId w:val="3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val="0"/>
          <w:bCs/>
          <w:sz w:val="24"/>
          <w:szCs w:val="24"/>
          <w:lang w:val="en-US" w:eastAsia="zh-CN"/>
        </w:rPr>
        <w:t>冷凝排水管路改造。</w:t>
      </w:r>
    </w:p>
    <w:p w14:paraId="7789C8AA">
      <w:pPr>
        <w:pStyle w:val="10"/>
        <w:pageBreakBefore w:val="0"/>
        <w:numPr>
          <w:ilvl w:val="0"/>
          <w:numId w:val="3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val="0"/>
          <w:bCs/>
          <w:sz w:val="24"/>
          <w:szCs w:val="24"/>
          <w:lang w:val="en-US" w:eastAsia="zh-CN"/>
        </w:rPr>
        <w:t>吊顶空调风口安装，空调控制室故障更换，吊顶修复。</w:t>
      </w:r>
    </w:p>
    <w:p w14:paraId="0ED13304">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8、主操作中心改办公室和分析仪器大厅</w:t>
      </w:r>
    </w:p>
    <w:p w14:paraId="5B383607">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（1）拆除</w:t>
      </w:r>
    </w:p>
    <w:p w14:paraId="2A3DB533">
      <w:pPr>
        <w:pageBreakBefore w:val="0"/>
        <w:numPr>
          <w:ilvl w:val="0"/>
          <w:numId w:val="4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原墙面消音板拆除；</w:t>
      </w:r>
    </w:p>
    <w:p w14:paraId="2C5F0EE4">
      <w:pPr>
        <w:pageBreakBefore w:val="0"/>
        <w:numPr>
          <w:ilvl w:val="0"/>
          <w:numId w:val="4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原有设施设备拆除；</w:t>
      </w:r>
    </w:p>
    <w:p w14:paraId="2C97DE82">
      <w:pPr>
        <w:pageBreakBefore w:val="0"/>
        <w:numPr>
          <w:ilvl w:val="0"/>
          <w:numId w:val="4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原有电气、电线拆除；</w:t>
      </w:r>
    </w:p>
    <w:p w14:paraId="050C2F0E">
      <w:pPr>
        <w:pStyle w:val="10"/>
        <w:pageBreakBefore w:val="0"/>
        <w:numPr>
          <w:ilvl w:val="0"/>
          <w:numId w:val="4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val="0"/>
          <w:bCs/>
          <w:sz w:val="24"/>
          <w:szCs w:val="24"/>
          <w:lang w:val="en-US" w:eastAsia="zh-CN"/>
        </w:rPr>
        <w:t>原有吊顶拆除。拆下石膏板吊顶利旧到库房和小分析间。</w:t>
      </w:r>
    </w:p>
    <w:p w14:paraId="4DB2B1AD">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（2）装饰装修</w:t>
      </w:r>
    </w:p>
    <w:p w14:paraId="6A10B65E">
      <w:pPr>
        <w:pageBreakBefore w:val="0"/>
        <w:numPr>
          <w:ilvl w:val="0"/>
          <w:numId w:val="4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原有线槽填土、硬化处理，水泥砂浆找平；</w:t>
      </w:r>
    </w:p>
    <w:p w14:paraId="5A0342C9">
      <w:pPr>
        <w:pageBreakBefore w:val="0"/>
        <w:numPr>
          <w:ilvl w:val="0"/>
          <w:numId w:val="4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修复下空地板：采用相近颜色的瓷砖修复；</w:t>
      </w:r>
    </w:p>
    <w:p w14:paraId="3BAD8757">
      <w:pPr>
        <w:pageBreakBefore w:val="0"/>
        <w:numPr>
          <w:ilvl w:val="0"/>
          <w:numId w:val="4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新砌隔墙1道，配套墙体构造高1米，</w:t>
      </w:r>
      <w:r>
        <w:rPr>
          <w:rFonts w:hint="eastAsia" w:asciiTheme="minorEastAsia" w:hAnsiTheme="minorEastAsia" w:eastAsiaTheme="minorEastAsia" w:cstheme="minorEastAsia"/>
          <w:i w:val="0"/>
          <w:iCs w:val="0"/>
          <w:color w:val="000000"/>
          <w:kern w:val="0"/>
          <w:sz w:val="24"/>
          <w:szCs w:val="24"/>
          <w:u w:val="none"/>
          <w:lang w:val="en-US" w:eastAsia="zh-CN" w:bidi="ar"/>
        </w:rPr>
        <w:t>上部</w:t>
      </w:r>
      <w:r>
        <w:rPr>
          <w:rFonts w:hint="eastAsia" w:asciiTheme="minorEastAsia" w:hAnsiTheme="minorEastAsia" w:eastAsiaTheme="minorEastAsia" w:cstheme="minorEastAsia"/>
          <w:b w:val="0"/>
          <w:bCs w:val="0"/>
          <w:i w:val="0"/>
          <w:iCs w:val="0"/>
          <w:color w:val="auto"/>
          <w:kern w:val="0"/>
          <w:sz w:val="24"/>
          <w:szCs w:val="24"/>
          <w:highlight w:val="none"/>
          <w:u w:val="none"/>
          <w:lang w:val="en-US" w:eastAsia="zh-CN" w:bidi="ar"/>
        </w:rPr>
        <w:t>采用不锈钢框架和钢化玻璃隔断</w:t>
      </w:r>
      <w:r>
        <w:rPr>
          <w:rFonts w:hint="eastAsia" w:asciiTheme="minorEastAsia" w:hAnsiTheme="minorEastAsia" w:eastAsiaTheme="minorEastAsia" w:cstheme="minorEastAsia"/>
          <w:i w:val="0"/>
          <w:iCs w:val="0"/>
          <w:color w:val="000000"/>
          <w:kern w:val="0"/>
          <w:sz w:val="24"/>
          <w:szCs w:val="24"/>
          <w:u w:val="none"/>
          <w:lang w:val="en-US" w:eastAsia="zh-CN" w:bidi="ar"/>
        </w:rPr>
        <w:t>；</w:t>
      </w:r>
    </w:p>
    <w:p w14:paraId="1F93DD0A">
      <w:pPr>
        <w:pageBreakBefore w:val="0"/>
        <w:numPr>
          <w:ilvl w:val="0"/>
          <w:numId w:val="4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w:t>
      </w:r>
      <w:r>
        <w:rPr>
          <w:rFonts w:hint="eastAsia" w:asciiTheme="minorEastAsia" w:hAnsiTheme="minorEastAsia" w:eastAsiaTheme="minorEastAsia" w:cstheme="minorEastAsia"/>
          <w:b w:val="0"/>
          <w:bCs/>
          <w:color w:val="auto"/>
          <w:sz w:val="24"/>
          <w:szCs w:val="24"/>
          <w:lang w:val="en-US" w:eastAsia="zh-CN"/>
        </w:rPr>
        <w:t>装</w:t>
      </w:r>
      <w:r>
        <w:rPr>
          <w:rFonts w:hint="eastAsia" w:asciiTheme="minorEastAsia" w:hAnsiTheme="minorEastAsia" w:eastAsiaTheme="minorEastAsia" w:cstheme="minorEastAsia"/>
          <w:b w:val="0"/>
          <w:bCs/>
          <w:color w:val="auto"/>
          <w:sz w:val="24"/>
          <w:szCs w:val="24"/>
          <w:highlight w:val="none"/>
          <w:lang w:val="en-US" w:eastAsia="zh-CN"/>
        </w:rPr>
        <w:t>不锈钢钢化玻璃</w:t>
      </w:r>
      <w:r>
        <w:rPr>
          <w:rFonts w:hint="eastAsia" w:asciiTheme="minorEastAsia" w:hAnsiTheme="minorEastAsia" w:eastAsiaTheme="minorEastAsia" w:cstheme="minorEastAsia"/>
          <w:b w:val="0"/>
          <w:bCs/>
          <w:color w:val="auto"/>
          <w:sz w:val="24"/>
          <w:szCs w:val="24"/>
          <w:lang w:val="en-US" w:eastAsia="zh-CN"/>
        </w:rPr>
        <w:t>单</w:t>
      </w:r>
      <w:r>
        <w:rPr>
          <w:rFonts w:hint="eastAsia" w:asciiTheme="minorEastAsia" w:hAnsiTheme="minorEastAsia" w:eastAsiaTheme="minorEastAsia" w:cstheme="minorEastAsia"/>
          <w:b w:val="0"/>
          <w:bCs/>
          <w:sz w:val="24"/>
          <w:szCs w:val="24"/>
          <w:lang w:val="en-US" w:eastAsia="zh-CN"/>
        </w:rPr>
        <w:t>开门一樘；</w:t>
      </w:r>
    </w:p>
    <w:p w14:paraId="1314D207">
      <w:pPr>
        <w:pageBreakBefore w:val="0"/>
        <w:numPr>
          <w:ilvl w:val="0"/>
          <w:numId w:val="4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新装方通吊顶，吊装款式和颜色与试验台颜色要协调美观；</w:t>
      </w:r>
    </w:p>
    <w:p w14:paraId="3DFB1A1D">
      <w:pPr>
        <w:pageBreakBefore w:val="0"/>
        <w:numPr>
          <w:ilvl w:val="0"/>
          <w:numId w:val="4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南面墙回风口封堵，四面墙粉刷。</w:t>
      </w:r>
    </w:p>
    <w:p w14:paraId="1260D729">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（3）电气系统改造</w:t>
      </w:r>
    </w:p>
    <w:p w14:paraId="0A09C150">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1）强电系统</w:t>
      </w:r>
    </w:p>
    <w:p w14:paraId="59CD9118">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val="0"/>
          <w:bCs/>
          <w:sz w:val="24"/>
          <w:szCs w:val="24"/>
          <w:lang w:val="en-US" w:eastAsia="zh-CN"/>
        </w:rPr>
        <w:t>每个分析台面10KW额定功率计算用电量，选择合适的动力柜和电线</w:t>
      </w:r>
      <w:r>
        <w:rPr>
          <w:rFonts w:hint="eastAsia" w:asciiTheme="minorEastAsia" w:hAnsiTheme="minorEastAsia" w:eastAsiaTheme="minorEastAsia" w:cstheme="minorEastAsia"/>
          <w:b w:val="0"/>
          <w:bCs/>
          <w:color w:val="auto"/>
          <w:sz w:val="24"/>
          <w:szCs w:val="24"/>
          <w:lang w:val="en-US" w:eastAsia="zh-CN"/>
        </w:rPr>
        <w:t>线缆。配电房留有足够原低压配电抽屉柜，满足4个低压回路，每路容量为380ACV,150A。电源按三级控制，配电房配电抽屉柜为一级控制，分析间落地动力柜为二级控制，每个分析台配置小配电箱为三级控制。</w:t>
      </w:r>
    </w:p>
    <w:p w14:paraId="149F76DE">
      <w:pPr>
        <w:pageBreakBefore w:val="0"/>
        <w:numPr>
          <w:ilvl w:val="0"/>
          <w:numId w:val="4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新装落地动力配电柜4台，3台用于办公室、分析大厅及分析小间所有分析台面的用电,1台用于排风系统；</w:t>
      </w:r>
    </w:p>
    <w:p w14:paraId="7071F9D3">
      <w:pPr>
        <w:pageBreakBefore w:val="0"/>
        <w:numPr>
          <w:ilvl w:val="0"/>
          <w:numId w:val="4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实验室各仪器台或中央台下安装小配电箱；</w:t>
      </w:r>
    </w:p>
    <w:p w14:paraId="6A641181">
      <w:pPr>
        <w:pageBreakBefore w:val="0"/>
        <w:numPr>
          <w:ilvl w:val="0"/>
          <w:numId w:val="4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新装照明、开关、插座、电线线缆（包含配电房到分析间的落地动力柜所用电缆）、线管、桥架；</w:t>
      </w:r>
    </w:p>
    <w:p w14:paraId="65A205E1">
      <w:pPr>
        <w:pageBreakBefore w:val="0"/>
        <w:numPr>
          <w:ilvl w:val="0"/>
          <w:numId w:val="4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sz w:val="24"/>
          <w:szCs w:val="24"/>
          <w:lang w:val="en-US" w:eastAsia="zh-CN"/>
        </w:rPr>
        <w:t>办公桌和仪器配备足量电源插座；</w:t>
      </w:r>
      <w:r>
        <w:rPr>
          <w:rFonts w:hint="eastAsia" w:asciiTheme="minorEastAsia" w:hAnsiTheme="minorEastAsia" w:eastAsiaTheme="minorEastAsia" w:cstheme="minorEastAsia"/>
          <w:b w:val="0"/>
          <w:bCs/>
          <w:color w:val="auto"/>
          <w:sz w:val="24"/>
          <w:szCs w:val="24"/>
          <w:highlight w:val="none"/>
          <w:lang w:val="en-US" w:eastAsia="zh-CN"/>
        </w:rPr>
        <w:t>（每个办公桌至少配4个电源插座、1个网络插座、1个电话插座；每张仪器台配3台仪器，每台仪器至少配4个电源插座、1个网络插座，其中一个台面留有电话插座）</w:t>
      </w:r>
    </w:p>
    <w:p w14:paraId="5BEC1DCE">
      <w:pPr>
        <w:pageBreakBefore w:val="0"/>
        <w:numPr>
          <w:ilvl w:val="0"/>
          <w:numId w:val="4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办公室、分析大厅及分析小间墙面未安装边台位置每间隔2米预留2个五孔电源插座。</w:t>
      </w:r>
    </w:p>
    <w:p w14:paraId="250219FB">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2）网络系统</w:t>
      </w:r>
    </w:p>
    <w:p w14:paraId="2D2A2D82">
      <w:pPr>
        <w:pageBreakBefore w:val="0"/>
        <w:numPr>
          <w:ilvl w:val="0"/>
          <w:numId w:val="4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在分析大厅增加交换机、机柜，网络线或光纤主线由电信间引过来；</w:t>
      </w:r>
    </w:p>
    <w:p w14:paraId="217F1817">
      <w:pPr>
        <w:pageBreakBefore w:val="0"/>
        <w:numPr>
          <w:ilvl w:val="0"/>
          <w:numId w:val="4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从交换机、机柜引出网络线路和电话线路至办公室各办工桌、打印机；网络线引至各仪器台；每个试验台放3个网络接口；</w:t>
      </w:r>
    </w:p>
    <w:p w14:paraId="19CD9223">
      <w:pPr>
        <w:pageBreakBefore w:val="0"/>
        <w:numPr>
          <w:ilvl w:val="0"/>
          <w:numId w:val="4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配备所需的网络线缆、桥架、线管、网络插座等；</w:t>
      </w:r>
    </w:p>
    <w:p w14:paraId="7B810567">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（4）给排水系统改造</w:t>
      </w:r>
    </w:p>
    <w:p w14:paraId="5A90F072">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1）给水系统</w:t>
      </w:r>
    </w:p>
    <w:p w14:paraId="562D5198">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洗眼器和紧急冲淋器的给水从卫生间引入给水；</w:t>
      </w:r>
    </w:p>
    <w:p w14:paraId="5812ADA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2）排水系统</w:t>
      </w:r>
    </w:p>
    <w:p w14:paraId="6E691B64">
      <w:pPr>
        <w:pageBreakBefore w:val="0"/>
        <w:numPr>
          <w:ilvl w:val="0"/>
          <w:numId w:val="4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排水均从新风机房一侧排出，并在室外穿过水泥路，引至芳烃实验室外侧废水管路。</w:t>
      </w:r>
    </w:p>
    <w:p w14:paraId="62073CEB">
      <w:pPr>
        <w:pageBreakBefore w:val="0"/>
        <w:numPr>
          <w:ilvl w:val="0"/>
          <w:numId w:val="4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紧急冲淋洗眼器、水槽、有上下水的位置都需配置排水管</w:t>
      </w:r>
    </w:p>
    <w:p w14:paraId="6C47322D">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（5）纯水系统</w:t>
      </w:r>
    </w:p>
    <w:p w14:paraId="3BC72270">
      <w:pPr>
        <w:pageBreakBefore w:val="0"/>
        <w:numPr>
          <w:ilvl w:val="0"/>
          <w:numId w:val="45"/>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中央台水槽的给水用纯水引入。</w:t>
      </w:r>
    </w:p>
    <w:p w14:paraId="634D61B6">
      <w:pPr>
        <w:pageBreakBefore w:val="0"/>
        <w:numPr>
          <w:ilvl w:val="0"/>
          <w:numId w:val="45"/>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纯水从芳烃实验室原理中控楼一侧接入，经水泥地面、从新风机房引入，引至实验室各中央台水槽点。</w:t>
      </w:r>
    </w:p>
    <w:p w14:paraId="7B1974BC">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（6）台柜系统</w:t>
      </w:r>
    </w:p>
    <w:p w14:paraId="1DCB7BDC">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1）办公室</w:t>
      </w:r>
    </w:p>
    <w:p w14:paraId="1156AB38">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（1）新增员工办公桌椅18位，配置抽屉和柜子；</w:t>
      </w:r>
    </w:p>
    <w:p w14:paraId="3504EAE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（2）利旧资料柜4个搬迁，新增资料柜4个；</w:t>
      </w:r>
    </w:p>
    <w:p w14:paraId="10C3283A">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（3）新增边台600*1200*850；</w:t>
      </w:r>
    </w:p>
    <w:p w14:paraId="09062C71">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（4）利旧会议桌椅搬迁。</w:t>
      </w:r>
    </w:p>
    <w:p w14:paraId="6FF65DBD">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2）分析仪器大厅</w:t>
      </w:r>
    </w:p>
    <w:p w14:paraId="2A6BEA6C">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新装全钢仪器台12台6000*800*850、全钢中央台3台5200*1500*850、全钢边台2台3200*750*850，3400*750*850；</w:t>
      </w:r>
      <w:r>
        <w:rPr>
          <w:rFonts w:hint="eastAsia" w:ascii="宋体" w:hAnsi="宋体"/>
          <w:b w:val="0"/>
          <w:bCs w:val="0"/>
          <w:color w:val="auto"/>
          <w:sz w:val="24"/>
          <w:szCs w:val="24"/>
          <w:highlight w:val="none"/>
        </w:rPr>
        <w:t>配套</w:t>
      </w:r>
      <w:r>
        <w:rPr>
          <w:rFonts w:hint="eastAsia" w:ascii="宋体" w:hAnsi="宋体"/>
          <w:b w:val="0"/>
          <w:bCs w:val="0"/>
          <w:color w:val="auto"/>
          <w:sz w:val="24"/>
          <w:szCs w:val="24"/>
          <w:highlight w:val="none"/>
          <w:lang w:val="en-US" w:eastAsia="zh-CN"/>
        </w:rPr>
        <w:t>35</w:t>
      </w:r>
      <w:r>
        <w:rPr>
          <w:rFonts w:hint="eastAsia" w:ascii="宋体" w:hAnsi="宋体"/>
          <w:b w:val="0"/>
          <w:bCs w:val="0"/>
          <w:color w:val="auto"/>
          <w:sz w:val="24"/>
          <w:szCs w:val="24"/>
          <w:highlight w:val="none"/>
        </w:rPr>
        <w:t>把圆凳</w:t>
      </w:r>
      <w:r>
        <w:rPr>
          <w:rFonts w:hint="eastAsia" w:ascii="宋体" w:hAnsi="宋体"/>
          <w:b w:val="0"/>
          <w:bCs w:val="0"/>
          <w:color w:val="auto"/>
          <w:sz w:val="24"/>
          <w:szCs w:val="24"/>
          <w:highlight w:val="none"/>
          <w:lang w:eastAsia="zh-CN"/>
        </w:rPr>
        <w:t>（PU凳面，≥φ300mm，304不锈钢凳脚，高度50cm）；</w:t>
      </w:r>
      <w:r>
        <w:rPr>
          <w:rFonts w:hint="eastAsia" w:asciiTheme="minorEastAsia" w:hAnsiTheme="minorEastAsia" w:eastAsiaTheme="minorEastAsia" w:cstheme="minorEastAsia"/>
          <w:b w:val="0"/>
          <w:bCs/>
          <w:color w:val="auto"/>
          <w:sz w:val="24"/>
          <w:szCs w:val="24"/>
          <w:lang w:val="en-US" w:eastAsia="zh-CN"/>
        </w:rPr>
        <w:t>全钢通风柜4台、全钢落地通风柜1台、</w:t>
      </w:r>
      <w:r>
        <w:rPr>
          <w:rFonts w:hint="eastAsia" w:asciiTheme="minorEastAsia" w:hAnsiTheme="minorEastAsia" w:eastAsiaTheme="minorEastAsia" w:cstheme="minorEastAsia"/>
          <w:b w:val="0"/>
          <w:bCs/>
          <w:color w:val="auto"/>
          <w:sz w:val="24"/>
          <w:szCs w:val="24"/>
          <w:lang w:val="en-US" w:eastAsia="zh-CN"/>
        </w:rPr>
        <w:t>标气柜1000*400mm 3个、储物柜4个、紧急冲淋洗眼器、桌上型洗眼器、滴水架、试剂架、台面插座、天花下来的功能柱等；尺寸如平面图所示，符合参数要求。</w:t>
      </w:r>
    </w:p>
    <w:p w14:paraId="15FC1021">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9、排风系统改造</w:t>
      </w:r>
    </w:p>
    <w:p w14:paraId="6307CF61">
      <w:pPr>
        <w:pageBreakBefore w:val="0"/>
        <w:numPr>
          <w:ilvl w:val="0"/>
          <w:numId w:val="4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室内：通风橱、万向罩等排风管路、手动风阀、电动风阀、吊杆支架；</w:t>
      </w:r>
    </w:p>
    <w:p w14:paraId="4B14B8CE">
      <w:pPr>
        <w:pageBreakBefore w:val="0"/>
        <w:numPr>
          <w:ilvl w:val="0"/>
          <w:numId w:val="4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室外：排风主管、变频排风机（1备1用）、活性炭吸附箱（1备1用）、消音箱、防雨帽、软连接及相关零配件；</w:t>
      </w:r>
    </w:p>
    <w:p w14:paraId="1EC13F95">
      <w:pPr>
        <w:pageBreakBefore w:val="0"/>
        <w:numPr>
          <w:ilvl w:val="0"/>
          <w:numId w:val="4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配置变频器柜，变频控制系统（实现风量和排风柜开关大小联动控制），可通过触摸工控屏进行控制及修改参数；一台排风机由一个变频器单独控制，实现一备一用。变频器柜根据现场情况确认安装位置；</w:t>
      </w:r>
    </w:p>
    <w:p w14:paraId="45837FE4">
      <w:pPr>
        <w:pageBreakBefore w:val="0"/>
        <w:numPr>
          <w:ilvl w:val="0"/>
          <w:numId w:val="4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原有铝皮消排烟管路、设备拆除、设备吊装、设备基础等。</w:t>
      </w:r>
    </w:p>
    <w:p w14:paraId="3D23FA0C">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bidi="ar-SA"/>
        </w:rPr>
        <w:t>10、</w:t>
      </w:r>
      <w:r>
        <w:rPr>
          <w:rFonts w:hint="eastAsia" w:asciiTheme="minorEastAsia" w:hAnsiTheme="minorEastAsia" w:eastAsiaTheme="minorEastAsia" w:cstheme="minorEastAsia"/>
          <w:b/>
          <w:bCs w:val="0"/>
          <w:sz w:val="24"/>
          <w:szCs w:val="24"/>
          <w:lang w:val="en-US" w:eastAsia="zh-CN"/>
        </w:rPr>
        <w:t>新风空调系统改造</w:t>
      </w:r>
    </w:p>
    <w:p w14:paraId="3E764190">
      <w:pPr>
        <w:pageBreakBefore w:val="0"/>
        <w:numPr>
          <w:ilvl w:val="0"/>
          <w:numId w:val="4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3套空调机组改造成可恒温恒湿控制，每套空调</w:t>
      </w:r>
      <w:r>
        <w:rPr>
          <w:rFonts w:hint="eastAsia" w:asciiTheme="minorEastAsia" w:hAnsiTheme="minorEastAsia" w:eastAsiaTheme="minorEastAsia" w:cstheme="minorEastAsia"/>
          <w:color w:val="auto"/>
          <w:sz w:val="24"/>
          <w:szCs w:val="24"/>
          <w:lang w:val="en-US" w:eastAsia="zh-CN"/>
        </w:rPr>
        <w:t>电加热</w:t>
      </w:r>
      <w:r>
        <w:rPr>
          <w:rFonts w:hint="eastAsia" w:asciiTheme="minorEastAsia" w:hAnsiTheme="minorEastAsia" w:eastAsiaTheme="minorEastAsia" w:cstheme="minorEastAsia"/>
          <w:b w:val="0"/>
          <w:bCs/>
          <w:color w:val="auto"/>
          <w:sz w:val="24"/>
          <w:szCs w:val="24"/>
          <w:lang w:val="en-US" w:eastAsia="zh-CN"/>
        </w:rPr>
        <w:t>、干蒸汽加湿、冷冻水调节阀</w:t>
      </w:r>
      <w:r>
        <w:rPr>
          <w:rFonts w:hint="eastAsia" w:asciiTheme="minorEastAsia" w:hAnsiTheme="minorEastAsia" w:eastAsiaTheme="minorEastAsia" w:cstheme="minorEastAsia"/>
          <w:color w:val="auto"/>
          <w:sz w:val="24"/>
          <w:szCs w:val="24"/>
          <w:lang w:val="en-US" w:eastAsia="zh-CN"/>
        </w:rPr>
        <w:t>维修</w:t>
      </w:r>
      <w:r>
        <w:rPr>
          <w:rFonts w:hint="eastAsia" w:asciiTheme="minorEastAsia" w:hAnsiTheme="minorEastAsia" w:eastAsiaTheme="minorEastAsia" w:cstheme="minorEastAsia"/>
          <w:b w:val="0"/>
          <w:bCs/>
          <w:color w:val="auto"/>
          <w:sz w:val="24"/>
          <w:szCs w:val="24"/>
          <w:lang w:val="en-US" w:eastAsia="zh-CN"/>
        </w:rPr>
        <w:t>；定频电机改为变频电机；</w:t>
      </w:r>
    </w:p>
    <w:p w14:paraId="10E6259D">
      <w:pPr>
        <w:pageBreakBefore w:val="0"/>
        <w:numPr>
          <w:ilvl w:val="0"/>
          <w:numId w:val="4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增加恒温恒湿控制柜，包含变频器（3台）、PLC、触摸工控屏控制；可通过触摸工控屏</w:t>
      </w:r>
      <w:r>
        <w:rPr>
          <w:rFonts w:hint="eastAsia" w:ascii="宋体" w:hAnsi="宋体"/>
          <w:color w:val="auto"/>
          <w:sz w:val="24"/>
          <w:szCs w:val="24"/>
        </w:rPr>
        <w:t>自由进行控制三台电机</w:t>
      </w:r>
      <w:r>
        <w:rPr>
          <w:rFonts w:hint="eastAsia" w:asciiTheme="minorEastAsia" w:hAnsiTheme="minorEastAsia" w:eastAsiaTheme="minorEastAsia" w:cstheme="minorEastAsia"/>
          <w:b w:val="0"/>
          <w:bCs/>
          <w:color w:val="auto"/>
          <w:sz w:val="24"/>
          <w:szCs w:val="24"/>
          <w:lang w:val="en-US" w:eastAsia="zh-CN"/>
        </w:rPr>
        <w:t>及修改参数，使其能控制风量大小，室内温湿度可控；</w:t>
      </w:r>
    </w:p>
    <w:p w14:paraId="15711ACB">
      <w:pPr>
        <w:pageBreakBefore w:val="0"/>
        <w:numPr>
          <w:ilvl w:val="0"/>
          <w:numId w:val="4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3套空调机组进风口电动和手动止回阀风阀更换，出风口止回阀风阀更换；</w:t>
      </w:r>
    </w:p>
    <w:p w14:paraId="143275EA">
      <w:pPr>
        <w:pageBreakBefore w:val="0"/>
        <w:numPr>
          <w:ilvl w:val="0"/>
          <w:numId w:val="4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新风过滤</w:t>
      </w:r>
      <w:r>
        <w:rPr>
          <w:rFonts w:hint="eastAsia" w:asciiTheme="minorEastAsia" w:hAnsiTheme="minorEastAsia" w:eastAsiaTheme="minorEastAsia" w:cstheme="minorEastAsia"/>
          <w:color w:val="auto"/>
          <w:sz w:val="24"/>
          <w:szCs w:val="24"/>
          <w:lang w:val="en-US" w:eastAsia="zh-CN"/>
        </w:rPr>
        <w:t>机组</w:t>
      </w:r>
      <w:r>
        <w:rPr>
          <w:rFonts w:hint="eastAsia" w:asciiTheme="minorEastAsia" w:hAnsiTheme="minorEastAsia" w:eastAsiaTheme="minorEastAsia" w:cstheme="minorEastAsia"/>
          <w:b w:val="0"/>
          <w:bCs/>
          <w:color w:val="auto"/>
          <w:sz w:val="24"/>
          <w:szCs w:val="24"/>
          <w:lang w:val="en-US" w:eastAsia="zh-CN"/>
        </w:rPr>
        <w:t>改造，改造后风量满足要求，风量根据新风量和回风量比例计算。</w:t>
      </w:r>
    </w:p>
    <w:p w14:paraId="49D9B9D1">
      <w:pPr>
        <w:pageBreakBefore w:val="0"/>
        <w:numPr>
          <w:ilvl w:val="0"/>
          <w:numId w:val="4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整条风管漏风修复，风口修复。</w:t>
      </w:r>
    </w:p>
    <w:p w14:paraId="6FED02EA">
      <w:pPr>
        <w:pageBreakBefore w:val="0"/>
        <w:numPr>
          <w:ilvl w:val="0"/>
          <w:numId w:val="4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办公室风管或出风口增加风量调节功能，可以通过电动控制改变出风量的大小。</w:t>
      </w:r>
    </w:p>
    <w:p w14:paraId="3DAD1F69">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11、供气系统</w:t>
      </w:r>
    </w:p>
    <w:p w14:paraId="0E0875B6">
      <w:pPr>
        <w:pageBreakBefore w:val="0"/>
        <w:numPr>
          <w:ilvl w:val="0"/>
          <w:numId w:val="4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每张仪器台的供气种类需求如平面图所示；</w:t>
      </w:r>
    </w:p>
    <w:p w14:paraId="71376088">
      <w:pPr>
        <w:pageBreakBefore w:val="0"/>
        <w:numPr>
          <w:ilvl w:val="0"/>
          <w:numId w:val="4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各种类气体从芳烃实验楼的气瓶房引入，经水泥地面引至本分析实验室；气管下埋处增加外管进行保护；</w:t>
      </w:r>
    </w:p>
    <w:p w14:paraId="6C50BAEE">
      <w:pPr>
        <w:pageBreakBefore w:val="0"/>
        <w:numPr>
          <w:ilvl w:val="0"/>
          <w:numId w:val="4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每种气体在每张仪器台一端安装一组终端面板，再由此面板引出管路至各用气末端。用气末端用低压球阀控制。</w:t>
      </w:r>
    </w:p>
    <w:p w14:paraId="2CFBC35B">
      <w:pPr>
        <w:pageBreakBefore w:val="0"/>
        <w:numPr>
          <w:ilvl w:val="0"/>
          <w:numId w:val="4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有氢气的位置，吊顶上加装氢气浓度探头，并在实验室安装报警控制器。</w:t>
      </w:r>
    </w:p>
    <w:p w14:paraId="1312702B">
      <w:pPr>
        <w:pStyle w:val="10"/>
        <w:pageBreakBefore w:val="0"/>
        <w:numPr>
          <w:ilvl w:val="0"/>
          <w:numId w:val="4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val="0"/>
          <w:bCs/>
          <w:sz w:val="24"/>
          <w:szCs w:val="24"/>
          <w:lang w:val="en-US" w:eastAsia="zh-CN"/>
        </w:rPr>
        <w:t>有气路的房间（1.6-1.8）米高的位置，加装氧气浓度探头，并在实验室安装报警控制器。</w:t>
      </w:r>
    </w:p>
    <w:p w14:paraId="2DF8F631">
      <w:pPr>
        <w:pStyle w:val="10"/>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12、监控</w:t>
      </w:r>
    </w:p>
    <w:p w14:paraId="3E318041">
      <w:pPr>
        <w:pStyle w:val="10"/>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分析大厅和两个走廊新增4个监控点位，连接到芳烃化验楼二楼监控主机。</w:t>
      </w:r>
    </w:p>
    <w:p w14:paraId="33068A93">
      <w:pPr>
        <w:pStyle w:val="11"/>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bidi="ar-SA"/>
        </w:rPr>
        <w:t>13、</w:t>
      </w:r>
      <w:r>
        <w:rPr>
          <w:rFonts w:hint="eastAsia" w:asciiTheme="minorEastAsia" w:hAnsiTheme="minorEastAsia" w:eastAsiaTheme="minorEastAsia" w:cstheme="minorEastAsia"/>
          <w:b/>
          <w:bCs w:val="0"/>
          <w:sz w:val="24"/>
          <w:szCs w:val="24"/>
          <w:lang w:val="en-US" w:eastAsia="zh-CN"/>
        </w:rPr>
        <w:t>电信房和配电房</w:t>
      </w:r>
    </w:p>
    <w:p w14:paraId="08386CD7">
      <w:pPr>
        <w:pStyle w:val="11"/>
        <w:pageBreakBefore w:val="0"/>
        <w:kinsoku/>
        <w:wordWrap/>
        <w:overflowPunct/>
        <w:topLinePunct w:val="0"/>
        <w:bidi w:val="0"/>
        <w:spacing w:beforeAutospacing="0" w:afterAutospacing="0" w:line="400" w:lineRule="exact"/>
        <w:ind w:left="0" w:leftChars="0" w:right="0" w:firstLine="0" w:firstLineChars="0"/>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电信房和配电房各增加两台立式空调，制冷量根据房间需求配置。</w:t>
      </w:r>
    </w:p>
    <w:p w14:paraId="2E0FA377">
      <w:pPr>
        <w:pStyle w:val="11"/>
        <w:pageBreakBefore w:val="0"/>
        <w:numPr>
          <w:ilvl w:val="0"/>
          <w:numId w:val="4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钢瓶间</w:t>
      </w:r>
    </w:p>
    <w:p w14:paraId="064D06EE">
      <w:pPr>
        <w:pStyle w:val="11"/>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钢瓶间更换高压软管40根，两端配G5/8接头，长度（50～100）cm。</w:t>
      </w:r>
    </w:p>
    <w:p w14:paraId="19F35B71">
      <w:pPr>
        <w:pStyle w:val="11"/>
        <w:pageBreakBefore w:val="0"/>
        <w:numPr>
          <w:ilvl w:val="0"/>
          <w:numId w:val="4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标识牌</w:t>
      </w:r>
    </w:p>
    <w:p w14:paraId="1D21AFF0">
      <w:pPr>
        <w:pStyle w:val="11"/>
        <w:pageBreakBefore w:val="0"/>
        <w:numPr>
          <w:ilvl w:val="0"/>
          <w:numId w:val="0"/>
        </w:numPr>
        <w:kinsoku/>
        <w:wordWrap/>
        <w:overflowPunct/>
        <w:topLinePunct w:val="0"/>
        <w:bidi w:val="0"/>
        <w:spacing w:beforeAutospacing="0" w:afterAutospacing="0" w:line="400" w:lineRule="exact"/>
        <w:ind w:leftChars="0" w:right="0" w:rightChars="0"/>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以上房间用途有该变及新增功能间在门楣上配置标识牌。芳烃化验室的标识牌外观颜色与现场在用的尽量一致。</w:t>
      </w:r>
    </w:p>
    <w:p w14:paraId="78192221">
      <w:pPr>
        <w:pStyle w:val="2"/>
        <w:bidi w:val="0"/>
        <w:rPr>
          <w:rFonts w:hint="eastAsia"/>
          <w:lang w:val="en-US" w:eastAsia="zh-CN"/>
        </w:rPr>
      </w:pPr>
      <w:bookmarkStart w:id="65" w:name="_Toc22929"/>
      <w:r>
        <w:rPr>
          <w:rFonts w:hint="eastAsia"/>
          <w:lang w:val="en-US" w:eastAsia="zh-CN"/>
        </w:rPr>
        <w:t>七、</w:t>
      </w:r>
      <w:r>
        <w:rPr>
          <w:rFonts w:hint="eastAsia"/>
          <w:lang w:eastAsia="zh-CN"/>
        </w:rPr>
        <w:t>工程要求及设备技术要求</w:t>
      </w:r>
      <w:bookmarkEnd w:id="65"/>
    </w:p>
    <w:p w14:paraId="041DCED5">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lang w:eastAsia="zh-CN"/>
        </w:rPr>
        <w:t>实验室家具台柜系统</w:t>
      </w:r>
    </w:p>
    <w:p w14:paraId="694AF949">
      <w:pPr>
        <w:pStyle w:val="206"/>
        <w:pageBreakBefore w:val="0"/>
        <w:kinsoku/>
        <w:wordWrap/>
        <w:overflowPunct/>
        <w:topLinePunct w:val="0"/>
        <w:bidi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1、标准依据：</w:t>
      </w:r>
    </w:p>
    <w:p w14:paraId="7A58A1B6">
      <w:pPr>
        <w:pStyle w:val="206"/>
        <w:pageBreakBefore w:val="0"/>
        <w:kinsoku/>
        <w:wordWrap/>
        <w:overflowPunct/>
        <w:topLinePunct w:val="0"/>
        <w:bidi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《金属家具质量检验及质量评定》（QB/T 1951.2-2024）；</w:t>
      </w:r>
    </w:p>
    <w:p w14:paraId="5C608BC7">
      <w:pPr>
        <w:pStyle w:val="206"/>
        <w:pageBreakBefore w:val="0"/>
        <w:kinsoku/>
        <w:wordWrap/>
        <w:overflowPunct/>
        <w:topLinePunct w:val="0"/>
        <w:bidi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《金属家具通用技术条件》（GB/T 3325-2024）；</w:t>
      </w:r>
    </w:p>
    <w:p w14:paraId="03DF64A6">
      <w:pPr>
        <w:pStyle w:val="206"/>
        <w:pageBreakBefore w:val="0"/>
        <w:kinsoku/>
        <w:wordWrap/>
        <w:overflowPunct/>
        <w:topLinePunct w:val="0"/>
        <w:bidi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《室内装饰装修材料 人造板及其制品中甲醛释放限量》（GB/T18580-2017）；</w:t>
      </w:r>
    </w:p>
    <w:p w14:paraId="7089FFA9">
      <w:pPr>
        <w:pStyle w:val="206"/>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《室内装饰装修材料 木家具中有害物质限量》（GB/T18584-2001）；</w:t>
      </w:r>
    </w:p>
    <w:p w14:paraId="2627C4E1">
      <w:pPr>
        <w:pStyle w:val="206"/>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《实验室家具通用技术条件》（GB</w:t>
      </w:r>
      <w:r>
        <w:rPr>
          <w:rFonts w:hint="eastAsia" w:asciiTheme="minorEastAsia" w:hAnsiTheme="minorEastAsia" w:cstheme="minorEastAsia"/>
          <w:kern w:val="2"/>
          <w:sz w:val="24"/>
          <w:szCs w:val="24"/>
          <w:lang w:val="en-US" w:eastAsia="zh-CN" w:bidi="ar-SA"/>
        </w:rPr>
        <w:t xml:space="preserve">/T </w:t>
      </w:r>
      <w:r>
        <w:rPr>
          <w:rFonts w:hint="eastAsia" w:asciiTheme="minorEastAsia" w:hAnsiTheme="minorEastAsia" w:eastAsiaTheme="minorEastAsia" w:cstheme="minorEastAsia"/>
          <w:kern w:val="2"/>
          <w:sz w:val="24"/>
          <w:szCs w:val="24"/>
          <w:lang w:val="en-US" w:eastAsia="zh-CN" w:bidi="ar-SA"/>
        </w:rPr>
        <w:t>24820-20</w:t>
      </w:r>
      <w:r>
        <w:rPr>
          <w:rFonts w:hint="eastAsia" w:asciiTheme="minorEastAsia" w:hAnsiTheme="minorEastAsia" w:cstheme="minorEastAsia"/>
          <w:kern w:val="2"/>
          <w:sz w:val="24"/>
          <w:szCs w:val="24"/>
          <w:lang w:val="en-US" w:eastAsia="zh-CN" w:bidi="ar-SA"/>
        </w:rPr>
        <w:t>24</w:t>
      </w:r>
      <w:r>
        <w:rPr>
          <w:rFonts w:hint="eastAsia" w:asciiTheme="minorEastAsia" w:hAnsiTheme="minorEastAsia" w:eastAsiaTheme="minorEastAsia" w:cstheme="minorEastAsia"/>
          <w:kern w:val="2"/>
          <w:sz w:val="24"/>
          <w:szCs w:val="24"/>
          <w:lang w:val="en-US" w:eastAsia="zh-CN" w:bidi="ar-SA"/>
        </w:rPr>
        <w:t>）；</w:t>
      </w:r>
    </w:p>
    <w:p w14:paraId="2DFDF857">
      <w:pPr>
        <w:pStyle w:val="206"/>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《人造板及饰面人造板理化性能试验方法》（GB/T 17657-2022）；</w:t>
      </w:r>
    </w:p>
    <w:p w14:paraId="6EDE533D">
      <w:pPr>
        <w:pStyle w:val="207"/>
        <w:pageBreakBefore w:val="0"/>
        <w:kinsoku/>
        <w:wordWrap/>
        <w:overflowPunct/>
        <w:topLinePunct w:val="0"/>
        <w:bidi w:val="0"/>
        <w:spacing w:before="0" w:beforeAutospacing="0" w:after="0" w:afterAutospacing="0" w:line="400" w:lineRule="exact"/>
        <w:ind w:left="0" w:leftChars="0" w:right="0" w:firstLine="0" w:firstLineChars="0"/>
        <w:contextualSpacing/>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kern w:val="2"/>
          <w:sz w:val="24"/>
          <w:szCs w:val="24"/>
          <w:lang w:val="en-US" w:eastAsia="zh-CN" w:bidi="ar-SA"/>
        </w:rPr>
        <w:t>2、参数要求（化验楼及中控楼）</w:t>
      </w:r>
    </w:p>
    <w:p w14:paraId="0FDA74BA">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lang w:val="en-US" w:eastAsia="zh-CN"/>
        </w:rPr>
        <w:t>1</w:t>
      </w:r>
      <w:r>
        <w:rPr>
          <w:rFonts w:hint="eastAsia" w:asciiTheme="minorEastAsia" w:hAnsiTheme="minorEastAsia" w:eastAsiaTheme="minorEastAsia" w:cstheme="minorEastAsia"/>
          <w:b/>
          <w:sz w:val="24"/>
          <w:szCs w:val="24"/>
          <w:lang w:eastAsia="zh-CN"/>
        </w:rPr>
        <w:t>）中央台及仪器台（</w:t>
      </w:r>
      <w:r>
        <w:rPr>
          <w:rFonts w:hint="eastAsia" w:asciiTheme="minorEastAsia" w:hAnsiTheme="minorEastAsia" w:eastAsiaTheme="minorEastAsia" w:cstheme="minorEastAsia"/>
          <w:b/>
          <w:sz w:val="24"/>
          <w:szCs w:val="24"/>
          <w:lang w:val="en-US" w:eastAsia="zh-CN"/>
        </w:rPr>
        <w:t>钢木）</w:t>
      </w:r>
      <w:r>
        <w:rPr>
          <w:rFonts w:hint="eastAsia" w:asciiTheme="minorEastAsia" w:hAnsiTheme="minorEastAsia" w:eastAsiaTheme="minorEastAsia" w:cstheme="minorEastAsia"/>
          <w:b/>
          <w:sz w:val="24"/>
          <w:szCs w:val="24"/>
          <w:lang w:eastAsia="zh-CN"/>
        </w:rPr>
        <w:t>：</w:t>
      </w:r>
    </w:p>
    <w:p w14:paraId="5F9104FC">
      <w:pPr>
        <w:pageBreakBefore w:val="0"/>
        <w:numPr>
          <w:ilvl w:val="0"/>
          <w:numId w:val="5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结构：O型钢木结构，承重不小于300kg/m²。钢部件表面经环氧树脂粉沫高温固化处理，平整光滑。</w:t>
      </w:r>
    </w:p>
    <w:p w14:paraId="66CE27B2">
      <w:pPr>
        <w:pageBreakBefore w:val="0"/>
        <w:numPr>
          <w:ilvl w:val="0"/>
          <w:numId w:val="5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各种配件安装应严密、平整、端正、牢固、结合处应无崩茬或松动。金属配件应做除锈和防腐处理。</w:t>
      </w:r>
    </w:p>
    <w:p w14:paraId="1EC1BCD8">
      <w:pPr>
        <w:pageBreakBefore w:val="0"/>
        <w:numPr>
          <w:ilvl w:val="0"/>
          <w:numId w:val="5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柜体接缝处要求≤5mm；门板与门板间缝≤3mm；整体尺寸误差≤</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0mm，要求水平、稳固。</w:t>
      </w:r>
    </w:p>
    <w:p w14:paraId="1248ED7E">
      <w:pPr>
        <w:pageBreakBefore w:val="0"/>
        <w:numPr>
          <w:ilvl w:val="0"/>
          <w:numId w:val="5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所有水、电、气路要求安全、适用，并隐藏式安装。</w:t>
      </w:r>
    </w:p>
    <w:p w14:paraId="65A2D345">
      <w:pPr>
        <w:pageBreakBefore w:val="0"/>
        <w:numPr>
          <w:ilvl w:val="0"/>
          <w:numId w:val="5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台面：</w:t>
      </w:r>
    </w:p>
    <w:p w14:paraId="01D66EE3">
      <w:pPr>
        <w:pageBreakBefore w:val="0"/>
        <w:numPr>
          <w:ilvl w:val="0"/>
          <w:numId w:val="51"/>
        </w:numPr>
        <w:tabs>
          <w:tab w:val="left" w:pos="3122"/>
        </w:tabs>
        <w:kinsoku/>
        <w:wordWrap/>
        <w:overflowPunct/>
        <w:topLinePunct w:val="0"/>
        <w:bidi w:val="0"/>
        <w:spacing w:beforeAutospacing="0" w:afterAutospacing="0" w:line="400" w:lineRule="exact"/>
        <w:ind w:left="425" w:leftChars="0" w:right="0" w:hanging="425"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z w:val="24"/>
          <w:szCs w:val="24"/>
          <w:lang w:eastAsia="zh-CN"/>
        </w:rPr>
        <w:t>实芯理化板：选用12.7mm厚实芯理化板，边缘加厚到25.4mm，并开滴水</w:t>
      </w:r>
      <w:r>
        <w:rPr>
          <w:rFonts w:hint="eastAsia" w:asciiTheme="minorEastAsia" w:hAnsiTheme="minorEastAsia" w:eastAsiaTheme="minorEastAsia" w:cstheme="minorEastAsia"/>
          <w:color w:val="auto"/>
          <w:sz w:val="24"/>
          <w:szCs w:val="24"/>
          <w:lang w:eastAsia="zh-CN"/>
        </w:rPr>
        <w:t>线。台面四角经圆弧倒角处理，美观大方且安全。具有耐化学腐蚀、耐高温、抗撞击、耐磨、防潮湿、抗紫外线、抗菌、防静电等特点，</w:t>
      </w:r>
      <w:r>
        <w:rPr>
          <w:rFonts w:hint="eastAsia" w:asciiTheme="minorEastAsia" w:hAnsiTheme="minorEastAsia" w:eastAsiaTheme="minorEastAsia" w:cstheme="minorEastAsia"/>
          <w:color w:val="auto"/>
          <w:sz w:val="24"/>
          <w:szCs w:val="24"/>
          <w:lang w:val="en-US" w:eastAsia="zh-CN"/>
        </w:rPr>
        <w:t>台面满足如下要求：</w:t>
      </w:r>
    </w:p>
    <w:p w14:paraId="67F513FC">
      <w:pPr>
        <w:pageBreakBefore w:val="0"/>
        <w:numPr>
          <w:ilvl w:val="0"/>
          <w:numId w:val="51"/>
        </w:numPr>
        <w:tabs>
          <w:tab w:val="left" w:pos="3122"/>
        </w:tabs>
        <w:kinsoku/>
        <w:wordWrap/>
        <w:overflowPunct/>
        <w:topLinePunct w:val="0"/>
        <w:bidi w:val="0"/>
        <w:spacing w:beforeAutospacing="0" w:afterAutospacing="0" w:line="400" w:lineRule="exact"/>
        <w:ind w:left="425" w:leftChars="0" w:right="0" w:hanging="425"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台面耐腐蚀性能优越，台面理化性能需通过实验室常用化学试剂浓度且在室温24h测试条件下覆盖及不覆盖玻板进行测试，其中强酸强碱有机溶剂等多种溶液或试剂检验，结果达到5级并无明显变化。（提供由国家认可的检测机构出具带有CMA或CNAS章的检测报告。）</w:t>
      </w:r>
    </w:p>
    <w:p w14:paraId="4C218488">
      <w:pPr>
        <w:pageBreakBefore w:val="0"/>
        <w:numPr>
          <w:ilvl w:val="0"/>
          <w:numId w:val="51"/>
        </w:numPr>
        <w:tabs>
          <w:tab w:val="left" w:pos="3122"/>
        </w:tabs>
        <w:kinsoku/>
        <w:wordWrap/>
        <w:overflowPunct/>
        <w:topLinePunct w:val="0"/>
        <w:bidi w:val="0"/>
        <w:spacing w:beforeAutospacing="0" w:afterAutospacing="0" w:line="400" w:lineRule="exact"/>
        <w:ind w:left="425" w:leftChars="0" w:right="0" w:hanging="425"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台面通过承重性能检测，载荷性能符合</w:t>
      </w:r>
      <w:r>
        <w:rPr>
          <w:rFonts w:hint="eastAsia" w:asciiTheme="minorEastAsia" w:hAnsiTheme="minorEastAsia" w:eastAsiaTheme="minorEastAsia" w:cstheme="minorEastAsia"/>
          <w:kern w:val="2"/>
          <w:sz w:val="24"/>
          <w:szCs w:val="24"/>
          <w:highlight w:val="none"/>
          <w:lang w:val="en-US" w:eastAsia="zh-CN" w:bidi="ar-SA"/>
        </w:rPr>
        <w:t>GB</w:t>
      </w:r>
      <w:r>
        <w:rPr>
          <w:rFonts w:hint="eastAsia" w:asciiTheme="minorEastAsia" w:hAnsiTheme="minorEastAsia" w:cstheme="minorEastAsia"/>
          <w:kern w:val="2"/>
          <w:sz w:val="24"/>
          <w:szCs w:val="24"/>
          <w:highlight w:val="none"/>
          <w:lang w:val="en-US" w:eastAsia="zh-CN" w:bidi="ar-SA"/>
        </w:rPr>
        <w:t xml:space="preserve">/T </w:t>
      </w:r>
      <w:r>
        <w:rPr>
          <w:rFonts w:hint="eastAsia" w:asciiTheme="minorEastAsia" w:hAnsiTheme="minorEastAsia" w:eastAsiaTheme="minorEastAsia" w:cstheme="minorEastAsia"/>
          <w:kern w:val="2"/>
          <w:sz w:val="24"/>
          <w:szCs w:val="24"/>
          <w:highlight w:val="none"/>
          <w:lang w:val="en-US" w:eastAsia="zh-CN" w:bidi="ar-SA"/>
        </w:rPr>
        <w:t>24820-20</w:t>
      </w:r>
      <w:r>
        <w:rPr>
          <w:rFonts w:hint="eastAsia" w:asciiTheme="minorEastAsia" w:hAnsiTheme="minorEastAsia" w:cstheme="minorEastAsia"/>
          <w:kern w:val="2"/>
          <w:sz w:val="24"/>
          <w:szCs w:val="24"/>
          <w:highlight w:val="none"/>
          <w:lang w:val="en-US" w:eastAsia="zh-CN" w:bidi="ar-SA"/>
        </w:rPr>
        <w:t>24</w:t>
      </w:r>
      <w:r>
        <w:rPr>
          <w:rFonts w:hint="eastAsia" w:asciiTheme="minorEastAsia" w:hAnsiTheme="minorEastAsia" w:eastAsiaTheme="minorEastAsia" w:cstheme="minorEastAsia"/>
          <w:color w:val="auto"/>
          <w:sz w:val="24"/>
          <w:szCs w:val="24"/>
          <w:lang w:val="en-US" w:eastAsia="zh-CN"/>
        </w:rPr>
        <w:t>《实验室家具通用技术条件》中的要求，操作台水平静载荷、操作台主桌面垂直静载荷、操作台持续垂直静载荷的检测结果均为合格。</w:t>
      </w:r>
    </w:p>
    <w:p w14:paraId="695E0D2F">
      <w:pPr>
        <w:pageBreakBefore w:val="0"/>
        <w:numPr>
          <w:ilvl w:val="0"/>
          <w:numId w:val="51"/>
        </w:numPr>
        <w:tabs>
          <w:tab w:val="left" w:pos="3122"/>
        </w:tabs>
        <w:kinsoku/>
        <w:wordWrap/>
        <w:overflowPunct/>
        <w:topLinePunct w:val="0"/>
        <w:bidi w:val="0"/>
        <w:spacing w:beforeAutospacing="0" w:afterAutospacing="0" w:line="400" w:lineRule="exact"/>
        <w:ind w:left="425" w:leftChars="0" w:right="0" w:hanging="425"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台面满足物理性能符合GB/T7911-2024中技术出具“抽样检验”报告”，结果5级无变化。（提供由国家认可的检测机构出具带有CMA或CNAS章的检测报告。）</w:t>
      </w:r>
    </w:p>
    <w:p w14:paraId="46D496C9">
      <w:pPr>
        <w:pageBreakBefore w:val="0"/>
        <w:numPr>
          <w:ilvl w:val="0"/>
          <w:numId w:val="51"/>
        </w:numPr>
        <w:tabs>
          <w:tab w:val="left" w:pos="3122"/>
        </w:tabs>
        <w:kinsoku/>
        <w:wordWrap/>
        <w:overflowPunct/>
        <w:topLinePunct w:val="0"/>
        <w:bidi w:val="0"/>
        <w:spacing w:beforeAutospacing="0" w:afterAutospacing="0" w:line="400" w:lineRule="exact"/>
        <w:ind w:left="425" w:leftChars="0" w:right="0" w:hanging="425"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台面甲醛性能：经GB/T39600-2021标准检测，甲醛释放量（气候箱法）检测结果≤0.025mg/m³；经过GB8624—2012判定，该制品燃烧性能达到难燃B1（C-S1,d0,t1）级，600s总烟气生成量≤42m</w:t>
      </w:r>
      <w:r>
        <w:rPr>
          <w:rFonts w:hint="eastAsia" w:asciiTheme="minorEastAsia" w:hAnsiTheme="minorEastAsia" w:eastAsiaTheme="minorEastAsia" w:cstheme="minorEastAsia"/>
          <w:color w:val="auto"/>
          <w:sz w:val="24"/>
          <w:szCs w:val="24"/>
          <w:vertAlign w:val="superscript"/>
          <w:lang w:val="en-US" w:eastAsia="zh-CN"/>
        </w:rPr>
        <w:t>2</w:t>
      </w:r>
      <w:r>
        <w:rPr>
          <w:rFonts w:hint="eastAsia" w:asciiTheme="minorEastAsia" w:hAnsiTheme="minorEastAsia" w:eastAsiaTheme="minorEastAsia" w:cstheme="minorEastAsia"/>
          <w:color w:val="auto"/>
          <w:sz w:val="24"/>
          <w:szCs w:val="24"/>
          <w:lang w:val="en-US" w:eastAsia="zh-CN"/>
        </w:rPr>
        <w:t>,烟气毒性等级ZA3级。</w:t>
      </w:r>
    </w:p>
    <w:p w14:paraId="0E314131">
      <w:pPr>
        <w:pageBreakBefore w:val="0"/>
        <w:numPr>
          <w:ilvl w:val="0"/>
          <w:numId w:val="51"/>
        </w:numPr>
        <w:tabs>
          <w:tab w:val="left" w:pos="3122"/>
        </w:tabs>
        <w:kinsoku/>
        <w:wordWrap/>
        <w:overflowPunct/>
        <w:topLinePunct w:val="0"/>
        <w:bidi w:val="0"/>
        <w:spacing w:beforeAutospacing="0" w:afterAutospacing="0" w:line="400" w:lineRule="exact"/>
        <w:ind w:left="425" w:leftChars="0" w:right="0" w:hanging="425"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台面抗菌性能：需符合SGS国际通用标准，抑菌率达到99%及以上。</w:t>
      </w:r>
    </w:p>
    <w:p w14:paraId="5304AAE3">
      <w:pPr>
        <w:pageBreakBefore w:val="0"/>
        <w:numPr>
          <w:ilvl w:val="0"/>
          <w:numId w:val="51"/>
        </w:numPr>
        <w:tabs>
          <w:tab w:val="left" w:pos="3122"/>
        </w:tabs>
        <w:kinsoku/>
        <w:wordWrap/>
        <w:overflowPunct/>
        <w:topLinePunct w:val="0"/>
        <w:bidi w:val="0"/>
        <w:spacing w:beforeAutospacing="0" w:afterAutospacing="0" w:line="400" w:lineRule="exact"/>
        <w:ind w:left="425" w:leftChars="0" w:right="0" w:hanging="425"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为保证产品质量和用户权益，提供理化板台面厂家出具的质保和售后服务承诺书并加盖鲜章。</w:t>
      </w:r>
    </w:p>
    <w:p w14:paraId="60F1F747">
      <w:pPr>
        <w:pageBreakBefore w:val="0"/>
        <w:numPr>
          <w:ilvl w:val="0"/>
          <w:numId w:val="5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黑色大理石台面：采用实验室用黑色大理石台面，厚度30mm，边缘加厚至50mm, 边缘与框架不留缝隙；表面光滑、美观、易清洁。</w:t>
      </w:r>
    </w:p>
    <w:p w14:paraId="572B6305">
      <w:pPr>
        <w:pageBreakBefore w:val="0"/>
        <w:numPr>
          <w:ilvl w:val="0"/>
          <w:numId w:val="5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z w:val="24"/>
          <w:szCs w:val="24"/>
          <w:lang w:eastAsia="zh-CN"/>
        </w:rPr>
        <w:t>框架：采用优质</w:t>
      </w:r>
      <w:r>
        <w:rPr>
          <w:rFonts w:hint="eastAsia" w:asciiTheme="minorEastAsia" w:hAnsiTheme="minorEastAsia" w:eastAsiaTheme="minorEastAsia" w:cstheme="minorEastAsia"/>
          <w:b/>
          <w:bCs/>
          <w:sz w:val="24"/>
          <w:szCs w:val="24"/>
          <w:lang w:eastAsia="zh-CN"/>
        </w:rPr>
        <w:t>40*60</w:t>
      </w:r>
      <w:r>
        <w:rPr>
          <w:rFonts w:hint="eastAsia" w:asciiTheme="minorEastAsia" w:hAnsiTheme="minorEastAsia" w:eastAsiaTheme="minorEastAsia" w:cstheme="minorEastAsia"/>
          <w:b/>
          <w:bCs/>
          <w:sz w:val="24"/>
          <w:szCs w:val="24"/>
          <w:lang w:val="en-US" w:eastAsia="zh-CN"/>
        </w:rPr>
        <w:t>*1.5mm</w:t>
      </w:r>
      <w:r>
        <w:rPr>
          <w:rFonts w:hint="eastAsia" w:asciiTheme="minorEastAsia" w:hAnsiTheme="minorEastAsia" w:eastAsiaTheme="minorEastAsia" w:cstheme="minorEastAsia"/>
          <w:sz w:val="24"/>
          <w:szCs w:val="24"/>
          <w:lang w:eastAsia="zh-CN"/>
        </w:rPr>
        <w:t>优质方型钢材，框架采用方形结构，连接处采用无缝焊接，表面经高温EPOXY（环氧树脂）静电粉</w:t>
      </w:r>
      <w:r>
        <w:rPr>
          <w:rFonts w:hint="eastAsia" w:asciiTheme="minorEastAsia" w:hAnsiTheme="minorEastAsia" w:eastAsiaTheme="minorEastAsia" w:cstheme="minorEastAsia"/>
          <w:sz w:val="24"/>
          <w:szCs w:val="24"/>
          <w:lang w:val="en-US" w:eastAsia="zh-CN"/>
        </w:rPr>
        <w:t>末</w:t>
      </w:r>
      <w:r>
        <w:rPr>
          <w:rFonts w:hint="eastAsia" w:asciiTheme="minorEastAsia" w:hAnsiTheme="minorEastAsia" w:eastAsiaTheme="minorEastAsia" w:cstheme="minorEastAsia"/>
          <w:sz w:val="24"/>
          <w:szCs w:val="24"/>
          <w:lang w:eastAsia="zh-CN"/>
        </w:rPr>
        <w:t>喷涂，耐酸碱、耐腐蚀；</w:t>
      </w:r>
      <w:r>
        <w:rPr>
          <w:rFonts w:hint="eastAsia" w:asciiTheme="minorEastAsia" w:hAnsiTheme="minorEastAsia" w:eastAsiaTheme="minorEastAsia" w:cstheme="minorEastAsia"/>
          <w:color w:val="auto"/>
          <w:sz w:val="24"/>
          <w:szCs w:val="24"/>
          <w:lang w:val="en-US" w:eastAsia="zh-CN"/>
        </w:rPr>
        <w:t>桌面可承载平均荷重不少于300kg/m</w:t>
      </w:r>
      <w:r>
        <w:rPr>
          <w:rFonts w:hint="eastAsia" w:asciiTheme="minorEastAsia" w:hAnsiTheme="minorEastAsia" w:eastAsiaTheme="minorEastAsia" w:cstheme="minorEastAsia"/>
          <w:color w:val="auto"/>
          <w:sz w:val="24"/>
          <w:szCs w:val="24"/>
          <w:vertAlign w:val="superscript"/>
          <w:lang w:val="en-US" w:eastAsia="zh-CN"/>
        </w:rPr>
        <w:t>2</w:t>
      </w:r>
      <w:r>
        <w:rPr>
          <w:rFonts w:hint="eastAsia" w:asciiTheme="minorEastAsia" w:hAnsiTheme="minorEastAsia" w:eastAsiaTheme="minorEastAsia" w:cstheme="minorEastAsia"/>
          <w:color w:val="auto"/>
          <w:sz w:val="24"/>
          <w:szCs w:val="24"/>
          <w:lang w:val="en-US" w:eastAsia="zh-CN"/>
        </w:rPr>
        <w:t>，集中荷重不少于250kg，使用寿命长。</w:t>
      </w:r>
    </w:p>
    <w:p w14:paraId="246BD653">
      <w:pPr>
        <w:pageBreakBefore w:val="0"/>
        <w:numPr>
          <w:ilvl w:val="0"/>
          <w:numId w:val="5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柜体：采用</w:t>
      </w:r>
      <w:r>
        <w:rPr>
          <w:rFonts w:hint="eastAsia" w:asciiTheme="minorEastAsia" w:hAnsiTheme="minorEastAsia" w:eastAsiaTheme="minorEastAsia" w:cstheme="minorEastAsia"/>
          <w:color w:val="auto"/>
          <w:sz w:val="24"/>
          <w:szCs w:val="24"/>
          <w:lang w:val="en-US" w:eastAsia="zh-CN"/>
        </w:rPr>
        <w:t>≥18mm</w:t>
      </w:r>
      <w:r>
        <w:rPr>
          <w:rFonts w:hint="eastAsia" w:asciiTheme="minorEastAsia" w:hAnsiTheme="minorEastAsia" w:eastAsiaTheme="minorEastAsia" w:cstheme="minorEastAsia"/>
          <w:sz w:val="24"/>
          <w:szCs w:val="24"/>
          <w:lang w:eastAsia="zh-CN"/>
        </w:rPr>
        <w:t>厚优质防潮三聚氰胺板。所有断面经优质PVC防水封边处理。要求不翘不裂、耐潮耐热、质地结实、表面平整、耐承重、抗冲击、有一定的强度。在有水管、电线连接的部位设活动挡板，以方便维修。</w:t>
      </w:r>
    </w:p>
    <w:p w14:paraId="484FAE37">
      <w:pPr>
        <w:pageBreakBefore w:val="0"/>
        <w:numPr>
          <w:ilvl w:val="0"/>
          <w:numId w:val="0"/>
        </w:numPr>
        <w:tabs>
          <w:tab w:val="left" w:pos="400"/>
          <w:tab w:val="left" w:pos="600"/>
        </w:tabs>
        <w:kinsoku/>
        <w:wordWrap/>
        <w:overflowPunct/>
        <w:topLinePunct w:val="0"/>
        <w:bidi w:val="0"/>
        <w:spacing w:beforeAutospacing="0" w:afterAutospacing="0" w:line="400" w:lineRule="exact"/>
        <w:ind w:left="425" w:leftChars="0" w:right="0" w:rightChars="0" w:hanging="425" w:firstLineChars="0"/>
        <w:rPr>
          <w:rFonts w:hint="eastAsia" w:asciiTheme="minorEastAsia" w:hAnsiTheme="minorEastAsia" w:eastAsiaTheme="minorEastAsia" w:cstheme="minorEastAsia"/>
          <w:sz w:val="24"/>
          <w:szCs w:val="24"/>
          <w:lang w:eastAsia="zh-CN"/>
        </w:rPr>
      </w:pPr>
      <w:r>
        <w:rPr>
          <w:rFonts w:hint="default" w:asciiTheme="minorEastAsia" w:hAnsiTheme="minorEastAsia" w:eastAsiaTheme="minorEastAsia" w:cstheme="minorEastAsia"/>
          <w:sz w:val="24"/>
          <w:szCs w:val="24"/>
          <w:lang w:val="en-US" w:eastAsia="zh-CN" w:bidi="ar-SA"/>
        </w:rPr>
        <w:t>a.</w:t>
      </w:r>
      <w:r>
        <w:rPr>
          <w:rFonts w:hint="eastAsia" w:asciiTheme="minorEastAsia" w:hAnsiTheme="minorEastAsia" w:eastAsiaTheme="minorEastAsia" w:cstheme="minorEastAsia"/>
          <w:color w:val="auto"/>
          <w:sz w:val="24"/>
          <w:szCs w:val="24"/>
          <w:lang w:val="en-US" w:eastAsia="zh-CN"/>
        </w:rPr>
        <w:t>实验室家具所用抽屉要明确抽屉高度、抽屉拉出比例以及抽屉承重，抽屉拉出比例至少占其长度的80%，安装好的抽屉滑轨承</w:t>
      </w:r>
      <w:r>
        <w:rPr>
          <w:rFonts w:hint="eastAsia" w:asciiTheme="minorEastAsia" w:hAnsiTheme="minorEastAsia" w:eastAsiaTheme="minorEastAsia" w:cstheme="minorEastAsia"/>
          <w:sz w:val="24"/>
          <w:szCs w:val="24"/>
          <w:lang w:val="en-US" w:eastAsia="zh-CN"/>
        </w:rPr>
        <w:t>重力需达20kg以上。</w:t>
      </w:r>
    </w:p>
    <w:p w14:paraId="6EC4C48F">
      <w:pPr>
        <w:pageBreakBefore w:val="0"/>
        <w:numPr>
          <w:ilvl w:val="0"/>
          <w:numId w:val="0"/>
        </w:numPr>
        <w:tabs>
          <w:tab w:val="left" w:pos="400"/>
          <w:tab w:val="left" w:pos="600"/>
        </w:tabs>
        <w:kinsoku/>
        <w:wordWrap/>
        <w:overflowPunct/>
        <w:topLinePunct w:val="0"/>
        <w:bidi w:val="0"/>
        <w:spacing w:beforeAutospacing="0" w:afterAutospacing="0" w:line="400" w:lineRule="exact"/>
        <w:ind w:left="425" w:leftChars="0" w:right="0" w:rightChars="0" w:hanging="425" w:firstLineChars="0"/>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bidi="ar-SA"/>
        </w:rPr>
        <w:t>b.</w:t>
      </w:r>
      <w:r>
        <w:rPr>
          <w:rFonts w:hint="eastAsia" w:asciiTheme="minorEastAsia" w:hAnsiTheme="minorEastAsia" w:eastAsiaTheme="minorEastAsia" w:cstheme="minorEastAsia"/>
          <w:sz w:val="24"/>
          <w:szCs w:val="24"/>
          <w:lang w:eastAsia="zh-CN"/>
        </w:rPr>
        <w:t>柜门、抽屉面板：</w:t>
      </w:r>
      <w:r>
        <w:rPr>
          <w:rFonts w:hint="eastAsia" w:asciiTheme="minorEastAsia" w:hAnsiTheme="minorEastAsia" w:eastAsiaTheme="minorEastAsia" w:cstheme="minorEastAsia"/>
          <w:b/>
          <w:bCs/>
          <w:sz w:val="24"/>
          <w:szCs w:val="24"/>
          <w:lang w:eastAsia="zh-CN"/>
        </w:rPr>
        <w:t>采用</w:t>
      </w:r>
      <w:r>
        <w:rPr>
          <w:rFonts w:hint="eastAsia" w:asciiTheme="minorEastAsia" w:hAnsiTheme="minorEastAsia" w:eastAsiaTheme="minorEastAsia" w:cstheme="minorEastAsia"/>
          <w:b/>
          <w:bCs/>
          <w:sz w:val="24"/>
          <w:szCs w:val="24"/>
          <w:lang w:val="en-US" w:eastAsia="zh-CN"/>
        </w:rPr>
        <w:t>≥18mm</w:t>
      </w:r>
      <w:r>
        <w:rPr>
          <w:rFonts w:hint="eastAsia" w:asciiTheme="minorEastAsia" w:hAnsiTheme="minorEastAsia" w:eastAsiaTheme="minorEastAsia" w:cstheme="minorEastAsia"/>
          <w:sz w:val="24"/>
          <w:szCs w:val="24"/>
          <w:lang w:eastAsia="zh-CN"/>
        </w:rPr>
        <w:t>厚优质防潮三聚氰胺板，外贴1mm厚优质防火板。所有断面经优质PVC防水封边处理。拉手采用铝合金一字型暗拉手；面板</w:t>
      </w:r>
      <w:r>
        <w:rPr>
          <w:rFonts w:hint="eastAsia" w:asciiTheme="minorEastAsia" w:hAnsiTheme="minorEastAsia" w:eastAsiaTheme="minorEastAsia" w:cstheme="minorEastAsia"/>
          <w:sz w:val="24"/>
          <w:szCs w:val="24"/>
          <w:lang w:val="en-US" w:eastAsia="zh-CN"/>
        </w:rPr>
        <w:t>颜色和现场一致。</w:t>
      </w:r>
    </w:p>
    <w:p w14:paraId="6E92FA23">
      <w:pPr>
        <w:pageBreakBefore w:val="0"/>
        <w:numPr>
          <w:ilvl w:val="0"/>
          <w:numId w:val="0"/>
        </w:numPr>
        <w:tabs>
          <w:tab w:val="left" w:pos="400"/>
          <w:tab w:val="left" w:pos="600"/>
        </w:tabs>
        <w:kinsoku/>
        <w:wordWrap/>
        <w:overflowPunct/>
        <w:topLinePunct w:val="0"/>
        <w:bidi w:val="0"/>
        <w:spacing w:beforeAutospacing="0" w:afterAutospacing="0" w:line="400" w:lineRule="exact"/>
        <w:ind w:left="425" w:leftChars="0" w:right="0" w:rightChars="0" w:hanging="425" w:firstLineChars="0"/>
        <w:rPr>
          <w:rFonts w:hint="eastAsia" w:asciiTheme="minorEastAsia" w:hAnsiTheme="minorEastAsia" w:eastAsiaTheme="minorEastAsia" w:cstheme="minorEastAsia"/>
          <w:sz w:val="24"/>
          <w:szCs w:val="24"/>
          <w:lang w:eastAsia="zh-CN"/>
        </w:rPr>
      </w:pPr>
      <w:r>
        <w:rPr>
          <w:rFonts w:hint="default" w:asciiTheme="minorEastAsia" w:hAnsiTheme="minorEastAsia" w:eastAsiaTheme="minorEastAsia" w:cstheme="minorEastAsia"/>
          <w:sz w:val="24"/>
          <w:szCs w:val="24"/>
          <w:lang w:val="en-US" w:eastAsia="zh-CN" w:bidi="ar-SA"/>
        </w:rPr>
        <w:t>c.</w:t>
      </w:r>
      <w:r>
        <w:rPr>
          <w:rFonts w:hint="eastAsia" w:asciiTheme="minorEastAsia" w:hAnsiTheme="minorEastAsia" w:eastAsiaTheme="minorEastAsia" w:cstheme="minorEastAsia"/>
          <w:sz w:val="24"/>
          <w:szCs w:val="24"/>
          <w:lang w:eastAsia="zh-CN"/>
        </w:rPr>
        <w:t>活动层板：所有断面经优质PVC封边防水处理，活动可拆卸式。</w:t>
      </w:r>
    </w:p>
    <w:p w14:paraId="6173C3A0">
      <w:pPr>
        <w:pageBreakBefore w:val="0"/>
        <w:numPr>
          <w:ilvl w:val="0"/>
          <w:numId w:val="0"/>
        </w:numPr>
        <w:tabs>
          <w:tab w:val="left" w:pos="400"/>
          <w:tab w:val="left" w:pos="600"/>
        </w:tabs>
        <w:kinsoku/>
        <w:wordWrap/>
        <w:overflowPunct/>
        <w:topLinePunct w:val="0"/>
        <w:bidi w:val="0"/>
        <w:spacing w:beforeAutospacing="0" w:afterAutospacing="0" w:line="400" w:lineRule="exact"/>
        <w:ind w:left="425" w:leftChars="0" w:right="0" w:rightChars="0" w:hanging="425" w:firstLineChars="0"/>
        <w:rPr>
          <w:rFonts w:hint="eastAsia" w:asciiTheme="minorEastAsia" w:hAnsiTheme="minorEastAsia" w:eastAsiaTheme="minorEastAsia" w:cstheme="minorEastAsia"/>
          <w:sz w:val="24"/>
          <w:szCs w:val="24"/>
          <w:lang w:eastAsia="zh-CN"/>
        </w:rPr>
      </w:pPr>
      <w:r>
        <w:rPr>
          <w:rFonts w:hint="default" w:asciiTheme="minorEastAsia" w:hAnsiTheme="minorEastAsia" w:eastAsiaTheme="minorEastAsia" w:cstheme="minorEastAsia"/>
          <w:sz w:val="24"/>
          <w:szCs w:val="24"/>
          <w:lang w:val="en-US" w:eastAsia="zh-CN" w:bidi="ar-SA"/>
        </w:rPr>
        <w:t>d.</w:t>
      </w:r>
      <w:r>
        <w:rPr>
          <w:rFonts w:hint="eastAsia" w:asciiTheme="minorEastAsia" w:hAnsiTheme="minorEastAsia" w:eastAsiaTheme="minorEastAsia" w:cstheme="minorEastAsia"/>
          <w:sz w:val="24"/>
          <w:szCs w:val="24"/>
          <w:lang w:eastAsia="zh-CN"/>
        </w:rPr>
        <w:t>活动背板：活动可拆卸式，方便柜体后上下水及电的维修。</w:t>
      </w:r>
    </w:p>
    <w:p w14:paraId="2107D43F">
      <w:pPr>
        <w:pageBreakBefore w:val="0"/>
        <w:numPr>
          <w:ilvl w:val="0"/>
          <w:numId w:val="0"/>
        </w:numPr>
        <w:tabs>
          <w:tab w:val="left" w:pos="400"/>
          <w:tab w:val="left" w:pos="600"/>
        </w:tabs>
        <w:kinsoku/>
        <w:wordWrap/>
        <w:overflowPunct/>
        <w:topLinePunct w:val="0"/>
        <w:bidi w:val="0"/>
        <w:spacing w:beforeAutospacing="0" w:afterAutospacing="0" w:line="400" w:lineRule="exact"/>
        <w:ind w:left="425" w:leftChars="0" w:right="0" w:rightChars="0" w:hanging="425" w:firstLineChars="0"/>
        <w:rPr>
          <w:rFonts w:hint="eastAsia" w:asciiTheme="minorEastAsia" w:hAnsiTheme="minorEastAsia" w:eastAsiaTheme="minorEastAsia" w:cstheme="minorEastAsia"/>
          <w:sz w:val="24"/>
          <w:szCs w:val="24"/>
          <w:lang w:eastAsia="zh-CN"/>
        </w:rPr>
      </w:pPr>
      <w:r>
        <w:rPr>
          <w:rFonts w:hint="default" w:asciiTheme="minorEastAsia" w:hAnsiTheme="minorEastAsia" w:eastAsiaTheme="minorEastAsia" w:cstheme="minorEastAsia"/>
          <w:sz w:val="24"/>
          <w:szCs w:val="24"/>
          <w:lang w:val="en-US" w:eastAsia="zh-CN" w:bidi="ar-SA"/>
        </w:rPr>
        <w:t>e.</w:t>
      </w:r>
      <w:r>
        <w:rPr>
          <w:rFonts w:hint="eastAsia" w:asciiTheme="minorEastAsia" w:hAnsiTheme="minorEastAsia" w:eastAsiaTheme="minorEastAsia" w:cstheme="minorEastAsia"/>
          <w:sz w:val="24"/>
          <w:szCs w:val="24"/>
          <w:lang w:eastAsia="zh-CN"/>
        </w:rPr>
        <w:t>滑轨：采用三节承重静音轨道，开合平稳，承重力强。</w:t>
      </w:r>
    </w:p>
    <w:p w14:paraId="52090185">
      <w:pPr>
        <w:pageBreakBefore w:val="0"/>
        <w:numPr>
          <w:ilvl w:val="0"/>
          <w:numId w:val="0"/>
        </w:numPr>
        <w:tabs>
          <w:tab w:val="left" w:pos="400"/>
          <w:tab w:val="left" w:pos="600"/>
        </w:tabs>
        <w:kinsoku/>
        <w:wordWrap/>
        <w:overflowPunct/>
        <w:topLinePunct w:val="0"/>
        <w:bidi w:val="0"/>
        <w:spacing w:beforeAutospacing="0" w:afterAutospacing="0" w:line="400" w:lineRule="exact"/>
        <w:ind w:left="425" w:leftChars="0" w:right="0" w:rightChars="0" w:hanging="425" w:firstLineChars="0"/>
        <w:rPr>
          <w:rFonts w:hint="eastAsia" w:asciiTheme="minorEastAsia" w:hAnsiTheme="minorEastAsia" w:eastAsiaTheme="minorEastAsia" w:cstheme="minorEastAsia"/>
          <w:sz w:val="24"/>
          <w:szCs w:val="24"/>
          <w:lang w:eastAsia="zh-CN"/>
        </w:rPr>
      </w:pPr>
      <w:r>
        <w:rPr>
          <w:rFonts w:hint="default" w:asciiTheme="minorEastAsia" w:hAnsiTheme="minorEastAsia" w:eastAsiaTheme="minorEastAsia" w:cstheme="minorEastAsia"/>
          <w:sz w:val="24"/>
          <w:szCs w:val="24"/>
          <w:lang w:val="en-US" w:eastAsia="zh-CN" w:bidi="ar-SA"/>
        </w:rPr>
        <w:t>f.</w:t>
      </w:r>
      <w:r>
        <w:rPr>
          <w:rFonts w:hint="eastAsia" w:asciiTheme="minorEastAsia" w:hAnsiTheme="minorEastAsia" w:eastAsiaTheme="minorEastAsia" w:cstheme="minorEastAsia"/>
          <w:sz w:val="24"/>
          <w:szCs w:val="24"/>
          <w:lang w:eastAsia="zh-CN"/>
        </w:rPr>
        <w:t>铰链：</w:t>
      </w:r>
      <w:r>
        <w:rPr>
          <w:rFonts w:hint="eastAsia" w:asciiTheme="minorEastAsia" w:hAnsiTheme="minorEastAsia" w:eastAsiaTheme="minorEastAsia" w:cstheme="minorEastAsia"/>
          <w:sz w:val="24"/>
          <w:szCs w:val="24"/>
          <w:lang w:val="en-US" w:eastAsia="zh-CN"/>
        </w:rPr>
        <w:t>采用110度铰链，带缓冲功能，开启十万次以上，耐腐蚀、承重、经久耐用</w:t>
      </w:r>
      <w:r>
        <w:rPr>
          <w:rFonts w:hint="eastAsia" w:asciiTheme="minorEastAsia" w:hAnsiTheme="minorEastAsia" w:eastAsiaTheme="minorEastAsia" w:cstheme="minorEastAsia"/>
          <w:sz w:val="24"/>
          <w:szCs w:val="24"/>
          <w:lang w:eastAsia="zh-CN"/>
        </w:rPr>
        <w:t>。</w:t>
      </w:r>
    </w:p>
    <w:p w14:paraId="0C7B5BE9">
      <w:pPr>
        <w:pageBreakBefore w:val="0"/>
        <w:numPr>
          <w:ilvl w:val="0"/>
          <w:numId w:val="0"/>
        </w:numPr>
        <w:tabs>
          <w:tab w:val="left" w:pos="400"/>
          <w:tab w:val="left" w:pos="600"/>
        </w:tabs>
        <w:kinsoku/>
        <w:wordWrap/>
        <w:overflowPunct/>
        <w:topLinePunct w:val="0"/>
        <w:bidi w:val="0"/>
        <w:spacing w:beforeAutospacing="0" w:afterAutospacing="0" w:line="400" w:lineRule="exact"/>
        <w:ind w:left="425" w:leftChars="0" w:right="0" w:rightChars="0" w:hanging="425" w:firstLineChars="0"/>
        <w:rPr>
          <w:rFonts w:hint="eastAsia" w:asciiTheme="minorEastAsia" w:hAnsiTheme="minorEastAsia" w:eastAsiaTheme="minorEastAsia" w:cstheme="minorEastAsia"/>
          <w:sz w:val="24"/>
          <w:szCs w:val="24"/>
          <w:lang w:eastAsia="zh-CN"/>
        </w:rPr>
      </w:pPr>
      <w:r>
        <w:rPr>
          <w:rFonts w:hint="default" w:asciiTheme="minorEastAsia" w:hAnsiTheme="minorEastAsia" w:eastAsiaTheme="minorEastAsia" w:cstheme="minorEastAsia"/>
          <w:sz w:val="24"/>
          <w:szCs w:val="24"/>
          <w:lang w:val="en-US" w:eastAsia="zh-CN" w:bidi="ar-SA"/>
        </w:rPr>
        <w:t>g.</w:t>
      </w:r>
      <w:r>
        <w:rPr>
          <w:rFonts w:hint="eastAsia" w:asciiTheme="minorEastAsia" w:hAnsiTheme="minorEastAsia" w:eastAsiaTheme="minorEastAsia" w:cstheme="minorEastAsia"/>
          <w:sz w:val="24"/>
          <w:szCs w:val="24"/>
          <w:lang w:eastAsia="zh-CN"/>
        </w:rPr>
        <w:t>可调脚：采用实验室专用不锈钢可调地脚，适于不同的地面环境，高度可调≥30㎜，方便实用。</w:t>
      </w:r>
    </w:p>
    <w:p w14:paraId="0A5E2B9B">
      <w:pPr>
        <w:pageBreakBefore w:val="0"/>
        <w:numPr>
          <w:ilvl w:val="0"/>
          <w:numId w:val="0"/>
        </w:numPr>
        <w:tabs>
          <w:tab w:val="left" w:pos="400"/>
          <w:tab w:val="left" w:pos="600"/>
        </w:tabs>
        <w:kinsoku/>
        <w:wordWrap/>
        <w:overflowPunct/>
        <w:topLinePunct w:val="0"/>
        <w:bidi w:val="0"/>
        <w:spacing w:beforeAutospacing="0" w:afterAutospacing="0" w:line="400" w:lineRule="exact"/>
        <w:ind w:left="425" w:leftChars="0" w:right="0" w:rightChars="0" w:hanging="425" w:firstLineChars="0"/>
        <w:rPr>
          <w:rFonts w:hint="eastAsia" w:asciiTheme="minorEastAsia" w:hAnsiTheme="minorEastAsia" w:eastAsiaTheme="minorEastAsia" w:cstheme="minorEastAsia"/>
          <w:color w:val="0000FF"/>
          <w:sz w:val="24"/>
          <w:szCs w:val="24"/>
          <w:highlight w:val="green"/>
          <w:lang w:eastAsia="zh-CN"/>
        </w:rPr>
      </w:pPr>
      <w:r>
        <w:rPr>
          <w:rFonts w:hint="default" w:asciiTheme="minorEastAsia" w:hAnsiTheme="minorEastAsia" w:eastAsiaTheme="minorEastAsia" w:cstheme="minorEastAsia"/>
          <w:color w:val="auto"/>
          <w:sz w:val="24"/>
          <w:szCs w:val="24"/>
          <w:lang w:val="en-US" w:eastAsia="zh-CN" w:bidi="ar-SA"/>
        </w:rPr>
        <w:t>h.</w:t>
      </w:r>
      <w:r>
        <w:rPr>
          <w:rFonts w:hint="eastAsia" w:asciiTheme="minorEastAsia" w:hAnsiTheme="minorEastAsia" w:eastAsiaTheme="minorEastAsia" w:cstheme="minorEastAsia"/>
          <w:sz w:val="24"/>
          <w:szCs w:val="24"/>
          <w:lang w:eastAsia="zh-CN"/>
        </w:rPr>
        <w:t>插座</w:t>
      </w:r>
      <w:r>
        <w:rPr>
          <w:rFonts w:hint="eastAsia" w:asciiTheme="minorEastAsia" w:hAnsiTheme="minorEastAsia" w:eastAsiaTheme="minorEastAsia" w:cstheme="minorEastAsia"/>
          <w:sz w:val="24"/>
          <w:szCs w:val="24"/>
          <w:lang w:val="en-US" w:eastAsia="zh-CN"/>
        </w:rPr>
        <w:t>及配线</w:t>
      </w:r>
      <w:r>
        <w:rPr>
          <w:rFonts w:hint="eastAsia" w:asciiTheme="minorEastAsia" w:hAnsiTheme="minorEastAsia" w:eastAsiaTheme="minorEastAsia" w:cstheme="minorEastAsia"/>
          <w:sz w:val="24"/>
          <w:szCs w:val="24"/>
          <w:lang w:eastAsia="zh-CN"/>
        </w:rPr>
        <w:t>：采用单插、双插、三插均有，与线槽紧密镶嵌，外观大方且方便、实用，符合</w:t>
      </w:r>
      <w:r>
        <w:rPr>
          <w:rFonts w:hint="eastAsia" w:asciiTheme="minorEastAsia" w:hAnsiTheme="minorEastAsia" w:eastAsiaTheme="minorEastAsia" w:cstheme="minorEastAsia"/>
          <w:sz w:val="24"/>
          <w:szCs w:val="24"/>
          <w:lang w:val="en-US" w:eastAsia="zh-CN"/>
        </w:rPr>
        <w:t>国标</w:t>
      </w:r>
      <w:r>
        <w:rPr>
          <w:rFonts w:hint="eastAsia" w:asciiTheme="minorEastAsia" w:hAnsiTheme="minorEastAsia" w:eastAsiaTheme="minorEastAsia" w:cstheme="minorEastAsia"/>
          <w:sz w:val="24"/>
          <w:szCs w:val="24"/>
          <w:lang w:eastAsia="zh-CN"/>
        </w:rPr>
        <w:t>要求，</w:t>
      </w:r>
      <w:r>
        <w:rPr>
          <w:rFonts w:hint="eastAsia" w:asciiTheme="minorEastAsia" w:hAnsiTheme="minorEastAsia" w:eastAsiaTheme="minorEastAsia" w:cstheme="minorEastAsia"/>
          <w:sz w:val="24"/>
          <w:szCs w:val="24"/>
          <w:lang w:val="en-US" w:eastAsia="zh-CN"/>
        </w:rPr>
        <w:t>配线穿管采用PP阻燃</w:t>
      </w:r>
      <w:r>
        <w:rPr>
          <w:rFonts w:hint="eastAsia" w:asciiTheme="minorEastAsia" w:hAnsiTheme="minorEastAsia" w:eastAsiaTheme="minorEastAsia" w:cstheme="minorEastAsia"/>
          <w:sz w:val="24"/>
          <w:szCs w:val="24"/>
          <w:lang w:eastAsia="zh-CN"/>
        </w:rPr>
        <w:t>波纹管，具有重量轻、承受压力强、弯曲性能优良、便于施工，能有效地保护管内电线电缆不受</w:t>
      </w:r>
      <w:r>
        <w:rPr>
          <w:rFonts w:hint="eastAsia" w:asciiTheme="minorEastAsia" w:hAnsiTheme="minorEastAsia" w:eastAsiaTheme="minorEastAsia" w:cstheme="minorEastAsia"/>
          <w:sz w:val="24"/>
          <w:szCs w:val="24"/>
          <w:lang w:val="en-US" w:eastAsia="zh-CN"/>
        </w:rPr>
        <w:t>腐蚀，PP阻燃</w:t>
      </w:r>
      <w:r>
        <w:rPr>
          <w:rFonts w:hint="eastAsia" w:asciiTheme="minorEastAsia" w:hAnsiTheme="minorEastAsia" w:eastAsiaTheme="minorEastAsia" w:cstheme="minorEastAsia"/>
          <w:sz w:val="24"/>
          <w:szCs w:val="24"/>
          <w:lang w:eastAsia="zh-CN"/>
        </w:rPr>
        <w:t>波纹管</w:t>
      </w:r>
      <w:r>
        <w:rPr>
          <w:rFonts w:hint="eastAsia" w:asciiTheme="minorEastAsia" w:hAnsiTheme="minorEastAsia" w:eastAsiaTheme="minorEastAsia" w:cstheme="minorEastAsia"/>
          <w:sz w:val="24"/>
          <w:szCs w:val="24"/>
          <w:lang w:val="en-US" w:eastAsia="zh-CN"/>
        </w:rPr>
        <w:t>满足建筑用绝缘电工套管及配件要求，外观套管内外表面光滑，弯曲性能无可见裂纹，弯扁性能，跌落性能：无震裂、破碎，阻燃性能：无明显火焰传播离开火焰30s内自熄，电气性能：</w:t>
      </w:r>
      <w:r>
        <w:rPr>
          <w:rFonts w:hint="eastAsia" w:asciiTheme="minorEastAsia" w:hAnsiTheme="minorEastAsia" w:eastAsiaTheme="minorEastAsia" w:cstheme="minorEastAsia"/>
          <w:color w:val="auto"/>
          <w:sz w:val="24"/>
          <w:szCs w:val="24"/>
          <w:lang w:eastAsia="zh-CN"/>
        </w:rPr>
        <w:t>绝缘电阻≥100Ω</w:t>
      </w:r>
    </w:p>
    <w:p w14:paraId="513138D3">
      <w:pPr>
        <w:pageBreakBefore w:val="0"/>
        <w:numPr>
          <w:ilvl w:val="0"/>
          <w:numId w:val="50"/>
        </w:numPr>
        <w:tabs>
          <w:tab w:val="left" w:pos="200"/>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color w:val="auto"/>
          <w:sz w:val="24"/>
          <w:szCs w:val="24"/>
          <w:lang w:eastAsia="zh-CN"/>
        </w:rPr>
      </w:pPr>
      <w:r>
        <w:rPr>
          <w:rFonts w:hint="eastAsia" w:asciiTheme="minorEastAsia" w:hAnsiTheme="minorEastAsia" w:eastAsiaTheme="minorEastAsia" w:cstheme="minorEastAsia"/>
          <w:b w:val="0"/>
          <w:bCs/>
          <w:color w:val="auto"/>
          <w:sz w:val="24"/>
          <w:szCs w:val="24"/>
          <w:lang w:eastAsia="zh-CN"/>
        </w:rPr>
        <w:t>有水槽的位置增加挡水条。</w:t>
      </w:r>
    </w:p>
    <w:p w14:paraId="4CA7C5D8">
      <w:pPr>
        <w:pageBreakBefore w:val="0"/>
        <w:numPr>
          <w:ilvl w:val="0"/>
          <w:numId w:val="0"/>
        </w:numPr>
        <w:tabs>
          <w:tab w:val="left" w:pos="3122"/>
        </w:tabs>
        <w:kinsoku/>
        <w:wordWrap/>
        <w:overflowPunct/>
        <w:topLinePunct w:val="0"/>
        <w:bidi w:val="0"/>
        <w:spacing w:beforeAutospacing="0" w:afterAutospacing="0" w:line="400" w:lineRule="exact"/>
        <w:ind w:leftChars="0" w:right="0" w:rightChars="0"/>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lang w:eastAsia="zh-CN"/>
        </w:rPr>
        <w:t>中央台及仪器台（</w:t>
      </w:r>
      <w:r>
        <w:rPr>
          <w:rFonts w:hint="eastAsia" w:asciiTheme="minorEastAsia" w:hAnsiTheme="minorEastAsia" w:eastAsiaTheme="minorEastAsia" w:cstheme="minorEastAsia"/>
          <w:b/>
          <w:sz w:val="24"/>
          <w:szCs w:val="24"/>
          <w:lang w:val="en-US" w:eastAsia="zh-CN"/>
        </w:rPr>
        <w:t>全钢）</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sz w:val="24"/>
          <w:szCs w:val="24"/>
        </w:rPr>
        <w:drawing>
          <wp:anchor distT="0" distB="0" distL="114300" distR="114300" simplePos="0" relativeHeight="251661312" behindDoc="1" locked="0" layoutInCell="1" allowOverlap="1">
            <wp:simplePos x="0" y="0"/>
            <wp:positionH relativeFrom="column">
              <wp:posOffset>74930</wp:posOffset>
            </wp:positionH>
            <wp:positionV relativeFrom="page">
              <wp:posOffset>1602740</wp:posOffset>
            </wp:positionV>
            <wp:extent cx="5944235" cy="3753485"/>
            <wp:effectExtent l="0" t="0" r="18415" b="18415"/>
            <wp:wrapTight wrapText="bothSides">
              <wp:wrapPolygon>
                <wp:start x="0" y="0"/>
                <wp:lineTo x="0" y="21487"/>
                <wp:lineTo x="21528" y="21487"/>
                <wp:lineTo x="21528" y="0"/>
                <wp:lineTo x="0" y="0"/>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5944235" cy="3753485"/>
                    </a:xfrm>
                    <a:prstGeom prst="rect">
                      <a:avLst/>
                    </a:prstGeom>
                    <a:noFill/>
                    <a:ln>
                      <a:noFill/>
                    </a:ln>
                  </pic:spPr>
                </pic:pic>
              </a:graphicData>
            </a:graphic>
          </wp:anchor>
        </w:drawing>
      </w:r>
    </w:p>
    <w:p w14:paraId="640E4F07">
      <w:pPr>
        <w:pageBreakBefore w:val="0"/>
        <w:numPr>
          <w:ilvl w:val="0"/>
          <w:numId w:val="52"/>
        </w:numPr>
        <w:tabs>
          <w:tab w:val="left" w:pos="3122"/>
        </w:tabs>
        <w:kinsoku/>
        <w:wordWrap/>
        <w:overflowPunct/>
        <w:topLinePunct w:val="0"/>
        <w:bidi w:val="0"/>
        <w:spacing w:beforeAutospacing="0" w:afterAutospacing="0" w:line="400" w:lineRule="exact"/>
        <w:ind w:left="454" w:leftChars="0" w:right="0" w:hanging="454"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eastAsia="zh-CN"/>
        </w:rPr>
        <w:t>规格:</w:t>
      </w:r>
      <w:r>
        <w:rPr>
          <w:rFonts w:hint="eastAsia" w:asciiTheme="minorEastAsia" w:hAnsiTheme="minorEastAsia" w:eastAsiaTheme="minorEastAsia" w:cstheme="minorEastAsia"/>
          <w:b w:val="0"/>
          <w:bCs/>
          <w:sz w:val="24"/>
          <w:szCs w:val="24"/>
          <w:lang w:val="en-US" w:eastAsia="zh-CN"/>
        </w:rPr>
        <w:t>按设计实际尺寸</w:t>
      </w:r>
    </w:p>
    <w:p w14:paraId="1D893ED5">
      <w:pPr>
        <w:pageBreakBefore w:val="0"/>
        <w:numPr>
          <w:ilvl w:val="0"/>
          <w:numId w:val="52"/>
        </w:numPr>
        <w:tabs>
          <w:tab w:val="left" w:pos="3122"/>
        </w:tabs>
        <w:kinsoku/>
        <w:wordWrap/>
        <w:overflowPunct/>
        <w:topLinePunct w:val="0"/>
        <w:bidi w:val="0"/>
        <w:spacing w:beforeAutospacing="0" w:afterAutospacing="0" w:line="400" w:lineRule="exact"/>
        <w:ind w:left="454" w:leftChars="0" w:right="0" w:hanging="454"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eastAsia="zh-CN"/>
        </w:rPr>
        <w:t xml:space="preserve">结构: </w:t>
      </w:r>
      <w:r>
        <w:rPr>
          <w:rFonts w:hint="eastAsia" w:asciiTheme="minorEastAsia" w:hAnsiTheme="minorEastAsia" w:eastAsiaTheme="minorEastAsia" w:cstheme="minorEastAsia"/>
          <w:b w:val="0"/>
          <w:bCs/>
          <w:sz w:val="24"/>
          <w:szCs w:val="24"/>
          <w:lang w:val="en-US" w:eastAsia="zh-CN"/>
        </w:rPr>
        <w:t>全钢落地</w:t>
      </w:r>
      <w:r>
        <w:rPr>
          <w:rFonts w:hint="eastAsia" w:asciiTheme="minorEastAsia" w:hAnsiTheme="minorEastAsia" w:eastAsiaTheme="minorEastAsia" w:cstheme="minorEastAsia"/>
          <w:b w:val="0"/>
          <w:bCs/>
          <w:sz w:val="24"/>
          <w:szCs w:val="24"/>
          <w:lang w:eastAsia="zh-CN"/>
        </w:rPr>
        <w:t>结构。</w:t>
      </w:r>
      <w:r>
        <w:rPr>
          <w:rFonts w:hint="eastAsia" w:asciiTheme="minorEastAsia" w:hAnsiTheme="minorEastAsia" w:eastAsiaTheme="minorEastAsia" w:cstheme="minorEastAsia"/>
          <w:b w:val="0"/>
          <w:bCs/>
          <w:sz w:val="24"/>
          <w:szCs w:val="24"/>
          <w:lang w:val="en-US" w:eastAsia="zh-CN"/>
        </w:rPr>
        <w:t>模块化设计，便于安装和拆卸，适应不同场地和使用需求，灵活性强，方便运输和调整布局。</w:t>
      </w:r>
    </w:p>
    <w:p w14:paraId="1641594E">
      <w:pPr>
        <w:pageBreakBefore w:val="0"/>
        <w:numPr>
          <w:ilvl w:val="0"/>
          <w:numId w:val="52"/>
        </w:numPr>
        <w:tabs>
          <w:tab w:val="left" w:pos="3122"/>
        </w:tabs>
        <w:kinsoku/>
        <w:wordWrap/>
        <w:overflowPunct/>
        <w:topLinePunct w:val="0"/>
        <w:bidi w:val="0"/>
        <w:spacing w:beforeAutospacing="0" w:afterAutospacing="0" w:line="400" w:lineRule="exact"/>
        <w:ind w:left="454" w:leftChars="0" w:right="0" w:hanging="454"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台面: 中央台、边台、转角柜、仪器台等实验操作台面选用12.7mm厚实芯理化板，</w:t>
      </w:r>
      <w:r>
        <w:rPr>
          <w:rFonts w:hint="eastAsia" w:asciiTheme="minorEastAsia" w:hAnsiTheme="minorEastAsia" w:eastAsiaTheme="minorEastAsia" w:cstheme="minorEastAsia"/>
          <w:sz w:val="24"/>
          <w:szCs w:val="24"/>
          <w:lang w:eastAsia="zh-CN"/>
        </w:rPr>
        <w:t>边缘加厚到25.4mm，并开滴水</w:t>
      </w:r>
      <w:r>
        <w:rPr>
          <w:rFonts w:hint="eastAsia" w:asciiTheme="minorEastAsia" w:hAnsiTheme="minorEastAsia" w:eastAsiaTheme="minorEastAsia" w:cstheme="minorEastAsia"/>
          <w:color w:val="auto"/>
          <w:sz w:val="24"/>
          <w:szCs w:val="24"/>
          <w:lang w:eastAsia="zh-CN"/>
        </w:rPr>
        <w:t>线。台面四角经圆弧倒角处理</w:t>
      </w:r>
      <w:r>
        <w:rPr>
          <w:rFonts w:hint="eastAsia" w:asciiTheme="minorEastAsia" w:hAnsiTheme="minorEastAsia" w:eastAsiaTheme="minorEastAsia" w:cstheme="minorEastAsia"/>
          <w:b w:val="0"/>
          <w:bCs/>
          <w:sz w:val="24"/>
          <w:szCs w:val="24"/>
          <w:lang w:val="en-US" w:eastAsia="zh-CN"/>
        </w:rPr>
        <w:t>。实芯理化板参数及性能同上述。</w:t>
      </w:r>
    </w:p>
    <w:p w14:paraId="3E673293">
      <w:pPr>
        <w:pageBreakBefore w:val="0"/>
        <w:numPr>
          <w:ilvl w:val="0"/>
          <w:numId w:val="52"/>
        </w:numPr>
        <w:tabs>
          <w:tab w:val="left" w:pos="3122"/>
        </w:tabs>
        <w:kinsoku/>
        <w:wordWrap/>
        <w:overflowPunct/>
        <w:topLinePunct w:val="0"/>
        <w:bidi w:val="0"/>
        <w:spacing w:beforeAutospacing="0" w:afterAutospacing="0" w:line="400" w:lineRule="exact"/>
        <w:ind w:left="454" w:leftChars="0" w:right="0" w:hanging="454"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柜体部分：</w:t>
      </w:r>
    </w:p>
    <w:p w14:paraId="6D478DDB">
      <w:pPr>
        <w:pageBreakBefore w:val="0"/>
        <w:numPr>
          <w:ilvl w:val="0"/>
          <w:numId w:val="53"/>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实验台柜体</w:t>
      </w:r>
    </w:p>
    <w:p w14:paraId="3B83CF8F">
      <w:pPr>
        <w:pageBreakBefore w:val="0"/>
        <w:numPr>
          <w:ilvl w:val="0"/>
          <w:numId w:val="54"/>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val="en-US" w:eastAsia="zh-CN"/>
        </w:rPr>
        <w:t>柜体材质采用</w:t>
      </w:r>
      <w:r>
        <w:rPr>
          <w:rFonts w:hint="eastAsia" w:asciiTheme="minorEastAsia" w:hAnsiTheme="minorEastAsia" w:eastAsiaTheme="minorEastAsia" w:cstheme="minorEastAsia"/>
          <w:b/>
          <w:bCs w:val="0"/>
          <w:color w:val="auto"/>
          <w:sz w:val="24"/>
          <w:szCs w:val="24"/>
          <w:lang w:val="en-US" w:eastAsia="zh-CN"/>
        </w:rPr>
        <w:t>1.2mm厚</w:t>
      </w:r>
      <w:r>
        <w:rPr>
          <w:rFonts w:hint="eastAsia" w:asciiTheme="minorEastAsia" w:hAnsiTheme="minorEastAsia" w:eastAsiaTheme="minorEastAsia" w:cstheme="minorEastAsia"/>
          <w:b w:val="0"/>
          <w:bCs/>
          <w:sz w:val="24"/>
          <w:szCs w:val="24"/>
          <w:lang w:val="en-US" w:eastAsia="zh-CN"/>
        </w:rPr>
        <w:t>冷轧钢板冲折焊接制作，先经脱脂、水洗、酸洗、中和、磷化、高压冲洗、烘干防锈。</w:t>
      </w:r>
      <w:r>
        <w:rPr>
          <w:rFonts w:hint="eastAsia" w:asciiTheme="minorEastAsia" w:hAnsiTheme="minorEastAsia" w:eastAsiaTheme="minorEastAsia" w:cstheme="minorEastAsia"/>
          <w:b w:val="0"/>
          <w:bCs/>
          <w:sz w:val="24"/>
          <w:szCs w:val="24"/>
          <w:lang w:eastAsia="zh-CN"/>
        </w:rPr>
        <w:t>钢制部件表处理，所有切割、冲压、钻孔件要去披锋平毛刺；表面经脱脂、水洗、酸洗、水洗、中和、磷化、水洗、高压冲洗、烘干后使用环氧树脂喷涂粉末进行喷涂高温固化，涂层厚度 ≥75μm，表面光滑均匀、色泽一致、无流挂、皱皮、鼓泡、凹陷、压痕，满足实验室家具硬度、耐腐蚀、附着力的技术要求。</w:t>
      </w:r>
    </w:p>
    <w:p w14:paraId="18F90387">
      <w:pPr>
        <w:pageBreakBefore w:val="0"/>
        <w:numPr>
          <w:ilvl w:val="0"/>
          <w:numId w:val="54"/>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所有钣金转角采用无拼缝转角拼接技术，过渡更加圆滑美观，避免了传统拼接方式可能产生的缝隙和不平整问题，提升了整体的视觉效果和使用寿命。</w:t>
      </w:r>
    </w:p>
    <w:p w14:paraId="749A31CA">
      <w:pPr>
        <w:pageBreakBefore w:val="0"/>
        <w:numPr>
          <w:ilvl w:val="0"/>
          <w:numId w:val="54"/>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整体采用全预埋螺母设计，免去了自攻螺丝对表面涂层的伤害，用拉铆螺母经1.9kn以上拉力铆固，配合机丝螺丝连接方便现场组装，不破坏防腐涂层，工件所有连接部分经过两次环氧喷涂，避免因水份或者试剂渗漏进接缝后出现腐蚀生锈。</w:t>
      </w:r>
    </w:p>
    <w:p w14:paraId="2156BDB8">
      <w:pPr>
        <w:pageBreakBefore w:val="0"/>
        <w:numPr>
          <w:ilvl w:val="0"/>
          <w:numId w:val="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（5）门板、抽屉</w:t>
      </w:r>
    </w:p>
    <w:p w14:paraId="2C6A219C">
      <w:pPr>
        <w:pageBreakBefore w:val="0"/>
        <w:numPr>
          <w:ilvl w:val="0"/>
          <w:numId w:val="55"/>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片装组合结构凸面双斜边设计，采用≥1.0mm高品质冷轧钢板，喷涂75μm厚环氧树脂粉末，柜体门板、抽屉通过一体成型自动模压机精密加工工艺，孔位与门板使用标准模具一次性模压成型为双斜边凸面结构，无焊接点外露。门板、抽屉没有薄弱连接点，避免人工二次冲孔导致的变形或涂层损伤，导致钣金件易生锈、腐坏。双层结构内外部都经过环氧树脂喷涂中间填充隔音材料；门板、抽屉门板内含填充材料起到静音作用。</w:t>
      </w:r>
    </w:p>
    <w:p w14:paraId="690A62B0">
      <w:pPr>
        <w:pageBreakBefore w:val="0"/>
        <w:numPr>
          <w:ilvl w:val="0"/>
          <w:numId w:val="55"/>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采用1.2mm厚钢制一体成型拉手，双斜边凸面外观与柜门表面高度贴合；其拉手弯边处为R5-R6弧形折弯结构，边缘圆润光滑，与柜门侧面自然衔接。避免使用时手部接触割伤风险，提升操作舒适性；折弯处的弧形过渡能分散受力，减少长期使用后的拉手边变形风险。</w:t>
      </w:r>
    </w:p>
    <w:p w14:paraId="3BC32B10">
      <w:pPr>
        <w:pageBreakBefore w:val="0"/>
        <w:numPr>
          <w:ilvl w:val="0"/>
          <w:numId w:val="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（6）配件部分：</w:t>
      </w:r>
    </w:p>
    <w:p w14:paraId="01122B11">
      <w:pPr>
        <w:pageBreakBefore w:val="0"/>
        <w:numPr>
          <w:ilvl w:val="0"/>
          <w:numId w:val="56"/>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导轨：三节静音导轨，带缓冲，动态负载: 35KG（品牌可选）</w:t>
      </w:r>
    </w:p>
    <w:p w14:paraId="715E8D6C">
      <w:pPr>
        <w:pageBreakBefore w:val="0"/>
        <w:numPr>
          <w:ilvl w:val="0"/>
          <w:numId w:val="56"/>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铰链：带缓冲铰链，开启角度：不小于105°，采用冷扎板电镀工艺。（品牌可选）</w:t>
      </w:r>
    </w:p>
    <w:p w14:paraId="3F2461E1">
      <w:pPr>
        <w:pageBreakBefore w:val="0"/>
        <w:numPr>
          <w:ilvl w:val="0"/>
          <w:numId w:val="56"/>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高低调整脚：采用M10螺丝压模成型，底衬防水黑色PVC六角套环，保证可以在柜门打开的情况下，进行钢柜体的水平调节。地脚最高可调节至15mm的高度。</w:t>
      </w:r>
    </w:p>
    <w:p w14:paraId="5746008D">
      <w:pPr>
        <w:pageBreakBefore w:val="0"/>
        <w:numPr>
          <w:ilvl w:val="0"/>
          <w:numId w:val="56"/>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sz w:val="24"/>
          <w:szCs w:val="24"/>
          <w:lang w:eastAsia="zh-CN"/>
        </w:rPr>
        <w:t>插座：选用多功能插座，适用于各种国产或进口仪器插头。</w:t>
      </w:r>
    </w:p>
    <w:p w14:paraId="7614B4CC">
      <w:pPr>
        <w:pageBreakBefore w:val="0"/>
        <w:numPr>
          <w:ilvl w:val="0"/>
          <w:numId w:val="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（8）钢板技术要求：</w:t>
      </w:r>
    </w:p>
    <w:p w14:paraId="3E15D71C">
      <w:pPr>
        <w:pageBreakBefore w:val="0"/>
        <w:numPr>
          <w:ilvl w:val="0"/>
          <w:numId w:val="57"/>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需依据GB/T 10125-2021标准进行盐雾试验，试验条件为400小时中性盐雾试验，并依据QB/T 3832-1999标准进行评价，评价结果不低于9级；同时，需依据QB/T 3827-1999标准进行盐雾试验，试验条件为24小时乙酸盐雾试验，并依据QB/T 3832-1999标准进行评价，评价结果不低于9级。</w:t>
      </w:r>
      <w:r>
        <w:rPr>
          <w:rFonts w:hint="eastAsia" w:asciiTheme="minorEastAsia" w:hAnsiTheme="minorEastAsia" w:eastAsiaTheme="minorEastAsia" w:cstheme="minorEastAsia"/>
          <w:b w:val="0"/>
          <w:bCs/>
          <w:sz w:val="24"/>
          <w:szCs w:val="24"/>
          <w:lang w:val="en-US" w:eastAsia="zh-CN"/>
        </w:rPr>
        <w:br w:type="textWrapping"/>
      </w:r>
      <w:r>
        <w:rPr>
          <w:rFonts w:hint="eastAsia" w:asciiTheme="minorEastAsia" w:hAnsiTheme="minorEastAsia" w:eastAsiaTheme="minorEastAsia" w:cstheme="minorEastAsia"/>
          <w:b w:val="0"/>
          <w:bCs/>
          <w:sz w:val="24"/>
          <w:szCs w:val="24"/>
          <w:lang w:val="en-US" w:eastAsia="zh-CN"/>
        </w:rPr>
        <w:t xml:space="preserve"> 为满足实验室的抗菌要求，所有钢板必须依据GB/T 31402-2023标准进行塑料和其他无孔材料表面抗菌活性的测定。抗菌率&gt;99.9%。</w:t>
      </w:r>
    </w:p>
    <w:p w14:paraId="7B3130F1">
      <w:pPr>
        <w:pageBreakBefore w:val="0"/>
        <w:numPr>
          <w:ilvl w:val="0"/>
          <w:numId w:val="57"/>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需依据GB/T 1741-2020标准检测耐霉菌性，符合等级为0级。</w:t>
      </w:r>
    </w:p>
    <w:p w14:paraId="2C99290A">
      <w:pPr>
        <w:pageBreakBefore w:val="0"/>
        <w:numPr>
          <w:ilvl w:val="0"/>
          <w:numId w:val="57"/>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金属件喷涂层要求:</w:t>
      </w:r>
    </w:p>
    <w:p w14:paraId="4CF0D447">
      <w:pPr>
        <w:pageBreakBefore w:val="0"/>
        <w:numPr>
          <w:ilvl w:val="0"/>
          <w:numId w:val="58"/>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涂层应无漏喷、锈蚀、脱色和掉色现象；表面应光滑均匀，色泽一致，不得有流挂、疙瘩、皱皮、飞漆等缺陷。可触及区域应无毛刺，无锐边锐角；</w:t>
      </w:r>
    </w:p>
    <w:p w14:paraId="5AF553CE">
      <w:pPr>
        <w:pageBreakBefore w:val="0"/>
        <w:numPr>
          <w:ilvl w:val="0"/>
          <w:numId w:val="58"/>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金属喷漆（塑）涂层的硬度应不低于5H；</w:t>
      </w:r>
    </w:p>
    <w:p w14:paraId="24F7153B">
      <w:pPr>
        <w:pageBreakBefore w:val="0"/>
        <w:numPr>
          <w:ilvl w:val="0"/>
          <w:numId w:val="58"/>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金属喷漆（塑）涂层的冲击强度应能承受600mm高度的冲击，且无剥落、裂纹、皱纹现象；</w:t>
      </w:r>
    </w:p>
    <w:p w14:paraId="6EE1ADBE">
      <w:pPr>
        <w:pageBreakBefore w:val="0"/>
        <w:numPr>
          <w:ilvl w:val="0"/>
          <w:numId w:val="58"/>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金属喷漆（塑）涂层在150小时内耐腐蚀试验中，溶液中样板上划道两侧3mm以外应无鼓泡产生；150小时后，划道两侧3mm外应无锈迹、剥落、起皱、变色和失光等现象；</w:t>
      </w:r>
    </w:p>
    <w:p w14:paraId="026D5313">
      <w:pPr>
        <w:pageBreakBefore w:val="0"/>
        <w:numPr>
          <w:ilvl w:val="0"/>
          <w:numId w:val="58"/>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涂层的附着力应不低于1级；</w:t>
      </w:r>
    </w:p>
    <w:p w14:paraId="68D80E14">
      <w:pPr>
        <w:pageBreakBefore w:val="0"/>
        <w:numPr>
          <w:ilvl w:val="0"/>
          <w:numId w:val="58"/>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金属电镀层在48小时抗盐雾试验中，直径1.5mm以下的锈点数量应不超过20点/dm²，其中直径≥1.0mm的锈点不超过5点（距边缘棱角2mm以内的不计）；</w:t>
      </w:r>
    </w:p>
    <w:p w14:paraId="272B0674">
      <w:pPr>
        <w:pageBreakBefore w:val="0"/>
        <w:numPr>
          <w:ilvl w:val="0"/>
          <w:numId w:val="58"/>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val="0"/>
          <w:bCs/>
          <w:sz w:val="24"/>
          <w:szCs w:val="24"/>
          <w:lang w:val="en-US" w:eastAsia="zh-CN"/>
        </w:rPr>
        <w:t>金属喷漆（塑）涂层耐盐浴试验，需依据GB/T 3325-2024标准检测，并依据QB/T 1950-2024描述的方法进行测定,试验时间为100h。试验后,检查划道两侧3mm以按外的区域是否有鼓泡、锈蚀、剥落、起皱等现象。</w:t>
      </w:r>
    </w:p>
    <w:p w14:paraId="16472D1F">
      <w:pPr>
        <w:pageBreakBefore w:val="0"/>
        <w:numPr>
          <w:ilvl w:val="0"/>
          <w:numId w:val="59"/>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桌上通风柜</w:t>
      </w:r>
    </w:p>
    <w:p w14:paraId="6D583277">
      <w:pPr>
        <w:pageBreakBefore w:val="0"/>
        <w:numPr>
          <w:ilvl w:val="0"/>
          <w:numId w:val="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sz w:val="24"/>
          <w:szCs w:val="24"/>
          <w:lang w:eastAsia="zh-CN"/>
        </w:rPr>
        <w:t>桌上通风柜</w:t>
      </w:r>
      <w:r>
        <w:rPr>
          <w:rFonts w:hint="eastAsia" w:asciiTheme="minorEastAsia" w:hAnsiTheme="minorEastAsia" w:eastAsiaTheme="minorEastAsia" w:cstheme="minorEastAsia"/>
          <w:b/>
          <w:sz w:val="24"/>
          <w:szCs w:val="24"/>
          <w:lang w:val="en-US" w:eastAsia="zh-CN"/>
        </w:rPr>
        <w:t>其中一台采用PP 材质，PP板</w:t>
      </w:r>
      <w:r>
        <w:rPr>
          <w:rFonts w:hint="eastAsia" w:asciiTheme="minorEastAsia" w:hAnsiTheme="minorEastAsia" w:eastAsiaTheme="minorEastAsia" w:cstheme="minorEastAsia"/>
          <w:b/>
          <w:bCs w:val="0"/>
          <w:sz w:val="24"/>
          <w:szCs w:val="24"/>
          <w:lang w:val="en-US" w:eastAsia="zh-CN"/>
        </w:rPr>
        <w:t>材厚度要求</w:t>
      </w:r>
      <w:r>
        <w:rPr>
          <w:rFonts w:hint="eastAsia" w:asciiTheme="minorEastAsia" w:hAnsiTheme="minorEastAsia" w:eastAsiaTheme="minorEastAsia" w:cstheme="minorEastAsia"/>
          <w:b/>
          <w:bCs w:val="0"/>
          <w:kern w:val="2"/>
          <w:sz w:val="24"/>
          <w:szCs w:val="24"/>
          <w:lang w:val="en-US" w:eastAsia="zh-CN" w:bidi="ar-SA"/>
        </w:rPr>
        <w:t>≥</w:t>
      </w:r>
      <w:r>
        <w:rPr>
          <w:rFonts w:hint="eastAsia" w:asciiTheme="minorEastAsia" w:hAnsiTheme="minorEastAsia" w:eastAsiaTheme="minorEastAsia" w:cstheme="minorEastAsia"/>
          <w:b/>
          <w:bCs w:val="0"/>
          <w:sz w:val="24"/>
          <w:szCs w:val="24"/>
          <w:lang w:eastAsia="zh-CN"/>
        </w:rPr>
        <w:t>10mm。</w:t>
      </w:r>
      <w:r>
        <w:rPr>
          <w:rFonts w:hint="eastAsia" w:asciiTheme="minorEastAsia" w:hAnsiTheme="minorEastAsia" w:eastAsiaTheme="minorEastAsia" w:cstheme="minorEastAsia"/>
          <w:b/>
          <w:bCs/>
          <w:sz w:val="24"/>
          <w:szCs w:val="24"/>
          <w:lang w:val="en-US" w:eastAsia="zh-CN"/>
        </w:rPr>
        <w:t>其余均参数相同。</w:t>
      </w:r>
    </w:p>
    <w:p w14:paraId="2BC39A51">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.1、主体框架左右旁板、前钢板、背板、顶板均采用全钢结构，采用国标</w:t>
      </w:r>
      <w:r>
        <w:rPr>
          <w:rFonts w:hint="eastAsia" w:asciiTheme="minorEastAsia" w:hAnsiTheme="minorEastAsia" w:eastAsiaTheme="minorEastAsia" w:cstheme="minorEastAsia"/>
          <w:b w:val="0"/>
          <w:bCs w:val="0"/>
          <w:kern w:val="2"/>
          <w:sz w:val="24"/>
          <w:szCs w:val="24"/>
          <w:lang w:val="en-US" w:eastAsia="zh-CN" w:bidi="ar-SA"/>
        </w:rPr>
        <w:t>≥</w:t>
      </w:r>
      <w:r>
        <w:rPr>
          <w:rFonts w:hint="eastAsia" w:asciiTheme="minorEastAsia" w:hAnsiTheme="minorEastAsia" w:eastAsiaTheme="minorEastAsia" w:cstheme="minorEastAsia"/>
          <w:sz w:val="24"/>
          <w:szCs w:val="24"/>
          <w:lang w:eastAsia="zh-CN"/>
        </w:rPr>
        <w:t>1.0mm优质镀锌钢板冲压成型，表面高压静电粉</w:t>
      </w:r>
      <w:r>
        <w:rPr>
          <w:rFonts w:hint="eastAsia" w:asciiTheme="minorEastAsia" w:hAnsiTheme="minorEastAsia" w:eastAsiaTheme="minorEastAsia" w:cstheme="minorEastAsia"/>
          <w:sz w:val="24"/>
          <w:szCs w:val="24"/>
          <w:lang w:val="en-US" w:eastAsia="zh-CN"/>
        </w:rPr>
        <w:t>末</w:t>
      </w:r>
      <w:r>
        <w:rPr>
          <w:rFonts w:hint="eastAsia" w:asciiTheme="minorEastAsia" w:hAnsiTheme="minorEastAsia" w:eastAsiaTheme="minorEastAsia" w:cstheme="minorEastAsia"/>
          <w:sz w:val="24"/>
          <w:szCs w:val="24"/>
          <w:lang w:eastAsia="zh-CN"/>
        </w:rPr>
        <w:t>喷涂专用防腐蚀环氧树脂，耐酸碱，防腐蚀。</w:t>
      </w:r>
    </w:p>
    <w:p w14:paraId="053889FA">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.2、侧面嵌入</w:t>
      </w:r>
      <w:r>
        <w:rPr>
          <w:rFonts w:hint="eastAsia" w:asciiTheme="minorEastAsia" w:hAnsiTheme="minorEastAsia" w:eastAsiaTheme="minorEastAsia" w:cstheme="minorEastAsia"/>
          <w:b w:val="0"/>
          <w:bCs w:val="0"/>
          <w:kern w:val="2"/>
          <w:sz w:val="24"/>
          <w:szCs w:val="24"/>
          <w:lang w:val="en-US" w:eastAsia="zh-CN" w:bidi="ar-SA"/>
        </w:rPr>
        <w:t>≥</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mm厚优质钢化玻璃，压边条固定，可视度效果更好，更安全方便快捷了解内部动态。</w:t>
      </w:r>
    </w:p>
    <w:p w14:paraId="4C13DE4A">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.3、移动视窗玻璃门两侧夹条及一字拉手均为PP塑料模具一体成型，嵌入</w:t>
      </w:r>
      <w:r>
        <w:rPr>
          <w:rFonts w:hint="eastAsia" w:asciiTheme="minorEastAsia" w:hAnsiTheme="minorEastAsia" w:eastAsiaTheme="minorEastAsia" w:cstheme="minorEastAsia"/>
          <w:b w:val="0"/>
          <w:bCs w:val="0"/>
          <w:kern w:val="2"/>
          <w:sz w:val="24"/>
          <w:szCs w:val="24"/>
          <w:lang w:val="en-US" w:eastAsia="zh-CN" w:bidi="ar-SA"/>
        </w:rPr>
        <w:t>≥</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mm厚优质钢化玻璃，门开启高度为800mm，自由升降，移门上下滑动装置采用同步轴轮皮带式传动结构，无级任意停留，移门导向装置由抗酸碱耐腐蚀的聚氯乙稀材质构成。</w:t>
      </w:r>
    </w:p>
    <w:p w14:paraId="4FC63EA5">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.4、连接部分所有的内部连接装置都需隐藏布置和抗腐蚀，没有外露的螺钉，外部连接装置都抗化学腐蚀的不锈钢部件与非金属材料。</w:t>
      </w:r>
    </w:p>
    <w:p w14:paraId="54EAED9E">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.5、顶部排气出口采用PP集气罩模具一体成型，出风口直径250mm圆孔，套管连接，减少气体扰流。</w:t>
      </w:r>
    </w:p>
    <w:p w14:paraId="340C6108">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.6、电路控制面板采用液晶显示屏面板（可设置快慢自由调节，可适应市场上大部分类似产品，支持电动风阀6秒快开）8个按键电源、设置、确定、照明、备用、风机、风阀+\-键。</w:t>
      </w:r>
    </w:p>
    <w:p w14:paraId="089D84E1">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.7、照明LED白光灯快速启动类型，安装置通风柜顶部，使用寿命长。</w:t>
      </w:r>
    </w:p>
    <w:p w14:paraId="607260AD">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.8、插座共四个10A五孔多功能插座。</w:t>
      </w:r>
    </w:p>
    <w:p w14:paraId="527DCF7F">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.9技术要求：性能参数</w:t>
      </w:r>
    </w:p>
    <w:p w14:paraId="0C2F4BCF">
      <w:pPr>
        <w:pageBreakBefore w:val="0"/>
        <w:numPr>
          <w:ilvl w:val="0"/>
          <w:numId w:val="6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操作口平均面风速0.5m/s;</w:t>
      </w:r>
    </w:p>
    <w:p w14:paraId="6B0F5DFF">
      <w:pPr>
        <w:pageBreakBefore w:val="0"/>
        <w:numPr>
          <w:ilvl w:val="0"/>
          <w:numId w:val="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（2）控制浓度≤0.5mL/m</w:t>
      </w:r>
      <w:r>
        <w:rPr>
          <w:rFonts w:hint="eastAsia" w:asciiTheme="minorEastAsia" w:hAnsiTheme="minorEastAsia" w:eastAsiaTheme="minorEastAsia" w:cstheme="minorEastAsia"/>
          <w:sz w:val="24"/>
          <w:szCs w:val="24"/>
          <w:vertAlign w:val="superscript"/>
          <w:lang w:eastAsia="zh-CN"/>
        </w:rPr>
        <w:t>3</w:t>
      </w:r>
      <w:r>
        <w:rPr>
          <w:rFonts w:hint="eastAsia" w:asciiTheme="minorEastAsia" w:hAnsiTheme="minorEastAsia" w:eastAsiaTheme="minorEastAsia" w:cstheme="minorEastAsia"/>
          <w:sz w:val="24"/>
          <w:szCs w:val="24"/>
          <w:lang w:eastAsia="zh-CN"/>
        </w:rPr>
        <w:t xml:space="preserve">；               </w:t>
      </w:r>
    </w:p>
    <w:p w14:paraId="7CA92229">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（3）助力≤70Pa；</w:t>
      </w:r>
    </w:p>
    <w:p w14:paraId="369F199A">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（4）通风柜噪音保证值小于60分贝</w:t>
      </w:r>
    </w:p>
    <w:p w14:paraId="3BEB38C5">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（4）全钢通风柜</w:t>
      </w:r>
    </w:p>
    <w:p w14:paraId="7DECC233">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sz w:val="24"/>
          <w:szCs w:val="24"/>
          <w:lang w:eastAsia="zh-CN"/>
        </w:rPr>
        <w:drawing>
          <wp:anchor distT="0" distB="0" distL="114300" distR="114300" simplePos="0" relativeHeight="251660288" behindDoc="0" locked="0" layoutInCell="1" allowOverlap="1">
            <wp:simplePos x="0" y="0"/>
            <wp:positionH relativeFrom="column">
              <wp:posOffset>66675</wp:posOffset>
            </wp:positionH>
            <wp:positionV relativeFrom="paragraph">
              <wp:posOffset>46990</wp:posOffset>
            </wp:positionV>
            <wp:extent cx="5859780" cy="3907155"/>
            <wp:effectExtent l="0" t="0" r="7620" b="17145"/>
            <wp:wrapTopAndBottom/>
            <wp:docPr id="4" name="图片 4" descr="50cc967c17019c175cffaf14b5952b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0cc967c17019c175cffaf14b5952b33"/>
                    <pic:cNvPicPr>
                      <a:picLocks noChangeAspect="1"/>
                    </pic:cNvPicPr>
                  </pic:nvPicPr>
                  <pic:blipFill>
                    <a:blip r:embed="rId12"/>
                    <a:stretch>
                      <a:fillRect/>
                    </a:stretch>
                  </pic:blipFill>
                  <pic:spPr>
                    <a:xfrm>
                      <a:off x="0" y="0"/>
                      <a:ext cx="5859780" cy="3907155"/>
                    </a:xfrm>
                    <a:prstGeom prst="rect">
                      <a:avLst/>
                    </a:prstGeom>
                  </pic:spPr>
                </pic:pic>
              </a:graphicData>
            </a:graphic>
          </wp:anchor>
        </w:drawing>
      </w:r>
      <w:r>
        <w:rPr>
          <w:rFonts w:hint="eastAsia" w:asciiTheme="minorEastAsia" w:hAnsiTheme="minorEastAsia" w:eastAsiaTheme="minorEastAsia" w:cstheme="minorEastAsia"/>
          <w:b w:val="0"/>
          <w:bCs w:val="0"/>
          <w:kern w:val="2"/>
          <w:sz w:val="24"/>
          <w:szCs w:val="24"/>
          <w:lang w:val="en-US" w:eastAsia="zh-CN" w:bidi="ar-SA"/>
        </w:rPr>
        <w:t>4.1、整体结构为全钢结构。通风柜符合</w:t>
      </w:r>
      <w:r>
        <w:rPr>
          <w:rFonts w:hint="eastAsia" w:asciiTheme="minorEastAsia" w:hAnsiTheme="minorEastAsia" w:eastAsiaTheme="minorEastAsia" w:cstheme="minorEastAsia"/>
          <w:b w:val="0"/>
          <w:bCs w:val="0"/>
          <w:kern w:val="2"/>
          <w:sz w:val="24"/>
          <w:szCs w:val="24"/>
          <w:highlight w:val="none"/>
          <w:lang w:val="en-US" w:eastAsia="zh-CN" w:bidi="ar-SA"/>
        </w:rPr>
        <w:t>GB/T 24820-2024</w:t>
      </w:r>
      <w:r>
        <w:rPr>
          <w:rFonts w:hint="eastAsia" w:asciiTheme="minorEastAsia" w:hAnsiTheme="minorEastAsia" w:eastAsiaTheme="minorEastAsia" w:cstheme="minorEastAsia"/>
          <w:b w:val="0"/>
          <w:bCs w:val="0"/>
          <w:kern w:val="2"/>
          <w:sz w:val="24"/>
          <w:szCs w:val="24"/>
          <w:lang w:val="en-US" w:eastAsia="zh-CN" w:bidi="ar-SA"/>
        </w:rPr>
        <w:t>实验室家具通用技术条件标准或ASHRAE110或EN 14175检测标准；</w:t>
      </w:r>
    </w:p>
    <w:p w14:paraId="7739745A">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4.2、柜体：基材采用≥1.0mm厚优质低碳冷轧钢板（SPCC），表面经酸洗，磷化，防腐，防锈处理后静电喷涂≥80μm厚工业类金属家具环氧数字粉末，固话温度200℃，防腐、防潮、耐高温以及耐磨。</w:t>
      </w:r>
    </w:p>
    <w:p w14:paraId="40C8CD74">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b/>
          <w:bCs/>
          <w:color w:val="0000FF"/>
          <w:sz w:val="24"/>
          <w:szCs w:val="24"/>
        </w:rPr>
      </w:pPr>
      <w:r>
        <w:rPr>
          <w:rFonts w:hint="eastAsia" w:asciiTheme="minorEastAsia" w:hAnsiTheme="minorEastAsia" w:eastAsiaTheme="minorEastAsia" w:cstheme="minorEastAsia"/>
          <w:b w:val="0"/>
          <w:bCs w:val="0"/>
          <w:kern w:val="2"/>
          <w:sz w:val="24"/>
          <w:szCs w:val="24"/>
          <w:lang w:val="en-US" w:eastAsia="zh-CN" w:bidi="ar-SA"/>
        </w:rPr>
        <w:t>4.3、台面部分</w:t>
      </w:r>
      <w:r>
        <w:rPr>
          <w:rFonts w:hint="eastAsia" w:asciiTheme="minorEastAsia" w:hAnsiTheme="minorEastAsia" w:eastAsiaTheme="minorEastAsia" w:cstheme="minorEastAsia"/>
          <w:b w:val="0"/>
          <w:bCs w:val="0"/>
          <w:kern w:val="2"/>
          <w:sz w:val="24"/>
          <w:szCs w:val="24"/>
          <w:highlight w:val="none"/>
          <w:lang w:val="en-US" w:eastAsia="zh-CN" w:bidi="ar-SA"/>
        </w:rPr>
        <w:t>（理化板）</w:t>
      </w:r>
      <w:r>
        <w:rPr>
          <w:rFonts w:hint="eastAsia" w:asciiTheme="minorEastAsia" w:hAnsiTheme="minorEastAsia" w:eastAsiaTheme="minorEastAsia" w:cstheme="minorEastAsia"/>
          <w:b w:val="0"/>
          <w:bCs w:val="0"/>
          <w:kern w:val="2"/>
          <w:sz w:val="24"/>
          <w:szCs w:val="24"/>
          <w:lang w:val="en-US" w:eastAsia="zh-CN" w:bidi="ar-SA"/>
        </w:rPr>
        <w:t>：采用≥12.7mm厚实芯理化板。</w:t>
      </w:r>
    </w:p>
    <w:p w14:paraId="2A01D263">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4.4、立柱：采用≥1.0mm厚的优质冷轧板，表面表面环氧树脂静电粉末喷涂防腐处理，根据流体力学及空气动力学原理设计，既确保气流顺畅、平稳通过又防止柜内气流产生紊流。分段式功能盖板可拆卸式设计或其他设计功能，可方便检修控制面板及各种水电气路。</w:t>
      </w:r>
    </w:p>
    <w:p w14:paraId="2F01893D">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4.5、内衬板、导流板：采用≥5mm厚优质抗倍特板，耐化学性及耐磨性好，能有效抑制细菌滋生。三段式导流设计，可使排气分布均匀无死角，确保不同比重的气体均能有效排出。</w:t>
      </w:r>
    </w:p>
    <w:p w14:paraId="19748251">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4.6、视窗：采用≥5mm厚安全钢化玻璃，不易碎裂的同时可以提供最佳视角以监控实验全程。</w:t>
      </w:r>
    </w:p>
    <w:p w14:paraId="54BDB805">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4.7、调节门及滑槽系统：铝合金调节门框及滑槽系统，表面环氧树脂喷涂防腐处理。调节门采用单一配重设计，可轻易悬停于任何位置，配重悬吊钢索为∮3mm的SUS304不锈钢钢索，每条钢索能承重≥150kg。滑槽系统与视窗结合平稳，顺畅，移动调节门时施力0.5KG，并可任意停留在行程中的任一位置。移门的关闭配有橡胶缓冲垫。或采用滑轨为抗腐蚀专用型材料，移门能够轻松上下移动；移门的关闭有橡胶缓冲装置；移门拉手和移门同宽，移门拉手使用经环氧树脂喷涂的优质冷轧板材料制成；移门采用无金属材料外漏的同步皮带，避免金属材料产品长期使用在实验室恶劣环境中造成的腐蚀，确保操作人员的安全。</w:t>
      </w:r>
    </w:p>
    <w:p w14:paraId="476DE531">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4.8、拉手：圆弧型铝合金把手，表面环氧树脂喷涂防腐处理。轻松开关视窗，同时预留下通风口，可保证在视窗关闭时的补风需要。符合人体工程学及流体力学原理，改变气流方向，协助排尽台面附近有害气体，保证气流顺利通过并有效降低扰流。</w:t>
      </w:r>
    </w:p>
    <w:p w14:paraId="20AE05B2">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4.9、集气罩：为减少静压损失及通风噪音，在通风柜排气口采用锥型设计，折边法兰连接，减少气体扰流整体PP材质；</w:t>
      </w:r>
    </w:p>
    <w:p w14:paraId="18E7B12E">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4.10、照明：通风柜照明灯具安装在通风柜顶部，用钢化防爆玻璃与柜体内部隔离。除可避免与柜内气体接触外，并可于意外发生时具上方泄压功能以降低正面之危害程度。配置30瓦LED灯管，确保工作面照度300Lux。附全罩式ABS工程塑料灯罩，防尘、防潮、防腐。</w:t>
      </w:r>
    </w:p>
    <w:p w14:paraId="5A1DC692">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4.11、插座：采用五孔插座（220V/10A），适合各种国产及进口仪器插头，电缆采用符合CCC认证的BVR铜芯聚氯乙烯绝缘软电线。</w:t>
      </w:r>
    </w:p>
    <w:p w14:paraId="45C3810A">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4.12、保护装置：IP67防水等级ABS工程塑料配电箱内置断路器，提供漏电，过载，短路等保护功能。</w:t>
      </w:r>
    </w:p>
    <w:p w14:paraId="08DC45E9">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b w:val="0"/>
          <w:bCs w:val="0"/>
          <w:color w:val="auto"/>
          <w:kern w:val="2"/>
          <w:sz w:val="24"/>
          <w:szCs w:val="24"/>
          <w:lang w:val="en-US" w:eastAsia="zh-CN" w:bidi="ar-SA"/>
        </w:rPr>
        <w:t>4.13、小水槽：带1套PP小水槽，外尺寸：260×140×220mm，内尺寸：220×100×170mm。</w:t>
      </w:r>
    </w:p>
    <w:p w14:paraId="441F7C84">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b w:val="0"/>
          <w:bCs w:val="0"/>
          <w:color w:val="auto"/>
          <w:kern w:val="2"/>
          <w:sz w:val="24"/>
          <w:szCs w:val="24"/>
          <w:lang w:val="en-US" w:eastAsia="zh-CN" w:bidi="ar-SA"/>
        </w:rPr>
        <w:t>4.14、水嘴：采用实验室专用单口水嘴。阀体采用加厚铜质，陶瓷阀芯，外部高亮度环氧树脂涂层，耐腐蚀，耐热。</w:t>
      </w:r>
    </w:p>
    <w:p w14:paraId="4535DA90">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4.15、排气管道：高分子复合材料，具有耐腐蚀性能。</w:t>
      </w:r>
    </w:p>
    <w:p w14:paraId="325343F3">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4.16、技术指标：噪音：≤62db（国标）；风速：≥0.5m/s三段式排风。</w:t>
      </w:r>
    </w:p>
    <w:p w14:paraId="2769FCBC">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lang w:eastAsia="zh-CN"/>
        </w:rPr>
        <w:t>桌上型单口洗眼器：</w:t>
      </w:r>
    </w:p>
    <w:p w14:paraId="5CD7BD4A">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 主体：加厚铜质；</w:t>
      </w:r>
    </w:p>
    <w:p w14:paraId="67B00BA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.2 涂层：高亮度环氧树脂涂层，耐腐蚀、耐热、防紫外线辐射</w:t>
      </w:r>
    </w:p>
    <w:p w14:paraId="3AE7F627">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.3 喷淋头：软性橡胶，出水经缓压处理呈泡沫状水柱，防止冲伤眼睛</w:t>
      </w:r>
    </w:p>
    <w:p w14:paraId="6EA026B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.4 防尘盖：PP材质，使用时自动被水冲开；</w:t>
      </w:r>
    </w:p>
    <w:p w14:paraId="72BE707A">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.5 水流锁定开关：水流开启、水流锁定功能一次完成，方便使用</w:t>
      </w:r>
    </w:p>
    <w:p w14:paraId="1911F1A9">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.6 控水阀：止逆阀，其阀门可自动关闭</w:t>
      </w:r>
    </w:p>
    <w:p w14:paraId="3EFDAF1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.7 供水软管：长度1.5米，软性PVC管外覆不锈钢网；</w:t>
      </w:r>
    </w:p>
    <w:p w14:paraId="3E1BFE02">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 xml:space="preserve">.8 最大耐水压：0.7MPa  </w:t>
      </w:r>
    </w:p>
    <w:p w14:paraId="3408460E">
      <w:pPr>
        <w:pStyle w:val="7"/>
        <w:pageBreakBefore w:val="0"/>
        <w:kinsoku/>
        <w:wordWrap/>
        <w:overflowPunct/>
        <w:topLinePunct w:val="0"/>
        <w:bidi w:val="0"/>
        <w:spacing w:beforeAutospacing="0" w:after="0" w:afterAutospacing="0" w:line="400" w:lineRule="exact"/>
        <w:ind w:left="0" w:leftChars="0" w:right="0" w:firstLine="0" w:firstLineChars="0"/>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eastAsiaTheme="minorEastAsia" w:cstheme="minorEastAsia"/>
          <w:b/>
          <w:bCs/>
          <w:color w:val="auto"/>
          <w:kern w:val="2"/>
          <w:sz w:val="24"/>
          <w:szCs w:val="24"/>
          <w:highlight w:val="none"/>
          <w:lang w:val="en-US" w:eastAsia="zh-CN" w:bidi="ar-SA"/>
        </w:rPr>
        <w:t>紧急冲淋器</w:t>
      </w:r>
    </w:p>
    <w:p w14:paraId="38FA7A12">
      <w:pPr>
        <w:pageBreakBefore w:val="0"/>
        <w:numPr>
          <w:ilvl w:val="0"/>
          <w:numId w:val="61"/>
        </w:numPr>
        <w:kinsoku/>
        <w:wordWrap/>
        <w:overflowPunct/>
        <w:topLinePunct w:val="0"/>
        <w:bidi w:val="0"/>
        <w:spacing w:beforeAutospacing="0" w:afterAutospacing="0" w:line="400" w:lineRule="exact"/>
        <w:ind w:left="425" w:leftChars="0" w:right="0" w:hanging="425"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规格：立式</w:t>
      </w:r>
    </w:p>
    <w:p w14:paraId="6724DA88">
      <w:pPr>
        <w:pageBreakBefore w:val="0"/>
        <w:numPr>
          <w:ilvl w:val="0"/>
          <w:numId w:val="61"/>
        </w:numPr>
        <w:kinsoku/>
        <w:wordWrap/>
        <w:overflowPunct/>
        <w:topLinePunct w:val="0"/>
        <w:bidi w:val="0"/>
        <w:spacing w:beforeAutospacing="0" w:afterAutospacing="0" w:line="400" w:lineRule="exact"/>
        <w:ind w:left="425" w:leftChars="0" w:right="0" w:hanging="425"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材质：304不锈钢</w:t>
      </w:r>
    </w:p>
    <w:p w14:paraId="2CF88F03">
      <w:pPr>
        <w:pageBreakBefore w:val="0"/>
        <w:numPr>
          <w:ilvl w:val="0"/>
          <w:numId w:val="61"/>
        </w:numPr>
        <w:kinsoku/>
        <w:wordWrap/>
        <w:overflowPunct/>
        <w:topLinePunct w:val="0"/>
        <w:bidi w:val="0"/>
        <w:spacing w:beforeAutospacing="0" w:afterAutospacing="0" w:line="400" w:lineRule="exact"/>
        <w:ind w:left="425" w:leftChars="0" w:right="0" w:hanging="425"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喷淋性能</w:t>
      </w:r>
    </w:p>
    <w:p w14:paraId="4429A0F4">
      <w:pPr>
        <w:pageBreakBefore w:val="0"/>
        <w:numPr>
          <w:ilvl w:val="0"/>
          <w:numId w:val="6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喷淋流量：达到至少76L/min，确保快速有效地覆盖受影响区域</w:t>
      </w:r>
    </w:p>
    <w:p w14:paraId="38E2E2E9">
      <w:pPr>
        <w:pageBreakBefore w:val="0"/>
        <w:numPr>
          <w:ilvl w:val="0"/>
          <w:numId w:val="6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喷淋持续时间：连续供水时间至少为15分钟，以满足紧急情况下的清洗需求。</w:t>
      </w:r>
    </w:p>
    <w:p w14:paraId="719879A5">
      <w:pPr>
        <w:pageBreakBefore w:val="0"/>
        <w:numPr>
          <w:ilvl w:val="0"/>
          <w:numId w:val="6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喷淋角度与范围：确保360度全方位喷淋，覆盖范围广</w:t>
      </w:r>
    </w:p>
    <w:p w14:paraId="46C34336">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4）系统设计与安装</w:t>
      </w:r>
    </w:p>
    <w:p w14:paraId="2B750F06">
      <w:pPr>
        <w:pageBreakBefore w:val="0"/>
        <w:numPr>
          <w:ilvl w:val="0"/>
          <w:numId w:val="6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安装位置：靠近危险区域，确保人员在紧急情况下能够迅速到达。</w:t>
      </w:r>
    </w:p>
    <w:p w14:paraId="24D13FC8">
      <w:pPr>
        <w:pageBreakBefore w:val="0"/>
        <w:numPr>
          <w:ilvl w:val="0"/>
          <w:numId w:val="6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材料选择：采用不锈钢材质，确保系统的稳定性和耐用性。</w:t>
      </w:r>
    </w:p>
    <w:p w14:paraId="227A008E">
      <w:pPr>
        <w:pageBreakBefore w:val="0"/>
        <w:numPr>
          <w:ilvl w:val="0"/>
          <w:numId w:val="6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操作方式：需具有手拉式、脚踏式，便于快速启动。</w:t>
      </w:r>
    </w:p>
    <w:p w14:paraId="0693853A">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5）出水要求：</w:t>
      </w:r>
    </w:p>
    <w:p w14:paraId="45F589F3">
      <w:pPr>
        <w:pageBreakBefore w:val="0"/>
        <w:numPr>
          <w:ilvl w:val="0"/>
          <w:numId w:val="6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出水温度：使用常温水，避免对皮肤造成刺激。</w:t>
      </w:r>
    </w:p>
    <w:p w14:paraId="7588762C">
      <w:pPr>
        <w:pageBreakBefore w:val="0"/>
        <w:numPr>
          <w:ilvl w:val="0"/>
          <w:numId w:val="6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水质要求：使用清洁的自来水或去离子水，确保清洗效果。</w:t>
      </w:r>
    </w:p>
    <w:p w14:paraId="1A3D7C8D">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6）安全标识：设备周围设置明显的安全标识和操作流程，确保人员的正确使用。</w:t>
      </w:r>
    </w:p>
    <w:p w14:paraId="28274E8D">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（7）水槽</w:t>
      </w:r>
    </w:p>
    <w:p w14:paraId="2850EB6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SA"/>
        </w:rPr>
        <w:t>水槽采用全新PP料及进口色母料，无碳酸钙成分；下水口与水槽一体注塑成型，水槽内壁无缩印，四边平整，表面光滑顺畅，不有划伤、裂纹、气泡、爆边等明显缺陷。水槽壁厚＞5mm；为防止水槽中间或四周有积液，槽体底部有导流线</w:t>
      </w:r>
      <w:r>
        <w:rPr>
          <w:rFonts w:hint="eastAsia" w:asciiTheme="minorEastAsia" w:hAnsiTheme="minorEastAsia" w:eastAsiaTheme="minorEastAsia" w:cstheme="minorEastAsia"/>
          <w:b w:val="0"/>
          <w:bCs w:val="0"/>
          <w:sz w:val="24"/>
          <w:szCs w:val="24"/>
          <w:lang w:val="en-US" w:eastAsia="zh-CN"/>
        </w:rPr>
        <w:t>。</w:t>
      </w:r>
      <w:r>
        <w:rPr>
          <w:rFonts w:hint="eastAsia" w:asciiTheme="minorEastAsia" w:hAnsiTheme="minorEastAsia" w:eastAsiaTheme="minorEastAsia" w:cstheme="minorEastAsia"/>
          <w:b w:val="0"/>
          <w:bCs w:val="0"/>
          <w:color w:val="0000FF"/>
          <w:sz w:val="24"/>
          <w:szCs w:val="24"/>
          <w:lang w:val="en-US" w:eastAsia="zh-CN"/>
        </w:rPr>
        <w:t xml:space="preserve"> </w:t>
      </w:r>
      <w:r>
        <w:rPr>
          <w:rFonts w:hint="eastAsia" w:asciiTheme="minorEastAsia" w:hAnsiTheme="minorEastAsia" w:eastAsiaTheme="minorEastAsia" w:cstheme="minorEastAsia"/>
          <w:b/>
          <w:bCs/>
          <w:sz w:val="24"/>
          <w:szCs w:val="24"/>
          <w:lang w:val="en-US" w:eastAsia="zh-CN"/>
        </w:rPr>
        <w:t xml:space="preserve"> </w:t>
      </w:r>
    </w:p>
    <w:p w14:paraId="7507C6EE">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bidi="ar-SA"/>
        </w:rPr>
        <w:t>（8）</w:t>
      </w:r>
      <w:r>
        <w:rPr>
          <w:rFonts w:hint="eastAsia" w:asciiTheme="minorEastAsia" w:hAnsiTheme="minorEastAsia" w:eastAsiaTheme="minorEastAsia" w:cstheme="minorEastAsia"/>
          <w:b/>
          <w:sz w:val="24"/>
          <w:szCs w:val="24"/>
          <w:lang w:val="en-US" w:eastAsia="zh-CN"/>
        </w:rPr>
        <w:t>水龙头</w:t>
      </w:r>
    </w:p>
    <w:p w14:paraId="2B795F19">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SA"/>
        </w:rPr>
        <w:t>龙头选用H63黄铜管，使用红冲锻造工艺，不出现沙眼；涂层经哑光环氧树脂粉末涂料热固处理，防紫外线辐射，耐化学腐蚀；陶瓷阀芯可90度旋转、耐磨、耐腐蚀，开关使用寿命测试可达60万次，静态最大耐压2.5MPa，鹅颈出水管可360度旋转；旋钮把手为PP全新料无添加碳酸钙；供水软管：长度1.5米，软性PVC管外覆不锈钢网，外层包裹PE管，有效防止生锈、渗漏。</w:t>
      </w:r>
    </w:p>
    <w:p w14:paraId="6D3E24A5">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（9）试剂架</w:t>
      </w:r>
    </w:p>
    <w:p w14:paraId="307D45F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 w:val="0"/>
          <w:bCs/>
          <w:sz w:val="24"/>
          <w:szCs w:val="24"/>
          <w:lang w:val="en-US" w:eastAsia="zh-CN"/>
        </w:rPr>
        <w:t>钢玻结构：采用≥1.0mm钢板制作，表面以环氧树脂静电粉体烤漆处理，采用≥5.0mm厚防眩钢化玻璃。</w:t>
      </w:r>
    </w:p>
    <w:p w14:paraId="5614986C">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（10）滴水架</w:t>
      </w:r>
    </w:p>
    <w:p w14:paraId="13219AFD">
      <w:pPr>
        <w:pageBreakBefore w:val="0"/>
        <w:numPr>
          <w:ilvl w:val="0"/>
          <w:numId w:val="65"/>
        </w:numPr>
        <w:kinsoku/>
        <w:wordWrap/>
        <w:overflowPunct/>
        <w:topLinePunct w:val="0"/>
        <w:bidi w:val="0"/>
        <w:spacing w:beforeAutospacing="0" w:afterAutospacing="0" w:line="400" w:lineRule="exact"/>
        <w:ind w:left="425" w:leftChars="0" w:right="0" w:hanging="425"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整体采用PP材质，耐腐蚀性能好，抗紫外线辐射强，不易老化、脆化，韧性强，弹性好，易于安装。</w:t>
      </w:r>
    </w:p>
    <w:p w14:paraId="477D0A49">
      <w:pPr>
        <w:pageBreakBefore w:val="0"/>
        <w:numPr>
          <w:ilvl w:val="0"/>
          <w:numId w:val="65"/>
        </w:numPr>
        <w:kinsoku/>
        <w:wordWrap/>
        <w:overflowPunct/>
        <w:topLinePunct w:val="0"/>
        <w:bidi w:val="0"/>
        <w:spacing w:beforeAutospacing="0" w:afterAutospacing="0" w:line="400" w:lineRule="exact"/>
        <w:ind w:left="425" w:leftChars="0" w:right="0" w:hanging="425"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滴水架主体与集水盘由模具注塑一体成型（非PP板焊接而成）。</w:t>
      </w:r>
    </w:p>
    <w:p w14:paraId="005409EF">
      <w:pPr>
        <w:pageBreakBefore w:val="0"/>
        <w:numPr>
          <w:ilvl w:val="0"/>
          <w:numId w:val="65"/>
        </w:numPr>
        <w:kinsoku/>
        <w:wordWrap/>
        <w:overflowPunct/>
        <w:topLinePunct w:val="0"/>
        <w:bidi w:val="0"/>
        <w:spacing w:beforeAutospacing="0" w:afterAutospacing="0" w:line="400" w:lineRule="exact"/>
        <w:ind w:left="425" w:leftChars="0" w:right="0" w:hanging="425"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滴水棒卡扣与主板卡槽紧密契合，不易松动，极好地保护实验器具。</w:t>
      </w:r>
    </w:p>
    <w:p w14:paraId="076D5870">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（11）</w:t>
      </w:r>
      <w:r>
        <w:rPr>
          <w:rFonts w:hint="eastAsia" w:asciiTheme="minorEastAsia" w:hAnsiTheme="minorEastAsia" w:eastAsiaTheme="minorEastAsia" w:cstheme="minorEastAsia"/>
          <w:b/>
          <w:sz w:val="24"/>
          <w:szCs w:val="24"/>
          <w:lang w:eastAsia="zh-CN"/>
        </w:rPr>
        <w:t xml:space="preserve">铝木高柜 </w:t>
      </w:r>
    </w:p>
    <w:p w14:paraId="2D07378E">
      <w:pPr>
        <w:pageBreakBefore w:val="0"/>
        <w:numPr>
          <w:ilvl w:val="0"/>
          <w:numId w:val="66"/>
        </w:numPr>
        <w:kinsoku/>
        <w:wordWrap/>
        <w:overflowPunct/>
        <w:topLinePunct w:val="0"/>
        <w:bidi w:val="0"/>
        <w:spacing w:beforeAutospacing="0" w:afterAutospacing="0" w:line="400" w:lineRule="exact"/>
        <w:ind w:left="425" w:leftChars="0" w:right="0" w:hanging="425" w:firstLineChars="0"/>
        <w:jc w:val="lef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z w:val="24"/>
          <w:szCs w:val="24"/>
          <w:lang w:eastAsia="zh-CN"/>
        </w:rPr>
        <w:t>主框架：采用实验专用优质型铝合金框架结构，立柱尺寸为27mm*27mm，厚度为1.2mm，表面经防腐处理后梁喷涂环氧树酯高压静电粉沫，并高温加固，经高强度尼龙接插件连接。具有防腐、强固美观和承载力强的特点。使用寿命长，结构稳固，承重性能吃好且易于拆迁</w:t>
      </w:r>
      <w:r>
        <w:rPr>
          <w:rFonts w:hint="eastAsia" w:asciiTheme="minorEastAsia" w:hAnsiTheme="minorEastAsia" w:eastAsiaTheme="minorEastAsia" w:cstheme="minorEastAsia"/>
          <w:color w:val="auto"/>
          <w:sz w:val="24"/>
          <w:szCs w:val="24"/>
          <w:lang w:eastAsia="zh-CN"/>
        </w:rPr>
        <w:t>。</w:t>
      </w:r>
    </w:p>
    <w:p w14:paraId="151BABF8">
      <w:pPr>
        <w:pageBreakBefore w:val="0"/>
        <w:numPr>
          <w:ilvl w:val="0"/>
          <w:numId w:val="66"/>
        </w:numPr>
        <w:kinsoku/>
        <w:wordWrap/>
        <w:overflowPunct/>
        <w:topLinePunct w:val="0"/>
        <w:bidi w:val="0"/>
        <w:spacing w:beforeAutospacing="0" w:afterAutospacing="0" w:line="400" w:lineRule="exact"/>
        <w:ind w:left="425" w:leftChars="0" w:right="0" w:hanging="425"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箱体：基板采用1</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 xml:space="preserve">mm厚密度板，表面粘三聚氰胺防火板。 </w:t>
      </w:r>
    </w:p>
    <w:p w14:paraId="01B83DD7">
      <w:pPr>
        <w:pageBreakBefore w:val="0"/>
        <w:numPr>
          <w:ilvl w:val="0"/>
          <w:numId w:val="66"/>
        </w:numPr>
        <w:kinsoku/>
        <w:wordWrap/>
        <w:overflowPunct/>
        <w:topLinePunct w:val="0"/>
        <w:bidi w:val="0"/>
        <w:spacing w:beforeAutospacing="0" w:afterAutospacing="0" w:line="400" w:lineRule="exact"/>
        <w:ind w:left="425" w:leftChars="0" w:right="0" w:hanging="425"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层板：采用1</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mm厚优质密度板，表面粘三聚氰胺防火板。截面均经过PVC热熔胶防水封边处理。</w:t>
      </w:r>
    </w:p>
    <w:p w14:paraId="5CEFBF36">
      <w:pPr>
        <w:pageBreakBefore w:val="0"/>
        <w:numPr>
          <w:ilvl w:val="0"/>
          <w:numId w:val="66"/>
        </w:numPr>
        <w:kinsoku/>
        <w:wordWrap/>
        <w:overflowPunct/>
        <w:topLinePunct w:val="0"/>
        <w:bidi w:val="0"/>
        <w:spacing w:beforeAutospacing="0" w:afterAutospacing="0" w:line="400" w:lineRule="exact"/>
        <w:ind w:left="425" w:leftChars="0" w:right="0" w:hanging="425"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门板：上门为玻璃内嵌门板，下门为木质门。</w:t>
      </w:r>
    </w:p>
    <w:p w14:paraId="7DDB754F">
      <w:pPr>
        <w:pageBreakBefore w:val="0"/>
        <w:numPr>
          <w:ilvl w:val="0"/>
          <w:numId w:val="66"/>
        </w:numPr>
        <w:kinsoku/>
        <w:wordWrap/>
        <w:overflowPunct/>
        <w:topLinePunct w:val="0"/>
        <w:bidi w:val="0"/>
        <w:spacing w:beforeAutospacing="0" w:afterAutospacing="0" w:line="400" w:lineRule="exact"/>
        <w:ind w:left="425" w:leftChars="0" w:right="0" w:hanging="425"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拉手：暗拉手，表面经化学处理，耐腐蚀，防腐性能强，抗氧化</w:t>
      </w:r>
    </w:p>
    <w:p w14:paraId="5B4DC3FE">
      <w:pPr>
        <w:pStyle w:val="38"/>
        <w:keepNext w:val="0"/>
        <w:keepLines w:val="0"/>
        <w:pageBreakBefore w:val="0"/>
        <w:widowControl/>
        <w:numPr>
          <w:ilvl w:val="0"/>
          <w:numId w:val="0"/>
        </w:numPr>
        <w:suppressLineNumbers w:val="0"/>
        <w:kinsoku/>
        <w:wordWrap/>
        <w:overflowPunct/>
        <w:topLinePunct w:val="0"/>
        <w:bidi w:val="0"/>
        <w:spacing w:before="0" w:beforeAutospacing="0" w:after="0" w:afterAutospacing="0" w:line="400" w:lineRule="exact"/>
        <w:ind w:left="0" w:leftChars="0" w:right="0" w:rightChars="0" w:firstLine="0" w:firstLineChars="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（12）</w:t>
      </w:r>
      <w:r>
        <w:rPr>
          <w:rFonts w:hint="eastAsia" w:asciiTheme="minorEastAsia" w:hAnsiTheme="minorEastAsia" w:eastAsiaTheme="minorEastAsia" w:cstheme="minorEastAsia"/>
          <w:b/>
          <w:bCs/>
          <w:color w:val="auto"/>
          <w:kern w:val="2"/>
          <w:sz w:val="24"/>
          <w:szCs w:val="24"/>
          <w:highlight w:val="none"/>
          <w:lang w:val="en-US" w:eastAsia="zh-CN" w:bidi="ar-SA"/>
        </w:rPr>
        <w:t>更衣柜</w:t>
      </w:r>
    </w:p>
    <w:p w14:paraId="64D22E28">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12.1、框架部分：采用≥27mm×27mm铝合金方形框架制作，经环氧树脂喷涂处理，连接杆采用≥20mm×20mm方形铝合金型材制作，柜体间转角处由模具开发专用PVC连接。</w:t>
      </w:r>
    </w:p>
    <w:p w14:paraId="658B9BE7">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12.2、柜体：柜体采用≥12mm厚时尚灰色高强压三聚氰胺密度板，并以≥1mmPVC封边条进行封边处理。</w:t>
      </w:r>
    </w:p>
    <w:p w14:paraId="21C775E0">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12.3、配件：采用三件套膨胀型连接件，PVC封边条，不锈钢工字型拉手，无噪音定位铰链。</w:t>
      </w:r>
    </w:p>
    <w:p w14:paraId="343C595A">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12.4、门板：采用≥18mm的对开门,并以≥2mmPVC封边条进行封边处理，配置锁具。</w:t>
      </w:r>
    </w:p>
    <w:p w14:paraId="412E1936">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12.5、铰链：采用110度铰链，优质合金材质，开合最少达十万次以上，达到国际五金行业标准。</w:t>
      </w:r>
    </w:p>
    <w:p w14:paraId="3E736B68">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12.6、把手：采用铝合金C型拉手，简洁大方，美观时尚。</w:t>
      </w:r>
    </w:p>
    <w:p w14:paraId="56A2310C">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12.7、柜体内置挂衣杆。</w:t>
      </w:r>
    </w:p>
    <w:p w14:paraId="5DCBCF3F">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12.8、地脚：水平可调地脚高度0—15mm。</w:t>
      </w:r>
    </w:p>
    <w:p w14:paraId="2F1D1EA2">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color w:val="auto"/>
          <w:kern w:val="0"/>
          <w:sz w:val="24"/>
          <w:szCs w:val="24"/>
          <w:lang w:val="en-US" w:eastAsia="zh-CN" w:bidi="ar-SA"/>
        </w:rPr>
      </w:pPr>
      <w:r>
        <w:rPr>
          <w:rFonts w:hint="eastAsia" w:asciiTheme="minorEastAsia" w:hAnsiTheme="minorEastAsia" w:eastAsiaTheme="minorEastAsia" w:cstheme="minorEastAsia"/>
          <w:b/>
          <w:bCs/>
          <w:color w:val="auto"/>
          <w:kern w:val="0"/>
          <w:sz w:val="24"/>
          <w:szCs w:val="24"/>
          <w:lang w:val="en-US" w:eastAsia="zh-CN" w:bidi="ar-SA"/>
        </w:rPr>
        <w:t>（13）重型货架</w:t>
      </w:r>
    </w:p>
    <w:p w14:paraId="1CF13122">
      <w:pPr>
        <w:pageBreakBefore w:val="0"/>
        <w:numPr>
          <w:ilvl w:val="0"/>
          <w:numId w:val="67"/>
        </w:numPr>
        <w:kinsoku/>
        <w:wordWrap/>
        <w:overflowPunct/>
        <w:topLinePunct w:val="0"/>
        <w:bidi w:val="0"/>
        <w:spacing w:beforeAutospacing="0" w:afterAutospacing="0" w:line="400" w:lineRule="exact"/>
        <w:ind w:left="425" w:leftChars="0" w:right="0" w:hanging="425" w:firstLineChars="0"/>
        <w:rPr>
          <w:rFonts w:hint="eastAsia" w:asciiTheme="minorEastAsia" w:hAnsiTheme="minorEastAsia" w:eastAsiaTheme="minorEastAsia" w:cstheme="minorEastAsia"/>
          <w:b w:val="0"/>
          <w:bCs w:val="0"/>
          <w:color w:val="auto"/>
          <w:kern w:val="0"/>
          <w:sz w:val="24"/>
          <w:szCs w:val="24"/>
          <w:lang w:val="en-US" w:eastAsia="zh-CN" w:bidi="ar-SA"/>
        </w:rPr>
      </w:pPr>
      <w:r>
        <w:rPr>
          <w:rFonts w:hint="eastAsia" w:asciiTheme="minorEastAsia" w:hAnsiTheme="minorEastAsia" w:eastAsiaTheme="minorEastAsia" w:cstheme="minorEastAsia"/>
          <w:b w:val="0"/>
          <w:bCs w:val="0"/>
          <w:color w:val="auto"/>
          <w:kern w:val="0"/>
          <w:sz w:val="24"/>
          <w:szCs w:val="24"/>
          <w:lang w:val="en-US" w:eastAsia="zh-CN" w:bidi="ar-SA"/>
        </w:rPr>
        <w:t>材质为冷轧钢板或304不锈钢</w:t>
      </w:r>
    </w:p>
    <w:p w14:paraId="526016BD">
      <w:pPr>
        <w:pageBreakBefore w:val="0"/>
        <w:numPr>
          <w:ilvl w:val="0"/>
          <w:numId w:val="67"/>
        </w:numPr>
        <w:kinsoku/>
        <w:wordWrap/>
        <w:overflowPunct/>
        <w:topLinePunct w:val="0"/>
        <w:bidi w:val="0"/>
        <w:spacing w:beforeAutospacing="0" w:afterAutospacing="0" w:line="400" w:lineRule="exact"/>
        <w:ind w:left="425" w:leftChars="0" w:right="0" w:hanging="425" w:firstLineChars="0"/>
        <w:rPr>
          <w:rFonts w:hint="eastAsia" w:asciiTheme="minorEastAsia" w:hAnsiTheme="minorEastAsia" w:eastAsiaTheme="minorEastAsia" w:cstheme="minorEastAsia"/>
          <w:b w:val="0"/>
          <w:bCs w:val="0"/>
          <w:color w:val="auto"/>
          <w:kern w:val="0"/>
          <w:sz w:val="24"/>
          <w:szCs w:val="24"/>
          <w:lang w:val="en-US" w:eastAsia="zh-CN" w:bidi="ar-SA"/>
        </w:rPr>
      </w:pPr>
      <w:r>
        <w:rPr>
          <w:rFonts w:hint="eastAsia" w:asciiTheme="minorEastAsia" w:hAnsiTheme="minorEastAsia" w:eastAsiaTheme="minorEastAsia" w:cstheme="minorEastAsia"/>
          <w:b w:val="0"/>
          <w:bCs w:val="0"/>
          <w:color w:val="auto"/>
          <w:kern w:val="0"/>
          <w:sz w:val="24"/>
          <w:szCs w:val="24"/>
          <w:lang w:val="en-US" w:eastAsia="zh-CN" w:bidi="ar-SA"/>
        </w:rPr>
        <w:t>每层承重不小于400kg，提供权威机构承重检测报告。</w:t>
      </w:r>
    </w:p>
    <w:p w14:paraId="1E70E07A">
      <w:pPr>
        <w:pageBreakBefore w:val="0"/>
        <w:numPr>
          <w:ilvl w:val="0"/>
          <w:numId w:val="67"/>
        </w:numPr>
        <w:kinsoku/>
        <w:wordWrap/>
        <w:overflowPunct/>
        <w:topLinePunct w:val="0"/>
        <w:bidi w:val="0"/>
        <w:spacing w:beforeAutospacing="0" w:afterAutospacing="0" w:line="400" w:lineRule="exact"/>
        <w:ind w:left="425" w:leftChars="0" w:right="0" w:hanging="425" w:firstLineChars="0"/>
        <w:rPr>
          <w:rFonts w:hint="eastAsia" w:asciiTheme="minorEastAsia" w:hAnsiTheme="minorEastAsia" w:eastAsiaTheme="minorEastAsia" w:cstheme="minorEastAsia"/>
          <w:b w:val="0"/>
          <w:bCs w:val="0"/>
          <w:color w:val="auto"/>
          <w:kern w:val="0"/>
          <w:sz w:val="24"/>
          <w:szCs w:val="24"/>
          <w:lang w:val="en-US" w:eastAsia="zh-CN" w:bidi="ar-SA"/>
        </w:rPr>
      </w:pPr>
      <w:r>
        <w:rPr>
          <w:rFonts w:hint="eastAsia" w:asciiTheme="minorEastAsia" w:hAnsiTheme="minorEastAsia" w:eastAsiaTheme="minorEastAsia" w:cstheme="minorEastAsia"/>
          <w:b w:val="0"/>
          <w:bCs w:val="0"/>
          <w:color w:val="auto"/>
          <w:kern w:val="0"/>
          <w:sz w:val="24"/>
          <w:szCs w:val="24"/>
          <w:lang w:val="en-US" w:eastAsia="zh-CN" w:bidi="ar-SA"/>
        </w:rPr>
        <w:t>表面涂层防潮抗锈，符合环保要求，无毒无味，0甲醛。</w:t>
      </w:r>
    </w:p>
    <w:p w14:paraId="5F046BAA">
      <w:pPr>
        <w:pageBreakBefore w:val="0"/>
        <w:numPr>
          <w:ilvl w:val="0"/>
          <w:numId w:val="67"/>
        </w:numPr>
        <w:kinsoku/>
        <w:wordWrap/>
        <w:overflowPunct/>
        <w:topLinePunct w:val="0"/>
        <w:bidi w:val="0"/>
        <w:spacing w:beforeAutospacing="0" w:afterAutospacing="0" w:line="400" w:lineRule="exact"/>
        <w:ind w:left="425" w:leftChars="0" w:right="0" w:hanging="425" w:firstLineChars="0"/>
        <w:rPr>
          <w:rFonts w:hint="eastAsia" w:asciiTheme="minorEastAsia" w:hAnsiTheme="minorEastAsia" w:eastAsiaTheme="minorEastAsia" w:cstheme="minorEastAsia"/>
          <w:b w:val="0"/>
          <w:bCs w:val="0"/>
          <w:color w:val="auto"/>
          <w:kern w:val="0"/>
          <w:sz w:val="24"/>
          <w:szCs w:val="24"/>
          <w:lang w:val="en-US" w:eastAsia="zh-CN" w:bidi="ar-SA"/>
        </w:rPr>
      </w:pPr>
      <w:r>
        <w:rPr>
          <w:rFonts w:hint="eastAsia" w:asciiTheme="minorEastAsia" w:hAnsiTheme="minorEastAsia" w:eastAsiaTheme="minorEastAsia" w:cstheme="minorEastAsia"/>
          <w:b w:val="0"/>
          <w:bCs w:val="0"/>
          <w:color w:val="auto"/>
          <w:kern w:val="0"/>
          <w:sz w:val="24"/>
          <w:szCs w:val="24"/>
          <w:lang w:val="en-US" w:eastAsia="zh-CN" w:bidi="ar-SA"/>
        </w:rPr>
        <w:t>层板高度可以自由调节，每层有防跌落挡板，有专业标签位，方便更换标签。</w:t>
      </w:r>
    </w:p>
    <w:p w14:paraId="4A52ABB6">
      <w:pPr>
        <w:pageBreakBefore w:val="0"/>
        <w:numPr>
          <w:ilvl w:val="0"/>
          <w:numId w:val="67"/>
        </w:numPr>
        <w:kinsoku/>
        <w:wordWrap/>
        <w:overflowPunct/>
        <w:topLinePunct w:val="0"/>
        <w:bidi w:val="0"/>
        <w:spacing w:beforeAutospacing="0" w:afterAutospacing="0" w:line="400" w:lineRule="exact"/>
        <w:ind w:left="425" w:leftChars="0" w:right="0" w:hanging="425" w:firstLineChars="0"/>
        <w:rPr>
          <w:rFonts w:hint="default" w:asciiTheme="minorEastAsia" w:hAnsiTheme="minorEastAsia" w:eastAsiaTheme="minorEastAsia" w:cstheme="minorEastAsia"/>
          <w:b w:val="0"/>
          <w:bCs w:val="0"/>
          <w:color w:val="auto"/>
          <w:kern w:val="0"/>
          <w:sz w:val="24"/>
          <w:szCs w:val="24"/>
          <w:lang w:val="en-US" w:eastAsia="zh-CN" w:bidi="ar-SA"/>
        </w:rPr>
      </w:pPr>
      <w:r>
        <w:rPr>
          <w:rFonts w:hint="eastAsia" w:asciiTheme="minorEastAsia" w:hAnsiTheme="minorEastAsia" w:eastAsiaTheme="minorEastAsia" w:cstheme="minorEastAsia"/>
          <w:b w:val="0"/>
          <w:bCs w:val="0"/>
          <w:color w:val="auto"/>
          <w:kern w:val="0"/>
          <w:sz w:val="24"/>
          <w:szCs w:val="24"/>
          <w:lang w:val="en-US" w:eastAsia="zh-CN" w:bidi="ar-SA"/>
        </w:rPr>
        <w:t>材质采用冷轧钢板的货架，于试剂库的货架每个层板上加一层隔离板，防止液体滴落到层板，长期接触腐蚀层板。</w:t>
      </w:r>
    </w:p>
    <w:p w14:paraId="75437DA4">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lang w:val="en-US" w:eastAsia="zh-CN"/>
        </w:rPr>
        <w:t>14</w:t>
      </w:r>
      <w:r>
        <w:rPr>
          <w:rFonts w:hint="eastAsia" w:asciiTheme="minorEastAsia" w:hAnsiTheme="minorEastAsia" w:eastAsiaTheme="minorEastAsia" w:cstheme="minorEastAsia"/>
          <w:b/>
          <w:sz w:val="24"/>
          <w:szCs w:val="24"/>
          <w:lang w:eastAsia="zh-CN"/>
        </w:rPr>
        <w:t>）万向罩</w:t>
      </w:r>
    </w:p>
    <w:p w14:paraId="5F14E3B7">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13</w:t>
      </w:r>
      <w:r>
        <w:rPr>
          <w:rFonts w:hint="eastAsia" w:asciiTheme="minorEastAsia" w:hAnsiTheme="minorEastAsia" w:eastAsiaTheme="minorEastAsia" w:cstheme="minorEastAsia"/>
          <w:sz w:val="24"/>
          <w:szCs w:val="24"/>
          <w:lang w:eastAsia="zh-CN"/>
        </w:rPr>
        <w:t>.1 关节：高密度PP材质,可360°旋转调节方向,易拆卸、重组及清洗</w:t>
      </w:r>
    </w:p>
    <w:p w14:paraId="2F569DF9">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13</w:t>
      </w:r>
      <w:r>
        <w:rPr>
          <w:rFonts w:hint="eastAsia" w:asciiTheme="minorEastAsia" w:hAnsiTheme="minorEastAsia" w:eastAsiaTheme="minorEastAsia" w:cstheme="minorEastAsia"/>
          <w:sz w:val="24"/>
          <w:szCs w:val="24"/>
          <w:lang w:eastAsia="zh-CN"/>
        </w:rPr>
        <w:t>.2 关节密封圈:不易老化之高密度橡胶</w:t>
      </w:r>
    </w:p>
    <w:p w14:paraId="4D3B65C3">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13</w:t>
      </w:r>
      <w:r>
        <w:rPr>
          <w:rFonts w:hint="eastAsia" w:asciiTheme="minorEastAsia" w:hAnsiTheme="minorEastAsia" w:eastAsiaTheme="minorEastAsia" w:cstheme="minorEastAsia"/>
          <w:sz w:val="24"/>
          <w:szCs w:val="24"/>
          <w:lang w:eastAsia="zh-CN"/>
        </w:rPr>
        <w:t>.3 关节连接杆:304不锈钢</w:t>
      </w:r>
    </w:p>
    <w:p w14:paraId="0BC7B983">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13</w:t>
      </w:r>
      <w:r>
        <w:rPr>
          <w:rFonts w:hint="eastAsia" w:asciiTheme="minorEastAsia" w:hAnsiTheme="minorEastAsia" w:eastAsiaTheme="minorEastAsia" w:cstheme="minorEastAsia"/>
          <w:sz w:val="24"/>
          <w:szCs w:val="24"/>
          <w:lang w:eastAsia="zh-CN"/>
        </w:rPr>
        <w:t>.4 关节松紧旋钮:高密度PP材质,内嵌不锈钢轴承,与关节连接杆锁合</w:t>
      </w:r>
    </w:p>
    <w:p w14:paraId="48A4F84B">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13</w:t>
      </w:r>
      <w:r>
        <w:rPr>
          <w:rFonts w:hint="eastAsia" w:asciiTheme="minorEastAsia" w:hAnsiTheme="minorEastAsia" w:eastAsiaTheme="minorEastAsia" w:cstheme="minorEastAsia"/>
          <w:sz w:val="24"/>
          <w:szCs w:val="24"/>
          <w:lang w:eastAsia="zh-CN"/>
        </w:rPr>
        <w:t>.5 气流调节阀:手动调节外部阀门旋钮,控制进入之气流量</w:t>
      </w:r>
    </w:p>
    <w:p w14:paraId="1ACD4431">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13</w:t>
      </w:r>
      <w:r>
        <w:rPr>
          <w:rFonts w:hint="eastAsia" w:asciiTheme="minorEastAsia" w:hAnsiTheme="minorEastAsia" w:eastAsiaTheme="minorEastAsia" w:cstheme="minorEastAsia"/>
          <w:sz w:val="24"/>
          <w:szCs w:val="24"/>
          <w:lang w:eastAsia="zh-CN"/>
        </w:rPr>
        <w:t>.6 拱形杯形集气置:高密度PP/PC材质</w:t>
      </w:r>
    </w:p>
    <w:p w14:paraId="7A131104">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13</w:t>
      </w:r>
      <w:r>
        <w:rPr>
          <w:rFonts w:hint="eastAsia" w:asciiTheme="minorEastAsia" w:hAnsiTheme="minorEastAsia" w:eastAsiaTheme="minorEastAsia" w:cstheme="minorEastAsia"/>
          <w:sz w:val="24"/>
          <w:szCs w:val="24"/>
          <w:lang w:eastAsia="zh-CN"/>
        </w:rPr>
        <w:t>.7 伸缩导管:75mmPP</w:t>
      </w:r>
    </w:p>
    <w:p w14:paraId="775AF257">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13</w:t>
      </w:r>
      <w:r>
        <w:rPr>
          <w:rFonts w:hint="eastAsia" w:asciiTheme="minorEastAsia" w:hAnsiTheme="minorEastAsia" w:eastAsiaTheme="minorEastAsia" w:cstheme="minorEastAsia"/>
          <w:sz w:val="24"/>
          <w:szCs w:val="24"/>
          <w:lang w:eastAsia="zh-CN"/>
        </w:rPr>
        <w:t xml:space="preserve">.8 独有360°旋转装置:以固定架为中心最大活动半径可达1600mm </w:t>
      </w:r>
    </w:p>
    <w:p w14:paraId="163083CD">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13</w:t>
      </w:r>
      <w:r>
        <w:rPr>
          <w:rFonts w:hint="eastAsia" w:asciiTheme="minorEastAsia" w:hAnsiTheme="minorEastAsia" w:eastAsiaTheme="minorEastAsia" w:cstheme="minorEastAsia"/>
          <w:sz w:val="24"/>
          <w:szCs w:val="24"/>
          <w:lang w:eastAsia="zh-CN"/>
        </w:rPr>
        <w:t>.9 固定底座:非粘接而成,模具注塑一体成型,牢度强,不脱底</w:t>
      </w:r>
    </w:p>
    <w:p w14:paraId="31C15B73">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（15）</w:t>
      </w:r>
      <w:r>
        <w:rPr>
          <w:rFonts w:hint="eastAsia" w:asciiTheme="minorEastAsia" w:hAnsiTheme="minorEastAsia" w:eastAsiaTheme="minorEastAsia" w:cstheme="minorEastAsia"/>
          <w:b/>
          <w:sz w:val="24"/>
          <w:szCs w:val="24"/>
          <w:lang w:eastAsia="zh-CN"/>
        </w:rPr>
        <w:t>原子吸收罩</w:t>
      </w:r>
    </w:p>
    <w:p w14:paraId="1267B1D2">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14</w:t>
      </w:r>
      <w:r>
        <w:rPr>
          <w:rFonts w:hint="eastAsia" w:asciiTheme="minorEastAsia" w:hAnsiTheme="minorEastAsia" w:eastAsiaTheme="minorEastAsia" w:cstheme="minorEastAsia"/>
          <w:sz w:val="24"/>
          <w:szCs w:val="24"/>
          <w:lang w:eastAsia="zh-CN"/>
        </w:rPr>
        <w:t>.1 主体：SUS304不锈钢</w:t>
      </w:r>
    </w:p>
    <w:p w14:paraId="1DB0A335">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14</w:t>
      </w:r>
      <w:r>
        <w:rPr>
          <w:rFonts w:hint="eastAsia" w:asciiTheme="minorEastAsia" w:hAnsiTheme="minorEastAsia" w:eastAsiaTheme="minorEastAsia" w:cstheme="minorEastAsia"/>
          <w:sz w:val="24"/>
          <w:szCs w:val="24"/>
          <w:lang w:eastAsia="zh-CN"/>
        </w:rPr>
        <w:t>.2导管：在一定范围内有300mm的上下自由伸缩</w:t>
      </w:r>
    </w:p>
    <w:p w14:paraId="6A03A9F7">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14</w:t>
      </w:r>
      <w:r>
        <w:rPr>
          <w:rFonts w:hint="eastAsia" w:asciiTheme="minorEastAsia" w:hAnsiTheme="minorEastAsia" w:eastAsiaTheme="minorEastAsia" w:cstheme="minorEastAsia"/>
          <w:sz w:val="24"/>
          <w:szCs w:val="24"/>
          <w:lang w:eastAsia="zh-CN"/>
        </w:rPr>
        <w:t>.3配套可调节风量手动阀板。</w:t>
      </w:r>
    </w:p>
    <w:p w14:paraId="4406ACA3">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(二)装饰装修系统</w:t>
      </w:r>
    </w:p>
    <w:p w14:paraId="16ADE127">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本项目现场基础装饰已完成，涉及到本次改造范围内的墙体拆除、墙面修复、</w:t>
      </w:r>
    </w:p>
    <w:p w14:paraId="365ABF14">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地面改造、顶面改造的施工内容、材料、工艺需符合国家相关法律法规，材料选</w:t>
      </w:r>
    </w:p>
    <w:p w14:paraId="76E8DC72">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用与现场板材颜色、规格相近或相似。改造后需美观、简洁、无暗病、隐患等。</w:t>
      </w:r>
    </w:p>
    <w:p w14:paraId="47AB3AAA">
      <w:pPr>
        <w:pStyle w:val="206"/>
        <w:pageBreakBefore w:val="0"/>
        <w:kinsoku/>
        <w:wordWrap/>
        <w:overflowPunct/>
        <w:topLinePunct w:val="0"/>
        <w:bidi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标准依据：</w:t>
      </w:r>
    </w:p>
    <w:p w14:paraId="6A827A0E">
      <w:pPr>
        <w:pStyle w:val="206"/>
        <w:pageBreakBefore w:val="0"/>
        <w:kinsoku/>
        <w:wordWrap/>
        <w:overflowPunct/>
        <w:topLinePunct w:val="0"/>
        <w:bidi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《工业建筑防腐蚀设计标准》(GB 50046-2018)；</w:t>
      </w:r>
    </w:p>
    <w:p w14:paraId="7BDAA5BB">
      <w:pPr>
        <w:pStyle w:val="206"/>
        <w:pageBreakBefore w:val="0"/>
        <w:kinsoku/>
        <w:wordWrap/>
        <w:overflowPunct/>
        <w:topLinePunct w:val="0"/>
        <w:bidi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rPr>
        <w:t>《建筑装饰装修工程质量验</w:t>
      </w:r>
      <w:r>
        <w:rPr>
          <w:rFonts w:hint="eastAsia" w:asciiTheme="minorEastAsia" w:hAnsiTheme="minorEastAsia" w:eastAsiaTheme="minorEastAsia" w:cstheme="minorEastAsia"/>
          <w:sz w:val="24"/>
          <w:szCs w:val="24"/>
        </w:rPr>
        <w:t>收规范》(GB 50210-2018)；</w:t>
      </w:r>
    </w:p>
    <w:p w14:paraId="500E303C">
      <w:pPr>
        <w:pStyle w:val="206"/>
        <w:pageBreakBefore w:val="0"/>
        <w:kinsoku/>
        <w:wordWrap/>
        <w:overflowPunct/>
        <w:topLinePunct w:val="0"/>
        <w:bidi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《建筑内部装修设计防火规范》（GB50222-2017）；</w:t>
      </w:r>
    </w:p>
    <w:p w14:paraId="5DA5B5BD">
      <w:pPr>
        <w:pStyle w:val="206"/>
        <w:pageBreakBefore w:val="0"/>
        <w:kinsoku/>
        <w:wordWrap/>
        <w:overflowPunct/>
        <w:topLinePunct w:val="0"/>
        <w:bidi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《检验检测实验室技术要求验收规范》（GB/T37140-2018）；</w:t>
      </w:r>
    </w:p>
    <w:p w14:paraId="33140B7B">
      <w:pPr>
        <w:pStyle w:val="206"/>
        <w:pageBreakBefore w:val="0"/>
        <w:kinsoku/>
        <w:wordWrap/>
        <w:overflowPunct/>
        <w:topLinePunct w:val="0"/>
        <w:bidi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《建筑用墙面涂料中有害物质限量》(GB 18582-2020)；</w:t>
      </w:r>
    </w:p>
    <w:p w14:paraId="0D6AD8BF">
      <w:pPr>
        <w:pStyle w:val="206"/>
        <w:pageBreakBefore w:val="0"/>
        <w:kinsoku/>
        <w:wordWrap/>
        <w:overflowPunct/>
        <w:topLinePunct w:val="0"/>
        <w:bidi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《涂膜、腻子膜打磨性测定法》（GB/T 1770-2008）；</w:t>
      </w:r>
    </w:p>
    <w:p w14:paraId="4B945D30">
      <w:pPr>
        <w:pStyle w:val="206"/>
        <w:pageBreakBefore w:val="0"/>
        <w:kinsoku/>
        <w:wordWrap/>
        <w:overflowPunct/>
        <w:topLinePunct w:val="0"/>
        <w:bidi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《建筑排水用硬聚氯乙烯(PVC-U)管材》（GB/T 5836.1-2018）；</w:t>
      </w:r>
    </w:p>
    <w:p w14:paraId="7CBD3D2D">
      <w:pPr>
        <w:pStyle w:val="206"/>
        <w:pageBreakBefore w:val="0"/>
        <w:kinsoku/>
        <w:wordWrap/>
        <w:overflowPunct/>
        <w:topLinePunct w:val="0"/>
        <w:bidi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《民用建筑工程室内环境污染控制规范》（GB50325-2010）；</w:t>
      </w:r>
    </w:p>
    <w:p w14:paraId="798544EF">
      <w:pPr>
        <w:pStyle w:val="206"/>
        <w:pageBreakBefore w:val="0"/>
        <w:kinsoku/>
        <w:wordWrap/>
        <w:overflowPunct/>
        <w:topLinePunct w:val="0"/>
        <w:bidi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《建筑装饰装修工程施工质量验收规范》（GB50210-2018）。</w:t>
      </w:r>
    </w:p>
    <w:p w14:paraId="00D7DE96">
      <w:pPr>
        <w:pStyle w:val="206"/>
        <w:pageBreakBefore w:val="0"/>
        <w:kinsoku/>
        <w:wordWrap/>
        <w:overflowPunct/>
        <w:topLinePunct w:val="0"/>
        <w:bidi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1、吊顶、隔断、地板、粉刷</w:t>
      </w:r>
      <w:r>
        <w:rPr>
          <w:rFonts w:hint="eastAsia" w:asciiTheme="minorEastAsia" w:hAnsiTheme="minorEastAsia" w:eastAsiaTheme="minorEastAsia" w:cstheme="minorEastAsia"/>
          <w:b/>
          <w:bCs/>
          <w:color w:val="auto"/>
          <w:sz w:val="24"/>
          <w:szCs w:val="24"/>
          <w:lang w:val="en-US" w:eastAsia="zh-CN"/>
        </w:rPr>
        <w:t>装修范围</w:t>
      </w:r>
    </w:p>
    <w:p w14:paraId="66DF8527">
      <w:pPr>
        <w:pStyle w:val="206"/>
        <w:pageBreakBefore w:val="0"/>
        <w:numPr>
          <w:ilvl w:val="0"/>
          <w:numId w:val="68"/>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中控改化验楼吊顶：样品流转休息室；办公室1、2；党建活动室；新增铝扣板吊顶。</w:t>
      </w:r>
    </w:p>
    <w:p w14:paraId="509AC520">
      <w:pPr>
        <w:pStyle w:val="206"/>
        <w:pageBreakBefore w:val="0"/>
        <w:numPr>
          <w:ilvl w:val="0"/>
          <w:numId w:val="68"/>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中控改化验楼吊顶：</w:t>
      </w:r>
      <w:r>
        <w:rPr>
          <w:rFonts w:hint="eastAsia" w:asciiTheme="minorEastAsia" w:hAnsiTheme="minorEastAsia" w:eastAsiaTheme="minorEastAsia" w:cstheme="minorEastAsia"/>
          <w:b w:val="0"/>
          <w:bCs w:val="0"/>
          <w:color w:val="auto"/>
          <w:sz w:val="24"/>
          <w:szCs w:val="24"/>
          <w:highlight w:val="none"/>
          <w:u w:val="none"/>
          <w:lang w:val="en-US" w:eastAsia="zh-CN"/>
        </w:rPr>
        <w:t>样品流转休息室；</w:t>
      </w:r>
      <w:r>
        <w:rPr>
          <w:rFonts w:hint="eastAsia" w:asciiTheme="minorEastAsia" w:hAnsiTheme="minorEastAsia" w:eastAsiaTheme="minorEastAsia" w:cstheme="minorEastAsia"/>
          <w:b w:val="0"/>
          <w:bCs w:val="0"/>
          <w:color w:val="auto"/>
          <w:sz w:val="24"/>
          <w:szCs w:val="24"/>
          <w:lang w:val="en-US" w:eastAsia="zh-CN"/>
        </w:rPr>
        <w:t>PT</w:t>
      </w:r>
      <w:r>
        <w:rPr>
          <w:rFonts w:hint="eastAsia" w:asciiTheme="minorEastAsia" w:hAnsiTheme="minorEastAsia" w:eastAsiaTheme="minorEastAsia" w:cstheme="minorEastAsia"/>
          <w:sz w:val="24"/>
          <w:szCs w:val="24"/>
          <w:lang w:val="en-US" w:eastAsia="zh-CN"/>
        </w:rPr>
        <w:t>A包装袋分析区域；煤留样间；热值分析室；环保仪器间；过道；备品备件间；玻璃器皿室；试剂间；龙骨新增，部分石膏板采用原中控室大厅拆除下来的石膏板补齐。</w:t>
      </w:r>
    </w:p>
    <w:p w14:paraId="7DFFCC59">
      <w:pPr>
        <w:pStyle w:val="206"/>
        <w:pageBreakBefore w:val="0"/>
        <w:numPr>
          <w:ilvl w:val="0"/>
          <w:numId w:val="68"/>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中控改化验楼吊顶：分析仪器室；大办公区域；新增方通或网格型吊顶。</w:t>
      </w:r>
    </w:p>
    <w:p w14:paraId="2F6A3E84">
      <w:pPr>
        <w:pStyle w:val="206"/>
        <w:pageBreakBefore w:val="0"/>
        <w:numPr>
          <w:ilvl w:val="0"/>
          <w:numId w:val="68"/>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auto"/>
          <w:sz w:val="24"/>
          <w:szCs w:val="24"/>
          <w:lang w:val="en-US" w:eastAsia="zh-CN"/>
        </w:rPr>
        <w:t>中控改化验楼地面</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样品流转休息室；办公室1</w:t>
      </w:r>
      <w:r>
        <w:rPr>
          <w:rFonts w:hint="eastAsia" w:asciiTheme="minorEastAsia" w:hAnsi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val="en-US" w:eastAsia="zh-CN"/>
        </w:rPr>
        <w:t>办公室2；大办公室区域；分析仪器室；党建活动室；PTA包装袋分析区域；热值分析室；煤留样间；环保仪器间；备品备件间；玻璃器皿室；试剂间：部分房间架空地板拆除，与部分房间的网沟一起就行回填，回填位置</w:t>
      </w:r>
      <w:r>
        <w:rPr>
          <w:rFonts w:hint="eastAsia" w:asciiTheme="minorEastAsia" w:hAnsiTheme="minorEastAsia" w:cstheme="minorEastAsia"/>
          <w:color w:val="auto"/>
          <w:sz w:val="24"/>
          <w:szCs w:val="24"/>
          <w:lang w:val="en-US" w:eastAsia="zh-CN"/>
        </w:rPr>
        <w:t>会泥土硬化</w:t>
      </w:r>
      <w:r>
        <w:rPr>
          <w:rFonts w:hint="eastAsia" w:asciiTheme="minorEastAsia" w:hAnsiTheme="minorEastAsia" w:eastAsiaTheme="minorEastAsia" w:cstheme="minorEastAsia"/>
          <w:color w:val="auto"/>
          <w:sz w:val="24"/>
          <w:szCs w:val="24"/>
          <w:lang w:val="en-US" w:eastAsia="zh-CN"/>
        </w:rPr>
        <w:t>扫平</w:t>
      </w:r>
      <w:r>
        <w:rPr>
          <w:rFonts w:hint="eastAsia" w:asciiTheme="minorEastAsia" w:hAnsiTheme="minorEastAsia" w:cstheme="minorEastAsia"/>
          <w:color w:val="auto"/>
          <w:sz w:val="24"/>
          <w:szCs w:val="24"/>
          <w:lang w:val="en-US" w:eastAsia="zh-CN"/>
        </w:rPr>
        <w:t>，用对应房间</w:t>
      </w:r>
      <w:r>
        <w:rPr>
          <w:rFonts w:hint="eastAsia" w:asciiTheme="minorEastAsia" w:hAnsiTheme="minorEastAsia" w:eastAsiaTheme="minorEastAsia" w:cstheme="minorEastAsia"/>
          <w:color w:val="auto"/>
          <w:sz w:val="24"/>
          <w:szCs w:val="24"/>
          <w:lang w:val="en-US" w:eastAsia="zh-CN"/>
        </w:rPr>
        <w:t>瓷砖</w:t>
      </w:r>
      <w:r>
        <w:rPr>
          <w:rFonts w:hint="eastAsia" w:asciiTheme="minorEastAsia" w:hAnsiTheme="minorEastAsia" w:cstheme="minorEastAsia"/>
          <w:color w:val="auto"/>
          <w:sz w:val="24"/>
          <w:szCs w:val="24"/>
          <w:lang w:val="en-US" w:eastAsia="zh-CN"/>
        </w:rPr>
        <w:t>相近颜色的瓷砖铺平。</w:t>
      </w:r>
    </w:p>
    <w:p w14:paraId="564F6A45">
      <w:pPr>
        <w:pStyle w:val="206"/>
        <w:pageBreakBefore w:val="0"/>
        <w:numPr>
          <w:ilvl w:val="0"/>
          <w:numId w:val="68"/>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z w:val="24"/>
          <w:szCs w:val="24"/>
          <w:lang w:val="en-US" w:eastAsia="zh-CN"/>
        </w:rPr>
        <w:t>中控改化验楼隔断：备用备件间，玻璃器皿室，试剂间，煤留样间，热值分析室，环保仪器间</w:t>
      </w:r>
      <w:r>
        <w:rPr>
          <w:rFonts w:hint="eastAsia" w:asciiTheme="minorEastAsia" w:hAnsiTheme="minorEastAsia" w:eastAsiaTheme="minorEastAsia" w:cstheme="minorEastAsia"/>
          <w:sz w:val="24"/>
          <w:szCs w:val="24"/>
          <w:highlight w:val="none"/>
          <w:lang w:val="en-US" w:eastAsia="zh-CN"/>
        </w:rPr>
        <w:t>做实墙隔断</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分析仪器大厅和大办公室区域下部</w:t>
      </w:r>
      <w:r>
        <w:rPr>
          <w:rFonts w:hint="eastAsia" w:asciiTheme="minorEastAsia" w:hAnsiTheme="minorEastAsia" w:eastAsiaTheme="minorEastAsia" w:cstheme="minorEastAsia"/>
          <w:color w:val="auto"/>
          <w:sz w:val="24"/>
          <w:szCs w:val="24"/>
          <w:lang w:val="en-US" w:eastAsia="zh-CN"/>
        </w:rPr>
        <w:t>1米高度采用实墙隔断，上部采用不锈钢钢化玻璃隔断。</w:t>
      </w:r>
    </w:p>
    <w:p w14:paraId="0A2AFDE1">
      <w:pPr>
        <w:pStyle w:val="206"/>
        <w:pageBreakBefore w:val="0"/>
        <w:numPr>
          <w:ilvl w:val="0"/>
          <w:numId w:val="68"/>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中控改化验楼墙面粉刷：备用备件间，玻璃器皿室，试剂间，煤留样间，热值分析室，环保仪器间，分析仪器大厅和大办公室区，样品流转休息室，办公室1、</w:t>
      </w:r>
      <w:r>
        <w:rPr>
          <w:rFonts w:hint="eastAsia" w:asciiTheme="minorEastAsia" w:hAnsiTheme="minorEastAsia" w:cstheme="minorEastAsia"/>
          <w:sz w:val="24"/>
          <w:szCs w:val="24"/>
          <w:lang w:val="en-US" w:eastAsia="zh-CN"/>
        </w:rPr>
        <w:t>办公室</w:t>
      </w:r>
      <w:r>
        <w:rPr>
          <w:rFonts w:hint="eastAsia" w:asciiTheme="minorEastAsia" w:hAnsiTheme="minorEastAsia" w:eastAsiaTheme="minorEastAsia" w:cstheme="minorEastAsia"/>
          <w:sz w:val="24"/>
          <w:szCs w:val="24"/>
          <w:lang w:val="en-US" w:eastAsia="zh-CN"/>
        </w:rPr>
        <w:t>2，党建活动室，墙面有掉皮及破孔的，先进行补平，再粉刷。</w:t>
      </w:r>
    </w:p>
    <w:p w14:paraId="4D82DD84">
      <w:pPr>
        <w:pStyle w:val="206"/>
        <w:pageBreakBefore w:val="0"/>
        <w:numPr>
          <w:ilvl w:val="0"/>
          <w:numId w:val="68"/>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芳烃化验楼墙面粉刷：百万分之一天平间，原班长室间，</w:t>
      </w:r>
      <w:r>
        <w:rPr>
          <w:rFonts w:hint="eastAsia" w:asciiTheme="minorEastAsia" w:hAnsiTheme="minorEastAsia" w:cstheme="minorEastAsia"/>
          <w:sz w:val="24"/>
          <w:szCs w:val="24"/>
          <w:lang w:val="en-US" w:eastAsia="zh-CN"/>
        </w:rPr>
        <w:t>原</w:t>
      </w:r>
      <w:r>
        <w:rPr>
          <w:rFonts w:hint="eastAsia" w:asciiTheme="minorEastAsia" w:hAnsiTheme="minorEastAsia" w:eastAsiaTheme="minorEastAsia" w:cstheme="minorEastAsia"/>
          <w:sz w:val="24"/>
          <w:szCs w:val="24"/>
          <w:lang w:val="en-US" w:eastAsia="zh-CN"/>
        </w:rPr>
        <w:t>玻璃器皿室</w:t>
      </w:r>
      <w:r>
        <w:rPr>
          <w:rFonts w:hint="eastAsia" w:asciiTheme="minorEastAsia" w:hAnsiTheme="minorEastAsia" w:cstheme="minorEastAsia"/>
          <w:sz w:val="24"/>
          <w:szCs w:val="24"/>
          <w:lang w:val="en-US" w:eastAsia="zh-CN"/>
        </w:rPr>
        <w:t>及试剂间</w:t>
      </w:r>
      <w:r>
        <w:rPr>
          <w:rFonts w:hint="eastAsia" w:asciiTheme="minorEastAsia" w:hAnsiTheme="minorEastAsia" w:eastAsiaTheme="minorEastAsia" w:cstheme="minorEastAsia"/>
          <w:sz w:val="24"/>
          <w:szCs w:val="24"/>
          <w:lang w:val="en-US" w:eastAsia="zh-CN"/>
        </w:rPr>
        <w:t>，男更衣室，先进行补平，再粉刷。</w:t>
      </w:r>
    </w:p>
    <w:p w14:paraId="5020E291">
      <w:pPr>
        <w:pStyle w:val="206"/>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基本要求：</w:t>
      </w:r>
    </w:p>
    <w:p w14:paraId="12C3091E">
      <w:pPr>
        <w:pStyle w:val="206"/>
        <w:pageBreakBefore w:val="0"/>
        <w:numPr>
          <w:ilvl w:val="0"/>
          <w:numId w:val="69"/>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石膏板不应有气泡﹑起皮﹑缺角﹑污垢﹑扭曲﹑变形等缺陷且表面平整。</w:t>
      </w:r>
    </w:p>
    <w:p w14:paraId="758EF87E">
      <w:pPr>
        <w:pStyle w:val="206"/>
        <w:pageBreakBefore w:val="0"/>
        <w:numPr>
          <w:ilvl w:val="0"/>
          <w:numId w:val="69"/>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进场材料附有产品合格证,性能检查报告,必要时抽样复验报告。</w:t>
      </w:r>
    </w:p>
    <w:p w14:paraId="0F88FD62">
      <w:pPr>
        <w:pStyle w:val="206"/>
        <w:pageBreakBefore w:val="0"/>
        <w:numPr>
          <w:ilvl w:val="0"/>
          <w:numId w:val="69"/>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安装龙骨用的紧固件及螺钉﹑螺栓﹑钉子等应用镀锌制品,埋件应作防腐处理。</w:t>
      </w:r>
    </w:p>
    <w:p w14:paraId="786FC5E6">
      <w:pPr>
        <w:pStyle w:val="206"/>
        <w:pageBreakBefore w:val="0"/>
        <w:numPr>
          <w:ilvl w:val="0"/>
          <w:numId w:val="69"/>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弹线定水平，安装地龙骨竖立龙骨，穿心龙骨，天龙骨。                             </w:t>
      </w:r>
    </w:p>
    <w:p w14:paraId="7688406F">
      <w:pPr>
        <w:pStyle w:val="206"/>
        <w:pageBreakBefore w:val="0"/>
        <w:numPr>
          <w:ilvl w:val="0"/>
          <w:numId w:val="69"/>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石膏板封墙及胶布封边修复。      </w:t>
      </w:r>
    </w:p>
    <w:p w14:paraId="41C4183D">
      <w:pPr>
        <w:pStyle w:val="206"/>
        <w:pageBreakBefore w:val="0"/>
        <w:numPr>
          <w:ilvl w:val="0"/>
          <w:numId w:val="69"/>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钉孔防锈处理，墙面乳胶漆。</w:t>
      </w:r>
    </w:p>
    <w:p w14:paraId="41B3B17A">
      <w:pPr>
        <w:pStyle w:val="206"/>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材料：</w:t>
      </w:r>
    </w:p>
    <w:p w14:paraId="46B13E41">
      <w:pPr>
        <w:pStyle w:val="206"/>
        <w:pageBreakBefore w:val="0"/>
        <w:numPr>
          <w:ilvl w:val="0"/>
          <w:numId w:val="70"/>
        </w:numPr>
        <w:kinsoku/>
        <w:wordWrap/>
        <w:overflowPunct/>
        <w:topLinePunct w:val="0"/>
        <w:bidi w:val="0"/>
        <w:spacing w:beforeAutospacing="0" w:afterAutospacing="0" w:line="400" w:lineRule="exact"/>
        <w:ind w:left="425" w:leftChars="0" w:right="0" w:hanging="425" w:firstLineChars="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水性涂料涂饰工程质量要求符合《建筑装饰装修工程施工质量验收规范》(GB50210—2001)的规定。</w:t>
      </w:r>
    </w:p>
    <w:p w14:paraId="2840282A">
      <w:pPr>
        <w:pStyle w:val="206"/>
        <w:pageBreakBefore w:val="0"/>
        <w:numPr>
          <w:ilvl w:val="0"/>
          <w:numId w:val="70"/>
        </w:numPr>
        <w:kinsoku/>
        <w:wordWrap/>
        <w:overflowPunct/>
        <w:topLinePunct w:val="0"/>
        <w:bidi w:val="0"/>
        <w:spacing w:beforeAutospacing="0" w:afterAutospacing="0" w:line="400" w:lineRule="exact"/>
        <w:ind w:left="425" w:leftChars="0" w:right="0" w:hanging="425" w:firstLineChars="0"/>
        <w:jc w:val="left"/>
        <w:rPr>
          <w:rFonts w:hint="eastAsia" w:asciiTheme="minorEastAsia" w:hAnsiTheme="minorEastAsia" w:eastAsiaTheme="minorEastAsia" w:cstheme="minorEastAsia"/>
          <w:color w:val="auto"/>
          <w:sz w:val="24"/>
          <w:szCs w:val="24"/>
        </w:rPr>
      </w:pPr>
      <w:r>
        <w:rPr>
          <w:rFonts w:hint="eastAsia" w:ascii="Segoe UI" w:hAnsi="Segoe UI" w:eastAsia="宋体" w:cs="Segoe UI"/>
          <w:i w:val="0"/>
          <w:iCs w:val="0"/>
          <w:caps w:val="0"/>
          <w:color w:val="auto"/>
          <w:spacing w:val="0"/>
          <w:sz w:val="24"/>
          <w:szCs w:val="24"/>
          <w:shd w:val="clear" w:fill="FFFFFF"/>
          <w:lang w:val="en-US" w:eastAsia="zh-CN"/>
        </w:rPr>
        <w:t>取得</w:t>
      </w:r>
      <w:r>
        <w:rPr>
          <w:rFonts w:ascii="Segoe UI" w:hAnsi="Segoe UI" w:eastAsia="Segoe UI" w:cs="Segoe UI"/>
          <w:i w:val="0"/>
          <w:iCs w:val="0"/>
          <w:caps w:val="0"/>
          <w:color w:val="auto"/>
          <w:spacing w:val="0"/>
          <w:sz w:val="24"/>
          <w:szCs w:val="24"/>
          <w:shd w:val="clear" w:fill="FFFFFF"/>
        </w:rPr>
        <w:t>绿色产品、环保产品认证</w:t>
      </w:r>
      <w:r>
        <w:rPr>
          <w:rFonts w:hint="eastAsia" w:ascii="Segoe UI" w:hAnsi="Segoe UI" w:eastAsia="宋体" w:cs="Segoe UI"/>
          <w:i w:val="0"/>
          <w:iCs w:val="0"/>
          <w:caps w:val="0"/>
          <w:color w:val="auto"/>
          <w:spacing w:val="0"/>
          <w:sz w:val="24"/>
          <w:szCs w:val="24"/>
          <w:shd w:val="clear" w:fill="FFFFFF"/>
          <w:lang w:eastAsia="zh-CN"/>
        </w:rPr>
        <w:t>。甲醛含量：GB 18582-2020 标准规定，内墙涂料的甲醛含量应不超过 50mg/kg。另外，根据行业标准 JG/T 481-2015 的规定，甲醛释放量应≤0.1mg/m³。</w:t>
      </w:r>
    </w:p>
    <w:p w14:paraId="47168EAE">
      <w:pPr>
        <w:pStyle w:val="206"/>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作业条件</w:t>
      </w:r>
    </w:p>
    <w:p w14:paraId="6A8684B5">
      <w:pPr>
        <w:pStyle w:val="206"/>
        <w:pageBreakBefore w:val="0"/>
        <w:numPr>
          <w:ilvl w:val="0"/>
          <w:numId w:val="71"/>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墙面应基本干燥，基层含水率不得大于10％。</w:t>
      </w:r>
    </w:p>
    <w:p w14:paraId="735EF858">
      <w:pPr>
        <w:pStyle w:val="206"/>
        <w:pageBreakBefore w:val="0"/>
        <w:numPr>
          <w:ilvl w:val="0"/>
          <w:numId w:val="71"/>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抹灰作业已全部完成，过墙管道、洞口、阴阳角等提前处理完毕。</w:t>
      </w:r>
    </w:p>
    <w:p w14:paraId="711525A7">
      <w:pPr>
        <w:pStyle w:val="206"/>
        <w:pageBreakBefore w:val="0"/>
        <w:numPr>
          <w:ilvl w:val="0"/>
          <w:numId w:val="71"/>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门窗玻璃应提前安装完毕。</w:t>
      </w:r>
    </w:p>
    <w:p w14:paraId="53204202">
      <w:pPr>
        <w:pStyle w:val="206"/>
        <w:pageBreakBefore w:val="0"/>
        <w:numPr>
          <w:ilvl w:val="0"/>
          <w:numId w:val="71"/>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大面积施工前应做好样板，经验收合格后方可进行大面积施工。</w:t>
      </w:r>
    </w:p>
    <w:p w14:paraId="29E549B5">
      <w:pPr>
        <w:pStyle w:val="206"/>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3、洞口处理</w:t>
      </w:r>
    </w:p>
    <w:p w14:paraId="6660A021">
      <w:pPr>
        <w:pStyle w:val="206"/>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sz w:val="24"/>
          <w:szCs w:val="24"/>
        </w:rPr>
        <w:t>设备口、灯具的位置必须按板块、图案、分格对称布局合理。开口边缘整齐，护口严密，不露缝，排列横竖均匀、顺直、整齐、协调美观，受风压的吊顶板必须做固定处理。吊顶板与墙面、窗帘盒、灯具等交接处应严密，不得有漏缝现象。</w:t>
      </w:r>
    </w:p>
    <w:p w14:paraId="02F52881">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bCs w:val="0"/>
          <w:color w:val="auto"/>
          <w:sz w:val="24"/>
          <w:szCs w:val="24"/>
          <w:lang w:val="en-US" w:eastAsia="zh-CN"/>
        </w:rPr>
      </w:pPr>
      <w:r>
        <w:rPr>
          <w:rFonts w:hint="eastAsia" w:asciiTheme="minorEastAsia" w:hAnsiTheme="minorEastAsia" w:eastAsiaTheme="minorEastAsia" w:cstheme="minorEastAsia"/>
          <w:b/>
          <w:bCs w:val="0"/>
          <w:color w:val="auto"/>
          <w:sz w:val="24"/>
          <w:szCs w:val="24"/>
          <w:lang w:val="en-US" w:eastAsia="zh-CN"/>
        </w:rPr>
        <w:t>4、铝扣板吊顶</w:t>
      </w:r>
    </w:p>
    <w:p w14:paraId="02596D0C">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（1）采用600*600mm金属铝扣板吊顶，厚度：≥0.8mm厚铝板，配套金属龙骨主龙骨中距900，顶板预留φ8镀锌吊杆，双向中距900.</w:t>
      </w:r>
    </w:p>
    <w:p w14:paraId="3016E30B">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（2）防火等级A、不易燃、材质坚硬，不容易变形。</w:t>
      </w:r>
    </w:p>
    <w:p w14:paraId="6C327116">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5、方通或格栅吊顶</w:t>
      </w:r>
    </w:p>
    <w:p w14:paraId="0D416536">
      <w:pPr>
        <w:pStyle w:val="206"/>
        <w:keepLines w:val="0"/>
        <w:pageBreakBefore w:val="0"/>
        <w:numPr>
          <w:ilvl w:val="0"/>
          <w:numId w:val="72"/>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材质型号：铝合金；宽幅：40-60mm；高度：50-80mm；壁厚：大于1.0mm；</w:t>
      </w:r>
    </w:p>
    <w:p w14:paraId="2A2A1DFD">
      <w:pPr>
        <w:pStyle w:val="206"/>
        <w:keepLines w:val="0"/>
        <w:pageBreakBefore w:val="0"/>
        <w:numPr>
          <w:ilvl w:val="0"/>
          <w:numId w:val="72"/>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方通安装间距≤100mm。</w:t>
      </w:r>
    </w:p>
    <w:p w14:paraId="5FDA4C84">
      <w:pPr>
        <w:pStyle w:val="206"/>
        <w:keepLines w:val="0"/>
        <w:pageBreakBefore w:val="0"/>
        <w:numPr>
          <w:ilvl w:val="0"/>
          <w:numId w:val="72"/>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防火等级：A 级防火；不易燃、材质坚硬，不容易变形。</w:t>
      </w:r>
    </w:p>
    <w:p w14:paraId="45F5C9D1">
      <w:pPr>
        <w:pStyle w:val="206"/>
        <w:keepLines w:val="0"/>
        <w:pageBreakBefore w:val="0"/>
        <w:numPr>
          <w:ilvl w:val="0"/>
          <w:numId w:val="72"/>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表面涂层：需通过防火检测（无明火滴落，耐火时间≥30 分钟）；</w:t>
      </w:r>
    </w:p>
    <w:p w14:paraId="49D48D5A">
      <w:pPr>
        <w:pStyle w:val="206"/>
        <w:keepLines w:val="0"/>
        <w:pageBreakBefore w:val="0"/>
        <w:numPr>
          <w:ilvl w:val="0"/>
          <w:numId w:val="72"/>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表面处理工艺：粉末喷涂厚度 60-120μm。</w:t>
      </w:r>
    </w:p>
    <w:p w14:paraId="7FB0D798">
      <w:pPr>
        <w:pStyle w:val="206"/>
        <w:keepLines w:val="0"/>
        <w:pageBreakBefore w:val="0"/>
        <w:numPr>
          <w:ilvl w:val="0"/>
          <w:numId w:val="72"/>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龙骨规格：防风型烤漆龙骨配套合金吊杆，龙骨安装间距≤1.2米。</w:t>
      </w:r>
    </w:p>
    <w:p w14:paraId="3A3C3911">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default"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6、环氧树脂地坪</w:t>
      </w:r>
      <w:r>
        <w:rPr>
          <w:rFonts w:hint="eastAsia" w:asciiTheme="minorEastAsia" w:hAnsiTheme="minorEastAsia" w:cstheme="minorEastAsia"/>
          <w:b/>
          <w:bCs/>
          <w:color w:val="auto"/>
          <w:sz w:val="24"/>
          <w:szCs w:val="24"/>
          <w:lang w:val="en-US" w:eastAsia="zh-CN"/>
        </w:rPr>
        <w:t>、瓷砖</w:t>
      </w:r>
    </w:p>
    <w:p w14:paraId="6DEF76B3">
      <w:pPr>
        <w:pStyle w:val="206"/>
        <w:keepNext w:val="0"/>
        <w:keepLines w:val="0"/>
        <w:pageBreakBefore w:val="0"/>
        <w:widowControl/>
        <w:numPr>
          <w:ilvl w:val="0"/>
          <w:numId w:val="73"/>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采用环氧树脂地板，主要成分为双酚A型环氧树脂、改性环氧树脂等，加入</w:t>
      </w:r>
    </w:p>
    <w:p w14:paraId="2FC936C1">
      <w:pPr>
        <w:pStyle w:val="206"/>
        <w:keepNext w:val="0"/>
        <w:keepLines w:val="0"/>
        <w:pageBreakBefore w:val="0"/>
        <w:widowControl/>
        <w:numPr>
          <w:ilvl w:val="0"/>
          <w:numId w:val="73"/>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固化剂、稀释剂、填料、着色剂等辅料，产品规格≥2.0mm厚度、性能要点</w:t>
      </w:r>
    </w:p>
    <w:p w14:paraId="05210DE7">
      <w:pPr>
        <w:pStyle w:val="206"/>
        <w:keepNext w:val="0"/>
        <w:keepLines w:val="0"/>
        <w:pageBreakBefore w:val="0"/>
        <w:widowControl/>
        <w:numPr>
          <w:ilvl w:val="0"/>
          <w:numId w:val="73"/>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需符合：GB/T5210、GB/T6739、GB/T1768、GB/T17671、GB/T1732、GB/T9274。</w:t>
      </w:r>
    </w:p>
    <w:p w14:paraId="38274C54">
      <w:pPr>
        <w:pStyle w:val="206"/>
        <w:keepNext w:val="0"/>
        <w:keepLines w:val="0"/>
        <w:pageBreakBefore w:val="0"/>
        <w:widowControl/>
        <w:numPr>
          <w:ilvl w:val="0"/>
          <w:numId w:val="73"/>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cstheme="minorEastAsia"/>
          <w:b w:val="0"/>
          <w:bCs w:val="0"/>
          <w:color w:val="auto"/>
          <w:sz w:val="24"/>
          <w:szCs w:val="24"/>
          <w:lang w:val="en-US" w:eastAsia="zh-CN"/>
        </w:rPr>
        <w:t>瓷砖选用与原来同规格、相同或接近颜色。</w:t>
      </w:r>
    </w:p>
    <w:p w14:paraId="0A17EC6F">
      <w:pPr>
        <w:pStyle w:val="206"/>
        <w:keepNext w:val="0"/>
        <w:keepLines w:val="0"/>
        <w:pageBreakBefore w:val="0"/>
        <w:widowControl/>
        <w:numPr>
          <w:ilvl w:val="0"/>
          <w:numId w:val="73"/>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验收标准</w:t>
      </w:r>
    </w:p>
    <w:p w14:paraId="038ABE99">
      <w:pPr>
        <w:pStyle w:val="206"/>
        <w:keepNext w:val="0"/>
        <w:keepLines w:val="0"/>
        <w:pageBreakBefore w:val="0"/>
        <w:widowControl/>
        <w:numPr>
          <w:ilvl w:val="0"/>
          <w:numId w:val="74"/>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外观：表面平整、光滑、颜色均匀一致，无气泡、裂缝、针孔、起皱等缺陷。</w:t>
      </w:r>
    </w:p>
    <w:p w14:paraId="727CA6D3">
      <w:pPr>
        <w:pStyle w:val="206"/>
        <w:keepNext w:val="0"/>
        <w:keepLines w:val="0"/>
        <w:pageBreakBefore w:val="0"/>
        <w:widowControl/>
        <w:numPr>
          <w:ilvl w:val="0"/>
          <w:numId w:val="74"/>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平整度：采用2m靠尺检测，平整度误差≤2mm/2m。</w:t>
      </w:r>
    </w:p>
    <w:p w14:paraId="37935A70">
      <w:pPr>
        <w:pStyle w:val="206"/>
        <w:keepNext w:val="0"/>
        <w:keepLines w:val="0"/>
        <w:pageBreakBefore w:val="0"/>
        <w:widowControl/>
        <w:numPr>
          <w:ilvl w:val="0"/>
          <w:numId w:val="74"/>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厚度：采用涂层测厚仪检测，平均厚度偏差±0.2mm，最小厚度不小于设计厚度的90%。</w:t>
      </w:r>
    </w:p>
    <w:p w14:paraId="608309ED">
      <w:pPr>
        <w:pStyle w:val="206"/>
        <w:keepNext w:val="0"/>
        <w:keepLines w:val="0"/>
        <w:pageBreakBefore w:val="0"/>
        <w:widowControl/>
        <w:numPr>
          <w:ilvl w:val="0"/>
          <w:numId w:val="74"/>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附着力：按GB/T 5210-2006标准进行拉拔试验，附着力≥5MPa。</w:t>
      </w:r>
    </w:p>
    <w:p w14:paraId="75B9326B">
      <w:pPr>
        <w:pStyle w:val="206"/>
        <w:keepNext w:val="0"/>
        <w:keepLines w:val="0"/>
        <w:pageBreakBefore w:val="0"/>
        <w:widowControl/>
        <w:numPr>
          <w:ilvl w:val="0"/>
          <w:numId w:val="74"/>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耐化学腐蚀性：选取代表性区域进行现场点滴试验，24小时后无异常。</w:t>
      </w:r>
    </w:p>
    <w:p w14:paraId="55A09D41">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7、钢制门</w:t>
      </w:r>
    </w:p>
    <w:p w14:paraId="6363C950">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400" w:lineRule="exact"/>
        <w:ind w:left="0" w:leftChars="0" w:right="0" w:firstLine="0" w:firstLineChars="0"/>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成品钢制乙级防火门：采用优质冷扎钢板，门扇板厚度≥0.8mm，门框板厚</w:t>
      </w:r>
    </w:p>
    <w:p w14:paraId="640106AD">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400" w:lineRule="exact"/>
        <w:ind w:left="0" w:leftChars="0" w:right="0" w:firstLine="0" w:firstLineChars="0"/>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度≥1.2mm，耐火完整性≥1小时。</w:t>
      </w:r>
    </w:p>
    <w:p w14:paraId="6401C417">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8、不锈钢玻璃隔断</w:t>
      </w:r>
      <w:r>
        <w:rPr>
          <w:rFonts w:hint="eastAsia" w:asciiTheme="minorEastAsia" w:hAnsiTheme="minorEastAsia" w:eastAsiaTheme="minorEastAsia" w:cstheme="minorEastAsia"/>
          <w:b/>
          <w:bCs/>
          <w:color w:val="0000FF"/>
          <w:sz w:val="24"/>
          <w:szCs w:val="24"/>
          <w:lang w:val="en-US" w:eastAsia="zh-CN"/>
        </w:rPr>
        <w:t xml:space="preserve"> </w:t>
      </w:r>
      <w:r>
        <w:rPr>
          <w:rFonts w:hint="eastAsia" w:asciiTheme="minorEastAsia" w:hAnsiTheme="minorEastAsia" w:eastAsiaTheme="minorEastAsia" w:cstheme="minorEastAsia"/>
          <w:b w:val="0"/>
          <w:bCs/>
          <w:color w:val="auto"/>
          <w:sz w:val="24"/>
          <w:szCs w:val="24"/>
          <w:lang w:val="en-US" w:eastAsia="zh-CN"/>
        </w:rPr>
        <w:t xml:space="preserve">  </w:t>
      </w:r>
    </w:p>
    <w:p w14:paraId="6DB37356">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0000FF"/>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采用优质0.8mm厚304#黑色不锈钢拉丝工艺制作（框架部分），内嵌8mm厚钢化玻璃。</w:t>
      </w:r>
    </w:p>
    <w:p w14:paraId="079ABF66">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bCs w:val="0"/>
          <w:color w:val="auto"/>
          <w:sz w:val="24"/>
          <w:szCs w:val="24"/>
          <w:lang w:val="en-US" w:eastAsia="zh-CN"/>
        </w:rPr>
      </w:pPr>
      <w:r>
        <w:rPr>
          <w:rFonts w:hint="eastAsia" w:asciiTheme="minorEastAsia" w:hAnsiTheme="minorEastAsia" w:eastAsiaTheme="minorEastAsia" w:cstheme="minorEastAsia"/>
          <w:b/>
          <w:bCs w:val="0"/>
          <w:color w:val="auto"/>
          <w:sz w:val="24"/>
          <w:szCs w:val="24"/>
          <w:lang w:val="en-US" w:eastAsia="zh-CN"/>
        </w:rPr>
        <w:t>9、给排水系统</w:t>
      </w:r>
    </w:p>
    <w:p w14:paraId="6AD121CC">
      <w:pPr>
        <w:pStyle w:val="206"/>
        <w:keepNext w:val="0"/>
        <w:keepLines w:val="0"/>
        <w:pageBreakBefore w:val="0"/>
        <w:widowControl/>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（1）</w:t>
      </w:r>
      <w:r>
        <w:rPr>
          <w:rFonts w:hint="eastAsia" w:asciiTheme="minorEastAsia" w:hAnsiTheme="minorEastAsia" w:eastAsiaTheme="minorEastAsia" w:cstheme="minorEastAsia"/>
          <w:b w:val="0"/>
          <w:bCs/>
          <w:color w:val="auto"/>
          <w:sz w:val="24"/>
          <w:szCs w:val="24"/>
        </w:rPr>
        <w:t>给水水质、水压必须符合饮用水水质标准。给水进水接至就近给水立管，给水进水管处设置阀门及防污止回阀。</w:t>
      </w:r>
    </w:p>
    <w:p w14:paraId="21C6F81C">
      <w:pPr>
        <w:pStyle w:val="206"/>
        <w:keepNext w:val="0"/>
        <w:keepLines w:val="0"/>
        <w:pageBreakBefore w:val="0"/>
        <w:widowControl/>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lang w:val="en-US" w:eastAsia="zh-CN"/>
        </w:rPr>
        <w:t>2</w:t>
      </w: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rPr>
        <w:t>室内生产生活给水管采用无规共聚聚丙烯（PP-R，S5)给水管，热熔连接。热水管道采用热水型PP-R 塑料管（S2.5系列），热熔连接。</w:t>
      </w:r>
    </w:p>
    <w:p w14:paraId="52689471">
      <w:pPr>
        <w:pStyle w:val="206"/>
        <w:keepNext w:val="0"/>
        <w:keepLines w:val="0"/>
        <w:pageBreakBefore w:val="0"/>
        <w:widowControl/>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lang w:val="en-US" w:eastAsia="zh-CN"/>
        </w:rPr>
        <w:t>3</w:t>
      </w: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rPr>
        <w:t>生活给水管与洁具之间连接采用不锈钢内螺纹配件螺纹连接，生活给水管，当DN≤50mm时采用内螺纹铜质截止阀；DN&gt;50mm时采用Z15T-16闸阀。</w:t>
      </w:r>
    </w:p>
    <w:p w14:paraId="0AC2A8EE">
      <w:pPr>
        <w:pStyle w:val="206"/>
        <w:keepNext w:val="0"/>
        <w:keepLines w:val="0"/>
        <w:pageBreakBefore w:val="0"/>
        <w:widowControl/>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lang w:val="en-US" w:eastAsia="zh-CN"/>
        </w:rPr>
        <w:t>4</w:t>
      </w: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rPr>
        <w:t>排水分区块汇集接入原有</w:t>
      </w:r>
      <w:r>
        <w:rPr>
          <w:rFonts w:hint="eastAsia" w:asciiTheme="minorEastAsia" w:hAnsiTheme="minorEastAsia" w:eastAsiaTheme="minorEastAsia" w:cstheme="minorEastAsia"/>
          <w:b w:val="0"/>
          <w:bCs/>
          <w:color w:val="auto"/>
          <w:sz w:val="24"/>
          <w:szCs w:val="24"/>
          <w:lang w:val="en-US" w:eastAsia="zh-CN"/>
        </w:rPr>
        <w:t>废水收集管道</w:t>
      </w:r>
      <w:r>
        <w:rPr>
          <w:rFonts w:hint="eastAsia" w:asciiTheme="minorEastAsia" w:hAnsiTheme="minorEastAsia" w:eastAsiaTheme="minorEastAsia" w:cstheme="minorEastAsia"/>
          <w:b w:val="0"/>
          <w:bCs/>
          <w:color w:val="auto"/>
          <w:sz w:val="24"/>
          <w:szCs w:val="24"/>
        </w:rPr>
        <w:t>，统一由</w:t>
      </w:r>
      <w:r>
        <w:rPr>
          <w:rFonts w:hint="eastAsia" w:asciiTheme="minorEastAsia" w:hAnsiTheme="minorEastAsia" w:eastAsiaTheme="minorEastAsia" w:cstheme="minorEastAsia"/>
          <w:b w:val="0"/>
          <w:bCs/>
          <w:color w:val="auto"/>
          <w:sz w:val="24"/>
          <w:szCs w:val="24"/>
          <w:lang w:val="en-US" w:eastAsia="zh-CN"/>
        </w:rPr>
        <w:t>废</w:t>
      </w:r>
      <w:r>
        <w:rPr>
          <w:rFonts w:hint="eastAsia" w:asciiTheme="minorEastAsia" w:hAnsiTheme="minorEastAsia" w:eastAsiaTheme="minorEastAsia" w:cstheme="minorEastAsia"/>
          <w:b w:val="0"/>
          <w:bCs/>
          <w:color w:val="auto"/>
          <w:sz w:val="24"/>
          <w:szCs w:val="24"/>
        </w:rPr>
        <w:t xml:space="preserve">水处理设施处理；排水管均采用UPVC排水管及相应管件，粘接剂接口。高温排水管采用无承口机制柔性铸铁管，不锈钢管箍连接。  </w:t>
      </w:r>
    </w:p>
    <w:p w14:paraId="1E175AFF">
      <w:pPr>
        <w:pStyle w:val="206"/>
        <w:keepNext w:val="0"/>
        <w:keepLines w:val="0"/>
        <w:pageBreakBefore w:val="0"/>
        <w:widowControl/>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lang w:val="en-US" w:eastAsia="zh-CN"/>
        </w:rPr>
        <w:t>5</w:t>
      </w: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rPr>
        <w:t>该区域的给水管在同层</w:t>
      </w:r>
      <w:r>
        <w:rPr>
          <w:rFonts w:hint="eastAsia" w:asciiTheme="minorEastAsia" w:hAnsiTheme="minorEastAsia" w:eastAsiaTheme="minorEastAsia" w:cstheme="minorEastAsia"/>
          <w:b w:val="0"/>
          <w:bCs/>
          <w:color w:val="auto"/>
          <w:sz w:val="24"/>
          <w:szCs w:val="24"/>
          <w:lang w:val="en-US" w:eastAsia="zh-CN"/>
        </w:rPr>
        <w:t>地面开槽</w:t>
      </w:r>
      <w:r>
        <w:rPr>
          <w:rFonts w:hint="eastAsia" w:asciiTheme="minorEastAsia" w:hAnsiTheme="minorEastAsia" w:eastAsiaTheme="minorEastAsia" w:cstheme="minorEastAsia"/>
          <w:b w:val="0"/>
          <w:bCs/>
          <w:color w:val="auto"/>
          <w:sz w:val="24"/>
          <w:szCs w:val="24"/>
        </w:rPr>
        <w:t>敷设，排水管在</w:t>
      </w:r>
      <w:r>
        <w:rPr>
          <w:rFonts w:hint="eastAsia" w:asciiTheme="minorEastAsia" w:hAnsiTheme="minorEastAsia" w:eastAsiaTheme="minorEastAsia" w:cstheme="minorEastAsia"/>
          <w:b w:val="0"/>
          <w:bCs/>
          <w:color w:val="auto"/>
          <w:sz w:val="24"/>
          <w:szCs w:val="24"/>
          <w:lang w:val="en-US" w:eastAsia="zh-CN"/>
        </w:rPr>
        <w:t>同层地面开槽</w:t>
      </w:r>
      <w:r>
        <w:rPr>
          <w:rFonts w:hint="eastAsia" w:asciiTheme="minorEastAsia" w:hAnsiTheme="minorEastAsia" w:eastAsiaTheme="minorEastAsia" w:cstheme="minorEastAsia"/>
          <w:b w:val="0"/>
          <w:bCs/>
          <w:color w:val="auto"/>
          <w:sz w:val="24"/>
          <w:szCs w:val="24"/>
        </w:rPr>
        <w:t>敷设；给、排水管预留均根据实际用水点位确定，且给水管需预留相应管径截止阀。</w:t>
      </w:r>
    </w:p>
    <w:p w14:paraId="6BC63210">
      <w:pPr>
        <w:pStyle w:val="206"/>
        <w:keepNext w:val="0"/>
        <w:keepLines w:val="0"/>
        <w:pageBreakBefore w:val="0"/>
        <w:widowControl/>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(6)纯水系统：采用316L材质不锈钢，管径19.05mm，壁厚1.24mm,室内和室外进水总阀及终端设置316L材质不锈钢球阀。</w:t>
      </w:r>
    </w:p>
    <w:p w14:paraId="487B1853">
      <w:pPr>
        <w:pStyle w:val="206"/>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lang w:val="en-US" w:eastAsia="zh-CN"/>
        </w:rPr>
        <w:t>10</w:t>
      </w:r>
      <w:r>
        <w:rPr>
          <w:rFonts w:hint="eastAsia" w:asciiTheme="minorEastAsia" w:hAnsiTheme="minorEastAsia" w:eastAsiaTheme="minorEastAsia" w:cstheme="minorEastAsia"/>
          <w:b/>
          <w:bCs/>
          <w:color w:val="auto"/>
          <w:sz w:val="24"/>
          <w:szCs w:val="24"/>
        </w:rPr>
        <w:t>、其他装修配套内容：</w:t>
      </w:r>
    </w:p>
    <w:p w14:paraId="2FF055AD">
      <w:pPr>
        <w:pStyle w:val="206"/>
        <w:pageBreakBefore w:val="0"/>
        <w:numPr>
          <w:ilvl w:val="0"/>
          <w:numId w:val="75"/>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其他未标明立面图的房间，装饰做法均相同，按照各房间具体尺寸，做法比照立面图施工。</w:t>
      </w:r>
    </w:p>
    <w:p w14:paraId="673C5A89">
      <w:pPr>
        <w:pStyle w:val="206"/>
        <w:pageBreakBefore w:val="0"/>
        <w:numPr>
          <w:ilvl w:val="0"/>
          <w:numId w:val="75"/>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所注尺寸以毫米为单位，标高以米计。</w:t>
      </w:r>
    </w:p>
    <w:p w14:paraId="662508CC">
      <w:pPr>
        <w:pStyle w:val="206"/>
        <w:pageBreakBefore w:val="0"/>
        <w:numPr>
          <w:ilvl w:val="0"/>
          <w:numId w:val="75"/>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本项目设计相对标高±0.000为建筑装饰完成标高。</w:t>
      </w:r>
    </w:p>
    <w:p w14:paraId="46D6F44B">
      <w:pPr>
        <w:pStyle w:val="206"/>
        <w:pageBreakBefore w:val="0"/>
        <w:numPr>
          <w:ilvl w:val="0"/>
          <w:numId w:val="75"/>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钢构件表面须刷红丹防锈漆作防锈处理，螺栓、螺母、垫圈等选用不锈钢件。</w:t>
      </w:r>
    </w:p>
    <w:p w14:paraId="00DC07E3">
      <w:pPr>
        <w:pStyle w:val="206"/>
        <w:pageBreakBefore w:val="0"/>
        <w:numPr>
          <w:ilvl w:val="0"/>
          <w:numId w:val="75"/>
        </w:numPr>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高湿度房间(如卫生间等)的墙体做墙面防水层，在墙身找平层表面用防水性能较好的PA-A型高分子益胶泥等聚合物，水泥基做2～3mm厚的防水层。</w:t>
      </w:r>
    </w:p>
    <w:p w14:paraId="24B1B2A3">
      <w:pPr>
        <w:pStyle w:val="206"/>
        <w:keepNext w:val="0"/>
        <w:keepLines w:val="0"/>
        <w:pageBreakBefore w:val="0"/>
        <w:widowControl/>
        <w:numPr>
          <w:ilvl w:val="0"/>
          <w:numId w:val="75"/>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color w:val="auto"/>
          <w:sz w:val="24"/>
          <w:szCs w:val="24"/>
        </w:rPr>
        <w:t>顶棚孔洞预留满足各专业设计要求。主次龙骨布置、各类灯具、火灾自动报警探测器、火灾警铃、自动灭火系统喷洒头、空调风口位置、检修孔等，协调统一。</w:t>
      </w:r>
    </w:p>
    <w:p w14:paraId="2B0235B6">
      <w:pPr>
        <w:pStyle w:val="206"/>
        <w:keepNext w:val="0"/>
        <w:keepLines w:val="0"/>
        <w:pageBreakBefore w:val="0"/>
        <w:widowControl/>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bCs w:val="0"/>
          <w:color w:val="auto"/>
          <w:sz w:val="24"/>
          <w:szCs w:val="24"/>
          <w:lang w:val="en-US" w:eastAsia="zh-CN"/>
        </w:rPr>
        <w:t>11、各部位材料用表</w:t>
      </w:r>
    </w:p>
    <w:p w14:paraId="6A0B5226">
      <w:pPr>
        <w:pStyle w:val="206"/>
        <w:keepNext w:val="0"/>
        <w:keepLines w:val="0"/>
        <w:pageBreakBefore w:val="0"/>
        <w:widowControl/>
        <w:numPr>
          <w:ilvl w:val="0"/>
          <w:numId w:val="76"/>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本项目选用的无机非金属装修材料其放射性指标限量要求：使用A类装饰装修材料，应同时满足内照射指数IRa≤ 1.0，外照射指数Iγ≤ 1.3。</w:t>
      </w:r>
    </w:p>
    <w:p w14:paraId="77A6266A">
      <w:pPr>
        <w:pStyle w:val="206"/>
        <w:keepNext w:val="0"/>
        <w:keepLines w:val="0"/>
        <w:pageBreakBefore w:val="0"/>
        <w:widowControl/>
        <w:numPr>
          <w:ilvl w:val="0"/>
          <w:numId w:val="76"/>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其他要求：以上关于实验室及实验室附属区域装饰装修涉及的材料未详尽之处，投标人在投标响应时应根据配置清单内确定的材料规格进行响应。其中电线、线管、瓷砖、油漆涂料、防水涂料、水卫用品。</w:t>
      </w:r>
    </w:p>
    <w:p w14:paraId="41A588B0">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color w:val="auto"/>
          <w:sz w:val="24"/>
          <w:szCs w:val="24"/>
          <w:lang w:val="en-US" w:eastAsia="zh-CN"/>
        </w:rPr>
        <w:t>(三)弱电系统</w:t>
      </w:r>
    </w:p>
    <w:p w14:paraId="1830647A">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bCs w:val="0"/>
          <w:color w:val="auto"/>
          <w:sz w:val="24"/>
          <w:szCs w:val="24"/>
        </w:rPr>
      </w:pPr>
      <w:r>
        <w:rPr>
          <w:rFonts w:hint="eastAsia" w:asciiTheme="minorEastAsia" w:hAnsiTheme="minorEastAsia" w:eastAsiaTheme="minorEastAsia" w:cstheme="minorEastAsia"/>
          <w:b/>
          <w:bCs w:val="0"/>
          <w:color w:val="auto"/>
          <w:sz w:val="24"/>
          <w:szCs w:val="24"/>
          <w:lang w:val="en-US" w:eastAsia="zh-CN"/>
        </w:rPr>
        <w:t>1</w:t>
      </w:r>
      <w:r>
        <w:rPr>
          <w:rFonts w:hint="eastAsia" w:asciiTheme="minorEastAsia" w:hAnsiTheme="minorEastAsia" w:eastAsiaTheme="minorEastAsia" w:cstheme="minorEastAsia"/>
          <w:b/>
          <w:bCs w:val="0"/>
          <w:color w:val="auto"/>
          <w:sz w:val="24"/>
          <w:szCs w:val="24"/>
          <w:lang w:val="en-US" w:eastAsia="zh-Hans"/>
        </w:rPr>
        <w:t>、</w:t>
      </w:r>
      <w:r>
        <w:rPr>
          <w:rFonts w:hint="eastAsia" w:asciiTheme="minorEastAsia" w:hAnsiTheme="minorEastAsia" w:eastAsiaTheme="minorEastAsia" w:cstheme="minorEastAsia"/>
          <w:b/>
          <w:bCs w:val="0"/>
          <w:color w:val="auto"/>
          <w:sz w:val="24"/>
          <w:szCs w:val="24"/>
        </w:rPr>
        <w:t>视频监控系统：</w:t>
      </w:r>
    </w:p>
    <w:p w14:paraId="53415FCF">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FF0000"/>
          <w:sz w:val="24"/>
          <w:szCs w:val="24"/>
          <w:lang w:val="en-US" w:eastAsia="zh-CN"/>
        </w:rPr>
      </w:pPr>
      <w:r>
        <w:rPr>
          <w:rFonts w:hint="eastAsia" w:asciiTheme="minorEastAsia" w:hAnsiTheme="minorEastAsia" w:eastAsiaTheme="minorEastAsia" w:cstheme="minorEastAsia"/>
          <w:b w:val="0"/>
          <w:bCs/>
          <w:color w:val="auto"/>
          <w:sz w:val="24"/>
          <w:szCs w:val="24"/>
        </w:rPr>
        <w:t>视频监</w:t>
      </w:r>
      <w:r>
        <w:rPr>
          <w:rFonts w:hint="eastAsia" w:asciiTheme="minorEastAsia" w:hAnsiTheme="minorEastAsia" w:eastAsiaTheme="minorEastAsia" w:cstheme="minorEastAsia"/>
          <w:b w:val="0"/>
          <w:bCs/>
          <w:color w:val="auto"/>
          <w:sz w:val="24"/>
          <w:szCs w:val="24"/>
          <w:lang w:val="en-US" w:eastAsia="zh-CN"/>
        </w:rPr>
        <w:t>视器及</w:t>
      </w:r>
      <w:r>
        <w:rPr>
          <w:rFonts w:hint="eastAsia" w:asciiTheme="minorEastAsia" w:hAnsiTheme="minorEastAsia" w:eastAsiaTheme="minorEastAsia" w:cstheme="minorEastAsia"/>
          <w:b w:val="0"/>
          <w:bCs/>
          <w:color w:val="auto"/>
          <w:sz w:val="24"/>
          <w:szCs w:val="24"/>
        </w:rPr>
        <w:t>网络硬盘录像机</w:t>
      </w:r>
      <w:r>
        <w:rPr>
          <w:rFonts w:hint="eastAsia" w:asciiTheme="minorEastAsia" w:hAnsiTheme="minorEastAsia" w:eastAsiaTheme="minorEastAsia" w:cstheme="minorEastAsia"/>
          <w:b w:val="0"/>
          <w:bCs/>
          <w:color w:val="auto"/>
          <w:sz w:val="24"/>
          <w:szCs w:val="24"/>
          <w:lang w:val="en-US" w:eastAsia="zh-CN"/>
        </w:rPr>
        <w:t>需放到芳烃化验楼二楼环保分析大厅，芳烃化验室的</w:t>
      </w:r>
      <w:r>
        <w:rPr>
          <w:rFonts w:hint="eastAsia" w:asciiTheme="minorEastAsia" w:hAnsiTheme="minorEastAsia" w:eastAsiaTheme="minorEastAsia" w:cstheme="minorEastAsia"/>
          <w:b w:val="0"/>
          <w:bCs/>
          <w:color w:val="auto"/>
          <w:sz w:val="24"/>
          <w:szCs w:val="24"/>
        </w:rPr>
        <w:t>网络交换机</w:t>
      </w:r>
      <w:r>
        <w:rPr>
          <w:rFonts w:hint="eastAsia" w:asciiTheme="minorEastAsia" w:hAnsiTheme="minorEastAsia" w:eastAsiaTheme="minorEastAsia" w:cstheme="minorEastAsia"/>
          <w:b w:val="0"/>
          <w:bCs/>
          <w:color w:val="auto"/>
          <w:sz w:val="24"/>
          <w:szCs w:val="24"/>
          <w:lang w:val="en-US" w:eastAsia="zh-CN"/>
        </w:rPr>
        <w:t>放置于芳烃化验楼二楼环保分析大厅</w:t>
      </w:r>
      <w:r>
        <w:rPr>
          <w:rFonts w:hint="eastAsia" w:asciiTheme="minorEastAsia" w:hAnsiTheme="minorEastAsia" w:eastAsiaTheme="minorEastAsia" w:cstheme="minorEastAsia"/>
          <w:b w:val="0"/>
          <w:bCs/>
          <w:color w:val="auto"/>
          <w:sz w:val="24"/>
          <w:szCs w:val="24"/>
        </w:rPr>
        <w:t>网络交换机</w:t>
      </w:r>
      <w:r>
        <w:rPr>
          <w:rFonts w:hint="eastAsia" w:asciiTheme="minorEastAsia" w:hAnsiTheme="minorEastAsia" w:eastAsiaTheme="minorEastAsia" w:cstheme="minorEastAsia"/>
          <w:b w:val="0"/>
          <w:bCs/>
          <w:color w:val="auto"/>
          <w:sz w:val="24"/>
          <w:szCs w:val="24"/>
          <w:lang w:val="en-US" w:eastAsia="zh-CN"/>
        </w:rPr>
        <w:t>柜，原中控改化验楼的</w:t>
      </w:r>
      <w:r>
        <w:rPr>
          <w:rFonts w:hint="eastAsia" w:asciiTheme="minorEastAsia" w:hAnsiTheme="minorEastAsia" w:eastAsiaTheme="minorEastAsia" w:cstheme="minorEastAsia"/>
          <w:b w:val="0"/>
          <w:bCs/>
          <w:color w:val="auto"/>
          <w:sz w:val="24"/>
          <w:szCs w:val="24"/>
        </w:rPr>
        <w:t>网络交换机</w:t>
      </w:r>
      <w:r>
        <w:rPr>
          <w:rFonts w:hint="eastAsia" w:asciiTheme="minorEastAsia" w:hAnsiTheme="minorEastAsia" w:eastAsiaTheme="minorEastAsia" w:cstheme="minorEastAsia"/>
          <w:b w:val="0"/>
          <w:bCs/>
          <w:color w:val="auto"/>
          <w:sz w:val="24"/>
          <w:szCs w:val="24"/>
          <w:lang w:val="en-US" w:eastAsia="zh-CN"/>
        </w:rPr>
        <w:t>放置于改后化验楼分析大厅</w:t>
      </w:r>
      <w:r>
        <w:rPr>
          <w:rFonts w:hint="eastAsia" w:asciiTheme="minorEastAsia" w:hAnsiTheme="minorEastAsia" w:eastAsiaTheme="minorEastAsia" w:cstheme="minorEastAsia"/>
          <w:b w:val="0"/>
          <w:bCs/>
          <w:color w:val="auto"/>
          <w:sz w:val="24"/>
          <w:szCs w:val="24"/>
        </w:rPr>
        <w:t>网络交换机</w:t>
      </w:r>
      <w:r>
        <w:rPr>
          <w:rFonts w:hint="eastAsia" w:asciiTheme="minorEastAsia" w:hAnsiTheme="minorEastAsia" w:eastAsiaTheme="minorEastAsia" w:cstheme="minorEastAsia"/>
          <w:b w:val="0"/>
          <w:bCs/>
          <w:color w:val="auto"/>
          <w:sz w:val="24"/>
          <w:szCs w:val="24"/>
          <w:lang w:val="en-US" w:eastAsia="zh-CN"/>
        </w:rPr>
        <w:t>柜。</w:t>
      </w:r>
    </w:p>
    <w:p w14:paraId="5B025F43">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lang w:val="en-US" w:eastAsia="zh-CN"/>
        </w:rPr>
        <w:t>1</w:t>
      </w: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rPr>
        <w:t>前端设备技术参数</w:t>
      </w:r>
    </w:p>
    <w:p w14:paraId="1B915DF4">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1）</w:t>
      </w:r>
      <w:r>
        <w:rPr>
          <w:rFonts w:hint="eastAsia" w:asciiTheme="minorEastAsia" w:hAnsiTheme="minorEastAsia" w:eastAsiaTheme="minorEastAsia" w:cstheme="minorEastAsia"/>
          <w:b w:val="0"/>
          <w:bCs/>
          <w:color w:val="auto"/>
          <w:sz w:val="24"/>
          <w:szCs w:val="24"/>
        </w:rPr>
        <w:t xml:space="preserve"> 枪式网络摄像机</w:t>
      </w:r>
    </w:p>
    <w:p w14:paraId="7902F857">
      <w:pPr>
        <w:pStyle w:val="206"/>
        <w:keepLines w:val="0"/>
        <w:pageBreakBefore w:val="0"/>
        <w:numPr>
          <w:ilvl w:val="0"/>
          <w:numId w:val="77"/>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像素：不低于400万像素，采用1/2.7英寸CMOS图像传感器，确保画面清晰细腻，能准确捕捉实验室人员操作细节及仪器状态。</w:t>
      </w:r>
    </w:p>
    <w:p w14:paraId="68D10AAC">
      <w:pPr>
        <w:pStyle w:val="206"/>
        <w:keepLines w:val="0"/>
        <w:pageBreakBefore w:val="0"/>
        <w:numPr>
          <w:ilvl w:val="0"/>
          <w:numId w:val="77"/>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分辨率：支持2560×1440（2K）及以上分辨率输出，帧率可达25fps，保证视频流畅无卡顿。</w:t>
      </w:r>
    </w:p>
    <w:p w14:paraId="434B4DFE">
      <w:pPr>
        <w:pStyle w:val="206"/>
        <w:keepLines w:val="0"/>
        <w:pageBreakBefore w:val="0"/>
        <w:numPr>
          <w:ilvl w:val="0"/>
          <w:numId w:val="77"/>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最低照度：彩色≤0.005Lux@F1.2，黑白≤0.0005Lux@F1.2，具备超宽动态功能（≥120dB），适应实验室不同区域的光照变化，如窗边强光与室内阴影处。</w:t>
      </w:r>
    </w:p>
    <w:p w14:paraId="6B2A1F18">
      <w:pPr>
        <w:pStyle w:val="206"/>
        <w:keepLines w:val="0"/>
        <w:pageBreakBefore w:val="0"/>
        <w:numPr>
          <w:ilvl w:val="0"/>
          <w:numId w:val="77"/>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镜头：选用4mm/6mm/8mm定焦镜头（根据监控范围选择），镜头光圈F1.2，视场角符合实验室监控覆盖需求，确保无监控盲区。</w:t>
      </w:r>
    </w:p>
    <w:p w14:paraId="129C4E3D">
      <w:pPr>
        <w:pStyle w:val="206"/>
        <w:keepLines w:val="0"/>
        <w:pageBreakBefore w:val="0"/>
        <w:numPr>
          <w:ilvl w:val="0"/>
          <w:numId w:val="77"/>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编码格式：支持H.265+、H.265、H.264+、H.264编码，可根据带宽和存储需求灵活切换，有效节省存储空间和网络带宽。</w:t>
      </w:r>
    </w:p>
    <w:p w14:paraId="5B2B17E6">
      <w:pPr>
        <w:pStyle w:val="206"/>
        <w:keepLines w:val="0"/>
        <w:pageBreakBefore w:val="0"/>
        <w:numPr>
          <w:ilvl w:val="0"/>
          <w:numId w:val="77"/>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防护等级：IP66防护等级，适应实验室可能存在的轻微粉尘、潮湿环境，保证设备稳定运行。</w:t>
      </w:r>
    </w:p>
    <w:p w14:paraId="3CB9D98D">
      <w:pPr>
        <w:pStyle w:val="206"/>
        <w:keepLines w:val="0"/>
        <w:pageBreakBefore w:val="0"/>
        <w:numPr>
          <w:ilvl w:val="0"/>
          <w:numId w:val="77"/>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智能功能：支持移动侦测、区域入侵检测、越界检测等智能报警功能，当有异常情况发生时能及时触发报警。</w:t>
      </w:r>
    </w:p>
    <w:p w14:paraId="5587429A">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2）</w:t>
      </w:r>
      <w:r>
        <w:rPr>
          <w:rFonts w:hint="eastAsia" w:asciiTheme="minorEastAsia" w:hAnsiTheme="minorEastAsia" w:eastAsiaTheme="minorEastAsia" w:cstheme="minorEastAsia"/>
          <w:b w:val="0"/>
          <w:bCs/>
          <w:color w:val="auto"/>
          <w:sz w:val="24"/>
          <w:szCs w:val="24"/>
        </w:rPr>
        <w:t>半球网络摄像机</w:t>
      </w:r>
    </w:p>
    <w:p w14:paraId="03CFF2C4">
      <w:pPr>
        <w:pStyle w:val="206"/>
        <w:keepLines w:val="0"/>
        <w:pageBreakBefore w:val="0"/>
        <w:numPr>
          <w:ilvl w:val="0"/>
          <w:numId w:val="78"/>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像素：不低于400万像素，1/2.7英寸CMOS图像传感器，满足实验室近距离、大范围监控需求。</w:t>
      </w:r>
    </w:p>
    <w:p w14:paraId="766214AE">
      <w:pPr>
        <w:pStyle w:val="206"/>
        <w:keepLines w:val="0"/>
        <w:pageBreakBefore w:val="0"/>
        <w:numPr>
          <w:ilvl w:val="0"/>
          <w:numId w:val="78"/>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分辨率：2560×1440（2K）及以上分辨率，帧率25fps，视频画面清晰流畅。</w:t>
      </w:r>
    </w:p>
    <w:p w14:paraId="04A7FCEB">
      <w:pPr>
        <w:pStyle w:val="206"/>
        <w:keepLines w:val="0"/>
        <w:pageBreakBefore w:val="0"/>
        <w:numPr>
          <w:ilvl w:val="0"/>
          <w:numId w:val="78"/>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最低照度：彩色≤0.01Lux@F1.6，黑白≤0.001Lux@F1.6，具备宽动态功能（≥100dB），适应实验室复杂光照环境。</w:t>
      </w:r>
    </w:p>
    <w:p w14:paraId="3493A3F6">
      <w:pPr>
        <w:pStyle w:val="206"/>
        <w:keepLines w:val="0"/>
        <w:pageBreakBefore w:val="0"/>
        <w:numPr>
          <w:ilvl w:val="0"/>
          <w:numId w:val="78"/>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镜头：2.8mm/4mm/6mm定焦镜头，镜头光圈F1.6，广角设计，适合实验室天花板安装，覆盖更大区域。</w:t>
      </w:r>
    </w:p>
    <w:p w14:paraId="15C6008A">
      <w:pPr>
        <w:pStyle w:val="206"/>
        <w:keepLines w:val="0"/>
        <w:pageBreakBefore w:val="0"/>
        <w:numPr>
          <w:ilvl w:val="0"/>
          <w:numId w:val="78"/>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编码格式：支持H.265+、H.265、H.264+、H.264编码，兼顾存储和带宽效率。</w:t>
      </w:r>
    </w:p>
    <w:p w14:paraId="6C8DAD46">
      <w:pPr>
        <w:pStyle w:val="206"/>
        <w:keepLines w:val="0"/>
        <w:pageBreakBefore w:val="0"/>
        <w:numPr>
          <w:ilvl w:val="0"/>
          <w:numId w:val="78"/>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防护等级：IP66防护等级，防粉尘、防溅水，适应实验室环境。</w:t>
      </w:r>
    </w:p>
    <w:p w14:paraId="517A2F49">
      <w:pPr>
        <w:pStyle w:val="206"/>
        <w:keepLines w:val="0"/>
        <w:pageBreakBefore w:val="0"/>
        <w:numPr>
          <w:ilvl w:val="0"/>
          <w:numId w:val="78"/>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安装方式：吸顶安装，美观不占空间，适合实验室整洁的环境要求。</w:t>
      </w:r>
    </w:p>
    <w:p w14:paraId="2C546B6F">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lang w:val="en-US" w:eastAsia="zh-CN"/>
        </w:rPr>
        <w:t>2</w:t>
      </w: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rPr>
        <w:t>传输设备技术参数</w:t>
      </w:r>
    </w:p>
    <w:p w14:paraId="21DA770A">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1）</w:t>
      </w:r>
      <w:r>
        <w:rPr>
          <w:rFonts w:hint="eastAsia" w:asciiTheme="minorEastAsia" w:hAnsiTheme="minorEastAsia" w:eastAsiaTheme="minorEastAsia" w:cstheme="minorEastAsia"/>
          <w:b w:val="0"/>
          <w:bCs/>
          <w:color w:val="auto"/>
          <w:sz w:val="24"/>
          <w:szCs w:val="24"/>
        </w:rPr>
        <w:t>网络交换机</w:t>
      </w:r>
    </w:p>
    <w:p w14:paraId="3E433D65">
      <w:pPr>
        <w:pStyle w:val="206"/>
        <w:keepLines w:val="0"/>
        <w:pageBreakBefore w:val="0"/>
        <w:numPr>
          <w:ilvl w:val="0"/>
          <w:numId w:val="79"/>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端口配置：</w:t>
      </w:r>
      <w:r>
        <w:rPr>
          <w:rFonts w:hint="eastAsia" w:asciiTheme="minorEastAsia" w:hAnsiTheme="minorEastAsia" w:eastAsiaTheme="minorEastAsia" w:cstheme="minorEastAsia"/>
          <w:b w:val="0"/>
          <w:bCs/>
          <w:color w:val="auto"/>
          <w:sz w:val="24"/>
          <w:szCs w:val="24"/>
          <w:lang w:val="en-US" w:eastAsia="zh-CN"/>
        </w:rPr>
        <w:t>16</w:t>
      </w:r>
      <w:r>
        <w:rPr>
          <w:rFonts w:hint="eastAsia" w:asciiTheme="minorEastAsia" w:hAnsiTheme="minorEastAsia" w:eastAsiaTheme="minorEastAsia" w:cstheme="minorEastAsia"/>
          <w:b w:val="0"/>
          <w:bCs/>
          <w:color w:val="auto"/>
          <w:sz w:val="24"/>
          <w:szCs w:val="24"/>
        </w:rPr>
        <w:t>口千兆以太网交换机，其中至少包含4个SFP光口，满足摄像机与后端设备的网络连接需求，预留扩展接口。</w:t>
      </w:r>
    </w:p>
    <w:p w14:paraId="7686FFD0">
      <w:pPr>
        <w:pStyle w:val="206"/>
        <w:keepLines w:val="0"/>
        <w:pageBreakBefore w:val="0"/>
        <w:numPr>
          <w:ilvl w:val="0"/>
          <w:numId w:val="79"/>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交换容量：≥48Gbps，包转发率≥36Mpps，确保数据传输高效稳定，无丢包现象。</w:t>
      </w:r>
    </w:p>
    <w:p w14:paraId="67054B6E">
      <w:pPr>
        <w:pStyle w:val="206"/>
        <w:keepLines w:val="0"/>
        <w:pageBreakBefore w:val="0"/>
        <w:numPr>
          <w:ilvl w:val="0"/>
          <w:numId w:val="79"/>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PoE功能：支持PoE+（IEEE 802.3at）标准，单端口最大输出功率30W，可给前端网络摄像机供电，减少布线复杂度。</w:t>
      </w:r>
    </w:p>
    <w:p w14:paraId="5ADA0B42">
      <w:pPr>
        <w:pStyle w:val="206"/>
        <w:keepLines w:val="0"/>
        <w:pageBreakBefore w:val="0"/>
        <w:numPr>
          <w:ilvl w:val="0"/>
          <w:numId w:val="79"/>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网络管理：支持Web管理、SNMP管理等方式，方便对交换机进行配置、监控和维护。</w:t>
      </w:r>
    </w:p>
    <w:p w14:paraId="45537B4D">
      <w:pPr>
        <w:pStyle w:val="206"/>
        <w:keepLines w:val="0"/>
        <w:pageBreakBefore w:val="0"/>
        <w:numPr>
          <w:ilvl w:val="0"/>
          <w:numId w:val="79"/>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稳定性：具备防雷、防浪涌保护功能，适应实验室电网环境，保证设备稳定运行。</w:t>
      </w:r>
    </w:p>
    <w:p w14:paraId="772C7CBE">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2）</w:t>
      </w:r>
      <w:r>
        <w:rPr>
          <w:rFonts w:hint="eastAsia" w:asciiTheme="minorEastAsia" w:hAnsiTheme="minorEastAsia" w:eastAsiaTheme="minorEastAsia" w:cstheme="minorEastAsia"/>
          <w:b w:val="0"/>
          <w:bCs/>
          <w:color w:val="auto"/>
          <w:sz w:val="24"/>
          <w:szCs w:val="24"/>
        </w:rPr>
        <w:t>传输线缆</w:t>
      </w:r>
    </w:p>
    <w:p w14:paraId="633166B1">
      <w:pPr>
        <w:pStyle w:val="206"/>
        <w:keepLines w:val="0"/>
        <w:pageBreakBefore w:val="0"/>
        <w:numPr>
          <w:ilvl w:val="0"/>
          <w:numId w:val="80"/>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网线：超六类非屏蔽双绞线，符合CAT6A标准，传输带宽≥500MHz，支持千兆以太网传输，线径≥0.57mm，具备良好的抗干扰性能，适合实验室复杂的电磁环境。</w:t>
      </w:r>
    </w:p>
    <w:p w14:paraId="4A7CDF31">
      <w:pPr>
        <w:pStyle w:val="206"/>
        <w:keepLines w:val="0"/>
        <w:pageBreakBefore w:val="0"/>
        <w:numPr>
          <w:ilvl w:val="0"/>
          <w:numId w:val="80"/>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光纤：单模光纤，纤芯直径9μm，包层直径125μm，传输距离≥2km，当监控点距离机房较远时使用，采用LC接口光纤跳线。</w:t>
      </w:r>
    </w:p>
    <w:p w14:paraId="663CFD5F">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lang w:val="en-US" w:eastAsia="zh-CN"/>
        </w:rPr>
        <w:t>3）</w:t>
      </w:r>
      <w:r>
        <w:rPr>
          <w:rFonts w:hint="eastAsia" w:asciiTheme="minorEastAsia" w:hAnsiTheme="minorEastAsia" w:eastAsiaTheme="minorEastAsia" w:cstheme="minorEastAsia"/>
          <w:b w:val="0"/>
          <w:bCs/>
          <w:color w:val="auto"/>
          <w:sz w:val="24"/>
          <w:szCs w:val="24"/>
        </w:rPr>
        <w:t>后端设备技术参数</w:t>
      </w:r>
    </w:p>
    <w:p w14:paraId="13C16B67">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1）</w:t>
      </w:r>
      <w:r>
        <w:rPr>
          <w:rFonts w:hint="eastAsia" w:asciiTheme="minorEastAsia" w:hAnsiTheme="minorEastAsia" w:eastAsiaTheme="minorEastAsia" w:cstheme="minorEastAsia"/>
          <w:b w:val="0"/>
          <w:bCs/>
          <w:color w:val="auto"/>
          <w:sz w:val="24"/>
          <w:szCs w:val="24"/>
        </w:rPr>
        <w:t xml:space="preserve"> 网络硬盘录像机（NVR）</w:t>
      </w:r>
    </w:p>
    <w:p w14:paraId="04DCDD65">
      <w:pPr>
        <w:pStyle w:val="206"/>
        <w:keepLines w:val="0"/>
        <w:pageBreakBefore w:val="0"/>
        <w:numPr>
          <w:ilvl w:val="0"/>
          <w:numId w:val="81"/>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接入路数：支持</w:t>
      </w:r>
      <w:r>
        <w:rPr>
          <w:rFonts w:hint="eastAsia" w:asciiTheme="minorEastAsia" w:hAnsiTheme="minorEastAsia" w:eastAsiaTheme="minorEastAsia" w:cstheme="minorEastAsia"/>
          <w:b w:val="0"/>
          <w:bCs/>
          <w:color w:val="auto"/>
          <w:sz w:val="24"/>
          <w:szCs w:val="24"/>
          <w:lang w:val="en-US" w:eastAsia="zh-CN"/>
        </w:rPr>
        <w:t>16</w:t>
      </w:r>
      <w:r>
        <w:rPr>
          <w:rFonts w:hint="eastAsia" w:asciiTheme="minorEastAsia" w:hAnsiTheme="minorEastAsia" w:eastAsiaTheme="minorEastAsia" w:cstheme="minorEastAsia"/>
          <w:b w:val="0"/>
          <w:bCs/>
          <w:color w:val="auto"/>
          <w:sz w:val="24"/>
          <w:szCs w:val="24"/>
        </w:rPr>
        <w:t>路400万像素网络摄像机接入，满足实验室监控点数量需求，预留扩展空间。</w:t>
      </w:r>
    </w:p>
    <w:p w14:paraId="1C643FA2">
      <w:pPr>
        <w:pStyle w:val="206"/>
        <w:keepLines w:val="0"/>
        <w:pageBreakBefore w:val="0"/>
        <w:numPr>
          <w:ilvl w:val="0"/>
          <w:numId w:val="81"/>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存储容量：支持8个SATA硬盘接口，单盘最大支持18TB硬盘，总存储容量≥144TB，满足视频存储需求（按400万像素摄像机，H.265+编码，24小时存储，可存储至少30天视频）。</w:t>
      </w:r>
    </w:p>
    <w:p w14:paraId="356A2F3A">
      <w:pPr>
        <w:pStyle w:val="206"/>
        <w:keepLines w:val="0"/>
        <w:pageBreakBefore w:val="0"/>
        <w:numPr>
          <w:ilvl w:val="0"/>
          <w:numId w:val="81"/>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编码格式：支持H.265+、H.265、H.264+、H.264解码，解码能力≥32路400万像素@25fps。</w:t>
      </w:r>
    </w:p>
    <w:p w14:paraId="668A2671">
      <w:pPr>
        <w:pStyle w:val="206"/>
        <w:keepLines w:val="0"/>
        <w:pageBreakBefore w:val="0"/>
        <w:numPr>
          <w:ilvl w:val="0"/>
          <w:numId w:val="81"/>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网络接口：2个千兆以太网口，支持网络容错、负载均衡功能，确保网络传输稳定。</w:t>
      </w:r>
    </w:p>
    <w:p w14:paraId="7BC91CC8">
      <w:pPr>
        <w:pStyle w:val="206"/>
        <w:keepLines w:val="0"/>
        <w:pageBreakBefore w:val="0"/>
        <w:numPr>
          <w:ilvl w:val="0"/>
          <w:numId w:val="81"/>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输出接口：支持2个HDMI输出接口，分辨率最高可达4K（3840×2160），方便在监视器上查看高清视频。</w:t>
      </w:r>
    </w:p>
    <w:p w14:paraId="3F7C3A24">
      <w:pPr>
        <w:pStyle w:val="206"/>
        <w:keepLines w:val="0"/>
        <w:pageBreakBefore w:val="0"/>
        <w:numPr>
          <w:ilvl w:val="0"/>
          <w:numId w:val="81"/>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智能功能：支持智能检索、智能回放功能，可快速查找特定时间段、特定区域的视频，提高视频查看效率。</w:t>
      </w:r>
    </w:p>
    <w:p w14:paraId="6C071289">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2)</w:t>
      </w:r>
      <w:r>
        <w:rPr>
          <w:rFonts w:hint="eastAsia" w:asciiTheme="minorEastAsia" w:hAnsiTheme="minorEastAsia" w:eastAsiaTheme="minorEastAsia" w:cstheme="minorEastAsia"/>
          <w:b w:val="0"/>
          <w:bCs/>
          <w:color w:val="auto"/>
          <w:sz w:val="24"/>
          <w:szCs w:val="24"/>
        </w:rPr>
        <w:t>硬盘</w:t>
      </w:r>
    </w:p>
    <w:p w14:paraId="72E88BFC">
      <w:pPr>
        <w:pStyle w:val="206"/>
        <w:keepLines w:val="0"/>
        <w:pageBreakBefore w:val="0"/>
        <w:numPr>
          <w:ilvl w:val="0"/>
          <w:numId w:val="82"/>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类型：监控专用硬盘，采用企业级硬盘，转速≥7200rpm，缓存≥256MB，具备良好的稳定性和可靠性，适合长时间连续录像。</w:t>
      </w:r>
    </w:p>
    <w:p w14:paraId="3654DCDC">
      <w:pPr>
        <w:pStyle w:val="206"/>
        <w:keepLines w:val="0"/>
        <w:pageBreakBefore w:val="0"/>
        <w:numPr>
          <w:ilvl w:val="0"/>
          <w:numId w:val="82"/>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容量：每块硬盘容量16TB，根据存储需求配置相应数量的硬盘。</w:t>
      </w:r>
    </w:p>
    <w:p w14:paraId="57A20A60">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3)</w:t>
      </w:r>
      <w:r>
        <w:rPr>
          <w:rFonts w:hint="eastAsia" w:asciiTheme="minorEastAsia" w:hAnsiTheme="minorEastAsia" w:eastAsiaTheme="minorEastAsia" w:cstheme="minorEastAsia"/>
          <w:b w:val="0"/>
          <w:bCs/>
          <w:color w:val="auto"/>
          <w:sz w:val="24"/>
          <w:szCs w:val="24"/>
        </w:rPr>
        <w:t>监视器</w:t>
      </w:r>
    </w:p>
    <w:p w14:paraId="7B26AB68">
      <w:pPr>
        <w:pStyle w:val="206"/>
        <w:keepLines w:val="0"/>
        <w:pageBreakBefore w:val="0"/>
        <w:numPr>
          <w:ilvl w:val="0"/>
          <w:numId w:val="83"/>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尺寸：27英寸，采用LCD液晶显示屏，画面清晰，色彩还原度高。</w:t>
      </w:r>
    </w:p>
    <w:p w14:paraId="1DBAA846">
      <w:pPr>
        <w:pStyle w:val="206"/>
        <w:keepLines w:val="0"/>
        <w:pageBreakBefore w:val="0"/>
        <w:numPr>
          <w:ilvl w:val="0"/>
          <w:numId w:val="83"/>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分辨率：超高清分辨率，支持多画面分割显示，可同时查看多个监控点的视频。</w:t>
      </w:r>
    </w:p>
    <w:p w14:paraId="1521015C">
      <w:pPr>
        <w:pStyle w:val="206"/>
        <w:keepLines w:val="0"/>
        <w:pageBreakBefore w:val="0"/>
        <w:numPr>
          <w:ilvl w:val="0"/>
          <w:numId w:val="83"/>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接口：至少包含2个HDMI接口、1个VGA接口，方便与NVR等设备连接。</w:t>
      </w:r>
    </w:p>
    <w:p w14:paraId="6B9D681C">
      <w:pPr>
        <w:pStyle w:val="206"/>
        <w:keepLines w:val="0"/>
        <w:pageBreakBefore w:val="0"/>
        <w:numPr>
          <w:ilvl w:val="0"/>
          <w:numId w:val="83"/>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显示比例：16:9，符合视频显示标准，观看体验良好。</w:t>
      </w:r>
    </w:p>
    <w:p w14:paraId="14196E51">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(4)</w:t>
      </w:r>
      <w:r>
        <w:rPr>
          <w:rFonts w:hint="eastAsia" w:asciiTheme="minorEastAsia" w:hAnsiTheme="minorEastAsia" w:eastAsiaTheme="minorEastAsia" w:cstheme="minorEastAsia"/>
          <w:b w:val="0"/>
          <w:bCs/>
          <w:color w:val="auto"/>
          <w:sz w:val="24"/>
          <w:szCs w:val="24"/>
        </w:rPr>
        <w:t>辅助设备技术参数</w:t>
      </w:r>
    </w:p>
    <w:p w14:paraId="1FEC2F31">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1)</w:t>
      </w:r>
      <w:r>
        <w:rPr>
          <w:rFonts w:hint="eastAsia" w:asciiTheme="minorEastAsia" w:hAnsiTheme="minorEastAsia" w:eastAsiaTheme="minorEastAsia" w:cstheme="minorEastAsia"/>
          <w:b w:val="0"/>
          <w:bCs/>
          <w:color w:val="auto"/>
          <w:sz w:val="24"/>
          <w:szCs w:val="24"/>
        </w:rPr>
        <w:t>电源适配器</w:t>
      </w:r>
    </w:p>
    <w:p w14:paraId="65D7F554">
      <w:pPr>
        <w:pStyle w:val="206"/>
        <w:keepLines w:val="0"/>
        <w:pageBreakBefore w:val="0"/>
        <w:numPr>
          <w:ilvl w:val="0"/>
          <w:numId w:val="84"/>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输入电压：AC 100-240V，50/60Hz，适应不同地区的电网电压。</w:t>
      </w:r>
    </w:p>
    <w:p w14:paraId="618392BA">
      <w:pPr>
        <w:pStyle w:val="206"/>
        <w:keepLines w:val="0"/>
        <w:pageBreakBefore w:val="0"/>
        <w:numPr>
          <w:ilvl w:val="0"/>
          <w:numId w:val="84"/>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输出电压/电流：DC 12V/2A，为摄像机等设备提供稳定的直流电源。</w:t>
      </w:r>
    </w:p>
    <w:p w14:paraId="400468C2">
      <w:pPr>
        <w:pStyle w:val="206"/>
        <w:keepLines w:val="0"/>
        <w:pageBreakBefore w:val="0"/>
        <w:numPr>
          <w:ilvl w:val="0"/>
          <w:numId w:val="84"/>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防护等级：IP44防护等级，具备过流、过压、短路保护功能，确保设备安全。</w:t>
      </w:r>
    </w:p>
    <w:p w14:paraId="52C2C940">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2)</w:t>
      </w:r>
      <w:r>
        <w:rPr>
          <w:rFonts w:hint="eastAsia" w:asciiTheme="minorEastAsia" w:hAnsiTheme="minorEastAsia" w:eastAsiaTheme="minorEastAsia" w:cstheme="minorEastAsia"/>
          <w:b w:val="0"/>
          <w:bCs/>
          <w:color w:val="auto"/>
          <w:sz w:val="24"/>
          <w:szCs w:val="24"/>
        </w:rPr>
        <w:t>支架</w:t>
      </w:r>
    </w:p>
    <w:p w14:paraId="7530D339">
      <w:pPr>
        <w:pStyle w:val="206"/>
        <w:keepLines w:val="0"/>
        <w:pageBreakBefore w:val="0"/>
        <w:numPr>
          <w:ilvl w:val="0"/>
          <w:numId w:val="85"/>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 xml:space="preserve">材质：采用铝合金材质， </w:t>
      </w:r>
      <w:r>
        <w:rPr>
          <w:rFonts w:hint="eastAsia" w:asciiTheme="minorEastAsia" w:hAnsiTheme="minorEastAsia" w:eastAsiaTheme="minorEastAsia" w:cstheme="minorEastAsia"/>
          <w:b w:val="0"/>
          <w:bCs/>
          <w:color w:val="auto"/>
          <w:sz w:val="24"/>
          <w:szCs w:val="24"/>
          <w:lang w:val="en-US" w:eastAsia="zh-CN"/>
        </w:rPr>
        <w:t>轻</w:t>
      </w:r>
      <w:r>
        <w:rPr>
          <w:rFonts w:hint="eastAsia" w:asciiTheme="minorEastAsia" w:hAnsiTheme="minorEastAsia" w:eastAsiaTheme="minorEastAsia" w:cstheme="minorEastAsia"/>
          <w:b w:val="0"/>
          <w:bCs/>
          <w:color w:val="auto"/>
          <w:sz w:val="24"/>
          <w:szCs w:val="24"/>
        </w:rPr>
        <w:t>且坚固耐用，防锈防腐，适应实验室环境。</w:t>
      </w:r>
    </w:p>
    <w:p w14:paraId="38D85EAB">
      <w:pPr>
        <w:pStyle w:val="206"/>
        <w:keepLines w:val="0"/>
        <w:pageBreakBefore w:val="0"/>
        <w:numPr>
          <w:ilvl w:val="0"/>
          <w:numId w:val="85"/>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调节角度：支持上下、左右调节，调节范围广，方便调整摄像机监控角度。</w:t>
      </w:r>
    </w:p>
    <w:p w14:paraId="327DDAAA">
      <w:pPr>
        <w:pStyle w:val="206"/>
        <w:keepLines w:val="0"/>
        <w:pageBreakBefore w:val="0"/>
        <w:numPr>
          <w:ilvl w:val="0"/>
          <w:numId w:val="85"/>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安装方式：壁装或吊装，安装牢固，稳定性好。</w:t>
      </w:r>
    </w:p>
    <w:p w14:paraId="44A24035">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3）</w:t>
      </w:r>
      <w:r>
        <w:rPr>
          <w:rFonts w:hint="eastAsia" w:asciiTheme="minorEastAsia" w:hAnsiTheme="minorEastAsia" w:eastAsiaTheme="minorEastAsia" w:cstheme="minorEastAsia"/>
          <w:b w:val="0"/>
          <w:bCs/>
          <w:color w:val="auto"/>
          <w:sz w:val="24"/>
          <w:szCs w:val="24"/>
        </w:rPr>
        <w:t>防水盒</w:t>
      </w:r>
    </w:p>
    <w:p w14:paraId="23E30024">
      <w:pPr>
        <w:pStyle w:val="206"/>
        <w:keepLines w:val="0"/>
        <w:pageBreakBefore w:val="0"/>
        <w:numPr>
          <w:ilvl w:val="0"/>
          <w:numId w:val="86"/>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材质：ABS工程塑料，防水、防尘、防腐蚀，防护等级IP66。</w:t>
      </w:r>
    </w:p>
    <w:p w14:paraId="72E79AFE">
      <w:pPr>
        <w:pStyle w:val="206"/>
        <w:keepLines w:val="0"/>
        <w:pageBreakBefore w:val="0"/>
        <w:numPr>
          <w:ilvl w:val="0"/>
          <w:numId w:val="86"/>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尺寸：根据设备尺寸选择，内部空间充足，可容纳摄像机电源、网线接头等设备，方便布线和维护。</w:t>
      </w:r>
    </w:p>
    <w:p w14:paraId="5D96F25A">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bCs w:val="0"/>
          <w:color w:val="auto"/>
          <w:sz w:val="24"/>
          <w:szCs w:val="24"/>
        </w:rPr>
      </w:pPr>
      <w:r>
        <w:rPr>
          <w:rFonts w:hint="eastAsia" w:asciiTheme="minorEastAsia" w:hAnsiTheme="minorEastAsia" w:eastAsiaTheme="minorEastAsia" w:cstheme="minorEastAsia"/>
          <w:b/>
          <w:bCs w:val="0"/>
          <w:color w:val="auto"/>
          <w:sz w:val="24"/>
          <w:szCs w:val="24"/>
          <w:lang w:val="en-US" w:eastAsia="zh-CN"/>
        </w:rPr>
        <w:t>2、网络电信</w:t>
      </w:r>
      <w:r>
        <w:rPr>
          <w:rFonts w:hint="eastAsia" w:asciiTheme="minorEastAsia" w:hAnsiTheme="minorEastAsia" w:eastAsiaTheme="minorEastAsia" w:cstheme="minorEastAsia"/>
          <w:b/>
          <w:bCs w:val="0"/>
          <w:color w:val="auto"/>
          <w:sz w:val="24"/>
          <w:szCs w:val="24"/>
        </w:rPr>
        <w:t>布线系统</w:t>
      </w:r>
    </w:p>
    <w:p w14:paraId="3B4F5461">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lang w:eastAsia="zh-CN"/>
        </w:rPr>
      </w:pPr>
      <w:r>
        <w:rPr>
          <w:rFonts w:hint="eastAsia" w:asciiTheme="minorEastAsia" w:hAnsiTheme="minorEastAsia" w:eastAsiaTheme="minorEastAsia" w:cstheme="minorEastAsia"/>
          <w:b w:val="0"/>
          <w:bCs/>
          <w:color w:val="auto"/>
          <w:sz w:val="24"/>
          <w:szCs w:val="24"/>
          <w:lang w:val="en-US" w:eastAsia="zh-CN"/>
        </w:rPr>
        <w:t>原中控楼的网络主线或光纤、电话电信位于电信机房，</w:t>
      </w:r>
      <w:r>
        <w:rPr>
          <w:rFonts w:hint="eastAsia" w:asciiTheme="minorEastAsia" w:hAnsiTheme="minorEastAsia" w:eastAsiaTheme="minorEastAsia" w:cstheme="minorEastAsia"/>
          <w:b w:val="0"/>
          <w:bCs/>
          <w:color w:val="auto"/>
          <w:sz w:val="24"/>
          <w:szCs w:val="24"/>
        </w:rPr>
        <w:t>网络信息点按</w:t>
      </w:r>
      <w:r>
        <w:rPr>
          <w:rFonts w:hint="eastAsia" w:asciiTheme="minorEastAsia" w:hAnsiTheme="minorEastAsia" w:eastAsiaTheme="minorEastAsia" w:cstheme="minorEastAsia"/>
          <w:b w:val="0"/>
          <w:bCs/>
          <w:color w:val="auto"/>
          <w:sz w:val="24"/>
          <w:szCs w:val="24"/>
          <w:lang w:val="en-US" w:eastAsia="zh-CN"/>
        </w:rPr>
        <w:t>平面图上的</w:t>
      </w:r>
      <w:r>
        <w:rPr>
          <w:rFonts w:hint="eastAsia" w:asciiTheme="minorEastAsia" w:hAnsiTheme="minorEastAsia" w:eastAsiaTheme="minorEastAsia" w:cstheme="minorEastAsia"/>
          <w:b w:val="0"/>
          <w:bCs/>
          <w:color w:val="auto"/>
          <w:sz w:val="24"/>
          <w:szCs w:val="24"/>
        </w:rPr>
        <w:t>房间功能需求</w:t>
      </w:r>
      <w:r>
        <w:rPr>
          <w:rFonts w:hint="eastAsia" w:asciiTheme="minorEastAsia" w:hAnsiTheme="minorEastAsia" w:eastAsiaTheme="minorEastAsia" w:cstheme="minorEastAsia"/>
          <w:b w:val="0"/>
          <w:bCs/>
          <w:color w:val="auto"/>
          <w:sz w:val="24"/>
          <w:szCs w:val="24"/>
          <w:lang w:val="en-US" w:eastAsia="zh-CN"/>
        </w:rPr>
        <w:t>进行设计，网络交换机及</w:t>
      </w:r>
      <w:r>
        <w:rPr>
          <w:rFonts w:hint="eastAsia" w:asciiTheme="minorEastAsia" w:hAnsiTheme="minorEastAsia" w:eastAsiaTheme="minorEastAsia" w:cstheme="minorEastAsia"/>
          <w:b w:val="0"/>
          <w:bCs/>
          <w:color w:val="auto"/>
          <w:sz w:val="24"/>
          <w:szCs w:val="24"/>
        </w:rPr>
        <w:t>弱电机柜</w:t>
      </w:r>
      <w:r>
        <w:rPr>
          <w:rFonts w:hint="eastAsia" w:asciiTheme="minorEastAsia" w:hAnsiTheme="minorEastAsia" w:eastAsiaTheme="minorEastAsia" w:cstheme="minorEastAsia"/>
          <w:b w:val="0"/>
          <w:bCs/>
          <w:color w:val="auto"/>
          <w:sz w:val="24"/>
          <w:szCs w:val="24"/>
          <w:lang w:val="en-US" w:eastAsia="zh-CN"/>
        </w:rPr>
        <w:t>设置在分析大厅，</w:t>
      </w:r>
      <w:r>
        <w:rPr>
          <w:rFonts w:hint="eastAsia" w:asciiTheme="minorEastAsia" w:hAnsiTheme="minorEastAsia" w:eastAsiaTheme="minorEastAsia" w:cstheme="minorEastAsia"/>
          <w:b w:val="0"/>
          <w:bCs/>
          <w:color w:val="auto"/>
          <w:sz w:val="24"/>
          <w:szCs w:val="24"/>
        </w:rPr>
        <w:t>弱电机柜</w:t>
      </w:r>
      <w:r>
        <w:rPr>
          <w:rFonts w:hint="eastAsia" w:asciiTheme="minorEastAsia" w:hAnsiTheme="minorEastAsia" w:eastAsiaTheme="minorEastAsia" w:cstheme="minorEastAsia"/>
          <w:b w:val="0"/>
          <w:bCs/>
          <w:color w:val="auto"/>
          <w:sz w:val="24"/>
          <w:szCs w:val="24"/>
          <w:lang w:val="en-US" w:eastAsia="zh-CN"/>
        </w:rPr>
        <w:t>的网络主线或光纤由电信机房引出。</w:t>
      </w:r>
    </w:p>
    <w:p w14:paraId="132F85BA">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rPr>
        <w:t>1）本工程用户信息插座选用六类信息插座。</w:t>
      </w:r>
    </w:p>
    <w:p w14:paraId="6D573DFE">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rPr>
        <w:t>2）网络信息点依据</w:t>
      </w:r>
      <w:r>
        <w:rPr>
          <w:rFonts w:hint="eastAsia" w:asciiTheme="minorEastAsia" w:hAnsiTheme="minorEastAsia" w:eastAsiaTheme="minorEastAsia" w:cstheme="minorEastAsia"/>
          <w:b w:val="0"/>
          <w:bCs/>
          <w:color w:val="auto"/>
          <w:sz w:val="24"/>
          <w:szCs w:val="24"/>
          <w:lang w:val="en-US" w:eastAsia="zh-CN"/>
        </w:rPr>
        <w:t>甲方</w:t>
      </w:r>
      <w:r>
        <w:rPr>
          <w:rFonts w:hint="eastAsia" w:asciiTheme="minorEastAsia" w:hAnsiTheme="minorEastAsia" w:eastAsiaTheme="minorEastAsia" w:cstheme="minorEastAsia"/>
          <w:b w:val="0"/>
          <w:bCs/>
          <w:color w:val="auto"/>
          <w:sz w:val="24"/>
          <w:szCs w:val="24"/>
        </w:rPr>
        <w:t>提供资料按房间功能需求分别设置网络插座。</w:t>
      </w:r>
    </w:p>
    <w:p w14:paraId="2830B976">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rPr>
        <w:t>3）网络布线系统均采用六类非屏蔽网线穿金属管沿</w:t>
      </w:r>
      <w:r>
        <w:rPr>
          <w:rFonts w:hint="eastAsia" w:asciiTheme="minorEastAsia" w:hAnsiTheme="minorEastAsia" w:eastAsiaTheme="minorEastAsia" w:cstheme="minorEastAsia"/>
          <w:b w:val="0"/>
          <w:bCs/>
          <w:color w:val="auto"/>
          <w:sz w:val="24"/>
          <w:szCs w:val="24"/>
          <w:lang w:val="en-US" w:eastAsia="zh-CN"/>
        </w:rPr>
        <w:t>地埋</w:t>
      </w:r>
      <w:r>
        <w:rPr>
          <w:rFonts w:hint="eastAsia" w:asciiTheme="minorEastAsia" w:hAnsiTheme="minorEastAsia" w:eastAsiaTheme="minorEastAsia" w:cstheme="minorEastAsia"/>
          <w:b w:val="0"/>
          <w:bCs/>
          <w:color w:val="auto"/>
          <w:sz w:val="24"/>
          <w:szCs w:val="24"/>
        </w:rPr>
        <w:t>或吊顶内暗敷设。</w:t>
      </w:r>
    </w:p>
    <w:p w14:paraId="786F2E35">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rPr>
        <w:t>4）</w:t>
      </w:r>
      <w:r>
        <w:rPr>
          <w:rFonts w:hint="eastAsia" w:asciiTheme="minorEastAsia" w:hAnsiTheme="minorEastAsia" w:eastAsiaTheme="minorEastAsia" w:cstheme="minorEastAsia"/>
          <w:b w:val="0"/>
          <w:bCs/>
          <w:color w:val="auto"/>
          <w:sz w:val="24"/>
          <w:szCs w:val="24"/>
          <w:lang w:val="en-US" w:eastAsia="zh-CN"/>
        </w:rPr>
        <w:t>实验台</w:t>
      </w:r>
      <w:r>
        <w:rPr>
          <w:rFonts w:hint="eastAsia" w:asciiTheme="minorEastAsia" w:hAnsiTheme="minorEastAsia" w:eastAsiaTheme="minorEastAsia" w:cstheme="minorEastAsia"/>
          <w:b w:val="0"/>
          <w:bCs/>
          <w:color w:val="auto"/>
          <w:sz w:val="24"/>
          <w:szCs w:val="24"/>
        </w:rPr>
        <w:t>网络线通过穿穿金属管沿</w:t>
      </w:r>
      <w:r>
        <w:rPr>
          <w:rFonts w:hint="eastAsia" w:asciiTheme="minorEastAsia" w:hAnsiTheme="minorEastAsia" w:eastAsiaTheme="minorEastAsia" w:cstheme="minorEastAsia"/>
          <w:b w:val="0"/>
          <w:bCs/>
          <w:color w:val="auto"/>
          <w:sz w:val="24"/>
          <w:szCs w:val="24"/>
          <w:lang w:val="en-US" w:eastAsia="zh-CN"/>
        </w:rPr>
        <w:t>地埋</w:t>
      </w:r>
      <w:r>
        <w:rPr>
          <w:rFonts w:hint="eastAsia" w:asciiTheme="minorEastAsia" w:hAnsiTheme="minorEastAsia" w:eastAsiaTheme="minorEastAsia" w:cstheme="minorEastAsia"/>
          <w:b w:val="0"/>
          <w:bCs/>
          <w:color w:val="auto"/>
          <w:sz w:val="24"/>
          <w:szCs w:val="24"/>
        </w:rPr>
        <w:t>或吊顶内暗敷设到弱电机柜内的交换机上。</w:t>
      </w:r>
    </w:p>
    <w:p w14:paraId="602686E5">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lang w:val="en-US" w:eastAsia="zh-CN"/>
        </w:rPr>
        <w:t>5</w:t>
      </w:r>
      <w:r>
        <w:rPr>
          <w:rFonts w:hint="eastAsia" w:asciiTheme="minorEastAsia" w:hAnsiTheme="minorEastAsia" w:eastAsiaTheme="minorEastAsia" w:cstheme="minorEastAsia"/>
          <w:b w:val="0"/>
          <w:bCs/>
          <w:color w:val="auto"/>
          <w:sz w:val="24"/>
          <w:szCs w:val="24"/>
        </w:rPr>
        <w:t>）电话系统点位依据甲方提供资料在实验室等需要预留语音的场所布置电话插座。</w:t>
      </w:r>
    </w:p>
    <w:p w14:paraId="7445AB33">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lang w:val="en-US" w:eastAsia="zh-CN"/>
        </w:rPr>
        <w:t>6</w:t>
      </w:r>
      <w:r>
        <w:rPr>
          <w:rFonts w:hint="eastAsia" w:asciiTheme="minorEastAsia" w:hAnsiTheme="minorEastAsia" w:eastAsiaTheme="minorEastAsia" w:cstheme="minorEastAsia"/>
          <w:b w:val="0"/>
          <w:bCs/>
          <w:color w:val="auto"/>
          <w:sz w:val="24"/>
          <w:szCs w:val="24"/>
        </w:rPr>
        <w:t>）电话布线系统采用六类非屏蔽网线穿金属管沿墙面或吊顶内暗敷设。</w:t>
      </w:r>
    </w:p>
    <w:p w14:paraId="728958EE">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lang w:val="en-US" w:eastAsia="zh-CN"/>
        </w:rPr>
        <w:t>7</w:t>
      </w:r>
      <w:r>
        <w:rPr>
          <w:rFonts w:hint="eastAsia" w:asciiTheme="minorEastAsia" w:hAnsiTheme="minorEastAsia" w:eastAsiaTheme="minorEastAsia" w:cstheme="minorEastAsia"/>
          <w:b w:val="0"/>
          <w:bCs/>
          <w:color w:val="auto"/>
          <w:sz w:val="24"/>
          <w:szCs w:val="24"/>
        </w:rPr>
        <w:t>）所有电话线通过穿金属管沿</w:t>
      </w:r>
      <w:r>
        <w:rPr>
          <w:rFonts w:hint="eastAsia" w:asciiTheme="minorEastAsia" w:hAnsiTheme="minorEastAsia" w:eastAsiaTheme="minorEastAsia" w:cstheme="minorEastAsia"/>
          <w:b w:val="0"/>
          <w:bCs/>
          <w:color w:val="auto"/>
          <w:sz w:val="24"/>
          <w:szCs w:val="24"/>
          <w:lang w:val="en-US" w:eastAsia="zh-CN"/>
        </w:rPr>
        <w:t>地埋</w:t>
      </w:r>
      <w:r>
        <w:rPr>
          <w:rFonts w:hint="eastAsia" w:asciiTheme="minorEastAsia" w:hAnsiTheme="minorEastAsia" w:eastAsiaTheme="minorEastAsia" w:cstheme="minorEastAsia"/>
          <w:b w:val="0"/>
          <w:bCs/>
          <w:color w:val="auto"/>
          <w:sz w:val="24"/>
          <w:szCs w:val="24"/>
        </w:rPr>
        <w:t>敷设到弱电机柜内的交换机上。</w:t>
      </w:r>
    </w:p>
    <w:p w14:paraId="63154DA3">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lang w:val="en-US" w:eastAsia="zh-CN"/>
        </w:rPr>
        <w:t>8</w:t>
      </w: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lang w:val="en-US" w:eastAsia="zh-CN"/>
        </w:rPr>
        <w:t>中控改化验室的</w:t>
      </w:r>
      <w:r>
        <w:rPr>
          <w:rFonts w:hint="eastAsia" w:asciiTheme="minorEastAsia" w:hAnsiTheme="minorEastAsia" w:eastAsiaTheme="minorEastAsia" w:cstheme="minorEastAsia"/>
          <w:b w:val="0"/>
          <w:bCs/>
          <w:color w:val="auto"/>
          <w:sz w:val="24"/>
          <w:szCs w:val="24"/>
        </w:rPr>
        <w:t>弱电机柜</w:t>
      </w:r>
      <w:r>
        <w:rPr>
          <w:rFonts w:hint="eastAsia" w:asciiTheme="minorEastAsia" w:hAnsiTheme="minorEastAsia" w:eastAsiaTheme="minorEastAsia" w:cstheme="minorEastAsia"/>
          <w:b w:val="0"/>
          <w:bCs/>
          <w:color w:val="auto"/>
          <w:sz w:val="24"/>
          <w:szCs w:val="24"/>
          <w:lang w:val="en-US" w:eastAsia="zh-CN"/>
        </w:rPr>
        <w:t>设置在分析大厅，网络主线或光纤由电信机房引出。</w:t>
      </w:r>
    </w:p>
    <w:p w14:paraId="5A066876">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（9）网线</w:t>
      </w:r>
    </w:p>
    <w:p w14:paraId="6B8E1391">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1)传输速率：根据实验室网络需求选择六类线（Cat6）及以上。</w:t>
      </w:r>
    </w:p>
    <w:p w14:paraId="071061E7">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2)物理结构：有十字骨架或齿轮状骨架，可降低串扰；</w:t>
      </w:r>
    </w:p>
    <w:p w14:paraId="1CBD6198">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3)材质：选择无氧铜材质的网线，电阻小，信号衰减慢，</w:t>
      </w:r>
    </w:p>
    <w:p w14:paraId="6C5F0F6A">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（10）交换机</w:t>
      </w:r>
    </w:p>
    <w:p w14:paraId="72A02D35">
      <w:pPr>
        <w:pStyle w:val="206"/>
        <w:keepLines w:val="0"/>
        <w:pageBreakBefore w:val="0"/>
        <w:numPr>
          <w:ilvl w:val="0"/>
          <w:numId w:val="87"/>
        </w:numPr>
        <w:kinsoku/>
        <w:wordWrap/>
        <w:overflowPunct/>
        <w:topLinePunct w:val="0"/>
        <w:autoSpaceDE/>
        <w:autoSpaceDN/>
        <w:bidi w:val="0"/>
        <w:adjustRightInd/>
        <w:snapToGrid/>
        <w:spacing w:beforeAutospacing="0" w:afterAutospacing="0" w:line="400" w:lineRule="exact"/>
        <w:ind w:left="425" w:leftChars="0" w:right="0" w:rightChars="0" w:hanging="425"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端口数量：根据实验室需要连接的需求来确定并留有富余的端口。</w:t>
      </w:r>
    </w:p>
    <w:p w14:paraId="6100CBD2">
      <w:pPr>
        <w:pStyle w:val="206"/>
        <w:keepLines w:val="0"/>
        <w:pageBreakBefore w:val="0"/>
        <w:numPr>
          <w:ilvl w:val="0"/>
          <w:numId w:val="87"/>
        </w:numPr>
        <w:kinsoku/>
        <w:wordWrap/>
        <w:overflowPunct/>
        <w:topLinePunct w:val="0"/>
        <w:autoSpaceDE/>
        <w:autoSpaceDN/>
        <w:bidi w:val="0"/>
        <w:adjustRightInd/>
        <w:snapToGrid/>
        <w:spacing w:beforeAutospacing="0" w:afterAutospacing="0" w:line="400" w:lineRule="exact"/>
        <w:ind w:left="425" w:leftChars="0" w:right="0" w:rightChars="0" w:hanging="425"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端口速率：选择千兆或万兆端口的交换机。</w:t>
      </w:r>
    </w:p>
    <w:p w14:paraId="4E2AB962">
      <w:pPr>
        <w:pStyle w:val="206"/>
        <w:keepLines w:val="0"/>
        <w:pageBreakBefore w:val="0"/>
        <w:numPr>
          <w:ilvl w:val="0"/>
          <w:numId w:val="87"/>
        </w:numPr>
        <w:kinsoku/>
        <w:wordWrap/>
        <w:overflowPunct/>
        <w:topLinePunct w:val="0"/>
        <w:autoSpaceDE/>
        <w:autoSpaceDN/>
        <w:bidi w:val="0"/>
        <w:adjustRightInd/>
        <w:snapToGrid/>
        <w:spacing w:beforeAutospacing="0" w:afterAutospacing="0" w:line="400" w:lineRule="exact"/>
        <w:ind w:left="425" w:leftChars="0" w:right="0" w:rightChars="0" w:hanging="425"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端口类型： RJ-45 端口，用于连接普通网线；或SFP、QSFP 等光纤端口，用于光纤连接，可提供更远的传输距离和更高的带宽。</w:t>
      </w:r>
    </w:p>
    <w:p w14:paraId="057F165B">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缓存：整机缓存≥36M。</w:t>
      </w:r>
    </w:p>
    <w:p w14:paraId="3B67489D">
      <w:pPr>
        <w:pStyle w:val="206"/>
        <w:keepLines w:val="0"/>
        <w:pageBreakBefore w:val="0"/>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（11）机柜</w:t>
      </w:r>
    </w:p>
    <w:p w14:paraId="2F115F6F">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1)尺寸：高度根据交换机数量确定，深度 600mm ，宽度 600mm-800mm 。</w:t>
      </w:r>
    </w:p>
    <w:p w14:paraId="71896DD6">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2)承重：每层应至少承重 50kg。</w:t>
      </w:r>
    </w:p>
    <w:p w14:paraId="7BE6AE48">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3)材质：柜体材质通常采用冷轧钢板，厚度在 0.8-1.2mm 之间。</w:t>
      </w:r>
    </w:p>
    <w:p w14:paraId="597D2383">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4)结构设计：应具备多层可调节隔板，方便设备安装和布局；柜门铰链可选择隐藏式设计，防止意外碰撞；抽屉式设计能提高空间利用率，抽屉导轨承重不低于 30kg。</w:t>
      </w:r>
    </w:p>
    <w:p w14:paraId="32392CEA">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5</w:t>
      </w:r>
      <w:r>
        <w:rPr>
          <w:rFonts w:hint="eastAsia" w:asciiTheme="minorEastAsia" w:hAnsiTheme="minorEastAsia" w:eastAsiaTheme="minorEastAsia" w:cstheme="minorEastAsia"/>
          <w:b w:val="0"/>
          <w:bCs/>
          <w:color w:val="auto"/>
          <w:sz w:val="24"/>
          <w:szCs w:val="24"/>
          <w:lang w:val="en-US" w:eastAsia="zh-Hans"/>
        </w:rPr>
        <w:t>)</w:t>
      </w:r>
      <w:r>
        <w:rPr>
          <w:rFonts w:hint="eastAsia" w:asciiTheme="minorEastAsia" w:hAnsiTheme="minorEastAsia" w:eastAsiaTheme="minorEastAsia" w:cstheme="minorEastAsia"/>
          <w:b w:val="0"/>
          <w:bCs/>
          <w:color w:val="auto"/>
          <w:sz w:val="24"/>
          <w:szCs w:val="24"/>
          <w:lang w:val="en-US" w:eastAsia="zh-CN"/>
        </w:rPr>
        <w:t>散热：机柜应具备良好的散热性能，如配备风扇、通风孔等，以保证设备在运行过程中产生的热量能够及时散发出去。</w:t>
      </w:r>
    </w:p>
    <w:p w14:paraId="27AE30CE">
      <w:pPr>
        <w:pStyle w:val="206"/>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right="0" w:firstLine="0" w:firstLineChars="0"/>
        <w:jc w:val="both"/>
        <w:textAlignment w:val="auto"/>
        <w:rPr>
          <w:rFonts w:hint="eastAsia"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（三）强电系统</w:t>
      </w:r>
    </w:p>
    <w:p w14:paraId="1E75141B">
      <w:pPr>
        <w:pStyle w:val="42"/>
        <w:keepNext w:val="0"/>
        <w:keepLines w:val="0"/>
        <w:pageBreakBefore w:val="0"/>
        <w:widowControl w:val="0"/>
        <w:kinsoku/>
        <w:wordWrap/>
        <w:overflowPunct/>
        <w:topLinePunct w:val="0"/>
        <w:autoSpaceDE/>
        <w:autoSpaceDN/>
        <w:bidi w:val="0"/>
        <w:adjustRightInd/>
        <w:snapToGrid w:val="0"/>
        <w:spacing w:beforeAutospacing="0" w:after="0" w:afterAutospacing="0" w:line="400" w:lineRule="exact"/>
        <w:ind w:left="0" w:leftChars="0" w:right="0" w:firstLine="0" w:firstLineChars="0"/>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本工程在原有土建一次设计的基础上进线二次改造装修，各功能间内部根据实验室平面布局进线改造，电气设计基于功能间二次改造布局的基础上并结合土建一次电气进线设计</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b w:val="0"/>
          <w:bCs/>
          <w:sz w:val="24"/>
          <w:szCs w:val="24"/>
          <w:lang w:val="en-US" w:eastAsia="zh-CN"/>
        </w:rPr>
        <w:t>每个分析台面10KW额定功率计算用电量，计算选择合适的动力柜和电线线缆。配电房留有足够原低压配电抽屉柜，满足4个低压回路，每路容量为380ACV,150A，每路可扩容到250A，但要相应更换断路器和附件。</w:t>
      </w:r>
      <w:r>
        <w:rPr>
          <w:rFonts w:hint="eastAsia" w:asciiTheme="minorEastAsia" w:hAnsiTheme="minorEastAsia" w:eastAsiaTheme="minorEastAsia" w:cstheme="minorEastAsia"/>
          <w:b w:val="0"/>
          <w:bCs/>
          <w:color w:val="auto"/>
          <w:sz w:val="24"/>
          <w:szCs w:val="24"/>
          <w:lang w:val="en-US" w:eastAsia="zh-CN"/>
        </w:rPr>
        <w:t>电源按三级控制，配电房配电抽屉柜为一级控制，分析间落地动力配电柜为二级控制，每个分析台面配置小配电箱为三级控制。</w:t>
      </w:r>
    </w:p>
    <w:p w14:paraId="3843C635">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1、</w:t>
      </w:r>
      <w:r>
        <w:rPr>
          <w:rFonts w:hint="eastAsia" w:asciiTheme="minorEastAsia" w:hAnsiTheme="minorEastAsia" w:eastAsiaTheme="minorEastAsia" w:cstheme="minorEastAsia"/>
          <w:b/>
          <w:bCs/>
          <w:sz w:val="24"/>
          <w:szCs w:val="24"/>
        </w:rPr>
        <w:t>技术</w:t>
      </w:r>
      <w:r>
        <w:rPr>
          <w:rFonts w:hint="eastAsia" w:asciiTheme="minorEastAsia" w:hAnsiTheme="minorEastAsia" w:eastAsiaTheme="minorEastAsia" w:cstheme="minorEastAsia"/>
          <w:b/>
          <w:bCs/>
          <w:sz w:val="24"/>
          <w:szCs w:val="24"/>
          <w:lang w:val="en-US" w:eastAsia="zh-CN"/>
        </w:rPr>
        <w:t>规范</w:t>
      </w:r>
      <w:r>
        <w:rPr>
          <w:rFonts w:hint="eastAsia" w:asciiTheme="minorEastAsia" w:hAnsiTheme="minorEastAsia" w:eastAsiaTheme="minorEastAsia" w:cstheme="minorEastAsia"/>
          <w:b/>
          <w:bCs/>
          <w:sz w:val="24"/>
          <w:szCs w:val="24"/>
        </w:rPr>
        <w:t>：</w:t>
      </w:r>
    </w:p>
    <w:p w14:paraId="61AB6B1B">
      <w:pPr>
        <w:pageBreakBefore w:val="0"/>
        <w:numPr>
          <w:ilvl w:val="0"/>
          <w:numId w:val="8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《民用建筑电气规范》JGJ16-2008；</w:t>
      </w:r>
    </w:p>
    <w:p w14:paraId="74FC02DD">
      <w:pPr>
        <w:pageBreakBefore w:val="0"/>
        <w:numPr>
          <w:ilvl w:val="0"/>
          <w:numId w:val="8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《供配电系统规范》GB50052-2009；</w:t>
      </w:r>
    </w:p>
    <w:p w14:paraId="10D32632">
      <w:pPr>
        <w:pageBreakBefore w:val="0"/>
        <w:numPr>
          <w:ilvl w:val="0"/>
          <w:numId w:val="8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《低压配电规范》GB50054-2011；</w:t>
      </w:r>
    </w:p>
    <w:p w14:paraId="0CFB6F73">
      <w:pPr>
        <w:pageBreakBefore w:val="0"/>
        <w:numPr>
          <w:ilvl w:val="0"/>
          <w:numId w:val="8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《通用用电设备配电规范》GB50055-2011；</w:t>
      </w:r>
    </w:p>
    <w:p w14:paraId="2253504C">
      <w:pPr>
        <w:pageBreakBefore w:val="0"/>
        <w:numPr>
          <w:ilvl w:val="0"/>
          <w:numId w:val="8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《电力工程电缆规范》GB50217-2007；</w:t>
      </w:r>
    </w:p>
    <w:p w14:paraId="4773971C">
      <w:pPr>
        <w:pageBreakBefore w:val="0"/>
        <w:numPr>
          <w:ilvl w:val="0"/>
          <w:numId w:val="8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《建筑照明标准》GB50034-2013；</w:t>
      </w:r>
    </w:p>
    <w:p w14:paraId="2990DEEA">
      <w:pPr>
        <w:pageBreakBefore w:val="0"/>
        <w:numPr>
          <w:ilvl w:val="0"/>
          <w:numId w:val="8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《建筑物防雷规范》GB50057-2010；</w:t>
      </w:r>
    </w:p>
    <w:p w14:paraId="5260806B">
      <w:pPr>
        <w:pageBreakBefore w:val="0"/>
        <w:numPr>
          <w:ilvl w:val="0"/>
          <w:numId w:val="8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《建筑防火规范》 GB 50016-2014（2018年版）</w:t>
      </w:r>
    </w:p>
    <w:p w14:paraId="67DB5393">
      <w:pPr>
        <w:pageBreakBefore w:val="0"/>
        <w:numPr>
          <w:ilvl w:val="0"/>
          <w:numId w:val="8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《建筑防火封堵应用技术规程》 CECS 154:2003；</w:t>
      </w:r>
    </w:p>
    <w:p w14:paraId="5B7D4A4E">
      <w:pPr>
        <w:pageBreakBefore w:val="0"/>
        <w:numPr>
          <w:ilvl w:val="0"/>
          <w:numId w:val="8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《电气装置安装工程施工及验收规范》(GB50245-50259-96)</w:t>
      </w:r>
    </w:p>
    <w:p w14:paraId="1DED8649">
      <w:pPr>
        <w:pageBreakBefore w:val="0"/>
        <w:numPr>
          <w:ilvl w:val="0"/>
          <w:numId w:val="8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《建筑电气照明装置施工与验收规范》GB 50617-2010</w:t>
      </w:r>
    </w:p>
    <w:p w14:paraId="7826732F">
      <w:pPr>
        <w:pageBreakBefore w:val="0"/>
        <w:numPr>
          <w:ilvl w:val="0"/>
          <w:numId w:val="8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《接地装置施工及验收规范》(GB50169-2016)</w:t>
      </w:r>
    </w:p>
    <w:p w14:paraId="5B2888E5">
      <w:pPr>
        <w:pageBreakBefore w:val="0"/>
        <w:numPr>
          <w:ilvl w:val="0"/>
          <w:numId w:val="8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《盘、柜及二次回路结线施"们及验收规范》(GB50171-2012)</w:t>
      </w:r>
    </w:p>
    <w:p w14:paraId="55D27268">
      <w:pPr>
        <w:pageBreakBefore w:val="0"/>
        <w:numPr>
          <w:ilvl w:val="0"/>
          <w:numId w:val="8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《电缆线路施工及验收规范》(GB50168-2006)</w:t>
      </w:r>
    </w:p>
    <w:p w14:paraId="23E74174">
      <w:pPr>
        <w:pageBreakBefore w:val="0"/>
        <w:numPr>
          <w:ilvl w:val="0"/>
          <w:numId w:val="8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以及其他相关的规范、规程、规定等。</w:t>
      </w:r>
    </w:p>
    <w:p w14:paraId="36AA2271">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rPr>
        <w:t>技术要求</w:t>
      </w:r>
    </w:p>
    <w:p w14:paraId="1592B1B8">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一）主要技术要求</w:t>
      </w:r>
    </w:p>
    <w:p w14:paraId="392129B0">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1、各分析间根据各实验室功能对仪器设备、通风、插座照明等配电。配电从配电房的配电箱起设计。</w:t>
      </w:r>
    </w:p>
    <w:p w14:paraId="09D9FC82">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2、电线选择及电线敷设方式</w:t>
      </w:r>
    </w:p>
    <w:p w14:paraId="3C4B7D76">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（1）照明干线、动力设备采用</w:t>
      </w:r>
      <w:r>
        <w:rPr>
          <w:rFonts w:hint="eastAsia" w:asciiTheme="minorEastAsia" w:hAnsiTheme="minorEastAsia" w:eastAsiaTheme="minorEastAsia" w:cstheme="minorEastAsia"/>
          <w:kern w:val="2"/>
          <w:sz w:val="24"/>
          <w:szCs w:val="24"/>
          <w:highlight w:val="none"/>
          <w:lang w:val="en-US" w:eastAsia="zh-CN" w:bidi="ar-SA"/>
        </w:rPr>
        <w:t>WDZA-YJY</w:t>
      </w:r>
      <w:r>
        <w:rPr>
          <w:rFonts w:hint="eastAsia" w:asciiTheme="minorEastAsia" w:hAnsiTheme="minorEastAsia" w:eastAsiaTheme="minorEastAsia" w:cstheme="minorEastAsia"/>
          <w:kern w:val="2"/>
          <w:sz w:val="24"/>
          <w:szCs w:val="24"/>
          <w:lang w:val="en-US" w:eastAsia="zh-CN" w:bidi="ar-SA"/>
        </w:rPr>
        <w:t>电力电缆沿电缆桥架敷设。各层层间配电箱出线电缆在走廊吊顶内沿电缆桥架敷设至各实验室配电箱附近，再沿吊顶桥架、功能柱敷设至各实验室配电箱。</w:t>
      </w:r>
    </w:p>
    <w:p w14:paraId="6FF355D1">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（2）照明回路电线沿墙暗敷设上天花，天花内水平敷设。插座、通风柜、边台、中央台回路电线沿吊顶、功能柱敷设至插座。</w:t>
      </w:r>
    </w:p>
    <w:p w14:paraId="6F410918">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（3）普通照明、插座线路采用</w:t>
      </w:r>
      <w:r>
        <w:rPr>
          <w:rFonts w:hint="eastAsia" w:asciiTheme="minorEastAsia" w:hAnsiTheme="minorEastAsia" w:eastAsiaTheme="minorEastAsia" w:cstheme="minorEastAsia"/>
          <w:kern w:val="2"/>
          <w:sz w:val="24"/>
          <w:szCs w:val="24"/>
          <w:highlight w:val="none"/>
          <w:lang w:val="en-US" w:eastAsia="zh-CN" w:bidi="ar-SA"/>
        </w:rPr>
        <w:t>WDZA</w:t>
      </w:r>
      <w:r>
        <w:rPr>
          <w:rFonts w:hint="eastAsia" w:asciiTheme="minorEastAsia" w:hAnsiTheme="minorEastAsia" w:eastAsiaTheme="minorEastAsia" w:cstheme="minorEastAsia"/>
          <w:kern w:val="2"/>
          <w:sz w:val="24"/>
          <w:szCs w:val="24"/>
          <w:lang w:val="en-US" w:eastAsia="zh-CN" w:bidi="ar-SA"/>
        </w:rPr>
        <w:t>-BYJ-450/750V导线穿钢管在楼板内暗敷设或沿金属线槽敷设,或穿钢管在吊顶内敷设。易连接和易折弯等优点。既保证安全又方便施工。</w:t>
      </w:r>
    </w:p>
    <w:p w14:paraId="38896214">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3、低压配电</w:t>
      </w:r>
    </w:p>
    <w:p w14:paraId="581A2EC0">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（1）电压级数：配电系统电源引自楼层配电箱，电压等级为220/380V。</w:t>
      </w:r>
    </w:p>
    <w:p w14:paraId="4B7EE153">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（2）接地形式：本出线为三相五线制。低压配电系统接地型式采用TN-S系统，整个系统的中性线（N）与保护线（PE）分离。</w:t>
      </w:r>
    </w:p>
    <w:p w14:paraId="4FB08DC4">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r>
        <w:rPr>
          <w:rFonts w:hint="eastAsia" w:asciiTheme="minorEastAsia" w:hAnsiTheme="minorEastAsia" w:eastAsiaTheme="minorEastAsia" w:cstheme="minorEastAsia"/>
          <w:b/>
          <w:bCs/>
          <w:kern w:val="2"/>
          <w:sz w:val="24"/>
          <w:szCs w:val="24"/>
          <w:lang w:val="en-US" w:eastAsia="zh-CN" w:bidi="ar-SA"/>
        </w:rPr>
        <w:t>配电回路：由配电房配电箱引至仪器间落地配电柜，在由仪器间配电箱引至实验台小配电箱，插座由实验台小配电箱提供回路，照明由楼层照明总箱提供回路。</w:t>
      </w:r>
    </w:p>
    <w:p w14:paraId="3D0BA866">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（4）配电方式：照明及一般用电设备采用放射式配电方式。</w:t>
      </w:r>
    </w:p>
    <w:p w14:paraId="678B407B">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（5）漏电开关：漏电断路器:单相漏电断路器均采用两极，三相漏电断路器均采用四极，漏电断路器动作电流不大于30mA，动作时间无延迟。</w:t>
      </w:r>
    </w:p>
    <w:p w14:paraId="06A90CD2">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4、线路敷设</w:t>
      </w:r>
    </w:p>
    <w:p w14:paraId="48A86FDA">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（1）本工程室内实验室所用为</w:t>
      </w:r>
      <w:r>
        <w:rPr>
          <w:rFonts w:hint="eastAsia" w:asciiTheme="minorEastAsia" w:hAnsiTheme="minorEastAsia" w:eastAsiaTheme="minorEastAsia" w:cstheme="minorEastAsia"/>
          <w:b w:val="0"/>
          <w:bCs w:val="0"/>
          <w:kern w:val="2"/>
          <w:sz w:val="24"/>
          <w:szCs w:val="24"/>
          <w:lang w:val="en-US" w:eastAsia="zh-CN" w:bidi="ar-SA"/>
        </w:rPr>
        <w:t>穿热镀锌金属线管地</w:t>
      </w:r>
      <w:r>
        <w:rPr>
          <w:rFonts w:hint="eastAsia" w:asciiTheme="minorEastAsia" w:hAnsiTheme="minorEastAsia" w:eastAsiaTheme="minorEastAsia" w:cstheme="minorEastAsia"/>
          <w:kern w:val="2"/>
          <w:sz w:val="24"/>
          <w:szCs w:val="24"/>
          <w:lang w:val="en-US" w:eastAsia="zh-CN" w:bidi="ar-SA"/>
        </w:rPr>
        <w:t>面内暗敷或桥架、功能柱到仪器台。</w:t>
      </w:r>
    </w:p>
    <w:p w14:paraId="274FE5E5">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（2）凡图中未注明导线根数的线路均为三根，其中：照明线路为WDZ-BYJ-3x2.5mm2。</w:t>
      </w:r>
    </w:p>
    <w:p w14:paraId="17F60F2C">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（3）一般设备的配电线路明敷时，应穿金属线管保护或在电缆桥架内敷设；穿金属管保护暗敷在顶板、地坪、墙内时应有≥15mm厚的保护层。</w:t>
      </w:r>
    </w:p>
    <w:p w14:paraId="098C0F5E">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（4）所有穿过建筑物伸缩缝、沉降缝、后浇带的管线应按《建筑电气安装工程图集》中有关做法施工。</w:t>
      </w:r>
    </w:p>
    <w:p w14:paraId="622B4C76">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（5）PE线均用绿/黄导线或标识：本工程室内实验室所用为镀锌线槽已预先敷设,规格参照图。</w:t>
      </w:r>
    </w:p>
    <w:p w14:paraId="008D59A6">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5、设备安装</w:t>
      </w:r>
    </w:p>
    <w:p w14:paraId="75F609F1">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除注明外，各设备安装作如下规定：</w:t>
      </w:r>
    </w:p>
    <w:p w14:paraId="29EDAD92">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（1）落地式配电箱安装时应高出地坪0.15m以上。</w:t>
      </w:r>
    </w:p>
    <w:p w14:paraId="3F097971">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（2）嵌墙或挂墙的照明、动力配电箱下沿距地1.5m左右安装。</w:t>
      </w:r>
    </w:p>
    <w:p w14:paraId="6FAA27A0">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（3）墙壁开关下沿距地1.3m左右安装，距门框0.2m左右安装。</w:t>
      </w:r>
    </w:p>
    <w:p w14:paraId="4755F5CB">
      <w:pPr>
        <w:pageBreakBefore w:val="0"/>
        <w:kinsoku/>
        <w:wordWrap/>
        <w:overflowPunct/>
        <w:topLinePunct w:val="0"/>
        <w:bidi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（4）设备及灯具安装参见国标图《常用低压配电设备安装》04D702-1、国标图《常用低压配电设备及灯具安装》96D702-2及国标图《特殊灯具安装》03D702-3。</w:t>
      </w:r>
    </w:p>
    <w:p w14:paraId="43BFE097">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二</w:t>
      </w:r>
      <w:r>
        <w:rPr>
          <w:rFonts w:hint="eastAsia" w:asciiTheme="minorEastAsia" w:hAnsiTheme="minorEastAsia" w:eastAsiaTheme="minorEastAsia" w:cstheme="minorEastAsia"/>
          <w:b/>
          <w:bCs/>
          <w:sz w:val="24"/>
          <w:szCs w:val="24"/>
        </w:rPr>
        <w:t>）材质要求：</w:t>
      </w:r>
    </w:p>
    <w:p w14:paraId="1E249FD8">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color w:val="000000"/>
          <w:sz w:val="24"/>
          <w:szCs w:val="24"/>
          <w:highlight w:val="none"/>
        </w:rPr>
      </w:pPr>
      <w:r>
        <w:rPr>
          <w:rFonts w:hint="eastAsia" w:asciiTheme="minorEastAsia" w:hAnsiTheme="minorEastAsia" w:eastAsiaTheme="minorEastAsia" w:cstheme="minorEastAsia"/>
          <w:b/>
          <w:color w:val="000000"/>
          <w:sz w:val="24"/>
          <w:szCs w:val="24"/>
          <w:highlight w:val="none"/>
        </w:rPr>
        <w:t>1、配电箱、配电柜</w:t>
      </w:r>
    </w:p>
    <w:p w14:paraId="3CB91417">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（1）电柜采用落地式电柜</w:t>
      </w:r>
      <w:r>
        <w:rPr>
          <w:rFonts w:hint="eastAsia" w:asciiTheme="minorEastAsia" w:hAnsiTheme="minorEastAsia" w:eastAsiaTheme="minorEastAsia" w:cstheme="minorEastAsia"/>
          <w:color w:val="000000"/>
          <w:sz w:val="24"/>
          <w:szCs w:val="24"/>
          <w:highlight w:val="none"/>
          <w:lang w:val="en-US" w:eastAsia="zh-CN"/>
        </w:rPr>
        <w:t>或挂墙式</w:t>
      </w:r>
      <w:r>
        <w:rPr>
          <w:rFonts w:hint="eastAsia" w:asciiTheme="minorEastAsia" w:hAnsiTheme="minorEastAsia" w:eastAsiaTheme="minorEastAsia" w:cstheme="minorEastAsia"/>
          <w:color w:val="000000"/>
          <w:sz w:val="24"/>
          <w:szCs w:val="24"/>
          <w:highlight w:val="none"/>
        </w:rPr>
        <w:t>，出线方式可采用上下出线（即：从电箱的上顶板和下底板）和背板出线，与实验室浑然一体，美观、大方。</w:t>
      </w:r>
    </w:p>
    <w:p w14:paraId="360C242C">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2）电柜外壳材料选择优质冷轧钢板，箱体≥1.5mm，箱门≥2.0mm，安装底板≥2.5mm镀锌板，表面RAL7032/35防水浸腊及粉末底漆处理。防护等级为IP65（GB4208-1993），高要求和严标准确保产品在实验室环境中的可靠运行。</w:t>
      </w:r>
    </w:p>
    <w:p w14:paraId="09100B25">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（3）电柜为交流低压配电柜，具有分断能力高、电气方案灵活、组合方便、系类性、实用性强、结构新颖、防户等级高、经济耐用等特点。</w:t>
      </w:r>
    </w:p>
    <w:p w14:paraId="1FEEBE11">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color w:val="000000"/>
          <w:sz w:val="24"/>
          <w:szCs w:val="24"/>
          <w:highlight w:val="none"/>
        </w:rPr>
      </w:pPr>
      <w:r>
        <w:rPr>
          <w:rFonts w:hint="eastAsia" w:asciiTheme="minorEastAsia" w:hAnsiTheme="minorEastAsia" w:eastAsiaTheme="minorEastAsia" w:cstheme="minorEastAsia"/>
          <w:b/>
          <w:color w:val="000000"/>
          <w:sz w:val="24"/>
          <w:szCs w:val="24"/>
          <w:highlight w:val="none"/>
        </w:rPr>
        <w:t>2、电箱（壳体）</w:t>
      </w:r>
    </w:p>
    <w:p w14:paraId="576CB66F">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功能：小型配电箱是组装低压终端电器，用于楼宇照明、配电和动力的专用箱体。</w:t>
      </w:r>
    </w:p>
    <w:p w14:paraId="2EA12407">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技术参数：</w:t>
      </w:r>
    </w:p>
    <w:p w14:paraId="6292D2F9">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(1)额定电压约400V AC</w:t>
      </w:r>
    </w:p>
    <w:p w14:paraId="72EE6294">
      <w:pPr>
        <w:pageBreakBefore w:val="0"/>
        <w:kinsoku/>
        <w:wordWrap/>
        <w:overflowPunct/>
        <w:topLinePunct w:val="0"/>
        <w:bidi w:val="0"/>
        <w:spacing w:beforeAutospacing="0" w:afterAutospacing="0" w:line="400" w:lineRule="exact"/>
        <w:ind w:left="0" w:leftChars="0" w:right="0" w:firstLine="0" w:firstLineChars="0"/>
        <w:rPr>
          <w:rFonts w:hint="default"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(2)额定电流约160A</w:t>
      </w:r>
    </w:p>
    <w:p w14:paraId="1A8F2CD2">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(3)防护等级：IP40</w:t>
      </w:r>
    </w:p>
    <w:p w14:paraId="24D4FF7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(4)绝缘等级：II</w:t>
      </w:r>
    </w:p>
    <w:p w14:paraId="6DD9C4C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color w:val="000000"/>
          <w:sz w:val="24"/>
          <w:szCs w:val="24"/>
          <w:highlight w:val="none"/>
        </w:rPr>
      </w:pPr>
      <w:r>
        <w:rPr>
          <w:rFonts w:hint="eastAsia" w:asciiTheme="minorEastAsia" w:hAnsiTheme="minorEastAsia" w:eastAsiaTheme="minorEastAsia" w:cstheme="minorEastAsia"/>
          <w:b/>
          <w:color w:val="000000"/>
          <w:sz w:val="24"/>
          <w:szCs w:val="24"/>
          <w:highlight w:val="none"/>
        </w:rPr>
        <w:t>3、配电箱结构：</w:t>
      </w:r>
    </w:p>
    <w:p w14:paraId="1E6B6E19">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深蓝色透明塑料门配透明底箱，零排（N）和地排（PE）要求采用规格不小于6×9mm</w:t>
      </w:r>
      <w:r>
        <w:rPr>
          <w:rFonts w:hint="eastAsia" w:asciiTheme="minorEastAsia" w:hAnsiTheme="minorEastAsia" w:eastAsiaTheme="minorEastAsia" w:cstheme="minorEastAsia"/>
          <w:color w:val="000000"/>
          <w:sz w:val="24"/>
          <w:szCs w:val="24"/>
          <w:highlight w:val="none"/>
          <w:vertAlign w:val="superscript"/>
        </w:rPr>
        <w:t>2</w:t>
      </w:r>
      <w:r>
        <w:rPr>
          <w:rFonts w:hint="eastAsia" w:asciiTheme="minorEastAsia" w:hAnsiTheme="minorEastAsia" w:eastAsiaTheme="minorEastAsia" w:cstheme="minorEastAsia"/>
          <w:color w:val="000000"/>
          <w:sz w:val="24"/>
          <w:szCs w:val="24"/>
          <w:highlight w:val="none"/>
        </w:rPr>
        <w:t>的黄铜做成，接线方便且耐用，散热好零排和地排端子标示清晰，流线型深蓝色透明门，美观大方，预留敲落孔，配套附件齐全，开门结构可实现左右随意更换，可开关角度达180°左右，安装架可在箱体外完成模数化终端电器的安装和接线，最后移至底箱中，多排结构箱体的安装导轨间距不低于125mm，导轨的安装深度为55-70mm。</w:t>
      </w:r>
    </w:p>
    <w:p w14:paraId="6CD0E211">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color w:val="000000"/>
          <w:sz w:val="24"/>
          <w:szCs w:val="24"/>
          <w:highlight w:val="none"/>
        </w:rPr>
      </w:pPr>
      <w:r>
        <w:rPr>
          <w:rFonts w:hint="eastAsia" w:asciiTheme="minorEastAsia" w:hAnsiTheme="minorEastAsia" w:eastAsiaTheme="minorEastAsia" w:cstheme="minorEastAsia"/>
          <w:b/>
          <w:color w:val="000000"/>
          <w:sz w:val="24"/>
          <w:szCs w:val="24"/>
          <w:highlight w:val="none"/>
        </w:rPr>
        <w:t>4、断路器</w:t>
      </w:r>
    </w:p>
    <w:p w14:paraId="62686BA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断路器要求该产品空气开关绝缘电压为600V至800V,额定电流为10A至3200A.用来分配电能和保护线路以及电源设备免受过载,短路,欠电压等故障的技术.具有体积小,分离高,飞狐短等特点.可以垂直安装,亦可水平安装.符合 GB140148.2。</w:t>
      </w:r>
    </w:p>
    <w:p w14:paraId="08F603A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（1）微型开关功能：</w:t>
      </w:r>
    </w:p>
    <w:p w14:paraId="707C87E7">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短路保护、过载保护、控制、隔离。</w:t>
      </w:r>
    </w:p>
    <w:p w14:paraId="59E999D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技术参数：</w:t>
      </w:r>
    </w:p>
    <w:p w14:paraId="6BB89348">
      <w:pPr>
        <w:pageBreakBefore w:val="0"/>
        <w:kinsoku/>
        <w:wordWrap/>
        <w:overflowPunct/>
        <w:topLinePunct w:val="0"/>
        <w:bidi w:val="0"/>
        <w:spacing w:beforeAutospacing="0" w:afterAutospacing="0" w:line="400" w:lineRule="exact"/>
        <w:ind w:left="0" w:leftChars="0" w:right="0" w:firstLine="0" w:firstLineChars="0"/>
        <w:rPr>
          <w:rFonts w:hint="default"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①符合标准：GB10963/IEC60898</w:t>
      </w:r>
      <w:r>
        <w:rPr>
          <w:rFonts w:hint="eastAsia" w:asciiTheme="minorEastAsia" w:hAnsiTheme="minorEastAsia" w:eastAsiaTheme="minorEastAsia" w:cstheme="minorEastAsia"/>
          <w:color w:val="000000"/>
          <w:sz w:val="24"/>
          <w:szCs w:val="24"/>
          <w:highlight w:val="none"/>
          <w:lang w:val="en-US" w:eastAsia="zh-CN"/>
        </w:rPr>
        <w:t>/3C认证</w:t>
      </w:r>
    </w:p>
    <w:p w14:paraId="7326B269">
      <w:pPr>
        <w:pageBreakBefore w:val="0"/>
        <w:kinsoku/>
        <w:wordWrap/>
        <w:overflowPunct/>
        <w:topLinePunct w:val="0"/>
        <w:bidi w:val="0"/>
        <w:spacing w:beforeAutospacing="0" w:afterAutospacing="0" w:line="400" w:lineRule="exact"/>
        <w:ind w:left="0" w:leftChars="0" w:right="0" w:firstLine="0" w:firstLineChars="0"/>
        <w:rPr>
          <w:rFonts w:hint="default"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②额定电压：230/400VAC</w:t>
      </w:r>
      <w:r>
        <w:rPr>
          <w:rFonts w:hint="eastAsia" w:asciiTheme="minorEastAsia" w:hAnsiTheme="minorEastAsia" w:eastAsiaTheme="minorEastAsia" w:cstheme="minorEastAsia"/>
          <w:color w:val="000000"/>
          <w:sz w:val="24"/>
          <w:szCs w:val="24"/>
          <w:highlight w:val="none"/>
          <w:lang w:val="en-US" w:eastAsia="zh-CN"/>
        </w:rPr>
        <w:t>/690VAC</w:t>
      </w:r>
    </w:p>
    <w:p w14:paraId="645B5169">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③额定电流：6-</w:t>
      </w:r>
      <w:r>
        <w:rPr>
          <w:rFonts w:hint="eastAsia" w:asciiTheme="minorEastAsia" w:hAnsiTheme="minorEastAsia" w:eastAsiaTheme="minorEastAsia" w:cstheme="minorEastAsia"/>
          <w:color w:val="000000"/>
          <w:sz w:val="24"/>
          <w:szCs w:val="24"/>
          <w:highlight w:val="none"/>
          <w:lang w:val="en-US" w:eastAsia="zh-CN"/>
        </w:rPr>
        <w:t>630</w:t>
      </w:r>
      <w:r>
        <w:rPr>
          <w:rFonts w:hint="eastAsia" w:asciiTheme="minorEastAsia" w:hAnsiTheme="minorEastAsia" w:eastAsiaTheme="minorEastAsia" w:cstheme="minorEastAsia"/>
          <w:color w:val="000000"/>
          <w:sz w:val="24"/>
          <w:szCs w:val="24"/>
          <w:highlight w:val="none"/>
        </w:rPr>
        <w:t>A</w:t>
      </w:r>
    </w:p>
    <w:p w14:paraId="17ADF870">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④分断能力6000A左右</w:t>
      </w:r>
    </w:p>
    <w:p w14:paraId="6497C619">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⑤脱口特性：C/D</w:t>
      </w:r>
    </w:p>
    <w:p w14:paraId="7DA2D232">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⑥极数：1P-4P</w:t>
      </w:r>
    </w:p>
    <w:p w14:paraId="75498390">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⑦限流等级不低于3</w:t>
      </w:r>
    </w:p>
    <w:p w14:paraId="41AB2CE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⑧机械寿命不低于200000次</w:t>
      </w:r>
    </w:p>
    <w:p w14:paraId="62E8CC98">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（2）塑壳开关、万能式断路器具有完善的配电功能，拥有15A-2000A的3、4极产品选择，分断能力可高达50KA。</w:t>
      </w:r>
    </w:p>
    <w:p w14:paraId="349207D0">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（3）用于分配电能和保护线路，电源及用电设备免受过载和短路的危险，有很好的供电可靠性与连续性。</w:t>
      </w:r>
    </w:p>
    <w:p w14:paraId="7685A402">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（4）产品符合GB140148.2规定具有良好的质量。该系列开关涵盖配电、接地故障、电动机的完善保护形式，拥有固定式、插入式等多种灵活安装方式。</w:t>
      </w:r>
    </w:p>
    <w:p w14:paraId="2F5BBDAB">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color w:val="000000"/>
          <w:sz w:val="24"/>
          <w:szCs w:val="24"/>
          <w:highlight w:val="none"/>
        </w:rPr>
      </w:pPr>
      <w:r>
        <w:rPr>
          <w:rFonts w:hint="eastAsia" w:asciiTheme="minorEastAsia" w:hAnsiTheme="minorEastAsia" w:eastAsiaTheme="minorEastAsia" w:cstheme="minorEastAsia"/>
          <w:b/>
          <w:color w:val="000000"/>
          <w:sz w:val="24"/>
          <w:szCs w:val="24"/>
          <w:highlight w:val="none"/>
        </w:rPr>
        <w:t>5、电线、电缆</w:t>
      </w:r>
    </w:p>
    <w:p w14:paraId="60D75160">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电线、电缆使用的是6～35kV（WDZ-YJY）无卤低烟阻燃型铜芯交联聚烯烃绝缘电力电缆，为国家优质产品</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符合</w:t>
      </w:r>
      <w:r>
        <w:rPr>
          <w:rFonts w:hint="eastAsia" w:asciiTheme="minorEastAsia" w:hAnsiTheme="minorEastAsia" w:eastAsiaTheme="minorEastAsia" w:cstheme="minorEastAsia"/>
          <w:color w:val="000000"/>
          <w:sz w:val="24"/>
          <w:szCs w:val="24"/>
          <w:highlight w:val="none"/>
        </w:rPr>
        <w:t>3C 认证（强制性认证）。</w:t>
      </w:r>
      <w:r>
        <w:rPr>
          <w:rFonts w:hint="eastAsia" w:asciiTheme="minorEastAsia" w:hAnsiTheme="minorEastAsia" w:eastAsiaTheme="minorEastAsia" w:cstheme="minorEastAsia"/>
          <w:color w:val="000000"/>
          <w:sz w:val="24"/>
          <w:szCs w:val="24"/>
          <w:highlight w:val="none"/>
          <w:lang w:val="en-US" w:eastAsia="zh-CN"/>
        </w:rPr>
        <w:t>按用电负载选择铜线截面积大小合适的电线、电缆。</w:t>
      </w:r>
    </w:p>
    <w:p w14:paraId="2F97793B">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产品特点：</w:t>
      </w:r>
    </w:p>
    <w:p w14:paraId="65630EE9">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（1）具有优异的电气性能、机械性能、耐热老化性、耐环境应力和耐化学腐蚀的能力，结构简单，使用方便，不受敷设落差限制，长期工作温度高(90℃)等特点。</w:t>
      </w:r>
    </w:p>
    <w:p w14:paraId="6440130A">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（2）适用于额定电压(U0/U) 3.6/6kV～26/35kV的输配电线路中,供输配电能用。</w:t>
      </w:r>
    </w:p>
    <w:p w14:paraId="09EA4DBC">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（3）电缆被燃烧时能将火焰的蔓延控制在一定范围内，因此可以避免电线电缆着火延燃而造成的重大灾害，提高电缆整条线路的防火水平。</w:t>
      </w:r>
    </w:p>
    <w:p w14:paraId="70A8DA34">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阻燃性能：</w:t>
      </w:r>
    </w:p>
    <w:p w14:paraId="3DF5795C">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A类：每米所含的非金属材料的总体积不超过7L，供火时间不低于40min,炭化高度不超过2.5m。</w:t>
      </w:r>
    </w:p>
    <w:p w14:paraId="3661163B">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B类：每米所含的非金属材料的总体积不超过3.5L，供火时间不低于40min,炭化高度不超过2.5m。</w:t>
      </w:r>
    </w:p>
    <w:p w14:paraId="73731B6A">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C类：每米所含的非金属材料的总体积不超过1.5L，供火时间不低于20min,炭化高度不超过2.5m。</w:t>
      </w:r>
    </w:p>
    <w:p w14:paraId="7A627EC3">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color w:val="000000"/>
          <w:sz w:val="24"/>
          <w:szCs w:val="24"/>
          <w:highlight w:val="none"/>
        </w:rPr>
      </w:pPr>
      <w:r>
        <w:rPr>
          <w:rFonts w:hint="eastAsia" w:asciiTheme="minorEastAsia" w:hAnsiTheme="minorEastAsia" w:eastAsiaTheme="minorEastAsia" w:cstheme="minorEastAsia"/>
          <w:b/>
          <w:color w:val="000000"/>
          <w:sz w:val="24"/>
          <w:szCs w:val="24"/>
          <w:highlight w:val="none"/>
          <w:lang w:val="en-US" w:eastAsia="zh-CN"/>
        </w:rPr>
        <w:t>6</w:t>
      </w:r>
      <w:r>
        <w:rPr>
          <w:rFonts w:hint="eastAsia" w:asciiTheme="minorEastAsia" w:hAnsiTheme="minorEastAsia" w:eastAsiaTheme="minorEastAsia" w:cstheme="minorEastAsia"/>
          <w:b/>
          <w:color w:val="000000"/>
          <w:sz w:val="24"/>
          <w:szCs w:val="24"/>
          <w:highlight w:val="none"/>
        </w:rPr>
        <w:t>、插座面板：</w:t>
      </w:r>
    </w:p>
    <w:p w14:paraId="20B0510D">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边台、中央台</w:t>
      </w:r>
      <w:r>
        <w:rPr>
          <w:rFonts w:hint="eastAsia" w:asciiTheme="minorEastAsia" w:hAnsiTheme="minorEastAsia" w:eastAsiaTheme="minorEastAsia" w:cstheme="minorEastAsia"/>
          <w:color w:val="000000"/>
          <w:sz w:val="24"/>
          <w:szCs w:val="24"/>
          <w:highlight w:val="none"/>
          <w:lang w:val="en-US" w:eastAsia="zh-CN"/>
        </w:rPr>
        <w:t>插座</w:t>
      </w:r>
      <w:r>
        <w:rPr>
          <w:rFonts w:hint="eastAsia" w:asciiTheme="minorEastAsia" w:hAnsiTheme="minorEastAsia" w:eastAsiaTheme="minorEastAsia" w:cstheme="minorEastAsia"/>
          <w:color w:val="000000"/>
          <w:sz w:val="24"/>
          <w:szCs w:val="24"/>
          <w:highlight w:val="none"/>
        </w:rPr>
        <w:t>采用118</w:t>
      </w:r>
      <w:r>
        <w:rPr>
          <w:rFonts w:hint="eastAsia" w:asciiTheme="minorEastAsia" w:hAnsiTheme="minorEastAsia" w:eastAsiaTheme="minorEastAsia" w:cstheme="minorEastAsia"/>
          <w:color w:val="000000"/>
          <w:sz w:val="24"/>
          <w:szCs w:val="24"/>
          <w:highlight w:val="none"/>
          <w:lang w:val="en-US" w:eastAsia="zh-CN"/>
        </w:rPr>
        <w:t>型、</w:t>
      </w:r>
      <w:r>
        <w:rPr>
          <w:rFonts w:hint="eastAsia" w:asciiTheme="minorEastAsia" w:hAnsiTheme="minorEastAsia" w:eastAsiaTheme="minorEastAsia" w:cstheme="minorEastAsia"/>
          <w:color w:val="000000"/>
          <w:sz w:val="24"/>
          <w:szCs w:val="24"/>
          <w:highlight w:val="none"/>
        </w:rPr>
        <w:t>6孔多功能</w:t>
      </w:r>
      <w:r>
        <w:rPr>
          <w:rFonts w:hint="eastAsia" w:asciiTheme="minorEastAsia" w:hAnsiTheme="minorEastAsia" w:eastAsiaTheme="minorEastAsia" w:cstheme="minorEastAsia"/>
          <w:color w:val="000000"/>
          <w:sz w:val="24"/>
          <w:szCs w:val="24"/>
          <w:highlight w:val="none"/>
          <w:lang w:val="en-US" w:eastAsia="zh-CN"/>
        </w:rPr>
        <w:t>型</w:t>
      </w:r>
      <w:r>
        <w:rPr>
          <w:rFonts w:hint="eastAsia" w:asciiTheme="minorEastAsia" w:hAnsiTheme="minorEastAsia" w:eastAsiaTheme="minorEastAsia" w:cstheme="minorEastAsia"/>
          <w:color w:val="000000"/>
          <w:sz w:val="24"/>
          <w:szCs w:val="24"/>
          <w:highlight w:val="none"/>
        </w:rPr>
        <w:t>，优质铜材，厚度达0.5mm以上，表面精细化镀镍处理；防铜锈，发热少、导电好，使用寿命长。弹性强劲，寿命长，插拔5000次不松动，使用寿命至少7年以上(按平均每天2次计算)双向阻燃，内芯750度高温不燃烧插孔面板及插孔座采用优质PC合金材料，阻燃性能强，750度高温不燃烧。强度高，抗摔抗冲击性能好。</w:t>
      </w:r>
    </w:p>
    <w:p w14:paraId="32C56D6B">
      <w:pPr>
        <w:pStyle w:val="38"/>
        <w:keepNext w:val="0"/>
        <w:keepLines w:val="0"/>
        <w:pageBreakBefore w:val="0"/>
        <w:widowControl/>
        <w:suppressLineNumbers w:val="0"/>
        <w:kinsoku/>
        <w:wordWrap/>
        <w:overflowPunct/>
        <w:topLinePunct w:val="0"/>
        <w:bidi w:val="0"/>
        <w:spacing w:before="0" w:beforeAutospacing="0" w:after="0" w:afterAutospacing="0" w:line="400" w:lineRule="exact"/>
        <w:ind w:left="0" w:leftChars="0" w:right="0" w:firstLine="0" w:firstLineChars="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5"/>
          <w:sz w:val="24"/>
          <w:szCs w:val="24"/>
          <w:lang w:eastAsia="zh-CN"/>
        </w:rPr>
        <w:t>（</w:t>
      </w:r>
      <w:r>
        <w:rPr>
          <w:rFonts w:hint="eastAsia" w:asciiTheme="minorEastAsia" w:hAnsiTheme="minorEastAsia" w:eastAsiaTheme="minorEastAsia" w:cstheme="minorEastAsia"/>
          <w:b/>
          <w:bCs/>
          <w:spacing w:val="15"/>
          <w:sz w:val="24"/>
          <w:szCs w:val="24"/>
          <w:lang w:val="en-US" w:eastAsia="zh-CN"/>
        </w:rPr>
        <w:t>四</w:t>
      </w:r>
      <w:r>
        <w:rPr>
          <w:rFonts w:hint="eastAsia" w:asciiTheme="minorEastAsia" w:hAnsiTheme="minorEastAsia" w:eastAsiaTheme="minorEastAsia" w:cstheme="minorEastAsia"/>
          <w:b/>
          <w:bCs/>
          <w:spacing w:val="15"/>
          <w:sz w:val="24"/>
          <w:szCs w:val="24"/>
          <w:lang w:eastAsia="zh-CN"/>
        </w:rPr>
        <w:t>）</w:t>
      </w:r>
      <w:r>
        <w:rPr>
          <w:rFonts w:hint="eastAsia" w:asciiTheme="minorEastAsia" w:hAnsiTheme="minorEastAsia" w:eastAsiaTheme="minorEastAsia" w:cstheme="minorEastAsia"/>
          <w:b/>
          <w:bCs/>
          <w:spacing w:val="15"/>
          <w:sz w:val="24"/>
          <w:szCs w:val="24"/>
        </w:rPr>
        <w:t>通风系统</w:t>
      </w:r>
    </w:p>
    <w:p w14:paraId="3673D188">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实验室通风系统需遵循国家的相关规章制度，设计方案需要遵循以下规范要求：</w:t>
      </w:r>
    </w:p>
    <w:p w14:paraId="76759217">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《通风与空调工程施工质量验收规范》（GBJ304-2015）；</w:t>
      </w:r>
    </w:p>
    <w:p w14:paraId="42854F0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《电气装置安装工程低压电器施工及验收规范》（GB50254-2014）；</w:t>
      </w:r>
    </w:p>
    <w:p w14:paraId="2B46A6C0">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《大气污染物综合排放标准》（GB16297-1996）；</w:t>
      </w:r>
    </w:p>
    <w:p w14:paraId="7408EA9A">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《环境空气质量标准》(GB3095-2012)；</w:t>
      </w:r>
    </w:p>
    <w:p w14:paraId="6FE420A0">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《民用建筑供暖通风与空气调节设计规范》（GB50736-2012）</w:t>
      </w:r>
    </w:p>
    <w:p w14:paraId="0C9426B5">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《低压配电设计规范》(GB50054-2011)</w:t>
      </w:r>
    </w:p>
    <w:p w14:paraId="2005942A">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1</w:t>
      </w:r>
      <w:r>
        <w:rPr>
          <w:rFonts w:hint="eastAsia" w:asciiTheme="minorEastAsia" w:hAnsiTheme="minorEastAsia" w:eastAsiaTheme="minorEastAsia" w:cstheme="minorEastAsia"/>
          <w:color w:val="000000"/>
          <w:sz w:val="24"/>
          <w:szCs w:val="24"/>
          <w:highlight w:val="none"/>
        </w:rPr>
        <w:t>、通风系统</w:t>
      </w:r>
      <w:r>
        <w:rPr>
          <w:rFonts w:hint="eastAsia" w:asciiTheme="minorEastAsia" w:hAnsiTheme="minorEastAsia" w:eastAsiaTheme="minorEastAsia" w:cstheme="minorEastAsia"/>
          <w:color w:val="000000"/>
          <w:sz w:val="24"/>
          <w:szCs w:val="24"/>
          <w:highlight w:val="none"/>
          <w:lang w:val="en-US" w:eastAsia="zh-CN"/>
        </w:rPr>
        <w:t>说明</w:t>
      </w:r>
    </w:p>
    <w:p w14:paraId="1F17A9C7">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1</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rPr>
        <w:t>风机</w:t>
      </w:r>
    </w:p>
    <w:p w14:paraId="1DDECA1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在本实验室通风系统中，采用耐腐蚀离心风机。玻璃钢离心风机需具备下列功能：</w:t>
      </w:r>
    </w:p>
    <w:p w14:paraId="7B60E4F3">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采用</w:t>
      </w:r>
      <w:r>
        <w:rPr>
          <w:rFonts w:hint="eastAsia" w:asciiTheme="minorEastAsia" w:hAnsiTheme="minorEastAsia" w:eastAsiaTheme="minorEastAsia" w:cstheme="minorEastAsia"/>
          <w:color w:val="000000"/>
          <w:sz w:val="24"/>
          <w:szCs w:val="24"/>
          <w:highlight w:val="none"/>
          <w:lang w:val="en-US" w:eastAsia="zh-CN"/>
        </w:rPr>
        <w:t>侧吸式</w:t>
      </w:r>
      <w:r>
        <w:rPr>
          <w:rFonts w:hint="eastAsia" w:asciiTheme="minorEastAsia" w:hAnsiTheme="minorEastAsia" w:eastAsiaTheme="minorEastAsia" w:cstheme="minorEastAsia"/>
          <w:color w:val="000000"/>
          <w:sz w:val="24"/>
          <w:szCs w:val="24"/>
          <w:highlight w:val="none"/>
        </w:rPr>
        <w:t>玻璃钢离心风机，</w:t>
      </w:r>
      <w:r>
        <w:rPr>
          <w:rFonts w:hint="eastAsia" w:asciiTheme="minorEastAsia" w:hAnsiTheme="minorEastAsia" w:eastAsiaTheme="minorEastAsia" w:cstheme="minorEastAsia"/>
          <w:color w:val="000000"/>
          <w:sz w:val="24"/>
          <w:szCs w:val="24"/>
          <w:highlight w:val="none"/>
          <w:lang w:val="en-US" w:eastAsia="zh-CN"/>
        </w:rPr>
        <w:t>卧式安装，与电机置于同一底座。</w:t>
      </w:r>
    </w:p>
    <w:p w14:paraId="41B393F5">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系统1</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rPr>
        <w:t>风机风量≥1</w:t>
      </w:r>
      <w:r>
        <w:rPr>
          <w:rFonts w:hint="eastAsia" w:asciiTheme="minorEastAsia" w:hAnsiTheme="minorEastAsia" w:eastAsiaTheme="minorEastAsia" w:cstheme="minorEastAsia"/>
          <w:color w:val="000000"/>
          <w:sz w:val="24"/>
          <w:szCs w:val="24"/>
          <w:highlight w:val="none"/>
          <w:lang w:val="en-US" w:eastAsia="zh-CN"/>
        </w:rPr>
        <w:t>80</w:t>
      </w:r>
      <w:r>
        <w:rPr>
          <w:rFonts w:hint="eastAsia" w:asciiTheme="minorEastAsia" w:hAnsiTheme="minorEastAsia" w:eastAsiaTheme="minorEastAsia" w:cstheme="minorEastAsia"/>
          <w:color w:val="000000"/>
          <w:sz w:val="24"/>
          <w:szCs w:val="24"/>
          <w:highlight w:val="none"/>
        </w:rPr>
        <w:t>00m3</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rPr>
        <w:t>全压≥</w:t>
      </w:r>
      <w:r>
        <w:rPr>
          <w:rFonts w:hint="eastAsia" w:asciiTheme="minorEastAsia" w:hAnsiTheme="minorEastAsia" w:eastAsiaTheme="minorEastAsia" w:cstheme="minorEastAsia"/>
          <w:color w:val="000000"/>
          <w:sz w:val="24"/>
          <w:szCs w:val="24"/>
          <w:highlight w:val="none"/>
          <w:lang w:val="en-US" w:eastAsia="zh-CN"/>
        </w:rPr>
        <w:t>15</w:t>
      </w:r>
      <w:r>
        <w:rPr>
          <w:rFonts w:hint="eastAsia" w:asciiTheme="minorEastAsia" w:hAnsiTheme="minorEastAsia" w:eastAsiaTheme="minorEastAsia" w:cstheme="minorEastAsia"/>
          <w:color w:val="000000"/>
          <w:sz w:val="24"/>
          <w:szCs w:val="24"/>
          <w:highlight w:val="none"/>
        </w:rPr>
        <w:t>00Pa</w:t>
      </w:r>
      <w:r>
        <w:rPr>
          <w:rFonts w:hint="eastAsia" w:asciiTheme="minorEastAsia" w:hAnsiTheme="minorEastAsia" w:eastAsiaTheme="minorEastAsia" w:cstheme="minorEastAsia"/>
          <w:color w:val="000000"/>
          <w:sz w:val="24"/>
          <w:szCs w:val="24"/>
          <w:highlight w:val="none"/>
          <w:lang w:eastAsia="zh-CN"/>
        </w:rPr>
        <w:t>，</w:t>
      </w:r>
    </w:p>
    <w:p w14:paraId="4716CE47">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系统2</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rPr>
        <w:t>风机风量≥2</w:t>
      </w:r>
      <w:r>
        <w:rPr>
          <w:rFonts w:hint="eastAsia" w:asciiTheme="minorEastAsia" w:hAnsiTheme="minorEastAsia" w:eastAsiaTheme="minorEastAsia" w:cstheme="minorEastAsia"/>
          <w:color w:val="000000"/>
          <w:sz w:val="24"/>
          <w:szCs w:val="24"/>
          <w:highlight w:val="none"/>
          <w:lang w:val="en-US" w:eastAsia="zh-CN"/>
        </w:rPr>
        <w:t>4</w:t>
      </w:r>
      <w:r>
        <w:rPr>
          <w:rFonts w:hint="eastAsia" w:asciiTheme="minorEastAsia" w:hAnsiTheme="minorEastAsia" w:eastAsiaTheme="minorEastAsia" w:cstheme="minorEastAsia"/>
          <w:color w:val="000000"/>
          <w:sz w:val="24"/>
          <w:szCs w:val="24"/>
          <w:highlight w:val="none"/>
        </w:rPr>
        <w:t>000m3</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rPr>
        <w:t>全压≥</w:t>
      </w:r>
      <w:r>
        <w:rPr>
          <w:rFonts w:hint="eastAsia" w:asciiTheme="minorEastAsia" w:hAnsiTheme="minorEastAsia" w:eastAsiaTheme="minorEastAsia" w:cstheme="minorEastAsia"/>
          <w:color w:val="000000"/>
          <w:sz w:val="24"/>
          <w:szCs w:val="24"/>
          <w:highlight w:val="none"/>
          <w:lang w:val="en-US" w:eastAsia="zh-CN"/>
        </w:rPr>
        <w:t>20</w:t>
      </w:r>
      <w:r>
        <w:rPr>
          <w:rFonts w:hint="eastAsia" w:asciiTheme="minorEastAsia" w:hAnsiTheme="minorEastAsia" w:eastAsiaTheme="minorEastAsia" w:cstheme="minorEastAsia"/>
          <w:color w:val="000000"/>
          <w:sz w:val="24"/>
          <w:szCs w:val="24"/>
          <w:highlight w:val="none"/>
        </w:rPr>
        <w:t>00Pa</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rPr>
        <w:t>（具体风量风压应根据上述设备使用工况条件进行核算，具有一定的裕量，并提供选型说明）；</w:t>
      </w:r>
    </w:p>
    <w:p w14:paraId="0E20C3AF">
      <w:pPr>
        <w:pageBreakBefore w:val="0"/>
        <w:numPr>
          <w:ilvl w:val="0"/>
          <w:numId w:val="8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离心风机外壳及叶轮采用玻璃钢；</w:t>
      </w:r>
    </w:p>
    <w:p w14:paraId="19FFC82C">
      <w:pPr>
        <w:pageBreakBefore w:val="0"/>
        <w:numPr>
          <w:ilvl w:val="0"/>
          <w:numId w:val="8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叶轮：外观应色泽均匀，表面光滑，无裂纹、缺口、毛刺等缺陷，不允许存在直径3mm以上的气泡；（提供检测报告盖厂家公章）</w:t>
      </w:r>
    </w:p>
    <w:p w14:paraId="04AF1149">
      <w:pPr>
        <w:pageBreakBefore w:val="0"/>
        <w:numPr>
          <w:ilvl w:val="0"/>
          <w:numId w:val="8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叶轮外缘:径向圆跳动≤1mm，端面圆跳动&lt;1mm；（提供检测报告盖厂家公章）</w:t>
      </w:r>
    </w:p>
    <w:p w14:paraId="4B36D411">
      <w:pPr>
        <w:pageBreakBefore w:val="0"/>
        <w:numPr>
          <w:ilvl w:val="0"/>
          <w:numId w:val="8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离心风机马达：采用优质</w:t>
      </w:r>
      <w:r>
        <w:rPr>
          <w:rFonts w:hint="eastAsia" w:asciiTheme="minorEastAsia" w:hAnsiTheme="minorEastAsia" w:eastAsiaTheme="minorEastAsia" w:cstheme="minorEastAsia"/>
          <w:color w:val="000000"/>
          <w:sz w:val="24"/>
          <w:szCs w:val="24"/>
          <w:highlight w:val="none"/>
          <w:lang w:val="en-US" w:eastAsia="zh-CN"/>
        </w:rPr>
        <w:t>防爆变频</w:t>
      </w:r>
      <w:r>
        <w:rPr>
          <w:rFonts w:hint="eastAsia" w:asciiTheme="minorEastAsia" w:hAnsiTheme="minorEastAsia" w:eastAsiaTheme="minorEastAsia" w:cstheme="minorEastAsia"/>
          <w:color w:val="000000"/>
          <w:sz w:val="24"/>
          <w:szCs w:val="24"/>
          <w:highlight w:val="none"/>
        </w:rPr>
        <w:t>电机，马达电源：3相、380V、50Hz、IP55、F级绝缘；</w:t>
      </w:r>
    </w:p>
    <w:p w14:paraId="11727302">
      <w:pPr>
        <w:pageBreakBefore w:val="0"/>
        <w:numPr>
          <w:ilvl w:val="0"/>
          <w:numId w:val="8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转子动平衡：符合JB/T 9101规范之G2.5等级；</w:t>
      </w:r>
    </w:p>
    <w:p w14:paraId="6EB2DD9A">
      <w:pPr>
        <w:pageBreakBefore w:val="0"/>
        <w:numPr>
          <w:ilvl w:val="0"/>
          <w:numId w:val="8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离心风机机组震动：符合JB/T 8689规范之4.5mm/s等级；</w:t>
      </w:r>
    </w:p>
    <w:p w14:paraId="5EEC60E4">
      <w:pPr>
        <w:pageBreakBefore w:val="0"/>
        <w:numPr>
          <w:ilvl w:val="0"/>
          <w:numId w:val="8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离心风机出厂需要有性能曲线检测报告</w:t>
      </w:r>
    </w:p>
    <w:p w14:paraId="2D4E0616">
      <w:pPr>
        <w:pageBreakBefore w:val="0"/>
        <w:numPr>
          <w:ilvl w:val="0"/>
          <w:numId w:val="8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获得AMCA认证并提供相应的证书以及CQC颁发的（中国节能产品认证证书）；明示效率（节能评价值）不小于86；（提供检测报告盖厂家公章）</w:t>
      </w:r>
    </w:p>
    <w:p w14:paraId="254C4C1E">
      <w:pPr>
        <w:pageBreakBefore w:val="0"/>
        <w:numPr>
          <w:ilvl w:val="0"/>
          <w:numId w:val="8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防爆风机提供国家CNEX防爆认证；（提供检测报告盖厂家公章）</w:t>
      </w:r>
    </w:p>
    <w:p w14:paraId="7B10D15E">
      <w:pPr>
        <w:pageBreakBefore w:val="0"/>
        <w:numPr>
          <w:ilvl w:val="0"/>
          <w:numId w:val="8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提供高效节能实验室风机检测报告（符合CMA/CNAS要求）；（提供检测报告盖厂家公章）</w:t>
      </w:r>
    </w:p>
    <w:p w14:paraId="73040206">
      <w:pPr>
        <w:pageBreakBefore w:val="0"/>
        <w:numPr>
          <w:ilvl w:val="0"/>
          <w:numId w:val="8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sz w:val="24"/>
          <w:szCs w:val="24"/>
        </w:rPr>
        <w:t>SFP表面玻璃钢性能：参照GB3836.1-2010检测，表面电阻值为1*10的7次方Ω；符合CMA/CNAS要求（提供检测报告盖厂家公章）</w:t>
      </w:r>
    </w:p>
    <w:p w14:paraId="7BCE8B53">
      <w:pPr>
        <w:pageBreakBefore w:val="0"/>
        <w:numPr>
          <w:ilvl w:val="0"/>
          <w:numId w:val="8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风机能源效率按照GB19761-2020的规定，由国家能效标识网备案，达到一级效率（提供检测报告盖厂家公章）</w:t>
      </w:r>
    </w:p>
    <w:p w14:paraId="68178CC5">
      <w:pPr>
        <w:pageBreakBefore w:val="0"/>
        <w:numPr>
          <w:ilvl w:val="0"/>
          <w:numId w:val="8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风机防腐等级要求满足WF2要求，测试依据标准JB/T9536-2013通过防腐等级WF2认证,</w:t>
      </w:r>
    </w:p>
    <w:p w14:paraId="3B6B3918">
      <w:pPr>
        <w:pageBreakBefore w:val="0"/>
        <w:numPr>
          <w:ilvl w:val="0"/>
          <w:numId w:val="6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通风系统设计：</w:t>
      </w:r>
    </w:p>
    <w:p w14:paraId="11F8A0A7">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本通风项目主要采用</w:t>
      </w:r>
      <w:r>
        <w:rPr>
          <w:rFonts w:hint="eastAsia" w:asciiTheme="minorEastAsia" w:hAnsiTheme="minorEastAsia" w:eastAsiaTheme="minorEastAsia" w:cstheme="minorEastAsia"/>
          <w:color w:val="000000"/>
          <w:sz w:val="24"/>
          <w:szCs w:val="24"/>
          <w:highlight w:val="none"/>
          <w:lang w:val="en-US" w:eastAsia="zh-CN"/>
        </w:rPr>
        <w:fldChar w:fldCharType="begin"/>
      </w:r>
      <w:r>
        <w:rPr>
          <w:rFonts w:hint="eastAsia" w:asciiTheme="minorEastAsia" w:hAnsiTheme="minorEastAsia" w:eastAsiaTheme="minorEastAsia" w:cstheme="minorEastAsia"/>
          <w:color w:val="000000"/>
          <w:sz w:val="24"/>
          <w:szCs w:val="24"/>
          <w:highlight w:val="none"/>
          <w:lang w:val="en-US" w:eastAsia="zh-CN"/>
        </w:rPr>
        <w:instrText xml:space="preserve"> HYPERLINK "https://www.so.com/link?m=bJx9FQaF6YAc33qcG4EKNkqp06UBf7UdiU1MDP8aIQiEyqTBRKIYbQXCYzktpHKAGzflrC2cIoWemeNFuZ7zxBJ2RdVewxR4B5Thj8Gi/vAiMoiLI2HEMy/9rbcxa26vTUXcVT+cWSsNrYFrCc7swC0/lQ8ROboPYpJ5O1iZFSQk=" </w:instrText>
      </w:r>
      <w:r>
        <w:rPr>
          <w:rFonts w:hint="eastAsia" w:asciiTheme="minorEastAsia" w:hAnsiTheme="minorEastAsia" w:eastAsiaTheme="minorEastAsia" w:cstheme="minorEastAsia"/>
          <w:color w:val="000000"/>
          <w:sz w:val="24"/>
          <w:szCs w:val="24"/>
          <w:highlight w:val="none"/>
          <w:lang w:val="en-US" w:eastAsia="zh-CN"/>
        </w:rPr>
        <w:fldChar w:fldCharType="separate"/>
      </w:r>
      <w:r>
        <w:rPr>
          <w:rFonts w:hint="eastAsia" w:asciiTheme="minorEastAsia" w:hAnsiTheme="minorEastAsia" w:eastAsiaTheme="minorEastAsia" w:cstheme="minorEastAsia"/>
          <w:color w:val="000000"/>
          <w:sz w:val="24"/>
          <w:szCs w:val="24"/>
          <w:highlight w:val="none"/>
          <w:lang w:val="en-US" w:eastAsia="zh-CN"/>
        </w:rPr>
        <w:t>通风变频控制系统</w:t>
      </w:r>
      <w:r>
        <w:rPr>
          <w:rFonts w:hint="eastAsia" w:asciiTheme="minorEastAsia" w:hAnsiTheme="minorEastAsia" w:eastAsiaTheme="minorEastAsia" w:cstheme="minorEastAsia"/>
          <w:color w:val="000000"/>
          <w:sz w:val="24"/>
          <w:szCs w:val="24"/>
          <w:highlight w:val="none"/>
          <w:lang w:val="en-US" w:eastAsia="zh-CN"/>
        </w:rPr>
        <w:fldChar w:fldCharType="end"/>
      </w:r>
      <w:r>
        <w:rPr>
          <w:rFonts w:hint="eastAsia" w:asciiTheme="minorEastAsia" w:hAnsiTheme="minorEastAsia" w:eastAsiaTheme="minorEastAsia" w:cstheme="minorEastAsia"/>
          <w:color w:val="000000"/>
          <w:sz w:val="24"/>
          <w:szCs w:val="24"/>
          <w:highlight w:val="none"/>
          <w:lang w:val="en-US" w:eastAsia="zh-CN"/>
        </w:rPr>
        <w:t>通风方式；</w:t>
      </w:r>
    </w:p>
    <w:p w14:paraId="0200EFBC">
      <w:pPr>
        <w:pageBreakBefore w:val="0"/>
        <w:numPr>
          <w:ilvl w:val="0"/>
          <w:numId w:val="9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在同房间各通风设备尽量经同一管路进行排放，为排除实验中产生的有害气体，实验室的通风设备尽可能布置在同一个方向上，并共用一个通风管排风；</w:t>
      </w:r>
    </w:p>
    <w:p w14:paraId="001B0E10">
      <w:pPr>
        <w:pageBreakBefore w:val="0"/>
        <w:numPr>
          <w:ilvl w:val="0"/>
          <w:numId w:val="9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为了减少系统阻力及减少室内噪声，务必把风管加大以减少风速；</w:t>
      </w:r>
    </w:p>
    <w:p w14:paraId="50BFB7D8">
      <w:pPr>
        <w:pageBreakBefore w:val="0"/>
        <w:numPr>
          <w:ilvl w:val="0"/>
          <w:numId w:val="9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为了保证各入口处的风量符合设 计要求，各系统的每个排风口均设电动风阀进行风量调节；</w:t>
      </w:r>
    </w:p>
    <w:p w14:paraId="53E5509F">
      <w:pPr>
        <w:pageBreakBefore w:val="0"/>
        <w:numPr>
          <w:ilvl w:val="0"/>
          <w:numId w:val="9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本设计所选用风管采用阻燃性能PP板材焊接，同时具有耐低温和抗老化等性能，且外形美观，支、吊架圆管采用不锈钢条抱箍风管，方管采用经防锈处理的吊杆紧固角钢来支撑风管；</w:t>
      </w:r>
    </w:p>
    <w:p w14:paraId="7C117E44">
      <w:pPr>
        <w:pageBreakBefore w:val="0"/>
        <w:numPr>
          <w:ilvl w:val="0"/>
          <w:numId w:val="9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风机、消声器等均安装在楼顶，通过风管把同一系统的通风系统连接到楼顶进入到风机，由风机排放到大气中；</w:t>
      </w:r>
    </w:p>
    <w:p w14:paraId="445D650D">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通风系统中的各房间的万向排气罩或原子吸收罩的控制，在各间内墙壁均安装电动风阀开启开关，通过开关的开启来进行控制，只有当所有开关同时关闭时风机才停止运行；</w:t>
      </w:r>
    </w:p>
    <w:p w14:paraId="3DAB4FEB">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每个通风口均设有手动风阀，排风风机可手动或通过关闭、开启风阀控制开关及风量，且通过关闭或开启风阀的角度来调节风机转速，从而保证各风口风量大小；</w:t>
      </w:r>
    </w:p>
    <w:p w14:paraId="4CE4BAA4">
      <w:pPr>
        <w:pageBreakBefore w:val="0"/>
        <w:numPr>
          <w:ilvl w:val="0"/>
          <w:numId w:val="6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通排风管线风管及部件的制作、安装风管及部件制作的一般规定：</w:t>
      </w:r>
    </w:p>
    <w:p w14:paraId="38325B28">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color w:val="000000"/>
          <w:sz w:val="24"/>
          <w:szCs w:val="24"/>
          <w:highlight w:val="none"/>
          <w:lang w:val="en-US" w:eastAsia="zh-CN"/>
        </w:rPr>
      </w:pPr>
      <w:r>
        <w:rPr>
          <w:rFonts w:hint="eastAsia" w:asciiTheme="minorEastAsia" w:hAnsiTheme="minorEastAsia" w:eastAsiaTheme="minorEastAsia" w:cstheme="minorEastAsia"/>
          <w:b/>
          <w:bCs/>
          <w:color w:val="000000"/>
          <w:sz w:val="24"/>
          <w:szCs w:val="24"/>
          <w:highlight w:val="none"/>
          <w:lang w:val="en-US" w:eastAsia="zh-CN"/>
        </w:rPr>
        <w:t>室外风管、法兰统一用10mm厚的PP板制作，室外风管、法兰按风压要求用6mm-10mm厚的PP板制作，通风柜与支管的连接用PP材质圆管。</w:t>
      </w:r>
    </w:p>
    <w:p w14:paraId="0886019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硬聚乙烯圆形风管的法兰规格（mm）：</w:t>
      </w:r>
    </w:p>
    <w:tbl>
      <w:tblPr>
        <w:tblStyle w:val="43"/>
        <w:tblW w:w="0" w:type="auto"/>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604"/>
        <w:gridCol w:w="1320"/>
        <w:gridCol w:w="1155"/>
        <w:gridCol w:w="2355"/>
        <w:gridCol w:w="1635"/>
        <w:gridCol w:w="1429"/>
      </w:tblGrid>
      <w:tr w14:paraId="06581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82" w:hRule="atLeast"/>
        </w:trPr>
        <w:tc>
          <w:tcPr>
            <w:tcW w:w="1604" w:type="dxa"/>
            <w:shd w:val="clear" w:color="auto" w:fill="FFFFFF"/>
            <w:tcMar>
              <w:top w:w="0" w:type="dxa"/>
              <w:left w:w="45" w:type="dxa"/>
              <w:bottom w:w="0" w:type="dxa"/>
              <w:right w:w="45" w:type="dxa"/>
            </w:tcMar>
            <w:vAlign w:val="center"/>
          </w:tcPr>
          <w:p w14:paraId="72BBB1BC">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风管边长b</w:t>
            </w:r>
          </w:p>
        </w:tc>
        <w:tc>
          <w:tcPr>
            <w:tcW w:w="1320" w:type="dxa"/>
            <w:shd w:val="clear" w:color="auto" w:fill="FFFFFF"/>
            <w:tcMar>
              <w:top w:w="0" w:type="dxa"/>
              <w:left w:w="45" w:type="dxa"/>
              <w:bottom w:w="0" w:type="dxa"/>
              <w:right w:w="45" w:type="dxa"/>
            </w:tcMar>
            <w:vAlign w:val="center"/>
          </w:tcPr>
          <w:p w14:paraId="451C5019">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材料规格</w:t>
            </w:r>
          </w:p>
          <w:p w14:paraId="00B88778">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（宽×厚）</w:t>
            </w:r>
          </w:p>
        </w:tc>
        <w:tc>
          <w:tcPr>
            <w:tcW w:w="1155" w:type="dxa"/>
            <w:shd w:val="clear" w:color="auto" w:fill="FFFFFF"/>
            <w:tcMar>
              <w:top w:w="0" w:type="dxa"/>
              <w:left w:w="45" w:type="dxa"/>
              <w:bottom w:w="0" w:type="dxa"/>
              <w:right w:w="45" w:type="dxa"/>
            </w:tcMar>
            <w:vAlign w:val="center"/>
          </w:tcPr>
          <w:p w14:paraId="44771A14">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连接螺栓</w:t>
            </w:r>
          </w:p>
        </w:tc>
        <w:tc>
          <w:tcPr>
            <w:tcW w:w="2355" w:type="dxa"/>
            <w:shd w:val="clear" w:color="auto" w:fill="FFFFFF"/>
            <w:tcMar>
              <w:top w:w="0" w:type="dxa"/>
              <w:left w:w="45" w:type="dxa"/>
              <w:bottom w:w="0" w:type="dxa"/>
              <w:right w:w="45" w:type="dxa"/>
            </w:tcMar>
            <w:vAlign w:val="center"/>
          </w:tcPr>
          <w:p w14:paraId="4DB36CB5">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风管边长b</w:t>
            </w:r>
          </w:p>
        </w:tc>
        <w:tc>
          <w:tcPr>
            <w:tcW w:w="1635" w:type="dxa"/>
            <w:shd w:val="clear" w:color="auto" w:fill="FFFFFF"/>
            <w:tcMar>
              <w:top w:w="0" w:type="dxa"/>
              <w:left w:w="45" w:type="dxa"/>
              <w:bottom w:w="0" w:type="dxa"/>
              <w:right w:w="45" w:type="dxa"/>
            </w:tcMar>
            <w:vAlign w:val="center"/>
          </w:tcPr>
          <w:p w14:paraId="2F2376F0">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材料规格</w:t>
            </w:r>
          </w:p>
          <w:p w14:paraId="5DEC3D5B">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（宽×厚）</w:t>
            </w:r>
          </w:p>
        </w:tc>
        <w:tc>
          <w:tcPr>
            <w:tcW w:w="1429" w:type="dxa"/>
            <w:shd w:val="clear" w:color="auto" w:fill="FFFFFF"/>
            <w:tcMar>
              <w:top w:w="0" w:type="dxa"/>
              <w:left w:w="45" w:type="dxa"/>
              <w:bottom w:w="0" w:type="dxa"/>
              <w:right w:w="45" w:type="dxa"/>
            </w:tcMar>
            <w:vAlign w:val="center"/>
          </w:tcPr>
          <w:p w14:paraId="7F33B079">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连接螺栓</w:t>
            </w:r>
          </w:p>
        </w:tc>
      </w:tr>
      <w:tr w14:paraId="35951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11" w:hRule="atLeast"/>
        </w:trPr>
        <w:tc>
          <w:tcPr>
            <w:tcW w:w="1604" w:type="dxa"/>
            <w:shd w:val="clear" w:color="auto" w:fill="FFFFFF"/>
            <w:tcMar>
              <w:top w:w="0" w:type="dxa"/>
              <w:left w:w="45" w:type="dxa"/>
              <w:bottom w:w="0" w:type="dxa"/>
              <w:right w:w="45" w:type="dxa"/>
            </w:tcMar>
            <w:vAlign w:val="center"/>
          </w:tcPr>
          <w:p w14:paraId="44ADA0D3">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b≤160</w:t>
            </w:r>
          </w:p>
        </w:tc>
        <w:tc>
          <w:tcPr>
            <w:tcW w:w="1320" w:type="dxa"/>
            <w:shd w:val="clear" w:color="auto" w:fill="FFFFFF"/>
            <w:tcMar>
              <w:top w:w="0" w:type="dxa"/>
              <w:left w:w="45" w:type="dxa"/>
              <w:bottom w:w="0" w:type="dxa"/>
              <w:right w:w="45" w:type="dxa"/>
            </w:tcMar>
            <w:vAlign w:val="center"/>
          </w:tcPr>
          <w:p w14:paraId="4453656A">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35×6</w:t>
            </w:r>
          </w:p>
        </w:tc>
        <w:tc>
          <w:tcPr>
            <w:tcW w:w="1155" w:type="dxa"/>
            <w:shd w:val="clear" w:color="auto" w:fill="FFFFFF"/>
            <w:tcMar>
              <w:top w:w="0" w:type="dxa"/>
              <w:left w:w="45" w:type="dxa"/>
              <w:bottom w:w="0" w:type="dxa"/>
              <w:right w:w="45" w:type="dxa"/>
            </w:tcMar>
            <w:vAlign w:val="center"/>
          </w:tcPr>
          <w:p w14:paraId="153062CC">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M6</w:t>
            </w:r>
          </w:p>
        </w:tc>
        <w:tc>
          <w:tcPr>
            <w:tcW w:w="2355" w:type="dxa"/>
            <w:shd w:val="clear" w:color="auto" w:fill="FFFFFF"/>
            <w:tcMar>
              <w:top w:w="0" w:type="dxa"/>
              <w:left w:w="45" w:type="dxa"/>
              <w:bottom w:w="0" w:type="dxa"/>
              <w:right w:w="45" w:type="dxa"/>
            </w:tcMar>
            <w:vAlign w:val="center"/>
          </w:tcPr>
          <w:p w14:paraId="08C329EA">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800＜b≤1250</w:t>
            </w:r>
          </w:p>
        </w:tc>
        <w:tc>
          <w:tcPr>
            <w:tcW w:w="1635" w:type="dxa"/>
            <w:shd w:val="clear" w:color="auto" w:fill="FFFFFF"/>
            <w:tcMar>
              <w:top w:w="0" w:type="dxa"/>
              <w:left w:w="45" w:type="dxa"/>
              <w:bottom w:w="0" w:type="dxa"/>
              <w:right w:w="45" w:type="dxa"/>
            </w:tcMar>
            <w:vAlign w:val="center"/>
          </w:tcPr>
          <w:p w14:paraId="2FEBBEA2">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45×12</w:t>
            </w:r>
          </w:p>
        </w:tc>
        <w:tc>
          <w:tcPr>
            <w:tcW w:w="1429" w:type="dxa"/>
            <w:vMerge w:val="restart"/>
            <w:shd w:val="clear" w:color="auto" w:fill="FFFFFF"/>
            <w:tcMar>
              <w:top w:w="0" w:type="dxa"/>
              <w:left w:w="45" w:type="dxa"/>
              <w:bottom w:w="0" w:type="dxa"/>
              <w:right w:w="45" w:type="dxa"/>
            </w:tcMar>
            <w:vAlign w:val="center"/>
          </w:tcPr>
          <w:p w14:paraId="70FA496C">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 </w:t>
            </w:r>
          </w:p>
          <w:p w14:paraId="54714917">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Ｍ10</w:t>
            </w:r>
          </w:p>
        </w:tc>
      </w:tr>
      <w:tr w14:paraId="1A19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82" w:hRule="atLeast"/>
        </w:trPr>
        <w:tc>
          <w:tcPr>
            <w:tcW w:w="1604" w:type="dxa"/>
            <w:shd w:val="clear" w:color="auto" w:fill="FFFFFF"/>
            <w:tcMar>
              <w:top w:w="0" w:type="dxa"/>
              <w:left w:w="45" w:type="dxa"/>
              <w:bottom w:w="0" w:type="dxa"/>
              <w:right w:w="45" w:type="dxa"/>
            </w:tcMar>
            <w:vAlign w:val="center"/>
          </w:tcPr>
          <w:p w14:paraId="46860322">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160＜b≤400</w:t>
            </w:r>
          </w:p>
        </w:tc>
        <w:tc>
          <w:tcPr>
            <w:tcW w:w="1320" w:type="dxa"/>
            <w:shd w:val="clear" w:color="auto" w:fill="FFFFFF"/>
            <w:tcMar>
              <w:top w:w="0" w:type="dxa"/>
              <w:left w:w="45" w:type="dxa"/>
              <w:bottom w:w="0" w:type="dxa"/>
              <w:right w:w="45" w:type="dxa"/>
            </w:tcMar>
            <w:vAlign w:val="center"/>
          </w:tcPr>
          <w:p w14:paraId="60EC6277">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35×8</w:t>
            </w:r>
          </w:p>
        </w:tc>
        <w:tc>
          <w:tcPr>
            <w:tcW w:w="1155" w:type="dxa"/>
            <w:vMerge w:val="restart"/>
            <w:shd w:val="clear" w:color="auto" w:fill="FFFFFF"/>
            <w:tcMar>
              <w:top w:w="0" w:type="dxa"/>
              <w:left w:w="45" w:type="dxa"/>
              <w:bottom w:w="0" w:type="dxa"/>
              <w:right w:w="45" w:type="dxa"/>
            </w:tcMar>
            <w:vAlign w:val="center"/>
          </w:tcPr>
          <w:p w14:paraId="6256506B">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M8</w:t>
            </w:r>
          </w:p>
        </w:tc>
        <w:tc>
          <w:tcPr>
            <w:tcW w:w="2355" w:type="dxa"/>
            <w:shd w:val="clear" w:color="auto" w:fill="FFFFFF"/>
            <w:tcMar>
              <w:top w:w="0" w:type="dxa"/>
              <w:left w:w="45" w:type="dxa"/>
              <w:bottom w:w="0" w:type="dxa"/>
              <w:right w:w="45" w:type="dxa"/>
            </w:tcMar>
            <w:vAlign w:val="center"/>
          </w:tcPr>
          <w:p w14:paraId="569EE855">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1250＜b≤1600</w:t>
            </w:r>
          </w:p>
        </w:tc>
        <w:tc>
          <w:tcPr>
            <w:tcW w:w="1635" w:type="dxa"/>
            <w:shd w:val="clear" w:color="auto" w:fill="FFFFFF"/>
            <w:tcMar>
              <w:top w:w="0" w:type="dxa"/>
              <w:left w:w="45" w:type="dxa"/>
              <w:bottom w:w="0" w:type="dxa"/>
              <w:right w:w="45" w:type="dxa"/>
            </w:tcMar>
            <w:vAlign w:val="center"/>
          </w:tcPr>
          <w:p w14:paraId="272110C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50×15</w:t>
            </w:r>
          </w:p>
        </w:tc>
        <w:tc>
          <w:tcPr>
            <w:tcW w:w="1429" w:type="dxa"/>
            <w:vMerge w:val="continue"/>
            <w:shd w:val="clear" w:color="auto" w:fill="FFFFFF"/>
            <w:tcMar>
              <w:top w:w="0" w:type="dxa"/>
              <w:left w:w="45" w:type="dxa"/>
              <w:bottom w:w="0" w:type="dxa"/>
              <w:right w:w="45" w:type="dxa"/>
            </w:tcMar>
            <w:vAlign w:val="center"/>
          </w:tcPr>
          <w:p w14:paraId="068E7557">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p>
        </w:tc>
      </w:tr>
      <w:tr w14:paraId="1C81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37" w:hRule="atLeast"/>
        </w:trPr>
        <w:tc>
          <w:tcPr>
            <w:tcW w:w="1604" w:type="dxa"/>
            <w:shd w:val="clear" w:color="auto" w:fill="FFFFFF"/>
            <w:tcMar>
              <w:top w:w="0" w:type="dxa"/>
              <w:left w:w="0" w:type="dxa"/>
              <w:bottom w:w="0" w:type="dxa"/>
              <w:right w:w="0" w:type="dxa"/>
            </w:tcMar>
            <w:vAlign w:val="center"/>
          </w:tcPr>
          <w:p w14:paraId="356ECB93">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400＜b≤500</w:t>
            </w:r>
          </w:p>
        </w:tc>
        <w:tc>
          <w:tcPr>
            <w:tcW w:w="1320" w:type="dxa"/>
            <w:shd w:val="clear" w:color="auto" w:fill="FFFFFF"/>
            <w:tcMar>
              <w:top w:w="0" w:type="dxa"/>
              <w:left w:w="0" w:type="dxa"/>
              <w:bottom w:w="0" w:type="dxa"/>
              <w:right w:w="0" w:type="dxa"/>
            </w:tcMar>
            <w:vAlign w:val="center"/>
          </w:tcPr>
          <w:p w14:paraId="453FA137">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35×10</w:t>
            </w:r>
          </w:p>
        </w:tc>
        <w:tc>
          <w:tcPr>
            <w:tcW w:w="1155" w:type="dxa"/>
            <w:vMerge w:val="continue"/>
            <w:shd w:val="clear" w:color="auto" w:fill="FFFFFF"/>
            <w:tcMar>
              <w:top w:w="0" w:type="dxa"/>
              <w:left w:w="45" w:type="dxa"/>
              <w:bottom w:w="0" w:type="dxa"/>
              <w:right w:w="45" w:type="dxa"/>
            </w:tcMar>
            <w:vAlign w:val="center"/>
          </w:tcPr>
          <w:p w14:paraId="554A572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p>
        </w:tc>
        <w:tc>
          <w:tcPr>
            <w:tcW w:w="2355" w:type="dxa"/>
            <w:shd w:val="clear" w:color="auto" w:fill="FFFFFF"/>
            <w:tcMar>
              <w:top w:w="0" w:type="dxa"/>
              <w:left w:w="0" w:type="dxa"/>
              <w:bottom w:w="0" w:type="dxa"/>
              <w:right w:w="0" w:type="dxa"/>
            </w:tcMar>
            <w:vAlign w:val="center"/>
          </w:tcPr>
          <w:p w14:paraId="520F05A4">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1600＜b≤2000</w:t>
            </w:r>
          </w:p>
        </w:tc>
        <w:tc>
          <w:tcPr>
            <w:tcW w:w="1635" w:type="dxa"/>
            <w:shd w:val="clear" w:color="auto" w:fill="FFFFFF"/>
            <w:tcMar>
              <w:top w:w="0" w:type="dxa"/>
              <w:left w:w="0" w:type="dxa"/>
              <w:bottom w:w="0" w:type="dxa"/>
              <w:right w:w="0" w:type="dxa"/>
            </w:tcMar>
            <w:vAlign w:val="center"/>
          </w:tcPr>
          <w:p w14:paraId="2FA557B2">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60×18</w:t>
            </w:r>
          </w:p>
        </w:tc>
        <w:tc>
          <w:tcPr>
            <w:tcW w:w="1429" w:type="dxa"/>
            <w:vMerge w:val="continue"/>
            <w:shd w:val="clear" w:color="auto" w:fill="FFFFFF"/>
            <w:tcMar>
              <w:top w:w="0" w:type="dxa"/>
              <w:left w:w="45" w:type="dxa"/>
              <w:bottom w:w="0" w:type="dxa"/>
              <w:right w:w="45" w:type="dxa"/>
            </w:tcMar>
            <w:vAlign w:val="center"/>
          </w:tcPr>
          <w:p w14:paraId="761FE563">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p>
        </w:tc>
      </w:tr>
      <w:tr w14:paraId="4E48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32" w:hRule="atLeast"/>
        </w:trPr>
        <w:tc>
          <w:tcPr>
            <w:tcW w:w="1604" w:type="dxa"/>
            <w:shd w:val="clear" w:color="auto" w:fill="FFFFFF"/>
            <w:tcMar>
              <w:top w:w="0" w:type="dxa"/>
              <w:left w:w="45" w:type="dxa"/>
              <w:bottom w:w="0" w:type="dxa"/>
              <w:right w:w="45" w:type="dxa"/>
            </w:tcMar>
            <w:vAlign w:val="center"/>
          </w:tcPr>
          <w:p w14:paraId="6B0FC505">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500＜b≤800</w:t>
            </w:r>
          </w:p>
        </w:tc>
        <w:tc>
          <w:tcPr>
            <w:tcW w:w="1320" w:type="dxa"/>
            <w:shd w:val="clear" w:color="auto" w:fill="FFFFFF"/>
            <w:tcMar>
              <w:top w:w="0" w:type="dxa"/>
              <w:left w:w="45" w:type="dxa"/>
              <w:bottom w:w="0" w:type="dxa"/>
              <w:right w:w="45" w:type="dxa"/>
            </w:tcMar>
            <w:vAlign w:val="center"/>
          </w:tcPr>
          <w:p w14:paraId="1EDCD6F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40×10</w:t>
            </w:r>
          </w:p>
        </w:tc>
        <w:tc>
          <w:tcPr>
            <w:tcW w:w="1155" w:type="dxa"/>
            <w:shd w:val="clear" w:color="auto" w:fill="FFFFFF"/>
            <w:tcMar>
              <w:top w:w="0" w:type="dxa"/>
              <w:left w:w="45" w:type="dxa"/>
              <w:bottom w:w="0" w:type="dxa"/>
              <w:right w:w="45" w:type="dxa"/>
            </w:tcMar>
            <w:vAlign w:val="center"/>
          </w:tcPr>
          <w:p w14:paraId="76303370">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M10</w:t>
            </w:r>
          </w:p>
        </w:tc>
        <w:tc>
          <w:tcPr>
            <w:tcW w:w="2355" w:type="dxa"/>
            <w:shd w:val="clear" w:color="auto" w:fill="FFFFFF"/>
            <w:tcMar>
              <w:top w:w="0" w:type="dxa"/>
              <w:left w:w="45" w:type="dxa"/>
              <w:bottom w:w="0" w:type="dxa"/>
              <w:right w:w="45" w:type="dxa"/>
            </w:tcMar>
            <w:vAlign w:val="center"/>
          </w:tcPr>
          <w:p w14:paraId="74202A0D">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b＞2000</w:t>
            </w:r>
          </w:p>
        </w:tc>
        <w:tc>
          <w:tcPr>
            <w:tcW w:w="3064" w:type="dxa"/>
            <w:gridSpan w:val="2"/>
            <w:shd w:val="clear" w:color="auto" w:fill="FFFFFF"/>
            <w:tcMar>
              <w:top w:w="0" w:type="dxa"/>
              <w:left w:w="45" w:type="dxa"/>
              <w:bottom w:w="0" w:type="dxa"/>
              <w:right w:w="45" w:type="dxa"/>
            </w:tcMar>
            <w:vAlign w:val="center"/>
          </w:tcPr>
          <w:p w14:paraId="33500C04">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按设、计</w:t>
            </w:r>
          </w:p>
        </w:tc>
      </w:tr>
    </w:tbl>
    <w:p w14:paraId="09558AFB">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管系统类别划分：</w:t>
      </w:r>
    </w:p>
    <w:tbl>
      <w:tblPr>
        <w:tblStyle w:val="43"/>
        <w:tblW w:w="0" w:type="auto"/>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2008"/>
        <w:gridCol w:w="3593"/>
        <w:gridCol w:w="3857"/>
      </w:tblGrid>
      <w:tr w14:paraId="1C416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87" w:hRule="atLeast"/>
        </w:trPr>
        <w:tc>
          <w:tcPr>
            <w:tcW w:w="2008" w:type="dxa"/>
            <w:shd w:val="clear" w:color="auto" w:fill="FFFFFF"/>
            <w:tcMar>
              <w:top w:w="0" w:type="dxa"/>
              <w:left w:w="45" w:type="dxa"/>
              <w:bottom w:w="0" w:type="dxa"/>
              <w:right w:w="45" w:type="dxa"/>
            </w:tcMar>
            <w:vAlign w:val="top"/>
          </w:tcPr>
          <w:p w14:paraId="1E18BFCA">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系统类别</w:t>
            </w:r>
          </w:p>
        </w:tc>
        <w:tc>
          <w:tcPr>
            <w:tcW w:w="3593" w:type="dxa"/>
            <w:shd w:val="clear" w:color="auto" w:fill="FFFFFF"/>
            <w:tcMar>
              <w:top w:w="0" w:type="dxa"/>
              <w:left w:w="45" w:type="dxa"/>
              <w:bottom w:w="0" w:type="dxa"/>
              <w:right w:w="45" w:type="dxa"/>
            </w:tcMar>
            <w:vAlign w:val="top"/>
          </w:tcPr>
          <w:p w14:paraId="6951355C">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系统工作压力</w:t>
            </w:r>
          </w:p>
        </w:tc>
        <w:tc>
          <w:tcPr>
            <w:tcW w:w="3857" w:type="dxa"/>
            <w:shd w:val="clear" w:color="auto" w:fill="FFFFFF"/>
            <w:tcMar>
              <w:top w:w="0" w:type="dxa"/>
              <w:left w:w="45" w:type="dxa"/>
              <w:bottom w:w="0" w:type="dxa"/>
              <w:right w:w="45" w:type="dxa"/>
            </w:tcMar>
            <w:vAlign w:val="top"/>
          </w:tcPr>
          <w:p w14:paraId="11BBD54A">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密封要求</w:t>
            </w:r>
          </w:p>
        </w:tc>
      </w:tr>
      <w:tr w14:paraId="3D948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7" w:hRule="atLeast"/>
        </w:trPr>
        <w:tc>
          <w:tcPr>
            <w:tcW w:w="2008" w:type="dxa"/>
            <w:shd w:val="clear" w:color="auto" w:fill="FFFFFF"/>
            <w:tcMar>
              <w:top w:w="0" w:type="dxa"/>
              <w:left w:w="45" w:type="dxa"/>
              <w:bottom w:w="0" w:type="dxa"/>
              <w:right w:w="45" w:type="dxa"/>
            </w:tcMar>
            <w:vAlign w:val="top"/>
          </w:tcPr>
          <w:p w14:paraId="7FB7483C">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低压系统</w:t>
            </w:r>
          </w:p>
        </w:tc>
        <w:tc>
          <w:tcPr>
            <w:tcW w:w="3593" w:type="dxa"/>
            <w:shd w:val="clear" w:color="auto" w:fill="FFFFFF"/>
            <w:tcMar>
              <w:top w:w="0" w:type="dxa"/>
              <w:left w:w="45" w:type="dxa"/>
              <w:bottom w:w="0" w:type="dxa"/>
              <w:right w:w="45" w:type="dxa"/>
            </w:tcMar>
            <w:vAlign w:val="top"/>
          </w:tcPr>
          <w:p w14:paraId="2088428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P≤500Pa</w:t>
            </w:r>
          </w:p>
        </w:tc>
        <w:tc>
          <w:tcPr>
            <w:tcW w:w="3857" w:type="dxa"/>
            <w:shd w:val="clear" w:color="auto" w:fill="FFFFFF"/>
            <w:tcMar>
              <w:top w:w="0" w:type="dxa"/>
              <w:left w:w="45" w:type="dxa"/>
              <w:bottom w:w="0" w:type="dxa"/>
              <w:right w:w="45" w:type="dxa"/>
            </w:tcMar>
            <w:vAlign w:val="top"/>
          </w:tcPr>
          <w:p w14:paraId="361DE777">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接缝和接连管处严密</w:t>
            </w:r>
          </w:p>
        </w:tc>
      </w:tr>
      <w:tr w14:paraId="6890C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7" w:hRule="atLeast"/>
        </w:trPr>
        <w:tc>
          <w:tcPr>
            <w:tcW w:w="2008" w:type="dxa"/>
            <w:shd w:val="clear" w:color="auto" w:fill="FFFFFF"/>
            <w:tcMar>
              <w:top w:w="0" w:type="dxa"/>
              <w:left w:w="45" w:type="dxa"/>
              <w:bottom w:w="0" w:type="dxa"/>
              <w:right w:w="45" w:type="dxa"/>
            </w:tcMar>
            <w:vAlign w:val="top"/>
          </w:tcPr>
          <w:p w14:paraId="5008E4C9">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中压系统</w:t>
            </w:r>
          </w:p>
        </w:tc>
        <w:tc>
          <w:tcPr>
            <w:tcW w:w="3593" w:type="dxa"/>
            <w:shd w:val="clear" w:color="auto" w:fill="FFFFFF"/>
            <w:tcMar>
              <w:top w:w="0" w:type="dxa"/>
              <w:left w:w="45" w:type="dxa"/>
              <w:bottom w:w="0" w:type="dxa"/>
              <w:right w:w="45" w:type="dxa"/>
            </w:tcMar>
            <w:vAlign w:val="top"/>
          </w:tcPr>
          <w:p w14:paraId="2FD3566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500＜P≤1500Pa</w:t>
            </w:r>
          </w:p>
        </w:tc>
        <w:tc>
          <w:tcPr>
            <w:tcW w:w="3857" w:type="dxa"/>
            <w:shd w:val="clear" w:color="auto" w:fill="FFFFFF"/>
            <w:tcMar>
              <w:top w:w="0" w:type="dxa"/>
              <w:left w:w="45" w:type="dxa"/>
              <w:bottom w:w="0" w:type="dxa"/>
              <w:right w:w="45" w:type="dxa"/>
            </w:tcMar>
            <w:vAlign w:val="top"/>
          </w:tcPr>
          <w:p w14:paraId="5E79F6C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增加密封装置</w:t>
            </w:r>
          </w:p>
        </w:tc>
      </w:tr>
      <w:tr w14:paraId="66ECE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5" w:hRule="atLeast"/>
        </w:trPr>
        <w:tc>
          <w:tcPr>
            <w:tcW w:w="2008" w:type="dxa"/>
            <w:shd w:val="clear" w:color="auto" w:fill="FFFFFF"/>
            <w:tcMar>
              <w:top w:w="0" w:type="dxa"/>
              <w:left w:w="45" w:type="dxa"/>
              <w:bottom w:w="0" w:type="dxa"/>
              <w:right w:w="45" w:type="dxa"/>
            </w:tcMar>
            <w:vAlign w:val="top"/>
          </w:tcPr>
          <w:p w14:paraId="6EB1C3A8">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高压系统</w:t>
            </w:r>
          </w:p>
        </w:tc>
        <w:tc>
          <w:tcPr>
            <w:tcW w:w="3593" w:type="dxa"/>
            <w:shd w:val="clear" w:color="auto" w:fill="FFFFFF"/>
            <w:tcMar>
              <w:top w:w="0" w:type="dxa"/>
              <w:left w:w="45" w:type="dxa"/>
              <w:bottom w:w="0" w:type="dxa"/>
              <w:right w:w="45" w:type="dxa"/>
            </w:tcMar>
            <w:vAlign w:val="top"/>
          </w:tcPr>
          <w:p w14:paraId="4602DE7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P＞1500Pa</w:t>
            </w:r>
          </w:p>
        </w:tc>
        <w:tc>
          <w:tcPr>
            <w:tcW w:w="3857" w:type="dxa"/>
            <w:shd w:val="clear" w:color="auto" w:fill="FFFFFF"/>
            <w:tcMar>
              <w:top w:w="0" w:type="dxa"/>
              <w:left w:w="45" w:type="dxa"/>
              <w:bottom w:w="0" w:type="dxa"/>
              <w:right w:w="45" w:type="dxa"/>
            </w:tcMar>
            <w:vAlign w:val="top"/>
          </w:tcPr>
          <w:p w14:paraId="67B1875F">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全部采取密封打措施</w:t>
            </w:r>
          </w:p>
        </w:tc>
      </w:tr>
    </w:tbl>
    <w:p w14:paraId="575186DD">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风管支吊架最大间距(m)：</w:t>
      </w:r>
    </w:p>
    <w:tbl>
      <w:tblPr>
        <w:tblStyle w:val="43"/>
        <w:tblW w:w="0" w:type="auto"/>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608"/>
        <w:gridCol w:w="731"/>
        <w:gridCol w:w="731"/>
        <w:gridCol w:w="926"/>
        <w:gridCol w:w="828"/>
        <w:gridCol w:w="755"/>
        <w:gridCol w:w="780"/>
        <w:gridCol w:w="804"/>
        <w:gridCol w:w="731"/>
        <w:gridCol w:w="731"/>
        <w:gridCol w:w="731"/>
      </w:tblGrid>
      <w:tr w14:paraId="03BA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002" w:hRule="atLeast"/>
        </w:trPr>
        <w:tc>
          <w:tcPr>
            <w:tcW w:w="1608" w:type="dxa"/>
            <w:shd w:val="clear" w:color="auto" w:fill="FFFFFF"/>
            <w:tcMar>
              <w:top w:w="0" w:type="dxa"/>
              <w:left w:w="45" w:type="dxa"/>
              <w:bottom w:w="0" w:type="dxa"/>
              <w:right w:w="45" w:type="dxa"/>
            </w:tcMar>
            <w:vAlign w:val="center"/>
          </w:tcPr>
          <w:p w14:paraId="331BFECC">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公称直径(mm)</w:t>
            </w:r>
          </w:p>
        </w:tc>
        <w:tc>
          <w:tcPr>
            <w:tcW w:w="731" w:type="dxa"/>
            <w:shd w:val="clear" w:color="auto" w:fill="FFFFFF"/>
            <w:tcMar>
              <w:top w:w="0" w:type="dxa"/>
              <w:left w:w="45" w:type="dxa"/>
              <w:bottom w:w="0" w:type="dxa"/>
              <w:right w:w="45" w:type="dxa"/>
            </w:tcMar>
            <w:vAlign w:val="center"/>
          </w:tcPr>
          <w:p w14:paraId="18A7FC3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200</w:t>
            </w:r>
          </w:p>
        </w:tc>
        <w:tc>
          <w:tcPr>
            <w:tcW w:w="731" w:type="dxa"/>
            <w:shd w:val="clear" w:color="auto" w:fill="FFFFFF"/>
            <w:tcMar>
              <w:top w:w="0" w:type="dxa"/>
              <w:left w:w="45" w:type="dxa"/>
              <w:bottom w:w="0" w:type="dxa"/>
              <w:right w:w="45" w:type="dxa"/>
            </w:tcMar>
            <w:vAlign w:val="center"/>
          </w:tcPr>
          <w:p w14:paraId="62C1B9BD">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250</w:t>
            </w:r>
          </w:p>
        </w:tc>
        <w:tc>
          <w:tcPr>
            <w:tcW w:w="926" w:type="dxa"/>
            <w:shd w:val="clear" w:color="auto" w:fill="FFFFFF"/>
            <w:tcMar>
              <w:top w:w="0" w:type="dxa"/>
              <w:left w:w="45" w:type="dxa"/>
              <w:bottom w:w="0" w:type="dxa"/>
              <w:right w:w="45" w:type="dxa"/>
            </w:tcMar>
            <w:vAlign w:val="center"/>
          </w:tcPr>
          <w:p w14:paraId="056E8E1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320</w:t>
            </w:r>
          </w:p>
        </w:tc>
        <w:tc>
          <w:tcPr>
            <w:tcW w:w="828" w:type="dxa"/>
            <w:shd w:val="clear" w:color="auto" w:fill="FFFFFF"/>
            <w:tcMar>
              <w:top w:w="0" w:type="dxa"/>
              <w:left w:w="45" w:type="dxa"/>
              <w:bottom w:w="0" w:type="dxa"/>
              <w:right w:w="45" w:type="dxa"/>
            </w:tcMar>
            <w:vAlign w:val="center"/>
          </w:tcPr>
          <w:p w14:paraId="393C1DFB">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360</w:t>
            </w:r>
          </w:p>
        </w:tc>
        <w:tc>
          <w:tcPr>
            <w:tcW w:w="755" w:type="dxa"/>
            <w:shd w:val="clear" w:color="auto" w:fill="FFFFFF"/>
            <w:tcMar>
              <w:top w:w="0" w:type="dxa"/>
              <w:left w:w="45" w:type="dxa"/>
              <w:bottom w:w="0" w:type="dxa"/>
              <w:right w:w="45" w:type="dxa"/>
            </w:tcMar>
            <w:vAlign w:val="center"/>
          </w:tcPr>
          <w:p w14:paraId="303F0CBA">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400</w:t>
            </w:r>
          </w:p>
        </w:tc>
        <w:tc>
          <w:tcPr>
            <w:tcW w:w="780" w:type="dxa"/>
            <w:shd w:val="clear" w:color="auto" w:fill="FFFFFF"/>
            <w:tcMar>
              <w:top w:w="0" w:type="dxa"/>
              <w:left w:w="45" w:type="dxa"/>
              <w:bottom w:w="0" w:type="dxa"/>
              <w:right w:w="45" w:type="dxa"/>
            </w:tcMar>
            <w:vAlign w:val="center"/>
          </w:tcPr>
          <w:p w14:paraId="61F3D59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450</w:t>
            </w:r>
          </w:p>
        </w:tc>
        <w:tc>
          <w:tcPr>
            <w:tcW w:w="804" w:type="dxa"/>
            <w:shd w:val="clear" w:color="auto" w:fill="FFFFFF"/>
            <w:tcMar>
              <w:top w:w="0" w:type="dxa"/>
              <w:left w:w="45" w:type="dxa"/>
              <w:bottom w:w="0" w:type="dxa"/>
              <w:right w:w="45" w:type="dxa"/>
            </w:tcMar>
            <w:vAlign w:val="center"/>
          </w:tcPr>
          <w:p w14:paraId="2C73BF0A">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500</w:t>
            </w:r>
          </w:p>
        </w:tc>
        <w:tc>
          <w:tcPr>
            <w:tcW w:w="731" w:type="dxa"/>
            <w:shd w:val="clear" w:color="auto" w:fill="FFFFFF"/>
            <w:tcMar>
              <w:top w:w="0" w:type="dxa"/>
              <w:left w:w="45" w:type="dxa"/>
              <w:bottom w:w="0" w:type="dxa"/>
              <w:right w:w="45" w:type="dxa"/>
            </w:tcMar>
            <w:vAlign w:val="center"/>
          </w:tcPr>
          <w:p w14:paraId="3CE2EC50">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560</w:t>
            </w:r>
          </w:p>
        </w:tc>
        <w:tc>
          <w:tcPr>
            <w:tcW w:w="731" w:type="dxa"/>
            <w:shd w:val="clear" w:color="auto" w:fill="FFFFFF"/>
            <w:tcMar>
              <w:top w:w="0" w:type="dxa"/>
              <w:left w:w="45" w:type="dxa"/>
              <w:bottom w:w="0" w:type="dxa"/>
              <w:right w:w="45" w:type="dxa"/>
            </w:tcMar>
            <w:vAlign w:val="center"/>
          </w:tcPr>
          <w:p w14:paraId="392771D8">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630</w:t>
            </w:r>
          </w:p>
        </w:tc>
        <w:tc>
          <w:tcPr>
            <w:tcW w:w="731" w:type="dxa"/>
            <w:shd w:val="clear" w:color="auto" w:fill="FFFFFF"/>
            <w:tcMar>
              <w:top w:w="0" w:type="dxa"/>
              <w:left w:w="45" w:type="dxa"/>
              <w:bottom w:w="0" w:type="dxa"/>
              <w:right w:w="45" w:type="dxa"/>
            </w:tcMar>
            <w:vAlign w:val="center"/>
          </w:tcPr>
          <w:p w14:paraId="4E9BE7D9">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700</w:t>
            </w:r>
          </w:p>
        </w:tc>
      </w:tr>
      <w:tr w14:paraId="49A8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013" w:hRule="atLeast"/>
        </w:trPr>
        <w:tc>
          <w:tcPr>
            <w:tcW w:w="1608" w:type="dxa"/>
            <w:shd w:val="clear" w:color="auto" w:fill="FFFFFF"/>
            <w:tcMar>
              <w:top w:w="0" w:type="dxa"/>
              <w:left w:w="45" w:type="dxa"/>
              <w:bottom w:w="0" w:type="dxa"/>
              <w:right w:w="45" w:type="dxa"/>
            </w:tcMar>
            <w:vAlign w:val="center"/>
          </w:tcPr>
          <w:p w14:paraId="1CC4980F">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支撑距离</w:t>
            </w:r>
          </w:p>
        </w:tc>
        <w:tc>
          <w:tcPr>
            <w:tcW w:w="731" w:type="dxa"/>
            <w:shd w:val="clear" w:color="auto" w:fill="FFFFFF"/>
            <w:tcMar>
              <w:top w:w="0" w:type="dxa"/>
              <w:left w:w="45" w:type="dxa"/>
              <w:bottom w:w="0" w:type="dxa"/>
              <w:right w:w="45" w:type="dxa"/>
            </w:tcMar>
            <w:vAlign w:val="center"/>
          </w:tcPr>
          <w:p w14:paraId="3F221605">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2.0</w:t>
            </w:r>
          </w:p>
        </w:tc>
        <w:tc>
          <w:tcPr>
            <w:tcW w:w="731" w:type="dxa"/>
            <w:shd w:val="clear" w:color="auto" w:fill="FFFFFF"/>
            <w:tcMar>
              <w:top w:w="0" w:type="dxa"/>
              <w:left w:w="45" w:type="dxa"/>
              <w:bottom w:w="0" w:type="dxa"/>
              <w:right w:w="45" w:type="dxa"/>
            </w:tcMar>
            <w:vAlign w:val="center"/>
          </w:tcPr>
          <w:p w14:paraId="39C77DE9">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2.0</w:t>
            </w:r>
          </w:p>
        </w:tc>
        <w:tc>
          <w:tcPr>
            <w:tcW w:w="926" w:type="dxa"/>
            <w:shd w:val="clear" w:color="auto" w:fill="FFFFFF"/>
            <w:tcMar>
              <w:top w:w="0" w:type="dxa"/>
              <w:left w:w="45" w:type="dxa"/>
              <w:bottom w:w="0" w:type="dxa"/>
              <w:right w:w="45" w:type="dxa"/>
            </w:tcMar>
            <w:vAlign w:val="center"/>
          </w:tcPr>
          <w:p w14:paraId="4ACB68F0">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3.0</w:t>
            </w:r>
          </w:p>
        </w:tc>
        <w:tc>
          <w:tcPr>
            <w:tcW w:w="828" w:type="dxa"/>
            <w:shd w:val="clear" w:color="auto" w:fill="FFFFFF"/>
            <w:tcMar>
              <w:top w:w="0" w:type="dxa"/>
              <w:left w:w="45" w:type="dxa"/>
              <w:bottom w:w="0" w:type="dxa"/>
              <w:right w:w="45" w:type="dxa"/>
            </w:tcMar>
            <w:vAlign w:val="center"/>
          </w:tcPr>
          <w:p w14:paraId="615457AF">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3.0</w:t>
            </w:r>
          </w:p>
        </w:tc>
        <w:tc>
          <w:tcPr>
            <w:tcW w:w="755" w:type="dxa"/>
            <w:shd w:val="clear" w:color="auto" w:fill="FFFFFF"/>
            <w:tcMar>
              <w:top w:w="0" w:type="dxa"/>
              <w:left w:w="45" w:type="dxa"/>
              <w:bottom w:w="0" w:type="dxa"/>
              <w:right w:w="45" w:type="dxa"/>
            </w:tcMar>
            <w:vAlign w:val="center"/>
          </w:tcPr>
          <w:p w14:paraId="779A1D48">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3.0</w:t>
            </w:r>
          </w:p>
        </w:tc>
        <w:tc>
          <w:tcPr>
            <w:tcW w:w="780" w:type="dxa"/>
            <w:shd w:val="clear" w:color="auto" w:fill="FFFFFF"/>
            <w:tcMar>
              <w:top w:w="0" w:type="dxa"/>
              <w:left w:w="45" w:type="dxa"/>
              <w:bottom w:w="0" w:type="dxa"/>
              <w:right w:w="45" w:type="dxa"/>
            </w:tcMar>
            <w:vAlign w:val="center"/>
          </w:tcPr>
          <w:p w14:paraId="33A959B8">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3.0</w:t>
            </w:r>
          </w:p>
        </w:tc>
        <w:tc>
          <w:tcPr>
            <w:tcW w:w="804" w:type="dxa"/>
            <w:shd w:val="clear" w:color="auto" w:fill="FFFFFF"/>
            <w:tcMar>
              <w:top w:w="0" w:type="dxa"/>
              <w:left w:w="45" w:type="dxa"/>
              <w:bottom w:w="0" w:type="dxa"/>
              <w:right w:w="45" w:type="dxa"/>
            </w:tcMar>
            <w:vAlign w:val="center"/>
          </w:tcPr>
          <w:p w14:paraId="510B4AF2">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2.5</w:t>
            </w:r>
          </w:p>
        </w:tc>
        <w:tc>
          <w:tcPr>
            <w:tcW w:w="731" w:type="dxa"/>
            <w:shd w:val="clear" w:color="auto" w:fill="FFFFFF"/>
            <w:tcMar>
              <w:top w:w="0" w:type="dxa"/>
              <w:left w:w="45" w:type="dxa"/>
              <w:bottom w:w="0" w:type="dxa"/>
              <w:right w:w="45" w:type="dxa"/>
            </w:tcMar>
            <w:vAlign w:val="center"/>
          </w:tcPr>
          <w:p w14:paraId="28D89E54">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2.5</w:t>
            </w:r>
          </w:p>
        </w:tc>
        <w:tc>
          <w:tcPr>
            <w:tcW w:w="731" w:type="dxa"/>
            <w:shd w:val="clear" w:color="auto" w:fill="FFFFFF"/>
            <w:tcMar>
              <w:top w:w="0" w:type="dxa"/>
              <w:left w:w="45" w:type="dxa"/>
              <w:bottom w:w="0" w:type="dxa"/>
              <w:right w:w="45" w:type="dxa"/>
            </w:tcMar>
            <w:vAlign w:val="center"/>
          </w:tcPr>
          <w:p w14:paraId="6F794E1F">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2.5</w:t>
            </w:r>
          </w:p>
        </w:tc>
        <w:tc>
          <w:tcPr>
            <w:tcW w:w="731" w:type="dxa"/>
            <w:shd w:val="clear" w:color="auto" w:fill="FFFFFF"/>
            <w:tcMar>
              <w:top w:w="0" w:type="dxa"/>
              <w:left w:w="45" w:type="dxa"/>
              <w:bottom w:w="0" w:type="dxa"/>
              <w:right w:w="45" w:type="dxa"/>
            </w:tcMar>
            <w:vAlign w:val="center"/>
          </w:tcPr>
          <w:p w14:paraId="47ECE658">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2.5</w:t>
            </w:r>
          </w:p>
        </w:tc>
      </w:tr>
    </w:tbl>
    <w:p w14:paraId="65423180">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（5）风管制作、安装：</w:t>
      </w:r>
    </w:p>
    <w:p w14:paraId="22EF2D02">
      <w:pPr>
        <w:pageBreakBefore w:val="0"/>
        <w:numPr>
          <w:ilvl w:val="0"/>
          <w:numId w:val="9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风管采用承插连接</w:t>
      </w:r>
      <w:r>
        <w:rPr>
          <w:rFonts w:hint="eastAsia" w:asciiTheme="minorEastAsia" w:hAnsiTheme="minorEastAsia" w:eastAsiaTheme="minorEastAsia" w:cstheme="minorEastAsia"/>
          <w:color w:val="000000"/>
          <w:sz w:val="24"/>
          <w:szCs w:val="24"/>
          <w:highlight w:val="none"/>
        </w:rPr>
        <w:t>或法兰式连接</w:t>
      </w:r>
      <w:r>
        <w:rPr>
          <w:rFonts w:hint="eastAsia" w:asciiTheme="minorEastAsia" w:hAnsiTheme="minorEastAsia" w:eastAsiaTheme="minorEastAsia" w:cstheme="minorEastAsia"/>
          <w:color w:val="000000"/>
          <w:sz w:val="24"/>
          <w:szCs w:val="24"/>
          <w:highlight w:val="none"/>
          <w:lang w:val="en-US" w:eastAsia="zh-CN"/>
        </w:rPr>
        <w:t>；</w:t>
      </w:r>
    </w:p>
    <w:p w14:paraId="4F4998AF">
      <w:pPr>
        <w:pageBreakBefore w:val="0"/>
        <w:numPr>
          <w:ilvl w:val="0"/>
          <w:numId w:val="9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风管的弯管曲率半径一般为1 倍边长，最小不应少于200mm，弯曲向尺寸或等于 500mm的应设导流片（内外弧的弯头可不装设导流片）；</w:t>
      </w:r>
    </w:p>
    <w:p w14:paraId="307E0394">
      <w:pPr>
        <w:pageBreakBefore w:val="0"/>
        <w:numPr>
          <w:ilvl w:val="0"/>
          <w:numId w:val="9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安装前应清除管内、外杂物，并做好清洁和保护工作；</w:t>
      </w:r>
    </w:p>
    <w:p w14:paraId="52660CD5">
      <w:pPr>
        <w:pageBreakBefore w:val="0"/>
        <w:numPr>
          <w:ilvl w:val="0"/>
          <w:numId w:val="9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排风管应做好防凝结水和风管内水凝结水回流装置，水平管保持一定的坡度，坡向室外立管。室外立管应做好排凝结水装置；</w:t>
      </w:r>
    </w:p>
    <w:p w14:paraId="0EDDA6F0">
      <w:pPr>
        <w:pageBreakBefore w:val="0"/>
        <w:numPr>
          <w:ilvl w:val="0"/>
          <w:numId w:val="9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风管安装的位置、标高、走向，符合设、计要求，做到横平竖直，连接法兰的螺栓应均匀拧紧，其螺母在同一侧；</w:t>
      </w:r>
    </w:p>
    <w:p w14:paraId="68E3EBA4">
      <w:pPr>
        <w:pageBreakBefore w:val="0"/>
        <w:numPr>
          <w:ilvl w:val="0"/>
          <w:numId w:val="9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所有风管设置必要支、吊架，管道支架按国标加工制作；</w:t>
      </w:r>
    </w:p>
    <w:p w14:paraId="1B995D1B">
      <w:pPr>
        <w:pageBreakBefore w:val="0"/>
        <w:numPr>
          <w:ilvl w:val="0"/>
          <w:numId w:val="91"/>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柔性接口：采用防火布，要求防火布厚度不低于0.4mm厚，经GB8624-2012《建筑材料及制品燃烧性能分级》检验，燃烧性能达到GB8624B（B1）级。</w:t>
      </w:r>
    </w:p>
    <w:p w14:paraId="61D48DF9">
      <w:pPr>
        <w:pageBreakBefore w:val="0"/>
        <w:numPr>
          <w:ilvl w:val="0"/>
          <w:numId w:val="92"/>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主要设备材料要求</w:t>
      </w:r>
    </w:p>
    <w:p w14:paraId="454A3279">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排风口/防雨百叶要求</w:t>
      </w:r>
    </w:p>
    <w:p w14:paraId="0E20F76A">
      <w:pPr>
        <w:pageBreakBefore w:val="0"/>
        <w:numPr>
          <w:ilvl w:val="0"/>
          <w:numId w:val="9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auto"/>
          <w:sz w:val="24"/>
          <w:szCs w:val="24"/>
          <w:highlight w:val="none"/>
        </w:rPr>
        <w:t>各种百叶</w:t>
      </w:r>
      <w:r>
        <w:rPr>
          <w:rFonts w:hint="eastAsia" w:asciiTheme="minorEastAsia" w:hAnsiTheme="minorEastAsia" w:eastAsiaTheme="minorEastAsia" w:cstheme="minorEastAsia"/>
          <w:color w:val="000000"/>
          <w:sz w:val="24"/>
          <w:szCs w:val="24"/>
          <w:highlight w:val="none"/>
        </w:rPr>
        <w:t>送排风口、旋流风口等均采用铝合金材料，表面喷防腐涂料或经过阳极氧化处理，亚白色：</w:t>
      </w:r>
    </w:p>
    <w:p w14:paraId="423A465A">
      <w:pPr>
        <w:pageBreakBefore w:val="0"/>
        <w:numPr>
          <w:ilvl w:val="0"/>
          <w:numId w:val="9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各类风口的外框及导风叶片的材料厚度不得小于1.0mm，装饰面拼接严密平整，焊接牢固，焊点光滑。风口的转动调节部分需灵活，叶片平直，同边框不得碰擦，定位后无松动现象；</w:t>
      </w:r>
    </w:p>
    <w:p w14:paraId="181BE40B">
      <w:pPr>
        <w:pageBreakBefore w:val="0"/>
        <w:numPr>
          <w:ilvl w:val="0"/>
          <w:numId w:val="9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百叶式风口的叶片间距均匀；双层百叶风口上、下两层叶片互相垂直，且自带调节阀；</w:t>
      </w:r>
    </w:p>
    <w:p w14:paraId="15597448">
      <w:pPr>
        <w:pageBreakBefore w:val="0"/>
        <w:numPr>
          <w:ilvl w:val="0"/>
          <w:numId w:val="9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门铰式单层百叶回风口需自带NF尼龙双层过滤网，叶芯与外框用门铰连接，安装后可任意打开叶芯组件，更换风口过滤器。</w:t>
      </w:r>
    </w:p>
    <w:p w14:paraId="2672489F">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2）电动调节阀、止回阀</w:t>
      </w:r>
      <w:r>
        <w:rPr>
          <w:rFonts w:hint="eastAsia" w:asciiTheme="minorEastAsia" w:hAnsiTheme="minorEastAsia" w:eastAsiaTheme="minorEastAsia" w:cstheme="minorEastAsia"/>
          <w:color w:val="000000"/>
          <w:sz w:val="24"/>
          <w:szCs w:val="24"/>
          <w:highlight w:val="none"/>
        </w:rPr>
        <w:t>要求</w:t>
      </w:r>
    </w:p>
    <w:p w14:paraId="57BBF9D0">
      <w:pPr>
        <w:pageBreakBefore w:val="0"/>
        <w:numPr>
          <w:ilvl w:val="0"/>
          <w:numId w:val="9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阀门型号、规格、耐压强度和严密性试验结果均符合有关规范、标准的要求；</w:t>
      </w:r>
    </w:p>
    <w:p w14:paraId="48696B8C">
      <w:pPr>
        <w:pageBreakBefore w:val="0"/>
        <w:numPr>
          <w:ilvl w:val="0"/>
          <w:numId w:val="9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阀门制作牢固，叶片启闭灵活，并标明阀门启闭方向和调节角度；</w:t>
      </w:r>
    </w:p>
    <w:p w14:paraId="28ACC79D">
      <w:pPr>
        <w:pageBreakBefore w:val="0"/>
        <w:numPr>
          <w:ilvl w:val="0"/>
          <w:numId w:val="9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采用钢板制作，外框板厚不小于2mm，叶片板厚不小于1.5mm；</w:t>
      </w:r>
    </w:p>
    <w:p w14:paraId="5B8B139A">
      <w:pPr>
        <w:pageBreakBefore w:val="0"/>
        <w:numPr>
          <w:ilvl w:val="0"/>
          <w:numId w:val="9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多叶阀叶片贴合，间距均匀，搭接一致。轴与轴之间的距离偏差需小于2mm；</w:t>
      </w:r>
    </w:p>
    <w:p w14:paraId="76E61B6A">
      <w:pPr>
        <w:pageBreakBefore w:val="0"/>
        <w:numPr>
          <w:ilvl w:val="0"/>
          <w:numId w:val="9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止回阀的阀轴灵活，阀板关闭严密，转轴、铰链不易锈蚀，阀片的强度需保证在最大负荷压力下不弯曲变形。</w:t>
      </w:r>
    </w:p>
    <w:p w14:paraId="7DF57A6A">
      <w:pPr>
        <w:pageBreakBefore w:val="0"/>
        <w:numPr>
          <w:ilvl w:val="0"/>
          <w:numId w:val="9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电动调节风阀的执行机构及联动装置的动作应可靠，其调节范围及指示角度与阀板开启角度相一致。</w:t>
      </w:r>
    </w:p>
    <w:p w14:paraId="449BFEDA">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3）</w:t>
      </w:r>
      <w:r>
        <w:rPr>
          <w:rFonts w:hint="eastAsia" w:asciiTheme="minorEastAsia" w:hAnsiTheme="minorEastAsia" w:eastAsiaTheme="minorEastAsia" w:cstheme="minorEastAsia"/>
          <w:color w:val="000000"/>
          <w:sz w:val="24"/>
          <w:szCs w:val="24"/>
          <w:highlight w:val="none"/>
        </w:rPr>
        <w:t>静压箱、消声器要求</w:t>
      </w:r>
    </w:p>
    <w:p w14:paraId="31364A2D">
      <w:pPr>
        <w:pageBreakBefore w:val="0"/>
        <w:numPr>
          <w:ilvl w:val="0"/>
          <w:numId w:val="95"/>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消声设备采用不可燃的材料制成，并满足消防要求；</w:t>
      </w:r>
    </w:p>
    <w:p w14:paraId="15A14078">
      <w:pPr>
        <w:pageBreakBefore w:val="0"/>
        <w:numPr>
          <w:ilvl w:val="0"/>
          <w:numId w:val="95"/>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消声设备须附有标明厂家名 称、设备型号和标号及正常的气流方向指示的标志铭牌；</w:t>
      </w:r>
    </w:p>
    <w:p w14:paraId="6C08A494">
      <w:pPr>
        <w:pageBreakBefore w:val="0"/>
        <w:numPr>
          <w:ilvl w:val="0"/>
          <w:numId w:val="95"/>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内外壳采用PP板制作，外壳厚度不小于8mm，,穿孔孔径和穿孔率需符合相关要求。内外表面平整，孔眼排列均匀，不得有毛刺；</w:t>
      </w:r>
    </w:p>
    <w:p w14:paraId="3EDCDC9D">
      <w:pPr>
        <w:pageBreakBefore w:val="0"/>
        <w:numPr>
          <w:ilvl w:val="0"/>
          <w:numId w:val="95"/>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所选用的消声材料需符合规定的防火、防腐、防潮及卫生要求；填充的消声材料需按规定的密度均匀铺设，有防止下沉的措施，覆面层需均匀拉紧并有保护措施；</w:t>
      </w:r>
    </w:p>
    <w:p w14:paraId="62171A2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4）</w:t>
      </w:r>
      <w:r>
        <w:rPr>
          <w:rFonts w:hint="eastAsia" w:asciiTheme="minorEastAsia" w:hAnsiTheme="minorEastAsia" w:eastAsiaTheme="minorEastAsia" w:cstheme="minorEastAsia"/>
          <w:color w:val="000000"/>
          <w:sz w:val="24"/>
          <w:szCs w:val="24"/>
          <w:highlight w:val="none"/>
        </w:rPr>
        <w:t>防火调节阀要求</w:t>
      </w:r>
    </w:p>
    <w:p w14:paraId="59E32CF0">
      <w:pPr>
        <w:pageBreakBefore w:val="0"/>
        <w:numPr>
          <w:ilvl w:val="0"/>
          <w:numId w:val="9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采用静电喷涂，及防腐处理；</w:t>
      </w:r>
    </w:p>
    <w:p w14:paraId="72216F2D">
      <w:pPr>
        <w:pageBreakBefore w:val="0"/>
        <w:numPr>
          <w:ilvl w:val="0"/>
          <w:numId w:val="9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采用钢板制作，外框板厚度不小于3mm，叶片厚度不小于2mm；</w:t>
      </w:r>
    </w:p>
    <w:p w14:paraId="0E18BE0C">
      <w:pPr>
        <w:pageBreakBefore w:val="0"/>
        <w:numPr>
          <w:ilvl w:val="0"/>
          <w:numId w:val="9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防火阀需符合GB15930-2007标准，且具备温感器控制方式，可自动关闭；温感器在73℃±0.5℃的恒温水浴中0.2min有动作；耐腐蚀性经过5个周期，共120h的盐雾腐蚀试验后，阀门能正常启闭；在环境温度下，使防火阀叶片两侧保持300Pa±15Pa的气体静压差，其单位面积上的漏风量（标准状态）不大于500m3/（㎡·h）。（提供所投产品经第三方权威检测机构出具的检测报告复印件）</w:t>
      </w:r>
    </w:p>
    <w:p w14:paraId="7A23440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5）</w:t>
      </w:r>
      <w:r>
        <w:rPr>
          <w:rFonts w:hint="eastAsia" w:asciiTheme="minorEastAsia" w:hAnsiTheme="minorEastAsia" w:eastAsiaTheme="minorEastAsia" w:cstheme="minorEastAsia"/>
          <w:color w:val="000000"/>
          <w:sz w:val="24"/>
          <w:szCs w:val="24"/>
          <w:highlight w:val="none"/>
        </w:rPr>
        <w:t>保温材料要求</w:t>
      </w:r>
    </w:p>
    <w:p w14:paraId="7CE66DAB">
      <w:pPr>
        <w:pageBreakBefore w:val="0"/>
        <w:numPr>
          <w:ilvl w:val="0"/>
          <w:numId w:val="9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符合有关规范及标准要求。</w:t>
      </w:r>
    </w:p>
    <w:p w14:paraId="3756E860">
      <w:pPr>
        <w:pageBreakBefore w:val="0"/>
        <w:numPr>
          <w:ilvl w:val="0"/>
          <w:numId w:val="9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保温棉阻燃等级为B1级以上。（提供所投产品经第三方权威检测机构出具的检测报告复印件）</w:t>
      </w:r>
    </w:p>
    <w:p w14:paraId="0B94E3D0">
      <w:pPr>
        <w:pageBreakBefore w:val="0"/>
        <w:numPr>
          <w:ilvl w:val="0"/>
          <w:numId w:val="9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发泡橡塑材料不得含有石棉物质；应具有高倍率、闭孔型独立微气泡结构；柔性好、不吸水、高弹性、耐老化、耐低温、防水，化学性能稳定，粘接、热合、分切等加工性能；适用温度-40℃、105℃；密度：80~120Kg／m3；导热系数：&lt;0.039W／m.℃。</w:t>
      </w:r>
    </w:p>
    <w:p w14:paraId="6B229B90">
      <w:pPr>
        <w:pageBreakBefore w:val="0"/>
        <w:numPr>
          <w:ilvl w:val="0"/>
          <w:numId w:val="9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所用胶水为不燃性环保胶水。</w:t>
      </w:r>
    </w:p>
    <w:p w14:paraId="5167415B">
      <w:pPr>
        <w:pageBreakBefore w:val="0"/>
        <w:numPr>
          <w:ilvl w:val="0"/>
          <w:numId w:val="9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不生霉、对管道无腐蚀性。</w:t>
      </w:r>
    </w:p>
    <w:p w14:paraId="2DDE331B">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7</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rPr>
        <w:t>实验室废气处理</w:t>
      </w:r>
    </w:p>
    <w:p w14:paraId="5B49CAA2">
      <w:pPr>
        <w:pageBreakBefore w:val="0"/>
        <w:numPr>
          <w:ilvl w:val="0"/>
          <w:numId w:val="0"/>
        </w:numPr>
        <w:kinsoku/>
        <w:wordWrap/>
        <w:overflowPunct/>
        <w:topLinePunct w:val="0"/>
        <w:bidi w:val="0"/>
        <w:spacing w:beforeAutospacing="0" w:afterAutospacing="0" w:line="400" w:lineRule="exact"/>
        <w:ind w:left="0" w:leftChars="0" w:right="0" w:rightChars="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lang w:val="en-US" w:eastAsia="en-US" w:bidi="ar-SA"/>
        </w:rPr>
        <w:t>①　</w:t>
      </w:r>
      <w:r>
        <w:rPr>
          <w:rFonts w:hint="eastAsia" w:asciiTheme="minorEastAsia" w:hAnsiTheme="minorEastAsia" w:eastAsiaTheme="minorEastAsia" w:cstheme="minorEastAsia"/>
          <w:color w:val="000000"/>
          <w:sz w:val="24"/>
          <w:szCs w:val="24"/>
          <w:highlight w:val="none"/>
        </w:rPr>
        <w:t>采用活性炭吸附箱。</w:t>
      </w:r>
    </w:p>
    <w:p w14:paraId="1BFDB9A7">
      <w:pPr>
        <w:pageBreakBefore w:val="0"/>
        <w:numPr>
          <w:ilvl w:val="0"/>
          <w:numId w:val="0"/>
        </w:numPr>
        <w:kinsoku/>
        <w:wordWrap/>
        <w:overflowPunct/>
        <w:topLinePunct w:val="0"/>
        <w:bidi w:val="0"/>
        <w:spacing w:beforeAutospacing="0" w:afterAutospacing="0" w:line="400" w:lineRule="exact"/>
        <w:ind w:left="0" w:leftChars="0" w:right="0" w:rightChars="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lang w:val="en-US" w:eastAsia="en-US" w:bidi="ar-SA"/>
        </w:rPr>
        <w:t>②　</w:t>
      </w:r>
      <w:r>
        <w:rPr>
          <w:rFonts w:hint="eastAsia" w:asciiTheme="minorEastAsia" w:hAnsiTheme="minorEastAsia" w:eastAsiaTheme="minorEastAsia" w:cstheme="minorEastAsia"/>
          <w:color w:val="000000"/>
          <w:sz w:val="24"/>
          <w:szCs w:val="24"/>
          <w:highlight w:val="none"/>
        </w:rPr>
        <w:t>结构合理：吸附芯为笼型结构，具有活性碳纤维用量少，处理风量大的特点；</w:t>
      </w:r>
    </w:p>
    <w:p w14:paraId="5A508662">
      <w:pPr>
        <w:pageBreakBefore w:val="0"/>
        <w:numPr>
          <w:ilvl w:val="0"/>
          <w:numId w:val="0"/>
        </w:numPr>
        <w:kinsoku/>
        <w:wordWrap/>
        <w:overflowPunct/>
        <w:topLinePunct w:val="0"/>
        <w:bidi w:val="0"/>
        <w:spacing w:beforeAutospacing="0" w:afterAutospacing="0" w:line="400" w:lineRule="exact"/>
        <w:ind w:left="0" w:leftChars="0" w:right="0" w:rightChars="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lang w:val="en-US" w:eastAsia="en-US" w:bidi="ar-SA"/>
        </w:rPr>
        <w:t>③　</w:t>
      </w:r>
      <w:r>
        <w:rPr>
          <w:rFonts w:hint="eastAsia" w:asciiTheme="minorEastAsia" w:hAnsiTheme="minorEastAsia" w:eastAsiaTheme="minorEastAsia" w:cstheme="minorEastAsia"/>
          <w:color w:val="000000"/>
          <w:sz w:val="24"/>
          <w:szCs w:val="24"/>
          <w:highlight w:val="none"/>
        </w:rPr>
        <w:t>吸附率高：由于活性碳纤维的比表面积特性，决定了其吸附率可高达95%以上；</w:t>
      </w:r>
    </w:p>
    <w:p w14:paraId="0C3A382C">
      <w:pPr>
        <w:pageBreakBefore w:val="0"/>
        <w:numPr>
          <w:ilvl w:val="0"/>
          <w:numId w:val="0"/>
        </w:numPr>
        <w:kinsoku/>
        <w:wordWrap/>
        <w:overflowPunct/>
        <w:topLinePunct w:val="0"/>
        <w:bidi w:val="0"/>
        <w:spacing w:beforeAutospacing="0" w:afterAutospacing="0" w:line="400" w:lineRule="exact"/>
        <w:ind w:left="0" w:leftChars="0" w:right="0" w:rightChars="0" w:firstLine="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auto"/>
          <w:sz w:val="24"/>
          <w:szCs w:val="24"/>
          <w:lang w:val="en-US" w:eastAsia="zh-CN" w:bidi="ar-SA"/>
        </w:rPr>
        <w:t>④</w:t>
      </w:r>
      <w:r>
        <w:rPr>
          <w:rFonts w:hint="eastAsia" w:asciiTheme="minorEastAsia" w:hAnsiTheme="minorEastAsia" w:eastAsiaTheme="minorEastAsia" w:cstheme="minorEastAsia"/>
          <w:color w:val="FF0000"/>
          <w:sz w:val="24"/>
          <w:szCs w:val="24"/>
          <w:lang w:val="en-US" w:eastAsia="zh-CN" w:bidi="ar-SA"/>
        </w:rPr>
        <w:t>　</w:t>
      </w:r>
      <w:r>
        <w:rPr>
          <w:rFonts w:hint="eastAsia" w:asciiTheme="minorEastAsia" w:hAnsiTheme="minorEastAsia" w:eastAsiaTheme="minorEastAsia" w:cstheme="minorEastAsia"/>
          <w:color w:val="000000"/>
          <w:sz w:val="24"/>
          <w:szCs w:val="24"/>
          <w:highlight w:val="none"/>
        </w:rPr>
        <w:t>运行能耗低、费用低：由于活性碳纤维的脱附、再生能耗低，再加上活性碳纤维缠绕芯的气流阻力小、风机功率小，所以在运行中活性碳纤维有机废气净化回收装置的气耗和电耗均比较低。</w:t>
      </w:r>
    </w:p>
    <w:p w14:paraId="5F525360">
      <w:pPr>
        <w:pageBreakBefore w:val="0"/>
        <w:numPr>
          <w:ilvl w:val="0"/>
          <w:numId w:val="0"/>
        </w:numPr>
        <w:kinsoku/>
        <w:wordWrap/>
        <w:overflowPunct/>
        <w:topLinePunct w:val="0"/>
        <w:bidi w:val="0"/>
        <w:spacing w:beforeAutospacing="0" w:afterAutospacing="0" w:line="400" w:lineRule="exact"/>
        <w:ind w:left="0" w:leftChars="0" w:right="0" w:rightChars="0" w:firstLine="0" w:firstLineChars="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lang w:eastAsia="zh-CN"/>
        </w:rPr>
        <w:t>）排风机的底座</w:t>
      </w:r>
      <w:r>
        <w:rPr>
          <w:rFonts w:hint="eastAsia" w:asciiTheme="minorEastAsia" w:hAnsiTheme="minorEastAsia" w:eastAsiaTheme="minorEastAsia" w:cstheme="minorEastAsia"/>
          <w:color w:val="auto"/>
          <w:sz w:val="24"/>
          <w:szCs w:val="24"/>
          <w:highlight w:val="none"/>
          <w:lang w:val="en-US" w:eastAsia="zh-CN"/>
        </w:rPr>
        <w:t>安装于钢筋</w:t>
      </w:r>
      <w:r>
        <w:rPr>
          <w:rFonts w:hint="eastAsia" w:asciiTheme="minorEastAsia" w:hAnsiTheme="minorEastAsia" w:eastAsiaTheme="minorEastAsia" w:cstheme="minorEastAsia"/>
          <w:color w:val="auto"/>
          <w:sz w:val="24"/>
          <w:szCs w:val="24"/>
          <w:highlight w:val="none"/>
          <w:lang w:eastAsia="zh-CN"/>
        </w:rPr>
        <w:t>混凝</w:t>
      </w:r>
      <w:r>
        <w:rPr>
          <w:rFonts w:hint="eastAsia" w:asciiTheme="minorEastAsia" w:hAnsiTheme="minorEastAsia" w:eastAsiaTheme="minorEastAsia" w:cstheme="minorEastAsia"/>
          <w:color w:val="auto"/>
          <w:sz w:val="24"/>
          <w:szCs w:val="24"/>
          <w:highlight w:val="none"/>
          <w:lang w:val="en-US" w:eastAsia="zh-CN"/>
        </w:rPr>
        <w:t>基础上。制作的钢筋</w:t>
      </w:r>
      <w:r>
        <w:rPr>
          <w:rFonts w:hint="eastAsia" w:asciiTheme="minorEastAsia" w:hAnsiTheme="minorEastAsia" w:eastAsiaTheme="minorEastAsia" w:cstheme="minorEastAsia"/>
          <w:color w:val="auto"/>
          <w:sz w:val="24"/>
          <w:szCs w:val="24"/>
          <w:highlight w:val="none"/>
          <w:lang w:eastAsia="zh-CN"/>
        </w:rPr>
        <w:t>混凝土</w:t>
      </w:r>
      <w:r>
        <w:rPr>
          <w:rFonts w:hint="eastAsia" w:asciiTheme="minorEastAsia" w:hAnsiTheme="minorEastAsia" w:eastAsiaTheme="minorEastAsia" w:cstheme="minorEastAsia"/>
          <w:color w:val="auto"/>
          <w:sz w:val="24"/>
          <w:szCs w:val="24"/>
          <w:highlight w:val="none"/>
          <w:lang w:val="en-US" w:eastAsia="zh-CN"/>
        </w:rPr>
        <w:t>基础面积大于风机底座，安装后四周宽度富余250mm以上，基础高度大于200mm。</w:t>
      </w:r>
    </w:p>
    <w:p w14:paraId="1EDF0DA1">
      <w:pPr>
        <w:pageBreakBefore w:val="0"/>
        <w:numPr>
          <w:ilvl w:val="0"/>
          <w:numId w:val="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color w:val="FF0000"/>
          <w:sz w:val="24"/>
          <w:szCs w:val="24"/>
          <w:lang w:val="en-US" w:eastAsia="zh-CN"/>
        </w:rPr>
      </w:pPr>
      <w:r>
        <w:rPr>
          <w:rFonts w:hint="eastAsia" w:asciiTheme="minorEastAsia" w:hAnsiTheme="minorEastAsia" w:eastAsiaTheme="minorEastAsia" w:cstheme="minorEastAsia"/>
          <w:b/>
          <w:bCs/>
          <w:color w:val="000000"/>
          <w:sz w:val="24"/>
          <w:szCs w:val="24"/>
          <w:highlight w:val="none"/>
          <w:lang w:eastAsia="zh-CN"/>
        </w:rPr>
        <w:t>（</w:t>
      </w:r>
      <w:r>
        <w:rPr>
          <w:rFonts w:hint="eastAsia" w:asciiTheme="minorEastAsia" w:hAnsiTheme="minorEastAsia" w:eastAsiaTheme="minorEastAsia" w:cstheme="minorEastAsia"/>
          <w:b/>
          <w:bCs/>
          <w:color w:val="000000"/>
          <w:sz w:val="24"/>
          <w:szCs w:val="24"/>
          <w:highlight w:val="none"/>
          <w:lang w:val="en-US" w:eastAsia="zh-CN"/>
        </w:rPr>
        <w:t>五</w:t>
      </w:r>
      <w:r>
        <w:rPr>
          <w:rFonts w:hint="eastAsia" w:asciiTheme="minorEastAsia" w:hAnsiTheme="minorEastAsia" w:eastAsiaTheme="minorEastAsia" w:cstheme="minorEastAsia"/>
          <w:b/>
          <w:bCs/>
          <w:color w:val="000000"/>
          <w:sz w:val="24"/>
          <w:szCs w:val="24"/>
          <w:highlight w:val="none"/>
          <w:lang w:eastAsia="zh-CN"/>
        </w:rPr>
        <w:t>）</w:t>
      </w:r>
      <w:r>
        <w:rPr>
          <w:rFonts w:hint="eastAsia" w:asciiTheme="minorEastAsia" w:hAnsiTheme="minorEastAsia" w:eastAsiaTheme="minorEastAsia" w:cstheme="minorEastAsia"/>
          <w:b/>
          <w:bCs/>
          <w:color w:val="000000"/>
          <w:sz w:val="24"/>
          <w:szCs w:val="24"/>
          <w:highlight w:val="none"/>
          <w:lang w:val="en-US" w:eastAsia="zh-CN"/>
        </w:rPr>
        <w:t>新风空调系统</w:t>
      </w:r>
    </w:p>
    <w:p w14:paraId="3C0C9390">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1、现状：</w:t>
      </w:r>
    </w:p>
    <w:p w14:paraId="545EFA1C">
      <w:pPr>
        <w:pageBreakBefore w:val="0"/>
        <w:numPr>
          <w:ilvl w:val="0"/>
          <w:numId w:val="98"/>
        </w:numPr>
        <w:tabs>
          <w:tab w:val="left" w:pos="400"/>
          <w:tab w:val="left" w:pos="600"/>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原中控室配三台新风空调，每台的额定风量37800m</w:t>
      </w:r>
      <w:r>
        <w:rPr>
          <w:rFonts w:hint="eastAsia" w:asciiTheme="minorEastAsia" w:hAnsiTheme="minorEastAsia" w:eastAsiaTheme="minorEastAsia" w:cstheme="minorEastAsia"/>
          <w:color w:val="auto"/>
          <w:sz w:val="24"/>
          <w:szCs w:val="24"/>
          <w:vertAlign w:val="superscript"/>
          <w:lang w:val="en-US" w:eastAsia="zh-CN"/>
        </w:rPr>
        <w:t>3</w:t>
      </w:r>
      <w:r>
        <w:rPr>
          <w:rFonts w:hint="eastAsia" w:asciiTheme="minorEastAsia" w:hAnsiTheme="minorEastAsia" w:eastAsiaTheme="minorEastAsia" w:cstheme="minorEastAsia"/>
          <w:color w:val="auto"/>
          <w:sz w:val="24"/>
          <w:szCs w:val="24"/>
          <w:vertAlign w:val="baseline"/>
          <w:lang w:val="en-US" w:eastAsia="zh-CN"/>
        </w:rPr>
        <w:t>/h，</w:t>
      </w:r>
      <w:r>
        <w:rPr>
          <w:rFonts w:hint="eastAsia" w:asciiTheme="minorEastAsia" w:hAnsiTheme="minorEastAsia" w:eastAsiaTheme="minorEastAsia" w:cstheme="minorEastAsia"/>
          <w:color w:val="auto"/>
          <w:sz w:val="24"/>
          <w:szCs w:val="24"/>
          <w:lang w:val="en-US" w:eastAsia="zh-CN"/>
        </w:rPr>
        <w:t>制冷量（工厂公用工程冷冻水提供冷源）178kW,供热量(电加热）45kW（已损坏），定频电机15kW。空调电机只能全频运行，不能变频运行；冷冻水阀门不能调节，处于全开状态。</w:t>
      </w:r>
    </w:p>
    <w:p w14:paraId="3C0B7F21">
      <w:pPr>
        <w:pageBreakBefore w:val="0"/>
        <w:numPr>
          <w:ilvl w:val="0"/>
          <w:numId w:val="98"/>
        </w:numPr>
        <w:tabs>
          <w:tab w:val="left" w:pos="200"/>
          <w:tab w:val="left" w:pos="400"/>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新风过滤机组处于停用状态，新风口铁皮风管损坏。</w:t>
      </w:r>
    </w:p>
    <w:p w14:paraId="37DB1126">
      <w:pPr>
        <w:pageBreakBefore w:val="0"/>
        <w:numPr>
          <w:ilvl w:val="0"/>
          <w:numId w:val="9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三台新风空调处于并联状态，每台空调出口的风阀损坏。</w:t>
      </w:r>
    </w:p>
    <w:p w14:paraId="694BC1F0">
      <w:pPr>
        <w:pageBreakBefore w:val="0"/>
        <w:numPr>
          <w:ilvl w:val="0"/>
          <w:numId w:val="9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原中控暖通图见附件二图纸所示。</w:t>
      </w:r>
    </w:p>
    <w:p w14:paraId="5CE6D1CF">
      <w:pPr>
        <w:pageBreakBefore w:val="0"/>
        <w:numPr>
          <w:ilvl w:val="0"/>
          <w:numId w:val="99"/>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需求：</w:t>
      </w:r>
    </w:p>
    <w:p w14:paraId="05BC82F7">
      <w:pPr>
        <w:pageBreakBefore w:val="0"/>
        <w:numPr>
          <w:ilvl w:val="0"/>
          <w:numId w:val="10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3套空调机组改造成可恒温恒湿控制，每套空调</w:t>
      </w:r>
      <w:r>
        <w:rPr>
          <w:rFonts w:hint="eastAsia" w:asciiTheme="minorEastAsia" w:hAnsiTheme="minorEastAsia" w:eastAsiaTheme="minorEastAsia" w:cstheme="minorEastAsia"/>
          <w:color w:val="auto"/>
          <w:sz w:val="24"/>
          <w:szCs w:val="24"/>
          <w:lang w:val="en-US" w:eastAsia="zh-CN"/>
        </w:rPr>
        <w:t>电加热</w:t>
      </w:r>
      <w:r>
        <w:rPr>
          <w:rFonts w:hint="eastAsia" w:asciiTheme="minorEastAsia" w:hAnsiTheme="minorEastAsia" w:eastAsiaTheme="minorEastAsia" w:cstheme="minorEastAsia"/>
          <w:b w:val="0"/>
          <w:bCs/>
          <w:color w:val="auto"/>
          <w:sz w:val="24"/>
          <w:szCs w:val="24"/>
          <w:lang w:val="en-US" w:eastAsia="zh-CN"/>
        </w:rPr>
        <w:t>、干蒸汽加湿、冷冻水调节阀</w:t>
      </w:r>
      <w:r>
        <w:rPr>
          <w:rFonts w:hint="eastAsia" w:asciiTheme="minorEastAsia" w:hAnsiTheme="minorEastAsia" w:eastAsiaTheme="minorEastAsia" w:cstheme="minorEastAsia"/>
          <w:color w:val="auto"/>
          <w:sz w:val="24"/>
          <w:szCs w:val="24"/>
          <w:lang w:val="en-US" w:eastAsia="zh-CN"/>
        </w:rPr>
        <w:t>维修</w:t>
      </w:r>
      <w:r>
        <w:rPr>
          <w:rFonts w:hint="eastAsia" w:asciiTheme="minorEastAsia" w:hAnsiTheme="minorEastAsia" w:eastAsiaTheme="minorEastAsia" w:cstheme="minorEastAsia"/>
          <w:b w:val="0"/>
          <w:bCs/>
          <w:color w:val="auto"/>
          <w:sz w:val="24"/>
          <w:szCs w:val="24"/>
          <w:lang w:val="en-US" w:eastAsia="zh-CN"/>
        </w:rPr>
        <w:t>；定频电机</w:t>
      </w:r>
      <w:r>
        <w:rPr>
          <w:rFonts w:hint="eastAsia" w:asciiTheme="minorEastAsia" w:hAnsiTheme="minorEastAsia" w:eastAsiaTheme="minorEastAsia" w:cstheme="minorEastAsia"/>
          <w:b w:val="0"/>
          <w:bCs/>
          <w:sz w:val="24"/>
          <w:szCs w:val="24"/>
          <w:lang w:val="en-US" w:eastAsia="zh-CN"/>
        </w:rPr>
        <w:t>改为变频电机，电缆、信号线更换；</w:t>
      </w:r>
    </w:p>
    <w:p w14:paraId="4A657BD0">
      <w:pPr>
        <w:pageBreakBefore w:val="0"/>
        <w:numPr>
          <w:ilvl w:val="0"/>
          <w:numId w:val="10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增加恒温恒湿控制柜，包含变频器（3台）、PLC、</w:t>
      </w:r>
      <w:r>
        <w:rPr>
          <w:rFonts w:hint="eastAsia" w:asciiTheme="minorEastAsia" w:hAnsiTheme="minorEastAsia" w:eastAsiaTheme="minorEastAsia" w:cstheme="minorEastAsia"/>
          <w:b w:val="0"/>
          <w:bCs/>
          <w:color w:val="auto"/>
          <w:sz w:val="24"/>
          <w:szCs w:val="24"/>
          <w:lang w:val="en-US" w:eastAsia="zh-CN"/>
        </w:rPr>
        <w:t>触摸工控屏控制，可通过触摸工控屏</w:t>
      </w:r>
      <w:r>
        <w:rPr>
          <w:rFonts w:hint="eastAsia" w:ascii="宋体" w:hAnsi="宋体"/>
          <w:color w:val="auto"/>
          <w:sz w:val="24"/>
          <w:szCs w:val="24"/>
        </w:rPr>
        <w:t>自由进行控制三台电机</w:t>
      </w:r>
      <w:r>
        <w:rPr>
          <w:rFonts w:hint="eastAsia" w:asciiTheme="minorEastAsia" w:hAnsiTheme="minorEastAsia" w:eastAsiaTheme="minorEastAsia" w:cstheme="minorEastAsia"/>
          <w:b w:val="0"/>
          <w:bCs/>
          <w:color w:val="auto"/>
          <w:sz w:val="24"/>
          <w:szCs w:val="24"/>
          <w:lang w:val="en-US" w:eastAsia="zh-CN"/>
        </w:rPr>
        <w:t>及修改参数，</w:t>
      </w:r>
      <w:r>
        <w:rPr>
          <w:rFonts w:hint="eastAsia" w:asciiTheme="minorEastAsia" w:hAnsiTheme="minorEastAsia" w:eastAsiaTheme="minorEastAsia" w:cstheme="minorEastAsia"/>
          <w:b w:val="0"/>
          <w:bCs/>
          <w:sz w:val="24"/>
          <w:szCs w:val="24"/>
          <w:lang w:val="en-US" w:eastAsia="zh-CN"/>
        </w:rPr>
        <w:t>使其能控制风量大小，室内温湿度可控；</w:t>
      </w:r>
    </w:p>
    <w:p w14:paraId="76243BB8">
      <w:pPr>
        <w:pageBreakBefore w:val="0"/>
        <w:numPr>
          <w:ilvl w:val="0"/>
          <w:numId w:val="10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3套空调机组出风口的止回阀更换为电动；切换不同机组运行时，不用的空调机组对应的风阀能关闭，防止气流串出。</w:t>
      </w:r>
    </w:p>
    <w:p w14:paraId="52470725">
      <w:pPr>
        <w:pageBreakBefore w:val="0"/>
        <w:numPr>
          <w:ilvl w:val="0"/>
          <w:numId w:val="10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新风过</w:t>
      </w:r>
      <w:r>
        <w:rPr>
          <w:rFonts w:hint="eastAsia" w:asciiTheme="minorEastAsia" w:hAnsiTheme="minorEastAsia" w:eastAsiaTheme="minorEastAsia" w:cstheme="minorEastAsia"/>
          <w:b w:val="0"/>
          <w:bCs/>
          <w:color w:val="auto"/>
          <w:sz w:val="24"/>
          <w:szCs w:val="24"/>
          <w:lang w:val="en-US" w:eastAsia="zh-CN"/>
        </w:rPr>
        <w:t>滤</w:t>
      </w:r>
      <w:r>
        <w:rPr>
          <w:rFonts w:hint="eastAsia" w:asciiTheme="minorEastAsia" w:hAnsiTheme="minorEastAsia" w:eastAsiaTheme="minorEastAsia" w:cstheme="minorEastAsia"/>
          <w:color w:val="auto"/>
          <w:sz w:val="24"/>
          <w:szCs w:val="24"/>
          <w:lang w:val="en-US" w:eastAsia="zh-CN"/>
        </w:rPr>
        <w:t>机组</w:t>
      </w:r>
      <w:r>
        <w:rPr>
          <w:rFonts w:hint="eastAsia" w:asciiTheme="minorEastAsia" w:hAnsiTheme="minorEastAsia" w:eastAsiaTheme="minorEastAsia" w:cstheme="minorEastAsia"/>
          <w:b w:val="0"/>
          <w:bCs/>
          <w:sz w:val="24"/>
          <w:szCs w:val="24"/>
          <w:lang w:val="en-US" w:eastAsia="zh-CN"/>
        </w:rPr>
        <w:t>改造，改造后风量满足空调机组进风量要求，风量根据新风量和回风量、排风量比例计算。</w:t>
      </w:r>
    </w:p>
    <w:p w14:paraId="76601E61">
      <w:pPr>
        <w:pStyle w:val="10"/>
        <w:pageBreakBefore w:val="0"/>
        <w:numPr>
          <w:ilvl w:val="0"/>
          <w:numId w:val="100"/>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整条风管漏风修复，风口修复。</w:t>
      </w:r>
    </w:p>
    <w:p w14:paraId="3BC69C61">
      <w:pPr>
        <w:pStyle w:val="206"/>
        <w:pageBreakBefore w:val="0"/>
        <w:kinsoku/>
        <w:wordWrap/>
        <w:overflowPunct/>
        <w:topLinePunct w:val="0"/>
        <w:bidi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3、改造后需符合</w:t>
      </w:r>
      <w:r>
        <w:rPr>
          <w:rFonts w:hint="eastAsia" w:asciiTheme="minorEastAsia" w:hAnsiTheme="minorEastAsia" w:eastAsiaTheme="minorEastAsia" w:cstheme="minorEastAsia"/>
          <w:sz w:val="24"/>
          <w:szCs w:val="24"/>
        </w:rPr>
        <w:t>：</w:t>
      </w:r>
    </w:p>
    <w:p w14:paraId="2696E961">
      <w:pPr>
        <w:pStyle w:val="206"/>
        <w:pageBreakBefore w:val="0"/>
        <w:kinsoku/>
        <w:wordWrap/>
        <w:overflowPunct/>
        <w:topLinePunct w:val="0"/>
        <w:bidi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《空气过滤器》GB/T 14295—2019；</w:t>
      </w:r>
    </w:p>
    <w:p w14:paraId="76144518">
      <w:pPr>
        <w:pStyle w:val="214"/>
        <w:keepNext w:val="0"/>
        <w:keepLines w:val="0"/>
        <w:pageBreakBefore w:val="0"/>
        <w:tabs>
          <w:tab w:val="left" w:pos="840"/>
        </w:tabs>
        <w:kinsoku/>
        <w:wordWrap/>
        <w:overflowPunct/>
        <w:topLinePunct w:val="0"/>
        <w:bidi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《高效空气过滤器》GB/T 13554—2020；</w:t>
      </w:r>
    </w:p>
    <w:p w14:paraId="0ABE191A">
      <w:pPr>
        <w:pStyle w:val="214"/>
        <w:keepNext w:val="0"/>
        <w:keepLines w:val="0"/>
        <w:pageBreakBefore w:val="0"/>
        <w:tabs>
          <w:tab w:val="left" w:pos="840"/>
        </w:tabs>
        <w:kinsoku/>
        <w:wordWrap/>
        <w:overflowPunct/>
        <w:topLinePunct w:val="0"/>
        <w:bidi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《民用建筑供暖通风与空气调节设计规范》GB50736-2012</w:t>
      </w:r>
    </w:p>
    <w:p w14:paraId="39D5A049">
      <w:pPr>
        <w:pStyle w:val="214"/>
        <w:keepNext w:val="0"/>
        <w:keepLines w:val="0"/>
        <w:pageBreakBefore w:val="0"/>
        <w:tabs>
          <w:tab w:val="left" w:pos="840"/>
        </w:tabs>
        <w:kinsoku/>
        <w:wordWrap/>
        <w:overflowPunct/>
        <w:topLinePunct w:val="0"/>
        <w:bidi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《组合式空调机组》GB/T14294-2008</w:t>
      </w:r>
    </w:p>
    <w:p w14:paraId="5372DFF1">
      <w:pPr>
        <w:pStyle w:val="214"/>
        <w:keepNext w:val="0"/>
        <w:keepLines w:val="0"/>
        <w:pageBreakBefore w:val="0"/>
        <w:tabs>
          <w:tab w:val="left" w:pos="840"/>
        </w:tabs>
        <w:kinsoku/>
        <w:wordWrap/>
        <w:overflowPunct/>
        <w:topLinePunct w:val="0"/>
        <w:bidi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《空气过滤器》GB/T14295-2008</w:t>
      </w:r>
    </w:p>
    <w:p w14:paraId="79060F11">
      <w:pPr>
        <w:pStyle w:val="214"/>
        <w:keepNext w:val="0"/>
        <w:keepLines w:val="0"/>
        <w:pageBreakBefore w:val="0"/>
        <w:tabs>
          <w:tab w:val="left" w:pos="840"/>
        </w:tabs>
        <w:kinsoku/>
        <w:wordWrap/>
        <w:overflowPunct/>
        <w:topLinePunct w:val="0"/>
        <w:bidi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《风量调节阀》JB/T7228-1994</w:t>
      </w:r>
    </w:p>
    <w:p w14:paraId="01158F68">
      <w:pPr>
        <w:pStyle w:val="3"/>
        <w:pageBreakBefore w:val="0"/>
        <w:tabs>
          <w:tab w:val="left" w:pos="709"/>
        </w:tabs>
        <w:kinsoku/>
        <w:wordWrap/>
        <w:overflowPunct/>
        <w:topLinePunct w:val="0"/>
        <w:bidi w:val="0"/>
        <w:spacing w:before="0" w:beforeAutospacing="0" w:after="0" w:afterAutospacing="0" w:line="400" w:lineRule="exact"/>
        <w:ind w:left="0" w:leftChars="0" w:right="0" w:firstLine="0" w:firstLineChars="0"/>
        <w:rPr>
          <w:rFonts w:hint="eastAsia" w:asciiTheme="minorEastAsia" w:hAnsiTheme="minorEastAsia" w:eastAsiaTheme="minorEastAsia" w:cstheme="minorEastAsia"/>
          <w:sz w:val="24"/>
          <w:szCs w:val="24"/>
        </w:rPr>
      </w:pPr>
      <w:bookmarkStart w:id="66" w:name="_Toc3044"/>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i w:val="0"/>
          <w:iCs/>
          <w:sz w:val="24"/>
          <w:szCs w:val="24"/>
          <w:lang w:val="en-US" w:eastAsia="zh-CN"/>
        </w:rPr>
        <w:t>改造后</w:t>
      </w:r>
      <w:r>
        <w:rPr>
          <w:rFonts w:hint="eastAsia" w:asciiTheme="minorEastAsia" w:hAnsiTheme="minorEastAsia" w:eastAsiaTheme="minorEastAsia" w:cstheme="minorEastAsia"/>
          <w:i w:val="0"/>
          <w:iCs/>
          <w:sz w:val="24"/>
          <w:szCs w:val="24"/>
        </w:rPr>
        <w:t>参数</w:t>
      </w:r>
      <w:bookmarkEnd w:id="66"/>
    </w:p>
    <w:p w14:paraId="332B2A93">
      <w:pPr>
        <w:keepNext w:val="0"/>
        <w:keepLines w:val="0"/>
        <w:pageBreakBefore w:val="0"/>
        <w:widowControl/>
        <w:kinsoku/>
        <w:wordWrap/>
        <w:overflowPunct/>
        <w:topLinePunct w:val="0"/>
        <w:bidi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室内房间设计参数:</w:t>
      </w:r>
    </w:p>
    <w:tbl>
      <w:tblPr>
        <w:tblStyle w:val="43"/>
        <w:tblW w:w="93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7"/>
        <w:gridCol w:w="1336"/>
        <w:gridCol w:w="1630"/>
        <w:gridCol w:w="1598"/>
        <w:gridCol w:w="1713"/>
        <w:gridCol w:w="1713"/>
      </w:tblGrid>
      <w:tr w14:paraId="708E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347" w:type="dxa"/>
            <w:vAlign w:val="center"/>
          </w:tcPr>
          <w:p w14:paraId="521952F6">
            <w:pPr>
              <w:keepNext w:val="0"/>
              <w:keepLines w:val="0"/>
              <w:pageBreakBefore w:val="0"/>
              <w:kinsoku/>
              <w:wordWrap/>
              <w:overflowPunct/>
              <w:topLinePunct w:val="0"/>
              <w:bidi w:val="0"/>
              <w:spacing w:beforeAutospacing="0" w:afterAutospacing="0" w:line="400" w:lineRule="exact"/>
              <w:ind w:left="0" w:leftChars="0" w:right="0" w:firstLine="0" w:firstLineChars="0"/>
              <w:jc w:val="center"/>
              <w:textAlignment w:val="auto"/>
              <w:rPr>
                <w:rFonts w:hint="eastAsia" w:asciiTheme="minorEastAsia" w:hAnsiTheme="minorEastAsia" w:eastAsiaTheme="minorEastAsia" w:cstheme="minorEastAsia"/>
                <w:sz w:val="24"/>
                <w:szCs w:val="24"/>
                <w:highlight w:val="none"/>
              </w:rPr>
            </w:pPr>
          </w:p>
        </w:tc>
        <w:tc>
          <w:tcPr>
            <w:tcW w:w="1336" w:type="dxa"/>
            <w:vAlign w:val="center"/>
          </w:tcPr>
          <w:p w14:paraId="355E9199">
            <w:pPr>
              <w:keepNext w:val="0"/>
              <w:keepLines w:val="0"/>
              <w:pageBreakBefore w:val="0"/>
              <w:kinsoku/>
              <w:wordWrap/>
              <w:overflowPunct/>
              <w:topLinePunct w:val="0"/>
              <w:bidi w:val="0"/>
              <w:spacing w:beforeAutospacing="0" w:afterAutospacing="0" w:line="400" w:lineRule="exact"/>
              <w:ind w:left="0" w:leftChars="0" w:right="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温度</w:t>
            </w:r>
          </w:p>
        </w:tc>
        <w:tc>
          <w:tcPr>
            <w:tcW w:w="1630" w:type="dxa"/>
            <w:vAlign w:val="center"/>
          </w:tcPr>
          <w:p w14:paraId="666974A4">
            <w:pPr>
              <w:keepNext w:val="0"/>
              <w:keepLines w:val="0"/>
              <w:pageBreakBefore w:val="0"/>
              <w:kinsoku/>
              <w:wordWrap/>
              <w:overflowPunct/>
              <w:topLinePunct w:val="0"/>
              <w:bidi w:val="0"/>
              <w:spacing w:beforeAutospacing="0" w:afterAutospacing="0" w:line="400" w:lineRule="exact"/>
              <w:ind w:left="0" w:leftChars="0" w:right="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室内风速</w:t>
            </w:r>
          </w:p>
        </w:tc>
        <w:tc>
          <w:tcPr>
            <w:tcW w:w="1598" w:type="dxa"/>
            <w:vAlign w:val="center"/>
          </w:tcPr>
          <w:p w14:paraId="02D2D6D9">
            <w:pPr>
              <w:keepNext w:val="0"/>
              <w:keepLines w:val="0"/>
              <w:pageBreakBefore w:val="0"/>
              <w:kinsoku/>
              <w:wordWrap/>
              <w:overflowPunct/>
              <w:topLinePunct w:val="0"/>
              <w:bidi w:val="0"/>
              <w:spacing w:beforeAutospacing="0" w:afterAutospacing="0" w:line="400" w:lineRule="exact"/>
              <w:ind w:left="0" w:leftChars="0" w:right="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相对温度</w:t>
            </w:r>
          </w:p>
        </w:tc>
        <w:tc>
          <w:tcPr>
            <w:tcW w:w="1713" w:type="dxa"/>
            <w:vAlign w:val="center"/>
          </w:tcPr>
          <w:p w14:paraId="5D431210">
            <w:pPr>
              <w:keepNext w:val="0"/>
              <w:keepLines w:val="0"/>
              <w:pageBreakBefore w:val="0"/>
              <w:kinsoku/>
              <w:wordWrap/>
              <w:overflowPunct/>
              <w:topLinePunct w:val="0"/>
              <w:bidi w:val="0"/>
              <w:spacing w:beforeAutospacing="0" w:afterAutospacing="0" w:line="400" w:lineRule="exact"/>
              <w:ind w:left="0" w:leftChars="0" w:right="0" w:firstLine="0" w:firstLineChars="0"/>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分析大厅内压力</w:t>
            </w:r>
          </w:p>
        </w:tc>
        <w:tc>
          <w:tcPr>
            <w:tcW w:w="1713" w:type="dxa"/>
            <w:vAlign w:val="center"/>
          </w:tcPr>
          <w:p w14:paraId="18C682EE">
            <w:pPr>
              <w:keepNext w:val="0"/>
              <w:keepLines w:val="0"/>
              <w:pageBreakBefore w:val="0"/>
              <w:kinsoku/>
              <w:wordWrap/>
              <w:overflowPunct/>
              <w:topLinePunct w:val="0"/>
              <w:bidi w:val="0"/>
              <w:spacing w:beforeAutospacing="0" w:afterAutospacing="0" w:line="400" w:lineRule="exact"/>
              <w:ind w:left="0" w:leftChars="0" w:right="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噪声dB(A)</w:t>
            </w:r>
          </w:p>
        </w:tc>
      </w:tr>
      <w:tr w14:paraId="23FE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347" w:type="dxa"/>
            <w:vAlign w:val="center"/>
          </w:tcPr>
          <w:p w14:paraId="54A93F25">
            <w:pPr>
              <w:keepNext w:val="0"/>
              <w:keepLines w:val="0"/>
              <w:pageBreakBefore w:val="0"/>
              <w:kinsoku/>
              <w:wordWrap/>
              <w:overflowPunct/>
              <w:topLinePunct w:val="0"/>
              <w:bidi w:val="0"/>
              <w:spacing w:beforeAutospacing="0" w:afterAutospacing="0" w:line="400" w:lineRule="exact"/>
              <w:ind w:left="0" w:leftChars="0" w:right="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夏季</w:t>
            </w:r>
          </w:p>
        </w:tc>
        <w:tc>
          <w:tcPr>
            <w:tcW w:w="1336" w:type="dxa"/>
            <w:vAlign w:val="center"/>
          </w:tcPr>
          <w:p w14:paraId="3B7CA13D">
            <w:pPr>
              <w:keepNext w:val="0"/>
              <w:keepLines w:val="0"/>
              <w:pageBreakBefore w:val="0"/>
              <w:kinsoku/>
              <w:wordWrap/>
              <w:overflowPunct/>
              <w:topLinePunct w:val="0"/>
              <w:bidi w:val="0"/>
              <w:spacing w:beforeAutospacing="0" w:afterAutospacing="0" w:line="400" w:lineRule="exact"/>
              <w:ind w:left="0" w:leftChars="0" w:right="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26℃</w:t>
            </w:r>
          </w:p>
        </w:tc>
        <w:tc>
          <w:tcPr>
            <w:tcW w:w="1630" w:type="dxa"/>
            <w:vAlign w:val="center"/>
          </w:tcPr>
          <w:p w14:paraId="52CCBF77">
            <w:pPr>
              <w:keepNext w:val="0"/>
              <w:keepLines w:val="0"/>
              <w:pageBreakBefore w:val="0"/>
              <w:kinsoku/>
              <w:wordWrap/>
              <w:overflowPunct/>
              <w:topLinePunct w:val="0"/>
              <w:bidi w:val="0"/>
              <w:spacing w:beforeAutospacing="0" w:afterAutospacing="0" w:line="400" w:lineRule="exact"/>
              <w:ind w:left="0" w:leftChars="0" w:right="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0.25M/S</w:t>
            </w:r>
          </w:p>
        </w:tc>
        <w:tc>
          <w:tcPr>
            <w:tcW w:w="1598" w:type="dxa"/>
            <w:vAlign w:val="center"/>
          </w:tcPr>
          <w:p w14:paraId="5BA110F9">
            <w:pPr>
              <w:keepNext w:val="0"/>
              <w:keepLines w:val="0"/>
              <w:pageBreakBefore w:val="0"/>
              <w:kinsoku/>
              <w:wordWrap/>
              <w:overflowPunct/>
              <w:topLinePunct w:val="0"/>
              <w:bidi w:val="0"/>
              <w:spacing w:beforeAutospacing="0" w:afterAutospacing="0" w:line="400" w:lineRule="exact"/>
              <w:ind w:left="0" w:leftChars="0" w:right="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40%～60%</w:t>
            </w:r>
          </w:p>
        </w:tc>
        <w:tc>
          <w:tcPr>
            <w:tcW w:w="1713" w:type="dxa"/>
            <w:vAlign w:val="center"/>
          </w:tcPr>
          <w:p w14:paraId="4F5E89FC">
            <w:pPr>
              <w:keepNext w:val="0"/>
              <w:keepLines w:val="0"/>
              <w:pageBreakBefore w:val="0"/>
              <w:kinsoku/>
              <w:wordWrap/>
              <w:overflowPunct/>
              <w:topLinePunct w:val="0"/>
              <w:bidi w:val="0"/>
              <w:spacing w:beforeAutospacing="0" w:afterAutospacing="0" w:line="400" w:lineRule="exact"/>
              <w:ind w:left="0" w:leftChars="0" w:right="0" w:firstLine="0" w:firstLineChars="0"/>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5Pa-10Pa</w:t>
            </w:r>
          </w:p>
        </w:tc>
        <w:tc>
          <w:tcPr>
            <w:tcW w:w="1713" w:type="dxa"/>
            <w:vMerge w:val="restart"/>
            <w:vAlign w:val="center"/>
          </w:tcPr>
          <w:p w14:paraId="316CF202">
            <w:pPr>
              <w:keepNext w:val="0"/>
              <w:keepLines w:val="0"/>
              <w:pageBreakBefore w:val="0"/>
              <w:kinsoku/>
              <w:wordWrap/>
              <w:overflowPunct/>
              <w:topLinePunct w:val="0"/>
              <w:bidi w:val="0"/>
              <w:spacing w:beforeAutospacing="0" w:afterAutospacing="0" w:line="400" w:lineRule="exact"/>
              <w:ind w:left="0" w:leftChars="0" w:right="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55</w:t>
            </w:r>
          </w:p>
        </w:tc>
      </w:tr>
      <w:tr w14:paraId="187F1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347" w:type="dxa"/>
            <w:vAlign w:val="center"/>
          </w:tcPr>
          <w:p w14:paraId="46BE14E1">
            <w:pPr>
              <w:keepNext w:val="0"/>
              <w:keepLines w:val="0"/>
              <w:pageBreakBefore w:val="0"/>
              <w:kinsoku/>
              <w:wordWrap/>
              <w:overflowPunct/>
              <w:topLinePunct w:val="0"/>
              <w:bidi w:val="0"/>
              <w:spacing w:beforeAutospacing="0" w:afterAutospacing="0" w:line="400" w:lineRule="exact"/>
              <w:ind w:left="0" w:leftChars="0" w:right="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冬季</w:t>
            </w:r>
          </w:p>
        </w:tc>
        <w:tc>
          <w:tcPr>
            <w:tcW w:w="1336" w:type="dxa"/>
            <w:vAlign w:val="center"/>
          </w:tcPr>
          <w:p w14:paraId="75883EC8">
            <w:pPr>
              <w:keepNext w:val="0"/>
              <w:keepLines w:val="0"/>
              <w:pageBreakBefore w:val="0"/>
              <w:kinsoku/>
              <w:wordWrap/>
              <w:overflowPunct/>
              <w:topLinePunct w:val="0"/>
              <w:bidi w:val="0"/>
              <w:spacing w:beforeAutospacing="0" w:afterAutospacing="0" w:line="400" w:lineRule="exact"/>
              <w:ind w:left="0" w:leftChars="0" w:right="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18℃</w:t>
            </w:r>
          </w:p>
        </w:tc>
        <w:tc>
          <w:tcPr>
            <w:tcW w:w="1630" w:type="dxa"/>
            <w:vAlign w:val="center"/>
          </w:tcPr>
          <w:p w14:paraId="56CFBB1A">
            <w:pPr>
              <w:keepNext w:val="0"/>
              <w:keepLines w:val="0"/>
              <w:pageBreakBefore w:val="0"/>
              <w:kinsoku/>
              <w:wordWrap/>
              <w:overflowPunct/>
              <w:topLinePunct w:val="0"/>
              <w:bidi w:val="0"/>
              <w:spacing w:beforeAutospacing="0" w:afterAutospacing="0" w:line="400" w:lineRule="exact"/>
              <w:ind w:left="0" w:leftChars="0" w:right="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0.25M/S</w:t>
            </w:r>
          </w:p>
        </w:tc>
        <w:tc>
          <w:tcPr>
            <w:tcW w:w="1598" w:type="dxa"/>
            <w:vAlign w:val="center"/>
          </w:tcPr>
          <w:p w14:paraId="72FF7929">
            <w:pPr>
              <w:keepNext w:val="0"/>
              <w:keepLines w:val="0"/>
              <w:pageBreakBefore w:val="0"/>
              <w:kinsoku/>
              <w:wordWrap/>
              <w:overflowPunct/>
              <w:topLinePunct w:val="0"/>
              <w:bidi w:val="0"/>
              <w:spacing w:beforeAutospacing="0" w:afterAutospacing="0" w:line="400" w:lineRule="exact"/>
              <w:ind w:left="0" w:leftChars="0" w:right="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40%～60%</w:t>
            </w:r>
          </w:p>
        </w:tc>
        <w:tc>
          <w:tcPr>
            <w:tcW w:w="1713" w:type="dxa"/>
            <w:vAlign w:val="center"/>
          </w:tcPr>
          <w:p w14:paraId="039A60C6">
            <w:pPr>
              <w:keepNext w:val="0"/>
              <w:keepLines w:val="0"/>
              <w:pageBreakBefore w:val="0"/>
              <w:kinsoku/>
              <w:wordWrap/>
              <w:overflowPunct/>
              <w:topLinePunct w:val="0"/>
              <w:bidi w:val="0"/>
              <w:spacing w:beforeAutospacing="0" w:afterAutospacing="0" w:line="400" w:lineRule="exact"/>
              <w:ind w:left="0" w:leftChars="0" w:right="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5Pa-10Pa</w:t>
            </w:r>
          </w:p>
        </w:tc>
        <w:tc>
          <w:tcPr>
            <w:tcW w:w="1713" w:type="dxa"/>
            <w:vMerge w:val="continue"/>
            <w:vAlign w:val="center"/>
          </w:tcPr>
          <w:p w14:paraId="546C606A">
            <w:pPr>
              <w:keepNext w:val="0"/>
              <w:keepLines w:val="0"/>
              <w:pageBreakBefore w:val="0"/>
              <w:kinsoku/>
              <w:wordWrap/>
              <w:overflowPunct/>
              <w:topLinePunct w:val="0"/>
              <w:bidi w:val="0"/>
              <w:spacing w:beforeAutospacing="0" w:afterAutospacing="0" w:line="400" w:lineRule="exact"/>
              <w:ind w:left="0" w:leftChars="0" w:right="0" w:firstLine="0" w:firstLineChars="0"/>
              <w:jc w:val="center"/>
              <w:textAlignment w:val="auto"/>
              <w:rPr>
                <w:rFonts w:hint="eastAsia" w:asciiTheme="minorEastAsia" w:hAnsiTheme="minorEastAsia" w:eastAsiaTheme="minorEastAsia" w:cstheme="minorEastAsia"/>
                <w:sz w:val="24"/>
                <w:szCs w:val="24"/>
                <w:highlight w:val="none"/>
              </w:rPr>
            </w:pPr>
          </w:p>
        </w:tc>
      </w:tr>
    </w:tbl>
    <w:p w14:paraId="73B82CC5">
      <w:pPr>
        <w:keepNext w:val="0"/>
        <w:keepLines w:val="0"/>
        <w:pageBreakBefore w:val="0"/>
        <w:widowControl/>
        <w:kinsoku/>
        <w:wordWrap/>
        <w:overflowPunct/>
        <w:topLinePunct w:val="0"/>
        <w:bidi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sz w:val="24"/>
          <w:szCs w:val="24"/>
          <w:highlight w:val="none"/>
        </w:rPr>
      </w:pPr>
    </w:p>
    <w:p w14:paraId="1C661FEA">
      <w:pPr>
        <w:keepNext w:val="0"/>
        <w:keepLines w:val="0"/>
        <w:pageBreakBefore w:val="0"/>
        <w:widowControl/>
        <w:kinsoku/>
        <w:wordWrap/>
        <w:overflowPunct/>
        <w:topLinePunct w:val="0"/>
        <w:bidi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sz w:val="24"/>
          <w:szCs w:val="24"/>
          <w:highlight w:val="none"/>
        </w:rPr>
      </w:pPr>
    </w:p>
    <w:p w14:paraId="60D71381">
      <w:pPr>
        <w:keepNext w:val="0"/>
        <w:keepLines w:val="0"/>
        <w:pageBreakBefore w:val="0"/>
        <w:kinsoku/>
        <w:wordWrap/>
        <w:overflowPunct/>
        <w:topLinePunct w:val="0"/>
        <w:bidi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主设计气象参数(当地):</w:t>
      </w:r>
    </w:p>
    <w:p w14:paraId="0A4705A0">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000000" w:themeColor="text1"/>
          <w:sz w:val="24"/>
          <w:szCs w:val="24"/>
          <w14:textFill>
            <w14:solidFill>
              <w14:schemeClr w14:val="tx1"/>
            </w14:solidFill>
          </w14:textFill>
        </w:rPr>
      </w:pPr>
      <w:bookmarkStart w:id="67" w:name="_Toc3128"/>
      <w:r>
        <w:rPr>
          <w:rFonts w:hint="eastAsia" w:asciiTheme="minorEastAsia" w:hAnsiTheme="minorEastAsia" w:eastAsiaTheme="minorEastAsia" w:cstheme="minorEastAsia"/>
          <w:color w:val="000000" w:themeColor="text1"/>
          <w:sz w:val="24"/>
          <w:szCs w:val="24"/>
          <w14:textFill>
            <w14:solidFill>
              <w14:schemeClr w14:val="tx1"/>
            </w14:solidFill>
          </w14:textFill>
        </w:rPr>
        <w:t>项目所在地区地处亚热带海洋性气候区，夏无高温炎热，冬无寒冷冰冻，季风较为明显，冬季多为东北风，夏季为西南风。月平均最高气温 27.3°C , 最低气温12.8°C。</w:t>
      </w:r>
      <w:r>
        <w:rPr>
          <w:rFonts w:hint="eastAsia" w:asciiTheme="minorEastAsia" w:hAnsiTheme="minorEastAsia" w:eastAsiaTheme="minorEastAsia" w:cstheme="minorEastAsia"/>
          <w:i w:val="0"/>
          <w:iCs w:val="0"/>
          <w:caps w:val="0"/>
          <w:spacing w:val="0"/>
          <w:sz w:val="24"/>
          <w:szCs w:val="24"/>
          <w:shd w:val="clear" w:fill="FFFFFF"/>
        </w:rPr>
        <w:t>极端最高气温 38.4℃，最低 2.0℃</w:t>
      </w:r>
      <w:r>
        <w:rPr>
          <w:rFonts w:hint="eastAsia" w:asciiTheme="minorEastAsia" w:hAnsiTheme="minorEastAsia" w:eastAsiaTheme="minorEastAsia" w:cstheme="minorEastAsia"/>
          <w:color w:val="000000" w:themeColor="text1"/>
          <w:sz w:val="24"/>
          <w:szCs w:val="24"/>
          <w14:textFill>
            <w14:solidFill>
              <w14:schemeClr w14:val="tx1"/>
            </w14:solidFill>
          </w14:textFill>
        </w:rPr>
        <w:t>年平均降水量为1071.2mm 降水主要集中在每年的 5～8 月份，占年降水量的 61％，而 11 月至翌年 2 月降水较少，仅占年降水量的 9％。累年平均相对湿度为 80%，每年三至八月空气湿度较大，平均相对湿度为 80～ 85%，十月至翌年二月空气较为干燥，相对湿度为 70%左右。</w:t>
      </w:r>
    </w:p>
    <w:bookmarkEnd w:id="67"/>
    <w:p w14:paraId="2A95BFD2">
      <w:pPr>
        <w:keepNext w:val="0"/>
        <w:keepLines w:val="0"/>
        <w:pageBreakBefore w:val="0"/>
        <w:numPr>
          <w:ilvl w:val="0"/>
          <w:numId w:val="0"/>
        </w:numPr>
        <w:kinsoku/>
        <w:wordWrap/>
        <w:overflowPunct/>
        <w:topLinePunct w:val="0"/>
        <w:autoSpaceDE/>
        <w:autoSpaceDN/>
        <w:bidi w:val="0"/>
        <w:spacing w:beforeAutospacing="0" w:afterAutospacing="0" w:line="400" w:lineRule="exact"/>
        <w:ind w:left="0" w:leftChars="0" w:right="0" w:rightChars="0" w:firstLine="0" w:firstLineChars="0"/>
        <w:textAlignment w:val="auto"/>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sz w:val="24"/>
          <w:szCs w:val="24"/>
          <w:highlight w:val="none"/>
          <w:lang w:val="en-US" w:eastAsia="zh-CN"/>
        </w:rPr>
        <w:t>5、</w:t>
      </w:r>
      <w:r>
        <w:rPr>
          <w:rFonts w:hint="eastAsia" w:asciiTheme="minorEastAsia" w:hAnsiTheme="minorEastAsia" w:eastAsiaTheme="minorEastAsia" w:cstheme="minorEastAsia"/>
          <w:b/>
          <w:bCs/>
          <w:sz w:val="24"/>
          <w:szCs w:val="24"/>
          <w:highlight w:val="none"/>
        </w:rPr>
        <w:t>空气过滤器</w:t>
      </w:r>
    </w:p>
    <w:p w14:paraId="7C32A791">
      <w:pPr>
        <w:keepNext w:val="0"/>
        <w:keepLines w:val="0"/>
        <w:pageBreakBefore w:val="0"/>
        <w:numPr>
          <w:ilvl w:val="0"/>
          <w:numId w:val="0"/>
        </w:numPr>
        <w:kinsoku/>
        <w:wordWrap/>
        <w:overflowPunct/>
        <w:topLinePunct w:val="0"/>
        <w:autoSpaceDE/>
        <w:autoSpaceDN/>
        <w:bidi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1）应采用按国际标准生产的各类过滤器（初、中效），具有过滤效率高，风阻力小、性能稳定、通用性强、可重复使用等特点。初效过滤器使用寿命可达2年以上，水洗次数可达12次以上。                                                                                                                </w:t>
      </w:r>
    </w:p>
    <w:p w14:paraId="3E535F23">
      <w:pPr>
        <w:keepNext w:val="0"/>
        <w:keepLines w:val="0"/>
        <w:pageBreakBefore w:val="0"/>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2）过滤段附件：</w:t>
      </w:r>
      <w:r>
        <w:rPr>
          <w:rFonts w:hint="eastAsia" w:asciiTheme="minorEastAsia" w:hAnsiTheme="minorEastAsia" w:eastAsiaTheme="minorEastAsia" w:cstheme="minorEastAsia"/>
          <w:color w:val="000000"/>
          <w:sz w:val="24"/>
          <w:szCs w:val="24"/>
          <w:highlight w:val="none"/>
          <w:lang w:val="en-US" w:eastAsia="zh-CN"/>
        </w:rPr>
        <w:t>安装</w:t>
      </w:r>
      <w:r>
        <w:rPr>
          <w:rFonts w:hint="eastAsia" w:asciiTheme="minorEastAsia" w:hAnsiTheme="minorEastAsia" w:eastAsiaTheme="minorEastAsia" w:cstheme="minorEastAsia"/>
          <w:color w:val="000000"/>
          <w:sz w:val="24"/>
          <w:szCs w:val="24"/>
          <w:highlight w:val="none"/>
        </w:rPr>
        <w:t>压差计（或压差显示计）。</w:t>
      </w:r>
    </w:p>
    <w:p w14:paraId="17215710">
      <w:pPr>
        <w:keepNext w:val="0"/>
        <w:keepLines w:val="0"/>
        <w:pageBreakBefore w:val="0"/>
        <w:numPr>
          <w:ilvl w:val="0"/>
          <w:numId w:val="0"/>
        </w:numPr>
        <w:kinsoku/>
        <w:wordWrap/>
        <w:overflowPunct/>
        <w:topLinePunct w:val="0"/>
        <w:autoSpaceDE/>
        <w:autoSpaceDN/>
        <w:bidi w:val="0"/>
        <w:spacing w:beforeAutospacing="0" w:afterAutospacing="0" w:line="400" w:lineRule="exact"/>
        <w:ind w:left="0" w:leftChars="0" w:right="0" w:rightChars="0" w:firstLine="0" w:firstLineChars="0"/>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6、</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振动和噪音</w:t>
      </w:r>
    </w:p>
    <w:p w14:paraId="7515ACA5">
      <w:pPr>
        <w:keepNext w:val="0"/>
        <w:keepLines w:val="0"/>
        <w:pageBreakBefore w:val="0"/>
        <w:numPr>
          <w:ilvl w:val="1"/>
          <w:numId w:val="101"/>
        </w:numPr>
        <w:kinsoku/>
        <w:wordWrap/>
        <w:overflowPunct/>
        <w:topLinePunct w:val="0"/>
        <w:autoSpaceDE/>
        <w:autoSpaceDN/>
        <w:bidi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风机和电机应安装在减震台座上，风机出风口采用柔性连接。</w:t>
      </w:r>
    </w:p>
    <w:p w14:paraId="5B8D19BF">
      <w:pPr>
        <w:keepNext w:val="0"/>
        <w:keepLines w:val="0"/>
        <w:pageBreakBefore w:val="0"/>
        <w:numPr>
          <w:ilvl w:val="1"/>
          <w:numId w:val="101"/>
        </w:numPr>
        <w:kinsoku/>
        <w:wordWrap/>
        <w:overflowPunct/>
        <w:topLinePunct w:val="0"/>
        <w:autoSpaceDE/>
        <w:autoSpaceDN/>
        <w:bidi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机组噪音应符合《GB13326-91组合式空气处理机组噪音限制》的规定，机组对周围环境的影响应符合《GBJ87-85工业企业噪音控制设计规范》。</w:t>
      </w:r>
    </w:p>
    <w:p w14:paraId="19A0E67B">
      <w:pPr>
        <w:pStyle w:val="206"/>
        <w:pageBreakBefore w:val="0"/>
        <w:numPr>
          <w:ilvl w:val="0"/>
          <w:numId w:val="0"/>
        </w:numPr>
        <w:kinsoku/>
        <w:wordWrap/>
        <w:overflowPunct/>
        <w:topLinePunct w:val="0"/>
        <w:bidi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7、</w:t>
      </w:r>
      <w:r>
        <w:rPr>
          <w:rFonts w:hint="eastAsia" w:asciiTheme="minorEastAsia" w:hAnsiTheme="minorEastAsia" w:eastAsiaTheme="minorEastAsia" w:cstheme="minorEastAsia"/>
          <w:b/>
          <w:bCs/>
          <w:i w:val="0"/>
          <w:iCs w:val="0"/>
          <w:color w:val="auto"/>
          <w:kern w:val="0"/>
          <w:sz w:val="24"/>
          <w:szCs w:val="24"/>
          <w:u w:val="none"/>
          <w:lang w:val="en-US" w:eastAsia="zh-CN" w:bidi="ar"/>
        </w:rPr>
        <w:t>风机盘管</w:t>
      </w:r>
      <w:r>
        <w:rPr>
          <w:rFonts w:hint="eastAsia" w:asciiTheme="minorEastAsia" w:hAnsiTheme="minorEastAsia" w:eastAsiaTheme="minorEastAsia" w:cstheme="minorEastAsia"/>
          <w:b/>
          <w:bCs/>
          <w:color w:val="auto"/>
          <w:sz w:val="24"/>
          <w:szCs w:val="24"/>
          <w:lang w:val="en-US" w:eastAsia="zh-CN"/>
        </w:rPr>
        <w:t>空调</w:t>
      </w:r>
    </w:p>
    <w:p w14:paraId="5FFAA689">
      <w:pPr>
        <w:pageBreakBefore w:val="0"/>
        <w:numPr>
          <w:ilvl w:val="0"/>
          <w:numId w:val="0"/>
        </w:numPr>
        <w:kinsoku/>
        <w:wordWrap/>
        <w:overflowPunct/>
        <w:topLinePunct w:val="0"/>
        <w:bidi w:val="0"/>
        <w:adjustRightInd w:val="0"/>
        <w:snapToGrid w:val="0"/>
        <w:spacing w:beforeAutospacing="0" w:afterAutospacing="0" w:line="400" w:lineRule="exact"/>
        <w:ind w:left="0" w:leftChars="0" w:right="0" w:firstLine="0" w:firstLineChars="0"/>
        <w:jc w:val="left"/>
        <w:rPr>
          <w:rFonts w:hint="eastAsia" w:asciiTheme="minorEastAsia" w:hAnsiTheme="minorEastAsia" w:eastAsiaTheme="minorEastAsia" w:cstheme="minorEastAsia"/>
          <w:b w:val="0"/>
          <w:bCs/>
          <w:color w:val="FF0000"/>
          <w:sz w:val="24"/>
          <w:szCs w:val="24"/>
          <w:lang w:val="en-US" w:eastAsia="zh-CN"/>
        </w:rPr>
      </w:pPr>
      <w:r>
        <w:rPr>
          <w:rFonts w:hint="eastAsia" w:asciiTheme="minorEastAsia" w:hAnsiTheme="minorEastAsia" w:eastAsiaTheme="minorEastAsia" w:cstheme="minorEastAsia"/>
          <w:b w:val="0"/>
          <w:bCs w:val="0"/>
          <w:color w:val="auto"/>
          <w:kern w:val="0"/>
          <w:sz w:val="24"/>
          <w:szCs w:val="24"/>
          <w:lang w:val="en-US" w:eastAsia="zh-CN" w:bidi="ar-SA"/>
        </w:rPr>
        <w:t xml:space="preserve">  卧式，水平出风，风量：850m³/h,出口静压：0Pa,排数：3排；制冷量：4.5KW，配可清洗抽拉式过滤器，220V，0.096KW。控制面板安装到可接触位置。</w:t>
      </w:r>
    </w:p>
    <w:p w14:paraId="5238B4D5">
      <w:pPr>
        <w:pageBreakBefore w:val="0"/>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lang w:val="en-US" w:eastAsia="zh-CN"/>
        </w:rPr>
        <w:t>六</w:t>
      </w:r>
      <w:r>
        <w:rPr>
          <w:rFonts w:hint="eastAsia" w:asciiTheme="minorEastAsia" w:hAnsiTheme="minorEastAsia" w:eastAsiaTheme="minorEastAsia" w:cstheme="minorEastAsia"/>
          <w:b/>
          <w:sz w:val="24"/>
          <w:szCs w:val="24"/>
          <w:lang w:eastAsia="zh-CN"/>
        </w:rPr>
        <w:t>）供气系统</w:t>
      </w:r>
    </w:p>
    <w:p w14:paraId="2BE03BDD">
      <w:pPr>
        <w:pStyle w:val="4"/>
        <w:pageBreakBefore w:val="0"/>
        <w:numPr>
          <w:ilvl w:val="2"/>
          <w:numId w:val="0"/>
        </w:numPr>
        <w:kinsoku/>
        <w:wordWrap/>
        <w:overflowPunct/>
        <w:topLinePunct w:val="0"/>
        <w:bidi w:val="0"/>
        <w:spacing w:before="0" w:beforeAutospacing="0" w:after="0" w:afterAutospacing="0" w:line="400" w:lineRule="exact"/>
        <w:ind w:left="0" w:leftChars="0" w:right="0" w:firstLine="0" w:firstLineChars="0"/>
        <w:rPr>
          <w:rFonts w:hint="eastAsia" w:asciiTheme="minorEastAsia" w:hAnsiTheme="minorEastAsia" w:eastAsiaTheme="minorEastAsia" w:cstheme="minorEastAsia"/>
          <w:b/>
          <w:bCs/>
          <w:sz w:val="24"/>
          <w:szCs w:val="24"/>
          <w:lang w:val="en-US" w:eastAsia="zh-CN"/>
        </w:rPr>
      </w:pPr>
      <w:bookmarkStart w:id="68" w:name="_Toc1028"/>
      <w:bookmarkStart w:id="69" w:name="_Toc82515221"/>
      <w:bookmarkStart w:id="70" w:name="_Toc2619"/>
      <w:bookmarkStart w:id="71" w:name="_Toc17520"/>
      <w:bookmarkStart w:id="72" w:name="_Toc15919"/>
      <w:r>
        <w:rPr>
          <w:rFonts w:hint="eastAsia" w:asciiTheme="minorEastAsia" w:hAnsiTheme="minorEastAsia" w:eastAsiaTheme="minorEastAsia" w:cstheme="minorEastAsia"/>
          <w:b/>
          <w:bCs/>
          <w:sz w:val="24"/>
          <w:szCs w:val="24"/>
          <w:lang w:val="en-US" w:eastAsia="zh-CN"/>
        </w:rPr>
        <w:t>1、</w:t>
      </w:r>
      <w:bookmarkEnd w:id="68"/>
      <w:bookmarkEnd w:id="69"/>
      <w:bookmarkEnd w:id="70"/>
      <w:bookmarkEnd w:id="71"/>
      <w:bookmarkEnd w:id="72"/>
      <w:r>
        <w:rPr>
          <w:rFonts w:hint="eastAsia" w:asciiTheme="minorEastAsia" w:hAnsiTheme="minorEastAsia" w:eastAsiaTheme="minorEastAsia" w:cstheme="minorEastAsia"/>
          <w:b/>
          <w:bCs/>
          <w:sz w:val="24"/>
          <w:szCs w:val="24"/>
          <w:lang w:val="en-US" w:eastAsia="zh-CN"/>
        </w:rPr>
        <w:t>方案要求</w:t>
      </w:r>
    </w:p>
    <w:p w14:paraId="54654C60">
      <w:pPr>
        <w:pageBreakBefore w:val="0"/>
        <w:numPr>
          <w:ilvl w:val="0"/>
          <w:numId w:val="102"/>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福海创石油化工有限公司实验楼及中控楼一层实验室气路管线系统工程包括主管道和室内支管，以及到各个用气点的管道、阀门及其附件。</w:t>
      </w:r>
      <w:r>
        <w:rPr>
          <w:rFonts w:hint="eastAsia" w:asciiTheme="minorEastAsia" w:hAnsiTheme="minorEastAsia" w:eastAsiaTheme="minorEastAsia" w:cstheme="minorEastAsia"/>
          <w:sz w:val="24"/>
          <w:szCs w:val="24"/>
          <w:lang w:val="en-US" w:eastAsia="zh-CN"/>
        </w:rPr>
        <w:t>更换钢瓶间高压软管40根。</w:t>
      </w:r>
    </w:p>
    <w:p w14:paraId="4D2FD677">
      <w:pPr>
        <w:pageBreakBefore w:val="0"/>
        <w:numPr>
          <w:ilvl w:val="0"/>
          <w:numId w:val="102"/>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主要工艺流程：从原主管道开三通接新的主管进入新建实验室，有新建主管开三通进入室内支管,再经由二级减压器进行二次减压，最终输送到终端使用点。</w:t>
      </w:r>
    </w:p>
    <w:p w14:paraId="1E7C4DC8">
      <w:pPr>
        <w:pageBreakBefore w:val="0"/>
        <w:numPr>
          <w:ilvl w:val="0"/>
          <w:numId w:val="102"/>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drawing>
          <wp:anchor distT="0" distB="0" distL="0" distR="0" simplePos="0" relativeHeight="251659264" behindDoc="0" locked="0" layoutInCell="1" allowOverlap="1">
            <wp:simplePos x="0" y="0"/>
            <wp:positionH relativeFrom="column">
              <wp:posOffset>361950</wp:posOffset>
            </wp:positionH>
            <wp:positionV relativeFrom="paragraph">
              <wp:posOffset>313055</wp:posOffset>
            </wp:positionV>
            <wp:extent cx="5050790" cy="3105785"/>
            <wp:effectExtent l="0" t="0" r="8890" b="3175"/>
            <wp:wrapTopAndBottom/>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050790" cy="3105785"/>
                    </a:xfrm>
                    <a:prstGeom prst="rect">
                      <a:avLst/>
                    </a:prstGeom>
                    <a:noFill/>
                    <a:ln>
                      <a:noFill/>
                    </a:ln>
                  </pic:spPr>
                </pic:pic>
              </a:graphicData>
            </a:graphic>
          </wp:anchor>
        </w:drawing>
      </w:r>
      <w:r>
        <w:rPr>
          <w:rFonts w:hint="eastAsia" w:asciiTheme="minorEastAsia" w:hAnsiTheme="minorEastAsia" w:eastAsiaTheme="minorEastAsia" w:cstheme="minorEastAsia"/>
          <w:sz w:val="24"/>
          <w:szCs w:val="24"/>
        </w:rPr>
        <w:t>气瓶主要的控制阀门和减压阀门均安装在实验室的功能柱和实验台的醒目位置，便于操作人员观察和控制。所有气体管路的连接采用无缝自动焊接技术。气体由主管进入各实验室后，经不锈钢管布管至相应可独立调压的组合式减压装置（安装于功能柱</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如下图</w:t>
      </w:r>
      <w:r>
        <w:rPr>
          <w:rFonts w:hint="eastAsia" w:asciiTheme="minorEastAsia" w:hAnsiTheme="minorEastAsia" w:eastAsiaTheme="minorEastAsia" w:cstheme="minorEastAsia"/>
          <w:sz w:val="24"/>
          <w:szCs w:val="24"/>
        </w:rPr>
        <w:t>）统一调压后，引至仪器工作台各使用点，使用点配置关断阀，关断阀安装在仪器台桌面上或墙壁上，便于操作人员观察和控制。</w:t>
      </w:r>
    </w:p>
    <w:p w14:paraId="69E82553">
      <w:pPr>
        <w:keepNext w:val="0"/>
        <w:keepLines w:val="0"/>
        <w:pageBreakBefore w:val="0"/>
        <w:widowControl w:val="0"/>
        <w:numPr>
          <w:ilvl w:val="0"/>
          <w:numId w:val="102"/>
        </w:numPr>
        <w:kinsoku/>
        <w:wordWrap/>
        <w:overflowPunct/>
        <w:topLinePunct w:val="0"/>
        <w:autoSpaceDE/>
        <w:autoSpaceDN/>
        <w:bidi w:val="0"/>
        <w:adjustRightInd w:val="0"/>
        <w:snapToGrid w:val="0"/>
        <w:spacing w:beforeAutospacing="0" w:afterAutospacing="0" w:line="400" w:lineRule="exact"/>
        <w:ind w:left="0" w:leftChars="0" w:right="0" w:firstLine="0" w:firstLineChars="0"/>
        <w:contextualSpacing/>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rPr>
        <w:t>新接主管</w:t>
      </w:r>
      <w:r>
        <w:rPr>
          <w:rFonts w:hint="eastAsia" w:asciiTheme="minorEastAsia" w:hAnsiTheme="minorEastAsia" w:eastAsiaTheme="minorEastAsia" w:cstheme="minorEastAsia"/>
          <w:b w:val="0"/>
          <w:bCs w:val="0"/>
          <w:sz w:val="24"/>
          <w:szCs w:val="24"/>
          <w:lang w:val="en-US" w:eastAsia="zh-CN"/>
        </w:rPr>
        <w:t>钢瓶间</w:t>
      </w:r>
      <w:r>
        <w:rPr>
          <w:rFonts w:hint="eastAsia" w:asciiTheme="minorEastAsia" w:hAnsiTheme="minorEastAsia" w:eastAsiaTheme="minorEastAsia" w:cstheme="minorEastAsia"/>
          <w:b w:val="0"/>
          <w:bCs w:val="0"/>
          <w:sz w:val="24"/>
          <w:szCs w:val="24"/>
        </w:rPr>
        <w:t>按照中控楼走廊进入</w:t>
      </w:r>
      <w:r>
        <w:rPr>
          <w:rFonts w:hint="eastAsia" w:asciiTheme="minorEastAsia" w:hAnsiTheme="minorEastAsia" w:eastAsiaTheme="minorEastAsia" w:cstheme="minorEastAsia"/>
          <w:b w:val="0"/>
          <w:bCs w:val="0"/>
          <w:sz w:val="24"/>
          <w:szCs w:val="24"/>
          <w:lang w:val="en-US" w:eastAsia="zh-CN"/>
        </w:rPr>
        <w:t>原中控改</w:t>
      </w:r>
      <w:r>
        <w:rPr>
          <w:rFonts w:hint="eastAsia" w:asciiTheme="minorEastAsia" w:hAnsiTheme="minorEastAsia" w:eastAsiaTheme="minorEastAsia" w:cstheme="minorEastAsia"/>
          <w:b w:val="0"/>
          <w:bCs w:val="0"/>
          <w:sz w:val="24"/>
          <w:szCs w:val="24"/>
        </w:rPr>
        <w:t>实验室</w:t>
      </w:r>
      <w:r>
        <w:rPr>
          <w:rFonts w:hint="eastAsia" w:asciiTheme="minorEastAsia" w:hAnsiTheme="minorEastAsia" w:eastAsiaTheme="minorEastAsia" w:cstheme="minorEastAsia"/>
          <w:b w:val="0"/>
          <w:bCs w:val="0"/>
          <w:sz w:val="24"/>
          <w:szCs w:val="24"/>
          <w:lang w:val="en-US" w:eastAsia="zh-CN"/>
        </w:rPr>
        <w:t>增加气路点（见附件一），芳烃化验楼增气路点</w:t>
      </w:r>
      <w:r>
        <w:rPr>
          <w:rFonts w:hint="eastAsia" w:asciiTheme="minorEastAsia" w:hAnsiTheme="minorEastAsia" w:eastAsiaTheme="minorEastAsia" w:cstheme="minorEastAsia"/>
          <w:b w:val="0"/>
          <w:bCs w:val="0"/>
          <w:sz w:val="24"/>
          <w:szCs w:val="24"/>
        </w:rPr>
        <w:t>主管</w:t>
      </w:r>
      <w:r>
        <w:rPr>
          <w:rFonts w:hint="eastAsia" w:asciiTheme="minorEastAsia" w:hAnsiTheme="minorEastAsia" w:eastAsiaTheme="minorEastAsia" w:cstheme="minorEastAsia"/>
          <w:b w:val="0"/>
          <w:bCs w:val="0"/>
          <w:sz w:val="24"/>
          <w:szCs w:val="24"/>
          <w:lang w:val="en-US" w:eastAsia="zh-CN"/>
        </w:rPr>
        <w:t>从芳烃化验二楼就近连接。</w:t>
      </w:r>
    </w:p>
    <w:p w14:paraId="559C74B6">
      <w:pPr>
        <w:keepNext w:val="0"/>
        <w:keepLines w:val="0"/>
        <w:pageBreakBefore w:val="0"/>
        <w:widowControl w:val="0"/>
        <w:numPr>
          <w:ilvl w:val="0"/>
          <w:numId w:val="102"/>
        </w:numPr>
        <w:kinsoku/>
        <w:wordWrap/>
        <w:overflowPunct/>
        <w:topLinePunct w:val="0"/>
        <w:autoSpaceDE/>
        <w:autoSpaceDN/>
        <w:bidi w:val="0"/>
        <w:adjustRightInd w:val="0"/>
        <w:snapToGrid w:val="0"/>
        <w:spacing w:beforeAutospacing="0" w:afterAutospacing="0" w:line="400" w:lineRule="exact"/>
        <w:ind w:left="0" w:leftChars="0" w:right="0" w:firstLine="0" w:firstLineChars="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实验室房间里面安装了氧浓度和可燃气体泄露报警系统，一旦气体泄露探测器监测后，会发给报警主机，同时会有报警灯和声光提示。</w:t>
      </w:r>
    </w:p>
    <w:p w14:paraId="5079BCFF">
      <w:pPr>
        <w:pageBreakBefore w:val="0"/>
        <w:numPr>
          <w:ilvl w:val="0"/>
          <w:numId w:val="102"/>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用于支撑气体管路安装的所有支架</w:t>
      </w:r>
      <w:r>
        <w:rPr>
          <w:rFonts w:hint="eastAsia" w:asciiTheme="minorEastAsia" w:hAnsiTheme="minorEastAsia" w:eastAsiaTheme="minorEastAsia" w:cstheme="minorEastAsia"/>
          <w:sz w:val="24"/>
          <w:szCs w:val="24"/>
          <w:lang w:val="en-US" w:eastAsia="zh-CN"/>
        </w:rPr>
        <w:t>和管卡采用铝合金材质，</w:t>
      </w:r>
      <w:r>
        <w:rPr>
          <w:rFonts w:hint="eastAsia" w:asciiTheme="minorEastAsia" w:hAnsiTheme="minorEastAsia" w:eastAsiaTheme="minorEastAsia" w:cstheme="minorEastAsia"/>
          <w:sz w:val="24"/>
          <w:szCs w:val="24"/>
        </w:rPr>
        <w:t>禁止使用容易生锈的支架辅材。</w:t>
      </w:r>
    </w:p>
    <w:p w14:paraId="69545B6D">
      <w:pPr>
        <w:pageBreakBefore w:val="0"/>
        <w:numPr>
          <w:ilvl w:val="0"/>
          <w:numId w:val="102"/>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气体管路支架间隔不大于1.5米，根据内径最小的气体管路确定支撑距离，所有弯曲处都要分别在两侧独立进行支撑。</w:t>
      </w:r>
    </w:p>
    <w:p w14:paraId="644447CD">
      <w:pPr>
        <w:pageBreakBefore w:val="0"/>
        <w:numPr>
          <w:ilvl w:val="0"/>
          <w:numId w:val="102"/>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管路沿天花板下方布设，若无天花板，则沿楼板下方铺设，进入实验室通过功能柱连接到仪器台，房间控制阀安装墙壁上，桌面控制阀安装在功能柱内，便于维修人员的检查和维修。</w:t>
      </w:r>
    </w:p>
    <w:p w14:paraId="3B8A6D5D">
      <w:pPr>
        <w:pageBreakBefore w:val="0"/>
        <w:numPr>
          <w:ilvl w:val="0"/>
          <w:numId w:val="102"/>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可燃性气体管道及氧气管道系统应有防静电措施，静电接地电阻不大于10欧姆，法兰连接处采用导体跨接，其跨接电阻不大于0.03欧姆，防静电接地电缆就近接至电气专业的等电位接地箱。</w:t>
      </w:r>
      <w:bookmarkStart w:id="73" w:name="_Toc82515222"/>
      <w:bookmarkStart w:id="74" w:name="_Toc996"/>
      <w:bookmarkStart w:id="75" w:name="_Toc11800"/>
      <w:bookmarkStart w:id="76" w:name="_Toc2583"/>
      <w:bookmarkStart w:id="77" w:name="_Toc3471"/>
    </w:p>
    <w:p w14:paraId="4397056E">
      <w:pPr>
        <w:pageBreakBefore w:val="0"/>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标准及规范</w:t>
      </w:r>
      <w:bookmarkEnd w:id="73"/>
      <w:bookmarkEnd w:id="74"/>
      <w:bookmarkEnd w:id="75"/>
      <w:bookmarkEnd w:id="76"/>
      <w:bookmarkEnd w:id="77"/>
    </w:p>
    <w:tbl>
      <w:tblPr>
        <w:tblStyle w:val="43"/>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547"/>
        <w:gridCol w:w="7229"/>
      </w:tblGrid>
      <w:tr w14:paraId="4385D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547" w:type="dxa"/>
            <w:shd w:val="clear" w:color="auto" w:fill="FFFFFF"/>
            <w:vAlign w:val="center"/>
          </w:tcPr>
          <w:p w14:paraId="13B8344A">
            <w:pPr>
              <w:pStyle w:val="215"/>
              <w:pageBreakBefore w:val="0"/>
              <w:kinsoku/>
              <w:wordWrap/>
              <w:overflowPunct/>
              <w:topLinePunct w:val="0"/>
              <w:bidi w:val="0"/>
              <w:spacing w:beforeAutospacing="0" w:afterAutospacing="0" w:line="400" w:lineRule="exact"/>
              <w:ind w:left="0" w:leftChars="0" w:right="0" w:firstLine="0" w:firstLineChars="0"/>
              <w:contextualSpacing/>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eastAsia="en-US" w:bidi="en-US"/>
              </w:rPr>
              <w:t>No.</w:t>
            </w:r>
            <w:r>
              <w:rPr>
                <w:rFonts w:hint="eastAsia" w:asciiTheme="minorEastAsia" w:hAnsiTheme="minorEastAsia" w:eastAsiaTheme="minorEastAsia" w:cstheme="minorEastAsia"/>
                <w:color w:val="000000"/>
                <w:sz w:val="24"/>
                <w:szCs w:val="24"/>
                <w:lang w:val="zh-TW" w:eastAsia="zh-TW" w:bidi="zh-TW"/>
              </w:rPr>
              <w:t>编号</w:t>
            </w:r>
          </w:p>
        </w:tc>
        <w:tc>
          <w:tcPr>
            <w:tcW w:w="7229" w:type="dxa"/>
            <w:shd w:val="clear" w:color="auto" w:fill="FFFFFF"/>
            <w:vAlign w:val="center"/>
          </w:tcPr>
          <w:p w14:paraId="1CBAC0DE">
            <w:pPr>
              <w:pStyle w:val="215"/>
              <w:pageBreakBefore w:val="0"/>
              <w:kinsoku/>
              <w:wordWrap/>
              <w:overflowPunct/>
              <w:topLinePunct w:val="0"/>
              <w:bidi w:val="0"/>
              <w:spacing w:beforeAutospacing="0" w:afterAutospacing="0" w:line="400" w:lineRule="exact"/>
              <w:ind w:left="0" w:leftChars="0" w:right="0" w:firstLine="0" w:firstLineChars="0"/>
              <w:contextualSpacing/>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eastAsia="en-US" w:bidi="en-US"/>
              </w:rPr>
              <w:t>Title</w:t>
            </w:r>
            <w:r>
              <w:rPr>
                <w:rFonts w:hint="eastAsia" w:asciiTheme="minorEastAsia" w:hAnsiTheme="minorEastAsia" w:eastAsiaTheme="minorEastAsia" w:cstheme="minorEastAsia"/>
                <w:color w:val="000000"/>
                <w:sz w:val="24"/>
                <w:szCs w:val="24"/>
                <w:lang w:val="zh-TW" w:eastAsia="zh-TW" w:bidi="zh-TW"/>
              </w:rPr>
              <w:t>名称</w:t>
            </w:r>
          </w:p>
        </w:tc>
      </w:tr>
      <w:tr w14:paraId="2F937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547" w:type="dxa"/>
            <w:shd w:val="clear" w:color="auto" w:fill="FFFFFF"/>
            <w:vAlign w:val="center"/>
          </w:tcPr>
          <w:p w14:paraId="7FB58A19">
            <w:pPr>
              <w:pStyle w:val="215"/>
              <w:pageBreakBefore w:val="0"/>
              <w:kinsoku/>
              <w:wordWrap/>
              <w:overflowPunct/>
              <w:topLinePunct w:val="0"/>
              <w:bidi w:val="0"/>
              <w:spacing w:beforeAutospacing="0" w:afterAutospacing="0" w:line="400" w:lineRule="exact"/>
              <w:ind w:left="0" w:leftChars="0" w:right="0" w:firstLine="0" w:firstLineChars="0"/>
              <w:contextualSpacing/>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eastAsia="en-US" w:bidi="en-US"/>
              </w:rPr>
              <w:t>GB50316-2000(2008</w:t>
            </w:r>
            <w:r>
              <w:rPr>
                <w:rFonts w:hint="eastAsia" w:asciiTheme="minorEastAsia" w:hAnsiTheme="minorEastAsia" w:eastAsiaTheme="minorEastAsia" w:cstheme="minorEastAsia"/>
                <w:color w:val="000000"/>
                <w:sz w:val="24"/>
                <w:szCs w:val="24"/>
                <w:lang w:val="zh-TW" w:eastAsia="zh-TW" w:bidi="zh-TW"/>
              </w:rPr>
              <w:t>版)</w:t>
            </w:r>
          </w:p>
        </w:tc>
        <w:tc>
          <w:tcPr>
            <w:tcW w:w="7229" w:type="dxa"/>
            <w:shd w:val="clear" w:color="auto" w:fill="FFFFFF"/>
            <w:vAlign w:val="center"/>
          </w:tcPr>
          <w:p w14:paraId="727FE57A">
            <w:pPr>
              <w:pStyle w:val="215"/>
              <w:pageBreakBefore w:val="0"/>
              <w:kinsoku/>
              <w:wordWrap/>
              <w:overflowPunct/>
              <w:topLinePunct w:val="0"/>
              <w:bidi w:val="0"/>
              <w:spacing w:beforeAutospacing="0" w:afterAutospacing="0" w:line="400" w:lineRule="exact"/>
              <w:ind w:left="0" w:leftChars="0" w:right="0" w:firstLine="0" w:firstLineChars="0"/>
              <w:contextualSpacing/>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val="zh-TW" w:eastAsia="zh-TW" w:bidi="zh-TW"/>
              </w:rPr>
              <w:t>工业金属管道设计规范</w:t>
            </w:r>
          </w:p>
        </w:tc>
      </w:tr>
      <w:tr w14:paraId="18C17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547" w:type="dxa"/>
            <w:shd w:val="clear" w:color="auto" w:fill="FFFFFF"/>
            <w:vAlign w:val="center"/>
          </w:tcPr>
          <w:p w14:paraId="47705E03">
            <w:pPr>
              <w:pStyle w:val="215"/>
              <w:pageBreakBefore w:val="0"/>
              <w:kinsoku/>
              <w:wordWrap/>
              <w:overflowPunct/>
              <w:topLinePunct w:val="0"/>
              <w:bidi w:val="0"/>
              <w:spacing w:beforeAutospacing="0" w:afterAutospacing="0" w:line="400" w:lineRule="exact"/>
              <w:ind w:left="0" w:leftChars="0" w:right="0" w:firstLine="0" w:firstLineChars="0"/>
              <w:contextualSpacing/>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eastAsia="en-US" w:bidi="en-US"/>
              </w:rPr>
              <w:t>GB50184-2011</w:t>
            </w:r>
          </w:p>
        </w:tc>
        <w:tc>
          <w:tcPr>
            <w:tcW w:w="7229" w:type="dxa"/>
            <w:shd w:val="clear" w:color="auto" w:fill="FFFFFF"/>
            <w:vAlign w:val="center"/>
          </w:tcPr>
          <w:p w14:paraId="3CD37F25">
            <w:pPr>
              <w:pStyle w:val="215"/>
              <w:pageBreakBefore w:val="0"/>
              <w:kinsoku/>
              <w:wordWrap/>
              <w:overflowPunct/>
              <w:topLinePunct w:val="0"/>
              <w:bidi w:val="0"/>
              <w:spacing w:beforeAutospacing="0" w:afterAutospacing="0" w:line="400" w:lineRule="exact"/>
              <w:ind w:left="0" w:leftChars="0" w:right="0" w:firstLine="0" w:firstLineChars="0"/>
              <w:contextualSpacing/>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val="zh-TW" w:eastAsia="zh-TW" w:bidi="zh-TW"/>
              </w:rPr>
              <w:t>工业金属管道工程施工质量验收规范</w:t>
            </w:r>
          </w:p>
        </w:tc>
      </w:tr>
      <w:tr w14:paraId="395C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547" w:type="dxa"/>
            <w:shd w:val="clear" w:color="auto" w:fill="FFFFFF"/>
            <w:vAlign w:val="center"/>
          </w:tcPr>
          <w:p w14:paraId="501AEBEB">
            <w:pPr>
              <w:pStyle w:val="215"/>
              <w:pageBreakBefore w:val="0"/>
              <w:kinsoku/>
              <w:wordWrap/>
              <w:overflowPunct/>
              <w:topLinePunct w:val="0"/>
              <w:bidi w:val="0"/>
              <w:spacing w:beforeAutospacing="0" w:afterAutospacing="0" w:line="400" w:lineRule="exact"/>
              <w:ind w:left="0" w:leftChars="0" w:right="0" w:firstLine="0" w:firstLineChars="0"/>
              <w:contextualSpacing/>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eastAsia="en-US" w:bidi="en-US"/>
              </w:rPr>
              <w:t>GB50236-2011</w:t>
            </w:r>
          </w:p>
        </w:tc>
        <w:tc>
          <w:tcPr>
            <w:tcW w:w="7229" w:type="dxa"/>
            <w:shd w:val="clear" w:color="auto" w:fill="FFFFFF"/>
            <w:vAlign w:val="center"/>
          </w:tcPr>
          <w:p w14:paraId="33D97B4D">
            <w:pPr>
              <w:pStyle w:val="215"/>
              <w:pageBreakBefore w:val="0"/>
              <w:kinsoku/>
              <w:wordWrap/>
              <w:overflowPunct/>
              <w:topLinePunct w:val="0"/>
              <w:bidi w:val="0"/>
              <w:spacing w:beforeAutospacing="0" w:afterAutospacing="0" w:line="400" w:lineRule="exact"/>
              <w:ind w:left="0" w:leftChars="0" w:right="0" w:firstLine="0" w:firstLineChars="0"/>
              <w:contextualSpacing/>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val="zh-TW" w:eastAsia="zh-TW" w:bidi="zh-TW"/>
              </w:rPr>
              <w:t>现场设备、工业管道焊接工程施工规范</w:t>
            </w:r>
          </w:p>
        </w:tc>
      </w:tr>
      <w:tr w14:paraId="77BB2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547" w:type="dxa"/>
            <w:shd w:val="clear" w:color="auto" w:fill="FFFFFF"/>
            <w:vAlign w:val="center"/>
          </w:tcPr>
          <w:p w14:paraId="1A64BD18">
            <w:pPr>
              <w:pStyle w:val="215"/>
              <w:pageBreakBefore w:val="0"/>
              <w:kinsoku/>
              <w:wordWrap/>
              <w:overflowPunct/>
              <w:topLinePunct w:val="0"/>
              <w:bidi w:val="0"/>
              <w:spacing w:beforeAutospacing="0" w:afterAutospacing="0" w:line="400" w:lineRule="exact"/>
              <w:ind w:left="0" w:leftChars="0" w:right="0" w:firstLine="0" w:firstLineChars="0"/>
              <w:contextualSpacing/>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eastAsia="en-US" w:bidi="en-US"/>
              </w:rPr>
              <w:t>GB50016-2014</w:t>
            </w:r>
          </w:p>
        </w:tc>
        <w:tc>
          <w:tcPr>
            <w:tcW w:w="7229" w:type="dxa"/>
            <w:shd w:val="clear" w:color="auto" w:fill="FFFFFF"/>
            <w:vAlign w:val="center"/>
          </w:tcPr>
          <w:p w14:paraId="25B6FAAB">
            <w:pPr>
              <w:pStyle w:val="215"/>
              <w:pageBreakBefore w:val="0"/>
              <w:kinsoku/>
              <w:wordWrap/>
              <w:overflowPunct/>
              <w:topLinePunct w:val="0"/>
              <w:bidi w:val="0"/>
              <w:spacing w:beforeAutospacing="0" w:afterAutospacing="0" w:line="400" w:lineRule="exact"/>
              <w:ind w:left="0" w:leftChars="0" w:right="0" w:firstLine="0" w:firstLineChars="0"/>
              <w:contextualSpacing/>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val="zh-TW" w:eastAsia="zh-TW" w:bidi="zh-TW"/>
              </w:rPr>
              <w:t>建筑设计防火规范(2018年版)</w:t>
            </w:r>
          </w:p>
        </w:tc>
      </w:tr>
      <w:tr w14:paraId="5A7C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547" w:type="dxa"/>
            <w:shd w:val="clear" w:color="auto" w:fill="FFFFFF"/>
            <w:vAlign w:val="center"/>
          </w:tcPr>
          <w:p w14:paraId="61E32D26">
            <w:pPr>
              <w:pStyle w:val="215"/>
              <w:pageBreakBefore w:val="0"/>
              <w:kinsoku/>
              <w:wordWrap/>
              <w:overflowPunct/>
              <w:topLinePunct w:val="0"/>
              <w:bidi w:val="0"/>
              <w:spacing w:beforeAutospacing="0" w:afterAutospacing="0" w:line="400" w:lineRule="exact"/>
              <w:ind w:left="0" w:leftChars="0" w:right="0" w:firstLine="0" w:firstLineChars="0"/>
              <w:contextualSpacing/>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eastAsia="en-US" w:bidi="en-US"/>
              </w:rPr>
              <w:t>GB 4962-2008</w:t>
            </w:r>
          </w:p>
        </w:tc>
        <w:tc>
          <w:tcPr>
            <w:tcW w:w="7229" w:type="dxa"/>
            <w:shd w:val="clear" w:color="auto" w:fill="FFFFFF"/>
            <w:vAlign w:val="center"/>
          </w:tcPr>
          <w:p w14:paraId="6347F487">
            <w:pPr>
              <w:pStyle w:val="215"/>
              <w:pageBreakBefore w:val="0"/>
              <w:kinsoku/>
              <w:wordWrap/>
              <w:overflowPunct/>
              <w:topLinePunct w:val="0"/>
              <w:bidi w:val="0"/>
              <w:spacing w:beforeAutospacing="0" w:afterAutospacing="0" w:line="400" w:lineRule="exact"/>
              <w:ind w:left="0" w:leftChars="0" w:right="0" w:firstLine="0" w:firstLineChars="0"/>
              <w:contextualSpacing/>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val="zh-TW" w:eastAsia="zh-TW" w:bidi="zh-TW"/>
              </w:rPr>
              <w:t>氢气使用安全技术规程</w:t>
            </w:r>
          </w:p>
        </w:tc>
      </w:tr>
      <w:tr w14:paraId="7756B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547" w:type="dxa"/>
            <w:shd w:val="clear" w:color="auto" w:fill="FFFFFF"/>
            <w:vAlign w:val="center"/>
          </w:tcPr>
          <w:p w14:paraId="7F7F943E">
            <w:pPr>
              <w:pStyle w:val="215"/>
              <w:pageBreakBefore w:val="0"/>
              <w:kinsoku/>
              <w:wordWrap/>
              <w:overflowPunct/>
              <w:topLinePunct w:val="0"/>
              <w:bidi w:val="0"/>
              <w:spacing w:beforeAutospacing="0" w:afterAutospacing="0" w:line="400" w:lineRule="exact"/>
              <w:ind w:left="0" w:leftChars="0" w:right="0" w:firstLine="0" w:firstLineChars="0"/>
              <w:contextualSpacing/>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eastAsia="en-US" w:bidi="en-US"/>
              </w:rPr>
              <w:t>GB50177-2005</w:t>
            </w:r>
          </w:p>
        </w:tc>
        <w:tc>
          <w:tcPr>
            <w:tcW w:w="7229" w:type="dxa"/>
            <w:shd w:val="clear" w:color="auto" w:fill="FFFFFF"/>
            <w:vAlign w:val="center"/>
          </w:tcPr>
          <w:p w14:paraId="5C6705CF">
            <w:pPr>
              <w:pStyle w:val="215"/>
              <w:pageBreakBefore w:val="0"/>
              <w:kinsoku/>
              <w:wordWrap/>
              <w:overflowPunct/>
              <w:topLinePunct w:val="0"/>
              <w:bidi w:val="0"/>
              <w:spacing w:beforeAutospacing="0" w:afterAutospacing="0" w:line="400" w:lineRule="exact"/>
              <w:ind w:left="0" w:leftChars="0" w:right="0" w:firstLine="0" w:firstLineChars="0"/>
              <w:contextualSpacing/>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val="zh-TW" w:eastAsia="zh-TW" w:bidi="zh-TW"/>
              </w:rPr>
              <w:t>氢气站设计规范</w:t>
            </w:r>
          </w:p>
        </w:tc>
      </w:tr>
      <w:tr w14:paraId="16E5C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547" w:type="dxa"/>
            <w:shd w:val="clear" w:color="auto" w:fill="FFFFFF"/>
            <w:vAlign w:val="center"/>
          </w:tcPr>
          <w:p w14:paraId="54A935EC">
            <w:pPr>
              <w:pStyle w:val="215"/>
              <w:pageBreakBefore w:val="0"/>
              <w:kinsoku/>
              <w:wordWrap/>
              <w:overflowPunct/>
              <w:topLinePunct w:val="0"/>
              <w:bidi w:val="0"/>
              <w:spacing w:beforeAutospacing="0" w:afterAutospacing="0" w:line="400" w:lineRule="exact"/>
              <w:ind w:left="0" w:leftChars="0" w:right="0" w:firstLine="0" w:firstLineChars="0"/>
              <w:contextualSpacing/>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eastAsia="en-US" w:bidi="en-US"/>
              </w:rPr>
              <w:t>GB50030-2013</w:t>
            </w:r>
          </w:p>
        </w:tc>
        <w:tc>
          <w:tcPr>
            <w:tcW w:w="7229" w:type="dxa"/>
            <w:shd w:val="clear" w:color="auto" w:fill="FFFFFF"/>
            <w:vAlign w:val="center"/>
          </w:tcPr>
          <w:p w14:paraId="7A868D40">
            <w:pPr>
              <w:pStyle w:val="215"/>
              <w:pageBreakBefore w:val="0"/>
              <w:kinsoku/>
              <w:wordWrap/>
              <w:overflowPunct/>
              <w:topLinePunct w:val="0"/>
              <w:bidi w:val="0"/>
              <w:spacing w:beforeAutospacing="0" w:afterAutospacing="0" w:line="400" w:lineRule="exact"/>
              <w:ind w:left="0" w:leftChars="0" w:right="0" w:firstLine="0" w:firstLineChars="0"/>
              <w:contextualSpacing/>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val="zh-TW" w:eastAsia="zh-TW" w:bidi="zh-TW"/>
              </w:rPr>
              <w:t>氧气站设计规范</w:t>
            </w:r>
          </w:p>
        </w:tc>
      </w:tr>
      <w:tr w14:paraId="6874E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547" w:type="dxa"/>
            <w:shd w:val="clear" w:color="auto" w:fill="FFFFFF"/>
            <w:vAlign w:val="center"/>
          </w:tcPr>
          <w:p w14:paraId="0904E945">
            <w:pPr>
              <w:pStyle w:val="215"/>
              <w:pageBreakBefore w:val="0"/>
              <w:kinsoku/>
              <w:wordWrap/>
              <w:overflowPunct/>
              <w:topLinePunct w:val="0"/>
              <w:bidi w:val="0"/>
              <w:spacing w:beforeAutospacing="0" w:afterAutospacing="0" w:line="400" w:lineRule="exact"/>
              <w:ind w:left="0" w:leftChars="0" w:right="0" w:firstLine="0" w:firstLineChars="0"/>
              <w:contextualSpacing/>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eastAsia="en-US" w:bidi="en-US"/>
              </w:rPr>
              <w:t>GB50029-2014</w:t>
            </w:r>
          </w:p>
        </w:tc>
        <w:tc>
          <w:tcPr>
            <w:tcW w:w="7229" w:type="dxa"/>
            <w:shd w:val="clear" w:color="auto" w:fill="FFFFFF"/>
            <w:vAlign w:val="center"/>
          </w:tcPr>
          <w:p w14:paraId="1C75A62E">
            <w:pPr>
              <w:pStyle w:val="215"/>
              <w:pageBreakBefore w:val="0"/>
              <w:kinsoku/>
              <w:wordWrap/>
              <w:overflowPunct/>
              <w:topLinePunct w:val="0"/>
              <w:bidi w:val="0"/>
              <w:spacing w:beforeAutospacing="0" w:afterAutospacing="0" w:line="400" w:lineRule="exact"/>
              <w:ind w:left="0" w:leftChars="0" w:right="0" w:firstLine="0" w:firstLineChars="0"/>
              <w:contextualSpacing/>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val="zh-TW" w:eastAsia="zh-TW" w:bidi="zh-TW"/>
              </w:rPr>
              <w:t>压缩空气站设计规范</w:t>
            </w:r>
          </w:p>
        </w:tc>
      </w:tr>
      <w:tr w14:paraId="3860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547" w:type="dxa"/>
            <w:shd w:val="clear" w:color="auto" w:fill="FFFFFF"/>
            <w:vAlign w:val="center"/>
          </w:tcPr>
          <w:p w14:paraId="68284BAD">
            <w:pPr>
              <w:pStyle w:val="215"/>
              <w:pageBreakBefore w:val="0"/>
              <w:kinsoku/>
              <w:wordWrap/>
              <w:overflowPunct/>
              <w:topLinePunct w:val="0"/>
              <w:bidi w:val="0"/>
              <w:spacing w:beforeAutospacing="0" w:afterAutospacing="0" w:line="400" w:lineRule="exact"/>
              <w:ind w:left="0" w:leftChars="0" w:right="0" w:firstLine="0" w:firstLineChars="0"/>
              <w:contextualSpacing/>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eastAsia="en-US" w:bidi="en-US"/>
              </w:rPr>
              <w:t>GB/T18268.1-2010</w:t>
            </w:r>
          </w:p>
        </w:tc>
        <w:tc>
          <w:tcPr>
            <w:tcW w:w="7229" w:type="dxa"/>
            <w:shd w:val="clear" w:color="auto" w:fill="FFFFFF"/>
            <w:vAlign w:val="center"/>
          </w:tcPr>
          <w:p w14:paraId="6CEC17F7">
            <w:pPr>
              <w:pStyle w:val="215"/>
              <w:pageBreakBefore w:val="0"/>
              <w:kinsoku/>
              <w:wordWrap/>
              <w:overflowPunct/>
              <w:topLinePunct w:val="0"/>
              <w:bidi w:val="0"/>
              <w:spacing w:beforeAutospacing="0" w:afterAutospacing="0" w:line="400" w:lineRule="exact"/>
              <w:ind w:left="0" w:leftChars="0" w:right="0" w:firstLine="0" w:firstLineChars="0"/>
              <w:contextualSpacing/>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val="zh-TW" w:eastAsia="zh-TW" w:bidi="zh-TW"/>
              </w:rPr>
              <w:t>测量、控制和实验室用的电设备电磁兼容性要求</w:t>
            </w:r>
            <w:r>
              <w:rPr>
                <w:rFonts w:hint="eastAsia" w:asciiTheme="minorEastAsia" w:hAnsiTheme="minorEastAsia" w:eastAsiaTheme="minorEastAsia" w:cstheme="minorEastAsia"/>
                <w:color w:val="000000"/>
                <w:sz w:val="24"/>
                <w:szCs w:val="24"/>
                <w:lang w:val="zh-TW" w:bidi="zh-TW"/>
              </w:rPr>
              <w:t xml:space="preserve"> </w:t>
            </w:r>
            <w:r>
              <w:rPr>
                <w:rFonts w:hint="eastAsia" w:asciiTheme="minorEastAsia" w:hAnsiTheme="minorEastAsia" w:eastAsiaTheme="minorEastAsia" w:cstheme="minorEastAsia"/>
                <w:color w:val="000000"/>
                <w:sz w:val="24"/>
                <w:szCs w:val="24"/>
                <w:lang w:val="zh-TW" w:eastAsia="zh-TW" w:bidi="zh-TW"/>
              </w:rPr>
              <w:t>第1部分：</w:t>
            </w:r>
            <w:r>
              <w:rPr>
                <w:rFonts w:hint="eastAsia" w:asciiTheme="minorEastAsia" w:hAnsiTheme="minorEastAsia" w:eastAsiaTheme="minorEastAsia" w:cstheme="minorEastAsia"/>
                <w:color w:val="000000"/>
                <w:sz w:val="24"/>
                <w:szCs w:val="24"/>
                <w:lang w:bidi="zh-TW"/>
              </w:rPr>
              <w:t>通用要求</w:t>
            </w:r>
          </w:p>
        </w:tc>
      </w:tr>
      <w:tr w14:paraId="3F28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547" w:type="dxa"/>
            <w:shd w:val="clear" w:color="auto" w:fill="FFFFFF"/>
            <w:vAlign w:val="center"/>
          </w:tcPr>
          <w:p w14:paraId="64C4E188">
            <w:pPr>
              <w:pStyle w:val="215"/>
              <w:pageBreakBefore w:val="0"/>
              <w:kinsoku/>
              <w:wordWrap/>
              <w:overflowPunct/>
              <w:topLinePunct w:val="0"/>
              <w:bidi w:val="0"/>
              <w:spacing w:beforeAutospacing="0" w:afterAutospacing="0" w:line="400" w:lineRule="exact"/>
              <w:ind w:left="0" w:leftChars="0" w:right="0" w:firstLine="0" w:firstLineChars="0"/>
              <w:contextualSpacing/>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eastAsia="en-US" w:bidi="en-US"/>
              </w:rPr>
              <w:t>GB 4793.1-2007</w:t>
            </w:r>
          </w:p>
        </w:tc>
        <w:tc>
          <w:tcPr>
            <w:tcW w:w="7229" w:type="dxa"/>
            <w:shd w:val="clear" w:color="auto" w:fill="FFFFFF"/>
            <w:vAlign w:val="center"/>
          </w:tcPr>
          <w:p w14:paraId="700D0940">
            <w:pPr>
              <w:pStyle w:val="215"/>
              <w:pageBreakBefore w:val="0"/>
              <w:kinsoku/>
              <w:wordWrap/>
              <w:overflowPunct/>
              <w:topLinePunct w:val="0"/>
              <w:bidi w:val="0"/>
              <w:spacing w:beforeAutospacing="0" w:afterAutospacing="0" w:line="400" w:lineRule="exact"/>
              <w:ind w:left="0" w:leftChars="0" w:right="0" w:firstLine="0" w:firstLineChars="0"/>
              <w:contextualSpacing/>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val="zh-TW" w:eastAsia="zh-TW" w:bidi="zh-TW"/>
              </w:rPr>
              <w:t>测量、控制和实验室用电气设备安全通用要求</w:t>
            </w:r>
          </w:p>
        </w:tc>
      </w:tr>
      <w:tr w14:paraId="3111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547" w:type="dxa"/>
            <w:shd w:val="clear" w:color="auto" w:fill="FFFFFF"/>
            <w:vAlign w:val="center"/>
          </w:tcPr>
          <w:p w14:paraId="1DBADE99">
            <w:pPr>
              <w:pStyle w:val="215"/>
              <w:pageBreakBefore w:val="0"/>
              <w:kinsoku/>
              <w:wordWrap/>
              <w:overflowPunct/>
              <w:topLinePunct w:val="0"/>
              <w:bidi w:val="0"/>
              <w:spacing w:beforeAutospacing="0" w:afterAutospacing="0" w:line="400" w:lineRule="exact"/>
              <w:ind w:left="0" w:leftChars="0" w:right="0" w:firstLine="0" w:firstLineChars="0"/>
              <w:contextualSpacing/>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eastAsia="en-US" w:bidi="en-US"/>
              </w:rPr>
              <w:t>GB 7231-2003</w:t>
            </w:r>
          </w:p>
        </w:tc>
        <w:tc>
          <w:tcPr>
            <w:tcW w:w="7229" w:type="dxa"/>
            <w:shd w:val="clear" w:color="auto" w:fill="FFFFFF"/>
            <w:vAlign w:val="center"/>
          </w:tcPr>
          <w:p w14:paraId="24FA4ABB">
            <w:pPr>
              <w:pStyle w:val="215"/>
              <w:pageBreakBefore w:val="0"/>
              <w:kinsoku/>
              <w:wordWrap/>
              <w:overflowPunct/>
              <w:topLinePunct w:val="0"/>
              <w:bidi w:val="0"/>
              <w:spacing w:beforeAutospacing="0" w:afterAutospacing="0" w:line="400" w:lineRule="exact"/>
              <w:ind w:left="0" w:leftChars="0" w:right="0" w:firstLine="0" w:firstLineChars="0"/>
              <w:contextualSpacing/>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val="zh-TW" w:eastAsia="zh-TW" w:bidi="zh-TW"/>
              </w:rPr>
              <w:t>工业管道的基本识别色、识别符号和安全标识</w:t>
            </w:r>
          </w:p>
        </w:tc>
      </w:tr>
    </w:tbl>
    <w:p w14:paraId="0F77AF4C">
      <w:pPr>
        <w:pStyle w:val="4"/>
        <w:keepNext w:val="0"/>
        <w:keepLines/>
        <w:pageBreakBefore w:val="0"/>
        <w:widowControl w:val="0"/>
        <w:numPr>
          <w:ilvl w:val="2"/>
          <w:numId w:val="0"/>
        </w:numPr>
        <w:kinsoku/>
        <w:wordWrap/>
        <w:overflowPunct/>
        <w:topLinePunct w:val="0"/>
        <w:autoSpaceDE/>
        <w:autoSpaceDN/>
        <w:bidi w:val="0"/>
        <w:adjustRightInd/>
        <w:snapToGrid/>
        <w:spacing w:before="0" w:beforeAutospacing="0" w:after="0" w:afterAutospacing="0" w:line="400" w:lineRule="exact"/>
        <w:ind w:left="0" w:leftChars="0" w:right="0" w:firstLine="0" w:firstLineChars="0"/>
        <w:textAlignment w:val="auto"/>
        <w:rPr>
          <w:rFonts w:hint="eastAsia" w:asciiTheme="minorEastAsia" w:hAnsiTheme="minorEastAsia" w:eastAsiaTheme="minorEastAsia" w:cstheme="minorEastAsia"/>
          <w:b/>
          <w:bCs/>
          <w:sz w:val="24"/>
          <w:szCs w:val="24"/>
        </w:rPr>
      </w:pPr>
      <w:bookmarkStart w:id="78" w:name="_Toc19794"/>
      <w:bookmarkStart w:id="79" w:name="_Toc29704"/>
      <w:bookmarkStart w:id="80" w:name="_Toc248"/>
      <w:bookmarkStart w:id="81" w:name="_Toc19477"/>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 xml:space="preserve"> </w:t>
      </w:r>
      <w:bookmarkStart w:id="82" w:name="_Toc82515223"/>
      <w:r>
        <w:rPr>
          <w:rFonts w:hint="eastAsia" w:asciiTheme="minorEastAsia" w:hAnsiTheme="minorEastAsia" w:eastAsiaTheme="minorEastAsia" w:cstheme="minorEastAsia"/>
          <w:b/>
          <w:bCs/>
          <w:sz w:val="24"/>
          <w:szCs w:val="24"/>
        </w:rPr>
        <w:t>气路管线系统技术要求</w:t>
      </w:r>
      <w:bookmarkEnd w:id="78"/>
      <w:bookmarkEnd w:id="79"/>
      <w:bookmarkEnd w:id="80"/>
      <w:bookmarkEnd w:id="81"/>
      <w:bookmarkEnd w:id="82"/>
    </w:p>
    <w:p w14:paraId="75221D07">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rPr>
      </w:pPr>
      <w:bookmarkStart w:id="83" w:name="_Toc23361"/>
      <w:bookmarkStart w:id="84" w:name="_Toc82515225"/>
      <w:bookmarkStart w:id="85" w:name="_Toc29351"/>
      <w:r>
        <w:rPr>
          <w:rFonts w:hint="eastAsia" w:asciiTheme="minorEastAsia" w:hAnsiTheme="minorEastAsia" w:eastAsiaTheme="minorEastAsia" w:cstheme="minorEastAsia"/>
          <w:b/>
          <w:sz w:val="24"/>
          <w:szCs w:val="24"/>
          <w:lang w:val="en-US" w:eastAsia="zh-CN"/>
        </w:rPr>
        <w:t>（1）</w:t>
      </w:r>
      <w:r>
        <w:rPr>
          <w:rFonts w:hint="eastAsia" w:asciiTheme="minorEastAsia" w:hAnsiTheme="minorEastAsia" w:eastAsiaTheme="minorEastAsia" w:cstheme="minorEastAsia"/>
          <w:b/>
          <w:sz w:val="24"/>
          <w:szCs w:val="24"/>
        </w:rPr>
        <w:t>二级减压器技术参数：</w:t>
      </w:r>
    </w:p>
    <w:p w14:paraId="58ED59DB">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膜片式减压器，输出压力稳定，适用于实验室气体分析仪、高纯气体、腐蚀性气体场合。</w:t>
      </w:r>
    </w:p>
    <w:p w14:paraId="2ACC88AD">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结构特点：</w:t>
      </w:r>
    </w:p>
    <w:p w14:paraId="17314A5C">
      <w:pPr>
        <w:pageBreakBefore w:val="0"/>
        <w:numPr>
          <w:ilvl w:val="0"/>
          <w:numId w:val="10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采用特气单级式减压器</w:t>
      </w:r>
    </w:p>
    <w:p w14:paraId="54BE410A">
      <w:pPr>
        <w:pageBreakBefore w:val="0"/>
        <w:numPr>
          <w:ilvl w:val="0"/>
          <w:numId w:val="10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母体与膜片采用硬密封形式</w:t>
      </w:r>
    </w:p>
    <w:p w14:paraId="6A78FA41">
      <w:pPr>
        <w:pageBreakBefore w:val="0"/>
        <w:numPr>
          <w:ilvl w:val="0"/>
          <w:numId w:val="10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母体螺纹：1/4”NPT(F)</w:t>
      </w:r>
    </w:p>
    <w:p w14:paraId="4B4AB601">
      <w:pPr>
        <w:pageBreakBefore w:val="0"/>
        <w:numPr>
          <w:ilvl w:val="0"/>
          <w:numId w:val="10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内部结构易吹扫</w:t>
      </w:r>
    </w:p>
    <w:p w14:paraId="7CB03B71">
      <w:pPr>
        <w:pageBreakBefore w:val="0"/>
        <w:numPr>
          <w:ilvl w:val="0"/>
          <w:numId w:val="10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内设双层过滤网</w:t>
      </w:r>
    </w:p>
    <w:p w14:paraId="6292F723">
      <w:pPr>
        <w:pageBreakBefore w:val="0"/>
        <w:numPr>
          <w:ilvl w:val="0"/>
          <w:numId w:val="103"/>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可采用面板或墙式安装</w:t>
      </w:r>
    </w:p>
    <w:p w14:paraId="710C0815">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材料结构：</w:t>
      </w:r>
    </w:p>
    <w:p w14:paraId="5524E2B9">
      <w:pPr>
        <w:pageBreakBefore w:val="0"/>
        <w:numPr>
          <w:ilvl w:val="0"/>
          <w:numId w:val="10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减压器母体：316L</w:t>
      </w:r>
    </w:p>
    <w:p w14:paraId="30C200D2">
      <w:pPr>
        <w:pageBreakBefore w:val="0"/>
        <w:numPr>
          <w:ilvl w:val="0"/>
          <w:numId w:val="10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减压器密封材质：PTFE、PCTFE、PEEK</w:t>
      </w:r>
    </w:p>
    <w:p w14:paraId="05C87031">
      <w:pPr>
        <w:pageBreakBefore w:val="0"/>
        <w:numPr>
          <w:ilvl w:val="0"/>
          <w:numId w:val="104"/>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减压器膜片：316L</w:t>
      </w:r>
    </w:p>
    <w:p w14:paraId="0EE91CD6">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技术参数：</w:t>
      </w:r>
    </w:p>
    <w:p w14:paraId="3178E491">
      <w:pPr>
        <w:pageBreakBefore w:val="0"/>
        <w:numPr>
          <w:ilvl w:val="0"/>
          <w:numId w:val="105"/>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rPr>
        <w:t>最大输入压力：500Psi</w:t>
      </w:r>
      <w:r>
        <w:rPr>
          <w:rFonts w:hint="eastAsia" w:asciiTheme="minorEastAsia" w:hAnsiTheme="minorEastAsia" w:eastAsiaTheme="minorEastAsia" w:cstheme="minorEastAsia"/>
          <w:b w:val="0"/>
          <w:bCs w:val="0"/>
          <w:color w:val="auto"/>
          <w:sz w:val="24"/>
          <w:szCs w:val="24"/>
          <w:lang w:eastAsia="zh-CN"/>
        </w:rPr>
        <w:t>；</w:t>
      </w:r>
      <w:r>
        <w:rPr>
          <w:rFonts w:hint="eastAsia" w:asciiTheme="minorEastAsia" w:hAnsiTheme="minorEastAsia" w:eastAsiaTheme="minorEastAsia" w:cstheme="minorEastAsia"/>
          <w:b w:val="0"/>
          <w:bCs w:val="0"/>
          <w:color w:val="auto"/>
          <w:sz w:val="24"/>
          <w:szCs w:val="24"/>
          <w:lang w:val="en-US" w:eastAsia="zh-CN"/>
        </w:rPr>
        <w:t>氧气管路输入选择不低于1000psi。</w:t>
      </w:r>
    </w:p>
    <w:p w14:paraId="40D3B2A5">
      <w:pPr>
        <w:pageBreakBefore w:val="0"/>
        <w:numPr>
          <w:ilvl w:val="0"/>
          <w:numId w:val="105"/>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rPr>
        <w:t>输出压力：</w:t>
      </w:r>
      <w:r>
        <w:rPr>
          <w:rFonts w:hint="eastAsia" w:asciiTheme="minorEastAsia" w:hAnsiTheme="minorEastAsia" w:eastAsiaTheme="minorEastAsia" w:cstheme="minorEastAsia"/>
          <w:b w:val="0"/>
          <w:bCs w:val="0"/>
          <w:color w:val="auto"/>
          <w:sz w:val="24"/>
          <w:szCs w:val="24"/>
          <w:highlight w:val="none"/>
        </w:rPr>
        <w:t>0-150 Psi（0-1mpa）可调</w:t>
      </w:r>
      <w:r>
        <w:rPr>
          <w:rFonts w:hint="eastAsia" w:asciiTheme="minorEastAsia" w:hAnsiTheme="minorEastAsia" w:eastAsiaTheme="minorEastAsia" w:cstheme="minorEastAsia"/>
          <w:b w:val="0"/>
          <w:bCs w:val="0"/>
          <w:color w:val="auto"/>
          <w:sz w:val="24"/>
          <w:szCs w:val="24"/>
          <w:highlight w:val="none"/>
          <w:lang w:eastAsia="zh-CN"/>
        </w:rPr>
        <w:t>；</w:t>
      </w:r>
      <w:r>
        <w:rPr>
          <w:rFonts w:hint="eastAsia" w:asciiTheme="minorEastAsia" w:hAnsiTheme="minorEastAsia" w:eastAsiaTheme="minorEastAsia" w:cstheme="minorEastAsia"/>
          <w:b w:val="0"/>
          <w:bCs w:val="0"/>
          <w:color w:val="auto"/>
          <w:sz w:val="24"/>
          <w:szCs w:val="24"/>
          <w:lang w:val="en-US" w:eastAsia="zh-CN"/>
        </w:rPr>
        <w:t>高压氧输出（0-6）MPa可调，</w:t>
      </w:r>
    </w:p>
    <w:p w14:paraId="68BD0D49">
      <w:pPr>
        <w:pageBreakBefore w:val="0"/>
        <w:numPr>
          <w:ilvl w:val="0"/>
          <w:numId w:val="105"/>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安全测试压力：1.5倍的最大输出压力</w:t>
      </w:r>
    </w:p>
    <w:p w14:paraId="1B9415F2">
      <w:pPr>
        <w:pageBreakBefore w:val="0"/>
        <w:numPr>
          <w:ilvl w:val="0"/>
          <w:numId w:val="105"/>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适用温度：-40℃-+74℃</w:t>
      </w:r>
    </w:p>
    <w:p w14:paraId="3523ABF5">
      <w:pPr>
        <w:pageBreakBefore w:val="0"/>
        <w:numPr>
          <w:ilvl w:val="0"/>
          <w:numId w:val="105"/>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泄漏率</w:t>
      </w:r>
      <w:r>
        <w:rPr>
          <w:rFonts w:hint="eastAsia" w:asciiTheme="minorEastAsia" w:hAnsiTheme="minorEastAsia" w:eastAsiaTheme="minorEastAsia" w:cstheme="minorEastAsia"/>
          <w:color w:val="auto"/>
          <w:sz w:val="24"/>
          <w:szCs w:val="24"/>
          <w:highlight w:val="none"/>
        </w:rPr>
        <w:t>：2*10-8atm cc/sec He</w:t>
      </w:r>
    </w:p>
    <w:p w14:paraId="3763D5DD">
      <w:pPr>
        <w:pageBreakBefore w:val="0"/>
        <w:numPr>
          <w:ilvl w:val="0"/>
          <w:numId w:val="105"/>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CV：0.15</w:t>
      </w:r>
    </w:p>
    <w:p w14:paraId="0F9CA42E">
      <w:pPr>
        <w:pageBreakBefore w:val="0"/>
        <w:numPr>
          <w:ilvl w:val="0"/>
          <w:numId w:val="105"/>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highlight w:val="none"/>
          <w:lang w:val="en-US" w:eastAsia="zh-CN" w:bidi="ar"/>
        </w:rPr>
        <w:t>减压器</w:t>
      </w:r>
      <w:r>
        <w:rPr>
          <w:rFonts w:hint="eastAsia" w:asciiTheme="minorEastAsia" w:hAnsiTheme="minorEastAsia" w:eastAsiaTheme="minorEastAsia" w:cstheme="minorEastAsia"/>
          <w:color w:val="auto"/>
          <w:kern w:val="0"/>
          <w:sz w:val="24"/>
          <w:szCs w:val="24"/>
          <w:highlight w:val="none"/>
          <w:lang w:eastAsia="zh-CN" w:bidi="ar"/>
        </w:rPr>
        <w:t>需</w:t>
      </w:r>
      <w:r>
        <w:rPr>
          <w:rFonts w:hint="eastAsia" w:asciiTheme="minorEastAsia" w:hAnsiTheme="minorEastAsia" w:eastAsiaTheme="minorEastAsia" w:cstheme="minorEastAsia"/>
          <w:color w:val="auto"/>
          <w:kern w:val="0"/>
          <w:sz w:val="24"/>
          <w:szCs w:val="24"/>
          <w:highlight w:val="none"/>
          <w:lang w:val="en-US" w:eastAsia="zh-CN" w:bidi="ar"/>
        </w:rPr>
        <w:t>提供</w:t>
      </w:r>
      <w:r>
        <w:rPr>
          <w:rFonts w:hint="eastAsia" w:asciiTheme="minorEastAsia" w:hAnsiTheme="minorEastAsia" w:eastAsiaTheme="minorEastAsia" w:cstheme="minorEastAsia"/>
          <w:color w:val="auto"/>
          <w:kern w:val="0"/>
          <w:sz w:val="24"/>
          <w:szCs w:val="24"/>
          <w:highlight w:val="none"/>
          <w:lang w:eastAsia="zh-CN" w:bidi="ar"/>
        </w:rPr>
        <w:t>第三方检测机构（带</w:t>
      </w:r>
      <w:r>
        <w:rPr>
          <w:rFonts w:hint="eastAsia" w:asciiTheme="minorEastAsia" w:hAnsiTheme="minorEastAsia" w:eastAsiaTheme="minorEastAsia" w:cstheme="minorEastAsia"/>
          <w:color w:val="auto"/>
          <w:kern w:val="0"/>
          <w:sz w:val="24"/>
          <w:szCs w:val="24"/>
          <w:highlight w:val="none"/>
          <w:lang w:val="en-US" w:eastAsia="zh-CN" w:bidi="ar"/>
        </w:rPr>
        <w:t>CMA及CNAS标识</w:t>
      </w:r>
      <w:r>
        <w:rPr>
          <w:rFonts w:hint="eastAsia" w:asciiTheme="minorEastAsia" w:hAnsiTheme="minorEastAsia" w:eastAsiaTheme="minorEastAsia" w:cstheme="minorEastAsia"/>
          <w:color w:val="auto"/>
          <w:kern w:val="0"/>
          <w:sz w:val="24"/>
          <w:szCs w:val="24"/>
          <w:highlight w:val="none"/>
          <w:lang w:eastAsia="zh-CN" w:bidi="ar"/>
        </w:rPr>
        <w:t>）产品测试报告，依据</w:t>
      </w:r>
      <w:r>
        <w:rPr>
          <w:rFonts w:hint="eastAsia" w:asciiTheme="minorEastAsia" w:hAnsiTheme="minorEastAsia" w:eastAsiaTheme="minorEastAsia" w:cstheme="minorEastAsia"/>
          <w:color w:val="auto"/>
          <w:kern w:val="0"/>
          <w:sz w:val="24"/>
          <w:szCs w:val="24"/>
          <w:highlight w:val="none"/>
          <w:lang w:val="en-US" w:eastAsia="zh-CN" w:bidi="ar"/>
        </w:rPr>
        <w:t>GB/T 13927-2022《工业阀门压力试验》、GB/T 26481-2022《工业阀门的逸散性试验》、GB/T2423.17-2008《电工电子产品环境试验第2部分：试验方法试验Ka:盐雾》（检测内容包括：壳体试验、盐雾试验、低泄漏试验）。</w:t>
      </w:r>
    </w:p>
    <w:p w14:paraId="248B29A1">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rPr>
        <w:t>球阀技术参数：</w:t>
      </w:r>
    </w:p>
    <w:p w14:paraId="1B153C89">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球阀，适用于实验室气体分析仪、高纯气体、腐蚀性气体场合。</w:t>
      </w:r>
    </w:p>
    <w:p w14:paraId="6566C5D0">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结构特点：</w:t>
      </w:r>
    </w:p>
    <w:p w14:paraId="1D9B88F9">
      <w:pPr>
        <w:pageBreakBefore w:val="0"/>
        <w:numPr>
          <w:ilvl w:val="0"/>
          <w:numId w:val="10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球体阀杆一体式设计</w:t>
      </w:r>
    </w:p>
    <w:p w14:paraId="08BBD629">
      <w:pPr>
        <w:pageBreakBefore w:val="0"/>
        <w:numPr>
          <w:ilvl w:val="0"/>
          <w:numId w:val="10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两通形体球阀，执行“开关-截止”操作</w:t>
      </w:r>
    </w:p>
    <w:p w14:paraId="0B0B19ED">
      <w:pPr>
        <w:pageBreakBefore w:val="0"/>
        <w:numPr>
          <w:ilvl w:val="0"/>
          <w:numId w:val="10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不锈钢结构</w:t>
      </w:r>
    </w:p>
    <w:p w14:paraId="1243D360">
      <w:pPr>
        <w:pageBreakBefore w:val="0"/>
        <w:numPr>
          <w:ilvl w:val="0"/>
          <w:numId w:val="10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两通直通阀允许双向流动</w:t>
      </w:r>
    </w:p>
    <w:p w14:paraId="2D2CFB5D">
      <w:pPr>
        <w:pageBreakBefore w:val="0"/>
        <w:numPr>
          <w:ilvl w:val="0"/>
          <w:numId w:val="106"/>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可采用面板安装</w:t>
      </w:r>
    </w:p>
    <w:p w14:paraId="4BE098B1">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材料结构：</w:t>
      </w:r>
    </w:p>
    <w:p w14:paraId="0596345C">
      <w:pPr>
        <w:pageBreakBefore w:val="0"/>
        <w:numPr>
          <w:ilvl w:val="0"/>
          <w:numId w:val="10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母体：316</w:t>
      </w:r>
    </w:p>
    <w:p w14:paraId="0BA2071C">
      <w:pPr>
        <w:pageBreakBefore w:val="0"/>
        <w:numPr>
          <w:ilvl w:val="0"/>
          <w:numId w:val="107"/>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球密封材质：PTFE</w:t>
      </w:r>
    </w:p>
    <w:p w14:paraId="5FFC006D">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技术参数：</w:t>
      </w:r>
    </w:p>
    <w:p w14:paraId="163B39A3">
      <w:pPr>
        <w:pageBreakBefore w:val="0"/>
        <w:numPr>
          <w:ilvl w:val="0"/>
          <w:numId w:val="10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最大输入压力：3000Psi、1000 Psi</w:t>
      </w:r>
    </w:p>
    <w:p w14:paraId="421E18E1">
      <w:pPr>
        <w:pageBreakBefore w:val="0"/>
        <w:numPr>
          <w:ilvl w:val="0"/>
          <w:numId w:val="10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安全测试压力：1.5倍的最大输出压力</w:t>
      </w:r>
    </w:p>
    <w:p w14:paraId="31998FF6">
      <w:pPr>
        <w:pageBreakBefore w:val="0"/>
        <w:numPr>
          <w:ilvl w:val="0"/>
          <w:numId w:val="10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适用温度：10℃-+65℃</w:t>
      </w:r>
    </w:p>
    <w:p w14:paraId="22318B2E">
      <w:pPr>
        <w:pageBreakBefore w:val="0"/>
        <w:numPr>
          <w:ilvl w:val="0"/>
          <w:numId w:val="10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连接方式：螺纹、卡套</w:t>
      </w:r>
    </w:p>
    <w:p w14:paraId="74FAC38A">
      <w:pPr>
        <w:pageBreakBefore w:val="0"/>
        <w:numPr>
          <w:ilvl w:val="0"/>
          <w:numId w:val="108"/>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球阀需提供</w:t>
      </w:r>
      <w:r>
        <w:rPr>
          <w:rFonts w:hint="eastAsia" w:asciiTheme="minorEastAsia" w:hAnsiTheme="minorEastAsia" w:eastAsiaTheme="minorEastAsia" w:cstheme="minorEastAsia"/>
          <w:color w:val="auto"/>
          <w:sz w:val="24"/>
          <w:szCs w:val="24"/>
          <w:highlight w:val="none"/>
        </w:rPr>
        <w:t>第三方球阀三项检测报告（壳体、盐雾、氦检），带有CMA、CNAS、iLac MRA标识</w:t>
      </w:r>
    </w:p>
    <w:p w14:paraId="7B5C665B">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bCs/>
          <w:sz w:val="24"/>
          <w:szCs w:val="24"/>
        </w:rPr>
        <w:t>气路管线系统中管路及配件的技术要求</w:t>
      </w:r>
      <w:r>
        <w:rPr>
          <w:rFonts w:hint="eastAsia" w:asciiTheme="minorEastAsia" w:hAnsiTheme="minorEastAsia" w:eastAsiaTheme="minorEastAsia" w:cstheme="minorEastAsia"/>
          <w:b/>
          <w:sz w:val="24"/>
          <w:szCs w:val="24"/>
          <w:lang w:val="en-US" w:eastAsia="zh-CN"/>
        </w:rPr>
        <w:t>：</w:t>
      </w:r>
    </w:p>
    <w:p w14:paraId="7ECE0D7D">
      <w:pPr>
        <w:pageBreakBefore w:val="0"/>
        <w:numPr>
          <w:ilvl w:val="0"/>
          <w:numId w:val="10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不锈钢无缝钢管必须符合ASTM材料标准，材</w:t>
      </w:r>
      <w:r>
        <w:rPr>
          <w:rFonts w:hint="eastAsia" w:asciiTheme="minorEastAsia" w:hAnsiTheme="minorEastAsia" w:eastAsiaTheme="minorEastAsia" w:cstheme="minorEastAsia"/>
          <w:sz w:val="24"/>
          <w:szCs w:val="24"/>
          <w:lang w:eastAsia="zh-CN"/>
        </w:rPr>
        <w:t>质</w:t>
      </w:r>
      <w:r>
        <w:rPr>
          <w:rFonts w:hint="eastAsia" w:asciiTheme="minorEastAsia" w:hAnsiTheme="minorEastAsia" w:eastAsiaTheme="minorEastAsia" w:cstheme="minorEastAsia"/>
          <w:sz w:val="24"/>
          <w:szCs w:val="24"/>
        </w:rPr>
        <w:t>为316L，含碳量小于0.03%该不锈钢管洁净度必须满足实验室99.999%的使用需求，洁净度达到BA级，内表面粗糙度：Ra≤0. 25μm</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所有气体使用的洁净管必须单根独立包装，密封良好；管道外壁应印有不可擦除的标识，标识包含管子规格、尺寸、执行标准等信息；包装必须印有生产厂商信息；</w:t>
      </w:r>
    </w:p>
    <w:p w14:paraId="04AE2B32">
      <w:pPr>
        <w:pageBreakBefore w:val="0"/>
        <w:numPr>
          <w:ilvl w:val="0"/>
          <w:numId w:val="10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不锈钢管道壁厚按下表：</w:t>
      </w:r>
    </w:p>
    <w:tbl>
      <w:tblPr>
        <w:tblStyle w:val="43"/>
        <w:tblpPr w:leftFromText="180" w:rightFromText="180" w:vertAnchor="text" w:horzAnchor="page" w:tblpX="1645" w:tblpY="351"/>
        <w:tblOverlap w:val="never"/>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7"/>
        <w:gridCol w:w="3077"/>
        <w:gridCol w:w="3065"/>
      </w:tblGrid>
      <w:tr w14:paraId="4DBF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3077" w:type="dxa"/>
          </w:tcPr>
          <w:p w14:paraId="6608D5A0">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规格（inch）</w:t>
            </w:r>
          </w:p>
        </w:tc>
        <w:tc>
          <w:tcPr>
            <w:tcW w:w="3077" w:type="dxa"/>
          </w:tcPr>
          <w:p w14:paraId="0A920E15">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壁厚（inch）</w:t>
            </w:r>
          </w:p>
        </w:tc>
        <w:tc>
          <w:tcPr>
            <w:tcW w:w="3065" w:type="dxa"/>
          </w:tcPr>
          <w:p w14:paraId="05D2450B">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壁厚（mm）</w:t>
            </w:r>
          </w:p>
        </w:tc>
      </w:tr>
      <w:tr w14:paraId="19D9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3077" w:type="dxa"/>
          </w:tcPr>
          <w:p w14:paraId="3304B420">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3077" w:type="dxa"/>
          </w:tcPr>
          <w:p w14:paraId="49396798">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0.083</w:t>
            </w:r>
          </w:p>
        </w:tc>
        <w:tc>
          <w:tcPr>
            <w:tcW w:w="3065" w:type="dxa"/>
          </w:tcPr>
          <w:p w14:paraId="6C338DC0">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w:t>
            </w:r>
          </w:p>
        </w:tc>
      </w:tr>
      <w:tr w14:paraId="0221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3077" w:type="dxa"/>
          </w:tcPr>
          <w:p w14:paraId="492014A8">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077" w:type="dxa"/>
          </w:tcPr>
          <w:p w14:paraId="157E277F">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0.065</w:t>
            </w:r>
          </w:p>
        </w:tc>
        <w:tc>
          <w:tcPr>
            <w:tcW w:w="3065" w:type="dxa"/>
          </w:tcPr>
          <w:p w14:paraId="4801EEEC">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1.65</w:t>
            </w:r>
          </w:p>
        </w:tc>
      </w:tr>
      <w:tr w14:paraId="20352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3077" w:type="dxa"/>
          </w:tcPr>
          <w:p w14:paraId="0F124802">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3077" w:type="dxa"/>
          </w:tcPr>
          <w:p w14:paraId="66C66E3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0.049</w:t>
            </w:r>
          </w:p>
        </w:tc>
        <w:tc>
          <w:tcPr>
            <w:tcW w:w="3065" w:type="dxa"/>
          </w:tcPr>
          <w:p w14:paraId="6A295F01">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1.24</w:t>
            </w:r>
          </w:p>
        </w:tc>
      </w:tr>
      <w:tr w14:paraId="49D5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3077" w:type="dxa"/>
          </w:tcPr>
          <w:p w14:paraId="6CC3377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w:t>
            </w:r>
          </w:p>
        </w:tc>
        <w:tc>
          <w:tcPr>
            <w:tcW w:w="3077" w:type="dxa"/>
          </w:tcPr>
          <w:p w14:paraId="0C6498C5">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0.049</w:t>
            </w:r>
          </w:p>
        </w:tc>
        <w:tc>
          <w:tcPr>
            <w:tcW w:w="3065" w:type="dxa"/>
          </w:tcPr>
          <w:p w14:paraId="79633903">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1.24</w:t>
            </w:r>
          </w:p>
        </w:tc>
      </w:tr>
      <w:tr w14:paraId="0CD08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3077" w:type="dxa"/>
          </w:tcPr>
          <w:p w14:paraId="1A38009E">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w:t>
            </w:r>
          </w:p>
        </w:tc>
        <w:tc>
          <w:tcPr>
            <w:tcW w:w="3077" w:type="dxa"/>
          </w:tcPr>
          <w:p w14:paraId="36A2A535">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0.035</w:t>
            </w:r>
          </w:p>
        </w:tc>
        <w:tc>
          <w:tcPr>
            <w:tcW w:w="3065" w:type="dxa"/>
          </w:tcPr>
          <w:p w14:paraId="15A583C8">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0.89</w:t>
            </w:r>
          </w:p>
        </w:tc>
      </w:tr>
    </w:tbl>
    <w:p w14:paraId="1664674D">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选用不锈钢管壁厚不得小于上表规定的数值</w:t>
      </w:r>
      <w:r>
        <w:rPr>
          <w:rFonts w:hint="eastAsia" w:asciiTheme="minorEastAsia" w:hAnsiTheme="minorEastAsia" w:eastAsiaTheme="minorEastAsia" w:cstheme="minorEastAsia"/>
          <w:sz w:val="24"/>
          <w:szCs w:val="24"/>
          <w:lang w:eastAsia="zh-CN"/>
        </w:rPr>
        <w:t>。</w:t>
      </w:r>
    </w:p>
    <w:p w14:paraId="30612547">
      <w:pPr>
        <w:pageBreakBefore w:val="0"/>
        <w:numPr>
          <w:ilvl w:val="0"/>
          <w:numId w:val="109"/>
        </w:numPr>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color w:val="auto"/>
          <w:sz w:val="24"/>
          <w:szCs w:val="24"/>
          <w:lang w:val="en-US" w:eastAsia="zh-CN"/>
        </w:rPr>
        <w:t>需提供不锈钢管依据GB/T 241-2007&lt;&lt;金属管试压实验方法》检测，管道在25MPa压力持续1min情况下未破裂，提供国家认可检测机构出具的检测报告。</w:t>
      </w:r>
    </w:p>
    <w:bookmarkEnd w:id="83"/>
    <w:bookmarkEnd w:id="84"/>
    <w:bookmarkEnd w:id="85"/>
    <w:p w14:paraId="30CAA03D">
      <w:pPr>
        <w:pageBreakBefore w:val="0"/>
        <w:numPr>
          <w:ilvl w:val="0"/>
          <w:numId w:val="109"/>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所有末端用气点根据要求，预留末端须配置二级减压阀</w:t>
      </w:r>
      <w:r>
        <w:rPr>
          <w:rFonts w:hint="eastAsia" w:asciiTheme="minorEastAsia" w:hAnsiTheme="minorEastAsia" w:eastAsiaTheme="minorEastAsia" w:cstheme="minorEastAsia"/>
          <w:sz w:val="24"/>
          <w:szCs w:val="24"/>
          <w:lang w:eastAsia="zh-CN"/>
        </w:rPr>
        <w:t>。</w:t>
      </w:r>
    </w:p>
    <w:p w14:paraId="61825434">
      <w:pPr>
        <w:pageBreakBefore w:val="0"/>
        <w:numPr>
          <w:ilvl w:val="0"/>
          <w:numId w:val="109"/>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所有末端用气点根据要求，预留末端须配置控制球阀</w:t>
      </w:r>
      <w:r>
        <w:rPr>
          <w:rFonts w:hint="eastAsia" w:asciiTheme="minorEastAsia" w:hAnsiTheme="minorEastAsia" w:eastAsiaTheme="minorEastAsia" w:cstheme="minorEastAsia"/>
          <w:sz w:val="24"/>
          <w:szCs w:val="24"/>
          <w:lang w:eastAsia="zh-CN"/>
        </w:rPr>
        <w:t>。</w:t>
      </w:r>
    </w:p>
    <w:p w14:paraId="7AE9B4C5">
      <w:pPr>
        <w:pageBreakBefore w:val="0"/>
        <w:numPr>
          <w:ilvl w:val="0"/>
          <w:numId w:val="109"/>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焊接三通、变径和弯头配件：采用SS 316L光亮退火，母材符合BA 级的高纯气路配件，三通、变径、弯头等均为可自动焊接的产品配件，大于1/2" 英寸外径的管道必须使用成品弯头。</w:t>
      </w:r>
    </w:p>
    <w:p w14:paraId="599CA7E4">
      <w:pPr>
        <w:pageBreakBefore w:val="0"/>
        <w:numPr>
          <w:ilvl w:val="0"/>
          <w:numId w:val="109"/>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阀件卡套接头：材料为SS 316不锈钢，符合BA级的高纯气路配件。承受压力不得小于设计压力的1.5倍。</w:t>
      </w:r>
    </w:p>
    <w:p w14:paraId="6DF31B54">
      <w:pPr>
        <w:pageBreakBefore w:val="0"/>
        <w:numPr>
          <w:ilvl w:val="0"/>
          <w:numId w:val="109"/>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钢瓶接头采用不锈钢316的材质,承压不小于3000psi，一端符合各种气体的标准钢瓶连接，另一端连接不锈钢高压软管。</w:t>
      </w:r>
    </w:p>
    <w:p w14:paraId="10159331">
      <w:pPr>
        <w:pageBreakBefore w:val="0"/>
        <w:numPr>
          <w:ilvl w:val="0"/>
          <w:numId w:val="109"/>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不锈钢高压软管承压不小于3000psi,内衬材质SS316L，有足够的韧性、柔软性，方便换接钢瓶。</w:t>
      </w:r>
    </w:p>
    <w:p w14:paraId="108A98F0">
      <w:pPr>
        <w:pageBreakBefore w:val="0"/>
        <w:numPr>
          <w:ilvl w:val="0"/>
          <w:numId w:val="109"/>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高压控制阀承压不小于3000psi,不锈钢316材质,单独控制每个钢瓶。阀门为球形阀, 易操作不易泄漏。</w:t>
      </w:r>
    </w:p>
    <w:p w14:paraId="653F94EF">
      <w:pPr>
        <w:pageBreakBefore w:val="0"/>
        <w:numPr>
          <w:ilvl w:val="0"/>
          <w:numId w:val="109"/>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末端球阀阀门为球形阀,承压大于1000psi,不锈钢SUS316L材质,易操作不易泄漏。</w:t>
      </w:r>
    </w:p>
    <w:p w14:paraId="79429617">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b/>
          <w:bCs/>
          <w:sz w:val="24"/>
          <w:szCs w:val="24"/>
        </w:rPr>
      </w:pPr>
      <w:bookmarkStart w:id="86" w:name="_Toc82515227"/>
      <w:bookmarkStart w:id="87" w:name="_Toc26821"/>
      <w:bookmarkStart w:id="88" w:name="_Toc4392"/>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4</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气路管线系统中管路施工的技术要求</w:t>
      </w:r>
      <w:bookmarkEnd w:id="86"/>
      <w:bookmarkEnd w:id="87"/>
      <w:bookmarkEnd w:id="88"/>
    </w:p>
    <w:p w14:paraId="1F590903">
      <w:pPr>
        <w:pageBreakBefore w:val="0"/>
        <w:numPr>
          <w:ilvl w:val="0"/>
          <w:numId w:val="110"/>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管路焊接：所有气路系统间的连接均釆用全自动数码无缝焊接。</w:t>
      </w:r>
    </w:p>
    <w:p w14:paraId="26C5E9E0">
      <w:pPr>
        <w:pageBreakBefore w:val="0"/>
        <w:numPr>
          <w:ilvl w:val="0"/>
          <w:numId w:val="110"/>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管道支吊架：按国家建筑标准05R417-1《室内热力管道支吊架》要求施工。</w:t>
      </w:r>
    </w:p>
    <w:p w14:paraId="11AA085A">
      <w:pPr>
        <w:pageBreakBefore w:val="0"/>
        <w:numPr>
          <w:ilvl w:val="0"/>
          <w:numId w:val="110"/>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管道穿墙及出地面（或楼板）处应设套管保护，套管穿墙处应与墙平齐，穿地面（或楼板）处套管应高出地面（或楼板）lOOmm</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穿过道路时</w:t>
      </w:r>
      <w:r>
        <w:rPr>
          <w:rFonts w:hint="eastAsia" w:asciiTheme="minorEastAsia" w:hAnsiTheme="minorEastAsia" w:eastAsiaTheme="minorEastAsia" w:cstheme="minorEastAsia"/>
          <w:sz w:val="24"/>
          <w:szCs w:val="24"/>
        </w:rPr>
        <w:t>套管</w:t>
      </w:r>
      <w:r>
        <w:rPr>
          <w:rFonts w:hint="eastAsia" w:asciiTheme="minorEastAsia" w:hAnsiTheme="minorEastAsia" w:eastAsiaTheme="minorEastAsia" w:cstheme="minorEastAsia"/>
          <w:sz w:val="24"/>
          <w:szCs w:val="24"/>
          <w:lang w:val="en-US" w:eastAsia="zh-CN"/>
        </w:rPr>
        <w:t>需低于水泥板。</w:t>
      </w:r>
      <w:r>
        <w:rPr>
          <w:rFonts w:hint="eastAsia" w:asciiTheme="minorEastAsia" w:hAnsiTheme="minorEastAsia" w:eastAsiaTheme="minorEastAsia" w:cstheme="minorEastAsia"/>
          <w:sz w:val="24"/>
          <w:szCs w:val="24"/>
        </w:rPr>
        <w:t>穿墙或楼板</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道路</w:t>
      </w:r>
      <w:r>
        <w:rPr>
          <w:rFonts w:hint="eastAsia" w:asciiTheme="minorEastAsia" w:hAnsiTheme="minorEastAsia" w:eastAsiaTheme="minorEastAsia" w:cstheme="minorEastAsia"/>
          <w:sz w:val="24"/>
          <w:szCs w:val="24"/>
        </w:rPr>
        <w:t>的套管：管径为1/4"套管管径为3/8"，管径为3/8"套管为1/2"，管径为1/"2套管为3/4"，管径为3/4"套管为1"，管径为1"套管为1</w:t>
      </w:r>
      <m:oMath>
        <m:f>
          <m:fPr>
            <m:ctrlPr>
              <w:rPr>
                <w:rFonts w:hint="eastAsia" w:ascii="Cambria Math" w:hAnsi="Cambria Math" w:eastAsiaTheme="minorEastAsia" w:cstheme="minorEastAsia"/>
                <w:i/>
                <w:sz w:val="24"/>
                <w:szCs w:val="24"/>
              </w:rPr>
            </m:ctrlPr>
          </m:fPr>
          <m:num>
            <m:r>
              <m:rPr/>
              <w:rPr>
                <w:rFonts w:hint="eastAsia" w:ascii="Cambria Math" w:hAnsi="Cambria Math" w:eastAsiaTheme="minorEastAsia" w:cstheme="minorEastAsia"/>
                <w:sz w:val="24"/>
                <w:szCs w:val="24"/>
              </w:rPr>
              <m:t>1</m:t>
            </m:r>
            <m:ctrlPr>
              <w:rPr>
                <w:rFonts w:hint="eastAsia" w:ascii="Cambria Math" w:hAnsi="Cambria Math" w:eastAsiaTheme="minorEastAsia" w:cstheme="minorEastAsia"/>
                <w:i/>
                <w:sz w:val="24"/>
                <w:szCs w:val="24"/>
              </w:rPr>
            </m:ctrlPr>
          </m:num>
          <m:den>
            <m:r>
              <m:rPr/>
              <w:rPr>
                <w:rFonts w:hint="eastAsia" w:ascii="Cambria Math" w:hAnsi="Cambria Math" w:eastAsiaTheme="minorEastAsia" w:cstheme="minorEastAsia"/>
                <w:sz w:val="24"/>
                <w:szCs w:val="24"/>
              </w:rPr>
              <m:t>4</m:t>
            </m:r>
            <m:ctrlPr>
              <w:rPr>
                <w:rFonts w:hint="eastAsia" w:ascii="Cambria Math" w:hAnsi="Cambria Math" w:eastAsiaTheme="minorEastAsia" w:cstheme="minorEastAsia"/>
                <w:i/>
                <w:sz w:val="24"/>
                <w:szCs w:val="24"/>
              </w:rPr>
            </m:ctrlPr>
          </m:den>
        </m:f>
        <m:r>
          <m:rPr>
            <m:sty m:val="p"/>
          </m:rPr>
          <w:rPr>
            <w:rFonts w:hint="eastAsia" w:ascii="Cambria Math" w:hAnsi="Cambria Math" w:eastAsiaTheme="minorEastAsia" w:cstheme="minorEastAsia"/>
            <w:sz w:val="24"/>
            <w:szCs w:val="24"/>
          </w:rPr>
          <m:t>"</m:t>
        </m:r>
      </m:oMath>
      <w:r>
        <w:rPr>
          <w:rFonts w:hint="eastAsia" w:asciiTheme="minorEastAsia" w:hAnsiTheme="minorEastAsia" w:eastAsiaTheme="minorEastAsia" w:cstheme="minorEastAsia"/>
          <w:sz w:val="24"/>
          <w:szCs w:val="24"/>
        </w:rPr>
        <w:t>。 套管两端与管道之间用不燃材料严密封堵。</w:t>
      </w:r>
    </w:p>
    <w:p w14:paraId="430F0D3B">
      <w:pPr>
        <w:pageBreakBefore w:val="0"/>
        <w:numPr>
          <w:ilvl w:val="0"/>
          <w:numId w:val="110"/>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易燃易爆气体管道有防静电及雷击的接地措施，接地电阻不大于 10欧姆，接自预留接地端口。</w:t>
      </w:r>
    </w:p>
    <w:p w14:paraId="337B748A">
      <w:pPr>
        <w:pageBreakBefore w:val="0"/>
        <w:numPr>
          <w:ilvl w:val="0"/>
          <w:numId w:val="110"/>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管道的施工验收按国标GB50235-2010《工业金属管道工程施工及验收规范》、GB50236-2011《现场设备、工业管道焊接工程施工规范》及《洁净厂房设计规范》进行。</w:t>
      </w:r>
    </w:p>
    <w:p w14:paraId="22329F63">
      <w:pPr>
        <w:pageBreakBefore w:val="0"/>
        <w:numPr>
          <w:ilvl w:val="0"/>
          <w:numId w:val="110"/>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管道的吹扫与清洗按照国标GB50235-2010《工业金属管道工程施工及验收规范》要求进行。</w:t>
      </w:r>
    </w:p>
    <w:p w14:paraId="0B1956DC">
      <w:pPr>
        <w:pageBreakBefore w:val="0"/>
        <w:numPr>
          <w:ilvl w:val="0"/>
          <w:numId w:val="110"/>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对于易燃易爆气体，气瓶柜设排空管，排空管口及泄压阀的排放口伸岀柜外并空旷无明火处，并有防雷阻火措施。排空管道有易燃，助燃气体，需要分开排放。</w:t>
      </w:r>
    </w:p>
    <w:p w14:paraId="6625EABF">
      <w:pPr>
        <w:pageBreakBefore w:val="0"/>
        <w:numPr>
          <w:ilvl w:val="0"/>
          <w:numId w:val="110"/>
        </w:numPr>
        <w:kinsoku/>
        <w:wordWrap/>
        <w:overflowPunct/>
        <w:topLinePunct w:val="0"/>
        <w:bidi w:val="0"/>
        <w:adjustRightInd w:val="0"/>
        <w:snapToGrid w:val="0"/>
        <w:spacing w:beforeAutospacing="0" w:afterAutospacing="0" w:line="400" w:lineRule="exact"/>
        <w:ind w:left="0" w:leftChars="0" w:right="0" w:firstLine="0" w:firstLineChars="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所有管路标明连接的气体和气体的流动指向。指示标示的颜色用不同颜色来区分，特殊气体的色彩鲜艳醒目。</w:t>
      </w:r>
    </w:p>
    <w:p w14:paraId="6660A4C0">
      <w:pPr>
        <w:keepNext w:val="0"/>
        <w:keepLines w:val="0"/>
        <w:pageBreakBefore w:val="0"/>
        <w:widowControl w:val="0"/>
        <w:kinsoku/>
        <w:wordWrap/>
        <w:overflowPunct/>
        <w:topLinePunct w:val="0"/>
        <w:autoSpaceDE/>
        <w:autoSpaceDN/>
        <w:bidi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焊接吹扫气体要求</w:t>
      </w:r>
    </w:p>
    <w:p w14:paraId="249D35FD">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lang w:val="en-US" w:eastAsia="zh-CN"/>
        </w:rPr>
        <w:t>1）</w:t>
      </w:r>
      <w:r>
        <w:rPr>
          <w:rFonts w:hint="eastAsia" w:asciiTheme="minorEastAsia" w:hAnsiTheme="minorEastAsia" w:eastAsiaTheme="minorEastAsia" w:cstheme="minorEastAsia"/>
          <w:bCs/>
          <w:kern w:val="0"/>
          <w:sz w:val="24"/>
          <w:szCs w:val="24"/>
        </w:rPr>
        <w:t>焊接时使用之气体为高纯氩气，对焊接及保护用氩气其出口处应达以下指标</w:t>
      </w:r>
    </w:p>
    <w:p w14:paraId="3E2CF564">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氩气纯度不低于                           99.999%</w:t>
      </w:r>
    </w:p>
    <w:p w14:paraId="5DCEC5EF">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 xml:space="preserve">氧含量不大于 </w:t>
      </w:r>
      <w:r>
        <w:rPr>
          <w:rFonts w:hint="eastAsia" w:asciiTheme="minorEastAsia" w:hAnsiTheme="minorEastAsia" w:eastAsiaTheme="minorEastAsia" w:cstheme="minorEastAsia"/>
          <w:bCs/>
          <w:kern w:val="0"/>
          <w:sz w:val="24"/>
          <w:szCs w:val="24"/>
        </w:rPr>
        <w:tab/>
      </w:r>
      <w:r>
        <w:rPr>
          <w:rFonts w:hint="eastAsia" w:asciiTheme="minorEastAsia" w:hAnsiTheme="minorEastAsia" w:eastAsiaTheme="minorEastAsia" w:cstheme="minorEastAsia"/>
          <w:bCs/>
          <w:kern w:val="0"/>
          <w:sz w:val="24"/>
          <w:szCs w:val="24"/>
        </w:rPr>
        <w:tab/>
      </w:r>
      <w:r>
        <w:rPr>
          <w:rFonts w:hint="eastAsia" w:asciiTheme="minorEastAsia" w:hAnsiTheme="minorEastAsia" w:eastAsiaTheme="minorEastAsia" w:cstheme="minorEastAsia"/>
          <w:bCs/>
          <w:kern w:val="0"/>
          <w:sz w:val="24"/>
          <w:szCs w:val="24"/>
        </w:rPr>
        <w:t xml:space="preserve">                 1.0ppm</w:t>
      </w:r>
    </w:p>
    <w:p w14:paraId="608C3C09">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水分含量不大于                           1.0ppm</w:t>
      </w:r>
    </w:p>
    <w:p w14:paraId="7EE819C8">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总的碳氢化合物不大于                     1.0ppm</w:t>
      </w:r>
    </w:p>
    <w:p w14:paraId="2931F8CE">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2）吹净气体分流筒使用高洁净度阀件，调压阀及0.01UM过滤器，过滤器置于最末端气体出口位置。</w:t>
      </w:r>
    </w:p>
    <w:p w14:paraId="7D22C715">
      <w:pPr>
        <w:keepNext w:val="0"/>
        <w:keepLines w:val="0"/>
        <w:pageBreakBefore w:val="0"/>
        <w:widowControl w:val="0"/>
        <w:kinsoku/>
        <w:wordWrap/>
        <w:overflowPunct/>
        <w:topLinePunct w:val="0"/>
        <w:autoSpaceDE/>
        <w:autoSpaceDN/>
        <w:bidi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焊接</w:t>
      </w:r>
    </w:p>
    <w:p w14:paraId="3A3C5F13">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1）配管管线检查：配管达美观，走管横平竖直；管线联接正确无误；管架无摇晃，管线固定牢靠；</w:t>
      </w:r>
    </w:p>
    <w:p w14:paraId="39182BDA">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2）焊接检查：焊接工序完成以后，焊接外表面按要求使用镜子和光照进行100%的全位置视觉检查，以确保表面无缺陷，每一个焊接的检验结果将记录在焊接记录中。焊道的外表面宽度均匀，焊缝边缘整齐，有清晰的鱼鳞纹路，且外表面的突起与凹陷，小于壁厚的10% 。外表面呈黑色时该焊道焊道为不合格焊缝。焊缝外表面宽度要大于管道壁厚3倍以上。</w:t>
      </w:r>
    </w:p>
    <w:p w14:paraId="6F571CC4">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3）焊道的内表面宽度均匀，焊缝边缘整齐，要求无内凹和氧化变色。内表面宽度要小于管道壁厚2倍。</w:t>
      </w:r>
    </w:p>
    <w:p w14:paraId="7BF76B7C">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
          <w:bCs w:val="0"/>
          <w:kern w:val="0"/>
          <w:sz w:val="24"/>
          <w:szCs w:val="24"/>
        </w:rPr>
      </w:pPr>
      <w:r>
        <w:rPr>
          <w:rFonts w:hint="eastAsia" w:asciiTheme="minorEastAsia" w:hAnsiTheme="minorEastAsia" w:eastAsiaTheme="minorEastAsia" w:cstheme="minorEastAsia"/>
          <w:b/>
          <w:bCs w:val="0"/>
          <w:kern w:val="0"/>
          <w:sz w:val="24"/>
          <w:szCs w:val="24"/>
          <w:lang w:eastAsia="zh-CN"/>
        </w:rPr>
        <w:t>（</w:t>
      </w:r>
      <w:r>
        <w:rPr>
          <w:rFonts w:hint="eastAsia" w:asciiTheme="minorEastAsia" w:hAnsiTheme="minorEastAsia" w:eastAsiaTheme="minorEastAsia" w:cstheme="minorEastAsia"/>
          <w:b/>
          <w:bCs w:val="0"/>
          <w:kern w:val="0"/>
          <w:sz w:val="24"/>
          <w:szCs w:val="24"/>
          <w:lang w:val="en-US" w:eastAsia="zh-CN"/>
        </w:rPr>
        <w:t>7</w:t>
      </w:r>
      <w:r>
        <w:rPr>
          <w:rFonts w:hint="eastAsia" w:asciiTheme="minorEastAsia" w:hAnsiTheme="minorEastAsia" w:eastAsiaTheme="minorEastAsia" w:cstheme="minorEastAsia"/>
          <w:b/>
          <w:bCs w:val="0"/>
          <w:kern w:val="0"/>
          <w:sz w:val="24"/>
          <w:szCs w:val="24"/>
          <w:lang w:eastAsia="zh-CN"/>
        </w:rPr>
        <w:t>）</w:t>
      </w:r>
      <w:r>
        <w:rPr>
          <w:rFonts w:hint="eastAsia" w:asciiTheme="minorEastAsia" w:hAnsiTheme="minorEastAsia" w:eastAsiaTheme="minorEastAsia" w:cstheme="minorEastAsia"/>
          <w:b/>
          <w:bCs w:val="0"/>
          <w:kern w:val="0"/>
          <w:sz w:val="24"/>
          <w:szCs w:val="24"/>
        </w:rPr>
        <w:t>焊接质量要求如下：</w:t>
      </w:r>
    </w:p>
    <w:p w14:paraId="5DE35D9F">
      <w:pPr>
        <w:keepNext w:val="0"/>
        <w:keepLines w:val="0"/>
        <w:pageBreakBefore w:val="0"/>
        <w:widowControl w:val="0"/>
        <w:numPr>
          <w:ilvl w:val="0"/>
          <w:numId w:val="111"/>
        </w:numPr>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不锈钢管的焊接两管端必须垂直于管中心轴线；端面平整光滑、无毛刺；对口不得有间隙；应无错边。即使有错边：直径等于和小于2英寸的不锈钢管，错边量不得超过管壁厚度的10%；直径大于2英寸的不锈钢管，错边量不得超过管壁厚度的15%。</w:t>
      </w:r>
    </w:p>
    <w:p w14:paraId="768B740D">
      <w:pPr>
        <w:keepNext w:val="0"/>
        <w:keepLines w:val="0"/>
        <w:pageBreakBefore w:val="0"/>
        <w:widowControl w:val="0"/>
        <w:numPr>
          <w:ilvl w:val="0"/>
          <w:numId w:val="111"/>
        </w:numPr>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不锈钢管的焊接质量为自熔全焊透焊缝，管内外焊缝平整光滑，焊波整齐美观。</w:t>
      </w:r>
    </w:p>
    <w:p w14:paraId="5EF00803">
      <w:pPr>
        <w:keepNext w:val="0"/>
        <w:keepLines w:val="0"/>
        <w:pageBreakBefore w:val="0"/>
        <w:widowControl w:val="0"/>
        <w:numPr>
          <w:ilvl w:val="0"/>
          <w:numId w:val="111"/>
        </w:numPr>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焊缝如有凹凸部分，最多不准超过管壁厚度的10%。</w:t>
      </w:r>
    </w:p>
    <w:p w14:paraId="39704D82">
      <w:pPr>
        <w:keepNext w:val="0"/>
        <w:keepLines w:val="0"/>
        <w:pageBreakBefore w:val="0"/>
        <w:widowControl w:val="0"/>
        <w:numPr>
          <w:ilvl w:val="0"/>
          <w:numId w:val="111"/>
        </w:numPr>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不锈钢管焊焊缝应焊趾整齐，焊波均匀，焊缝宽度一致，焊缝如有宽窄，应不超过±0.008英寸（即：±0.2mm）。管内焊缝表面宽度为外缝表面宽度的60%左右。</w:t>
      </w:r>
    </w:p>
    <w:p w14:paraId="245A35B7">
      <w:pPr>
        <w:keepNext w:val="0"/>
        <w:keepLines w:val="0"/>
        <w:pageBreakBefore w:val="0"/>
        <w:widowControl w:val="0"/>
        <w:numPr>
          <w:ilvl w:val="0"/>
          <w:numId w:val="111"/>
        </w:numPr>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不锈钢管内焊缝及热影响区不应有氧化变色。</w:t>
      </w:r>
    </w:p>
    <w:p w14:paraId="33CB7DE1">
      <w:pPr>
        <w:keepNext w:val="0"/>
        <w:keepLines w:val="0"/>
        <w:pageBreakBefore w:val="0"/>
        <w:widowControl w:val="0"/>
        <w:numPr>
          <w:ilvl w:val="0"/>
          <w:numId w:val="111"/>
        </w:numPr>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不锈钢管内、外焊缝表面不准有气孔、裂纹等任何焊接缺陷。</w:t>
      </w:r>
    </w:p>
    <w:p w14:paraId="20A8F6C2">
      <w:pPr>
        <w:keepNext w:val="0"/>
        <w:keepLines w:val="0"/>
        <w:pageBreakBefore w:val="0"/>
        <w:widowControl w:val="0"/>
        <w:numPr>
          <w:ilvl w:val="0"/>
          <w:numId w:val="111"/>
        </w:numPr>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不锈钢管焊缝的波纹圆弧线清楚，内外焊缝平整光滑。</w:t>
      </w:r>
    </w:p>
    <w:p w14:paraId="0D0F3809">
      <w:pPr>
        <w:keepNext w:val="0"/>
        <w:keepLines w:val="0"/>
        <w:pageBreakBefore w:val="0"/>
        <w:widowControl w:val="0"/>
        <w:kinsoku/>
        <w:wordWrap/>
        <w:overflowPunct/>
        <w:topLinePunct w:val="0"/>
        <w:autoSpaceDE/>
        <w:autoSpaceDN/>
        <w:bidi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8</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不锈钢管的安装</w:t>
      </w:r>
    </w:p>
    <w:p w14:paraId="1BE576A8">
      <w:pPr>
        <w:keepNext w:val="0"/>
        <w:keepLines w:val="0"/>
        <w:pageBreakBefore w:val="0"/>
        <w:widowControl w:val="0"/>
        <w:numPr>
          <w:ilvl w:val="0"/>
          <w:numId w:val="112"/>
        </w:numPr>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不锈钢管的安装现场应整洁干净。安装人员必须戴洁净手套。</w:t>
      </w:r>
    </w:p>
    <w:p w14:paraId="4D05C626">
      <w:pPr>
        <w:keepNext w:val="0"/>
        <w:keepLines w:val="0"/>
        <w:pageBreakBefore w:val="0"/>
        <w:widowControl w:val="0"/>
        <w:numPr>
          <w:ilvl w:val="0"/>
          <w:numId w:val="112"/>
        </w:numPr>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不锈钢管的支架材质、型号规格和设置距离，按设计图纸规定和要求执行。管卡环必须套上聚乙烯管。不锈钢管与支架之间应填3-4mm的聚乙烯板。</w:t>
      </w:r>
    </w:p>
    <w:p w14:paraId="718F85B4">
      <w:pPr>
        <w:keepNext w:val="0"/>
        <w:keepLines w:val="0"/>
        <w:pageBreakBefore w:val="0"/>
        <w:widowControl w:val="0"/>
        <w:numPr>
          <w:ilvl w:val="0"/>
          <w:numId w:val="112"/>
        </w:numPr>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不锈钢管搬运及起吊时，不准与碳钢接触、碰撞、磨擦。在某些（如厂区管道等）场合安装的不锈钢管，在预制、安装过程中，可不拆或少拆其外包装塑料袋，以利于保护管子。到交工前拆掉包装塑料袋。</w:t>
      </w:r>
    </w:p>
    <w:p w14:paraId="2A094BCB">
      <w:pPr>
        <w:keepNext w:val="0"/>
        <w:keepLines w:val="0"/>
        <w:pageBreakBefore w:val="0"/>
        <w:widowControl w:val="0"/>
        <w:numPr>
          <w:ilvl w:val="0"/>
          <w:numId w:val="112"/>
        </w:numPr>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所有不锈钢管道两端用塑料盖密封，外部有塑料套密封，确保在安装前才将塑料套拆封，并除去塑料盖，以保证管道不被灰尘污染。</w:t>
      </w:r>
    </w:p>
    <w:p w14:paraId="41AD78E6">
      <w:pPr>
        <w:keepNext w:val="0"/>
        <w:keepLines w:val="0"/>
        <w:pageBreakBefore w:val="0"/>
        <w:widowControl w:val="0"/>
        <w:numPr>
          <w:ilvl w:val="0"/>
          <w:numId w:val="112"/>
        </w:numPr>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管道铺设时，应注意平直，弯管处采用专用弯管器，不得徒手弯曲，切断管道时，应采用专用切管器操作，严禁用锯子锯断管道。管道切断后，应用专用工具处理断口处毛刺。</w:t>
      </w:r>
    </w:p>
    <w:p w14:paraId="3703D457">
      <w:pPr>
        <w:keepNext w:val="0"/>
        <w:keepLines w:val="0"/>
        <w:pageBreakBefore w:val="0"/>
        <w:widowControl w:val="0"/>
        <w:numPr>
          <w:ilvl w:val="0"/>
          <w:numId w:val="112"/>
        </w:numPr>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所有螺纹连接处应采用密封带密封。</w:t>
      </w:r>
    </w:p>
    <w:p w14:paraId="28F5DDB5">
      <w:pPr>
        <w:keepNext w:val="0"/>
        <w:keepLines w:val="0"/>
        <w:pageBreakBefore w:val="0"/>
        <w:widowControl w:val="0"/>
        <w:numPr>
          <w:ilvl w:val="0"/>
          <w:numId w:val="112"/>
        </w:numPr>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所有调节阀固定面板、所有出口点及所有管道上，都应贴设有对应气体的成分及浓度的气体标头。</w:t>
      </w:r>
    </w:p>
    <w:p w14:paraId="7B4722E5">
      <w:pPr>
        <w:keepNext w:val="0"/>
        <w:keepLines w:val="0"/>
        <w:pageBreakBefore w:val="0"/>
        <w:widowControl w:val="0"/>
        <w:numPr>
          <w:ilvl w:val="0"/>
          <w:numId w:val="112"/>
        </w:numPr>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所有系统部件安装完毕后，应用99.999%的高纯氮气进行六小时的吹扫，吹扫时边敲打管壁，让管内壁粉尘颗粒脱落，以保证系统内部清洁。</w:t>
      </w:r>
    </w:p>
    <w:p w14:paraId="7312A998">
      <w:pPr>
        <w:keepNext w:val="0"/>
        <w:keepLines w:val="0"/>
        <w:pageBreakBefore w:val="0"/>
        <w:widowControl w:val="0"/>
        <w:numPr>
          <w:ilvl w:val="0"/>
          <w:numId w:val="112"/>
        </w:numPr>
        <w:kinsoku/>
        <w:wordWrap/>
        <w:overflowPunct/>
        <w:topLinePunct w:val="0"/>
        <w:autoSpaceDE/>
        <w:autoSpaceDN/>
        <w:bidi w:val="0"/>
        <w:adjustRightInd w:val="0"/>
        <w:snapToGrid w:val="0"/>
        <w:spacing w:beforeAutospacing="0" w:afterAutospacing="0" w:line="400" w:lineRule="exact"/>
        <w:ind w:left="0" w:leftChars="0" w:right="0" w:firstLine="0" w:firstLineChars="0"/>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吹扫完毕后，用99.999%的高纯氮气进行检漏保压测试，测试压力应为工作压力的1.15倍。</w:t>
      </w:r>
    </w:p>
    <w:p w14:paraId="28F847C1">
      <w:pPr>
        <w:pageBreakBefore w:val="0"/>
        <w:numPr>
          <w:ilvl w:val="0"/>
          <w:numId w:val="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（七）气体检测报警系统</w:t>
      </w:r>
    </w:p>
    <w:p w14:paraId="40DB4AD0">
      <w:pPr>
        <w:pageBreakBefore w:val="0"/>
        <w:numPr>
          <w:ilvl w:val="0"/>
          <w:numId w:val="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芳烃化验室光谱间新装的氧气探测器安装到原有的报警器主机。原中控改化验楼新增的</w:t>
      </w:r>
    </w:p>
    <w:p w14:paraId="270D86BA">
      <w:pPr>
        <w:pageBreakBefore w:val="0"/>
        <w:numPr>
          <w:ilvl w:val="0"/>
          <w:numId w:val="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1、适用标准</w:t>
      </w:r>
    </w:p>
    <w:p w14:paraId="1DA35E2C">
      <w:pPr>
        <w:pageBreakBefore w:val="0"/>
        <w:numPr>
          <w:ilvl w:val="0"/>
          <w:numId w:val="113"/>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气体检测仪及安装出符合《石油化工可燃气体和有毒气体检测报警设计规范》(GB 50493-2019)要求。</w:t>
      </w:r>
    </w:p>
    <w:p w14:paraId="6DA5BC91">
      <w:pPr>
        <w:pStyle w:val="2"/>
        <w:pageBreakBefore w:val="0"/>
        <w:numPr>
          <w:ilvl w:val="0"/>
          <w:numId w:val="113"/>
        </w:numPr>
        <w:kinsoku/>
        <w:wordWrap/>
        <w:overflowPunct/>
        <w:topLinePunct w:val="0"/>
        <w:bidi w:val="0"/>
        <w:spacing w:before="0" w:beforeAutospacing="0" w:after="0" w:afterAutospacing="0" w:line="400" w:lineRule="exact"/>
        <w:ind w:left="0" w:leftChars="0" w:right="0" w:firstLine="0" w:firstLineChars="0"/>
        <w:rPr>
          <w:rFonts w:hint="eastAsia" w:asciiTheme="minorEastAsia" w:hAnsiTheme="minorEastAsia" w:eastAsiaTheme="minorEastAsia" w:cstheme="minorEastAsia"/>
          <w:sz w:val="24"/>
          <w:szCs w:val="24"/>
          <w:lang w:val="en-US" w:eastAsia="zh-CN"/>
        </w:rPr>
      </w:pPr>
      <w:bookmarkStart w:id="89" w:name="_Toc9266"/>
      <w:bookmarkStart w:id="90" w:name="_Toc27985"/>
      <w:r>
        <w:rPr>
          <w:rFonts w:hint="eastAsia" w:asciiTheme="minorEastAsia" w:hAnsiTheme="minorEastAsia" w:eastAsiaTheme="minorEastAsia" w:cstheme="minorEastAsia"/>
          <w:color w:val="auto"/>
          <w:sz w:val="24"/>
          <w:szCs w:val="24"/>
          <w:lang w:val="en-US" w:eastAsia="zh-CN"/>
        </w:rPr>
        <w:t>防爆要求需符合GB/T3836.1-2021《爆炸性环境 第1部分:设备 通用要求》、GB/T3836.2-2021《爆炸性环境第2部分:由隔爆外壳“d”保护的设备》、GB/T3836.31-2021《爆炸性环境 第31部分:由防粉尘点燃外壳“t”保护的设备》。</w:t>
      </w:r>
      <w:bookmarkEnd w:id="89"/>
      <w:bookmarkEnd w:id="90"/>
    </w:p>
    <w:p w14:paraId="599F438C">
      <w:pPr>
        <w:pageBreakBefore w:val="0"/>
        <w:numPr>
          <w:ilvl w:val="0"/>
          <w:numId w:val="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2、气体检测仪技术参数</w:t>
      </w:r>
    </w:p>
    <w:p w14:paraId="70B06009">
      <w:pPr>
        <w:pageBreakBefore w:val="0"/>
        <w:numPr>
          <w:ilvl w:val="0"/>
          <w:numId w:val="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（1）氧气探测器</w:t>
      </w:r>
    </w:p>
    <w:p w14:paraId="215B1E0D">
      <w:pPr>
        <w:pageBreakBefore w:val="0"/>
        <w:numPr>
          <w:ilvl w:val="0"/>
          <w:numId w:val="114"/>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检测气体：氧气O2，氢气H2</w:t>
      </w:r>
    </w:p>
    <w:p w14:paraId="3EA13B1D">
      <w:pPr>
        <w:pageBreakBefore w:val="0"/>
        <w:numPr>
          <w:ilvl w:val="0"/>
          <w:numId w:val="114"/>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检测量程:(0-100)%VOL</w:t>
      </w:r>
    </w:p>
    <w:p w14:paraId="52CC8B6D">
      <w:pPr>
        <w:pageBreakBefore w:val="0"/>
        <w:numPr>
          <w:ilvl w:val="0"/>
          <w:numId w:val="114"/>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检测原理：电化学式，光学荧光法</w:t>
      </w:r>
    </w:p>
    <w:p w14:paraId="15985FBC">
      <w:pPr>
        <w:pageBreakBefore w:val="0"/>
        <w:numPr>
          <w:ilvl w:val="0"/>
          <w:numId w:val="114"/>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指示方式：带显示</w:t>
      </w:r>
    </w:p>
    <w:p w14:paraId="015D7FA4">
      <w:pPr>
        <w:pageBreakBefore w:val="0"/>
        <w:numPr>
          <w:ilvl w:val="0"/>
          <w:numId w:val="114"/>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采用进口传感器三线/四线制4-20ma；信号+RS485+继电器输出24VDC供电</w:t>
      </w:r>
    </w:p>
    <w:p w14:paraId="6DEE86A0">
      <w:pPr>
        <w:pageBreakBefore w:val="0"/>
        <w:numPr>
          <w:ilvl w:val="0"/>
          <w:numId w:val="114"/>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防爆等级： Ex db IC T6 Gb/Ex tb IIIC T80 CDb</w:t>
      </w:r>
    </w:p>
    <w:p w14:paraId="70008C4C">
      <w:pPr>
        <w:pageBreakBefore w:val="0"/>
        <w:numPr>
          <w:ilvl w:val="0"/>
          <w:numId w:val="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（2）报警器主机</w:t>
      </w:r>
    </w:p>
    <w:p w14:paraId="7FCF914D">
      <w:pPr>
        <w:pageBreakBefore w:val="0"/>
        <w:numPr>
          <w:ilvl w:val="0"/>
          <w:numId w:val="114"/>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220ACV±15%</w:t>
      </w:r>
    </w:p>
    <w:p w14:paraId="0FB7F808">
      <w:pPr>
        <w:pageBreakBefore w:val="0"/>
        <w:numPr>
          <w:ilvl w:val="0"/>
          <w:numId w:val="114"/>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功耗：≦3W/路 </w:t>
      </w:r>
    </w:p>
    <w:p w14:paraId="05464D91">
      <w:pPr>
        <w:pageBreakBefore w:val="0"/>
        <w:numPr>
          <w:ilvl w:val="0"/>
          <w:numId w:val="114"/>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指示方式：LED液晶显示浓度数据 </w:t>
      </w:r>
    </w:p>
    <w:p w14:paraId="68926153">
      <w:pPr>
        <w:pageBreakBefore w:val="0"/>
        <w:numPr>
          <w:ilvl w:val="0"/>
          <w:numId w:val="114"/>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报警方式：声光报警 </w:t>
      </w:r>
    </w:p>
    <w:p w14:paraId="579A9573">
      <w:pPr>
        <w:pageBreakBefore w:val="0"/>
        <w:numPr>
          <w:ilvl w:val="0"/>
          <w:numId w:val="114"/>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通道数：16路（4-20）mA输入。</w:t>
      </w:r>
    </w:p>
    <w:p w14:paraId="042D591C">
      <w:pPr>
        <w:pageBreakBefore w:val="0"/>
        <w:numPr>
          <w:ilvl w:val="0"/>
          <w:numId w:val="114"/>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上位机通讯软件，数据存储，8继电器+2公共继电器输出，可选继电器输出扩展板和RS485分区板</w:t>
      </w:r>
    </w:p>
    <w:p w14:paraId="2CEEB9B0">
      <w:pPr>
        <w:pageBreakBefore w:val="0"/>
        <w:numPr>
          <w:ilvl w:val="0"/>
          <w:numId w:val="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3、其他要求</w:t>
      </w:r>
    </w:p>
    <w:p w14:paraId="217DE311">
      <w:pPr>
        <w:pageBreakBefore w:val="0"/>
        <w:numPr>
          <w:ilvl w:val="0"/>
          <w:numId w:val="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1.1、按照《石油化工可燃气体和有毒气体检测报警设计规范》(GB 50493-2019) 第4.1.6条的要求，在生产过程中可能导致环境氧气浓度变化，出现欠氧，过氧的有人员进入活动的场所，安装在线氧气检测仪。</w:t>
      </w:r>
    </w:p>
    <w:p w14:paraId="7D57E759">
      <w:pPr>
        <w:pageBreakBefore w:val="0"/>
        <w:numPr>
          <w:ilvl w:val="0"/>
          <w:numId w:val="0"/>
        </w:numPr>
        <w:tabs>
          <w:tab w:val="left" w:pos="3122"/>
        </w:tabs>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color w:val="auto"/>
          <w:sz w:val="24"/>
          <w:szCs w:val="24"/>
          <w:lang w:val="en-US" w:eastAsia="zh-CN"/>
        </w:rPr>
        <w:t>1.2、信号线采用要求不低于2*1.0 mm2屏蔽信号线，标准MODBUS，RTU协议，CCC认证。电源线采用要求不低于RVV3*2.5mm2 ，CCC认证。</w:t>
      </w:r>
    </w:p>
    <w:p w14:paraId="38E497F6">
      <w:pPr>
        <w:pStyle w:val="2"/>
        <w:bidi w:val="0"/>
        <w:rPr>
          <w:rFonts w:hint="eastAsia"/>
          <w:lang w:val="en-US" w:eastAsia="zh-CN"/>
        </w:rPr>
      </w:pPr>
      <w:bookmarkStart w:id="91" w:name="_Toc6795"/>
      <w:r>
        <w:rPr>
          <w:rFonts w:hint="eastAsia"/>
          <w:lang w:val="en-US" w:eastAsia="zh-CN"/>
        </w:rPr>
        <w:t>八、品牌推荐</w:t>
      </w:r>
      <w:bookmarkEnd w:id="91"/>
    </w:p>
    <w:p w14:paraId="3400543B">
      <w:pPr>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i w:val="0"/>
          <w:iCs w:val="0"/>
          <w:caps w:val="0"/>
          <w:spacing w:val="0"/>
          <w:sz w:val="24"/>
          <w:szCs w:val="24"/>
          <w:shd w:val="clear" w:fill="FFFFFF"/>
          <w:lang w:val="en-US" w:eastAsia="zh-CN"/>
        </w:rPr>
      </w:pPr>
      <w:r>
        <w:rPr>
          <w:rFonts w:hint="eastAsia" w:asciiTheme="minorEastAsia" w:hAnsiTheme="minorEastAsia" w:eastAsiaTheme="minorEastAsia" w:cstheme="minorEastAsia"/>
          <w:i w:val="0"/>
          <w:iCs w:val="0"/>
          <w:caps w:val="0"/>
          <w:spacing w:val="0"/>
          <w:sz w:val="24"/>
          <w:szCs w:val="24"/>
          <w:shd w:val="clear" w:fill="FFFFFF"/>
        </w:rPr>
        <w:t>实验室建设中，实验台、通风柜</w:t>
      </w:r>
      <w:r>
        <w:rPr>
          <w:rFonts w:hint="eastAsia" w:asciiTheme="minorEastAsia" w:hAnsiTheme="minorEastAsia" w:eastAsiaTheme="minorEastAsia" w:cstheme="minorEastAsia"/>
          <w:i w:val="0"/>
          <w:iCs w:val="0"/>
          <w:caps w:val="0"/>
          <w:spacing w:val="0"/>
          <w:sz w:val="24"/>
          <w:szCs w:val="24"/>
          <w:shd w:val="clear" w:fill="FFFFFF"/>
          <w:lang w:eastAsia="zh-CN"/>
        </w:rPr>
        <w:t>、</w:t>
      </w:r>
      <w:r>
        <w:rPr>
          <w:rFonts w:hint="eastAsia" w:asciiTheme="minorEastAsia" w:hAnsiTheme="minorEastAsia" w:eastAsiaTheme="minorEastAsia" w:cstheme="minorEastAsia"/>
          <w:i w:val="0"/>
          <w:iCs w:val="0"/>
          <w:caps w:val="0"/>
          <w:spacing w:val="0"/>
          <w:sz w:val="24"/>
          <w:szCs w:val="24"/>
          <w:shd w:val="clear" w:fill="FFFFFF"/>
        </w:rPr>
        <w:t>气路系统</w:t>
      </w:r>
      <w:r>
        <w:rPr>
          <w:rFonts w:hint="eastAsia" w:asciiTheme="minorEastAsia" w:hAnsiTheme="minorEastAsia" w:eastAsiaTheme="minorEastAsia" w:cstheme="minorEastAsia"/>
          <w:i w:val="0"/>
          <w:iCs w:val="0"/>
          <w:caps w:val="0"/>
          <w:spacing w:val="0"/>
          <w:sz w:val="24"/>
          <w:szCs w:val="24"/>
          <w:shd w:val="clear" w:fill="FFFFFF"/>
          <w:lang w:val="en-US" w:eastAsia="zh-CN"/>
        </w:rPr>
        <w:t>及配套设施</w:t>
      </w:r>
      <w:r>
        <w:rPr>
          <w:rFonts w:hint="eastAsia" w:asciiTheme="minorEastAsia" w:hAnsiTheme="minorEastAsia" w:eastAsiaTheme="minorEastAsia" w:cstheme="minorEastAsia"/>
          <w:i w:val="0"/>
          <w:iCs w:val="0"/>
          <w:caps w:val="0"/>
          <w:spacing w:val="0"/>
          <w:sz w:val="24"/>
          <w:szCs w:val="24"/>
          <w:shd w:val="clear" w:fill="FFFFFF"/>
        </w:rPr>
        <w:t>作为核心基础设施，</w:t>
      </w:r>
      <w:r>
        <w:rPr>
          <w:rFonts w:hint="eastAsia" w:asciiTheme="minorEastAsia" w:hAnsiTheme="minorEastAsia" w:eastAsiaTheme="minorEastAsia" w:cstheme="minorEastAsia"/>
          <w:i w:val="0"/>
          <w:iCs w:val="0"/>
          <w:caps w:val="0"/>
          <w:spacing w:val="0"/>
          <w:sz w:val="24"/>
          <w:szCs w:val="24"/>
          <w:shd w:val="clear" w:fill="FFFFFF"/>
          <w:lang w:val="en-US" w:eastAsia="zh-CN"/>
        </w:rPr>
        <w:t>为保证</w:t>
      </w:r>
      <w:r>
        <w:rPr>
          <w:rFonts w:hint="eastAsia" w:asciiTheme="minorEastAsia" w:hAnsiTheme="minorEastAsia" w:eastAsiaTheme="minorEastAsia" w:cstheme="minorEastAsia"/>
          <w:i w:val="0"/>
          <w:iCs w:val="0"/>
          <w:caps w:val="0"/>
          <w:spacing w:val="0"/>
          <w:sz w:val="24"/>
          <w:szCs w:val="24"/>
          <w:shd w:val="clear" w:fill="FFFFFF"/>
        </w:rPr>
        <w:t>实验室的安全等级、</w:t>
      </w:r>
      <w:r>
        <w:rPr>
          <w:rFonts w:hint="eastAsia" w:asciiTheme="minorEastAsia" w:hAnsiTheme="minorEastAsia" w:eastAsiaTheme="minorEastAsia" w:cstheme="minorEastAsia"/>
          <w:i w:val="0"/>
          <w:iCs w:val="0"/>
          <w:caps w:val="0"/>
          <w:spacing w:val="0"/>
          <w:sz w:val="24"/>
          <w:szCs w:val="24"/>
          <w:shd w:val="clear" w:fill="FFFFFF"/>
          <w:lang w:val="en-US" w:eastAsia="zh-CN"/>
        </w:rPr>
        <w:t>实验</w:t>
      </w:r>
      <w:r>
        <w:rPr>
          <w:rFonts w:hint="eastAsia" w:asciiTheme="minorEastAsia" w:hAnsiTheme="minorEastAsia" w:eastAsiaTheme="minorEastAsia" w:cstheme="minorEastAsia"/>
          <w:i w:val="0"/>
          <w:iCs w:val="0"/>
          <w:caps w:val="0"/>
          <w:spacing w:val="0"/>
          <w:sz w:val="24"/>
          <w:szCs w:val="24"/>
          <w:shd w:val="clear" w:fill="FFFFFF"/>
        </w:rPr>
        <w:t>可靠性与长期运营效能</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i w:val="0"/>
          <w:iCs w:val="0"/>
          <w:caps w:val="0"/>
          <w:spacing w:val="0"/>
          <w:sz w:val="24"/>
          <w:szCs w:val="24"/>
          <w:shd w:val="clear" w:fill="FFFFFF"/>
        </w:rPr>
        <w:t>同时品牌产品配套完善售后与权威认证，可降低运营风险，支撑实验室合规高效运行</w:t>
      </w:r>
      <w:r>
        <w:rPr>
          <w:rFonts w:hint="eastAsia" w:asciiTheme="minorEastAsia" w:hAnsiTheme="minorEastAsia" w:eastAsiaTheme="minorEastAsia" w:cstheme="minorEastAsia"/>
          <w:i w:val="0"/>
          <w:iCs w:val="0"/>
          <w:caps w:val="0"/>
          <w:spacing w:val="0"/>
          <w:sz w:val="24"/>
          <w:szCs w:val="24"/>
          <w:shd w:val="clear" w:fill="FFFFFF"/>
          <w:lang w:eastAsia="zh-CN"/>
        </w:rPr>
        <w:t>，</w:t>
      </w:r>
      <w:r>
        <w:rPr>
          <w:rFonts w:hint="eastAsia" w:asciiTheme="minorEastAsia" w:hAnsiTheme="minorEastAsia" w:eastAsiaTheme="minorEastAsia" w:cstheme="minorEastAsia"/>
          <w:i w:val="0"/>
          <w:iCs w:val="0"/>
          <w:caps w:val="0"/>
          <w:spacing w:val="0"/>
          <w:sz w:val="24"/>
          <w:szCs w:val="24"/>
          <w:shd w:val="clear" w:fill="FFFFFF"/>
        </w:rPr>
        <w:t>因此优先推荐优质品牌</w:t>
      </w:r>
      <w:r>
        <w:rPr>
          <w:rFonts w:hint="eastAsia" w:asciiTheme="minorEastAsia" w:hAnsiTheme="minorEastAsia" w:eastAsiaTheme="minorEastAsia" w:cstheme="minorEastAsia"/>
          <w:i w:val="0"/>
          <w:iCs w:val="0"/>
          <w:caps w:val="0"/>
          <w:spacing w:val="0"/>
          <w:sz w:val="24"/>
          <w:szCs w:val="24"/>
          <w:shd w:val="clear" w:fill="FFFFFF"/>
          <w:lang w:eastAsia="zh-CN"/>
        </w:rPr>
        <w:t>。</w:t>
      </w:r>
      <w:r>
        <w:rPr>
          <w:rFonts w:hint="eastAsia" w:asciiTheme="minorEastAsia" w:hAnsiTheme="minorEastAsia" w:eastAsiaTheme="minorEastAsia" w:cstheme="minorEastAsia"/>
          <w:i w:val="0"/>
          <w:iCs w:val="0"/>
          <w:caps w:val="0"/>
          <w:spacing w:val="0"/>
          <w:sz w:val="24"/>
          <w:szCs w:val="24"/>
          <w:shd w:val="clear" w:fill="FFFFFF"/>
          <w:lang w:val="en-US" w:eastAsia="zh-CN"/>
        </w:rPr>
        <w:t>本项目需选用推荐品牌或</w:t>
      </w:r>
      <w:r>
        <w:rPr>
          <w:rFonts w:hint="eastAsia" w:asciiTheme="minorEastAsia" w:hAnsiTheme="minorEastAsia" w:eastAsiaTheme="minorEastAsia" w:cstheme="minorEastAsia"/>
          <w:sz w:val="24"/>
          <w:szCs w:val="24"/>
          <w:lang w:eastAsia="zh-CN"/>
        </w:rPr>
        <w:t>相当</w:t>
      </w:r>
      <w:r>
        <w:rPr>
          <w:rFonts w:hint="eastAsia" w:asciiTheme="minorEastAsia" w:hAnsiTheme="minorEastAsia" w:eastAsiaTheme="minorEastAsia" w:cstheme="minorEastAsia"/>
          <w:sz w:val="24"/>
          <w:szCs w:val="24"/>
          <w:lang w:val="en-US" w:eastAsia="zh-CN"/>
        </w:rPr>
        <w:t>及</w:t>
      </w:r>
      <w:r>
        <w:rPr>
          <w:rFonts w:hint="eastAsia" w:asciiTheme="minorEastAsia" w:hAnsiTheme="minorEastAsia" w:eastAsiaTheme="minorEastAsia" w:cstheme="minorEastAsia"/>
          <w:sz w:val="24"/>
          <w:szCs w:val="24"/>
          <w:lang w:eastAsia="zh-CN"/>
        </w:rPr>
        <w:t>更高品质的品牌</w:t>
      </w:r>
      <w:r>
        <w:rPr>
          <w:rFonts w:hint="eastAsia" w:asciiTheme="minorEastAsia" w:hAnsiTheme="minorEastAsia" w:eastAsiaTheme="minorEastAsia" w:cstheme="minorEastAsia"/>
          <w:i w:val="0"/>
          <w:iCs w:val="0"/>
          <w:caps w:val="0"/>
          <w:spacing w:val="0"/>
          <w:sz w:val="24"/>
          <w:szCs w:val="24"/>
          <w:shd w:val="clear" w:fill="FFFFFF"/>
          <w:lang w:val="en-US" w:eastAsia="zh-CN"/>
        </w:rPr>
        <w:t>。</w:t>
      </w:r>
    </w:p>
    <w:tbl>
      <w:tblPr>
        <w:tblStyle w:val="43"/>
        <w:tblW w:w="9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84"/>
        <w:gridCol w:w="2325"/>
        <w:gridCol w:w="1956"/>
        <w:gridCol w:w="1956"/>
        <w:gridCol w:w="2036"/>
      </w:tblGrid>
      <w:tr w14:paraId="17AF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9" w:hRule="atLeast"/>
        </w:trPr>
        <w:tc>
          <w:tcPr>
            <w:tcW w:w="9057" w:type="dxa"/>
            <w:gridSpan w:val="5"/>
            <w:shd w:val="clear" w:color="auto" w:fill="auto"/>
            <w:vAlign w:val="center"/>
          </w:tcPr>
          <w:p w14:paraId="27849095">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品牌推荐表</w:t>
            </w:r>
          </w:p>
        </w:tc>
      </w:tr>
      <w:tr w14:paraId="6243B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8" w:hRule="atLeast"/>
        </w:trPr>
        <w:tc>
          <w:tcPr>
            <w:tcW w:w="784" w:type="dxa"/>
            <w:shd w:val="clear" w:color="auto" w:fill="auto"/>
            <w:vAlign w:val="center"/>
          </w:tcPr>
          <w:p w14:paraId="721678FE">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序号</w:t>
            </w:r>
          </w:p>
        </w:tc>
        <w:tc>
          <w:tcPr>
            <w:tcW w:w="2325" w:type="dxa"/>
            <w:shd w:val="clear" w:color="auto" w:fill="auto"/>
            <w:vAlign w:val="center"/>
          </w:tcPr>
          <w:p w14:paraId="524BA3EF">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项目名称</w:t>
            </w:r>
          </w:p>
        </w:tc>
        <w:tc>
          <w:tcPr>
            <w:tcW w:w="1956" w:type="dxa"/>
            <w:shd w:val="clear" w:color="auto" w:fill="auto"/>
            <w:vAlign w:val="center"/>
          </w:tcPr>
          <w:p w14:paraId="4BFD6863">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品牌一</w:t>
            </w:r>
          </w:p>
        </w:tc>
        <w:tc>
          <w:tcPr>
            <w:tcW w:w="1956" w:type="dxa"/>
            <w:shd w:val="clear" w:color="auto" w:fill="auto"/>
            <w:vAlign w:val="center"/>
          </w:tcPr>
          <w:p w14:paraId="69FCD07A">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品牌二</w:t>
            </w:r>
          </w:p>
        </w:tc>
        <w:tc>
          <w:tcPr>
            <w:tcW w:w="2036" w:type="dxa"/>
            <w:shd w:val="clear" w:color="auto" w:fill="auto"/>
            <w:vAlign w:val="center"/>
          </w:tcPr>
          <w:p w14:paraId="74BCD325">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品牌三</w:t>
            </w:r>
          </w:p>
        </w:tc>
      </w:tr>
      <w:tr w14:paraId="2172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3" w:hRule="atLeast"/>
        </w:trPr>
        <w:tc>
          <w:tcPr>
            <w:tcW w:w="9057" w:type="dxa"/>
            <w:gridSpan w:val="5"/>
            <w:shd w:val="clear" w:color="auto" w:fill="auto"/>
            <w:vAlign w:val="center"/>
          </w:tcPr>
          <w:p w14:paraId="040BD86B">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装饰部分</w:t>
            </w:r>
          </w:p>
        </w:tc>
      </w:tr>
      <w:tr w14:paraId="64FD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55" w:hRule="atLeast"/>
        </w:trPr>
        <w:tc>
          <w:tcPr>
            <w:tcW w:w="784" w:type="dxa"/>
            <w:shd w:val="clear" w:color="auto" w:fill="auto"/>
            <w:vAlign w:val="center"/>
          </w:tcPr>
          <w:p w14:paraId="6D247597">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w:t>
            </w:r>
          </w:p>
        </w:tc>
        <w:tc>
          <w:tcPr>
            <w:tcW w:w="2325" w:type="dxa"/>
            <w:shd w:val="clear" w:color="auto" w:fill="auto"/>
            <w:vAlign w:val="center"/>
          </w:tcPr>
          <w:p w14:paraId="4988D07E">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无机涂料</w:t>
            </w:r>
          </w:p>
        </w:tc>
        <w:tc>
          <w:tcPr>
            <w:tcW w:w="1956" w:type="dxa"/>
            <w:shd w:val="clear" w:color="auto" w:fill="auto"/>
            <w:vAlign w:val="center"/>
          </w:tcPr>
          <w:p w14:paraId="41DA79BD">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highlight w:val="none"/>
                <w:u w:val="none"/>
                <w:lang w:val="en-US" w:eastAsia="zh-CN"/>
              </w:rPr>
            </w:pPr>
            <w:r>
              <w:rPr>
                <w:rFonts w:hint="eastAsia" w:asciiTheme="minorEastAsia" w:hAnsiTheme="minorEastAsia" w:eastAsiaTheme="minorEastAsia" w:cstheme="minorEastAsia"/>
                <w:i w:val="0"/>
                <w:iCs w:val="0"/>
                <w:color w:val="auto"/>
                <w:sz w:val="24"/>
                <w:szCs w:val="24"/>
                <w:highlight w:val="none"/>
                <w:u w:val="none"/>
                <w:lang w:val="en-US" w:eastAsia="zh-CN"/>
              </w:rPr>
              <w:t>立邦</w:t>
            </w:r>
          </w:p>
        </w:tc>
        <w:tc>
          <w:tcPr>
            <w:tcW w:w="1956" w:type="dxa"/>
            <w:shd w:val="clear" w:color="auto" w:fill="auto"/>
            <w:vAlign w:val="center"/>
          </w:tcPr>
          <w:p w14:paraId="1421D84C">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highlight w:val="none"/>
                <w:u w:val="none"/>
                <w:lang w:val="en-US" w:eastAsia="zh-CN"/>
              </w:rPr>
            </w:pPr>
            <w:r>
              <w:rPr>
                <w:rFonts w:hint="eastAsia" w:asciiTheme="minorEastAsia" w:hAnsiTheme="minorEastAsia" w:eastAsiaTheme="minorEastAsia" w:cstheme="minorEastAsia"/>
                <w:i w:val="0"/>
                <w:iCs w:val="0"/>
                <w:color w:val="auto"/>
                <w:sz w:val="24"/>
                <w:szCs w:val="24"/>
                <w:highlight w:val="none"/>
                <w:u w:val="none"/>
                <w:lang w:val="en-US" w:eastAsia="zh-CN"/>
              </w:rPr>
              <w:t>多乐士</w:t>
            </w:r>
          </w:p>
        </w:tc>
        <w:tc>
          <w:tcPr>
            <w:tcW w:w="2036" w:type="dxa"/>
            <w:shd w:val="clear" w:color="auto" w:fill="auto"/>
            <w:vAlign w:val="center"/>
          </w:tcPr>
          <w:p w14:paraId="3FC808BE">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highlight w:val="none"/>
                <w:u w:val="none"/>
                <w:lang w:val="en-US" w:eastAsia="zh-CN"/>
              </w:rPr>
            </w:pPr>
            <w:r>
              <w:rPr>
                <w:rFonts w:hint="eastAsia" w:asciiTheme="minorEastAsia" w:hAnsiTheme="minorEastAsia" w:eastAsiaTheme="minorEastAsia" w:cstheme="minorEastAsia"/>
                <w:i w:val="0"/>
                <w:iCs w:val="0"/>
                <w:color w:val="auto"/>
                <w:sz w:val="24"/>
                <w:szCs w:val="24"/>
                <w:highlight w:val="none"/>
                <w:u w:val="none"/>
                <w:lang w:val="en-US" w:eastAsia="zh-CN"/>
              </w:rPr>
              <w:t>三棵树</w:t>
            </w:r>
          </w:p>
        </w:tc>
      </w:tr>
      <w:tr w14:paraId="61F7E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784" w:type="dxa"/>
            <w:shd w:val="clear" w:color="auto" w:fill="auto"/>
            <w:vAlign w:val="center"/>
          </w:tcPr>
          <w:p w14:paraId="527E40EE">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2325" w:type="dxa"/>
            <w:shd w:val="clear" w:color="auto" w:fill="auto"/>
            <w:vAlign w:val="center"/>
          </w:tcPr>
          <w:p w14:paraId="788E3C4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仿宋" w:hAnsi="仿宋" w:eastAsia="仿宋" w:cs="仿宋"/>
                <w:i w:val="0"/>
                <w:iCs w:val="0"/>
                <w:color w:val="000000"/>
                <w:kern w:val="0"/>
                <w:sz w:val="28"/>
                <w:szCs w:val="28"/>
                <w:u w:val="none"/>
                <w:lang w:val="en-US" w:eastAsia="zh-CN" w:bidi="ar"/>
              </w:rPr>
              <w:t>吊顶</w:t>
            </w:r>
          </w:p>
        </w:tc>
        <w:tc>
          <w:tcPr>
            <w:tcW w:w="1956" w:type="dxa"/>
            <w:shd w:val="clear" w:color="auto" w:fill="auto"/>
            <w:vAlign w:val="center"/>
          </w:tcPr>
          <w:p w14:paraId="3F92C86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auto"/>
                <w:sz w:val="24"/>
                <w:szCs w:val="24"/>
                <w:highlight w:val="none"/>
                <w:u w:val="none"/>
                <w:lang w:val="en-US" w:eastAsia="zh-CN"/>
              </w:rPr>
            </w:pPr>
            <w:r>
              <w:rPr>
                <w:rFonts w:hint="eastAsia" w:ascii="宋体" w:hAnsi="宋体" w:eastAsia="宋体" w:cs="宋体"/>
                <w:color w:val="auto"/>
                <w:kern w:val="0"/>
                <w:sz w:val="28"/>
                <w:szCs w:val="28"/>
                <w:lang w:val="en-US" w:eastAsia="zh-CN"/>
              </w:rPr>
              <w:t>鼎美</w:t>
            </w:r>
          </w:p>
        </w:tc>
        <w:tc>
          <w:tcPr>
            <w:tcW w:w="1956" w:type="dxa"/>
            <w:shd w:val="clear" w:color="auto" w:fill="auto"/>
            <w:vAlign w:val="center"/>
          </w:tcPr>
          <w:p w14:paraId="56347F2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仿宋" w:hAnsi="仿宋" w:eastAsia="仿宋" w:cs="仿宋"/>
                <w:i w:val="0"/>
                <w:iCs w:val="0"/>
                <w:color w:val="000000"/>
                <w:kern w:val="0"/>
                <w:sz w:val="28"/>
                <w:szCs w:val="28"/>
                <w:u w:val="none"/>
                <w:lang w:val="en-US" w:eastAsia="zh-CN" w:bidi="ar"/>
              </w:rPr>
              <w:t>佛山鑫星</w:t>
            </w:r>
          </w:p>
        </w:tc>
        <w:tc>
          <w:tcPr>
            <w:tcW w:w="2036" w:type="dxa"/>
            <w:shd w:val="clear" w:color="auto" w:fill="auto"/>
            <w:vAlign w:val="center"/>
          </w:tcPr>
          <w:p w14:paraId="2B78FA3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auto"/>
                <w:sz w:val="24"/>
                <w:szCs w:val="24"/>
                <w:highlight w:val="none"/>
                <w:u w:val="none"/>
                <w:lang w:val="en-US" w:eastAsia="zh-CN"/>
              </w:rPr>
            </w:pPr>
            <w:r>
              <w:rPr>
                <w:rFonts w:hint="eastAsia" w:ascii="仿宋" w:hAnsi="仿宋" w:eastAsia="仿宋" w:cs="仿宋"/>
                <w:i w:val="0"/>
                <w:iCs w:val="0"/>
                <w:color w:val="auto"/>
                <w:kern w:val="0"/>
                <w:sz w:val="28"/>
                <w:szCs w:val="28"/>
                <w:u w:val="none"/>
                <w:lang w:val="en-US" w:eastAsia="zh-CN" w:bidi="ar"/>
              </w:rPr>
              <w:t>友邦</w:t>
            </w:r>
          </w:p>
        </w:tc>
      </w:tr>
      <w:tr w14:paraId="38C99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9057" w:type="dxa"/>
            <w:gridSpan w:val="5"/>
            <w:shd w:val="clear" w:color="auto" w:fill="auto"/>
            <w:vAlign w:val="center"/>
          </w:tcPr>
          <w:p w14:paraId="1B56310E">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给排水部分</w:t>
            </w:r>
          </w:p>
        </w:tc>
      </w:tr>
      <w:tr w14:paraId="224EE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784" w:type="dxa"/>
            <w:shd w:val="clear" w:color="auto" w:fill="auto"/>
            <w:vAlign w:val="center"/>
          </w:tcPr>
          <w:p w14:paraId="69DD8FDF">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w:t>
            </w:r>
          </w:p>
        </w:tc>
        <w:tc>
          <w:tcPr>
            <w:tcW w:w="2325" w:type="dxa"/>
            <w:shd w:val="clear" w:color="auto" w:fill="auto"/>
            <w:vAlign w:val="center"/>
          </w:tcPr>
          <w:p w14:paraId="110FA00E">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PPR给水管</w:t>
            </w:r>
          </w:p>
        </w:tc>
        <w:tc>
          <w:tcPr>
            <w:tcW w:w="1956" w:type="dxa"/>
            <w:shd w:val="clear" w:color="auto" w:fill="auto"/>
            <w:vAlign w:val="center"/>
          </w:tcPr>
          <w:p w14:paraId="611B7CA9">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联塑</w:t>
            </w:r>
          </w:p>
        </w:tc>
        <w:tc>
          <w:tcPr>
            <w:tcW w:w="1956" w:type="dxa"/>
            <w:shd w:val="clear" w:color="auto" w:fill="auto"/>
            <w:vAlign w:val="center"/>
          </w:tcPr>
          <w:p w14:paraId="70E42AAF">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color w:val="auto"/>
                <w:kern w:val="0"/>
                <w:sz w:val="24"/>
                <w:szCs w:val="24"/>
              </w:rPr>
              <w:t>金牛</w:t>
            </w:r>
          </w:p>
        </w:tc>
        <w:tc>
          <w:tcPr>
            <w:tcW w:w="2036" w:type="dxa"/>
            <w:shd w:val="clear" w:color="auto" w:fill="auto"/>
            <w:vAlign w:val="center"/>
          </w:tcPr>
          <w:p w14:paraId="496D7304">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伟星</w:t>
            </w:r>
          </w:p>
        </w:tc>
      </w:tr>
      <w:tr w14:paraId="599F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0" w:hRule="atLeast"/>
        </w:trPr>
        <w:tc>
          <w:tcPr>
            <w:tcW w:w="784" w:type="dxa"/>
            <w:shd w:val="clear" w:color="auto" w:fill="auto"/>
            <w:vAlign w:val="center"/>
          </w:tcPr>
          <w:p w14:paraId="2A69BF9D">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2325" w:type="dxa"/>
            <w:shd w:val="clear" w:color="auto" w:fill="auto"/>
            <w:vAlign w:val="center"/>
          </w:tcPr>
          <w:p w14:paraId="171C72B9">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PVC-U排水管</w:t>
            </w:r>
          </w:p>
        </w:tc>
        <w:tc>
          <w:tcPr>
            <w:tcW w:w="1956" w:type="dxa"/>
            <w:shd w:val="clear" w:color="auto" w:fill="auto"/>
            <w:vAlign w:val="center"/>
          </w:tcPr>
          <w:p w14:paraId="30CAB152">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i w:val="0"/>
                <w:iCs w:val="0"/>
                <w:color w:val="auto"/>
                <w:sz w:val="24"/>
                <w:szCs w:val="24"/>
                <w:u w:val="none"/>
                <w:lang w:val="en-US" w:eastAsia="zh-CN"/>
              </w:rPr>
              <w:t>联塑</w:t>
            </w:r>
          </w:p>
        </w:tc>
        <w:tc>
          <w:tcPr>
            <w:tcW w:w="1956" w:type="dxa"/>
            <w:shd w:val="clear" w:color="auto" w:fill="auto"/>
            <w:vAlign w:val="center"/>
          </w:tcPr>
          <w:p w14:paraId="0246D52C">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color w:val="auto"/>
                <w:kern w:val="0"/>
                <w:sz w:val="24"/>
                <w:szCs w:val="24"/>
              </w:rPr>
              <w:t>金牛</w:t>
            </w:r>
          </w:p>
        </w:tc>
        <w:tc>
          <w:tcPr>
            <w:tcW w:w="2036" w:type="dxa"/>
            <w:shd w:val="clear" w:color="auto" w:fill="auto"/>
            <w:vAlign w:val="center"/>
          </w:tcPr>
          <w:p w14:paraId="38D344DF">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i w:val="0"/>
                <w:iCs w:val="0"/>
                <w:color w:val="auto"/>
                <w:sz w:val="24"/>
                <w:szCs w:val="24"/>
                <w:u w:val="none"/>
                <w:lang w:val="en-US" w:eastAsia="zh-CN"/>
              </w:rPr>
              <w:t>伟星</w:t>
            </w:r>
          </w:p>
        </w:tc>
      </w:tr>
      <w:tr w14:paraId="06C8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84" w:type="dxa"/>
            <w:shd w:val="clear" w:color="auto" w:fill="auto"/>
            <w:vAlign w:val="center"/>
          </w:tcPr>
          <w:p w14:paraId="4CF5D0A7">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3</w:t>
            </w:r>
          </w:p>
        </w:tc>
        <w:tc>
          <w:tcPr>
            <w:tcW w:w="2325" w:type="dxa"/>
            <w:shd w:val="clear" w:color="auto" w:fill="auto"/>
            <w:vAlign w:val="center"/>
          </w:tcPr>
          <w:p w14:paraId="486807B9">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阀门</w:t>
            </w:r>
          </w:p>
        </w:tc>
        <w:tc>
          <w:tcPr>
            <w:tcW w:w="1956" w:type="dxa"/>
            <w:shd w:val="clear" w:color="auto" w:fill="auto"/>
            <w:vAlign w:val="center"/>
          </w:tcPr>
          <w:p w14:paraId="0B69521C">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i w:val="0"/>
                <w:iCs w:val="0"/>
                <w:color w:val="auto"/>
                <w:kern w:val="2"/>
                <w:sz w:val="24"/>
                <w:szCs w:val="24"/>
                <w:u w:val="none"/>
                <w:lang w:val="en-US" w:eastAsia="zh-CN" w:bidi="ar-SA"/>
              </w:rPr>
              <w:t>联塑</w:t>
            </w:r>
          </w:p>
        </w:tc>
        <w:tc>
          <w:tcPr>
            <w:tcW w:w="1956" w:type="dxa"/>
            <w:shd w:val="clear" w:color="auto" w:fill="auto"/>
            <w:vAlign w:val="center"/>
          </w:tcPr>
          <w:p w14:paraId="37C921E1">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color w:val="auto"/>
                <w:kern w:val="0"/>
                <w:sz w:val="24"/>
                <w:szCs w:val="24"/>
              </w:rPr>
              <w:t>金牛</w:t>
            </w:r>
          </w:p>
        </w:tc>
        <w:tc>
          <w:tcPr>
            <w:tcW w:w="2036" w:type="dxa"/>
            <w:shd w:val="clear" w:color="auto" w:fill="auto"/>
            <w:vAlign w:val="center"/>
          </w:tcPr>
          <w:p w14:paraId="29E8BB14">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i w:val="0"/>
                <w:iCs w:val="0"/>
                <w:color w:val="auto"/>
                <w:sz w:val="24"/>
                <w:szCs w:val="24"/>
                <w:u w:val="none"/>
                <w:lang w:val="en-US" w:eastAsia="zh-CN"/>
              </w:rPr>
              <w:t>伟星</w:t>
            </w:r>
          </w:p>
        </w:tc>
      </w:tr>
      <w:tr w14:paraId="7A47F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9057" w:type="dxa"/>
            <w:gridSpan w:val="5"/>
            <w:shd w:val="clear" w:color="auto" w:fill="auto"/>
            <w:vAlign w:val="center"/>
          </w:tcPr>
          <w:p w14:paraId="46C6786C">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强电部分</w:t>
            </w:r>
          </w:p>
        </w:tc>
      </w:tr>
      <w:tr w14:paraId="5A33A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5" w:hRule="atLeast"/>
        </w:trPr>
        <w:tc>
          <w:tcPr>
            <w:tcW w:w="784" w:type="dxa"/>
            <w:shd w:val="clear" w:color="auto" w:fill="auto"/>
            <w:vAlign w:val="center"/>
          </w:tcPr>
          <w:p w14:paraId="058AD357">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1</w:t>
            </w:r>
          </w:p>
        </w:tc>
        <w:tc>
          <w:tcPr>
            <w:tcW w:w="2325" w:type="dxa"/>
            <w:shd w:val="clear" w:color="auto" w:fill="auto"/>
            <w:vAlign w:val="center"/>
          </w:tcPr>
          <w:p w14:paraId="139D9923">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电箱元器件</w:t>
            </w:r>
          </w:p>
        </w:tc>
        <w:tc>
          <w:tcPr>
            <w:tcW w:w="1956" w:type="dxa"/>
            <w:shd w:val="clear" w:color="auto" w:fill="auto"/>
            <w:vAlign w:val="center"/>
          </w:tcPr>
          <w:p w14:paraId="2B251D61">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正泰</w:t>
            </w:r>
          </w:p>
        </w:tc>
        <w:tc>
          <w:tcPr>
            <w:tcW w:w="1956" w:type="dxa"/>
            <w:shd w:val="clear" w:color="auto" w:fill="auto"/>
            <w:vAlign w:val="center"/>
          </w:tcPr>
          <w:p w14:paraId="05266ED1">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color w:val="auto"/>
                <w:kern w:val="0"/>
                <w:sz w:val="24"/>
                <w:szCs w:val="24"/>
              </w:rPr>
              <w:t>ABB</w:t>
            </w:r>
          </w:p>
        </w:tc>
        <w:tc>
          <w:tcPr>
            <w:tcW w:w="2036" w:type="dxa"/>
            <w:shd w:val="clear" w:color="auto" w:fill="auto"/>
            <w:vAlign w:val="center"/>
          </w:tcPr>
          <w:p w14:paraId="6579FA04">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施耐德</w:t>
            </w:r>
          </w:p>
        </w:tc>
      </w:tr>
      <w:tr w14:paraId="0464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84" w:type="dxa"/>
            <w:shd w:val="clear" w:color="auto" w:fill="auto"/>
            <w:vAlign w:val="center"/>
          </w:tcPr>
          <w:p w14:paraId="6165E695">
            <w:pPr>
              <w:keepNext w:val="0"/>
              <w:keepLines w:val="0"/>
              <w:pageBreakBefore w:val="0"/>
              <w:widowControl/>
              <w:suppressLineNumbers w:val="0"/>
              <w:kinsoku/>
              <w:wordWrap/>
              <w:overflowPunct/>
              <w:topLinePunct w:val="0"/>
              <w:bidi w:val="0"/>
              <w:spacing w:beforeAutospacing="0" w:afterAutospacing="0" w:line="400" w:lineRule="exact"/>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2325" w:type="dxa"/>
            <w:shd w:val="clear" w:color="auto" w:fill="auto"/>
            <w:vAlign w:val="center"/>
          </w:tcPr>
          <w:p w14:paraId="6B36D818">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电线电缆</w:t>
            </w:r>
          </w:p>
        </w:tc>
        <w:tc>
          <w:tcPr>
            <w:tcW w:w="1956" w:type="dxa"/>
            <w:shd w:val="clear" w:color="auto" w:fill="auto"/>
            <w:vAlign w:val="center"/>
          </w:tcPr>
          <w:p w14:paraId="0E6D6A74">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南平太阳</w:t>
            </w:r>
          </w:p>
        </w:tc>
        <w:tc>
          <w:tcPr>
            <w:tcW w:w="1956" w:type="dxa"/>
            <w:shd w:val="clear" w:color="auto" w:fill="auto"/>
            <w:vAlign w:val="center"/>
          </w:tcPr>
          <w:p w14:paraId="24D43BF1">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起帆</w:t>
            </w:r>
          </w:p>
        </w:tc>
        <w:tc>
          <w:tcPr>
            <w:tcW w:w="2036" w:type="dxa"/>
            <w:shd w:val="clear" w:color="auto" w:fill="auto"/>
            <w:vAlign w:val="center"/>
          </w:tcPr>
          <w:p w14:paraId="21925A9A">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远东</w:t>
            </w:r>
          </w:p>
        </w:tc>
      </w:tr>
      <w:tr w14:paraId="5A8B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8" w:hRule="atLeast"/>
        </w:trPr>
        <w:tc>
          <w:tcPr>
            <w:tcW w:w="784" w:type="dxa"/>
            <w:shd w:val="clear" w:color="auto" w:fill="auto"/>
            <w:vAlign w:val="center"/>
          </w:tcPr>
          <w:p w14:paraId="117A4E1E">
            <w:pPr>
              <w:keepNext w:val="0"/>
              <w:keepLines w:val="0"/>
              <w:pageBreakBefore w:val="0"/>
              <w:widowControl/>
              <w:suppressLineNumbers w:val="0"/>
              <w:kinsoku/>
              <w:wordWrap/>
              <w:overflowPunct/>
              <w:topLinePunct w:val="0"/>
              <w:bidi w:val="0"/>
              <w:spacing w:beforeAutospacing="0" w:afterAutospacing="0" w:line="400" w:lineRule="exact"/>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3</w:t>
            </w:r>
          </w:p>
        </w:tc>
        <w:tc>
          <w:tcPr>
            <w:tcW w:w="2325" w:type="dxa"/>
            <w:shd w:val="clear" w:color="auto" w:fill="auto"/>
            <w:vAlign w:val="center"/>
          </w:tcPr>
          <w:p w14:paraId="164006F7">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5孔开关插座</w:t>
            </w:r>
          </w:p>
        </w:tc>
        <w:tc>
          <w:tcPr>
            <w:tcW w:w="1956" w:type="dxa"/>
            <w:shd w:val="clear" w:color="auto" w:fill="auto"/>
            <w:vAlign w:val="center"/>
          </w:tcPr>
          <w:p w14:paraId="3871C2AC">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公牛</w:t>
            </w:r>
          </w:p>
        </w:tc>
        <w:tc>
          <w:tcPr>
            <w:tcW w:w="1956" w:type="dxa"/>
            <w:shd w:val="clear" w:color="auto" w:fill="auto"/>
            <w:vAlign w:val="center"/>
          </w:tcPr>
          <w:p w14:paraId="23BA4249">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kern w:val="0"/>
                <w:sz w:val="24"/>
                <w:szCs w:val="24"/>
                <w:u w:val="none"/>
                <w:lang w:val="en-US" w:eastAsia="zh-CN" w:bidi="ar"/>
              </w:rPr>
              <w:t>西门子</w:t>
            </w:r>
          </w:p>
        </w:tc>
        <w:tc>
          <w:tcPr>
            <w:tcW w:w="2036" w:type="dxa"/>
            <w:shd w:val="clear" w:color="auto" w:fill="auto"/>
            <w:vAlign w:val="center"/>
          </w:tcPr>
          <w:p w14:paraId="13714B22">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施耐德</w:t>
            </w:r>
          </w:p>
        </w:tc>
      </w:tr>
      <w:tr w14:paraId="6C873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784" w:type="dxa"/>
            <w:shd w:val="clear" w:color="auto" w:fill="auto"/>
            <w:vAlign w:val="center"/>
          </w:tcPr>
          <w:p w14:paraId="4D6C0C74">
            <w:pPr>
              <w:keepNext w:val="0"/>
              <w:keepLines w:val="0"/>
              <w:pageBreakBefore w:val="0"/>
              <w:widowControl/>
              <w:suppressLineNumbers w:val="0"/>
              <w:kinsoku/>
              <w:wordWrap/>
              <w:overflowPunct/>
              <w:topLinePunct w:val="0"/>
              <w:bidi w:val="0"/>
              <w:spacing w:beforeAutospacing="0" w:afterAutospacing="0" w:line="400" w:lineRule="exact"/>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4</w:t>
            </w:r>
          </w:p>
        </w:tc>
        <w:tc>
          <w:tcPr>
            <w:tcW w:w="2325" w:type="dxa"/>
            <w:shd w:val="clear" w:color="auto" w:fill="auto"/>
            <w:vAlign w:val="center"/>
          </w:tcPr>
          <w:p w14:paraId="61E0F062">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普通照明灯具</w:t>
            </w:r>
          </w:p>
        </w:tc>
        <w:tc>
          <w:tcPr>
            <w:tcW w:w="1956" w:type="dxa"/>
            <w:shd w:val="clear" w:color="auto" w:fill="auto"/>
            <w:vAlign w:val="center"/>
          </w:tcPr>
          <w:p w14:paraId="103048A0">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雷士</w:t>
            </w:r>
          </w:p>
        </w:tc>
        <w:tc>
          <w:tcPr>
            <w:tcW w:w="1956" w:type="dxa"/>
            <w:shd w:val="clear" w:color="auto" w:fill="auto"/>
            <w:vAlign w:val="center"/>
          </w:tcPr>
          <w:p w14:paraId="3EA16F57">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欧普</w:t>
            </w:r>
          </w:p>
        </w:tc>
        <w:tc>
          <w:tcPr>
            <w:tcW w:w="2036" w:type="dxa"/>
            <w:shd w:val="clear" w:color="auto" w:fill="auto"/>
            <w:vAlign w:val="center"/>
          </w:tcPr>
          <w:p w14:paraId="4062C793">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color w:val="auto"/>
                <w:kern w:val="0"/>
                <w:sz w:val="24"/>
                <w:szCs w:val="24"/>
              </w:rPr>
              <w:t>飞利浦</w:t>
            </w:r>
          </w:p>
        </w:tc>
      </w:tr>
      <w:tr w14:paraId="1BFB8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trPr>
        <w:tc>
          <w:tcPr>
            <w:tcW w:w="9057" w:type="dxa"/>
            <w:gridSpan w:val="5"/>
            <w:shd w:val="clear" w:color="auto" w:fill="auto"/>
            <w:vAlign w:val="center"/>
          </w:tcPr>
          <w:p w14:paraId="48BB3231">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综合布线部分</w:t>
            </w:r>
          </w:p>
        </w:tc>
      </w:tr>
      <w:tr w14:paraId="6105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0" w:hRule="atLeast"/>
        </w:trPr>
        <w:tc>
          <w:tcPr>
            <w:tcW w:w="784" w:type="dxa"/>
            <w:shd w:val="clear" w:color="auto" w:fill="auto"/>
            <w:vAlign w:val="center"/>
          </w:tcPr>
          <w:p w14:paraId="11EBB408">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w:t>
            </w:r>
          </w:p>
        </w:tc>
        <w:tc>
          <w:tcPr>
            <w:tcW w:w="2325" w:type="dxa"/>
            <w:shd w:val="clear" w:color="auto" w:fill="auto"/>
            <w:vAlign w:val="center"/>
          </w:tcPr>
          <w:p w14:paraId="02E79118">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网络机柜</w:t>
            </w:r>
          </w:p>
        </w:tc>
        <w:tc>
          <w:tcPr>
            <w:tcW w:w="1956" w:type="dxa"/>
            <w:shd w:val="clear" w:color="auto" w:fill="auto"/>
            <w:vAlign w:val="center"/>
          </w:tcPr>
          <w:p w14:paraId="22348984">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highlight w:val="none"/>
                <w:u w:val="none"/>
                <w:lang w:val="en-US" w:eastAsia="zh-CN"/>
              </w:rPr>
              <w:t>海康威视</w:t>
            </w:r>
          </w:p>
        </w:tc>
        <w:tc>
          <w:tcPr>
            <w:tcW w:w="1956" w:type="dxa"/>
            <w:shd w:val="clear" w:color="auto" w:fill="auto"/>
            <w:vAlign w:val="center"/>
          </w:tcPr>
          <w:p w14:paraId="28DD45ED">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图腾</w:t>
            </w:r>
          </w:p>
        </w:tc>
        <w:tc>
          <w:tcPr>
            <w:tcW w:w="2036" w:type="dxa"/>
            <w:shd w:val="clear" w:color="auto" w:fill="auto"/>
            <w:vAlign w:val="center"/>
          </w:tcPr>
          <w:p w14:paraId="522FA106">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易联</w:t>
            </w:r>
          </w:p>
        </w:tc>
      </w:tr>
      <w:tr w14:paraId="34417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784" w:type="dxa"/>
            <w:shd w:val="clear" w:color="auto" w:fill="auto"/>
            <w:vAlign w:val="center"/>
          </w:tcPr>
          <w:p w14:paraId="460E343E">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2325" w:type="dxa"/>
            <w:shd w:val="clear" w:color="auto" w:fill="auto"/>
            <w:vAlign w:val="center"/>
          </w:tcPr>
          <w:p w14:paraId="014DC5C2">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交换机</w:t>
            </w:r>
          </w:p>
        </w:tc>
        <w:tc>
          <w:tcPr>
            <w:tcW w:w="1956" w:type="dxa"/>
            <w:shd w:val="clear" w:color="auto" w:fill="auto"/>
            <w:vAlign w:val="center"/>
          </w:tcPr>
          <w:p w14:paraId="379932FE">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锐捷</w:t>
            </w:r>
          </w:p>
        </w:tc>
        <w:tc>
          <w:tcPr>
            <w:tcW w:w="1956" w:type="dxa"/>
            <w:shd w:val="clear" w:color="auto" w:fill="auto"/>
            <w:vAlign w:val="center"/>
          </w:tcPr>
          <w:p w14:paraId="21C03364">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华为</w:t>
            </w:r>
          </w:p>
        </w:tc>
        <w:tc>
          <w:tcPr>
            <w:tcW w:w="2036" w:type="dxa"/>
            <w:shd w:val="clear" w:color="auto" w:fill="auto"/>
            <w:vAlign w:val="center"/>
          </w:tcPr>
          <w:p w14:paraId="0005AEEA">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kern w:val="0"/>
                <w:sz w:val="24"/>
                <w:szCs w:val="24"/>
                <w:u w:val="none"/>
                <w:lang w:val="en-US" w:eastAsia="zh-CN" w:bidi="ar"/>
              </w:rPr>
              <w:t>H3C</w:t>
            </w:r>
          </w:p>
        </w:tc>
      </w:tr>
      <w:tr w14:paraId="4A175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0" w:hRule="atLeast"/>
        </w:trPr>
        <w:tc>
          <w:tcPr>
            <w:tcW w:w="784" w:type="dxa"/>
            <w:shd w:val="clear" w:color="auto" w:fill="auto"/>
            <w:vAlign w:val="center"/>
          </w:tcPr>
          <w:p w14:paraId="27AA22E7">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3</w:t>
            </w:r>
          </w:p>
        </w:tc>
        <w:tc>
          <w:tcPr>
            <w:tcW w:w="2325" w:type="dxa"/>
            <w:shd w:val="clear" w:color="auto" w:fill="auto"/>
            <w:vAlign w:val="center"/>
          </w:tcPr>
          <w:p w14:paraId="515BACAB">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硬盘录像机</w:t>
            </w:r>
          </w:p>
        </w:tc>
        <w:tc>
          <w:tcPr>
            <w:tcW w:w="1956" w:type="dxa"/>
            <w:shd w:val="clear" w:color="auto" w:fill="auto"/>
            <w:vAlign w:val="center"/>
          </w:tcPr>
          <w:p w14:paraId="721ADA77">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海康威视</w:t>
            </w:r>
          </w:p>
        </w:tc>
        <w:tc>
          <w:tcPr>
            <w:tcW w:w="1956" w:type="dxa"/>
            <w:shd w:val="clear" w:color="auto" w:fill="auto"/>
            <w:vAlign w:val="center"/>
          </w:tcPr>
          <w:p w14:paraId="5ADA2964">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大华</w:t>
            </w:r>
          </w:p>
        </w:tc>
        <w:tc>
          <w:tcPr>
            <w:tcW w:w="2036" w:type="dxa"/>
            <w:shd w:val="clear" w:color="auto" w:fill="auto"/>
            <w:vAlign w:val="center"/>
          </w:tcPr>
          <w:p w14:paraId="21500065">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宇视</w:t>
            </w:r>
          </w:p>
        </w:tc>
      </w:tr>
      <w:tr w14:paraId="7EC7B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0" w:hRule="atLeast"/>
        </w:trPr>
        <w:tc>
          <w:tcPr>
            <w:tcW w:w="784" w:type="dxa"/>
            <w:shd w:val="clear" w:color="auto" w:fill="auto"/>
            <w:vAlign w:val="center"/>
          </w:tcPr>
          <w:p w14:paraId="46C1D7D1">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4</w:t>
            </w:r>
          </w:p>
        </w:tc>
        <w:tc>
          <w:tcPr>
            <w:tcW w:w="2325" w:type="dxa"/>
            <w:shd w:val="clear" w:color="auto" w:fill="auto"/>
            <w:vAlign w:val="center"/>
          </w:tcPr>
          <w:p w14:paraId="53E2ACC2">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网络面板</w:t>
            </w:r>
          </w:p>
        </w:tc>
        <w:tc>
          <w:tcPr>
            <w:tcW w:w="1956" w:type="dxa"/>
            <w:shd w:val="clear" w:color="auto" w:fill="auto"/>
            <w:vAlign w:val="center"/>
          </w:tcPr>
          <w:p w14:paraId="26A425E8">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i w:val="0"/>
                <w:iCs w:val="0"/>
                <w:color w:val="auto"/>
                <w:sz w:val="24"/>
                <w:szCs w:val="24"/>
                <w:u w:val="none"/>
                <w:lang w:val="en-US" w:eastAsia="zh-CN"/>
              </w:rPr>
              <w:t>公牛</w:t>
            </w:r>
          </w:p>
        </w:tc>
        <w:tc>
          <w:tcPr>
            <w:tcW w:w="1956" w:type="dxa"/>
            <w:shd w:val="clear" w:color="auto" w:fill="auto"/>
            <w:vAlign w:val="center"/>
          </w:tcPr>
          <w:p w14:paraId="35D3CD86">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锐捷</w:t>
            </w:r>
          </w:p>
        </w:tc>
        <w:tc>
          <w:tcPr>
            <w:tcW w:w="2036" w:type="dxa"/>
            <w:shd w:val="clear" w:color="auto" w:fill="auto"/>
            <w:vAlign w:val="center"/>
          </w:tcPr>
          <w:p w14:paraId="67A0ED01">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i w:val="0"/>
                <w:iCs w:val="0"/>
                <w:color w:val="auto"/>
                <w:sz w:val="24"/>
                <w:szCs w:val="24"/>
                <w:u w:val="none"/>
                <w:lang w:val="en-US" w:eastAsia="zh-CN"/>
              </w:rPr>
              <w:t>施耐德</w:t>
            </w:r>
          </w:p>
        </w:tc>
      </w:tr>
      <w:tr w14:paraId="0600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84" w:type="dxa"/>
            <w:shd w:val="clear" w:color="auto" w:fill="auto"/>
            <w:vAlign w:val="center"/>
          </w:tcPr>
          <w:p w14:paraId="5410FC52">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5</w:t>
            </w:r>
          </w:p>
        </w:tc>
        <w:tc>
          <w:tcPr>
            <w:tcW w:w="2325" w:type="dxa"/>
            <w:shd w:val="clear" w:color="auto" w:fill="auto"/>
            <w:vAlign w:val="center"/>
          </w:tcPr>
          <w:p w14:paraId="6FFCD657">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网线</w:t>
            </w:r>
          </w:p>
        </w:tc>
        <w:tc>
          <w:tcPr>
            <w:tcW w:w="1956" w:type="dxa"/>
            <w:shd w:val="clear" w:color="auto" w:fill="auto"/>
            <w:vAlign w:val="center"/>
          </w:tcPr>
          <w:p w14:paraId="0D4DDE9C">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康普</w:t>
            </w:r>
          </w:p>
        </w:tc>
        <w:tc>
          <w:tcPr>
            <w:tcW w:w="1956" w:type="dxa"/>
            <w:shd w:val="clear" w:color="auto" w:fill="auto"/>
            <w:vAlign w:val="center"/>
          </w:tcPr>
          <w:p w14:paraId="1C7C7304">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绿联</w:t>
            </w:r>
          </w:p>
        </w:tc>
        <w:tc>
          <w:tcPr>
            <w:tcW w:w="2036" w:type="dxa"/>
            <w:shd w:val="clear" w:color="auto" w:fill="auto"/>
            <w:vAlign w:val="center"/>
          </w:tcPr>
          <w:p w14:paraId="6344BBA6">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罗格朗</w:t>
            </w:r>
          </w:p>
        </w:tc>
      </w:tr>
      <w:tr w14:paraId="7BB64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84" w:type="dxa"/>
            <w:shd w:val="clear" w:color="auto" w:fill="auto"/>
            <w:vAlign w:val="center"/>
          </w:tcPr>
          <w:p w14:paraId="612E6F4D">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6</w:t>
            </w:r>
          </w:p>
        </w:tc>
        <w:tc>
          <w:tcPr>
            <w:tcW w:w="2325" w:type="dxa"/>
            <w:shd w:val="clear" w:color="auto" w:fill="auto"/>
            <w:vAlign w:val="center"/>
          </w:tcPr>
          <w:p w14:paraId="3D3CCCA1">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摄像头</w:t>
            </w:r>
          </w:p>
        </w:tc>
        <w:tc>
          <w:tcPr>
            <w:tcW w:w="1956" w:type="dxa"/>
            <w:shd w:val="clear" w:color="auto" w:fill="auto"/>
            <w:vAlign w:val="center"/>
          </w:tcPr>
          <w:p w14:paraId="6EC40E14">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海康威视</w:t>
            </w:r>
          </w:p>
        </w:tc>
        <w:tc>
          <w:tcPr>
            <w:tcW w:w="1956" w:type="dxa"/>
            <w:shd w:val="clear" w:color="auto" w:fill="auto"/>
            <w:vAlign w:val="center"/>
          </w:tcPr>
          <w:p w14:paraId="17DAAF0D">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大华</w:t>
            </w:r>
          </w:p>
        </w:tc>
        <w:tc>
          <w:tcPr>
            <w:tcW w:w="2036" w:type="dxa"/>
            <w:shd w:val="clear" w:color="auto" w:fill="auto"/>
            <w:vAlign w:val="center"/>
          </w:tcPr>
          <w:p w14:paraId="2DDE8E6E">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宇视</w:t>
            </w:r>
          </w:p>
        </w:tc>
      </w:tr>
      <w:tr w14:paraId="5D0A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84" w:type="dxa"/>
            <w:shd w:val="clear" w:color="auto" w:fill="auto"/>
            <w:vAlign w:val="center"/>
          </w:tcPr>
          <w:p w14:paraId="166807E9">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7</w:t>
            </w:r>
          </w:p>
        </w:tc>
        <w:tc>
          <w:tcPr>
            <w:tcW w:w="2325" w:type="dxa"/>
            <w:shd w:val="clear" w:color="auto" w:fill="auto"/>
            <w:vAlign w:val="center"/>
          </w:tcPr>
          <w:p w14:paraId="6D82CB8E">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门禁设备</w:t>
            </w:r>
          </w:p>
        </w:tc>
        <w:tc>
          <w:tcPr>
            <w:tcW w:w="1956" w:type="dxa"/>
            <w:shd w:val="clear" w:color="auto" w:fill="auto"/>
            <w:vAlign w:val="center"/>
          </w:tcPr>
          <w:p w14:paraId="6D271140">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海康威视</w:t>
            </w:r>
          </w:p>
        </w:tc>
        <w:tc>
          <w:tcPr>
            <w:tcW w:w="1956" w:type="dxa"/>
            <w:shd w:val="clear" w:color="auto" w:fill="auto"/>
            <w:vAlign w:val="center"/>
          </w:tcPr>
          <w:p w14:paraId="6412B276">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大华</w:t>
            </w:r>
          </w:p>
        </w:tc>
        <w:tc>
          <w:tcPr>
            <w:tcW w:w="2036" w:type="dxa"/>
            <w:shd w:val="clear" w:color="auto" w:fill="auto"/>
            <w:vAlign w:val="center"/>
          </w:tcPr>
          <w:p w14:paraId="04635542">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宇视</w:t>
            </w:r>
          </w:p>
        </w:tc>
      </w:tr>
      <w:tr w14:paraId="017DA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trPr>
        <w:tc>
          <w:tcPr>
            <w:tcW w:w="9057" w:type="dxa"/>
            <w:gridSpan w:val="5"/>
            <w:shd w:val="clear" w:color="auto" w:fill="auto"/>
            <w:vAlign w:val="center"/>
          </w:tcPr>
          <w:p w14:paraId="128559F2">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集中供气部分</w:t>
            </w:r>
          </w:p>
        </w:tc>
      </w:tr>
      <w:tr w14:paraId="398F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5" w:hRule="atLeast"/>
        </w:trPr>
        <w:tc>
          <w:tcPr>
            <w:tcW w:w="784" w:type="dxa"/>
            <w:shd w:val="clear" w:color="auto" w:fill="auto"/>
            <w:vAlign w:val="center"/>
          </w:tcPr>
          <w:p w14:paraId="55C51B57">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w:t>
            </w:r>
          </w:p>
        </w:tc>
        <w:tc>
          <w:tcPr>
            <w:tcW w:w="2325" w:type="dxa"/>
            <w:shd w:val="clear" w:color="auto" w:fill="auto"/>
            <w:vAlign w:val="center"/>
          </w:tcPr>
          <w:p w14:paraId="1EB935EC">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二级减压器</w:t>
            </w:r>
          </w:p>
        </w:tc>
        <w:tc>
          <w:tcPr>
            <w:tcW w:w="1956" w:type="dxa"/>
            <w:shd w:val="clear" w:color="auto" w:fill="auto"/>
            <w:vAlign w:val="center"/>
          </w:tcPr>
          <w:p w14:paraId="1A8B9726">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GENTEC(捷锐）</w:t>
            </w:r>
          </w:p>
        </w:tc>
        <w:tc>
          <w:tcPr>
            <w:tcW w:w="1956" w:type="dxa"/>
            <w:shd w:val="clear" w:color="auto" w:fill="auto"/>
            <w:vAlign w:val="center"/>
          </w:tcPr>
          <w:p w14:paraId="28ED2C38">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AMFLO(敦阳）</w:t>
            </w:r>
          </w:p>
        </w:tc>
        <w:tc>
          <w:tcPr>
            <w:tcW w:w="2036" w:type="dxa"/>
            <w:shd w:val="clear" w:color="auto" w:fill="auto"/>
            <w:vAlign w:val="center"/>
          </w:tcPr>
          <w:p w14:paraId="41F8EFCB">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GCE</w:t>
            </w:r>
          </w:p>
        </w:tc>
      </w:tr>
      <w:tr w14:paraId="6996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7" w:hRule="atLeast"/>
        </w:trPr>
        <w:tc>
          <w:tcPr>
            <w:tcW w:w="784" w:type="dxa"/>
            <w:shd w:val="clear" w:color="auto" w:fill="auto"/>
            <w:vAlign w:val="center"/>
          </w:tcPr>
          <w:p w14:paraId="0DCDEE47">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2325" w:type="dxa"/>
            <w:shd w:val="clear" w:color="auto" w:fill="auto"/>
            <w:vAlign w:val="center"/>
          </w:tcPr>
          <w:p w14:paraId="76C96359">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color w:val="auto"/>
                <w:sz w:val="24"/>
                <w:szCs w:val="24"/>
                <w:lang w:eastAsia="zh-CN"/>
              </w:rPr>
              <w:t>不锈钢高压软管</w:t>
            </w:r>
          </w:p>
        </w:tc>
        <w:tc>
          <w:tcPr>
            <w:tcW w:w="1956" w:type="dxa"/>
            <w:shd w:val="clear" w:color="auto" w:fill="auto"/>
            <w:vAlign w:val="center"/>
          </w:tcPr>
          <w:p w14:paraId="64CC4274">
            <w:pPr>
              <w:keepNext w:val="0"/>
              <w:keepLines w:val="0"/>
              <w:pageBreakBefore w:val="0"/>
              <w:widowControl/>
              <w:suppressLineNumbers w:val="0"/>
              <w:kinsoku/>
              <w:wordWrap/>
              <w:overflowPunct/>
              <w:topLinePunct w:val="0"/>
              <w:bidi w:val="0"/>
              <w:spacing w:beforeAutospacing="0" w:afterAutospacing="0" w:line="400" w:lineRule="exact"/>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i w:val="0"/>
                <w:iCs w:val="0"/>
                <w:color w:val="auto"/>
                <w:sz w:val="24"/>
                <w:szCs w:val="24"/>
                <w:u w:val="none"/>
                <w:lang w:val="en-US" w:eastAsia="zh-CN"/>
              </w:rPr>
              <w:t>GENTEC(捷锐）</w:t>
            </w:r>
          </w:p>
        </w:tc>
        <w:tc>
          <w:tcPr>
            <w:tcW w:w="1956" w:type="dxa"/>
            <w:shd w:val="clear" w:color="auto" w:fill="auto"/>
            <w:vAlign w:val="center"/>
          </w:tcPr>
          <w:p w14:paraId="3DF20AD3">
            <w:pPr>
              <w:keepNext w:val="0"/>
              <w:keepLines w:val="0"/>
              <w:pageBreakBefore w:val="0"/>
              <w:widowControl/>
              <w:suppressLineNumbers w:val="0"/>
              <w:kinsoku/>
              <w:wordWrap/>
              <w:overflowPunct/>
              <w:topLinePunct w:val="0"/>
              <w:bidi w:val="0"/>
              <w:spacing w:beforeAutospacing="0" w:afterAutospacing="0" w:line="400" w:lineRule="exact"/>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i w:val="0"/>
                <w:iCs w:val="0"/>
                <w:color w:val="auto"/>
                <w:sz w:val="24"/>
                <w:szCs w:val="24"/>
                <w:u w:val="none"/>
                <w:lang w:val="en-US" w:eastAsia="zh-CN"/>
              </w:rPr>
              <w:t>AMFLO(敦阳）</w:t>
            </w:r>
          </w:p>
        </w:tc>
        <w:tc>
          <w:tcPr>
            <w:tcW w:w="2036" w:type="dxa"/>
            <w:shd w:val="clear" w:color="auto" w:fill="auto"/>
            <w:vAlign w:val="center"/>
          </w:tcPr>
          <w:p w14:paraId="3299C0DB">
            <w:pPr>
              <w:keepNext w:val="0"/>
              <w:keepLines w:val="0"/>
              <w:pageBreakBefore w:val="0"/>
              <w:widowControl/>
              <w:suppressLineNumbers w:val="0"/>
              <w:kinsoku/>
              <w:wordWrap/>
              <w:overflowPunct/>
              <w:topLinePunct w:val="0"/>
              <w:bidi w:val="0"/>
              <w:spacing w:beforeAutospacing="0" w:afterAutospacing="0" w:line="400" w:lineRule="exact"/>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GCE</w:t>
            </w:r>
          </w:p>
        </w:tc>
      </w:tr>
      <w:tr w14:paraId="6974F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5" w:hRule="atLeast"/>
        </w:trPr>
        <w:tc>
          <w:tcPr>
            <w:tcW w:w="784" w:type="dxa"/>
            <w:shd w:val="clear" w:color="auto" w:fill="auto"/>
            <w:vAlign w:val="center"/>
          </w:tcPr>
          <w:p w14:paraId="3833FDF3">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3</w:t>
            </w:r>
          </w:p>
        </w:tc>
        <w:tc>
          <w:tcPr>
            <w:tcW w:w="2325" w:type="dxa"/>
            <w:shd w:val="clear" w:color="auto" w:fill="auto"/>
            <w:vAlign w:val="center"/>
          </w:tcPr>
          <w:p w14:paraId="1BCCAA52">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气体阀门</w:t>
            </w:r>
          </w:p>
        </w:tc>
        <w:tc>
          <w:tcPr>
            <w:tcW w:w="1956" w:type="dxa"/>
            <w:shd w:val="clear" w:color="auto" w:fill="auto"/>
            <w:vAlign w:val="center"/>
          </w:tcPr>
          <w:p w14:paraId="50142797">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i w:val="0"/>
                <w:iCs w:val="0"/>
                <w:color w:val="auto"/>
                <w:sz w:val="24"/>
                <w:szCs w:val="24"/>
                <w:u w:val="none"/>
                <w:lang w:val="en-US" w:eastAsia="zh-CN"/>
              </w:rPr>
              <w:t>GENTEC(捷锐）</w:t>
            </w:r>
          </w:p>
        </w:tc>
        <w:tc>
          <w:tcPr>
            <w:tcW w:w="1956" w:type="dxa"/>
            <w:shd w:val="clear" w:color="auto" w:fill="auto"/>
            <w:vAlign w:val="center"/>
          </w:tcPr>
          <w:p w14:paraId="52BAA6C1">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i w:val="0"/>
                <w:iCs w:val="0"/>
                <w:color w:val="auto"/>
                <w:sz w:val="24"/>
                <w:szCs w:val="24"/>
                <w:u w:val="none"/>
                <w:lang w:val="en-US" w:eastAsia="zh-CN"/>
              </w:rPr>
              <w:t>AMFLO(敦阳）</w:t>
            </w:r>
          </w:p>
        </w:tc>
        <w:tc>
          <w:tcPr>
            <w:tcW w:w="2036" w:type="dxa"/>
            <w:shd w:val="clear" w:color="auto" w:fill="auto"/>
            <w:vAlign w:val="center"/>
          </w:tcPr>
          <w:p w14:paraId="0A090B4F">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GCE</w:t>
            </w:r>
          </w:p>
        </w:tc>
      </w:tr>
      <w:tr w14:paraId="1F595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784" w:type="dxa"/>
            <w:shd w:val="clear" w:color="auto" w:fill="auto"/>
            <w:vAlign w:val="center"/>
          </w:tcPr>
          <w:p w14:paraId="00E3D3DE">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4</w:t>
            </w:r>
          </w:p>
        </w:tc>
        <w:tc>
          <w:tcPr>
            <w:tcW w:w="2325" w:type="dxa"/>
            <w:shd w:val="clear" w:color="auto" w:fill="auto"/>
            <w:vAlign w:val="center"/>
          </w:tcPr>
          <w:p w14:paraId="44148F0C">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气体浓度探测器</w:t>
            </w:r>
          </w:p>
        </w:tc>
        <w:tc>
          <w:tcPr>
            <w:tcW w:w="1956" w:type="dxa"/>
            <w:shd w:val="clear" w:color="auto" w:fill="auto"/>
            <w:vAlign w:val="center"/>
          </w:tcPr>
          <w:p w14:paraId="684F28EC">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中安</w:t>
            </w:r>
          </w:p>
        </w:tc>
        <w:tc>
          <w:tcPr>
            <w:tcW w:w="1956" w:type="dxa"/>
            <w:shd w:val="clear" w:color="auto" w:fill="auto"/>
            <w:vAlign w:val="center"/>
          </w:tcPr>
          <w:p w14:paraId="71C5F4AB">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rPr>
              <w:t>特安</w:t>
            </w:r>
          </w:p>
        </w:tc>
        <w:tc>
          <w:tcPr>
            <w:tcW w:w="2036" w:type="dxa"/>
            <w:shd w:val="clear" w:color="auto" w:fill="auto"/>
            <w:vAlign w:val="center"/>
          </w:tcPr>
          <w:p w14:paraId="4E7C4691">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GENTEC</w:t>
            </w:r>
          </w:p>
        </w:tc>
      </w:tr>
      <w:tr w14:paraId="0345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trPr>
        <w:tc>
          <w:tcPr>
            <w:tcW w:w="9057" w:type="dxa"/>
            <w:gridSpan w:val="5"/>
            <w:shd w:val="clear" w:color="auto" w:fill="auto"/>
            <w:vAlign w:val="center"/>
          </w:tcPr>
          <w:p w14:paraId="099F0391">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排风</w:t>
            </w:r>
          </w:p>
        </w:tc>
      </w:tr>
      <w:tr w14:paraId="3321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784" w:type="dxa"/>
            <w:shd w:val="clear" w:color="auto" w:fill="auto"/>
            <w:vAlign w:val="center"/>
          </w:tcPr>
          <w:p w14:paraId="6D10259A">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w:t>
            </w:r>
          </w:p>
        </w:tc>
        <w:tc>
          <w:tcPr>
            <w:tcW w:w="2325" w:type="dxa"/>
            <w:shd w:val="clear" w:color="auto" w:fill="auto"/>
            <w:vAlign w:val="center"/>
          </w:tcPr>
          <w:p w14:paraId="3BD0880E">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排风风机</w:t>
            </w:r>
          </w:p>
        </w:tc>
        <w:tc>
          <w:tcPr>
            <w:tcW w:w="1956" w:type="dxa"/>
            <w:shd w:val="clear" w:color="auto" w:fill="auto"/>
            <w:vAlign w:val="center"/>
          </w:tcPr>
          <w:p w14:paraId="3408F0F4">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广菱丰</w:t>
            </w:r>
          </w:p>
        </w:tc>
        <w:tc>
          <w:tcPr>
            <w:tcW w:w="1956" w:type="dxa"/>
            <w:shd w:val="clear" w:color="auto" w:fill="auto"/>
            <w:vAlign w:val="center"/>
          </w:tcPr>
          <w:p w14:paraId="717FF51B">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苏州顶裕</w:t>
            </w:r>
          </w:p>
        </w:tc>
        <w:tc>
          <w:tcPr>
            <w:tcW w:w="2036" w:type="dxa"/>
            <w:shd w:val="clear" w:color="auto" w:fill="auto"/>
            <w:vAlign w:val="center"/>
          </w:tcPr>
          <w:p w14:paraId="6FE0DA2D">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上海英飞</w:t>
            </w:r>
          </w:p>
        </w:tc>
      </w:tr>
      <w:tr w14:paraId="1BF3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8" w:hRule="atLeast"/>
        </w:trPr>
        <w:tc>
          <w:tcPr>
            <w:tcW w:w="784" w:type="dxa"/>
            <w:shd w:val="clear" w:color="auto" w:fill="auto"/>
            <w:vAlign w:val="center"/>
          </w:tcPr>
          <w:p w14:paraId="39B689B6">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2325" w:type="dxa"/>
            <w:shd w:val="clear" w:color="auto" w:fill="auto"/>
            <w:vAlign w:val="center"/>
          </w:tcPr>
          <w:p w14:paraId="740826D0">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PP风管</w:t>
            </w:r>
          </w:p>
        </w:tc>
        <w:tc>
          <w:tcPr>
            <w:tcW w:w="1956" w:type="dxa"/>
            <w:shd w:val="clear" w:color="auto" w:fill="auto"/>
            <w:vAlign w:val="center"/>
          </w:tcPr>
          <w:p w14:paraId="3BB35AE4">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欧德利</w:t>
            </w:r>
          </w:p>
        </w:tc>
        <w:tc>
          <w:tcPr>
            <w:tcW w:w="1956" w:type="dxa"/>
            <w:shd w:val="clear" w:color="auto" w:fill="auto"/>
            <w:vAlign w:val="center"/>
          </w:tcPr>
          <w:p w14:paraId="49053EC3">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kern w:val="0"/>
                <w:sz w:val="24"/>
                <w:szCs w:val="24"/>
                <w:u w:val="none"/>
                <w:lang w:val="en-US" w:eastAsia="zh-CN" w:bidi="ar"/>
              </w:rPr>
              <w:t>绿控环保</w:t>
            </w:r>
          </w:p>
        </w:tc>
        <w:tc>
          <w:tcPr>
            <w:tcW w:w="2036" w:type="dxa"/>
            <w:shd w:val="clear" w:color="auto" w:fill="auto"/>
            <w:vAlign w:val="center"/>
          </w:tcPr>
          <w:p w14:paraId="140CD497">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特福佳</w:t>
            </w:r>
          </w:p>
        </w:tc>
      </w:tr>
      <w:tr w14:paraId="00B3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8" w:hRule="atLeast"/>
        </w:trPr>
        <w:tc>
          <w:tcPr>
            <w:tcW w:w="784" w:type="dxa"/>
            <w:shd w:val="clear" w:color="auto" w:fill="auto"/>
            <w:vAlign w:val="center"/>
          </w:tcPr>
          <w:p w14:paraId="4C3A8E67">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3</w:t>
            </w:r>
          </w:p>
        </w:tc>
        <w:tc>
          <w:tcPr>
            <w:tcW w:w="2325" w:type="dxa"/>
            <w:shd w:val="clear" w:color="auto" w:fill="auto"/>
            <w:vAlign w:val="center"/>
          </w:tcPr>
          <w:p w14:paraId="5E3C7C23">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阀门</w:t>
            </w:r>
          </w:p>
        </w:tc>
        <w:tc>
          <w:tcPr>
            <w:tcW w:w="1956" w:type="dxa"/>
            <w:shd w:val="clear" w:color="auto" w:fill="auto"/>
            <w:vAlign w:val="center"/>
          </w:tcPr>
          <w:p w14:paraId="2BFA2462">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欧德利</w:t>
            </w:r>
          </w:p>
        </w:tc>
        <w:tc>
          <w:tcPr>
            <w:tcW w:w="1956" w:type="dxa"/>
            <w:shd w:val="clear" w:color="auto" w:fill="auto"/>
            <w:vAlign w:val="center"/>
          </w:tcPr>
          <w:p w14:paraId="20E3A879">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绿控环保</w:t>
            </w:r>
          </w:p>
        </w:tc>
        <w:tc>
          <w:tcPr>
            <w:tcW w:w="2036" w:type="dxa"/>
            <w:shd w:val="clear" w:color="auto" w:fill="auto"/>
            <w:vAlign w:val="center"/>
          </w:tcPr>
          <w:p w14:paraId="20A79FE6">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特福佳</w:t>
            </w:r>
          </w:p>
        </w:tc>
      </w:tr>
      <w:tr w14:paraId="5A22C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5" w:hRule="atLeast"/>
        </w:trPr>
        <w:tc>
          <w:tcPr>
            <w:tcW w:w="784" w:type="dxa"/>
            <w:shd w:val="clear" w:color="auto" w:fill="auto"/>
            <w:vAlign w:val="center"/>
          </w:tcPr>
          <w:p w14:paraId="60D4FADD">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4</w:t>
            </w:r>
          </w:p>
        </w:tc>
        <w:tc>
          <w:tcPr>
            <w:tcW w:w="2325" w:type="dxa"/>
            <w:shd w:val="clear" w:color="auto" w:fill="auto"/>
            <w:vAlign w:val="center"/>
          </w:tcPr>
          <w:p w14:paraId="64EB1DC3">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活性炭吸附箱</w:t>
            </w:r>
          </w:p>
        </w:tc>
        <w:tc>
          <w:tcPr>
            <w:tcW w:w="1956" w:type="dxa"/>
            <w:shd w:val="clear" w:color="auto" w:fill="auto"/>
            <w:vAlign w:val="center"/>
          </w:tcPr>
          <w:p w14:paraId="3F7F19B6">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i w:val="0"/>
                <w:iCs w:val="0"/>
                <w:color w:val="auto"/>
                <w:sz w:val="24"/>
                <w:szCs w:val="24"/>
                <w:u w:val="none"/>
                <w:lang w:val="en-US" w:eastAsia="zh-CN"/>
              </w:rPr>
              <w:t>广菱丰</w:t>
            </w:r>
          </w:p>
        </w:tc>
        <w:tc>
          <w:tcPr>
            <w:tcW w:w="1956" w:type="dxa"/>
            <w:shd w:val="clear" w:color="auto" w:fill="auto"/>
            <w:vAlign w:val="center"/>
          </w:tcPr>
          <w:p w14:paraId="260065E1">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绿控环保</w:t>
            </w:r>
          </w:p>
        </w:tc>
        <w:tc>
          <w:tcPr>
            <w:tcW w:w="2036" w:type="dxa"/>
            <w:shd w:val="clear" w:color="auto" w:fill="auto"/>
            <w:vAlign w:val="center"/>
          </w:tcPr>
          <w:p w14:paraId="4B5E7E5D">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i w:val="0"/>
                <w:iCs w:val="0"/>
                <w:color w:val="auto"/>
                <w:sz w:val="24"/>
                <w:szCs w:val="24"/>
                <w:u w:val="none"/>
                <w:lang w:val="en-US" w:eastAsia="zh-CN"/>
              </w:rPr>
              <w:t>特福佳</w:t>
            </w:r>
          </w:p>
        </w:tc>
      </w:tr>
      <w:tr w14:paraId="1D331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5" w:hRule="atLeast"/>
        </w:trPr>
        <w:tc>
          <w:tcPr>
            <w:tcW w:w="784" w:type="dxa"/>
            <w:shd w:val="clear" w:color="auto" w:fill="auto"/>
            <w:vAlign w:val="center"/>
          </w:tcPr>
          <w:p w14:paraId="5A12FADC">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5</w:t>
            </w:r>
          </w:p>
        </w:tc>
        <w:tc>
          <w:tcPr>
            <w:tcW w:w="2325" w:type="dxa"/>
            <w:shd w:val="clear" w:color="auto" w:fill="auto"/>
            <w:vAlign w:val="center"/>
          </w:tcPr>
          <w:p w14:paraId="670665E4">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变频器</w:t>
            </w:r>
          </w:p>
        </w:tc>
        <w:tc>
          <w:tcPr>
            <w:tcW w:w="1956" w:type="dxa"/>
            <w:shd w:val="clear" w:color="auto" w:fill="auto"/>
            <w:vAlign w:val="center"/>
          </w:tcPr>
          <w:p w14:paraId="491C2059">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ABB</w:t>
            </w:r>
          </w:p>
        </w:tc>
        <w:tc>
          <w:tcPr>
            <w:tcW w:w="1956" w:type="dxa"/>
            <w:shd w:val="clear" w:color="auto" w:fill="auto"/>
            <w:vAlign w:val="center"/>
          </w:tcPr>
          <w:p w14:paraId="1C16FC9B">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西门子</w:t>
            </w:r>
          </w:p>
        </w:tc>
        <w:tc>
          <w:tcPr>
            <w:tcW w:w="2036" w:type="dxa"/>
            <w:shd w:val="clear" w:color="auto" w:fill="auto"/>
            <w:vAlign w:val="center"/>
          </w:tcPr>
          <w:p w14:paraId="6F91F34A">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color w:val="auto"/>
                <w:sz w:val="24"/>
                <w:szCs w:val="24"/>
                <w:highlight w:val="none"/>
                <w:lang w:val="en-US" w:eastAsia="zh-CN"/>
              </w:rPr>
              <w:t>博世</w:t>
            </w:r>
          </w:p>
        </w:tc>
      </w:tr>
      <w:tr w14:paraId="5014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5" w:hRule="atLeast"/>
        </w:trPr>
        <w:tc>
          <w:tcPr>
            <w:tcW w:w="784" w:type="dxa"/>
            <w:shd w:val="clear" w:color="auto" w:fill="auto"/>
            <w:vAlign w:val="center"/>
          </w:tcPr>
          <w:p w14:paraId="0D7BBAD0">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6</w:t>
            </w:r>
          </w:p>
        </w:tc>
        <w:tc>
          <w:tcPr>
            <w:tcW w:w="2325" w:type="dxa"/>
            <w:shd w:val="clear" w:color="auto" w:fill="auto"/>
            <w:vAlign w:val="center"/>
          </w:tcPr>
          <w:p w14:paraId="3254C390">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PLC</w:t>
            </w:r>
          </w:p>
        </w:tc>
        <w:tc>
          <w:tcPr>
            <w:tcW w:w="1956" w:type="dxa"/>
            <w:shd w:val="clear" w:color="auto" w:fill="auto"/>
            <w:vAlign w:val="center"/>
          </w:tcPr>
          <w:p w14:paraId="4F826852">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i w:val="0"/>
                <w:iCs w:val="0"/>
                <w:color w:val="auto"/>
                <w:sz w:val="24"/>
                <w:szCs w:val="24"/>
                <w:u w:val="none"/>
                <w:lang w:val="en-US" w:eastAsia="zh-CN"/>
              </w:rPr>
              <w:t>ABB</w:t>
            </w:r>
          </w:p>
        </w:tc>
        <w:tc>
          <w:tcPr>
            <w:tcW w:w="1956" w:type="dxa"/>
            <w:shd w:val="clear" w:color="auto" w:fill="auto"/>
            <w:vAlign w:val="center"/>
          </w:tcPr>
          <w:p w14:paraId="728F7591">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i w:val="0"/>
                <w:iCs w:val="0"/>
                <w:color w:val="auto"/>
                <w:sz w:val="24"/>
                <w:szCs w:val="24"/>
                <w:u w:val="none"/>
                <w:lang w:val="en-US" w:eastAsia="zh-CN"/>
              </w:rPr>
              <w:t>西门子</w:t>
            </w:r>
          </w:p>
        </w:tc>
        <w:tc>
          <w:tcPr>
            <w:tcW w:w="2036" w:type="dxa"/>
            <w:shd w:val="clear" w:color="auto" w:fill="auto"/>
            <w:vAlign w:val="center"/>
          </w:tcPr>
          <w:p w14:paraId="75C5E098">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博世</w:t>
            </w:r>
          </w:p>
        </w:tc>
      </w:tr>
      <w:tr w14:paraId="2380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trPr>
        <w:tc>
          <w:tcPr>
            <w:tcW w:w="9057" w:type="dxa"/>
            <w:gridSpan w:val="5"/>
            <w:shd w:val="clear" w:color="auto" w:fill="auto"/>
            <w:vAlign w:val="center"/>
          </w:tcPr>
          <w:p w14:paraId="1D666656">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空调</w:t>
            </w:r>
          </w:p>
        </w:tc>
      </w:tr>
      <w:tr w14:paraId="1617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784" w:type="dxa"/>
            <w:shd w:val="clear" w:color="auto" w:fill="auto"/>
            <w:vAlign w:val="center"/>
          </w:tcPr>
          <w:p w14:paraId="1DE7A942">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w:t>
            </w:r>
          </w:p>
        </w:tc>
        <w:tc>
          <w:tcPr>
            <w:tcW w:w="2325" w:type="dxa"/>
            <w:shd w:val="clear" w:color="auto" w:fill="auto"/>
            <w:vAlign w:val="center"/>
          </w:tcPr>
          <w:p w14:paraId="0D16428E">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风机盘管空调</w:t>
            </w:r>
          </w:p>
        </w:tc>
        <w:tc>
          <w:tcPr>
            <w:tcW w:w="1956" w:type="dxa"/>
            <w:shd w:val="clear" w:color="auto" w:fill="auto"/>
            <w:vAlign w:val="center"/>
          </w:tcPr>
          <w:p w14:paraId="2113C181">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格力</w:t>
            </w:r>
          </w:p>
        </w:tc>
        <w:tc>
          <w:tcPr>
            <w:tcW w:w="1956" w:type="dxa"/>
            <w:shd w:val="clear" w:color="auto" w:fill="auto"/>
            <w:vAlign w:val="center"/>
          </w:tcPr>
          <w:p w14:paraId="7BF08264">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美的</w:t>
            </w:r>
          </w:p>
        </w:tc>
        <w:tc>
          <w:tcPr>
            <w:tcW w:w="2036" w:type="dxa"/>
            <w:shd w:val="clear" w:color="auto" w:fill="auto"/>
            <w:vAlign w:val="center"/>
          </w:tcPr>
          <w:p w14:paraId="5949E9F8">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default"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约克</w:t>
            </w:r>
          </w:p>
        </w:tc>
      </w:tr>
      <w:tr w14:paraId="744BF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8" w:hRule="atLeast"/>
        </w:trPr>
        <w:tc>
          <w:tcPr>
            <w:tcW w:w="784" w:type="dxa"/>
            <w:shd w:val="clear" w:color="auto" w:fill="auto"/>
            <w:vAlign w:val="center"/>
          </w:tcPr>
          <w:p w14:paraId="6C5AA3CA">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2325" w:type="dxa"/>
            <w:shd w:val="clear" w:color="auto" w:fill="auto"/>
            <w:vAlign w:val="center"/>
          </w:tcPr>
          <w:p w14:paraId="7307C964">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柜式空调</w:t>
            </w:r>
          </w:p>
        </w:tc>
        <w:tc>
          <w:tcPr>
            <w:tcW w:w="1956" w:type="dxa"/>
            <w:shd w:val="clear" w:color="auto" w:fill="auto"/>
            <w:vAlign w:val="center"/>
          </w:tcPr>
          <w:p w14:paraId="56781E8A">
            <w:pPr>
              <w:keepNext w:val="0"/>
              <w:keepLines w:val="0"/>
              <w:pageBreakBefore w:val="0"/>
              <w:widowControl/>
              <w:suppressLineNumbers w:val="0"/>
              <w:kinsoku/>
              <w:wordWrap/>
              <w:overflowPunct/>
              <w:topLinePunct w:val="0"/>
              <w:bidi w:val="0"/>
              <w:spacing w:beforeAutospacing="0" w:afterAutospacing="0" w:line="400" w:lineRule="exact"/>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bidi="ar-SA"/>
              </w:rPr>
            </w:pPr>
            <w:r>
              <w:rPr>
                <w:rFonts w:hint="eastAsia" w:asciiTheme="minorEastAsia" w:hAnsiTheme="minorEastAsia" w:eastAsiaTheme="minorEastAsia" w:cstheme="minorEastAsia"/>
                <w:i w:val="0"/>
                <w:iCs w:val="0"/>
                <w:color w:val="auto"/>
                <w:sz w:val="24"/>
                <w:szCs w:val="24"/>
                <w:u w:val="none"/>
                <w:lang w:val="en-US" w:eastAsia="zh-CN"/>
              </w:rPr>
              <w:t>格力</w:t>
            </w:r>
          </w:p>
        </w:tc>
        <w:tc>
          <w:tcPr>
            <w:tcW w:w="1956" w:type="dxa"/>
            <w:shd w:val="clear" w:color="auto" w:fill="auto"/>
            <w:vAlign w:val="center"/>
          </w:tcPr>
          <w:p w14:paraId="7DF642EB">
            <w:pPr>
              <w:keepNext w:val="0"/>
              <w:keepLines w:val="0"/>
              <w:pageBreakBefore w:val="0"/>
              <w:widowControl/>
              <w:suppressLineNumbers w:val="0"/>
              <w:kinsoku/>
              <w:wordWrap/>
              <w:overflowPunct/>
              <w:topLinePunct w:val="0"/>
              <w:bidi w:val="0"/>
              <w:spacing w:beforeAutospacing="0" w:afterAutospacing="0" w:line="400" w:lineRule="exact"/>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bidi="ar-SA"/>
              </w:rPr>
            </w:pPr>
            <w:r>
              <w:rPr>
                <w:rFonts w:hint="eastAsia" w:asciiTheme="minorEastAsia" w:hAnsiTheme="minorEastAsia" w:eastAsiaTheme="minorEastAsia" w:cstheme="minorEastAsia"/>
                <w:i w:val="0"/>
                <w:iCs w:val="0"/>
                <w:color w:val="auto"/>
                <w:sz w:val="24"/>
                <w:szCs w:val="24"/>
                <w:u w:val="none"/>
                <w:lang w:val="en-US" w:eastAsia="zh-CN"/>
              </w:rPr>
              <w:t>大金</w:t>
            </w:r>
          </w:p>
        </w:tc>
        <w:tc>
          <w:tcPr>
            <w:tcW w:w="2036" w:type="dxa"/>
            <w:shd w:val="clear" w:color="auto" w:fill="auto"/>
            <w:vAlign w:val="center"/>
          </w:tcPr>
          <w:p w14:paraId="2BC478A2">
            <w:pPr>
              <w:keepNext w:val="0"/>
              <w:keepLines w:val="0"/>
              <w:pageBreakBefore w:val="0"/>
              <w:widowControl/>
              <w:suppressLineNumbers w:val="0"/>
              <w:kinsoku/>
              <w:wordWrap/>
              <w:overflowPunct/>
              <w:topLinePunct w:val="0"/>
              <w:bidi w:val="0"/>
              <w:spacing w:beforeAutospacing="0" w:afterAutospacing="0" w:line="400" w:lineRule="exact"/>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bidi="ar-SA"/>
              </w:rPr>
            </w:pPr>
            <w:r>
              <w:rPr>
                <w:rFonts w:hint="eastAsia" w:asciiTheme="minorEastAsia" w:hAnsiTheme="minorEastAsia" w:eastAsiaTheme="minorEastAsia" w:cstheme="minorEastAsia"/>
                <w:i w:val="0"/>
                <w:iCs w:val="0"/>
                <w:color w:val="auto"/>
                <w:sz w:val="24"/>
                <w:szCs w:val="24"/>
                <w:u w:val="none"/>
                <w:lang w:val="en-US" w:eastAsia="zh-CN"/>
              </w:rPr>
              <w:t>三菱</w:t>
            </w:r>
          </w:p>
        </w:tc>
      </w:tr>
      <w:tr w14:paraId="26A4C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9057" w:type="dxa"/>
            <w:gridSpan w:val="5"/>
            <w:shd w:val="clear" w:color="auto" w:fill="auto"/>
            <w:vAlign w:val="center"/>
          </w:tcPr>
          <w:p w14:paraId="38F4A81B">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自控部分</w:t>
            </w:r>
          </w:p>
        </w:tc>
      </w:tr>
      <w:tr w14:paraId="10022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5" w:hRule="atLeast"/>
        </w:trPr>
        <w:tc>
          <w:tcPr>
            <w:tcW w:w="784" w:type="dxa"/>
            <w:shd w:val="clear" w:color="auto" w:fill="auto"/>
            <w:vAlign w:val="center"/>
          </w:tcPr>
          <w:p w14:paraId="6676B6FD">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1</w:t>
            </w:r>
          </w:p>
        </w:tc>
        <w:tc>
          <w:tcPr>
            <w:tcW w:w="2325" w:type="dxa"/>
            <w:shd w:val="clear" w:color="auto" w:fill="auto"/>
            <w:vAlign w:val="center"/>
          </w:tcPr>
          <w:p w14:paraId="1FAD9245">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变频器</w:t>
            </w:r>
          </w:p>
        </w:tc>
        <w:tc>
          <w:tcPr>
            <w:tcW w:w="1956" w:type="dxa"/>
            <w:shd w:val="clear" w:color="auto" w:fill="auto"/>
            <w:vAlign w:val="center"/>
          </w:tcPr>
          <w:p w14:paraId="4FC68509">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ABB</w:t>
            </w:r>
          </w:p>
        </w:tc>
        <w:tc>
          <w:tcPr>
            <w:tcW w:w="1956" w:type="dxa"/>
            <w:shd w:val="clear" w:color="auto" w:fill="auto"/>
            <w:vAlign w:val="center"/>
          </w:tcPr>
          <w:p w14:paraId="52301836">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西门子</w:t>
            </w:r>
          </w:p>
        </w:tc>
        <w:tc>
          <w:tcPr>
            <w:tcW w:w="2036" w:type="dxa"/>
            <w:shd w:val="clear" w:color="auto" w:fill="auto"/>
            <w:vAlign w:val="center"/>
          </w:tcPr>
          <w:p w14:paraId="1E5F7ED3">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color w:val="auto"/>
                <w:sz w:val="24"/>
                <w:szCs w:val="24"/>
                <w:highlight w:val="none"/>
                <w:lang w:val="en-US" w:eastAsia="zh-CN"/>
              </w:rPr>
              <w:t>博世</w:t>
            </w:r>
          </w:p>
        </w:tc>
      </w:tr>
      <w:tr w14:paraId="6E12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84" w:type="dxa"/>
            <w:shd w:val="clear" w:color="auto" w:fill="auto"/>
            <w:vAlign w:val="center"/>
          </w:tcPr>
          <w:p w14:paraId="70CDD619">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2325" w:type="dxa"/>
            <w:shd w:val="clear" w:color="auto" w:fill="auto"/>
            <w:vAlign w:val="center"/>
          </w:tcPr>
          <w:p w14:paraId="0476513E">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PLC</w:t>
            </w:r>
          </w:p>
        </w:tc>
        <w:tc>
          <w:tcPr>
            <w:tcW w:w="1956" w:type="dxa"/>
            <w:shd w:val="clear" w:color="auto" w:fill="auto"/>
            <w:vAlign w:val="center"/>
          </w:tcPr>
          <w:p w14:paraId="2B797BF7">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ABB</w:t>
            </w:r>
          </w:p>
        </w:tc>
        <w:tc>
          <w:tcPr>
            <w:tcW w:w="1956" w:type="dxa"/>
            <w:shd w:val="clear" w:color="auto" w:fill="auto"/>
            <w:vAlign w:val="center"/>
          </w:tcPr>
          <w:p w14:paraId="044849A9">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西门子</w:t>
            </w:r>
          </w:p>
        </w:tc>
        <w:tc>
          <w:tcPr>
            <w:tcW w:w="2036" w:type="dxa"/>
            <w:shd w:val="clear" w:color="auto" w:fill="auto"/>
            <w:vAlign w:val="center"/>
          </w:tcPr>
          <w:p w14:paraId="67EE9F5C">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color w:val="auto"/>
                <w:sz w:val="24"/>
                <w:szCs w:val="24"/>
                <w:highlight w:val="none"/>
                <w:lang w:val="en-US" w:eastAsia="zh-CN"/>
              </w:rPr>
              <w:t>博世</w:t>
            </w:r>
          </w:p>
        </w:tc>
      </w:tr>
      <w:tr w14:paraId="4812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trPr>
        <w:tc>
          <w:tcPr>
            <w:tcW w:w="9057" w:type="dxa"/>
            <w:gridSpan w:val="5"/>
            <w:shd w:val="clear" w:color="auto" w:fill="auto"/>
            <w:vAlign w:val="center"/>
          </w:tcPr>
          <w:p w14:paraId="7CD69D3F">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实验室家具部分</w:t>
            </w:r>
          </w:p>
        </w:tc>
      </w:tr>
      <w:tr w14:paraId="61021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3" w:hRule="atLeast"/>
        </w:trPr>
        <w:tc>
          <w:tcPr>
            <w:tcW w:w="784" w:type="dxa"/>
            <w:shd w:val="clear" w:color="auto" w:fill="auto"/>
            <w:vAlign w:val="center"/>
          </w:tcPr>
          <w:p w14:paraId="61235B29">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w:t>
            </w:r>
          </w:p>
        </w:tc>
        <w:tc>
          <w:tcPr>
            <w:tcW w:w="2325" w:type="dxa"/>
            <w:shd w:val="clear" w:color="auto" w:fill="auto"/>
            <w:vAlign w:val="center"/>
          </w:tcPr>
          <w:p w14:paraId="73CFAE73">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理化板台面板</w:t>
            </w:r>
          </w:p>
        </w:tc>
        <w:tc>
          <w:tcPr>
            <w:tcW w:w="1956" w:type="dxa"/>
            <w:shd w:val="clear" w:color="auto" w:fill="auto"/>
            <w:vAlign w:val="center"/>
          </w:tcPr>
          <w:p w14:paraId="3183148F">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富美家</w:t>
            </w:r>
          </w:p>
        </w:tc>
        <w:tc>
          <w:tcPr>
            <w:tcW w:w="1956" w:type="dxa"/>
            <w:shd w:val="clear" w:color="auto" w:fill="auto"/>
            <w:vAlign w:val="center"/>
          </w:tcPr>
          <w:p w14:paraId="5A9EC363">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威盛亚</w:t>
            </w:r>
          </w:p>
        </w:tc>
        <w:tc>
          <w:tcPr>
            <w:tcW w:w="2036" w:type="dxa"/>
            <w:shd w:val="clear" w:color="auto" w:fill="auto"/>
            <w:vAlign w:val="center"/>
          </w:tcPr>
          <w:p w14:paraId="5415C89C">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千思板</w:t>
            </w:r>
          </w:p>
        </w:tc>
      </w:tr>
      <w:tr w14:paraId="4212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3" w:hRule="atLeast"/>
        </w:trPr>
        <w:tc>
          <w:tcPr>
            <w:tcW w:w="784" w:type="dxa"/>
            <w:shd w:val="clear" w:color="auto" w:fill="auto"/>
            <w:vAlign w:val="center"/>
          </w:tcPr>
          <w:p w14:paraId="37FC9465">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2325" w:type="dxa"/>
            <w:shd w:val="clear" w:color="auto" w:fill="auto"/>
            <w:vAlign w:val="center"/>
          </w:tcPr>
          <w:p w14:paraId="25C26C14">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台柜、通风柜钢材</w:t>
            </w:r>
          </w:p>
        </w:tc>
        <w:tc>
          <w:tcPr>
            <w:tcW w:w="1956" w:type="dxa"/>
            <w:shd w:val="clear" w:color="auto" w:fill="auto"/>
            <w:vAlign w:val="center"/>
          </w:tcPr>
          <w:p w14:paraId="057DB8AE">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宝钢</w:t>
            </w:r>
          </w:p>
        </w:tc>
        <w:tc>
          <w:tcPr>
            <w:tcW w:w="1956" w:type="dxa"/>
            <w:shd w:val="clear" w:color="auto" w:fill="auto"/>
            <w:vAlign w:val="center"/>
          </w:tcPr>
          <w:p w14:paraId="54D5C4AB">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鞍钢</w:t>
            </w:r>
          </w:p>
        </w:tc>
        <w:tc>
          <w:tcPr>
            <w:tcW w:w="2036" w:type="dxa"/>
            <w:shd w:val="clear" w:color="auto" w:fill="auto"/>
            <w:vAlign w:val="center"/>
          </w:tcPr>
          <w:p w14:paraId="0705A188">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甬金股份</w:t>
            </w:r>
          </w:p>
        </w:tc>
      </w:tr>
      <w:tr w14:paraId="0C4D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84" w:type="dxa"/>
            <w:shd w:val="clear" w:color="auto" w:fill="auto"/>
            <w:vAlign w:val="center"/>
          </w:tcPr>
          <w:p w14:paraId="7FD92366">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3</w:t>
            </w:r>
          </w:p>
        </w:tc>
        <w:tc>
          <w:tcPr>
            <w:tcW w:w="2325" w:type="dxa"/>
            <w:shd w:val="clear" w:color="auto" w:fill="auto"/>
            <w:vAlign w:val="center"/>
          </w:tcPr>
          <w:p w14:paraId="5567A387">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万向排气罩</w:t>
            </w:r>
          </w:p>
        </w:tc>
        <w:tc>
          <w:tcPr>
            <w:tcW w:w="1956" w:type="dxa"/>
            <w:shd w:val="clear" w:color="auto" w:fill="auto"/>
            <w:vAlign w:val="center"/>
          </w:tcPr>
          <w:p w14:paraId="304E8953">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i w:val="0"/>
                <w:iCs w:val="0"/>
                <w:color w:val="auto"/>
                <w:sz w:val="24"/>
                <w:szCs w:val="24"/>
                <w:u w:val="none"/>
                <w:lang w:val="en-US" w:eastAsia="zh-CN"/>
              </w:rPr>
              <w:t>浙江科恩</w:t>
            </w:r>
          </w:p>
        </w:tc>
        <w:tc>
          <w:tcPr>
            <w:tcW w:w="1956" w:type="dxa"/>
            <w:shd w:val="clear" w:color="auto" w:fill="auto"/>
            <w:vAlign w:val="center"/>
          </w:tcPr>
          <w:p w14:paraId="2224268F">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i w:val="0"/>
                <w:iCs w:val="0"/>
                <w:color w:val="auto"/>
                <w:sz w:val="24"/>
                <w:szCs w:val="24"/>
                <w:u w:val="none"/>
                <w:lang w:val="en-US" w:eastAsia="zh-CN"/>
              </w:rPr>
              <w:t>上海台雄</w:t>
            </w:r>
          </w:p>
        </w:tc>
        <w:tc>
          <w:tcPr>
            <w:tcW w:w="2036" w:type="dxa"/>
            <w:shd w:val="clear" w:color="auto" w:fill="auto"/>
            <w:vAlign w:val="center"/>
          </w:tcPr>
          <w:p w14:paraId="4C25FF5A">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kern w:val="2"/>
                <w:sz w:val="24"/>
                <w:szCs w:val="24"/>
                <w:u w:val="none"/>
                <w:lang w:val="en-US" w:eastAsia="zh-CN" w:bidi="ar-SA"/>
              </w:rPr>
            </w:pPr>
            <w:r>
              <w:rPr>
                <w:rFonts w:hint="eastAsia" w:asciiTheme="minorEastAsia" w:hAnsiTheme="minorEastAsia" w:eastAsiaTheme="minorEastAsia" w:cstheme="minorEastAsia"/>
                <w:i w:val="0"/>
                <w:iCs w:val="0"/>
                <w:color w:val="auto"/>
                <w:sz w:val="24"/>
                <w:szCs w:val="24"/>
                <w:u w:val="none"/>
                <w:lang w:val="en-US" w:eastAsia="zh-CN"/>
              </w:rPr>
              <w:t>广州博朗</w:t>
            </w:r>
          </w:p>
        </w:tc>
      </w:tr>
      <w:tr w14:paraId="4EFB4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784" w:type="dxa"/>
            <w:shd w:val="clear" w:color="auto" w:fill="auto"/>
            <w:vAlign w:val="center"/>
          </w:tcPr>
          <w:p w14:paraId="4263AA45">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4</w:t>
            </w:r>
          </w:p>
        </w:tc>
        <w:tc>
          <w:tcPr>
            <w:tcW w:w="2325" w:type="dxa"/>
            <w:shd w:val="clear" w:color="auto" w:fill="auto"/>
            <w:vAlign w:val="center"/>
          </w:tcPr>
          <w:p w14:paraId="0A2F54A4">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实验室水配件</w:t>
            </w:r>
          </w:p>
        </w:tc>
        <w:tc>
          <w:tcPr>
            <w:tcW w:w="1956" w:type="dxa"/>
            <w:shd w:val="clear" w:color="auto" w:fill="auto"/>
            <w:vAlign w:val="center"/>
          </w:tcPr>
          <w:p w14:paraId="4E20ABE3">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浙江科恩</w:t>
            </w:r>
          </w:p>
        </w:tc>
        <w:tc>
          <w:tcPr>
            <w:tcW w:w="1956" w:type="dxa"/>
            <w:shd w:val="clear" w:color="auto" w:fill="auto"/>
            <w:vAlign w:val="center"/>
          </w:tcPr>
          <w:p w14:paraId="03E118C1">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上海台雄</w:t>
            </w:r>
          </w:p>
        </w:tc>
        <w:tc>
          <w:tcPr>
            <w:tcW w:w="2036" w:type="dxa"/>
            <w:shd w:val="clear" w:color="auto" w:fill="auto"/>
            <w:vAlign w:val="center"/>
          </w:tcPr>
          <w:p w14:paraId="71B344BE">
            <w:pPr>
              <w:keepNext w:val="0"/>
              <w:keepLines w:val="0"/>
              <w:pageBreakBefore w:val="0"/>
              <w:widowControl/>
              <w:suppressLineNumbers w:val="0"/>
              <w:kinsoku/>
              <w:wordWrap/>
              <w:overflowPunct/>
              <w:topLinePunct w:val="0"/>
              <w:bidi w:val="0"/>
              <w:spacing w:beforeAutospacing="0" w:afterAutospacing="0" w:line="400" w:lineRule="exact"/>
              <w:ind w:left="0" w:leftChars="0" w:right="0" w:firstLine="0" w:firstLineChars="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广州博朗</w:t>
            </w:r>
          </w:p>
        </w:tc>
      </w:tr>
    </w:tbl>
    <w:p w14:paraId="01A62701">
      <w:pPr>
        <w:pStyle w:val="2"/>
        <w:bidi w:val="0"/>
        <w:rPr>
          <w:rFonts w:hint="eastAsia"/>
          <w:lang w:eastAsia="zh-CN"/>
        </w:rPr>
      </w:pPr>
      <w:bookmarkStart w:id="92" w:name="_Toc32155"/>
      <w:r>
        <w:rPr>
          <w:rFonts w:hint="eastAsia"/>
          <w:lang w:val="en-US" w:eastAsia="zh-CN"/>
        </w:rPr>
        <w:t>九</w:t>
      </w:r>
      <w:r>
        <w:rPr>
          <w:rFonts w:hint="eastAsia"/>
          <w:lang w:eastAsia="zh-CN"/>
        </w:rPr>
        <w:t>、施工要求</w:t>
      </w:r>
      <w:bookmarkEnd w:id="92"/>
    </w:p>
    <w:p w14:paraId="790E6FA7">
      <w:pPr>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本规格书中所有物品在实际安装操作前，卖方必须提供详细的设计图纸，待双方同意签字后方可实施，否则造成的后果和损失，卖方负完全责任。施工时需确保用户正常工作，根据规划和用户安排，分批、分步骤进行。</w:t>
      </w:r>
    </w:p>
    <w:p w14:paraId="6182A580">
      <w:pPr>
        <w:pStyle w:val="2"/>
        <w:pageBreakBefore w:val="0"/>
        <w:kinsoku/>
        <w:wordWrap/>
        <w:overflowPunct/>
        <w:topLinePunct w:val="0"/>
        <w:bidi w:val="0"/>
        <w:spacing w:before="0" w:beforeAutospacing="0" w:after="0" w:afterAutospacing="0" w:line="400" w:lineRule="exact"/>
        <w:ind w:left="0" w:leftChars="0" w:right="0" w:firstLine="0" w:firstLineChars="0"/>
        <w:rPr>
          <w:rFonts w:hint="eastAsia" w:asciiTheme="minorEastAsia" w:hAnsiTheme="minorEastAsia" w:eastAsiaTheme="minorEastAsia" w:cstheme="minorEastAsia"/>
          <w:b w:val="0"/>
          <w:kern w:val="0"/>
          <w:sz w:val="24"/>
          <w:szCs w:val="24"/>
          <w:lang w:val="en-US" w:eastAsia="zh-CN" w:bidi="ar-SA"/>
        </w:rPr>
      </w:pPr>
      <w:bookmarkStart w:id="93" w:name="_Toc26529"/>
      <w:bookmarkStart w:id="94" w:name="_Toc25725"/>
      <w:r>
        <w:rPr>
          <w:rFonts w:hint="eastAsia" w:asciiTheme="minorEastAsia" w:hAnsiTheme="minorEastAsia" w:eastAsiaTheme="minorEastAsia" w:cstheme="minorEastAsia"/>
          <w:b w:val="0"/>
          <w:kern w:val="0"/>
          <w:sz w:val="24"/>
          <w:szCs w:val="24"/>
          <w:lang w:val="en-US" w:eastAsia="zh-CN" w:bidi="ar-SA"/>
        </w:rPr>
        <w:t>2、施工前中标方需派驻一名专职的负责人于现场，负责现场施工管理。</w:t>
      </w:r>
      <w:bookmarkEnd w:id="93"/>
      <w:bookmarkEnd w:id="94"/>
    </w:p>
    <w:p w14:paraId="2F9DDCFE">
      <w:pPr>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b w:val="0"/>
          <w:kern w:val="0"/>
          <w:sz w:val="24"/>
          <w:szCs w:val="24"/>
          <w:lang w:val="en-US" w:eastAsia="zh-CN" w:bidi="ar-SA"/>
        </w:rPr>
      </w:pPr>
      <w:r>
        <w:rPr>
          <w:rFonts w:hint="eastAsia" w:asciiTheme="minorEastAsia" w:hAnsiTheme="minorEastAsia" w:eastAsiaTheme="minorEastAsia" w:cstheme="minorEastAsia"/>
          <w:b w:val="0"/>
          <w:kern w:val="0"/>
          <w:sz w:val="24"/>
          <w:szCs w:val="24"/>
          <w:lang w:val="en-US" w:eastAsia="zh-CN" w:bidi="ar-SA"/>
        </w:rPr>
        <w:t>3、货物运抵施工地点卸货和进入安装现场时，必须在有组织有指挥的情况下有序地进行。严禁从车上向下抛掷货件。货物需稳搬轻放，禁止拖运推运。</w:t>
      </w:r>
    </w:p>
    <w:p w14:paraId="6D1A6191">
      <w:pPr>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eastAsia="zh-CN"/>
        </w:rPr>
        <w:t>、货物进入室内时，搬运要小心稳妥。需多人合力扛抬的货物在通过狭窄地段里，应由有经验的人指挥协调，避免发生挤压、撞刮。</w:t>
      </w:r>
    </w:p>
    <w:p w14:paraId="21B7B42E">
      <w:pPr>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、在货物安装调试过程中，严禁乱动现场设备、设施等。严禁有可能损伤或污染上述装修、设备、设施的操作和行为。否则，因此而造成后果者，将负复原或赔偿责任。</w:t>
      </w:r>
    </w:p>
    <w:p w14:paraId="606051BC">
      <w:pPr>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、未经允许，不得私自驳接水管、电线。严禁超负荷用电。在无可靠安全保护措施的情况下，不得在室内电焊和明火作业，以免造成焊花等污染装修饰面和其他事故。</w:t>
      </w:r>
    </w:p>
    <w:p w14:paraId="294EEC08">
      <w:pPr>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中标方负责清理施工过程产生的垃圾到</w:t>
      </w:r>
      <w:r>
        <w:rPr>
          <w:rFonts w:hint="eastAsia" w:asciiTheme="minorEastAsia" w:hAnsiTheme="minorEastAsia" w:eastAsiaTheme="minorEastAsia" w:cstheme="minorEastAsia"/>
          <w:sz w:val="24"/>
          <w:szCs w:val="24"/>
          <w:lang w:eastAsia="zh-CN"/>
        </w:rPr>
        <w:t>指定的地方</w:t>
      </w:r>
      <w:r>
        <w:rPr>
          <w:rFonts w:hint="eastAsia" w:asciiTheme="minorEastAsia" w:hAnsiTheme="minorEastAsia" w:eastAsiaTheme="minorEastAsia" w:cstheme="minorEastAsia"/>
          <w:sz w:val="24"/>
          <w:szCs w:val="24"/>
          <w:lang w:val="en-US" w:eastAsia="zh-CN"/>
        </w:rPr>
        <w:t>，做到“</w:t>
      </w:r>
      <w:r>
        <w:rPr>
          <w:rFonts w:hint="eastAsia" w:asciiTheme="minorEastAsia" w:hAnsiTheme="minorEastAsia" w:eastAsiaTheme="minorEastAsia" w:cstheme="minorEastAsia"/>
          <w:i w:val="0"/>
          <w:iCs w:val="0"/>
          <w:caps w:val="0"/>
          <w:spacing w:val="0"/>
          <w:sz w:val="24"/>
          <w:szCs w:val="24"/>
          <w:shd w:val="clear" w:fill="FFFFFF"/>
        </w:rPr>
        <w:t>工完、料尽、场地清</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lang w:eastAsia="zh-CN"/>
        </w:rPr>
        <w:t>。施工垃圾</w:t>
      </w:r>
      <w:r>
        <w:rPr>
          <w:rFonts w:hint="eastAsia" w:asciiTheme="minorEastAsia" w:hAnsiTheme="minorEastAsia" w:eastAsiaTheme="minorEastAsia" w:cstheme="minorEastAsia"/>
          <w:sz w:val="24"/>
          <w:szCs w:val="24"/>
          <w:lang w:val="en-US" w:eastAsia="zh-CN"/>
        </w:rPr>
        <w:t>每天及时清理</w:t>
      </w:r>
      <w:r>
        <w:rPr>
          <w:rFonts w:hint="eastAsia" w:asciiTheme="minorEastAsia" w:hAnsiTheme="minorEastAsia" w:eastAsiaTheme="minorEastAsia" w:cstheme="minorEastAsia"/>
          <w:sz w:val="24"/>
          <w:szCs w:val="24"/>
          <w:lang w:eastAsia="zh-CN"/>
        </w:rPr>
        <w:t>必须集中在指定的地方堆放，保证施工环境的整洁。</w:t>
      </w:r>
    </w:p>
    <w:p w14:paraId="4A2BA307">
      <w:pPr>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eastAsia="zh-CN"/>
        </w:rPr>
        <w:t>、卖方应确保供货完整,以能满足用户的安装运行要求为原则,若在安装、调试、运行中发现缺项,由卖方补足。</w:t>
      </w:r>
    </w:p>
    <w:p w14:paraId="142F44A0">
      <w:pPr>
        <w:pStyle w:val="2"/>
        <w:bidi w:val="0"/>
        <w:rPr>
          <w:rFonts w:hint="eastAsia"/>
          <w:lang w:eastAsia="zh-CN"/>
        </w:rPr>
      </w:pPr>
      <w:bookmarkStart w:id="95" w:name="_Toc13727"/>
      <w:bookmarkStart w:id="96" w:name="_Toc19525"/>
      <w:r>
        <w:rPr>
          <w:rFonts w:hint="eastAsia"/>
          <w:lang w:val="en-US" w:eastAsia="zh-CN"/>
        </w:rPr>
        <w:t>十</w:t>
      </w:r>
      <w:r>
        <w:rPr>
          <w:rFonts w:hint="eastAsia"/>
          <w:lang w:eastAsia="zh-CN"/>
        </w:rPr>
        <w:t>、工期</w:t>
      </w:r>
      <w:r>
        <w:rPr>
          <w:rFonts w:hint="eastAsia"/>
          <w:lang w:val="en-US" w:eastAsia="zh-CN"/>
        </w:rPr>
        <w:t>及进度</w:t>
      </w:r>
      <w:r>
        <w:rPr>
          <w:rFonts w:hint="eastAsia"/>
          <w:lang w:eastAsia="zh-CN"/>
        </w:rPr>
        <w:t>要求</w:t>
      </w:r>
      <w:bookmarkEnd w:id="95"/>
      <w:bookmarkEnd w:id="96"/>
    </w:p>
    <w:p w14:paraId="447B88FB">
      <w:pPr>
        <w:pageBreakBefore w:val="0"/>
        <w:kinsoku/>
        <w:wordWrap/>
        <w:overflowPunct/>
        <w:topLinePunct w:val="0"/>
        <w:bidi w:val="0"/>
        <w:snapToGrid w:val="0"/>
        <w:spacing w:beforeAutospacing="0" w:afterAutospacing="0" w:line="400" w:lineRule="exact"/>
        <w:ind w:left="0" w:leftChars="0" w:right="0" w:firstLine="0" w:firstLineChars="0"/>
        <w:jc w:val="both"/>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总工期为合同签订生</w:t>
      </w:r>
      <w:r>
        <w:rPr>
          <w:rFonts w:hint="eastAsia" w:asciiTheme="minorEastAsia" w:hAnsiTheme="minorEastAsia" w:eastAsiaTheme="minorEastAsia" w:cstheme="minorEastAsia"/>
          <w:color w:val="auto"/>
          <w:sz w:val="24"/>
          <w:szCs w:val="24"/>
          <w:lang w:val="en-US" w:eastAsia="zh-CN"/>
        </w:rPr>
        <w:t>效后90个工作日。</w:t>
      </w:r>
      <w:r>
        <w:rPr>
          <w:rFonts w:hint="eastAsia" w:asciiTheme="minorEastAsia" w:hAnsiTheme="minorEastAsia" w:eastAsiaTheme="minorEastAsia" w:cstheme="minorEastAsia"/>
          <w:color w:val="auto"/>
          <w:sz w:val="24"/>
          <w:szCs w:val="24"/>
          <w:lang w:eastAsia="zh-CN"/>
        </w:rPr>
        <w:t>中标人应在</w:t>
      </w:r>
      <w:r>
        <w:rPr>
          <w:rFonts w:hint="eastAsia" w:asciiTheme="minorEastAsia" w:hAnsiTheme="minorEastAsia" w:eastAsiaTheme="minorEastAsia" w:cstheme="minorEastAsia"/>
          <w:color w:val="auto"/>
          <w:sz w:val="24"/>
          <w:szCs w:val="24"/>
          <w:lang w:val="en-US" w:eastAsia="zh-CN"/>
        </w:rPr>
        <w:t>90</w:t>
      </w:r>
      <w:r>
        <w:rPr>
          <w:rFonts w:hint="eastAsia" w:asciiTheme="minorEastAsia" w:hAnsiTheme="minorEastAsia" w:eastAsiaTheme="minorEastAsia" w:cstheme="minorEastAsia"/>
          <w:color w:val="auto"/>
          <w:sz w:val="24"/>
          <w:szCs w:val="24"/>
          <w:lang w:eastAsia="zh-CN"/>
        </w:rPr>
        <w:t>个</w:t>
      </w:r>
      <w:r>
        <w:rPr>
          <w:rFonts w:hint="eastAsia" w:asciiTheme="minorEastAsia" w:hAnsiTheme="minorEastAsia" w:eastAsiaTheme="minorEastAsia" w:cstheme="minorEastAsia"/>
          <w:color w:val="auto"/>
          <w:sz w:val="24"/>
          <w:szCs w:val="24"/>
          <w:lang w:val="en-US" w:eastAsia="zh-CN"/>
        </w:rPr>
        <w:t>工作日</w:t>
      </w:r>
      <w:r>
        <w:rPr>
          <w:rFonts w:hint="eastAsia" w:asciiTheme="minorEastAsia" w:hAnsiTheme="minorEastAsia" w:eastAsiaTheme="minorEastAsia" w:cstheme="minorEastAsia"/>
          <w:color w:val="auto"/>
          <w:sz w:val="24"/>
          <w:szCs w:val="24"/>
          <w:lang w:eastAsia="zh-CN"/>
        </w:rPr>
        <w:t>内完成上述工作内容。</w:t>
      </w:r>
      <w:r>
        <w:rPr>
          <w:rFonts w:hint="eastAsia" w:asciiTheme="minorEastAsia" w:hAnsiTheme="minorEastAsia" w:eastAsiaTheme="minorEastAsia" w:cstheme="minorEastAsia"/>
          <w:color w:val="auto"/>
          <w:sz w:val="24"/>
          <w:szCs w:val="24"/>
          <w:lang w:val="en-US" w:eastAsia="zh-CN"/>
        </w:rPr>
        <w:t>由于原中控楼和芳烃化验楼涉及抗爆施工，若因两者交叉作业影响而施工的，交叉部分工期可以适当延长，但需在抗爆施工完成后10个日历天内完成。</w:t>
      </w:r>
    </w:p>
    <w:p w14:paraId="0BC5927A">
      <w:pPr>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color w:val="auto"/>
          <w:sz w:val="24"/>
          <w:szCs w:val="24"/>
          <w:lang w:val="en-US" w:eastAsia="zh-CN"/>
        </w:rPr>
        <w:t>2、投标方根据总进度要求编写计划表。合同签订后，5个工作日投标</w:t>
      </w:r>
      <w:r>
        <w:rPr>
          <w:rFonts w:hint="eastAsia" w:asciiTheme="minorEastAsia" w:hAnsiTheme="minorEastAsia" w:eastAsiaTheme="minorEastAsia" w:cstheme="minorEastAsia"/>
          <w:sz w:val="24"/>
          <w:szCs w:val="24"/>
          <w:lang w:val="en-US" w:eastAsia="zh-CN"/>
        </w:rPr>
        <w:t>方向招标方提交一份总的施工进度计划表。每月 25 日提交下月施工进度计划和本月工程的完成情况，每周五向招标方提交下周施工进度计划和本周工程的完成情况，以确认施工进度和完成情况。</w:t>
      </w:r>
    </w:p>
    <w:p w14:paraId="272BBA50">
      <w:pPr>
        <w:pStyle w:val="2"/>
        <w:bidi w:val="0"/>
        <w:rPr>
          <w:rFonts w:hint="eastAsia"/>
          <w:lang w:eastAsia="zh-CN"/>
        </w:rPr>
      </w:pPr>
      <w:bookmarkStart w:id="97" w:name="_Toc5734"/>
      <w:r>
        <w:rPr>
          <w:rFonts w:hint="eastAsia"/>
          <w:lang w:val="en-US" w:eastAsia="zh-CN"/>
        </w:rPr>
        <w:t>十一</w:t>
      </w:r>
      <w:r>
        <w:rPr>
          <w:rFonts w:hint="eastAsia"/>
          <w:lang w:eastAsia="zh-CN"/>
        </w:rPr>
        <w:t>、验收</w:t>
      </w:r>
      <w:bookmarkEnd w:id="97"/>
    </w:p>
    <w:p w14:paraId="19956290">
      <w:pPr>
        <w:pStyle w:val="68"/>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 xml:space="preserve"> </w:t>
      </w:r>
      <w:r>
        <w:rPr>
          <w:rFonts w:hint="eastAsia" w:asciiTheme="minorEastAsia" w:hAnsiTheme="minorEastAsia" w:eastAsiaTheme="minorEastAsia" w:cstheme="minorEastAsia"/>
          <w:color w:val="auto"/>
          <w:sz w:val="24"/>
          <w:szCs w:val="24"/>
        </w:rPr>
        <w:t xml:space="preserve"> 乙方提供材料，应接受甲方检验；乙方隐瞒原材料的</w:t>
      </w:r>
      <w:bookmarkStart w:id="101" w:name="_GoBack"/>
      <w:bookmarkEnd w:id="101"/>
      <w:r>
        <w:rPr>
          <w:rFonts w:hint="eastAsia" w:asciiTheme="minorEastAsia" w:hAnsiTheme="minorEastAsia" w:eastAsiaTheme="minorEastAsia" w:cstheme="minorEastAsia"/>
          <w:color w:val="auto"/>
          <w:sz w:val="24"/>
          <w:szCs w:val="24"/>
        </w:rPr>
        <w:t>缺陷或者使用不符合合同、国家、行业标准的材料影响工程质量时，甲方有权要求乙方更换、返工、扣罚工程款。</w:t>
      </w:r>
    </w:p>
    <w:p w14:paraId="79B55F38">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（一）气路部分</w:t>
      </w:r>
    </w:p>
    <w:p w14:paraId="05200A96">
      <w:pPr>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针对实际工作压力，依据《工业金属管道工程施工规范》（GB50235-2010），《现场设备、工业管道焊接工程施工规范》（GB50236-2011）等有关规定，对本项目气体管道压力试验及净化制定具体方案，程序如下：</w:t>
      </w:r>
    </w:p>
    <w:p w14:paraId="1750823D">
      <w:pPr>
        <w:pStyle w:val="68"/>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1、外观验收：</w:t>
      </w:r>
    </w:p>
    <w:p w14:paraId="31F2703C">
      <w:pPr>
        <w:pStyle w:val="68"/>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 所有管线是否按规定路线安装，管间距是否均匀。</w:t>
      </w:r>
    </w:p>
    <w:p w14:paraId="54086373">
      <w:pPr>
        <w:pStyle w:val="68"/>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 所有气体设备是否安装在合适的位置，使用是否方便。</w:t>
      </w:r>
    </w:p>
    <w:p w14:paraId="0FB358C9">
      <w:pPr>
        <w:pStyle w:val="68"/>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 每根管线在每1.5m内是否得到支架固定。</w:t>
      </w:r>
    </w:p>
    <w:p w14:paraId="7DE65929">
      <w:pPr>
        <w:pStyle w:val="68"/>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2、材质验收：</w:t>
      </w:r>
    </w:p>
    <w:p w14:paraId="3DD2FD7E">
      <w:pPr>
        <w:pStyle w:val="68"/>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2.1 所有施工材料的材质是否达到要求。</w:t>
      </w:r>
    </w:p>
    <w:p w14:paraId="6EA0DE14">
      <w:pPr>
        <w:pStyle w:val="68"/>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2.2 所有气体管道的内外抛光度是否达到BA级标准。</w:t>
      </w:r>
    </w:p>
    <w:p w14:paraId="31B4D3C7">
      <w:pPr>
        <w:pStyle w:val="68"/>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2.3 气体减压器的内外材质是否保持一致。</w:t>
      </w:r>
    </w:p>
    <w:p w14:paraId="0EA9D81E">
      <w:pPr>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Cs/>
          <w:sz w:val="24"/>
          <w:szCs w:val="24"/>
          <w:lang w:val="en-GB" w:eastAsia="zh-CN"/>
        </w:rPr>
        <w:t>3.气体管道检验</w:t>
      </w:r>
    </w:p>
    <w:p w14:paraId="7BBC5115">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Cs/>
          <w:sz w:val="24"/>
          <w:szCs w:val="24"/>
          <w:lang w:eastAsia="zh-CN"/>
        </w:rPr>
        <w:t xml:space="preserve">3.1 </w:t>
      </w:r>
      <w:r>
        <w:rPr>
          <w:rFonts w:hint="eastAsia" w:asciiTheme="minorEastAsia" w:hAnsiTheme="minorEastAsia" w:eastAsiaTheme="minorEastAsia" w:cstheme="minorEastAsia"/>
          <w:sz w:val="24"/>
          <w:szCs w:val="24"/>
          <w:lang w:eastAsia="zh-CN"/>
        </w:rPr>
        <w:t>气体管路安装到位，使用正常。</w:t>
      </w:r>
    </w:p>
    <w:p w14:paraId="405DB816">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Cs/>
          <w:sz w:val="24"/>
          <w:szCs w:val="24"/>
          <w:lang w:eastAsia="zh-CN"/>
        </w:rPr>
        <w:t xml:space="preserve">3.2 </w:t>
      </w:r>
      <w:r>
        <w:rPr>
          <w:rFonts w:hint="eastAsia" w:asciiTheme="minorEastAsia" w:hAnsiTheme="minorEastAsia" w:eastAsiaTheme="minorEastAsia" w:cstheme="minorEastAsia"/>
          <w:sz w:val="24"/>
          <w:szCs w:val="24"/>
          <w:lang w:eastAsia="zh-CN"/>
        </w:rPr>
        <w:t>气体阀门开关正常。</w:t>
      </w:r>
    </w:p>
    <w:p w14:paraId="6415685C">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Cs/>
          <w:sz w:val="24"/>
          <w:szCs w:val="24"/>
          <w:lang w:eastAsia="zh-CN"/>
        </w:rPr>
        <w:t xml:space="preserve">3.3 </w:t>
      </w:r>
      <w:r>
        <w:rPr>
          <w:rFonts w:hint="eastAsia" w:asciiTheme="minorEastAsia" w:hAnsiTheme="minorEastAsia" w:eastAsiaTheme="minorEastAsia" w:cstheme="minorEastAsia"/>
          <w:sz w:val="24"/>
          <w:szCs w:val="24"/>
          <w:lang w:eastAsia="zh-CN"/>
        </w:rPr>
        <w:t>压力表指示正常。</w:t>
      </w:r>
    </w:p>
    <w:p w14:paraId="495B2D73">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Cs/>
          <w:sz w:val="24"/>
          <w:szCs w:val="24"/>
          <w:lang w:eastAsia="zh-CN"/>
        </w:rPr>
        <w:t xml:space="preserve">3.4 </w:t>
      </w:r>
      <w:r>
        <w:rPr>
          <w:rFonts w:hint="eastAsia" w:asciiTheme="minorEastAsia" w:hAnsiTheme="minorEastAsia" w:eastAsiaTheme="minorEastAsia" w:cstheme="minorEastAsia"/>
          <w:sz w:val="24"/>
          <w:szCs w:val="24"/>
          <w:lang w:eastAsia="zh-CN"/>
        </w:rPr>
        <w:t>自动切换系统工作正常。</w:t>
      </w:r>
    </w:p>
    <w:p w14:paraId="35E3AA74">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Cs/>
          <w:sz w:val="24"/>
          <w:szCs w:val="24"/>
          <w:lang w:eastAsia="zh-CN"/>
        </w:rPr>
        <w:t xml:space="preserve">3.5 </w:t>
      </w:r>
      <w:r>
        <w:rPr>
          <w:rFonts w:hint="eastAsia" w:asciiTheme="minorEastAsia" w:hAnsiTheme="minorEastAsia" w:eastAsiaTheme="minorEastAsia" w:cstheme="minorEastAsia"/>
          <w:sz w:val="24"/>
          <w:szCs w:val="24"/>
          <w:lang w:eastAsia="zh-CN"/>
        </w:rPr>
        <w:t>管路经过支撑且支撑点牢固。</w:t>
      </w:r>
    </w:p>
    <w:p w14:paraId="12BEEB97">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Cs/>
          <w:sz w:val="24"/>
          <w:szCs w:val="24"/>
          <w:lang w:eastAsia="zh-CN"/>
        </w:rPr>
        <w:t xml:space="preserve">3.6 </w:t>
      </w:r>
      <w:r>
        <w:rPr>
          <w:rFonts w:hint="eastAsia" w:asciiTheme="minorEastAsia" w:hAnsiTheme="minorEastAsia" w:eastAsiaTheme="minorEastAsia" w:cstheme="minorEastAsia"/>
          <w:sz w:val="24"/>
          <w:szCs w:val="24"/>
          <w:lang w:eastAsia="zh-CN"/>
        </w:rPr>
        <w:t>所有管道标识清楚。</w:t>
      </w:r>
    </w:p>
    <w:p w14:paraId="24650A00">
      <w:pPr>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val="en-GB" w:eastAsia="zh-CN"/>
        </w:rPr>
      </w:pPr>
      <w:r>
        <w:rPr>
          <w:rFonts w:hint="eastAsia" w:asciiTheme="minorEastAsia" w:hAnsiTheme="minorEastAsia" w:eastAsiaTheme="minorEastAsia" w:cstheme="minorEastAsia"/>
          <w:bCs/>
          <w:sz w:val="24"/>
          <w:szCs w:val="24"/>
          <w:lang w:val="en-GB" w:eastAsia="zh-CN"/>
        </w:rPr>
        <w:t>3、氮气吹扫</w:t>
      </w:r>
    </w:p>
    <w:p w14:paraId="7E22EC37">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val="en-GB" w:eastAsia="zh-CN"/>
        </w:rPr>
      </w:pPr>
      <w:r>
        <w:rPr>
          <w:rFonts w:hint="eastAsia" w:asciiTheme="minorEastAsia" w:hAnsiTheme="minorEastAsia" w:eastAsiaTheme="minorEastAsia" w:cstheme="minorEastAsia"/>
          <w:sz w:val="24"/>
          <w:szCs w:val="24"/>
          <w:lang w:val="en-GB" w:eastAsia="zh-CN"/>
        </w:rPr>
        <w:t>3.1 吹扫的顺序应按主管、支管、疏排管依次进行。</w:t>
      </w:r>
    </w:p>
    <w:p w14:paraId="6E668989">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val="en-GB" w:eastAsia="zh-CN"/>
        </w:rPr>
      </w:pPr>
      <w:r>
        <w:rPr>
          <w:rFonts w:hint="eastAsia" w:asciiTheme="minorEastAsia" w:hAnsiTheme="minorEastAsia" w:eastAsiaTheme="minorEastAsia" w:cstheme="minorEastAsia"/>
          <w:sz w:val="24"/>
          <w:szCs w:val="24"/>
          <w:lang w:val="en-GB" w:eastAsia="zh-CN"/>
        </w:rPr>
        <w:t>3.2 吹洗前应检验管道支、吊架的牢固程度，必要时应予以加固。</w:t>
      </w:r>
    </w:p>
    <w:p w14:paraId="4F551EE1">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val="en-GB" w:eastAsia="zh-CN"/>
        </w:rPr>
      </w:pPr>
      <w:r>
        <w:rPr>
          <w:rFonts w:hint="eastAsia" w:asciiTheme="minorEastAsia" w:hAnsiTheme="minorEastAsia" w:eastAsiaTheme="minorEastAsia" w:cstheme="minorEastAsia"/>
          <w:sz w:val="24"/>
          <w:szCs w:val="24"/>
          <w:lang w:val="en-GB" w:eastAsia="zh-CN"/>
        </w:rPr>
        <w:t>3.3 吹扫时应设置禁区。</w:t>
      </w:r>
    </w:p>
    <w:p w14:paraId="6E286199">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val="en-GB" w:eastAsia="zh-CN"/>
        </w:rPr>
      </w:pPr>
      <w:r>
        <w:rPr>
          <w:rFonts w:hint="eastAsia" w:asciiTheme="minorEastAsia" w:hAnsiTheme="minorEastAsia" w:eastAsiaTheme="minorEastAsia" w:cstheme="minorEastAsia"/>
          <w:sz w:val="24"/>
          <w:szCs w:val="24"/>
          <w:lang w:val="en-GB" w:eastAsia="zh-CN"/>
        </w:rPr>
        <w:t>4、功能验收</w:t>
      </w:r>
    </w:p>
    <w:p w14:paraId="5B026221">
      <w:pPr>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强度测试：管内冲入高纯氮气（99.999%）使压力到达1.2MPa，保持此压力不小于1小时，压力不降合格。</w:t>
      </w:r>
    </w:p>
    <w:p w14:paraId="394D20DA">
      <w:pPr>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密闭测试：管内冲入高纯氮气（99.999%）使压力到达0.8MPa，密闭不少于48小时，压力不降合格。</w:t>
      </w:r>
    </w:p>
    <w:p w14:paraId="5FB34B17">
      <w:pPr>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稳定测试：开启所有使用设备，在正常工作压力情况下，工作压力波动小于 5%为合格。</w:t>
      </w:r>
    </w:p>
    <w:p w14:paraId="14B7EC02">
      <w:pPr>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洁净度测试：管路充进纯氮，关闭所有阀门，打开末端阀，用干净白布放置管口一分钟，无杂质无水分即为合格。</w:t>
      </w:r>
    </w:p>
    <w:p w14:paraId="343FCA8E">
      <w:pPr>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b/>
          <w:sz w:val="24"/>
          <w:szCs w:val="24"/>
          <w:u w:val="single"/>
          <w:lang w:eastAsia="zh-CN"/>
        </w:rPr>
      </w:pPr>
      <w:r>
        <w:rPr>
          <w:rFonts w:hint="eastAsia" w:asciiTheme="minorEastAsia" w:hAnsiTheme="minorEastAsia" w:eastAsiaTheme="minorEastAsia" w:cstheme="minorEastAsia"/>
          <w:b/>
          <w:sz w:val="24"/>
          <w:szCs w:val="24"/>
          <w:u w:val="single"/>
          <w:lang w:eastAsia="zh-CN"/>
        </w:rPr>
        <w:t>防雷、防静电接地：H</w:t>
      </w:r>
      <w:r>
        <w:rPr>
          <w:rFonts w:hint="eastAsia" w:asciiTheme="minorEastAsia" w:hAnsiTheme="minorEastAsia" w:eastAsiaTheme="minorEastAsia" w:cstheme="minorEastAsia"/>
          <w:b/>
          <w:sz w:val="24"/>
          <w:szCs w:val="24"/>
          <w:u w:val="single"/>
          <w:vertAlign w:val="subscript"/>
          <w:lang w:eastAsia="zh-CN"/>
        </w:rPr>
        <w:t>2</w:t>
      </w:r>
      <w:r>
        <w:rPr>
          <w:rFonts w:hint="eastAsia" w:asciiTheme="minorEastAsia" w:hAnsiTheme="minorEastAsia" w:eastAsiaTheme="minorEastAsia" w:cstheme="minorEastAsia"/>
          <w:b/>
          <w:sz w:val="24"/>
          <w:szCs w:val="24"/>
          <w:u w:val="single"/>
          <w:lang w:eastAsia="zh-CN"/>
        </w:rPr>
        <w:t>、乙炔主管道应设置回火防止器，并做防静电接地及跨接。</w:t>
      </w:r>
    </w:p>
    <w:p w14:paraId="5DFA731F">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（二）家具部分</w:t>
      </w:r>
    </w:p>
    <w:p w14:paraId="721C9496">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1、实验台验收标准</w:t>
      </w:r>
    </w:p>
    <w:p w14:paraId="7508D9D5">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1.1主体框架采用金属焊接、角钢与型材连接组合。箱体与金属框架用卡吊组合；箱体两侧与主框架外边每侧要凹进5mm。</w:t>
      </w:r>
    </w:p>
    <w:p w14:paraId="06A9FEF8">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 台面要一体成型，不可随意拼接。外型尺寸一定后，其尺寸允许的公差为-2mm，如果多个台面组合为一个整体时，其尺寸必须保持一致，以达到整体尺寸标准。验收中校对图纸尺寸，以台面长、宽尺寸为定型验收尺寸。</w:t>
      </w:r>
    </w:p>
    <w:p w14:paraId="7359306C">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z w:val="24"/>
          <w:szCs w:val="24"/>
          <w:lang w:eastAsia="zh-CN"/>
        </w:rPr>
        <w:t>1.3 实验台台面与金属主框架两侧面要留有30mm的沿边。</w:t>
      </w:r>
    </w:p>
    <w:p w14:paraId="284932B1">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1.4 实验台高度为850mm。验收标准为：(850±5)mm。</w:t>
      </w:r>
    </w:p>
    <w:p w14:paraId="079BF5E3">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1.5台面表面要求无磨损，无划痕，平整一致。多台台面组合时，台面四个角必须为90°，组合台面不允许有缝隙。</w:t>
      </w:r>
    </w:p>
    <w:p w14:paraId="772D3CA3">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1.6在运输中难以避免造成台面磨损或碰伤。台面划伤允许标准：台面表面划伤每平方米允许有3个1平方毫米，深度不超过1毫米的点。封边部位撞伤面积不超过5平方毫米，深度不超过1毫米。每增加0.5米可允许有两个撞伤点。</w:t>
      </w:r>
    </w:p>
    <w:p w14:paraId="5CD86708">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1.7金属材料表面不允许有任何划伤。</w:t>
      </w:r>
    </w:p>
    <w:p w14:paraId="5F7F3373">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1.8台面必须用螺丝固定，玻璃胶固定。</w:t>
      </w:r>
    </w:p>
    <w:p w14:paraId="34243B2D">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1.9对所配置的插座来回插动顺畅且不产生火花；漏电开关开启灵活；电线线径符合配电使用标准，走线符合图纸标注的线路布置。</w:t>
      </w:r>
    </w:p>
    <w:p w14:paraId="6F86B51A">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1.10对上水、下水管道有无泄漏的检查验收：核对供应商提供的尺寸及材料是否一致。</w:t>
      </w:r>
    </w:p>
    <w:p w14:paraId="5D16369E">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1.11五金配件合页材质的检查。 </w:t>
      </w:r>
    </w:p>
    <w:p w14:paraId="04CFC9DE">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2、通风柜验收检验标准</w:t>
      </w:r>
    </w:p>
    <w:p w14:paraId="21E5C84D">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通风柜的重点验收内容： 面风速的测试、噪音的测试、控系统的测试、给、排水系统的测试、整体外观的检验。</w:t>
      </w:r>
    </w:p>
    <w:p w14:paraId="7AECA982">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 风速的测试方法（风速测压计）</w:t>
      </w:r>
    </w:p>
    <w:p w14:paraId="516ED354">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2.1.1把玻璃操作窗开启到正常的操作位置；</w:t>
      </w:r>
    </w:p>
    <w:p w14:paraId="515E24E0">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2.1.2检测人员在玻璃操作窗的一侧0.5米的位置，在玻璃操作门距离角落100mm处测试风速，最大测试点距离不超过600mm；</w:t>
      </w:r>
    </w:p>
    <w:p w14:paraId="57247BCC">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2.1.3检测时按风速风压计最大值计数；</w:t>
      </w:r>
    </w:p>
    <w:p w14:paraId="65498943">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2.1.4检测时每一点计数为15s，波动不超20%时计算和记录速度值，如果波动超过20%以上，计数时间可延长</w:t>
      </w:r>
    </w:p>
    <w:p w14:paraId="1137CC09">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2.1.5对于以上按图表方法测试时要对测试面风速结果进行记录；</w:t>
      </w:r>
    </w:p>
    <w:p w14:paraId="6F0160E8">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2.1.6检验数据合格标准：按测试标准各处都应在0.5m/s±20%，采用调节阀来控制面风速。</w:t>
      </w:r>
    </w:p>
    <w:p w14:paraId="3232653D">
      <w:pPr>
        <w:pStyle w:val="83"/>
        <w:pageBreakBefore w:val="0"/>
        <w:numPr>
          <w:ilvl w:val="1"/>
          <w:numId w:val="115"/>
        </w:numPr>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面风速检测</w:t>
      </w:r>
    </w:p>
    <w:p w14:paraId="22AC0380">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2.2.1烟雾测试：首先准备好测试仪器及相关的材料（烟雾笔+热水中的固态二氧化碳）</w:t>
      </w:r>
    </w:p>
    <w:p w14:paraId="7DE4BF3C">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2.2.2把玻璃操作门打开到正常使用的位置。</w:t>
      </w:r>
    </w:p>
    <w:p w14:paraId="478C3633">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2.2.3把烟雾放置在开启门的任何位置释放，观察烟雾是否平缓顺畅进入通风柜内。</w:t>
      </w:r>
    </w:p>
    <w:p w14:paraId="1D97108B">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2.2.4在通风柜操作面及内壁处释放烟雾，观察是否正常夹带烟雾进入通风柜的前端。</w:t>
      </w:r>
    </w:p>
    <w:p w14:paraId="03C4A9CD">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2.2.5在测试检查时如果没有考滤到空调、门、窗、通风管道等其它附件是否影响到通风烟雾的准确测试指标时，必须重新进行测试。</w:t>
      </w:r>
    </w:p>
    <w:p w14:paraId="5878C0A4">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2.2.6测试数据的标准：</w:t>
      </w:r>
    </w:p>
    <w:p w14:paraId="5B969550">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良好—在测试中烟雾流动平缓，无涡流和湍动；</w:t>
      </w:r>
    </w:p>
    <w:p w14:paraId="3A8BB343">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合格—所测试的烟雾无溢出通风柜体外，不会影响 操作人员。</w:t>
      </w:r>
    </w:p>
    <w:p w14:paraId="0F0E6CEF">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不合格—所测试的烟雾溢出通风柜体外，影响到操作人员的正常工作。</w:t>
      </w:r>
    </w:p>
    <w:p w14:paraId="11AF246C">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2.3 噪音的测试：噪音的测试必须配置噪音分析仪器进行标准检测分析。室内的通风柜噪音一般指操作人员所在的操作位置（区域）不超过55dB。</w:t>
      </w:r>
    </w:p>
    <w:p w14:paraId="6B165BAA">
      <w:pPr>
        <w:pStyle w:val="83"/>
        <w:pageBreakBefore w:val="0"/>
        <w:numPr>
          <w:ilvl w:val="1"/>
          <w:numId w:val="115"/>
        </w:numPr>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电控系统的检测</w:t>
      </w:r>
    </w:p>
    <w:p w14:paraId="2856289C">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2.3.1电控系统除按生产标准配置的功能及控制系统外，还要进行带负荷试验，并做好记录。</w:t>
      </w:r>
    </w:p>
    <w:p w14:paraId="03C05E0A">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2.3.2照明系统的亮度不低于400勒，设置在柜体的内部必须要有防火、防尘、防腐、防爆等安全保护措施。</w:t>
      </w:r>
    </w:p>
    <w:p w14:paraId="00B8A328">
      <w:pPr>
        <w:pageBreakBefore w:val="0"/>
        <w:numPr>
          <w:ilvl w:val="0"/>
          <w:numId w:val="116"/>
        </w:numPr>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其他部分</w:t>
      </w:r>
    </w:p>
    <w:p w14:paraId="4737E093">
      <w:pPr>
        <w:pageBreakBefore w:val="0"/>
        <w:numPr>
          <w:ilvl w:val="0"/>
          <w:numId w:val="0"/>
        </w:numPr>
        <w:kinsoku/>
        <w:wordWrap/>
        <w:overflowPunct/>
        <w:topLinePunct w:val="0"/>
        <w:bidi w:val="0"/>
        <w:adjustRightInd w:val="0"/>
        <w:snapToGrid w:val="0"/>
        <w:spacing w:beforeAutospacing="0" w:afterAutospacing="0" w:line="400" w:lineRule="exact"/>
        <w:ind w:leftChars="0" w:right="0" w:righ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 基础工程验收</w:t>
      </w:r>
    </w:p>
    <w:p w14:paraId="374D1977">
      <w:pPr>
        <w:pageBreakBefore w:val="0"/>
        <w:numPr>
          <w:ilvl w:val="0"/>
          <w:numId w:val="117"/>
        </w:numPr>
        <w:kinsoku/>
        <w:wordWrap/>
        <w:overflowPunct/>
        <w:topLinePunct w:val="0"/>
        <w:bidi w:val="0"/>
        <w:adjustRightInd w:val="0"/>
        <w:snapToGrid w:val="0"/>
        <w:spacing w:beforeAutospacing="0" w:afterAutospacing="0" w:line="400" w:lineRule="exact"/>
        <w:ind w:left="425" w:leftChars="0" w:right="0" w:rightChars="0" w:hanging="425"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结构安全：墙面、地面无裂缝、空鼓，承重墙体 / 地面需符合设计荷载（如重型仪器区承重≥500kg/㎡），吊顶龙骨牢固且无下垂变形。</w:t>
      </w:r>
    </w:p>
    <w:p w14:paraId="20976442">
      <w:pPr>
        <w:pageBreakBefore w:val="0"/>
        <w:numPr>
          <w:ilvl w:val="0"/>
          <w:numId w:val="117"/>
        </w:numPr>
        <w:kinsoku/>
        <w:wordWrap/>
        <w:overflowPunct/>
        <w:topLinePunct w:val="0"/>
        <w:bidi w:val="0"/>
        <w:adjustRightInd w:val="0"/>
        <w:snapToGrid w:val="0"/>
        <w:spacing w:beforeAutospacing="0" w:afterAutospacing="0" w:line="400" w:lineRule="exact"/>
        <w:ind w:left="425" w:leftChars="0" w:right="0" w:rightChars="0" w:hanging="425"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地面工程：不同区域地面材质需达标，化学实验室需防腐蚀（如 PVC、环氧树脂地坪），生物实验室需防滑、易清洁，且地面坡度合理（坡度 1%-2%），无积水。瓷砖颜色与纹理。同一空间内的瓷砖应颜色均匀、纹理一致，无明显色差或纹理断裂。瓷砖铺贴牢固无空鼓。铺贴平整缝隙均匀。</w:t>
      </w:r>
    </w:p>
    <w:p w14:paraId="15BA7859">
      <w:pPr>
        <w:pageBreakBefore w:val="0"/>
        <w:numPr>
          <w:ilvl w:val="0"/>
          <w:numId w:val="117"/>
        </w:numPr>
        <w:kinsoku/>
        <w:wordWrap/>
        <w:overflowPunct/>
        <w:topLinePunct w:val="0"/>
        <w:bidi w:val="0"/>
        <w:adjustRightInd w:val="0"/>
        <w:snapToGrid w:val="0"/>
        <w:spacing w:beforeAutospacing="0" w:afterAutospacing="0" w:line="400" w:lineRule="exact"/>
        <w:ind w:left="425" w:leftChars="0" w:right="0" w:rightChars="0" w:hanging="425"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墙面</w:t>
      </w:r>
    </w:p>
    <w:p w14:paraId="5CBDA1E0">
      <w:pPr>
        <w:pageBreakBefore w:val="0"/>
        <w:numPr>
          <w:ilvl w:val="0"/>
          <w:numId w:val="0"/>
        </w:numPr>
        <w:kinsoku/>
        <w:wordWrap/>
        <w:overflowPunct/>
        <w:topLinePunct w:val="0"/>
        <w:bidi w:val="0"/>
        <w:adjustRightInd w:val="0"/>
        <w:snapToGrid w:val="0"/>
        <w:spacing w:beforeAutospacing="0" w:afterAutospacing="0" w:line="400" w:lineRule="exact"/>
        <w:ind w:leftChars="0" w:right="0" w:righ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1）外观与平整度：</w:t>
      </w:r>
    </w:p>
    <w:p w14:paraId="1286BC2A">
      <w:pPr>
        <w:pageBreakBefore w:val="0"/>
        <w:numPr>
          <w:ilvl w:val="0"/>
          <w:numId w:val="118"/>
        </w:numPr>
        <w:kinsoku/>
        <w:wordWrap/>
        <w:overflowPunct/>
        <w:topLinePunct w:val="0"/>
        <w:bidi w:val="0"/>
        <w:adjustRightInd w:val="0"/>
        <w:snapToGrid w:val="0"/>
        <w:spacing w:beforeAutospacing="0" w:afterAutospacing="0" w:line="400" w:lineRule="exact"/>
        <w:ind w:left="0" w:leftChars="0" w:right="0" w:righ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墙面表面需平整，用 2m 靠尺检测，缝隙误差≤2mm，无明显凹凸、划痕、色差。</w:t>
      </w:r>
    </w:p>
    <w:p w14:paraId="04F78615">
      <w:pPr>
        <w:pageBreakBefore w:val="0"/>
        <w:numPr>
          <w:ilvl w:val="0"/>
          <w:numId w:val="118"/>
        </w:numPr>
        <w:kinsoku/>
        <w:wordWrap/>
        <w:overflowPunct/>
        <w:topLinePunct w:val="0"/>
        <w:bidi w:val="0"/>
        <w:adjustRightInd w:val="0"/>
        <w:snapToGrid w:val="0"/>
        <w:spacing w:beforeAutospacing="0" w:afterAutospacing="0" w:line="400" w:lineRule="exact"/>
        <w:ind w:left="0" w:leftChars="0" w:right="0" w:righ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墙面涂料或饰面（如瓷砖、防腐板）需均匀，无流挂、漏刷、起皮现象，接缝处（如瓷砖勾缝）需饱满、光滑，无空鼓（空鼓面积≤5%，单块空鼓面积≤10cm²）。</w:t>
      </w:r>
    </w:p>
    <w:p w14:paraId="27294893">
      <w:pPr>
        <w:pageBreakBefore w:val="0"/>
        <w:numPr>
          <w:ilvl w:val="0"/>
          <w:numId w:val="118"/>
        </w:numPr>
        <w:kinsoku/>
        <w:wordWrap/>
        <w:overflowPunct/>
        <w:topLinePunct w:val="0"/>
        <w:bidi w:val="0"/>
        <w:adjustRightInd w:val="0"/>
        <w:snapToGrid w:val="0"/>
        <w:spacing w:beforeAutospacing="0" w:afterAutospacing="0" w:line="400" w:lineRule="exact"/>
        <w:ind w:left="0" w:leftChars="0" w:right="0" w:righ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墙面与地面、吊顶的交接处需顺直，缝隙≤3mm，且做密封处理（如打防水胶），防止积尘或渗漏。</w:t>
      </w:r>
    </w:p>
    <w:p w14:paraId="079B602A">
      <w:pPr>
        <w:pageBreakBefore w:val="0"/>
        <w:numPr>
          <w:ilvl w:val="0"/>
          <w:numId w:val="0"/>
        </w:numPr>
        <w:kinsoku/>
        <w:wordWrap/>
        <w:overflowPunct/>
        <w:topLinePunct w:val="0"/>
        <w:bidi w:val="0"/>
        <w:adjustRightInd w:val="0"/>
        <w:snapToGrid w:val="0"/>
        <w:spacing w:beforeAutospacing="0" w:afterAutospacing="0" w:line="400" w:lineRule="exact"/>
        <w:ind w:leftChars="0" w:right="0" w:righ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2）结构与牢固性</w:t>
      </w:r>
    </w:p>
    <w:p w14:paraId="60538BD7">
      <w:pPr>
        <w:pageBreakBefore w:val="0"/>
        <w:numPr>
          <w:ilvl w:val="0"/>
          <w:numId w:val="119"/>
        </w:numPr>
        <w:kinsoku/>
        <w:wordWrap/>
        <w:overflowPunct/>
        <w:topLinePunct w:val="0"/>
        <w:bidi w:val="0"/>
        <w:adjustRightInd w:val="0"/>
        <w:snapToGrid w:val="0"/>
        <w:spacing w:beforeAutospacing="0" w:afterAutospacing="0" w:line="400" w:lineRule="exact"/>
        <w:ind w:left="0" w:leftChars="0" w:right="0" w:righ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墙体基层（如砖墙、轻钢龙骨隔墙）需牢固，无裂缝、松动，轻敲墙面无 “空响”（空心墙除外）。</w:t>
      </w:r>
    </w:p>
    <w:p w14:paraId="0D31B0D8">
      <w:pPr>
        <w:pageBreakBefore w:val="0"/>
        <w:numPr>
          <w:ilvl w:val="0"/>
          <w:numId w:val="119"/>
        </w:numPr>
        <w:kinsoku/>
        <w:wordWrap/>
        <w:overflowPunct/>
        <w:topLinePunct w:val="0"/>
        <w:bidi w:val="0"/>
        <w:adjustRightInd w:val="0"/>
        <w:snapToGrid w:val="0"/>
        <w:spacing w:beforeAutospacing="0" w:afterAutospacing="0" w:line="400" w:lineRule="exact"/>
        <w:ind w:left="0" w:leftChars="0" w:right="0" w:righ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墙面固定的设备支架（如通风柜支架、仪器挂架）需嵌入墙体基层，安装牢固，摇晃无位移，膨胀螺丝间距≤50cm，且做防腐处理。</w:t>
      </w:r>
    </w:p>
    <w:p w14:paraId="4344C45F">
      <w:pPr>
        <w:pageBreakBefore w:val="0"/>
        <w:numPr>
          <w:ilvl w:val="0"/>
          <w:numId w:val="117"/>
        </w:numPr>
        <w:kinsoku/>
        <w:wordWrap/>
        <w:overflowPunct/>
        <w:topLinePunct w:val="0"/>
        <w:bidi w:val="0"/>
        <w:adjustRightInd w:val="0"/>
        <w:snapToGrid w:val="0"/>
        <w:spacing w:beforeAutospacing="0" w:afterAutospacing="0" w:line="400" w:lineRule="exact"/>
        <w:ind w:left="425" w:leftChars="0" w:right="0" w:rightChars="0" w:hanging="425"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吊顶</w:t>
      </w:r>
    </w:p>
    <w:p w14:paraId="77705DAC">
      <w:pPr>
        <w:pageBreakBefore w:val="0"/>
        <w:numPr>
          <w:ilvl w:val="0"/>
          <w:numId w:val="0"/>
        </w:numPr>
        <w:kinsoku/>
        <w:wordWrap/>
        <w:overflowPunct/>
        <w:topLinePunct w:val="0"/>
        <w:bidi w:val="0"/>
        <w:adjustRightInd w:val="0"/>
        <w:snapToGrid w:val="0"/>
        <w:spacing w:beforeAutospacing="0" w:afterAutospacing="0" w:line="400" w:lineRule="exact"/>
        <w:ind w:leftChars="0" w:right="0" w:righ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1）结构安全与承重</w:t>
      </w:r>
    </w:p>
    <w:p w14:paraId="11B40EC9">
      <w:pPr>
        <w:pageBreakBefore w:val="0"/>
        <w:numPr>
          <w:ilvl w:val="0"/>
          <w:numId w:val="120"/>
        </w:numPr>
        <w:kinsoku/>
        <w:wordWrap/>
        <w:overflowPunct/>
        <w:topLinePunct w:val="0"/>
        <w:bidi w:val="0"/>
        <w:adjustRightInd w:val="0"/>
        <w:snapToGrid w:val="0"/>
        <w:spacing w:beforeAutospacing="0" w:afterAutospacing="0" w:line="400" w:lineRule="exact"/>
        <w:ind w:left="0" w:leftChars="0" w:right="0" w:righ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吊顶龙骨（如轻钢龙骨、铝合金龙骨）需符合设计荷载，主龙骨间距≤1.2m，副龙骨间距≤60cm，龙骨壁厚≥1.2mm，安装后无下垂、弯曲，用手按压无明显变形。</w:t>
      </w:r>
    </w:p>
    <w:p w14:paraId="700C63CA">
      <w:pPr>
        <w:pageBreakBefore w:val="0"/>
        <w:numPr>
          <w:ilvl w:val="0"/>
          <w:numId w:val="120"/>
        </w:numPr>
        <w:kinsoku/>
        <w:wordWrap/>
        <w:overflowPunct/>
        <w:topLinePunct w:val="0"/>
        <w:bidi w:val="0"/>
        <w:adjustRightInd w:val="0"/>
        <w:snapToGrid w:val="0"/>
        <w:spacing w:beforeAutospacing="0" w:afterAutospacing="0" w:line="400" w:lineRule="exact"/>
        <w:ind w:left="0" w:leftChars="0" w:right="0" w:righ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吊顶承重需达标：普通实验室吊顶（含饰面）承重≥20kg/㎡，悬挂设备（如灯具、风口、传感器）的龙骨需单独加固，承重≥50kg / 点，且提供龙骨承重检测报告。</w:t>
      </w:r>
    </w:p>
    <w:p w14:paraId="07967CB5">
      <w:pPr>
        <w:pageBreakBefore w:val="0"/>
        <w:numPr>
          <w:ilvl w:val="0"/>
          <w:numId w:val="120"/>
        </w:numPr>
        <w:kinsoku/>
        <w:wordWrap/>
        <w:overflowPunct/>
        <w:topLinePunct w:val="0"/>
        <w:bidi w:val="0"/>
        <w:adjustRightInd w:val="0"/>
        <w:snapToGrid w:val="0"/>
        <w:spacing w:beforeAutospacing="0" w:afterAutospacing="0" w:line="400" w:lineRule="exact"/>
        <w:ind w:left="0" w:leftChars="0" w:right="0" w:righ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吊顶与墙面、柱子的连接需牢固，用膨胀螺丝固定，间距≤60cm，且做收边处理（如安装收边条），防止龙骨移位。</w:t>
      </w:r>
    </w:p>
    <w:p w14:paraId="5733C969">
      <w:pPr>
        <w:pageBreakBefore w:val="0"/>
        <w:numPr>
          <w:ilvl w:val="0"/>
          <w:numId w:val="0"/>
        </w:numPr>
        <w:kinsoku/>
        <w:wordWrap/>
        <w:overflowPunct/>
        <w:topLinePunct w:val="0"/>
        <w:bidi w:val="0"/>
        <w:adjustRightInd w:val="0"/>
        <w:snapToGrid w:val="0"/>
        <w:spacing w:beforeAutospacing="0" w:afterAutospacing="0" w:line="400" w:lineRule="exact"/>
        <w:ind w:leftChars="0" w:right="0" w:righ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2）外观与平整度</w:t>
      </w:r>
    </w:p>
    <w:p w14:paraId="44BB22A2">
      <w:pPr>
        <w:pageBreakBefore w:val="0"/>
        <w:numPr>
          <w:ilvl w:val="0"/>
          <w:numId w:val="121"/>
        </w:numPr>
        <w:kinsoku/>
        <w:wordWrap/>
        <w:overflowPunct/>
        <w:topLinePunct w:val="0"/>
        <w:bidi w:val="0"/>
        <w:adjustRightInd w:val="0"/>
        <w:snapToGrid w:val="0"/>
        <w:spacing w:beforeAutospacing="0" w:afterAutospacing="0" w:line="400" w:lineRule="exact"/>
        <w:ind w:left="0" w:leftChars="0" w:right="0" w:righ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吊顶面板（如石膏板、铝扣板、彩钢板）需平整，拼接缝隙≤2mm，无翘曲、划痕、色差，面板与龙骨的搭接宽度≥10mm，无松动。</w:t>
      </w:r>
    </w:p>
    <w:p w14:paraId="5DF3AB8E">
      <w:pPr>
        <w:pageBreakBefore w:val="0"/>
        <w:numPr>
          <w:ilvl w:val="0"/>
          <w:numId w:val="121"/>
        </w:numPr>
        <w:kinsoku/>
        <w:wordWrap/>
        <w:overflowPunct/>
        <w:topLinePunct w:val="0"/>
        <w:bidi w:val="0"/>
        <w:adjustRightInd w:val="0"/>
        <w:snapToGrid w:val="0"/>
        <w:spacing w:beforeAutospacing="0" w:afterAutospacing="0" w:line="400" w:lineRule="exact"/>
        <w:ind w:left="0" w:leftChars="0" w:right="0" w:righ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吊顶上的设备开孔（如灯具孔、风口孔、检修口）需精准，孔径与设备匹配（误差≤5mm），孔边平整无毛刺，且做密封处理（如贴密封胶条），防止漏风或积尘。</w:t>
      </w:r>
    </w:p>
    <w:p w14:paraId="5750E4D8">
      <w:pPr>
        <w:pageBreakBefore w:val="0"/>
        <w:numPr>
          <w:ilvl w:val="0"/>
          <w:numId w:val="121"/>
        </w:numPr>
        <w:kinsoku/>
        <w:wordWrap/>
        <w:overflowPunct/>
        <w:topLinePunct w:val="0"/>
        <w:bidi w:val="0"/>
        <w:adjustRightInd w:val="0"/>
        <w:snapToGrid w:val="0"/>
        <w:spacing w:beforeAutospacing="0" w:afterAutospacing="0" w:line="400" w:lineRule="exact"/>
        <w:ind w:left="0" w:leftChars="0" w:right="0" w:righ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灯具需与吊顶类型匹配、美观。</w:t>
      </w:r>
    </w:p>
    <w:p w14:paraId="2BAAAFBA">
      <w:pPr>
        <w:pageBreakBefore w:val="0"/>
        <w:numPr>
          <w:ilvl w:val="0"/>
          <w:numId w:val="0"/>
        </w:numPr>
        <w:kinsoku/>
        <w:wordWrap/>
        <w:overflowPunct/>
        <w:topLinePunct w:val="0"/>
        <w:bidi w:val="0"/>
        <w:adjustRightInd w:val="0"/>
        <w:snapToGrid w:val="0"/>
        <w:spacing w:beforeAutospacing="0" w:afterAutospacing="0" w:line="400" w:lineRule="exact"/>
        <w:ind w:leftChars="0" w:right="0" w:righ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2、电路：独立回路设计，仪器区插座带防过载保护，接地电阻≤4Ω；</w:t>
      </w:r>
    </w:p>
    <w:p w14:paraId="0F68C890">
      <w:pPr>
        <w:pageBreakBefore w:val="0"/>
        <w:numPr>
          <w:ilvl w:val="0"/>
          <w:numId w:val="0"/>
        </w:numPr>
        <w:kinsoku/>
        <w:wordWrap/>
        <w:overflowPunct/>
        <w:topLinePunct w:val="0"/>
        <w:bidi w:val="0"/>
        <w:adjustRightInd w:val="0"/>
        <w:snapToGrid w:val="0"/>
        <w:spacing w:beforeAutospacing="0" w:afterAutospacing="0" w:line="400" w:lineRule="exact"/>
        <w:ind w:leftChars="0" w:right="0" w:righ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3、水路：实验用水（如纯水、自来水）管道分路清晰，接口密封无渗漏，排水管道带防返味存水弯。</w:t>
      </w:r>
    </w:p>
    <w:p w14:paraId="775B112B">
      <w:pPr>
        <w:pageBreakBefore w:val="0"/>
        <w:numPr>
          <w:ilvl w:val="0"/>
          <w:numId w:val="0"/>
        </w:numPr>
        <w:kinsoku/>
        <w:wordWrap/>
        <w:overflowPunct/>
        <w:topLinePunct w:val="0"/>
        <w:bidi w:val="0"/>
        <w:adjustRightInd w:val="0"/>
        <w:snapToGrid w:val="0"/>
        <w:spacing w:beforeAutospacing="0" w:afterAutospacing="0" w:line="400" w:lineRule="exact"/>
        <w:ind w:leftChars="0" w:right="0" w:righ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4、其他未提及部分以技术要求为验收标准。</w:t>
      </w:r>
    </w:p>
    <w:p w14:paraId="0AE85C78">
      <w:pPr>
        <w:pageBreakBefore w:val="0"/>
        <w:numPr>
          <w:ilvl w:val="0"/>
          <w:numId w:val="0"/>
        </w:numPr>
        <w:kinsoku/>
        <w:wordWrap/>
        <w:overflowPunct/>
        <w:topLinePunct w:val="0"/>
        <w:bidi w:val="0"/>
        <w:adjustRightInd w:val="0"/>
        <w:snapToGrid w:val="0"/>
        <w:spacing w:beforeAutospacing="0" w:afterAutospacing="0" w:line="400" w:lineRule="exact"/>
        <w:ind w:leftChars="0" w:right="0" w:rightChars="0"/>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5、以上涉及的物品需提供原厂产品合格证、质量检验报告、产品说明书、 技术参数表等，以确保材料合规性与质量可追溯。</w:t>
      </w:r>
    </w:p>
    <w:p w14:paraId="5B118FEA">
      <w:pPr>
        <w:pStyle w:val="2"/>
        <w:bidi w:val="0"/>
        <w:rPr>
          <w:rFonts w:hint="eastAsia" w:asciiTheme="minorEastAsia" w:hAnsiTheme="minorEastAsia" w:eastAsiaTheme="minorEastAsia" w:cstheme="minorEastAsia"/>
          <w:b/>
          <w:szCs w:val="24"/>
          <w:lang w:eastAsia="zh-CN"/>
        </w:rPr>
      </w:pPr>
      <w:bookmarkStart w:id="98" w:name="_Toc1785"/>
      <w:r>
        <w:rPr>
          <w:rFonts w:hint="eastAsia"/>
          <w:lang w:val="en-US" w:eastAsia="zh-CN"/>
        </w:rPr>
        <w:t>十二</w:t>
      </w:r>
      <w:r>
        <w:rPr>
          <w:rFonts w:hint="eastAsia"/>
          <w:lang w:eastAsia="zh-CN"/>
        </w:rPr>
        <w:t>、质量保证</w:t>
      </w:r>
      <w:bookmarkEnd w:id="98"/>
    </w:p>
    <w:p w14:paraId="1D5E7791">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z w:val="24"/>
          <w:szCs w:val="24"/>
          <w:lang w:eastAsia="zh-CN"/>
        </w:rPr>
        <w:t>投标方必须保证所供产品质量优良，对设备及自控系统的可行性、可靠性、可维护性、成套完整性负责。产品安装完毕投入使用后，保质期</w:t>
      </w:r>
      <w:r>
        <w:rPr>
          <w:rFonts w:hint="eastAsia" w:asciiTheme="minorEastAsia" w:hAnsiTheme="minorEastAsia" w:eastAsiaTheme="minorEastAsia" w:cstheme="minorEastAsia"/>
          <w:color w:val="auto"/>
          <w:sz w:val="24"/>
          <w:szCs w:val="24"/>
          <w:lang w:eastAsia="zh-CN"/>
        </w:rPr>
        <w:t>为</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lang w:eastAsia="zh-CN"/>
        </w:rPr>
        <w:t>年。</w:t>
      </w:r>
    </w:p>
    <w:p w14:paraId="1A68396F">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投标方所售出产品在质保期内因本身质量问题造成损坏，投标方负有免费维修或更换责任，并负担由此发生的运输、安装、材料等相关费用。</w:t>
      </w:r>
    </w:p>
    <w:p w14:paraId="4ED971F2">
      <w:pPr>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产品发生以下质量问题的必须实行免费调换：</w:t>
      </w:r>
    </w:p>
    <w:p w14:paraId="0E85CE3F">
      <w:pPr>
        <w:pStyle w:val="83"/>
        <w:pageBreakBefore w:val="0"/>
        <w:widowControl w:val="0"/>
        <w:numPr>
          <w:ilvl w:val="0"/>
          <w:numId w:val="0"/>
        </w:numPr>
        <w:kinsoku/>
        <w:wordWrap/>
        <w:overflowPunct/>
        <w:topLinePunct w:val="0"/>
        <w:bidi w:val="0"/>
        <w:snapToGrid w:val="0"/>
        <w:spacing w:beforeAutospacing="0" w:afterAutospacing="0" w:line="400" w:lineRule="exact"/>
        <w:ind w:left="16" w:leftChars="0" w:right="0" w:rightChars="0" w:hanging="16"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bidi="ar-SA"/>
        </w:rPr>
        <w:t>1、</w:t>
      </w:r>
      <w:r>
        <w:rPr>
          <w:rFonts w:hint="eastAsia" w:asciiTheme="minorEastAsia" w:hAnsiTheme="minorEastAsia" w:eastAsiaTheme="minorEastAsia" w:cstheme="minorEastAsia"/>
          <w:sz w:val="24"/>
          <w:szCs w:val="24"/>
          <w:lang w:eastAsia="zh-CN"/>
        </w:rPr>
        <w:t>台面、旁板、门板发生鼓泡、变形、断裂现象</w:t>
      </w:r>
    </w:p>
    <w:p w14:paraId="2C28A35C">
      <w:pPr>
        <w:pStyle w:val="83"/>
        <w:pageBreakBefore w:val="0"/>
        <w:widowControl w:val="0"/>
        <w:numPr>
          <w:ilvl w:val="0"/>
          <w:numId w:val="0"/>
        </w:numPr>
        <w:kinsoku/>
        <w:wordWrap/>
        <w:overflowPunct/>
        <w:topLinePunct w:val="0"/>
        <w:bidi w:val="0"/>
        <w:snapToGrid w:val="0"/>
        <w:spacing w:beforeAutospacing="0" w:afterAutospacing="0" w:line="400" w:lineRule="exact"/>
        <w:ind w:left="16" w:leftChars="0" w:right="0" w:rightChars="0" w:hanging="16"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bidi="ar-SA"/>
        </w:rPr>
        <w:t>2、</w:t>
      </w:r>
      <w:r>
        <w:rPr>
          <w:rFonts w:hint="eastAsia" w:asciiTheme="minorEastAsia" w:hAnsiTheme="minorEastAsia" w:eastAsiaTheme="minorEastAsia" w:cstheme="minorEastAsia"/>
          <w:sz w:val="24"/>
          <w:szCs w:val="24"/>
          <w:lang w:eastAsia="zh-CN"/>
        </w:rPr>
        <w:t>铰链发生断裂、滑道发生卡死的。</w:t>
      </w:r>
    </w:p>
    <w:p w14:paraId="070D4FB1">
      <w:pPr>
        <w:pageBreakBefore w:val="0"/>
        <w:widowControl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3、水槽封边不严密出现漏水。</w:t>
      </w:r>
    </w:p>
    <w:p w14:paraId="3353C92A">
      <w:pPr>
        <w:pStyle w:val="83"/>
        <w:pageBreakBefore w:val="0"/>
        <w:widowControl w:val="0"/>
        <w:numPr>
          <w:ilvl w:val="0"/>
          <w:numId w:val="0"/>
        </w:numPr>
        <w:kinsoku/>
        <w:wordWrap/>
        <w:overflowPunct/>
        <w:topLinePunct w:val="0"/>
        <w:bidi w:val="0"/>
        <w:snapToGrid w:val="0"/>
        <w:spacing w:beforeAutospacing="0" w:afterAutospacing="0" w:line="400" w:lineRule="exact"/>
        <w:ind w:left="0" w:leftChars="0" w:right="0" w:rightChars="0" w:firstLine="0" w:firstLine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en-US" w:bidi="ar-SA"/>
        </w:rPr>
        <w:t>4、</w:t>
      </w:r>
      <w:r>
        <w:rPr>
          <w:rFonts w:hint="eastAsia" w:asciiTheme="minorEastAsia" w:hAnsiTheme="minorEastAsia" w:eastAsiaTheme="minorEastAsia" w:cstheme="minorEastAsia"/>
          <w:sz w:val="24"/>
          <w:szCs w:val="24"/>
        </w:rPr>
        <w:t>铰链定位不准。</w:t>
      </w:r>
    </w:p>
    <w:p w14:paraId="0DB00E51">
      <w:pPr>
        <w:pStyle w:val="83"/>
        <w:pageBreakBefore w:val="0"/>
        <w:widowControl w:val="0"/>
        <w:numPr>
          <w:ilvl w:val="0"/>
          <w:numId w:val="0"/>
        </w:numPr>
        <w:kinsoku/>
        <w:wordWrap/>
        <w:overflowPunct/>
        <w:topLinePunct w:val="0"/>
        <w:bidi w:val="0"/>
        <w:snapToGrid w:val="0"/>
        <w:spacing w:beforeAutospacing="0" w:afterAutospacing="0" w:line="400" w:lineRule="exact"/>
        <w:ind w:left="0" w:leftChars="0" w:right="0" w:rightChars="0" w:firstLine="0" w:firstLine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en-US" w:bidi="ar-SA"/>
        </w:rPr>
        <w:t>5、</w:t>
      </w:r>
      <w:r>
        <w:rPr>
          <w:rFonts w:hint="eastAsia" w:asciiTheme="minorEastAsia" w:hAnsiTheme="minorEastAsia" w:eastAsiaTheme="minorEastAsia" w:cstheme="minorEastAsia"/>
          <w:sz w:val="24"/>
          <w:szCs w:val="24"/>
        </w:rPr>
        <w:t>门板闭合不到位。</w:t>
      </w:r>
    </w:p>
    <w:p w14:paraId="6B47285B">
      <w:pPr>
        <w:pStyle w:val="83"/>
        <w:pageBreakBefore w:val="0"/>
        <w:widowControl w:val="0"/>
        <w:numPr>
          <w:ilvl w:val="0"/>
          <w:numId w:val="0"/>
        </w:numPr>
        <w:kinsoku/>
        <w:wordWrap/>
        <w:overflowPunct/>
        <w:topLinePunct w:val="0"/>
        <w:bidi w:val="0"/>
        <w:snapToGrid w:val="0"/>
        <w:spacing w:beforeAutospacing="0" w:afterAutospacing="0" w:line="400" w:lineRule="exact"/>
        <w:ind w:left="0" w:leftChars="0" w:right="0" w:rightChars="0" w:firstLine="0" w:firstLine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en-US" w:bidi="ar-SA"/>
        </w:rPr>
        <w:t>6、</w:t>
      </w:r>
      <w:r>
        <w:rPr>
          <w:rFonts w:hint="eastAsia" w:asciiTheme="minorEastAsia" w:hAnsiTheme="minorEastAsia" w:eastAsiaTheme="minorEastAsia" w:cstheme="minorEastAsia"/>
          <w:sz w:val="24"/>
          <w:szCs w:val="24"/>
        </w:rPr>
        <w:t>抽屉抽拉经常卡住。</w:t>
      </w:r>
    </w:p>
    <w:p w14:paraId="5B793103">
      <w:pPr>
        <w:pStyle w:val="83"/>
        <w:pageBreakBefore w:val="0"/>
        <w:widowControl w:val="0"/>
        <w:numPr>
          <w:ilvl w:val="0"/>
          <w:numId w:val="0"/>
        </w:numPr>
        <w:kinsoku/>
        <w:wordWrap/>
        <w:overflowPunct/>
        <w:topLinePunct w:val="0"/>
        <w:bidi w:val="0"/>
        <w:snapToGrid w:val="0"/>
        <w:spacing w:beforeAutospacing="0" w:afterAutospacing="0" w:line="400" w:lineRule="exact"/>
        <w:ind w:left="0" w:leftChars="0" w:right="0" w:rightChars="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bidi="ar-SA"/>
        </w:rPr>
        <w:t>7、</w:t>
      </w:r>
      <w:r>
        <w:rPr>
          <w:rFonts w:hint="eastAsia" w:asciiTheme="minorEastAsia" w:hAnsiTheme="minorEastAsia" w:eastAsiaTheme="minorEastAsia" w:cstheme="minorEastAsia"/>
          <w:sz w:val="24"/>
          <w:szCs w:val="24"/>
          <w:lang w:eastAsia="zh-CN"/>
        </w:rPr>
        <w:t>通风柜移门上下不灵活。</w:t>
      </w:r>
    </w:p>
    <w:p w14:paraId="7CE52E9C">
      <w:pPr>
        <w:pStyle w:val="83"/>
        <w:pageBreakBefore w:val="0"/>
        <w:widowControl w:val="0"/>
        <w:numPr>
          <w:ilvl w:val="0"/>
          <w:numId w:val="0"/>
        </w:numPr>
        <w:kinsoku/>
        <w:wordWrap/>
        <w:overflowPunct/>
        <w:topLinePunct w:val="0"/>
        <w:bidi w:val="0"/>
        <w:snapToGrid w:val="0"/>
        <w:spacing w:beforeAutospacing="0" w:afterAutospacing="0" w:line="400" w:lineRule="exact"/>
        <w:ind w:left="0" w:leftChars="0" w:right="0" w:rightChars="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bidi="ar-SA"/>
        </w:rPr>
        <w:t>8、</w:t>
      </w:r>
      <w:r>
        <w:rPr>
          <w:rFonts w:hint="eastAsia" w:asciiTheme="minorEastAsia" w:hAnsiTheme="minorEastAsia" w:eastAsiaTheme="minorEastAsia" w:cstheme="minorEastAsia"/>
          <w:sz w:val="24"/>
          <w:szCs w:val="24"/>
          <w:lang w:eastAsia="zh-CN"/>
        </w:rPr>
        <w:t>减压阀（含切换装置）故障。</w:t>
      </w:r>
    </w:p>
    <w:p w14:paraId="5AFA1D9F">
      <w:pPr>
        <w:pageBreakBefore w:val="0"/>
        <w:widowControl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9、球阀、高压软管、管道焊口出现漏气。</w:t>
      </w:r>
    </w:p>
    <w:p w14:paraId="40F8A68C">
      <w:pPr>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供货安装后，招标方若要在该批设备上增加、更新其它零部件，投标方须提供相应的零部件并免费安装，同时保证其价格低于平均市场价。在原厂配件免费更换服务期外，保证设备的零配件以低于平均市场价供应。</w:t>
      </w:r>
    </w:p>
    <w:p w14:paraId="693ED820">
      <w:pPr>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方售出的商品，由非招标方人为操作不当出现的产品问题，投标方无偿负责解决；如果由于招标方使用过程中，因操作不当或其他等人为因素造成的损坏，招标方随时可通知投标方进行维修或更换，投标方仅适当收取材料和安装等相关费用。</w:t>
      </w:r>
    </w:p>
    <w:p w14:paraId="0801A552">
      <w:pPr>
        <w:pageBreakBefore w:val="0"/>
        <w:kinsoku/>
        <w:wordWrap/>
        <w:overflowPunct/>
        <w:topLinePunct w:val="0"/>
        <w:bidi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为使招标方更好地达到使用效果，投标方的技术人员应无偿地为招标方相关人员进行技术培训和操作培训，以保证设备的正常使用、维护，直到用户满意为止。</w:t>
      </w:r>
    </w:p>
    <w:p w14:paraId="2DB6678F">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在质保期内，投标方在收到用户的维修要求后２小时作出回应，并在24小时内（自接到要求技术服务要求起计，不可抗力除外）到达招标方现场进行维修。质量保证期后应继续免费提供技术咨询及支持，并以优惠的价格长期提供备品备件和现场服务。</w:t>
      </w:r>
    </w:p>
    <w:p w14:paraId="0A261EEA">
      <w:pPr>
        <w:pStyle w:val="2"/>
        <w:bidi w:val="0"/>
        <w:rPr>
          <w:rFonts w:hint="eastAsia" w:asciiTheme="minorEastAsia" w:hAnsiTheme="minorEastAsia" w:eastAsiaTheme="minorEastAsia" w:cstheme="minorEastAsia"/>
          <w:b/>
          <w:szCs w:val="24"/>
          <w:lang w:eastAsia="zh-CN"/>
        </w:rPr>
      </w:pPr>
      <w:bookmarkStart w:id="99" w:name="_Toc25338"/>
      <w:r>
        <w:rPr>
          <w:rFonts w:hint="eastAsia"/>
          <w:lang w:val="en-US" w:eastAsia="zh-CN"/>
        </w:rPr>
        <w:t>十三</w:t>
      </w:r>
      <w:r>
        <w:rPr>
          <w:rFonts w:hint="eastAsia"/>
          <w:lang w:eastAsia="zh-CN"/>
        </w:rPr>
        <w:t>、售后服务</w:t>
      </w:r>
      <w:bookmarkEnd w:id="99"/>
    </w:p>
    <w:p w14:paraId="5F14AEFD">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1、投标方负责对所供设备进行调试及检验（所有费用包括在合同总价之中）。</w:t>
      </w:r>
    </w:p>
    <w:p w14:paraId="1CF2AFF7">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2、投标方免费对招标方的操作人员进行产品保养及使用方面的技术培训，时间由招标方确定。</w:t>
      </w:r>
    </w:p>
    <w:p w14:paraId="5A51764F">
      <w:pPr>
        <w:pageBreakBefore w:val="0"/>
        <w:kinsoku/>
        <w:wordWrap/>
        <w:overflowPunct/>
        <w:topLinePunct w:val="0"/>
        <w:bidi w:val="0"/>
        <w:adjustRightInd w:val="0"/>
        <w:snapToGrid w:val="0"/>
        <w:spacing w:beforeAutospacing="0" w:afterAutospacing="0" w:line="400" w:lineRule="exact"/>
        <w:ind w:left="0" w:leftChars="0" w:right="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3、长期跟踪服务：工程交付使</w:t>
      </w:r>
      <w:r>
        <w:rPr>
          <w:rFonts w:hint="eastAsia" w:asciiTheme="minorEastAsia" w:hAnsiTheme="minorEastAsia" w:eastAsiaTheme="minorEastAsia" w:cstheme="minorEastAsia"/>
          <w:color w:val="auto"/>
          <w:sz w:val="24"/>
          <w:szCs w:val="24"/>
          <w:lang w:eastAsia="zh-CN"/>
        </w:rPr>
        <w:t>用后</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lang w:eastAsia="zh-CN"/>
        </w:rPr>
        <w:t>年内</w:t>
      </w:r>
      <w:r>
        <w:rPr>
          <w:rFonts w:hint="eastAsia" w:asciiTheme="minorEastAsia" w:hAnsiTheme="minorEastAsia" w:eastAsiaTheme="minorEastAsia" w:cstheme="minorEastAsia"/>
          <w:sz w:val="24"/>
          <w:szCs w:val="24"/>
          <w:lang w:eastAsia="zh-CN"/>
        </w:rPr>
        <w:t>投标方对实验台、通风、供气系统等设备实行每年免费上门技术回访和检测一次。每年定期协助对系统进行各项技术指标的常规测试，并及时对业主在运行过程中遇到的问题提供相应的技术支持和解决方案，同时针对系统运行提出节能等方面的优化建议。</w:t>
      </w:r>
    </w:p>
    <w:p w14:paraId="547178FD">
      <w:pPr>
        <w:pStyle w:val="2"/>
        <w:bidi w:val="0"/>
        <w:rPr>
          <w:rFonts w:hint="eastAsia"/>
          <w:lang w:eastAsia="zh-CN"/>
        </w:rPr>
      </w:pPr>
      <w:bookmarkStart w:id="100" w:name="_Toc21109"/>
      <w:r>
        <w:rPr>
          <w:rFonts w:hint="eastAsia"/>
          <w:lang w:val="en-US" w:eastAsia="zh-CN"/>
        </w:rPr>
        <w:t>十四</w:t>
      </w:r>
      <w:r>
        <w:rPr>
          <w:rFonts w:hint="eastAsia"/>
          <w:lang w:eastAsia="zh-CN"/>
        </w:rPr>
        <w:t>、附相关图：</w:t>
      </w:r>
      <w:bookmarkEnd w:id="100"/>
    </w:p>
    <w:p w14:paraId="223E46E8">
      <w:pPr>
        <w:pageBreakBefore w:val="0"/>
        <w:kinsoku/>
        <w:wordWrap/>
        <w:overflowPunct/>
        <w:topLinePunct w:val="0"/>
        <w:bidi w:val="0"/>
        <w:spacing w:beforeAutospacing="0" w:afterAutospacing="0" w:line="400" w:lineRule="exact"/>
        <w:ind w:left="0" w:leftChars="0" w:right="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参选前进行现场确认设计方案、材料清单确认，提供详细设计方案，产品结构图，气路、</w:t>
      </w:r>
      <w:r>
        <w:rPr>
          <w:rFonts w:hint="eastAsia" w:asciiTheme="minorEastAsia" w:hAnsiTheme="minorEastAsia" w:eastAsiaTheme="minorEastAsia" w:cstheme="minorEastAsia"/>
          <w:sz w:val="24"/>
          <w:szCs w:val="24"/>
          <w:lang w:val="en-US" w:eastAsia="zh-CN"/>
        </w:rPr>
        <w:t>水、电、网络电信、排水</w:t>
      </w:r>
      <w:r>
        <w:rPr>
          <w:rFonts w:hint="eastAsia" w:asciiTheme="minorEastAsia" w:hAnsiTheme="minorEastAsia" w:eastAsiaTheme="minorEastAsia" w:cstheme="minorEastAsia"/>
          <w:sz w:val="24"/>
          <w:szCs w:val="24"/>
          <w:lang w:eastAsia="zh-CN"/>
        </w:rPr>
        <w:t>安装</w:t>
      </w:r>
      <w:r>
        <w:rPr>
          <w:rFonts w:hint="eastAsia" w:asciiTheme="minorEastAsia" w:hAnsiTheme="minorEastAsia" w:eastAsiaTheme="minorEastAsia" w:cstheme="minorEastAsia"/>
          <w:sz w:val="24"/>
          <w:szCs w:val="24"/>
          <w:lang w:val="en-US" w:eastAsia="zh-CN"/>
        </w:rPr>
        <w:t>线路</w:t>
      </w:r>
      <w:r>
        <w:rPr>
          <w:rFonts w:hint="eastAsia" w:asciiTheme="minorEastAsia" w:hAnsiTheme="minorEastAsia" w:eastAsiaTheme="minorEastAsia" w:cstheme="minorEastAsia"/>
          <w:sz w:val="24"/>
          <w:szCs w:val="24"/>
          <w:lang w:eastAsia="zh-CN"/>
        </w:rPr>
        <w:t>图纸。</w:t>
      </w:r>
    </w:p>
    <w:sectPr>
      <w:headerReference r:id="rId6" w:type="default"/>
      <w:footerReference r:id="rId7" w:type="default"/>
      <w:pgSz w:w="11909" w:h="16834"/>
      <w:pgMar w:top="1440" w:right="1134" w:bottom="1440" w:left="1418" w:header="839" w:footer="720"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体">
    <w:altName w:val="宋体"/>
    <w:panose1 w:val="00000000000000000000"/>
    <w:charset w:val="86"/>
    <w:family w:val="roma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Century Schoolbook">
    <w:panose1 w:val="02040604050505020304"/>
    <w:charset w:val="00"/>
    <w:family w:val="roman"/>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新宋体-18030">
    <w:altName w:val="宋体"/>
    <w:panose1 w:val="00000000000000000000"/>
    <w:charset w:val="86"/>
    <w:family w:val="roman"/>
    <w:pitch w:val="default"/>
    <w:sig w:usb0="00000000" w:usb1="00000000" w:usb2="00000010" w:usb3="00000000" w:csb0="00040000" w:csb1="00000000"/>
  </w:font>
  <w:font w:name="标准粗黑">
    <w:altName w:val="黑体"/>
    <w:panose1 w:val="02000503000000000000"/>
    <w:charset w:val="86"/>
    <w:family w:val="auto"/>
    <w:pitch w:val="default"/>
    <w:sig w:usb0="00000000" w:usb1="00000000" w:usb2="00000012" w:usb3="00000000" w:csb0="00040001" w:csb1="00000000"/>
  </w:font>
  <w:font w:name="Segoe UI">
    <w:panose1 w:val="020B0502040204020203"/>
    <w:charset w:val="00"/>
    <w:family w:val="auto"/>
    <w:pitch w:val="default"/>
    <w:sig w:usb0="E4002EFF" w:usb1="C000E47F"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4070714"/>
      <w:docPartObj>
        <w:docPartGallery w:val="autotext"/>
      </w:docPartObj>
    </w:sdtPr>
    <w:sdtContent>
      <w:p w14:paraId="1F3E3D2B">
        <w:pPr>
          <w:pStyle w:val="28"/>
          <w:jc w:val="center"/>
        </w:pPr>
        <w:r>
          <w:t>第</w:t>
        </w:r>
        <w:r>
          <w:fldChar w:fldCharType="begin"/>
        </w:r>
        <w:r>
          <w:instrText xml:space="preserve">PAGE   \* MERGEFORMAT</w:instrText>
        </w:r>
        <w:r>
          <w:fldChar w:fldCharType="separate"/>
        </w:r>
        <w:r>
          <w:rPr>
            <w:lang w:val="zh-CN" w:eastAsia="zh-CN"/>
          </w:rPr>
          <w:t>10</w:t>
        </w:r>
        <w:r>
          <w:fldChar w:fldCharType="end"/>
        </w:r>
        <w:r>
          <w:t xml:space="preserve"> 页</w:t>
        </w:r>
      </w:p>
    </w:sdtContent>
  </w:sdt>
  <w:p w14:paraId="3DE5F1B2">
    <w:pPr>
      <w:pStyle w:val="28"/>
      <w:rPr>
        <w:rFonts w:ascii="黑体" w:eastAsia="黑体"/>
        <w:u w:val="single"/>
        <w:lang w:eastAsia="zh-C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1EB9A">
    <w:pPr>
      <w:pStyle w:val="29"/>
      <w:pBdr>
        <w:bottom w:val="none" w:color="auto" w:sz="0" w:space="0"/>
      </w:pBdr>
      <w:jc w:val="left"/>
      <w:rPr>
        <w:rFonts w:ascii="黑体" w:eastAsia="黑体"/>
        <w:color w:val="FF0000"/>
        <w:sz w:val="21"/>
        <w:szCs w:val="21"/>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0B0CA">
    <w:pPr>
      <w:pStyle w:val="29"/>
      <w:pBdr>
        <w:bottom w:val="none" w:color="auto" w:sz="0" w:space="0"/>
      </w:pBdr>
      <w:jc w:val="left"/>
      <w:rPr>
        <w:rFonts w:ascii="黑体" w:eastAsia="黑体"/>
        <w:color w:val="FF0000"/>
        <w:sz w:val="21"/>
        <w:szCs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CDC5A"/>
    <w:multiLevelType w:val="singleLevel"/>
    <w:tmpl w:val="855CDC5A"/>
    <w:lvl w:ilvl="0" w:tentative="0">
      <w:start w:val="1"/>
      <w:numFmt w:val="decimalEnclosedCircleChinese"/>
      <w:suff w:val="nothing"/>
      <w:lvlText w:val="%1　"/>
      <w:lvlJc w:val="left"/>
      <w:pPr>
        <w:ind w:left="0" w:firstLine="0"/>
      </w:pPr>
      <w:rPr>
        <w:rFonts w:hint="eastAsia"/>
      </w:rPr>
    </w:lvl>
  </w:abstractNum>
  <w:abstractNum w:abstractNumId="1">
    <w:nsid w:val="8569CD11"/>
    <w:multiLevelType w:val="singleLevel"/>
    <w:tmpl w:val="8569CD11"/>
    <w:lvl w:ilvl="0" w:tentative="0">
      <w:start w:val="1"/>
      <w:numFmt w:val="decimal"/>
      <w:lvlText w:val="(%1)"/>
      <w:lvlJc w:val="left"/>
      <w:pPr>
        <w:ind w:left="425" w:hanging="425"/>
      </w:pPr>
      <w:rPr>
        <w:rFonts w:hint="default"/>
      </w:rPr>
    </w:lvl>
  </w:abstractNum>
  <w:abstractNum w:abstractNumId="2">
    <w:nsid w:val="85EF201E"/>
    <w:multiLevelType w:val="singleLevel"/>
    <w:tmpl w:val="85EF201E"/>
    <w:lvl w:ilvl="0" w:tentative="0">
      <w:start w:val="1"/>
      <w:numFmt w:val="decimal"/>
      <w:suff w:val="space"/>
      <w:lvlText w:val="(%1)"/>
      <w:lvlJc w:val="left"/>
      <w:pPr>
        <w:ind w:left="425" w:hanging="425"/>
      </w:pPr>
      <w:rPr>
        <w:rFonts w:hint="default"/>
      </w:rPr>
    </w:lvl>
  </w:abstractNum>
  <w:abstractNum w:abstractNumId="3">
    <w:nsid w:val="866413DC"/>
    <w:multiLevelType w:val="singleLevel"/>
    <w:tmpl w:val="866413DC"/>
    <w:lvl w:ilvl="0" w:tentative="0">
      <w:start w:val="1"/>
      <w:numFmt w:val="decimal"/>
      <w:lvlText w:val="(%1)"/>
      <w:lvlJc w:val="left"/>
      <w:pPr>
        <w:ind w:left="425" w:hanging="425"/>
      </w:pPr>
      <w:rPr>
        <w:rFonts w:hint="default"/>
      </w:rPr>
    </w:lvl>
  </w:abstractNum>
  <w:abstractNum w:abstractNumId="4">
    <w:nsid w:val="866FF845"/>
    <w:multiLevelType w:val="singleLevel"/>
    <w:tmpl w:val="866FF845"/>
    <w:lvl w:ilvl="0" w:tentative="0">
      <w:start w:val="1"/>
      <w:numFmt w:val="decimal"/>
      <w:suff w:val="space"/>
      <w:lvlText w:val="%1)"/>
      <w:lvlJc w:val="left"/>
      <w:pPr>
        <w:ind w:left="425" w:hanging="425"/>
      </w:pPr>
      <w:rPr>
        <w:rFonts w:hint="default"/>
      </w:rPr>
    </w:lvl>
  </w:abstractNum>
  <w:abstractNum w:abstractNumId="5">
    <w:nsid w:val="87C5193E"/>
    <w:multiLevelType w:val="singleLevel"/>
    <w:tmpl w:val="87C5193E"/>
    <w:lvl w:ilvl="0" w:tentative="0">
      <w:start w:val="1"/>
      <w:numFmt w:val="decimal"/>
      <w:suff w:val="space"/>
      <w:lvlText w:val="(%1)"/>
      <w:lvlJc w:val="left"/>
      <w:pPr>
        <w:ind w:left="425" w:hanging="425"/>
      </w:pPr>
      <w:rPr>
        <w:rFonts w:hint="default"/>
      </w:rPr>
    </w:lvl>
  </w:abstractNum>
  <w:abstractNum w:abstractNumId="6">
    <w:nsid w:val="89460899"/>
    <w:multiLevelType w:val="singleLevel"/>
    <w:tmpl w:val="89460899"/>
    <w:lvl w:ilvl="0" w:tentative="0">
      <w:start w:val="1"/>
      <w:numFmt w:val="decimalEnclosedCircleChinese"/>
      <w:suff w:val="nothing"/>
      <w:lvlText w:val="%1　"/>
      <w:lvlJc w:val="left"/>
      <w:pPr>
        <w:ind w:left="0" w:firstLine="0"/>
      </w:pPr>
      <w:rPr>
        <w:rFonts w:hint="eastAsia"/>
      </w:rPr>
    </w:lvl>
  </w:abstractNum>
  <w:abstractNum w:abstractNumId="7">
    <w:nsid w:val="91DAF7DC"/>
    <w:multiLevelType w:val="singleLevel"/>
    <w:tmpl w:val="91DAF7DC"/>
    <w:lvl w:ilvl="0" w:tentative="0">
      <w:start w:val="1"/>
      <w:numFmt w:val="decimal"/>
      <w:suff w:val="space"/>
      <w:lvlText w:val="%1)"/>
      <w:lvlJc w:val="left"/>
      <w:pPr>
        <w:ind w:left="425" w:hanging="425"/>
      </w:pPr>
      <w:rPr>
        <w:rFonts w:hint="default"/>
      </w:rPr>
    </w:lvl>
  </w:abstractNum>
  <w:abstractNum w:abstractNumId="8">
    <w:nsid w:val="95204D9A"/>
    <w:multiLevelType w:val="singleLevel"/>
    <w:tmpl w:val="95204D9A"/>
    <w:lvl w:ilvl="0" w:tentative="0">
      <w:start w:val="1"/>
      <w:numFmt w:val="decimal"/>
      <w:suff w:val="space"/>
      <w:lvlText w:val="%1)"/>
      <w:lvlJc w:val="left"/>
      <w:pPr>
        <w:ind w:left="425" w:hanging="425"/>
      </w:pPr>
      <w:rPr>
        <w:rFonts w:hint="default"/>
      </w:rPr>
    </w:lvl>
  </w:abstractNum>
  <w:abstractNum w:abstractNumId="9">
    <w:nsid w:val="953E5E4C"/>
    <w:multiLevelType w:val="singleLevel"/>
    <w:tmpl w:val="953E5E4C"/>
    <w:lvl w:ilvl="0" w:tentative="0">
      <w:start w:val="1"/>
      <w:numFmt w:val="decimalEnclosedCircleChinese"/>
      <w:suff w:val="nothing"/>
      <w:lvlText w:val="%1　"/>
      <w:lvlJc w:val="left"/>
      <w:pPr>
        <w:ind w:left="0" w:firstLine="0"/>
      </w:pPr>
      <w:rPr>
        <w:rFonts w:hint="eastAsia"/>
      </w:rPr>
    </w:lvl>
  </w:abstractNum>
  <w:abstractNum w:abstractNumId="10">
    <w:nsid w:val="9ABEBD25"/>
    <w:multiLevelType w:val="singleLevel"/>
    <w:tmpl w:val="9ABEBD25"/>
    <w:lvl w:ilvl="0" w:tentative="0">
      <w:start w:val="1"/>
      <w:numFmt w:val="decimal"/>
      <w:suff w:val="space"/>
      <w:lvlText w:val="%1)"/>
      <w:lvlJc w:val="left"/>
      <w:pPr>
        <w:ind w:left="425" w:hanging="425"/>
      </w:pPr>
      <w:rPr>
        <w:rFonts w:hint="default"/>
      </w:rPr>
    </w:lvl>
  </w:abstractNum>
  <w:abstractNum w:abstractNumId="11">
    <w:nsid w:val="A2824976"/>
    <w:multiLevelType w:val="singleLevel"/>
    <w:tmpl w:val="A2824976"/>
    <w:lvl w:ilvl="0" w:tentative="0">
      <w:start w:val="1"/>
      <w:numFmt w:val="decimalEnclosedCircleChinese"/>
      <w:suff w:val="nothing"/>
      <w:lvlText w:val="%1　"/>
      <w:lvlJc w:val="left"/>
      <w:pPr>
        <w:ind w:left="0" w:firstLine="0"/>
      </w:pPr>
      <w:rPr>
        <w:rFonts w:hint="eastAsia"/>
      </w:rPr>
    </w:lvl>
  </w:abstractNum>
  <w:abstractNum w:abstractNumId="12">
    <w:nsid w:val="A6E2B5DB"/>
    <w:multiLevelType w:val="multilevel"/>
    <w:tmpl w:val="A6E2B5DB"/>
    <w:lvl w:ilvl="0" w:tentative="0">
      <w:start w:val="2"/>
      <w:numFmt w:val="decimal"/>
      <w:lvlText w:val="%1"/>
      <w:lvlJc w:val="left"/>
      <w:pPr>
        <w:ind w:left="360" w:hanging="360"/>
      </w:pPr>
      <w:rPr>
        <w:rFonts w:hint="default"/>
      </w:rPr>
    </w:lvl>
    <w:lvl w:ilvl="1" w:tentative="0">
      <w:start w:val="2"/>
      <w:numFmt w:val="decimal"/>
      <w:suff w:val="space"/>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13">
    <w:nsid w:val="A79382EA"/>
    <w:multiLevelType w:val="singleLevel"/>
    <w:tmpl w:val="A79382EA"/>
    <w:lvl w:ilvl="0" w:tentative="0">
      <w:start w:val="1"/>
      <w:numFmt w:val="decimalEnclosedCircleChinese"/>
      <w:suff w:val="nothing"/>
      <w:lvlText w:val="%1　"/>
      <w:lvlJc w:val="left"/>
      <w:pPr>
        <w:ind w:left="0" w:firstLine="0"/>
      </w:pPr>
      <w:rPr>
        <w:rFonts w:hint="eastAsia"/>
      </w:rPr>
    </w:lvl>
  </w:abstractNum>
  <w:abstractNum w:abstractNumId="14">
    <w:nsid w:val="AA07CD09"/>
    <w:multiLevelType w:val="singleLevel"/>
    <w:tmpl w:val="AA07CD09"/>
    <w:lvl w:ilvl="0" w:tentative="0">
      <w:start w:val="1"/>
      <w:numFmt w:val="decimal"/>
      <w:suff w:val="space"/>
      <w:lvlText w:val="(%1)"/>
      <w:lvlJc w:val="left"/>
      <w:pPr>
        <w:ind w:left="425" w:hanging="425"/>
      </w:pPr>
      <w:rPr>
        <w:rFonts w:hint="default"/>
      </w:rPr>
    </w:lvl>
  </w:abstractNum>
  <w:abstractNum w:abstractNumId="15">
    <w:nsid w:val="AA28C594"/>
    <w:multiLevelType w:val="singleLevel"/>
    <w:tmpl w:val="AA28C594"/>
    <w:lvl w:ilvl="0" w:tentative="0">
      <w:start w:val="1"/>
      <w:numFmt w:val="decimal"/>
      <w:suff w:val="nothing"/>
      <w:lvlText w:val="(%1)"/>
      <w:lvlJc w:val="left"/>
      <w:pPr>
        <w:ind w:left="425" w:hanging="425"/>
      </w:pPr>
      <w:rPr>
        <w:rFonts w:hint="default"/>
      </w:rPr>
    </w:lvl>
  </w:abstractNum>
  <w:abstractNum w:abstractNumId="16">
    <w:nsid w:val="AB958F14"/>
    <w:multiLevelType w:val="singleLevel"/>
    <w:tmpl w:val="AB958F14"/>
    <w:lvl w:ilvl="0" w:tentative="0">
      <w:start w:val="1"/>
      <w:numFmt w:val="decimalEnclosedCircleChinese"/>
      <w:suff w:val="nothing"/>
      <w:lvlText w:val="%1　"/>
      <w:lvlJc w:val="left"/>
      <w:pPr>
        <w:ind w:left="0" w:firstLine="400"/>
      </w:pPr>
      <w:rPr>
        <w:rFonts w:hint="eastAsia"/>
      </w:rPr>
    </w:lvl>
  </w:abstractNum>
  <w:abstractNum w:abstractNumId="17">
    <w:nsid w:val="ADA5E225"/>
    <w:multiLevelType w:val="singleLevel"/>
    <w:tmpl w:val="ADA5E225"/>
    <w:lvl w:ilvl="0" w:tentative="0">
      <w:start w:val="4"/>
      <w:numFmt w:val="chineseCounting"/>
      <w:suff w:val="nothing"/>
      <w:lvlText w:val="（%1）"/>
      <w:lvlJc w:val="left"/>
      <w:rPr>
        <w:rFonts w:hint="eastAsia"/>
      </w:rPr>
    </w:lvl>
  </w:abstractNum>
  <w:abstractNum w:abstractNumId="18">
    <w:nsid w:val="B147832A"/>
    <w:multiLevelType w:val="singleLevel"/>
    <w:tmpl w:val="B147832A"/>
    <w:lvl w:ilvl="0" w:tentative="0">
      <w:start w:val="1"/>
      <w:numFmt w:val="decimal"/>
      <w:suff w:val="space"/>
      <w:lvlText w:val="(%1)"/>
      <w:lvlJc w:val="left"/>
      <w:pPr>
        <w:ind w:left="425" w:hanging="425"/>
      </w:pPr>
      <w:rPr>
        <w:rFonts w:hint="default"/>
      </w:rPr>
    </w:lvl>
  </w:abstractNum>
  <w:abstractNum w:abstractNumId="19">
    <w:nsid w:val="B2361C74"/>
    <w:multiLevelType w:val="singleLevel"/>
    <w:tmpl w:val="B2361C74"/>
    <w:lvl w:ilvl="0" w:tentative="0">
      <w:start w:val="1"/>
      <w:numFmt w:val="decimal"/>
      <w:suff w:val="space"/>
      <w:lvlText w:val="%1)"/>
      <w:lvlJc w:val="left"/>
      <w:pPr>
        <w:ind w:left="425" w:hanging="425"/>
      </w:pPr>
      <w:rPr>
        <w:rFonts w:hint="default"/>
      </w:rPr>
    </w:lvl>
  </w:abstractNum>
  <w:abstractNum w:abstractNumId="20">
    <w:nsid w:val="B2475AF6"/>
    <w:multiLevelType w:val="singleLevel"/>
    <w:tmpl w:val="B2475AF6"/>
    <w:lvl w:ilvl="0" w:tentative="0">
      <w:start w:val="1"/>
      <w:numFmt w:val="decimalEnclosedCircleChinese"/>
      <w:suff w:val="nothing"/>
      <w:lvlText w:val="%1　"/>
      <w:lvlJc w:val="left"/>
      <w:pPr>
        <w:ind w:left="0" w:firstLine="0"/>
      </w:pPr>
      <w:rPr>
        <w:rFonts w:hint="eastAsia"/>
      </w:rPr>
    </w:lvl>
  </w:abstractNum>
  <w:abstractNum w:abstractNumId="21">
    <w:nsid w:val="B4C3C695"/>
    <w:multiLevelType w:val="singleLevel"/>
    <w:tmpl w:val="B4C3C695"/>
    <w:lvl w:ilvl="0" w:tentative="0">
      <w:start w:val="1"/>
      <w:numFmt w:val="decimal"/>
      <w:suff w:val="space"/>
      <w:lvlText w:val="(%1)"/>
      <w:lvlJc w:val="left"/>
      <w:pPr>
        <w:ind w:left="425" w:hanging="425"/>
      </w:pPr>
      <w:rPr>
        <w:rFonts w:hint="default"/>
      </w:rPr>
    </w:lvl>
  </w:abstractNum>
  <w:abstractNum w:abstractNumId="22">
    <w:nsid w:val="B4D2D5A2"/>
    <w:multiLevelType w:val="singleLevel"/>
    <w:tmpl w:val="B4D2D5A2"/>
    <w:lvl w:ilvl="0" w:tentative="0">
      <w:start w:val="1"/>
      <w:numFmt w:val="decimalEnclosedCircleChinese"/>
      <w:suff w:val="nothing"/>
      <w:lvlText w:val="%1　"/>
      <w:lvlJc w:val="left"/>
      <w:pPr>
        <w:ind w:left="0" w:firstLine="0"/>
      </w:pPr>
      <w:rPr>
        <w:rFonts w:hint="eastAsia"/>
      </w:rPr>
    </w:lvl>
  </w:abstractNum>
  <w:abstractNum w:abstractNumId="23">
    <w:nsid w:val="B508AC1E"/>
    <w:multiLevelType w:val="singleLevel"/>
    <w:tmpl w:val="B508AC1E"/>
    <w:lvl w:ilvl="0" w:tentative="0">
      <w:start w:val="3"/>
      <w:numFmt w:val="chineseCounting"/>
      <w:suff w:val="nothing"/>
      <w:lvlText w:val="（%1）"/>
      <w:lvlJc w:val="left"/>
      <w:rPr>
        <w:rFonts w:hint="eastAsia"/>
      </w:rPr>
    </w:lvl>
  </w:abstractNum>
  <w:abstractNum w:abstractNumId="24">
    <w:nsid w:val="B9D0528F"/>
    <w:multiLevelType w:val="singleLevel"/>
    <w:tmpl w:val="B9D0528F"/>
    <w:lvl w:ilvl="0" w:tentative="0">
      <w:start w:val="1"/>
      <w:numFmt w:val="decimalEnclosedCircleChinese"/>
      <w:suff w:val="nothing"/>
      <w:lvlText w:val="%1　"/>
      <w:lvlJc w:val="left"/>
      <w:pPr>
        <w:ind w:left="0" w:firstLine="0"/>
      </w:pPr>
      <w:rPr>
        <w:rFonts w:hint="eastAsia"/>
      </w:rPr>
    </w:lvl>
  </w:abstractNum>
  <w:abstractNum w:abstractNumId="25">
    <w:nsid w:val="BA35BE9A"/>
    <w:multiLevelType w:val="singleLevel"/>
    <w:tmpl w:val="BA35BE9A"/>
    <w:lvl w:ilvl="0" w:tentative="0">
      <w:start w:val="1"/>
      <w:numFmt w:val="decimal"/>
      <w:suff w:val="space"/>
      <w:lvlText w:val="(%1)"/>
      <w:lvlJc w:val="left"/>
      <w:pPr>
        <w:ind w:left="425" w:hanging="425"/>
      </w:pPr>
      <w:rPr>
        <w:rFonts w:hint="default"/>
      </w:rPr>
    </w:lvl>
  </w:abstractNum>
  <w:abstractNum w:abstractNumId="26">
    <w:nsid w:val="BBAD83F3"/>
    <w:multiLevelType w:val="singleLevel"/>
    <w:tmpl w:val="BBAD83F3"/>
    <w:lvl w:ilvl="0" w:tentative="0">
      <w:start w:val="1"/>
      <w:numFmt w:val="decimal"/>
      <w:suff w:val="space"/>
      <w:lvlText w:val="(%1)"/>
      <w:lvlJc w:val="left"/>
      <w:pPr>
        <w:ind w:left="425" w:hanging="425"/>
      </w:pPr>
      <w:rPr>
        <w:rFonts w:hint="default"/>
      </w:rPr>
    </w:lvl>
  </w:abstractNum>
  <w:abstractNum w:abstractNumId="27">
    <w:nsid w:val="BC2E9638"/>
    <w:multiLevelType w:val="singleLevel"/>
    <w:tmpl w:val="BC2E9638"/>
    <w:lvl w:ilvl="0" w:tentative="0">
      <w:start w:val="1"/>
      <w:numFmt w:val="decimal"/>
      <w:suff w:val="space"/>
      <w:lvlText w:val="%1)"/>
      <w:lvlJc w:val="left"/>
      <w:pPr>
        <w:ind w:left="425" w:hanging="425"/>
      </w:pPr>
      <w:rPr>
        <w:rFonts w:hint="default"/>
      </w:rPr>
    </w:lvl>
  </w:abstractNum>
  <w:abstractNum w:abstractNumId="28">
    <w:nsid w:val="BCFD3BF9"/>
    <w:multiLevelType w:val="singleLevel"/>
    <w:tmpl w:val="BCFD3BF9"/>
    <w:lvl w:ilvl="0" w:tentative="0">
      <w:start w:val="1"/>
      <w:numFmt w:val="decimalEnclosedCircleChinese"/>
      <w:suff w:val="nothing"/>
      <w:lvlText w:val="%1　"/>
      <w:lvlJc w:val="left"/>
      <w:pPr>
        <w:ind w:left="0" w:firstLine="0"/>
      </w:pPr>
      <w:rPr>
        <w:rFonts w:hint="eastAsia"/>
      </w:rPr>
    </w:lvl>
  </w:abstractNum>
  <w:abstractNum w:abstractNumId="29">
    <w:nsid w:val="BD7C015C"/>
    <w:multiLevelType w:val="singleLevel"/>
    <w:tmpl w:val="BD7C015C"/>
    <w:lvl w:ilvl="0" w:tentative="0">
      <w:start w:val="1"/>
      <w:numFmt w:val="decimal"/>
      <w:suff w:val="space"/>
      <w:lvlText w:val="%1)"/>
      <w:lvlJc w:val="left"/>
      <w:pPr>
        <w:ind w:left="425" w:hanging="425"/>
      </w:pPr>
      <w:rPr>
        <w:rFonts w:hint="default"/>
      </w:rPr>
    </w:lvl>
  </w:abstractNum>
  <w:abstractNum w:abstractNumId="30">
    <w:nsid w:val="C92DB911"/>
    <w:multiLevelType w:val="singleLevel"/>
    <w:tmpl w:val="C92DB911"/>
    <w:lvl w:ilvl="0" w:tentative="0">
      <w:start w:val="1"/>
      <w:numFmt w:val="decimal"/>
      <w:suff w:val="space"/>
      <w:lvlText w:val="(%1)"/>
      <w:lvlJc w:val="left"/>
      <w:pPr>
        <w:ind w:left="425" w:hanging="425"/>
      </w:pPr>
      <w:rPr>
        <w:rFonts w:hint="default"/>
      </w:rPr>
    </w:lvl>
  </w:abstractNum>
  <w:abstractNum w:abstractNumId="31">
    <w:nsid w:val="CB5838E2"/>
    <w:multiLevelType w:val="singleLevel"/>
    <w:tmpl w:val="CB5838E2"/>
    <w:lvl w:ilvl="0" w:tentative="0">
      <w:start w:val="1"/>
      <w:numFmt w:val="decimal"/>
      <w:suff w:val="space"/>
      <w:lvlText w:val="(%1)"/>
      <w:lvlJc w:val="left"/>
      <w:pPr>
        <w:ind w:left="425" w:hanging="425"/>
      </w:pPr>
      <w:rPr>
        <w:rFonts w:hint="default"/>
      </w:rPr>
    </w:lvl>
  </w:abstractNum>
  <w:abstractNum w:abstractNumId="32">
    <w:nsid w:val="CBF8B226"/>
    <w:multiLevelType w:val="singleLevel"/>
    <w:tmpl w:val="CBF8B226"/>
    <w:lvl w:ilvl="0" w:tentative="0">
      <w:start w:val="1"/>
      <w:numFmt w:val="decimal"/>
      <w:lvlText w:val="(%1)"/>
      <w:lvlJc w:val="left"/>
      <w:pPr>
        <w:ind w:left="425" w:hanging="425"/>
      </w:pPr>
      <w:rPr>
        <w:rFonts w:hint="default"/>
      </w:rPr>
    </w:lvl>
  </w:abstractNum>
  <w:abstractNum w:abstractNumId="33">
    <w:nsid w:val="CD072417"/>
    <w:multiLevelType w:val="singleLevel"/>
    <w:tmpl w:val="CD072417"/>
    <w:lvl w:ilvl="0" w:tentative="0">
      <w:start w:val="1"/>
      <w:numFmt w:val="decimalEnclosedCircleChinese"/>
      <w:suff w:val="nothing"/>
      <w:lvlText w:val="%1　"/>
      <w:lvlJc w:val="left"/>
      <w:pPr>
        <w:ind w:left="0" w:firstLine="400"/>
      </w:pPr>
      <w:rPr>
        <w:rFonts w:hint="eastAsia"/>
      </w:rPr>
    </w:lvl>
  </w:abstractNum>
  <w:abstractNum w:abstractNumId="34">
    <w:nsid w:val="CD0BE068"/>
    <w:multiLevelType w:val="singleLevel"/>
    <w:tmpl w:val="CD0BE068"/>
    <w:lvl w:ilvl="0" w:tentative="0">
      <w:start w:val="1"/>
      <w:numFmt w:val="decimalEnclosedCircleChinese"/>
      <w:suff w:val="nothing"/>
      <w:lvlText w:val="%1　"/>
      <w:lvlJc w:val="left"/>
      <w:pPr>
        <w:ind w:left="0" w:firstLine="0"/>
      </w:pPr>
      <w:rPr>
        <w:rFonts w:hint="eastAsia"/>
      </w:rPr>
    </w:lvl>
  </w:abstractNum>
  <w:abstractNum w:abstractNumId="35">
    <w:nsid w:val="CF0B6F78"/>
    <w:multiLevelType w:val="singleLevel"/>
    <w:tmpl w:val="CF0B6F78"/>
    <w:lvl w:ilvl="0" w:tentative="0">
      <w:start w:val="1"/>
      <w:numFmt w:val="decimal"/>
      <w:suff w:val="space"/>
      <w:lvlText w:val="%1)"/>
      <w:lvlJc w:val="left"/>
      <w:pPr>
        <w:ind w:left="425" w:hanging="425"/>
      </w:pPr>
      <w:rPr>
        <w:rFonts w:hint="default"/>
      </w:rPr>
    </w:lvl>
  </w:abstractNum>
  <w:abstractNum w:abstractNumId="36">
    <w:nsid w:val="CFC0C3F9"/>
    <w:multiLevelType w:val="singleLevel"/>
    <w:tmpl w:val="CFC0C3F9"/>
    <w:lvl w:ilvl="0" w:tentative="0">
      <w:start w:val="1"/>
      <w:numFmt w:val="decimalEnclosedCircleChinese"/>
      <w:suff w:val="nothing"/>
      <w:lvlText w:val="%1　"/>
      <w:lvlJc w:val="left"/>
      <w:pPr>
        <w:ind w:left="0" w:firstLine="400"/>
      </w:pPr>
      <w:rPr>
        <w:rFonts w:hint="eastAsia"/>
      </w:rPr>
    </w:lvl>
  </w:abstractNum>
  <w:abstractNum w:abstractNumId="37">
    <w:nsid w:val="D2A38F1C"/>
    <w:multiLevelType w:val="singleLevel"/>
    <w:tmpl w:val="D2A38F1C"/>
    <w:lvl w:ilvl="0" w:tentative="0">
      <w:start w:val="1"/>
      <w:numFmt w:val="decimal"/>
      <w:lvlText w:val="(%1)"/>
      <w:lvlJc w:val="left"/>
      <w:pPr>
        <w:ind w:left="425" w:hanging="425"/>
      </w:pPr>
      <w:rPr>
        <w:rFonts w:hint="default"/>
      </w:rPr>
    </w:lvl>
  </w:abstractNum>
  <w:abstractNum w:abstractNumId="38">
    <w:nsid w:val="D33C7DB7"/>
    <w:multiLevelType w:val="singleLevel"/>
    <w:tmpl w:val="D33C7DB7"/>
    <w:lvl w:ilvl="0" w:tentative="0">
      <w:start w:val="1"/>
      <w:numFmt w:val="decimalEnclosedCircleChinese"/>
      <w:suff w:val="nothing"/>
      <w:lvlText w:val="%1　"/>
      <w:lvlJc w:val="left"/>
      <w:pPr>
        <w:ind w:left="0" w:firstLine="0"/>
      </w:pPr>
      <w:rPr>
        <w:rFonts w:hint="eastAsia"/>
      </w:rPr>
    </w:lvl>
  </w:abstractNum>
  <w:abstractNum w:abstractNumId="39">
    <w:nsid w:val="D343168D"/>
    <w:multiLevelType w:val="singleLevel"/>
    <w:tmpl w:val="D343168D"/>
    <w:lvl w:ilvl="0" w:tentative="0">
      <w:start w:val="1"/>
      <w:numFmt w:val="decimal"/>
      <w:suff w:val="space"/>
      <w:lvlText w:val="(%1)"/>
      <w:lvlJc w:val="left"/>
      <w:pPr>
        <w:ind w:left="425" w:hanging="425"/>
      </w:pPr>
      <w:rPr>
        <w:rFonts w:hint="default"/>
      </w:rPr>
    </w:lvl>
  </w:abstractNum>
  <w:abstractNum w:abstractNumId="40">
    <w:nsid w:val="D62B65E7"/>
    <w:multiLevelType w:val="singleLevel"/>
    <w:tmpl w:val="D62B65E7"/>
    <w:lvl w:ilvl="0" w:tentative="0">
      <w:start w:val="1"/>
      <w:numFmt w:val="decimal"/>
      <w:lvlText w:val="(%1)"/>
      <w:lvlJc w:val="left"/>
      <w:pPr>
        <w:ind w:left="425" w:hanging="425"/>
      </w:pPr>
      <w:rPr>
        <w:rFonts w:hint="default"/>
      </w:rPr>
    </w:lvl>
  </w:abstractNum>
  <w:abstractNum w:abstractNumId="41">
    <w:nsid w:val="D7BB6805"/>
    <w:multiLevelType w:val="singleLevel"/>
    <w:tmpl w:val="D7BB6805"/>
    <w:lvl w:ilvl="0" w:tentative="0">
      <w:start w:val="1"/>
      <w:numFmt w:val="decimal"/>
      <w:suff w:val="space"/>
      <w:lvlText w:val="(%1)"/>
      <w:lvlJc w:val="left"/>
      <w:pPr>
        <w:ind w:left="425" w:hanging="425"/>
      </w:pPr>
      <w:rPr>
        <w:rFonts w:hint="default"/>
      </w:rPr>
    </w:lvl>
  </w:abstractNum>
  <w:abstractNum w:abstractNumId="42">
    <w:nsid w:val="DED05ABF"/>
    <w:multiLevelType w:val="singleLevel"/>
    <w:tmpl w:val="DED05ABF"/>
    <w:lvl w:ilvl="0" w:tentative="0">
      <w:start w:val="1"/>
      <w:numFmt w:val="decimal"/>
      <w:suff w:val="space"/>
      <w:lvlText w:val="%1)"/>
      <w:lvlJc w:val="left"/>
      <w:pPr>
        <w:ind w:left="425" w:hanging="425"/>
      </w:pPr>
      <w:rPr>
        <w:rFonts w:hint="default"/>
      </w:rPr>
    </w:lvl>
  </w:abstractNum>
  <w:abstractNum w:abstractNumId="43">
    <w:nsid w:val="E0FF209C"/>
    <w:multiLevelType w:val="singleLevel"/>
    <w:tmpl w:val="E0FF209C"/>
    <w:lvl w:ilvl="0" w:tentative="0">
      <w:start w:val="1"/>
      <w:numFmt w:val="decimal"/>
      <w:suff w:val="space"/>
      <w:lvlText w:val="%1)"/>
      <w:lvlJc w:val="left"/>
      <w:pPr>
        <w:ind w:left="425" w:hanging="425"/>
      </w:pPr>
      <w:rPr>
        <w:rFonts w:hint="default"/>
      </w:rPr>
    </w:lvl>
  </w:abstractNum>
  <w:abstractNum w:abstractNumId="44">
    <w:nsid w:val="E748A005"/>
    <w:multiLevelType w:val="singleLevel"/>
    <w:tmpl w:val="E748A005"/>
    <w:lvl w:ilvl="0" w:tentative="0">
      <w:start w:val="1"/>
      <w:numFmt w:val="decimal"/>
      <w:suff w:val="space"/>
      <w:lvlText w:val="(%1)"/>
      <w:lvlJc w:val="left"/>
      <w:pPr>
        <w:ind w:left="425" w:hanging="425"/>
      </w:pPr>
      <w:rPr>
        <w:rFonts w:hint="default"/>
      </w:rPr>
    </w:lvl>
  </w:abstractNum>
  <w:abstractNum w:abstractNumId="45">
    <w:nsid w:val="E9307589"/>
    <w:multiLevelType w:val="singleLevel"/>
    <w:tmpl w:val="E9307589"/>
    <w:lvl w:ilvl="0" w:tentative="0">
      <w:start w:val="1"/>
      <w:numFmt w:val="decimalEnclosedCircleChinese"/>
      <w:suff w:val="nothing"/>
      <w:lvlText w:val="%1　"/>
      <w:lvlJc w:val="left"/>
      <w:pPr>
        <w:ind w:left="0" w:firstLine="400"/>
      </w:pPr>
      <w:rPr>
        <w:rFonts w:hint="eastAsia"/>
      </w:rPr>
    </w:lvl>
  </w:abstractNum>
  <w:abstractNum w:abstractNumId="46">
    <w:nsid w:val="EF182551"/>
    <w:multiLevelType w:val="singleLevel"/>
    <w:tmpl w:val="EF182551"/>
    <w:lvl w:ilvl="0" w:tentative="0">
      <w:start w:val="1"/>
      <w:numFmt w:val="decimal"/>
      <w:suff w:val="space"/>
      <w:lvlText w:val="(%1)"/>
      <w:lvlJc w:val="left"/>
      <w:pPr>
        <w:ind w:left="425" w:hanging="425"/>
      </w:pPr>
      <w:rPr>
        <w:rFonts w:hint="default"/>
      </w:rPr>
    </w:lvl>
  </w:abstractNum>
  <w:abstractNum w:abstractNumId="47">
    <w:nsid w:val="F003A9DC"/>
    <w:multiLevelType w:val="singleLevel"/>
    <w:tmpl w:val="F003A9DC"/>
    <w:lvl w:ilvl="0" w:tentative="0">
      <w:start w:val="1"/>
      <w:numFmt w:val="decimalEnclosedCircleChinese"/>
      <w:suff w:val="nothing"/>
      <w:lvlText w:val="%1　"/>
      <w:lvlJc w:val="left"/>
      <w:pPr>
        <w:ind w:left="0" w:firstLine="400"/>
      </w:pPr>
      <w:rPr>
        <w:rFonts w:hint="eastAsia"/>
      </w:rPr>
    </w:lvl>
  </w:abstractNum>
  <w:abstractNum w:abstractNumId="48">
    <w:nsid w:val="F1A4BA16"/>
    <w:multiLevelType w:val="singleLevel"/>
    <w:tmpl w:val="F1A4BA16"/>
    <w:lvl w:ilvl="0" w:tentative="0">
      <w:start w:val="1"/>
      <w:numFmt w:val="decimalEnclosedCircleChinese"/>
      <w:suff w:val="nothing"/>
      <w:lvlText w:val="%1　"/>
      <w:lvlJc w:val="left"/>
      <w:pPr>
        <w:ind w:left="0" w:firstLine="0"/>
      </w:pPr>
      <w:rPr>
        <w:rFonts w:hint="eastAsia"/>
      </w:rPr>
    </w:lvl>
  </w:abstractNum>
  <w:abstractNum w:abstractNumId="49">
    <w:nsid w:val="F4CD629A"/>
    <w:multiLevelType w:val="singleLevel"/>
    <w:tmpl w:val="F4CD629A"/>
    <w:lvl w:ilvl="0" w:tentative="0">
      <w:start w:val="1"/>
      <w:numFmt w:val="decimal"/>
      <w:suff w:val="space"/>
      <w:lvlText w:val="(%1)"/>
      <w:lvlJc w:val="left"/>
      <w:pPr>
        <w:ind w:left="425" w:hanging="425"/>
      </w:pPr>
      <w:rPr>
        <w:rFonts w:hint="default"/>
      </w:rPr>
    </w:lvl>
  </w:abstractNum>
  <w:abstractNum w:abstractNumId="50">
    <w:nsid w:val="F712F82D"/>
    <w:multiLevelType w:val="singleLevel"/>
    <w:tmpl w:val="F712F82D"/>
    <w:lvl w:ilvl="0" w:tentative="0">
      <w:start w:val="1"/>
      <w:numFmt w:val="decimalEnclosedCircleChinese"/>
      <w:suff w:val="nothing"/>
      <w:lvlText w:val="%1　"/>
      <w:lvlJc w:val="left"/>
      <w:pPr>
        <w:ind w:left="0" w:firstLine="400"/>
      </w:pPr>
      <w:rPr>
        <w:rFonts w:hint="eastAsia"/>
      </w:rPr>
    </w:lvl>
  </w:abstractNum>
  <w:abstractNum w:abstractNumId="51">
    <w:nsid w:val="F80F3855"/>
    <w:multiLevelType w:val="singleLevel"/>
    <w:tmpl w:val="F80F3855"/>
    <w:lvl w:ilvl="0" w:tentative="0">
      <w:start w:val="1"/>
      <w:numFmt w:val="decimal"/>
      <w:suff w:val="space"/>
      <w:lvlText w:val="%1)"/>
      <w:lvlJc w:val="left"/>
      <w:pPr>
        <w:ind w:left="425" w:hanging="425"/>
      </w:pPr>
      <w:rPr>
        <w:rFonts w:hint="default"/>
      </w:rPr>
    </w:lvl>
  </w:abstractNum>
  <w:abstractNum w:abstractNumId="52">
    <w:nsid w:val="F96005F4"/>
    <w:multiLevelType w:val="singleLevel"/>
    <w:tmpl w:val="F96005F4"/>
    <w:lvl w:ilvl="0" w:tentative="0">
      <w:start w:val="1"/>
      <w:numFmt w:val="decimal"/>
      <w:suff w:val="space"/>
      <w:lvlText w:val="(%1)"/>
      <w:lvlJc w:val="left"/>
      <w:pPr>
        <w:ind w:left="425" w:hanging="425"/>
      </w:pPr>
      <w:rPr>
        <w:rFonts w:hint="default"/>
      </w:rPr>
    </w:lvl>
  </w:abstractNum>
  <w:abstractNum w:abstractNumId="53">
    <w:nsid w:val="FCE1D6A6"/>
    <w:multiLevelType w:val="singleLevel"/>
    <w:tmpl w:val="FCE1D6A6"/>
    <w:lvl w:ilvl="0" w:tentative="0">
      <w:start w:val="1"/>
      <w:numFmt w:val="decimalEnclosedCircleChinese"/>
      <w:suff w:val="nothing"/>
      <w:lvlText w:val="%1　"/>
      <w:lvlJc w:val="left"/>
      <w:pPr>
        <w:ind w:left="0" w:firstLine="0"/>
      </w:pPr>
      <w:rPr>
        <w:rFonts w:hint="eastAsia"/>
      </w:rPr>
    </w:lvl>
  </w:abstractNum>
  <w:abstractNum w:abstractNumId="54">
    <w:nsid w:val="FD45175F"/>
    <w:multiLevelType w:val="singleLevel"/>
    <w:tmpl w:val="FD45175F"/>
    <w:lvl w:ilvl="0" w:tentative="0">
      <w:start w:val="1"/>
      <w:numFmt w:val="decimal"/>
      <w:suff w:val="space"/>
      <w:lvlText w:val="(%1)"/>
      <w:lvlJc w:val="left"/>
      <w:pPr>
        <w:ind w:left="425" w:hanging="425"/>
      </w:pPr>
      <w:rPr>
        <w:rFonts w:hint="default"/>
      </w:rPr>
    </w:lvl>
  </w:abstractNum>
  <w:abstractNum w:abstractNumId="55">
    <w:nsid w:val="FDF79F98"/>
    <w:multiLevelType w:val="singleLevel"/>
    <w:tmpl w:val="FDF79F98"/>
    <w:lvl w:ilvl="0" w:tentative="0">
      <w:start w:val="1"/>
      <w:numFmt w:val="decimal"/>
      <w:suff w:val="space"/>
      <w:lvlText w:val="%1)"/>
      <w:lvlJc w:val="left"/>
      <w:pPr>
        <w:ind w:left="425" w:hanging="425"/>
      </w:pPr>
      <w:rPr>
        <w:rFonts w:hint="default"/>
      </w:rPr>
    </w:lvl>
  </w:abstractNum>
  <w:abstractNum w:abstractNumId="56">
    <w:nsid w:val="FEB093C7"/>
    <w:multiLevelType w:val="singleLevel"/>
    <w:tmpl w:val="FEB093C7"/>
    <w:lvl w:ilvl="0" w:tentative="0">
      <w:start w:val="1"/>
      <w:numFmt w:val="decimal"/>
      <w:suff w:val="space"/>
      <w:lvlText w:val="(%1)"/>
      <w:lvlJc w:val="left"/>
      <w:pPr>
        <w:ind w:left="425" w:hanging="425"/>
      </w:pPr>
      <w:rPr>
        <w:rFonts w:hint="default"/>
      </w:rPr>
    </w:lvl>
  </w:abstractNum>
  <w:abstractNum w:abstractNumId="57">
    <w:nsid w:val="FEFB8D5C"/>
    <w:multiLevelType w:val="singleLevel"/>
    <w:tmpl w:val="FEFB8D5C"/>
    <w:lvl w:ilvl="0" w:tentative="0">
      <w:start w:val="1"/>
      <w:numFmt w:val="decimal"/>
      <w:suff w:val="space"/>
      <w:lvlText w:val="(%1)"/>
      <w:lvlJc w:val="left"/>
      <w:pPr>
        <w:ind w:left="425" w:hanging="425"/>
      </w:pPr>
      <w:rPr>
        <w:rFonts w:hint="default"/>
      </w:rPr>
    </w:lvl>
  </w:abstractNum>
  <w:abstractNum w:abstractNumId="58">
    <w:nsid w:val="FFAFE541"/>
    <w:multiLevelType w:val="singleLevel"/>
    <w:tmpl w:val="FFAFE541"/>
    <w:lvl w:ilvl="0" w:tentative="0">
      <w:start w:val="1"/>
      <w:numFmt w:val="decimal"/>
      <w:suff w:val="space"/>
      <w:lvlText w:val="(%1)"/>
      <w:lvlJc w:val="left"/>
      <w:pPr>
        <w:ind w:left="425" w:hanging="425"/>
      </w:pPr>
      <w:rPr>
        <w:rFonts w:hint="default"/>
      </w:rPr>
    </w:lvl>
  </w:abstractNum>
  <w:abstractNum w:abstractNumId="59">
    <w:nsid w:val="04323640"/>
    <w:multiLevelType w:val="singleLevel"/>
    <w:tmpl w:val="04323640"/>
    <w:lvl w:ilvl="0" w:tentative="0">
      <w:start w:val="2"/>
      <w:numFmt w:val="decimal"/>
      <w:suff w:val="nothing"/>
      <w:lvlText w:val="%1、"/>
      <w:lvlJc w:val="left"/>
    </w:lvl>
  </w:abstractNum>
  <w:abstractNum w:abstractNumId="60">
    <w:nsid w:val="071ACCC5"/>
    <w:multiLevelType w:val="singleLevel"/>
    <w:tmpl w:val="071ACCC5"/>
    <w:lvl w:ilvl="0" w:tentative="0">
      <w:start w:val="1"/>
      <w:numFmt w:val="decimalEnclosedCircleChinese"/>
      <w:suff w:val="nothing"/>
      <w:lvlText w:val="%1　"/>
      <w:lvlJc w:val="left"/>
      <w:pPr>
        <w:ind w:left="0" w:firstLine="113"/>
      </w:pPr>
      <w:rPr>
        <w:rFonts w:hint="eastAsia"/>
      </w:rPr>
    </w:lvl>
  </w:abstractNum>
  <w:abstractNum w:abstractNumId="61">
    <w:nsid w:val="0AF040E3"/>
    <w:multiLevelType w:val="singleLevel"/>
    <w:tmpl w:val="0AF040E3"/>
    <w:lvl w:ilvl="0" w:tentative="0">
      <w:start w:val="1"/>
      <w:numFmt w:val="decimal"/>
      <w:suff w:val="space"/>
      <w:lvlText w:val="%1)"/>
      <w:lvlJc w:val="left"/>
      <w:pPr>
        <w:ind w:left="425" w:hanging="425"/>
      </w:pPr>
      <w:rPr>
        <w:rFonts w:hint="default"/>
      </w:rPr>
    </w:lvl>
  </w:abstractNum>
  <w:abstractNum w:abstractNumId="62">
    <w:nsid w:val="0BD28EA8"/>
    <w:multiLevelType w:val="singleLevel"/>
    <w:tmpl w:val="0BD28EA8"/>
    <w:lvl w:ilvl="0" w:tentative="0">
      <w:start w:val="1"/>
      <w:numFmt w:val="decimal"/>
      <w:suff w:val="space"/>
      <w:lvlText w:val="(%1)"/>
      <w:lvlJc w:val="left"/>
      <w:pPr>
        <w:ind w:left="425" w:hanging="425"/>
      </w:pPr>
      <w:rPr>
        <w:rFonts w:hint="default"/>
        <w:color w:val="auto"/>
      </w:rPr>
    </w:lvl>
  </w:abstractNum>
  <w:abstractNum w:abstractNumId="63">
    <w:nsid w:val="0C6F37F6"/>
    <w:multiLevelType w:val="singleLevel"/>
    <w:tmpl w:val="0C6F37F6"/>
    <w:lvl w:ilvl="0" w:tentative="0">
      <w:start w:val="1"/>
      <w:numFmt w:val="decimal"/>
      <w:suff w:val="space"/>
      <w:lvlText w:val="%1)"/>
      <w:lvlJc w:val="left"/>
      <w:pPr>
        <w:ind w:left="425" w:hanging="425"/>
      </w:pPr>
      <w:rPr>
        <w:rFonts w:hint="default"/>
      </w:rPr>
    </w:lvl>
  </w:abstractNum>
  <w:abstractNum w:abstractNumId="64">
    <w:nsid w:val="0D310605"/>
    <w:multiLevelType w:val="singleLevel"/>
    <w:tmpl w:val="0D310605"/>
    <w:lvl w:ilvl="0" w:tentative="0">
      <w:start w:val="1"/>
      <w:numFmt w:val="decimalEnclosedCircleChinese"/>
      <w:suff w:val="nothing"/>
      <w:lvlText w:val="%1　"/>
      <w:lvlJc w:val="left"/>
      <w:pPr>
        <w:ind w:left="0" w:firstLine="0"/>
      </w:pPr>
      <w:rPr>
        <w:rFonts w:hint="eastAsia"/>
      </w:rPr>
    </w:lvl>
  </w:abstractNum>
  <w:abstractNum w:abstractNumId="65">
    <w:nsid w:val="0D3EA0E8"/>
    <w:multiLevelType w:val="singleLevel"/>
    <w:tmpl w:val="0D3EA0E8"/>
    <w:lvl w:ilvl="0" w:tentative="0">
      <w:start w:val="1"/>
      <w:numFmt w:val="decimalEnclosedCircleChinese"/>
      <w:suff w:val="nothing"/>
      <w:lvlText w:val="%1　"/>
      <w:lvlJc w:val="left"/>
      <w:pPr>
        <w:ind w:left="0" w:firstLine="0"/>
      </w:pPr>
      <w:rPr>
        <w:rFonts w:hint="eastAsia"/>
      </w:rPr>
    </w:lvl>
  </w:abstractNum>
  <w:abstractNum w:abstractNumId="66">
    <w:nsid w:val="0E779621"/>
    <w:multiLevelType w:val="singleLevel"/>
    <w:tmpl w:val="0E779621"/>
    <w:lvl w:ilvl="0" w:tentative="0">
      <w:start w:val="1"/>
      <w:numFmt w:val="decimalEnclosedCircleChinese"/>
      <w:suff w:val="nothing"/>
      <w:lvlText w:val="%1　"/>
      <w:lvlJc w:val="left"/>
      <w:pPr>
        <w:ind w:left="0" w:firstLine="0"/>
      </w:pPr>
      <w:rPr>
        <w:rFonts w:hint="eastAsia"/>
      </w:rPr>
    </w:lvl>
  </w:abstractNum>
  <w:abstractNum w:abstractNumId="67">
    <w:nsid w:val="108885A2"/>
    <w:multiLevelType w:val="singleLevel"/>
    <w:tmpl w:val="108885A2"/>
    <w:lvl w:ilvl="0" w:tentative="0">
      <w:start w:val="1"/>
      <w:numFmt w:val="lowerLetter"/>
      <w:lvlText w:val="%1."/>
      <w:lvlJc w:val="left"/>
      <w:pPr>
        <w:ind w:left="425" w:hanging="425"/>
      </w:pPr>
      <w:rPr>
        <w:rFonts w:hint="default"/>
      </w:rPr>
    </w:lvl>
  </w:abstractNum>
  <w:abstractNum w:abstractNumId="68">
    <w:nsid w:val="1330D98B"/>
    <w:multiLevelType w:val="singleLevel"/>
    <w:tmpl w:val="1330D98B"/>
    <w:lvl w:ilvl="0" w:tentative="0">
      <w:start w:val="1"/>
      <w:numFmt w:val="decimal"/>
      <w:suff w:val="space"/>
      <w:lvlText w:val="%1)"/>
      <w:lvlJc w:val="left"/>
      <w:pPr>
        <w:ind w:left="425" w:hanging="425"/>
      </w:pPr>
      <w:rPr>
        <w:rFonts w:hint="default"/>
      </w:rPr>
    </w:lvl>
  </w:abstractNum>
  <w:abstractNum w:abstractNumId="69">
    <w:nsid w:val="15C096DB"/>
    <w:multiLevelType w:val="singleLevel"/>
    <w:tmpl w:val="15C096DB"/>
    <w:lvl w:ilvl="0" w:tentative="0">
      <w:start w:val="1"/>
      <w:numFmt w:val="decimal"/>
      <w:suff w:val="space"/>
      <w:lvlText w:val="%1)"/>
      <w:lvlJc w:val="left"/>
      <w:pPr>
        <w:ind w:left="425" w:hanging="425"/>
      </w:pPr>
      <w:rPr>
        <w:rFonts w:hint="default"/>
      </w:rPr>
    </w:lvl>
  </w:abstractNum>
  <w:abstractNum w:abstractNumId="70">
    <w:nsid w:val="174B8C52"/>
    <w:multiLevelType w:val="singleLevel"/>
    <w:tmpl w:val="174B8C52"/>
    <w:lvl w:ilvl="0" w:tentative="0">
      <w:start w:val="1"/>
      <w:numFmt w:val="decimal"/>
      <w:suff w:val="space"/>
      <w:lvlText w:val="(%1)"/>
      <w:lvlJc w:val="left"/>
      <w:pPr>
        <w:ind w:left="425" w:hanging="425"/>
      </w:pPr>
      <w:rPr>
        <w:rFonts w:hint="default"/>
      </w:rPr>
    </w:lvl>
  </w:abstractNum>
  <w:abstractNum w:abstractNumId="71">
    <w:nsid w:val="177C5844"/>
    <w:multiLevelType w:val="singleLevel"/>
    <w:tmpl w:val="177C5844"/>
    <w:lvl w:ilvl="0" w:tentative="0">
      <w:start w:val="3"/>
      <w:numFmt w:val="decimal"/>
      <w:suff w:val="nothing"/>
      <w:lvlText w:val="（%1）"/>
      <w:lvlJc w:val="left"/>
    </w:lvl>
  </w:abstractNum>
  <w:abstractNum w:abstractNumId="72">
    <w:nsid w:val="17B7369C"/>
    <w:multiLevelType w:val="singleLevel"/>
    <w:tmpl w:val="17B7369C"/>
    <w:lvl w:ilvl="0" w:tentative="0">
      <w:start w:val="1"/>
      <w:numFmt w:val="decimal"/>
      <w:suff w:val="space"/>
      <w:lvlText w:val="(%1)"/>
      <w:lvlJc w:val="left"/>
      <w:pPr>
        <w:ind w:left="425" w:hanging="425"/>
      </w:pPr>
      <w:rPr>
        <w:rFonts w:hint="default"/>
      </w:rPr>
    </w:lvl>
  </w:abstractNum>
  <w:abstractNum w:abstractNumId="73">
    <w:nsid w:val="1C3BF79C"/>
    <w:multiLevelType w:val="singleLevel"/>
    <w:tmpl w:val="1C3BF79C"/>
    <w:lvl w:ilvl="0" w:tentative="0">
      <w:start w:val="1"/>
      <w:numFmt w:val="decimalEnclosedCircleChinese"/>
      <w:suff w:val="nothing"/>
      <w:lvlText w:val="%1　"/>
      <w:lvlJc w:val="left"/>
      <w:pPr>
        <w:ind w:left="0" w:firstLine="0"/>
      </w:pPr>
      <w:rPr>
        <w:rFonts w:hint="eastAsia"/>
      </w:rPr>
    </w:lvl>
  </w:abstractNum>
  <w:abstractNum w:abstractNumId="74">
    <w:nsid w:val="1C493CA8"/>
    <w:multiLevelType w:val="singleLevel"/>
    <w:tmpl w:val="1C493CA8"/>
    <w:lvl w:ilvl="0" w:tentative="0">
      <w:start w:val="1"/>
      <w:numFmt w:val="decimal"/>
      <w:suff w:val="space"/>
      <w:lvlText w:val="(%1)"/>
      <w:lvlJc w:val="left"/>
      <w:pPr>
        <w:ind w:left="425" w:hanging="425"/>
      </w:pPr>
      <w:rPr>
        <w:rFonts w:hint="default"/>
      </w:rPr>
    </w:lvl>
  </w:abstractNum>
  <w:abstractNum w:abstractNumId="75">
    <w:nsid w:val="1DC5547D"/>
    <w:multiLevelType w:val="singleLevel"/>
    <w:tmpl w:val="1DC5547D"/>
    <w:lvl w:ilvl="0" w:tentative="0">
      <w:start w:val="1"/>
      <w:numFmt w:val="decimal"/>
      <w:suff w:val="space"/>
      <w:lvlText w:val="%1)"/>
      <w:lvlJc w:val="left"/>
      <w:pPr>
        <w:ind w:left="425" w:hanging="425"/>
      </w:pPr>
      <w:rPr>
        <w:rFonts w:hint="default"/>
      </w:rPr>
    </w:lvl>
  </w:abstractNum>
  <w:abstractNum w:abstractNumId="76">
    <w:nsid w:val="1DF2C6B4"/>
    <w:multiLevelType w:val="singleLevel"/>
    <w:tmpl w:val="1DF2C6B4"/>
    <w:lvl w:ilvl="0" w:tentative="0">
      <w:start w:val="1"/>
      <w:numFmt w:val="decimalEnclosedCircleChinese"/>
      <w:suff w:val="nothing"/>
      <w:lvlText w:val="%1　"/>
      <w:lvlJc w:val="left"/>
      <w:pPr>
        <w:ind w:left="0" w:firstLine="400"/>
      </w:pPr>
      <w:rPr>
        <w:rFonts w:hint="eastAsia"/>
      </w:rPr>
    </w:lvl>
  </w:abstractNum>
  <w:abstractNum w:abstractNumId="77">
    <w:nsid w:val="1E394576"/>
    <w:multiLevelType w:val="singleLevel"/>
    <w:tmpl w:val="1E394576"/>
    <w:lvl w:ilvl="0" w:tentative="0">
      <w:start w:val="1"/>
      <w:numFmt w:val="decimalEnclosedCircleChinese"/>
      <w:suff w:val="nothing"/>
      <w:lvlText w:val="%1　"/>
      <w:lvlJc w:val="left"/>
      <w:pPr>
        <w:ind w:left="0" w:firstLine="400"/>
      </w:pPr>
      <w:rPr>
        <w:rFonts w:hint="eastAsia"/>
      </w:rPr>
    </w:lvl>
  </w:abstractNum>
  <w:abstractNum w:abstractNumId="78">
    <w:nsid w:val="25D4A2F7"/>
    <w:multiLevelType w:val="singleLevel"/>
    <w:tmpl w:val="25D4A2F7"/>
    <w:lvl w:ilvl="0" w:tentative="0">
      <w:start w:val="1"/>
      <w:numFmt w:val="decimal"/>
      <w:suff w:val="space"/>
      <w:lvlText w:val="%1)"/>
      <w:lvlJc w:val="left"/>
      <w:pPr>
        <w:ind w:left="425" w:hanging="425"/>
      </w:pPr>
      <w:rPr>
        <w:rFonts w:hint="default"/>
      </w:rPr>
    </w:lvl>
  </w:abstractNum>
  <w:abstractNum w:abstractNumId="79">
    <w:nsid w:val="274A8F39"/>
    <w:multiLevelType w:val="singleLevel"/>
    <w:tmpl w:val="274A8F39"/>
    <w:lvl w:ilvl="0" w:tentative="0">
      <w:start w:val="1"/>
      <w:numFmt w:val="decimal"/>
      <w:suff w:val="space"/>
      <w:lvlText w:val="%1)"/>
      <w:lvlJc w:val="left"/>
      <w:pPr>
        <w:ind w:left="425" w:hanging="425"/>
      </w:pPr>
      <w:rPr>
        <w:rFonts w:hint="default"/>
      </w:rPr>
    </w:lvl>
  </w:abstractNum>
  <w:abstractNum w:abstractNumId="80">
    <w:nsid w:val="28A89028"/>
    <w:multiLevelType w:val="singleLevel"/>
    <w:tmpl w:val="28A89028"/>
    <w:lvl w:ilvl="0" w:tentative="0">
      <w:start w:val="1"/>
      <w:numFmt w:val="decimal"/>
      <w:suff w:val="space"/>
      <w:lvlText w:val="%1)"/>
      <w:lvlJc w:val="left"/>
      <w:pPr>
        <w:ind w:left="425" w:hanging="425"/>
      </w:pPr>
      <w:rPr>
        <w:rFonts w:hint="default"/>
      </w:rPr>
    </w:lvl>
  </w:abstractNum>
  <w:abstractNum w:abstractNumId="81">
    <w:nsid w:val="2A3DA438"/>
    <w:multiLevelType w:val="singleLevel"/>
    <w:tmpl w:val="2A3DA438"/>
    <w:lvl w:ilvl="0" w:tentative="0">
      <w:start w:val="1"/>
      <w:numFmt w:val="decimal"/>
      <w:suff w:val="space"/>
      <w:lvlText w:val="%1)"/>
      <w:lvlJc w:val="left"/>
      <w:pPr>
        <w:ind w:left="425" w:hanging="425"/>
      </w:pPr>
      <w:rPr>
        <w:rFonts w:hint="default"/>
      </w:rPr>
    </w:lvl>
  </w:abstractNum>
  <w:abstractNum w:abstractNumId="82">
    <w:nsid w:val="2B4903CE"/>
    <w:multiLevelType w:val="singleLevel"/>
    <w:tmpl w:val="2B4903CE"/>
    <w:lvl w:ilvl="0" w:tentative="0">
      <w:start w:val="1"/>
      <w:numFmt w:val="decimal"/>
      <w:suff w:val="space"/>
      <w:lvlText w:val="%1)"/>
      <w:lvlJc w:val="left"/>
      <w:pPr>
        <w:ind w:left="425" w:hanging="425"/>
      </w:pPr>
      <w:rPr>
        <w:rFonts w:hint="default"/>
      </w:rPr>
    </w:lvl>
  </w:abstractNum>
  <w:abstractNum w:abstractNumId="83">
    <w:nsid w:val="2D17CAF9"/>
    <w:multiLevelType w:val="singleLevel"/>
    <w:tmpl w:val="2D17CAF9"/>
    <w:lvl w:ilvl="0" w:tentative="0">
      <w:start w:val="1"/>
      <w:numFmt w:val="decimal"/>
      <w:suff w:val="space"/>
      <w:lvlText w:val="%1)"/>
      <w:lvlJc w:val="left"/>
      <w:pPr>
        <w:ind w:left="425" w:hanging="425"/>
      </w:pPr>
      <w:rPr>
        <w:rFonts w:hint="default"/>
      </w:rPr>
    </w:lvl>
  </w:abstractNum>
  <w:abstractNum w:abstractNumId="84">
    <w:nsid w:val="314C296A"/>
    <w:multiLevelType w:val="singleLevel"/>
    <w:tmpl w:val="314C296A"/>
    <w:lvl w:ilvl="0" w:tentative="0">
      <w:start w:val="1"/>
      <w:numFmt w:val="decimal"/>
      <w:suff w:val="space"/>
      <w:lvlText w:val="%1)"/>
      <w:lvlJc w:val="left"/>
      <w:pPr>
        <w:ind w:left="425" w:hanging="425"/>
      </w:pPr>
      <w:rPr>
        <w:rFonts w:hint="default"/>
      </w:rPr>
    </w:lvl>
  </w:abstractNum>
  <w:abstractNum w:abstractNumId="85">
    <w:nsid w:val="32B69F8E"/>
    <w:multiLevelType w:val="singleLevel"/>
    <w:tmpl w:val="32B69F8E"/>
    <w:lvl w:ilvl="0" w:tentative="0">
      <w:start w:val="1"/>
      <w:numFmt w:val="decimal"/>
      <w:suff w:val="space"/>
      <w:lvlText w:val="(%1)"/>
      <w:lvlJc w:val="left"/>
      <w:pPr>
        <w:ind w:left="425" w:hanging="425"/>
      </w:pPr>
      <w:rPr>
        <w:rFonts w:hint="default"/>
      </w:rPr>
    </w:lvl>
  </w:abstractNum>
  <w:abstractNum w:abstractNumId="86">
    <w:nsid w:val="3856E7CB"/>
    <w:multiLevelType w:val="singleLevel"/>
    <w:tmpl w:val="3856E7CB"/>
    <w:lvl w:ilvl="0" w:tentative="0">
      <w:start w:val="10"/>
      <w:numFmt w:val="decimal"/>
      <w:suff w:val="nothing"/>
      <w:lvlText w:val="%1、"/>
      <w:lvlJc w:val="left"/>
    </w:lvl>
  </w:abstractNum>
  <w:abstractNum w:abstractNumId="87">
    <w:nsid w:val="3BF9FCF3"/>
    <w:multiLevelType w:val="singleLevel"/>
    <w:tmpl w:val="3BF9FCF3"/>
    <w:lvl w:ilvl="0" w:tentative="0">
      <w:start w:val="1"/>
      <w:numFmt w:val="decimal"/>
      <w:suff w:val="space"/>
      <w:lvlText w:val="%1)"/>
      <w:lvlJc w:val="left"/>
      <w:pPr>
        <w:ind w:left="425" w:hanging="425"/>
      </w:pPr>
      <w:rPr>
        <w:rFonts w:hint="default"/>
      </w:rPr>
    </w:lvl>
  </w:abstractNum>
  <w:abstractNum w:abstractNumId="88">
    <w:nsid w:val="3C2C9CAE"/>
    <w:multiLevelType w:val="singleLevel"/>
    <w:tmpl w:val="3C2C9CAE"/>
    <w:lvl w:ilvl="0" w:tentative="0">
      <w:start w:val="1"/>
      <w:numFmt w:val="decimal"/>
      <w:lvlText w:val="%1)"/>
      <w:lvlJc w:val="left"/>
      <w:pPr>
        <w:tabs>
          <w:tab w:val="left" w:pos="397"/>
        </w:tabs>
        <w:ind w:left="454" w:leftChars="0" w:hanging="454" w:firstLineChars="0"/>
      </w:pPr>
      <w:rPr>
        <w:rFonts w:hint="default"/>
      </w:rPr>
    </w:lvl>
  </w:abstractNum>
  <w:abstractNum w:abstractNumId="89">
    <w:nsid w:val="4136DAB9"/>
    <w:multiLevelType w:val="singleLevel"/>
    <w:tmpl w:val="4136DAB9"/>
    <w:lvl w:ilvl="0" w:tentative="0">
      <w:start w:val="1"/>
      <w:numFmt w:val="decimal"/>
      <w:suff w:val="space"/>
      <w:lvlText w:val="(%1)"/>
      <w:lvlJc w:val="left"/>
      <w:pPr>
        <w:ind w:left="425" w:hanging="425"/>
      </w:pPr>
      <w:rPr>
        <w:rFonts w:hint="default"/>
      </w:rPr>
    </w:lvl>
  </w:abstractNum>
  <w:abstractNum w:abstractNumId="90">
    <w:nsid w:val="4161E705"/>
    <w:multiLevelType w:val="singleLevel"/>
    <w:tmpl w:val="4161E705"/>
    <w:lvl w:ilvl="0" w:tentative="0">
      <w:start w:val="1"/>
      <w:numFmt w:val="decimal"/>
      <w:suff w:val="space"/>
      <w:lvlText w:val="%1)"/>
      <w:lvlJc w:val="left"/>
      <w:pPr>
        <w:ind w:left="425" w:hanging="425"/>
      </w:pPr>
      <w:rPr>
        <w:rFonts w:hint="default"/>
      </w:rPr>
    </w:lvl>
  </w:abstractNum>
  <w:abstractNum w:abstractNumId="91">
    <w:nsid w:val="4252AA69"/>
    <w:multiLevelType w:val="singleLevel"/>
    <w:tmpl w:val="4252AA69"/>
    <w:lvl w:ilvl="0" w:tentative="0">
      <w:start w:val="1"/>
      <w:numFmt w:val="decimalEnclosedCircleChinese"/>
      <w:suff w:val="nothing"/>
      <w:lvlText w:val="%1　"/>
      <w:lvlJc w:val="left"/>
      <w:pPr>
        <w:ind w:left="0" w:firstLine="0"/>
      </w:pPr>
      <w:rPr>
        <w:rFonts w:hint="eastAsia"/>
      </w:rPr>
    </w:lvl>
  </w:abstractNum>
  <w:abstractNum w:abstractNumId="92">
    <w:nsid w:val="43AE25B9"/>
    <w:multiLevelType w:val="singleLevel"/>
    <w:tmpl w:val="43AE25B9"/>
    <w:lvl w:ilvl="0" w:tentative="0">
      <w:start w:val="1"/>
      <w:numFmt w:val="decimal"/>
      <w:suff w:val="nothing"/>
      <w:lvlText w:val="（%1）"/>
      <w:lvlJc w:val="left"/>
    </w:lvl>
  </w:abstractNum>
  <w:abstractNum w:abstractNumId="93">
    <w:nsid w:val="43C89EAF"/>
    <w:multiLevelType w:val="singleLevel"/>
    <w:tmpl w:val="43C89EAF"/>
    <w:lvl w:ilvl="0" w:tentative="0">
      <w:start w:val="1"/>
      <w:numFmt w:val="decimal"/>
      <w:suff w:val="space"/>
      <w:lvlText w:val="(%1)"/>
      <w:lvlJc w:val="left"/>
      <w:pPr>
        <w:ind w:left="425" w:hanging="425"/>
      </w:pPr>
      <w:rPr>
        <w:rFonts w:hint="default"/>
      </w:rPr>
    </w:lvl>
  </w:abstractNum>
  <w:abstractNum w:abstractNumId="94">
    <w:nsid w:val="44BA844C"/>
    <w:multiLevelType w:val="singleLevel"/>
    <w:tmpl w:val="44BA844C"/>
    <w:lvl w:ilvl="0" w:tentative="0">
      <w:start w:val="1"/>
      <w:numFmt w:val="decimalEnclosedCircleChinese"/>
      <w:suff w:val="nothing"/>
      <w:lvlText w:val="%1　"/>
      <w:lvlJc w:val="left"/>
      <w:pPr>
        <w:ind w:left="0" w:firstLine="400"/>
      </w:pPr>
      <w:rPr>
        <w:rFonts w:hint="eastAsia"/>
      </w:rPr>
    </w:lvl>
  </w:abstractNum>
  <w:abstractNum w:abstractNumId="95">
    <w:nsid w:val="462DFC4A"/>
    <w:multiLevelType w:val="singleLevel"/>
    <w:tmpl w:val="462DFC4A"/>
    <w:lvl w:ilvl="0" w:tentative="0">
      <w:start w:val="1"/>
      <w:numFmt w:val="decimal"/>
      <w:suff w:val="space"/>
      <w:lvlText w:val="(%1)"/>
      <w:lvlJc w:val="left"/>
      <w:pPr>
        <w:ind w:left="425" w:hanging="425"/>
      </w:pPr>
      <w:rPr>
        <w:rFonts w:hint="default"/>
      </w:rPr>
    </w:lvl>
  </w:abstractNum>
  <w:abstractNum w:abstractNumId="96">
    <w:nsid w:val="46C714C0"/>
    <w:multiLevelType w:val="singleLevel"/>
    <w:tmpl w:val="46C714C0"/>
    <w:lvl w:ilvl="0" w:tentative="0">
      <w:start w:val="1"/>
      <w:numFmt w:val="decimal"/>
      <w:suff w:val="space"/>
      <w:lvlText w:val="%1)"/>
      <w:lvlJc w:val="left"/>
      <w:pPr>
        <w:ind w:left="425" w:hanging="425"/>
      </w:pPr>
      <w:rPr>
        <w:rFonts w:hint="default"/>
      </w:rPr>
    </w:lvl>
  </w:abstractNum>
  <w:abstractNum w:abstractNumId="97">
    <w:nsid w:val="473C04E4"/>
    <w:multiLevelType w:val="singleLevel"/>
    <w:tmpl w:val="473C04E4"/>
    <w:lvl w:ilvl="0" w:tentative="0">
      <w:start w:val="1"/>
      <w:numFmt w:val="decimal"/>
      <w:suff w:val="space"/>
      <w:lvlText w:val="%1)"/>
      <w:lvlJc w:val="left"/>
      <w:pPr>
        <w:ind w:left="425" w:hanging="425"/>
      </w:pPr>
      <w:rPr>
        <w:rFonts w:hint="default"/>
      </w:rPr>
    </w:lvl>
  </w:abstractNum>
  <w:abstractNum w:abstractNumId="98">
    <w:nsid w:val="47AF6C09"/>
    <w:multiLevelType w:val="singleLevel"/>
    <w:tmpl w:val="47AF6C09"/>
    <w:lvl w:ilvl="0" w:tentative="0">
      <w:start w:val="1"/>
      <w:numFmt w:val="decimal"/>
      <w:suff w:val="space"/>
      <w:lvlText w:val="%1)"/>
      <w:lvlJc w:val="left"/>
      <w:pPr>
        <w:ind w:left="425" w:hanging="425"/>
      </w:pPr>
      <w:rPr>
        <w:rFonts w:hint="default"/>
      </w:rPr>
    </w:lvl>
  </w:abstractNum>
  <w:abstractNum w:abstractNumId="99">
    <w:nsid w:val="498B5652"/>
    <w:multiLevelType w:val="singleLevel"/>
    <w:tmpl w:val="498B5652"/>
    <w:lvl w:ilvl="0" w:tentative="0">
      <w:start w:val="1"/>
      <w:numFmt w:val="decimal"/>
      <w:suff w:val="space"/>
      <w:lvlText w:val="%1)"/>
      <w:lvlJc w:val="left"/>
      <w:pPr>
        <w:ind w:left="425" w:hanging="425"/>
      </w:pPr>
      <w:rPr>
        <w:rFonts w:hint="default"/>
      </w:rPr>
    </w:lvl>
  </w:abstractNum>
  <w:abstractNum w:abstractNumId="100">
    <w:nsid w:val="49BEF9EC"/>
    <w:multiLevelType w:val="singleLevel"/>
    <w:tmpl w:val="49BEF9EC"/>
    <w:lvl w:ilvl="0" w:tentative="0">
      <w:start w:val="1"/>
      <w:numFmt w:val="decimalEnclosedCircleChinese"/>
      <w:suff w:val="nothing"/>
      <w:lvlText w:val="%1　"/>
      <w:lvlJc w:val="left"/>
      <w:pPr>
        <w:ind w:left="0" w:firstLine="0"/>
      </w:pPr>
      <w:rPr>
        <w:rFonts w:hint="eastAsia"/>
      </w:rPr>
    </w:lvl>
  </w:abstractNum>
  <w:abstractNum w:abstractNumId="101">
    <w:nsid w:val="4B85BBA3"/>
    <w:multiLevelType w:val="singleLevel"/>
    <w:tmpl w:val="4B85BBA3"/>
    <w:lvl w:ilvl="0" w:tentative="0">
      <w:start w:val="1"/>
      <w:numFmt w:val="decimal"/>
      <w:suff w:val="space"/>
      <w:lvlText w:val="%1)"/>
      <w:lvlJc w:val="left"/>
      <w:pPr>
        <w:ind w:left="425" w:hanging="425"/>
      </w:pPr>
      <w:rPr>
        <w:rFonts w:hint="default"/>
      </w:rPr>
    </w:lvl>
  </w:abstractNum>
  <w:abstractNum w:abstractNumId="102">
    <w:nsid w:val="4B90CC7C"/>
    <w:multiLevelType w:val="multilevel"/>
    <w:tmpl w:val="4B90CC7C"/>
    <w:lvl w:ilvl="0" w:tentative="0">
      <w:start w:val="1"/>
      <w:numFmt w:val="decimal"/>
      <w:suff w:val="nothing"/>
      <w:lvlText w:val="%1."/>
      <w:lvlJc w:val="left"/>
      <w:pPr>
        <w:ind w:left="420" w:hanging="420"/>
      </w:pPr>
    </w:lvl>
    <w:lvl w:ilvl="1" w:tentative="0">
      <w:start w:val="1"/>
      <w:numFmt w:val="decimal"/>
      <w:suff w:val="space"/>
      <w:lvlText w:val="%2)"/>
      <w:lvlJc w:val="left"/>
      <w:pPr>
        <w:ind w:left="840" w:hanging="420"/>
      </w:pPr>
    </w:lvl>
    <w:lvl w:ilvl="2" w:tentative="0">
      <w:start w:val="1"/>
      <w:numFmt w:val="decimal"/>
      <w:suff w:val="nothing"/>
      <w:lvlText w:val="%3."/>
      <w:lvlJc w:val="left"/>
      <w:pPr>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3">
    <w:nsid w:val="4C2DEF30"/>
    <w:multiLevelType w:val="singleLevel"/>
    <w:tmpl w:val="4C2DEF30"/>
    <w:lvl w:ilvl="0" w:tentative="0">
      <w:start w:val="1"/>
      <w:numFmt w:val="decimal"/>
      <w:suff w:val="space"/>
      <w:lvlText w:val="%1)"/>
      <w:lvlJc w:val="left"/>
      <w:pPr>
        <w:ind w:left="425" w:hanging="425"/>
      </w:pPr>
      <w:rPr>
        <w:rFonts w:hint="default"/>
      </w:rPr>
    </w:lvl>
  </w:abstractNum>
  <w:abstractNum w:abstractNumId="104">
    <w:nsid w:val="4CAA0862"/>
    <w:multiLevelType w:val="singleLevel"/>
    <w:tmpl w:val="4CAA0862"/>
    <w:lvl w:ilvl="0" w:tentative="0">
      <w:start w:val="1"/>
      <w:numFmt w:val="decimal"/>
      <w:lvlText w:val="(%1)"/>
      <w:lvlJc w:val="left"/>
      <w:pPr>
        <w:ind w:left="425" w:hanging="425"/>
      </w:pPr>
      <w:rPr>
        <w:rFonts w:hint="default"/>
      </w:rPr>
    </w:lvl>
  </w:abstractNum>
  <w:abstractNum w:abstractNumId="105">
    <w:nsid w:val="4D920B88"/>
    <w:multiLevelType w:val="singleLevel"/>
    <w:tmpl w:val="4D920B88"/>
    <w:lvl w:ilvl="0" w:tentative="0">
      <w:start w:val="6"/>
      <w:numFmt w:val="decimal"/>
      <w:suff w:val="nothing"/>
      <w:lvlText w:val="（%1）"/>
      <w:lvlJc w:val="left"/>
    </w:lvl>
  </w:abstractNum>
  <w:abstractNum w:abstractNumId="106">
    <w:nsid w:val="508AEE0C"/>
    <w:multiLevelType w:val="singleLevel"/>
    <w:tmpl w:val="508AEE0C"/>
    <w:lvl w:ilvl="0" w:tentative="0">
      <w:start w:val="1"/>
      <w:numFmt w:val="decimal"/>
      <w:suff w:val="space"/>
      <w:lvlText w:val="(%1)"/>
      <w:lvlJc w:val="left"/>
      <w:pPr>
        <w:ind w:left="425" w:hanging="425"/>
      </w:pPr>
      <w:rPr>
        <w:rFonts w:hint="default"/>
      </w:rPr>
    </w:lvl>
  </w:abstractNum>
  <w:abstractNum w:abstractNumId="107">
    <w:nsid w:val="508D3ACC"/>
    <w:multiLevelType w:val="singleLevel"/>
    <w:tmpl w:val="508D3ACC"/>
    <w:lvl w:ilvl="0" w:tentative="0">
      <w:start w:val="1"/>
      <w:numFmt w:val="decimal"/>
      <w:suff w:val="space"/>
      <w:lvlText w:val="%1)"/>
      <w:lvlJc w:val="left"/>
      <w:pPr>
        <w:ind w:left="425" w:hanging="425"/>
      </w:pPr>
      <w:rPr>
        <w:rFonts w:hint="default"/>
      </w:rPr>
    </w:lvl>
  </w:abstractNum>
  <w:abstractNum w:abstractNumId="108">
    <w:nsid w:val="50D94284"/>
    <w:multiLevelType w:val="singleLevel"/>
    <w:tmpl w:val="50D94284"/>
    <w:lvl w:ilvl="0" w:tentative="0">
      <w:start w:val="1"/>
      <w:numFmt w:val="decimal"/>
      <w:suff w:val="space"/>
      <w:lvlText w:val="%1)"/>
      <w:lvlJc w:val="left"/>
      <w:pPr>
        <w:ind w:left="425" w:hanging="425"/>
      </w:pPr>
      <w:rPr>
        <w:rFonts w:hint="default"/>
      </w:rPr>
    </w:lvl>
  </w:abstractNum>
  <w:abstractNum w:abstractNumId="109">
    <w:nsid w:val="5AEDFCF9"/>
    <w:multiLevelType w:val="singleLevel"/>
    <w:tmpl w:val="5AEDFCF9"/>
    <w:lvl w:ilvl="0" w:tentative="0">
      <w:start w:val="1"/>
      <w:numFmt w:val="decimal"/>
      <w:suff w:val="space"/>
      <w:lvlText w:val="%1)"/>
      <w:lvlJc w:val="left"/>
      <w:pPr>
        <w:ind w:left="425" w:hanging="425"/>
      </w:pPr>
      <w:rPr>
        <w:rFonts w:hint="default"/>
      </w:rPr>
    </w:lvl>
  </w:abstractNum>
  <w:abstractNum w:abstractNumId="110">
    <w:nsid w:val="5FC8A02B"/>
    <w:multiLevelType w:val="singleLevel"/>
    <w:tmpl w:val="5FC8A02B"/>
    <w:lvl w:ilvl="0" w:tentative="0">
      <w:start w:val="1"/>
      <w:numFmt w:val="decimal"/>
      <w:suff w:val="space"/>
      <w:lvlText w:val="(%1)"/>
      <w:lvlJc w:val="left"/>
      <w:pPr>
        <w:ind w:left="425" w:hanging="425"/>
      </w:pPr>
      <w:rPr>
        <w:rFonts w:hint="default"/>
      </w:rPr>
    </w:lvl>
  </w:abstractNum>
  <w:abstractNum w:abstractNumId="111">
    <w:nsid w:val="633218D4"/>
    <w:multiLevelType w:val="singleLevel"/>
    <w:tmpl w:val="633218D4"/>
    <w:lvl w:ilvl="0" w:tentative="0">
      <w:start w:val="1"/>
      <w:numFmt w:val="decimal"/>
      <w:suff w:val="space"/>
      <w:lvlText w:val="%1)"/>
      <w:lvlJc w:val="left"/>
      <w:pPr>
        <w:ind w:left="425" w:hanging="425"/>
      </w:pPr>
      <w:rPr>
        <w:rFonts w:hint="default"/>
      </w:rPr>
    </w:lvl>
  </w:abstractNum>
  <w:abstractNum w:abstractNumId="112">
    <w:nsid w:val="644034F6"/>
    <w:multiLevelType w:val="singleLevel"/>
    <w:tmpl w:val="644034F6"/>
    <w:lvl w:ilvl="0" w:tentative="0">
      <w:start w:val="1"/>
      <w:numFmt w:val="decimal"/>
      <w:lvlText w:val="(%1)"/>
      <w:lvlJc w:val="left"/>
      <w:pPr>
        <w:ind w:left="425" w:hanging="425"/>
      </w:pPr>
      <w:rPr>
        <w:rFonts w:hint="default"/>
      </w:rPr>
    </w:lvl>
  </w:abstractNum>
  <w:abstractNum w:abstractNumId="113">
    <w:nsid w:val="64DB950D"/>
    <w:multiLevelType w:val="singleLevel"/>
    <w:tmpl w:val="64DB950D"/>
    <w:lvl w:ilvl="0" w:tentative="0">
      <w:start w:val="1"/>
      <w:numFmt w:val="decimal"/>
      <w:suff w:val="space"/>
      <w:lvlText w:val="%1)"/>
      <w:lvlJc w:val="left"/>
      <w:pPr>
        <w:ind w:left="425" w:hanging="425"/>
      </w:pPr>
      <w:rPr>
        <w:rFonts w:hint="default"/>
      </w:rPr>
    </w:lvl>
  </w:abstractNum>
  <w:abstractNum w:abstractNumId="114">
    <w:nsid w:val="696EF16F"/>
    <w:multiLevelType w:val="singleLevel"/>
    <w:tmpl w:val="696EF16F"/>
    <w:lvl w:ilvl="0" w:tentative="0">
      <w:start w:val="1"/>
      <w:numFmt w:val="decimal"/>
      <w:suff w:val="space"/>
      <w:lvlText w:val="%1)"/>
      <w:lvlJc w:val="left"/>
      <w:pPr>
        <w:ind w:left="425" w:hanging="425"/>
      </w:pPr>
      <w:rPr>
        <w:rFonts w:hint="default"/>
      </w:rPr>
    </w:lvl>
  </w:abstractNum>
  <w:abstractNum w:abstractNumId="115">
    <w:nsid w:val="6DA32A98"/>
    <w:multiLevelType w:val="singleLevel"/>
    <w:tmpl w:val="6DA32A98"/>
    <w:lvl w:ilvl="0" w:tentative="0">
      <w:start w:val="1"/>
      <w:numFmt w:val="decimal"/>
      <w:suff w:val="space"/>
      <w:lvlText w:val="%1)"/>
      <w:lvlJc w:val="left"/>
      <w:pPr>
        <w:ind w:left="425" w:hanging="425"/>
      </w:pPr>
      <w:rPr>
        <w:rFonts w:hint="default"/>
        <w:b w:val="0"/>
        <w:bCs w:val="0"/>
      </w:rPr>
    </w:lvl>
  </w:abstractNum>
  <w:abstractNum w:abstractNumId="116">
    <w:nsid w:val="71B2B595"/>
    <w:multiLevelType w:val="singleLevel"/>
    <w:tmpl w:val="71B2B595"/>
    <w:lvl w:ilvl="0" w:tentative="0">
      <w:start w:val="1"/>
      <w:numFmt w:val="decimal"/>
      <w:suff w:val="space"/>
      <w:lvlText w:val="(%1)"/>
      <w:lvlJc w:val="left"/>
      <w:pPr>
        <w:ind w:left="425" w:hanging="425"/>
      </w:pPr>
      <w:rPr>
        <w:rFonts w:hint="default"/>
      </w:rPr>
    </w:lvl>
  </w:abstractNum>
  <w:abstractNum w:abstractNumId="117">
    <w:nsid w:val="764FD143"/>
    <w:multiLevelType w:val="singleLevel"/>
    <w:tmpl w:val="764FD143"/>
    <w:lvl w:ilvl="0" w:tentative="0">
      <w:start w:val="1"/>
      <w:numFmt w:val="decimal"/>
      <w:suff w:val="space"/>
      <w:lvlText w:val="(%1)"/>
      <w:lvlJc w:val="left"/>
      <w:pPr>
        <w:ind w:left="425" w:hanging="425"/>
      </w:pPr>
      <w:rPr>
        <w:rFonts w:hint="default"/>
      </w:rPr>
    </w:lvl>
  </w:abstractNum>
  <w:abstractNum w:abstractNumId="118">
    <w:nsid w:val="7B9643D6"/>
    <w:multiLevelType w:val="singleLevel"/>
    <w:tmpl w:val="7B9643D6"/>
    <w:lvl w:ilvl="0" w:tentative="0">
      <w:start w:val="1"/>
      <w:numFmt w:val="decimal"/>
      <w:suff w:val="nothing"/>
      <w:lvlText w:val="%1)"/>
      <w:lvlJc w:val="left"/>
      <w:pPr>
        <w:ind w:left="425" w:hanging="425"/>
      </w:pPr>
      <w:rPr>
        <w:rFonts w:hint="default"/>
      </w:rPr>
    </w:lvl>
  </w:abstractNum>
  <w:abstractNum w:abstractNumId="119">
    <w:nsid w:val="7BFDE1D6"/>
    <w:multiLevelType w:val="singleLevel"/>
    <w:tmpl w:val="7BFDE1D6"/>
    <w:lvl w:ilvl="0" w:tentative="0">
      <w:start w:val="1"/>
      <w:numFmt w:val="decimal"/>
      <w:suff w:val="space"/>
      <w:lvlText w:val="%1)"/>
      <w:lvlJc w:val="left"/>
      <w:pPr>
        <w:ind w:left="425" w:hanging="425"/>
      </w:pPr>
      <w:rPr>
        <w:rFonts w:hint="default"/>
      </w:rPr>
    </w:lvl>
  </w:abstractNum>
  <w:abstractNum w:abstractNumId="120">
    <w:nsid w:val="7DF55225"/>
    <w:multiLevelType w:val="singleLevel"/>
    <w:tmpl w:val="7DF55225"/>
    <w:lvl w:ilvl="0" w:tentative="0">
      <w:start w:val="1"/>
      <w:numFmt w:val="decimalEnclosedCircleChinese"/>
      <w:suff w:val="nothing"/>
      <w:lvlText w:val="%1　"/>
      <w:lvlJc w:val="left"/>
      <w:pPr>
        <w:ind w:left="0" w:firstLine="0"/>
      </w:pPr>
      <w:rPr>
        <w:rFonts w:hint="eastAsia"/>
      </w:rPr>
    </w:lvl>
  </w:abstractNum>
  <w:num w:numId="1">
    <w:abstractNumId w:val="46"/>
  </w:num>
  <w:num w:numId="2">
    <w:abstractNumId w:val="56"/>
  </w:num>
  <w:num w:numId="3">
    <w:abstractNumId w:val="26"/>
  </w:num>
  <w:num w:numId="4">
    <w:abstractNumId w:val="87"/>
  </w:num>
  <w:num w:numId="5">
    <w:abstractNumId w:val="37"/>
  </w:num>
  <w:num w:numId="6">
    <w:abstractNumId w:val="1"/>
  </w:num>
  <w:num w:numId="7">
    <w:abstractNumId w:val="70"/>
  </w:num>
  <w:num w:numId="8">
    <w:abstractNumId w:val="86"/>
  </w:num>
  <w:num w:numId="9">
    <w:abstractNumId w:val="40"/>
  </w:num>
  <w:num w:numId="10">
    <w:abstractNumId w:val="30"/>
  </w:num>
  <w:num w:numId="11">
    <w:abstractNumId w:val="18"/>
  </w:num>
  <w:num w:numId="12">
    <w:abstractNumId w:val="41"/>
  </w:num>
  <w:num w:numId="13">
    <w:abstractNumId w:val="3"/>
  </w:num>
  <w:num w:numId="14">
    <w:abstractNumId w:val="95"/>
  </w:num>
  <w:num w:numId="15">
    <w:abstractNumId w:val="72"/>
  </w:num>
  <w:num w:numId="16">
    <w:abstractNumId w:val="93"/>
  </w:num>
  <w:num w:numId="17">
    <w:abstractNumId w:val="89"/>
  </w:num>
  <w:num w:numId="18">
    <w:abstractNumId w:val="5"/>
  </w:num>
  <w:num w:numId="19">
    <w:abstractNumId w:val="112"/>
  </w:num>
  <w:num w:numId="20">
    <w:abstractNumId w:val="25"/>
  </w:num>
  <w:num w:numId="21">
    <w:abstractNumId w:val="78"/>
  </w:num>
  <w:num w:numId="22">
    <w:abstractNumId w:val="113"/>
  </w:num>
  <w:num w:numId="23">
    <w:abstractNumId w:val="53"/>
  </w:num>
  <w:num w:numId="24">
    <w:abstractNumId w:val="99"/>
  </w:num>
  <w:num w:numId="25">
    <w:abstractNumId w:val="116"/>
  </w:num>
  <w:num w:numId="26">
    <w:abstractNumId w:val="31"/>
  </w:num>
  <w:num w:numId="27">
    <w:abstractNumId w:val="117"/>
  </w:num>
  <w:num w:numId="28">
    <w:abstractNumId w:val="75"/>
  </w:num>
  <w:num w:numId="29">
    <w:abstractNumId w:val="63"/>
  </w:num>
  <w:num w:numId="30">
    <w:abstractNumId w:val="107"/>
  </w:num>
  <w:num w:numId="31">
    <w:abstractNumId w:val="79"/>
  </w:num>
  <w:num w:numId="32">
    <w:abstractNumId w:val="68"/>
  </w:num>
  <w:num w:numId="33">
    <w:abstractNumId w:val="81"/>
  </w:num>
  <w:num w:numId="34">
    <w:abstractNumId w:val="108"/>
  </w:num>
  <w:num w:numId="35">
    <w:abstractNumId w:val="19"/>
  </w:num>
  <w:num w:numId="36">
    <w:abstractNumId w:val="83"/>
  </w:num>
  <w:num w:numId="37">
    <w:abstractNumId w:val="114"/>
  </w:num>
  <w:num w:numId="38">
    <w:abstractNumId w:val="49"/>
  </w:num>
  <w:num w:numId="39">
    <w:abstractNumId w:val="57"/>
  </w:num>
  <w:num w:numId="40">
    <w:abstractNumId w:val="10"/>
  </w:num>
  <w:num w:numId="41">
    <w:abstractNumId w:val="80"/>
  </w:num>
  <w:num w:numId="42">
    <w:abstractNumId w:val="94"/>
  </w:num>
  <w:num w:numId="43">
    <w:abstractNumId w:val="36"/>
  </w:num>
  <w:num w:numId="44">
    <w:abstractNumId w:val="77"/>
  </w:num>
  <w:num w:numId="45">
    <w:abstractNumId w:val="51"/>
  </w:num>
  <w:num w:numId="46">
    <w:abstractNumId w:val="21"/>
  </w:num>
  <w:num w:numId="47">
    <w:abstractNumId w:val="54"/>
  </w:num>
  <w:num w:numId="48">
    <w:abstractNumId w:val="58"/>
  </w:num>
  <w:num w:numId="49">
    <w:abstractNumId w:val="17"/>
  </w:num>
  <w:num w:numId="50">
    <w:abstractNumId w:val="34"/>
  </w:num>
  <w:num w:numId="51">
    <w:abstractNumId w:val="67"/>
  </w:num>
  <w:num w:numId="52">
    <w:abstractNumId w:val="88"/>
  </w:num>
  <w:num w:numId="53">
    <w:abstractNumId w:val="27"/>
  </w:num>
  <w:num w:numId="54">
    <w:abstractNumId w:val="28"/>
  </w:num>
  <w:num w:numId="55">
    <w:abstractNumId w:val="66"/>
  </w:num>
  <w:num w:numId="56">
    <w:abstractNumId w:val="109"/>
  </w:num>
  <w:num w:numId="57">
    <w:abstractNumId w:val="55"/>
  </w:num>
  <w:num w:numId="58">
    <w:abstractNumId w:val="20"/>
  </w:num>
  <w:num w:numId="59">
    <w:abstractNumId w:val="71"/>
  </w:num>
  <w:num w:numId="60">
    <w:abstractNumId w:val="92"/>
  </w:num>
  <w:num w:numId="61">
    <w:abstractNumId w:val="103"/>
  </w:num>
  <w:num w:numId="62">
    <w:abstractNumId w:val="13"/>
  </w:num>
  <w:num w:numId="63">
    <w:abstractNumId w:val="73"/>
  </w:num>
  <w:num w:numId="64">
    <w:abstractNumId w:val="48"/>
  </w:num>
  <w:num w:numId="65">
    <w:abstractNumId w:val="4"/>
  </w:num>
  <w:num w:numId="66">
    <w:abstractNumId w:val="119"/>
  </w:num>
  <w:num w:numId="67">
    <w:abstractNumId w:val="61"/>
  </w:num>
  <w:num w:numId="68">
    <w:abstractNumId w:val="62"/>
  </w:num>
  <w:num w:numId="69">
    <w:abstractNumId w:val="44"/>
  </w:num>
  <w:num w:numId="70">
    <w:abstractNumId w:val="104"/>
  </w:num>
  <w:num w:numId="71">
    <w:abstractNumId w:val="14"/>
  </w:num>
  <w:num w:numId="72">
    <w:abstractNumId w:val="110"/>
  </w:num>
  <w:num w:numId="73">
    <w:abstractNumId w:val="85"/>
  </w:num>
  <w:num w:numId="74">
    <w:abstractNumId w:val="29"/>
  </w:num>
  <w:num w:numId="75">
    <w:abstractNumId w:val="2"/>
  </w:num>
  <w:num w:numId="76">
    <w:abstractNumId w:val="74"/>
  </w:num>
  <w:num w:numId="77">
    <w:abstractNumId w:val="9"/>
  </w:num>
  <w:num w:numId="78">
    <w:abstractNumId w:val="91"/>
  </w:num>
  <w:num w:numId="79">
    <w:abstractNumId w:val="11"/>
  </w:num>
  <w:num w:numId="80">
    <w:abstractNumId w:val="64"/>
  </w:num>
  <w:num w:numId="81">
    <w:abstractNumId w:val="0"/>
  </w:num>
  <w:num w:numId="82">
    <w:abstractNumId w:val="100"/>
  </w:num>
  <w:num w:numId="83">
    <w:abstractNumId w:val="120"/>
  </w:num>
  <w:num w:numId="84">
    <w:abstractNumId w:val="60"/>
  </w:num>
  <w:num w:numId="85">
    <w:abstractNumId w:val="38"/>
  </w:num>
  <w:num w:numId="86">
    <w:abstractNumId w:val="76"/>
  </w:num>
  <w:num w:numId="87">
    <w:abstractNumId w:val="118"/>
  </w:num>
  <w:num w:numId="88">
    <w:abstractNumId w:val="69"/>
  </w:num>
  <w:num w:numId="89">
    <w:abstractNumId w:val="101"/>
  </w:num>
  <w:num w:numId="90">
    <w:abstractNumId w:val="42"/>
  </w:num>
  <w:num w:numId="91">
    <w:abstractNumId w:val="35"/>
  </w:num>
  <w:num w:numId="92">
    <w:abstractNumId w:val="105"/>
  </w:num>
  <w:num w:numId="93">
    <w:abstractNumId w:val="50"/>
  </w:num>
  <w:num w:numId="94">
    <w:abstractNumId w:val="47"/>
  </w:num>
  <w:num w:numId="95">
    <w:abstractNumId w:val="33"/>
  </w:num>
  <w:num w:numId="96">
    <w:abstractNumId w:val="45"/>
  </w:num>
  <w:num w:numId="97">
    <w:abstractNumId w:val="16"/>
  </w:num>
  <w:num w:numId="98">
    <w:abstractNumId w:val="15"/>
  </w:num>
  <w:num w:numId="99">
    <w:abstractNumId w:val="59"/>
  </w:num>
  <w:num w:numId="100">
    <w:abstractNumId w:val="39"/>
  </w:num>
  <w:num w:numId="101">
    <w:abstractNumId w:val="102"/>
  </w:num>
  <w:num w:numId="102">
    <w:abstractNumId w:val="52"/>
  </w:num>
  <w:num w:numId="103">
    <w:abstractNumId w:val="90"/>
  </w:num>
  <w:num w:numId="104">
    <w:abstractNumId w:val="98"/>
  </w:num>
  <w:num w:numId="105">
    <w:abstractNumId w:val="97"/>
  </w:num>
  <w:num w:numId="106">
    <w:abstractNumId w:val="43"/>
  </w:num>
  <w:num w:numId="107">
    <w:abstractNumId w:val="7"/>
  </w:num>
  <w:num w:numId="108">
    <w:abstractNumId w:val="115"/>
  </w:num>
  <w:num w:numId="109">
    <w:abstractNumId w:val="82"/>
  </w:num>
  <w:num w:numId="110">
    <w:abstractNumId w:val="84"/>
  </w:num>
  <w:num w:numId="111">
    <w:abstractNumId w:val="111"/>
  </w:num>
  <w:num w:numId="112">
    <w:abstractNumId w:val="8"/>
  </w:num>
  <w:num w:numId="113">
    <w:abstractNumId w:val="106"/>
  </w:num>
  <w:num w:numId="114">
    <w:abstractNumId w:val="96"/>
  </w:num>
  <w:num w:numId="115">
    <w:abstractNumId w:val="12"/>
  </w:num>
  <w:num w:numId="116">
    <w:abstractNumId w:val="23"/>
  </w:num>
  <w:num w:numId="117">
    <w:abstractNumId w:val="32"/>
  </w:num>
  <w:num w:numId="118">
    <w:abstractNumId w:val="6"/>
  </w:num>
  <w:num w:numId="119">
    <w:abstractNumId w:val="65"/>
  </w:num>
  <w:num w:numId="120">
    <w:abstractNumId w:val="22"/>
  </w:num>
  <w:num w:numId="1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isplayHorizontalDrawingGridEvery w:val="1"/>
  <w:displayVerticalDrawingGridEvery w:val="1"/>
  <w:doNotUseMarginsForDrawingGridOrigin w:val="1"/>
  <w:drawingGridHorizontalOrigin w:val="1800"/>
  <w:drawingGridVerticalOrigin w:val="1440"/>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0B6"/>
    <w:rsid w:val="00004246"/>
    <w:rsid w:val="000042EB"/>
    <w:rsid w:val="0000619C"/>
    <w:rsid w:val="00011C59"/>
    <w:rsid w:val="00013D17"/>
    <w:rsid w:val="00016A35"/>
    <w:rsid w:val="00016DA0"/>
    <w:rsid w:val="00023E5B"/>
    <w:rsid w:val="000242FB"/>
    <w:rsid w:val="00024FCF"/>
    <w:rsid w:val="00025403"/>
    <w:rsid w:val="00031828"/>
    <w:rsid w:val="00032027"/>
    <w:rsid w:val="0003559D"/>
    <w:rsid w:val="00042A8B"/>
    <w:rsid w:val="000430EA"/>
    <w:rsid w:val="00046620"/>
    <w:rsid w:val="00055000"/>
    <w:rsid w:val="000618FB"/>
    <w:rsid w:val="0006544D"/>
    <w:rsid w:val="00080CB6"/>
    <w:rsid w:val="00081038"/>
    <w:rsid w:val="000811C2"/>
    <w:rsid w:val="00091E99"/>
    <w:rsid w:val="00095C6C"/>
    <w:rsid w:val="000962A7"/>
    <w:rsid w:val="00096693"/>
    <w:rsid w:val="000968E2"/>
    <w:rsid w:val="000A2707"/>
    <w:rsid w:val="000A54B0"/>
    <w:rsid w:val="000B4760"/>
    <w:rsid w:val="000C01CE"/>
    <w:rsid w:val="000C1639"/>
    <w:rsid w:val="000C3CFA"/>
    <w:rsid w:val="000C7C81"/>
    <w:rsid w:val="000D30C2"/>
    <w:rsid w:val="000E2E33"/>
    <w:rsid w:val="000E549B"/>
    <w:rsid w:val="000F1F60"/>
    <w:rsid w:val="00104ACD"/>
    <w:rsid w:val="0010525D"/>
    <w:rsid w:val="0010561B"/>
    <w:rsid w:val="001123A4"/>
    <w:rsid w:val="001130C7"/>
    <w:rsid w:val="00113AC7"/>
    <w:rsid w:val="00120E77"/>
    <w:rsid w:val="001230A9"/>
    <w:rsid w:val="001230F7"/>
    <w:rsid w:val="001234D9"/>
    <w:rsid w:val="00131391"/>
    <w:rsid w:val="00132B72"/>
    <w:rsid w:val="001349A8"/>
    <w:rsid w:val="001349CE"/>
    <w:rsid w:val="001357B4"/>
    <w:rsid w:val="0014172A"/>
    <w:rsid w:val="00142742"/>
    <w:rsid w:val="00142C21"/>
    <w:rsid w:val="001469A5"/>
    <w:rsid w:val="00146CB7"/>
    <w:rsid w:val="00147240"/>
    <w:rsid w:val="001479C1"/>
    <w:rsid w:val="0015391D"/>
    <w:rsid w:val="0015442E"/>
    <w:rsid w:val="00162748"/>
    <w:rsid w:val="0016786D"/>
    <w:rsid w:val="00171D88"/>
    <w:rsid w:val="00172379"/>
    <w:rsid w:val="00184D80"/>
    <w:rsid w:val="0019247C"/>
    <w:rsid w:val="001A5BA7"/>
    <w:rsid w:val="001A66EB"/>
    <w:rsid w:val="001B0AEB"/>
    <w:rsid w:val="001B2A3E"/>
    <w:rsid w:val="001B45C0"/>
    <w:rsid w:val="001B6D9E"/>
    <w:rsid w:val="001C0F83"/>
    <w:rsid w:val="001C1713"/>
    <w:rsid w:val="001C3FB0"/>
    <w:rsid w:val="001C46EC"/>
    <w:rsid w:val="001C6AF2"/>
    <w:rsid w:val="001D1E1A"/>
    <w:rsid w:val="001D3142"/>
    <w:rsid w:val="001D47B0"/>
    <w:rsid w:val="001E15FE"/>
    <w:rsid w:val="001E3A78"/>
    <w:rsid w:val="001E5817"/>
    <w:rsid w:val="001E671A"/>
    <w:rsid w:val="001E721B"/>
    <w:rsid w:val="001F07FC"/>
    <w:rsid w:val="001F0873"/>
    <w:rsid w:val="001F617E"/>
    <w:rsid w:val="002051FC"/>
    <w:rsid w:val="00205B4A"/>
    <w:rsid w:val="00207F1C"/>
    <w:rsid w:val="0021068C"/>
    <w:rsid w:val="002119D9"/>
    <w:rsid w:val="00212D3D"/>
    <w:rsid w:val="002139A6"/>
    <w:rsid w:val="00221ED2"/>
    <w:rsid w:val="002221A6"/>
    <w:rsid w:val="00225570"/>
    <w:rsid w:val="0022586D"/>
    <w:rsid w:val="0022722F"/>
    <w:rsid w:val="00236221"/>
    <w:rsid w:val="0023629C"/>
    <w:rsid w:val="0023744C"/>
    <w:rsid w:val="00237558"/>
    <w:rsid w:val="0024129E"/>
    <w:rsid w:val="0024370A"/>
    <w:rsid w:val="002444CD"/>
    <w:rsid w:val="00247334"/>
    <w:rsid w:val="00250D5D"/>
    <w:rsid w:val="00253827"/>
    <w:rsid w:val="00254684"/>
    <w:rsid w:val="00254E9B"/>
    <w:rsid w:val="002567FC"/>
    <w:rsid w:val="00257759"/>
    <w:rsid w:val="00257E32"/>
    <w:rsid w:val="002629A9"/>
    <w:rsid w:val="002668AA"/>
    <w:rsid w:val="00266CD3"/>
    <w:rsid w:val="00275FF8"/>
    <w:rsid w:val="002811C4"/>
    <w:rsid w:val="00281CAF"/>
    <w:rsid w:val="00285A49"/>
    <w:rsid w:val="0028753F"/>
    <w:rsid w:val="00292984"/>
    <w:rsid w:val="00294842"/>
    <w:rsid w:val="00295048"/>
    <w:rsid w:val="00295065"/>
    <w:rsid w:val="0029597D"/>
    <w:rsid w:val="002A0021"/>
    <w:rsid w:val="002A14EF"/>
    <w:rsid w:val="002B1101"/>
    <w:rsid w:val="002B4262"/>
    <w:rsid w:val="002B5505"/>
    <w:rsid w:val="002C3C82"/>
    <w:rsid w:val="002C6873"/>
    <w:rsid w:val="002C6E01"/>
    <w:rsid w:val="002C7CE6"/>
    <w:rsid w:val="002D1CCF"/>
    <w:rsid w:val="002D1F13"/>
    <w:rsid w:val="002D3201"/>
    <w:rsid w:val="002D7D69"/>
    <w:rsid w:val="002E0FE4"/>
    <w:rsid w:val="002E13EF"/>
    <w:rsid w:val="002E2DAB"/>
    <w:rsid w:val="002E5A76"/>
    <w:rsid w:val="002E6E93"/>
    <w:rsid w:val="002F16A2"/>
    <w:rsid w:val="002F74F3"/>
    <w:rsid w:val="002F7DF1"/>
    <w:rsid w:val="00304906"/>
    <w:rsid w:val="0030494B"/>
    <w:rsid w:val="00304D1B"/>
    <w:rsid w:val="00307684"/>
    <w:rsid w:val="00311735"/>
    <w:rsid w:val="003124DA"/>
    <w:rsid w:val="00313A91"/>
    <w:rsid w:val="0031663F"/>
    <w:rsid w:val="00325A16"/>
    <w:rsid w:val="003351D0"/>
    <w:rsid w:val="0033524A"/>
    <w:rsid w:val="00337A50"/>
    <w:rsid w:val="003403D2"/>
    <w:rsid w:val="003418BD"/>
    <w:rsid w:val="00347FA9"/>
    <w:rsid w:val="0035005F"/>
    <w:rsid w:val="00350655"/>
    <w:rsid w:val="00350A16"/>
    <w:rsid w:val="00351BA6"/>
    <w:rsid w:val="00354B20"/>
    <w:rsid w:val="00355268"/>
    <w:rsid w:val="00366012"/>
    <w:rsid w:val="0037212F"/>
    <w:rsid w:val="003756AC"/>
    <w:rsid w:val="00377F18"/>
    <w:rsid w:val="00382954"/>
    <w:rsid w:val="00382B6F"/>
    <w:rsid w:val="00386E01"/>
    <w:rsid w:val="003907BF"/>
    <w:rsid w:val="0039613F"/>
    <w:rsid w:val="003A1B68"/>
    <w:rsid w:val="003A33E8"/>
    <w:rsid w:val="003A3BBB"/>
    <w:rsid w:val="003A6C59"/>
    <w:rsid w:val="003B6CEE"/>
    <w:rsid w:val="003B7F5E"/>
    <w:rsid w:val="003C0D47"/>
    <w:rsid w:val="003C2789"/>
    <w:rsid w:val="003C2917"/>
    <w:rsid w:val="003C35B7"/>
    <w:rsid w:val="003D0DCF"/>
    <w:rsid w:val="003D4102"/>
    <w:rsid w:val="003D53B7"/>
    <w:rsid w:val="003D620C"/>
    <w:rsid w:val="003D6F92"/>
    <w:rsid w:val="003E061E"/>
    <w:rsid w:val="003E0A37"/>
    <w:rsid w:val="003E1131"/>
    <w:rsid w:val="003F0364"/>
    <w:rsid w:val="003F4B0D"/>
    <w:rsid w:val="003F5082"/>
    <w:rsid w:val="00402A3F"/>
    <w:rsid w:val="00403055"/>
    <w:rsid w:val="00403663"/>
    <w:rsid w:val="00421F80"/>
    <w:rsid w:val="00430532"/>
    <w:rsid w:val="00431DC6"/>
    <w:rsid w:val="00432F00"/>
    <w:rsid w:val="00433CBC"/>
    <w:rsid w:val="00434B52"/>
    <w:rsid w:val="00435A23"/>
    <w:rsid w:val="004362B5"/>
    <w:rsid w:val="0043633E"/>
    <w:rsid w:val="0044395B"/>
    <w:rsid w:val="00451130"/>
    <w:rsid w:val="00456EAA"/>
    <w:rsid w:val="00471482"/>
    <w:rsid w:val="00474491"/>
    <w:rsid w:val="004753AA"/>
    <w:rsid w:val="00475AF0"/>
    <w:rsid w:val="004805DD"/>
    <w:rsid w:val="00480F36"/>
    <w:rsid w:val="0048341A"/>
    <w:rsid w:val="00486E9B"/>
    <w:rsid w:val="00487764"/>
    <w:rsid w:val="00492C50"/>
    <w:rsid w:val="004A2F9E"/>
    <w:rsid w:val="004A44C5"/>
    <w:rsid w:val="004A6D63"/>
    <w:rsid w:val="004B028D"/>
    <w:rsid w:val="004B113E"/>
    <w:rsid w:val="004B7452"/>
    <w:rsid w:val="004C0C73"/>
    <w:rsid w:val="004D0127"/>
    <w:rsid w:val="004E4518"/>
    <w:rsid w:val="004E5631"/>
    <w:rsid w:val="004E5834"/>
    <w:rsid w:val="004E5B56"/>
    <w:rsid w:val="004E7473"/>
    <w:rsid w:val="004F462C"/>
    <w:rsid w:val="004F7106"/>
    <w:rsid w:val="0050117D"/>
    <w:rsid w:val="00501435"/>
    <w:rsid w:val="00504813"/>
    <w:rsid w:val="00511E7B"/>
    <w:rsid w:val="00526A13"/>
    <w:rsid w:val="00527157"/>
    <w:rsid w:val="00527C61"/>
    <w:rsid w:val="00532333"/>
    <w:rsid w:val="0053313F"/>
    <w:rsid w:val="00536B52"/>
    <w:rsid w:val="00542D55"/>
    <w:rsid w:val="00546CFA"/>
    <w:rsid w:val="00550ADB"/>
    <w:rsid w:val="00552D57"/>
    <w:rsid w:val="00553689"/>
    <w:rsid w:val="0055502C"/>
    <w:rsid w:val="0057143D"/>
    <w:rsid w:val="005724EB"/>
    <w:rsid w:val="00573067"/>
    <w:rsid w:val="005765CC"/>
    <w:rsid w:val="00580C89"/>
    <w:rsid w:val="005932E9"/>
    <w:rsid w:val="00593E74"/>
    <w:rsid w:val="005A11E1"/>
    <w:rsid w:val="005B1FC2"/>
    <w:rsid w:val="005B61C1"/>
    <w:rsid w:val="005C320F"/>
    <w:rsid w:val="005C4DAD"/>
    <w:rsid w:val="005D42FC"/>
    <w:rsid w:val="005D750A"/>
    <w:rsid w:val="005E2348"/>
    <w:rsid w:val="005E23EE"/>
    <w:rsid w:val="005E4B12"/>
    <w:rsid w:val="005E4E22"/>
    <w:rsid w:val="005E6997"/>
    <w:rsid w:val="005E6B09"/>
    <w:rsid w:val="005F0256"/>
    <w:rsid w:val="005F28C1"/>
    <w:rsid w:val="005F3BA9"/>
    <w:rsid w:val="005F4662"/>
    <w:rsid w:val="00600F0F"/>
    <w:rsid w:val="006075B1"/>
    <w:rsid w:val="00613B75"/>
    <w:rsid w:val="00615864"/>
    <w:rsid w:val="006164A1"/>
    <w:rsid w:val="00616828"/>
    <w:rsid w:val="006217D1"/>
    <w:rsid w:val="006223FE"/>
    <w:rsid w:val="00622E98"/>
    <w:rsid w:val="006249B2"/>
    <w:rsid w:val="00625C78"/>
    <w:rsid w:val="00630426"/>
    <w:rsid w:val="006327F5"/>
    <w:rsid w:val="00637C40"/>
    <w:rsid w:val="006457C5"/>
    <w:rsid w:val="00646958"/>
    <w:rsid w:val="00646BBD"/>
    <w:rsid w:val="006531D9"/>
    <w:rsid w:val="00657813"/>
    <w:rsid w:val="0066135A"/>
    <w:rsid w:val="0066144E"/>
    <w:rsid w:val="006627F5"/>
    <w:rsid w:val="00670F8E"/>
    <w:rsid w:val="00671865"/>
    <w:rsid w:val="0067308B"/>
    <w:rsid w:val="00677339"/>
    <w:rsid w:val="0068452C"/>
    <w:rsid w:val="00684CD9"/>
    <w:rsid w:val="00691F8F"/>
    <w:rsid w:val="0069389F"/>
    <w:rsid w:val="00694EEF"/>
    <w:rsid w:val="006962D5"/>
    <w:rsid w:val="006A2D36"/>
    <w:rsid w:val="006A2F3A"/>
    <w:rsid w:val="006A3467"/>
    <w:rsid w:val="006B57E6"/>
    <w:rsid w:val="006B6D96"/>
    <w:rsid w:val="006C37E3"/>
    <w:rsid w:val="006C5004"/>
    <w:rsid w:val="006D059E"/>
    <w:rsid w:val="006D5815"/>
    <w:rsid w:val="006D63F3"/>
    <w:rsid w:val="006E0E1B"/>
    <w:rsid w:val="006E4748"/>
    <w:rsid w:val="006E4EC9"/>
    <w:rsid w:val="006F0747"/>
    <w:rsid w:val="006F1514"/>
    <w:rsid w:val="006F503E"/>
    <w:rsid w:val="007004EB"/>
    <w:rsid w:val="007009DD"/>
    <w:rsid w:val="00702A2C"/>
    <w:rsid w:val="00702E23"/>
    <w:rsid w:val="00704CED"/>
    <w:rsid w:val="00707107"/>
    <w:rsid w:val="00710C89"/>
    <w:rsid w:val="00725A57"/>
    <w:rsid w:val="00725B13"/>
    <w:rsid w:val="007305EA"/>
    <w:rsid w:val="00731701"/>
    <w:rsid w:val="00735512"/>
    <w:rsid w:val="00735A52"/>
    <w:rsid w:val="00737748"/>
    <w:rsid w:val="007401EF"/>
    <w:rsid w:val="007428CC"/>
    <w:rsid w:val="007472CE"/>
    <w:rsid w:val="00747778"/>
    <w:rsid w:val="007555A8"/>
    <w:rsid w:val="00755CC0"/>
    <w:rsid w:val="0076177D"/>
    <w:rsid w:val="00761F78"/>
    <w:rsid w:val="00766090"/>
    <w:rsid w:val="00767A19"/>
    <w:rsid w:val="00770BC4"/>
    <w:rsid w:val="00770DD2"/>
    <w:rsid w:val="00773EA4"/>
    <w:rsid w:val="007753C2"/>
    <w:rsid w:val="00782D69"/>
    <w:rsid w:val="00785022"/>
    <w:rsid w:val="00786442"/>
    <w:rsid w:val="007864D5"/>
    <w:rsid w:val="0078694E"/>
    <w:rsid w:val="00787EBD"/>
    <w:rsid w:val="007921B1"/>
    <w:rsid w:val="0079382A"/>
    <w:rsid w:val="00797DF6"/>
    <w:rsid w:val="007A0B1D"/>
    <w:rsid w:val="007A172C"/>
    <w:rsid w:val="007A1B83"/>
    <w:rsid w:val="007A7D93"/>
    <w:rsid w:val="007B51D5"/>
    <w:rsid w:val="007B5565"/>
    <w:rsid w:val="007B7E42"/>
    <w:rsid w:val="007C196C"/>
    <w:rsid w:val="007C3590"/>
    <w:rsid w:val="007C3620"/>
    <w:rsid w:val="007C3EFA"/>
    <w:rsid w:val="007C4587"/>
    <w:rsid w:val="007C47A4"/>
    <w:rsid w:val="007D2D47"/>
    <w:rsid w:val="007D4D94"/>
    <w:rsid w:val="007D52F7"/>
    <w:rsid w:val="007E4F6C"/>
    <w:rsid w:val="007F434B"/>
    <w:rsid w:val="007F7E44"/>
    <w:rsid w:val="008047CD"/>
    <w:rsid w:val="00807557"/>
    <w:rsid w:val="00811342"/>
    <w:rsid w:val="00811CC1"/>
    <w:rsid w:val="00811E18"/>
    <w:rsid w:val="00816383"/>
    <w:rsid w:val="008200FF"/>
    <w:rsid w:val="008204FB"/>
    <w:rsid w:val="008230F7"/>
    <w:rsid w:val="008308E7"/>
    <w:rsid w:val="00833F37"/>
    <w:rsid w:val="008350D6"/>
    <w:rsid w:val="00836C15"/>
    <w:rsid w:val="00840EC3"/>
    <w:rsid w:val="0084209C"/>
    <w:rsid w:val="008420DB"/>
    <w:rsid w:val="008439CA"/>
    <w:rsid w:val="00844C29"/>
    <w:rsid w:val="0084509D"/>
    <w:rsid w:val="00846BF8"/>
    <w:rsid w:val="00847D2E"/>
    <w:rsid w:val="008546BE"/>
    <w:rsid w:val="00855D47"/>
    <w:rsid w:val="00857D7A"/>
    <w:rsid w:val="0086072C"/>
    <w:rsid w:val="00860CE5"/>
    <w:rsid w:val="0086271F"/>
    <w:rsid w:val="00862E23"/>
    <w:rsid w:val="00863802"/>
    <w:rsid w:val="00865060"/>
    <w:rsid w:val="0086508D"/>
    <w:rsid w:val="008722AC"/>
    <w:rsid w:val="008743B3"/>
    <w:rsid w:val="008757E5"/>
    <w:rsid w:val="00880B27"/>
    <w:rsid w:val="00881785"/>
    <w:rsid w:val="00881E5A"/>
    <w:rsid w:val="008824AF"/>
    <w:rsid w:val="00883EA8"/>
    <w:rsid w:val="008918EB"/>
    <w:rsid w:val="00892314"/>
    <w:rsid w:val="008926D8"/>
    <w:rsid w:val="00893FE6"/>
    <w:rsid w:val="008966E1"/>
    <w:rsid w:val="00896CD6"/>
    <w:rsid w:val="008A1165"/>
    <w:rsid w:val="008B164E"/>
    <w:rsid w:val="008B7B7B"/>
    <w:rsid w:val="008C3A2C"/>
    <w:rsid w:val="008C502A"/>
    <w:rsid w:val="008C66B4"/>
    <w:rsid w:val="008C6E46"/>
    <w:rsid w:val="008C7F59"/>
    <w:rsid w:val="008D676B"/>
    <w:rsid w:val="008D7629"/>
    <w:rsid w:val="008E11F3"/>
    <w:rsid w:val="008E4B12"/>
    <w:rsid w:val="008E6335"/>
    <w:rsid w:val="008F1711"/>
    <w:rsid w:val="008F1B6F"/>
    <w:rsid w:val="008F6040"/>
    <w:rsid w:val="008F724D"/>
    <w:rsid w:val="00901324"/>
    <w:rsid w:val="00906165"/>
    <w:rsid w:val="00911036"/>
    <w:rsid w:val="00911957"/>
    <w:rsid w:val="0091394A"/>
    <w:rsid w:val="009165A2"/>
    <w:rsid w:val="00920263"/>
    <w:rsid w:val="00920700"/>
    <w:rsid w:val="00926EA3"/>
    <w:rsid w:val="00927238"/>
    <w:rsid w:val="009402AB"/>
    <w:rsid w:val="00940977"/>
    <w:rsid w:val="00942E72"/>
    <w:rsid w:val="009432E5"/>
    <w:rsid w:val="009533C2"/>
    <w:rsid w:val="009553A0"/>
    <w:rsid w:val="009609A5"/>
    <w:rsid w:val="00961F75"/>
    <w:rsid w:val="009628ED"/>
    <w:rsid w:val="0096725C"/>
    <w:rsid w:val="00971229"/>
    <w:rsid w:val="009714B1"/>
    <w:rsid w:val="009716D5"/>
    <w:rsid w:val="00972A9E"/>
    <w:rsid w:val="00975357"/>
    <w:rsid w:val="00980933"/>
    <w:rsid w:val="0099002B"/>
    <w:rsid w:val="00994860"/>
    <w:rsid w:val="009949E2"/>
    <w:rsid w:val="00994F3D"/>
    <w:rsid w:val="009965A1"/>
    <w:rsid w:val="009A0F9D"/>
    <w:rsid w:val="009A130B"/>
    <w:rsid w:val="009A140C"/>
    <w:rsid w:val="009A1DBC"/>
    <w:rsid w:val="009A23F7"/>
    <w:rsid w:val="009B181D"/>
    <w:rsid w:val="009B6E04"/>
    <w:rsid w:val="009C0A07"/>
    <w:rsid w:val="009C0AB8"/>
    <w:rsid w:val="009C121F"/>
    <w:rsid w:val="009C139C"/>
    <w:rsid w:val="009C3838"/>
    <w:rsid w:val="009C51D5"/>
    <w:rsid w:val="009C6148"/>
    <w:rsid w:val="009D1A3D"/>
    <w:rsid w:val="009D434B"/>
    <w:rsid w:val="009D4CDC"/>
    <w:rsid w:val="009E5B0C"/>
    <w:rsid w:val="009E6236"/>
    <w:rsid w:val="009F3A7B"/>
    <w:rsid w:val="009F5281"/>
    <w:rsid w:val="00A0139B"/>
    <w:rsid w:val="00A168DF"/>
    <w:rsid w:val="00A17502"/>
    <w:rsid w:val="00A23A87"/>
    <w:rsid w:val="00A24502"/>
    <w:rsid w:val="00A254AC"/>
    <w:rsid w:val="00A3693D"/>
    <w:rsid w:val="00A36EB7"/>
    <w:rsid w:val="00A42DE0"/>
    <w:rsid w:val="00A440CA"/>
    <w:rsid w:val="00A47E85"/>
    <w:rsid w:val="00A50002"/>
    <w:rsid w:val="00A50152"/>
    <w:rsid w:val="00A55AA9"/>
    <w:rsid w:val="00A55ADE"/>
    <w:rsid w:val="00A562D7"/>
    <w:rsid w:val="00A60D53"/>
    <w:rsid w:val="00A61F46"/>
    <w:rsid w:val="00A6250C"/>
    <w:rsid w:val="00A713A8"/>
    <w:rsid w:val="00A736C5"/>
    <w:rsid w:val="00A74C37"/>
    <w:rsid w:val="00A80778"/>
    <w:rsid w:val="00A8142C"/>
    <w:rsid w:val="00A831E8"/>
    <w:rsid w:val="00A833E7"/>
    <w:rsid w:val="00A83D59"/>
    <w:rsid w:val="00A865D2"/>
    <w:rsid w:val="00A94383"/>
    <w:rsid w:val="00A96EA4"/>
    <w:rsid w:val="00AA065C"/>
    <w:rsid w:val="00AA0C3F"/>
    <w:rsid w:val="00AA0DE3"/>
    <w:rsid w:val="00AA2AC7"/>
    <w:rsid w:val="00AA66E5"/>
    <w:rsid w:val="00AB17C9"/>
    <w:rsid w:val="00AB33BF"/>
    <w:rsid w:val="00AB3E6C"/>
    <w:rsid w:val="00AB577D"/>
    <w:rsid w:val="00AC1FFA"/>
    <w:rsid w:val="00AD0CA2"/>
    <w:rsid w:val="00AD50CC"/>
    <w:rsid w:val="00AE7771"/>
    <w:rsid w:val="00AF19F8"/>
    <w:rsid w:val="00AF39B5"/>
    <w:rsid w:val="00B00CC7"/>
    <w:rsid w:val="00B04AD1"/>
    <w:rsid w:val="00B131FE"/>
    <w:rsid w:val="00B15DF0"/>
    <w:rsid w:val="00B178A0"/>
    <w:rsid w:val="00B22710"/>
    <w:rsid w:val="00B25F7C"/>
    <w:rsid w:val="00B262E7"/>
    <w:rsid w:val="00B267B2"/>
    <w:rsid w:val="00B63387"/>
    <w:rsid w:val="00B67BF9"/>
    <w:rsid w:val="00B67E20"/>
    <w:rsid w:val="00B81D40"/>
    <w:rsid w:val="00B948CE"/>
    <w:rsid w:val="00B952A7"/>
    <w:rsid w:val="00B97A79"/>
    <w:rsid w:val="00B97B80"/>
    <w:rsid w:val="00BA0A17"/>
    <w:rsid w:val="00BA26DF"/>
    <w:rsid w:val="00BA2F13"/>
    <w:rsid w:val="00BA2FA0"/>
    <w:rsid w:val="00BA39C7"/>
    <w:rsid w:val="00BB08A3"/>
    <w:rsid w:val="00BB3CA6"/>
    <w:rsid w:val="00BB479F"/>
    <w:rsid w:val="00BB48BC"/>
    <w:rsid w:val="00BC659E"/>
    <w:rsid w:val="00BD0266"/>
    <w:rsid w:val="00BD3D44"/>
    <w:rsid w:val="00BD6749"/>
    <w:rsid w:val="00BE1E00"/>
    <w:rsid w:val="00BE7BEC"/>
    <w:rsid w:val="00BF2ACA"/>
    <w:rsid w:val="00C030E8"/>
    <w:rsid w:val="00C04AEB"/>
    <w:rsid w:val="00C05170"/>
    <w:rsid w:val="00C05FA6"/>
    <w:rsid w:val="00C06CD3"/>
    <w:rsid w:val="00C07594"/>
    <w:rsid w:val="00C126F6"/>
    <w:rsid w:val="00C13856"/>
    <w:rsid w:val="00C15BEF"/>
    <w:rsid w:val="00C203E3"/>
    <w:rsid w:val="00C24D47"/>
    <w:rsid w:val="00C263E3"/>
    <w:rsid w:val="00C27AA9"/>
    <w:rsid w:val="00C31F38"/>
    <w:rsid w:val="00C335DA"/>
    <w:rsid w:val="00C41903"/>
    <w:rsid w:val="00C42D4A"/>
    <w:rsid w:val="00C43719"/>
    <w:rsid w:val="00C43A1C"/>
    <w:rsid w:val="00C463DD"/>
    <w:rsid w:val="00C50C20"/>
    <w:rsid w:val="00C5438D"/>
    <w:rsid w:val="00C56F9F"/>
    <w:rsid w:val="00C6292D"/>
    <w:rsid w:val="00C62D72"/>
    <w:rsid w:val="00C65490"/>
    <w:rsid w:val="00C66537"/>
    <w:rsid w:val="00C700F0"/>
    <w:rsid w:val="00C80498"/>
    <w:rsid w:val="00C86708"/>
    <w:rsid w:val="00C8720B"/>
    <w:rsid w:val="00C8743A"/>
    <w:rsid w:val="00C902E8"/>
    <w:rsid w:val="00C93924"/>
    <w:rsid w:val="00C9431A"/>
    <w:rsid w:val="00C954A6"/>
    <w:rsid w:val="00C9579E"/>
    <w:rsid w:val="00C9612F"/>
    <w:rsid w:val="00CA2A51"/>
    <w:rsid w:val="00CA42DA"/>
    <w:rsid w:val="00CA4343"/>
    <w:rsid w:val="00CA568D"/>
    <w:rsid w:val="00CA5997"/>
    <w:rsid w:val="00CB039C"/>
    <w:rsid w:val="00CB0C1A"/>
    <w:rsid w:val="00CB1C9D"/>
    <w:rsid w:val="00CB2C86"/>
    <w:rsid w:val="00CB4DD3"/>
    <w:rsid w:val="00CB5790"/>
    <w:rsid w:val="00CC0B92"/>
    <w:rsid w:val="00CC266B"/>
    <w:rsid w:val="00CC5314"/>
    <w:rsid w:val="00CC6FF6"/>
    <w:rsid w:val="00CD3A70"/>
    <w:rsid w:val="00CD516A"/>
    <w:rsid w:val="00CE0860"/>
    <w:rsid w:val="00CE5105"/>
    <w:rsid w:val="00CE581C"/>
    <w:rsid w:val="00D00480"/>
    <w:rsid w:val="00D0227C"/>
    <w:rsid w:val="00D1030C"/>
    <w:rsid w:val="00D11EDB"/>
    <w:rsid w:val="00D15373"/>
    <w:rsid w:val="00D20702"/>
    <w:rsid w:val="00D23952"/>
    <w:rsid w:val="00D239F1"/>
    <w:rsid w:val="00D249BD"/>
    <w:rsid w:val="00D252F3"/>
    <w:rsid w:val="00D264D6"/>
    <w:rsid w:val="00D27D0E"/>
    <w:rsid w:val="00D314D0"/>
    <w:rsid w:val="00D34920"/>
    <w:rsid w:val="00D45A03"/>
    <w:rsid w:val="00D50B1D"/>
    <w:rsid w:val="00D5456D"/>
    <w:rsid w:val="00D64998"/>
    <w:rsid w:val="00D656F9"/>
    <w:rsid w:val="00D6798E"/>
    <w:rsid w:val="00D70C10"/>
    <w:rsid w:val="00D75207"/>
    <w:rsid w:val="00D85D54"/>
    <w:rsid w:val="00D9603F"/>
    <w:rsid w:val="00D96249"/>
    <w:rsid w:val="00D979BC"/>
    <w:rsid w:val="00DA14FD"/>
    <w:rsid w:val="00DA3491"/>
    <w:rsid w:val="00DA65BC"/>
    <w:rsid w:val="00DA6D9B"/>
    <w:rsid w:val="00DB138B"/>
    <w:rsid w:val="00DB24DC"/>
    <w:rsid w:val="00DB4EFE"/>
    <w:rsid w:val="00DB5330"/>
    <w:rsid w:val="00DC1E45"/>
    <w:rsid w:val="00DC5604"/>
    <w:rsid w:val="00DD23F7"/>
    <w:rsid w:val="00DD7016"/>
    <w:rsid w:val="00DD7463"/>
    <w:rsid w:val="00DF02B6"/>
    <w:rsid w:val="00DF685A"/>
    <w:rsid w:val="00DF6E1E"/>
    <w:rsid w:val="00E31E6F"/>
    <w:rsid w:val="00E35F90"/>
    <w:rsid w:val="00E36B8E"/>
    <w:rsid w:val="00E37C50"/>
    <w:rsid w:val="00E47139"/>
    <w:rsid w:val="00E53352"/>
    <w:rsid w:val="00E53FED"/>
    <w:rsid w:val="00E5618F"/>
    <w:rsid w:val="00E57F51"/>
    <w:rsid w:val="00E608D1"/>
    <w:rsid w:val="00E62595"/>
    <w:rsid w:val="00E645C1"/>
    <w:rsid w:val="00E648B1"/>
    <w:rsid w:val="00E668A5"/>
    <w:rsid w:val="00E7181D"/>
    <w:rsid w:val="00E76B15"/>
    <w:rsid w:val="00E81AF9"/>
    <w:rsid w:val="00E81F51"/>
    <w:rsid w:val="00E83D98"/>
    <w:rsid w:val="00E86365"/>
    <w:rsid w:val="00E901A4"/>
    <w:rsid w:val="00E9103D"/>
    <w:rsid w:val="00E919D7"/>
    <w:rsid w:val="00E94C71"/>
    <w:rsid w:val="00E957EF"/>
    <w:rsid w:val="00E96115"/>
    <w:rsid w:val="00EA1FAF"/>
    <w:rsid w:val="00EA4702"/>
    <w:rsid w:val="00EA56ED"/>
    <w:rsid w:val="00EA6A6C"/>
    <w:rsid w:val="00EA6B57"/>
    <w:rsid w:val="00EB0AD6"/>
    <w:rsid w:val="00EB2534"/>
    <w:rsid w:val="00EB690D"/>
    <w:rsid w:val="00EC277D"/>
    <w:rsid w:val="00EC5D83"/>
    <w:rsid w:val="00ED0153"/>
    <w:rsid w:val="00ED3C8E"/>
    <w:rsid w:val="00ED5088"/>
    <w:rsid w:val="00EE3AB6"/>
    <w:rsid w:val="00EE4AD0"/>
    <w:rsid w:val="00EF60E4"/>
    <w:rsid w:val="00F03AEC"/>
    <w:rsid w:val="00F169A8"/>
    <w:rsid w:val="00F17790"/>
    <w:rsid w:val="00F21E3D"/>
    <w:rsid w:val="00F24FBA"/>
    <w:rsid w:val="00F25284"/>
    <w:rsid w:val="00F27487"/>
    <w:rsid w:val="00F30F95"/>
    <w:rsid w:val="00F321A8"/>
    <w:rsid w:val="00F32B37"/>
    <w:rsid w:val="00F32FD4"/>
    <w:rsid w:val="00F33D1F"/>
    <w:rsid w:val="00F357CC"/>
    <w:rsid w:val="00F35B60"/>
    <w:rsid w:val="00F37006"/>
    <w:rsid w:val="00F37142"/>
    <w:rsid w:val="00F3787F"/>
    <w:rsid w:val="00F4020F"/>
    <w:rsid w:val="00F443F7"/>
    <w:rsid w:val="00F447F3"/>
    <w:rsid w:val="00F51E70"/>
    <w:rsid w:val="00F5399A"/>
    <w:rsid w:val="00F539F1"/>
    <w:rsid w:val="00F55DEE"/>
    <w:rsid w:val="00F668DD"/>
    <w:rsid w:val="00F67618"/>
    <w:rsid w:val="00F67EF0"/>
    <w:rsid w:val="00F71BFC"/>
    <w:rsid w:val="00F728DB"/>
    <w:rsid w:val="00F72D7F"/>
    <w:rsid w:val="00F73B44"/>
    <w:rsid w:val="00F75F8F"/>
    <w:rsid w:val="00F768A1"/>
    <w:rsid w:val="00F76DA2"/>
    <w:rsid w:val="00F82B35"/>
    <w:rsid w:val="00F86F0E"/>
    <w:rsid w:val="00F91197"/>
    <w:rsid w:val="00F9475A"/>
    <w:rsid w:val="00F95C7D"/>
    <w:rsid w:val="00FA15C8"/>
    <w:rsid w:val="00FA42AB"/>
    <w:rsid w:val="00FB2389"/>
    <w:rsid w:val="00FB314E"/>
    <w:rsid w:val="00FB32CC"/>
    <w:rsid w:val="00FB4B87"/>
    <w:rsid w:val="00FB7CF9"/>
    <w:rsid w:val="00FC31E2"/>
    <w:rsid w:val="00FC35CD"/>
    <w:rsid w:val="00FC3BB9"/>
    <w:rsid w:val="00FC3E86"/>
    <w:rsid w:val="00FD1893"/>
    <w:rsid w:val="00FE1517"/>
    <w:rsid w:val="00FE669F"/>
    <w:rsid w:val="00FE6F50"/>
    <w:rsid w:val="00FF3B18"/>
    <w:rsid w:val="00FF3FB3"/>
    <w:rsid w:val="00FF5DDD"/>
    <w:rsid w:val="01557D8E"/>
    <w:rsid w:val="01773DF6"/>
    <w:rsid w:val="02587777"/>
    <w:rsid w:val="02BE10CC"/>
    <w:rsid w:val="02CE0AEF"/>
    <w:rsid w:val="04E4199C"/>
    <w:rsid w:val="055D14D4"/>
    <w:rsid w:val="05797C60"/>
    <w:rsid w:val="06A84AAD"/>
    <w:rsid w:val="06DF3A2A"/>
    <w:rsid w:val="078C6F9D"/>
    <w:rsid w:val="083F3FA9"/>
    <w:rsid w:val="09052C54"/>
    <w:rsid w:val="092A4CA5"/>
    <w:rsid w:val="098C5585"/>
    <w:rsid w:val="0990731B"/>
    <w:rsid w:val="09C371ED"/>
    <w:rsid w:val="09F63CD3"/>
    <w:rsid w:val="0A452EB3"/>
    <w:rsid w:val="0A932F2F"/>
    <w:rsid w:val="0AC41E4E"/>
    <w:rsid w:val="0B0C55A3"/>
    <w:rsid w:val="0B7671CF"/>
    <w:rsid w:val="0B8901D5"/>
    <w:rsid w:val="0BD5114D"/>
    <w:rsid w:val="0BEB6F66"/>
    <w:rsid w:val="0C934ABF"/>
    <w:rsid w:val="0C9814B6"/>
    <w:rsid w:val="0D3F756A"/>
    <w:rsid w:val="0D553000"/>
    <w:rsid w:val="0E3462E6"/>
    <w:rsid w:val="0E477E26"/>
    <w:rsid w:val="0EF14C7B"/>
    <w:rsid w:val="0F2C7FC2"/>
    <w:rsid w:val="105B01BB"/>
    <w:rsid w:val="116C6D9B"/>
    <w:rsid w:val="117874EE"/>
    <w:rsid w:val="124E5235"/>
    <w:rsid w:val="12614426"/>
    <w:rsid w:val="133D7B22"/>
    <w:rsid w:val="137912FC"/>
    <w:rsid w:val="14186369"/>
    <w:rsid w:val="14E530ED"/>
    <w:rsid w:val="15AB60E4"/>
    <w:rsid w:val="161F0345"/>
    <w:rsid w:val="16FC76ED"/>
    <w:rsid w:val="17F74312"/>
    <w:rsid w:val="18A91108"/>
    <w:rsid w:val="18B74F1B"/>
    <w:rsid w:val="1981715C"/>
    <w:rsid w:val="1A2257B5"/>
    <w:rsid w:val="1A8E282D"/>
    <w:rsid w:val="1A9F7B60"/>
    <w:rsid w:val="1B106969"/>
    <w:rsid w:val="1B4071BB"/>
    <w:rsid w:val="1BE405FB"/>
    <w:rsid w:val="1BEE1856"/>
    <w:rsid w:val="1CF456A4"/>
    <w:rsid w:val="1DF369F6"/>
    <w:rsid w:val="1EC5489A"/>
    <w:rsid w:val="1F2E743E"/>
    <w:rsid w:val="1FD5742E"/>
    <w:rsid w:val="200F33B5"/>
    <w:rsid w:val="20450EE3"/>
    <w:rsid w:val="208257C6"/>
    <w:rsid w:val="20DA78FE"/>
    <w:rsid w:val="21661A8C"/>
    <w:rsid w:val="21FE02AF"/>
    <w:rsid w:val="222B473F"/>
    <w:rsid w:val="22412F79"/>
    <w:rsid w:val="22454A45"/>
    <w:rsid w:val="22847734"/>
    <w:rsid w:val="22CA4A52"/>
    <w:rsid w:val="22D31A85"/>
    <w:rsid w:val="22E5250A"/>
    <w:rsid w:val="25302162"/>
    <w:rsid w:val="260B304C"/>
    <w:rsid w:val="26FB58E8"/>
    <w:rsid w:val="271E4A7A"/>
    <w:rsid w:val="27320FAD"/>
    <w:rsid w:val="2754511E"/>
    <w:rsid w:val="2A297180"/>
    <w:rsid w:val="2ABA7700"/>
    <w:rsid w:val="2AF23A16"/>
    <w:rsid w:val="2B4F0909"/>
    <w:rsid w:val="2B6D08DC"/>
    <w:rsid w:val="2B8D3D88"/>
    <w:rsid w:val="2B920D55"/>
    <w:rsid w:val="2BC075E5"/>
    <w:rsid w:val="2C7E1F40"/>
    <w:rsid w:val="2CF12C21"/>
    <w:rsid w:val="2D542766"/>
    <w:rsid w:val="2E0C5F29"/>
    <w:rsid w:val="2E6469D8"/>
    <w:rsid w:val="2E6529F3"/>
    <w:rsid w:val="2EA7076B"/>
    <w:rsid w:val="2EBC4EC1"/>
    <w:rsid w:val="2F200246"/>
    <w:rsid w:val="2F462582"/>
    <w:rsid w:val="30705B08"/>
    <w:rsid w:val="30944CE7"/>
    <w:rsid w:val="30AA08EF"/>
    <w:rsid w:val="3115045E"/>
    <w:rsid w:val="31701DE1"/>
    <w:rsid w:val="319C18F5"/>
    <w:rsid w:val="31BC5587"/>
    <w:rsid w:val="32003091"/>
    <w:rsid w:val="325154C2"/>
    <w:rsid w:val="325B40FF"/>
    <w:rsid w:val="32EA3794"/>
    <w:rsid w:val="33143E8D"/>
    <w:rsid w:val="339F04B3"/>
    <w:rsid w:val="33C85DD7"/>
    <w:rsid w:val="34A57FC6"/>
    <w:rsid w:val="34B325DF"/>
    <w:rsid w:val="34C56285"/>
    <w:rsid w:val="34E23A76"/>
    <w:rsid w:val="352B4266"/>
    <w:rsid w:val="35AE2C2F"/>
    <w:rsid w:val="35CE3AB9"/>
    <w:rsid w:val="35FC0822"/>
    <w:rsid w:val="36545E50"/>
    <w:rsid w:val="36DA6E56"/>
    <w:rsid w:val="374C5A64"/>
    <w:rsid w:val="379C5435"/>
    <w:rsid w:val="38070051"/>
    <w:rsid w:val="381251B8"/>
    <w:rsid w:val="385726BD"/>
    <w:rsid w:val="39C24EFB"/>
    <w:rsid w:val="39EA25B0"/>
    <w:rsid w:val="3ACF3465"/>
    <w:rsid w:val="3BDA1852"/>
    <w:rsid w:val="3C0A60C7"/>
    <w:rsid w:val="3CEA363C"/>
    <w:rsid w:val="3D3C490D"/>
    <w:rsid w:val="3DDA2813"/>
    <w:rsid w:val="400C79EE"/>
    <w:rsid w:val="40155B5B"/>
    <w:rsid w:val="4035527F"/>
    <w:rsid w:val="41120516"/>
    <w:rsid w:val="416E0B3D"/>
    <w:rsid w:val="41CF63C7"/>
    <w:rsid w:val="422449A5"/>
    <w:rsid w:val="42A31D6D"/>
    <w:rsid w:val="42AE07A7"/>
    <w:rsid w:val="42C020E2"/>
    <w:rsid w:val="42DB30B2"/>
    <w:rsid w:val="42DD1BBF"/>
    <w:rsid w:val="434729F6"/>
    <w:rsid w:val="43D955CB"/>
    <w:rsid w:val="44154E9D"/>
    <w:rsid w:val="44484A65"/>
    <w:rsid w:val="445F1CC4"/>
    <w:rsid w:val="450D7972"/>
    <w:rsid w:val="45B77C4F"/>
    <w:rsid w:val="45CE5353"/>
    <w:rsid w:val="470628CB"/>
    <w:rsid w:val="471465F0"/>
    <w:rsid w:val="47BE6711"/>
    <w:rsid w:val="47EA5528"/>
    <w:rsid w:val="4897712B"/>
    <w:rsid w:val="48AD1F11"/>
    <w:rsid w:val="48D367DD"/>
    <w:rsid w:val="48F0738F"/>
    <w:rsid w:val="496B5D62"/>
    <w:rsid w:val="4A0B071F"/>
    <w:rsid w:val="4A5303F0"/>
    <w:rsid w:val="4AAD078D"/>
    <w:rsid w:val="4AB911E9"/>
    <w:rsid w:val="4ADA20A4"/>
    <w:rsid w:val="4B042C92"/>
    <w:rsid w:val="4B6F13EE"/>
    <w:rsid w:val="4B7D0C82"/>
    <w:rsid w:val="4C406BC9"/>
    <w:rsid w:val="4C52192A"/>
    <w:rsid w:val="4D3B7D58"/>
    <w:rsid w:val="4DC65200"/>
    <w:rsid w:val="4DE0092F"/>
    <w:rsid w:val="4E1E4C1C"/>
    <w:rsid w:val="4E380574"/>
    <w:rsid w:val="4E4759F1"/>
    <w:rsid w:val="4F22226C"/>
    <w:rsid w:val="4FA82F02"/>
    <w:rsid w:val="502E6F54"/>
    <w:rsid w:val="50421A80"/>
    <w:rsid w:val="510A3E15"/>
    <w:rsid w:val="51AB56AD"/>
    <w:rsid w:val="51B355E6"/>
    <w:rsid w:val="523C3645"/>
    <w:rsid w:val="524D1E2B"/>
    <w:rsid w:val="52A4355A"/>
    <w:rsid w:val="52ED71FF"/>
    <w:rsid w:val="53715570"/>
    <w:rsid w:val="53BD7BAA"/>
    <w:rsid w:val="548C359F"/>
    <w:rsid w:val="54AB2D04"/>
    <w:rsid w:val="54C554B9"/>
    <w:rsid w:val="5573330C"/>
    <w:rsid w:val="55A97243"/>
    <w:rsid w:val="55CE6CAA"/>
    <w:rsid w:val="56547405"/>
    <w:rsid w:val="565D19A8"/>
    <w:rsid w:val="56614AC6"/>
    <w:rsid w:val="566309E7"/>
    <w:rsid w:val="56933BAE"/>
    <w:rsid w:val="56A3683D"/>
    <w:rsid w:val="56D83B48"/>
    <w:rsid w:val="56D900C0"/>
    <w:rsid w:val="57242F47"/>
    <w:rsid w:val="577A7043"/>
    <w:rsid w:val="57DD3ED9"/>
    <w:rsid w:val="58A04249"/>
    <w:rsid w:val="59282D61"/>
    <w:rsid w:val="595A2A21"/>
    <w:rsid w:val="5A0F7258"/>
    <w:rsid w:val="5A123BA5"/>
    <w:rsid w:val="5A250E62"/>
    <w:rsid w:val="5B750193"/>
    <w:rsid w:val="5B8477BF"/>
    <w:rsid w:val="5B9B4701"/>
    <w:rsid w:val="5BB108D6"/>
    <w:rsid w:val="5BD16B87"/>
    <w:rsid w:val="5C163A94"/>
    <w:rsid w:val="5C230FD4"/>
    <w:rsid w:val="5C3E620B"/>
    <w:rsid w:val="5CE33222"/>
    <w:rsid w:val="5CEA703F"/>
    <w:rsid w:val="5DBA224E"/>
    <w:rsid w:val="5E425C97"/>
    <w:rsid w:val="5E693D07"/>
    <w:rsid w:val="5E976541"/>
    <w:rsid w:val="5F224F01"/>
    <w:rsid w:val="613D2F35"/>
    <w:rsid w:val="61442791"/>
    <w:rsid w:val="61D2656E"/>
    <w:rsid w:val="6200468F"/>
    <w:rsid w:val="623920A5"/>
    <w:rsid w:val="623C7E3B"/>
    <w:rsid w:val="62685D90"/>
    <w:rsid w:val="626D24BE"/>
    <w:rsid w:val="630B3467"/>
    <w:rsid w:val="634F431C"/>
    <w:rsid w:val="63643E6F"/>
    <w:rsid w:val="63926968"/>
    <w:rsid w:val="63B74933"/>
    <w:rsid w:val="63DF2082"/>
    <w:rsid w:val="64EB2F3A"/>
    <w:rsid w:val="64F8164D"/>
    <w:rsid w:val="652B3F60"/>
    <w:rsid w:val="65801D68"/>
    <w:rsid w:val="65D20F4B"/>
    <w:rsid w:val="67AE6A7D"/>
    <w:rsid w:val="67BE17EC"/>
    <w:rsid w:val="68953657"/>
    <w:rsid w:val="68B27940"/>
    <w:rsid w:val="693942C8"/>
    <w:rsid w:val="69434E61"/>
    <w:rsid w:val="699E5035"/>
    <w:rsid w:val="6A3337BF"/>
    <w:rsid w:val="6A7E0847"/>
    <w:rsid w:val="6ABD51F8"/>
    <w:rsid w:val="6ADC556D"/>
    <w:rsid w:val="6B59096C"/>
    <w:rsid w:val="6C4D639D"/>
    <w:rsid w:val="6D157512"/>
    <w:rsid w:val="6E494CC8"/>
    <w:rsid w:val="6F615AF6"/>
    <w:rsid w:val="719E357C"/>
    <w:rsid w:val="71DE43DA"/>
    <w:rsid w:val="727D75DF"/>
    <w:rsid w:val="728F2875"/>
    <w:rsid w:val="72FF6418"/>
    <w:rsid w:val="73034EDC"/>
    <w:rsid w:val="73C25F1B"/>
    <w:rsid w:val="73DF5CA9"/>
    <w:rsid w:val="74182C34"/>
    <w:rsid w:val="744C3764"/>
    <w:rsid w:val="74D84FF7"/>
    <w:rsid w:val="74FD680C"/>
    <w:rsid w:val="7550356B"/>
    <w:rsid w:val="7578190E"/>
    <w:rsid w:val="75E1612D"/>
    <w:rsid w:val="761C048A"/>
    <w:rsid w:val="767643AB"/>
    <w:rsid w:val="76BD1F2A"/>
    <w:rsid w:val="77DA5DCD"/>
    <w:rsid w:val="77FF3C7B"/>
    <w:rsid w:val="783F0EE9"/>
    <w:rsid w:val="78C23FF4"/>
    <w:rsid w:val="78D9133E"/>
    <w:rsid w:val="78F01DAB"/>
    <w:rsid w:val="78FA3DA7"/>
    <w:rsid w:val="79642CE8"/>
    <w:rsid w:val="79D264B9"/>
    <w:rsid w:val="7A067176"/>
    <w:rsid w:val="7A4F64BE"/>
    <w:rsid w:val="7A8D418E"/>
    <w:rsid w:val="7AD1051F"/>
    <w:rsid w:val="7AED2E7F"/>
    <w:rsid w:val="7C0B664A"/>
    <w:rsid w:val="7C2F2089"/>
    <w:rsid w:val="7C75777F"/>
    <w:rsid w:val="7CBB3234"/>
    <w:rsid w:val="7D875308"/>
    <w:rsid w:val="7DAA0BF7"/>
    <w:rsid w:val="7EDE76AE"/>
    <w:rsid w:val="7F5C3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name="toc 2"/>
    <w:lsdException w:qFormat="1" w:unhideWhenUsed="0"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uiPriority="0" w:name="annotation reference"/>
    <w:lsdException w:qFormat="1" w:unhideWhenUsed="0" w:uiPriority="0" w:semiHidden="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0" w:name="List Bullet 3"/>
    <w:lsdException w:uiPriority="0" w:name="List Bullet 4"/>
    <w:lsdException w:qFormat="1" w:unhideWhenUsed="0"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lang w:val="en-US" w:eastAsia="en-US" w:bidi="ar-SA"/>
    </w:rPr>
  </w:style>
  <w:style w:type="paragraph" w:styleId="2">
    <w:name w:val="heading 1"/>
    <w:basedOn w:val="1"/>
    <w:next w:val="1"/>
    <w:link w:val="52"/>
    <w:qFormat/>
    <w:uiPriority w:val="0"/>
    <w:pPr>
      <w:keepNext/>
      <w:spacing w:before="240" w:after="60"/>
      <w:outlineLvl w:val="0"/>
    </w:pPr>
    <w:rPr>
      <w:rFonts w:ascii="Arial" w:hAnsi="Arial"/>
      <w:b/>
      <w:kern w:val="28"/>
      <w:sz w:val="28"/>
    </w:rPr>
  </w:style>
  <w:style w:type="paragraph" w:styleId="3">
    <w:name w:val="heading 2"/>
    <w:basedOn w:val="1"/>
    <w:next w:val="1"/>
    <w:link w:val="53"/>
    <w:qFormat/>
    <w:uiPriority w:val="0"/>
    <w:pPr>
      <w:keepNext/>
      <w:spacing w:before="240" w:after="60"/>
      <w:outlineLvl w:val="1"/>
    </w:pPr>
    <w:rPr>
      <w:rFonts w:ascii="Arial" w:hAnsi="Arial"/>
      <w:b/>
      <w:i/>
      <w:sz w:val="24"/>
    </w:rPr>
  </w:style>
  <w:style w:type="paragraph" w:styleId="4">
    <w:name w:val="heading 3"/>
    <w:basedOn w:val="1"/>
    <w:next w:val="1"/>
    <w:link w:val="54"/>
    <w:qFormat/>
    <w:uiPriority w:val="0"/>
    <w:pPr>
      <w:keepNext/>
      <w:spacing w:before="240" w:after="60"/>
      <w:outlineLvl w:val="2"/>
    </w:pPr>
    <w:rPr>
      <w:rFonts w:ascii="Arial" w:hAnsi="Arial"/>
      <w:sz w:val="24"/>
    </w:rPr>
  </w:style>
  <w:style w:type="paragraph" w:styleId="5">
    <w:name w:val="heading 4"/>
    <w:basedOn w:val="1"/>
    <w:next w:val="1"/>
    <w:link w:val="56"/>
    <w:autoRedefine/>
    <w:qFormat/>
    <w:uiPriority w:val="0"/>
    <w:pPr>
      <w:tabs>
        <w:tab w:val="left" w:pos="864"/>
      </w:tabs>
      <w:spacing w:after="220"/>
      <w:ind w:left="864" w:hanging="864"/>
      <w:outlineLvl w:val="3"/>
    </w:pPr>
    <w:rPr>
      <w:rFonts w:ascii="宋体"/>
      <w:spacing w:val="-8"/>
      <w:lang w:eastAsia="zh-CN"/>
    </w:rPr>
  </w:style>
  <w:style w:type="paragraph" w:styleId="6">
    <w:name w:val="heading 5"/>
    <w:basedOn w:val="1"/>
    <w:next w:val="7"/>
    <w:link w:val="57"/>
    <w:autoRedefine/>
    <w:qFormat/>
    <w:uiPriority w:val="0"/>
    <w:pPr>
      <w:tabs>
        <w:tab w:val="left" w:pos="1008"/>
      </w:tabs>
      <w:ind w:left="1008" w:hanging="1008"/>
      <w:outlineLvl w:val="4"/>
    </w:pPr>
    <w:rPr>
      <w:rFonts w:ascii="宋体"/>
      <w:spacing w:val="-8"/>
      <w:sz w:val="24"/>
      <w:lang w:eastAsia="zh-CN"/>
    </w:rPr>
  </w:style>
  <w:style w:type="paragraph" w:styleId="8">
    <w:name w:val="heading 6"/>
    <w:basedOn w:val="1"/>
    <w:next w:val="1"/>
    <w:link w:val="58"/>
    <w:autoRedefine/>
    <w:qFormat/>
    <w:uiPriority w:val="0"/>
    <w:pPr>
      <w:tabs>
        <w:tab w:val="left" w:pos="1152"/>
      </w:tabs>
      <w:spacing w:before="240" w:after="60"/>
      <w:ind w:left="1152" w:right="-360" w:hanging="1152"/>
      <w:outlineLvl w:val="5"/>
    </w:pPr>
    <w:rPr>
      <w:rFonts w:ascii="Arial" w:hAnsi="Arial"/>
      <w:i/>
      <w:spacing w:val="-8"/>
      <w:sz w:val="22"/>
      <w:lang w:eastAsia="zh-CN"/>
    </w:rPr>
  </w:style>
  <w:style w:type="paragraph" w:styleId="9">
    <w:name w:val="heading 7"/>
    <w:basedOn w:val="1"/>
    <w:next w:val="10"/>
    <w:link w:val="59"/>
    <w:autoRedefine/>
    <w:qFormat/>
    <w:uiPriority w:val="0"/>
    <w:pPr>
      <w:keepNext/>
      <w:keepLines/>
      <w:tabs>
        <w:tab w:val="left" w:pos="1296"/>
      </w:tabs>
      <w:spacing w:before="240" w:after="64" w:line="320" w:lineRule="auto"/>
      <w:ind w:left="1296" w:hanging="1296"/>
      <w:outlineLvl w:val="6"/>
    </w:pPr>
    <w:rPr>
      <w:rFonts w:ascii="宋体"/>
      <w:b/>
      <w:spacing w:val="-8"/>
      <w:sz w:val="24"/>
      <w:lang w:eastAsia="zh-CN"/>
    </w:rPr>
  </w:style>
  <w:style w:type="paragraph" w:styleId="12">
    <w:name w:val="heading 8"/>
    <w:basedOn w:val="1"/>
    <w:next w:val="10"/>
    <w:link w:val="60"/>
    <w:autoRedefine/>
    <w:qFormat/>
    <w:uiPriority w:val="0"/>
    <w:pPr>
      <w:keepNext/>
      <w:keepLines/>
      <w:tabs>
        <w:tab w:val="left" w:pos="1440"/>
      </w:tabs>
      <w:spacing w:before="240" w:after="64" w:line="320" w:lineRule="auto"/>
      <w:ind w:left="1440" w:hanging="1440"/>
      <w:outlineLvl w:val="7"/>
    </w:pPr>
    <w:rPr>
      <w:rFonts w:ascii="Arial" w:hAnsi="Arial" w:eastAsia="黑体"/>
      <w:spacing w:val="-8"/>
      <w:sz w:val="24"/>
      <w:lang w:eastAsia="zh-CN"/>
    </w:rPr>
  </w:style>
  <w:style w:type="paragraph" w:styleId="13">
    <w:name w:val="heading 9"/>
    <w:basedOn w:val="1"/>
    <w:next w:val="10"/>
    <w:link w:val="61"/>
    <w:autoRedefine/>
    <w:qFormat/>
    <w:uiPriority w:val="0"/>
    <w:pPr>
      <w:keepNext/>
      <w:keepLines/>
      <w:tabs>
        <w:tab w:val="left" w:pos="1584"/>
      </w:tabs>
      <w:spacing w:before="240" w:after="64" w:line="320" w:lineRule="auto"/>
      <w:ind w:left="1584" w:hanging="1584"/>
      <w:outlineLvl w:val="8"/>
    </w:pPr>
    <w:rPr>
      <w:rFonts w:ascii="Arial" w:hAnsi="Arial" w:eastAsia="黑体"/>
      <w:spacing w:val="-8"/>
      <w:sz w:val="24"/>
      <w:lang w:eastAsia="zh-CN"/>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55"/>
    <w:autoRedefine/>
    <w:qFormat/>
    <w:uiPriority w:val="0"/>
    <w:pPr>
      <w:spacing w:after="120"/>
    </w:pPr>
    <w:rPr>
      <w:rFonts w:eastAsia="楷体"/>
      <w:sz w:val="28"/>
      <w:lang w:eastAsia="zh-CN"/>
    </w:rPr>
  </w:style>
  <w:style w:type="paragraph" w:styleId="10">
    <w:name w:val="Normal Indent"/>
    <w:basedOn w:val="1"/>
    <w:next w:val="11"/>
    <w:autoRedefine/>
    <w:qFormat/>
    <w:uiPriority w:val="0"/>
    <w:pPr>
      <w:ind w:firstLine="420"/>
    </w:pPr>
    <w:rPr>
      <w:rFonts w:ascii="宋体"/>
      <w:spacing w:val="-8"/>
      <w:sz w:val="24"/>
      <w:lang w:eastAsia="zh-CN"/>
    </w:rPr>
  </w:style>
  <w:style w:type="paragraph" w:styleId="11">
    <w:name w:val="envelope return"/>
    <w:basedOn w:val="1"/>
    <w:qFormat/>
    <w:uiPriority w:val="0"/>
    <w:pPr>
      <w:snapToGrid w:val="0"/>
    </w:pPr>
    <w:rPr>
      <w:rFonts w:ascii="Arial" w:hAnsi="Arial"/>
    </w:rPr>
  </w:style>
  <w:style w:type="paragraph" w:styleId="14">
    <w:name w:val="List 3"/>
    <w:basedOn w:val="1"/>
    <w:autoRedefine/>
    <w:qFormat/>
    <w:uiPriority w:val="0"/>
    <w:pPr>
      <w:ind w:left="100" w:leftChars="400" w:hanging="200" w:hangingChars="200"/>
    </w:pPr>
    <w:rPr>
      <w:sz w:val="24"/>
      <w:szCs w:val="24"/>
      <w:lang w:eastAsia="zh-CN"/>
    </w:rPr>
  </w:style>
  <w:style w:type="paragraph" w:styleId="15">
    <w:name w:val="List Number"/>
    <w:basedOn w:val="1"/>
    <w:autoRedefine/>
    <w:qFormat/>
    <w:uiPriority w:val="0"/>
    <w:pPr>
      <w:adjustRightInd w:val="0"/>
      <w:spacing w:line="440" w:lineRule="exact"/>
      <w:ind w:left="420" w:hanging="420"/>
      <w:textAlignment w:val="baseline"/>
    </w:pPr>
    <w:rPr>
      <w:rFonts w:ascii="宋体"/>
      <w:sz w:val="24"/>
      <w:lang w:eastAsia="zh-CN"/>
    </w:rPr>
  </w:style>
  <w:style w:type="paragraph" w:styleId="16">
    <w:name w:val="Document Map"/>
    <w:basedOn w:val="1"/>
    <w:link w:val="90"/>
    <w:autoRedefine/>
    <w:semiHidden/>
    <w:qFormat/>
    <w:uiPriority w:val="0"/>
    <w:pPr>
      <w:shd w:val="clear" w:color="auto" w:fill="000080"/>
    </w:pPr>
    <w:rPr>
      <w:rFonts w:eastAsia="楷体"/>
      <w:sz w:val="28"/>
      <w:lang w:eastAsia="zh-CN"/>
    </w:rPr>
  </w:style>
  <w:style w:type="paragraph" w:styleId="17">
    <w:name w:val="Body Text 3"/>
    <w:basedOn w:val="1"/>
    <w:link w:val="91"/>
    <w:autoRedefine/>
    <w:qFormat/>
    <w:uiPriority w:val="0"/>
    <w:pPr>
      <w:spacing w:after="120"/>
    </w:pPr>
    <w:rPr>
      <w:rFonts w:eastAsia="楷体"/>
      <w:sz w:val="16"/>
      <w:szCs w:val="16"/>
      <w:lang w:eastAsia="zh-CN"/>
    </w:rPr>
  </w:style>
  <w:style w:type="paragraph" w:styleId="18">
    <w:name w:val="Body Text Indent"/>
    <w:basedOn w:val="1"/>
    <w:link w:val="92"/>
    <w:autoRedefine/>
    <w:qFormat/>
    <w:uiPriority w:val="0"/>
    <w:pPr>
      <w:spacing w:after="0" w:line="300" w:lineRule="auto"/>
      <w:ind w:left="720" w:firstLine="482"/>
      <w:jc w:val="both"/>
    </w:pPr>
    <w:rPr>
      <w:rFonts w:ascii="Arial" w:hAnsi="Arial" w:eastAsia="宋体"/>
      <w:sz w:val="24"/>
    </w:rPr>
  </w:style>
  <w:style w:type="paragraph" w:styleId="19">
    <w:name w:val="List 2"/>
    <w:basedOn w:val="1"/>
    <w:qFormat/>
    <w:uiPriority w:val="0"/>
    <w:pPr>
      <w:ind w:left="100" w:leftChars="200" w:hanging="200" w:hangingChars="200"/>
    </w:pPr>
    <w:rPr>
      <w:sz w:val="24"/>
      <w:szCs w:val="24"/>
      <w:lang w:eastAsia="zh-CN"/>
    </w:rPr>
  </w:style>
  <w:style w:type="paragraph" w:styleId="20">
    <w:name w:val="List Bullet 2"/>
    <w:basedOn w:val="1"/>
    <w:qFormat/>
    <w:uiPriority w:val="0"/>
    <w:pPr>
      <w:ind w:left="360" w:hanging="360"/>
    </w:pPr>
    <w:rPr>
      <w:sz w:val="24"/>
      <w:szCs w:val="24"/>
      <w:lang w:eastAsia="zh-CN"/>
    </w:rPr>
  </w:style>
  <w:style w:type="paragraph" w:styleId="21">
    <w:name w:val="toc 3"/>
    <w:basedOn w:val="1"/>
    <w:next w:val="1"/>
    <w:autoRedefine/>
    <w:semiHidden/>
    <w:qFormat/>
    <w:uiPriority w:val="0"/>
    <w:pPr>
      <w:tabs>
        <w:tab w:val="right" w:leader="dot" w:pos="8504"/>
      </w:tabs>
      <w:spacing w:after="120" w:line="280" w:lineRule="atLeast"/>
      <w:ind w:left="1701" w:hanging="851"/>
    </w:pPr>
    <w:rPr>
      <w:rFonts w:ascii="Arial" w:hAnsi="Arial"/>
      <w:sz w:val="22"/>
      <w:lang w:val="fr-FR" w:eastAsia="fr-FR"/>
    </w:rPr>
  </w:style>
  <w:style w:type="paragraph" w:styleId="22">
    <w:name w:val="Plain Text"/>
    <w:basedOn w:val="1"/>
    <w:link w:val="62"/>
    <w:qFormat/>
    <w:uiPriority w:val="0"/>
    <w:rPr>
      <w:rFonts w:ascii="宋体" w:hAnsi="Courier New" w:cs="Courier New"/>
      <w:sz w:val="21"/>
      <w:szCs w:val="21"/>
    </w:rPr>
  </w:style>
  <w:style w:type="paragraph" w:styleId="23">
    <w:name w:val="List Bullet 5"/>
    <w:basedOn w:val="1"/>
    <w:qFormat/>
    <w:uiPriority w:val="0"/>
    <w:pPr>
      <w:widowControl w:val="0"/>
      <w:tabs>
        <w:tab w:val="left" w:pos="420"/>
        <w:tab w:val="left" w:pos="2040"/>
      </w:tabs>
      <w:ind w:left="2040" w:leftChars="800" w:hanging="420"/>
      <w:jc w:val="both"/>
    </w:pPr>
    <w:rPr>
      <w:kern w:val="2"/>
      <w:sz w:val="21"/>
      <w:szCs w:val="24"/>
      <w:lang w:eastAsia="zh-CN"/>
    </w:rPr>
  </w:style>
  <w:style w:type="paragraph" w:styleId="24">
    <w:name w:val="Date"/>
    <w:basedOn w:val="1"/>
    <w:next w:val="1"/>
    <w:link w:val="63"/>
    <w:qFormat/>
    <w:uiPriority w:val="0"/>
    <w:pPr>
      <w:overflowPunct w:val="0"/>
      <w:autoSpaceDE w:val="0"/>
      <w:autoSpaceDN w:val="0"/>
      <w:adjustRightInd w:val="0"/>
      <w:ind w:left="100" w:leftChars="2500"/>
      <w:textAlignment w:val="baseline"/>
    </w:pPr>
    <w:rPr>
      <w:rFonts w:ascii="仿宋体" w:eastAsia="仿宋体"/>
      <w:sz w:val="24"/>
      <w:lang w:eastAsia="zh-CN"/>
    </w:rPr>
  </w:style>
  <w:style w:type="paragraph" w:styleId="25">
    <w:name w:val="Body Text Indent 2"/>
    <w:basedOn w:val="1"/>
    <w:link w:val="93"/>
    <w:autoRedefine/>
    <w:qFormat/>
    <w:uiPriority w:val="0"/>
    <w:pPr>
      <w:spacing w:line="360" w:lineRule="auto"/>
      <w:ind w:firstLine="630"/>
    </w:pPr>
    <w:rPr>
      <w:rFonts w:ascii="宋体"/>
      <w:spacing w:val="-8"/>
      <w:sz w:val="24"/>
      <w:lang w:eastAsia="zh-CN"/>
    </w:rPr>
  </w:style>
  <w:style w:type="paragraph" w:styleId="26">
    <w:name w:val="List Continue 5"/>
    <w:basedOn w:val="1"/>
    <w:qFormat/>
    <w:uiPriority w:val="0"/>
    <w:pPr>
      <w:spacing w:after="120"/>
      <w:ind w:left="2100" w:leftChars="1000"/>
    </w:pPr>
    <w:rPr>
      <w:sz w:val="24"/>
      <w:szCs w:val="24"/>
      <w:lang w:eastAsia="zh-CN"/>
    </w:rPr>
  </w:style>
  <w:style w:type="paragraph" w:styleId="27">
    <w:name w:val="Balloon Text"/>
    <w:basedOn w:val="1"/>
    <w:link w:val="64"/>
    <w:qFormat/>
    <w:uiPriority w:val="0"/>
    <w:rPr>
      <w:sz w:val="18"/>
      <w:szCs w:val="18"/>
    </w:rPr>
  </w:style>
  <w:style w:type="paragraph" w:styleId="28">
    <w:name w:val="footer"/>
    <w:basedOn w:val="1"/>
    <w:link w:val="65"/>
    <w:qFormat/>
    <w:uiPriority w:val="99"/>
    <w:pPr>
      <w:tabs>
        <w:tab w:val="center" w:pos="4153"/>
        <w:tab w:val="right" w:pos="8306"/>
      </w:tabs>
      <w:snapToGrid w:val="0"/>
    </w:pPr>
    <w:rPr>
      <w:sz w:val="18"/>
      <w:szCs w:val="18"/>
    </w:rPr>
  </w:style>
  <w:style w:type="paragraph" w:styleId="29">
    <w:name w:val="header"/>
    <w:basedOn w:val="1"/>
    <w:link w:val="66"/>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left" w:pos="630"/>
        <w:tab w:val="right" w:leader="dot" w:pos="8299"/>
      </w:tabs>
    </w:pPr>
  </w:style>
  <w:style w:type="paragraph" w:styleId="31">
    <w:name w:val="List Continue 4"/>
    <w:basedOn w:val="1"/>
    <w:qFormat/>
    <w:uiPriority w:val="0"/>
    <w:pPr>
      <w:spacing w:after="120"/>
      <w:ind w:left="1680" w:leftChars="800"/>
    </w:pPr>
    <w:rPr>
      <w:sz w:val="24"/>
      <w:szCs w:val="24"/>
      <w:lang w:eastAsia="zh-CN"/>
    </w:rPr>
  </w:style>
  <w:style w:type="paragraph" w:styleId="32">
    <w:name w:val="List"/>
    <w:basedOn w:val="1"/>
    <w:autoRedefine/>
    <w:qFormat/>
    <w:uiPriority w:val="0"/>
    <w:pPr>
      <w:ind w:left="200" w:hanging="200" w:hangingChars="200"/>
    </w:pPr>
    <w:rPr>
      <w:sz w:val="24"/>
      <w:szCs w:val="24"/>
      <w:lang w:eastAsia="zh-CN"/>
    </w:rPr>
  </w:style>
  <w:style w:type="paragraph" w:styleId="33">
    <w:name w:val="List 5"/>
    <w:basedOn w:val="1"/>
    <w:autoRedefine/>
    <w:qFormat/>
    <w:uiPriority w:val="0"/>
    <w:pPr>
      <w:ind w:left="100" w:leftChars="800" w:hanging="200" w:hangingChars="200"/>
    </w:pPr>
    <w:rPr>
      <w:sz w:val="24"/>
      <w:szCs w:val="24"/>
      <w:lang w:eastAsia="zh-CN"/>
    </w:rPr>
  </w:style>
  <w:style w:type="paragraph" w:styleId="34">
    <w:name w:val="Body Text Indent 3"/>
    <w:basedOn w:val="1"/>
    <w:link w:val="94"/>
    <w:qFormat/>
    <w:uiPriority w:val="0"/>
    <w:pPr>
      <w:tabs>
        <w:tab w:val="left" w:pos="-735"/>
      </w:tabs>
      <w:spacing w:line="360" w:lineRule="auto"/>
      <w:ind w:right="91" w:firstLine="525"/>
    </w:pPr>
    <w:rPr>
      <w:rFonts w:ascii="宋体"/>
      <w:spacing w:val="20"/>
      <w:sz w:val="24"/>
      <w:lang w:eastAsia="zh-CN"/>
    </w:rPr>
  </w:style>
  <w:style w:type="paragraph" w:styleId="35">
    <w:name w:val="toc 2"/>
    <w:basedOn w:val="1"/>
    <w:next w:val="1"/>
    <w:autoRedefine/>
    <w:semiHidden/>
    <w:qFormat/>
    <w:uiPriority w:val="0"/>
    <w:pPr>
      <w:ind w:left="420" w:leftChars="150" w:firstLine="561" w:firstLineChars="200"/>
    </w:pPr>
    <w:rPr>
      <w:rFonts w:ascii="楷体_GB2312" w:hAnsi="华文中宋" w:eastAsia="楷体_GB2312"/>
      <w:b/>
      <w:sz w:val="28"/>
      <w:lang w:eastAsia="zh-CN"/>
    </w:rPr>
  </w:style>
  <w:style w:type="paragraph" w:styleId="36">
    <w:name w:val="Body Text 2"/>
    <w:basedOn w:val="1"/>
    <w:link w:val="95"/>
    <w:autoRedefine/>
    <w:qFormat/>
    <w:uiPriority w:val="0"/>
    <w:pPr>
      <w:spacing w:line="360" w:lineRule="auto"/>
      <w:ind w:firstLine="567"/>
    </w:pPr>
    <w:rPr>
      <w:sz w:val="24"/>
      <w:lang w:eastAsia="zh-CN"/>
    </w:rPr>
  </w:style>
  <w:style w:type="paragraph" w:styleId="37">
    <w:name w:val="List 4"/>
    <w:basedOn w:val="1"/>
    <w:autoRedefine/>
    <w:qFormat/>
    <w:uiPriority w:val="0"/>
    <w:pPr>
      <w:ind w:left="100" w:leftChars="600" w:hanging="200" w:hangingChars="200"/>
    </w:pPr>
    <w:rPr>
      <w:sz w:val="24"/>
      <w:szCs w:val="24"/>
      <w:lang w:eastAsia="zh-CN"/>
    </w:rPr>
  </w:style>
  <w:style w:type="paragraph" w:styleId="3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39">
    <w:name w:val="List Continue 3"/>
    <w:basedOn w:val="1"/>
    <w:qFormat/>
    <w:uiPriority w:val="0"/>
    <w:pPr>
      <w:widowControl w:val="0"/>
      <w:tabs>
        <w:tab w:val="left" w:pos="420"/>
      </w:tabs>
      <w:spacing w:after="120"/>
      <w:ind w:left="1260" w:leftChars="600"/>
      <w:jc w:val="both"/>
    </w:pPr>
    <w:rPr>
      <w:kern w:val="2"/>
      <w:sz w:val="21"/>
      <w:szCs w:val="24"/>
      <w:lang w:eastAsia="zh-CN"/>
    </w:rPr>
  </w:style>
  <w:style w:type="paragraph" w:styleId="40">
    <w:name w:val="Title"/>
    <w:basedOn w:val="2"/>
    <w:link w:val="67"/>
    <w:qFormat/>
    <w:uiPriority w:val="0"/>
    <w:pPr>
      <w:keepNext w:val="0"/>
      <w:snapToGrid w:val="0"/>
      <w:spacing w:beforeLines="50" w:after="0"/>
      <w:ind w:left="420" w:hanging="420"/>
    </w:pPr>
    <w:rPr>
      <w:rFonts w:ascii="华文楷体" w:hAnsi="华文楷体" w:eastAsia="华文楷体"/>
      <w:kern w:val="0"/>
      <w:sz w:val="24"/>
      <w:szCs w:val="24"/>
      <w:lang w:eastAsia="zh-CN"/>
    </w:rPr>
  </w:style>
  <w:style w:type="paragraph" w:styleId="41">
    <w:name w:val="Body Text First Indent"/>
    <w:basedOn w:val="7"/>
    <w:link w:val="96"/>
    <w:autoRedefine/>
    <w:qFormat/>
    <w:uiPriority w:val="0"/>
    <w:pPr>
      <w:widowControl w:val="0"/>
      <w:ind w:firstLine="420" w:firstLineChars="100"/>
      <w:jc w:val="both"/>
    </w:pPr>
    <w:rPr>
      <w:rFonts w:eastAsia="宋体"/>
      <w:kern w:val="2"/>
      <w:sz w:val="21"/>
      <w:szCs w:val="24"/>
    </w:rPr>
  </w:style>
  <w:style w:type="paragraph" w:styleId="42">
    <w:name w:val="Body Text First Indent 2"/>
    <w:basedOn w:val="18"/>
    <w:link w:val="97"/>
    <w:qFormat/>
    <w:uiPriority w:val="0"/>
    <w:pPr>
      <w:widowControl w:val="0"/>
      <w:spacing w:after="120" w:line="240" w:lineRule="auto"/>
      <w:ind w:left="420" w:leftChars="200" w:firstLine="420" w:firstLineChars="200"/>
    </w:pPr>
    <w:rPr>
      <w:rFonts w:ascii="Times New Roman" w:hAnsi="Times New Roman"/>
      <w:kern w:val="2"/>
      <w:sz w:val="21"/>
      <w:szCs w:val="24"/>
    </w:rPr>
  </w:style>
  <w:style w:type="table" w:styleId="44">
    <w:name w:val="Table Grid"/>
    <w:basedOn w:val="4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6">
    <w:name w:val="Strong"/>
    <w:basedOn w:val="45"/>
    <w:autoRedefine/>
    <w:qFormat/>
    <w:uiPriority w:val="22"/>
    <w:rPr>
      <w:b/>
      <w:bCs/>
    </w:rPr>
  </w:style>
  <w:style w:type="character" w:styleId="47">
    <w:name w:val="page number"/>
    <w:basedOn w:val="45"/>
    <w:qFormat/>
    <w:uiPriority w:val="0"/>
  </w:style>
  <w:style w:type="character" w:styleId="48">
    <w:name w:val="FollowedHyperlink"/>
    <w:basedOn w:val="45"/>
    <w:autoRedefine/>
    <w:semiHidden/>
    <w:unhideWhenUsed/>
    <w:qFormat/>
    <w:uiPriority w:val="99"/>
    <w:rPr>
      <w:color w:val="800080" w:themeColor="followedHyperlink"/>
      <w:u w:val="single"/>
      <w14:textFill>
        <w14:solidFill>
          <w14:schemeClr w14:val="folHlink"/>
        </w14:solidFill>
      </w14:textFill>
    </w:rPr>
  </w:style>
  <w:style w:type="character" w:styleId="49">
    <w:name w:val="Emphasis"/>
    <w:basedOn w:val="45"/>
    <w:qFormat/>
    <w:uiPriority w:val="0"/>
    <w:rPr>
      <w:color w:val="CC0000"/>
    </w:rPr>
  </w:style>
  <w:style w:type="character" w:styleId="50">
    <w:name w:val="line number"/>
    <w:basedOn w:val="45"/>
    <w:autoRedefine/>
    <w:qFormat/>
    <w:uiPriority w:val="0"/>
    <w:rPr>
      <w:rFonts w:ascii="Century Schoolbook" w:hAnsi="Century Schoolbook" w:eastAsia="Times New Roman"/>
      <w:sz w:val="20"/>
    </w:rPr>
  </w:style>
  <w:style w:type="character" w:styleId="51">
    <w:name w:val="Hyperlink"/>
    <w:basedOn w:val="45"/>
    <w:unhideWhenUsed/>
    <w:qFormat/>
    <w:uiPriority w:val="99"/>
    <w:rPr>
      <w:color w:val="0000FF"/>
      <w:u w:val="single"/>
    </w:rPr>
  </w:style>
  <w:style w:type="character" w:customStyle="1" w:styleId="52">
    <w:name w:val="标题 1 Char"/>
    <w:basedOn w:val="45"/>
    <w:link w:val="2"/>
    <w:autoRedefine/>
    <w:qFormat/>
    <w:uiPriority w:val="0"/>
    <w:rPr>
      <w:rFonts w:ascii="Arial" w:hAnsi="Arial"/>
      <w:b/>
      <w:kern w:val="28"/>
      <w:sz w:val="28"/>
      <w:lang w:eastAsia="en-US"/>
    </w:rPr>
  </w:style>
  <w:style w:type="character" w:customStyle="1" w:styleId="53">
    <w:name w:val="标题 2 Char"/>
    <w:basedOn w:val="45"/>
    <w:link w:val="3"/>
    <w:autoRedefine/>
    <w:qFormat/>
    <w:uiPriority w:val="0"/>
    <w:rPr>
      <w:rFonts w:ascii="Arial" w:hAnsi="Arial"/>
      <w:b/>
      <w:i/>
      <w:sz w:val="24"/>
      <w:lang w:eastAsia="en-US"/>
    </w:rPr>
  </w:style>
  <w:style w:type="character" w:customStyle="1" w:styleId="54">
    <w:name w:val="标题 3 Char"/>
    <w:basedOn w:val="45"/>
    <w:link w:val="4"/>
    <w:autoRedefine/>
    <w:qFormat/>
    <w:uiPriority w:val="0"/>
    <w:rPr>
      <w:rFonts w:ascii="Arial" w:hAnsi="Arial"/>
      <w:sz w:val="24"/>
      <w:lang w:eastAsia="en-US"/>
    </w:rPr>
  </w:style>
  <w:style w:type="character" w:customStyle="1" w:styleId="55">
    <w:name w:val="正文文本 Char"/>
    <w:basedOn w:val="45"/>
    <w:link w:val="7"/>
    <w:qFormat/>
    <w:uiPriority w:val="0"/>
    <w:rPr>
      <w:rFonts w:eastAsia="楷体"/>
      <w:sz w:val="28"/>
    </w:rPr>
  </w:style>
  <w:style w:type="character" w:customStyle="1" w:styleId="56">
    <w:name w:val="标题 4 Char"/>
    <w:basedOn w:val="45"/>
    <w:link w:val="5"/>
    <w:qFormat/>
    <w:uiPriority w:val="0"/>
    <w:rPr>
      <w:rFonts w:ascii="宋体"/>
      <w:spacing w:val="-8"/>
    </w:rPr>
  </w:style>
  <w:style w:type="character" w:customStyle="1" w:styleId="57">
    <w:name w:val="标题 5 Char"/>
    <w:basedOn w:val="45"/>
    <w:link w:val="6"/>
    <w:qFormat/>
    <w:uiPriority w:val="0"/>
    <w:rPr>
      <w:rFonts w:ascii="宋体"/>
      <w:spacing w:val="-8"/>
      <w:sz w:val="24"/>
    </w:rPr>
  </w:style>
  <w:style w:type="character" w:customStyle="1" w:styleId="58">
    <w:name w:val="标题 6 Char"/>
    <w:basedOn w:val="45"/>
    <w:link w:val="8"/>
    <w:qFormat/>
    <w:uiPriority w:val="0"/>
    <w:rPr>
      <w:rFonts w:ascii="Arial" w:hAnsi="Arial"/>
      <w:i/>
      <w:spacing w:val="-8"/>
      <w:sz w:val="22"/>
    </w:rPr>
  </w:style>
  <w:style w:type="character" w:customStyle="1" w:styleId="59">
    <w:name w:val="标题 7 Char"/>
    <w:basedOn w:val="45"/>
    <w:link w:val="9"/>
    <w:qFormat/>
    <w:uiPriority w:val="0"/>
    <w:rPr>
      <w:rFonts w:ascii="宋体"/>
      <w:b/>
      <w:spacing w:val="-8"/>
      <w:sz w:val="24"/>
    </w:rPr>
  </w:style>
  <w:style w:type="character" w:customStyle="1" w:styleId="60">
    <w:name w:val="标题 8 Char"/>
    <w:basedOn w:val="45"/>
    <w:link w:val="12"/>
    <w:qFormat/>
    <w:uiPriority w:val="0"/>
    <w:rPr>
      <w:rFonts w:ascii="Arial" w:hAnsi="Arial" w:eastAsia="黑体"/>
      <w:spacing w:val="-8"/>
      <w:sz w:val="24"/>
    </w:rPr>
  </w:style>
  <w:style w:type="character" w:customStyle="1" w:styleId="61">
    <w:name w:val="标题 9 Char"/>
    <w:basedOn w:val="45"/>
    <w:link w:val="13"/>
    <w:qFormat/>
    <w:uiPriority w:val="0"/>
    <w:rPr>
      <w:rFonts w:ascii="Arial" w:hAnsi="Arial" w:eastAsia="黑体"/>
      <w:spacing w:val="-8"/>
      <w:sz w:val="24"/>
    </w:rPr>
  </w:style>
  <w:style w:type="character" w:customStyle="1" w:styleId="62">
    <w:name w:val="纯文本 Char"/>
    <w:basedOn w:val="45"/>
    <w:link w:val="22"/>
    <w:qFormat/>
    <w:uiPriority w:val="0"/>
    <w:rPr>
      <w:rFonts w:ascii="宋体" w:hAnsi="Courier New" w:cs="Courier New"/>
      <w:sz w:val="21"/>
      <w:szCs w:val="21"/>
      <w:lang w:eastAsia="en-US"/>
    </w:rPr>
  </w:style>
  <w:style w:type="character" w:customStyle="1" w:styleId="63">
    <w:name w:val="日期 Char"/>
    <w:basedOn w:val="45"/>
    <w:link w:val="24"/>
    <w:autoRedefine/>
    <w:qFormat/>
    <w:uiPriority w:val="0"/>
    <w:rPr>
      <w:rFonts w:ascii="仿宋体" w:eastAsia="仿宋体"/>
      <w:sz w:val="24"/>
    </w:rPr>
  </w:style>
  <w:style w:type="character" w:customStyle="1" w:styleId="64">
    <w:name w:val="批注框文本 Char"/>
    <w:basedOn w:val="45"/>
    <w:link w:val="27"/>
    <w:qFormat/>
    <w:uiPriority w:val="0"/>
    <w:rPr>
      <w:sz w:val="18"/>
      <w:szCs w:val="18"/>
      <w:lang w:eastAsia="en-US"/>
    </w:rPr>
  </w:style>
  <w:style w:type="character" w:customStyle="1" w:styleId="65">
    <w:name w:val="页脚 Char"/>
    <w:basedOn w:val="45"/>
    <w:link w:val="28"/>
    <w:qFormat/>
    <w:uiPriority w:val="99"/>
    <w:rPr>
      <w:sz w:val="18"/>
      <w:szCs w:val="18"/>
      <w:lang w:eastAsia="en-US"/>
    </w:rPr>
  </w:style>
  <w:style w:type="character" w:customStyle="1" w:styleId="66">
    <w:name w:val="页眉 Char"/>
    <w:basedOn w:val="45"/>
    <w:link w:val="29"/>
    <w:qFormat/>
    <w:uiPriority w:val="0"/>
    <w:rPr>
      <w:sz w:val="18"/>
      <w:szCs w:val="18"/>
      <w:lang w:eastAsia="en-US"/>
    </w:rPr>
  </w:style>
  <w:style w:type="character" w:customStyle="1" w:styleId="67">
    <w:name w:val="标题 Char"/>
    <w:basedOn w:val="45"/>
    <w:link w:val="40"/>
    <w:qFormat/>
    <w:uiPriority w:val="0"/>
    <w:rPr>
      <w:rFonts w:ascii="华文楷体" w:hAnsi="华文楷体" w:eastAsia="华文楷体"/>
      <w:b/>
      <w:sz w:val="24"/>
      <w:szCs w:val="24"/>
    </w:rPr>
  </w:style>
  <w:style w:type="paragraph" w:customStyle="1" w:styleId="68">
    <w:name w:val="Default"/>
    <w:link w:val="69"/>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69">
    <w:name w:val="Default Char"/>
    <w:link w:val="68"/>
    <w:qFormat/>
    <w:uiPriority w:val="0"/>
    <w:rPr>
      <w:color w:val="000000"/>
      <w:sz w:val="24"/>
      <w:szCs w:val="24"/>
      <w:lang w:bidi="ar-SA"/>
    </w:rPr>
  </w:style>
  <w:style w:type="paragraph" w:customStyle="1" w:styleId="70">
    <w:name w:val="CM9"/>
    <w:basedOn w:val="68"/>
    <w:next w:val="68"/>
    <w:qFormat/>
    <w:uiPriority w:val="99"/>
    <w:pPr>
      <w:spacing w:after="68"/>
    </w:pPr>
    <w:rPr>
      <w:color w:val="auto"/>
    </w:rPr>
  </w:style>
  <w:style w:type="paragraph" w:customStyle="1" w:styleId="71">
    <w:name w:val="TOC 标题1"/>
    <w:basedOn w:val="2"/>
    <w:next w:val="1"/>
    <w:qFormat/>
    <w:uiPriority w:val="39"/>
    <w:pPr>
      <w:keepLines/>
      <w:spacing w:before="480" w:after="0" w:line="276" w:lineRule="auto"/>
      <w:outlineLvl w:val="9"/>
    </w:pPr>
    <w:rPr>
      <w:rFonts w:ascii="Cambria" w:hAnsi="Cambria"/>
      <w:bCs/>
      <w:color w:val="365F91"/>
      <w:kern w:val="0"/>
      <w:szCs w:val="28"/>
      <w:lang w:eastAsia="zh-CN"/>
    </w:rPr>
  </w:style>
  <w:style w:type="paragraph" w:customStyle="1" w:styleId="72">
    <w:name w:val="默认段落字体 Para Char Char Char Char Char Char Char"/>
    <w:basedOn w:val="1"/>
    <w:qFormat/>
    <w:uiPriority w:val="0"/>
    <w:pPr>
      <w:widowControl w:val="0"/>
      <w:jc w:val="both"/>
    </w:pPr>
    <w:rPr>
      <w:rFonts w:ascii="Tahoma" w:hAnsi="Tahoma" w:cs="Tahoma"/>
      <w:kern w:val="2"/>
      <w:sz w:val="24"/>
      <w:szCs w:val="24"/>
      <w:lang w:eastAsia="zh-CN"/>
    </w:rPr>
  </w:style>
  <w:style w:type="paragraph" w:customStyle="1" w:styleId="73">
    <w:name w:val="Char Char1 Char Char Char"/>
    <w:basedOn w:val="1"/>
    <w:qFormat/>
    <w:uiPriority w:val="0"/>
    <w:pPr>
      <w:spacing w:after="160" w:line="240" w:lineRule="exact"/>
    </w:pPr>
    <w:rPr>
      <w:rFonts w:ascii="Verdana" w:hAnsi="Verdana"/>
    </w:rPr>
  </w:style>
  <w:style w:type="paragraph" w:customStyle="1" w:styleId="74">
    <w:name w:val="Char Char"/>
    <w:basedOn w:val="1"/>
    <w:qFormat/>
    <w:uiPriority w:val="0"/>
    <w:pPr>
      <w:spacing w:after="160" w:line="240" w:lineRule="exact"/>
    </w:pPr>
    <w:rPr>
      <w:kern w:val="2"/>
      <w:sz w:val="21"/>
      <w:szCs w:val="24"/>
      <w:lang w:eastAsia="zh-CN"/>
    </w:rPr>
  </w:style>
  <w:style w:type="paragraph" w:customStyle="1" w:styleId="75">
    <w:name w:val="样式3"/>
    <w:basedOn w:val="22"/>
    <w:qFormat/>
    <w:uiPriority w:val="0"/>
    <w:pPr>
      <w:widowControl w:val="0"/>
      <w:spacing w:line="0" w:lineRule="atLeast"/>
      <w:jc w:val="both"/>
      <w:outlineLvl w:val="0"/>
    </w:pPr>
    <w:rPr>
      <w:rFonts w:cs="Times New Roman"/>
      <w:kern w:val="2"/>
      <w:sz w:val="28"/>
      <w:szCs w:val="20"/>
      <w:lang w:eastAsia="zh-CN"/>
    </w:rPr>
  </w:style>
  <w:style w:type="paragraph" w:customStyle="1" w:styleId="76">
    <w:name w:val="CM1"/>
    <w:basedOn w:val="68"/>
    <w:next w:val="68"/>
    <w:qFormat/>
    <w:uiPriority w:val="99"/>
    <w:rPr>
      <w:rFonts w:ascii="Arial" w:hAnsi="Arial"/>
      <w:color w:val="auto"/>
    </w:rPr>
  </w:style>
  <w:style w:type="paragraph" w:customStyle="1" w:styleId="77">
    <w:name w:val="CM11"/>
    <w:basedOn w:val="68"/>
    <w:next w:val="68"/>
    <w:qFormat/>
    <w:uiPriority w:val="99"/>
    <w:pPr>
      <w:spacing w:after="488"/>
    </w:pPr>
    <w:rPr>
      <w:rFonts w:ascii="Arial" w:hAnsi="Arial"/>
      <w:color w:val="auto"/>
    </w:rPr>
  </w:style>
  <w:style w:type="paragraph" w:customStyle="1" w:styleId="78">
    <w:name w:val="CM2"/>
    <w:basedOn w:val="68"/>
    <w:next w:val="68"/>
    <w:qFormat/>
    <w:uiPriority w:val="99"/>
    <w:pPr>
      <w:spacing w:line="263" w:lineRule="atLeast"/>
    </w:pPr>
    <w:rPr>
      <w:rFonts w:ascii="Arial" w:hAnsi="Arial"/>
      <w:color w:val="auto"/>
    </w:rPr>
  </w:style>
  <w:style w:type="paragraph" w:customStyle="1" w:styleId="79">
    <w:name w:val="CM12"/>
    <w:basedOn w:val="68"/>
    <w:next w:val="68"/>
    <w:qFormat/>
    <w:uiPriority w:val="99"/>
    <w:pPr>
      <w:spacing w:after="240"/>
    </w:pPr>
    <w:rPr>
      <w:rFonts w:ascii="Arial" w:hAnsi="Arial"/>
      <w:color w:val="auto"/>
    </w:rPr>
  </w:style>
  <w:style w:type="paragraph" w:customStyle="1" w:styleId="80">
    <w:name w:val="CM6"/>
    <w:basedOn w:val="68"/>
    <w:next w:val="68"/>
    <w:qFormat/>
    <w:uiPriority w:val="99"/>
    <w:rPr>
      <w:rFonts w:ascii="Arial" w:hAnsi="Arial"/>
      <w:color w:val="auto"/>
    </w:rPr>
  </w:style>
  <w:style w:type="paragraph" w:customStyle="1" w:styleId="81">
    <w:name w:val="CM10"/>
    <w:basedOn w:val="68"/>
    <w:next w:val="68"/>
    <w:qFormat/>
    <w:uiPriority w:val="99"/>
    <w:pPr>
      <w:spacing w:line="258" w:lineRule="atLeast"/>
    </w:pPr>
    <w:rPr>
      <w:rFonts w:ascii="Arial" w:hAnsi="Arial"/>
      <w:color w:val="auto"/>
    </w:rPr>
  </w:style>
  <w:style w:type="paragraph" w:customStyle="1" w:styleId="82">
    <w:name w:val="Char"/>
    <w:basedOn w:val="1"/>
    <w:qFormat/>
    <w:uiPriority w:val="0"/>
    <w:pPr>
      <w:spacing w:after="160" w:line="240" w:lineRule="exact"/>
    </w:pPr>
    <w:rPr>
      <w:rFonts w:ascii="Verdana" w:hAnsi="Verdana"/>
    </w:rPr>
  </w:style>
  <w:style w:type="paragraph" w:styleId="83">
    <w:name w:val="List Paragraph"/>
    <w:basedOn w:val="1"/>
    <w:qFormat/>
    <w:uiPriority w:val="34"/>
    <w:pPr>
      <w:ind w:firstLine="420" w:firstLineChars="200"/>
    </w:pPr>
  </w:style>
  <w:style w:type="paragraph" w:customStyle="1" w:styleId="84">
    <w:name w:val="orange bullets"/>
    <w:basedOn w:val="83"/>
    <w:qFormat/>
    <w:uiPriority w:val="0"/>
    <w:pPr>
      <w:tabs>
        <w:tab w:val="left" w:pos="360"/>
        <w:tab w:val="left" w:pos="425"/>
      </w:tabs>
      <w:spacing w:line="240" w:lineRule="exact"/>
      <w:ind w:firstLine="0" w:firstLineChars="0"/>
      <w:contextualSpacing/>
    </w:pPr>
    <w:rPr>
      <w:rFonts w:ascii="Arial" w:hAnsi="Arial"/>
      <w:iCs/>
      <w:sz w:val="18"/>
      <w:szCs w:val="18"/>
      <w:lang w:val="en-GB"/>
    </w:rPr>
  </w:style>
  <w:style w:type="paragraph" w:customStyle="1" w:styleId="85">
    <w:name w:val="Tabelle"/>
    <w:basedOn w:val="1"/>
    <w:qFormat/>
    <w:uiPriority w:val="0"/>
    <w:pPr>
      <w:spacing w:before="40" w:after="40"/>
    </w:pPr>
    <w:rPr>
      <w:rFonts w:ascii="Arial" w:hAnsi="Arial"/>
      <w:lang w:eastAsia="de-DE"/>
    </w:rPr>
  </w:style>
  <w:style w:type="character" w:customStyle="1" w:styleId="86">
    <w:name w:val="font121"/>
    <w:basedOn w:val="45"/>
    <w:qFormat/>
    <w:uiPriority w:val="0"/>
    <w:rPr>
      <w:rFonts w:hint="eastAsia" w:ascii="微软雅黑" w:hAnsi="微软雅黑" w:eastAsia="微软雅黑" w:cs="微软雅黑"/>
      <w:color w:val="000000"/>
      <w:sz w:val="18"/>
      <w:szCs w:val="18"/>
      <w:u w:val="none"/>
    </w:rPr>
  </w:style>
  <w:style w:type="character" w:customStyle="1" w:styleId="87">
    <w:name w:val="font21"/>
    <w:basedOn w:val="45"/>
    <w:qFormat/>
    <w:uiPriority w:val="0"/>
    <w:rPr>
      <w:rFonts w:hint="eastAsia" w:ascii="微软雅黑" w:hAnsi="微软雅黑" w:eastAsia="微软雅黑" w:cs="微软雅黑"/>
      <w:color w:val="000000"/>
      <w:sz w:val="18"/>
      <w:szCs w:val="18"/>
      <w:u w:val="none"/>
    </w:rPr>
  </w:style>
  <w:style w:type="character" w:customStyle="1" w:styleId="88">
    <w:name w:val="font141"/>
    <w:basedOn w:val="45"/>
    <w:qFormat/>
    <w:uiPriority w:val="0"/>
    <w:rPr>
      <w:rFonts w:hint="default" w:ascii="Arial" w:hAnsi="Arial" w:cs="Arial"/>
      <w:b/>
      <w:color w:val="000000"/>
      <w:sz w:val="24"/>
      <w:szCs w:val="24"/>
      <w:u w:val="none"/>
    </w:rPr>
  </w:style>
  <w:style w:type="paragraph" w:customStyle="1" w:styleId="89">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90">
    <w:name w:val="文档结构图 Char"/>
    <w:basedOn w:val="45"/>
    <w:link w:val="16"/>
    <w:semiHidden/>
    <w:qFormat/>
    <w:uiPriority w:val="0"/>
    <w:rPr>
      <w:rFonts w:eastAsia="楷体"/>
      <w:sz w:val="28"/>
      <w:shd w:val="clear" w:color="auto" w:fill="000080"/>
    </w:rPr>
  </w:style>
  <w:style w:type="character" w:customStyle="1" w:styleId="91">
    <w:name w:val="正文文本 3 Char"/>
    <w:basedOn w:val="45"/>
    <w:link w:val="17"/>
    <w:qFormat/>
    <w:uiPriority w:val="0"/>
    <w:rPr>
      <w:rFonts w:eastAsia="楷体"/>
      <w:sz w:val="16"/>
      <w:szCs w:val="16"/>
    </w:rPr>
  </w:style>
  <w:style w:type="character" w:customStyle="1" w:styleId="92">
    <w:name w:val="正文文本缩进 Char"/>
    <w:basedOn w:val="45"/>
    <w:link w:val="18"/>
    <w:qFormat/>
    <w:uiPriority w:val="0"/>
    <w:rPr>
      <w:rFonts w:ascii="Arial" w:hAnsi="Arial"/>
      <w:sz w:val="24"/>
    </w:rPr>
  </w:style>
  <w:style w:type="character" w:customStyle="1" w:styleId="93">
    <w:name w:val="正文文本缩进 2 Char"/>
    <w:basedOn w:val="45"/>
    <w:link w:val="25"/>
    <w:qFormat/>
    <w:uiPriority w:val="0"/>
    <w:rPr>
      <w:rFonts w:ascii="宋体"/>
      <w:spacing w:val="-8"/>
      <w:sz w:val="24"/>
    </w:rPr>
  </w:style>
  <w:style w:type="character" w:customStyle="1" w:styleId="94">
    <w:name w:val="正文文本缩进 3 Char"/>
    <w:basedOn w:val="45"/>
    <w:link w:val="34"/>
    <w:qFormat/>
    <w:uiPriority w:val="0"/>
    <w:rPr>
      <w:rFonts w:ascii="宋体"/>
      <w:spacing w:val="20"/>
      <w:sz w:val="24"/>
    </w:rPr>
  </w:style>
  <w:style w:type="character" w:customStyle="1" w:styleId="95">
    <w:name w:val="正文文本 2 Char"/>
    <w:basedOn w:val="45"/>
    <w:link w:val="36"/>
    <w:qFormat/>
    <w:uiPriority w:val="0"/>
    <w:rPr>
      <w:sz w:val="24"/>
    </w:rPr>
  </w:style>
  <w:style w:type="character" w:customStyle="1" w:styleId="96">
    <w:name w:val="正文首行缩进 Char"/>
    <w:basedOn w:val="55"/>
    <w:link w:val="41"/>
    <w:qFormat/>
    <w:uiPriority w:val="0"/>
    <w:rPr>
      <w:rFonts w:eastAsia="楷体"/>
      <w:kern w:val="2"/>
      <w:sz w:val="21"/>
      <w:szCs w:val="24"/>
    </w:rPr>
  </w:style>
  <w:style w:type="character" w:customStyle="1" w:styleId="97">
    <w:name w:val="正文首行缩进 2 Char"/>
    <w:basedOn w:val="92"/>
    <w:link w:val="42"/>
    <w:qFormat/>
    <w:uiPriority w:val="0"/>
    <w:rPr>
      <w:rFonts w:ascii="Arial" w:hAnsi="Arial"/>
      <w:kern w:val="2"/>
      <w:sz w:val="21"/>
      <w:szCs w:val="24"/>
    </w:rPr>
  </w:style>
  <w:style w:type="paragraph" w:customStyle="1" w:styleId="98">
    <w:name w:val="Char Char Char Char"/>
    <w:basedOn w:val="1"/>
    <w:autoRedefine/>
    <w:qFormat/>
    <w:uiPriority w:val="0"/>
    <w:pPr>
      <w:adjustRightInd w:val="0"/>
      <w:snapToGrid w:val="0"/>
      <w:spacing w:line="360" w:lineRule="auto"/>
      <w:ind w:left="96" w:leftChars="40" w:firstLine="200" w:firstLineChars="200"/>
    </w:pPr>
    <w:rPr>
      <w:rFonts w:hAnsi="宋体"/>
      <w:sz w:val="24"/>
      <w:szCs w:val="24"/>
      <w:lang w:eastAsia="zh-CN"/>
    </w:rPr>
  </w:style>
  <w:style w:type="paragraph" w:customStyle="1" w:styleId="99">
    <w:name w:val="!Texte courant"/>
    <w:autoRedefine/>
    <w:qFormat/>
    <w:uiPriority w:val="0"/>
    <w:pPr>
      <w:spacing w:line="280" w:lineRule="atLeast"/>
      <w:jc w:val="both"/>
    </w:pPr>
    <w:rPr>
      <w:rFonts w:ascii="Arial" w:hAnsi="Arial" w:eastAsia="宋体" w:cs="Times New Roman"/>
      <w:sz w:val="22"/>
      <w:lang w:val="fr-FR" w:eastAsia="fr-FR" w:bidi="ar-SA"/>
    </w:rPr>
  </w:style>
  <w:style w:type="paragraph" w:customStyle="1" w:styleId="100">
    <w:name w:val="_Style 36"/>
    <w:autoRedefine/>
    <w:qFormat/>
    <w:uiPriority w:val="99"/>
    <w:rPr>
      <w:rFonts w:asciiTheme="minorHAnsi" w:hAnsiTheme="minorHAnsi" w:eastAsiaTheme="minorEastAsia" w:cstheme="minorBidi"/>
      <w:kern w:val="2"/>
      <w:sz w:val="21"/>
      <w:szCs w:val="22"/>
      <w:lang w:val="en-US" w:eastAsia="zh-CN" w:bidi="ar-SA"/>
    </w:rPr>
  </w:style>
  <w:style w:type="paragraph" w:customStyle="1" w:styleId="101">
    <w:name w:val="CM21"/>
    <w:basedOn w:val="68"/>
    <w:next w:val="68"/>
    <w:autoRedefine/>
    <w:qFormat/>
    <w:uiPriority w:val="0"/>
    <w:pPr>
      <w:spacing w:line="360" w:lineRule="atLeast"/>
    </w:pPr>
    <w:rPr>
      <w:rFonts w:ascii="黑体" w:eastAsia="黑体"/>
      <w:color w:val="auto"/>
    </w:rPr>
  </w:style>
  <w:style w:type="paragraph" w:customStyle="1" w:styleId="102">
    <w:name w:val="CM39"/>
    <w:basedOn w:val="68"/>
    <w:next w:val="68"/>
    <w:autoRedefine/>
    <w:qFormat/>
    <w:uiPriority w:val="0"/>
    <w:pPr>
      <w:spacing w:after="360"/>
    </w:pPr>
    <w:rPr>
      <w:rFonts w:ascii="黑体" w:eastAsia="黑体"/>
      <w:color w:val="auto"/>
    </w:rPr>
  </w:style>
  <w:style w:type="paragraph" w:customStyle="1" w:styleId="103">
    <w:name w:val="CM24"/>
    <w:basedOn w:val="68"/>
    <w:next w:val="68"/>
    <w:autoRedefine/>
    <w:qFormat/>
    <w:uiPriority w:val="0"/>
    <w:pPr>
      <w:spacing w:line="360" w:lineRule="atLeast"/>
    </w:pPr>
    <w:rPr>
      <w:rFonts w:ascii="黑体" w:eastAsia="黑体"/>
      <w:color w:val="auto"/>
    </w:rPr>
  </w:style>
  <w:style w:type="paragraph" w:customStyle="1" w:styleId="104">
    <w:name w:val="表格文字"/>
    <w:basedOn w:val="1"/>
    <w:qFormat/>
    <w:uiPriority w:val="0"/>
    <w:pPr>
      <w:spacing w:before="120"/>
      <w:jc w:val="center"/>
    </w:pPr>
    <w:rPr>
      <w:rFonts w:ascii="Arial" w:hAnsi="Arial"/>
      <w:sz w:val="24"/>
      <w:lang w:eastAsia="zh-CN"/>
    </w:rPr>
  </w:style>
  <w:style w:type="paragraph" w:customStyle="1" w:styleId="105">
    <w:name w:val="Achievement"/>
    <w:basedOn w:val="7"/>
    <w:autoRedefine/>
    <w:qFormat/>
    <w:uiPriority w:val="0"/>
    <w:pPr>
      <w:spacing w:after="60" w:line="300" w:lineRule="auto"/>
      <w:ind w:left="245" w:hanging="245"/>
      <w:jc w:val="both"/>
    </w:pPr>
    <w:rPr>
      <w:rFonts w:ascii="Arial" w:hAnsi="Arial" w:eastAsia="宋体"/>
      <w:sz w:val="24"/>
    </w:rPr>
  </w:style>
  <w:style w:type="paragraph" w:customStyle="1" w:styleId="106">
    <w:name w:val="Company Name"/>
    <w:basedOn w:val="1"/>
    <w:next w:val="1"/>
    <w:autoRedefine/>
    <w:qFormat/>
    <w:uiPriority w:val="0"/>
    <w:pPr>
      <w:tabs>
        <w:tab w:val="left" w:pos="2160"/>
        <w:tab w:val="right" w:pos="6480"/>
      </w:tabs>
      <w:spacing w:before="220" w:after="40" w:line="220" w:lineRule="atLeast"/>
      <w:ind w:right="-360" w:firstLine="454"/>
    </w:pPr>
    <w:rPr>
      <w:rFonts w:ascii="宋体"/>
      <w:spacing w:val="-8"/>
      <w:sz w:val="24"/>
      <w:lang w:eastAsia="zh-CN"/>
    </w:rPr>
  </w:style>
  <w:style w:type="paragraph" w:customStyle="1" w:styleId="107">
    <w:name w:val="Document Label"/>
    <w:basedOn w:val="1"/>
    <w:next w:val="1"/>
    <w:autoRedefine/>
    <w:qFormat/>
    <w:uiPriority w:val="0"/>
    <w:pPr>
      <w:spacing w:after="220"/>
      <w:ind w:right="-360" w:firstLine="454"/>
    </w:pPr>
    <w:rPr>
      <w:rFonts w:ascii="宋体"/>
      <w:spacing w:val="-20"/>
      <w:sz w:val="48"/>
      <w:lang w:eastAsia="zh-CN"/>
    </w:rPr>
  </w:style>
  <w:style w:type="paragraph" w:customStyle="1" w:styleId="108">
    <w:name w:val="Institution"/>
    <w:basedOn w:val="1"/>
    <w:next w:val="105"/>
    <w:autoRedefine/>
    <w:qFormat/>
    <w:uiPriority w:val="0"/>
    <w:pPr>
      <w:tabs>
        <w:tab w:val="left" w:pos="2160"/>
        <w:tab w:val="right" w:pos="6480"/>
      </w:tabs>
      <w:spacing w:before="220" w:after="60" w:line="220" w:lineRule="atLeast"/>
      <w:ind w:right="-360" w:firstLine="454"/>
    </w:pPr>
    <w:rPr>
      <w:rFonts w:ascii="宋体"/>
      <w:spacing w:val="-8"/>
      <w:sz w:val="24"/>
      <w:lang w:eastAsia="zh-CN"/>
    </w:rPr>
  </w:style>
  <w:style w:type="paragraph" w:customStyle="1" w:styleId="109">
    <w:name w:val="Objective"/>
    <w:basedOn w:val="1"/>
    <w:next w:val="7"/>
    <w:autoRedefine/>
    <w:qFormat/>
    <w:uiPriority w:val="0"/>
    <w:pPr>
      <w:spacing w:before="220" w:after="220" w:line="220" w:lineRule="atLeast"/>
      <w:ind w:firstLine="454"/>
    </w:pPr>
    <w:rPr>
      <w:rFonts w:ascii="宋体"/>
      <w:spacing w:val="-8"/>
      <w:sz w:val="24"/>
      <w:lang w:eastAsia="zh-CN"/>
    </w:rPr>
  </w:style>
  <w:style w:type="paragraph" w:customStyle="1" w:styleId="110">
    <w:name w:val="Section Title"/>
    <w:basedOn w:val="1"/>
    <w:next w:val="1"/>
    <w:autoRedefine/>
    <w:qFormat/>
    <w:uiPriority w:val="0"/>
    <w:pPr>
      <w:pBdr>
        <w:top w:val="single" w:color="FFFFFF" w:sz="6" w:space="2"/>
        <w:left w:val="single" w:color="FFFFFF" w:sz="6" w:space="2"/>
        <w:bottom w:val="single" w:color="FFFFFF" w:sz="6" w:space="2"/>
        <w:right w:val="single" w:color="FFFFFF" w:sz="6" w:space="2"/>
      </w:pBdr>
      <w:shd w:val="pct10" w:color="auto" w:fill="auto"/>
      <w:spacing w:before="120" w:line="280" w:lineRule="atLeast"/>
      <w:ind w:firstLine="454"/>
    </w:pPr>
    <w:rPr>
      <w:rFonts w:ascii="Arial" w:hAnsi="Arial"/>
      <w:b/>
      <w:spacing w:val="-10"/>
      <w:position w:val="7"/>
      <w:sz w:val="24"/>
      <w:lang w:eastAsia="zh-CN"/>
    </w:rPr>
  </w:style>
  <w:style w:type="paragraph" w:customStyle="1" w:styleId="111">
    <w:name w:val="Section Subtitle"/>
    <w:basedOn w:val="110"/>
    <w:next w:val="1"/>
    <w:autoRedefine/>
    <w:qFormat/>
    <w:uiPriority w:val="0"/>
    <w:pPr>
      <w:pBdr>
        <w:top w:val="none" w:color="auto" w:sz="0" w:space="0"/>
      </w:pBdr>
    </w:pPr>
    <w:rPr>
      <w:b w:val="0"/>
      <w:spacing w:val="0"/>
      <w:position w:val="6"/>
    </w:rPr>
  </w:style>
  <w:style w:type="paragraph" w:customStyle="1" w:styleId="112">
    <w:name w:val="表栏文字"/>
    <w:basedOn w:val="113"/>
    <w:qFormat/>
    <w:uiPriority w:val="0"/>
    <w:pPr>
      <w:spacing w:before="120"/>
      <w:jc w:val="center"/>
    </w:pPr>
  </w:style>
  <w:style w:type="paragraph" w:customStyle="1" w:styleId="113">
    <w:name w:val="文字"/>
    <w:basedOn w:val="1"/>
    <w:autoRedefine/>
    <w:qFormat/>
    <w:uiPriority w:val="0"/>
    <w:pPr>
      <w:keepLines/>
      <w:autoSpaceDE w:val="0"/>
      <w:autoSpaceDN w:val="0"/>
      <w:spacing w:line="300" w:lineRule="auto"/>
      <w:ind w:firstLine="454"/>
      <w:textAlignment w:val="baseline"/>
    </w:pPr>
    <w:rPr>
      <w:rFonts w:ascii="Century Schoolbook" w:hAnsi="Century Schoolbook"/>
      <w:b/>
      <w:color w:val="000000"/>
      <w:kern w:val="21"/>
      <w:sz w:val="24"/>
      <w:lang w:eastAsia="zh-CN"/>
    </w:rPr>
  </w:style>
  <w:style w:type="paragraph" w:customStyle="1" w:styleId="114">
    <w:name w:val="样式1"/>
    <w:basedOn w:val="1"/>
    <w:autoRedefine/>
    <w:qFormat/>
    <w:uiPriority w:val="0"/>
    <w:pPr>
      <w:autoSpaceDE w:val="0"/>
      <w:autoSpaceDN w:val="0"/>
      <w:adjustRightInd w:val="0"/>
      <w:spacing w:line="300" w:lineRule="auto"/>
      <w:ind w:right="45" w:firstLine="454"/>
      <w:textAlignment w:val="baseline"/>
    </w:pPr>
    <w:rPr>
      <w:rFonts w:ascii="Century Schoolbook" w:hAnsi="Century Schoolbook" w:eastAsia="仿宋体"/>
      <w:b/>
      <w:color w:val="00FFFF"/>
      <w:kern w:val="21"/>
      <w:sz w:val="24"/>
      <w:u w:val="single"/>
      <w:lang w:eastAsia="zh-CN"/>
    </w:rPr>
  </w:style>
  <w:style w:type="paragraph" w:customStyle="1" w:styleId="115">
    <w:name w:val="章标题"/>
    <w:basedOn w:val="1"/>
    <w:autoRedefine/>
    <w:qFormat/>
    <w:uiPriority w:val="0"/>
    <w:rPr>
      <w:rFonts w:ascii="宋体"/>
      <w:spacing w:val="-8"/>
      <w:sz w:val="24"/>
      <w:lang w:eastAsia="zh-CN"/>
    </w:rPr>
  </w:style>
  <w:style w:type="paragraph" w:customStyle="1" w:styleId="116">
    <w:name w:val="一级条标题"/>
    <w:basedOn w:val="1"/>
    <w:autoRedefine/>
    <w:qFormat/>
    <w:uiPriority w:val="0"/>
    <w:rPr>
      <w:rFonts w:ascii="宋体"/>
      <w:spacing w:val="-8"/>
      <w:sz w:val="24"/>
      <w:lang w:eastAsia="zh-CN"/>
    </w:rPr>
  </w:style>
  <w:style w:type="paragraph" w:customStyle="1" w:styleId="117">
    <w:name w:val="表标题"/>
    <w:basedOn w:val="15"/>
    <w:autoRedefine/>
    <w:qFormat/>
    <w:uiPriority w:val="0"/>
    <w:pPr>
      <w:adjustRightInd/>
      <w:spacing w:line="240" w:lineRule="auto"/>
      <w:ind w:left="0" w:firstLine="0"/>
      <w:jc w:val="center"/>
      <w:textAlignment w:val="auto"/>
    </w:pPr>
    <w:rPr>
      <w:kern w:val="2"/>
      <w:sz w:val="21"/>
    </w:rPr>
  </w:style>
  <w:style w:type="paragraph" w:customStyle="1" w:styleId="118">
    <w:name w:val="Personal Info"/>
    <w:basedOn w:val="105"/>
    <w:autoRedefine/>
    <w:qFormat/>
    <w:uiPriority w:val="0"/>
    <w:pPr>
      <w:spacing w:before="220" w:line="440" w:lineRule="exact"/>
      <w:ind w:right="-357"/>
      <w:jc w:val="left"/>
    </w:pPr>
    <w:rPr>
      <w:rFonts w:ascii="宋体" w:hAnsi="Times New Roman"/>
      <w:spacing w:val="-8"/>
    </w:rPr>
  </w:style>
  <w:style w:type="paragraph" w:customStyle="1" w:styleId="119">
    <w:name w:val="font5"/>
    <w:basedOn w:val="1"/>
    <w:qFormat/>
    <w:uiPriority w:val="0"/>
    <w:pPr>
      <w:spacing w:before="100" w:beforeAutospacing="1" w:after="100" w:afterAutospacing="1"/>
    </w:pPr>
    <w:rPr>
      <w:rFonts w:hint="eastAsia" w:ascii="宋体" w:hAnsi="宋体"/>
      <w:sz w:val="18"/>
      <w:szCs w:val="18"/>
      <w:lang w:eastAsia="zh-CN"/>
    </w:rPr>
  </w:style>
  <w:style w:type="paragraph" w:customStyle="1" w:styleId="120">
    <w:name w:val="font6"/>
    <w:basedOn w:val="1"/>
    <w:qFormat/>
    <w:uiPriority w:val="0"/>
    <w:pPr>
      <w:spacing w:before="100" w:beforeAutospacing="1" w:after="100" w:afterAutospacing="1"/>
    </w:pPr>
    <w:rPr>
      <w:rFonts w:hint="eastAsia" w:ascii="宋体" w:hAnsi="宋体"/>
      <w:lang w:eastAsia="zh-CN"/>
    </w:rPr>
  </w:style>
  <w:style w:type="paragraph" w:customStyle="1" w:styleId="121">
    <w:name w:val="xl2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lang w:eastAsia="zh-CN"/>
    </w:rPr>
  </w:style>
  <w:style w:type="paragraph" w:customStyle="1" w:styleId="122">
    <w:name w:val="xl25"/>
    <w:basedOn w:val="1"/>
    <w:autoRedefine/>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pPr>
    <w:rPr>
      <w:lang w:eastAsia="zh-CN"/>
    </w:rPr>
  </w:style>
  <w:style w:type="paragraph" w:customStyle="1" w:styleId="123">
    <w:name w:val="xl26"/>
    <w:basedOn w:val="1"/>
    <w:autoRedefine/>
    <w:qFormat/>
    <w:uiPriority w:val="0"/>
    <w:pPr>
      <w:pBdr>
        <w:top w:val="single" w:color="auto" w:sz="8" w:space="0"/>
        <w:left w:val="single" w:color="auto" w:sz="8"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24">
    <w:name w:val="xl27"/>
    <w:basedOn w:val="1"/>
    <w:autoRedefine/>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25">
    <w:name w:val="xl28"/>
    <w:basedOn w:val="1"/>
    <w:autoRedefine/>
    <w:qFormat/>
    <w:uiPriority w:val="0"/>
    <w:pPr>
      <w:pBdr>
        <w:left w:val="single" w:color="auto" w:sz="8" w:space="0"/>
        <w:bottom w:val="single" w:color="auto" w:sz="8"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26">
    <w:name w:val="xl29"/>
    <w:basedOn w:val="1"/>
    <w:autoRedefine/>
    <w:qFormat/>
    <w:uiPriority w:val="0"/>
    <w:pPr>
      <w:pBdr>
        <w:top w:val="single" w:color="auto" w:sz="8" w:space="0"/>
        <w:left w:val="single" w:color="auto" w:sz="8" w:space="0"/>
        <w:bottom w:val="single" w:color="auto" w:sz="8" w:space="0"/>
        <w:right w:val="single" w:color="auto" w:sz="8" w:space="0"/>
      </w:pBdr>
      <w:spacing w:before="100" w:beforeAutospacing="1" w:after="100" w:afterAutospacing="1"/>
    </w:pPr>
    <w:rPr>
      <w:lang w:eastAsia="zh-CN"/>
    </w:rPr>
  </w:style>
  <w:style w:type="paragraph" w:customStyle="1" w:styleId="127">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lang w:eastAsia="zh-CN"/>
    </w:rPr>
  </w:style>
  <w:style w:type="paragraph" w:customStyle="1" w:styleId="128">
    <w:name w:val="xl31"/>
    <w:basedOn w:val="1"/>
    <w:autoRedefine/>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29">
    <w:name w:val="xl32"/>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pPr>
    <w:rPr>
      <w:rFonts w:ascii="宋体" w:hAnsi="宋体"/>
      <w:lang w:eastAsia="zh-CN"/>
    </w:rPr>
  </w:style>
  <w:style w:type="paragraph" w:customStyle="1" w:styleId="130">
    <w:name w:val="xl33"/>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lang w:eastAsia="zh-CN"/>
    </w:rPr>
  </w:style>
  <w:style w:type="paragraph" w:customStyle="1" w:styleId="131">
    <w:name w:val="xl34"/>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32">
    <w:name w:val="xl35"/>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33">
    <w:name w:val="xl36"/>
    <w:basedOn w:val="1"/>
    <w:autoRedefine/>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lang w:eastAsia="zh-CN"/>
    </w:rPr>
  </w:style>
  <w:style w:type="paragraph" w:customStyle="1" w:styleId="134">
    <w:name w:val="xl37"/>
    <w:basedOn w:val="1"/>
    <w:qFormat/>
    <w:uiPriority w:val="0"/>
    <w:pPr>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b/>
      <w:bCs/>
      <w:lang w:eastAsia="zh-CN"/>
    </w:rPr>
  </w:style>
  <w:style w:type="paragraph" w:customStyle="1" w:styleId="135">
    <w:name w:val="xl38"/>
    <w:basedOn w:val="1"/>
    <w:qFormat/>
    <w:uiPriority w:val="0"/>
    <w:pPr>
      <w:pBdr>
        <w:top w:val="single" w:color="auto" w:sz="8" w:space="0"/>
        <w:left w:val="single" w:color="auto" w:sz="8" w:space="0"/>
        <w:bottom w:val="single" w:color="auto" w:sz="8" w:space="0"/>
        <w:right w:val="single" w:color="auto" w:sz="4" w:space="0"/>
      </w:pBdr>
      <w:spacing w:before="100" w:beforeAutospacing="1" w:after="100" w:afterAutospacing="1"/>
      <w:jc w:val="center"/>
    </w:pPr>
    <w:rPr>
      <w:rFonts w:ascii="宋体" w:hAnsi="宋体"/>
      <w:lang w:eastAsia="zh-CN"/>
    </w:rPr>
  </w:style>
  <w:style w:type="paragraph" w:customStyle="1" w:styleId="136">
    <w:name w:val="xl39"/>
    <w:basedOn w:val="1"/>
    <w:autoRedefine/>
    <w:qFormat/>
    <w:uiPriority w:val="0"/>
    <w:pPr>
      <w:pBdr>
        <w:top w:val="single" w:color="auto" w:sz="8" w:space="0"/>
        <w:left w:val="single" w:color="auto" w:sz="4" w:space="0"/>
        <w:bottom w:val="single" w:color="auto" w:sz="8" w:space="0"/>
        <w:right w:val="single" w:color="auto" w:sz="4" w:space="0"/>
      </w:pBdr>
      <w:spacing w:before="100" w:beforeAutospacing="1" w:after="100" w:afterAutospacing="1"/>
    </w:pPr>
    <w:rPr>
      <w:rFonts w:ascii="宋体" w:hAnsi="宋体"/>
      <w:lang w:eastAsia="zh-CN"/>
    </w:rPr>
  </w:style>
  <w:style w:type="paragraph" w:customStyle="1" w:styleId="137">
    <w:name w:val="xl40"/>
    <w:basedOn w:val="1"/>
    <w:qFormat/>
    <w:uiPriority w:val="0"/>
    <w:pPr>
      <w:pBdr>
        <w:top w:val="single" w:color="auto" w:sz="8" w:space="0"/>
        <w:left w:val="single" w:color="auto" w:sz="4" w:space="0"/>
        <w:bottom w:val="single" w:color="auto" w:sz="8" w:space="0"/>
        <w:right w:val="single" w:color="auto" w:sz="4" w:space="0"/>
      </w:pBdr>
      <w:spacing w:before="100" w:beforeAutospacing="1" w:after="100" w:afterAutospacing="1"/>
      <w:jc w:val="center"/>
    </w:pPr>
    <w:rPr>
      <w:lang w:eastAsia="zh-CN"/>
    </w:rPr>
  </w:style>
  <w:style w:type="paragraph" w:customStyle="1" w:styleId="138">
    <w:name w:val="xl41"/>
    <w:basedOn w:val="1"/>
    <w:autoRedefine/>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lang w:eastAsia="zh-CN"/>
    </w:rPr>
  </w:style>
  <w:style w:type="paragraph" w:customStyle="1" w:styleId="139">
    <w:name w:val="xl42"/>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lang w:eastAsia="zh-CN"/>
    </w:rPr>
  </w:style>
  <w:style w:type="paragraph" w:customStyle="1" w:styleId="140">
    <w:name w:val="xl43"/>
    <w:basedOn w:val="1"/>
    <w:autoRedefine/>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lang w:eastAsia="zh-CN"/>
    </w:rPr>
  </w:style>
  <w:style w:type="paragraph" w:customStyle="1" w:styleId="141">
    <w:name w:val="xl44"/>
    <w:basedOn w:val="1"/>
    <w:autoRedefine/>
    <w:qFormat/>
    <w:uiPriority w:val="0"/>
    <w:pPr>
      <w:pBdr>
        <w:top w:val="single" w:color="auto" w:sz="8"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lang w:eastAsia="zh-CN"/>
    </w:rPr>
  </w:style>
  <w:style w:type="paragraph" w:customStyle="1" w:styleId="142">
    <w:name w:val="xl45"/>
    <w:basedOn w:val="1"/>
    <w:qFormat/>
    <w:uiPriority w:val="0"/>
    <w:pPr>
      <w:pBdr>
        <w:top w:val="single" w:color="auto" w:sz="8" w:space="0"/>
        <w:left w:val="single" w:color="auto" w:sz="8" w:space="0"/>
        <w:bottom w:val="single" w:color="auto" w:sz="8"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43">
    <w:name w:val="xl46"/>
    <w:basedOn w:val="1"/>
    <w:autoRedefine/>
    <w:qFormat/>
    <w:uiPriority w:val="0"/>
    <w:pPr>
      <w:pBdr>
        <w:top w:val="single" w:color="auto" w:sz="8" w:space="0"/>
        <w:left w:val="single" w:color="auto" w:sz="8" w:space="0"/>
        <w:right w:val="single" w:color="auto" w:sz="4" w:space="0"/>
      </w:pBdr>
      <w:spacing w:before="100" w:beforeAutospacing="1" w:after="100" w:afterAutospacing="1"/>
      <w:jc w:val="center"/>
      <w:textAlignment w:val="center"/>
    </w:pPr>
    <w:rPr>
      <w:lang w:eastAsia="zh-CN"/>
    </w:rPr>
  </w:style>
  <w:style w:type="paragraph" w:customStyle="1" w:styleId="144">
    <w:name w:val="xl47"/>
    <w:basedOn w:val="1"/>
    <w:qFormat/>
    <w:uiPriority w:val="0"/>
    <w:pPr>
      <w:pBdr>
        <w:left w:val="single" w:color="auto" w:sz="8" w:space="0"/>
        <w:right w:val="single" w:color="auto" w:sz="4" w:space="0"/>
      </w:pBdr>
      <w:spacing w:before="100" w:beforeAutospacing="1" w:after="100" w:afterAutospacing="1"/>
      <w:jc w:val="center"/>
      <w:textAlignment w:val="center"/>
    </w:pPr>
    <w:rPr>
      <w:lang w:eastAsia="zh-CN"/>
    </w:rPr>
  </w:style>
  <w:style w:type="paragraph" w:customStyle="1" w:styleId="145">
    <w:name w:val="xl48"/>
    <w:basedOn w:val="1"/>
    <w:qFormat/>
    <w:uiPriority w:val="0"/>
    <w:pPr>
      <w:pBdr>
        <w:left w:val="single" w:color="auto" w:sz="8" w:space="0"/>
        <w:bottom w:val="single" w:color="auto" w:sz="8" w:space="0"/>
        <w:right w:val="single" w:color="auto" w:sz="4" w:space="0"/>
      </w:pBdr>
      <w:spacing w:before="100" w:beforeAutospacing="1" w:after="100" w:afterAutospacing="1"/>
      <w:jc w:val="center"/>
      <w:textAlignment w:val="center"/>
    </w:pPr>
    <w:rPr>
      <w:lang w:eastAsia="zh-CN"/>
    </w:rPr>
  </w:style>
  <w:style w:type="paragraph" w:customStyle="1" w:styleId="146">
    <w:name w:val="xl49"/>
    <w:basedOn w:val="1"/>
    <w:autoRedefine/>
    <w:qFormat/>
    <w:uiPriority w:val="0"/>
    <w:pPr>
      <w:pBdr>
        <w:top w:val="single" w:color="auto" w:sz="8" w:space="0"/>
        <w:left w:val="single" w:color="auto" w:sz="8" w:space="0"/>
        <w:bottom w:val="single" w:color="auto" w:sz="8" w:space="0"/>
        <w:right w:val="single" w:color="auto" w:sz="4" w:space="0"/>
      </w:pBdr>
      <w:spacing w:before="100" w:beforeAutospacing="1" w:after="100" w:afterAutospacing="1"/>
      <w:jc w:val="center"/>
      <w:textAlignment w:val="center"/>
    </w:pPr>
    <w:rPr>
      <w:lang w:eastAsia="zh-CN"/>
    </w:rPr>
  </w:style>
  <w:style w:type="paragraph" w:customStyle="1" w:styleId="147">
    <w:name w:val="xl50"/>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lang w:eastAsia="zh-CN"/>
    </w:rPr>
  </w:style>
  <w:style w:type="paragraph" w:customStyle="1" w:styleId="148">
    <w:name w:val="xl51"/>
    <w:basedOn w:val="1"/>
    <w:autoRedefine/>
    <w:qFormat/>
    <w:uiPriority w:val="0"/>
    <w:pPr>
      <w:pBdr>
        <w:top w:val="single" w:color="auto" w:sz="8" w:space="0"/>
        <w:left w:val="single" w:color="auto" w:sz="4" w:space="0"/>
        <w:right w:val="single" w:color="auto" w:sz="8" w:space="0"/>
      </w:pBdr>
      <w:spacing w:before="100" w:beforeAutospacing="1" w:after="100" w:afterAutospacing="1"/>
      <w:jc w:val="center"/>
      <w:textAlignment w:val="center"/>
    </w:pPr>
    <w:rPr>
      <w:rFonts w:ascii="宋体" w:hAnsi="宋体"/>
      <w:lang w:eastAsia="zh-CN"/>
    </w:rPr>
  </w:style>
  <w:style w:type="paragraph" w:customStyle="1" w:styleId="149">
    <w:name w:val="xl52"/>
    <w:basedOn w:val="1"/>
    <w:autoRedefine/>
    <w:qFormat/>
    <w:uiPriority w:val="0"/>
    <w:pPr>
      <w:pBdr>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lang w:eastAsia="zh-CN"/>
    </w:rPr>
  </w:style>
  <w:style w:type="paragraph" w:customStyle="1" w:styleId="150">
    <w:name w:val="xl53"/>
    <w:basedOn w:val="1"/>
    <w:qFormat/>
    <w:uiPriority w:val="0"/>
    <w:pPr>
      <w:pBdr>
        <w:left w:val="single" w:color="auto" w:sz="4" w:space="0"/>
        <w:right w:val="single" w:color="auto" w:sz="8" w:space="0"/>
      </w:pBdr>
      <w:spacing w:before="100" w:beforeAutospacing="1" w:after="100" w:afterAutospacing="1"/>
      <w:jc w:val="center"/>
      <w:textAlignment w:val="center"/>
    </w:pPr>
    <w:rPr>
      <w:rFonts w:ascii="宋体" w:hAnsi="宋体"/>
      <w:lang w:eastAsia="zh-CN"/>
    </w:rPr>
  </w:style>
  <w:style w:type="paragraph" w:customStyle="1" w:styleId="151">
    <w:name w:val="font7"/>
    <w:basedOn w:val="1"/>
    <w:autoRedefine/>
    <w:qFormat/>
    <w:uiPriority w:val="0"/>
    <w:pPr>
      <w:spacing w:before="100" w:beforeAutospacing="1" w:after="100" w:afterAutospacing="1"/>
    </w:pPr>
    <w:rPr>
      <w:rFonts w:hint="eastAsia" w:ascii="宋体" w:hAnsi="宋体"/>
      <w:color w:val="FF0000"/>
      <w:lang w:eastAsia="zh-CN"/>
    </w:rPr>
  </w:style>
  <w:style w:type="paragraph" w:customStyle="1" w:styleId="152">
    <w:name w:val="xl54"/>
    <w:basedOn w:val="1"/>
    <w:qFormat/>
    <w:uiPriority w:val="0"/>
    <w:pPr>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lang w:eastAsia="zh-CN"/>
    </w:rPr>
  </w:style>
  <w:style w:type="paragraph" w:customStyle="1" w:styleId="153">
    <w:name w:val="xl55"/>
    <w:basedOn w:val="1"/>
    <w:autoRedefine/>
    <w:qFormat/>
    <w:uiPriority w:val="0"/>
    <w:pPr>
      <w:pBdr>
        <w:top w:val="single" w:color="auto" w:sz="4" w:space="0"/>
        <w:left w:val="single" w:color="auto" w:sz="4" w:space="0"/>
        <w:bottom w:val="single" w:color="auto" w:sz="4" w:space="0"/>
      </w:pBdr>
      <w:spacing w:before="100" w:beforeAutospacing="1" w:after="100" w:afterAutospacing="1"/>
      <w:jc w:val="center"/>
    </w:pPr>
    <w:rPr>
      <w:lang w:eastAsia="zh-CN"/>
    </w:rPr>
  </w:style>
  <w:style w:type="paragraph" w:customStyle="1" w:styleId="154">
    <w:name w:val="xl56"/>
    <w:basedOn w:val="1"/>
    <w:autoRedefine/>
    <w:qFormat/>
    <w:uiPriority w:val="0"/>
    <w:pPr>
      <w:pBdr>
        <w:top w:val="single" w:color="auto" w:sz="4" w:space="0"/>
        <w:bottom w:val="single" w:color="auto" w:sz="4" w:space="0"/>
        <w:right w:val="single" w:color="auto" w:sz="4" w:space="0"/>
      </w:pBdr>
      <w:spacing w:before="100" w:beforeAutospacing="1" w:after="100" w:afterAutospacing="1"/>
    </w:pPr>
    <w:rPr>
      <w:rFonts w:ascii="宋体" w:hAnsi="宋体"/>
      <w:lang w:eastAsia="zh-CN"/>
    </w:rPr>
  </w:style>
  <w:style w:type="paragraph" w:customStyle="1" w:styleId="155">
    <w:name w:val="xl57"/>
    <w:basedOn w:val="1"/>
    <w:autoRedefine/>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56">
    <w:name w:val="xl58"/>
    <w:basedOn w:val="1"/>
    <w:autoRedefine/>
    <w:qFormat/>
    <w:uiPriority w:val="0"/>
    <w:pPr>
      <w:pBdr>
        <w:left w:val="single" w:color="auto" w:sz="8" w:space="0"/>
        <w:bottom w:val="single" w:color="auto" w:sz="8"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57">
    <w:name w:val="xl59"/>
    <w:basedOn w:val="1"/>
    <w:autoRedefine/>
    <w:qFormat/>
    <w:uiPriority w:val="0"/>
    <w:pPr>
      <w:pBdr>
        <w:bottom w:val="single" w:color="auto" w:sz="8" w:space="0"/>
      </w:pBdr>
      <w:spacing w:before="100" w:beforeAutospacing="1" w:after="100" w:afterAutospacing="1"/>
      <w:jc w:val="center"/>
    </w:pPr>
    <w:rPr>
      <w:rFonts w:ascii="宋体" w:hAnsi="宋体"/>
      <w:lang w:eastAsia="zh-CN"/>
    </w:rPr>
  </w:style>
  <w:style w:type="paragraph" w:customStyle="1" w:styleId="158">
    <w:name w:val="xl60"/>
    <w:basedOn w:val="1"/>
    <w:autoRedefine/>
    <w:qFormat/>
    <w:uiPriority w:val="0"/>
    <w:pPr>
      <w:pBdr>
        <w:top w:val="single" w:color="auto" w:sz="4" w:space="0"/>
        <w:left w:val="single" w:color="auto" w:sz="8" w:space="0"/>
        <w:bottom w:val="single" w:color="auto" w:sz="4" w:space="0"/>
        <w:right w:val="single" w:color="auto" w:sz="8" w:space="0"/>
      </w:pBdr>
      <w:spacing w:before="100" w:beforeAutospacing="1" w:after="100" w:afterAutospacing="1"/>
      <w:jc w:val="center"/>
    </w:pPr>
    <w:rPr>
      <w:rFonts w:ascii="宋体" w:hAnsi="宋体"/>
      <w:lang w:eastAsia="zh-CN"/>
    </w:rPr>
  </w:style>
  <w:style w:type="paragraph" w:customStyle="1" w:styleId="159">
    <w:name w:val="xl61"/>
    <w:basedOn w:val="1"/>
    <w:autoRedefine/>
    <w:qFormat/>
    <w:uiPriority w:val="0"/>
    <w:pPr>
      <w:pBdr>
        <w:left w:val="single" w:color="auto" w:sz="8" w:space="0"/>
        <w:right w:val="single" w:color="auto" w:sz="8" w:space="0"/>
      </w:pBdr>
      <w:spacing w:before="100" w:beforeAutospacing="1" w:after="100" w:afterAutospacing="1"/>
      <w:jc w:val="center"/>
      <w:textAlignment w:val="center"/>
    </w:pPr>
    <w:rPr>
      <w:lang w:eastAsia="zh-CN"/>
    </w:rPr>
  </w:style>
  <w:style w:type="paragraph" w:customStyle="1" w:styleId="160">
    <w:name w:val="xl62"/>
    <w:basedOn w:val="1"/>
    <w:autoRedefine/>
    <w:qFormat/>
    <w:uiPriority w:val="0"/>
    <w:pPr>
      <w:pBdr>
        <w:top w:val="single" w:color="auto" w:sz="4" w:space="0"/>
        <w:left w:val="single" w:color="auto" w:sz="8" w:space="0"/>
        <w:right w:val="single" w:color="auto" w:sz="8" w:space="0"/>
      </w:pBdr>
      <w:spacing w:before="100" w:beforeAutospacing="1" w:after="100" w:afterAutospacing="1"/>
      <w:jc w:val="center"/>
      <w:textAlignment w:val="center"/>
    </w:pPr>
    <w:rPr>
      <w:rFonts w:ascii="宋体" w:hAnsi="宋体"/>
      <w:lang w:eastAsia="zh-CN"/>
    </w:rPr>
  </w:style>
  <w:style w:type="paragraph" w:customStyle="1" w:styleId="161">
    <w:name w:val="xl63"/>
    <w:basedOn w:val="1"/>
    <w:autoRedefine/>
    <w:qFormat/>
    <w:uiPriority w:val="0"/>
    <w:pPr>
      <w:pBdr>
        <w:left w:val="single" w:color="auto" w:sz="8" w:space="0"/>
        <w:right w:val="single" w:color="auto" w:sz="8" w:space="0"/>
      </w:pBdr>
      <w:spacing w:before="100" w:beforeAutospacing="1" w:after="100" w:afterAutospacing="1"/>
      <w:jc w:val="center"/>
    </w:pPr>
    <w:rPr>
      <w:rFonts w:ascii="宋体" w:hAnsi="宋体"/>
      <w:lang w:eastAsia="zh-CN"/>
    </w:rPr>
  </w:style>
  <w:style w:type="paragraph" w:customStyle="1" w:styleId="162">
    <w:name w:val="xl64"/>
    <w:basedOn w:val="1"/>
    <w:autoRedefine/>
    <w:qFormat/>
    <w:uiPriority w:val="0"/>
    <w:pPr>
      <w:pBdr>
        <w:left w:val="single" w:color="auto" w:sz="8" w:space="0"/>
        <w:bottom w:val="single" w:color="auto" w:sz="4" w:space="0"/>
        <w:right w:val="single" w:color="auto" w:sz="8" w:space="0"/>
      </w:pBdr>
      <w:spacing w:before="100" w:beforeAutospacing="1" w:after="100" w:afterAutospacing="1"/>
      <w:jc w:val="center"/>
    </w:pPr>
    <w:rPr>
      <w:rFonts w:ascii="宋体" w:hAnsi="宋体"/>
      <w:lang w:eastAsia="zh-CN"/>
    </w:rPr>
  </w:style>
  <w:style w:type="paragraph" w:customStyle="1" w:styleId="163">
    <w:name w:val="xl65"/>
    <w:basedOn w:val="1"/>
    <w:autoRedefine/>
    <w:qFormat/>
    <w:uiPriority w:val="0"/>
    <w:pPr>
      <w:pBdr>
        <w:right w:val="single" w:color="auto" w:sz="4" w:space="0"/>
      </w:pBdr>
      <w:spacing w:before="100" w:beforeAutospacing="1" w:after="100" w:afterAutospacing="1"/>
    </w:pPr>
    <w:rPr>
      <w:rFonts w:ascii="宋体" w:hAnsi="宋体"/>
      <w:lang w:eastAsia="zh-CN"/>
    </w:rPr>
  </w:style>
  <w:style w:type="paragraph" w:customStyle="1" w:styleId="164">
    <w:name w:val="xl66"/>
    <w:basedOn w:val="1"/>
    <w:autoRedefine/>
    <w:qFormat/>
    <w:uiPriority w:val="0"/>
    <w:pPr>
      <w:pBdr>
        <w:top w:val="single" w:color="auto" w:sz="4" w:space="0"/>
        <w:left w:val="single" w:color="auto" w:sz="4" w:space="0"/>
      </w:pBdr>
      <w:spacing w:before="100" w:beforeAutospacing="1" w:after="100" w:afterAutospacing="1"/>
      <w:jc w:val="center"/>
    </w:pPr>
    <w:rPr>
      <w:lang w:eastAsia="zh-CN"/>
    </w:rPr>
  </w:style>
  <w:style w:type="paragraph" w:customStyle="1" w:styleId="165">
    <w:name w:val="xl67"/>
    <w:basedOn w:val="1"/>
    <w:autoRedefine/>
    <w:qFormat/>
    <w:uiPriority w:val="0"/>
    <w:pPr>
      <w:pBdr>
        <w:left w:val="single" w:color="auto" w:sz="4" w:space="0"/>
        <w:bottom w:val="single" w:color="auto" w:sz="4" w:space="0"/>
        <w:right w:val="single" w:color="auto" w:sz="8" w:space="0"/>
      </w:pBdr>
      <w:spacing w:before="100" w:beforeAutospacing="1" w:after="100" w:afterAutospacing="1"/>
      <w:jc w:val="center"/>
    </w:pPr>
    <w:rPr>
      <w:lang w:eastAsia="zh-CN"/>
    </w:rPr>
  </w:style>
  <w:style w:type="paragraph" w:customStyle="1" w:styleId="166">
    <w:name w:val="xl68"/>
    <w:basedOn w:val="1"/>
    <w:autoRedefine/>
    <w:qFormat/>
    <w:uiPriority w:val="0"/>
    <w:pPr>
      <w:pBdr>
        <w:left w:val="single" w:color="auto" w:sz="8" w:space="0"/>
        <w:bottom w:val="single" w:color="auto" w:sz="4" w:space="0"/>
        <w:right w:val="single" w:color="auto" w:sz="8" w:space="0"/>
      </w:pBdr>
      <w:spacing w:before="100" w:beforeAutospacing="1" w:after="100" w:afterAutospacing="1"/>
      <w:jc w:val="center"/>
      <w:textAlignment w:val="center"/>
    </w:pPr>
    <w:rPr>
      <w:rFonts w:ascii="宋体" w:hAnsi="宋体"/>
      <w:lang w:eastAsia="zh-CN"/>
    </w:rPr>
  </w:style>
  <w:style w:type="paragraph" w:customStyle="1" w:styleId="167">
    <w:name w:val="xl69"/>
    <w:basedOn w:val="1"/>
    <w:autoRedefine/>
    <w:qFormat/>
    <w:uiPriority w:val="0"/>
    <w:pPr>
      <w:pBdr>
        <w:top w:val="single" w:color="auto" w:sz="4" w:space="0"/>
        <w:left w:val="single" w:color="auto" w:sz="4" w:space="0"/>
        <w:bottom w:val="single" w:color="auto" w:sz="4" w:space="0"/>
      </w:pBdr>
      <w:spacing w:before="100" w:beforeAutospacing="1" w:after="100" w:afterAutospacing="1"/>
    </w:pPr>
    <w:rPr>
      <w:rFonts w:ascii="宋体" w:hAnsi="宋体"/>
      <w:lang w:eastAsia="zh-CN"/>
    </w:rPr>
  </w:style>
  <w:style w:type="paragraph" w:customStyle="1" w:styleId="168">
    <w:name w:val="xl70"/>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lang w:eastAsia="zh-CN"/>
    </w:rPr>
  </w:style>
  <w:style w:type="paragraph" w:customStyle="1" w:styleId="169">
    <w:name w:val="xl71"/>
    <w:basedOn w:val="1"/>
    <w:autoRedefine/>
    <w:qFormat/>
    <w:uiPriority w:val="0"/>
    <w:pPr>
      <w:pBdr>
        <w:top w:val="single" w:color="auto" w:sz="4" w:space="0"/>
        <w:left w:val="single" w:color="auto" w:sz="4" w:space="0"/>
        <w:right w:val="single" w:color="auto" w:sz="8" w:space="0"/>
      </w:pBdr>
      <w:spacing w:before="100" w:beforeAutospacing="1" w:after="100" w:afterAutospacing="1"/>
      <w:jc w:val="center"/>
    </w:pPr>
    <w:rPr>
      <w:lang w:eastAsia="zh-CN"/>
    </w:rPr>
  </w:style>
  <w:style w:type="paragraph" w:customStyle="1" w:styleId="170">
    <w:name w:val="xl72"/>
    <w:basedOn w:val="1"/>
    <w:qFormat/>
    <w:uiPriority w:val="0"/>
    <w:pPr>
      <w:spacing w:before="100" w:beforeAutospacing="1" w:after="100" w:afterAutospacing="1"/>
      <w:jc w:val="center"/>
      <w:textAlignment w:val="center"/>
    </w:pPr>
    <w:rPr>
      <w:rFonts w:ascii="宋体" w:hAnsi="宋体"/>
      <w:b/>
      <w:bCs/>
      <w:lang w:eastAsia="zh-CN"/>
    </w:rPr>
  </w:style>
  <w:style w:type="paragraph" w:customStyle="1" w:styleId="171">
    <w:name w:val="xl73"/>
    <w:basedOn w:val="1"/>
    <w:qFormat/>
    <w:uiPriority w:val="0"/>
    <w:pPr>
      <w:pBdr>
        <w:bottom w:val="single" w:color="auto" w:sz="8" w:space="0"/>
      </w:pBdr>
      <w:spacing w:before="100" w:beforeAutospacing="1" w:after="100" w:afterAutospacing="1"/>
      <w:jc w:val="center"/>
      <w:textAlignment w:val="center"/>
    </w:pPr>
    <w:rPr>
      <w:rFonts w:ascii="宋体" w:hAnsi="宋体"/>
      <w:b/>
      <w:bCs/>
      <w:lang w:eastAsia="zh-CN"/>
    </w:rPr>
  </w:style>
  <w:style w:type="paragraph" w:customStyle="1" w:styleId="172">
    <w:name w:val="xl74"/>
    <w:basedOn w:val="1"/>
    <w:autoRedefine/>
    <w:qFormat/>
    <w:uiPriority w:val="0"/>
    <w:pPr>
      <w:pBdr>
        <w:top w:val="single" w:color="auto" w:sz="8" w:space="0"/>
        <w:left w:val="single" w:color="auto" w:sz="4"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73">
    <w:name w:val="xl75"/>
    <w:basedOn w:val="1"/>
    <w:autoRedefine/>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74">
    <w:name w:val="xl76"/>
    <w:basedOn w:val="1"/>
    <w:autoRedefine/>
    <w:qFormat/>
    <w:uiPriority w:val="0"/>
    <w:pPr>
      <w:pBdr>
        <w:top w:val="single" w:color="auto" w:sz="8" w:space="0"/>
        <w:left w:val="single" w:color="auto" w:sz="8"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75">
    <w:name w:val="xl77"/>
    <w:basedOn w:val="1"/>
    <w:autoRedefine/>
    <w:qFormat/>
    <w:uiPriority w:val="0"/>
    <w:pPr>
      <w:pBdr>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76">
    <w:name w:val="xl78"/>
    <w:basedOn w:val="1"/>
    <w:qFormat/>
    <w:uiPriority w:val="0"/>
    <w:pPr>
      <w:pBdr>
        <w:top w:val="single" w:color="auto" w:sz="4" w:space="0"/>
        <w:bottom w:val="single" w:color="auto" w:sz="4" w:space="0"/>
        <w:right w:val="single" w:color="auto" w:sz="8" w:space="0"/>
      </w:pBdr>
      <w:spacing w:before="100" w:beforeAutospacing="1" w:after="100" w:afterAutospacing="1"/>
      <w:jc w:val="center"/>
    </w:pPr>
    <w:rPr>
      <w:color w:val="FF0000"/>
      <w:lang w:eastAsia="zh-CN"/>
    </w:rPr>
  </w:style>
  <w:style w:type="character" w:customStyle="1" w:styleId="177">
    <w:name w:val="title1"/>
    <w:basedOn w:val="45"/>
    <w:qFormat/>
    <w:uiPriority w:val="0"/>
    <w:rPr>
      <w:color w:val="006600"/>
      <w:sz w:val="23"/>
      <w:szCs w:val="23"/>
    </w:rPr>
  </w:style>
  <w:style w:type="paragraph" w:customStyle="1" w:styleId="178">
    <w:name w:val="默认段落字体 Para Char"/>
    <w:basedOn w:val="1"/>
    <w:autoRedefine/>
    <w:qFormat/>
    <w:uiPriority w:val="0"/>
    <w:pPr>
      <w:spacing w:line="360" w:lineRule="auto"/>
    </w:pPr>
    <w:rPr>
      <w:rFonts w:ascii="宋体" w:hAnsi="宋体" w:cs="宋体"/>
      <w:sz w:val="24"/>
      <w:szCs w:val="24"/>
      <w:lang w:eastAsia="zh-CN"/>
    </w:rPr>
  </w:style>
  <w:style w:type="paragraph" w:customStyle="1" w:styleId="179">
    <w:name w:val="Char Char Char Char Char Char Char"/>
    <w:basedOn w:val="1"/>
    <w:qFormat/>
    <w:uiPriority w:val="0"/>
    <w:rPr>
      <w:sz w:val="24"/>
      <w:szCs w:val="24"/>
      <w:lang w:eastAsia="zh-CN"/>
    </w:rPr>
  </w:style>
  <w:style w:type="paragraph" w:customStyle="1" w:styleId="180">
    <w:name w:val="样式2"/>
    <w:basedOn w:val="1"/>
    <w:autoRedefine/>
    <w:qFormat/>
    <w:uiPriority w:val="0"/>
    <w:pPr>
      <w:adjustRightInd w:val="0"/>
      <w:spacing w:line="410" w:lineRule="atLeast"/>
      <w:textAlignment w:val="baseline"/>
    </w:pPr>
    <w:rPr>
      <w:sz w:val="24"/>
      <w:lang w:eastAsia="zh-CN"/>
    </w:rPr>
  </w:style>
  <w:style w:type="paragraph" w:customStyle="1" w:styleId="181">
    <w:name w:val="标题3"/>
    <w:basedOn w:val="1"/>
    <w:next w:val="1"/>
    <w:autoRedefine/>
    <w:qFormat/>
    <w:uiPriority w:val="0"/>
    <w:pPr>
      <w:tabs>
        <w:tab w:val="left" w:pos="6691"/>
      </w:tabs>
      <w:adjustRightInd w:val="0"/>
      <w:spacing w:before="100" w:beforeAutospacing="1" w:after="100" w:afterAutospacing="1" w:line="500" w:lineRule="atLeast"/>
    </w:pPr>
    <w:rPr>
      <w:rFonts w:eastAsia="黑体"/>
      <w:bCs/>
      <w:sz w:val="24"/>
      <w:szCs w:val="24"/>
      <w:lang w:eastAsia="zh-CN"/>
    </w:rPr>
  </w:style>
  <w:style w:type="character" w:customStyle="1" w:styleId="182">
    <w:name w:val="xdrichtextbox2"/>
    <w:basedOn w:val="45"/>
    <w:qFormat/>
    <w:uiPriority w:val="0"/>
    <w:rPr>
      <w:color w:val="0000FF"/>
      <w:sz w:val="18"/>
      <w:szCs w:val="18"/>
      <w:u w:val="none"/>
      <w:bdr w:val="single" w:color="DCDCDC" w:sz="8" w:space="0"/>
      <w:shd w:val="clear" w:color="auto" w:fill="FFFFFF"/>
    </w:rPr>
  </w:style>
  <w:style w:type="paragraph" w:customStyle="1" w:styleId="183">
    <w:name w:val="font8"/>
    <w:basedOn w:val="1"/>
    <w:qFormat/>
    <w:uiPriority w:val="0"/>
    <w:pPr>
      <w:spacing w:before="100" w:beforeAutospacing="1" w:after="100" w:afterAutospacing="1"/>
    </w:pPr>
    <w:rPr>
      <w:rFonts w:ascii="宋体" w:hAnsi="宋体" w:cs="宋体"/>
      <w:sz w:val="18"/>
      <w:szCs w:val="18"/>
      <w:lang w:eastAsia="zh-CN"/>
    </w:rPr>
  </w:style>
  <w:style w:type="paragraph" w:customStyle="1" w:styleId="184">
    <w:name w:val="font9"/>
    <w:basedOn w:val="1"/>
    <w:autoRedefine/>
    <w:qFormat/>
    <w:uiPriority w:val="0"/>
    <w:pPr>
      <w:spacing w:before="100" w:beforeAutospacing="1" w:after="100" w:afterAutospacing="1"/>
    </w:pPr>
    <w:rPr>
      <w:rFonts w:ascii="宋体" w:hAnsi="宋体" w:cs="宋体"/>
      <w:sz w:val="18"/>
      <w:szCs w:val="18"/>
      <w:lang w:eastAsia="zh-CN"/>
    </w:rPr>
  </w:style>
  <w:style w:type="paragraph" w:customStyle="1" w:styleId="185">
    <w:name w:val="font10"/>
    <w:basedOn w:val="1"/>
    <w:autoRedefine/>
    <w:qFormat/>
    <w:uiPriority w:val="0"/>
    <w:pPr>
      <w:spacing w:before="100" w:beforeAutospacing="1" w:after="100" w:afterAutospacing="1"/>
    </w:pPr>
    <w:rPr>
      <w:rFonts w:ascii="新宋体-18030" w:hAnsi="宋体" w:eastAsia="新宋体-18030" w:cs="宋体"/>
      <w:b/>
      <w:bCs/>
      <w:color w:val="FF0000"/>
      <w:sz w:val="18"/>
      <w:szCs w:val="18"/>
      <w:lang w:eastAsia="zh-CN"/>
    </w:rPr>
  </w:style>
  <w:style w:type="paragraph" w:customStyle="1" w:styleId="186">
    <w:name w:val="xl79"/>
    <w:basedOn w:val="1"/>
    <w:autoRedefine/>
    <w:qFormat/>
    <w:uiPriority w:val="0"/>
    <w:pPr>
      <w:spacing w:before="100" w:beforeAutospacing="1" w:after="100" w:afterAutospacing="1"/>
      <w:textAlignment w:val="center"/>
    </w:pPr>
    <w:rPr>
      <w:rFonts w:ascii="宋体" w:hAnsi="宋体" w:cs="宋体"/>
      <w:sz w:val="24"/>
      <w:szCs w:val="24"/>
      <w:lang w:eastAsia="zh-CN"/>
    </w:rPr>
  </w:style>
  <w:style w:type="paragraph" w:customStyle="1" w:styleId="187">
    <w:name w:val="xl80"/>
    <w:basedOn w:val="1"/>
    <w:autoRedefine/>
    <w:qFormat/>
    <w:uiPriority w:val="0"/>
    <w:pPr>
      <w:spacing w:before="100" w:beforeAutospacing="1" w:after="100" w:afterAutospacing="1"/>
    </w:pPr>
    <w:rPr>
      <w:sz w:val="24"/>
      <w:szCs w:val="24"/>
      <w:lang w:eastAsia="zh-CN"/>
    </w:rPr>
  </w:style>
  <w:style w:type="paragraph" w:customStyle="1" w:styleId="188">
    <w:name w:val="xl81"/>
    <w:basedOn w:val="1"/>
    <w:autoRedefine/>
    <w:qFormat/>
    <w:uiPriority w:val="0"/>
    <w:pPr>
      <w:spacing w:before="100" w:beforeAutospacing="1" w:after="100" w:afterAutospacing="1"/>
      <w:textAlignment w:val="center"/>
    </w:pPr>
    <w:rPr>
      <w:rFonts w:ascii="宋体" w:hAnsi="宋体" w:cs="宋体"/>
      <w:sz w:val="24"/>
      <w:szCs w:val="24"/>
      <w:lang w:eastAsia="zh-CN"/>
    </w:rPr>
  </w:style>
  <w:style w:type="paragraph" w:customStyle="1" w:styleId="189">
    <w:name w:val="xl82"/>
    <w:basedOn w:val="1"/>
    <w:autoRedefine/>
    <w:qFormat/>
    <w:uiPriority w:val="0"/>
    <w:pPr>
      <w:spacing w:before="100" w:beforeAutospacing="1" w:after="100" w:afterAutospacing="1"/>
      <w:textAlignment w:val="center"/>
    </w:pPr>
    <w:rPr>
      <w:rFonts w:ascii="宋体" w:hAnsi="宋体" w:cs="宋体"/>
      <w:sz w:val="24"/>
      <w:szCs w:val="24"/>
      <w:lang w:eastAsia="zh-CN"/>
    </w:rPr>
  </w:style>
  <w:style w:type="paragraph" w:customStyle="1" w:styleId="190">
    <w:name w:val="xl8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18030" w:hAnsi="宋体" w:eastAsia="新宋体-18030" w:cs="宋体"/>
      <w:sz w:val="18"/>
      <w:szCs w:val="18"/>
      <w:lang w:eastAsia="zh-CN"/>
    </w:rPr>
  </w:style>
  <w:style w:type="paragraph" w:customStyle="1" w:styleId="191">
    <w:name w:val="xl8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18030" w:hAnsi="宋体" w:eastAsia="新宋体-18030" w:cs="宋体"/>
      <w:sz w:val="18"/>
      <w:szCs w:val="18"/>
      <w:lang w:eastAsia="zh-CN"/>
    </w:rPr>
  </w:style>
  <w:style w:type="paragraph" w:customStyle="1" w:styleId="192">
    <w:name w:val="xl8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新宋体-18030" w:hAnsi="宋体" w:eastAsia="新宋体-18030" w:cs="宋体"/>
      <w:sz w:val="18"/>
      <w:szCs w:val="18"/>
      <w:lang w:eastAsia="zh-CN"/>
    </w:rPr>
  </w:style>
  <w:style w:type="paragraph" w:customStyle="1" w:styleId="193">
    <w:name w:val="xl86"/>
    <w:basedOn w:val="1"/>
    <w:autoRedefine/>
    <w:qFormat/>
    <w:uiPriority w:val="0"/>
    <w:pPr>
      <w:spacing w:before="100" w:beforeAutospacing="1" w:after="100" w:afterAutospacing="1"/>
      <w:textAlignment w:val="center"/>
    </w:pPr>
    <w:rPr>
      <w:rFonts w:ascii="宋体" w:hAnsi="宋体" w:cs="宋体"/>
      <w:color w:val="FF0000"/>
      <w:sz w:val="24"/>
      <w:szCs w:val="24"/>
      <w:lang w:eastAsia="zh-CN"/>
    </w:rPr>
  </w:style>
  <w:style w:type="paragraph" w:customStyle="1" w:styleId="194">
    <w:name w:val="xl8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18030" w:hAnsi="宋体" w:eastAsia="新宋体-18030" w:cs="宋体"/>
      <w:b/>
      <w:bCs/>
      <w:sz w:val="18"/>
      <w:szCs w:val="18"/>
      <w:lang w:eastAsia="zh-CN"/>
    </w:rPr>
  </w:style>
  <w:style w:type="paragraph" w:customStyle="1" w:styleId="195">
    <w:name w:val="xl8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新宋体-18030" w:hAnsi="宋体" w:eastAsia="新宋体-18030" w:cs="宋体"/>
      <w:b/>
      <w:bCs/>
      <w:sz w:val="18"/>
      <w:szCs w:val="18"/>
      <w:lang w:eastAsia="zh-CN"/>
    </w:rPr>
  </w:style>
  <w:style w:type="paragraph" w:customStyle="1" w:styleId="196">
    <w:name w:val="xl8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18030" w:hAnsi="宋体" w:eastAsia="新宋体-18030" w:cs="宋体"/>
      <w:color w:val="FF0000"/>
      <w:sz w:val="18"/>
      <w:szCs w:val="18"/>
      <w:lang w:eastAsia="zh-CN"/>
    </w:rPr>
  </w:style>
  <w:style w:type="paragraph" w:customStyle="1" w:styleId="197">
    <w:name w:val="xl9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18030" w:hAnsi="宋体" w:eastAsia="新宋体-18030" w:cs="宋体"/>
      <w:color w:val="FF0000"/>
      <w:sz w:val="18"/>
      <w:szCs w:val="18"/>
      <w:lang w:eastAsia="zh-CN"/>
    </w:rPr>
  </w:style>
  <w:style w:type="paragraph" w:customStyle="1" w:styleId="198">
    <w:name w:val="xl9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新宋体-18030" w:hAnsi="宋体" w:eastAsia="新宋体-18030" w:cs="宋体"/>
      <w:color w:val="FF0000"/>
      <w:sz w:val="18"/>
      <w:szCs w:val="18"/>
      <w:lang w:eastAsia="zh-CN"/>
    </w:rPr>
  </w:style>
  <w:style w:type="paragraph" w:customStyle="1" w:styleId="199">
    <w:name w:val="xl92"/>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新宋体-18030" w:hAnsi="宋体" w:eastAsia="新宋体-18030" w:cs="宋体"/>
      <w:sz w:val="18"/>
      <w:szCs w:val="18"/>
      <w:lang w:eastAsia="zh-CN"/>
    </w:rPr>
  </w:style>
  <w:style w:type="paragraph" w:customStyle="1" w:styleId="200">
    <w:name w:val="xl93"/>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新宋体-18030" w:hAnsi="宋体" w:eastAsia="新宋体-18030" w:cs="宋体"/>
      <w:sz w:val="18"/>
      <w:szCs w:val="18"/>
      <w:lang w:eastAsia="zh-CN"/>
    </w:rPr>
  </w:style>
  <w:style w:type="paragraph" w:customStyle="1" w:styleId="201">
    <w:name w:val="xl94"/>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textAlignment w:val="center"/>
    </w:pPr>
    <w:rPr>
      <w:rFonts w:ascii="新宋体-18030" w:hAnsi="宋体" w:eastAsia="新宋体-18030" w:cs="宋体"/>
      <w:sz w:val="18"/>
      <w:szCs w:val="18"/>
      <w:lang w:eastAsia="zh-CN"/>
    </w:rPr>
  </w:style>
  <w:style w:type="paragraph" w:customStyle="1" w:styleId="202">
    <w:name w:val="xl95"/>
    <w:basedOn w:val="1"/>
    <w:autoRedefine/>
    <w:qFormat/>
    <w:uiPriority w:val="0"/>
    <w:pPr>
      <w:shd w:val="clear" w:color="000000" w:fill="FFFF00"/>
      <w:spacing w:before="100" w:beforeAutospacing="1" w:after="100" w:afterAutospacing="1"/>
      <w:textAlignment w:val="center"/>
    </w:pPr>
    <w:rPr>
      <w:rFonts w:ascii="宋体" w:hAnsi="宋体" w:cs="宋体"/>
      <w:sz w:val="24"/>
      <w:szCs w:val="24"/>
      <w:lang w:eastAsia="zh-CN"/>
    </w:rPr>
  </w:style>
  <w:style w:type="paragraph" w:customStyle="1" w:styleId="203">
    <w:name w:val="xl9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18030" w:hAnsi="宋体" w:eastAsia="新宋体-18030" w:cs="宋体"/>
      <w:b/>
      <w:bCs/>
      <w:lang w:eastAsia="zh-CN"/>
    </w:rPr>
  </w:style>
  <w:style w:type="paragraph" w:customStyle="1" w:styleId="204">
    <w:name w:val="xl9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18030" w:hAnsi="宋体" w:eastAsia="新宋体-18030" w:cs="宋体"/>
      <w:b/>
      <w:bCs/>
      <w:lang w:eastAsia="zh-CN"/>
    </w:rPr>
  </w:style>
  <w:style w:type="character" w:customStyle="1" w:styleId="205">
    <w:name w:val="emailstyle17"/>
    <w:basedOn w:val="45"/>
    <w:semiHidden/>
    <w:qFormat/>
    <w:uiPriority w:val="0"/>
    <w:rPr>
      <w:rFonts w:hint="default" w:ascii="Arial" w:hAnsi="Arial" w:eastAsia="宋体" w:cs="Arial"/>
      <w:color w:val="auto"/>
      <w:sz w:val="18"/>
      <w:szCs w:val="20"/>
    </w:rPr>
  </w:style>
  <w:style w:type="paragraph" w:customStyle="1" w:styleId="206">
    <w:name w:val="null3"/>
    <w:hidden/>
    <w:qFormat/>
    <w:uiPriority w:val="0"/>
    <w:rPr>
      <w:rFonts w:hint="eastAsia" w:asciiTheme="minorHAnsi" w:hAnsiTheme="minorHAnsi" w:eastAsiaTheme="minorEastAsia" w:cstheme="minorBidi"/>
      <w:lang w:val="en-US" w:eastAsia="zh-Hans"/>
    </w:rPr>
  </w:style>
  <w:style w:type="paragraph" w:customStyle="1" w:styleId="207">
    <w:name w:val="Normal (Web)_0"/>
    <w:basedOn w:val="208"/>
    <w:next w:val="211"/>
    <w:qFormat/>
    <w:uiPriority w:val="0"/>
    <w:pPr>
      <w:spacing w:before="100" w:beforeAutospacing="1" w:after="100" w:afterAutospacing="1"/>
    </w:pPr>
    <w:rPr>
      <w:rFonts w:ascii="宋体" w:hAnsi="Times New Roman" w:eastAsia="Times New Roman"/>
      <w:sz w:val="24"/>
    </w:rPr>
  </w:style>
  <w:style w:type="paragraph" w:customStyle="1" w:styleId="208">
    <w:name w:val="Normal_4"/>
    <w:next w:val="209"/>
    <w:qFormat/>
    <w:uiPriority w:val="0"/>
    <w:pPr>
      <w:widowControl w:val="0"/>
      <w:jc w:val="both"/>
    </w:pPr>
    <w:rPr>
      <w:rFonts w:ascii="Calibri" w:hAnsi="Calibri" w:eastAsia="Times New Roman" w:cs="Times New Roman"/>
      <w:kern w:val="2"/>
      <w:sz w:val="21"/>
      <w:szCs w:val="22"/>
      <w:lang w:val="en-US" w:eastAsia="zh-CN" w:bidi="ar-SA"/>
    </w:rPr>
  </w:style>
  <w:style w:type="paragraph" w:customStyle="1" w:styleId="209">
    <w:name w:val="Normal Indent_1"/>
    <w:basedOn w:val="208"/>
    <w:next w:val="210"/>
    <w:qFormat/>
    <w:uiPriority w:val="0"/>
    <w:pPr>
      <w:ind w:firstLine="420"/>
    </w:pPr>
    <w:rPr>
      <w:rFonts w:eastAsia="Times New Roman"/>
    </w:rPr>
  </w:style>
  <w:style w:type="paragraph" w:customStyle="1" w:styleId="210">
    <w:name w:val="Header_1"/>
    <w:basedOn w:val="208"/>
    <w:next w:val="209"/>
    <w:qFormat/>
    <w:uiPriority w:val="0"/>
    <w:pPr>
      <w:pBdr>
        <w:bottom w:val="single" w:color="auto" w:sz="6" w:space="1"/>
      </w:pBdr>
      <w:tabs>
        <w:tab w:val="center" w:pos="4153"/>
        <w:tab w:val="right" w:pos="8306"/>
      </w:tabs>
      <w:adjustRightInd w:val="0"/>
      <w:snapToGrid w:val="0"/>
      <w:jc w:val="center"/>
    </w:pPr>
    <w:rPr>
      <w:rFonts w:ascii="Times New Roman" w:hAnsi="Times New Roman"/>
      <w:szCs w:val="20"/>
    </w:rPr>
  </w:style>
  <w:style w:type="paragraph" w:customStyle="1" w:styleId="211">
    <w:name w:val="样式 标题 3 + (中文) 黑体 小四 非加粗 段前: 7.8 磅 段后: 0 磅 行距: 固定值 20 磅_2"/>
    <w:basedOn w:val="212"/>
    <w:qFormat/>
    <w:uiPriority w:val="0"/>
    <w:pPr>
      <w:spacing w:before="0" w:after="0" w:line="400" w:lineRule="exact"/>
    </w:pPr>
    <w:rPr>
      <w:rFonts w:eastAsia="黑体" w:cs="宋体"/>
      <w:b w:val="0"/>
      <w:bCs w:val="0"/>
      <w:kern w:val="2"/>
      <w:sz w:val="24"/>
      <w:szCs w:val="20"/>
    </w:rPr>
  </w:style>
  <w:style w:type="paragraph" w:customStyle="1" w:styleId="212">
    <w:name w:val="Heading 3_0"/>
    <w:basedOn w:val="208"/>
    <w:next w:val="208"/>
    <w:qFormat/>
    <w:uiPriority w:val="9"/>
    <w:pPr>
      <w:keepNext/>
      <w:keepLines/>
      <w:spacing w:before="260" w:after="260" w:line="416" w:lineRule="atLeast"/>
      <w:outlineLvl w:val="2"/>
    </w:pPr>
    <w:rPr>
      <w:rFonts w:ascii="Times New Roman" w:hAnsi="Times New Roman" w:eastAsia="Times New Roman"/>
      <w:b/>
      <w:bCs/>
      <w:kern w:val="0"/>
      <w:sz w:val="32"/>
      <w:szCs w:val="32"/>
    </w:rPr>
  </w:style>
  <w:style w:type="character" w:customStyle="1" w:styleId="213">
    <w:name w:val="Strong"/>
    <w:qFormat/>
    <w:uiPriority w:val="0"/>
    <w:rPr>
      <w:rFonts w:eastAsia="Times New Roman"/>
      <w:b/>
    </w:rPr>
  </w:style>
  <w:style w:type="paragraph" w:customStyle="1" w:styleId="214">
    <w:name w:val="列出段落1"/>
    <w:basedOn w:val="1"/>
    <w:qFormat/>
    <w:uiPriority w:val="0"/>
    <w:pPr>
      <w:ind w:firstLine="420" w:firstLineChars="200"/>
    </w:pPr>
  </w:style>
  <w:style w:type="paragraph" w:customStyle="1" w:styleId="215">
    <w:name w:val="Other|1"/>
    <w:basedOn w:val="1"/>
    <w:qFormat/>
    <w:uiPriority w:val="0"/>
    <w:pPr>
      <w:spacing w:line="454" w:lineRule="auto"/>
      <w:ind w:firstLine="20"/>
    </w:pPr>
    <w:rPr>
      <w:rFonts w:ascii="宋体" w:hAnsi="宋体" w:cs="宋体"/>
      <w:kern w:val="0"/>
      <w:sz w:val="22"/>
      <w:szCs w:val="22"/>
    </w:rPr>
  </w:style>
  <w:style w:type="character" w:customStyle="1" w:styleId="216">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package" Target="embeddings/Document1.docx"/><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png"/><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FA890-3F0D-44AA-950A-0879E7D44F5A}">
  <ds:schemaRefs/>
</ds:datastoreItem>
</file>

<file path=docProps/app.xml><?xml version="1.0" encoding="utf-8"?>
<Properties xmlns="http://schemas.openxmlformats.org/officeDocument/2006/extended-properties" xmlns:vt="http://schemas.openxmlformats.org/officeDocument/2006/docPropsVTypes">
  <Template>Normal</Template>
  <Company>BeckmanCoulter</Company>
  <Pages>55</Pages>
  <Words>8174</Words>
  <Characters>8880</Characters>
  <Lines>217</Lines>
  <Paragraphs>61</Paragraphs>
  <TotalTime>0</TotalTime>
  <ScaleCrop>false</ScaleCrop>
  <LinksUpToDate>false</LinksUpToDate>
  <CharactersWithSpaces>8943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2024-04-01T07:23:00Z</dcterms:created>
  <dc:creator>Gary Gu</dc:creator>
  <cp:lastModifiedBy>张华娟</cp:lastModifiedBy>
  <cp:lastPrinted>2011-04-20T07:10:00Z</cp:lastPrinted>
  <dcterms:modified xsi:type="dcterms:W3CDTF">2026-01-07T02:33:53Z</dcterms:modified>
  <dc:title>技术协议</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C47BF0AD5B734A189107E6867ACBB781_13</vt:lpwstr>
  </property>
  <property fmtid="{D5CDD505-2E9C-101B-9397-08002B2CF9AE}" pid="4" name="KSOTemplateDocerSaveRecord">
    <vt:lpwstr>eyJoZGlkIjoiM2RjZTMyYzJjNTA4OWEwZTA4YTBlMjcyOTRiYjQzNmYiLCJ1c2VySWQiOiIxNTY4Mzk2MzIyIn0=</vt:lpwstr>
  </property>
</Properties>
</file>