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FF0000"/>
          <w:sz w:val="52"/>
          <w:szCs w:val="22"/>
          <w:u w:val="single"/>
          <w:lang w:eastAsia="zh-CN"/>
        </w:rPr>
      </w:pPr>
      <w:r>
        <w:rPr>
          <w:rFonts w:hint="eastAsia" w:ascii="仿宋" w:hAnsi="仿宋" w:eastAsia="仿宋"/>
          <w:b/>
          <w:color w:val="FF0000"/>
          <w:sz w:val="52"/>
          <w:szCs w:val="22"/>
          <w:u w:val="singl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43EC0059">
      <w:pPr>
        <w:pStyle w:val="19"/>
        <w:jc w:val="center"/>
        <w:rPr>
          <w:rFonts w:hint="eastAsia" w:ascii="仿宋" w:hAnsi="仿宋" w:eastAsia="仿宋"/>
          <w:b/>
          <w:sz w:val="52"/>
          <w:szCs w:val="22"/>
          <w:u w:val="single"/>
          <w:lang w:eastAsia="zh-CN"/>
        </w:rPr>
      </w:pPr>
      <w:r>
        <w:rPr>
          <w:rFonts w:hint="eastAsia" w:ascii="仿宋" w:hAnsi="仿宋" w:eastAsia="仿宋"/>
          <w:b/>
          <w:sz w:val="52"/>
          <w:szCs w:val="22"/>
          <w:highlight w:val="yellow"/>
          <w:u w:val="single"/>
          <w:lang w:val="en-US" w:eastAsia="zh-CN"/>
        </w:rPr>
        <w:t>码头团队一辆电动皮卡车采购</w:t>
      </w:r>
      <w:r>
        <w:rPr>
          <w:rFonts w:hint="eastAsia" w:ascii="仿宋" w:hAnsi="仿宋" w:eastAsia="仿宋"/>
          <w:b/>
          <w:sz w:val="52"/>
          <w:szCs w:val="22"/>
          <w:highlight w:val="yellow"/>
          <w:u w:val="single"/>
          <w:lang w:eastAsia="zh-CN"/>
        </w:rPr>
        <w:t>项目</w:t>
      </w:r>
    </w:p>
    <w:p w14:paraId="4FD62B60">
      <w:pPr>
        <w:pStyle w:val="19"/>
        <w:jc w:val="center"/>
        <w:rPr>
          <w:rFonts w:hint="eastAsia" w:ascii="仿宋" w:hAnsi="仿宋" w:eastAsia="仿宋"/>
          <w:b/>
          <w:sz w:val="72"/>
          <w:szCs w:val="72"/>
          <w:u w:val="single"/>
          <w:lang w:eastAsia="zh-CN"/>
        </w:rPr>
      </w:pPr>
      <w:r>
        <w:rPr>
          <w:rFonts w:hint="eastAsia" w:ascii="仿宋" w:hAnsi="仿宋" w:eastAsia="仿宋"/>
          <w:b/>
          <w:sz w:val="72"/>
          <w:szCs w:val="72"/>
          <w:u w:val="single"/>
          <w:lang w:eastAsia="zh-CN"/>
        </w:rPr>
        <w:t>非招询比采购文件</w:t>
      </w:r>
    </w:p>
    <w:p w14:paraId="664AE1EE">
      <w:pPr>
        <w:pStyle w:val="54"/>
        <w:jc w:val="center"/>
        <w:rPr>
          <w:rFonts w:hint="eastAsia" w:ascii="仿宋" w:hAnsi="仿宋" w:eastAsia="仿宋"/>
          <w:sz w:val="28"/>
          <w:szCs w:val="28"/>
        </w:rPr>
      </w:pPr>
      <w:r>
        <w:rPr>
          <w:rFonts w:hint="eastAsia" w:ascii="仿宋" w:hAnsi="仿宋" w:eastAsia="仿宋"/>
          <w:color w:val="FF0000"/>
          <w:sz w:val="28"/>
          <w:szCs w:val="28"/>
          <w:highlight w:val="yellow"/>
        </w:rPr>
        <w:t>（文件编号：QGD-3125-260106-0079</w:t>
      </w:r>
      <w:r>
        <w:rPr>
          <w:rFonts w:hint="eastAsia" w:ascii="仿宋" w:hAnsi="仿宋" w:eastAsia="仿宋"/>
          <w:sz w:val="28"/>
          <w:szCs w:val="28"/>
          <w:highlight w:val="yellow"/>
        </w:rPr>
        <w:t xml:space="preserve"> ）</w:t>
      </w:r>
    </w:p>
    <w:p w14:paraId="61CA626B">
      <w:pPr>
        <w:pStyle w:val="19"/>
        <w:rPr>
          <w:rFonts w:hint="eastAsia" w:ascii="仿宋" w:hAnsi="仿宋" w:eastAsia="仿宋"/>
          <w:b/>
          <w:sz w:val="94"/>
          <w:lang w:eastAsia="zh-CN"/>
        </w:rPr>
      </w:pPr>
    </w:p>
    <w:p w14:paraId="2C2E7F7C">
      <w:pPr>
        <w:pStyle w:val="19"/>
        <w:rPr>
          <w:rFonts w:hint="eastAsia" w:ascii="仿宋" w:hAnsi="仿宋" w:eastAsia="仿宋"/>
          <w:b/>
          <w:sz w:val="94"/>
          <w:lang w:eastAsia="zh-CN"/>
        </w:rPr>
      </w:pPr>
    </w:p>
    <w:p w14:paraId="0EDD7F02">
      <w:pPr>
        <w:pStyle w:val="19"/>
        <w:rPr>
          <w:rFonts w:hint="eastAsia" w:ascii="仿宋" w:hAnsi="仿宋" w:eastAsia="仿宋"/>
          <w:b/>
          <w:sz w:val="32"/>
          <w:szCs w:val="32"/>
          <w:lang w:eastAsia="zh-CN"/>
        </w:rPr>
      </w:pPr>
    </w:p>
    <w:p w14:paraId="625E23BA">
      <w:pPr>
        <w:pStyle w:val="19"/>
        <w:rPr>
          <w:rFonts w:hint="eastAsia" w:ascii="仿宋" w:hAnsi="仿宋" w:eastAsia="仿宋"/>
          <w:b/>
          <w:sz w:val="32"/>
          <w:szCs w:val="32"/>
          <w:lang w:eastAsia="zh-CN"/>
        </w:rPr>
      </w:pPr>
    </w:p>
    <w:p w14:paraId="508D72A8">
      <w:pPr>
        <w:pStyle w:val="19"/>
        <w:rPr>
          <w:rFonts w:hint="eastAsia" w:ascii="仿宋" w:hAnsi="仿宋" w:eastAsia="仿宋"/>
          <w:b/>
          <w:sz w:val="32"/>
          <w:szCs w:val="32"/>
          <w:lang w:eastAsia="zh-CN"/>
        </w:rPr>
      </w:pPr>
    </w:p>
    <w:p w14:paraId="5D7479EF">
      <w:pPr>
        <w:pStyle w:val="19"/>
        <w:rPr>
          <w:rFonts w:hint="eastAsia" w:ascii="仿宋" w:hAnsi="仿宋" w:eastAsia="仿宋"/>
          <w:b/>
          <w:sz w:val="32"/>
          <w:szCs w:val="32"/>
          <w:lang w:eastAsia="zh-CN"/>
        </w:rPr>
      </w:pPr>
    </w:p>
    <w:p w14:paraId="5876BD09">
      <w:pPr>
        <w:pStyle w:val="19"/>
        <w:rPr>
          <w:rFonts w:hint="eastAsia" w:ascii="仿宋" w:hAnsi="仿宋" w:eastAsia="仿宋"/>
          <w:b/>
          <w:sz w:val="32"/>
          <w:szCs w:val="32"/>
          <w:lang w:eastAsia="zh-CN"/>
        </w:rPr>
      </w:pPr>
    </w:p>
    <w:p w14:paraId="5E3EDBBB">
      <w:pPr>
        <w:pStyle w:val="54"/>
        <w:jc w:val="center"/>
        <w:rPr>
          <w:rFonts w:hint="eastAsia" w:ascii="仿宋" w:hAnsi="仿宋" w:eastAsia="仿宋"/>
          <w:b/>
          <w:sz w:val="28"/>
          <w:szCs w:val="28"/>
        </w:rPr>
      </w:pPr>
    </w:p>
    <w:p w14:paraId="2C80907E">
      <w:pPr>
        <w:pStyle w:val="54"/>
        <w:jc w:val="center"/>
        <w:rPr>
          <w:rFonts w:hint="eastAsia" w:ascii="仿宋" w:hAnsi="仿宋" w:eastAsia="仿宋"/>
          <w:b/>
          <w:sz w:val="28"/>
          <w:szCs w:val="28"/>
        </w:rPr>
      </w:pPr>
    </w:p>
    <w:p w14:paraId="5B33F967">
      <w:pPr>
        <w:pStyle w:val="54"/>
        <w:jc w:val="center"/>
        <w:rPr>
          <w:rFonts w:hint="eastAsia" w:ascii="仿宋" w:hAnsi="仿宋" w:eastAsia="仿宋"/>
          <w:b/>
          <w:sz w:val="28"/>
          <w:szCs w:val="28"/>
        </w:rPr>
      </w:pPr>
    </w:p>
    <w:p w14:paraId="73F3D721">
      <w:pPr>
        <w:pStyle w:val="54"/>
        <w:jc w:val="center"/>
        <w:rPr>
          <w:rFonts w:hint="eastAsia" w:ascii="仿宋" w:hAnsi="仿宋" w:eastAsia="仿宋"/>
          <w:b/>
          <w:sz w:val="28"/>
          <w:szCs w:val="28"/>
        </w:rPr>
      </w:pPr>
    </w:p>
    <w:p w14:paraId="6C9110B6">
      <w:pPr>
        <w:pStyle w:val="54"/>
        <w:jc w:val="center"/>
        <w:rPr>
          <w:rFonts w:hint="eastAsia" w:ascii="仿宋" w:hAnsi="仿宋" w:eastAsia="仿宋"/>
          <w:b/>
          <w:sz w:val="28"/>
          <w:szCs w:val="28"/>
        </w:rPr>
      </w:pPr>
    </w:p>
    <w:p w14:paraId="143AFC8C">
      <w:pPr>
        <w:pStyle w:val="54"/>
        <w:jc w:val="center"/>
        <w:rPr>
          <w:rFonts w:hint="eastAsia" w:ascii="仿宋" w:hAnsi="仿宋" w:eastAsia="仿宋"/>
          <w:b/>
          <w:sz w:val="28"/>
          <w:szCs w:val="28"/>
        </w:rPr>
      </w:pPr>
    </w:p>
    <w:p w14:paraId="35F74606">
      <w:pPr>
        <w:pStyle w:val="54"/>
        <w:jc w:val="center"/>
        <w:rPr>
          <w:rFonts w:hint="eastAsia" w:ascii="仿宋" w:hAnsi="仿宋" w:eastAsia="仿宋"/>
          <w:b/>
          <w:sz w:val="28"/>
          <w:szCs w:val="28"/>
        </w:rPr>
      </w:pPr>
    </w:p>
    <w:p w14:paraId="6A4632BD">
      <w:pPr>
        <w:pStyle w:val="54"/>
        <w:jc w:val="center"/>
        <w:rPr>
          <w:rFonts w:hint="eastAsia" w:ascii="仿宋" w:hAnsi="仿宋" w:eastAsia="仿宋"/>
          <w:b/>
          <w:sz w:val="28"/>
          <w:szCs w:val="28"/>
        </w:rPr>
      </w:pPr>
    </w:p>
    <w:p w14:paraId="22155F58">
      <w:pPr>
        <w:pStyle w:val="54"/>
        <w:jc w:val="center"/>
        <w:rPr>
          <w:rFonts w:hint="eastAsia" w:ascii="仿宋" w:hAnsi="仿宋" w:eastAsia="仿宋"/>
          <w:b/>
          <w:sz w:val="28"/>
          <w:szCs w:val="28"/>
        </w:rPr>
      </w:pPr>
    </w:p>
    <w:p w14:paraId="28F76EEA">
      <w:pPr>
        <w:pStyle w:val="54"/>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yellow"/>
          <w:lang w:eastAsia="zh-CN"/>
        </w:rPr>
        <w:t>二〇二</w:t>
      </w:r>
      <w:r>
        <w:rPr>
          <w:rFonts w:hint="eastAsia" w:ascii="仿宋" w:hAnsi="仿宋" w:eastAsia="仿宋"/>
          <w:b/>
          <w:w w:val="95"/>
          <w:sz w:val="32"/>
          <w:highlight w:val="yellow"/>
          <w:lang w:val="en-US" w:eastAsia="zh-CN"/>
        </w:rPr>
        <w:t>六</w:t>
      </w:r>
      <w:r>
        <w:rPr>
          <w:rFonts w:hint="eastAsia" w:ascii="仿宋" w:hAnsi="仿宋" w:eastAsia="仿宋"/>
          <w:b/>
          <w:w w:val="95"/>
          <w:sz w:val="32"/>
          <w:highlight w:val="yellow"/>
          <w:lang w:eastAsia="zh-CN"/>
        </w:rPr>
        <w:t>年</w:t>
      </w:r>
      <w:r>
        <w:rPr>
          <w:rFonts w:hint="eastAsia" w:ascii="仿宋" w:hAnsi="仿宋" w:eastAsia="仿宋"/>
          <w:b/>
          <w:w w:val="95"/>
          <w:sz w:val="32"/>
          <w:highlight w:val="yellow"/>
          <w:lang w:val="en-US" w:eastAsia="zh-CN"/>
        </w:rPr>
        <w:t>一</w:t>
      </w:r>
      <w:r>
        <w:rPr>
          <w:rFonts w:hint="eastAsia" w:ascii="仿宋" w:hAnsi="仿宋" w:eastAsia="仿宋"/>
          <w:b/>
          <w:w w:val="95"/>
          <w:sz w:val="32"/>
          <w:highlight w:val="yellow"/>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hint="eastAsia" w:ascii="仿宋" w:hAnsi="仿宋" w:eastAsia="仿宋"/>
          <w:sz w:val="20"/>
          <w:lang w:eastAsia="zh-CN"/>
        </w:rPr>
      </w:pPr>
    </w:p>
    <w:p w14:paraId="2F106746">
      <w:pPr>
        <w:pStyle w:val="19"/>
        <w:rPr>
          <w:rFonts w:hint="eastAsia" w:ascii="仿宋" w:hAnsi="仿宋" w:eastAsia="仿宋"/>
          <w:sz w:val="20"/>
          <w:lang w:eastAsia="zh-CN"/>
        </w:rPr>
      </w:pPr>
    </w:p>
    <w:p w14:paraId="2356BFA5">
      <w:pPr>
        <w:pStyle w:val="19"/>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4"/>
        <w:rPr>
          <w:rFonts w:hint="eastAsia" w:ascii="仿宋" w:hAnsi="仿宋" w:eastAsia="仿宋"/>
        </w:rPr>
      </w:pPr>
    </w:p>
    <w:p w14:paraId="12A4B0FE">
      <w:pPr>
        <w:pStyle w:val="19"/>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FF0000"/>
          <w:sz w:val="28"/>
          <w:szCs w:val="28"/>
          <w:highlight w:val="yellow"/>
          <w:u w:val="single"/>
          <w:lang w:eastAsia="zh-CN"/>
        </w:rPr>
        <w:t>码头团队一辆电动皮卡车采购项目（项目编号：QGD-3125-260106-0079）</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w:t>
      </w:r>
      <w:r>
        <w:rPr>
          <w:rFonts w:ascii="仿宋" w:hAnsi="仿宋" w:eastAsia="仿宋"/>
          <w:bCs/>
          <w:snapToGrid w:val="0"/>
          <w:color w:val="000000" w:themeColor="text1"/>
          <w:spacing w:val="8"/>
          <w:sz w:val="30"/>
          <w:szCs w:val="30"/>
          <w:lang w:eastAsia="zh-CN"/>
          <w14:textFill>
            <w14:solidFill>
              <w14:schemeClr w14:val="tx1"/>
            </w14:solidFill>
          </w14:textFill>
        </w:rPr>
        <w:t>概况</w:t>
      </w:r>
      <w:r>
        <w:rPr>
          <w:rFonts w:hint="eastAsia" w:ascii="仿宋" w:hAnsi="仿宋" w:eastAsia="仿宋"/>
          <w:sz w:val="28"/>
          <w:szCs w:val="28"/>
          <w:lang w:eastAsia="zh-CN"/>
        </w:rPr>
        <w:t>：码头团队一辆电动皮卡车采购项目</w:t>
      </w:r>
    </w:p>
    <w:p w14:paraId="0864FC56">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采购内容：雷达金刚EV\纯电版/续航310KM/245马力/2025款，配备三相充电桩。</w:t>
      </w:r>
    </w:p>
    <w:p w14:paraId="25311C47">
      <w:pPr>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采购控制价：135,000</w:t>
      </w:r>
      <w:r>
        <w:rPr>
          <w:rFonts w:hint="eastAsia" w:ascii="仿宋" w:hAnsi="仿宋" w:eastAsia="仿宋"/>
          <w:sz w:val="28"/>
          <w:szCs w:val="28"/>
          <w:lang w:val="en-US" w:eastAsia="zh-CN"/>
        </w:rPr>
        <w:t>.00元（含税）</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参比人必须具备有效的企业法人营业执照；</w:t>
      </w:r>
    </w:p>
    <w:p w14:paraId="43DCFF8A">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参比人必须为有资质的汽车经销商；</w:t>
      </w:r>
    </w:p>
    <w:p w14:paraId="7B61552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3.单位负责人为同一人或者存在控股、管理关系的不同单位，不得同时参加本项目；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5</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eastAsia="zh-CN"/>
        </w:rPr>
        <w:t>6.本项目不接受联合体参比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eastAsia="zh-CN"/>
        </w:rPr>
        <w:t>7</w:t>
      </w:r>
      <w:r>
        <w:rPr>
          <w:rFonts w:ascii="仿宋" w:hAnsi="仿宋" w:eastAsia="仿宋"/>
          <w:sz w:val="28"/>
          <w:szCs w:val="28"/>
          <w:lang w:eastAsia="zh-CN"/>
        </w:rPr>
        <w:t>.</w:t>
      </w:r>
      <w:r>
        <w:rPr>
          <w:rFonts w:hint="eastAsia" w:ascii="仿宋" w:hAnsi="仿宋" w:eastAsia="仿宋"/>
          <w:sz w:val="28"/>
          <w:szCs w:val="28"/>
          <w:lang w:eastAsia="zh-CN"/>
        </w:rPr>
        <w:t>本</w:t>
      </w:r>
      <w:r>
        <w:rPr>
          <w:rFonts w:hint="eastAsia" w:ascii="仿宋" w:hAnsi="仿宋" w:eastAsia="仿宋"/>
          <w:color w:val="000000"/>
          <w:sz w:val="28"/>
          <w:szCs w:val="28"/>
          <w:lang w:eastAsia="zh-CN"/>
        </w:rPr>
        <w:t>项目采</w:t>
      </w:r>
      <w:r>
        <w:rPr>
          <w:rFonts w:hint="eastAsia" w:ascii="仿宋" w:hAnsi="仿宋" w:eastAsia="仿宋"/>
          <w:color w:val="000000"/>
          <w:sz w:val="28"/>
          <w:szCs w:val="28"/>
          <w:highlight w:val="none"/>
          <w:lang w:eastAsia="zh-CN"/>
        </w:rPr>
        <w:t>用</w:t>
      </w:r>
      <w:r>
        <w:rPr>
          <w:rFonts w:hint="eastAsia" w:ascii="仿宋" w:hAnsi="仿宋" w:eastAsia="仿宋"/>
          <w:color w:val="000000"/>
          <w:sz w:val="28"/>
          <w:szCs w:val="28"/>
          <w:highlight w:val="none"/>
          <w:lang w:val="en-US" w:eastAsia="zh-CN"/>
        </w:rPr>
        <w:t>资格后审</w:t>
      </w:r>
      <w:r>
        <w:rPr>
          <w:rFonts w:hint="eastAsia" w:ascii="仿宋" w:hAnsi="仿宋" w:eastAsia="仿宋"/>
          <w:color w:val="000000"/>
          <w:sz w:val="28"/>
          <w:szCs w:val="28"/>
          <w:highlight w:val="none"/>
          <w:lang w:eastAsia="zh-CN"/>
        </w:rPr>
        <w:t>方式对参比人进行资格</w:t>
      </w:r>
      <w:r>
        <w:rPr>
          <w:rFonts w:hint="eastAsia" w:ascii="仿宋" w:hAnsi="仿宋" w:eastAsia="仿宋"/>
          <w:color w:val="000000"/>
          <w:sz w:val="28"/>
          <w:szCs w:val="28"/>
          <w:lang w:eastAsia="zh-CN"/>
        </w:rPr>
        <w:t>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6E3966B">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 xml:space="preserve"> 凡有意参加者，请在 http://nhygcg.fjshgx.com/（福建能化阳光采购平台）上免费注册，并根据系统提示进行报名即可下载电子采购文件。具体下载时间以采购公告或邀请函为准。</w:t>
      </w:r>
    </w:p>
    <w:p w14:paraId="15C4D0D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本项目采购文件请意向参比人自行下载，不收取费用，以采购公告或邀请函为准。</w:t>
      </w:r>
    </w:p>
    <w:p w14:paraId="2C91B4C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1</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29</w:t>
      </w:r>
      <w:r>
        <w:rPr>
          <w:rFonts w:hint="eastAsia" w:ascii="仿宋" w:hAnsi="仿宋" w:eastAsia="仿宋"/>
          <w:color w:val="000000" w:themeColor="text1"/>
          <w:sz w:val="28"/>
          <w:szCs w:val="28"/>
          <w:lang w:eastAsia="zh-CN"/>
          <w14:textFill>
            <w14:solidFill>
              <w14:schemeClr w14:val="tx1"/>
            </w14:solidFill>
          </w14:textFill>
        </w:rPr>
        <w:t>日（含当日）</w:t>
      </w:r>
    </w:p>
    <w:p w14:paraId="1D13078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报名方式：参选人在报名时间内将报名文件发送至邮箱</w:t>
      </w:r>
      <w:r>
        <w:rPr>
          <w:rFonts w:ascii="仿宋" w:hAnsi="仿宋" w:eastAsia="仿宋"/>
          <w:color w:val="000000" w:themeColor="text1"/>
          <w:sz w:val="28"/>
          <w:szCs w:val="28"/>
          <w:lang w:eastAsia="zh-CN"/>
          <w14:textFill>
            <w14:solidFill>
              <w14:schemeClr w14:val="tx1"/>
            </w14:solidFill>
          </w14:textFill>
        </w:rPr>
        <w:t>ypwei@fhcpec.com.cn，报名文件包含：</w:t>
      </w:r>
    </w:p>
    <w:p w14:paraId="5AE4C437">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6E836D6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1F0508A4">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21BCB22D">
      <w:pPr>
        <w:pStyle w:val="2"/>
        <w:rPr>
          <w:rFonts w:ascii="仿宋" w:hAnsi="仿宋" w:eastAsia="仿宋"/>
          <w:b w:val="0"/>
          <w:bCs w:val="0"/>
          <w:color w:val="000000" w:themeColor="text1"/>
          <w:lang w:eastAsia="zh-CN"/>
          <w14:textFill>
            <w14:solidFill>
              <w14:schemeClr w14:val="tx1"/>
            </w14:solidFill>
          </w14:textFill>
        </w:rPr>
      </w:pPr>
      <w:r>
        <w:rPr>
          <w:rFonts w:hint="eastAsia" w:ascii="仿宋" w:hAnsi="仿宋" w:eastAsia="仿宋"/>
          <w:b w:val="0"/>
          <w:bCs w:val="0"/>
          <w:color w:val="000000" w:themeColor="text1"/>
          <w:lang w:eastAsia="zh-CN"/>
          <w14:textFill>
            <w14:solidFill>
              <w14:schemeClr w14:val="tx1"/>
            </w14:solidFill>
          </w14:textFill>
        </w:rPr>
        <w:t>（</w:t>
      </w:r>
      <w:r>
        <w:rPr>
          <w:rFonts w:ascii="仿宋" w:hAnsi="仿宋" w:eastAsia="仿宋"/>
          <w:b w:val="0"/>
          <w:bCs w:val="0"/>
          <w:color w:val="000000" w:themeColor="text1"/>
          <w:lang w:eastAsia="zh-CN"/>
          <w14:textFill>
            <w14:solidFill>
              <w14:schemeClr w14:val="tx1"/>
            </w14:solidFill>
          </w14:textFill>
        </w:rPr>
        <w:t>4）参选人姓名及联系方式；</w:t>
      </w:r>
    </w:p>
    <w:p w14:paraId="0070DC96">
      <w:pPr>
        <w:keepNext w:val="0"/>
        <w:keepLines w:val="0"/>
        <w:pageBreakBefore w:val="0"/>
        <w:widowControl w:val="0"/>
        <w:tabs>
          <w:tab w:val="left" w:pos="709"/>
        </w:tabs>
        <w:kinsoku/>
        <w:wordWrap/>
        <w:overflowPunct/>
        <w:topLinePunct w:val="0"/>
        <w:autoSpaceDE w:val="0"/>
        <w:autoSpaceDN w:val="0"/>
        <w:bidi w:val="0"/>
        <w:adjustRightInd/>
        <w:snapToGrid/>
        <w:spacing w:before="0" w:line="360" w:lineRule="auto"/>
        <w:ind w:firstLine="482"/>
        <w:textAlignment w:val="auto"/>
        <w:rPr>
          <w:rFonts w:hint="eastAsia"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四、本项目采用</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最低价法。</w:t>
      </w:r>
    </w:p>
    <w:p w14:paraId="04CB088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63CC9BA4">
      <w:pPr>
        <w:pStyle w:val="40"/>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420"/>
        <w:textAlignment w:val="auto"/>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参比文件递交地点：漳州市漳浦县杜浔镇杜昌路9号福海创办公楼三楼综合采购团队。</w:t>
      </w:r>
    </w:p>
    <w:p w14:paraId="12C054A3">
      <w:pPr>
        <w:keepNext w:val="0"/>
        <w:keepLines w:val="0"/>
        <w:pageBreakBefore w:val="0"/>
        <w:numPr>
          <w:ilvl w:val="0"/>
          <w:numId w:val="7"/>
        </w:numPr>
        <w:tabs>
          <w:tab w:val="left" w:pos="709"/>
        </w:tabs>
        <w:kinsoku/>
        <w:wordWrap/>
        <w:overflowPunct/>
        <w:topLinePunct w:val="0"/>
        <w:bidi w:val="0"/>
        <w:adjustRightInd/>
        <w:snapToGrid/>
        <w:spacing w:line="360" w:lineRule="auto"/>
        <w:ind w:firstLine="560"/>
        <w:textAlignment w:val="auto"/>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递交截止时间：公示之日起至</w:t>
      </w:r>
      <w:r>
        <w:rPr>
          <w:rFonts w:ascii="仿宋" w:hAnsi="仿宋" w:eastAsia="仿宋"/>
          <w:color w:val="000000" w:themeColor="text1"/>
          <w:sz w:val="28"/>
          <w:szCs w:val="28"/>
          <w:lang w:eastAsia="zh-CN"/>
          <w14:textFill>
            <w14:solidFill>
              <w14:schemeClr w14:val="tx1"/>
            </w14:solidFill>
          </w14:textFill>
        </w:rPr>
        <w:t>202</w:t>
      </w:r>
      <w:r>
        <w:rPr>
          <w:rFonts w:hint="eastAsia" w:ascii="仿宋" w:hAnsi="仿宋" w:eastAsia="仿宋"/>
          <w:color w:val="000000" w:themeColor="text1"/>
          <w:sz w:val="28"/>
          <w:szCs w:val="28"/>
          <w:lang w:val="en-US" w:eastAsia="zh-CN"/>
          <w14:textFill>
            <w14:solidFill>
              <w14:schemeClr w14:val="tx1"/>
            </w14:solidFill>
          </w14:textFill>
        </w:rPr>
        <w:t>6</w:t>
      </w:r>
      <w:r>
        <w:rPr>
          <w:rFonts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30</w:t>
      </w:r>
      <w:r>
        <w:rPr>
          <w:rFonts w:ascii="仿宋" w:hAnsi="仿宋" w:eastAsia="仿宋"/>
          <w:color w:val="000000" w:themeColor="text1"/>
          <w:sz w:val="28"/>
          <w:szCs w:val="28"/>
          <w:lang w:eastAsia="zh-CN"/>
          <w14:textFill>
            <w14:solidFill>
              <w14:schemeClr w14:val="tx1"/>
            </w14:solidFill>
          </w14:textFill>
        </w:rPr>
        <w:t>日</w:t>
      </w:r>
      <w:r>
        <w:rPr>
          <w:rFonts w:hint="eastAsia" w:ascii="仿宋" w:hAnsi="仿宋" w:eastAsia="仿宋"/>
          <w:color w:val="000000" w:themeColor="text1"/>
          <w:sz w:val="28"/>
          <w:szCs w:val="28"/>
          <w:lang w:eastAsia="zh-CN"/>
          <w14:textFill>
            <w14:solidFill>
              <w14:schemeClr w14:val="tx1"/>
            </w14:solidFill>
          </w14:textFill>
        </w:rPr>
        <w:t>14时00分之前。</w:t>
      </w:r>
    </w:p>
    <w:p w14:paraId="161D1E65">
      <w:pPr>
        <w:keepNext w:val="0"/>
        <w:keepLines w:val="0"/>
        <w:pageBreakBefore w:val="0"/>
        <w:widowControl w:val="0"/>
        <w:numPr>
          <w:ilvl w:val="0"/>
          <w:numId w:val="7"/>
        </w:numPr>
        <w:tabs>
          <w:tab w:val="left" w:pos="709"/>
        </w:tabs>
        <w:kinsoku/>
        <w:wordWrap/>
        <w:overflowPunct/>
        <w:topLinePunct w:val="0"/>
        <w:autoSpaceDE w:val="0"/>
        <w:autoSpaceDN w:val="0"/>
        <w:bidi w:val="0"/>
        <w:adjustRightInd/>
        <w:snapToGrid/>
        <w:spacing w:line="240" w:lineRule="auto"/>
        <w:ind w:firstLine="560" w:firstLineChars="200"/>
        <w:textAlignment w:val="auto"/>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0642270E">
      <w:pPr>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本项目不适用参选保证金，但参比人未能按接到中标通知书后规定的时间内签定合同或中选不执行等未履约事宜，采购人将把参比人纳入采购人的黑名单，以后不得参与采购人的公开招投标和公开比选等一切采购项目。</w:t>
      </w:r>
    </w:p>
    <w:p w14:paraId="0FD5CA62">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74148922">
      <w:pPr>
        <w:tabs>
          <w:tab w:val="left" w:pos="709"/>
        </w:tabs>
        <w:spacing w:line="360" w:lineRule="auto"/>
        <w:ind w:left="660" w:leftChars="300"/>
        <w:rPr>
          <w:rFonts w:eastAsia="仿宋"/>
          <w:lang w:eastAsia="zh-CN"/>
        </w:rPr>
      </w:pPr>
      <w:r>
        <w:rPr>
          <w:rFonts w:hint="eastAsia" w:ascii="仿宋" w:hAnsi="仿宋" w:eastAsia="仿宋"/>
          <w:color w:val="000000" w:themeColor="text1"/>
          <w:sz w:val="28"/>
          <w:szCs w:val="28"/>
          <w:lang w:eastAsia="zh-CN"/>
          <w14:textFill>
            <w14:solidFill>
              <w14:schemeClr w14:val="tx1"/>
            </w14:solidFill>
          </w14:textFill>
        </w:rPr>
        <w:t xml:space="preserve">商务联系人：魏彦苹 </w:t>
      </w:r>
      <w:r>
        <w:rPr>
          <w:rFonts w:ascii="仿宋" w:hAnsi="仿宋" w:eastAsia="仿宋"/>
          <w:color w:val="000000" w:themeColor="text1"/>
          <w:sz w:val="28"/>
          <w:szCs w:val="28"/>
          <w:lang w:eastAsia="zh-CN"/>
          <w14:textFill>
            <w14:solidFill>
              <w14:schemeClr w14:val="tx1"/>
            </w14:solidFill>
          </w14:textFill>
        </w:rPr>
        <w:t>电话：</w:t>
      </w:r>
      <w:r>
        <w:rPr>
          <w:rFonts w:hint="eastAsia" w:ascii="仿宋" w:hAnsi="仿宋" w:eastAsia="仿宋"/>
          <w:color w:val="000000" w:themeColor="text1"/>
          <w:sz w:val="28"/>
          <w:szCs w:val="28"/>
          <w:lang w:eastAsia="zh-CN"/>
          <w14:textFill>
            <w14:solidFill>
              <w14:schemeClr w14:val="tx1"/>
            </w14:solidFill>
          </w14:textFill>
        </w:rPr>
        <w:t>0</w:t>
      </w:r>
      <w:r>
        <w:rPr>
          <w:rFonts w:ascii="仿宋" w:hAnsi="仿宋" w:eastAsia="仿宋"/>
          <w:color w:val="000000" w:themeColor="text1"/>
          <w:sz w:val="28"/>
          <w:szCs w:val="28"/>
          <w:lang w:eastAsia="zh-CN"/>
          <w14:textFill>
            <w14:solidFill>
              <w14:schemeClr w14:val="tx1"/>
            </w14:solidFill>
          </w14:textFill>
        </w:rPr>
        <w:t>596-6311824 邮箱：ypwei@fhcpec.com.cn</w:t>
      </w:r>
      <w:r>
        <w:rPr>
          <w:rFonts w:hint="eastAsia" w:eastAsia="仿宋"/>
          <w:lang w:eastAsia="zh-CN"/>
        </w:rPr>
        <w:t xml:space="preserve"> </w:t>
      </w:r>
    </w:p>
    <w:p w14:paraId="02CE9E1E">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技术联系人：</w:t>
      </w:r>
      <w:r>
        <w:rPr>
          <w:rFonts w:hint="eastAsia" w:ascii="仿宋" w:hAnsi="仿宋" w:eastAsia="仿宋"/>
          <w:color w:val="000000" w:themeColor="text1"/>
          <w:sz w:val="28"/>
          <w:szCs w:val="28"/>
          <w:highlight w:val="none"/>
          <w:lang w:val="en-US" w:eastAsia="zh-CN"/>
          <w14:textFill>
            <w14:solidFill>
              <w14:schemeClr w14:val="tx1"/>
            </w14:solidFill>
          </w14:textFill>
        </w:rPr>
        <w:t>陈玉婷</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eastAsia="zh-CN"/>
          <w14:textFill>
            <w14:solidFill>
              <w14:schemeClr w14:val="tx1"/>
            </w14:solidFill>
          </w14:textFill>
        </w:rPr>
        <w:t>：</w:t>
      </w:r>
      <w:bookmarkStart w:id="1" w:name="_GoBack"/>
      <w:bookmarkEnd w:id="1"/>
      <w:r>
        <w:rPr>
          <w:rFonts w:hint="eastAsia" w:ascii="仿宋" w:hAnsi="仿宋" w:eastAsia="仿宋"/>
          <w:color w:val="000000" w:themeColor="text1"/>
          <w:sz w:val="28"/>
          <w:szCs w:val="28"/>
          <w:highlight w:val="none"/>
          <w:lang w:eastAsia="zh-CN"/>
          <w14:textFill>
            <w14:solidFill>
              <w14:schemeClr w14:val="tx1"/>
            </w14:solidFill>
          </w14:textFill>
        </w:rPr>
        <w:t>0596-6310063</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 xml:space="preserve"> </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8"/>
          <w:szCs w:val="28"/>
          <w:highlight w:val="none"/>
          <w:lang w:eastAsia="zh-CN"/>
          <w14:textFill>
            <w14:solidFill>
              <w14:schemeClr w14:val="tx1"/>
            </w14:solidFill>
          </w14:textFill>
        </w:rPr>
        <w:t>ytchen@fhcpec.com</w:t>
      </w:r>
      <w:r>
        <w:rPr>
          <w:rFonts w:hint="eastAsia" w:eastAsia="仿宋"/>
          <w:highlight w:val="none"/>
          <w:lang w:eastAsia="zh-CN"/>
        </w:rPr>
        <w:t xml:space="preserve"> </w:t>
      </w:r>
    </w:p>
    <w:p w14:paraId="4B94A14A">
      <w:pPr>
        <w:tabs>
          <w:tab w:val="left" w:pos="709"/>
        </w:tabs>
        <w:spacing w:line="360" w:lineRule="auto"/>
        <w:ind w:left="660" w:left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1FFC7D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14:paraId="345A603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34907E13">
      <w:pPr>
        <w:spacing w:line="360" w:lineRule="auto"/>
        <w:ind w:firstLine="560" w:firstLineChars="200"/>
        <w:rPr>
          <w:rFonts w:hint="eastAsia" w:ascii="仿宋" w:hAnsi="仿宋" w:eastAsia="仿宋"/>
          <w:sz w:val="32"/>
          <w:szCs w:val="32"/>
          <w:lang w:eastAsia="zh-CN"/>
        </w:rPr>
      </w:pPr>
      <w:r>
        <w:rPr>
          <w:rFonts w:hint="eastAsia" w:ascii="仿宋" w:hAnsi="仿宋" w:eastAsia="仿宋"/>
          <w:sz w:val="28"/>
          <w:szCs w:val="28"/>
          <w:lang w:eastAsia="zh-CN"/>
        </w:rPr>
        <w:t xml:space="preserve">                                      </w:t>
      </w:r>
      <w:r>
        <w:rPr>
          <w:rFonts w:ascii="仿宋" w:hAnsi="仿宋" w:eastAsia="仿宋"/>
          <w:color w:val="FF0000"/>
          <w:sz w:val="28"/>
          <w:szCs w:val="28"/>
          <w:highlight w:val="yellow"/>
          <w:lang w:eastAsia="zh-CN"/>
        </w:rPr>
        <w:t>202</w:t>
      </w:r>
      <w:r>
        <w:rPr>
          <w:rFonts w:hint="eastAsia" w:ascii="仿宋" w:hAnsi="仿宋" w:eastAsia="仿宋"/>
          <w:color w:val="FF0000"/>
          <w:sz w:val="28"/>
          <w:szCs w:val="28"/>
          <w:highlight w:val="yellow"/>
          <w:lang w:val="en-US" w:eastAsia="zh-CN"/>
        </w:rPr>
        <w:t>6</w:t>
      </w:r>
      <w:r>
        <w:rPr>
          <w:rFonts w:hint="eastAsia" w:ascii="仿宋" w:hAnsi="仿宋" w:eastAsia="仿宋"/>
          <w:color w:val="FF0000"/>
          <w:sz w:val="28"/>
          <w:szCs w:val="28"/>
          <w:highlight w:val="yellow"/>
          <w:lang w:eastAsia="zh-CN"/>
        </w:rPr>
        <w:t xml:space="preserve">年 </w:t>
      </w:r>
      <w:r>
        <w:rPr>
          <w:rFonts w:hint="eastAsia" w:ascii="仿宋" w:hAnsi="仿宋" w:eastAsia="仿宋"/>
          <w:color w:val="FF0000"/>
          <w:sz w:val="28"/>
          <w:szCs w:val="28"/>
          <w:highlight w:val="yellow"/>
          <w:lang w:val="en-US" w:eastAsia="zh-CN"/>
        </w:rPr>
        <w:t>1</w:t>
      </w:r>
      <w:r>
        <w:rPr>
          <w:rFonts w:hint="eastAsia" w:ascii="仿宋" w:hAnsi="仿宋" w:eastAsia="仿宋"/>
          <w:color w:val="FF0000"/>
          <w:sz w:val="28"/>
          <w:szCs w:val="28"/>
          <w:highlight w:val="yellow"/>
          <w:lang w:eastAsia="zh-CN"/>
        </w:rPr>
        <w:t xml:space="preserve"> 月</w:t>
      </w:r>
      <w:r>
        <w:rPr>
          <w:rFonts w:hint="eastAsia" w:ascii="仿宋" w:hAnsi="仿宋" w:eastAsia="仿宋"/>
          <w:color w:val="FF0000"/>
          <w:sz w:val="28"/>
          <w:szCs w:val="28"/>
          <w:highlight w:val="yellow"/>
          <w:lang w:val="en-US" w:eastAsia="zh-CN"/>
        </w:rPr>
        <w:t xml:space="preserve"> 20 </w:t>
      </w:r>
      <w:r>
        <w:rPr>
          <w:rFonts w:hint="eastAsia" w:ascii="仿宋" w:hAnsi="仿宋" w:eastAsia="仿宋"/>
          <w:color w:val="FF0000"/>
          <w:sz w:val="28"/>
          <w:szCs w:val="28"/>
          <w:highlight w:val="yellow"/>
          <w:lang w:eastAsia="zh-CN"/>
        </w:rPr>
        <w:t>日</w:t>
      </w:r>
      <w:r>
        <w:rPr>
          <w:rFonts w:ascii="仿宋" w:hAnsi="仿宋" w:eastAsia="仿宋"/>
          <w:sz w:val="32"/>
          <w:szCs w:val="32"/>
          <w:lang w:eastAsia="zh-CN"/>
        </w:rPr>
        <w:br w:type="page"/>
      </w:r>
    </w:p>
    <w:p w14:paraId="26416CFB">
      <w:pPr>
        <w:pStyle w:val="54"/>
        <w:rPr>
          <w:rFonts w:hint="eastAsia"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eastAsia" w:asciiTheme="minorEastAsia" w:hAnsiTheme="minorEastAsia" w:eastAsiaTheme="minorEastAsia" w:cstheme="minorEastAsia"/>
                <w:b/>
                <w:color w:val="FF0000"/>
                <w:sz w:val="24"/>
                <w:szCs w:val="24"/>
              </w:rPr>
            </w:pPr>
            <w:r>
              <w:rPr>
                <w:rFonts w:hint="eastAsia" w:asciiTheme="minorEastAsia" w:hAnsiTheme="minorEastAsia" w:eastAsiaTheme="minorEastAsia" w:cstheme="minorEastAsia"/>
                <w:b/>
                <w:color w:val="FF0000"/>
                <w:sz w:val="24"/>
                <w:szCs w:val="24"/>
              </w:rPr>
              <w:t>码头团队一辆电动皮卡车采购项目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雷达金刚EV\纯电版/续航310KM/245马力/2025款，配备三相充电桩</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yellow"/>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135,000.00元（含税）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000000"/>
                <w:sz w:val="24"/>
                <w:szCs w:val="24"/>
                <w:highlight w:val="yellow"/>
                <w:lang w:eastAsia="zh-CN"/>
              </w:rPr>
            </w:pPr>
            <w:r>
              <w:rPr>
                <w:rFonts w:hint="eastAsia" w:asciiTheme="minorEastAsia" w:hAnsiTheme="minorEastAsia" w:eastAsiaTheme="minorEastAsia" w:cstheme="minorEastAsia"/>
                <w:color w:val="000000"/>
                <w:sz w:val="24"/>
                <w:szCs w:val="24"/>
                <w:highlight w:val="yellow"/>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u w:val="single"/>
                <w:lang w:eastAsia="zh-CN"/>
              </w:rPr>
              <w:t>非招</w:t>
            </w:r>
            <w:r>
              <w:rPr>
                <w:rFonts w:hint="eastAsia" w:asciiTheme="minorEastAsia" w:hAnsiTheme="minorEastAsia" w:eastAsiaTheme="minorEastAsia" w:cstheme="minorEastAsia"/>
                <w:color w:val="FF0000"/>
                <w:kern w:val="2"/>
                <w:sz w:val="24"/>
                <w:szCs w:val="24"/>
                <w:lang w:eastAsia="zh-CN"/>
              </w:rPr>
              <w:t>、</w:t>
            </w:r>
            <w:r>
              <w:rPr>
                <w:rFonts w:hint="eastAsia" w:asciiTheme="minorEastAsia" w:hAnsiTheme="minorEastAsia" w:eastAsiaTheme="minorEastAsia" w:cstheme="minorEastAsia"/>
                <w:color w:val="FF0000"/>
                <w:kern w:val="2"/>
                <w:sz w:val="24"/>
                <w:szCs w:val="24"/>
                <w:u w:val="single"/>
                <w:lang w:eastAsia="zh-CN"/>
              </w:rPr>
              <w:t>询比</w:t>
            </w:r>
            <w:r>
              <w:rPr>
                <w:rFonts w:hint="eastAsia" w:asciiTheme="minorEastAsia" w:hAnsiTheme="minorEastAsia" w:eastAsiaTheme="minorEastAsia" w:cstheme="minorEastAsia"/>
                <w:color w:val="FF0000"/>
                <w:kern w:val="2"/>
                <w:sz w:val="24"/>
                <w:szCs w:val="24"/>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val="en-US" w:eastAsia="zh-CN"/>
              </w:rPr>
              <w:t>/</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hd w:val="clear" w:color="auto" w:fill="FFFFFF"/>
              <w:spacing w:before="100" w:beforeAutospacing="1" w:after="100" w:afterAutospacing="1"/>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000000"/>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ind w:firstLine="240" w:firstLineChars="100"/>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线下递交：需按照采购文件要求，密封装订快递或亲自送达福建省漳州市漳浦县杜浔镇杜昌路</w:t>
            </w:r>
            <w:r>
              <w:rPr>
                <w:rFonts w:asciiTheme="minorEastAsia" w:hAnsiTheme="minorEastAsia" w:eastAsiaTheme="minorEastAsia" w:cstheme="minorEastAsia"/>
                <w:sz w:val="24"/>
                <w:szCs w:val="24"/>
                <w:lang w:eastAsia="zh-CN"/>
              </w:rPr>
              <w:t>9号 福建福海创石油化工有限公司三楼综合采购团队，联系人：魏彦苹 ，联系电话：0596-6311824。</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年**月 ** 日1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60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563271C">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i/>
                <w:iCs/>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答疑及现场踏勘联系人:</w:t>
            </w:r>
            <w:r>
              <w:rPr>
                <w:rFonts w:hint="eastAsia" w:asciiTheme="minorEastAsia" w:hAnsiTheme="minorEastAsia" w:eastAsiaTheme="minorEastAsia" w:cstheme="minorEastAsia"/>
                <w:color w:val="FF0000"/>
                <w:sz w:val="24"/>
                <w:szCs w:val="24"/>
                <w:lang w:val="en-US" w:eastAsia="zh-CN"/>
              </w:rPr>
              <w:t>陈玉婷</w:t>
            </w:r>
            <w:r>
              <w:rPr>
                <w:rFonts w:hint="eastAsia" w:asciiTheme="minorEastAsia" w:hAnsiTheme="minorEastAsia" w:eastAsiaTheme="minorEastAsia" w:cstheme="minorEastAsia"/>
                <w:i/>
                <w:iCs/>
                <w:color w:val="FF0000"/>
                <w:sz w:val="24"/>
                <w:szCs w:val="24"/>
                <w:lang w:eastAsia="zh-CN"/>
              </w:rPr>
              <w:t>（技术联系人）</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703C0C6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3、线上递交形式，若平台报价与附件参比文件不一致，以平台报价为准。</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4、参比人所提交的参比文件在评审结束后，无论中选与否都不退还。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19"/>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6AA0DDF">
      <w:pPr>
        <w:pStyle w:val="19"/>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6B89CE47">
      <w:pPr>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本项目不适用参选保证金，但参比人未能按接到中标通知书后规定的时间内签定合同或中选不执行等未履约事宜，采购人将把参比人纳入采购人的黑名单，以后不得参与采购人的公开招投标和公开比选等一切采购项目。</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red"/>
          <w:lang w:eastAsia="zh-CN"/>
        </w:rPr>
        <w:t>第三章</w:t>
      </w:r>
      <w:r>
        <w:rPr>
          <w:rFonts w:ascii="仿宋" w:hAnsi="仿宋" w:eastAsia="仿宋"/>
          <w:sz w:val="32"/>
          <w:szCs w:val="32"/>
          <w:highlight w:val="red"/>
          <w:lang w:eastAsia="zh-CN"/>
        </w:rPr>
        <w:tab/>
      </w:r>
      <w:r>
        <w:rPr>
          <w:rFonts w:ascii="仿宋" w:hAnsi="仿宋" w:eastAsia="仿宋"/>
          <w:spacing w:val="-1"/>
          <w:w w:val="95"/>
          <w:sz w:val="32"/>
          <w:szCs w:val="32"/>
          <w:highlight w:val="red"/>
          <w:lang w:eastAsia="zh-CN"/>
        </w:rPr>
        <w:t>参</w:t>
      </w:r>
      <w:r>
        <w:rPr>
          <w:rFonts w:hint="eastAsia" w:ascii="仿宋" w:hAnsi="仿宋" w:eastAsia="仿宋"/>
          <w:spacing w:val="-1"/>
          <w:w w:val="95"/>
          <w:sz w:val="32"/>
          <w:szCs w:val="32"/>
          <w:highlight w:val="red"/>
          <w:lang w:eastAsia="zh-CN"/>
        </w:rPr>
        <w:t>比</w:t>
      </w:r>
      <w:r>
        <w:rPr>
          <w:rFonts w:ascii="仿宋" w:hAnsi="仿宋" w:eastAsia="仿宋"/>
          <w:spacing w:val="-1"/>
          <w:w w:val="95"/>
          <w:sz w:val="32"/>
          <w:szCs w:val="32"/>
          <w:highlight w:val="red"/>
          <w:lang w:eastAsia="zh-CN"/>
        </w:rPr>
        <w:t>文</w:t>
      </w:r>
      <w:r>
        <w:rPr>
          <w:rFonts w:ascii="仿宋" w:hAnsi="仿宋" w:eastAsia="仿宋"/>
          <w:w w:val="95"/>
          <w:sz w:val="32"/>
          <w:szCs w:val="32"/>
          <w:highlight w:val="red"/>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19"/>
        <w:spacing w:line="360" w:lineRule="auto"/>
        <w:ind w:firstLine="562" w:firstLineChars="200"/>
        <w:rPr>
          <w:rFonts w:hint="eastAsia"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red"/>
          <w:lang w:eastAsia="zh-CN"/>
        </w:rPr>
        <w:t>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w:t>
      </w:r>
      <w:r>
        <w:rPr>
          <w:rStyle w:val="48"/>
          <w:rFonts w:hint="eastAsia" w:ascii="仿宋" w:hAnsi="仿宋" w:eastAsia="仿宋" w:cs="Times New Roman"/>
          <w:color w:val="FF0000"/>
          <w:sz w:val="28"/>
          <w:szCs w:val="28"/>
          <w:lang w:eastAsia="zh-CN"/>
        </w:rPr>
        <w:t>指定由其权属子公司“翔鹭码头投资管理（漳州）有限公司”作为本项目合同执行主体</w:t>
      </w:r>
      <w:r>
        <w:rPr>
          <w:rStyle w:val="48"/>
          <w:rFonts w:hint="eastAsia" w:ascii="仿宋" w:hAnsi="仿宋" w:eastAsia="仿宋"/>
          <w:color w:val="FF0000"/>
          <w:sz w:val="28"/>
          <w:szCs w:val="28"/>
          <w:lang w:eastAsia="zh-CN"/>
        </w:rPr>
        <w:t>，将于中选结果公示流程结束之日起30日内与中选人完成合同签订事宜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（详见附件一）</w:t>
      </w:r>
      <w:r>
        <w:rPr>
          <w:rFonts w:ascii="仿宋" w:hAnsi="仿宋" w:eastAsia="仿宋"/>
          <w:sz w:val="28"/>
          <w:szCs w:val="28"/>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413"/>
        <w:gridCol w:w="1111"/>
        <w:gridCol w:w="1650"/>
        <w:gridCol w:w="2152"/>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440" w:lineRule="exact"/>
              <w:rPr>
                <w:rFonts w:hint="eastAsia" w:cs="宋体"/>
                <w:b/>
                <w:kern w:val="2"/>
                <w:lang w:eastAsia="zh-CN"/>
              </w:rPr>
            </w:pPr>
          </w:p>
          <w:p w14:paraId="280D1AF1">
            <w:pPr>
              <w:pStyle w:val="213"/>
              <w:adjustRightInd w:val="0"/>
              <w:snapToGrid w:val="0"/>
              <w:spacing w:before="0" w:beforeAutospacing="0" w:after="0" w:afterAutospacing="0" w:line="440" w:lineRule="exact"/>
              <w:rPr>
                <w:rFonts w:hint="eastAsia" w:cs="宋体"/>
                <w:b/>
                <w:kern w:val="2"/>
              </w:rPr>
            </w:pPr>
            <w:r>
              <w:rPr>
                <w:rFonts w:hint="eastAsia" w:cs="宋体"/>
                <w:b/>
                <w:kern w:val="2"/>
              </w:rPr>
              <w:t>合同包</w:t>
            </w:r>
          </w:p>
          <w:p w14:paraId="19CF6340">
            <w:pPr>
              <w:pStyle w:val="213"/>
              <w:adjustRightInd w:val="0"/>
              <w:snapToGrid w:val="0"/>
              <w:spacing w:before="0" w:beforeAutospacing="0" w:after="0" w:afterAutospacing="0" w:line="440" w:lineRule="exact"/>
              <w:rPr>
                <w:rFonts w:hint="eastAsia" w:cs="宋体"/>
                <w:b/>
              </w:rPr>
            </w:pPr>
          </w:p>
        </w:tc>
        <w:tc>
          <w:tcPr>
            <w:tcW w:w="241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440" w:lineRule="exact"/>
              <w:rPr>
                <w:rFonts w:hint="eastAsia" w:cs="宋体"/>
                <w:b/>
                <w:kern w:val="2"/>
              </w:rPr>
            </w:pPr>
            <w:r>
              <w:rPr>
                <w:rFonts w:hint="eastAsia" w:cs="宋体"/>
                <w:b/>
                <w:kern w:val="2"/>
              </w:rPr>
              <w:t>货物名称</w:t>
            </w:r>
          </w:p>
        </w:tc>
        <w:tc>
          <w:tcPr>
            <w:tcW w:w="111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3"/>
              <w:adjustRightInd w:val="0"/>
              <w:snapToGrid w:val="0"/>
              <w:spacing w:before="0" w:beforeAutospacing="0" w:after="0" w:afterAutospacing="0" w:line="440" w:lineRule="exact"/>
              <w:rPr>
                <w:rFonts w:hint="eastAsia" w:cs="宋体"/>
                <w:b/>
                <w:kern w:val="2"/>
              </w:rPr>
            </w:pPr>
            <w:r>
              <w:rPr>
                <w:rFonts w:hint="eastAsia" w:cs="宋体"/>
                <w:b/>
              </w:rPr>
              <w:t>采购数量</w:t>
            </w:r>
          </w:p>
        </w:tc>
        <w:tc>
          <w:tcPr>
            <w:tcW w:w="165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440" w:lineRule="exact"/>
              <w:rPr>
                <w:rFonts w:hint="eastAsia" w:cs="宋体"/>
                <w:b/>
                <w:kern w:val="2"/>
                <w:lang w:eastAsia="zh-CN"/>
              </w:rPr>
            </w:pPr>
            <w:r>
              <w:rPr>
                <w:rFonts w:hint="eastAsia" w:cs="宋体"/>
                <w:b/>
                <w:kern w:val="2"/>
                <w:lang w:eastAsia="zh-CN"/>
              </w:rPr>
              <w:t>主要技术规格和服务要求</w:t>
            </w:r>
          </w:p>
        </w:tc>
        <w:tc>
          <w:tcPr>
            <w:tcW w:w="21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440" w:lineRule="exact"/>
              <w:rPr>
                <w:rFonts w:hint="eastAsia" w:cs="宋体"/>
                <w:b/>
                <w:kern w:val="2"/>
              </w:rPr>
            </w:pPr>
            <w:r>
              <w:rPr>
                <w:rFonts w:hint="eastAsia" w:cs="宋体"/>
                <w:b/>
                <w:kern w:val="2"/>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1790DA21">
            <w:pPr>
              <w:pStyle w:val="213"/>
              <w:adjustRightInd w:val="0"/>
              <w:snapToGrid w:val="0"/>
              <w:spacing w:line="440" w:lineRule="exact"/>
              <w:rPr>
                <w:rFonts w:hint="eastAsia"/>
                <w:color w:val="000000"/>
              </w:rPr>
            </w:pPr>
            <w:r>
              <w:rPr>
                <w:rFonts w:hint="eastAsia" w:cs="宋体"/>
              </w:rPr>
              <w:t>1</w:t>
            </w:r>
          </w:p>
        </w:tc>
        <w:tc>
          <w:tcPr>
            <w:tcW w:w="241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B0CEB52">
            <w:pPr>
              <w:spacing w:line="360" w:lineRule="auto"/>
              <w:jc w:val="center"/>
              <w:rPr>
                <w:rFonts w:hint="eastAsia"/>
                <w:sz w:val="24"/>
                <w:szCs w:val="24"/>
              </w:rPr>
            </w:pPr>
            <w:r>
              <w:rPr>
                <w:rFonts w:hint="eastAsia"/>
                <w:sz w:val="24"/>
                <w:szCs w:val="24"/>
              </w:rPr>
              <w:t>电动皮卡车</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9AC7FA2">
            <w:pPr>
              <w:pStyle w:val="213"/>
              <w:adjustRightInd w:val="0"/>
              <w:snapToGrid w:val="0"/>
              <w:spacing w:before="0" w:beforeAutospacing="0" w:after="0" w:afterAutospacing="0" w:line="440" w:lineRule="exact"/>
              <w:rPr>
                <w:rFonts w:hint="default"/>
                <w:lang w:val="en-US" w:eastAsia="zh-CN"/>
              </w:rPr>
            </w:pPr>
            <w:r>
              <w:rPr>
                <w:rFonts w:hint="eastAsia"/>
                <w:lang w:val="en-US" w:eastAsia="zh-CN"/>
              </w:rPr>
              <w:t>1辆</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6923FD01">
            <w:pPr>
              <w:spacing w:line="360" w:lineRule="auto"/>
              <w:rPr>
                <w:rFonts w:hint="eastAsia"/>
                <w:sz w:val="24"/>
                <w:szCs w:val="24"/>
              </w:rPr>
            </w:pPr>
            <w:r>
              <w:rPr>
                <w:rFonts w:hint="eastAsia"/>
                <w:sz w:val="24"/>
                <w:szCs w:val="24"/>
              </w:rPr>
              <w:t>雷达金刚EV\纯电版/续航310KM/245马力/2025款，配备三相充电桩。</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spacing w:line="360" w:lineRule="auto"/>
              <w:rPr>
                <w:rFonts w:hint="eastAsia" w:cs="Times New Roman"/>
                <w:color w:val="000000"/>
                <w:sz w:val="24"/>
                <w:szCs w:val="24"/>
              </w:rPr>
            </w:pP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rFonts w:hint="eastAsia"/>
                <w:b/>
                <w:spacing w:val="10"/>
                <w:sz w:val="24"/>
                <w:szCs w:val="24"/>
                <w:lang w:eastAsia="zh-CN"/>
              </w:rPr>
            </w:pPr>
            <w:r>
              <w:rPr>
                <w:rFonts w:hint="eastAsia"/>
                <w:b/>
                <w:sz w:val="24"/>
                <w:szCs w:val="24"/>
                <w:lang w:eastAsia="zh-CN"/>
              </w:rPr>
              <w:t>交货地点：</w:t>
            </w:r>
            <w:r>
              <w:rPr>
                <w:rFonts w:hint="eastAsia"/>
                <w:bCs/>
                <w:sz w:val="24"/>
                <w:szCs w:val="24"/>
                <w:lang w:eastAsia="zh-CN"/>
              </w:rPr>
              <w:t>福建省漳州古雷港经济开发区采购人指定地点。</w:t>
            </w:r>
          </w:p>
          <w:p w14:paraId="563593CA">
            <w:pPr>
              <w:snapToGrid w:val="0"/>
              <w:spacing w:line="440" w:lineRule="exact"/>
              <w:rPr>
                <w:rFonts w:hint="eastAsia"/>
                <w:b/>
                <w:bCs/>
                <w:sz w:val="24"/>
                <w:szCs w:val="24"/>
                <w:lang w:eastAsia="zh-CN"/>
              </w:rPr>
            </w:pPr>
            <w:r>
              <w:rPr>
                <w:rFonts w:hint="eastAsia"/>
                <w:b/>
                <w:bCs/>
                <w:sz w:val="24"/>
                <w:szCs w:val="24"/>
                <w:lang w:eastAsia="zh-CN"/>
              </w:rPr>
              <w:t>质量要求：</w:t>
            </w:r>
            <w:r>
              <w:rPr>
                <w:rFonts w:hint="eastAsia"/>
                <w:sz w:val="24"/>
                <w:szCs w:val="24"/>
                <w:lang w:eastAsia="zh-CN"/>
              </w:rPr>
              <w:t>符合国家有关验收标准、规范及本项目的技术要求。</w:t>
            </w:r>
          </w:p>
        </w:tc>
      </w:tr>
    </w:tbl>
    <w:p w14:paraId="4C38BBA3">
      <w:pPr>
        <w:spacing w:line="360" w:lineRule="auto"/>
        <w:jc w:val="both"/>
        <w:rPr>
          <w:rFonts w:hint="eastAsia" w:ascii="仿宋" w:hAnsi="仿宋" w:eastAsia="仿宋" w:cs="Times New Roman"/>
          <w:b/>
          <w:sz w:val="36"/>
          <w:szCs w:val="36"/>
          <w:lang w:eastAsia="zh-CN"/>
        </w:rPr>
      </w:pPr>
    </w:p>
    <w:p w14:paraId="37832C2A">
      <w:pPr>
        <w:pStyle w:val="9"/>
      </w:pPr>
    </w:p>
    <w:p w14:paraId="7028DF1B">
      <w:pPr>
        <w:spacing w:line="360" w:lineRule="auto"/>
        <w:ind w:firstLine="3292" w:firstLineChars="911"/>
        <w:rPr>
          <w:rFonts w:hint="eastAsia" w:ascii="仿宋" w:hAnsi="仿宋" w:eastAsia="仿宋" w:cs="Times New Roman"/>
          <w:b/>
          <w:sz w:val="36"/>
          <w:szCs w:val="36"/>
          <w:lang w:eastAsia="zh-CN"/>
        </w:rPr>
      </w:pPr>
    </w:p>
    <w:p w14:paraId="6B04056B">
      <w:pPr>
        <w:pStyle w:val="9"/>
        <w:rPr>
          <w:rFonts w:hint="eastAsia" w:ascii="仿宋" w:hAnsi="仿宋" w:eastAsia="仿宋"/>
          <w:b/>
          <w:sz w:val="36"/>
          <w:szCs w:val="36"/>
        </w:rPr>
      </w:pPr>
    </w:p>
    <w:p w14:paraId="1450C865">
      <w:pPr>
        <w:pStyle w:val="9"/>
        <w:rPr>
          <w:rFonts w:hint="eastAsia" w:ascii="仿宋" w:hAnsi="仿宋" w:eastAsia="仿宋"/>
          <w:b/>
          <w:sz w:val="36"/>
          <w:szCs w:val="36"/>
        </w:rPr>
      </w:pPr>
    </w:p>
    <w:p w14:paraId="7A247B2B">
      <w:pPr>
        <w:pStyle w:val="9"/>
        <w:rPr>
          <w:rFonts w:hint="eastAsia" w:ascii="仿宋" w:hAnsi="仿宋" w:eastAsia="仿宋"/>
          <w:b/>
          <w:sz w:val="36"/>
          <w:szCs w:val="36"/>
        </w:rPr>
      </w:pPr>
    </w:p>
    <w:p w14:paraId="64960E77">
      <w:pPr>
        <w:pStyle w:val="9"/>
        <w:rPr>
          <w:rFonts w:hint="eastAsia" w:ascii="仿宋" w:hAnsi="仿宋" w:eastAsia="仿宋"/>
          <w:b/>
          <w:sz w:val="36"/>
          <w:szCs w:val="36"/>
        </w:rPr>
      </w:pPr>
    </w:p>
    <w:p w14:paraId="6BB5D028">
      <w:pPr>
        <w:pStyle w:val="9"/>
        <w:rPr>
          <w:rFonts w:hint="eastAsia" w:ascii="仿宋" w:hAnsi="仿宋" w:eastAsia="仿宋"/>
          <w:b/>
          <w:sz w:val="36"/>
          <w:szCs w:val="36"/>
        </w:rPr>
      </w:pPr>
    </w:p>
    <w:p w14:paraId="38FF8212">
      <w:pPr>
        <w:pStyle w:val="9"/>
        <w:rPr>
          <w:rFonts w:hint="eastAsia" w:ascii="仿宋" w:hAnsi="仿宋" w:eastAsia="仿宋"/>
          <w:b/>
          <w:sz w:val="36"/>
          <w:szCs w:val="36"/>
        </w:rPr>
      </w:pPr>
    </w:p>
    <w:p w14:paraId="3D2DC9FA">
      <w:pPr>
        <w:pStyle w:val="9"/>
        <w:rPr>
          <w:rFonts w:hint="eastAsia" w:ascii="仿宋" w:hAnsi="仿宋" w:eastAsia="仿宋"/>
          <w:b/>
          <w:sz w:val="36"/>
          <w:szCs w:val="36"/>
        </w:rPr>
      </w:pPr>
    </w:p>
    <w:p w14:paraId="20AA42B4">
      <w:pPr>
        <w:pStyle w:val="9"/>
        <w:rPr>
          <w:rFonts w:hint="eastAsia" w:ascii="仿宋" w:hAnsi="仿宋" w:eastAsia="仿宋"/>
          <w:b/>
          <w:sz w:val="36"/>
          <w:szCs w:val="36"/>
        </w:rPr>
      </w:pPr>
    </w:p>
    <w:p w14:paraId="3ECDC6C9">
      <w:pPr>
        <w:pStyle w:val="9"/>
        <w:rPr>
          <w:rFonts w:hint="eastAsia" w:ascii="仿宋" w:hAnsi="仿宋" w:eastAsia="仿宋"/>
          <w:b/>
          <w:sz w:val="36"/>
          <w:szCs w:val="36"/>
        </w:rPr>
      </w:pPr>
    </w:p>
    <w:p w14:paraId="774FED39">
      <w:pPr>
        <w:pStyle w:val="9"/>
        <w:rPr>
          <w:rFonts w:hint="eastAsia" w:ascii="仿宋" w:hAnsi="仿宋" w:eastAsia="仿宋"/>
          <w:b/>
          <w:sz w:val="36"/>
          <w:szCs w:val="36"/>
        </w:rPr>
      </w:pPr>
    </w:p>
    <w:p w14:paraId="504CAC9A">
      <w:pPr>
        <w:pStyle w:val="9"/>
        <w:rPr>
          <w:rFonts w:hint="eastAsia" w:ascii="仿宋" w:hAnsi="仿宋" w:eastAsia="仿宋"/>
          <w:b/>
          <w:sz w:val="36"/>
          <w:szCs w:val="36"/>
        </w:rPr>
      </w:pP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46C61F01">
      <w:pPr>
        <w:jc w:val="both"/>
        <w:rPr>
          <w:rFonts w:hint="eastAsia" w:ascii="仿宋" w:hAnsi="仿宋" w:eastAsia="仿宋" w:cs="Times New Roman"/>
          <w:b/>
          <w:sz w:val="36"/>
          <w:szCs w:val="36"/>
          <w:highlight w:val="yellow"/>
          <w:lang w:eastAsia="zh-CN"/>
        </w:rPr>
      </w:pPr>
      <w:r>
        <w:rPr>
          <w:rFonts w:hint="eastAsia" w:ascii="仿宋" w:hAnsi="仿宋" w:eastAsia="仿宋" w:cs="Times New Roman"/>
          <w:b/>
          <w:sz w:val="36"/>
          <w:szCs w:val="36"/>
          <w:highlight w:val="yellow"/>
          <w:lang w:eastAsia="zh-CN"/>
        </w:rPr>
        <w:t>合同范本详见附件</w:t>
      </w:r>
      <w:r>
        <w:rPr>
          <w:rFonts w:hint="eastAsia" w:ascii="仿宋" w:hAnsi="仿宋" w:eastAsia="仿宋" w:cs="Times New Roman"/>
          <w:b/>
          <w:sz w:val="36"/>
          <w:szCs w:val="36"/>
          <w:highlight w:val="yellow"/>
          <w:lang w:val="en-US" w:eastAsia="zh-CN"/>
        </w:rPr>
        <w:t>1</w:t>
      </w:r>
      <w:r>
        <w:rPr>
          <w:rFonts w:hint="eastAsia" w:ascii="仿宋" w:hAnsi="仿宋" w:eastAsia="仿宋" w:cs="Times New Roman"/>
          <w:b/>
          <w:sz w:val="36"/>
          <w:szCs w:val="36"/>
          <w:highlight w:val="yellow"/>
          <w:lang w:eastAsia="zh-CN"/>
        </w:rPr>
        <w:t>《电动皮卡车</w:t>
      </w:r>
      <w:r>
        <w:rPr>
          <w:rFonts w:hint="eastAsia" w:ascii="仿宋" w:hAnsi="仿宋" w:eastAsia="仿宋" w:cs="Times New Roman"/>
          <w:b/>
          <w:sz w:val="36"/>
          <w:szCs w:val="36"/>
          <w:highlight w:val="yellow"/>
          <w:lang w:val="en-US" w:eastAsia="zh-CN"/>
        </w:rPr>
        <w:t>采购合同</w:t>
      </w:r>
      <w:r>
        <w:rPr>
          <w:rFonts w:hint="eastAsia" w:ascii="仿宋" w:hAnsi="仿宋" w:eastAsia="仿宋" w:cs="Times New Roman"/>
          <w:b/>
          <w:sz w:val="36"/>
          <w:szCs w:val="36"/>
          <w:highlight w:val="yellow"/>
          <w:lang w:eastAsia="zh-CN"/>
        </w:rPr>
        <w:t>》</w:t>
      </w:r>
    </w:p>
    <w:p w14:paraId="39A03890">
      <w:pPr>
        <w:pStyle w:val="9"/>
        <w:rPr>
          <w:rFonts w:hint="eastAsia" w:ascii="仿宋" w:hAnsi="仿宋" w:eastAsia="仿宋"/>
          <w:b/>
          <w:sz w:val="36"/>
          <w:szCs w:val="36"/>
          <w:highlight w:val="yellow"/>
        </w:rPr>
      </w:pPr>
    </w:p>
    <w:p w14:paraId="52A6C5ED">
      <w:pPr>
        <w:pStyle w:val="9"/>
        <w:rPr>
          <w:rFonts w:hint="eastAsia" w:ascii="仿宋" w:hAnsi="仿宋" w:eastAsia="仿宋"/>
          <w:b/>
          <w:sz w:val="36"/>
          <w:szCs w:val="36"/>
          <w:highlight w:val="yellow"/>
        </w:rPr>
      </w:pPr>
    </w:p>
    <w:p w14:paraId="6303F83A">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20B33F6F">
      <w:pPr>
        <w:pStyle w:val="9"/>
        <w:rPr>
          <w:rFonts w:hint="eastAsia" w:ascii="仿宋" w:hAnsi="仿宋" w:eastAsia="仿宋"/>
          <w:b/>
          <w:sz w:val="36"/>
          <w:szCs w:val="36"/>
          <w:highlight w:val="yellow"/>
        </w:rPr>
      </w:pPr>
    </w:p>
    <w:p w14:paraId="17954265">
      <w:pPr>
        <w:pStyle w:val="9"/>
        <w:rPr>
          <w:rFonts w:hint="eastAsia" w:ascii="仿宋" w:hAnsi="仿宋" w:eastAsia="仿宋"/>
          <w:b/>
          <w:sz w:val="36"/>
          <w:szCs w:val="36"/>
          <w:highlight w:val="yellow"/>
        </w:rPr>
      </w:pPr>
    </w:p>
    <w:p w14:paraId="5420D197">
      <w:pPr>
        <w:rPr>
          <w:rFonts w:hint="eastAsia"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r>
        <w:rPr>
          <w:rFonts w:hint="eastAsia" w:ascii="仿宋" w:hAnsi="仿宋" w:eastAsia="仿宋" w:cs="Times New Roman"/>
          <w:bCs w:val="0"/>
          <w:color w:val="C00000"/>
          <w:highlight w:val="none"/>
          <w:lang w:eastAsia="zh-CN"/>
        </w:rPr>
        <w:t>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center"/>
        <w:rPr>
          <w:rFonts w:hint="eastAsia" w:ascii="仿宋" w:hAnsi="仿宋" w:eastAsia="仿宋" w:cs="方正小标宋简体"/>
          <w:b/>
          <w:sz w:val="44"/>
          <w:szCs w:val="44"/>
          <w:lang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39605546">
      <w:pPr>
        <w:spacing w:line="1000" w:lineRule="exact"/>
        <w:jc w:val="center"/>
        <w:rPr>
          <w:rFonts w:hint="eastAsia"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eastAsia="zh-CN"/>
        </w:rPr>
        <w:t>码头团队一辆电动皮卡车采购项目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sz w:val="32"/>
          <w:szCs w:val="36"/>
          <w:lang w:eastAsia="zh-CN"/>
        </w:rPr>
      </w:pPr>
    </w:p>
    <w:p w14:paraId="6B116761">
      <w:pPr>
        <w:pStyle w:val="24"/>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2"/>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1B407C95">
      <w:pPr>
        <w:pStyle w:val="2"/>
        <w:rPr>
          <w:rFonts w:hint="eastAsia"/>
          <w:lang w:eastAsia="zh-CN"/>
        </w:rPr>
      </w:pPr>
    </w:p>
    <w:p w14:paraId="19FABD5D">
      <w:pPr>
        <w:pStyle w:val="19"/>
        <w:rPr>
          <w:rFonts w:hint="eastAsia" w:ascii="仿宋" w:hAnsi="仿宋" w:eastAsia="仿宋"/>
          <w:b/>
          <w:bCs/>
          <w:lang w:eastAsia="zh-CN"/>
        </w:rPr>
      </w:pPr>
    </w:p>
    <w:p w14:paraId="3BC7C864">
      <w:pPr>
        <w:widowControl/>
        <w:autoSpaceDE/>
        <w:autoSpaceDN/>
        <w:rPr>
          <w:rFonts w:hint="eastAsia"/>
          <w:b/>
          <w:bCs/>
          <w:lang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none"/>
          <w:lang w:eastAsia="zh-CN"/>
        </w:rPr>
        <w:t xml:space="preserve"> 据此参比书，我公司</w:t>
      </w:r>
      <w:r>
        <w:rPr>
          <w:rFonts w:hint="eastAsia" w:ascii="仿宋" w:hAnsi="仿宋" w:eastAsia="仿宋"/>
          <w:sz w:val="24"/>
          <w:lang w:eastAsia="zh-CN"/>
        </w:rPr>
        <w:t>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2CA8B8AD">
      <w:pPr>
        <w:pStyle w:val="54"/>
        <w:rPr>
          <w:rFonts w:hint="eastAsia" w:ascii="仿宋" w:hAnsi="仿宋" w:eastAsia="仿宋"/>
          <w:b/>
          <w:bCs/>
          <w:sz w:val="36"/>
          <w:szCs w:val="36"/>
        </w:rPr>
      </w:pPr>
    </w:p>
    <w:p w14:paraId="5FC1A08F">
      <w:pPr>
        <w:pStyle w:val="54"/>
        <w:rPr>
          <w:rFonts w:hint="eastAsia" w:ascii="仿宋" w:hAnsi="仿宋" w:eastAsia="仿宋"/>
          <w:b/>
          <w:bCs/>
          <w:sz w:val="36"/>
          <w:szCs w:val="36"/>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4059ECA0">
      <w:pPr>
        <w:pStyle w:val="54"/>
        <w:rPr>
          <w:rFonts w:hint="eastAsia" w:ascii="仿宋" w:hAnsi="仿宋" w:eastAsia="仿宋"/>
        </w:rPr>
      </w:pPr>
    </w:p>
    <w:p w14:paraId="54D77E6E">
      <w:pPr>
        <w:pStyle w:val="54"/>
        <w:rPr>
          <w:rFonts w:hint="eastAsia" w:ascii="仿宋" w:hAnsi="仿宋" w:eastAsia="仿宋"/>
          <w:b/>
          <w:bCs/>
          <w:kern w:val="2"/>
          <w:sz w:val="36"/>
          <w:szCs w:val="36"/>
        </w:rPr>
      </w:pPr>
    </w:p>
    <w:p w14:paraId="6A1A26AA">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084A2665">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FAFB3FB">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码头团队一辆电动皮卡车采购项目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32985C0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码头团队一辆电动皮卡车采购项目含税总价（增值税专用发票）人民币（大写）_______元（￥____）。</w:t>
      </w:r>
    </w:p>
    <w:p w14:paraId="1A0E7891">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3834233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以上报价含车辆购置税、车辆保险、车辆报牌等所有费用。</w:t>
      </w:r>
    </w:p>
    <w:p w14:paraId="433825A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付款方式：乙方交付的产品按合同约定标准经甲方验收合格后，甲方向乙方</w:t>
      </w:r>
      <w:r>
        <w:rPr>
          <w:rFonts w:hint="eastAsia" w:ascii="仿宋" w:hAnsi="仿宋" w:eastAsia="仿宋"/>
          <w:color w:val="000000" w:themeColor="text1"/>
          <w:sz w:val="28"/>
          <w:szCs w:val="28"/>
          <w:lang w:val="en-US" w:eastAsia="zh-CN"/>
          <w14:textFill>
            <w14:solidFill>
              <w14:schemeClr w14:val="tx1"/>
            </w14:solidFill>
          </w14:textFill>
        </w:rPr>
        <w:t>预支付货款</w:t>
      </w:r>
      <w:r>
        <w:rPr>
          <w:rFonts w:hint="eastAsia" w:ascii="仿宋" w:hAnsi="仿宋" w:eastAsia="仿宋"/>
          <w:color w:val="000000" w:themeColor="text1"/>
          <w:sz w:val="28"/>
          <w:szCs w:val="28"/>
          <w:lang w:eastAsia="zh-CN"/>
          <w14:textFill>
            <w14:solidFill>
              <w14:schemeClr w14:val="tx1"/>
            </w14:solidFill>
          </w14:textFill>
        </w:rPr>
        <w:t>。</w:t>
      </w:r>
    </w:p>
    <w:p w14:paraId="5C09AA1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4.供货期限：合同签订后，15天内交货。</w:t>
      </w:r>
    </w:p>
    <w:p w14:paraId="79CE610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5.上述总价包含了参比人提供本项目约定的产品及相应服务（如有）的全部价格，除非另有约定，采购人不再承担其他费用。</w:t>
      </w:r>
    </w:p>
    <w:p w14:paraId="7D6D70B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6A89B2E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3FA06DEE">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08A6178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66E18E9A">
      <w:pPr>
        <w:pStyle w:val="54"/>
        <w:rPr>
          <w:rFonts w:hint="eastAsia" w:ascii="仿宋" w:hAnsi="仿宋" w:eastAsia="仿宋" w:cs="宋体"/>
          <w:color w:val="000000" w:themeColor="text1"/>
          <w:sz w:val="28"/>
          <w:szCs w:val="28"/>
          <w14:textFill>
            <w14:solidFill>
              <w14:schemeClr w14:val="tx1"/>
            </w14:solidFill>
          </w14:textFill>
        </w:rPr>
      </w:pPr>
    </w:p>
    <w:p w14:paraId="76288DBF">
      <w:pPr>
        <w:pStyle w:val="54"/>
        <w:rPr>
          <w:rFonts w:hint="eastAsia" w:ascii="仿宋" w:hAnsi="仿宋" w:eastAsia="仿宋" w:cs="宋体"/>
          <w:color w:val="000000" w:themeColor="text1"/>
          <w:sz w:val="28"/>
          <w:szCs w:val="28"/>
          <w14:textFill>
            <w14:solidFill>
              <w14:schemeClr w14:val="tx1"/>
            </w14:solidFill>
          </w14:textFill>
        </w:rPr>
      </w:pPr>
    </w:p>
    <w:p w14:paraId="0CD2D67F">
      <w:pPr>
        <w:pStyle w:val="54"/>
        <w:rPr>
          <w:rFonts w:hint="eastAsia" w:ascii="仿宋" w:hAnsi="仿宋" w:eastAsia="仿宋"/>
        </w:rPr>
      </w:pPr>
    </w:p>
    <w:p w14:paraId="0F7B6E3A">
      <w:pPr>
        <w:pStyle w:val="19"/>
        <w:rPr>
          <w:rFonts w:hint="eastAsia" w:ascii="仿宋" w:hAnsi="仿宋" w:eastAsia="仿宋"/>
          <w:b/>
          <w:bCs/>
          <w:lang w:eastAsia="zh-CN"/>
        </w:rPr>
      </w:pPr>
    </w:p>
    <w:p w14:paraId="0D40615E">
      <w:pPr>
        <w:pStyle w:val="19"/>
        <w:rPr>
          <w:rFonts w:hint="eastAsia" w:ascii="仿宋" w:hAnsi="仿宋" w:eastAsia="仿宋"/>
          <w:b/>
          <w:bCs/>
          <w:lang w:eastAsia="zh-CN"/>
        </w:rPr>
      </w:pPr>
    </w:p>
    <w:p w14:paraId="79E412C2">
      <w:pPr>
        <w:pStyle w:val="19"/>
        <w:rPr>
          <w:rFonts w:hint="eastAsia" w:ascii="仿宋" w:hAnsi="仿宋" w:eastAsia="仿宋"/>
          <w:b/>
          <w:bCs/>
          <w:lang w:eastAsia="zh-CN"/>
        </w:rPr>
      </w:pPr>
    </w:p>
    <w:p w14:paraId="3DB0A4D9">
      <w:pPr>
        <w:pStyle w:val="19"/>
        <w:rPr>
          <w:rFonts w:hint="eastAsia" w:ascii="仿宋" w:hAnsi="仿宋" w:eastAsia="仿宋"/>
          <w:b/>
          <w:bCs/>
          <w:lang w:eastAsia="zh-CN"/>
        </w:rPr>
      </w:pPr>
    </w:p>
    <w:p w14:paraId="3CB0E2C9">
      <w:pPr>
        <w:pStyle w:val="19"/>
        <w:rPr>
          <w:rFonts w:hint="eastAsia"/>
          <w:b/>
          <w:sz w:val="36"/>
          <w:szCs w:val="36"/>
          <w:lang w:eastAsia="zh-CN"/>
        </w:rPr>
      </w:pPr>
      <w:r>
        <w:rPr>
          <w:b/>
          <w:sz w:val="36"/>
          <w:szCs w:val="36"/>
          <w:lang w:eastAsia="zh-CN"/>
        </w:rPr>
        <w:t>报价</w:t>
      </w:r>
      <w:r>
        <w:rPr>
          <w:rFonts w:hint="eastAsia"/>
          <w:b/>
          <w:sz w:val="36"/>
          <w:szCs w:val="36"/>
          <w:lang w:eastAsia="zh-CN"/>
        </w:rPr>
        <w:t>明细单：</w:t>
      </w:r>
    </w:p>
    <w:p w14:paraId="68F91D92">
      <w:pPr>
        <w:pStyle w:val="19"/>
        <w:rPr>
          <w:rFonts w:hint="eastAsia"/>
          <w:b/>
          <w:sz w:val="36"/>
          <w:szCs w:val="36"/>
          <w:lang w:eastAsia="zh-CN"/>
        </w:rPr>
      </w:pPr>
    </w:p>
    <w:p w14:paraId="6EC08602">
      <w:pPr>
        <w:pStyle w:val="19"/>
        <w:jc w:val="center"/>
        <w:rPr>
          <w:rFonts w:hint="eastAsia"/>
          <w:b/>
          <w:sz w:val="32"/>
          <w:szCs w:val="32"/>
          <w:lang w:eastAsia="zh-CN"/>
        </w:rPr>
      </w:pPr>
      <w:r>
        <w:rPr>
          <w:rFonts w:hint="eastAsia"/>
          <w:b/>
          <w:sz w:val="32"/>
          <w:szCs w:val="32"/>
          <w:lang w:eastAsia="zh-CN"/>
        </w:rPr>
        <w:t>码头团队一辆电动皮卡车采购项目</w:t>
      </w:r>
    </w:p>
    <w:p w14:paraId="37F0611A">
      <w:pPr>
        <w:pStyle w:val="19"/>
        <w:jc w:val="center"/>
        <w:rPr>
          <w:rFonts w:hint="eastAsia"/>
          <w:b/>
          <w:sz w:val="32"/>
          <w:szCs w:val="32"/>
          <w:lang w:eastAsia="zh-CN"/>
        </w:rPr>
      </w:pPr>
      <w:r>
        <w:rPr>
          <w:rFonts w:hint="eastAsia"/>
          <w:b/>
          <w:sz w:val="32"/>
          <w:szCs w:val="32"/>
          <w:lang w:eastAsia="zh-CN"/>
        </w:rPr>
        <w:t>报价明细表</w:t>
      </w:r>
    </w:p>
    <w:tbl>
      <w:tblPr>
        <w:tblStyle w:val="45"/>
        <w:tblpPr w:leftFromText="180" w:rightFromText="180" w:vertAnchor="text" w:horzAnchor="page" w:tblpX="1470" w:tblpY="287"/>
        <w:tblOverlap w:val="never"/>
        <w:tblW w:w="9302" w:type="dxa"/>
        <w:tblInd w:w="0" w:type="dxa"/>
        <w:tblLayout w:type="fixed"/>
        <w:tblCellMar>
          <w:top w:w="15" w:type="dxa"/>
          <w:left w:w="15" w:type="dxa"/>
          <w:bottom w:w="15" w:type="dxa"/>
          <w:right w:w="15" w:type="dxa"/>
        </w:tblCellMar>
      </w:tblPr>
      <w:tblGrid>
        <w:gridCol w:w="1701"/>
        <w:gridCol w:w="2410"/>
        <w:gridCol w:w="854"/>
        <w:gridCol w:w="1547"/>
        <w:gridCol w:w="1335"/>
        <w:gridCol w:w="1455"/>
      </w:tblGrid>
      <w:tr w14:paraId="6E91A2CB">
        <w:tblPrEx>
          <w:tblCellMar>
            <w:top w:w="15" w:type="dxa"/>
            <w:left w:w="15" w:type="dxa"/>
            <w:bottom w:w="15" w:type="dxa"/>
            <w:right w:w="15" w:type="dxa"/>
          </w:tblCellMar>
        </w:tblPrEx>
        <w:trPr>
          <w:trHeight w:val="645" w:hRule="atLeast"/>
        </w:trPr>
        <w:tc>
          <w:tcPr>
            <w:tcW w:w="1701" w:type="dxa"/>
            <w:tcBorders>
              <w:top w:val="single" w:color="auto" w:sz="4" w:space="0"/>
              <w:left w:val="single" w:color="auto" w:sz="4" w:space="0"/>
              <w:bottom w:val="single" w:color="auto" w:sz="4" w:space="0"/>
              <w:right w:val="single" w:color="000000" w:sz="4" w:space="0"/>
            </w:tcBorders>
            <w:shd w:val="clear" w:color="auto" w:fill="auto"/>
            <w:vAlign w:val="center"/>
          </w:tcPr>
          <w:p w14:paraId="0E1BE0DB">
            <w:pPr>
              <w:widowControl/>
              <w:spacing w:line="264" w:lineRule="auto"/>
              <w:jc w:val="center"/>
              <w:textAlignment w:val="center"/>
              <w:rPr>
                <w:color w:val="000000"/>
                <w:sz w:val="21"/>
                <w:szCs w:val="21"/>
              </w:rPr>
            </w:pPr>
            <w:r>
              <w:rPr>
                <w:color w:val="000000"/>
                <w:sz w:val="21"/>
                <w:szCs w:val="21"/>
                <w:lang w:eastAsia="zh-CN" w:bidi="ar"/>
              </w:rPr>
              <w:t>产品</w:t>
            </w:r>
            <w:r>
              <w:rPr>
                <w:rFonts w:hint="eastAsia"/>
                <w:color w:val="000000"/>
                <w:sz w:val="21"/>
                <w:szCs w:val="21"/>
                <w:lang w:eastAsia="zh-CN" w:bidi="ar"/>
              </w:rPr>
              <w:t>名称</w:t>
            </w:r>
          </w:p>
        </w:tc>
        <w:tc>
          <w:tcPr>
            <w:tcW w:w="2410" w:type="dxa"/>
            <w:tcBorders>
              <w:top w:val="single" w:color="000000" w:sz="4" w:space="0"/>
              <w:left w:val="single" w:color="000000" w:sz="4" w:space="0"/>
              <w:bottom w:val="single" w:color="000000" w:sz="4" w:space="0"/>
              <w:right w:val="single" w:color="auto" w:sz="4" w:space="0"/>
            </w:tcBorders>
            <w:shd w:val="clear" w:color="auto" w:fill="auto"/>
            <w:vAlign w:val="center"/>
          </w:tcPr>
          <w:p w14:paraId="1B5F22FA">
            <w:pPr>
              <w:widowControl/>
              <w:spacing w:line="264" w:lineRule="auto"/>
              <w:jc w:val="center"/>
              <w:textAlignment w:val="center"/>
              <w:rPr>
                <w:color w:val="000000"/>
                <w:sz w:val="21"/>
                <w:szCs w:val="21"/>
                <w:lang w:eastAsia="zh-CN"/>
              </w:rPr>
            </w:pPr>
            <w:r>
              <w:rPr>
                <w:rFonts w:hint="eastAsia"/>
                <w:color w:val="000000"/>
                <w:sz w:val="21"/>
                <w:szCs w:val="21"/>
                <w:lang w:eastAsia="zh-CN" w:bidi="ar"/>
              </w:rPr>
              <w:t>规格</w:t>
            </w:r>
            <w:r>
              <w:rPr>
                <w:rFonts w:hint="eastAsia"/>
                <w:color w:val="000000"/>
                <w:sz w:val="21"/>
                <w:szCs w:val="21"/>
                <w:lang w:bidi="ar"/>
              </w:rPr>
              <w:t>型号</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6F1A">
            <w:pPr>
              <w:widowControl/>
              <w:spacing w:line="264" w:lineRule="auto"/>
              <w:jc w:val="center"/>
              <w:textAlignment w:val="center"/>
              <w:rPr>
                <w:color w:val="000000"/>
                <w:sz w:val="21"/>
                <w:szCs w:val="21"/>
              </w:rPr>
            </w:pPr>
            <w:r>
              <w:rPr>
                <w:rFonts w:hint="eastAsia"/>
                <w:color w:val="000000"/>
                <w:sz w:val="21"/>
                <w:szCs w:val="21"/>
                <w:lang w:bidi="ar"/>
              </w:rPr>
              <w:t>数量</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96E7">
            <w:pPr>
              <w:widowControl/>
              <w:spacing w:line="264" w:lineRule="auto"/>
              <w:jc w:val="center"/>
              <w:textAlignment w:val="center"/>
              <w:rPr>
                <w:color w:val="000000"/>
                <w:sz w:val="21"/>
                <w:szCs w:val="21"/>
              </w:rPr>
            </w:pPr>
            <w:r>
              <w:rPr>
                <w:rFonts w:hint="eastAsia"/>
                <w:color w:val="000000"/>
                <w:sz w:val="21"/>
                <w:szCs w:val="21"/>
                <w:lang w:bidi="ar"/>
              </w:rPr>
              <w:t>含税单价</w:t>
            </w:r>
            <w:r>
              <w:rPr>
                <w:color w:val="000000"/>
                <w:sz w:val="21"/>
                <w:szCs w:val="21"/>
                <w:lang w:eastAsia="zh-CN" w:bidi="ar"/>
              </w:rPr>
              <w:t>/</w:t>
            </w:r>
            <w:r>
              <w:rPr>
                <w:rFonts w:hint="eastAsia"/>
                <w:color w:val="000000"/>
                <w:sz w:val="21"/>
                <w:szCs w:val="21"/>
                <w:lang w:eastAsia="zh-CN" w:bidi="ar"/>
              </w:rPr>
              <w:t>元</w:t>
            </w:r>
          </w:p>
        </w:tc>
        <w:tc>
          <w:tcPr>
            <w:tcW w:w="1335" w:type="dxa"/>
            <w:tcBorders>
              <w:top w:val="single" w:color="000000" w:sz="4" w:space="0"/>
              <w:left w:val="single" w:color="000000" w:sz="4" w:space="0"/>
              <w:bottom w:val="single" w:color="000000" w:sz="4" w:space="0"/>
              <w:right w:val="single" w:color="000000" w:sz="4" w:space="0"/>
            </w:tcBorders>
            <w:vAlign w:val="center"/>
          </w:tcPr>
          <w:p w14:paraId="01F16D96">
            <w:pPr>
              <w:widowControl/>
              <w:spacing w:line="264" w:lineRule="auto"/>
              <w:jc w:val="center"/>
              <w:textAlignment w:val="center"/>
              <w:rPr>
                <w:color w:val="000000"/>
                <w:sz w:val="21"/>
                <w:szCs w:val="21"/>
                <w:lang w:bidi="ar"/>
              </w:rPr>
            </w:pPr>
            <w:r>
              <w:rPr>
                <w:rFonts w:hint="eastAsia"/>
                <w:color w:val="000000"/>
                <w:sz w:val="21"/>
                <w:szCs w:val="21"/>
                <w:lang w:bidi="ar"/>
              </w:rPr>
              <w:t>优惠政策及</w:t>
            </w:r>
          </w:p>
          <w:p w14:paraId="5A8096FC">
            <w:pPr>
              <w:widowControl/>
              <w:spacing w:line="264" w:lineRule="auto"/>
              <w:jc w:val="center"/>
              <w:textAlignment w:val="center"/>
              <w:rPr>
                <w:color w:val="000000"/>
                <w:sz w:val="21"/>
                <w:szCs w:val="21"/>
                <w:lang w:bidi="ar"/>
              </w:rPr>
            </w:pPr>
            <w:r>
              <w:rPr>
                <w:rFonts w:hint="eastAsia"/>
                <w:color w:val="000000"/>
                <w:sz w:val="21"/>
                <w:szCs w:val="21"/>
                <w:lang w:bidi="ar"/>
              </w:rPr>
              <w:t>增值服务</w:t>
            </w:r>
          </w:p>
        </w:tc>
        <w:tc>
          <w:tcPr>
            <w:tcW w:w="1455" w:type="dxa"/>
            <w:tcBorders>
              <w:top w:val="single" w:color="000000" w:sz="4" w:space="0"/>
              <w:left w:val="single" w:color="000000" w:sz="4" w:space="0"/>
              <w:bottom w:val="single" w:color="000000" w:sz="4" w:space="0"/>
              <w:right w:val="single" w:color="000000" w:sz="4" w:space="0"/>
            </w:tcBorders>
            <w:vAlign w:val="center"/>
          </w:tcPr>
          <w:p w14:paraId="5A7609BE">
            <w:pPr>
              <w:widowControl/>
              <w:spacing w:line="264" w:lineRule="auto"/>
              <w:jc w:val="center"/>
              <w:textAlignment w:val="center"/>
              <w:rPr>
                <w:color w:val="000000"/>
                <w:sz w:val="21"/>
                <w:szCs w:val="21"/>
                <w:lang w:bidi="ar"/>
              </w:rPr>
            </w:pPr>
            <w:r>
              <w:rPr>
                <w:rFonts w:hint="eastAsia"/>
                <w:color w:val="000000"/>
                <w:sz w:val="21"/>
                <w:szCs w:val="21"/>
                <w:lang w:bidi="ar"/>
              </w:rPr>
              <w:t>备注（品牌、规格型号）</w:t>
            </w:r>
          </w:p>
        </w:tc>
      </w:tr>
      <w:tr w14:paraId="7DCB385F">
        <w:tblPrEx>
          <w:tblCellMar>
            <w:top w:w="15" w:type="dxa"/>
            <w:left w:w="15" w:type="dxa"/>
            <w:bottom w:w="15" w:type="dxa"/>
            <w:right w:w="15" w:type="dxa"/>
          </w:tblCellMar>
        </w:tblPrEx>
        <w:trPr>
          <w:trHeight w:val="429"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69CC8C85">
            <w:pPr>
              <w:widowControl/>
              <w:autoSpaceDE/>
              <w:autoSpaceDN/>
              <w:spacing w:line="264" w:lineRule="auto"/>
              <w:jc w:val="center"/>
              <w:rPr>
                <w:rFonts w:hint="eastAsia" w:cs="Arial" w:asciiTheme="minorEastAsia" w:hAnsiTheme="minorEastAsia" w:eastAsiaTheme="minorEastAsia"/>
                <w:sz w:val="18"/>
                <w:szCs w:val="20"/>
                <w:lang w:eastAsia="zh-CN"/>
              </w:rPr>
            </w:pPr>
            <w:r>
              <w:rPr>
                <w:rFonts w:hint="eastAsia" w:cs="Arial" w:asciiTheme="minorEastAsia" w:hAnsiTheme="minorEastAsia" w:eastAsiaTheme="minorEastAsia"/>
                <w:sz w:val="18"/>
                <w:szCs w:val="20"/>
                <w:lang w:eastAsia="zh-CN"/>
              </w:rPr>
              <w:t>电动皮卡车</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19380D34">
            <w:pPr>
              <w:widowControl/>
              <w:autoSpaceDE/>
              <w:autoSpaceDN/>
              <w:spacing w:line="264" w:lineRule="auto"/>
              <w:jc w:val="center"/>
              <w:rPr>
                <w:rFonts w:hint="eastAsia" w:ascii="Arial" w:hAnsi="Arial" w:cs="Arial"/>
                <w:sz w:val="20"/>
                <w:szCs w:val="20"/>
                <w:lang w:eastAsia="zh-CN"/>
              </w:rPr>
            </w:pPr>
            <w:r>
              <w:rPr>
                <w:rFonts w:hint="eastAsia" w:ascii="Arial" w:hAnsi="Arial" w:cs="Arial"/>
                <w:sz w:val="20"/>
                <w:szCs w:val="20"/>
                <w:lang w:eastAsia="zh-CN"/>
              </w:rPr>
              <w:t>雷达金刚EV\纯电版/续航310KM/245马力/2025款，配备三相充电桩</w:t>
            </w:r>
          </w:p>
        </w:tc>
        <w:tc>
          <w:tcPr>
            <w:tcW w:w="854" w:type="dxa"/>
            <w:vMerge w:val="restart"/>
            <w:tcBorders>
              <w:top w:val="single" w:color="auto" w:sz="4" w:space="0"/>
              <w:left w:val="single" w:color="auto" w:sz="4" w:space="0"/>
              <w:right w:val="single" w:color="auto" w:sz="4" w:space="0"/>
            </w:tcBorders>
            <w:shd w:val="clear" w:color="auto" w:fill="auto"/>
            <w:vAlign w:val="center"/>
          </w:tcPr>
          <w:p w14:paraId="34DAA470">
            <w:pPr>
              <w:spacing w:line="264" w:lineRule="auto"/>
              <w:jc w:val="center"/>
              <w:rPr>
                <w:rFonts w:ascii="Arial" w:hAnsi="Arial" w:cs="Arial"/>
                <w:sz w:val="20"/>
                <w:szCs w:val="20"/>
              </w:rPr>
            </w:pPr>
            <w:r>
              <w:rPr>
                <w:rFonts w:ascii="Arial" w:hAnsi="Arial" w:cs="Arial"/>
                <w:sz w:val="20"/>
                <w:szCs w:val="20"/>
              </w:rPr>
              <w:t>1辆</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65FA">
            <w:pPr>
              <w:spacing w:line="264" w:lineRule="auto"/>
              <w:jc w:val="center"/>
              <w:rPr>
                <w:rFonts w:asciiTheme="minorEastAsia" w:hAnsiTheme="minorEastAsia" w:eastAsiaTheme="minorEastAsia"/>
                <w:color w:val="000000"/>
                <w:sz w:val="18"/>
                <w:szCs w:val="18"/>
              </w:rPr>
            </w:pPr>
          </w:p>
        </w:tc>
        <w:tc>
          <w:tcPr>
            <w:tcW w:w="1335" w:type="dxa"/>
            <w:vMerge w:val="restart"/>
            <w:tcBorders>
              <w:top w:val="single" w:color="000000" w:sz="4" w:space="0"/>
              <w:left w:val="single" w:color="000000" w:sz="4" w:space="0"/>
              <w:right w:val="single" w:color="000000" w:sz="4" w:space="0"/>
            </w:tcBorders>
            <w:vAlign w:val="center"/>
          </w:tcPr>
          <w:p w14:paraId="5DE85EB0">
            <w:pPr>
              <w:spacing w:line="264" w:lineRule="auto"/>
              <w:jc w:val="center"/>
              <w:rPr>
                <w:rFonts w:asciiTheme="minorEastAsia" w:hAnsiTheme="minorEastAsia" w:eastAsiaTheme="minorEastAsia"/>
                <w:color w:val="000000"/>
                <w:sz w:val="18"/>
                <w:szCs w:val="18"/>
              </w:rPr>
            </w:pPr>
          </w:p>
        </w:tc>
        <w:tc>
          <w:tcPr>
            <w:tcW w:w="1455" w:type="dxa"/>
            <w:tcBorders>
              <w:top w:val="single" w:color="000000" w:sz="4" w:space="0"/>
              <w:left w:val="single" w:color="000000" w:sz="4" w:space="0"/>
              <w:bottom w:val="single" w:color="000000" w:sz="4" w:space="0"/>
              <w:right w:val="single" w:color="000000" w:sz="4" w:space="0"/>
            </w:tcBorders>
            <w:vAlign w:val="center"/>
          </w:tcPr>
          <w:p w14:paraId="5798AE1B">
            <w:pPr>
              <w:spacing w:line="264" w:lineRule="auto"/>
              <w:jc w:val="center"/>
              <w:rPr>
                <w:rFonts w:asciiTheme="minorEastAsia" w:hAnsiTheme="minorEastAsia" w:eastAsiaTheme="minorEastAsia"/>
                <w:color w:val="000000"/>
                <w:sz w:val="18"/>
                <w:szCs w:val="18"/>
                <w:lang w:eastAsia="zh-CN"/>
              </w:rPr>
            </w:pPr>
          </w:p>
        </w:tc>
      </w:tr>
      <w:tr w14:paraId="44D5DFB2">
        <w:tblPrEx>
          <w:tblCellMar>
            <w:top w:w="15" w:type="dxa"/>
            <w:left w:w="15" w:type="dxa"/>
            <w:bottom w:w="15" w:type="dxa"/>
            <w:right w:w="15" w:type="dxa"/>
          </w:tblCellMar>
        </w:tblPrEx>
        <w:trPr>
          <w:trHeight w:val="429" w:hRule="atLeast"/>
        </w:trPr>
        <w:tc>
          <w:tcPr>
            <w:tcW w:w="1701" w:type="dxa"/>
            <w:vMerge w:val="continue"/>
            <w:tcBorders>
              <w:left w:val="single" w:color="auto" w:sz="4" w:space="0"/>
              <w:right w:val="single" w:color="auto" w:sz="4" w:space="0"/>
            </w:tcBorders>
            <w:shd w:val="clear" w:color="auto" w:fill="auto"/>
            <w:vAlign w:val="center"/>
          </w:tcPr>
          <w:p w14:paraId="6B1903A2">
            <w:pPr>
              <w:widowControl/>
              <w:autoSpaceDE/>
              <w:autoSpaceDN/>
              <w:spacing w:line="264" w:lineRule="auto"/>
              <w:jc w:val="center"/>
              <w:rPr>
                <w:rFonts w:hint="eastAsia" w:cs="Arial" w:asciiTheme="minorEastAsia" w:hAnsiTheme="minorEastAsia" w:eastAsiaTheme="minorEastAsia"/>
                <w:sz w:val="18"/>
                <w:szCs w:val="20"/>
                <w:lang w:eastAsia="zh-CN"/>
              </w:rPr>
            </w:pP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2F12034">
            <w:pPr>
              <w:widowControl/>
              <w:autoSpaceDE/>
              <w:autoSpaceDN/>
              <w:spacing w:line="264" w:lineRule="auto"/>
              <w:jc w:val="center"/>
              <w:rPr>
                <w:rFonts w:hint="eastAsia" w:ascii="Arial" w:hAnsi="Arial" w:cs="Arial"/>
                <w:sz w:val="20"/>
                <w:szCs w:val="20"/>
                <w:lang w:eastAsia="zh-CN"/>
              </w:rPr>
            </w:pPr>
            <w:r>
              <w:rPr>
                <w:rFonts w:ascii="Arial" w:hAnsi="Arial" w:cs="Arial"/>
                <w:sz w:val="20"/>
                <w:szCs w:val="20"/>
                <w:lang w:eastAsia="zh-CN"/>
              </w:rPr>
              <w:t>购置税</w:t>
            </w:r>
          </w:p>
        </w:tc>
        <w:tc>
          <w:tcPr>
            <w:tcW w:w="854" w:type="dxa"/>
            <w:vMerge w:val="continue"/>
            <w:tcBorders>
              <w:left w:val="single" w:color="auto" w:sz="4" w:space="0"/>
              <w:right w:val="single" w:color="auto" w:sz="4" w:space="0"/>
            </w:tcBorders>
            <w:shd w:val="clear" w:color="auto" w:fill="auto"/>
            <w:vAlign w:val="center"/>
          </w:tcPr>
          <w:p w14:paraId="4E24B22D">
            <w:pPr>
              <w:spacing w:line="264" w:lineRule="auto"/>
              <w:jc w:val="center"/>
              <w:rPr>
                <w:rFonts w:ascii="Arial" w:hAnsi="Arial" w:cs="Arial"/>
                <w:sz w:val="20"/>
                <w:szCs w:val="20"/>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1ED1">
            <w:pPr>
              <w:spacing w:line="264" w:lineRule="auto"/>
              <w:jc w:val="center"/>
              <w:rPr>
                <w:rFonts w:asciiTheme="minorEastAsia" w:hAnsiTheme="minorEastAsia" w:eastAsiaTheme="minorEastAsia"/>
                <w:color w:val="000000"/>
                <w:sz w:val="18"/>
                <w:szCs w:val="18"/>
              </w:rPr>
            </w:pPr>
          </w:p>
        </w:tc>
        <w:tc>
          <w:tcPr>
            <w:tcW w:w="1335" w:type="dxa"/>
            <w:vMerge w:val="continue"/>
            <w:tcBorders>
              <w:left w:val="single" w:color="000000" w:sz="4" w:space="0"/>
              <w:right w:val="single" w:color="000000" w:sz="4" w:space="0"/>
            </w:tcBorders>
            <w:vAlign w:val="center"/>
          </w:tcPr>
          <w:p w14:paraId="0D069A9F">
            <w:pPr>
              <w:spacing w:line="264" w:lineRule="auto"/>
              <w:jc w:val="center"/>
              <w:rPr>
                <w:rFonts w:asciiTheme="minorEastAsia" w:hAnsiTheme="minorEastAsia" w:eastAsiaTheme="minorEastAsia"/>
                <w:color w:val="000000"/>
                <w:sz w:val="18"/>
                <w:szCs w:val="18"/>
              </w:rPr>
            </w:pPr>
          </w:p>
        </w:tc>
        <w:tc>
          <w:tcPr>
            <w:tcW w:w="1455" w:type="dxa"/>
            <w:tcBorders>
              <w:top w:val="single" w:color="000000" w:sz="4" w:space="0"/>
              <w:left w:val="single" w:color="000000" w:sz="4" w:space="0"/>
              <w:bottom w:val="single" w:color="000000" w:sz="4" w:space="0"/>
              <w:right w:val="single" w:color="000000" w:sz="4" w:space="0"/>
            </w:tcBorders>
            <w:vAlign w:val="center"/>
          </w:tcPr>
          <w:p w14:paraId="6679AFDD">
            <w:pPr>
              <w:spacing w:line="264" w:lineRule="auto"/>
              <w:jc w:val="center"/>
              <w:rPr>
                <w:rFonts w:asciiTheme="minorEastAsia" w:hAnsiTheme="minorEastAsia" w:eastAsiaTheme="minorEastAsia"/>
                <w:color w:val="000000"/>
                <w:sz w:val="18"/>
                <w:szCs w:val="18"/>
                <w:lang w:eastAsia="zh-CN"/>
              </w:rPr>
            </w:pPr>
          </w:p>
        </w:tc>
      </w:tr>
      <w:tr w14:paraId="798A7A3E">
        <w:tblPrEx>
          <w:tblCellMar>
            <w:top w:w="15" w:type="dxa"/>
            <w:left w:w="15" w:type="dxa"/>
            <w:bottom w:w="15" w:type="dxa"/>
            <w:right w:w="15" w:type="dxa"/>
          </w:tblCellMar>
        </w:tblPrEx>
        <w:trPr>
          <w:trHeight w:val="429" w:hRule="atLeast"/>
        </w:trPr>
        <w:tc>
          <w:tcPr>
            <w:tcW w:w="1701" w:type="dxa"/>
            <w:vMerge w:val="continue"/>
            <w:tcBorders>
              <w:left w:val="single" w:color="auto" w:sz="4" w:space="0"/>
              <w:right w:val="single" w:color="auto" w:sz="4" w:space="0"/>
            </w:tcBorders>
            <w:shd w:val="clear" w:color="auto" w:fill="auto"/>
            <w:vAlign w:val="center"/>
          </w:tcPr>
          <w:p w14:paraId="75B0DCB1">
            <w:pPr>
              <w:widowControl/>
              <w:autoSpaceDE/>
              <w:autoSpaceDN/>
              <w:spacing w:line="264" w:lineRule="auto"/>
              <w:jc w:val="center"/>
              <w:rPr>
                <w:rFonts w:hint="eastAsia" w:cs="Arial" w:asciiTheme="minorEastAsia" w:hAnsiTheme="minorEastAsia" w:eastAsiaTheme="minorEastAsia"/>
                <w:sz w:val="18"/>
                <w:szCs w:val="20"/>
                <w:lang w:eastAsia="zh-CN"/>
              </w:rPr>
            </w:pP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5BC20344">
            <w:pPr>
              <w:widowControl/>
              <w:autoSpaceDE/>
              <w:autoSpaceDN/>
              <w:spacing w:line="264" w:lineRule="auto"/>
              <w:jc w:val="center"/>
              <w:rPr>
                <w:rFonts w:hint="eastAsia" w:ascii="Arial" w:hAnsi="Arial" w:cs="Arial"/>
                <w:sz w:val="20"/>
                <w:szCs w:val="20"/>
                <w:lang w:eastAsia="zh-CN"/>
              </w:rPr>
            </w:pPr>
            <w:r>
              <w:rPr>
                <w:rFonts w:ascii="Arial" w:hAnsi="Arial" w:cs="Arial"/>
                <w:sz w:val="20"/>
                <w:szCs w:val="20"/>
                <w:lang w:eastAsia="zh-CN"/>
              </w:rPr>
              <w:t>保险费</w:t>
            </w:r>
          </w:p>
        </w:tc>
        <w:tc>
          <w:tcPr>
            <w:tcW w:w="854" w:type="dxa"/>
            <w:vMerge w:val="continue"/>
            <w:tcBorders>
              <w:left w:val="single" w:color="auto" w:sz="4" w:space="0"/>
              <w:right w:val="single" w:color="auto" w:sz="4" w:space="0"/>
            </w:tcBorders>
            <w:shd w:val="clear" w:color="auto" w:fill="auto"/>
            <w:vAlign w:val="center"/>
          </w:tcPr>
          <w:p w14:paraId="56563A29">
            <w:pPr>
              <w:spacing w:line="264" w:lineRule="auto"/>
              <w:jc w:val="center"/>
              <w:rPr>
                <w:rFonts w:ascii="Arial" w:hAnsi="Arial" w:cs="Arial"/>
                <w:sz w:val="20"/>
                <w:szCs w:val="20"/>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BAA1">
            <w:pPr>
              <w:spacing w:line="264" w:lineRule="auto"/>
              <w:jc w:val="center"/>
              <w:rPr>
                <w:rFonts w:asciiTheme="minorEastAsia" w:hAnsiTheme="minorEastAsia" w:eastAsiaTheme="minorEastAsia"/>
                <w:color w:val="000000"/>
                <w:sz w:val="18"/>
                <w:szCs w:val="18"/>
              </w:rPr>
            </w:pPr>
          </w:p>
        </w:tc>
        <w:tc>
          <w:tcPr>
            <w:tcW w:w="1335" w:type="dxa"/>
            <w:vMerge w:val="continue"/>
            <w:tcBorders>
              <w:left w:val="single" w:color="000000" w:sz="4" w:space="0"/>
              <w:right w:val="single" w:color="000000" w:sz="4" w:space="0"/>
            </w:tcBorders>
            <w:vAlign w:val="center"/>
          </w:tcPr>
          <w:p w14:paraId="7AC1A39D">
            <w:pPr>
              <w:spacing w:line="264" w:lineRule="auto"/>
              <w:jc w:val="center"/>
              <w:rPr>
                <w:rFonts w:asciiTheme="minorEastAsia" w:hAnsiTheme="minorEastAsia" w:eastAsiaTheme="minorEastAsia"/>
                <w:color w:val="000000"/>
                <w:sz w:val="18"/>
                <w:szCs w:val="18"/>
              </w:rPr>
            </w:pPr>
          </w:p>
        </w:tc>
        <w:tc>
          <w:tcPr>
            <w:tcW w:w="1455" w:type="dxa"/>
            <w:tcBorders>
              <w:top w:val="single" w:color="000000" w:sz="4" w:space="0"/>
              <w:left w:val="single" w:color="000000" w:sz="4" w:space="0"/>
              <w:bottom w:val="single" w:color="000000" w:sz="4" w:space="0"/>
              <w:right w:val="single" w:color="000000" w:sz="4" w:space="0"/>
            </w:tcBorders>
            <w:vAlign w:val="center"/>
          </w:tcPr>
          <w:p w14:paraId="3EE4C468">
            <w:pPr>
              <w:spacing w:line="264" w:lineRule="auto"/>
              <w:jc w:val="center"/>
              <w:rPr>
                <w:rFonts w:asciiTheme="minorEastAsia" w:hAnsiTheme="minorEastAsia" w:eastAsiaTheme="minorEastAsia"/>
                <w:color w:val="000000"/>
                <w:sz w:val="18"/>
                <w:szCs w:val="18"/>
                <w:lang w:eastAsia="zh-CN"/>
              </w:rPr>
            </w:pPr>
          </w:p>
        </w:tc>
      </w:tr>
      <w:tr w14:paraId="1782A7AB">
        <w:tblPrEx>
          <w:tblCellMar>
            <w:top w:w="15" w:type="dxa"/>
            <w:left w:w="15" w:type="dxa"/>
            <w:bottom w:w="15" w:type="dxa"/>
            <w:right w:w="15" w:type="dxa"/>
          </w:tblCellMar>
        </w:tblPrEx>
        <w:trPr>
          <w:trHeight w:val="429" w:hRule="atLeast"/>
        </w:trPr>
        <w:tc>
          <w:tcPr>
            <w:tcW w:w="1701" w:type="dxa"/>
            <w:vMerge w:val="continue"/>
            <w:tcBorders>
              <w:left w:val="single" w:color="auto" w:sz="4" w:space="0"/>
              <w:right w:val="single" w:color="auto" w:sz="4" w:space="0"/>
            </w:tcBorders>
            <w:shd w:val="clear" w:color="auto" w:fill="auto"/>
            <w:vAlign w:val="center"/>
          </w:tcPr>
          <w:p w14:paraId="7DDDD241">
            <w:pPr>
              <w:widowControl/>
              <w:autoSpaceDE/>
              <w:autoSpaceDN/>
              <w:spacing w:line="264" w:lineRule="auto"/>
              <w:jc w:val="center"/>
              <w:rPr>
                <w:rFonts w:hint="eastAsia" w:cs="Arial" w:asciiTheme="minorEastAsia" w:hAnsiTheme="minorEastAsia" w:eastAsiaTheme="minorEastAsia"/>
                <w:sz w:val="18"/>
                <w:szCs w:val="20"/>
                <w:lang w:eastAsia="zh-CN"/>
              </w:rPr>
            </w:pP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226ACD5E">
            <w:pPr>
              <w:widowControl/>
              <w:autoSpaceDE/>
              <w:autoSpaceDN/>
              <w:spacing w:line="264" w:lineRule="auto"/>
              <w:jc w:val="center"/>
              <w:rPr>
                <w:rFonts w:hint="eastAsia" w:ascii="Arial" w:hAnsi="Arial" w:cs="Arial"/>
                <w:sz w:val="20"/>
                <w:szCs w:val="20"/>
                <w:lang w:eastAsia="zh-CN"/>
              </w:rPr>
            </w:pPr>
            <w:r>
              <w:rPr>
                <w:rFonts w:hint="eastAsia" w:ascii="Arial" w:hAnsi="Arial" w:cs="Arial"/>
                <w:sz w:val="20"/>
                <w:szCs w:val="20"/>
                <w:lang w:val="en-US" w:eastAsia="zh-CN"/>
              </w:rPr>
              <w:t>报牌费</w:t>
            </w:r>
          </w:p>
        </w:tc>
        <w:tc>
          <w:tcPr>
            <w:tcW w:w="854" w:type="dxa"/>
            <w:vMerge w:val="continue"/>
            <w:tcBorders>
              <w:left w:val="single" w:color="auto" w:sz="4" w:space="0"/>
              <w:right w:val="single" w:color="auto" w:sz="4" w:space="0"/>
            </w:tcBorders>
            <w:shd w:val="clear" w:color="auto" w:fill="auto"/>
            <w:vAlign w:val="center"/>
          </w:tcPr>
          <w:p w14:paraId="5F1B1B59">
            <w:pPr>
              <w:spacing w:line="264" w:lineRule="auto"/>
              <w:jc w:val="center"/>
              <w:rPr>
                <w:rFonts w:ascii="Arial" w:hAnsi="Arial" w:cs="Arial"/>
                <w:sz w:val="20"/>
                <w:szCs w:val="20"/>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1FE2">
            <w:pPr>
              <w:spacing w:line="264" w:lineRule="auto"/>
              <w:jc w:val="center"/>
              <w:rPr>
                <w:rFonts w:asciiTheme="minorEastAsia" w:hAnsiTheme="minorEastAsia" w:eastAsiaTheme="minorEastAsia"/>
                <w:color w:val="000000"/>
                <w:sz w:val="18"/>
                <w:szCs w:val="18"/>
              </w:rPr>
            </w:pPr>
          </w:p>
        </w:tc>
        <w:tc>
          <w:tcPr>
            <w:tcW w:w="1335" w:type="dxa"/>
            <w:vMerge w:val="continue"/>
            <w:tcBorders>
              <w:left w:val="single" w:color="000000" w:sz="4" w:space="0"/>
              <w:right w:val="single" w:color="000000" w:sz="4" w:space="0"/>
            </w:tcBorders>
            <w:vAlign w:val="center"/>
          </w:tcPr>
          <w:p w14:paraId="2C570688">
            <w:pPr>
              <w:spacing w:line="264" w:lineRule="auto"/>
              <w:jc w:val="center"/>
              <w:rPr>
                <w:rFonts w:asciiTheme="minorEastAsia" w:hAnsiTheme="minorEastAsia" w:eastAsiaTheme="minorEastAsia"/>
                <w:color w:val="000000"/>
                <w:sz w:val="18"/>
                <w:szCs w:val="18"/>
              </w:rPr>
            </w:pPr>
          </w:p>
        </w:tc>
        <w:tc>
          <w:tcPr>
            <w:tcW w:w="1455" w:type="dxa"/>
            <w:tcBorders>
              <w:top w:val="single" w:color="000000" w:sz="4" w:space="0"/>
              <w:left w:val="single" w:color="000000" w:sz="4" w:space="0"/>
              <w:bottom w:val="single" w:color="000000" w:sz="4" w:space="0"/>
              <w:right w:val="single" w:color="000000" w:sz="4" w:space="0"/>
            </w:tcBorders>
            <w:vAlign w:val="center"/>
          </w:tcPr>
          <w:p w14:paraId="718F19EA">
            <w:pPr>
              <w:spacing w:line="264" w:lineRule="auto"/>
              <w:jc w:val="center"/>
              <w:rPr>
                <w:rFonts w:asciiTheme="minorEastAsia" w:hAnsiTheme="minorEastAsia" w:eastAsiaTheme="minorEastAsia"/>
                <w:color w:val="000000"/>
                <w:sz w:val="18"/>
                <w:szCs w:val="18"/>
                <w:lang w:eastAsia="zh-CN"/>
              </w:rPr>
            </w:pPr>
          </w:p>
        </w:tc>
      </w:tr>
      <w:tr w14:paraId="5AB83012">
        <w:tblPrEx>
          <w:tblCellMar>
            <w:top w:w="15" w:type="dxa"/>
            <w:left w:w="15" w:type="dxa"/>
            <w:bottom w:w="15" w:type="dxa"/>
            <w:right w:w="15" w:type="dxa"/>
          </w:tblCellMar>
        </w:tblPrEx>
        <w:trPr>
          <w:trHeight w:val="429" w:hRule="atLeast"/>
        </w:trPr>
        <w:tc>
          <w:tcPr>
            <w:tcW w:w="1701" w:type="dxa"/>
            <w:vMerge w:val="continue"/>
            <w:tcBorders>
              <w:left w:val="single" w:color="auto" w:sz="4" w:space="0"/>
              <w:right w:val="single" w:color="auto" w:sz="4" w:space="0"/>
            </w:tcBorders>
            <w:shd w:val="clear" w:color="auto" w:fill="auto"/>
            <w:vAlign w:val="center"/>
          </w:tcPr>
          <w:p w14:paraId="6E452759">
            <w:pPr>
              <w:widowControl/>
              <w:autoSpaceDE/>
              <w:autoSpaceDN/>
              <w:spacing w:line="264" w:lineRule="auto"/>
              <w:jc w:val="center"/>
              <w:rPr>
                <w:rFonts w:cs="Arial" w:asciiTheme="minorEastAsia" w:hAnsiTheme="minorEastAsia" w:eastAsiaTheme="minorEastAsia"/>
                <w:sz w:val="18"/>
                <w:szCs w:val="20"/>
                <w:lang w:eastAsia="zh-CN"/>
              </w:rPr>
            </w:pP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3D7853C1">
            <w:pPr>
              <w:widowControl/>
              <w:autoSpaceDE/>
              <w:autoSpaceDN/>
              <w:spacing w:line="264" w:lineRule="auto"/>
              <w:jc w:val="center"/>
              <w:rPr>
                <w:rFonts w:hint="default" w:ascii="Arial" w:hAnsi="Arial" w:cs="Arial"/>
                <w:sz w:val="20"/>
                <w:szCs w:val="20"/>
                <w:lang w:val="en-US" w:eastAsia="zh-CN"/>
              </w:rPr>
            </w:pPr>
            <w:r>
              <w:rPr>
                <w:rFonts w:hint="eastAsia" w:ascii="Arial" w:hAnsi="Arial" w:cs="Arial"/>
                <w:sz w:val="20"/>
                <w:szCs w:val="20"/>
                <w:lang w:val="en-US" w:eastAsia="zh-CN"/>
              </w:rPr>
              <w:t>充电桩（含安装、电线等所有费用）</w:t>
            </w:r>
          </w:p>
        </w:tc>
        <w:tc>
          <w:tcPr>
            <w:tcW w:w="854" w:type="dxa"/>
            <w:vMerge w:val="continue"/>
            <w:tcBorders>
              <w:left w:val="single" w:color="auto" w:sz="4" w:space="0"/>
              <w:bottom w:val="single" w:color="auto" w:sz="4" w:space="0"/>
              <w:right w:val="single" w:color="auto" w:sz="4" w:space="0"/>
            </w:tcBorders>
            <w:shd w:val="clear" w:color="auto" w:fill="auto"/>
            <w:vAlign w:val="center"/>
          </w:tcPr>
          <w:p w14:paraId="4EFE8E0D">
            <w:pPr>
              <w:spacing w:line="264" w:lineRule="auto"/>
              <w:jc w:val="center"/>
              <w:rPr>
                <w:rFonts w:ascii="Arial" w:hAnsi="Arial" w:cs="Arial"/>
                <w:sz w:val="20"/>
                <w:szCs w:val="20"/>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E65F">
            <w:pPr>
              <w:spacing w:line="264" w:lineRule="auto"/>
              <w:jc w:val="center"/>
              <w:rPr>
                <w:rFonts w:asciiTheme="minorEastAsia" w:hAnsiTheme="minorEastAsia" w:eastAsiaTheme="minorEastAsia"/>
                <w:color w:val="000000"/>
                <w:sz w:val="18"/>
                <w:szCs w:val="18"/>
              </w:rPr>
            </w:pPr>
          </w:p>
        </w:tc>
        <w:tc>
          <w:tcPr>
            <w:tcW w:w="1335" w:type="dxa"/>
            <w:vMerge w:val="continue"/>
            <w:tcBorders>
              <w:left w:val="single" w:color="000000" w:sz="4" w:space="0"/>
              <w:right w:val="single" w:color="000000" w:sz="4" w:space="0"/>
            </w:tcBorders>
            <w:vAlign w:val="center"/>
          </w:tcPr>
          <w:p w14:paraId="6358E969">
            <w:pPr>
              <w:spacing w:line="264" w:lineRule="auto"/>
              <w:jc w:val="center"/>
              <w:rPr>
                <w:rFonts w:asciiTheme="minorEastAsia" w:hAnsiTheme="minorEastAsia" w:eastAsiaTheme="minorEastAsia"/>
                <w:color w:val="000000"/>
                <w:sz w:val="18"/>
                <w:szCs w:val="18"/>
              </w:rPr>
            </w:pPr>
          </w:p>
        </w:tc>
        <w:tc>
          <w:tcPr>
            <w:tcW w:w="1455" w:type="dxa"/>
            <w:tcBorders>
              <w:top w:val="single" w:color="000000" w:sz="4" w:space="0"/>
              <w:left w:val="single" w:color="000000" w:sz="4" w:space="0"/>
              <w:bottom w:val="single" w:color="000000" w:sz="4" w:space="0"/>
              <w:right w:val="single" w:color="000000" w:sz="4" w:space="0"/>
            </w:tcBorders>
            <w:vAlign w:val="center"/>
          </w:tcPr>
          <w:p w14:paraId="1FAC3F9A">
            <w:pPr>
              <w:spacing w:line="264" w:lineRule="auto"/>
              <w:jc w:val="center"/>
              <w:rPr>
                <w:rFonts w:hint="default" w:asciiTheme="minorEastAsia" w:hAnsiTheme="minorEastAsia" w:eastAsiaTheme="minorEastAsia"/>
                <w:color w:val="000000"/>
                <w:sz w:val="18"/>
                <w:szCs w:val="18"/>
                <w:lang w:val="en-US" w:eastAsia="zh-CN"/>
              </w:rPr>
            </w:pPr>
          </w:p>
        </w:tc>
      </w:tr>
      <w:tr w14:paraId="54FF86C2">
        <w:tblPrEx>
          <w:tblCellMar>
            <w:top w:w="15" w:type="dxa"/>
            <w:left w:w="15" w:type="dxa"/>
            <w:bottom w:w="15" w:type="dxa"/>
            <w:right w:w="15" w:type="dxa"/>
          </w:tblCellMar>
        </w:tblPrEx>
        <w:trPr>
          <w:trHeight w:val="554" w:hRule="atLeast"/>
        </w:trPr>
        <w:tc>
          <w:tcPr>
            <w:tcW w:w="1701" w:type="dxa"/>
            <w:tcBorders>
              <w:top w:val="single" w:color="auto" w:sz="4" w:space="0"/>
              <w:left w:val="single" w:color="auto" w:sz="4" w:space="0"/>
              <w:bottom w:val="single" w:color="auto" w:sz="4" w:space="0"/>
              <w:right w:val="single" w:color="000000" w:sz="4" w:space="0"/>
            </w:tcBorders>
            <w:shd w:val="clear" w:color="auto" w:fill="auto"/>
            <w:vAlign w:val="center"/>
          </w:tcPr>
          <w:p w14:paraId="6FE9EA15">
            <w:pPr>
              <w:spacing w:line="264" w:lineRule="auto"/>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含税总价</w:t>
            </w:r>
          </w:p>
        </w:tc>
        <w:tc>
          <w:tcPr>
            <w:tcW w:w="76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871ED5">
            <w:pPr>
              <w:spacing w:line="264" w:lineRule="auto"/>
              <w:jc w:val="both"/>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val="en-US" w:eastAsia="zh-CN"/>
              </w:rPr>
              <w:t xml:space="preserve"> </w:t>
            </w:r>
          </w:p>
        </w:tc>
      </w:tr>
    </w:tbl>
    <w:p w14:paraId="65D3F1E4">
      <w:pPr>
        <w:pStyle w:val="19"/>
        <w:jc w:val="center"/>
        <w:rPr>
          <w:rFonts w:hint="eastAsia"/>
          <w:b/>
          <w:sz w:val="32"/>
          <w:szCs w:val="32"/>
          <w:lang w:eastAsia="zh-CN"/>
        </w:rPr>
      </w:pPr>
    </w:p>
    <w:p w14:paraId="3BE4A440">
      <w:pPr>
        <w:pStyle w:val="19"/>
        <w:jc w:val="center"/>
        <w:rPr>
          <w:rFonts w:hint="eastAsia"/>
          <w:b/>
          <w:sz w:val="32"/>
          <w:szCs w:val="32"/>
          <w:lang w:eastAsia="zh-CN"/>
        </w:rPr>
      </w:pPr>
    </w:p>
    <w:p w14:paraId="4D7E0E14">
      <w:pPr>
        <w:pStyle w:val="19"/>
        <w:jc w:val="center"/>
        <w:rPr>
          <w:rFonts w:hint="eastAsia"/>
          <w:b/>
          <w:sz w:val="32"/>
          <w:szCs w:val="32"/>
          <w:lang w:eastAsia="zh-CN"/>
        </w:rPr>
      </w:pPr>
    </w:p>
    <w:p w14:paraId="77EF0581">
      <w:pPr>
        <w:pStyle w:val="19"/>
        <w:rPr>
          <w:rFonts w:hint="eastAsia" w:ascii="仿宋" w:hAnsi="仿宋" w:eastAsia="仿宋"/>
          <w:b/>
          <w:bCs/>
          <w:lang w:eastAsia="zh-CN"/>
        </w:rPr>
      </w:pPr>
    </w:p>
    <w:p w14:paraId="27B329D0">
      <w:pPr>
        <w:pStyle w:val="19"/>
        <w:rPr>
          <w:rFonts w:hint="eastAsia" w:ascii="仿宋" w:hAnsi="仿宋" w:eastAsia="仿宋"/>
          <w:b/>
          <w:bCs/>
          <w:lang w:eastAsia="zh-CN"/>
        </w:rPr>
      </w:pPr>
    </w:p>
    <w:p w14:paraId="1F57E575">
      <w:pPr>
        <w:pStyle w:val="19"/>
        <w:rPr>
          <w:rFonts w:hint="eastAsia" w:ascii="仿宋" w:hAnsi="仿宋" w:eastAsia="仿宋"/>
          <w:b/>
          <w:bCs/>
          <w:lang w:eastAsia="zh-CN"/>
        </w:rPr>
      </w:pPr>
    </w:p>
    <w:p w14:paraId="0A0A8BA1">
      <w:pPr>
        <w:pStyle w:val="19"/>
        <w:rPr>
          <w:rFonts w:hint="eastAsia" w:ascii="仿宋" w:hAnsi="仿宋" w:eastAsia="仿宋"/>
          <w:b/>
          <w:bCs/>
          <w:lang w:eastAsia="zh-CN"/>
        </w:rPr>
      </w:pPr>
    </w:p>
    <w:p w14:paraId="519B55F6">
      <w:pPr>
        <w:spacing w:line="560" w:lineRule="exact"/>
        <w:rPr>
          <w:rFonts w:hint="eastAsia"/>
          <w:bCs/>
          <w:lang w:eastAsia="zh-CN"/>
        </w:rPr>
      </w:pPr>
    </w:p>
    <w:p w14:paraId="4F3D9A3B">
      <w:pPr>
        <w:spacing w:line="560" w:lineRule="exact"/>
        <w:rPr>
          <w:rFonts w:hint="eastAsia"/>
          <w:bCs/>
          <w:lang w:eastAsia="zh-CN"/>
        </w:rPr>
      </w:pPr>
    </w:p>
    <w:p w14:paraId="09529770">
      <w:pPr>
        <w:spacing w:line="560" w:lineRule="exact"/>
        <w:rPr>
          <w:rFonts w:hint="eastAsia"/>
          <w:bCs/>
          <w:lang w:eastAsia="zh-CN"/>
        </w:rPr>
      </w:pPr>
    </w:p>
    <w:p w14:paraId="40885A89">
      <w:pPr>
        <w:pStyle w:val="54"/>
        <w:rPr>
          <w:rFonts w:hint="eastAsia" w:ascii="仿宋" w:hAnsi="仿宋" w:eastAsia="仿宋"/>
        </w:rPr>
      </w:pPr>
    </w:p>
    <w:p w14:paraId="4A06121C">
      <w:pPr>
        <w:pStyle w:val="54"/>
        <w:rPr>
          <w:rFonts w:hint="eastAsia" w:ascii="仿宋" w:hAnsi="仿宋" w:eastAsia="仿宋"/>
        </w:rPr>
      </w:pPr>
    </w:p>
    <w:p w14:paraId="65F19BEE">
      <w:pPr>
        <w:widowControl/>
        <w:autoSpaceDE/>
        <w:autoSpaceDN/>
        <w:rPr>
          <w:rFonts w:hint="eastAsia" w:ascii="仿宋" w:hAnsi="仿宋" w:eastAsia="仿宋" w:cs="Times New Roman"/>
          <w:b/>
          <w:sz w:val="36"/>
          <w:szCs w:val="36"/>
          <w:lang w:eastAsia="zh-CN"/>
        </w:rPr>
      </w:pPr>
      <w:r>
        <w:rPr>
          <w:rFonts w:ascii="仿宋" w:hAnsi="仿宋" w:eastAsia="仿宋"/>
          <w:b/>
          <w:sz w:val="36"/>
          <w:szCs w:val="36"/>
          <w:lang w:eastAsia="zh-CN"/>
        </w:rPr>
        <w:br w:type="page"/>
      </w: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4"/>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9BF4C4"/>
    <w:multiLevelType w:val="singleLevel"/>
    <w:tmpl w:val="0B9BF4C4"/>
    <w:lvl w:ilvl="0" w:tentative="0">
      <w:start w:val="1"/>
      <w:numFmt w:val="decimal"/>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1E97FD5"/>
    <w:multiLevelType w:val="singleLevel"/>
    <w:tmpl w:val="31E97FD5"/>
    <w:lvl w:ilvl="0" w:tentative="0">
      <w:start w:val="9"/>
      <w:numFmt w:val="chineseCounting"/>
      <w:suff w:val="space"/>
      <w:lvlText w:val="第%1章"/>
      <w:lvlJc w:val="left"/>
      <w:rPr>
        <w:rFonts w:hint="eastAsia"/>
      </w:r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7794B39"/>
    <w:multiLevelType w:val="singleLevel"/>
    <w:tmpl w:val="77794B39"/>
    <w:lvl w:ilvl="0" w:tentative="0">
      <w:start w:val="2"/>
      <w:numFmt w:val="decimal"/>
      <w:suff w:val="space"/>
      <w:lvlText w:val="%1."/>
      <w:lvlJc w:val="left"/>
    </w:lvl>
  </w:abstractNum>
  <w:num w:numId="1">
    <w:abstractNumId w:val="6"/>
  </w:num>
  <w:num w:numId="2">
    <w:abstractNumId w:val="0"/>
  </w:num>
  <w:num w:numId="3">
    <w:abstractNumId w:val="2"/>
  </w:num>
  <w:num w:numId="4">
    <w:abstractNumId w:val="3"/>
  </w:num>
  <w:num w:numId="5">
    <w:abstractNumId w:val="5"/>
  </w:num>
  <w:num w:numId="6">
    <w:abstractNumId w:val="7"/>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5469D"/>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B11A4"/>
    <w:rsid w:val="326D0948"/>
    <w:rsid w:val="329D3153"/>
    <w:rsid w:val="32C928A1"/>
    <w:rsid w:val="34CE14C6"/>
    <w:rsid w:val="34D84CEC"/>
    <w:rsid w:val="361F0C57"/>
    <w:rsid w:val="36EC56C3"/>
    <w:rsid w:val="37AF5AB7"/>
    <w:rsid w:val="37C6307B"/>
    <w:rsid w:val="37D12DE1"/>
    <w:rsid w:val="39CE7565"/>
    <w:rsid w:val="3B1C3371"/>
    <w:rsid w:val="3BFB0D78"/>
    <w:rsid w:val="3CC23198"/>
    <w:rsid w:val="3CC60243"/>
    <w:rsid w:val="3DDF4815"/>
    <w:rsid w:val="3FE669E5"/>
    <w:rsid w:val="40DA4C1A"/>
    <w:rsid w:val="4157169F"/>
    <w:rsid w:val="417E204F"/>
    <w:rsid w:val="431D3DAA"/>
    <w:rsid w:val="432B3440"/>
    <w:rsid w:val="45702119"/>
    <w:rsid w:val="45E22CF5"/>
    <w:rsid w:val="47B637B0"/>
    <w:rsid w:val="47E40B80"/>
    <w:rsid w:val="49762AE7"/>
    <w:rsid w:val="4DC35387"/>
    <w:rsid w:val="4E1458CD"/>
    <w:rsid w:val="4E293FE6"/>
    <w:rsid w:val="50F63E28"/>
    <w:rsid w:val="519C64C0"/>
    <w:rsid w:val="5221007F"/>
    <w:rsid w:val="52926B5A"/>
    <w:rsid w:val="53D0583A"/>
    <w:rsid w:val="545C5E51"/>
    <w:rsid w:val="54681E97"/>
    <w:rsid w:val="5486175B"/>
    <w:rsid w:val="55C32554"/>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AD037C"/>
    <w:rsid w:val="6FE03A94"/>
    <w:rsid w:val="70401AF2"/>
    <w:rsid w:val="70A616C8"/>
    <w:rsid w:val="70C90151"/>
    <w:rsid w:val="72B33057"/>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4518</Words>
  <Characters>4820</Characters>
  <Lines>77</Lines>
  <Paragraphs>21</Paragraphs>
  <TotalTime>160</TotalTime>
  <ScaleCrop>false</ScaleCrop>
  <LinksUpToDate>false</LinksUpToDate>
  <CharactersWithSpaces>5071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魏彦苹</cp:lastModifiedBy>
  <dcterms:modified xsi:type="dcterms:W3CDTF">2026-01-20T05:51:30Z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611CA501D6374935BC74EB9782B152EE</vt:lpwstr>
  </property>
  <property fmtid="{D5CDD505-2E9C-101B-9397-08002B2CF9AE}" pid="7" name="KSOTemplateDocerSaveRecord">
    <vt:lpwstr>eyJoZGlkIjoiNTIzZmM3Yjk0NDRhZmEzNTM3ZjRmMTQ0NjhmYjA5YjgiLCJ1c2VySWQiOiIxNTY4NzkzMDk4In0=</vt:lpwstr>
  </property>
</Properties>
</file>