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E3FD1F">
      <w:pPr>
        <w:pStyle w:val="6"/>
        <w:jc w:val="center"/>
        <w:rPr>
          <w:rFonts w:hint="eastAsia" w:ascii="宋体" w:hAnsi="宋体" w:eastAsia="宋体" w:cs="宋体"/>
          <w:b/>
          <w:sz w:val="52"/>
          <w:szCs w:val="22"/>
          <w:u w:val="single"/>
          <w:lang w:eastAsia="zh-CN"/>
        </w:rPr>
      </w:pPr>
      <w:r>
        <w:rPr>
          <w:rFonts w:hint="eastAsia" w:ascii="宋体" w:hAnsi="宋体" w:eastAsia="宋体" w:cs="宋体"/>
          <w:b/>
          <w:sz w:val="52"/>
          <w:szCs w:val="22"/>
          <w:u w:val="single"/>
          <w:lang w:eastAsia="zh-CN"/>
        </w:rPr>
        <w:t>福建福海创石油化工有限公司</w:t>
      </w:r>
    </w:p>
    <w:p w14:paraId="1A3FD662">
      <w:pPr>
        <w:pStyle w:val="6"/>
        <w:jc w:val="center"/>
        <w:rPr>
          <w:rFonts w:hint="eastAsia" w:ascii="宋体" w:hAnsi="宋体" w:eastAsia="宋体" w:cs="宋体"/>
          <w:spacing w:val="20"/>
          <w:sz w:val="52"/>
          <w:highlight w:val="none"/>
          <w:lang w:val="en-US" w:eastAsia="zh-CN"/>
        </w:rPr>
      </w:pPr>
      <w:r>
        <w:rPr>
          <w:rFonts w:hint="eastAsia" w:ascii="宋体" w:hAnsi="宋体" w:eastAsia="宋体" w:cs="宋体"/>
          <w:b/>
          <w:color w:val="FF0000"/>
          <w:sz w:val="48"/>
          <w:szCs w:val="48"/>
          <w:u w:val="single"/>
          <w:lang w:val="en-US" w:eastAsia="zh-CN"/>
        </w:rPr>
        <w:t>机电离线监测设备采购与安装</w:t>
      </w:r>
    </w:p>
    <w:p w14:paraId="7115F042">
      <w:pPr>
        <w:pStyle w:val="6"/>
        <w:jc w:val="center"/>
        <w:rPr>
          <w:rFonts w:hint="eastAsia" w:ascii="宋体" w:hAnsi="宋体" w:eastAsia="宋体" w:cs="宋体"/>
          <w:b/>
          <w:color w:val="FF0000"/>
          <w:sz w:val="48"/>
          <w:szCs w:val="48"/>
          <w:u w:val="single"/>
          <w:lang w:eastAsia="zh-CN"/>
        </w:rPr>
      </w:pPr>
      <w:r>
        <w:rPr>
          <w:rFonts w:hint="eastAsia" w:ascii="宋体" w:hAnsi="宋体" w:eastAsia="宋体" w:cs="宋体"/>
          <w:b/>
          <w:color w:val="FF0000"/>
          <w:sz w:val="48"/>
          <w:szCs w:val="48"/>
          <w:u w:val="single"/>
          <w:lang w:eastAsia="zh-CN"/>
        </w:rPr>
        <w:t>项目</w:t>
      </w:r>
    </w:p>
    <w:p w14:paraId="157BEC94">
      <w:pPr>
        <w:pStyle w:val="21"/>
        <w:jc w:val="center"/>
        <w:rPr>
          <w:rFonts w:hint="eastAsia" w:ascii="宋体" w:hAnsi="宋体" w:eastAsia="宋体" w:cs="宋体"/>
          <w:b/>
          <w:color w:val="FF0000"/>
          <w:sz w:val="72"/>
          <w:szCs w:val="72"/>
          <w:u w:val="single"/>
          <w:lang w:eastAsia="zh-CN"/>
        </w:rPr>
      </w:pPr>
      <w:r>
        <w:rPr>
          <w:rFonts w:hint="eastAsia" w:ascii="宋体" w:hAnsi="宋体" w:eastAsia="宋体" w:cs="宋体"/>
          <w:b/>
          <w:color w:val="FF0000"/>
          <w:sz w:val="72"/>
          <w:szCs w:val="72"/>
          <w:u w:val="single"/>
          <w:lang w:eastAsia="zh-CN"/>
        </w:rPr>
        <w:t>询比文件</w:t>
      </w:r>
    </w:p>
    <w:p w14:paraId="3E0186C7">
      <w:pPr>
        <w:pStyle w:val="21"/>
        <w:jc w:val="center"/>
        <w:rPr>
          <w:rFonts w:hint="eastAsia" w:ascii="宋体" w:hAnsi="宋体" w:eastAsia="宋体" w:cs="宋体"/>
          <w:sz w:val="28"/>
          <w:szCs w:val="28"/>
        </w:rPr>
      </w:pPr>
      <w:r>
        <w:rPr>
          <w:rFonts w:hint="eastAsia" w:ascii="宋体" w:hAnsi="宋体" w:eastAsia="宋体" w:cs="宋体"/>
          <w:color w:val="FF0000"/>
          <w:sz w:val="28"/>
          <w:szCs w:val="28"/>
        </w:rPr>
        <w:t>（文件编号：</w:t>
      </w:r>
      <w:r>
        <w:rPr>
          <w:rFonts w:hint="eastAsia" w:hAnsi="宋体" w:cs="宋体"/>
          <w:color w:val="FF0000"/>
          <w:sz w:val="28"/>
          <w:szCs w:val="28"/>
          <w:lang w:eastAsia="zh-CN"/>
        </w:rPr>
        <w:t>QGD-3120-251031-0345</w:t>
      </w:r>
      <w:r>
        <w:rPr>
          <w:rFonts w:hint="eastAsia" w:ascii="宋体" w:hAnsi="宋体" w:eastAsia="宋体" w:cs="宋体"/>
          <w:sz w:val="28"/>
          <w:szCs w:val="28"/>
        </w:rPr>
        <w:t xml:space="preserve"> ）</w:t>
      </w:r>
    </w:p>
    <w:p w14:paraId="17FE584D">
      <w:pPr>
        <w:pStyle w:val="6"/>
        <w:rPr>
          <w:rFonts w:hint="eastAsia" w:ascii="宋体" w:hAnsi="宋体" w:eastAsia="宋体" w:cs="宋体"/>
          <w:b/>
          <w:sz w:val="94"/>
          <w:lang w:eastAsia="zh-CN"/>
        </w:rPr>
      </w:pPr>
    </w:p>
    <w:p w14:paraId="5A26101B">
      <w:pPr>
        <w:pStyle w:val="6"/>
        <w:rPr>
          <w:rFonts w:hint="eastAsia" w:ascii="宋体" w:hAnsi="宋体" w:eastAsia="宋体" w:cs="宋体"/>
          <w:b/>
          <w:sz w:val="94"/>
          <w:lang w:eastAsia="zh-CN"/>
        </w:rPr>
      </w:pPr>
    </w:p>
    <w:p w14:paraId="4D364419">
      <w:pPr>
        <w:pStyle w:val="6"/>
        <w:rPr>
          <w:rFonts w:hint="eastAsia" w:ascii="宋体" w:hAnsi="宋体" w:eastAsia="宋体" w:cs="宋体"/>
          <w:b/>
          <w:sz w:val="32"/>
          <w:szCs w:val="32"/>
          <w:lang w:eastAsia="zh-CN"/>
        </w:rPr>
      </w:pPr>
    </w:p>
    <w:p w14:paraId="004F3CCF">
      <w:pPr>
        <w:pStyle w:val="6"/>
        <w:rPr>
          <w:rFonts w:hint="eastAsia" w:ascii="宋体" w:hAnsi="宋体" w:eastAsia="宋体" w:cs="宋体"/>
          <w:b/>
          <w:sz w:val="32"/>
          <w:szCs w:val="32"/>
          <w:lang w:eastAsia="zh-CN"/>
        </w:rPr>
      </w:pPr>
    </w:p>
    <w:p w14:paraId="28C5BEAD">
      <w:pPr>
        <w:pStyle w:val="6"/>
        <w:rPr>
          <w:rFonts w:hint="eastAsia" w:ascii="宋体" w:hAnsi="宋体" w:eastAsia="宋体" w:cs="宋体"/>
          <w:b/>
          <w:sz w:val="32"/>
          <w:szCs w:val="32"/>
          <w:lang w:eastAsia="zh-CN"/>
        </w:rPr>
      </w:pPr>
    </w:p>
    <w:p w14:paraId="398573E0">
      <w:pPr>
        <w:pStyle w:val="6"/>
        <w:rPr>
          <w:rFonts w:hint="eastAsia" w:ascii="宋体" w:hAnsi="宋体" w:eastAsia="宋体" w:cs="宋体"/>
          <w:b/>
          <w:sz w:val="32"/>
          <w:szCs w:val="32"/>
          <w:lang w:eastAsia="zh-CN"/>
        </w:rPr>
      </w:pPr>
    </w:p>
    <w:p w14:paraId="7262C469">
      <w:pPr>
        <w:pStyle w:val="6"/>
        <w:rPr>
          <w:rFonts w:hint="eastAsia" w:ascii="宋体" w:hAnsi="宋体" w:eastAsia="宋体" w:cs="宋体"/>
          <w:b/>
          <w:sz w:val="32"/>
          <w:szCs w:val="32"/>
          <w:lang w:eastAsia="zh-CN"/>
        </w:rPr>
      </w:pPr>
    </w:p>
    <w:p w14:paraId="3CF6428C">
      <w:pPr>
        <w:pStyle w:val="21"/>
        <w:jc w:val="center"/>
        <w:rPr>
          <w:rFonts w:hint="eastAsia" w:ascii="宋体" w:hAnsi="宋体" w:eastAsia="宋体" w:cs="宋体"/>
          <w:b/>
          <w:sz w:val="28"/>
          <w:szCs w:val="28"/>
        </w:rPr>
      </w:pPr>
    </w:p>
    <w:p w14:paraId="05F33D11">
      <w:pPr>
        <w:pStyle w:val="21"/>
        <w:jc w:val="center"/>
        <w:rPr>
          <w:rFonts w:hint="eastAsia" w:ascii="宋体" w:hAnsi="宋体" w:eastAsia="宋体" w:cs="宋体"/>
          <w:b/>
          <w:sz w:val="28"/>
          <w:szCs w:val="28"/>
        </w:rPr>
      </w:pPr>
    </w:p>
    <w:p w14:paraId="21DB5A8A">
      <w:pPr>
        <w:pStyle w:val="21"/>
        <w:jc w:val="center"/>
        <w:rPr>
          <w:rFonts w:hint="eastAsia" w:ascii="宋体" w:hAnsi="宋体" w:eastAsia="宋体" w:cs="宋体"/>
          <w:b/>
          <w:sz w:val="28"/>
          <w:szCs w:val="28"/>
        </w:rPr>
      </w:pPr>
    </w:p>
    <w:p w14:paraId="31D8A99D">
      <w:pPr>
        <w:pStyle w:val="21"/>
        <w:jc w:val="center"/>
        <w:rPr>
          <w:rFonts w:hint="eastAsia" w:ascii="宋体" w:hAnsi="宋体" w:eastAsia="宋体" w:cs="宋体"/>
          <w:b/>
          <w:sz w:val="28"/>
          <w:szCs w:val="28"/>
        </w:rPr>
      </w:pPr>
    </w:p>
    <w:p w14:paraId="1150F103">
      <w:pPr>
        <w:pStyle w:val="21"/>
        <w:jc w:val="center"/>
        <w:rPr>
          <w:rFonts w:hint="eastAsia" w:ascii="宋体" w:hAnsi="宋体" w:eastAsia="宋体" w:cs="宋体"/>
          <w:b/>
          <w:sz w:val="28"/>
          <w:szCs w:val="28"/>
        </w:rPr>
      </w:pPr>
    </w:p>
    <w:p w14:paraId="46E218A1">
      <w:pPr>
        <w:pStyle w:val="21"/>
        <w:jc w:val="center"/>
        <w:rPr>
          <w:rFonts w:hint="eastAsia" w:ascii="宋体" w:hAnsi="宋体" w:eastAsia="宋体" w:cs="宋体"/>
          <w:b/>
          <w:sz w:val="28"/>
          <w:szCs w:val="28"/>
        </w:rPr>
      </w:pPr>
    </w:p>
    <w:p w14:paraId="3E1905F6">
      <w:pPr>
        <w:pStyle w:val="21"/>
        <w:jc w:val="center"/>
        <w:rPr>
          <w:rFonts w:hint="eastAsia" w:ascii="宋体" w:hAnsi="宋体" w:eastAsia="宋体" w:cs="宋体"/>
          <w:b/>
          <w:sz w:val="28"/>
          <w:szCs w:val="28"/>
        </w:rPr>
      </w:pPr>
    </w:p>
    <w:p w14:paraId="05A40631">
      <w:pPr>
        <w:pStyle w:val="21"/>
        <w:jc w:val="center"/>
        <w:rPr>
          <w:rFonts w:hint="eastAsia" w:ascii="宋体" w:hAnsi="宋体" w:eastAsia="宋体" w:cs="宋体"/>
          <w:b/>
          <w:sz w:val="28"/>
          <w:szCs w:val="28"/>
        </w:rPr>
      </w:pPr>
    </w:p>
    <w:p w14:paraId="521732B7">
      <w:pPr>
        <w:pStyle w:val="21"/>
        <w:jc w:val="center"/>
        <w:rPr>
          <w:rFonts w:hint="eastAsia" w:ascii="宋体" w:hAnsi="宋体" w:eastAsia="宋体" w:cs="宋体"/>
          <w:b/>
          <w:sz w:val="28"/>
          <w:szCs w:val="28"/>
        </w:rPr>
      </w:pPr>
    </w:p>
    <w:p w14:paraId="0D167314">
      <w:pPr>
        <w:pStyle w:val="21"/>
        <w:jc w:val="center"/>
        <w:rPr>
          <w:rFonts w:hint="eastAsia" w:ascii="宋体" w:hAnsi="宋体" w:eastAsia="宋体" w:cs="宋体"/>
          <w:b/>
          <w:sz w:val="28"/>
          <w:szCs w:val="28"/>
        </w:rPr>
      </w:pPr>
    </w:p>
    <w:p w14:paraId="03DB5B84">
      <w:pPr>
        <w:pStyle w:val="21"/>
        <w:jc w:val="center"/>
        <w:rPr>
          <w:rFonts w:hint="eastAsia" w:ascii="宋体" w:hAnsi="宋体" w:eastAsia="宋体" w:cs="宋体"/>
          <w:b/>
          <w:sz w:val="28"/>
          <w:szCs w:val="28"/>
        </w:rPr>
      </w:pPr>
      <w:r>
        <w:rPr>
          <w:rFonts w:hint="eastAsia" w:ascii="宋体" w:hAnsi="宋体" w:eastAsia="宋体" w:cs="宋体"/>
          <w:b/>
          <w:sz w:val="28"/>
          <w:szCs w:val="28"/>
        </w:rPr>
        <w:t>福建福海创石油化工有限公司编制</w:t>
      </w:r>
    </w:p>
    <w:p w14:paraId="62F6D30C">
      <w:pPr>
        <w:spacing w:line="271" w:lineRule="auto"/>
        <w:ind w:right="1889"/>
        <w:rPr>
          <w:rFonts w:hint="eastAsia" w:ascii="宋体" w:hAnsi="宋体" w:eastAsia="宋体" w:cs="宋体"/>
          <w:b/>
          <w:color w:val="FF0000"/>
          <w:w w:val="95"/>
          <w:sz w:val="32"/>
          <w:lang w:eastAsia="zh-CN"/>
        </w:rPr>
        <w:sectPr>
          <w:footerReference r:id="rId3" w:type="default"/>
          <w:pgSz w:w="11910" w:h="16840"/>
          <w:pgMar w:top="1600" w:right="1680" w:bottom="280" w:left="1680" w:header="720" w:footer="720" w:gutter="0"/>
          <w:pgNumType w:start="1"/>
          <w:cols w:space="720" w:num="1"/>
        </w:sectPr>
      </w:pPr>
      <w:r>
        <w:rPr>
          <w:rFonts w:hint="eastAsia" w:ascii="宋体" w:hAnsi="宋体" w:eastAsia="宋体" w:cs="宋体"/>
          <w:b/>
          <w:w w:val="95"/>
          <w:sz w:val="32"/>
          <w:lang w:eastAsia="zh-CN"/>
        </w:rPr>
        <w:t xml:space="preserve">                     </w:t>
      </w:r>
      <w:r>
        <w:rPr>
          <w:rFonts w:hint="eastAsia" w:ascii="宋体" w:hAnsi="宋体" w:eastAsia="宋体" w:cs="宋体"/>
          <w:b/>
          <w:color w:val="FF0000"/>
          <w:w w:val="95"/>
          <w:sz w:val="32"/>
          <w:lang w:eastAsia="zh-CN"/>
        </w:rPr>
        <w:t>二〇二五年</w:t>
      </w:r>
      <w:r>
        <w:rPr>
          <w:rFonts w:hint="eastAsia" w:cs="宋体"/>
          <w:b/>
          <w:color w:val="FF0000"/>
          <w:w w:val="95"/>
          <w:sz w:val="32"/>
          <w:lang w:val="en-US" w:eastAsia="zh-CN"/>
        </w:rPr>
        <w:t>十一</w:t>
      </w:r>
      <w:r>
        <w:rPr>
          <w:rFonts w:hint="eastAsia" w:ascii="宋体" w:hAnsi="宋体" w:eastAsia="宋体" w:cs="宋体"/>
          <w:b/>
          <w:color w:val="FF0000"/>
          <w:w w:val="95"/>
          <w:sz w:val="32"/>
          <w:lang w:eastAsia="zh-CN"/>
        </w:rPr>
        <w:t>月</w:t>
      </w:r>
    </w:p>
    <w:p w14:paraId="7A7E55BE">
      <w:pPr>
        <w:tabs>
          <w:tab w:val="left" w:pos="959"/>
        </w:tabs>
        <w:spacing w:line="395" w:lineRule="exact"/>
        <w:ind w:right="170"/>
        <w:jc w:val="center"/>
        <w:rPr>
          <w:rFonts w:hint="eastAsia" w:ascii="宋体" w:hAnsi="宋体" w:eastAsia="宋体" w:cs="宋体"/>
          <w:sz w:val="32"/>
          <w:lang w:eastAsia="zh-CN"/>
        </w:rPr>
      </w:pPr>
      <w:r>
        <w:rPr>
          <w:rFonts w:hint="eastAsia" w:ascii="宋体" w:hAnsi="宋体" w:eastAsia="宋体" w:cs="宋体"/>
          <w:sz w:val="32"/>
          <w:lang w:eastAsia="zh-CN"/>
        </w:rPr>
        <w:t>目</w:t>
      </w:r>
      <w:r>
        <w:rPr>
          <w:rFonts w:hint="eastAsia" w:ascii="宋体" w:hAnsi="宋体" w:eastAsia="宋体" w:cs="宋体"/>
          <w:sz w:val="32"/>
          <w:lang w:eastAsia="zh-CN"/>
        </w:rPr>
        <w:tab/>
      </w:r>
      <w:r>
        <w:rPr>
          <w:rFonts w:hint="eastAsia" w:ascii="宋体" w:hAnsi="宋体" w:eastAsia="宋体" w:cs="宋体"/>
          <w:sz w:val="32"/>
          <w:lang w:eastAsia="zh-CN"/>
        </w:rPr>
        <w:t>录</w:t>
      </w:r>
    </w:p>
    <w:p w14:paraId="10DD6F47">
      <w:pPr>
        <w:pStyle w:val="6"/>
        <w:rPr>
          <w:rFonts w:hint="eastAsia" w:ascii="宋体" w:hAnsi="宋体" w:eastAsia="宋体" w:cs="宋体"/>
          <w:sz w:val="20"/>
          <w:lang w:eastAsia="zh-CN"/>
        </w:rPr>
      </w:pPr>
    </w:p>
    <w:p w14:paraId="1BDB9FBE">
      <w:pPr>
        <w:pStyle w:val="6"/>
        <w:rPr>
          <w:rFonts w:hint="eastAsia" w:ascii="宋体" w:hAnsi="宋体" w:eastAsia="宋体" w:cs="宋体"/>
          <w:sz w:val="20"/>
          <w:lang w:eastAsia="zh-CN"/>
        </w:rPr>
      </w:pPr>
    </w:p>
    <w:p w14:paraId="7AB87184">
      <w:pPr>
        <w:pStyle w:val="6"/>
        <w:spacing w:before="9"/>
        <w:rPr>
          <w:rFonts w:hint="eastAsia" w:ascii="宋体" w:hAnsi="宋体" w:eastAsia="宋体" w:cs="宋体"/>
          <w:lang w:eastAsia="zh-CN"/>
        </w:rPr>
      </w:pPr>
    </w:p>
    <w:p w14:paraId="512E40C5">
      <w:pPr>
        <w:tabs>
          <w:tab w:val="left" w:pos="709"/>
        </w:tabs>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    第一章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 xml:space="preserve">询比公告     </w:t>
      </w:r>
    </w:p>
    <w:p w14:paraId="273E28EA">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第二章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询比须知</w:t>
      </w:r>
    </w:p>
    <w:p w14:paraId="0AAFA95B">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第三章  采购文件的编制</w:t>
      </w:r>
    </w:p>
    <w:p w14:paraId="772650FA">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第四章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评审规则</w:t>
      </w:r>
    </w:p>
    <w:p w14:paraId="4A97CBE5">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第五章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合同授予</w:t>
      </w:r>
    </w:p>
    <w:p w14:paraId="2EB8E3F5">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第六章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中选后相关履约要求</w:t>
      </w:r>
    </w:p>
    <w:p w14:paraId="127EA08E">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第七章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其它</w:t>
      </w:r>
    </w:p>
    <w:p w14:paraId="653ED6A6">
      <w:pPr>
        <w:tabs>
          <w:tab w:val="left" w:pos="709"/>
        </w:tabs>
        <w:spacing w:line="360" w:lineRule="auto"/>
        <w:ind w:firstLine="480" w:firstLineChars="200"/>
        <w:rPr>
          <w:rFonts w:hint="eastAsia" w:ascii="宋体" w:hAnsi="宋体" w:eastAsia="宋体" w:cs="宋体"/>
          <w:sz w:val="24"/>
          <w:szCs w:val="24"/>
          <w:lang w:eastAsia="zh-CN"/>
        </w:rPr>
      </w:pPr>
    </w:p>
    <w:p w14:paraId="5BD6024D">
      <w:pPr>
        <w:tabs>
          <w:tab w:val="left" w:pos="709"/>
        </w:tabs>
        <w:spacing w:line="360" w:lineRule="auto"/>
        <w:ind w:firstLine="480" w:firstLineChars="200"/>
        <w:rPr>
          <w:rFonts w:hint="eastAsia" w:ascii="宋体" w:hAnsi="宋体" w:eastAsia="宋体" w:cs="宋体"/>
          <w:sz w:val="24"/>
          <w:szCs w:val="24"/>
          <w:lang w:eastAsia="zh-CN"/>
        </w:rPr>
      </w:pPr>
    </w:p>
    <w:p w14:paraId="5794E277">
      <w:pPr>
        <w:tabs>
          <w:tab w:val="left" w:pos="709"/>
        </w:tabs>
        <w:spacing w:line="360" w:lineRule="auto"/>
        <w:ind w:firstLine="480" w:firstLineChars="200"/>
        <w:rPr>
          <w:rFonts w:hint="eastAsia" w:ascii="宋体" w:hAnsi="宋体" w:eastAsia="宋体" w:cs="宋体"/>
          <w:sz w:val="24"/>
          <w:szCs w:val="24"/>
          <w:lang w:eastAsia="zh-CN"/>
        </w:rPr>
      </w:pPr>
    </w:p>
    <w:p w14:paraId="0D8A1617">
      <w:pPr>
        <w:tabs>
          <w:tab w:val="left" w:pos="709"/>
        </w:tabs>
        <w:spacing w:line="360" w:lineRule="auto"/>
        <w:ind w:firstLine="480" w:firstLineChars="200"/>
        <w:rPr>
          <w:rFonts w:hint="eastAsia" w:ascii="宋体" w:hAnsi="宋体" w:eastAsia="宋体" w:cs="宋体"/>
          <w:sz w:val="24"/>
          <w:szCs w:val="24"/>
          <w:lang w:eastAsia="zh-CN"/>
        </w:rPr>
      </w:pPr>
    </w:p>
    <w:p w14:paraId="03E0045E">
      <w:pPr>
        <w:tabs>
          <w:tab w:val="left" w:pos="709"/>
        </w:tabs>
        <w:spacing w:line="360" w:lineRule="auto"/>
        <w:ind w:firstLine="480" w:firstLineChars="200"/>
        <w:rPr>
          <w:rFonts w:hint="eastAsia" w:ascii="宋体" w:hAnsi="宋体" w:eastAsia="宋体" w:cs="宋体"/>
          <w:sz w:val="24"/>
          <w:szCs w:val="24"/>
          <w:lang w:eastAsia="zh-CN"/>
        </w:rPr>
      </w:pPr>
    </w:p>
    <w:p w14:paraId="7ED80CC5">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附件一：合同条款</w:t>
      </w:r>
    </w:p>
    <w:p w14:paraId="23C9B70B">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附件二：参比文件（范本）</w:t>
      </w:r>
    </w:p>
    <w:p w14:paraId="5DD5D936">
      <w:pPr>
        <w:spacing w:line="408" w:lineRule="auto"/>
        <w:rPr>
          <w:rFonts w:hint="eastAsia" w:ascii="宋体" w:hAnsi="宋体" w:eastAsia="宋体" w:cs="宋体"/>
          <w:sz w:val="28"/>
          <w:lang w:eastAsia="zh-CN"/>
        </w:rPr>
        <w:sectPr>
          <w:footerReference r:id="rId4" w:type="default"/>
          <w:pgSz w:w="11910" w:h="16840"/>
          <w:pgMar w:top="1480" w:right="1340" w:bottom="740" w:left="1680" w:header="0" w:footer="551" w:gutter="0"/>
          <w:pgNumType w:start="1"/>
          <w:cols w:space="720" w:num="1"/>
        </w:sectPr>
      </w:pPr>
    </w:p>
    <w:p w14:paraId="20A13ABF">
      <w:pPr>
        <w:pStyle w:val="22"/>
        <w:numPr>
          <w:ilvl w:val="0"/>
          <w:numId w:val="1"/>
        </w:numPr>
        <w:tabs>
          <w:tab w:val="left" w:pos="1272"/>
        </w:tabs>
        <w:spacing w:line="355" w:lineRule="exact"/>
        <w:jc w:val="center"/>
        <w:rPr>
          <w:rFonts w:hint="eastAsia" w:ascii="宋体" w:hAnsi="宋体" w:eastAsia="宋体" w:cs="宋体"/>
          <w:b/>
          <w:w w:val="95"/>
          <w:sz w:val="32"/>
          <w:szCs w:val="32"/>
          <w:lang w:eastAsia="zh-CN"/>
        </w:rPr>
      </w:pPr>
      <w:r>
        <w:rPr>
          <w:rFonts w:hint="eastAsia" w:ascii="宋体" w:hAnsi="宋体" w:eastAsia="宋体" w:cs="宋体"/>
          <w:b/>
          <w:spacing w:val="-1"/>
          <w:w w:val="95"/>
          <w:sz w:val="32"/>
          <w:szCs w:val="32"/>
          <w:lang w:eastAsia="zh-CN"/>
        </w:rPr>
        <w:t>询比公</w:t>
      </w:r>
      <w:r>
        <w:rPr>
          <w:rFonts w:hint="eastAsia" w:ascii="宋体" w:hAnsi="宋体" w:eastAsia="宋体" w:cs="宋体"/>
          <w:b/>
          <w:w w:val="95"/>
          <w:sz w:val="32"/>
          <w:szCs w:val="32"/>
          <w:lang w:eastAsia="zh-CN"/>
        </w:rPr>
        <w:t>告</w:t>
      </w:r>
    </w:p>
    <w:p w14:paraId="67EC242F">
      <w:pPr>
        <w:pStyle w:val="21"/>
        <w:rPr>
          <w:rFonts w:hint="eastAsia" w:ascii="宋体" w:hAnsi="宋体" w:eastAsia="宋体" w:cs="宋体"/>
        </w:rPr>
      </w:pPr>
    </w:p>
    <w:p w14:paraId="3268464A">
      <w:pPr>
        <w:jc w:val="center"/>
        <w:rPr>
          <w:rFonts w:hint="eastAsia" w:ascii="宋体" w:hAnsi="宋体" w:eastAsia="宋体" w:cs="宋体"/>
          <w:b/>
          <w:bCs/>
          <w:sz w:val="32"/>
          <w:lang w:eastAsia="zh-CN"/>
        </w:rPr>
      </w:pPr>
      <w:r>
        <w:rPr>
          <w:rFonts w:hint="eastAsia" w:ascii="宋体" w:hAnsi="宋体" w:eastAsia="宋体" w:cs="宋体"/>
          <w:b/>
          <w:bCs/>
          <w:sz w:val="32"/>
          <w:lang w:eastAsia="zh-CN"/>
        </w:rPr>
        <w:t>福建福海创石油化工有限公司</w:t>
      </w:r>
    </w:p>
    <w:p w14:paraId="1B58A6DB">
      <w:pPr>
        <w:jc w:val="center"/>
        <w:rPr>
          <w:rFonts w:hint="eastAsia" w:ascii="宋体" w:hAnsi="宋体" w:eastAsia="宋体" w:cs="宋体"/>
          <w:b/>
          <w:bCs/>
          <w:color w:val="FF0000"/>
          <w:sz w:val="32"/>
          <w:shd w:val="pct10" w:color="auto" w:fill="FFFFFF"/>
          <w:lang w:eastAsia="zh-CN"/>
        </w:rPr>
      </w:pPr>
      <w:r>
        <w:rPr>
          <w:rFonts w:hint="eastAsia" w:cs="宋体"/>
          <w:b/>
          <w:bCs/>
          <w:color w:val="FF0000"/>
          <w:sz w:val="32"/>
          <w:shd w:val="pct10" w:color="auto" w:fill="FFFFFF"/>
          <w:lang w:eastAsia="zh-CN"/>
        </w:rPr>
        <w:t>机电离线监测设备采购与安装项目</w:t>
      </w:r>
    </w:p>
    <w:p w14:paraId="01AC7060">
      <w:pPr>
        <w:jc w:val="center"/>
        <w:rPr>
          <w:rFonts w:hint="eastAsia" w:ascii="宋体" w:hAnsi="宋体" w:eastAsia="宋体" w:cs="宋体"/>
          <w:b/>
          <w:bCs/>
          <w:sz w:val="32"/>
          <w:lang w:eastAsia="zh-CN"/>
        </w:rPr>
      </w:pPr>
      <w:r>
        <w:rPr>
          <w:rFonts w:hint="eastAsia" w:ascii="宋体" w:hAnsi="宋体" w:eastAsia="宋体" w:cs="宋体"/>
          <w:b/>
          <w:bCs/>
          <w:sz w:val="32"/>
          <w:lang w:eastAsia="zh-CN"/>
        </w:rPr>
        <w:t>询比公告</w:t>
      </w:r>
    </w:p>
    <w:p w14:paraId="6E3F3F23">
      <w:pPr>
        <w:pStyle w:val="6"/>
        <w:rPr>
          <w:rFonts w:hint="eastAsia" w:ascii="宋体" w:hAnsi="宋体" w:eastAsia="宋体" w:cs="宋体"/>
          <w:b/>
          <w:sz w:val="28"/>
          <w:lang w:eastAsia="zh-CN"/>
        </w:rPr>
      </w:pPr>
    </w:p>
    <w:p w14:paraId="0F0D0DF4">
      <w:pPr>
        <w:pStyle w:val="6"/>
        <w:spacing w:before="26" w:line="360" w:lineRule="auto"/>
        <w:ind w:right="121"/>
        <w:jc w:val="both"/>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福建福海创石油化工有限公司就“</w:t>
      </w:r>
      <w:r>
        <w:rPr>
          <w:rFonts w:hint="eastAsia" w:cs="宋体"/>
          <w:color w:val="FF0000"/>
          <w:sz w:val="28"/>
          <w:szCs w:val="28"/>
          <w:u w:val="single"/>
          <w:lang w:eastAsia="zh-CN"/>
        </w:rPr>
        <w:t>机电离线监测设备采购与安装项目</w:t>
      </w:r>
      <w:r>
        <w:rPr>
          <w:rFonts w:hint="eastAsia" w:ascii="宋体" w:hAnsi="宋体" w:eastAsia="宋体" w:cs="宋体"/>
          <w:color w:val="FF0000"/>
          <w:sz w:val="28"/>
          <w:szCs w:val="28"/>
          <w:u w:val="single"/>
          <w:lang w:eastAsia="zh-CN"/>
        </w:rPr>
        <w:t>（项目编号：</w:t>
      </w:r>
      <w:r>
        <w:rPr>
          <w:rFonts w:hint="eastAsia" w:cs="宋体"/>
          <w:color w:val="FF0000"/>
          <w:sz w:val="28"/>
          <w:szCs w:val="28"/>
          <w:u w:val="single"/>
          <w:lang w:eastAsia="zh-CN"/>
        </w:rPr>
        <w:t>QGD-3120-251031-0345</w:t>
      </w:r>
      <w:r>
        <w:rPr>
          <w:rFonts w:hint="eastAsia" w:ascii="宋体" w:hAnsi="宋体" w:eastAsia="宋体" w:cs="宋体"/>
          <w:color w:val="FF0000"/>
          <w:sz w:val="28"/>
          <w:szCs w:val="28"/>
          <w:u w:val="single"/>
          <w:lang w:eastAsia="zh-CN"/>
        </w:rPr>
        <w:t>）</w:t>
      </w:r>
      <w:r>
        <w:rPr>
          <w:rFonts w:hint="eastAsia" w:ascii="宋体" w:hAnsi="宋体" w:eastAsia="宋体" w:cs="宋体"/>
          <w:sz w:val="28"/>
          <w:szCs w:val="28"/>
          <w:lang w:eastAsia="zh-CN"/>
        </w:rPr>
        <w:t>”进行国内公开询比采购，欢迎国内符合条件的供应商积极参加。</w:t>
      </w:r>
    </w:p>
    <w:p w14:paraId="7A2232BE">
      <w:pPr>
        <w:tabs>
          <w:tab w:val="left" w:pos="709"/>
        </w:tabs>
        <w:spacing w:line="360" w:lineRule="auto"/>
        <w:rPr>
          <w:rFonts w:hint="eastAsia" w:ascii="宋体" w:hAnsi="宋体" w:eastAsia="宋体" w:cs="宋体"/>
          <w:b/>
          <w:snapToGrid w:val="0"/>
          <w:color w:val="000000" w:themeColor="text1"/>
          <w:spacing w:val="8"/>
          <w:sz w:val="30"/>
          <w:szCs w:val="30"/>
          <w:lang w:eastAsia="zh-CN"/>
          <w14:textFill>
            <w14:solidFill>
              <w14:schemeClr w14:val="tx1"/>
            </w14:solidFill>
          </w14:textFill>
        </w:rPr>
      </w:pPr>
      <w:r>
        <w:rPr>
          <w:rFonts w:hint="eastAsia" w:ascii="宋体" w:hAnsi="宋体" w:eastAsia="宋体" w:cs="宋体"/>
          <w:b/>
          <w:snapToGrid w:val="0"/>
          <w:color w:val="000000" w:themeColor="text1"/>
          <w:spacing w:val="8"/>
          <w:sz w:val="30"/>
          <w:szCs w:val="30"/>
          <w:lang w:eastAsia="zh-CN"/>
          <w14:textFill>
            <w14:solidFill>
              <w14:schemeClr w14:val="tx1"/>
            </w14:solidFill>
          </w14:textFill>
        </w:rPr>
        <w:t>一、项目概况</w:t>
      </w:r>
    </w:p>
    <w:p w14:paraId="315D439F">
      <w:pPr>
        <w:ind w:firstLine="280" w:firstLineChars="1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1.项目名称：</w:t>
      </w:r>
      <w:r>
        <w:rPr>
          <w:rFonts w:hint="eastAsia" w:cs="宋体"/>
          <w:sz w:val="28"/>
          <w:szCs w:val="28"/>
          <w:lang w:val="en-US" w:eastAsia="zh-CN"/>
        </w:rPr>
        <w:t>机电离线监测设备采购与安装项目</w:t>
      </w:r>
    </w:p>
    <w:p w14:paraId="35008A5F">
      <w:pPr>
        <w:tabs>
          <w:tab w:val="left" w:pos="709"/>
        </w:tabs>
        <w:spacing w:line="360" w:lineRule="auto"/>
        <w:ind w:firstLine="280" w:firstLineChars="1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2.项目说明：机电离线监测设备采购与安装项目，承包方须在合同签订后10个工作日内提交详细实施计划（含阶段、里程碑、任务分解、时间与人员安排），经发包方审核后执行。项目分两阶段：</w:t>
      </w:r>
    </w:p>
    <w:p w14:paraId="2F21EF4D">
      <w:pPr>
        <w:tabs>
          <w:tab w:val="left" w:pos="709"/>
        </w:tabs>
        <w:spacing w:line="360" w:lineRule="auto"/>
        <w:ind w:firstLine="280" w:firstLineChars="1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第一阶段（5个月）：需求调研、硬件供货安装、软件基本功能上线完成初步验收、第一阶段功能迭代优化。</w:t>
      </w:r>
    </w:p>
    <w:p w14:paraId="31579936">
      <w:pPr>
        <w:tabs>
          <w:tab w:val="left" w:pos="709"/>
        </w:tabs>
        <w:spacing w:line="360" w:lineRule="auto"/>
        <w:ind w:firstLine="280" w:firstLineChars="100"/>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第二阶段（5个月）：机组三维模型搭建、第二阶段功能迭代优化。</w:t>
      </w:r>
    </w:p>
    <w:p w14:paraId="7081C061">
      <w:pPr>
        <w:tabs>
          <w:tab w:val="left" w:pos="709"/>
        </w:tabs>
        <w:spacing w:line="360" w:lineRule="auto"/>
        <w:ind w:firstLine="280" w:firstLineChars="100"/>
        <w:rPr>
          <w:rFonts w:hint="eastAsia" w:ascii="宋体" w:hAnsi="宋体" w:eastAsia="宋体" w:cs="宋体"/>
          <w:sz w:val="28"/>
          <w:szCs w:val="28"/>
          <w:lang w:val="en-US" w:eastAsia="zh-CN"/>
        </w:rPr>
      </w:pPr>
      <w:r>
        <w:rPr>
          <w:rFonts w:hint="eastAsia" w:cs="宋体"/>
          <w:sz w:val="28"/>
          <w:szCs w:val="28"/>
          <w:lang w:val="en-US" w:eastAsia="zh-CN"/>
        </w:rPr>
        <w:t>其他</w:t>
      </w:r>
      <w:r>
        <w:rPr>
          <w:rFonts w:hint="eastAsia" w:ascii="宋体" w:hAnsi="宋体" w:eastAsia="宋体" w:cs="宋体"/>
          <w:sz w:val="28"/>
          <w:szCs w:val="28"/>
          <w:lang w:val="en-US" w:eastAsia="zh-CN"/>
        </w:rPr>
        <w:t>内容详见附件发包说明。</w:t>
      </w:r>
    </w:p>
    <w:p w14:paraId="6D4A907B">
      <w:pPr>
        <w:tabs>
          <w:tab w:val="left" w:pos="709"/>
        </w:tabs>
        <w:spacing w:line="360" w:lineRule="auto"/>
        <w:ind w:firstLine="280" w:firstLineChars="100"/>
        <w:rPr>
          <w:rFonts w:hint="default" w:ascii="宋体" w:hAnsi="宋体" w:eastAsia="宋体" w:cs="宋体"/>
          <w:sz w:val="28"/>
          <w:szCs w:val="28"/>
          <w:lang w:val="en-US" w:eastAsia="zh-CN"/>
        </w:rPr>
      </w:pPr>
      <w:r>
        <w:rPr>
          <w:rFonts w:hint="eastAsia" w:ascii="宋体" w:hAnsi="宋体" w:eastAsia="宋体" w:cs="宋体"/>
          <w:sz w:val="28"/>
          <w:szCs w:val="28"/>
          <w:lang w:eastAsia="zh-CN"/>
        </w:rPr>
        <w:t>本项目设置最高控制价</w:t>
      </w:r>
      <w:r>
        <w:rPr>
          <w:rFonts w:hint="eastAsia" w:cs="宋体"/>
          <w:sz w:val="28"/>
          <w:szCs w:val="28"/>
          <w:lang w:val="en-US" w:eastAsia="zh-CN"/>
        </w:rPr>
        <w:t>248</w:t>
      </w:r>
      <w:r>
        <w:rPr>
          <w:rFonts w:hint="eastAsia" w:ascii="宋体" w:hAnsi="宋体" w:eastAsia="宋体" w:cs="宋体"/>
          <w:sz w:val="28"/>
          <w:szCs w:val="28"/>
          <w:lang w:eastAsia="zh-CN"/>
        </w:rPr>
        <w:t>万元整（含税包干总价）</w:t>
      </w:r>
      <w:r>
        <w:rPr>
          <w:rFonts w:hint="eastAsia" w:cs="宋体"/>
          <w:sz w:val="28"/>
          <w:szCs w:val="28"/>
          <w:lang w:val="en-US" w:eastAsia="zh-CN"/>
        </w:rPr>
        <w:tab/>
      </w:r>
    </w:p>
    <w:p w14:paraId="6520554A">
      <w:pPr>
        <w:tabs>
          <w:tab w:val="left" w:pos="709"/>
        </w:tabs>
        <w:spacing w:line="360" w:lineRule="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二、参比人资格要求</w:t>
      </w:r>
    </w:p>
    <w:p w14:paraId="25FE020B">
      <w:pPr>
        <w:spacing w:line="360" w:lineRule="auto"/>
        <w:ind w:firstLine="560" w:firstLineChars="200"/>
        <w:rPr>
          <w:rFonts w:hint="eastAsia"/>
          <w:color w:val="000000"/>
          <w:sz w:val="28"/>
        </w:rPr>
      </w:pPr>
      <w:r>
        <w:rPr>
          <w:rFonts w:hint="eastAsia"/>
          <w:color w:val="000000"/>
          <w:sz w:val="28"/>
        </w:rPr>
        <w:t>1.独立法人资格。具有独立订立合同的权利和履行合同的能力，依法取得营业执照，营业执照处于有效期，营业执照、税务登记证、组织机构代码证三证齐全。</w:t>
      </w:r>
    </w:p>
    <w:p w14:paraId="393EBDF9">
      <w:pPr>
        <w:spacing w:line="360" w:lineRule="auto"/>
        <w:ind w:firstLine="560" w:firstLineChars="200"/>
        <w:rPr>
          <w:rFonts w:hint="eastAsia"/>
          <w:b w:val="0"/>
          <w:bCs w:val="0"/>
          <w:color w:val="000000"/>
          <w:sz w:val="28"/>
        </w:rPr>
      </w:pPr>
      <w:r>
        <w:rPr>
          <w:rFonts w:hint="default"/>
          <w:b w:val="0"/>
          <w:bCs w:val="0"/>
          <w:color w:val="000000"/>
          <w:sz w:val="28"/>
          <w:woUserID w:val="1"/>
        </w:rPr>
        <w:t>2</w:t>
      </w:r>
      <w:r>
        <w:rPr>
          <w:rFonts w:hint="eastAsia"/>
          <w:b w:val="0"/>
          <w:bCs w:val="0"/>
          <w:color w:val="000000"/>
          <w:sz w:val="28"/>
        </w:rPr>
        <w:t>.至少1项国内</w:t>
      </w:r>
      <w:r>
        <w:rPr>
          <w:rFonts w:hint="default"/>
          <w:b w:val="0"/>
          <w:bCs w:val="0"/>
          <w:color w:val="000000"/>
          <w:sz w:val="28"/>
          <w:woUserID w:val="1"/>
        </w:rPr>
        <w:t>信息</w:t>
      </w:r>
      <w:r>
        <w:rPr>
          <w:rFonts w:hint="eastAsia"/>
          <w:b w:val="0"/>
          <w:bCs w:val="0"/>
          <w:color w:val="000000"/>
          <w:sz w:val="28"/>
        </w:rPr>
        <w:t>管理系统的业绩，必须提供相关业绩证明文件，有效业绩应符合以下条件：</w:t>
      </w:r>
    </w:p>
    <w:p w14:paraId="5629410D">
      <w:pPr>
        <w:spacing w:line="360" w:lineRule="auto"/>
        <w:ind w:firstLine="560" w:firstLineChars="200"/>
        <w:rPr>
          <w:rFonts w:hint="eastAsia"/>
          <w:b w:val="0"/>
          <w:bCs w:val="0"/>
          <w:color w:val="000000"/>
          <w:sz w:val="28"/>
        </w:rPr>
      </w:pPr>
      <w:r>
        <w:rPr>
          <w:rFonts w:hint="eastAsia"/>
          <w:b w:val="0"/>
          <w:bCs w:val="0"/>
          <w:color w:val="000000"/>
          <w:sz w:val="28"/>
        </w:rPr>
        <w:t>合同标的总价不低于150万；</w:t>
      </w:r>
    </w:p>
    <w:p w14:paraId="44E45F87">
      <w:pPr>
        <w:spacing w:line="360" w:lineRule="auto"/>
        <w:ind w:firstLine="560" w:firstLineChars="200"/>
        <w:rPr>
          <w:rFonts w:hint="eastAsia"/>
          <w:b w:val="0"/>
          <w:bCs w:val="0"/>
          <w:color w:val="000000"/>
          <w:sz w:val="28"/>
        </w:rPr>
      </w:pPr>
      <w:r>
        <w:rPr>
          <w:rFonts w:hint="eastAsia"/>
          <w:b w:val="0"/>
          <w:bCs w:val="0"/>
          <w:color w:val="000000"/>
          <w:sz w:val="28"/>
        </w:rPr>
        <w:t>合同签订日期为2020年1月1日至投标截止日止；</w:t>
      </w:r>
    </w:p>
    <w:p w14:paraId="149540D7">
      <w:pPr>
        <w:spacing w:line="360" w:lineRule="auto"/>
        <w:ind w:firstLine="560" w:firstLineChars="200"/>
        <w:rPr>
          <w:rFonts w:hint="eastAsia"/>
          <w:b w:val="0"/>
          <w:bCs w:val="0"/>
          <w:color w:val="000000"/>
          <w:sz w:val="28"/>
        </w:rPr>
      </w:pPr>
      <w:r>
        <w:rPr>
          <w:rFonts w:hint="eastAsia"/>
          <w:b w:val="0"/>
          <w:bCs w:val="0"/>
          <w:color w:val="000000"/>
          <w:sz w:val="28"/>
        </w:rPr>
        <w:t>业绩证明文件包括合同关键页复印件、发票复印件（至少一张）、验收报告复印件以及其他符合项目相关性的资料。</w:t>
      </w:r>
    </w:p>
    <w:p w14:paraId="319ED025">
      <w:pPr>
        <w:spacing w:line="360" w:lineRule="auto"/>
        <w:ind w:firstLine="560" w:firstLineChars="200"/>
        <w:rPr>
          <w:rFonts w:hint="eastAsia"/>
          <w:color w:val="000000"/>
          <w:sz w:val="28"/>
        </w:rPr>
      </w:pPr>
      <w:r>
        <w:rPr>
          <w:rFonts w:hint="default"/>
          <w:color w:val="000000"/>
          <w:sz w:val="28"/>
          <w:woUserID w:val="1"/>
        </w:rPr>
        <w:t>3</w:t>
      </w:r>
      <w:r>
        <w:rPr>
          <w:rFonts w:hint="eastAsia"/>
          <w:color w:val="000000"/>
          <w:sz w:val="28"/>
        </w:rPr>
        <w:t>.所需物资供应能力及质量控制措施，近三年无重大质量问题。</w:t>
      </w:r>
    </w:p>
    <w:p w14:paraId="42A3BA0B">
      <w:pPr>
        <w:spacing w:line="360" w:lineRule="auto"/>
        <w:ind w:firstLine="560" w:firstLineChars="200"/>
        <w:rPr>
          <w:rFonts w:hint="eastAsia"/>
          <w:color w:val="000000"/>
          <w:sz w:val="28"/>
        </w:rPr>
      </w:pPr>
      <w:r>
        <w:rPr>
          <w:rFonts w:hint="default"/>
          <w:color w:val="000000"/>
          <w:sz w:val="28"/>
          <w:woUserID w:val="1"/>
        </w:rPr>
        <w:t>4</w:t>
      </w:r>
      <w:r>
        <w:rPr>
          <w:rFonts w:hint="eastAsia"/>
          <w:color w:val="000000"/>
          <w:sz w:val="28"/>
        </w:rPr>
        <w:t>.良好的商业信誉、财务状况。无吊销营业执照、吊销资质、停业整顿、取消投标资格以及财产被接管、冻结或进入破产程序等情形。</w:t>
      </w:r>
    </w:p>
    <w:p w14:paraId="11E5D83D">
      <w:pPr>
        <w:spacing w:line="360" w:lineRule="auto"/>
        <w:ind w:firstLine="560" w:firstLineChars="200"/>
        <w:rPr>
          <w:rFonts w:hint="eastAsia"/>
          <w:color w:val="000000"/>
          <w:sz w:val="28"/>
        </w:rPr>
      </w:pPr>
      <w:r>
        <w:rPr>
          <w:rFonts w:hint="default"/>
          <w:color w:val="000000"/>
          <w:sz w:val="28"/>
          <w:woUserID w:val="1"/>
        </w:rPr>
        <w:t>5</w:t>
      </w:r>
      <w:r>
        <w:rPr>
          <w:rFonts w:hint="eastAsia"/>
          <w:color w:val="000000"/>
          <w:sz w:val="28"/>
        </w:rPr>
        <w:t>.没有处于因违约、诚信等原因被能化集团停用交易资格的状态。</w:t>
      </w:r>
    </w:p>
    <w:p w14:paraId="6FF1C65C">
      <w:pPr>
        <w:spacing w:line="360" w:lineRule="auto"/>
        <w:ind w:firstLine="560" w:firstLineChars="200"/>
        <w:rPr>
          <w:rFonts w:hint="eastAsia"/>
          <w:color w:val="000000"/>
          <w:sz w:val="28"/>
        </w:rPr>
      </w:pPr>
      <w:r>
        <w:rPr>
          <w:rFonts w:hint="default"/>
          <w:color w:val="000000"/>
          <w:sz w:val="28"/>
          <w:woUserID w:val="1"/>
        </w:rPr>
        <w:t>6</w:t>
      </w:r>
      <w:r>
        <w:rPr>
          <w:rFonts w:hint="eastAsia"/>
          <w:color w:val="000000"/>
          <w:sz w:val="28"/>
        </w:rPr>
        <w:t>.拥有投标产品软件系统的自主知识产权证书，并同时具备软件企业证书。</w:t>
      </w:r>
    </w:p>
    <w:p w14:paraId="1F01C979">
      <w:pPr>
        <w:spacing w:line="360" w:lineRule="auto"/>
        <w:ind w:firstLine="560" w:firstLineChars="200"/>
        <w:rPr>
          <w:rFonts w:hint="eastAsia"/>
          <w:color w:val="000000"/>
          <w:sz w:val="28"/>
        </w:rPr>
      </w:pPr>
      <w:r>
        <w:rPr>
          <w:rFonts w:hint="default"/>
          <w:color w:val="000000"/>
          <w:sz w:val="28"/>
          <w:woUserID w:val="1"/>
        </w:rPr>
        <w:t>7</w:t>
      </w:r>
      <w:r>
        <w:rPr>
          <w:rFonts w:hint="eastAsia"/>
          <w:color w:val="000000"/>
          <w:sz w:val="28"/>
        </w:rPr>
        <w:t>.项目经理需至少持有以下任一资格认证：信息系统项目管理师（高级）、系统架构设计师（高级）、PMP（项目管理专业人士）或CISP（注册信息安全工程师）。</w:t>
      </w:r>
    </w:p>
    <w:p w14:paraId="0D846E00">
      <w:pPr>
        <w:spacing w:line="360" w:lineRule="auto"/>
        <w:ind w:firstLine="560" w:firstLineChars="200"/>
        <w:rPr>
          <w:rFonts w:hint="eastAsia"/>
          <w:color w:val="000000"/>
          <w:sz w:val="28"/>
        </w:rPr>
      </w:pPr>
      <w:r>
        <w:rPr>
          <w:rFonts w:hint="default"/>
          <w:color w:val="000000"/>
          <w:sz w:val="28"/>
          <w:woUserID w:val="1"/>
        </w:rPr>
        <w:t>8</w:t>
      </w:r>
      <w:r>
        <w:rPr>
          <w:rFonts w:hint="eastAsia"/>
          <w:color w:val="000000"/>
          <w:sz w:val="28"/>
        </w:rPr>
        <w:t>.项目经理要求：项目经理需具有5年以上的信息技术项目管理经验，至少已完成2项设备管理系统的建设，其中行业相关如石化、钢铁、冶金、能源行业设备管理系统不少于1项。</w:t>
      </w:r>
    </w:p>
    <w:p w14:paraId="0576A5ED">
      <w:pPr>
        <w:spacing w:line="360" w:lineRule="auto"/>
        <w:ind w:firstLine="560" w:firstLineChars="200"/>
        <w:rPr>
          <w:rFonts w:hint="eastAsia"/>
          <w:color w:val="000000"/>
          <w:sz w:val="28"/>
        </w:rPr>
      </w:pPr>
      <w:r>
        <w:rPr>
          <w:rFonts w:hint="default"/>
          <w:color w:val="000000"/>
          <w:sz w:val="28"/>
        </w:rPr>
        <w:t>9</w:t>
      </w:r>
      <w:r>
        <w:rPr>
          <w:rFonts w:hint="eastAsia"/>
          <w:color w:val="000000"/>
          <w:sz w:val="28"/>
        </w:rPr>
        <w:t>.本项目不接受联合体投标。</w:t>
      </w:r>
    </w:p>
    <w:p w14:paraId="1B37F9D4">
      <w:pPr>
        <w:tabs>
          <w:tab w:val="left" w:pos="709"/>
        </w:tabs>
        <w:spacing w:line="360" w:lineRule="auto"/>
        <w:rPr>
          <w:rFonts w:hint="eastAsia" w:ascii="宋体" w:hAnsi="宋体" w:eastAsia="宋体" w:cs="宋体"/>
          <w:b/>
          <w:snapToGrid w:val="0"/>
          <w:color w:val="000000" w:themeColor="text1"/>
          <w:spacing w:val="8"/>
          <w:sz w:val="32"/>
          <w:szCs w:val="32"/>
          <w:lang w:eastAsia="zh-CN"/>
          <w14:textFill>
            <w14:solidFill>
              <w14:schemeClr w14:val="tx1"/>
            </w14:solidFill>
          </w14:textFill>
        </w:rPr>
      </w:pPr>
      <w:r>
        <w:rPr>
          <w:rFonts w:hint="eastAsia" w:ascii="宋体" w:hAnsi="宋体" w:eastAsia="宋体" w:cs="宋体"/>
          <w:b/>
          <w:snapToGrid w:val="0"/>
          <w:color w:val="000000" w:themeColor="text1"/>
          <w:spacing w:val="8"/>
          <w:sz w:val="32"/>
          <w:szCs w:val="32"/>
          <w:lang w:eastAsia="zh-CN"/>
          <w14:textFill>
            <w14:solidFill>
              <w14:schemeClr w14:val="tx1"/>
            </w14:solidFill>
          </w14:textFill>
        </w:rPr>
        <w:t>三、获取采购文件</w:t>
      </w:r>
    </w:p>
    <w:p w14:paraId="46066AE5">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1.报名时间：公示之日起至2025年</w:t>
      </w:r>
      <w:r>
        <w:rPr>
          <w:rFonts w:hint="eastAsia" w:cs="宋体"/>
          <w:color w:val="000000" w:themeColor="text1"/>
          <w:sz w:val="28"/>
          <w:szCs w:val="28"/>
          <w:lang w:val="en-US" w:eastAsia="zh-CN"/>
          <w14:textFill>
            <w14:solidFill>
              <w14:schemeClr w14:val="tx1"/>
            </w14:solidFill>
          </w14:textFill>
        </w:rPr>
        <w:t>12</w:t>
      </w:r>
      <w:r>
        <w:rPr>
          <w:rFonts w:hint="eastAsia" w:ascii="宋体" w:hAnsi="宋体" w:eastAsia="宋体" w:cs="宋体"/>
          <w:color w:val="000000" w:themeColor="text1"/>
          <w:sz w:val="28"/>
          <w:szCs w:val="28"/>
          <w:lang w:eastAsia="zh-CN"/>
          <w14:textFill>
            <w14:solidFill>
              <w14:schemeClr w14:val="tx1"/>
            </w14:solidFill>
          </w14:textFill>
        </w:rPr>
        <w:t>月</w:t>
      </w:r>
      <w:r>
        <w:rPr>
          <w:rFonts w:hint="eastAsia" w:cs="宋体"/>
          <w:color w:val="000000" w:themeColor="text1"/>
          <w:sz w:val="28"/>
          <w:szCs w:val="28"/>
          <w:lang w:val="en-US" w:eastAsia="zh-CN"/>
          <w14:textFill>
            <w14:solidFill>
              <w14:schemeClr w14:val="tx1"/>
            </w14:solidFill>
          </w14:textFill>
        </w:rPr>
        <w:t>5</w:t>
      </w:r>
      <w:r>
        <w:rPr>
          <w:rFonts w:hint="eastAsia" w:ascii="宋体" w:hAnsi="宋体" w:eastAsia="宋体" w:cs="宋体"/>
          <w:color w:val="000000" w:themeColor="text1"/>
          <w:sz w:val="28"/>
          <w:szCs w:val="28"/>
          <w:lang w:eastAsia="zh-CN"/>
          <w14:textFill>
            <w14:solidFill>
              <w14:schemeClr w14:val="tx1"/>
            </w14:solidFill>
          </w14:textFill>
        </w:rPr>
        <w:t>日（</w:t>
      </w:r>
      <w:r>
        <w:rPr>
          <w:rFonts w:hint="eastAsia" w:cs="宋体"/>
          <w:color w:val="000000" w:themeColor="text1"/>
          <w:sz w:val="28"/>
          <w:szCs w:val="28"/>
          <w:lang w:val="en-US" w:eastAsia="zh-CN"/>
          <w14:textFill>
            <w14:solidFill>
              <w14:schemeClr w14:val="tx1"/>
            </w14:solidFill>
          </w14:textFill>
        </w:rPr>
        <w:t>含当日</w:t>
      </w:r>
      <w:bookmarkStart w:id="57" w:name="_GoBack"/>
      <w:bookmarkEnd w:id="57"/>
      <w:r>
        <w:rPr>
          <w:rFonts w:hint="eastAsia" w:ascii="宋体" w:hAnsi="宋体" w:eastAsia="宋体" w:cs="宋体"/>
          <w:color w:val="000000" w:themeColor="text1"/>
          <w:sz w:val="28"/>
          <w:szCs w:val="28"/>
          <w:lang w:eastAsia="zh-CN"/>
          <w14:textFill>
            <w14:solidFill>
              <w14:schemeClr w14:val="tx1"/>
            </w14:solidFill>
          </w14:textFill>
        </w:rPr>
        <w:t>）</w:t>
      </w:r>
    </w:p>
    <w:p w14:paraId="1963A81C">
      <w:pPr>
        <w:tabs>
          <w:tab w:val="left" w:pos="709"/>
        </w:tabs>
        <w:spacing w:line="360" w:lineRule="auto"/>
        <w:ind w:left="839" w:leftChars="254" w:hanging="280" w:hangingChars="1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2.报名方式：参比人在报名时间内将报名文件发送至邮箱</w:t>
      </w:r>
      <w:r>
        <w:rPr>
          <w:rFonts w:hint="eastAsia" w:ascii="宋体" w:hAnsi="宋体" w:eastAsia="宋体" w:cs="宋体"/>
          <w:color w:val="000000" w:themeColor="text1"/>
          <w:sz w:val="28"/>
          <w:szCs w:val="28"/>
          <w:lang w:val="en-US" w:eastAsia="zh-CN"/>
          <w14:textFill>
            <w14:solidFill>
              <w14:schemeClr w14:val="tx1"/>
            </w14:solidFill>
          </w14:textFill>
        </w:rPr>
        <w:fldChar w:fldCharType="begin"/>
      </w:r>
      <w:r>
        <w:rPr>
          <w:rFonts w:hint="eastAsia" w:ascii="宋体" w:hAnsi="宋体" w:eastAsia="宋体" w:cs="宋体"/>
          <w:color w:val="000000" w:themeColor="text1"/>
          <w:sz w:val="28"/>
          <w:szCs w:val="28"/>
          <w:lang w:val="en-US" w:eastAsia="zh-CN"/>
          <w14:textFill>
            <w14:solidFill>
              <w14:schemeClr w14:val="tx1"/>
            </w14:solidFill>
          </w14:textFill>
        </w:rPr>
        <w:instrText xml:space="preserve"> HYPERLINK "mailto:xrshen@fhcpec.com.c" </w:instrText>
      </w:r>
      <w:r>
        <w:rPr>
          <w:rFonts w:hint="eastAsia" w:ascii="宋体" w:hAnsi="宋体" w:eastAsia="宋体" w:cs="宋体"/>
          <w:color w:val="000000" w:themeColor="text1"/>
          <w:sz w:val="28"/>
          <w:szCs w:val="28"/>
          <w:lang w:val="en-US" w:eastAsia="zh-CN"/>
          <w14:textFill>
            <w14:solidFill>
              <w14:schemeClr w14:val="tx1"/>
            </w14:solidFill>
          </w14:textFill>
        </w:rPr>
        <w:fldChar w:fldCharType="separate"/>
      </w:r>
      <w:r>
        <w:rPr>
          <w:rStyle w:val="20"/>
          <w:rFonts w:hint="eastAsia" w:ascii="宋体" w:hAnsi="宋体" w:eastAsia="宋体" w:cs="宋体"/>
          <w:sz w:val="28"/>
          <w:szCs w:val="28"/>
          <w:lang w:val="en-US" w:eastAsia="zh-CN"/>
        </w:rPr>
        <w:t>xrshen@fhcpec.com.c</w:t>
      </w:r>
      <w:r>
        <w:rPr>
          <w:rFonts w:hint="eastAsia" w:ascii="宋体" w:hAnsi="宋体" w:eastAsia="宋体" w:cs="宋体"/>
          <w:color w:val="000000" w:themeColor="text1"/>
          <w:sz w:val="28"/>
          <w:szCs w:val="28"/>
          <w:lang w:val="en-US" w:eastAsia="zh-CN"/>
          <w14:textFill>
            <w14:solidFill>
              <w14:schemeClr w14:val="tx1"/>
            </w14:solidFill>
          </w14:textFill>
        </w:rPr>
        <w:fldChar w:fldCharType="end"/>
      </w:r>
      <w:r>
        <w:rPr>
          <w:rFonts w:hint="eastAsia" w:ascii="宋体" w:hAnsi="宋体" w:eastAsia="宋体" w:cs="宋体"/>
          <w:color w:val="000000" w:themeColor="text1"/>
          <w:sz w:val="28"/>
          <w:szCs w:val="28"/>
          <w:lang w:val="en-US" w:eastAsia="zh-CN"/>
          <w14:textFill>
            <w14:solidFill>
              <w14:schemeClr w14:val="tx1"/>
            </w14:solidFill>
          </w14:textFill>
        </w:rPr>
        <w:t>n</w:t>
      </w:r>
      <w:r>
        <w:rPr>
          <w:rFonts w:hint="eastAsia" w:ascii="宋体" w:hAnsi="宋体" w:eastAsia="宋体" w:cs="宋体"/>
          <w:color w:val="000000" w:themeColor="text1"/>
          <w:sz w:val="28"/>
          <w:szCs w:val="28"/>
          <w:lang w:eastAsia="zh-CN"/>
          <w14:textFill>
            <w14:solidFill>
              <w14:schemeClr w14:val="tx1"/>
            </w14:solidFill>
          </w14:textFill>
        </w:rPr>
        <w:t>，注明参比项目名称、参比人名称、商务联系人及联系方式（邮件内容上填写即可）报名文件包含：</w:t>
      </w:r>
    </w:p>
    <w:p w14:paraId="79982FBA">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（1）法定代表人身份证复印件（正反面）（加盖单位公章的扫描件）；</w:t>
      </w:r>
    </w:p>
    <w:p w14:paraId="3DDF3BC5">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（2）营业执照（加盖单位公章的扫描件）；</w:t>
      </w:r>
    </w:p>
    <w:p w14:paraId="66374A7C">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（3）资质文件及相关业绩(业绩</w:t>
      </w:r>
      <w:r>
        <w:rPr>
          <w:rFonts w:hint="eastAsia" w:ascii="宋体" w:hAnsi="宋体" w:eastAsia="宋体" w:cs="宋体"/>
          <w:color w:val="111111"/>
          <w:sz w:val="28"/>
          <w:szCs w:val="28"/>
          <w:shd w:val="clear" w:color="auto" w:fill="FFFFFF"/>
          <w:lang w:eastAsia="zh-CN"/>
        </w:rPr>
        <w:t>要提供相应合同扫描件）</w:t>
      </w:r>
      <w:r>
        <w:rPr>
          <w:rFonts w:hint="eastAsia" w:ascii="宋体" w:hAnsi="宋体" w:eastAsia="宋体" w:cs="宋体"/>
          <w:color w:val="000000" w:themeColor="text1"/>
          <w:sz w:val="28"/>
          <w:szCs w:val="28"/>
          <w:lang w:eastAsia="zh-CN"/>
          <w14:textFill>
            <w14:solidFill>
              <w14:schemeClr w14:val="tx1"/>
            </w14:solidFill>
          </w14:textFill>
        </w:rPr>
        <w:t>。</w:t>
      </w:r>
    </w:p>
    <w:p w14:paraId="0AF55F96">
      <w:pPr>
        <w:tabs>
          <w:tab w:val="left" w:pos="709"/>
        </w:tabs>
        <w:spacing w:line="360" w:lineRule="auto"/>
        <w:ind w:left="559" w:leftChars="254" w:firstLine="0" w:firstLineChars="0"/>
        <w:rPr>
          <w:rFonts w:hint="eastAsia" w:asciiTheme="minorEastAsia" w:hAnsiTheme="minorEastAsia" w:eastAsiaTheme="minorEastAsia" w:cstheme="minorEastAsia"/>
          <w:color w:val="FF0000"/>
          <w:sz w:val="28"/>
          <w:szCs w:val="28"/>
          <w:highlight w:val="none"/>
          <w:lang w:eastAsia="zh-CN"/>
        </w:rPr>
      </w:pPr>
      <w:r>
        <w:rPr>
          <w:rFonts w:hint="eastAsia" w:ascii="宋体" w:hAnsi="宋体" w:eastAsia="宋体" w:cs="宋体"/>
          <w:color w:val="000000" w:themeColor="text1"/>
          <w:sz w:val="28"/>
          <w:szCs w:val="28"/>
          <w:lang w:eastAsia="zh-CN"/>
          <w14:textFill>
            <w14:solidFill>
              <w14:schemeClr w14:val="tx1"/>
            </w14:solidFill>
          </w14:textFill>
        </w:rPr>
        <w:t>3.获取参比文件：本项目参比文件请有意向参比人自行下载，不收取费用。</w:t>
      </w:r>
      <w:r>
        <w:rPr>
          <w:rFonts w:hint="eastAsia" w:asciiTheme="minorEastAsia" w:hAnsiTheme="minorEastAsia" w:eastAsiaTheme="minorEastAsia" w:cstheme="minorEastAsia"/>
          <w:b/>
          <w:bCs/>
          <w:color w:val="FF0000"/>
          <w:sz w:val="28"/>
          <w:szCs w:val="28"/>
          <w:highlight w:val="none"/>
          <w:lang w:val="en-US" w:eastAsia="zh-CN"/>
        </w:rPr>
        <w:t>（特别声明：参选单位需要在福建能化阳光采购平台进行注册，http://nhygcg.fjshgx.com/  （福建能化阳光采购平台）；）</w:t>
      </w:r>
    </w:p>
    <w:p w14:paraId="603FF223">
      <w:pPr>
        <w:tabs>
          <w:tab w:val="left" w:pos="709"/>
        </w:tabs>
        <w:spacing w:line="360" w:lineRule="auto"/>
        <w:ind w:firstLine="480"/>
        <w:rPr>
          <w:rFonts w:hint="eastAsia" w:ascii="宋体" w:hAnsi="宋体" w:eastAsia="宋体" w:cs="宋体"/>
          <w:b/>
          <w:snapToGrid w:val="0"/>
          <w:color w:val="000000" w:themeColor="text1"/>
          <w:spacing w:val="8"/>
          <w:sz w:val="30"/>
          <w:szCs w:val="30"/>
          <w:lang w:eastAsia="zh-CN"/>
          <w14:textFill>
            <w14:solidFill>
              <w14:schemeClr w14:val="tx1"/>
            </w14:solidFill>
          </w14:textFill>
        </w:rPr>
      </w:pPr>
      <w:r>
        <w:rPr>
          <w:rFonts w:hint="eastAsia" w:ascii="宋体" w:hAnsi="宋体" w:eastAsia="宋体" w:cs="宋体"/>
          <w:b/>
          <w:snapToGrid w:val="0"/>
          <w:color w:val="000000" w:themeColor="text1"/>
          <w:spacing w:val="8"/>
          <w:sz w:val="30"/>
          <w:szCs w:val="30"/>
          <w:lang w:eastAsia="zh-CN"/>
          <w14:textFill>
            <w14:solidFill>
              <w14:schemeClr w14:val="tx1"/>
            </w14:solidFill>
          </w14:textFill>
        </w:rPr>
        <w:t>四、参比文件递交要求</w:t>
      </w:r>
    </w:p>
    <w:p w14:paraId="758C459D">
      <w:pPr>
        <w:tabs>
          <w:tab w:val="left" w:pos="709"/>
        </w:tabs>
        <w:spacing w:line="360" w:lineRule="auto"/>
        <w:ind w:firstLine="560" w:firstLineChars="200"/>
        <w:rPr>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1. 参比文件递交地点：线下递交。漳州市漳浦县杜浔镇杜昌路9号福海创办公楼三楼综合采购团队。收件人</w:t>
      </w:r>
      <w:r>
        <w:rPr>
          <w:rFonts w:hint="eastAsia"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lang w:eastAsia="zh-CN"/>
          <w14:textFill>
            <w14:solidFill>
              <w14:schemeClr w14:val="tx1"/>
            </w14:solidFill>
          </w14:textFill>
        </w:rPr>
        <w:t>沈学荣</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lang w:eastAsia="zh-CN"/>
          <w14:textFill>
            <w14:solidFill>
              <w14:schemeClr w14:val="tx1"/>
            </w14:solidFill>
          </w14:textFill>
        </w:rPr>
        <w:t xml:space="preserve">18159613129  </w:t>
      </w:r>
    </w:p>
    <w:p w14:paraId="47F740DE">
      <w:pPr>
        <w:tabs>
          <w:tab w:val="left" w:pos="709"/>
        </w:tabs>
        <w:spacing w:line="360" w:lineRule="auto"/>
        <w:ind w:firstLine="560" w:firstLineChars="200"/>
        <w:rPr>
          <w:rFonts w:hint="default" w:ascii="宋体" w:hAnsi="宋体" w:eastAsia="宋体" w:cs="宋体"/>
          <w:color w:val="FF0000"/>
          <w:sz w:val="28"/>
          <w:szCs w:val="28"/>
          <w:highlight w:val="none"/>
          <w:lang w:val="en-US" w:eastAsia="zh-CN"/>
        </w:rPr>
      </w:pPr>
      <w:r>
        <w:rPr>
          <w:rFonts w:hint="eastAsia" w:ascii="宋体" w:hAnsi="宋体" w:eastAsia="宋体" w:cs="宋体"/>
          <w:color w:val="000000" w:themeColor="text1"/>
          <w:sz w:val="28"/>
          <w:szCs w:val="28"/>
          <w:lang w:eastAsia="zh-CN"/>
          <w14:textFill>
            <w14:solidFill>
              <w14:schemeClr w14:val="tx1"/>
            </w14:solidFill>
          </w14:textFill>
        </w:rPr>
        <w:t>2.递交截止时间：参选文件递交截止时间（以送达时间为准）：</w:t>
      </w:r>
      <w:r>
        <w:rPr>
          <w:rFonts w:hint="eastAsia" w:cs="宋体"/>
          <w:color w:val="FF0000"/>
          <w:sz w:val="28"/>
          <w:szCs w:val="28"/>
          <w:highlight w:val="none"/>
          <w:lang w:val="en-US" w:eastAsia="zh-CN"/>
        </w:rPr>
        <w:t>报名截止日后3个工作日内。</w:t>
      </w:r>
    </w:p>
    <w:p w14:paraId="3BD33B96">
      <w:pPr>
        <w:pStyle w:val="6"/>
        <w:spacing w:line="360" w:lineRule="auto"/>
        <w:ind w:right="121" w:firstLine="337" w:firstLineChars="100"/>
        <w:jc w:val="both"/>
        <w:rPr>
          <w:rFonts w:hint="eastAsia" w:ascii="宋体" w:hAnsi="宋体" w:eastAsia="宋体" w:cs="宋体"/>
          <w:b/>
          <w:bCs/>
          <w:snapToGrid w:val="0"/>
          <w:color w:val="000000" w:themeColor="text1"/>
          <w:spacing w:val="8"/>
          <w:sz w:val="28"/>
          <w:szCs w:val="28"/>
          <w:lang w:eastAsia="zh-CN"/>
          <w14:textFill>
            <w14:solidFill>
              <w14:schemeClr w14:val="tx1"/>
            </w14:solidFill>
          </w14:textFill>
        </w:rPr>
      </w:pPr>
      <w:r>
        <w:rPr>
          <w:rFonts w:hint="eastAsia" w:ascii="宋体" w:hAnsi="宋体" w:eastAsia="宋体" w:cs="宋体"/>
          <w:b/>
          <w:bCs/>
          <w:snapToGrid w:val="0"/>
          <w:color w:val="000000" w:themeColor="text1"/>
          <w:spacing w:val="8"/>
          <w:sz w:val="32"/>
          <w:szCs w:val="32"/>
          <w:lang w:eastAsia="zh-CN"/>
          <w14:textFill>
            <w14:solidFill>
              <w14:schemeClr w14:val="tx1"/>
            </w14:solidFill>
          </w14:textFill>
        </w:rPr>
        <w:t>五、</w:t>
      </w:r>
      <w:r>
        <w:rPr>
          <w:rFonts w:hint="eastAsia" w:ascii="宋体" w:hAnsi="宋体" w:eastAsia="宋体" w:cs="宋体"/>
          <w:b/>
          <w:w w:val="95"/>
          <w:sz w:val="32"/>
          <w:szCs w:val="32"/>
          <w:lang w:eastAsia="zh-CN"/>
        </w:rPr>
        <w:t>参比保证金</w:t>
      </w:r>
    </w:p>
    <w:p w14:paraId="10C4E6CA">
      <w:pPr>
        <w:pStyle w:val="6"/>
        <w:spacing w:line="360" w:lineRule="auto"/>
        <w:ind w:right="121" w:firstLine="280" w:firstLineChars="100"/>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1.参比单位应缴纳参比保证金，保证金</w:t>
      </w:r>
      <w:r>
        <w:rPr>
          <w:rFonts w:hint="eastAsia" w:ascii="宋体" w:hAnsi="宋体" w:eastAsia="宋体" w:cs="宋体"/>
          <w:color w:val="000000" w:themeColor="text1"/>
          <w:sz w:val="28"/>
          <w:szCs w:val="28"/>
          <w:lang w:eastAsia="zh-CN"/>
          <w14:textFill>
            <w14:solidFill>
              <w14:schemeClr w14:val="tx1"/>
            </w14:solidFill>
          </w14:textFill>
        </w:rPr>
        <w:t>金额</w:t>
      </w:r>
      <w:r>
        <w:rPr>
          <w:rFonts w:hint="eastAsia" w:cs="宋体"/>
          <w:color w:val="000000" w:themeColor="text1"/>
          <w:sz w:val="28"/>
          <w:szCs w:val="28"/>
          <w:lang w:val="en-US" w:eastAsia="zh-CN"/>
          <w14:textFill>
            <w14:solidFill>
              <w14:schemeClr w14:val="tx1"/>
            </w14:solidFill>
          </w14:textFill>
        </w:rPr>
        <w:t>49</w:t>
      </w:r>
      <w:r>
        <w:rPr>
          <w:rFonts w:hint="eastAsia" w:ascii="宋体" w:hAnsi="宋体" w:eastAsia="宋体" w:cs="宋体"/>
          <w:color w:val="000000" w:themeColor="text1"/>
          <w:sz w:val="28"/>
          <w:szCs w:val="28"/>
          <w:lang w:val="en-US" w:eastAsia="zh-CN"/>
          <w14:textFill>
            <w14:solidFill>
              <w14:schemeClr w14:val="tx1"/>
            </w14:solidFill>
          </w14:textFill>
        </w:rPr>
        <w:t>000</w:t>
      </w:r>
      <w:r>
        <w:rPr>
          <w:rFonts w:hint="eastAsia" w:ascii="宋体" w:hAnsi="宋体" w:eastAsia="宋体" w:cs="宋体"/>
          <w:color w:val="000000" w:themeColor="text1"/>
          <w:sz w:val="28"/>
          <w:szCs w:val="28"/>
          <w:lang w:eastAsia="zh-CN"/>
          <w14:textFill>
            <w14:solidFill>
              <w14:schemeClr w14:val="tx1"/>
            </w14:solidFill>
          </w14:textFill>
        </w:rPr>
        <w:t>元整</w:t>
      </w:r>
      <w:r>
        <w:rPr>
          <w:rFonts w:hint="eastAsia" w:ascii="宋体" w:hAnsi="宋体" w:eastAsia="宋体" w:cs="宋体"/>
          <w:sz w:val="28"/>
          <w:szCs w:val="28"/>
          <w:lang w:eastAsia="zh-CN"/>
        </w:rPr>
        <w:t>，参比单位应按照要求从参比单位基本</w:t>
      </w:r>
      <w:r>
        <w:rPr>
          <w:rFonts w:hint="eastAsia" w:ascii="宋体" w:hAnsi="宋体" w:eastAsia="宋体" w:cs="宋体"/>
          <w:color w:val="000000" w:themeColor="text1"/>
          <w:sz w:val="28"/>
          <w:szCs w:val="28"/>
          <w:lang w:eastAsia="zh-CN"/>
          <w14:textFill>
            <w14:solidFill>
              <w14:schemeClr w14:val="tx1"/>
            </w14:solidFill>
          </w14:textFill>
        </w:rPr>
        <w:t>账户转入比选单位的账户，比选单位账户信息如下：</w:t>
      </w:r>
    </w:p>
    <w:p w14:paraId="497C6DF0">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 xml:space="preserve">    开户名称：</w:t>
      </w:r>
      <w:r>
        <w:rPr>
          <w:rFonts w:hint="eastAsia" w:ascii="宋体" w:hAnsi="宋体" w:eastAsia="宋体" w:cs="宋体"/>
          <w:sz w:val="28"/>
          <w:szCs w:val="28"/>
          <w:lang w:eastAsia="zh-CN"/>
        </w:rPr>
        <w:t>福建福海创石油化工有限公司</w:t>
      </w:r>
    </w:p>
    <w:p w14:paraId="29829BA5">
      <w:pPr>
        <w:pStyle w:val="6"/>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开户银行：</w:t>
      </w:r>
      <w:r>
        <w:rPr>
          <w:rFonts w:hint="eastAsia" w:ascii="宋体" w:hAnsi="宋体" w:eastAsia="宋体" w:cs="宋体"/>
          <w:sz w:val="28"/>
          <w:szCs w:val="28"/>
          <w:lang w:eastAsia="zh-CN"/>
        </w:rPr>
        <w:t>中国银行股份有限公司漳州古雷经济开发区支行</w:t>
      </w:r>
    </w:p>
    <w:p w14:paraId="04B0D91F">
      <w:pPr>
        <w:pStyle w:val="6"/>
        <w:spacing w:line="360" w:lineRule="auto"/>
        <w:ind w:right="12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    帐  号：</w:t>
      </w:r>
      <w:r>
        <w:rPr>
          <w:rFonts w:hint="eastAsia" w:ascii="宋体" w:hAnsi="宋体" w:eastAsia="宋体" w:cs="宋体"/>
          <w:sz w:val="28"/>
          <w:szCs w:val="28"/>
          <w:lang w:eastAsia="zh-CN"/>
        </w:rPr>
        <w:t>406574816628</w:t>
      </w:r>
    </w:p>
    <w:p w14:paraId="70238E06">
      <w:pPr>
        <w:pStyle w:val="6"/>
        <w:spacing w:line="360" w:lineRule="auto"/>
        <w:ind w:right="12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    注明用途：</w:t>
      </w:r>
      <w:r>
        <w:rPr>
          <w:rFonts w:hint="eastAsia" w:cs="宋体"/>
          <w:sz w:val="28"/>
          <w:szCs w:val="28"/>
          <w:lang w:eastAsia="zh-CN"/>
        </w:rPr>
        <w:t>机电离线监测设备采购与安装项目</w:t>
      </w:r>
    </w:p>
    <w:p w14:paraId="7ECBE6C5">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参比保证金有效期：90日历天。</w:t>
      </w:r>
    </w:p>
    <w:p w14:paraId="617CAFC0">
      <w:pPr>
        <w:pStyle w:val="6"/>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注：开户许可证上账号应与参比保证金转账回单上账号一致，否则视为未按规定提交参比保证金,所造成的一切后果由参比人自行负责。参比保证金转入后，将相关凭证放在商务比选文件中。</w:t>
      </w:r>
    </w:p>
    <w:p w14:paraId="1BC69671">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2.对于未能按要求提交保证金的参比文件，比选单位可以视为不符合上面比选要求而予以拒绝；</w:t>
      </w:r>
    </w:p>
    <w:p w14:paraId="53D0C14E">
      <w:pPr>
        <w:pStyle w:val="6"/>
        <w:spacing w:line="360" w:lineRule="auto"/>
        <w:ind w:right="121" w:firstLine="478" w:firstLineChars="17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3.比选结束退还比选保证金（无息），最迟不超过规定的比选有效期满后的</w:t>
      </w:r>
      <w:r>
        <w:rPr>
          <w:rFonts w:hint="eastAsia" w:cs="宋体"/>
          <w:sz w:val="28"/>
          <w:szCs w:val="28"/>
          <w:lang w:val="en-US" w:eastAsia="zh-CN"/>
        </w:rPr>
        <w:t>6</w:t>
      </w:r>
      <w:r>
        <w:rPr>
          <w:rFonts w:hint="eastAsia" w:ascii="宋体" w:hAnsi="宋体" w:eastAsia="宋体" w:cs="宋体"/>
          <w:sz w:val="28"/>
          <w:szCs w:val="28"/>
          <w:lang w:eastAsia="zh-CN"/>
        </w:rPr>
        <w:t>0天。</w:t>
      </w:r>
    </w:p>
    <w:p w14:paraId="72FB9703">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4</w:t>
      </w:r>
      <w:r>
        <w:rPr>
          <w:rFonts w:hint="eastAsia" w:ascii="宋体" w:hAnsi="宋体" w:eastAsia="宋体" w:cs="宋体"/>
          <w:sz w:val="28"/>
          <w:szCs w:val="28"/>
          <w:lang w:eastAsia="zh-CN"/>
        </w:rPr>
        <w:t>.如有下列情况发生，将被没收参比保证金：</w:t>
      </w:r>
    </w:p>
    <w:p w14:paraId="1E8930AE">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（1）参比单位在参比有效期内撤回询比文件；</w:t>
      </w:r>
    </w:p>
    <w:p w14:paraId="5D78F489">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（2）参比单位未能按接到中标通知书后规定的时间内签定合同。</w:t>
      </w:r>
    </w:p>
    <w:p w14:paraId="742ECE9C">
      <w:pPr>
        <w:spacing w:line="360" w:lineRule="auto"/>
        <w:ind w:firstLine="675" w:firstLineChars="200"/>
        <w:rPr>
          <w:rFonts w:hint="eastAsia" w:ascii="宋体" w:hAnsi="宋体" w:eastAsia="宋体" w:cs="宋体"/>
          <w:sz w:val="32"/>
          <w:szCs w:val="32"/>
          <w:lang w:eastAsia="zh-CN"/>
        </w:rPr>
      </w:pPr>
      <w:r>
        <w:rPr>
          <w:rFonts w:hint="eastAsia" w:ascii="宋体" w:hAnsi="宋体" w:eastAsia="宋体" w:cs="宋体"/>
          <w:b/>
          <w:bCs/>
          <w:snapToGrid w:val="0"/>
          <w:color w:val="000000" w:themeColor="text1"/>
          <w:spacing w:val="8"/>
          <w:sz w:val="32"/>
          <w:szCs w:val="32"/>
          <w:lang w:eastAsia="zh-CN"/>
          <w14:textFill>
            <w14:solidFill>
              <w14:schemeClr w14:val="tx1"/>
            </w14:solidFill>
          </w14:textFill>
        </w:rPr>
        <w:t>六、联系方式</w:t>
      </w:r>
      <w:r>
        <w:rPr>
          <w:rFonts w:hint="eastAsia" w:ascii="宋体" w:hAnsi="宋体" w:eastAsia="宋体" w:cs="宋体"/>
          <w:sz w:val="32"/>
          <w:szCs w:val="32"/>
          <w:lang w:eastAsia="zh-CN"/>
        </w:rPr>
        <w:t xml:space="preserve"> </w:t>
      </w:r>
    </w:p>
    <w:p w14:paraId="7C9BA464">
      <w:pPr>
        <w:tabs>
          <w:tab w:val="left" w:pos="709"/>
        </w:tabs>
        <w:spacing w:line="360" w:lineRule="auto"/>
        <w:ind w:left="839" w:leftChars="254" w:hanging="280" w:hangingChars="100"/>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商务联系人：</w:t>
      </w:r>
      <w:r>
        <w:rPr>
          <w:rFonts w:hint="eastAsia" w:ascii="宋体" w:hAnsi="宋体" w:eastAsia="宋体" w:cs="宋体"/>
          <w:color w:val="000000" w:themeColor="text1"/>
          <w:sz w:val="28"/>
          <w:szCs w:val="28"/>
          <w:lang w:val="en-US" w:eastAsia="zh-CN"/>
          <w14:textFill>
            <w14:solidFill>
              <w14:schemeClr w14:val="tx1"/>
            </w14:solidFill>
          </w14:textFill>
        </w:rPr>
        <w:t>沈学荣</w:t>
      </w:r>
      <w:r>
        <w:rPr>
          <w:rFonts w:hint="eastAsia" w:ascii="宋体" w:hAnsi="宋体" w:eastAsia="宋体" w:cs="宋体"/>
          <w:color w:val="000000" w:themeColor="text1"/>
          <w:sz w:val="28"/>
          <w:szCs w:val="28"/>
          <w:lang w:eastAsia="zh-CN"/>
          <w14:textFill>
            <w14:solidFill>
              <w14:schemeClr w14:val="tx1"/>
            </w14:solidFill>
          </w14:textFill>
        </w:rPr>
        <w:t xml:space="preserve"> 电话：</w:t>
      </w:r>
      <w:r>
        <w:rPr>
          <w:rFonts w:hint="eastAsia" w:ascii="宋体" w:hAnsi="宋体" w:eastAsia="宋体" w:cs="宋体"/>
          <w:color w:val="000000" w:themeColor="text1"/>
          <w:sz w:val="28"/>
          <w:szCs w:val="28"/>
          <w:lang w:val="en-US" w:eastAsia="zh-CN"/>
          <w14:textFill>
            <w14:solidFill>
              <w14:schemeClr w14:val="tx1"/>
            </w14:solidFill>
          </w14:textFill>
        </w:rPr>
        <w:t>18159613129</w:t>
      </w:r>
      <w:r>
        <w:rPr>
          <w:rFonts w:hint="eastAsia" w:ascii="宋体" w:hAnsi="宋体" w:eastAsia="宋体" w:cs="宋体"/>
          <w:color w:val="000000" w:themeColor="text1"/>
          <w:sz w:val="28"/>
          <w:szCs w:val="28"/>
          <w:lang w:eastAsia="zh-CN"/>
          <w14:textFill>
            <w14:solidFill>
              <w14:schemeClr w14:val="tx1"/>
            </w14:solidFill>
          </w14:textFill>
        </w:rPr>
        <w:t xml:space="preserve"> 邮箱：</w:t>
      </w:r>
      <w:r>
        <w:rPr>
          <w:rFonts w:hint="eastAsia" w:ascii="宋体" w:hAnsi="宋体" w:eastAsia="宋体" w:cs="宋体"/>
          <w:color w:val="000000" w:themeColor="text1"/>
          <w:sz w:val="28"/>
          <w:szCs w:val="28"/>
          <w:lang w:val="en-US" w:eastAsia="zh-CN"/>
          <w14:textFill>
            <w14:solidFill>
              <w14:schemeClr w14:val="tx1"/>
            </w14:solidFill>
          </w14:textFill>
        </w:rPr>
        <w:fldChar w:fldCharType="begin"/>
      </w:r>
      <w:r>
        <w:rPr>
          <w:rFonts w:hint="eastAsia" w:ascii="宋体" w:hAnsi="宋体" w:eastAsia="宋体" w:cs="宋体"/>
          <w:color w:val="000000" w:themeColor="text1"/>
          <w:sz w:val="28"/>
          <w:szCs w:val="28"/>
          <w:lang w:val="en-US" w:eastAsia="zh-CN"/>
          <w14:textFill>
            <w14:solidFill>
              <w14:schemeClr w14:val="tx1"/>
            </w14:solidFill>
          </w14:textFill>
        </w:rPr>
        <w:instrText xml:space="preserve"> HYPERLINK "mailto:xrshen@fhcpec.com.c" </w:instrText>
      </w:r>
      <w:r>
        <w:rPr>
          <w:rFonts w:hint="eastAsia" w:ascii="宋体" w:hAnsi="宋体" w:eastAsia="宋体" w:cs="宋体"/>
          <w:color w:val="000000" w:themeColor="text1"/>
          <w:sz w:val="28"/>
          <w:szCs w:val="28"/>
          <w:lang w:val="en-US" w:eastAsia="zh-CN"/>
          <w14:textFill>
            <w14:solidFill>
              <w14:schemeClr w14:val="tx1"/>
            </w14:solidFill>
          </w14:textFill>
        </w:rPr>
        <w:fldChar w:fldCharType="separate"/>
      </w:r>
      <w:r>
        <w:rPr>
          <w:rStyle w:val="20"/>
          <w:rFonts w:hint="eastAsia" w:ascii="宋体" w:hAnsi="宋体" w:eastAsia="宋体" w:cs="宋体"/>
          <w:sz w:val="28"/>
          <w:szCs w:val="28"/>
          <w:lang w:val="en-US" w:eastAsia="zh-CN"/>
        </w:rPr>
        <w:t>xrshen@fhcpec.com.c</w:t>
      </w:r>
      <w:r>
        <w:rPr>
          <w:rFonts w:hint="eastAsia" w:ascii="宋体" w:hAnsi="宋体" w:eastAsia="宋体" w:cs="宋体"/>
          <w:color w:val="000000" w:themeColor="text1"/>
          <w:sz w:val="28"/>
          <w:szCs w:val="28"/>
          <w:lang w:val="en-US" w:eastAsia="zh-CN"/>
          <w14:textFill>
            <w14:solidFill>
              <w14:schemeClr w14:val="tx1"/>
            </w14:solidFill>
          </w14:textFill>
        </w:rPr>
        <w:fldChar w:fldCharType="end"/>
      </w:r>
      <w:r>
        <w:rPr>
          <w:rFonts w:hint="eastAsia" w:ascii="宋体" w:hAnsi="宋体" w:eastAsia="宋体" w:cs="宋体"/>
          <w:color w:val="000000" w:themeColor="text1"/>
          <w:sz w:val="28"/>
          <w:szCs w:val="28"/>
          <w:lang w:val="en-US" w:eastAsia="zh-CN"/>
          <w14:textFill>
            <w14:solidFill>
              <w14:schemeClr w14:val="tx1"/>
            </w14:solidFill>
          </w14:textFill>
        </w:rPr>
        <w:t>n</w:t>
      </w:r>
    </w:p>
    <w:p w14:paraId="16CE192D">
      <w:pPr>
        <w:tabs>
          <w:tab w:val="left" w:pos="709"/>
        </w:tabs>
        <w:spacing w:line="360" w:lineRule="auto"/>
        <w:ind w:left="839" w:leftChars="254" w:hanging="280" w:hangingChars="1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纪检监察室电话：0596-6311774  </w:t>
      </w:r>
    </w:p>
    <w:p w14:paraId="5EAF0A77">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联系地址：漳州市漳浦县杜浔镇杜昌路9号</w:t>
      </w:r>
    </w:p>
    <w:p w14:paraId="3DA52AA0">
      <w:pPr>
        <w:tabs>
          <w:tab w:val="left" w:pos="709"/>
        </w:tabs>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邮    编：363216</w:t>
      </w:r>
    </w:p>
    <w:p w14:paraId="1E424472">
      <w:pPr>
        <w:spacing w:line="360" w:lineRule="auto"/>
        <w:ind w:firstLine="560" w:firstLineChars="200"/>
        <w:rPr>
          <w:rFonts w:hint="eastAsia" w:ascii="宋体" w:hAnsi="宋体" w:eastAsia="宋体" w:cs="宋体"/>
          <w:lang w:eastAsia="zh-CN"/>
        </w:rPr>
      </w:pPr>
      <w:r>
        <w:rPr>
          <w:rFonts w:hint="eastAsia" w:ascii="宋体" w:hAnsi="宋体" w:eastAsia="宋体" w:cs="宋体"/>
          <w:sz w:val="28"/>
          <w:szCs w:val="28"/>
          <w:lang w:eastAsia="zh-CN"/>
        </w:rPr>
        <w:t xml:space="preserve">                              福建福海创石油化工有限公司 </w:t>
      </w:r>
    </w:p>
    <w:p w14:paraId="62E52DBC">
      <w:pPr>
        <w:jc w:val="center"/>
        <w:outlineLvl w:val="0"/>
        <w:rPr>
          <w:rFonts w:hint="eastAsia" w:ascii="宋体" w:hAnsi="宋体" w:eastAsia="宋体" w:cs="宋体"/>
          <w:sz w:val="32"/>
          <w:szCs w:val="32"/>
          <w:lang w:eastAsia="zh-CN"/>
        </w:rPr>
      </w:pPr>
    </w:p>
    <w:p w14:paraId="1BFCBD0A">
      <w:pPr>
        <w:jc w:val="center"/>
        <w:outlineLvl w:val="0"/>
        <w:rPr>
          <w:rFonts w:hint="eastAsia" w:ascii="宋体" w:hAnsi="宋体" w:eastAsia="宋体" w:cs="宋体"/>
          <w:sz w:val="32"/>
          <w:szCs w:val="32"/>
          <w:lang w:eastAsia="zh-CN"/>
        </w:rPr>
      </w:pPr>
    </w:p>
    <w:p w14:paraId="698E6F79">
      <w:pPr>
        <w:jc w:val="center"/>
        <w:outlineLvl w:val="0"/>
        <w:rPr>
          <w:rFonts w:hint="eastAsia" w:ascii="宋体" w:hAnsi="宋体" w:eastAsia="宋体" w:cs="宋体"/>
          <w:sz w:val="32"/>
          <w:szCs w:val="32"/>
          <w:lang w:eastAsia="zh-CN"/>
        </w:rPr>
      </w:pPr>
    </w:p>
    <w:p w14:paraId="61A4B8BB">
      <w:pPr>
        <w:jc w:val="center"/>
        <w:outlineLvl w:val="0"/>
        <w:rPr>
          <w:rFonts w:hint="eastAsia" w:ascii="宋体" w:hAnsi="宋体" w:eastAsia="宋体" w:cs="宋体"/>
          <w:sz w:val="32"/>
          <w:szCs w:val="32"/>
          <w:lang w:eastAsia="zh-CN"/>
        </w:rPr>
      </w:pPr>
    </w:p>
    <w:p w14:paraId="47409170">
      <w:pPr>
        <w:jc w:val="center"/>
        <w:outlineLvl w:val="0"/>
        <w:rPr>
          <w:rFonts w:hint="eastAsia" w:ascii="宋体" w:hAnsi="宋体" w:eastAsia="宋体" w:cs="宋体"/>
          <w:sz w:val="32"/>
          <w:szCs w:val="32"/>
          <w:lang w:eastAsia="zh-CN"/>
        </w:rPr>
      </w:pPr>
    </w:p>
    <w:p w14:paraId="7A97A914">
      <w:pPr>
        <w:jc w:val="center"/>
        <w:outlineLvl w:val="0"/>
        <w:rPr>
          <w:rFonts w:hint="eastAsia" w:ascii="宋体" w:hAnsi="宋体" w:eastAsia="宋体" w:cs="宋体"/>
          <w:sz w:val="32"/>
          <w:szCs w:val="32"/>
          <w:lang w:eastAsia="zh-CN"/>
        </w:rPr>
      </w:pPr>
    </w:p>
    <w:p w14:paraId="682C8D97">
      <w:pPr>
        <w:jc w:val="center"/>
        <w:outlineLvl w:val="0"/>
        <w:rPr>
          <w:rFonts w:hint="eastAsia" w:ascii="宋体" w:hAnsi="宋体" w:eastAsia="宋体" w:cs="宋体"/>
          <w:sz w:val="32"/>
          <w:szCs w:val="32"/>
          <w:lang w:eastAsia="zh-CN"/>
        </w:rPr>
      </w:pPr>
    </w:p>
    <w:p w14:paraId="78628592">
      <w:pPr>
        <w:jc w:val="center"/>
        <w:outlineLvl w:val="0"/>
        <w:rPr>
          <w:rFonts w:hint="eastAsia" w:ascii="宋体" w:hAnsi="宋体" w:eastAsia="宋体" w:cs="宋体"/>
          <w:sz w:val="32"/>
          <w:szCs w:val="32"/>
          <w:lang w:eastAsia="zh-CN"/>
        </w:rPr>
      </w:pPr>
    </w:p>
    <w:p w14:paraId="2A13A898">
      <w:pPr>
        <w:jc w:val="center"/>
        <w:outlineLvl w:val="0"/>
        <w:rPr>
          <w:rFonts w:hint="eastAsia" w:ascii="宋体" w:hAnsi="宋体" w:eastAsia="宋体" w:cs="宋体"/>
          <w:sz w:val="32"/>
          <w:szCs w:val="32"/>
          <w:lang w:eastAsia="zh-CN"/>
        </w:rPr>
      </w:pPr>
    </w:p>
    <w:p w14:paraId="17F01230">
      <w:pPr>
        <w:jc w:val="center"/>
        <w:outlineLvl w:val="0"/>
        <w:rPr>
          <w:rFonts w:hint="eastAsia" w:ascii="宋体" w:hAnsi="宋体" w:eastAsia="宋体" w:cs="宋体"/>
          <w:sz w:val="32"/>
          <w:szCs w:val="32"/>
          <w:lang w:eastAsia="zh-CN"/>
        </w:rPr>
      </w:pPr>
    </w:p>
    <w:p w14:paraId="2887741C">
      <w:pPr>
        <w:jc w:val="center"/>
        <w:outlineLvl w:val="0"/>
        <w:rPr>
          <w:rFonts w:hint="eastAsia" w:ascii="宋体" w:hAnsi="宋体" w:eastAsia="宋体" w:cs="宋体"/>
          <w:sz w:val="32"/>
          <w:szCs w:val="32"/>
          <w:lang w:eastAsia="zh-CN"/>
        </w:rPr>
      </w:pPr>
    </w:p>
    <w:p w14:paraId="06BB52B9">
      <w:pPr>
        <w:jc w:val="center"/>
        <w:outlineLvl w:val="0"/>
        <w:rPr>
          <w:rFonts w:hint="eastAsia" w:ascii="宋体" w:hAnsi="宋体" w:eastAsia="宋体" w:cs="宋体"/>
          <w:sz w:val="32"/>
          <w:szCs w:val="32"/>
          <w:lang w:eastAsia="zh-CN"/>
        </w:rPr>
      </w:pPr>
    </w:p>
    <w:p w14:paraId="582CDCD9">
      <w:pPr>
        <w:jc w:val="center"/>
        <w:outlineLvl w:val="0"/>
        <w:rPr>
          <w:rFonts w:hint="eastAsia" w:ascii="宋体" w:hAnsi="宋体" w:eastAsia="宋体" w:cs="宋体"/>
          <w:sz w:val="32"/>
          <w:szCs w:val="32"/>
          <w:lang w:eastAsia="zh-CN"/>
        </w:rPr>
      </w:pPr>
    </w:p>
    <w:p w14:paraId="64CBB2D7">
      <w:pPr>
        <w:jc w:val="center"/>
        <w:outlineLvl w:val="0"/>
        <w:rPr>
          <w:rFonts w:hint="eastAsia" w:ascii="宋体" w:hAnsi="宋体" w:eastAsia="宋体" w:cs="宋体"/>
          <w:sz w:val="32"/>
          <w:szCs w:val="32"/>
          <w:lang w:eastAsia="zh-CN"/>
        </w:rPr>
      </w:pPr>
    </w:p>
    <w:p w14:paraId="0089EDB2">
      <w:pPr>
        <w:jc w:val="center"/>
        <w:outlineLvl w:val="0"/>
        <w:rPr>
          <w:rFonts w:hint="eastAsia" w:ascii="宋体" w:hAnsi="宋体" w:eastAsia="宋体" w:cs="宋体"/>
          <w:sz w:val="32"/>
          <w:szCs w:val="32"/>
          <w:lang w:eastAsia="zh-CN"/>
        </w:rPr>
      </w:pPr>
    </w:p>
    <w:p w14:paraId="24BB0F9C">
      <w:pPr>
        <w:jc w:val="center"/>
        <w:outlineLvl w:val="0"/>
        <w:rPr>
          <w:rFonts w:hint="eastAsia" w:ascii="宋体" w:hAnsi="宋体" w:eastAsia="宋体" w:cs="宋体"/>
          <w:sz w:val="32"/>
          <w:szCs w:val="32"/>
          <w:lang w:eastAsia="zh-CN"/>
        </w:rPr>
      </w:pPr>
    </w:p>
    <w:p w14:paraId="07936870">
      <w:pPr>
        <w:jc w:val="center"/>
        <w:outlineLvl w:val="0"/>
        <w:rPr>
          <w:rFonts w:hint="eastAsia" w:ascii="宋体" w:hAnsi="宋体" w:eastAsia="宋体" w:cs="宋体"/>
          <w:sz w:val="32"/>
          <w:szCs w:val="32"/>
          <w:lang w:eastAsia="zh-CN"/>
        </w:rPr>
      </w:pPr>
    </w:p>
    <w:p w14:paraId="63639A18">
      <w:pPr>
        <w:jc w:val="center"/>
        <w:outlineLvl w:val="0"/>
        <w:rPr>
          <w:rFonts w:hint="eastAsia" w:ascii="宋体" w:hAnsi="宋体" w:eastAsia="宋体" w:cs="宋体"/>
          <w:sz w:val="32"/>
          <w:szCs w:val="32"/>
          <w:lang w:eastAsia="zh-CN"/>
        </w:rPr>
      </w:pPr>
    </w:p>
    <w:p w14:paraId="468BEF30">
      <w:pPr>
        <w:jc w:val="center"/>
        <w:outlineLvl w:val="0"/>
        <w:rPr>
          <w:rFonts w:hint="eastAsia" w:ascii="宋体" w:hAnsi="宋体" w:eastAsia="宋体" w:cs="宋体"/>
          <w:sz w:val="32"/>
          <w:szCs w:val="32"/>
          <w:lang w:eastAsia="zh-CN"/>
        </w:rPr>
      </w:pPr>
    </w:p>
    <w:p w14:paraId="68EFB4C1">
      <w:pPr>
        <w:jc w:val="center"/>
        <w:outlineLvl w:val="0"/>
        <w:rPr>
          <w:rFonts w:hint="eastAsia" w:ascii="宋体" w:hAnsi="宋体" w:eastAsia="宋体" w:cs="宋体"/>
          <w:sz w:val="32"/>
          <w:szCs w:val="32"/>
          <w:lang w:eastAsia="zh-CN"/>
        </w:rPr>
      </w:pPr>
      <w:r>
        <w:rPr>
          <w:rFonts w:hint="eastAsia" w:ascii="宋体" w:hAnsi="宋体" w:eastAsia="宋体" w:cs="宋体"/>
          <w:sz w:val="32"/>
          <w:szCs w:val="32"/>
          <w:lang w:eastAsia="zh-CN"/>
        </w:rPr>
        <w:t>附件、法定代表人授权书</w:t>
      </w:r>
    </w:p>
    <w:p w14:paraId="69C07C57">
      <w:pPr>
        <w:jc w:val="center"/>
        <w:outlineLvl w:val="0"/>
        <w:rPr>
          <w:rFonts w:hint="eastAsia" w:ascii="宋体" w:hAnsi="宋体" w:eastAsia="宋体" w:cs="宋体"/>
          <w:lang w:eastAsia="zh-CN"/>
        </w:rPr>
      </w:pPr>
    </w:p>
    <w:p w14:paraId="0CB5338A">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本人 </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（姓名）系 </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（参比单位名称）的法定代表人，现授权委托本单位在职员工</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（姓名，职务）（身份证号码：</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、手机号码：</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、EMAIL：</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）作为参比人代表以我方的名义参加贵单位组织的</w:t>
      </w:r>
      <w:r>
        <w:rPr>
          <w:rFonts w:hint="eastAsia" w:cs="宋体"/>
          <w:color w:val="FF0000"/>
          <w:sz w:val="28"/>
          <w:szCs w:val="28"/>
          <w:u w:val="single"/>
          <w:lang w:eastAsia="zh-CN"/>
        </w:rPr>
        <w:t>机电离线监测设备采购与安装项目</w:t>
      </w:r>
      <w:r>
        <w:rPr>
          <w:rFonts w:hint="eastAsia" w:ascii="宋体" w:hAnsi="宋体" w:eastAsia="宋体" w:cs="宋体"/>
          <w:color w:val="FF0000"/>
          <w:sz w:val="28"/>
          <w:szCs w:val="28"/>
          <w:u w:val="single"/>
          <w:lang w:eastAsia="zh-CN"/>
        </w:rPr>
        <w:t>（项目编号：</w:t>
      </w:r>
      <w:r>
        <w:rPr>
          <w:rFonts w:hint="eastAsia" w:cs="宋体"/>
          <w:color w:val="FF0000"/>
          <w:sz w:val="28"/>
          <w:szCs w:val="28"/>
          <w:u w:val="single"/>
          <w:lang w:eastAsia="zh-CN"/>
        </w:rPr>
        <w:t>QGD-3120-251031-0345</w:t>
      </w:r>
      <w:r>
        <w:rPr>
          <w:rFonts w:hint="eastAsia" w:ascii="宋体" w:hAnsi="宋体" w:eastAsia="宋体" w:cs="宋体"/>
          <w:color w:val="FF0000"/>
          <w:sz w:val="28"/>
          <w:szCs w:val="28"/>
          <w:u w:val="single"/>
          <w:lang w:eastAsia="zh-CN"/>
        </w:rPr>
        <w:t>）</w:t>
      </w:r>
      <w:r>
        <w:rPr>
          <w:rFonts w:hint="eastAsia" w:ascii="宋体" w:hAnsi="宋体" w:eastAsia="宋体" w:cs="宋体"/>
          <w:sz w:val="28"/>
          <w:szCs w:val="28"/>
          <w:lang w:eastAsia="zh-CN"/>
        </w:rPr>
        <w:t>的询比活动，并代表我方全权处理一切与之有关的具体事务和签署相关文件，我均予以承认。</w:t>
      </w:r>
    </w:p>
    <w:p w14:paraId="16502F38">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代理人无权转让委托权。</w:t>
      </w:r>
    </w:p>
    <w:p w14:paraId="2D2846D5">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本授权书于</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年</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月</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日签字生效，本授权书至采购有效期结束前始终有效。</w:t>
      </w:r>
    </w:p>
    <w:p w14:paraId="763DB468">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特此声明。</w:t>
      </w:r>
    </w:p>
    <w:p w14:paraId="6E314E63">
      <w:pPr>
        <w:rPr>
          <w:rFonts w:hint="eastAsia" w:ascii="宋体" w:hAnsi="宋体" w:eastAsia="宋体" w:cs="宋体"/>
          <w:sz w:val="28"/>
          <w:szCs w:val="28"/>
          <w:lang w:eastAsia="zh-CN"/>
        </w:rPr>
      </w:pPr>
    </w:p>
    <w:p w14:paraId="1CA01294">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参比人（公章）：</w:t>
      </w:r>
    </w:p>
    <w:p w14:paraId="7840763F">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法定代表人（授权人）签字或盖章：</w:t>
      </w:r>
    </w:p>
    <w:p w14:paraId="0004BCBE">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参比人代表（被授权人）签字或盖章：</w:t>
      </w:r>
    </w:p>
    <w:p w14:paraId="4A85B063">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日期：</w:t>
      </w:r>
    </w:p>
    <w:p w14:paraId="75E81B47">
      <w:pPr>
        <w:rPr>
          <w:rFonts w:hint="eastAsia" w:ascii="宋体" w:hAnsi="宋体" w:eastAsia="宋体" w:cs="宋体"/>
          <w:sz w:val="28"/>
          <w:szCs w:val="28"/>
          <w:lang w:eastAsia="zh-CN"/>
        </w:rPr>
      </w:pPr>
    </w:p>
    <w:p w14:paraId="4FC5019D">
      <w:pPr>
        <w:rPr>
          <w:rFonts w:hint="eastAsia" w:ascii="宋体" w:hAnsi="宋体" w:eastAsia="宋体" w:cs="宋体"/>
          <w:sz w:val="28"/>
          <w:szCs w:val="28"/>
          <w:lang w:eastAsia="zh-CN"/>
        </w:rPr>
      </w:pPr>
      <w:r>
        <w:rPr>
          <w:rFonts w:hint="eastAsia" w:ascii="宋体" w:hAnsi="宋体" w:eastAsia="宋体" w:cs="宋体"/>
          <w:sz w:val="28"/>
          <w:szCs w:val="28"/>
          <w:lang w:eastAsia="zh-CN"/>
        </w:rPr>
        <w:t>参比人代表（被授权人）身份证正面和反面复印件</w:t>
      </w:r>
    </w:p>
    <w:p w14:paraId="6F229267">
      <w:pPr>
        <w:pStyle w:val="21"/>
        <w:rPr>
          <w:rFonts w:hint="eastAsia" w:ascii="宋体" w:hAnsi="宋体" w:eastAsia="宋体" w:cs="宋体"/>
        </w:rPr>
        <w:sectPr>
          <w:pgSz w:w="11910" w:h="16840"/>
          <w:pgMar w:top="1500" w:right="1020" w:bottom="740" w:left="1300" w:header="0" w:footer="551" w:gutter="0"/>
          <w:cols w:space="720" w:num="1"/>
        </w:sectPr>
      </w:pPr>
    </w:p>
    <w:p w14:paraId="7553D1B1">
      <w:pPr>
        <w:pStyle w:val="2"/>
        <w:tabs>
          <w:tab w:val="left" w:pos="1262"/>
        </w:tabs>
        <w:spacing w:line="355" w:lineRule="exact"/>
        <w:ind w:left="0" w:right="108"/>
        <w:jc w:val="center"/>
        <w:rPr>
          <w:rFonts w:hint="eastAsia" w:ascii="宋体" w:hAnsi="宋体" w:eastAsia="宋体" w:cs="宋体"/>
          <w:lang w:eastAsia="zh-CN"/>
        </w:rPr>
      </w:pPr>
      <w:r>
        <w:rPr>
          <w:rFonts w:hint="eastAsia" w:ascii="宋体" w:hAnsi="宋体" w:eastAsia="宋体" w:cs="宋体"/>
          <w:lang w:eastAsia="zh-CN"/>
        </w:rPr>
        <w:t>第二章</w:t>
      </w:r>
      <w:r>
        <w:rPr>
          <w:rFonts w:hint="eastAsia" w:ascii="宋体" w:hAnsi="宋体" w:eastAsia="宋体" w:cs="宋体"/>
          <w:lang w:eastAsia="zh-CN"/>
        </w:rPr>
        <w:tab/>
      </w:r>
      <w:r>
        <w:rPr>
          <w:rFonts w:hint="eastAsia" w:ascii="宋体" w:hAnsi="宋体" w:eastAsia="宋体" w:cs="宋体"/>
          <w:spacing w:val="-1"/>
          <w:w w:val="95"/>
          <w:lang w:eastAsia="zh-CN"/>
        </w:rPr>
        <w:t>询比须</w:t>
      </w:r>
      <w:r>
        <w:rPr>
          <w:rFonts w:hint="eastAsia" w:ascii="宋体" w:hAnsi="宋体" w:eastAsia="宋体" w:cs="宋体"/>
          <w:w w:val="95"/>
          <w:lang w:eastAsia="zh-CN"/>
        </w:rPr>
        <w:t>知</w:t>
      </w:r>
    </w:p>
    <w:p w14:paraId="38C99CF7">
      <w:pPr>
        <w:spacing w:before="15" w:line="360" w:lineRule="auto"/>
        <w:rPr>
          <w:rFonts w:hint="eastAsia" w:ascii="宋体" w:hAnsi="宋体" w:eastAsia="宋体" w:cs="宋体"/>
          <w:b/>
          <w:sz w:val="28"/>
          <w:lang w:eastAsia="zh-CN"/>
        </w:rPr>
      </w:pPr>
      <w:r>
        <w:rPr>
          <w:rFonts w:hint="eastAsia" w:ascii="宋体" w:hAnsi="宋体" w:eastAsia="宋体" w:cs="宋体"/>
          <w:b/>
          <w:w w:val="95"/>
          <w:sz w:val="28"/>
          <w:lang w:eastAsia="zh-CN"/>
        </w:rPr>
        <w:t>一、询比内容</w:t>
      </w:r>
    </w:p>
    <w:p w14:paraId="5597C729">
      <w:pPr>
        <w:tabs>
          <w:tab w:val="left" w:pos="709"/>
        </w:tabs>
        <w:spacing w:line="360" w:lineRule="auto"/>
        <w:ind w:firstLine="220" w:firstLineChars="100"/>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1.项目名称：</w:t>
      </w:r>
      <w:r>
        <w:rPr>
          <w:rFonts w:hint="eastAsia" w:cs="宋体"/>
          <w:sz w:val="28"/>
          <w:szCs w:val="28"/>
          <w:lang w:eastAsia="zh-CN"/>
        </w:rPr>
        <w:t>机电离线监测设备采购与安装项目</w:t>
      </w:r>
      <w:r>
        <w:rPr>
          <w:rFonts w:hint="eastAsia" w:ascii="宋体" w:hAnsi="宋体" w:eastAsia="宋体" w:cs="宋体"/>
          <w:sz w:val="28"/>
          <w:szCs w:val="28"/>
          <w:lang w:eastAsia="zh-CN"/>
        </w:rPr>
        <w:t xml:space="preserve">采购项目 </w:t>
      </w:r>
    </w:p>
    <w:p w14:paraId="61064285">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2.项目地点：福建福海创石油化工有限公司厂区</w:t>
      </w:r>
    </w:p>
    <w:p w14:paraId="54E04BD3">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3.承包方式：</w:t>
      </w:r>
      <w:r>
        <w:rPr>
          <w:rFonts w:hint="eastAsia" w:ascii="宋体" w:hAnsi="宋体" w:eastAsia="宋体" w:cs="宋体"/>
          <w:color w:val="FF0000"/>
          <w:sz w:val="28"/>
          <w:szCs w:val="28"/>
          <w:lang w:eastAsia="zh-CN"/>
        </w:rPr>
        <w:t>固定总价包干</w:t>
      </w:r>
    </w:p>
    <w:p w14:paraId="2F0771D8">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4.项目工作范围及技术要求：见附件发包说明</w:t>
      </w:r>
    </w:p>
    <w:p w14:paraId="669DCD4B">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5.项目联系人</w:t>
      </w:r>
    </w:p>
    <w:p w14:paraId="02FE9D4A">
      <w:pPr>
        <w:pStyle w:val="6"/>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技术联系人：</w:t>
      </w:r>
      <w:r>
        <w:rPr>
          <w:rFonts w:hint="eastAsia" w:ascii="宋体" w:hAnsi="宋体" w:eastAsia="宋体" w:cs="宋体"/>
          <w:sz w:val="28"/>
          <w:szCs w:val="28"/>
          <w:lang w:val="en-US" w:eastAsia="zh-CN"/>
        </w:rPr>
        <w:t>连培育</w:t>
      </w:r>
      <w:r>
        <w:rPr>
          <w:rFonts w:hint="eastAsia" w:ascii="宋体" w:hAnsi="宋体" w:eastAsia="宋体" w:cs="宋体"/>
          <w:sz w:val="28"/>
          <w:szCs w:val="28"/>
          <w:lang w:eastAsia="zh-CN"/>
        </w:rPr>
        <w:t xml:space="preserve"> 18250220941,  pylian@fhcpec.com.cn </w:t>
      </w:r>
    </w:p>
    <w:p w14:paraId="38F98E35">
      <w:pPr>
        <w:pStyle w:val="6"/>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商务联系人：沈学荣 18159613129</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xrshen@fhcpec.com.cn</w:t>
      </w:r>
    </w:p>
    <w:p w14:paraId="6E6B7791">
      <w:pPr>
        <w:spacing w:before="15" w:line="360" w:lineRule="auto"/>
        <w:rPr>
          <w:rFonts w:hint="eastAsia" w:ascii="宋体" w:hAnsi="宋体" w:eastAsia="宋体" w:cs="宋体"/>
          <w:b/>
          <w:w w:val="95"/>
          <w:sz w:val="28"/>
          <w:lang w:eastAsia="zh-CN"/>
        </w:rPr>
      </w:pPr>
      <w:r>
        <w:rPr>
          <w:rFonts w:hint="eastAsia" w:ascii="宋体" w:hAnsi="宋体" w:eastAsia="宋体" w:cs="宋体"/>
          <w:b/>
          <w:w w:val="95"/>
          <w:sz w:val="28"/>
          <w:lang w:eastAsia="zh-CN"/>
        </w:rPr>
        <w:t>二、定义和解释</w:t>
      </w:r>
    </w:p>
    <w:p w14:paraId="7667274F">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1.“采购人”系福建福海创石油化工有限公司，即业主方。</w:t>
      </w:r>
    </w:p>
    <w:p w14:paraId="63BCDA31">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2.“参比人”系指向采购人报名并接受邀请，领取采购文件，且已经提交或准备提交本次询比文件的法人。</w:t>
      </w:r>
    </w:p>
    <w:p w14:paraId="13F04CD0">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3.“参比人代表”系指全权代表参比人参加本次询比活动并签署询比文件的人，如果参比人代表不是参比人的法定代表人，须持有《法定代表人授权委托书》详见附件。</w:t>
      </w:r>
    </w:p>
    <w:p w14:paraId="5CF3CB15">
      <w:pPr>
        <w:spacing w:before="15" w:line="360" w:lineRule="auto"/>
        <w:rPr>
          <w:rFonts w:hint="eastAsia" w:ascii="宋体" w:hAnsi="宋体" w:eastAsia="宋体" w:cs="宋体"/>
          <w:b/>
          <w:w w:val="95"/>
          <w:sz w:val="28"/>
          <w:lang w:eastAsia="zh-CN"/>
        </w:rPr>
      </w:pPr>
      <w:r>
        <w:rPr>
          <w:rFonts w:hint="eastAsia" w:ascii="宋体" w:hAnsi="宋体" w:eastAsia="宋体" w:cs="宋体"/>
          <w:b/>
          <w:w w:val="95"/>
          <w:sz w:val="28"/>
          <w:lang w:eastAsia="zh-CN"/>
        </w:rPr>
        <w:t>三、比选文件组成</w:t>
      </w:r>
    </w:p>
    <w:p w14:paraId="7FAD003B">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1.采购文件包括下列内容：询比公告、询比须知、项目内容、合同书格式、报价单、承诺函等。</w:t>
      </w:r>
    </w:p>
    <w:p w14:paraId="5290A5EF">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2.采购文件除 1 中内容外，采购人在询比期间发出的书面文件和其他修改或补充函件，均是采购文件不可分割的组成部分。</w:t>
      </w:r>
    </w:p>
    <w:p w14:paraId="5767B1D7">
      <w:pPr>
        <w:pStyle w:val="6"/>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参比人应认真阅读、并充分理解采购文件的全部内容（包括所有的补充、修改内容、重要事项、格式、条款和技术规范、参数及要求等）。参比人没有按照采购文件要求提交全部资料，或者没有对采购文件在各方面都做出实质性响应是参比人的风险，有可能导致其参比被拒绝，或被认定为无效参比或被确定为参比无效。</w:t>
      </w:r>
    </w:p>
    <w:p w14:paraId="7B2ADB4D">
      <w:pPr>
        <w:pStyle w:val="6"/>
        <w:spacing w:line="360" w:lineRule="auto"/>
        <w:ind w:right="121"/>
        <w:jc w:val="both"/>
        <w:rPr>
          <w:rFonts w:hint="eastAsia" w:ascii="宋体" w:hAnsi="宋体" w:eastAsia="宋体" w:cs="宋体"/>
          <w:b/>
          <w:w w:val="95"/>
          <w:sz w:val="28"/>
          <w:lang w:eastAsia="zh-CN"/>
        </w:rPr>
      </w:pPr>
      <w:r>
        <w:rPr>
          <w:rFonts w:hint="eastAsia" w:ascii="宋体" w:hAnsi="宋体" w:eastAsia="宋体" w:cs="宋体"/>
          <w:b/>
          <w:w w:val="95"/>
          <w:sz w:val="28"/>
          <w:lang w:eastAsia="zh-CN"/>
        </w:rPr>
        <w:t>四、采购文件的澄清</w:t>
      </w:r>
    </w:p>
    <w:p w14:paraId="02A363CE">
      <w:pPr>
        <w:pStyle w:val="6"/>
        <w:spacing w:line="360" w:lineRule="auto"/>
        <w:ind w:right="121" w:firstLine="5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参比人获取采购文件后，应仔细检查采购文件的所有内容，如有残缺等问题应在获得采购文件 3 日内向采购人提出。参比人若对采购文件有任何疑问，应在参比截止时间前 5 日，按询比须知载明的地址以书面形式（包括书面、传真、电子邮件下同）通知到采购人。采购人将视情况确定采用适当方式予以澄清或以书面形式予以答复，澄清文件作为采购文件的组成部分，具有约束作用。</w:t>
      </w:r>
    </w:p>
    <w:p w14:paraId="01CE2039">
      <w:pPr>
        <w:pStyle w:val="6"/>
        <w:spacing w:line="360" w:lineRule="auto"/>
        <w:ind w:right="121"/>
        <w:jc w:val="both"/>
        <w:rPr>
          <w:rFonts w:hint="eastAsia" w:ascii="宋体" w:hAnsi="宋体" w:eastAsia="宋体" w:cs="宋体"/>
          <w:b/>
          <w:w w:val="95"/>
          <w:sz w:val="28"/>
          <w:lang w:eastAsia="zh-CN"/>
        </w:rPr>
      </w:pPr>
      <w:r>
        <w:rPr>
          <w:rFonts w:hint="eastAsia" w:ascii="宋体" w:hAnsi="宋体" w:eastAsia="宋体" w:cs="宋体"/>
          <w:b/>
          <w:w w:val="95"/>
          <w:sz w:val="28"/>
          <w:lang w:eastAsia="zh-CN"/>
        </w:rPr>
        <w:t>五、采购文件的修改、补充</w:t>
      </w:r>
    </w:p>
    <w:p w14:paraId="644DA18B">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在参比截止日期前，采购人可主动地或依据参比人要求澄清的问题而修改采购文件，并以书面形式通知所有报名参加询比项目的每一参比人，对方在收到该通知后应立即以书面形式予以确认；参比人未按规定时间予以确认或未按规定时间地点领取书面文件的，视比选通知已收到。</w:t>
      </w:r>
    </w:p>
    <w:p w14:paraId="148E7675">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2.为使参比人在准备参比文件时有合理的时间考虑采购文件的修改，采购人可酌情推迟参比选截止时间和开评时间，并以书面形式通知已获得采购文件的每一参比人。</w:t>
      </w:r>
    </w:p>
    <w:p w14:paraId="2E23CBCD">
      <w:pPr>
        <w:pStyle w:val="6"/>
        <w:spacing w:line="360" w:lineRule="auto"/>
        <w:ind w:right="121" w:firstLine="560"/>
        <w:jc w:val="both"/>
        <w:rPr>
          <w:rFonts w:hint="eastAsia" w:ascii="宋体" w:hAnsi="宋体" w:eastAsia="宋体" w:cs="宋体"/>
          <w:b/>
          <w:w w:val="95"/>
          <w:sz w:val="28"/>
          <w:lang w:eastAsia="zh-CN"/>
        </w:rPr>
      </w:pPr>
      <w:r>
        <w:rPr>
          <w:rFonts w:hint="eastAsia" w:ascii="宋体" w:hAnsi="宋体" w:eastAsia="宋体" w:cs="宋体"/>
          <w:sz w:val="28"/>
          <w:szCs w:val="28"/>
          <w:lang w:eastAsia="zh-CN"/>
        </w:rPr>
        <w:t>3.采购文件的修改书将构成采购文件的一部分，对参比人具有约束作用。</w:t>
      </w:r>
      <w:r>
        <w:rPr>
          <w:rFonts w:hint="eastAsia" w:ascii="宋体" w:hAnsi="宋体" w:eastAsia="宋体" w:cs="宋体"/>
          <w:b/>
          <w:w w:val="95"/>
          <w:sz w:val="28"/>
          <w:lang w:eastAsia="zh-CN"/>
        </w:rPr>
        <w:t>六、参比人资格</w:t>
      </w:r>
    </w:p>
    <w:p w14:paraId="1E157E3A">
      <w:pPr>
        <w:spacing w:line="360" w:lineRule="auto"/>
        <w:ind w:firstLine="560" w:firstLineChars="200"/>
        <w:rPr>
          <w:rFonts w:hint="eastAsia"/>
          <w:color w:val="000000"/>
          <w:sz w:val="28"/>
        </w:rPr>
      </w:pPr>
      <w:r>
        <w:rPr>
          <w:rFonts w:hint="eastAsia"/>
          <w:color w:val="000000"/>
          <w:sz w:val="28"/>
        </w:rPr>
        <w:t>1.独立法人资格。具有独立订立合同的权利和履行合同的能力，依法取得营业执照，营业执照处于有效期，营业执照、税务登记证、组织机构代码证三证齐全。</w:t>
      </w:r>
    </w:p>
    <w:p w14:paraId="0D9EBFEA">
      <w:pPr>
        <w:spacing w:line="360" w:lineRule="auto"/>
        <w:ind w:firstLine="560" w:firstLineChars="200"/>
        <w:rPr>
          <w:rFonts w:hint="eastAsia"/>
          <w:b w:val="0"/>
          <w:bCs w:val="0"/>
          <w:color w:val="000000"/>
          <w:sz w:val="28"/>
        </w:rPr>
      </w:pPr>
      <w:r>
        <w:rPr>
          <w:rFonts w:hint="default"/>
          <w:b w:val="0"/>
          <w:bCs w:val="0"/>
          <w:color w:val="000000"/>
          <w:sz w:val="28"/>
          <w:woUserID w:val="1"/>
        </w:rPr>
        <w:t>2</w:t>
      </w:r>
      <w:r>
        <w:rPr>
          <w:rFonts w:hint="eastAsia"/>
          <w:b w:val="0"/>
          <w:bCs w:val="0"/>
          <w:color w:val="000000"/>
          <w:sz w:val="28"/>
        </w:rPr>
        <w:t>.至少1项国内</w:t>
      </w:r>
      <w:r>
        <w:rPr>
          <w:rFonts w:hint="default"/>
          <w:b w:val="0"/>
          <w:bCs w:val="0"/>
          <w:color w:val="000000"/>
          <w:sz w:val="28"/>
          <w:woUserID w:val="1"/>
        </w:rPr>
        <w:t>信息</w:t>
      </w:r>
      <w:r>
        <w:rPr>
          <w:rFonts w:hint="eastAsia"/>
          <w:b w:val="0"/>
          <w:bCs w:val="0"/>
          <w:color w:val="000000"/>
          <w:sz w:val="28"/>
        </w:rPr>
        <w:t>管理系统的业绩，必须提供相关业绩证明文件，有效业绩应符合以下条件：</w:t>
      </w:r>
    </w:p>
    <w:p w14:paraId="5EA1928B">
      <w:pPr>
        <w:spacing w:line="360" w:lineRule="auto"/>
        <w:ind w:firstLine="560" w:firstLineChars="200"/>
        <w:rPr>
          <w:rFonts w:hint="eastAsia"/>
          <w:b w:val="0"/>
          <w:bCs w:val="0"/>
          <w:color w:val="000000"/>
          <w:sz w:val="28"/>
        </w:rPr>
      </w:pPr>
      <w:r>
        <w:rPr>
          <w:rFonts w:hint="eastAsia"/>
          <w:b w:val="0"/>
          <w:bCs w:val="0"/>
          <w:color w:val="000000"/>
          <w:sz w:val="28"/>
        </w:rPr>
        <w:t>合同标的总价不低于150万；</w:t>
      </w:r>
    </w:p>
    <w:p w14:paraId="2181DA0B">
      <w:pPr>
        <w:spacing w:line="360" w:lineRule="auto"/>
        <w:ind w:firstLine="560" w:firstLineChars="200"/>
        <w:rPr>
          <w:rFonts w:hint="eastAsia"/>
          <w:b w:val="0"/>
          <w:bCs w:val="0"/>
          <w:color w:val="000000"/>
          <w:sz w:val="28"/>
        </w:rPr>
      </w:pPr>
      <w:r>
        <w:rPr>
          <w:rFonts w:hint="eastAsia"/>
          <w:b w:val="0"/>
          <w:bCs w:val="0"/>
          <w:color w:val="000000"/>
          <w:sz w:val="28"/>
        </w:rPr>
        <w:t>合同签订日期为2020年1月1日至投标截止日止；</w:t>
      </w:r>
    </w:p>
    <w:p w14:paraId="674E3C0E">
      <w:pPr>
        <w:spacing w:line="360" w:lineRule="auto"/>
        <w:ind w:firstLine="560" w:firstLineChars="200"/>
        <w:rPr>
          <w:rFonts w:hint="eastAsia"/>
          <w:b w:val="0"/>
          <w:bCs w:val="0"/>
          <w:color w:val="000000"/>
          <w:sz w:val="28"/>
        </w:rPr>
      </w:pPr>
      <w:r>
        <w:rPr>
          <w:rFonts w:hint="eastAsia"/>
          <w:b w:val="0"/>
          <w:bCs w:val="0"/>
          <w:color w:val="000000"/>
          <w:sz w:val="28"/>
        </w:rPr>
        <w:t>业绩证明文件包括合同关键页复印件、发票复印件（至少一张）、验收报告复印件以及其他符合项目相关性的资料。</w:t>
      </w:r>
    </w:p>
    <w:p w14:paraId="28452BBF">
      <w:pPr>
        <w:spacing w:line="360" w:lineRule="auto"/>
        <w:ind w:firstLine="560" w:firstLineChars="200"/>
        <w:rPr>
          <w:rFonts w:hint="eastAsia"/>
          <w:color w:val="000000"/>
          <w:sz w:val="28"/>
        </w:rPr>
      </w:pPr>
      <w:r>
        <w:rPr>
          <w:rFonts w:hint="default"/>
          <w:color w:val="000000"/>
          <w:sz w:val="28"/>
          <w:woUserID w:val="1"/>
        </w:rPr>
        <w:t>3</w:t>
      </w:r>
      <w:r>
        <w:rPr>
          <w:rFonts w:hint="eastAsia"/>
          <w:color w:val="000000"/>
          <w:sz w:val="28"/>
        </w:rPr>
        <w:t>.所需物资供应能力及质量控制措施，近三年无重大质量问题。</w:t>
      </w:r>
    </w:p>
    <w:p w14:paraId="390C8573">
      <w:pPr>
        <w:spacing w:line="360" w:lineRule="auto"/>
        <w:ind w:firstLine="560" w:firstLineChars="200"/>
        <w:rPr>
          <w:rFonts w:hint="eastAsia"/>
          <w:color w:val="000000"/>
          <w:sz w:val="28"/>
        </w:rPr>
      </w:pPr>
      <w:r>
        <w:rPr>
          <w:rFonts w:hint="default"/>
          <w:color w:val="000000"/>
          <w:sz w:val="28"/>
          <w:woUserID w:val="1"/>
        </w:rPr>
        <w:t>4</w:t>
      </w:r>
      <w:r>
        <w:rPr>
          <w:rFonts w:hint="eastAsia"/>
          <w:color w:val="000000"/>
          <w:sz w:val="28"/>
        </w:rPr>
        <w:t>.良好的商业信誉、财务状况。无吊销营业执照、吊销资质、停业整顿、取消投标资格以及财产被接管、冻结或进入破产程序等情形。</w:t>
      </w:r>
    </w:p>
    <w:p w14:paraId="4D7BFD76">
      <w:pPr>
        <w:spacing w:line="360" w:lineRule="auto"/>
        <w:ind w:firstLine="560" w:firstLineChars="200"/>
        <w:rPr>
          <w:rFonts w:hint="eastAsia"/>
          <w:color w:val="000000"/>
          <w:sz w:val="28"/>
        </w:rPr>
      </w:pPr>
      <w:r>
        <w:rPr>
          <w:rFonts w:hint="default"/>
          <w:color w:val="000000"/>
          <w:sz w:val="28"/>
          <w:woUserID w:val="1"/>
        </w:rPr>
        <w:t>5</w:t>
      </w:r>
      <w:r>
        <w:rPr>
          <w:rFonts w:hint="eastAsia"/>
          <w:color w:val="000000"/>
          <w:sz w:val="28"/>
        </w:rPr>
        <w:t>.没有处于因违约、诚信等原因被能化集团停用交易资格的状态。</w:t>
      </w:r>
    </w:p>
    <w:p w14:paraId="558DA4CA">
      <w:pPr>
        <w:spacing w:line="360" w:lineRule="auto"/>
        <w:ind w:firstLine="560" w:firstLineChars="200"/>
        <w:rPr>
          <w:rFonts w:hint="eastAsia"/>
          <w:color w:val="000000"/>
          <w:sz w:val="28"/>
        </w:rPr>
      </w:pPr>
      <w:r>
        <w:rPr>
          <w:rFonts w:hint="default"/>
          <w:color w:val="000000"/>
          <w:sz w:val="28"/>
          <w:woUserID w:val="1"/>
        </w:rPr>
        <w:t>6</w:t>
      </w:r>
      <w:r>
        <w:rPr>
          <w:rFonts w:hint="eastAsia"/>
          <w:color w:val="000000"/>
          <w:sz w:val="28"/>
        </w:rPr>
        <w:t>.拥有投标产品软件系统的自主知识产权证书，并同时具备软件企业证书。</w:t>
      </w:r>
    </w:p>
    <w:p w14:paraId="51A4AEE6">
      <w:pPr>
        <w:spacing w:line="360" w:lineRule="auto"/>
        <w:ind w:firstLine="560" w:firstLineChars="200"/>
        <w:rPr>
          <w:rFonts w:hint="eastAsia"/>
          <w:color w:val="000000"/>
          <w:sz w:val="28"/>
        </w:rPr>
      </w:pPr>
      <w:r>
        <w:rPr>
          <w:rFonts w:hint="default"/>
          <w:color w:val="000000"/>
          <w:sz w:val="28"/>
          <w:woUserID w:val="1"/>
        </w:rPr>
        <w:t>7</w:t>
      </w:r>
      <w:r>
        <w:rPr>
          <w:rFonts w:hint="eastAsia"/>
          <w:color w:val="000000"/>
          <w:sz w:val="28"/>
        </w:rPr>
        <w:t>.项目经理需至少持有以下任一资格认证：信息系统项目管理师（高级）、系统架构设计师（高级）、PMP（项目管理专业人士）或CISP（注册信息安全工程师）。</w:t>
      </w:r>
    </w:p>
    <w:p w14:paraId="66821436">
      <w:pPr>
        <w:spacing w:line="360" w:lineRule="auto"/>
        <w:ind w:firstLine="560" w:firstLineChars="200"/>
        <w:rPr>
          <w:rFonts w:hint="eastAsia"/>
          <w:color w:val="000000"/>
          <w:sz w:val="28"/>
        </w:rPr>
      </w:pPr>
      <w:r>
        <w:rPr>
          <w:rFonts w:hint="default"/>
          <w:color w:val="000000"/>
          <w:sz w:val="28"/>
          <w:woUserID w:val="1"/>
        </w:rPr>
        <w:t>8</w:t>
      </w:r>
      <w:r>
        <w:rPr>
          <w:rFonts w:hint="eastAsia"/>
          <w:color w:val="000000"/>
          <w:sz w:val="28"/>
        </w:rPr>
        <w:t>.项目经理要求：项目经理需具有5年以上的信息技术项目管理经验，至少已完成2项设备管理系统的建设，其中行业相关如石化、钢铁、冶金、能源行业设备管理系统不少于1项。</w:t>
      </w:r>
    </w:p>
    <w:p w14:paraId="1FC41B7A">
      <w:pPr>
        <w:spacing w:line="360" w:lineRule="auto"/>
        <w:ind w:firstLine="560" w:firstLineChars="200"/>
        <w:rPr>
          <w:rFonts w:hint="eastAsia" w:ascii="宋体" w:hAnsi="宋体" w:eastAsia="宋体" w:cs="宋体"/>
          <w:b/>
          <w:w w:val="95"/>
          <w:sz w:val="28"/>
          <w:lang w:eastAsia="zh-CN"/>
        </w:rPr>
      </w:pPr>
      <w:r>
        <w:rPr>
          <w:rFonts w:hint="default"/>
          <w:color w:val="000000"/>
          <w:sz w:val="28"/>
        </w:rPr>
        <w:t>9</w:t>
      </w:r>
      <w:r>
        <w:rPr>
          <w:rFonts w:hint="eastAsia"/>
          <w:color w:val="000000"/>
          <w:sz w:val="28"/>
        </w:rPr>
        <w:t>.本项目不接受联合体投标。</w:t>
      </w:r>
    </w:p>
    <w:p w14:paraId="639F8D13">
      <w:pPr>
        <w:tabs>
          <w:tab w:val="left" w:pos="709"/>
        </w:tabs>
        <w:spacing w:line="360" w:lineRule="auto"/>
        <w:rPr>
          <w:rFonts w:hint="eastAsia" w:ascii="宋体" w:hAnsi="宋体" w:eastAsia="宋体" w:cs="宋体"/>
          <w:b/>
          <w:w w:val="95"/>
          <w:sz w:val="32"/>
          <w:szCs w:val="32"/>
          <w:lang w:eastAsia="zh-CN"/>
        </w:rPr>
      </w:pPr>
      <w:r>
        <w:rPr>
          <w:rFonts w:hint="eastAsia" w:ascii="宋体" w:hAnsi="宋体" w:eastAsia="宋体" w:cs="宋体"/>
          <w:b/>
          <w:w w:val="95"/>
          <w:sz w:val="28"/>
          <w:lang w:eastAsia="zh-CN"/>
        </w:rPr>
        <w:t>七、</w:t>
      </w:r>
      <w:r>
        <w:rPr>
          <w:rFonts w:hint="eastAsia" w:ascii="宋体" w:hAnsi="宋体" w:eastAsia="宋体" w:cs="宋体"/>
          <w:b/>
          <w:w w:val="95"/>
          <w:sz w:val="32"/>
          <w:szCs w:val="32"/>
          <w:lang w:eastAsia="zh-CN"/>
        </w:rPr>
        <w:t>参比保证金</w:t>
      </w:r>
    </w:p>
    <w:p w14:paraId="1372903D">
      <w:pPr>
        <w:pStyle w:val="6"/>
        <w:spacing w:line="360" w:lineRule="auto"/>
        <w:ind w:right="121" w:firstLine="280" w:firstLineChars="100"/>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1.参比单位应缴纳参比保证金，保证金</w:t>
      </w:r>
      <w:r>
        <w:rPr>
          <w:rFonts w:hint="eastAsia" w:ascii="宋体" w:hAnsi="宋体" w:eastAsia="宋体" w:cs="宋体"/>
          <w:color w:val="000000" w:themeColor="text1"/>
          <w:sz w:val="28"/>
          <w:szCs w:val="28"/>
          <w:lang w:eastAsia="zh-CN"/>
          <w14:textFill>
            <w14:solidFill>
              <w14:schemeClr w14:val="tx1"/>
            </w14:solidFill>
          </w14:textFill>
        </w:rPr>
        <w:t>金额</w:t>
      </w:r>
      <w:r>
        <w:rPr>
          <w:rFonts w:hint="eastAsia" w:cs="宋体"/>
          <w:color w:val="000000" w:themeColor="text1"/>
          <w:sz w:val="28"/>
          <w:szCs w:val="28"/>
          <w:lang w:val="en-US" w:eastAsia="zh-CN"/>
          <w14:textFill>
            <w14:solidFill>
              <w14:schemeClr w14:val="tx1"/>
            </w14:solidFill>
          </w14:textFill>
        </w:rPr>
        <w:t>49</w:t>
      </w:r>
      <w:r>
        <w:rPr>
          <w:rFonts w:hint="eastAsia" w:ascii="宋体" w:hAnsi="宋体" w:eastAsia="宋体" w:cs="宋体"/>
          <w:color w:val="000000" w:themeColor="text1"/>
          <w:sz w:val="28"/>
          <w:szCs w:val="28"/>
          <w:lang w:val="en-US" w:eastAsia="zh-CN"/>
          <w14:textFill>
            <w14:solidFill>
              <w14:schemeClr w14:val="tx1"/>
            </w14:solidFill>
          </w14:textFill>
        </w:rPr>
        <w:t>000</w:t>
      </w:r>
      <w:r>
        <w:rPr>
          <w:rFonts w:hint="eastAsia" w:ascii="宋体" w:hAnsi="宋体" w:eastAsia="宋体" w:cs="宋体"/>
          <w:color w:val="000000" w:themeColor="text1"/>
          <w:sz w:val="28"/>
          <w:szCs w:val="28"/>
          <w:lang w:eastAsia="zh-CN"/>
          <w14:textFill>
            <w14:solidFill>
              <w14:schemeClr w14:val="tx1"/>
            </w14:solidFill>
          </w14:textFill>
        </w:rPr>
        <w:t>元整</w:t>
      </w:r>
      <w:r>
        <w:rPr>
          <w:rFonts w:hint="eastAsia" w:ascii="宋体" w:hAnsi="宋体" w:eastAsia="宋体" w:cs="宋体"/>
          <w:sz w:val="28"/>
          <w:szCs w:val="28"/>
          <w:lang w:eastAsia="zh-CN"/>
        </w:rPr>
        <w:t>，参比单位应按照要求从参比单位基本</w:t>
      </w:r>
      <w:r>
        <w:rPr>
          <w:rFonts w:hint="eastAsia" w:ascii="宋体" w:hAnsi="宋体" w:eastAsia="宋体" w:cs="宋体"/>
          <w:color w:val="000000" w:themeColor="text1"/>
          <w:sz w:val="28"/>
          <w:szCs w:val="28"/>
          <w:lang w:eastAsia="zh-CN"/>
          <w14:textFill>
            <w14:solidFill>
              <w14:schemeClr w14:val="tx1"/>
            </w14:solidFill>
          </w14:textFill>
        </w:rPr>
        <w:t>账户转入比选单位的账户，比选单位账户信息如下：</w:t>
      </w:r>
    </w:p>
    <w:p w14:paraId="00E711FA">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 xml:space="preserve">    开户名称：</w:t>
      </w:r>
      <w:r>
        <w:rPr>
          <w:rFonts w:hint="eastAsia" w:ascii="宋体" w:hAnsi="宋体" w:eastAsia="宋体" w:cs="宋体"/>
          <w:sz w:val="28"/>
          <w:szCs w:val="28"/>
          <w:lang w:eastAsia="zh-CN"/>
        </w:rPr>
        <w:t>福建福海创石油化工有限公司</w:t>
      </w:r>
    </w:p>
    <w:p w14:paraId="685F02F2">
      <w:pPr>
        <w:pStyle w:val="6"/>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开户银行：</w:t>
      </w:r>
      <w:r>
        <w:rPr>
          <w:rFonts w:hint="eastAsia" w:ascii="宋体" w:hAnsi="宋体" w:eastAsia="宋体" w:cs="宋体"/>
          <w:sz w:val="28"/>
          <w:szCs w:val="28"/>
          <w:lang w:eastAsia="zh-CN"/>
        </w:rPr>
        <w:t>中国银行股份有限公司漳州古雷经济开发区支行</w:t>
      </w:r>
    </w:p>
    <w:p w14:paraId="06320A86">
      <w:pPr>
        <w:pStyle w:val="6"/>
        <w:spacing w:line="360" w:lineRule="auto"/>
        <w:ind w:right="12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    帐  号：</w:t>
      </w:r>
      <w:r>
        <w:rPr>
          <w:rFonts w:hint="eastAsia" w:ascii="宋体" w:hAnsi="宋体" w:eastAsia="宋体" w:cs="宋体"/>
          <w:sz w:val="28"/>
          <w:szCs w:val="28"/>
          <w:lang w:eastAsia="zh-CN"/>
        </w:rPr>
        <w:t>406574816628</w:t>
      </w:r>
    </w:p>
    <w:p w14:paraId="4F1D5166">
      <w:pPr>
        <w:pStyle w:val="6"/>
        <w:spacing w:line="360" w:lineRule="auto"/>
        <w:ind w:right="12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    注明用途：</w:t>
      </w:r>
      <w:r>
        <w:rPr>
          <w:rFonts w:hint="eastAsia" w:cs="宋体"/>
          <w:sz w:val="28"/>
          <w:szCs w:val="28"/>
          <w:lang w:eastAsia="zh-CN"/>
        </w:rPr>
        <w:t>机电离线监测设备采购与安装项目</w:t>
      </w:r>
    </w:p>
    <w:p w14:paraId="0736B531">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参比保证金有效期：90日历天。</w:t>
      </w:r>
    </w:p>
    <w:p w14:paraId="5F5AB7E4">
      <w:pPr>
        <w:pStyle w:val="6"/>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注：开户许可证上账号应与参比保证金转账回单上账号一致，否则视为未按规定提交参比保证金,所造成的一切后果由参比人自行负责。参比保证金转入后，将相关凭证放在商务比选文件中。</w:t>
      </w:r>
    </w:p>
    <w:p w14:paraId="0FD97FA2">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2.对于未能按要求提交保证金的参比文件，比选单位可以视为不符合上面比选要求而予以拒绝；</w:t>
      </w:r>
    </w:p>
    <w:p w14:paraId="249D7E81">
      <w:pPr>
        <w:pStyle w:val="6"/>
        <w:spacing w:line="360" w:lineRule="auto"/>
        <w:ind w:right="121" w:firstLine="478" w:firstLineChars="17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3.比选结束退还比选保证金（无息），最迟不超过规定的比选有效期满后的</w:t>
      </w:r>
      <w:r>
        <w:rPr>
          <w:rFonts w:hint="eastAsia" w:cs="宋体"/>
          <w:sz w:val="28"/>
          <w:szCs w:val="28"/>
          <w:lang w:val="en-US" w:eastAsia="zh-CN"/>
        </w:rPr>
        <w:t>60</w:t>
      </w:r>
      <w:r>
        <w:rPr>
          <w:rFonts w:hint="eastAsia" w:ascii="宋体" w:hAnsi="宋体" w:eastAsia="宋体" w:cs="宋体"/>
          <w:sz w:val="28"/>
          <w:szCs w:val="28"/>
          <w:lang w:eastAsia="zh-CN"/>
        </w:rPr>
        <w:t>天。</w:t>
      </w:r>
    </w:p>
    <w:p w14:paraId="6692C7D9">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4</w:t>
      </w:r>
      <w:r>
        <w:rPr>
          <w:rFonts w:hint="eastAsia" w:ascii="宋体" w:hAnsi="宋体" w:eastAsia="宋体" w:cs="宋体"/>
          <w:sz w:val="28"/>
          <w:szCs w:val="28"/>
          <w:lang w:eastAsia="zh-CN"/>
        </w:rPr>
        <w:t>.如有下列情况发生，将被没收参比保证金：</w:t>
      </w:r>
    </w:p>
    <w:p w14:paraId="7B3C10C2">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（1）参比单位在参比有效期内撤回询比文件；</w:t>
      </w:r>
    </w:p>
    <w:p w14:paraId="1EB20461">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（2）参比单位未能按接到中标通知书后规定的时间内签定合同。</w:t>
      </w:r>
    </w:p>
    <w:p w14:paraId="7EFA8D09">
      <w:pPr>
        <w:spacing w:before="15" w:line="360" w:lineRule="auto"/>
        <w:rPr>
          <w:rFonts w:hint="eastAsia" w:ascii="宋体" w:hAnsi="宋体" w:eastAsia="宋体" w:cs="宋体"/>
          <w:b/>
          <w:w w:val="95"/>
          <w:sz w:val="28"/>
          <w:lang w:eastAsia="zh-CN"/>
        </w:rPr>
      </w:pPr>
      <w:r>
        <w:rPr>
          <w:rFonts w:hint="eastAsia" w:ascii="宋体" w:hAnsi="宋体" w:eastAsia="宋体" w:cs="宋体"/>
          <w:b/>
          <w:w w:val="95"/>
          <w:sz w:val="28"/>
          <w:lang w:eastAsia="zh-CN"/>
        </w:rPr>
        <w:t>八、参比文件的递交</w:t>
      </w:r>
    </w:p>
    <w:p w14:paraId="497D28DC">
      <w:pPr>
        <w:pStyle w:val="3"/>
        <w:tabs>
          <w:tab w:val="left" w:pos="6879"/>
        </w:tabs>
        <w:spacing w:before="107" w:line="321" w:lineRule="auto"/>
        <w:ind w:left="0" w:right="106"/>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1.参比文件递交的截止时间</w:t>
      </w:r>
      <w:r>
        <w:rPr>
          <w:rFonts w:hint="eastAsia" w:ascii="宋体" w:hAnsi="宋体" w:eastAsia="宋体" w:cs="宋体"/>
          <w:color w:val="FF0000"/>
          <w:sz w:val="28"/>
          <w:szCs w:val="28"/>
          <w:lang w:eastAsia="zh-CN"/>
        </w:rPr>
        <w:t>：</w:t>
      </w:r>
      <w:r>
        <w:rPr>
          <w:rFonts w:hint="eastAsia" w:ascii="宋体" w:hAnsi="宋体" w:eastAsia="宋体" w:cs="宋体"/>
          <w:color w:val="FF0000"/>
          <w:sz w:val="28"/>
          <w:szCs w:val="28"/>
          <w:lang w:val="en-US" w:eastAsia="zh-CN"/>
        </w:rPr>
        <w:t>报名截止日后</w:t>
      </w:r>
      <w:r>
        <w:rPr>
          <w:rFonts w:hint="eastAsia" w:cs="宋体"/>
          <w:color w:val="FF0000"/>
          <w:sz w:val="28"/>
          <w:szCs w:val="28"/>
          <w:lang w:val="en-US" w:eastAsia="zh-CN"/>
        </w:rPr>
        <w:t>3</w:t>
      </w:r>
      <w:r>
        <w:rPr>
          <w:rFonts w:hint="eastAsia" w:ascii="宋体" w:hAnsi="宋体" w:eastAsia="宋体" w:cs="宋体"/>
          <w:color w:val="FF0000"/>
          <w:sz w:val="28"/>
          <w:szCs w:val="28"/>
          <w:lang w:val="en-US" w:eastAsia="zh-CN"/>
        </w:rPr>
        <w:t>个工作日</w:t>
      </w:r>
      <w:r>
        <w:rPr>
          <w:rFonts w:hint="eastAsia" w:ascii="宋体" w:hAnsi="宋体" w:eastAsia="宋体" w:cs="宋体"/>
          <w:color w:val="FF0000"/>
          <w:sz w:val="28"/>
          <w:szCs w:val="28"/>
          <w:lang w:eastAsia="zh-CN"/>
        </w:rPr>
        <w:t>。</w:t>
      </w:r>
    </w:p>
    <w:p w14:paraId="2A44BAFB">
      <w:pPr>
        <w:pStyle w:val="3"/>
        <w:tabs>
          <w:tab w:val="left" w:pos="6879"/>
        </w:tabs>
        <w:spacing w:before="107" w:line="321" w:lineRule="auto"/>
        <w:ind w:left="0" w:right="106"/>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w:t>
      </w:r>
      <w:r>
        <w:rPr>
          <w:rFonts w:hint="eastAsia" w:ascii="宋体" w:hAnsi="宋体" w:eastAsia="宋体" w:cs="宋体"/>
          <w:spacing w:val="4"/>
          <w:sz w:val="28"/>
          <w:szCs w:val="28"/>
          <w:lang w:eastAsia="zh-CN"/>
        </w:rPr>
        <w:t>递交</w:t>
      </w:r>
      <w:r>
        <w:rPr>
          <w:rFonts w:hint="eastAsia" w:ascii="宋体" w:hAnsi="宋体" w:eastAsia="宋体" w:cs="宋体"/>
          <w:sz w:val="28"/>
          <w:szCs w:val="28"/>
          <w:lang w:eastAsia="zh-CN"/>
        </w:rPr>
        <w:t>参</w:t>
      </w:r>
      <w:r>
        <w:rPr>
          <w:rFonts w:hint="eastAsia" w:ascii="宋体" w:hAnsi="宋体" w:eastAsia="宋体" w:cs="宋体"/>
          <w:spacing w:val="4"/>
          <w:sz w:val="28"/>
          <w:szCs w:val="28"/>
          <w:lang w:eastAsia="zh-CN"/>
        </w:rPr>
        <w:t>比文件的地点为：</w:t>
      </w:r>
      <w:r>
        <w:rPr>
          <w:rFonts w:hint="eastAsia" w:ascii="宋体" w:hAnsi="宋体" w:eastAsia="宋体" w:cs="宋体"/>
          <w:color w:val="000000" w:themeColor="text1"/>
          <w:sz w:val="28"/>
          <w:szCs w:val="28"/>
          <w:lang w:val="en-US" w:eastAsia="zh-CN"/>
          <w14:textFill>
            <w14:solidFill>
              <w14:schemeClr w14:val="tx1"/>
            </w14:solidFill>
          </w14:textFill>
        </w:rPr>
        <w:t>线</w:t>
      </w:r>
      <w:r>
        <w:rPr>
          <w:rFonts w:hint="eastAsia" w:cs="宋体"/>
          <w:color w:val="000000" w:themeColor="text1"/>
          <w:sz w:val="28"/>
          <w:szCs w:val="28"/>
          <w:lang w:val="en-US" w:eastAsia="zh-CN"/>
          <w14:textFill>
            <w14:solidFill>
              <w14:schemeClr w14:val="tx1"/>
            </w14:solidFill>
          </w14:textFill>
        </w:rPr>
        <w:t>下</w:t>
      </w:r>
      <w:r>
        <w:rPr>
          <w:rFonts w:hint="eastAsia" w:ascii="宋体" w:hAnsi="宋体" w:eastAsia="宋体" w:cs="宋体"/>
          <w:color w:val="000000" w:themeColor="text1"/>
          <w:sz w:val="28"/>
          <w:szCs w:val="28"/>
          <w:lang w:val="en-US" w:eastAsia="zh-CN"/>
          <w14:textFill>
            <w14:solidFill>
              <w14:schemeClr w14:val="tx1"/>
            </w14:solidFill>
          </w14:textFill>
        </w:rPr>
        <w:t>递交</w:t>
      </w:r>
      <w:r>
        <w:rPr>
          <w:rFonts w:hint="eastAsia" w:ascii="宋体" w:hAnsi="宋体" w:eastAsia="宋体" w:cs="宋体"/>
          <w:spacing w:val="-4"/>
          <w:sz w:val="28"/>
          <w:szCs w:val="28"/>
          <w:lang w:eastAsia="zh-CN"/>
        </w:rPr>
        <w:t>。</w:t>
      </w:r>
      <w:r>
        <w:rPr>
          <w:rFonts w:hint="eastAsia" w:ascii="宋体" w:hAnsi="宋体" w:eastAsia="宋体" w:cs="宋体"/>
          <w:color w:val="000000" w:themeColor="text1"/>
          <w:sz w:val="28"/>
          <w:szCs w:val="28"/>
          <w:lang w:eastAsia="zh-CN"/>
          <w14:textFill>
            <w14:solidFill>
              <w14:schemeClr w14:val="tx1"/>
            </w14:solidFill>
          </w14:textFill>
        </w:rPr>
        <w:t>漳州市漳浦县杜浔镇杜昌路9号福海创办公楼三楼综合采购团队。收件人</w:t>
      </w:r>
      <w:r>
        <w:rPr>
          <w:rFonts w:hint="eastAsia"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lang w:eastAsia="zh-CN"/>
          <w14:textFill>
            <w14:solidFill>
              <w14:schemeClr w14:val="tx1"/>
            </w14:solidFill>
          </w14:textFill>
        </w:rPr>
        <w:t>沈学荣</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lang w:eastAsia="zh-CN"/>
          <w14:textFill>
            <w14:solidFill>
              <w14:schemeClr w14:val="tx1"/>
            </w14:solidFill>
          </w14:textFill>
        </w:rPr>
        <w:t xml:space="preserve">18159613129  </w:t>
      </w:r>
    </w:p>
    <w:p w14:paraId="7BA848B1">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3.只允许参比人有一个参比方案，否则将被视为无效参比。</w:t>
      </w:r>
    </w:p>
    <w:p w14:paraId="0C9C87BA">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4.逾期送达的或未送达指定地点或参比文件密封不符合规定要求的参比文件，采购人不予受理。参比人所提交的比选文件在评比结束后，无论中选与否都不退还。</w:t>
      </w:r>
    </w:p>
    <w:p w14:paraId="5A303403">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5.参比人收到采购文件后，如有疑问需要澄清，请以书面形式在规定时间内报采购人汇总。</w:t>
      </w:r>
    </w:p>
    <w:p w14:paraId="259A176B">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6.参比人对采购人提供的询比文件所做出的推论、解释和结论，采购人概不负责。参比人由于对采购文件的任何推论和误解以及比选对有关问题的口头解释所造成的后果，均由参比人负责。</w:t>
      </w:r>
    </w:p>
    <w:p w14:paraId="6C36A7FF">
      <w:pPr>
        <w:spacing w:line="321" w:lineRule="auto"/>
        <w:jc w:val="both"/>
        <w:rPr>
          <w:rFonts w:hint="eastAsia" w:ascii="宋体" w:hAnsi="宋体" w:eastAsia="宋体" w:cs="宋体"/>
          <w:lang w:eastAsia="zh-CN"/>
        </w:rPr>
        <w:sectPr>
          <w:pgSz w:w="11910" w:h="16840"/>
          <w:pgMar w:top="1420" w:right="1140" w:bottom="740" w:left="1300" w:header="0" w:footer="551" w:gutter="0"/>
          <w:cols w:space="720" w:num="1"/>
        </w:sectPr>
      </w:pPr>
    </w:p>
    <w:p w14:paraId="6FF47E41">
      <w:pPr>
        <w:pStyle w:val="2"/>
        <w:tabs>
          <w:tab w:val="left" w:pos="4627"/>
        </w:tabs>
        <w:spacing w:line="355" w:lineRule="exact"/>
        <w:ind w:left="3363"/>
        <w:rPr>
          <w:rFonts w:hint="eastAsia" w:ascii="宋体" w:hAnsi="宋体" w:eastAsia="宋体" w:cs="宋体"/>
          <w:sz w:val="32"/>
          <w:szCs w:val="32"/>
          <w:lang w:eastAsia="zh-CN"/>
        </w:rPr>
      </w:pPr>
      <w:r>
        <w:rPr>
          <w:rFonts w:hint="eastAsia" w:ascii="宋体" w:hAnsi="宋体" w:eastAsia="宋体" w:cs="宋体"/>
          <w:sz w:val="32"/>
          <w:szCs w:val="32"/>
          <w:lang w:eastAsia="zh-CN"/>
        </w:rPr>
        <w:t>第三章</w:t>
      </w:r>
      <w:r>
        <w:rPr>
          <w:rFonts w:hint="eastAsia" w:ascii="宋体" w:hAnsi="宋体" w:eastAsia="宋体" w:cs="宋体"/>
          <w:sz w:val="32"/>
          <w:szCs w:val="32"/>
          <w:lang w:eastAsia="zh-CN"/>
        </w:rPr>
        <w:tab/>
      </w:r>
      <w:r>
        <w:rPr>
          <w:rFonts w:hint="eastAsia" w:ascii="宋体" w:hAnsi="宋体" w:eastAsia="宋体" w:cs="宋体"/>
          <w:spacing w:val="-1"/>
          <w:w w:val="95"/>
          <w:sz w:val="32"/>
          <w:szCs w:val="32"/>
          <w:lang w:eastAsia="zh-CN"/>
        </w:rPr>
        <w:t>参比文</w:t>
      </w:r>
      <w:r>
        <w:rPr>
          <w:rFonts w:hint="eastAsia" w:ascii="宋体" w:hAnsi="宋体" w:eastAsia="宋体" w:cs="宋体"/>
          <w:w w:val="95"/>
          <w:sz w:val="32"/>
          <w:szCs w:val="32"/>
          <w:lang w:eastAsia="zh-CN"/>
        </w:rPr>
        <w:t>件的编制</w:t>
      </w:r>
    </w:p>
    <w:p w14:paraId="59A82508">
      <w:pPr>
        <w:spacing w:before="15" w:line="360" w:lineRule="auto"/>
        <w:rPr>
          <w:rFonts w:hint="eastAsia" w:ascii="宋体" w:hAnsi="宋体" w:eastAsia="宋体" w:cs="宋体"/>
          <w:b/>
          <w:w w:val="95"/>
          <w:sz w:val="30"/>
          <w:szCs w:val="30"/>
          <w:lang w:eastAsia="zh-CN"/>
        </w:rPr>
      </w:pPr>
      <w:r>
        <w:rPr>
          <w:rFonts w:hint="eastAsia" w:ascii="宋体" w:hAnsi="宋体" w:eastAsia="宋体" w:cs="宋体"/>
          <w:b/>
          <w:w w:val="95"/>
          <w:sz w:val="28"/>
          <w:lang w:eastAsia="zh-CN"/>
        </w:rPr>
        <w:t xml:space="preserve">    </w:t>
      </w:r>
      <w:r>
        <w:rPr>
          <w:rFonts w:hint="eastAsia" w:ascii="宋体" w:hAnsi="宋体" w:eastAsia="宋体" w:cs="宋体"/>
          <w:b/>
          <w:w w:val="95"/>
          <w:sz w:val="30"/>
          <w:szCs w:val="30"/>
          <w:lang w:eastAsia="zh-CN"/>
        </w:rPr>
        <w:t>一、参比文件的组成：</w:t>
      </w:r>
    </w:p>
    <w:p w14:paraId="3D25DC03">
      <w:pPr>
        <w:pStyle w:val="22"/>
        <w:spacing w:before="0" w:line="360" w:lineRule="auto"/>
        <w:ind w:left="0" w:firstLine="562" w:firstLineChars="200"/>
        <w:rPr>
          <w:rFonts w:asciiTheme="minorEastAsia" w:hAnsiTheme="minorEastAsia"/>
          <w:b/>
          <w:sz w:val="28"/>
          <w:szCs w:val="28"/>
          <w:lang w:eastAsia="zh-CN"/>
        </w:rPr>
      </w:pPr>
      <w:r>
        <w:rPr>
          <w:rFonts w:hint="eastAsia" w:asciiTheme="minorEastAsia" w:hAnsiTheme="minorEastAsia"/>
          <w:b/>
          <w:sz w:val="28"/>
          <w:szCs w:val="28"/>
          <w:lang w:eastAsia="zh-CN"/>
        </w:rPr>
        <w:t>报价文件与技术</w:t>
      </w:r>
      <w:r>
        <w:rPr>
          <w:rFonts w:hint="eastAsia"/>
          <w:b/>
          <w:sz w:val="28"/>
          <w:szCs w:val="28"/>
          <w:lang w:eastAsia="zh-CN"/>
        </w:rPr>
        <w:t>文件</w:t>
      </w:r>
      <w:r>
        <w:rPr>
          <w:rFonts w:hint="eastAsia" w:asciiTheme="minorEastAsia" w:hAnsiTheme="minorEastAsia"/>
          <w:b/>
          <w:sz w:val="28"/>
          <w:szCs w:val="28"/>
          <w:lang w:eastAsia="zh-CN"/>
        </w:rPr>
        <w:t>需单独装订，单独密封，如用快递送达，需密封完后再装入快递袋中，未按规定密封，造成误拆投标文件不承担责任。</w:t>
      </w:r>
    </w:p>
    <w:p w14:paraId="0D95AB16">
      <w:pPr>
        <w:pStyle w:val="21"/>
        <w:spacing w:line="360" w:lineRule="auto"/>
        <w:ind w:firstLine="560" w:firstLineChars="200"/>
        <w:jc w:val="left"/>
        <w:rPr>
          <w:sz w:val="28"/>
          <w:szCs w:val="28"/>
        </w:rPr>
      </w:pPr>
      <w:r>
        <w:rPr>
          <w:rFonts w:hint="eastAsia" w:cs="宋体" w:asciiTheme="minorEastAsia" w:hAnsiTheme="minorEastAsia"/>
          <w:sz w:val="28"/>
          <w:szCs w:val="28"/>
        </w:rPr>
        <w:t>1.技术文件（需加盖公章及骑缝章），需提供纸质单2份，电子单1份 拷入U</w:t>
      </w:r>
      <w:r>
        <w:rPr>
          <w:rFonts w:cs="宋体" w:asciiTheme="minorEastAsia" w:hAnsiTheme="minorEastAsia"/>
          <w:sz w:val="28"/>
          <w:szCs w:val="28"/>
        </w:rPr>
        <w:t>盘</w:t>
      </w:r>
      <w:r>
        <w:rPr>
          <w:rFonts w:hint="eastAsia" w:cs="宋体" w:asciiTheme="minorEastAsia" w:hAnsiTheme="minorEastAsia"/>
          <w:sz w:val="28"/>
          <w:szCs w:val="28"/>
        </w:rPr>
        <w:t>，U</w:t>
      </w:r>
      <w:r>
        <w:rPr>
          <w:rFonts w:cs="宋体" w:asciiTheme="minorEastAsia" w:hAnsiTheme="minorEastAsia"/>
          <w:sz w:val="28"/>
          <w:szCs w:val="28"/>
        </w:rPr>
        <w:t>盘密封至</w:t>
      </w:r>
      <w:r>
        <w:rPr>
          <w:rFonts w:hint="eastAsia" w:cs="宋体" w:asciiTheme="minorEastAsia" w:hAnsiTheme="minorEastAsia"/>
          <w:sz w:val="28"/>
          <w:szCs w:val="28"/>
        </w:rPr>
        <w:t>报价</w:t>
      </w:r>
      <w:r>
        <w:rPr>
          <w:rFonts w:cs="宋体" w:asciiTheme="minorEastAsia" w:hAnsiTheme="minorEastAsia"/>
          <w:sz w:val="28"/>
          <w:szCs w:val="28"/>
        </w:rPr>
        <w:t>文件中</w:t>
      </w:r>
      <w:r>
        <w:rPr>
          <w:rFonts w:hint="eastAsia" w:cs="宋体" w:asciiTheme="minorEastAsia" w:hAnsiTheme="minorEastAsia"/>
          <w:sz w:val="28"/>
          <w:szCs w:val="28"/>
        </w:rPr>
        <w:t>。</w:t>
      </w:r>
    </w:p>
    <w:p w14:paraId="49C4083A">
      <w:pPr>
        <w:pStyle w:val="6"/>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t>①</w:t>
      </w:r>
      <w:r>
        <w:rPr>
          <w:rFonts w:hint="eastAsia" w:asciiTheme="minorEastAsia" w:hAnsiTheme="minorEastAsia" w:eastAsiaTheme="minorEastAsia"/>
          <w:sz w:val="28"/>
          <w:szCs w:val="28"/>
          <w:lang w:eastAsia="zh-CN"/>
        </w:rPr>
        <w:t>法定代表人授权委托书；</w:t>
      </w:r>
    </w:p>
    <w:p w14:paraId="04A62D50">
      <w:pPr>
        <w:pStyle w:val="6"/>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t>②营业执照</w:t>
      </w:r>
      <w:r>
        <w:rPr>
          <w:rFonts w:hint="eastAsia" w:asciiTheme="minorEastAsia" w:hAnsiTheme="minorEastAsia" w:eastAsiaTheme="minorEastAsia"/>
          <w:sz w:val="28"/>
          <w:szCs w:val="28"/>
          <w:lang w:eastAsia="zh-CN"/>
        </w:rPr>
        <w:t>；</w:t>
      </w:r>
    </w:p>
    <w:p w14:paraId="679F9CEC">
      <w:pPr>
        <w:pStyle w:val="6"/>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3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③</w:t>
      </w:r>
      <w:r>
        <w:rPr>
          <w:rFonts w:asciiTheme="minorEastAsia" w:hAnsiTheme="minorEastAsia" w:eastAsiaTheme="minorEastAsia"/>
          <w:sz w:val="28"/>
          <w:szCs w:val="28"/>
          <w:lang w:eastAsia="zh-CN"/>
        </w:rPr>
        <w:fldChar w:fldCharType="end"/>
      </w:r>
      <w:r>
        <w:rPr>
          <w:rFonts w:asciiTheme="minorEastAsia" w:hAnsiTheme="minorEastAsia" w:eastAsiaTheme="minorEastAsia"/>
          <w:sz w:val="28"/>
          <w:szCs w:val="28"/>
          <w:lang w:eastAsia="zh-CN"/>
        </w:rPr>
        <w:t>投标保证金回执单；</w:t>
      </w:r>
    </w:p>
    <w:p w14:paraId="3E958D45">
      <w:pPr>
        <w:pStyle w:val="6"/>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4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④</w:t>
      </w:r>
      <w:r>
        <w:rPr>
          <w:rFonts w:asciiTheme="minorEastAsia" w:hAnsiTheme="minorEastAsia" w:eastAsiaTheme="minorEastAsia"/>
          <w:sz w:val="28"/>
          <w:szCs w:val="28"/>
          <w:lang w:eastAsia="zh-CN"/>
        </w:rPr>
        <w:fldChar w:fldCharType="end"/>
      </w:r>
      <w:r>
        <w:rPr>
          <w:rFonts w:hint="eastAsia"/>
          <w:sz w:val="28"/>
          <w:szCs w:val="28"/>
          <w:lang w:eastAsia="zh-CN"/>
        </w:rPr>
        <w:t>公司资质、</w:t>
      </w:r>
      <w:r>
        <w:rPr>
          <w:rFonts w:hint="eastAsia" w:asciiTheme="minorEastAsia" w:hAnsiTheme="minorEastAsia" w:eastAsiaTheme="minorEastAsia"/>
          <w:sz w:val="28"/>
          <w:szCs w:val="28"/>
          <w:lang w:eastAsia="zh-CN"/>
        </w:rPr>
        <w:t>企业概况、业绩的证明、其他需说明问题；</w:t>
      </w:r>
    </w:p>
    <w:p w14:paraId="074C8344">
      <w:pPr>
        <w:pStyle w:val="6"/>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5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⑤</w:t>
      </w:r>
      <w:r>
        <w:rPr>
          <w:rFonts w:asciiTheme="minorEastAsia" w:hAnsiTheme="minorEastAsia" w:eastAsiaTheme="minorEastAsia"/>
          <w:sz w:val="28"/>
          <w:szCs w:val="28"/>
          <w:lang w:eastAsia="zh-CN"/>
        </w:rPr>
        <w:fldChar w:fldCharType="end"/>
      </w:r>
      <w:r>
        <w:rPr>
          <w:rFonts w:asciiTheme="minorEastAsia" w:hAnsiTheme="minorEastAsia" w:eastAsiaTheme="minorEastAsia"/>
          <w:sz w:val="28"/>
          <w:szCs w:val="28"/>
          <w:lang w:eastAsia="zh-CN"/>
        </w:rPr>
        <w:t>交货期、付款方式等；</w:t>
      </w:r>
    </w:p>
    <w:p w14:paraId="629511AF">
      <w:pPr>
        <w:pStyle w:val="6"/>
        <w:spacing w:line="360" w:lineRule="auto"/>
        <w:ind w:firstLine="560" w:firstLineChars="200"/>
        <w:rPr>
          <w:rFonts w:asciiTheme="minorEastAsia" w:hAnsiTheme="minorEastAsia"/>
          <w:sz w:val="28"/>
          <w:szCs w:val="28"/>
          <w:lang w:eastAsia="zh-CN"/>
        </w:rPr>
      </w:pPr>
      <w:r>
        <w:rPr>
          <w:rFonts w:asciiTheme="minorEastAsia" w:hAnsiTheme="minorEastAsia"/>
          <w:sz w:val="28"/>
          <w:szCs w:val="28"/>
          <w:lang w:eastAsia="zh-CN"/>
        </w:rPr>
        <w:t>以上①至</w:t>
      </w: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4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④</w:t>
      </w:r>
      <w:r>
        <w:rPr>
          <w:rFonts w:asciiTheme="minorEastAsia" w:hAnsiTheme="minorEastAsia" w:eastAsiaTheme="minorEastAsia"/>
          <w:sz w:val="28"/>
          <w:szCs w:val="28"/>
          <w:lang w:eastAsia="zh-CN"/>
        </w:rPr>
        <w:fldChar w:fldCharType="end"/>
      </w:r>
      <w:r>
        <w:rPr>
          <w:rFonts w:asciiTheme="minorEastAsia" w:hAnsiTheme="minorEastAsia"/>
          <w:sz w:val="28"/>
          <w:szCs w:val="28"/>
          <w:lang w:eastAsia="zh-CN"/>
        </w:rPr>
        <w:t>项内容</w:t>
      </w:r>
      <w:r>
        <w:rPr>
          <w:rFonts w:hint="eastAsia" w:asciiTheme="minorEastAsia" w:hAnsiTheme="minorEastAsia"/>
          <w:sz w:val="28"/>
          <w:szCs w:val="28"/>
          <w:lang w:eastAsia="zh-CN"/>
        </w:rPr>
        <w:t>装订或</w:t>
      </w:r>
      <w:r>
        <w:rPr>
          <w:rFonts w:asciiTheme="minorEastAsia" w:hAnsiTheme="minorEastAsia"/>
          <w:sz w:val="28"/>
          <w:szCs w:val="28"/>
          <w:lang w:eastAsia="zh-CN"/>
        </w:rPr>
        <w:t>密封并加盖公章。</w:t>
      </w:r>
    </w:p>
    <w:p w14:paraId="05362F4C">
      <w:pPr>
        <w:pStyle w:val="6"/>
        <w:spacing w:line="360" w:lineRule="auto"/>
        <w:ind w:firstLine="562" w:firstLineChars="200"/>
        <w:rPr>
          <w:rFonts w:asciiTheme="minorEastAsia" w:hAnsiTheme="minorEastAsia"/>
          <w:sz w:val="28"/>
          <w:szCs w:val="28"/>
          <w:lang w:eastAsia="zh-CN"/>
        </w:rPr>
      </w:pPr>
      <w:r>
        <w:rPr>
          <w:rFonts w:hint="eastAsia" w:asciiTheme="minorEastAsia" w:hAnsiTheme="minorEastAsia" w:eastAsiaTheme="minorEastAsia"/>
          <w:b/>
          <w:sz w:val="28"/>
          <w:szCs w:val="28"/>
          <w:lang w:eastAsia="zh-CN"/>
        </w:rPr>
        <w:t>参选人在编制技术文件时也应考虑评标细则技术部分评分项</w:t>
      </w:r>
    </w:p>
    <w:p w14:paraId="36DA170B">
      <w:pPr>
        <w:pStyle w:val="21"/>
        <w:spacing w:line="360" w:lineRule="auto"/>
        <w:ind w:firstLine="560" w:firstLineChars="200"/>
        <w:jc w:val="left"/>
        <w:rPr>
          <w:rFonts w:asciiTheme="minorEastAsia" w:hAnsiTheme="minorEastAsia"/>
          <w:sz w:val="28"/>
          <w:szCs w:val="28"/>
        </w:rPr>
      </w:pPr>
      <w:r>
        <w:rPr>
          <w:rFonts w:hint="eastAsia" w:cs="宋体" w:asciiTheme="minorEastAsia" w:hAnsiTheme="minorEastAsia"/>
          <w:sz w:val="28"/>
          <w:szCs w:val="28"/>
        </w:rPr>
        <w:t>2. 报价文件（需每页加盖公章）1份，需提供纸质单1份，电子单1份拷入U</w:t>
      </w:r>
      <w:r>
        <w:rPr>
          <w:rFonts w:cs="宋体" w:asciiTheme="minorEastAsia" w:hAnsiTheme="minorEastAsia"/>
          <w:sz w:val="28"/>
          <w:szCs w:val="28"/>
        </w:rPr>
        <w:t>盘</w:t>
      </w:r>
      <w:r>
        <w:rPr>
          <w:rFonts w:hint="eastAsia" w:cs="宋体" w:asciiTheme="minorEastAsia" w:hAnsiTheme="minorEastAsia"/>
          <w:sz w:val="28"/>
          <w:szCs w:val="28"/>
        </w:rPr>
        <w:t>，U</w:t>
      </w:r>
      <w:r>
        <w:rPr>
          <w:rFonts w:cs="宋体" w:asciiTheme="minorEastAsia" w:hAnsiTheme="minorEastAsia"/>
          <w:sz w:val="28"/>
          <w:szCs w:val="28"/>
        </w:rPr>
        <w:t>盘密封至</w:t>
      </w:r>
      <w:r>
        <w:rPr>
          <w:rFonts w:hint="eastAsia" w:cs="宋体" w:asciiTheme="minorEastAsia" w:hAnsiTheme="minorEastAsia"/>
          <w:sz w:val="28"/>
          <w:szCs w:val="28"/>
        </w:rPr>
        <w:t>报价</w:t>
      </w:r>
      <w:r>
        <w:rPr>
          <w:rFonts w:cs="宋体" w:asciiTheme="minorEastAsia" w:hAnsiTheme="minorEastAsia"/>
          <w:sz w:val="28"/>
          <w:szCs w:val="28"/>
        </w:rPr>
        <w:t>文件中</w:t>
      </w:r>
      <w:r>
        <w:rPr>
          <w:rFonts w:hint="eastAsia" w:cs="宋体" w:asciiTheme="minorEastAsia" w:hAnsiTheme="minorEastAsia"/>
          <w:sz w:val="28"/>
          <w:szCs w:val="28"/>
        </w:rPr>
        <w:t>。</w:t>
      </w:r>
    </w:p>
    <w:p w14:paraId="2A449875">
      <w:pPr>
        <w:pStyle w:val="6"/>
        <w:spacing w:line="360" w:lineRule="auto"/>
        <w:ind w:firstLine="560" w:firstLineChars="200"/>
        <w:rPr>
          <w:rFonts w:asciiTheme="minorEastAsia" w:hAnsiTheme="minorEastAsia"/>
          <w:sz w:val="28"/>
          <w:szCs w:val="28"/>
          <w:lang w:eastAsia="zh-CN"/>
        </w:rPr>
      </w:pPr>
      <w:r>
        <w:rPr>
          <w:rFonts w:hint="eastAsia" w:asciiTheme="minorEastAsia" w:hAnsiTheme="minorEastAsia"/>
          <w:sz w:val="28"/>
          <w:szCs w:val="28"/>
          <w:lang w:eastAsia="zh-CN"/>
        </w:rPr>
        <w:t xml:space="preserve"> ①</w:t>
      </w:r>
      <w:r>
        <w:rPr>
          <w:rFonts w:asciiTheme="minorEastAsia" w:hAnsiTheme="minorEastAsia"/>
          <w:sz w:val="28"/>
          <w:szCs w:val="28"/>
          <w:lang w:eastAsia="zh-CN"/>
        </w:rPr>
        <w:t>提供参选报价表(详见附件)</w:t>
      </w:r>
    </w:p>
    <w:p w14:paraId="2E80DA45">
      <w:pPr>
        <w:pStyle w:val="6"/>
        <w:spacing w:line="360" w:lineRule="auto"/>
        <w:ind w:firstLine="560" w:firstLineChars="200"/>
        <w:rPr>
          <w:rFonts w:asciiTheme="minorEastAsia" w:hAnsiTheme="minorEastAsia"/>
          <w:sz w:val="28"/>
          <w:szCs w:val="28"/>
          <w:lang w:eastAsia="zh-CN"/>
        </w:rPr>
      </w:pPr>
      <w:r>
        <w:rPr>
          <w:rFonts w:hint="eastAsia" w:asciiTheme="minorEastAsia" w:hAnsiTheme="minorEastAsia"/>
          <w:sz w:val="28"/>
          <w:szCs w:val="28"/>
          <w:lang w:eastAsia="zh-CN"/>
        </w:rPr>
        <w:t xml:space="preserve"> ②承诺函</w:t>
      </w:r>
    </w:p>
    <w:p w14:paraId="1963EF85">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二、参比书格式内容</w:t>
      </w:r>
    </w:p>
    <w:p w14:paraId="3AF0FCD6">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参比人应按附件二格式内容要求进行参比书的编制。</w:t>
      </w:r>
    </w:p>
    <w:p w14:paraId="5402E3D0">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三、参比报价</w:t>
      </w:r>
    </w:p>
    <w:p w14:paraId="229412E3">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参比人须按要求进行报价，对参比报价负责。参比报价应加盖参比人印章，字迹清晰，否则视为无效。</w:t>
      </w:r>
    </w:p>
    <w:p w14:paraId="02A59406">
      <w:pPr>
        <w:spacing w:before="15" w:line="360" w:lineRule="auto"/>
        <w:ind w:firstLine="534" w:firstLineChars="200"/>
        <w:rPr>
          <w:rFonts w:hint="eastAsia" w:ascii="宋体" w:hAnsi="宋体" w:eastAsia="宋体" w:cs="宋体"/>
          <w:b/>
          <w:w w:val="95"/>
          <w:sz w:val="28"/>
          <w:szCs w:val="28"/>
          <w:lang w:eastAsia="zh-CN"/>
        </w:rPr>
      </w:pPr>
      <w:r>
        <w:rPr>
          <w:rFonts w:hint="eastAsia" w:ascii="宋体" w:hAnsi="宋体" w:eastAsia="宋体" w:cs="宋体"/>
          <w:b/>
          <w:w w:val="95"/>
          <w:sz w:val="28"/>
          <w:szCs w:val="28"/>
          <w:lang w:eastAsia="zh-CN"/>
        </w:rPr>
        <w:t>四、特别说明</w:t>
      </w:r>
    </w:p>
    <w:p w14:paraId="771E8946">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1.参比人应承担所有与准备和参加询比有关的费用。不论比选的结果如何，采购机构和采购人均无义务和责任承担这些费用。</w:t>
      </w:r>
    </w:p>
    <w:p w14:paraId="5BB36AA4">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2.参比收到采购文件后，如有疑问需要澄清，请以书面形式在规定时间内报采购人汇总。</w:t>
      </w:r>
    </w:p>
    <w:p w14:paraId="43EF3B79">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3.参比人对采购人提供的采购文件所做出的推论、解释和结论，采购人概不负责。参比人由于对采购文件的任何推论和误解以及比选对有关问题的口头解释所造成的后果，均由参比人负责。</w:t>
      </w:r>
    </w:p>
    <w:p w14:paraId="13750FC4">
      <w:pPr>
        <w:spacing w:line="360" w:lineRule="auto"/>
        <w:jc w:val="both"/>
        <w:rPr>
          <w:rFonts w:hint="eastAsia" w:ascii="宋体" w:hAnsi="宋体" w:eastAsia="宋体" w:cs="宋体"/>
          <w:lang w:eastAsia="zh-CN"/>
        </w:rPr>
        <w:sectPr>
          <w:pgSz w:w="11910" w:h="16840"/>
          <w:pgMar w:top="1500" w:right="1020" w:bottom="740" w:left="1300" w:header="0" w:footer="551" w:gutter="0"/>
          <w:cols w:space="720" w:num="1"/>
        </w:sectPr>
      </w:pPr>
    </w:p>
    <w:p w14:paraId="6CF0C70C">
      <w:pPr>
        <w:pStyle w:val="2"/>
        <w:tabs>
          <w:tab w:val="left" w:pos="1488"/>
        </w:tabs>
        <w:spacing w:line="355" w:lineRule="exact"/>
        <w:ind w:left="365"/>
        <w:jc w:val="center"/>
        <w:rPr>
          <w:rFonts w:hint="eastAsia" w:ascii="宋体" w:hAnsi="宋体" w:eastAsia="宋体" w:cs="宋体"/>
          <w:sz w:val="32"/>
          <w:szCs w:val="32"/>
          <w:lang w:eastAsia="zh-CN"/>
        </w:rPr>
      </w:pPr>
      <w:r>
        <w:rPr>
          <w:rFonts w:hint="eastAsia" w:ascii="宋体" w:hAnsi="宋体" w:eastAsia="宋体" w:cs="宋体"/>
          <w:sz w:val="32"/>
          <w:szCs w:val="32"/>
          <w:lang w:eastAsia="zh-CN"/>
        </w:rPr>
        <w:t>第四章</w:t>
      </w:r>
      <w:r>
        <w:rPr>
          <w:rFonts w:hint="eastAsia" w:ascii="宋体" w:hAnsi="宋体" w:eastAsia="宋体" w:cs="宋体"/>
          <w:sz w:val="32"/>
          <w:szCs w:val="32"/>
          <w:lang w:eastAsia="zh-CN"/>
        </w:rPr>
        <w:tab/>
      </w:r>
      <w:r>
        <w:rPr>
          <w:rFonts w:hint="eastAsia" w:ascii="宋体" w:hAnsi="宋体" w:eastAsia="宋体" w:cs="宋体"/>
          <w:spacing w:val="-1"/>
          <w:w w:val="95"/>
          <w:sz w:val="32"/>
          <w:szCs w:val="32"/>
          <w:lang w:eastAsia="zh-CN"/>
        </w:rPr>
        <w:t>评审规</w:t>
      </w:r>
      <w:r>
        <w:rPr>
          <w:rFonts w:hint="eastAsia" w:ascii="宋体" w:hAnsi="宋体" w:eastAsia="宋体" w:cs="宋体"/>
          <w:w w:val="95"/>
          <w:sz w:val="32"/>
          <w:szCs w:val="32"/>
          <w:lang w:eastAsia="zh-CN"/>
        </w:rPr>
        <w:t>则</w:t>
      </w:r>
    </w:p>
    <w:p w14:paraId="23203E77">
      <w:pPr>
        <w:spacing w:before="15" w:line="360" w:lineRule="auto"/>
        <w:ind w:firstLine="429" w:firstLineChars="15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一、规则</w:t>
      </w:r>
    </w:p>
    <w:p w14:paraId="2A884922">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1.采购人在评审时，将优先对技术参比文件进行评审，技术参比文件符合业主要求方可进行下一轮商务报价评审。</w:t>
      </w:r>
    </w:p>
    <w:p w14:paraId="6F0E84D2">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2.参比人串选、相互勾结故意压低标价以排挤竞争对手的公平竞争的，其参比无效。</w:t>
      </w:r>
    </w:p>
    <w:p w14:paraId="3BE70EE5">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替补候选人的设定与使用：在合同签订前，采购单位发现参比人的参比报价或供货范围有缺漏、实际应标产品或服务存在重大偏差、或参比材料存在欺诈行为时、或参比人因不可抗力或自身原因不能履行合同的，将有理由取消中选人资格，保留依法追究的权利； 并将依法确定排名第二名的中选候选人为本项目的中选人。</w:t>
      </w:r>
    </w:p>
    <w:p w14:paraId="6216A618">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二、资格审查</w:t>
      </w:r>
    </w:p>
    <w:p w14:paraId="6FBF85E0">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由采购人依法组建的评审委员会将按照第二章比选须知第六点“参比人资格”的要求对参比人进行资格审查，以确定是否为符合采购文件规定要求的合格参比人，同时，评审委员会将依据参比人提供的资格证明文件审查参比人的法人资格、营业范围、财务，以确定参比人是否有资格履行合同。经上述资格审查合格的参比人进入下一程序的评审，经上述资格审查不合格的参比文件，其参比资格将被评审委员会予以否决。</w:t>
      </w:r>
    </w:p>
    <w:p w14:paraId="0C95DC09">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三、评审办法</w:t>
      </w:r>
    </w:p>
    <w:p w14:paraId="44805DE6">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本项目采用综合评分法评审，规则：</w:t>
      </w:r>
    </w:p>
    <w:p w14:paraId="49312688">
      <w:pPr>
        <w:pStyle w:val="6"/>
        <w:spacing w:line="360" w:lineRule="auto"/>
        <w:ind w:right="121"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本项目采用综合评选法，从商务和技术两部分进行综合评价。商务分与技术分的比例为60%：40%。资质审查合格者进入详细评审，技术标得分前三名进入商务标评分，综合得分最高的投标人作为中标人。资质审查不合格的投标人，不进入详细评审。</w:t>
      </w:r>
    </w:p>
    <w:p w14:paraId="6654542A">
      <w:pPr>
        <w:pStyle w:val="6"/>
        <w:spacing w:line="360" w:lineRule="auto"/>
        <w:ind w:right="121" w:firstLine="560" w:firstLineChars="200"/>
        <w:jc w:val="both"/>
        <w:rPr>
          <w:rFonts w:hint="eastAsia" w:ascii="宋体" w:hAnsi="宋体" w:eastAsia="宋体" w:cs="宋体"/>
          <w:sz w:val="28"/>
          <w:szCs w:val="28"/>
          <w:lang w:eastAsia="zh-CN"/>
        </w:rPr>
      </w:pPr>
    </w:p>
    <w:p w14:paraId="5FE67822">
      <w:pPr>
        <w:pStyle w:val="6"/>
        <w:spacing w:line="360" w:lineRule="auto"/>
        <w:ind w:right="121" w:firstLine="560" w:firstLineChars="200"/>
        <w:jc w:val="both"/>
        <w:rPr>
          <w:rFonts w:hint="eastAsia" w:ascii="宋体" w:hAnsi="宋体" w:eastAsia="宋体" w:cs="宋体"/>
          <w:sz w:val="28"/>
          <w:szCs w:val="28"/>
          <w:lang w:eastAsia="zh-CN"/>
        </w:rPr>
      </w:pPr>
    </w:p>
    <w:p w14:paraId="1E52848A">
      <w:pPr>
        <w:pStyle w:val="6"/>
        <w:numPr>
          <w:ilvl w:val="0"/>
          <w:numId w:val="0"/>
        </w:numPr>
        <w:spacing w:line="360" w:lineRule="auto"/>
        <w:ind w:right="121" w:rightChars="0"/>
        <w:jc w:val="both"/>
        <w:rPr>
          <w:rFonts w:hint="eastAsia" w:ascii="宋体" w:hAnsi="宋体" w:eastAsia="宋体" w:cs="宋体"/>
          <w:sz w:val="28"/>
          <w:szCs w:val="28"/>
          <w:lang w:eastAsia="zh-CN"/>
        </w:rPr>
      </w:pPr>
      <w:r>
        <w:rPr>
          <w:rFonts w:hint="eastAsia" w:cs="宋体"/>
          <w:sz w:val="28"/>
          <w:szCs w:val="28"/>
          <w:lang w:val="en-US" w:eastAsia="zh-CN"/>
        </w:rPr>
        <w:t>1.</w:t>
      </w:r>
      <w:r>
        <w:rPr>
          <w:rFonts w:hint="eastAsia" w:ascii="宋体" w:hAnsi="宋体" w:eastAsia="宋体" w:cs="宋体"/>
          <w:sz w:val="28"/>
          <w:szCs w:val="28"/>
          <w:lang w:eastAsia="zh-CN"/>
        </w:rPr>
        <w:t>具体评分方法和标准详见下附表</w:t>
      </w:r>
    </w:p>
    <w:tbl>
      <w:tblPr>
        <w:tblStyle w:val="17"/>
        <w:tblW w:w="96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13"/>
        <w:gridCol w:w="1205"/>
        <w:gridCol w:w="913"/>
        <w:gridCol w:w="6655"/>
      </w:tblGrid>
      <w:tr w14:paraId="660AFF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913" w:type="dxa"/>
            <w:vAlign w:val="center"/>
          </w:tcPr>
          <w:p w14:paraId="53D4FF98">
            <w:pPr>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Theme="minorEastAsia" w:hAnsiTheme="minorEastAsia" w:eastAsiaTheme="minorEastAsia" w:cstheme="minorEastAsia"/>
                <w:b/>
                <w:sz w:val="24"/>
                <w:szCs w:val="20"/>
              </w:rPr>
            </w:pPr>
            <w:r>
              <w:rPr>
                <w:rFonts w:hint="eastAsia" w:asciiTheme="minorEastAsia" w:hAnsiTheme="minorEastAsia" w:eastAsiaTheme="minorEastAsia" w:cstheme="minorEastAsia"/>
                <w:b/>
                <w:sz w:val="24"/>
                <w:szCs w:val="20"/>
              </w:rPr>
              <w:t>序号</w:t>
            </w:r>
          </w:p>
        </w:tc>
        <w:tc>
          <w:tcPr>
            <w:tcW w:w="1205" w:type="dxa"/>
            <w:vAlign w:val="center"/>
          </w:tcPr>
          <w:p w14:paraId="232BA3E3">
            <w:pPr>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Theme="minorEastAsia" w:hAnsiTheme="minorEastAsia" w:eastAsiaTheme="minorEastAsia" w:cstheme="minorEastAsia"/>
                <w:b/>
                <w:sz w:val="24"/>
                <w:szCs w:val="20"/>
              </w:rPr>
            </w:pPr>
            <w:r>
              <w:rPr>
                <w:rFonts w:hint="eastAsia" w:asciiTheme="minorEastAsia" w:hAnsiTheme="minorEastAsia" w:eastAsiaTheme="minorEastAsia" w:cstheme="minorEastAsia"/>
                <w:b/>
                <w:sz w:val="24"/>
                <w:szCs w:val="20"/>
              </w:rPr>
              <w:t>评议内容</w:t>
            </w:r>
          </w:p>
        </w:tc>
        <w:tc>
          <w:tcPr>
            <w:tcW w:w="913" w:type="dxa"/>
            <w:vAlign w:val="center"/>
          </w:tcPr>
          <w:p w14:paraId="1691B6B5">
            <w:pPr>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Theme="minorEastAsia" w:hAnsiTheme="minorEastAsia" w:eastAsiaTheme="minorEastAsia" w:cstheme="minorEastAsia"/>
                <w:b/>
                <w:sz w:val="24"/>
                <w:szCs w:val="20"/>
              </w:rPr>
            </w:pPr>
            <w:r>
              <w:rPr>
                <w:rFonts w:hint="eastAsia" w:asciiTheme="minorEastAsia" w:hAnsiTheme="minorEastAsia" w:eastAsiaTheme="minorEastAsia" w:cstheme="minorEastAsia"/>
                <w:b/>
                <w:sz w:val="24"/>
                <w:szCs w:val="20"/>
              </w:rPr>
              <w:t>分值</w:t>
            </w:r>
          </w:p>
        </w:tc>
        <w:tc>
          <w:tcPr>
            <w:tcW w:w="6655" w:type="dxa"/>
            <w:vAlign w:val="center"/>
          </w:tcPr>
          <w:p w14:paraId="40DDA7C0">
            <w:pPr>
              <w:keepNext w:val="0"/>
              <w:keepLines w:val="0"/>
              <w:widowControl/>
              <w:suppressLineNumbers w:val="0"/>
              <w:snapToGrid w:val="0"/>
              <w:spacing w:before="0" w:beforeAutospacing="0" w:after="0" w:afterAutospacing="0"/>
              <w:ind w:left="0" w:leftChars="0" w:right="0" w:rightChars="0" w:firstLine="0" w:firstLineChars="0"/>
              <w:jc w:val="center"/>
              <w:rPr>
                <w:rFonts w:hint="eastAsia" w:asciiTheme="minorEastAsia" w:hAnsiTheme="minorEastAsia" w:eastAsiaTheme="minorEastAsia" w:cstheme="minorEastAsia"/>
                <w:b/>
                <w:sz w:val="24"/>
                <w:szCs w:val="20"/>
              </w:rPr>
            </w:pPr>
            <w:r>
              <w:rPr>
                <w:rFonts w:hint="eastAsia" w:asciiTheme="minorEastAsia" w:hAnsiTheme="minorEastAsia" w:eastAsiaTheme="minorEastAsia" w:cstheme="minorEastAsia"/>
                <w:b/>
                <w:sz w:val="24"/>
                <w:szCs w:val="20"/>
              </w:rPr>
              <w:t>评审标准</w:t>
            </w:r>
          </w:p>
        </w:tc>
      </w:tr>
      <w:tr w14:paraId="780ACF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913" w:type="dxa"/>
            <w:vAlign w:val="center"/>
          </w:tcPr>
          <w:p w14:paraId="3404EAAA">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eastAsia="宋体" w:hAnsiTheme="minorEastAsia" w:cstheme="minorEastAsia"/>
                <w:sz w:val="24"/>
                <w:szCs w:val="20"/>
              </w:rPr>
            </w:pPr>
            <w:r>
              <w:rPr>
                <w:rFonts w:hint="eastAsia" w:ascii="宋体" w:eastAsia="宋体" w:hAnsiTheme="minorEastAsia" w:cstheme="minorEastAsia"/>
                <w:sz w:val="24"/>
                <w:szCs w:val="20"/>
              </w:rPr>
              <w:t>1</w:t>
            </w:r>
          </w:p>
        </w:tc>
        <w:tc>
          <w:tcPr>
            <w:tcW w:w="1205" w:type="dxa"/>
            <w:vAlign w:val="center"/>
          </w:tcPr>
          <w:p w14:paraId="4661C981">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eastAsia="宋体" w:hAnsiTheme="minorEastAsia" w:cstheme="minorEastAsia"/>
                <w:sz w:val="24"/>
                <w:szCs w:val="20"/>
              </w:rPr>
            </w:pPr>
            <w:r>
              <w:rPr>
                <w:rFonts w:hint="eastAsia" w:ascii="宋体" w:eastAsia="宋体" w:hAnsiTheme="minorEastAsia" w:cstheme="minorEastAsia"/>
                <w:sz w:val="24"/>
                <w:szCs w:val="20"/>
              </w:rPr>
              <w:t>技术方案先进性</w:t>
            </w:r>
          </w:p>
        </w:tc>
        <w:tc>
          <w:tcPr>
            <w:tcW w:w="913" w:type="dxa"/>
            <w:vAlign w:val="center"/>
          </w:tcPr>
          <w:p w14:paraId="3602A6F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eastAsia="宋体" w:hAnsiTheme="minorEastAsia" w:cstheme="minorEastAsia"/>
                <w:sz w:val="24"/>
                <w:szCs w:val="20"/>
              </w:rPr>
            </w:pPr>
            <w:r>
              <w:rPr>
                <w:rFonts w:hint="eastAsia" w:ascii="宋体" w:eastAsia="宋体" w:hAnsiTheme="minorEastAsia" w:cstheme="minorEastAsia"/>
                <w:sz w:val="24"/>
                <w:szCs w:val="20"/>
              </w:rPr>
              <w:t>5</w:t>
            </w:r>
          </w:p>
        </w:tc>
        <w:tc>
          <w:tcPr>
            <w:tcW w:w="6655" w:type="dxa"/>
            <w:vAlign w:val="center"/>
          </w:tcPr>
          <w:p w14:paraId="6B270AD1">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eastAsia="宋体" w:hAnsiTheme="minorEastAsia" w:cstheme="minorEastAsia"/>
                <w:sz w:val="24"/>
                <w:szCs w:val="20"/>
              </w:rPr>
            </w:pPr>
            <w:r>
              <w:rPr>
                <w:rFonts w:hint="eastAsia" w:ascii="宋体" w:eastAsia="宋体" w:hAnsiTheme="minorEastAsia" w:cstheme="minorEastAsia"/>
                <w:sz w:val="24"/>
                <w:szCs w:val="20"/>
              </w:rPr>
              <w:t>优 (5分): 架构设计前瞻，充分采用云原生、微服务、AI大模型等主流先进技术，与工业互联网体系融合度极高，具有工业互联网大模型，扩展性、安全性设计卓越。石化行业特性考量周全。总体架构图设计合理（能提供项目总体架构图）。</w:t>
            </w:r>
          </w:p>
          <w:p w14:paraId="5EC21254">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eastAsia="宋体" w:hAnsiTheme="minorEastAsia" w:cstheme="minorEastAsia"/>
                <w:sz w:val="24"/>
                <w:szCs w:val="20"/>
              </w:rPr>
            </w:pPr>
            <w:r>
              <w:rPr>
                <w:rFonts w:hint="eastAsia" w:ascii="宋体" w:eastAsia="宋体" w:hAnsiTheme="minorEastAsia" w:cstheme="minorEastAsia"/>
                <w:sz w:val="24"/>
                <w:szCs w:val="20"/>
              </w:rPr>
              <w:t>良 (4分): 架构合理，采用较多先进技术，满足当前需求且有较好扩展性，与现有平台集成方案清晰。总体设计较合理（能提供系统总体架构图）。</w:t>
            </w:r>
          </w:p>
          <w:p w14:paraId="3A7C2370">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eastAsia="宋体" w:hAnsiTheme="minorEastAsia" w:cstheme="minorEastAsia"/>
                <w:sz w:val="24"/>
                <w:szCs w:val="20"/>
              </w:rPr>
            </w:pPr>
            <w:r>
              <w:rPr>
                <w:rFonts w:hint="eastAsia" w:ascii="宋体" w:eastAsia="宋体" w:hAnsiTheme="minorEastAsia" w:cstheme="minorEastAsia"/>
                <w:sz w:val="24"/>
                <w:szCs w:val="20"/>
              </w:rPr>
              <w:t>中 (3分): 方案基本满足要求，技术选用主流但亮点不突出，扩展性或行业特性考量一般。</w:t>
            </w:r>
          </w:p>
          <w:p w14:paraId="46ACC2CC">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eastAsia="宋体" w:hAnsiTheme="minorEastAsia" w:cstheme="minorEastAsia"/>
                <w:sz w:val="24"/>
                <w:szCs w:val="20"/>
              </w:rPr>
            </w:pPr>
            <w:r>
              <w:rPr>
                <w:rFonts w:hint="eastAsia" w:ascii="宋体" w:eastAsia="宋体" w:hAnsiTheme="minorEastAsia" w:cstheme="minorEastAsia"/>
                <w:sz w:val="24"/>
                <w:szCs w:val="20"/>
              </w:rPr>
              <w:t>差 (0-2分): 技术架构陈旧，无法满足集成、扩展或安全要求，与行业特点严重不符。</w:t>
            </w:r>
          </w:p>
        </w:tc>
      </w:tr>
      <w:tr w14:paraId="69AA20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913" w:type="dxa"/>
            <w:vAlign w:val="center"/>
          </w:tcPr>
          <w:p w14:paraId="47A75D2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eastAsia="宋体" w:hAnsiTheme="minorEastAsia" w:cstheme="minorEastAsia"/>
                <w:sz w:val="24"/>
                <w:szCs w:val="20"/>
              </w:rPr>
            </w:pPr>
            <w:r>
              <w:rPr>
                <w:rFonts w:hint="eastAsia" w:ascii="宋体" w:eastAsia="宋体" w:hAnsiTheme="minorEastAsia" w:cstheme="minorEastAsia"/>
                <w:sz w:val="24"/>
                <w:szCs w:val="20"/>
              </w:rPr>
              <w:t>2</w:t>
            </w:r>
          </w:p>
        </w:tc>
        <w:tc>
          <w:tcPr>
            <w:tcW w:w="1205" w:type="dxa"/>
            <w:vAlign w:val="center"/>
          </w:tcPr>
          <w:p w14:paraId="52DB5675">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eastAsia="宋体" w:hAnsiTheme="minorEastAsia" w:cstheme="minorEastAsia"/>
                <w:sz w:val="24"/>
                <w:szCs w:val="20"/>
              </w:rPr>
            </w:pPr>
            <w:r>
              <w:rPr>
                <w:rFonts w:hint="eastAsia" w:ascii="宋体" w:eastAsia="宋体" w:hAnsiTheme="minorEastAsia" w:cstheme="minorEastAsia"/>
                <w:sz w:val="24"/>
                <w:szCs w:val="20"/>
              </w:rPr>
              <w:t>功能满足度</w:t>
            </w:r>
          </w:p>
        </w:tc>
        <w:tc>
          <w:tcPr>
            <w:tcW w:w="913" w:type="dxa"/>
            <w:vAlign w:val="center"/>
          </w:tcPr>
          <w:p w14:paraId="6B991D64">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eastAsia="宋体" w:hAnsiTheme="minorEastAsia" w:cstheme="minorEastAsia"/>
                <w:sz w:val="24"/>
                <w:szCs w:val="20"/>
              </w:rPr>
            </w:pPr>
            <w:r>
              <w:rPr>
                <w:rFonts w:hint="eastAsia" w:ascii="宋体" w:eastAsia="宋体" w:hAnsiTheme="minorEastAsia" w:cstheme="minorEastAsia"/>
                <w:sz w:val="24"/>
                <w:szCs w:val="20"/>
              </w:rPr>
              <w:t>10</w:t>
            </w:r>
          </w:p>
        </w:tc>
        <w:tc>
          <w:tcPr>
            <w:tcW w:w="6655" w:type="dxa"/>
            <w:vAlign w:val="center"/>
          </w:tcPr>
          <w:p w14:paraId="51B2F6E8">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eastAsia="宋体" w:hAnsiTheme="minorEastAsia" w:cstheme="minorEastAsia"/>
                <w:sz w:val="24"/>
                <w:szCs w:val="20"/>
              </w:rPr>
            </w:pPr>
            <w:r>
              <w:rPr>
                <w:rFonts w:hint="eastAsia" w:ascii="宋体" w:eastAsia="宋体" w:hAnsiTheme="minorEastAsia" w:cstheme="minorEastAsia"/>
                <w:sz w:val="24"/>
                <w:szCs w:val="20"/>
              </w:rPr>
              <w:t>优 (9-10分): 对发包文件所有功能点（含硬件集成、软件模块、移动端、预测性维护等）响应完全，无遗漏。具有自主故障模型或根因分析功能。Demo或案例图片清晰、匹配度高，二次开发评估合理可信。</w:t>
            </w:r>
          </w:p>
          <w:p w14:paraId="3624B34B">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eastAsia="宋体" w:hAnsiTheme="minorEastAsia" w:cstheme="minorEastAsia"/>
                <w:sz w:val="24"/>
                <w:szCs w:val="20"/>
              </w:rPr>
            </w:pPr>
            <w:r>
              <w:rPr>
                <w:rFonts w:hint="eastAsia" w:ascii="宋体" w:eastAsia="宋体" w:hAnsiTheme="minorEastAsia" w:cstheme="minorEastAsia"/>
                <w:sz w:val="24"/>
                <w:szCs w:val="20"/>
              </w:rPr>
              <w:t>良 (7-8分): 核心功能响应完整，个别非核心功能有轻微偏差或描述不清。Demo或案例具备一定参考性，二次开发评估基本可行。</w:t>
            </w:r>
          </w:p>
          <w:p w14:paraId="4C4CA1F3">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eastAsia="宋体" w:hAnsiTheme="minorEastAsia" w:cstheme="minorEastAsia"/>
                <w:sz w:val="24"/>
                <w:szCs w:val="20"/>
              </w:rPr>
            </w:pPr>
            <w:r>
              <w:rPr>
                <w:rFonts w:hint="eastAsia" w:ascii="宋体" w:eastAsia="宋体" w:hAnsiTheme="minorEastAsia" w:cstheme="minorEastAsia"/>
                <w:sz w:val="24"/>
                <w:szCs w:val="20"/>
              </w:rPr>
              <w:t>中 (4-6分): 核心功能基本响应，但存在部分功能点缺失、描述模糊或明显偏离要求。Demo或案例参考性较弱，二次开发难度评估不足。</w:t>
            </w:r>
          </w:p>
          <w:p w14:paraId="2AF15F9A">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eastAsia="宋体" w:hAnsiTheme="minorEastAsia" w:cstheme="minorEastAsia"/>
                <w:sz w:val="24"/>
                <w:szCs w:val="20"/>
              </w:rPr>
            </w:pPr>
            <w:r>
              <w:rPr>
                <w:rFonts w:hint="eastAsia" w:ascii="宋体" w:eastAsia="宋体" w:hAnsiTheme="minorEastAsia" w:cstheme="minorEastAsia"/>
                <w:sz w:val="24"/>
                <w:szCs w:val="20"/>
              </w:rPr>
              <w:t>差 (0-3分): 重要功能点缺失或响应严重不符，无法证明具备实现能力。无Demo或案例，二次开发评估不可行。</w:t>
            </w:r>
          </w:p>
        </w:tc>
      </w:tr>
      <w:tr w14:paraId="092A7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913" w:type="dxa"/>
            <w:vAlign w:val="center"/>
          </w:tcPr>
          <w:p w14:paraId="17AAE9BC">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eastAsia="宋体" w:hAnsiTheme="minorEastAsia" w:cstheme="minorEastAsia"/>
                <w:sz w:val="24"/>
                <w:szCs w:val="20"/>
              </w:rPr>
            </w:pPr>
            <w:r>
              <w:rPr>
                <w:rFonts w:hint="eastAsia" w:ascii="宋体" w:eastAsia="宋体" w:hAnsiTheme="minorEastAsia" w:cstheme="minorEastAsia"/>
                <w:sz w:val="24"/>
                <w:szCs w:val="20"/>
              </w:rPr>
              <w:t>3</w:t>
            </w:r>
          </w:p>
        </w:tc>
        <w:tc>
          <w:tcPr>
            <w:tcW w:w="1205" w:type="dxa"/>
            <w:vAlign w:val="center"/>
          </w:tcPr>
          <w:p w14:paraId="74E27D46">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eastAsia="宋体" w:hAnsiTheme="minorEastAsia" w:cstheme="minorEastAsia"/>
                <w:sz w:val="24"/>
                <w:szCs w:val="20"/>
              </w:rPr>
            </w:pPr>
            <w:r>
              <w:rPr>
                <w:rFonts w:hint="eastAsia" w:ascii="宋体" w:eastAsia="宋体" w:hAnsiTheme="minorEastAsia" w:cstheme="minorEastAsia"/>
                <w:sz w:val="24"/>
                <w:szCs w:val="20"/>
              </w:rPr>
              <w:t>系统性能与安全性</w:t>
            </w:r>
          </w:p>
        </w:tc>
        <w:tc>
          <w:tcPr>
            <w:tcW w:w="913" w:type="dxa"/>
            <w:vAlign w:val="center"/>
          </w:tcPr>
          <w:p w14:paraId="352FABA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eastAsia="宋体" w:hAnsiTheme="minorEastAsia" w:cstheme="minorEastAsia"/>
                <w:sz w:val="24"/>
                <w:szCs w:val="20"/>
              </w:rPr>
            </w:pPr>
            <w:r>
              <w:rPr>
                <w:rFonts w:hint="eastAsia" w:ascii="宋体" w:eastAsia="宋体" w:hAnsiTheme="minorEastAsia" w:cstheme="minorEastAsia"/>
                <w:sz w:val="24"/>
                <w:szCs w:val="20"/>
              </w:rPr>
              <w:t>5</w:t>
            </w:r>
          </w:p>
        </w:tc>
        <w:tc>
          <w:tcPr>
            <w:tcW w:w="6655" w:type="dxa"/>
            <w:vAlign w:val="center"/>
          </w:tcPr>
          <w:p w14:paraId="33E4A1FD">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eastAsia="宋体" w:hAnsiTheme="minorEastAsia" w:cstheme="minorEastAsia"/>
                <w:sz w:val="24"/>
                <w:szCs w:val="20"/>
              </w:rPr>
            </w:pPr>
            <w:r>
              <w:rPr>
                <w:rFonts w:hint="eastAsia" w:ascii="宋体" w:eastAsia="宋体" w:hAnsiTheme="minorEastAsia" w:cstheme="minorEastAsia"/>
                <w:sz w:val="24"/>
                <w:szCs w:val="20"/>
              </w:rPr>
              <w:t>优 (5分): 各项性能指标（并发、响应、存储、备份恢复）完全满足或优于要求。安全设计全面，涵盖数据、网络、应用、运维等多层次，漏洞扫描与渗透测试承诺明确。</w:t>
            </w:r>
          </w:p>
          <w:p w14:paraId="2D3BF5CD">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eastAsia="宋体" w:hAnsiTheme="minorEastAsia" w:cstheme="minorEastAsia"/>
                <w:sz w:val="24"/>
                <w:szCs w:val="20"/>
              </w:rPr>
            </w:pPr>
            <w:r>
              <w:rPr>
                <w:rFonts w:hint="eastAsia" w:ascii="宋体" w:eastAsia="宋体" w:hAnsiTheme="minorEastAsia" w:cstheme="minorEastAsia"/>
                <w:sz w:val="24"/>
                <w:szCs w:val="20"/>
              </w:rPr>
              <w:t>良 (4分): 主要性能指标满足要求，安全措施基本完备，但部分细节（如加密算法、容灾细节）描述不够深入。</w:t>
            </w:r>
          </w:p>
          <w:p w14:paraId="45998BC8">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eastAsia="宋体" w:hAnsiTheme="minorEastAsia" w:cstheme="minorEastAsia"/>
                <w:sz w:val="24"/>
                <w:szCs w:val="20"/>
              </w:rPr>
            </w:pPr>
            <w:r>
              <w:rPr>
                <w:rFonts w:hint="eastAsia" w:ascii="宋体" w:eastAsia="宋体" w:hAnsiTheme="minorEastAsia" w:cstheme="minorEastAsia"/>
                <w:sz w:val="24"/>
                <w:szCs w:val="20"/>
              </w:rPr>
              <w:t>中 (3分): 性能或安全性部分指标仅达最低要求，或关键安全措施（如访问控制、数据加密）描述缺失。</w:t>
            </w:r>
          </w:p>
          <w:p w14:paraId="7624B3EF">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eastAsia="宋体" w:hAnsiTheme="minorEastAsia" w:cstheme="minorEastAsia"/>
                <w:sz w:val="24"/>
                <w:szCs w:val="20"/>
              </w:rPr>
            </w:pPr>
            <w:r>
              <w:rPr>
                <w:rFonts w:hint="eastAsia" w:ascii="宋体" w:eastAsia="宋体" w:hAnsiTheme="minorEastAsia" w:cstheme="minorEastAsia"/>
                <w:sz w:val="24"/>
                <w:szCs w:val="20"/>
              </w:rPr>
              <w:t>差 (0-2分): 性能或安全性设计存在重大缺陷，无法满足7*24运行或基本的数据安全要求。</w:t>
            </w:r>
          </w:p>
        </w:tc>
      </w:tr>
      <w:tr w14:paraId="49E11B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913" w:type="dxa"/>
            <w:vAlign w:val="center"/>
          </w:tcPr>
          <w:p w14:paraId="1E954CDA">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eastAsia="宋体" w:hAnsiTheme="minorEastAsia" w:cstheme="minorEastAsia"/>
                <w:sz w:val="24"/>
                <w:szCs w:val="20"/>
              </w:rPr>
            </w:pPr>
            <w:r>
              <w:rPr>
                <w:rFonts w:hint="eastAsia" w:ascii="宋体" w:eastAsia="宋体" w:hAnsiTheme="minorEastAsia" w:cstheme="minorEastAsia"/>
                <w:sz w:val="24"/>
                <w:szCs w:val="20"/>
              </w:rPr>
              <w:t>4</w:t>
            </w:r>
          </w:p>
        </w:tc>
        <w:tc>
          <w:tcPr>
            <w:tcW w:w="1205" w:type="dxa"/>
            <w:vAlign w:val="center"/>
          </w:tcPr>
          <w:p w14:paraId="049BE033">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eastAsia="宋体" w:hAnsiTheme="minorEastAsia" w:cstheme="minorEastAsia"/>
                <w:sz w:val="24"/>
                <w:szCs w:val="20"/>
              </w:rPr>
            </w:pPr>
            <w:r>
              <w:rPr>
                <w:rFonts w:hint="eastAsia" w:ascii="宋体" w:eastAsia="宋体" w:hAnsiTheme="minorEastAsia" w:cstheme="minorEastAsia"/>
                <w:sz w:val="24"/>
                <w:szCs w:val="20"/>
              </w:rPr>
              <w:t>项目实施、售后与运维服务</w:t>
            </w:r>
          </w:p>
        </w:tc>
        <w:tc>
          <w:tcPr>
            <w:tcW w:w="913" w:type="dxa"/>
            <w:vAlign w:val="center"/>
          </w:tcPr>
          <w:p w14:paraId="51476B1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eastAsia="宋体" w:hAnsiTheme="minorEastAsia" w:cstheme="minorEastAsia"/>
                <w:sz w:val="24"/>
                <w:szCs w:val="20"/>
                <w:woUserID w:val="1"/>
              </w:rPr>
            </w:pPr>
            <w:r>
              <w:rPr>
                <w:rFonts w:hint="default" w:ascii="宋体" w:eastAsia="宋体" w:hAnsiTheme="minorEastAsia" w:cstheme="minorEastAsia"/>
                <w:sz w:val="24"/>
                <w:szCs w:val="20"/>
                <w:woUserID w:val="1"/>
              </w:rPr>
              <w:t>5</w:t>
            </w:r>
          </w:p>
        </w:tc>
        <w:tc>
          <w:tcPr>
            <w:tcW w:w="6655" w:type="dxa"/>
            <w:vAlign w:val="center"/>
          </w:tcPr>
          <w:p w14:paraId="5D4A2C73">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eastAsia="宋体" w:hAnsiTheme="minorEastAsia" w:cstheme="minorEastAsia"/>
                <w:sz w:val="24"/>
                <w:szCs w:val="20"/>
              </w:rPr>
            </w:pPr>
            <w:r>
              <w:rPr>
                <w:rFonts w:hint="eastAsia" w:ascii="宋体" w:eastAsia="宋体" w:hAnsiTheme="minorEastAsia" w:cstheme="minorEastAsia"/>
                <w:sz w:val="24"/>
                <w:szCs w:val="20"/>
              </w:rPr>
              <w:t>优 (</w:t>
            </w:r>
            <w:r>
              <w:rPr>
                <w:rFonts w:hint="default" w:ascii="宋体" w:eastAsia="宋体" w:hAnsiTheme="minorEastAsia" w:cstheme="minorEastAsia"/>
                <w:sz w:val="24"/>
                <w:szCs w:val="20"/>
                <w:woUserID w:val="1"/>
              </w:rPr>
              <w:t>5</w:t>
            </w:r>
            <w:r>
              <w:rPr>
                <w:rFonts w:hint="eastAsia" w:ascii="宋体" w:eastAsia="宋体" w:hAnsiTheme="minorEastAsia" w:cstheme="minorEastAsia"/>
                <w:sz w:val="24"/>
                <w:szCs w:val="20"/>
              </w:rPr>
              <w:t>分): 项目计划详尽可靠，WBS分解清晰，任务、里程碑、人员安排合理；项目实施团队完全满足要求；服务承诺全面具体，响应时间短（如7*24小时，2小时内应急响应），超出发包方预期。</w:t>
            </w:r>
          </w:p>
          <w:p w14:paraId="53667BC0">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eastAsia="宋体" w:hAnsiTheme="minorEastAsia" w:cstheme="minorEastAsia"/>
                <w:sz w:val="24"/>
                <w:szCs w:val="20"/>
              </w:rPr>
            </w:pPr>
            <w:r>
              <w:rPr>
                <w:rFonts w:hint="eastAsia" w:ascii="宋体" w:eastAsia="宋体" w:hAnsiTheme="minorEastAsia" w:cstheme="minorEastAsia"/>
                <w:sz w:val="24"/>
                <w:szCs w:val="20"/>
              </w:rPr>
              <w:t>良 (</w:t>
            </w:r>
            <w:r>
              <w:rPr>
                <w:rFonts w:hint="default" w:ascii="宋体" w:eastAsia="宋体" w:hAnsiTheme="minorEastAsia" w:cstheme="minorEastAsia"/>
                <w:sz w:val="24"/>
                <w:szCs w:val="20"/>
                <w:woUserID w:val="1"/>
              </w:rPr>
              <w:t>4</w:t>
            </w:r>
            <w:r>
              <w:rPr>
                <w:rFonts w:hint="eastAsia" w:ascii="宋体" w:eastAsia="宋体" w:hAnsiTheme="minorEastAsia" w:cstheme="minorEastAsia"/>
                <w:sz w:val="24"/>
                <w:szCs w:val="20"/>
              </w:rPr>
              <w:t>分): 项目计划完整，关键路径清晰，团队配置与驻场要求基本满足要求；服务承诺覆盖主要要求，响应时间、运维范围、培训内容等基本满足文件规定。</w:t>
            </w:r>
          </w:p>
          <w:p w14:paraId="50E3D5C0">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eastAsia="宋体" w:hAnsiTheme="minorEastAsia" w:cstheme="minorEastAsia"/>
                <w:sz w:val="24"/>
                <w:szCs w:val="20"/>
              </w:rPr>
            </w:pPr>
            <w:r>
              <w:rPr>
                <w:rFonts w:hint="eastAsia" w:ascii="宋体" w:eastAsia="宋体" w:hAnsiTheme="minorEastAsia" w:cstheme="minorEastAsia"/>
                <w:sz w:val="24"/>
                <w:szCs w:val="20"/>
              </w:rPr>
              <w:t>中 (</w:t>
            </w:r>
            <w:r>
              <w:rPr>
                <w:rFonts w:hint="default" w:ascii="宋体" w:eastAsia="宋体" w:hAnsiTheme="minorEastAsia" w:cstheme="minorEastAsia"/>
                <w:sz w:val="24"/>
                <w:szCs w:val="20"/>
                <w:woUserID w:val="1"/>
              </w:rPr>
              <w:t>3</w:t>
            </w:r>
            <w:r>
              <w:rPr>
                <w:rFonts w:hint="eastAsia" w:ascii="宋体" w:eastAsia="宋体" w:hAnsiTheme="minorEastAsia" w:cstheme="minorEastAsia"/>
                <w:sz w:val="24"/>
                <w:szCs w:val="20"/>
              </w:rPr>
              <w:t>分): 项目计划较为笼统。团队配置或驻场承诺存在不确定性；服务承诺较为空泛，关键项（如响应时间、免费升级范围）描述不清或标准较低。</w:t>
            </w:r>
          </w:p>
          <w:p w14:paraId="45204B95">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eastAsia="宋体" w:hAnsiTheme="minorEastAsia" w:cstheme="minorEastAsia"/>
                <w:sz w:val="24"/>
                <w:szCs w:val="20"/>
              </w:rPr>
            </w:pPr>
            <w:r>
              <w:rPr>
                <w:rFonts w:hint="eastAsia" w:ascii="宋体" w:eastAsia="宋体" w:hAnsiTheme="minorEastAsia" w:cstheme="minorEastAsia"/>
                <w:sz w:val="24"/>
                <w:szCs w:val="20"/>
              </w:rPr>
              <w:t>差 (0-</w:t>
            </w:r>
            <w:r>
              <w:rPr>
                <w:rFonts w:hint="default" w:ascii="宋体" w:eastAsia="宋体" w:hAnsiTheme="minorEastAsia" w:cstheme="minorEastAsia"/>
                <w:sz w:val="24"/>
                <w:szCs w:val="20"/>
                <w:woUserID w:val="1"/>
              </w:rPr>
              <w:t>2</w:t>
            </w:r>
            <w:r>
              <w:rPr>
                <w:rFonts w:hint="eastAsia" w:ascii="宋体" w:eastAsia="宋体" w:hAnsiTheme="minorEastAsia" w:cstheme="minorEastAsia"/>
                <w:sz w:val="24"/>
                <w:szCs w:val="20"/>
              </w:rPr>
              <w:t>分): 缺乏可行的项目实施计划或团队配置严重不满足要求；缺乏基本的服务承诺，或承诺内容无法满足项目稳定运行的基本需求。</w:t>
            </w:r>
          </w:p>
        </w:tc>
      </w:tr>
      <w:tr w14:paraId="566F1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913" w:type="dxa"/>
            <w:vAlign w:val="center"/>
          </w:tcPr>
          <w:p w14:paraId="37570B3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eastAsia="宋体" w:hAnsiTheme="minorEastAsia" w:cstheme="minorEastAsia"/>
                <w:sz w:val="24"/>
                <w:szCs w:val="20"/>
                <w:lang w:val="en-US" w:eastAsia="zh-CN"/>
              </w:rPr>
            </w:pPr>
            <w:r>
              <w:rPr>
                <w:rFonts w:hint="eastAsia" w:ascii="宋体" w:eastAsia="宋体" w:hAnsiTheme="minorEastAsia" w:cstheme="minorEastAsia"/>
                <w:sz w:val="24"/>
                <w:szCs w:val="20"/>
                <w:lang w:val="en-US" w:eastAsia="zh-CN"/>
              </w:rPr>
              <w:t>5</w:t>
            </w:r>
          </w:p>
        </w:tc>
        <w:tc>
          <w:tcPr>
            <w:tcW w:w="1205" w:type="dxa"/>
            <w:vAlign w:val="center"/>
          </w:tcPr>
          <w:p w14:paraId="3763215A">
            <w:pPr>
              <w:keepNext w:val="0"/>
              <w:keepLines w:val="0"/>
              <w:suppressLineNumbers w:val="0"/>
              <w:snapToGrid w:val="0"/>
              <w:spacing w:before="0" w:beforeAutospacing="0" w:after="0" w:afterAutospacing="0" w:line="240" w:lineRule="auto"/>
              <w:ind w:left="0" w:leftChars="0" w:right="0" w:rightChars="0" w:firstLine="0" w:firstLineChars="0"/>
              <w:jc w:val="left"/>
              <w:rPr>
                <w:rFonts w:hint="default" w:ascii="宋体" w:eastAsia="宋体" w:hAnsiTheme="minorEastAsia" w:cstheme="minorEastAsia"/>
                <w:sz w:val="24"/>
                <w:szCs w:val="20"/>
                <w:woUserID w:val="1"/>
              </w:rPr>
            </w:pPr>
            <w:r>
              <w:rPr>
                <w:rFonts w:hint="default" w:ascii="宋体" w:eastAsia="宋体" w:hAnsiTheme="minorEastAsia" w:cstheme="minorEastAsia"/>
                <w:sz w:val="24"/>
                <w:szCs w:val="20"/>
                <w:woUserID w:val="1"/>
              </w:rPr>
              <w:t>专业能力</w:t>
            </w:r>
          </w:p>
        </w:tc>
        <w:tc>
          <w:tcPr>
            <w:tcW w:w="913" w:type="dxa"/>
            <w:vAlign w:val="center"/>
          </w:tcPr>
          <w:p w14:paraId="7D781FF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eastAsia="宋体" w:hAnsiTheme="minorEastAsia" w:cstheme="minorEastAsia"/>
                <w:sz w:val="24"/>
                <w:szCs w:val="20"/>
                <w:woUserID w:val="1"/>
              </w:rPr>
            </w:pPr>
            <w:r>
              <w:rPr>
                <w:rFonts w:hint="default" w:ascii="宋体" w:eastAsia="宋体" w:hAnsiTheme="minorEastAsia" w:cstheme="minorEastAsia"/>
                <w:sz w:val="24"/>
                <w:szCs w:val="20"/>
                <w:woUserID w:val="1"/>
              </w:rPr>
              <w:t>3</w:t>
            </w:r>
          </w:p>
        </w:tc>
        <w:tc>
          <w:tcPr>
            <w:tcW w:w="6655" w:type="dxa"/>
            <w:vAlign w:val="center"/>
          </w:tcPr>
          <w:p w14:paraId="461B3683">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eastAsia="宋体" w:hAnsiTheme="minorEastAsia" w:cstheme="minorEastAsia"/>
                <w:sz w:val="24"/>
                <w:szCs w:val="20"/>
                <w:lang w:val="en-US" w:eastAsia="zh-CN"/>
              </w:rPr>
            </w:pPr>
            <w:r>
              <w:rPr>
                <w:rFonts w:hint="eastAsia" w:ascii="宋体" w:eastAsia="宋体" w:hAnsiTheme="minorEastAsia" w:cstheme="minorEastAsia"/>
                <w:sz w:val="24"/>
                <w:szCs w:val="20"/>
                <w:lang w:val="en-US" w:eastAsia="zh-CN"/>
              </w:rPr>
              <w:t>投标人在本项目建设过程中应具有设备</w:t>
            </w:r>
            <w:r>
              <w:rPr>
                <w:rFonts w:hint="default" w:ascii="宋体" w:eastAsia="宋体" w:hAnsiTheme="minorEastAsia" w:cstheme="minorEastAsia"/>
                <w:sz w:val="24"/>
                <w:szCs w:val="20"/>
                <w:lang w:eastAsia="zh-CN"/>
              </w:rPr>
              <w:t>管理</w:t>
            </w:r>
            <w:r>
              <w:rPr>
                <w:rFonts w:hint="eastAsia" w:ascii="宋体" w:eastAsia="宋体" w:hAnsiTheme="minorEastAsia" w:cstheme="minorEastAsia"/>
                <w:sz w:val="24"/>
                <w:szCs w:val="20"/>
                <w:lang w:val="en-US" w:eastAsia="zh-CN"/>
              </w:rPr>
              <w:t>业务专家提供建设指导，业务专家具有以下资质：</w:t>
            </w:r>
          </w:p>
          <w:p w14:paraId="3672232C">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eastAsia="宋体" w:hAnsiTheme="minorEastAsia" w:cstheme="minorEastAsia"/>
                <w:sz w:val="24"/>
                <w:szCs w:val="20"/>
                <w:lang w:val="en-US" w:eastAsia="zh-CN"/>
              </w:rPr>
            </w:pPr>
            <w:r>
              <w:rPr>
                <w:rFonts w:hint="eastAsia" w:ascii="宋体" w:eastAsia="宋体" w:hAnsiTheme="minorEastAsia" w:cstheme="minorEastAsia"/>
                <w:sz w:val="24"/>
                <w:szCs w:val="20"/>
                <w:lang w:val="en-US" w:eastAsia="zh-CN"/>
              </w:rPr>
              <w:t>1.高级工程师职称（设备管理）；</w:t>
            </w:r>
          </w:p>
          <w:p w14:paraId="05CD08D2">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eastAsia="宋体" w:hAnsiTheme="minorEastAsia" w:cstheme="minorEastAsia"/>
                <w:sz w:val="24"/>
                <w:szCs w:val="20"/>
                <w:lang w:val="en-US" w:eastAsia="zh-CN"/>
              </w:rPr>
            </w:pPr>
            <w:r>
              <w:rPr>
                <w:rFonts w:hint="eastAsia" w:ascii="宋体" w:eastAsia="宋体" w:hAnsiTheme="minorEastAsia" w:cstheme="minorEastAsia"/>
                <w:sz w:val="24"/>
                <w:szCs w:val="20"/>
                <w:lang w:val="en-US" w:eastAsia="zh-CN"/>
              </w:rPr>
              <w:t>2.10年及以上大型石化企业设备管理经验；</w:t>
            </w:r>
          </w:p>
          <w:p w14:paraId="06DE74B1">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eastAsia="宋体" w:hAnsiTheme="minorEastAsia" w:cstheme="minorEastAsia"/>
                <w:sz w:val="24"/>
                <w:szCs w:val="20"/>
                <w:lang w:val="en-US" w:eastAsia="zh-CN"/>
              </w:rPr>
            </w:pPr>
            <w:r>
              <w:rPr>
                <w:rFonts w:hint="eastAsia" w:ascii="宋体" w:eastAsia="宋体" w:hAnsiTheme="minorEastAsia" w:cstheme="minorEastAsia"/>
                <w:sz w:val="24"/>
                <w:szCs w:val="20"/>
                <w:lang w:val="en-US" w:eastAsia="zh-CN"/>
              </w:rPr>
              <w:t>3.5年及以上信息系统建设经验并参与过设备</w:t>
            </w:r>
            <w:r>
              <w:rPr>
                <w:rFonts w:hint="default" w:ascii="宋体" w:eastAsia="宋体" w:hAnsiTheme="minorEastAsia" w:cstheme="minorEastAsia"/>
                <w:sz w:val="24"/>
                <w:szCs w:val="20"/>
                <w:lang w:eastAsia="zh-CN"/>
              </w:rPr>
              <w:t>管理</w:t>
            </w:r>
            <w:r>
              <w:rPr>
                <w:rFonts w:hint="eastAsia" w:ascii="宋体" w:eastAsia="宋体" w:hAnsiTheme="minorEastAsia" w:cstheme="minorEastAsia"/>
                <w:sz w:val="24"/>
                <w:szCs w:val="20"/>
                <w:lang w:val="en-US" w:eastAsia="zh-CN"/>
              </w:rPr>
              <w:t>系统建设；</w:t>
            </w:r>
          </w:p>
          <w:p w14:paraId="39AA85D9">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eastAsia="宋体" w:hAnsiTheme="minorEastAsia" w:cstheme="minorEastAsia"/>
                <w:sz w:val="24"/>
                <w:szCs w:val="20"/>
                <w:lang w:val="en-US" w:eastAsia="zh-CN"/>
              </w:rPr>
            </w:pPr>
            <w:r>
              <w:rPr>
                <w:rFonts w:hint="eastAsia" w:ascii="宋体" w:eastAsia="宋体" w:hAnsiTheme="minorEastAsia" w:cstheme="minorEastAsia"/>
                <w:sz w:val="24"/>
                <w:szCs w:val="20"/>
                <w:lang w:val="en-US" w:eastAsia="zh-CN"/>
              </w:rPr>
              <w:t>4.参与并荣获大型石油化工企业创新或技术类奖项；</w:t>
            </w:r>
          </w:p>
          <w:p w14:paraId="7120B122">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eastAsia="宋体" w:hAnsiTheme="minorEastAsia" w:cstheme="minorEastAsia"/>
                <w:sz w:val="24"/>
                <w:szCs w:val="20"/>
                <w:lang w:val="en-US" w:eastAsia="zh-CN"/>
              </w:rPr>
            </w:pPr>
            <w:r>
              <w:rPr>
                <w:rFonts w:hint="eastAsia" w:ascii="宋体" w:eastAsia="宋体" w:hAnsiTheme="minorEastAsia" w:cstheme="minorEastAsia"/>
                <w:sz w:val="24"/>
                <w:szCs w:val="20"/>
                <w:lang w:val="en-US" w:eastAsia="zh-CN"/>
              </w:rPr>
              <w:t>5.参与过设备管理信息类教材编制。</w:t>
            </w:r>
          </w:p>
          <w:p w14:paraId="6CD1A89E">
            <w:pPr>
              <w:keepNext w:val="0"/>
              <w:keepLines w:val="0"/>
              <w:suppressLineNumbers w:val="0"/>
              <w:snapToGrid w:val="0"/>
              <w:spacing w:before="0" w:beforeAutospacing="0" w:after="0" w:afterAutospacing="0" w:line="240" w:lineRule="auto"/>
              <w:ind w:left="0" w:leftChars="0" w:right="0" w:rightChars="0" w:firstLine="0" w:firstLineChars="0"/>
              <w:jc w:val="left"/>
              <w:rPr>
                <w:rFonts w:hint="default" w:ascii="宋体" w:eastAsia="宋体" w:hAnsiTheme="minorEastAsia" w:cstheme="minorEastAsia"/>
                <w:sz w:val="24"/>
                <w:szCs w:val="21"/>
              </w:rPr>
            </w:pPr>
            <w:r>
              <w:rPr>
                <w:rFonts w:hint="eastAsia" w:ascii="宋体" w:eastAsia="宋体" w:hAnsiTheme="minorEastAsia" w:cstheme="minorEastAsia"/>
                <w:sz w:val="24"/>
                <w:szCs w:val="20"/>
                <w:lang w:val="en-US" w:eastAsia="zh-CN"/>
              </w:rPr>
              <w:t>需提供合同、资格证书、获奖证书复印件、署名教材或其它能够有效证明的材料，须包含合同首页、签署页、合同金额所在页、技术附件等，并加盖投标人公司公章。每满足一项得</w:t>
            </w:r>
            <w:r>
              <w:rPr>
                <w:rFonts w:hint="default" w:ascii="宋体" w:eastAsia="宋体" w:hAnsiTheme="minorEastAsia" w:cstheme="minorEastAsia"/>
                <w:sz w:val="24"/>
                <w:szCs w:val="20"/>
                <w:lang w:eastAsia="zh-CN"/>
              </w:rPr>
              <w:t>1</w:t>
            </w:r>
            <w:r>
              <w:rPr>
                <w:rFonts w:hint="eastAsia" w:ascii="宋体" w:eastAsia="宋体" w:hAnsiTheme="minorEastAsia" w:cstheme="minorEastAsia"/>
                <w:sz w:val="24"/>
                <w:szCs w:val="20"/>
                <w:lang w:val="en-US" w:eastAsia="zh-CN"/>
              </w:rPr>
              <w:t>分。</w:t>
            </w:r>
            <w:r>
              <w:rPr>
                <w:rFonts w:hint="default" w:ascii="宋体" w:eastAsia="宋体" w:hAnsiTheme="minorEastAsia" w:cstheme="minorEastAsia"/>
                <w:sz w:val="24"/>
                <w:szCs w:val="20"/>
                <w:lang w:eastAsia="zh-CN"/>
              </w:rPr>
              <w:t>最高得3分。</w:t>
            </w:r>
          </w:p>
        </w:tc>
      </w:tr>
      <w:tr w14:paraId="367A0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913" w:type="dxa"/>
            <w:vAlign w:val="center"/>
          </w:tcPr>
          <w:p w14:paraId="64D28F04">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eastAsia="宋体" w:hAnsiTheme="minorEastAsia" w:cstheme="minorEastAsia"/>
                <w:sz w:val="24"/>
                <w:szCs w:val="20"/>
                <w:lang w:val="en-US" w:eastAsia="zh-CN"/>
              </w:rPr>
            </w:pPr>
            <w:r>
              <w:rPr>
                <w:rFonts w:hint="eastAsia" w:ascii="宋体" w:eastAsia="宋体" w:hAnsiTheme="minorEastAsia" w:cstheme="minorEastAsia"/>
                <w:sz w:val="24"/>
                <w:szCs w:val="20"/>
                <w:lang w:val="en-US" w:eastAsia="zh-CN"/>
              </w:rPr>
              <w:t>6</w:t>
            </w:r>
          </w:p>
        </w:tc>
        <w:tc>
          <w:tcPr>
            <w:tcW w:w="1205" w:type="dxa"/>
            <w:vAlign w:val="center"/>
          </w:tcPr>
          <w:p w14:paraId="3F6BEF94">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eastAsia="宋体" w:hAnsiTheme="minorEastAsia" w:cstheme="minorEastAsia"/>
                <w:sz w:val="24"/>
                <w:szCs w:val="20"/>
              </w:rPr>
            </w:pPr>
            <w:r>
              <w:rPr>
                <w:rFonts w:hint="eastAsia" w:ascii="宋体" w:eastAsia="宋体" w:hAnsiTheme="minorEastAsia" w:cstheme="minorEastAsia"/>
                <w:sz w:val="24"/>
                <w:szCs w:val="20"/>
              </w:rPr>
              <w:t>企业实力</w:t>
            </w:r>
          </w:p>
        </w:tc>
        <w:tc>
          <w:tcPr>
            <w:tcW w:w="913" w:type="dxa"/>
            <w:vAlign w:val="center"/>
          </w:tcPr>
          <w:p w14:paraId="6F297321">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eastAsia="宋体" w:hAnsiTheme="minorEastAsia" w:cstheme="minorEastAsia"/>
                <w:sz w:val="24"/>
                <w:szCs w:val="20"/>
              </w:rPr>
            </w:pPr>
            <w:r>
              <w:rPr>
                <w:rFonts w:hint="eastAsia" w:ascii="宋体" w:eastAsia="宋体" w:hAnsiTheme="minorEastAsia" w:cstheme="minorEastAsia"/>
                <w:sz w:val="24"/>
                <w:szCs w:val="20"/>
              </w:rPr>
              <w:t>5</w:t>
            </w:r>
          </w:p>
        </w:tc>
        <w:tc>
          <w:tcPr>
            <w:tcW w:w="6655" w:type="dxa"/>
            <w:vAlign w:val="center"/>
          </w:tcPr>
          <w:p w14:paraId="6948131D">
            <w:pPr>
              <w:keepNext w:val="0"/>
              <w:keepLines w:val="0"/>
              <w:suppressLineNumbers w:val="0"/>
              <w:snapToGrid w:val="0"/>
              <w:spacing w:before="0" w:beforeAutospacing="0" w:after="0" w:afterAutospacing="0"/>
              <w:ind w:left="0" w:leftChars="0" w:right="0" w:rightChars="0" w:firstLine="0" w:firstLineChars="0"/>
              <w:jc w:val="left"/>
              <w:rPr>
                <w:rFonts w:hint="eastAsia" w:ascii="宋体" w:eastAsia="宋体"/>
                <w:sz w:val="24"/>
                <w:szCs w:val="21"/>
                <w:highlight w:val="none"/>
              </w:rPr>
            </w:pPr>
            <w:r>
              <w:rPr>
                <w:rFonts w:hint="eastAsia" w:ascii="宋体" w:eastAsia="宋体" w:hAnsiTheme="minorEastAsia" w:cstheme="minorEastAsia"/>
                <w:sz w:val="24"/>
                <w:szCs w:val="21"/>
                <w:highlight w:val="none"/>
              </w:rPr>
              <w:t>投标人具备有效的资质证书：</w:t>
            </w:r>
          </w:p>
          <w:p w14:paraId="57EA505F">
            <w:pPr>
              <w:keepNext w:val="0"/>
              <w:keepLines w:val="0"/>
              <w:suppressLineNumbers w:val="0"/>
              <w:snapToGrid w:val="0"/>
              <w:spacing w:before="0" w:beforeAutospacing="0" w:after="0" w:afterAutospacing="0"/>
              <w:ind w:left="0" w:leftChars="0" w:right="0" w:rightChars="0" w:firstLine="0" w:firstLineChars="0"/>
              <w:jc w:val="left"/>
              <w:rPr>
                <w:rFonts w:hint="eastAsia" w:ascii="宋体" w:eastAsia="宋体"/>
                <w:sz w:val="24"/>
                <w:szCs w:val="21"/>
                <w:highlight w:val="none"/>
                <w:lang w:eastAsia="zh-CN"/>
              </w:rPr>
            </w:pPr>
            <w:r>
              <w:rPr>
                <w:rFonts w:hint="eastAsia" w:ascii="宋体" w:eastAsia="宋体" w:hAnsiTheme="minorEastAsia" w:cstheme="minorEastAsia"/>
                <w:sz w:val="24"/>
                <w:szCs w:val="21"/>
                <w:highlight w:val="none"/>
              </w:rPr>
              <w:t>（1）CMMI</w:t>
            </w:r>
            <w:r>
              <w:rPr>
                <w:rFonts w:hint="eastAsia" w:ascii="宋体" w:eastAsia="宋体" w:hAnsiTheme="minorEastAsia" w:cstheme="minorEastAsia"/>
                <w:sz w:val="24"/>
                <w:szCs w:val="21"/>
                <w:highlight w:val="none"/>
                <w:lang w:val="en-US" w:eastAsia="zh-CN"/>
              </w:rPr>
              <w:t>软件</w:t>
            </w:r>
            <w:r>
              <w:rPr>
                <w:rFonts w:hint="eastAsia" w:ascii="宋体" w:eastAsia="宋体" w:hAnsiTheme="minorEastAsia" w:cstheme="minorEastAsia"/>
                <w:sz w:val="24"/>
                <w:szCs w:val="21"/>
                <w:highlight w:val="none"/>
              </w:rPr>
              <w:t>能力成熟度模型集成</w:t>
            </w:r>
            <w:r>
              <w:rPr>
                <w:rFonts w:hint="eastAsia" w:ascii="宋体" w:eastAsia="宋体" w:hAnsiTheme="minorEastAsia" w:cstheme="minorEastAsia"/>
                <w:sz w:val="24"/>
                <w:szCs w:val="21"/>
                <w:highlight w:val="none"/>
                <w:lang w:val="en-US" w:eastAsia="zh-CN"/>
              </w:rPr>
              <w:t>L</w:t>
            </w:r>
            <w:r>
              <w:rPr>
                <w:rFonts w:hint="eastAsia" w:ascii="宋体" w:eastAsia="宋体" w:hAnsiTheme="minorEastAsia" w:cstheme="minorEastAsia"/>
                <w:sz w:val="24"/>
                <w:szCs w:val="21"/>
                <w:highlight w:val="none"/>
              </w:rPr>
              <w:t>5级</w:t>
            </w:r>
            <w:r>
              <w:rPr>
                <w:rFonts w:hint="eastAsia" w:ascii="宋体" w:eastAsia="宋体" w:hAnsiTheme="minorEastAsia" w:cstheme="minorEastAsia"/>
                <w:sz w:val="24"/>
                <w:szCs w:val="21"/>
                <w:highlight w:val="none"/>
                <w:lang w:eastAsia="zh-CN"/>
              </w:rPr>
              <w:t>（</w:t>
            </w:r>
            <w:r>
              <w:rPr>
                <w:rFonts w:hint="eastAsia" w:ascii="宋体" w:eastAsia="宋体" w:hAnsiTheme="minorEastAsia" w:cstheme="minorEastAsia"/>
                <w:sz w:val="24"/>
                <w:szCs w:val="21"/>
                <w:highlight w:val="none"/>
                <w:lang w:val="en-US" w:eastAsia="zh-CN"/>
              </w:rPr>
              <w:t>最高级</w:t>
            </w:r>
            <w:r>
              <w:rPr>
                <w:rFonts w:hint="eastAsia" w:ascii="宋体" w:eastAsia="宋体" w:hAnsiTheme="minorEastAsia" w:cstheme="minorEastAsia"/>
                <w:sz w:val="24"/>
                <w:szCs w:val="21"/>
                <w:highlight w:val="none"/>
                <w:lang w:eastAsia="zh-CN"/>
              </w:rPr>
              <w:t>）</w:t>
            </w:r>
          </w:p>
          <w:p w14:paraId="35423965">
            <w:pPr>
              <w:keepNext w:val="0"/>
              <w:keepLines w:val="0"/>
              <w:suppressLineNumbers w:val="0"/>
              <w:snapToGrid w:val="0"/>
              <w:spacing w:before="0" w:beforeAutospacing="0" w:after="0" w:afterAutospacing="0"/>
              <w:ind w:left="0" w:leftChars="0" w:right="0" w:rightChars="0" w:firstLine="0" w:firstLineChars="0"/>
              <w:jc w:val="left"/>
              <w:rPr>
                <w:rFonts w:hint="eastAsia" w:ascii="宋体" w:eastAsia="宋体"/>
                <w:sz w:val="24"/>
                <w:szCs w:val="21"/>
                <w:highlight w:val="none"/>
              </w:rPr>
            </w:pPr>
            <w:r>
              <w:rPr>
                <w:rFonts w:hint="eastAsia" w:ascii="宋体" w:eastAsia="宋体" w:hAnsiTheme="minorEastAsia" w:cstheme="minorEastAsia"/>
                <w:sz w:val="24"/>
                <w:szCs w:val="21"/>
                <w:highlight w:val="none"/>
              </w:rPr>
              <w:t>（2）数据管理能力成熟度</w:t>
            </w:r>
            <w:r>
              <w:rPr>
                <w:rFonts w:hint="eastAsia" w:ascii="宋体" w:eastAsia="宋体" w:hAnsiTheme="minorEastAsia" w:cstheme="minorEastAsia"/>
                <w:sz w:val="24"/>
                <w:szCs w:val="21"/>
                <w:highlight w:val="none"/>
                <w:lang w:val="en-US" w:eastAsia="zh-CN"/>
              </w:rPr>
              <w:t>不低于三级</w:t>
            </w:r>
            <w:r>
              <w:rPr>
                <w:rFonts w:hint="eastAsia" w:ascii="宋体" w:eastAsia="宋体" w:hAnsiTheme="minorEastAsia" w:cstheme="minorEastAsia"/>
                <w:sz w:val="24"/>
                <w:szCs w:val="21"/>
                <w:highlight w:val="none"/>
              </w:rPr>
              <w:t>（DCMM</w:t>
            </w:r>
            <w:r>
              <w:rPr>
                <w:rFonts w:hint="eastAsia" w:ascii="宋体" w:eastAsia="宋体" w:hAnsiTheme="minorEastAsia" w:cstheme="minorEastAsia"/>
                <w:sz w:val="24"/>
                <w:szCs w:val="21"/>
                <w:highlight w:val="none"/>
                <w:lang w:val="en-US" w:eastAsia="zh-CN"/>
              </w:rPr>
              <w:t>稳健级(三级）、D</w:t>
            </w:r>
            <w:r>
              <w:rPr>
                <w:rFonts w:hint="eastAsia" w:ascii="宋体" w:eastAsia="宋体" w:hAnsiTheme="minorEastAsia" w:cstheme="minorEastAsia"/>
                <w:sz w:val="24"/>
                <w:szCs w:val="21"/>
                <w:highlight w:val="none"/>
              </w:rPr>
              <w:t>CMM</w:t>
            </w:r>
            <w:r>
              <w:rPr>
                <w:rFonts w:hint="eastAsia" w:ascii="宋体" w:eastAsia="宋体" w:hAnsiTheme="minorEastAsia" w:cstheme="minorEastAsia"/>
                <w:sz w:val="24"/>
                <w:szCs w:val="21"/>
                <w:highlight w:val="none"/>
                <w:lang w:val="en-US" w:eastAsia="zh-CN"/>
              </w:rPr>
              <w:t>量化管理级(四级)、D</w:t>
            </w:r>
            <w:r>
              <w:rPr>
                <w:rFonts w:hint="eastAsia" w:ascii="宋体" w:eastAsia="宋体" w:hAnsiTheme="minorEastAsia" w:cstheme="minorEastAsia"/>
                <w:sz w:val="24"/>
                <w:szCs w:val="21"/>
                <w:highlight w:val="none"/>
              </w:rPr>
              <w:t>CMM</w:t>
            </w:r>
            <w:r>
              <w:rPr>
                <w:rFonts w:hint="eastAsia" w:ascii="宋体" w:eastAsia="宋体" w:hAnsiTheme="minorEastAsia" w:cstheme="minorEastAsia"/>
                <w:sz w:val="24"/>
                <w:szCs w:val="21"/>
                <w:highlight w:val="none"/>
                <w:lang w:val="en-US" w:eastAsia="zh-CN"/>
              </w:rPr>
              <w:t>优化级（五级</w:t>
            </w:r>
            <w:r>
              <w:rPr>
                <w:rFonts w:hint="eastAsia" w:ascii="宋体" w:eastAsia="宋体" w:hAnsiTheme="minorEastAsia" w:cstheme="minorEastAsia"/>
                <w:sz w:val="24"/>
                <w:szCs w:val="21"/>
                <w:highlight w:val="none"/>
              </w:rPr>
              <w:t xml:space="preserve">) </w:t>
            </w:r>
            <w:r>
              <w:rPr>
                <w:rFonts w:hint="eastAsia" w:ascii="宋体" w:eastAsia="宋体" w:hAnsiTheme="minorEastAsia" w:cstheme="minorEastAsia"/>
                <w:sz w:val="24"/>
                <w:szCs w:val="21"/>
                <w:highlight w:val="none"/>
                <w:lang w:eastAsia="zh-CN"/>
              </w:rPr>
              <w:t>）</w:t>
            </w:r>
            <w:r>
              <w:rPr>
                <w:rFonts w:hint="eastAsia" w:ascii="宋体" w:eastAsia="宋体" w:hAnsiTheme="minorEastAsia" w:cstheme="minorEastAsia"/>
                <w:sz w:val="24"/>
                <w:szCs w:val="21"/>
                <w:highlight w:val="none"/>
              </w:rPr>
              <w:t>证书</w:t>
            </w:r>
          </w:p>
          <w:p w14:paraId="3E2A3CE1">
            <w:pPr>
              <w:keepNext w:val="0"/>
              <w:keepLines w:val="0"/>
              <w:suppressLineNumbers w:val="0"/>
              <w:snapToGrid w:val="0"/>
              <w:spacing w:before="0" w:beforeAutospacing="0" w:after="0" w:afterAutospacing="0"/>
              <w:ind w:left="0" w:leftChars="0" w:right="0" w:rightChars="0" w:firstLine="0" w:firstLineChars="0"/>
              <w:jc w:val="left"/>
              <w:rPr>
                <w:rFonts w:hint="eastAsia" w:ascii="宋体" w:eastAsia="宋体"/>
                <w:sz w:val="24"/>
                <w:szCs w:val="21"/>
                <w:highlight w:val="none"/>
              </w:rPr>
            </w:pPr>
            <w:r>
              <w:rPr>
                <w:rFonts w:hint="eastAsia" w:ascii="宋体" w:eastAsia="宋体" w:hAnsiTheme="minorEastAsia" w:cstheme="minorEastAsia"/>
                <w:sz w:val="24"/>
                <w:szCs w:val="21"/>
                <w:highlight w:val="none"/>
              </w:rPr>
              <w:t>（3）信息技术服务标准符合性</w:t>
            </w:r>
            <w:r>
              <w:rPr>
                <w:rFonts w:hint="eastAsia" w:ascii="宋体" w:eastAsia="宋体" w:hAnsiTheme="minorEastAsia" w:cstheme="minorEastAsia"/>
                <w:sz w:val="24"/>
                <w:szCs w:val="21"/>
                <w:highlight w:val="none"/>
                <w:lang w:val="en-US" w:eastAsia="zh-CN"/>
              </w:rPr>
              <w:t>不低于三级</w:t>
            </w:r>
            <w:r>
              <w:rPr>
                <w:rFonts w:hint="eastAsia" w:ascii="宋体" w:eastAsia="宋体" w:hAnsiTheme="minorEastAsia" w:cstheme="minorEastAsia"/>
                <w:sz w:val="24"/>
                <w:szCs w:val="21"/>
                <w:highlight w:val="none"/>
              </w:rPr>
              <w:t>（</w:t>
            </w:r>
            <w:r>
              <w:rPr>
                <w:rFonts w:hint="eastAsia" w:ascii="宋体" w:eastAsia="宋体" w:hAnsiTheme="minorEastAsia" w:cstheme="minorEastAsia"/>
                <w:sz w:val="24"/>
                <w:szCs w:val="21"/>
                <w:highlight w:val="none"/>
                <w:lang w:val="en-US" w:eastAsia="zh-CN"/>
              </w:rPr>
              <w:t>ITSS三级拓展级、ITSS二级改进级、ITSS一级提升级</w:t>
            </w:r>
            <w:r>
              <w:rPr>
                <w:rFonts w:hint="eastAsia" w:ascii="宋体" w:eastAsia="宋体" w:hAnsiTheme="minorEastAsia" w:cstheme="minorEastAsia"/>
                <w:sz w:val="24"/>
                <w:szCs w:val="21"/>
                <w:highlight w:val="none"/>
              </w:rPr>
              <w:t>）证书</w:t>
            </w:r>
          </w:p>
          <w:p w14:paraId="4AEF5224">
            <w:pPr>
              <w:keepNext w:val="0"/>
              <w:keepLines w:val="0"/>
              <w:suppressLineNumbers w:val="0"/>
              <w:snapToGrid w:val="0"/>
              <w:spacing w:before="0" w:beforeAutospacing="0" w:after="0" w:afterAutospacing="0"/>
              <w:ind w:left="0" w:leftChars="0" w:right="0" w:rightChars="0" w:firstLine="0" w:firstLineChars="0"/>
              <w:jc w:val="left"/>
              <w:rPr>
                <w:rFonts w:hint="eastAsia" w:ascii="宋体" w:eastAsia="宋体"/>
                <w:sz w:val="24"/>
                <w:szCs w:val="21"/>
                <w:highlight w:val="none"/>
              </w:rPr>
            </w:pPr>
            <w:r>
              <w:rPr>
                <w:rFonts w:hint="eastAsia" w:ascii="宋体" w:eastAsia="宋体" w:hAnsiTheme="minorEastAsia" w:cstheme="minorEastAsia"/>
                <w:sz w:val="24"/>
                <w:szCs w:val="21"/>
                <w:highlight w:val="none"/>
              </w:rPr>
              <w:t>（4）信息系统建设和服务能力</w:t>
            </w:r>
            <w:r>
              <w:rPr>
                <w:rFonts w:hint="eastAsia" w:ascii="宋体" w:eastAsia="宋体" w:hAnsiTheme="minorEastAsia" w:cstheme="minorEastAsia"/>
                <w:sz w:val="24"/>
                <w:szCs w:val="21"/>
                <w:highlight w:val="none"/>
                <w:lang w:val="en-US" w:eastAsia="zh-CN"/>
              </w:rPr>
              <w:t>不低于</w:t>
            </w:r>
            <w:r>
              <w:rPr>
                <w:rFonts w:hint="eastAsia" w:ascii="宋体" w:eastAsia="宋体" w:hAnsiTheme="minorEastAsia" w:cstheme="minorEastAsia"/>
                <w:sz w:val="24"/>
                <w:szCs w:val="21"/>
                <w:highlight w:val="none"/>
              </w:rPr>
              <w:t>2级（CS2</w:t>
            </w:r>
            <w:r>
              <w:rPr>
                <w:rFonts w:hint="eastAsia" w:ascii="宋体" w:eastAsia="宋体" w:hAnsiTheme="minorEastAsia" w:cstheme="minorEastAsia"/>
                <w:sz w:val="24"/>
                <w:szCs w:val="21"/>
                <w:highlight w:val="none"/>
                <w:lang w:val="en-US" w:eastAsia="zh-CN"/>
              </w:rPr>
              <w:t>提升级</w:t>
            </w:r>
            <w:r>
              <w:rPr>
                <w:rFonts w:hint="eastAsia" w:ascii="宋体" w:eastAsia="宋体" w:hAnsiTheme="minorEastAsia" w:cstheme="minorEastAsia"/>
                <w:sz w:val="24"/>
                <w:szCs w:val="21"/>
                <w:highlight w:val="none"/>
                <w:lang w:eastAsia="zh-CN"/>
              </w:rPr>
              <w:t>、</w:t>
            </w:r>
            <w:r>
              <w:rPr>
                <w:rFonts w:hint="eastAsia" w:ascii="宋体" w:eastAsia="宋体" w:hAnsiTheme="minorEastAsia" w:cstheme="minorEastAsia"/>
                <w:sz w:val="24"/>
                <w:szCs w:val="21"/>
                <w:highlight w:val="none"/>
              </w:rPr>
              <w:t>CS</w:t>
            </w:r>
            <w:r>
              <w:rPr>
                <w:rFonts w:hint="eastAsia" w:ascii="宋体" w:eastAsia="宋体" w:hAnsiTheme="minorEastAsia" w:cstheme="minorEastAsia"/>
                <w:sz w:val="24"/>
                <w:szCs w:val="21"/>
                <w:highlight w:val="none"/>
                <w:lang w:val="en-US" w:eastAsia="zh-CN"/>
              </w:rPr>
              <w:t>3优化级、</w:t>
            </w:r>
            <w:r>
              <w:rPr>
                <w:rFonts w:hint="eastAsia" w:ascii="宋体" w:eastAsia="宋体" w:hAnsiTheme="minorEastAsia" w:cstheme="minorEastAsia"/>
                <w:sz w:val="24"/>
                <w:szCs w:val="21"/>
                <w:highlight w:val="none"/>
              </w:rPr>
              <w:t>CS</w:t>
            </w:r>
            <w:r>
              <w:rPr>
                <w:rFonts w:hint="eastAsia" w:ascii="宋体" w:eastAsia="宋体" w:hAnsiTheme="minorEastAsia" w:cstheme="minorEastAsia"/>
                <w:sz w:val="24"/>
                <w:szCs w:val="21"/>
                <w:highlight w:val="none"/>
                <w:lang w:val="en-US" w:eastAsia="zh-CN"/>
              </w:rPr>
              <w:t>4卓越级、</w:t>
            </w:r>
            <w:r>
              <w:rPr>
                <w:rFonts w:hint="eastAsia" w:ascii="宋体" w:eastAsia="宋体" w:hAnsiTheme="minorEastAsia" w:cstheme="minorEastAsia"/>
                <w:sz w:val="24"/>
                <w:szCs w:val="21"/>
                <w:highlight w:val="none"/>
              </w:rPr>
              <w:t>CS</w:t>
            </w:r>
            <w:r>
              <w:rPr>
                <w:rFonts w:hint="eastAsia" w:ascii="宋体" w:eastAsia="宋体" w:hAnsiTheme="minorEastAsia" w:cstheme="minorEastAsia"/>
                <w:sz w:val="24"/>
                <w:szCs w:val="21"/>
                <w:highlight w:val="none"/>
                <w:lang w:val="en-US" w:eastAsia="zh-CN"/>
              </w:rPr>
              <w:t>5杰出级</w:t>
            </w:r>
            <w:r>
              <w:rPr>
                <w:rFonts w:hint="eastAsia" w:ascii="宋体" w:eastAsia="宋体" w:hAnsiTheme="minorEastAsia" w:cstheme="minorEastAsia"/>
                <w:sz w:val="24"/>
                <w:szCs w:val="21"/>
                <w:highlight w:val="none"/>
              </w:rPr>
              <w:t>）证书</w:t>
            </w:r>
          </w:p>
          <w:p w14:paraId="0A7375BC">
            <w:pPr>
              <w:keepNext w:val="0"/>
              <w:keepLines w:val="0"/>
              <w:suppressLineNumbers w:val="0"/>
              <w:snapToGrid w:val="0"/>
              <w:spacing w:before="0" w:beforeAutospacing="0" w:after="0" w:afterAutospacing="0"/>
              <w:ind w:left="0" w:leftChars="0" w:right="0" w:rightChars="0" w:firstLine="0" w:firstLineChars="0"/>
              <w:jc w:val="left"/>
              <w:rPr>
                <w:rFonts w:hint="eastAsia" w:ascii="宋体" w:eastAsia="宋体"/>
                <w:sz w:val="24"/>
                <w:szCs w:val="21"/>
                <w:highlight w:val="none"/>
              </w:rPr>
            </w:pPr>
            <w:r>
              <w:rPr>
                <w:rFonts w:hint="eastAsia" w:ascii="宋体" w:eastAsia="宋体" w:hAnsiTheme="minorEastAsia" w:cstheme="minorEastAsia"/>
                <w:sz w:val="24"/>
                <w:szCs w:val="21"/>
                <w:highlight w:val="none"/>
              </w:rPr>
              <w:t>（5）信息安全服务资质认证证书</w:t>
            </w:r>
            <w:r>
              <w:rPr>
                <w:rFonts w:hint="eastAsia" w:ascii="宋体" w:eastAsia="宋体" w:hAnsiTheme="minorEastAsia" w:cstheme="minorEastAsia"/>
                <w:sz w:val="24"/>
                <w:szCs w:val="21"/>
                <w:highlight w:val="none"/>
                <w:lang w:val="en-US" w:eastAsia="zh-CN"/>
              </w:rPr>
              <w:t>不低于三</w:t>
            </w:r>
            <w:r>
              <w:rPr>
                <w:rFonts w:hint="eastAsia" w:ascii="宋体" w:eastAsia="宋体" w:hAnsiTheme="minorEastAsia" w:cstheme="minorEastAsia"/>
                <w:sz w:val="24"/>
                <w:szCs w:val="21"/>
                <w:highlight w:val="none"/>
              </w:rPr>
              <w:t>级（CCRC</w:t>
            </w:r>
            <w:r>
              <w:rPr>
                <w:rFonts w:hint="eastAsia" w:ascii="宋体" w:eastAsia="宋体" w:hAnsiTheme="minorEastAsia" w:cstheme="minorEastAsia"/>
                <w:sz w:val="24"/>
                <w:szCs w:val="21"/>
                <w:highlight w:val="none"/>
                <w:lang w:val="en-US" w:eastAsia="zh-CN"/>
              </w:rPr>
              <w:t>三级、</w:t>
            </w:r>
            <w:r>
              <w:rPr>
                <w:rFonts w:hint="eastAsia" w:ascii="宋体" w:eastAsia="宋体" w:hAnsiTheme="minorEastAsia" w:cstheme="minorEastAsia"/>
                <w:sz w:val="24"/>
                <w:szCs w:val="21"/>
                <w:highlight w:val="none"/>
              </w:rPr>
              <w:t>CCRC</w:t>
            </w:r>
            <w:r>
              <w:rPr>
                <w:rFonts w:hint="eastAsia" w:ascii="宋体" w:eastAsia="宋体" w:hAnsiTheme="minorEastAsia" w:cstheme="minorEastAsia"/>
                <w:sz w:val="24"/>
                <w:szCs w:val="21"/>
                <w:highlight w:val="none"/>
                <w:lang w:val="en-US" w:eastAsia="zh-CN"/>
              </w:rPr>
              <w:t>二级、</w:t>
            </w:r>
            <w:r>
              <w:rPr>
                <w:rFonts w:hint="eastAsia" w:ascii="宋体" w:eastAsia="宋体" w:hAnsiTheme="minorEastAsia" w:cstheme="minorEastAsia"/>
                <w:sz w:val="24"/>
                <w:szCs w:val="21"/>
                <w:highlight w:val="none"/>
              </w:rPr>
              <w:t>CCRC</w:t>
            </w:r>
            <w:r>
              <w:rPr>
                <w:rFonts w:hint="eastAsia" w:ascii="宋体" w:eastAsia="宋体" w:hAnsiTheme="minorEastAsia" w:cstheme="minorEastAsia"/>
                <w:sz w:val="24"/>
                <w:szCs w:val="21"/>
                <w:highlight w:val="none"/>
                <w:lang w:val="en-US" w:eastAsia="zh-CN"/>
              </w:rPr>
              <w:t>一级</w:t>
            </w:r>
            <w:r>
              <w:rPr>
                <w:rFonts w:hint="eastAsia" w:ascii="宋体" w:eastAsia="宋体" w:hAnsiTheme="minorEastAsia" w:cstheme="minorEastAsia"/>
                <w:sz w:val="24"/>
                <w:szCs w:val="21"/>
                <w:highlight w:val="none"/>
              </w:rPr>
              <w:t>）</w:t>
            </w:r>
          </w:p>
          <w:p w14:paraId="6A639574">
            <w:pPr>
              <w:keepNext w:val="0"/>
              <w:keepLines w:val="0"/>
              <w:suppressLineNumbers w:val="0"/>
              <w:snapToGrid w:val="0"/>
              <w:spacing w:before="0" w:beforeAutospacing="0" w:after="0" w:afterAutospacing="0"/>
              <w:ind w:left="0" w:leftChars="0" w:right="0" w:rightChars="0" w:firstLine="0" w:firstLineChars="0"/>
              <w:jc w:val="left"/>
              <w:rPr>
                <w:rFonts w:hint="eastAsia" w:ascii="宋体" w:eastAsia="宋体" w:hAnsiTheme="minorEastAsia" w:cstheme="minorEastAsia"/>
                <w:sz w:val="24"/>
                <w:szCs w:val="21"/>
                <w:highlight w:val="none"/>
              </w:rPr>
            </w:pPr>
            <w:r>
              <w:rPr>
                <w:rFonts w:hint="eastAsia" w:ascii="宋体" w:eastAsia="宋体" w:hAnsiTheme="minorEastAsia" w:cstheme="minorEastAsia"/>
                <w:sz w:val="24"/>
                <w:szCs w:val="21"/>
                <w:highlight w:val="none"/>
              </w:rPr>
              <w:t>（6）设备管理系统相关</w:t>
            </w:r>
            <w:r>
              <w:rPr>
                <w:rFonts w:hint="eastAsia" w:ascii="宋体" w:eastAsia="宋体" w:hAnsiTheme="minorEastAsia" w:cstheme="minorEastAsia"/>
                <w:sz w:val="24"/>
                <w:szCs w:val="21"/>
                <w:highlight w:val="none"/>
                <w:lang w:val="en-US" w:eastAsia="zh-CN"/>
              </w:rPr>
              <w:t>发明</w:t>
            </w:r>
            <w:r>
              <w:rPr>
                <w:rFonts w:hint="eastAsia" w:ascii="宋体" w:eastAsia="宋体" w:hAnsiTheme="minorEastAsia" w:cstheme="minorEastAsia"/>
                <w:sz w:val="24"/>
                <w:szCs w:val="21"/>
                <w:highlight w:val="none"/>
              </w:rPr>
              <w:t>专利证书</w:t>
            </w:r>
          </w:p>
          <w:p w14:paraId="3A805214">
            <w:pPr>
              <w:keepNext w:val="0"/>
              <w:keepLines w:val="0"/>
              <w:suppressLineNumbers w:val="0"/>
              <w:snapToGrid w:val="0"/>
              <w:spacing w:before="0" w:beforeAutospacing="0" w:after="0" w:afterAutospacing="0"/>
              <w:ind w:left="0" w:leftChars="0" w:right="0" w:rightChars="0" w:firstLine="0" w:firstLineChars="0"/>
              <w:jc w:val="left"/>
              <w:rPr>
                <w:rFonts w:hint="eastAsia" w:ascii="宋体" w:eastAsia="宋体"/>
                <w:sz w:val="24"/>
                <w:szCs w:val="21"/>
                <w:highlight w:val="none"/>
              </w:rPr>
            </w:pPr>
            <w:r>
              <w:rPr>
                <w:rFonts w:hint="eastAsia" w:ascii="宋体" w:eastAsia="宋体" w:hAnsiTheme="minorEastAsia" w:cstheme="minorEastAsia"/>
                <w:sz w:val="24"/>
                <w:szCs w:val="21"/>
                <w:highlight w:val="none"/>
                <w:lang w:val="en-US" w:eastAsia="zh-CN"/>
              </w:rPr>
              <w:t>每满足一项</w:t>
            </w:r>
            <w:r>
              <w:rPr>
                <w:rFonts w:hint="eastAsia" w:ascii="宋体" w:eastAsia="宋体" w:hAnsiTheme="minorEastAsia" w:cstheme="minorEastAsia"/>
                <w:sz w:val="24"/>
                <w:szCs w:val="21"/>
                <w:highlight w:val="none"/>
              </w:rPr>
              <w:t>得1分，最高得</w:t>
            </w:r>
            <w:r>
              <w:rPr>
                <w:rFonts w:hint="default" w:ascii="宋体" w:eastAsia="宋体" w:hAnsiTheme="minorEastAsia" w:cstheme="minorEastAsia"/>
                <w:sz w:val="24"/>
                <w:szCs w:val="21"/>
                <w:highlight w:val="none"/>
                <w:woUserID w:val="1"/>
              </w:rPr>
              <w:t>5</w:t>
            </w:r>
            <w:r>
              <w:rPr>
                <w:rFonts w:hint="eastAsia" w:ascii="宋体" w:eastAsia="宋体" w:hAnsiTheme="minorEastAsia" w:cstheme="minorEastAsia"/>
                <w:sz w:val="24"/>
                <w:szCs w:val="21"/>
                <w:highlight w:val="none"/>
              </w:rPr>
              <w:t>分。</w:t>
            </w:r>
          </w:p>
        </w:tc>
      </w:tr>
      <w:tr w14:paraId="17AE8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913" w:type="dxa"/>
            <w:vAlign w:val="center"/>
          </w:tcPr>
          <w:p w14:paraId="02ED547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eastAsia="宋体" w:hAnsiTheme="minorEastAsia" w:cstheme="minorEastAsia"/>
                <w:sz w:val="24"/>
                <w:szCs w:val="20"/>
                <w:lang w:val="en-US" w:eastAsia="zh-CN"/>
              </w:rPr>
            </w:pPr>
            <w:r>
              <w:rPr>
                <w:rFonts w:hint="eastAsia" w:ascii="宋体" w:eastAsia="宋体" w:hAnsiTheme="minorEastAsia" w:cstheme="minorEastAsia"/>
                <w:sz w:val="24"/>
                <w:szCs w:val="20"/>
                <w:lang w:val="en-US" w:eastAsia="zh-CN"/>
              </w:rPr>
              <w:t>7</w:t>
            </w:r>
          </w:p>
        </w:tc>
        <w:tc>
          <w:tcPr>
            <w:tcW w:w="1205" w:type="dxa"/>
            <w:vAlign w:val="center"/>
          </w:tcPr>
          <w:p w14:paraId="38073B64">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eastAsia="宋体" w:hAnsiTheme="minorEastAsia" w:cstheme="minorEastAsia"/>
                <w:sz w:val="24"/>
                <w:szCs w:val="20"/>
                <w:lang w:val="en-US" w:eastAsia="zh-CN"/>
              </w:rPr>
            </w:pPr>
            <w:r>
              <w:rPr>
                <w:rFonts w:hint="eastAsia" w:ascii="宋体" w:eastAsia="宋体" w:hAnsiTheme="minorEastAsia" w:cstheme="minorEastAsia"/>
                <w:sz w:val="24"/>
                <w:szCs w:val="20"/>
                <w:lang w:val="en-US" w:eastAsia="zh-CN"/>
              </w:rPr>
              <w:t>项目业绩</w:t>
            </w:r>
          </w:p>
        </w:tc>
        <w:tc>
          <w:tcPr>
            <w:tcW w:w="913" w:type="dxa"/>
            <w:vAlign w:val="center"/>
          </w:tcPr>
          <w:p w14:paraId="70E7C9C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eastAsia="宋体" w:hAnsiTheme="minorEastAsia" w:cstheme="minorEastAsia"/>
                <w:sz w:val="24"/>
                <w:szCs w:val="20"/>
              </w:rPr>
            </w:pPr>
            <w:r>
              <w:rPr>
                <w:rFonts w:hint="default" w:ascii="宋体" w:eastAsia="宋体" w:hAnsiTheme="minorEastAsia" w:cstheme="minorEastAsia"/>
                <w:sz w:val="24"/>
                <w:szCs w:val="20"/>
              </w:rPr>
              <w:t>5</w:t>
            </w:r>
          </w:p>
        </w:tc>
        <w:tc>
          <w:tcPr>
            <w:tcW w:w="6655" w:type="dxa"/>
            <w:vAlign w:val="center"/>
          </w:tcPr>
          <w:p w14:paraId="41D78E79">
            <w:pPr>
              <w:keepNext w:val="0"/>
              <w:keepLines w:val="0"/>
              <w:suppressLineNumbers w:val="0"/>
              <w:snapToGrid w:val="0"/>
              <w:spacing w:before="0" w:beforeAutospacing="0" w:after="0" w:afterAutospacing="0"/>
              <w:ind w:left="0" w:leftChars="0" w:right="0" w:rightChars="0" w:firstLine="0" w:firstLineChars="0"/>
              <w:jc w:val="left"/>
              <w:rPr>
                <w:rFonts w:hint="eastAsia" w:ascii="宋体" w:eastAsia="宋体" w:hAnsiTheme="minorEastAsia" w:cstheme="minorEastAsia"/>
                <w:sz w:val="24"/>
                <w:szCs w:val="21"/>
                <w:highlight w:val="none"/>
              </w:rPr>
            </w:pPr>
            <w:r>
              <w:rPr>
                <w:rFonts w:hint="eastAsia" w:ascii="宋体" w:eastAsia="宋体" w:hAnsiTheme="minorEastAsia" w:cstheme="minorEastAsia"/>
                <w:sz w:val="24"/>
                <w:szCs w:val="21"/>
                <w:highlight w:val="none"/>
              </w:rPr>
              <w:t>提供设备管理系统或设备全生命周期管理系统相关业绩证明文件，有效业绩应符合以下条件：</w:t>
            </w:r>
          </w:p>
          <w:p w14:paraId="6744D561">
            <w:pPr>
              <w:keepNext w:val="0"/>
              <w:keepLines w:val="0"/>
              <w:suppressLineNumbers w:val="0"/>
              <w:snapToGrid w:val="0"/>
              <w:spacing w:before="0" w:beforeAutospacing="0" w:after="0" w:afterAutospacing="0"/>
              <w:ind w:left="0" w:leftChars="0" w:right="0" w:rightChars="0" w:firstLine="0" w:firstLineChars="0"/>
              <w:jc w:val="left"/>
              <w:rPr>
                <w:rFonts w:hint="eastAsia" w:ascii="宋体" w:eastAsia="宋体" w:hAnsiTheme="minorEastAsia" w:cstheme="minorEastAsia"/>
                <w:sz w:val="24"/>
                <w:szCs w:val="21"/>
                <w:highlight w:val="none"/>
              </w:rPr>
            </w:pPr>
            <w:r>
              <w:rPr>
                <w:rFonts w:hint="eastAsia" w:ascii="宋体" w:eastAsia="宋体" w:hAnsiTheme="minorEastAsia" w:cstheme="minorEastAsia"/>
                <w:sz w:val="24"/>
                <w:szCs w:val="21"/>
                <w:highlight w:val="none"/>
              </w:rPr>
              <w:t>（1）合同标的总价不低于150万；</w:t>
            </w:r>
          </w:p>
          <w:p w14:paraId="6FB2F50C">
            <w:pPr>
              <w:keepNext w:val="0"/>
              <w:keepLines w:val="0"/>
              <w:suppressLineNumbers w:val="0"/>
              <w:snapToGrid w:val="0"/>
              <w:spacing w:before="0" w:beforeAutospacing="0" w:after="0" w:afterAutospacing="0"/>
              <w:ind w:left="0" w:leftChars="0" w:right="0" w:rightChars="0" w:firstLine="0" w:firstLineChars="0"/>
              <w:jc w:val="left"/>
              <w:rPr>
                <w:rFonts w:hint="eastAsia" w:ascii="宋体" w:eastAsia="宋体" w:hAnsiTheme="minorEastAsia" w:cstheme="minorEastAsia"/>
                <w:sz w:val="24"/>
                <w:szCs w:val="21"/>
                <w:highlight w:val="none"/>
              </w:rPr>
            </w:pPr>
            <w:r>
              <w:rPr>
                <w:rFonts w:hint="eastAsia" w:ascii="宋体" w:eastAsia="宋体" w:hAnsiTheme="minorEastAsia" w:cstheme="minorEastAsia"/>
                <w:sz w:val="24"/>
                <w:szCs w:val="21"/>
                <w:highlight w:val="none"/>
              </w:rPr>
              <w:t>（2）合同签订日期为2020年1月1日至投标截止日；</w:t>
            </w:r>
          </w:p>
          <w:p w14:paraId="648E1E22">
            <w:pPr>
              <w:keepNext w:val="0"/>
              <w:keepLines w:val="0"/>
              <w:suppressLineNumbers w:val="0"/>
              <w:snapToGrid w:val="0"/>
              <w:spacing w:before="0" w:beforeAutospacing="0" w:after="0" w:afterAutospacing="0"/>
              <w:ind w:left="0" w:leftChars="0" w:right="0" w:rightChars="0" w:firstLine="0" w:firstLineChars="0"/>
              <w:jc w:val="left"/>
              <w:rPr>
                <w:rFonts w:hint="eastAsia" w:ascii="宋体" w:eastAsia="宋体" w:hAnsiTheme="minorEastAsia" w:cstheme="minorEastAsia"/>
                <w:sz w:val="24"/>
                <w:szCs w:val="21"/>
                <w:highlight w:val="none"/>
              </w:rPr>
            </w:pPr>
            <w:r>
              <w:rPr>
                <w:rFonts w:hint="eastAsia" w:ascii="宋体" w:eastAsia="宋体" w:hAnsiTheme="minorEastAsia" w:cstheme="minorEastAsia"/>
                <w:sz w:val="24"/>
                <w:szCs w:val="21"/>
                <w:highlight w:val="none"/>
              </w:rPr>
              <w:t>（3）业绩证明文件包括合同关键页复印件、发票复印件</w:t>
            </w:r>
            <w:r>
              <w:rPr>
                <w:rFonts w:hint="eastAsia" w:ascii="宋体" w:eastAsia="宋体" w:hAnsiTheme="minorEastAsia" w:cstheme="minorEastAsia"/>
                <w:sz w:val="24"/>
                <w:szCs w:val="21"/>
                <w:highlight w:val="none"/>
                <w:lang w:eastAsia="zh-CN"/>
              </w:rPr>
              <w:t>、验收报告复印件以及其他符合项目相关性的资料；</w:t>
            </w:r>
          </w:p>
          <w:p w14:paraId="4ACF0A02">
            <w:pPr>
              <w:keepNext w:val="0"/>
              <w:keepLines w:val="0"/>
              <w:suppressLineNumbers w:val="0"/>
              <w:snapToGrid w:val="0"/>
              <w:spacing w:before="0" w:beforeAutospacing="0" w:after="0" w:afterAutospacing="0"/>
              <w:ind w:left="0" w:leftChars="0" w:right="0" w:rightChars="0" w:firstLine="0" w:firstLineChars="0"/>
              <w:jc w:val="left"/>
              <w:rPr>
                <w:rFonts w:hint="eastAsia" w:ascii="宋体" w:eastAsia="宋体" w:hAnsiTheme="minorEastAsia" w:cstheme="minorEastAsia"/>
                <w:sz w:val="24"/>
                <w:szCs w:val="21"/>
                <w:highlight w:val="none"/>
                <w:lang w:eastAsia="zh-CN"/>
              </w:rPr>
            </w:pPr>
            <w:r>
              <w:rPr>
                <w:rFonts w:hint="eastAsia" w:ascii="宋体" w:eastAsia="宋体" w:hAnsiTheme="minorEastAsia" w:cstheme="minorEastAsia"/>
                <w:sz w:val="24"/>
                <w:szCs w:val="21"/>
                <w:highlight w:val="none"/>
                <w:lang w:eastAsia="zh-CN"/>
              </w:rPr>
              <w:t>（</w:t>
            </w:r>
            <w:r>
              <w:rPr>
                <w:rFonts w:hint="eastAsia" w:ascii="宋体" w:eastAsia="宋体" w:hAnsiTheme="minorEastAsia" w:cstheme="minorEastAsia"/>
                <w:sz w:val="24"/>
                <w:szCs w:val="21"/>
                <w:highlight w:val="none"/>
                <w:lang w:val="en-US" w:eastAsia="zh-CN"/>
              </w:rPr>
              <w:t>4</w:t>
            </w:r>
            <w:r>
              <w:rPr>
                <w:rFonts w:hint="eastAsia" w:ascii="宋体" w:eastAsia="宋体" w:hAnsiTheme="minorEastAsia" w:cstheme="minorEastAsia"/>
                <w:sz w:val="24"/>
                <w:szCs w:val="21"/>
                <w:highlight w:val="none"/>
                <w:lang w:eastAsia="zh-CN"/>
              </w:rPr>
              <w:t>）行业相关如石化、化工、钢铁、冶金、能源。</w:t>
            </w:r>
          </w:p>
          <w:p w14:paraId="0CDB7D34">
            <w:pPr>
              <w:keepNext w:val="0"/>
              <w:keepLines w:val="0"/>
              <w:suppressLineNumbers w:val="0"/>
              <w:snapToGrid w:val="0"/>
              <w:spacing w:before="0" w:beforeAutospacing="0" w:after="0" w:afterAutospacing="0"/>
              <w:ind w:left="0" w:leftChars="0" w:right="0" w:rightChars="0" w:firstLine="0" w:firstLineChars="0"/>
              <w:jc w:val="left"/>
              <w:rPr>
                <w:rFonts w:hint="eastAsia" w:ascii="宋体" w:eastAsia="宋体" w:hAnsiTheme="minorEastAsia" w:cstheme="minorEastAsia"/>
                <w:sz w:val="24"/>
                <w:szCs w:val="21"/>
                <w:highlight w:val="none"/>
              </w:rPr>
            </w:pPr>
            <w:r>
              <w:rPr>
                <w:rFonts w:hint="eastAsia" w:ascii="宋体" w:eastAsia="宋体" w:hAnsiTheme="minorEastAsia" w:cstheme="minorEastAsia"/>
                <w:sz w:val="24"/>
                <w:szCs w:val="21"/>
                <w:highlight w:val="none"/>
              </w:rPr>
              <w:t>业绩范围</w:t>
            </w:r>
            <w:r>
              <w:rPr>
                <w:rFonts w:hint="eastAsia" w:ascii="宋体" w:eastAsia="宋体" w:hAnsiTheme="minorEastAsia" w:cstheme="minorEastAsia"/>
                <w:sz w:val="24"/>
                <w:szCs w:val="21"/>
                <w:highlight w:val="none"/>
                <w:lang w:val="en-US" w:eastAsia="zh-CN"/>
              </w:rPr>
              <w:t>包括以下任一项：</w:t>
            </w:r>
            <w:r>
              <w:rPr>
                <w:rFonts w:hint="eastAsia" w:ascii="宋体" w:eastAsia="宋体" w:hAnsiTheme="minorEastAsia" w:cstheme="minorEastAsia"/>
                <w:sz w:val="24"/>
                <w:szCs w:val="21"/>
                <w:highlight w:val="none"/>
              </w:rPr>
              <w:t>设备可靠性管理平台、设备完整性管理平台</w:t>
            </w:r>
            <w:r>
              <w:rPr>
                <w:rFonts w:hint="eastAsia" w:ascii="宋体" w:eastAsia="宋体" w:hAnsiTheme="minorEastAsia" w:cstheme="minorEastAsia"/>
                <w:sz w:val="24"/>
                <w:szCs w:val="21"/>
                <w:highlight w:val="none"/>
                <w:lang w:eastAsia="zh-CN"/>
              </w:rPr>
              <w:t>、</w:t>
            </w:r>
            <w:r>
              <w:rPr>
                <w:rFonts w:hint="eastAsia" w:ascii="宋体" w:eastAsia="宋体" w:hAnsiTheme="minorEastAsia" w:cstheme="minorEastAsia"/>
                <w:sz w:val="24"/>
                <w:szCs w:val="21"/>
                <w:highlight w:val="none"/>
              </w:rPr>
              <w:t>设备资产管理、设备运维管理(如点巡检、维护保养、报修、工单、TPM等内容)、检修管理平台</w:t>
            </w:r>
            <w:r>
              <w:rPr>
                <w:rFonts w:hint="eastAsia" w:ascii="宋体" w:eastAsia="宋体" w:hAnsiTheme="minorEastAsia" w:cstheme="minorEastAsia"/>
                <w:sz w:val="24"/>
                <w:szCs w:val="21"/>
                <w:highlight w:val="none"/>
                <w:lang w:eastAsia="zh-CN"/>
              </w:rPr>
              <w:t>、</w:t>
            </w:r>
            <w:r>
              <w:rPr>
                <w:rFonts w:hint="eastAsia" w:ascii="宋体" w:eastAsia="宋体" w:hAnsiTheme="minorEastAsia" w:cstheme="minorEastAsia"/>
                <w:sz w:val="24"/>
                <w:szCs w:val="21"/>
                <w:highlight w:val="none"/>
              </w:rPr>
              <w:t>大修全周期管理平台、预测性维护（如故障诊断、机理模型、智能AI算法模型）。</w:t>
            </w:r>
          </w:p>
          <w:p w14:paraId="5BC0D8EC">
            <w:pPr>
              <w:keepNext w:val="0"/>
              <w:keepLines w:val="0"/>
              <w:suppressLineNumbers w:val="0"/>
              <w:snapToGrid w:val="0"/>
              <w:spacing w:before="0" w:beforeAutospacing="0" w:after="0" w:afterAutospacing="0"/>
              <w:ind w:left="0" w:leftChars="0" w:right="0" w:rightChars="0" w:firstLine="0" w:firstLineChars="0"/>
              <w:jc w:val="left"/>
              <w:rPr>
                <w:rFonts w:hint="eastAsia" w:ascii="宋体" w:eastAsia="宋体"/>
                <w:sz w:val="24"/>
                <w:szCs w:val="20"/>
                <w:highlight w:val="none"/>
              </w:rPr>
            </w:pPr>
            <w:r>
              <w:rPr>
                <w:rFonts w:hint="eastAsia" w:ascii="宋体" w:eastAsia="宋体" w:hAnsiTheme="minorEastAsia" w:cstheme="minorEastAsia"/>
                <w:sz w:val="24"/>
                <w:szCs w:val="21"/>
                <w:highlight w:val="none"/>
              </w:rPr>
              <w:t>每提供一个</w:t>
            </w:r>
            <w:r>
              <w:rPr>
                <w:rFonts w:hint="eastAsia" w:ascii="宋体" w:eastAsia="宋体" w:hAnsiTheme="minorEastAsia" w:cstheme="minorEastAsia"/>
                <w:sz w:val="24"/>
                <w:szCs w:val="21"/>
                <w:highlight w:val="none"/>
                <w:lang w:val="en-US" w:eastAsia="zh-CN"/>
              </w:rPr>
              <w:t>合同标的</w:t>
            </w:r>
            <w:r>
              <w:rPr>
                <w:rFonts w:hint="eastAsia" w:ascii="宋体" w:eastAsia="宋体" w:hAnsiTheme="minorEastAsia" w:cstheme="minorEastAsia"/>
                <w:sz w:val="24"/>
                <w:szCs w:val="21"/>
                <w:highlight w:val="none"/>
              </w:rPr>
              <w:t>得</w:t>
            </w:r>
            <w:r>
              <w:rPr>
                <w:rFonts w:hint="eastAsia" w:ascii="宋体" w:eastAsia="宋体" w:hAnsiTheme="minorEastAsia" w:cstheme="minorEastAsia"/>
                <w:sz w:val="24"/>
                <w:szCs w:val="21"/>
                <w:highlight w:val="none"/>
                <w:lang w:val="en-US" w:eastAsia="zh-CN"/>
              </w:rPr>
              <w:t>1</w:t>
            </w:r>
            <w:r>
              <w:rPr>
                <w:rFonts w:hint="eastAsia" w:ascii="宋体" w:eastAsia="宋体" w:hAnsiTheme="minorEastAsia" w:cstheme="minorEastAsia"/>
                <w:sz w:val="24"/>
                <w:szCs w:val="21"/>
                <w:highlight w:val="none"/>
              </w:rPr>
              <w:t>分，最高得</w:t>
            </w:r>
            <w:r>
              <w:rPr>
                <w:rFonts w:hint="default" w:ascii="宋体" w:eastAsia="宋体" w:hAnsiTheme="minorEastAsia" w:cstheme="minorEastAsia"/>
                <w:sz w:val="24"/>
                <w:szCs w:val="21"/>
                <w:highlight w:val="none"/>
              </w:rPr>
              <w:t>5</w:t>
            </w:r>
            <w:r>
              <w:rPr>
                <w:rFonts w:hint="eastAsia" w:ascii="宋体" w:eastAsia="宋体" w:hAnsiTheme="minorEastAsia" w:cstheme="minorEastAsia"/>
                <w:sz w:val="24"/>
                <w:szCs w:val="21"/>
                <w:highlight w:val="none"/>
              </w:rPr>
              <w:t>分。</w:t>
            </w:r>
          </w:p>
        </w:tc>
      </w:tr>
      <w:tr w14:paraId="20A1E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913" w:type="dxa"/>
            <w:vAlign w:val="center"/>
          </w:tcPr>
          <w:p w14:paraId="7DB5BF52">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eastAsia="宋体" w:hAnsiTheme="minorEastAsia" w:cstheme="minorEastAsia"/>
                <w:sz w:val="24"/>
                <w:szCs w:val="20"/>
                <w:lang w:eastAsia="zh-CN"/>
                <w:woUserID w:val="1"/>
              </w:rPr>
            </w:pPr>
            <w:r>
              <w:rPr>
                <w:rFonts w:hint="eastAsia" w:ascii="宋体" w:eastAsia="宋体" w:hAnsiTheme="minorEastAsia" w:cstheme="minorEastAsia"/>
                <w:sz w:val="24"/>
                <w:szCs w:val="20"/>
                <w:lang w:val="en-US" w:eastAsia="zh-CN"/>
                <w:woUserID w:val="1"/>
              </w:rPr>
              <w:t>8</w:t>
            </w:r>
          </w:p>
        </w:tc>
        <w:tc>
          <w:tcPr>
            <w:tcW w:w="1205" w:type="dxa"/>
            <w:vAlign w:val="center"/>
          </w:tcPr>
          <w:p w14:paraId="3DDE4593">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eastAsia="宋体" w:hAnsiTheme="minorEastAsia" w:cstheme="minorEastAsia"/>
                <w:sz w:val="24"/>
                <w:szCs w:val="20"/>
              </w:rPr>
            </w:pPr>
            <w:r>
              <w:rPr>
                <w:rFonts w:hint="eastAsia" w:ascii="宋体" w:eastAsia="宋体" w:hAnsiTheme="minorEastAsia" w:cstheme="minorEastAsia"/>
                <w:sz w:val="24"/>
                <w:szCs w:val="20"/>
              </w:rPr>
              <w:t>系统可持续性与技术生态</w:t>
            </w:r>
          </w:p>
        </w:tc>
        <w:tc>
          <w:tcPr>
            <w:tcW w:w="913" w:type="dxa"/>
            <w:vAlign w:val="center"/>
          </w:tcPr>
          <w:p w14:paraId="3182C3F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eastAsia="宋体" w:hAnsiTheme="minorEastAsia" w:cstheme="minorEastAsia"/>
                <w:sz w:val="24"/>
                <w:szCs w:val="20"/>
                <w:woUserID w:val="1"/>
              </w:rPr>
            </w:pPr>
            <w:r>
              <w:rPr>
                <w:rFonts w:hint="default" w:ascii="宋体" w:eastAsia="宋体" w:hAnsiTheme="minorEastAsia" w:cstheme="minorEastAsia"/>
                <w:sz w:val="24"/>
                <w:szCs w:val="20"/>
                <w:woUserID w:val="1"/>
              </w:rPr>
              <w:t>2</w:t>
            </w:r>
          </w:p>
        </w:tc>
        <w:tc>
          <w:tcPr>
            <w:tcW w:w="6655" w:type="dxa"/>
            <w:vAlign w:val="center"/>
          </w:tcPr>
          <w:p w14:paraId="43397C4D">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eastAsia="宋体" w:hAnsiTheme="minorEastAsia" w:cstheme="minorEastAsia"/>
                <w:sz w:val="24"/>
                <w:szCs w:val="20"/>
              </w:rPr>
            </w:pPr>
            <w:r>
              <w:rPr>
                <w:rFonts w:hint="eastAsia" w:ascii="宋体" w:eastAsia="宋体" w:hAnsiTheme="minorEastAsia" w:cstheme="minorEastAsia"/>
                <w:sz w:val="24"/>
                <w:szCs w:val="20"/>
              </w:rPr>
              <w:t>优 (</w:t>
            </w:r>
            <w:r>
              <w:rPr>
                <w:rFonts w:hint="default" w:ascii="宋体" w:eastAsia="宋体" w:hAnsiTheme="minorEastAsia" w:cstheme="minorEastAsia"/>
                <w:sz w:val="24"/>
                <w:szCs w:val="20"/>
                <w:woUserID w:val="1"/>
              </w:rPr>
              <w:t>2</w:t>
            </w:r>
            <w:r>
              <w:rPr>
                <w:rFonts w:hint="eastAsia" w:ascii="宋体" w:eastAsia="宋体" w:hAnsiTheme="minorEastAsia" w:cstheme="minorEastAsia"/>
                <w:sz w:val="24"/>
                <w:szCs w:val="20"/>
              </w:rPr>
              <w:t>分): 技术文档体系（用户手册、维护手册等）完整、专业；提供系统性的、分层级的培训体系方案；提供已开发的设备管理系统其他功能模块或亮点功能（如低代码平台或可视化工具供发包方未来自行调整业务流程与报表；交付后提供程序源代码及部署文档，保障发包方技术自主）；提供清晰的技术演进路线图，承诺持续引入AI等新技术）。</w:t>
            </w:r>
          </w:p>
          <w:p w14:paraId="74A0A6F4">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eastAsia="宋体" w:hAnsiTheme="minorEastAsia" w:cstheme="minorEastAsia"/>
                <w:sz w:val="24"/>
                <w:szCs w:val="20"/>
              </w:rPr>
            </w:pPr>
            <w:r>
              <w:rPr>
                <w:rFonts w:hint="eastAsia" w:ascii="宋体" w:eastAsia="宋体" w:hAnsiTheme="minorEastAsia" w:cstheme="minorEastAsia"/>
                <w:sz w:val="24"/>
                <w:szCs w:val="20"/>
              </w:rPr>
              <w:t>良 (</w:t>
            </w:r>
            <w:r>
              <w:rPr>
                <w:rFonts w:hint="default" w:ascii="宋体" w:eastAsia="宋体" w:hAnsiTheme="minorEastAsia" w:cstheme="minorEastAsia"/>
                <w:sz w:val="24"/>
                <w:szCs w:val="20"/>
                <w:woUserID w:val="1"/>
              </w:rPr>
              <w:t>1</w:t>
            </w:r>
            <w:r>
              <w:rPr>
                <w:rFonts w:hint="eastAsia" w:ascii="宋体" w:eastAsia="宋体" w:hAnsiTheme="minorEastAsia" w:cstheme="minorEastAsia"/>
                <w:sz w:val="24"/>
                <w:szCs w:val="20"/>
              </w:rPr>
              <w:t>分): 技术文档齐全；培训方案具体；承诺提供部分自定义工具或报表功能；对技术开放性和未来演进有基本承诺，但细节不够清晰。</w:t>
            </w:r>
          </w:p>
          <w:p w14:paraId="2795CCA1">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eastAsia="宋体" w:hAnsiTheme="minorEastAsia" w:cstheme="minorEastAsia"/>
                <w:sz w:val="24"/>
                <w:szCs w:val="20"/>
              </w:rPr>
            </w:pPr>
            <w:r>
              <w:rPr>
                <w:rFonts w:hint="eastAsia" w:ascii="宋体" w:eastAsia="宋体" w:hAnsiTheme="minorEastAsia" w:cstheme="minorEastAsia"/>
                <w:sz w:val="24"/>
                <w:szCs w:val="20"/>
              </w:rPr>
              <w:t>差 (0分): 文档承诺不全，缺乏可持续性保障措施，技术封闭，无法支持发包方长期发展需求。</w:t>
            </w:r>
          </w:p>
        </w:tc>
      </w:tr>
      <w:tr w14:paraId="3228F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913" w:type="dxa"/>
            <w:vAlign w:val="center"/>
          </w:tcPr>
          <w:p w14:paraId="2D528F6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eastAsia="宋体" w:hAnsiTheme="minorEastAsia" w:cstheme="minorEastAsia"/>
                <w:b/>
                <w:sz w:val="24"/>
                <w:szCs w:val="20"/>
              </w:rPr>
            </w:pPr>
          </w:p>
        </w:tc>
        <w:tc>
          <w:tcPr>
            <w:tcW w:w="1205" w:type="dxa"/>
            <w:vAlign w:val="center"/>
          </w:tcPr>
          <w:p w14:paraId="571FA76D">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eastAsia="宋体" w:hAnsiTheme="minorEastAsia" w:cstheme="minorEastAsia"/>
                <w:b/>
                <w:sz w:val="24"/>
                <w:szCs w:val="20"/>
              </w:rPr>
            </w:pPr>
            <w:r>
              <w:rPr>
                <w:rFonts w:hint="eastAsia" w:ascii="宋体" w:eastAsia="宋体" w:hAnsiTheme="minorEastAsia" w:cstheme="minorEastAsia"/>
                <w:b/>
                <w:sz w:val="24"/>
                <w:szCs w:val="20"/>
              </w:rPr>
              <w:t>总计</w:t>
            </w:r>
          </w:p>
        </w:tc>
        <w:tc>
          <w:tcPr>
            <w:tcW w:w="913" w:type="dxa"/>
            <w:vAlign w:val="center"/>
          </w:tcPr>
          <w:p w14:paraId="722AF6BE">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eastAsia="宋体" w:hAnsiTheme="minorEastAsia" w:cstheme="minorEastAsia"/>
                <w:b/>
                <w:sz w:val="24"/>
                <w:szCs w:val="20"/>
              </w:rPr>
            </w:pPr>
            <w:r>
              <w:rPr>
                <w:rFonts w:hint="eastAsia" w:ascii="宋体" w:eastAsia="宋体" w:hAnsiTheme="minorEastAsia" w:cstheme="minorEastAsia"/>
                <w:b/>
                <w:sz w:val="24"/>
                <w:szCs w:val="20"/>
              </w:rPr>
              <w:t>40</w:t>
            </w:r>
          </w:p>
        </w:tc>
        <w:tc>
          <w:tcPr>
            <w:tcW w:w="6655" w:type="dxa"/>
            <w:vAlign w:val="center"/>
          </w:tcPr>
          <w:p w14:paraId="0BFFC468">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eastAsia="宋体" w:hAnsiTheme="minorEastAsia" w:cstheme="minorEastAsia"/>
                <w:b/>
                <w:sz w:val="24"/>
                <w:szCs w:val="20"/>
              </w:rPr>
            </w:pPr>
          </w:p>
        </w:tc>
      </w:tr>
    </w:tbl>
    <w:p w14:paraId="1CF37253">
      <w:pPr>
        <w:pStyle w:val="6"/>
        <w:numPr>
          <w:ilvl w:val="0"/>
          <w:numId w:val="0"/>
        </w:numPr>
        <w:spacing w:line="360" w:lineRule="auto"/>
        <w:ind w:right="121" w:rightChars="0"/>
        <w:jc w:val="both"/>
        <w:rPr>
          <w:rFonts w:hint="eastAsia" w:ascii="宋体" w:hAnsi="宋体" w:eastAsia="宋体" w:cs="宋体"/>
          <w:sz w:val="28"/>
          <w:szCs w:val="28"/>
          <w:lang w:eastAsia="zh-CN"/>
        </w:rPr>
      </w:pPr>
    </w:p>
    <w:p w14:paraId="257399E1">
      <w:pPr>
        <w:spacing w:before="173" w:line="218" w:lineRule="auto"/>
        <w:ind w:left="675"/>
        <w:rPr>
          <w:rFonts w:hint="eastAsia" w:asciiTheme="minorEastAsia" w:hAnsiTheme="minorEastAsia" w:eastAsiaTheme="minorEastAsia" w:cstheme="minorEastAsia"/>
          <w:sz w:val="27"/>
          <w:szCs w:val="27"/>
        </w:rPr>
      </w:pPr>
      <w:r>
        <w:rPr>
          <w:rFonts w:hint="eastAsia" w:asciiTheme="minorEastAsia" w:hAnsiTheme="minorEastAsia" w:eastAsiaTheme="minorEastAsia" w:cstheme="minorEastAsia"/>
          <w:spacing w:val="17"/>
          <w:sz w:val="27"/>
          <w:szCs w:val="27"/>
          <w:lang w:val="en-US" w:eastAsia="zh-CN"/>
        </w:rPr>
        <w:t>2.</w:t>
      </w:r>
      <w:r>
        <w:rPr>
          <w:rFonts w:hint="eastAsia" w:asciiTheme="minorEastAsia" w:hAnsiTheme="minorEastAsia" w:eastAsiaTheme="minorEastAsia" w:cstheme="minorEastAsia"/>
          <w:spacing w:val="17"/>
          <w:sz w:val="27"/>
          <w:szCs w:val="27"/>
        </w:rPr>
        <w:t>报价评分(满分</w:t>
      </w:r>
      <w:r>
        <w:rPr>
          <w:rFonts w:hint="eastAsia" w:asciiTheme="minorEastAsia" w:hAnsiTheme="minorEastAsia" w:eastAsiaTheme="minorEastAsia" w:cstheme="minorEastAsia"/>
          <w:spacing w:val="17"/>
          <w:sz w:val="27"/>
          <w:szCs w:val="27"/>
          <w:lang w:val="en-US" w:eastAsia="zh-CN"/>
        </w:rPr>
        <w:t>6</w:t>
      </w:r>
      <w:r>
        <w:rPr>
          <w:rFonts w:hint="eastAsia" w:asciiTheme="minorEastAsia" w:hAnsiTheme="minorEastAsia" w:eastAsiaTheme="minorEastAsia" w:cstheme="minorEastAsia"/>
          <w:spacing w:val="17"/>
          <w:sz w:val="27"/>
          <w:szCs w:val="27"/>
        </w:rPr>
        <w:t>0分)</w:t>
      </w:r>
    </w:p>
    <w:tbl>
      <w:tblPr>
        <w:tblStyle w:val="26"/>
        <w:tblpPr w:leftFromText="180" w:rightFromText="180" w:vertAnchor="text" w:horzAnchor="page" w:tblpX="1326" w:tblpY="127"/>
        <w:tblOverlap w:val="never"/>
        <w:tblW w:w="932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82"/>
        <w:gridCol w:w="1323"/>
        <w:gridCol w:w="5922"/>
      </w:tblGrid>
      <w:tr w14:paraId="342401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0" w:hRule="atLeast"/>
        </w:trPr>
        <w:tc>
          <w:tcPr>
            <w:tcW w:w="2082" w:type="dxa"/>
            <w:vAlign w:val="center"/>
          </w:tcPr>
          <w:p w14:paraId="7EEB2FFE">
            <w:pPr>
              <w:spacing w:line="463"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rPr>
              <w:t>报价</w:t>
            </w:r>
          </w:p>
        </w:tc>
        <w:tc>
          <w:tcPr>
            <w:tcW w:w="1323" w:type="dxa"/>
            <w:vAlign w:val="center"/>
          </w:tcPr>
          <w:p w14:paraId="03F0D0F5">
            <w:pPr>
              <w:spacing w:line="463" w:lineRule="auto"/>
              <w:jc w:val="center"/>
              <w:rPr>
                <w:rFonts w:hint="eastAsia" w:asciiTheme="minorEastAsia" w:hAnsiTheme="minorEastAsia" w:eastAsiaTheme="minorEastAsia" w:cstheme="minorEastAsia"/>
                <w:sz w:val="24"/>
                <w:szCs w:val="24"/>
                <w:lang w:val="en-US" w:eastAsia="en-US" w:bidi="ar-SA"/>
              </w:rPr>
            </w:pPr>
            <w:r>
              <w:rPr>
                <w:rFonts w:hint="eastAsia" w:asciiTheme="minorEastAsia" w:hAnsiTheme="minorEastAsia" w:eastAsiaTheme="minorEastAsia" w:cstheme="minorEastAsia"/>
                <w:sz w:val="24"/>
              </w:rPr>
              <w:t>60</w:t>
            </w:r>
          </w:p>
        </w:tc>
        <w:tc>
          <w:tcPr>
            <w:tcW w:w="5922" w:type="dxa"/>
            <w:vAlign w:val="center"/>
          </w:tcPr>
          <w:p w14:paraId="7D772C69">
            <w:pPr>
              <w:spacing w:line="463" w:lineRule="auto"/>
              <w:ind w:firstLine="240" w:firstLineChars="1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P＝（1-（ Fn－Fd）/Fd×Q）×M；</w:t>
            </w:r>
          </w:p>
          <w:p w14:paraId="559DF2FE">
            <w:pPr>
              <w:spacing w:line="463" w:lineRule="auto"/>
              <w:ind w:firstLine="240" w:firstLineChars="1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式中：P为报价得分；</w:t>
            </w:r>
          </w:p>
          <w:p w14:paraId="7ED447FB">
            <w:pPr>
              <w:spacing w:line="463" w:lineRule="auto"/>
              <w:ind w:firstLine="240" w:firstLineChars="1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Fn各合格参比人的报价；</w:t>
            </w:r>
          </w:p>
          <w:p w14:paraId="0AA313B2">
            <w:pPr>
              <w:spacing w:line="463" w:lineRule="auto"/>
              <w:ind w:firstLine="240" w:firstLineChars="1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Fd为评审基准价，合格参比人中报价中最低的价格；</w:t>
            </w:r>
          </w:p>
          <w:p w14:paraId="3139D2FE">
            <w:pPr>
              <w:spacing w:line="463" w:lineRule="auto"/>
              <w:ind w:firstLine="240" w:firstLineChars="1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Q为调整系数，Q=1；</w:t>
            </w:r>
          </w:p>
          <w:p w14:paraId="5CD21608">
            <w:pPr>
              <w:spacing w:line="463" w:lineRule="auto"/>
              <w:ind w:firstLine="240" w:firstLineChars="1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rPr>
              <w:t>M为报价得分满分值，M=60。</w:t>
            </w:r>
          </w:p>
        </w:tc>
      </w:tr>
    </w:tbl>
    <w:p w14:paraId="7E56C263">
      <w:pPr>
        <w:pStyle w:val="6"/>
        <w:spacing w:line="360" w:lineRule="auto"/>
        <w:ind w:right="121" w:firstLine="280" w:firstLineChars="100"/>
        <w:jc w:val="both"/>
        <w:rPr>
          <w:rFonts w:hint="eastAsia" w:asciiTheme="minorEastAsia" w:hAnsiTheme="minorEastAsia" w:eastAsiaTheme="minorEastAsia" w:cstheme="minorEastAsia"/>
          <w:sz w:val="28"/>
          <w:szCs w:val="28"/>
          <w:lang w:val="en-US" w:eastAsia="zh-CN"/>
        </w:rPr>
      </w:pPr>
    </w:p>
    <w:p w14:paraId="4F728D09">
      <w:pPr>
        <w:pStyle w:val="6"/>
        <w:spacing w:line="360" w:lineRule="auto"/>
        <w:ind w:right="121" w:firstLine="280" w:firstLineChars="100"/>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val="en-US" w:eastAsia="zh-CN"/>
        </w:rPr>
        <w:t>3.</w:t>
      </w:r>
      <w:r>
        <w:rPr>
          <w:rFonts w:hint="eastAsia" w:asciiTheme="minorEastAsia" w:hAnsiTheme="minorEastAsia" w:eastAsiaTheme="minorEastAsia" w:cstheme="minorEastAsia"/>
          <w:sz w:val="28"/>
          <w:szCs w:val="28"/>
          <w:lang w:eastAsia="zh-CN"/>
        </w:rPr>
        <w:t>报价评分：</w:t>
      </w:r>
    </w:p>
    <w:p w14:paraId="16FAEF0C">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Theme="minorEastAsia" w:hAnsiTheme="minorEastAsia" w:eastAsiaTheme="minorEastAsia" w:cstheme="minorEastAsia"/>
          <w:sz w:val="28"/>
          <w:szCs w:val="28"/>
          <w:lang w:eastAsia="zh-CN"/>
        </w:rPr>
        <w:t>根据</w:t>
      </w:r>
      <w:r>
        <w:rPr>
          <w:rFonts w:hint="eastAsia" w:ascii="宋体" w:hAnsi="宋体" w:eastAsia="宋体" w:cs="宋体"/>
          <w:sz w:val="28"/>
          <w:szCs w:val="28"/>
          <w:lang w:eastAsia="zh-CN"/>
        </w:rPr>
        <w:t>评标细则规定对投标报价进行算术性错误修正。投标人的投标报价经上述修正后，计算出报价评标价。</w:t>
      </w:r>
    </w:p>
    <w:p w14:paraId="68C9D02A">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报价评分得分计算公式（取小数点后的2位数）</w:t>
      </w:r>
    </w:p>
    <w:p w14:paraId="17C544B7">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投标价格得分=</w:t>
      </w:r>
      <w:r>
        <w:rPr>
          <w:rFonts w:hint="eastAsia" w:asciiTheme="minorEastAsia" w:hAnsiTheme="minorEastAsia" w:eastAsiaTheme="minorEastAsia" w:cstheme="minorEastAsia"/>
          <w:sz w:val="24"/>
        </w:rPr>
        <w:t>（1-（ Fn－Fd）/Fd×Q）×M</w:t>
      </w:r>
      <w:r>
        <w:rPr>
          <w:rFonts w:hint="eastAsia" w:ascii="宋体" w:hAnsi="宋体" w:eastAsia="宋体" w:cs="宋体"/>
          <w:sz w:val="28"/>
          <w:szCs w:val="28"/>
          <w:lang w:eastAsia="zh-CN"/>
        </w:rPr>
        <w:t>式中：</w:t>
      </w:r>
    </w:p>
    <w:p w14:paraId="3409AC31">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①F低为评标基准价=进入报价部分评分的各合格投标人中最低的报价评标价。</w:t>
      </w:r>
    </w:p>
    <w:p w14:paraId="1B8D5765">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②Fn为进入报价部分评分的各合格投标人的报价评标价。投标报价得分小数点后保留两人，第三位"四舍五入",第四位及以后不计。</w:t>
      </w:r>
    </w:p>
    <w:p w14:paraId="0EEE5487">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本项目设置最高控制价</w:t>
      </w:r>
      <w:r>
        <w:rPr>
          <w:rFonts w:hint="eastAsia" w:cs="宋体"/>
          <w:sz w:val="28"/>
          <w:szCs w:val="28"/>
          <w:lang w:val="en-US" w:eastAsia="zh-CN"/>
        </w:rPr>
        <w:t>248</w:t>
      </w:r>
      <w:r>
        <w:rPr>
          <w:rFonts w:hint="eastAsia" w:ascii="宋体" w:hAnsi="宋体" w:eastAsia="宋体" w:cs="宋体"/>
          <w:sz w:val="28"/>
          <w:szCs w:val="28"/>
          <w:lang w:eastAsia="zh-CN"/>
        </w:rPr>
        <w:t>万元整（含税包干总价）。参选人所填报的报价高于本项目最高限价的,本项最低得分为0分。</w:t>
      </w:r>
    </w:p>
    <w:p w14:paraId="326E0937">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四、以下情况作废选处理</w:t>
      </w:r>
    </w:p>
    <w:p w14:paraId="22D68154">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1.对采购文件提出的实质性要求和条件，参比文件未能在实质上响应的。</w:t>
      </w:r>
    </w:p>
    <w:p w14:paraId="68395DDE">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2.参比文件存在重大偏差的。</w:t>
      </w:r>
    </w:p>
    <w:p w14:paraId="3D8FDA1C">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3.违反规定影响开评审工作或采取其他方式对采购人施加影响的。</w:t>
      </w:r>
    </w:p>
    <w:p w14:paraId="478B6968">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4.参比人串标、相互勾结故意压低标价以排挤竞争对手的公平竞争的，其参比无效。</w:t>
      </w:r>
    </w:p>
    <w:p w14:paraId="4560A558">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五、评比</w:t>
      </w:r>
    </w:p>
    <w:p w14:paraId="3EEF9FC6">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1.采购人将在参比文件截止日期后另行择日组织评审会，参比人选定工作在采购人有关部门监督下，由采购人依法组建的评审委员会负责。</w:t>
      </w:r>
    </w:p>
    <w:p w14:paraId="2E1153E8">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2.在开审时没有启封和读出的参比文件，在评审时将不予考虑。</w:t>
      </w:r>
    </w:p>
    <w:p w14:paraId="6BAB51AB">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3.采购人将做开选记录。</w:t>
      </w:r>
    </w:p>
    <w:p w14:paraId="17AD455F">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4.采购人将根据评审结果与中标人签订合同。</w:t>
      </w:r>
    </w:p>
    <w:p w14:paraId="12219DD2">
      <w:pPr>
        <w:rPr>
          <w:rFonts w:hint="eastAsia" w:ascii="宋体" w:hAnsi="宋体" w:eastAsia="宋体" w:cs="宋体"/>
          <w:lang w:eastAsia="zh-CN"/>
        </w:rPr>
      </w:pPr>
    </w:p>
    <w:p w14:paraId="1A790164">
      <w:pPr>
        <w:pStyle w:val="6"/>
        <w:spacing w:before="23"/>
        <w:ind w:left="598"/>
        <w:rPr>
          <w:rFonts w:hint="eastAsia" w:ascii="宋体" w:hAnsi="宋体" w:eastAsia="宋体" w:cs="宋体"/>
          <w:lang w:eastAsia="zh-CN"/>
        </w:rPr>
        <w:sectPr>
          <w:pgSz w:w="11910" w:h="16840"/>
          <w:pgMar w:top="1500" w:right="1140" w:bottom="740" w:left="1300" w:header="0" w:footer="551" w:gutter="0"/>
          <w:cols w:space="720" w:num="1"/>
        </w:sectPr>
      </w:pPr>
    </w:p>
    <w:p w14:paraId="49570674">
      <w:pPr>
        <w:spacing w:before="15" w:line="360" w:lineRule="auto"/>
        <w:jc w:val="center"/>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第五章  合同授予</w:t>
      </w:r>
    </w:p>
    <w:p w14:paraId="253C6699">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1.采购人将把合同授予中标人；在授予前，仍需进行资格审查。</w:t>
      </w:r>
    </w:p>
    <w:p w14:paraId="62F9A6DB">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2.中标人确定后，采购将通知中标人，并将中标结果公示在采购人官网。</w:t>
      </w:r>
    </w:p>
    <w:p w14:paraId="6569D355">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3.中标通知对采购人和参比人具有法律效力。</w:t>
      </w:r>
      <w:r>
        <w:rPr>
          <w:rStyle w:val="19"/>
          <w:rFonts w:hint="eastAsia" w:ascii="宋体" w:hAnsi="宋体" w:eastAsia="宋体" w:cs="宋体"/>
          <w:color w:val="FF0000"/>
          <w:sz w:val="28"/>
          <w:szCs w:val="28"/>
          <w:lang w:eastAsia="zh-CN"/>
        </w:rPr>
        <w:t>福建福海创石油化工有限公司本合同执行主体，将于中选结果公示流程结束之日起30日内与中选人完成合同签订事宜</w:t>
      </w:r>
      <w:r>
        <w:rPr>
          <w:rFonts w:hint="eastAsia" w:ascii="宋体" w:hAnsi="宋体" w:eastAsia="宋体" w:cs="宋体"/>
          <w:color w:val="FF0000"/>
          <w:sz w:val="28"/>
          <w:szCs w:val="28"/>
          <w:lang w:eastAsia="zh-CN"/>
        </w:rPr>
        <w:t>。</w:t>
      </w:r>
      <w:r>
        <w:rPr>
          <w:rFonts w:hint="eastAsia" w:ascii="宋体" w:hAnsi="宋体" w:eastAsia="宋体" w:cs="宋体"/>
          <w:sz w:val="28"/>
          <w:szCs w:val="28"/>
          <w:lang w:eastAsia="zh-CN"/>
        </w:rPr>
        <w:t>若因中标单位原因未在规定的时间和地点与采购人签署合同，采购人有权单方取消中标单位的资格。同时，由此给采购人造成的损失，采购人有权追究中标单位的全部责任。</w:t>
      </w:r>
    </w:p>
    <w:p w14:paraId="20E14641">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4.中标人签署合同后必须履行合同要求。若因中标单位原因未在规定的时间内完成合同内容等相关工作，则采购人有权单方面取消中标单位的资格。并取消参比人三年内在采购人的业务中的参比资格，由此给采购人造成的损失，采购人有权追究中选方的全部责任。</w:t>
      </w:r>
    </w:p>
    <w:p w14:paraId="6B0E5F91">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5.采购文件与合同附件作为签订合同的条款，采购文件合同条款中没有规定的内容， 采购人、参比人认为有必要进行补充，可另行商定解决。</w:t>
      </w:r>
    </w:p>
    <w:p w14:paraId="06E60D07">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6.接受和拒绝任何或所有参比的权利：采购机构和采购人保留在授标之前任何时候接受或拒绝任何比选，以及宣布比选程序无效或拒绝所有参比的权利，对受影响的参比人不承担任何责任。</w:t>
      </w:r>
    </w:p>
    <w:p w14:paraId="04D1B791">
      <w:pPr>
        <w:spacing w:line="360" w:lineRule="auto"/>
        <w:jc w:val="both"/>
        <w:rPr>
          <w:rFonts w:hint="eastAsia" w:ascii="宋体" w:hAnsi="宋体" w:eastAsia="宋体" w:cs="宋体"/>
          <w:lang w:eastAsia="zh-CN"/>
        </w:rPr>
        <w:sectPr>
          <w:footerReference r:id="rId5" w:type="default"/>
          <w:pgSz w:w="11910" w:h="16840"/>
          <w:pgMar w:top="1500" w:right="1020" w:bottom="740" w:left="1300" w:header="0" w:footer="551" w:gutter="0"/>
          <w:pgNumType w:start="10"/>
          <w:cols w:space="720" w:num="1"/>
        </w:sectPr>
      </w:pPr>
    </w:p>
    <w:p w14:paraId="5BBB7D86">
      <w:pPr>
        <w:spacing w:before="15" w:line="360" w:lineRule="auto"/>
        <w:jc w:val="center"/>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第六章  中标后相关履约要求</w:t>
      </w:r>
    </w:p>
    <w:p w14:paraId="09B0E2B4">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1.中标单位要服从采购人的管理规定，不得影响采购人的生产运行，如有违反，取消中标单位的继续履行合同的资格，同时，由此给采购人造成的损失，采购人有权追究中标单位的全部责任。</w:t>
      </w:r>
    </w:p>
    <w:p w14:paraId="77BEFDDC">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2.中标单位必须严格执行采购合同（详见附件一）的规定。</w:t>
      </w:r>
    </w:p>
    <w:p w14:paraId="2F16A0BC">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3.中标单位需遵守采购人的各项管理规章制度。如违反相关条例者则按福建福海创石油化工有限公司相应条款进行处罚。</w:t>
      </w:r>
    </w:p>
    <w:p w14:paraId="2410984F">
      <w:pPr>
        <w:pStyle w:val="6"/>
        <w:spacing w:before="26" w:line="321" w:lineRule="auto"/>
        <w:ind w:left="118" w:right="106" w:firstLine="480"/>
        <w:jc w:val="both"/>
        <w:rPr>
          <w:rFonts w:hint="eastAsia" w:ascii="宋体" w:hAnsi="宋体" w:eastAsia="宋体" w:cs="宋体"/>
          <w:lang w:eastAsia="zh-CN"/>
        </w:rPr>
      </w:pPr>
    </w:p>
    <w:p w14:paraId="7D1039C7">
      <w:pPr>
        <w:pStyle w:val="2"/>
        <w:tabs>
          <w:tab w:val="left" w:pos="1912"/>
        </w:tabs>
        <w:spacing w:line="355" w:lineRule="exact"/>
        <w:ind w:left="647" w:firstLine="3092" w:firstLineChars="1100"/>
        <w:jc w:val="both"/>
        <w:rPr>
          <w:rFonts w:hint="eastAsia" w:ascii="宋体" w:hAnsi="宋体" w:eastAsia="宋体" w:cs="宋体"/>
          <w:lang w:eastAsia="zh-CN"/>
        </w:rPr>
      </w:pPr>
    </w:p>
    <w:p w14:paraId="40860B90">
      <w:pPr>
        <w:pStyle w:val="2"/>
        <w:tabs>
          <w:tab w:val="left" w:pos="1912"/>
        </w:tabs>
        <w:spacing w:line="355" w:lineRule="exact"/>
        <w:ind w:left="647" w:firstLine="3092" w:firstLineChars="1100"/>
        <w:jc w:val="both"/>
        <w:rPr>
          <w:rFonts w:hint="eastAsia" w:ascii="宋体" w:hAnsi="宋体" w:eastAsia="宋体" w:cs="宋体"/>
          <w:lang w:eastAsia="zh-CN"/>
        </w:rPr>
      </w:pPr>
    </w:p>
    <w:p w14:paraId="69446E99">
      <w:pPr>
        <w:pStyle w:val="2"/>
        <w:tabs>
          <w:tab w:val="left" w:pos="1912"/>
        </w:tabs>
        <w:spacing w:line="355" w:lineRule="exact"/>
        <w:ind w:left="647" w:firstLine="3092" w:firstLineChars="1100"/>
        <w:jc w:val="both"/>
        <w:rPr>
          <w:rFonts w:hint="eastAsia" w:ascii="宋体" w:hAnsi="宋体" w:eastAsia="宋体" w:cs="宋体"/>
          <w:lang w:eastAsia="zh-CN"/>
        </w:rPr>
      </w:pPr>
    </w:p>
    <w:p w14:paraId="08D82F70">
      <w:pPr>
        <w:pStyle w:val="2"/>
        <w:tabs>
          <w:tab w:val="left" w:pos="1912"/>
        </w:tabs>
        <w:spacing w:line="355" w:lineRule="exact"/>
        <w:ind w:left="647" w:firstLine="3092" w:firstLineChars="1100"/>
        <w:jc w:val="both"/>
        <w:rPr>
          <w:rFonts w:hint="eastAsia" w:ascii="宋体" w:hAnsi="宋体" w:eastAsia="宋体" w:cs="宋体"/>
          <w:lang w:eastAsia="zh-CN"/>
        </w:rPr>
      </w:pPr>
    </w:p>
    <w:p w14:paraId="4E745F9E">
      <w:pPr>
        <w:pStyle w:val="2"/>
        <w:tabs>
          <w:tab w:val="left" w:pos="1912"/>
        </w:tabs>
        <w:spacing w:line="355" w:lineRule="exact"/>
        <w:ind w:left="647" w:firstLine="3092" w:firstLineChars="1100"/>
        <w:jc w:val="both"/>
        <w:rPr>
          <w:rFonts w:hint="eastAsia" w:ascii="宋体" w:hAnsi="宋体" w:eastAsia="宋体" w:cs="宋体"/>
          <w:lang w:eastAsia="zh-CN"/>
        </w:rPr>
      </w:pPr>
    </w:p>
    <w:p w14:paraId="7870B6F8">
      <w:pPr>
        <w:pStyle w:val="2"/>
        <w:tabs>
          <w:tab w:val="left" w:pos="1912"/>
        </w:tabs>
        <w:spacing w:line="355" w:lineRule="exact"/>
        <w:ind w:left="647" w:firstLine="3092" w:firstLineChars="1100"/>
        <w:jc w:val="both"/>
        <w:rPr>
          <w:rFonts w:hint="eastAsia" w:ascii="宋体" w:hAnsi="宋体" w:eastAsia="宋体" w:cs="宋体"/>
          <w:lang w:eastAsia="zh-CN"/>
        </w:rPr>
      </w:pPr>
    </w:p>
    <w:p w14:paraId="50A6D1E5">
      <w:pPr>
        <w:pStyle w:val="2"/>
        <w:tabs>
          <w:tab w:val="left" w:pos="1912"/>
        </w:tabs>
        <w:spacing w:line="355" w:lineRule="exact"/>
        <w:ind w:left="647" w:firstLine="3092" w:firstLineChars="1100"/>
        <w:jc w:val="both"/>
        <w:rPr>
          <w:rFonts w:hint="eastAsia" w:ascii="宋体" w:hAnsi="宋体" w:eastAsia="宋体" w:cs="宋体"/>
          <w:lang w:eastAsia="zh-CN"/>
        </w:rPr>
      </w:pPr>
    </w:p>
    <w:p w14:paraId="2572B02B">
      <w:pPr>
        <w:pStyle w:val="2"/>
        <w:tabs>
          <w:tab w:val="left" w:pos="1912"/>
        </w:tabs>
        <w:spacing w:line="355" w:lineRule="exact"/>
        <w:ind w:left="647" w:firstLine="3092" w:firstLineChars="1100"/>
        <w:jc w:val="both"/>
        <w:rPr>
          <w:rFonts w:hint="eastAsia" w:ascii="宋体" w:hAnsi="宋体" w:eastAsia="宋体" w:cs="宋体"/>
          <w:lang w:eastAsia="zh-CN"/>
        </w:rPr>
      </w:pPr>
    </w:p>
    <w:p w14:paraId="72DFE53E">
      <w:pPr>
        <w:pStyle w:val="2"/>
        <w:tabs>
          <w:tab w:val="left" w:pos="1912"/>
        </w:tabs>
        <w:spacing w:line="355" w:lineRule="exact"/>
        <w:ind w:left="647" w:firstLine="3092" w:firstLineChars="1100"/>
        <w:jc w:val="both"/>
        <w:rPr>
          <w:rFonts w:hint="eastAsia" w:ascii="宋体" w:hAnsi="宋体" w:eastAsia="宋体" w:cs="宋体"/>
          <w:lang w:eastAsia="zh-CN"/>
        </w:rPr>
      </w:pPr>
    </w:p>
    <w:p w14:paraId="3838F572">
      <w:pPr>
        <w:pStyle w:val="2"/>
        <w:tabs>
          <w:tab w:val="left" w:pos="1912"/>
        </w:tabs>
        <w:spacing w:line="355" w:lineRule="exact"/>
        <w:ind w:left="647" w:firstLine="3092" w:firstLineChars="1100"/>
        <w:jc w:val="both"/>
        <w:rPr>
          <w:rFonts w:hint="eastAsia" w:ascii="宋体" w:hAnsi="宋体" w:eastAsia="宋体" w:cs="宋体"/>
          <w:lang w:eastAsia="zh-CN"/>
        </w:rPr>
      </w:pPr>
    </w:p>
    <w:p w14:paraId="2BB985CF">
      <w:pPr>
        <w:pStyle w:val="2"/>
        <w:tabs>
          <w:tab w:val="left" w:pos="1912"/>
        </w:tabs>
        <w:spacing w:line="355" w:lineRule="exact"/>
        <w:ind w:left="647" w:firstLine="3092" w:firstLineChars="1100"/>
        <w:jc w:val="both"/>
        <w:rPr>
          <w:rFonts w:hint="eastAsia" w:ascii="宋体" w:hAnsi="宋体" w:eastAsia="宋体" w:cs="宋体"/>
          <w:lang w:eastAsia="zh-CN"/>
        </w:rPr>
      </w:pPr>
    </w:p>
    <w:p w14:paraId="0E8D3335">
      <w:pPr>
        <w:pStyle w:val="2"/>
        <w:tabs>
          <w:tab w:val="left" w:pos="1912"/>
        </w:tabs>
        <w:spacing w:line="355" w:lineRule="exact"/>
        <w:ind w:left="647" w:firstLine="3092" w:firstLineChars="1100"/>
        <w:jc w:val="both"/>
        <w:rPr>
          <w:rFonts w:hint="eastAsia" w:ascii="宋体" w:hAnsi="宋体" w:eastAsia="宋体" w:cs="宋体"/>
          <w:lang w:eastAsia="zh-CN"/>
        </w:rPr>
      </w:pPr>
    </w:p>
    <w:p w14:paraId="43C8269C">
      <w:pPr>
        <w:pStyle w:val="2"/>
        <w:tabs>
          <w:tab w:val="left" w:pos="1912"/>
        </w:tabs>
        <w:spacing w:line="355" w:lineRule="exact"/>
        <w:ind w:left="647" w:firstLine="3092" w:firstLineChars="1100"/>
        <w:jc w:val="both"/>
        <w:rPr>
          <w:rFonts w:hint="eastAsia" w:ascii="宋体" w:hAnsi="宋体" w:eastAsia="宋体" w:cs="宋体"/>
          <w:lang w:eastAsia="zh-CN"/>
        </w:rPr>
      </w:pPr>
    </w:p>
    <w:p w14:paraId="543310EB">
      <w:pPr>
        <w:pStyle w:val="2"/>
        <w:tabs>
          <w:tab w:val="left" w:pos="1912"/>
        </w:tabs>
        <w:spacing w:line="355" w:lineRule="exact"/>
        <w:ind w:left="647" w:firstLine="3092" w:firstLineChars="1100"/>
        <w:jc w:val="both"/>
        <w:rPr>
          <w:rFonts w:hint="eastAsia" w:ascii="宋体" w:hAnsi="宋体" w:eastAsia="宋体" w:cs="宋体"/>
          <w:lang w:eastAsia="zh-CN"/>
        </w:rPr>
      </w:pPr>
    </w:p>
    <w:p w14:paraId="2CF253AD">
      <w:pPr>
        <w:pStyle w:val="2"/>
        <w:tabs>
          <w:tab w:val="left" w:pos="1912"/>
        </w:tabs>
        <w:spacing w:line="355" w:lineRule="exact"/>
        <w:ind w:left="647" w:firstLine="3092" w:firstLineChars="1100"/>
        <w:jc w:val="both"/>
        <w:rPr>
          <w:rFonts w:hint="eastAsia" w:ascii="宋体" w:hAnsi="宋体" w:eastAsia="宋体" w:cs="宋体"/>
          <w:lang w:eastAsia="zh-CN"/>
        </w:rPr>
      </w:pPr>
    </w:p>
    <w:p w14:paraId="05573DBB">
      <w:pPr>
        <w:pStyle w:val="2"/>
        <w:tabs>
          <w:tab w:val="left" w:pos="1912"/>
        </w:tabs>
        <w:spacing w:line="355" w:lineRule="exact"/>
        <w:ind w:left="647" w:firstLine="3092" w:firstLineChars="1100"/>
        <w:jc w:val="both"/>
        <w:rPr>
          <w:rFonts w:hint="eastAsia" w:ascii="宋体" w:hAnsi="宋体" w:eastAsia="宋体" w:cs="宋体"/>
          <w:lang w:eastAsia="zh-CN"/>
        </w:rPr>
      </w:pPr>
    </w:p>
    <w:p w14:paraId="38445B7F">
      <w:pPr>
        <w:pStyle w:val="2"/>
        <w:tabs>
          <w:tab w:val="left" w:pos="1912"/>
        </w:tabs>
        <w:spacing w:line="355" w:lineRule="exact"/>
        <w:ind w:left="647" w:firstLine="3092" w:firstLineChars="1100"/>
        <w:jc w:val="both"/>
        <w:rPr>
          <w:rFonts w:hint="eastAsia" w:ascii="宋体" w:hAnsi="宋体" w:eastAsia="宋体" w:cs="宋体"/>
          <w:lang w:eastAsia="zh-CN"/>
        </w:rPr>
      </w:pPr>
    </w:p>
    <w:p w14:paraId="6C7EED40">
      <w:pPr>
        <w:pStyle w:val="2"/>
        <w:tabs>
          <w:tab w:val="left" w:pos="1912"/>
        </w:tabs>
        <w:spacing w:line="355" w:lineRule="exact"/>
        <w:ind w:left="647" w:firstLine="3092" w:firstLineChars="1100"/>
        <w:jc w:val="both"/>
        <w:rPr>
          <w:rFonts w:hint="eastAsia" w:ascii="宋体" w:hAnsi="宋体" w:eastAsia="宋体" w:cs="宋体"/>
          <w:lang w:eastAsia="zh-CN"/>
        </w:rPr>
      </w:pPr>
    </w:p>
    <w:p w14:paraId="0EE37671">
      <w:pPr>
        <w:pStyle w:val="2"/>
        <w:tabs>
          <w:tab w:val="left" w:pos="1912"/>
        </w:tabs>
        <w:spacing w:line="355" w:lineRule="exact"/>
        <w:ind w:left="647" w:firstLine="3092" w:firstLineChars="1100"/>
        <w:jc w:val="both"/>
        <w:rPr>
          <w:rFonts w:hint="eastAsia" w:ascii="宋体" w:hAnsi="宋体" w:eastAsia="宋体" w:cs="宋体"/>
          <w:lang w:eastAsia="zh-CN"/>
        </w:rPr>
      </w:pPr>
    </w:p>
    <w:p w14:paraId="3B22C5E9">
      <w:pPr>
        <w:pStyle w:val="2"/>
        <w:tabs>
          <w:tab w:val="left" w:pos="1912"/>
        </w:tabs>
        <w:spacing w:line="355" w:lineRule="exact"/>
        <w:ind w:left="647" w:firstLine="3092" w:firstLineChars="1100"/>
        <w:jc w:val="both"/>
        <w:rPr>
          <w:rFonts w:hint="eastAsia" w:ascii="宋体" w:hAnsi="宋体" w:eastAsia="宋体" w:cs="宋体"/>
          <w:lang w:eastAsia="zh-CN"/>
        </w:rPr>
      </w:pPr>
    </w:p>
    <w:p w14:paraId="5120B1C1">
      <w:pPr>
        <w:pStyle w:val="2"/>
        <w:tabs>
          <w:tab w:val="left" w:pos="1912"/>
        </w:tabs>
        <w:spacing w:line="355" w:lineRule="exact"/>
        <w:ind w:left="647" w:firstLine="3092" w:firstLineChars="1100"/>
        <w:jc w:val="both"/>
        <w:rPr>
          <w:rFonts w:hint="eastAsia" w:ascii="宋体" w:hAnsi="宋体" w:eastAsia="宋体" w:cs="宋体"/>
          <w:lang w:eastAsia="zh-CN"/>
        </w:rPr>
      </w:pPr>
    </w:p>
    <w:p w14:paraId="1D4D865D">
      <w:pPr>
        <w:pStyle w:val="2"/>
        <w:tabs>
          <w:tab w:val="left" w:pos="1912"/>
        </w:tabs>
        <w:spacing w:line="355" w:lineRule="exact"/>
        <w:ind w:left="647" w:firstLine="3092" w:firstLineChars="1100"/>
        <w:jc w:val="both"/>
        <w:rPr>
          <w:rFonts w:hint="eastAsia" w:ascii="宋体" w:hAnsi="宋体" w:eastAsia="宋体" w:cs="宋体"/>
          <w:lang w:eastAsia="zh-CN"/>
        </w:rPr>
      </w:pPr>
    </w:p>
    <w:p w14:paraId="380AC941">
      <w:pPr>
        <w:pStyle w:val="2"/>
        <w:tabs>
          <w:tab w:val="left" w:pos="1912"/>
        </w:tabs>
        <w:spacing w:line="355" w:lineRule="exact"/>
        <w:ind w:left="647" w:firstLine="3092" w:firstLineChars="1100"/>
        <w:jc w:val="both"/>
        <w:rPr>
          <w:rFonts w:hint="eastAsia" w:ascii="宋体" w:hAnsi="宋体" w:eastAsia="宋体" w:cs="宋体"/>
          <w:lang w:eastAsia="zh-CN"/>
        </w:rPr>
      </w:pPr>
    </w:p>
    <w:p w14:paraId="319C82EE">
      <w:pPr>
        <w:pStyle w:val="21"/>
        <w:rPr>
          <w:rFonts w:hint="eastAsia" w:ascii="宋体" w:hAnsi="宋体" w:eastAsia="宋体" w:cs="宋体"/>
        </w:rPr>
      </w:pPr>
    </w:p>
    <w:p w14:paraId="25979C4D">
      <w:pPr>
        <w:pStyle w:val="21"/>
        <w:rPr>
          <w:rFonts w:hint="eastAsia" w:ascii="宋体" w:hAnsi="宋体" w:eastAsia="宋体" w:cs="宋体"/>
        </w:rPr>
      </w:pPr>
    </w:p>
    <w:p w14:paraId="090CEBA7">
      <w:pPr>
        <w:spacing w:before="15" w:line="360" w:lineRule="auto"/>
        <w:jc w:val="center"/>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第七章</w:t>
      </w:r>
      <w:r>
        <w:rPr>
          <w:rFonts w:hint="eastAsia" w:ascii="宋体" w:hAnsi="宋体" w:eastAsia="宋体" w:cs="宋体"/>
          <w:b/>
          <w:w w:val="95"/>
          <w:sz w:val="30"/>
          <w:szCs w:val="30"/>
          <w:lang w:eastAsia="zh-CN"/>
        </w:rPr>
        <w:tab/>
      </w:r>
      <w:r>
        <w:rPr>
          <w:rFonts w:hint="eastAsia" w:ascii="宋体" w:hAnsi="宋体" w:eastAsia="宋体" w:cs="宋体"/>
          <w:b/>
          <w:w w:val="95"/>
          <w:sz w:val="30"/>
          <w:szCs w:val="30"/>
          <w:lang w:eastAsia="zh-CN"/>
        </w:rPr>
        <w:t>其它</w:t>
      </w:r>
    </w:p>
    <w:p w14:paraId="3C3BA46E">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1.参比人的参比文件无论其是否中标，均不退回。</w:t>
      </w:r>
    </w:p>
    <w:p w14:paraId="7DE7B103">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2.采购人郑重承诺：参比人所提交的参比文件及相关资料不向第三方泄露。</w:t>
      </w:r>
    </w:p>
    <w:p w14:paraId="3F3368D5">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3.本询比文件的解释权归福建福海创石油化工有限公司。</w:t>
      </w:r>
    </w:p>
    <w:p w14:paraId="2BC40334">
      <w:pPr>
        <w:pStyle w:val="6"/>
        <w:spacing w:line="360" w:lineRule="auto"/>
        <w:ind w:left="215"/>
        <w:rPr>
          <w:rFonts w:hint="eastAsia" w:ascii="宋体" w:hAnsi="宋体" w:eastAsia="宋体" w:cs="宋体"/>
          <w:lang w:eastAsia="zh-CN"/>
        </w:rPr>
      </w:pPr>
      <w:r>
        <w:rPr>
          <w:rFonts w:hint="eastAsia" w:ascii="宋体" w:hAnsi="宋体" w:eastAsia="宋体" w:cs="宋体"/>
          <w:lang w:eastAsia="zh-CN"/>
        </w:rPr>
        <w:br w:type="page"/>
      </w:r>
      <w:bookmarkStart w:id="0" w:name="_Toc251742852"/>
    </w:p>
    <w:p w14:paraId="4DEFED7A">
      <w:pPr>
        <w:pStyle w:val="6"/>
        <w:rPr>
          <w:rFonts w:hint="eastAsia" w:ascii="宋体" w:hAnsi="宋体" w:eastAsia="宋体" w:cs="宋体"/>
          <w:b/>
          <w:bCs/>
          <w:lang w:eastAsia="zh-CN"/>
        </w:rPr>
      </w:pPr>
      <w:r>
        <w:rPr>
          <w:rFonts w:hint="eastAsia" w:ascii="宋体" w:hAnsi="宋体" w:eastAsia="宋体" w:cs="宋体"/>
          <w:b/>
          <w:bCs/>
          <w:lang w:eastAsia="zh-CN"/>
        </w:rPr>
        <w:t>附件一、合同文本</w:t>
      </w:r>
    </w:p>
    <w:p w14:paraId="22CB480F">
      <w:pPr>
        <w:pStyle w:val="21"/>
        <w:spacing w:line="440" w:lineRule="exact"/>
        <w:jc w:val="center"/>
        <w:rPr>
          <w:rFonts w:hint="eastAsia"/>
          <w:b/>
          <w:sz w:val="32"/>
          <w:szCs w:val="32"/>
          <w:lang w:val="en-US" w:eastAsia="zh-CN"/>
        </w:rPr>
      </w:pPr>
      <w:r>
        <w:rPr>
          <w:rFonts w:hint="eastAsia"/>
          <w:b/>
          <w:sz w:val="32"/>
          <w:szCs w:val="32"/>
          <w:lang w:val="en-US" w:eastAsia="zh-CN"/>
        </w:rPr>
        <w:t>福建福海创石油化工有限公司</w:t>
      </w:r>
    </w:p>
    <w:p w14:paraId="501CC1DE">
      <w:pPr>
        <w:pStyle w:val="21"/>
        <w:spacing w:line="440" w:lineRule="exact"/>
        <w:jc w:val="center"/>
        <w:rPr>
          <w:b/>
          <w:sz w:val="32"/>
          <w:szCs w:val="32"/>
        </w:rPr>
      </w:pPr>
      <w:r>
        <w:rPr>
          <w:rFonts w:hint="eastAsia" w:ascii="宋体" w:eastAsia="宋体" w:cs="Times New Roman"/>
          <w:b/>
          <w:sz w:val="32"/>
          <w:szCs w:val="32"/>
          <w:lang w:val="en-US" w:eastAsia="zh-CN"/>
        </w:rPr>
        <w:t>机电离线监测设备采购与安装项目</w:t>
      </w:r>
      <w:r>
        <w:rPr>
          <w:rFonts w:hint="eastAsia"/>
          <w:b/>
          <w:sz w:val="32"/>
          <w:szCs w:val="32"/>
        </w:rPr>
        <w:t>合同</w:t>
      </w:r>
    </w:p>
    <w:tbl>
      <w:tblPr>
        <w:tblStyle w:val="17"/>
        <w:tblW w:w="99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31"/>
        <w:gridCol w:w="1421"/>
        <w:gridCol w:w="3658"/>
      </w:tblGrid>
      <w:tr w14:paraId="3102E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8" w:hRule="atLeast"/>
        </w:trPr>
        <w:tc>
          <w:tcPr>
            <w:tcW w:w="4831" w:type="dxa"/>
          </w:tcPr>
          <w:p w14:paraId="702A2E21">
            <w:pPr>
              <w:spacing w:line="360" w:lineRule="auto"/>
              <w:jc w:val="both"/>
              <w:rPr>
                <w:sz w:val="24"/>
                <w:lang w:eastAsia="zh-CN"/>
              </w:rPr>
            </w:pPr>
            <w:r>
              <w:rPr>
                <w:rFonts w:hint="eastAsia"/>
                <w:sz w:val="24"/>
                <w:lang w:eastAsia="zh-CN"/>
              </w:rPr>
              <w:t xml:space="preserve">                                                                                      </w:t>
            </w:r>
          </w:p>
        </w:tc>
        <w:tc>
          <w:tcPr>
            <w:tcW w:w="1421" w:type="dxa"/>
          </w:tcPr>
          <w:p w14:paraId="5ECC54A0">
            <w:pPr>
              <w:spacing w:line="360" w:lineRule="auto"/>
              <w:jc w:val="both"/>
              <w:rPr>
                <w:szCs w:val="21"/>
              </w:rPr>
            </w:pPr>
            <w:r>
              <w:rPr>
                <w:rFonts w:hint="eastAsia"/>
                <w:szCs w:val="21"/>
              </w:rPr>
              <w:t>合同编号：</w:t>
            </w:r>
          </w:p>
        </w:tc>
        <w:tc>
          <w:tcPr>
            <w:tcW w:w="3658" w:type="dxa"/>
          </w:tcPr>
          <w:p w14:paraId="25606075">
            <w:pPr>
              <w:spacing w:line="360" w:lineRule="auto"/>
              <w:jc w:val="both"/>
              <w:rPr>
                <w:sz w:val="24"/>
              </w:rPr>
            </w:pPr>
          </w:p>
        </w:tc>
      </w:tr>
      <w:tr w14:paraId="5D844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8" w:hRule="atLeast"/>
        </w:trPr>
        <w:tc>
          <w:tcPr>
            <w:tcW w:w="4831" w:type="dxa"/>
          </w:tcPr>
          <w:p w14:paraId="197734A9">
            <w:pPr>
              <w:spacing w:line="360" w:lineRule="auto"/>
              <w:jc w:val="both"/>
              <w:rPr>
                <w:sz w:val="24"/>
                <w:lang w:eastAsia="zh-CN"/>
              </w:rPr>
            </w:pPr>
            <w:r>
              <w:rPr>
                <w:rFonts w:hint="eastAsia"/>
                <w:sz w:val="24"/>
                <w:lang w:eastAsia="zh-CN"/>
              </w:rPr>
              <w:t>甲方：</w:t>
            </w:r>
            <w:r>
              <w:rPr>
                <w:rFonts w:hint="eastAsia" w:ascii="宋体" w:hAnsi="宋体" w:eastAsia="宋体" w:cs="宋体"/>
                <w:sz w:val="24"/>
                <w:lang w:val="en-US" w:eastAsia="zh-CN"/>
              </w:rPr>
              <w:t>福建福海创石油化工有限公司</w:t>
            </w:r>
          </w:p>
        </w:tc>
        <w:tc>
          <w:tcPr>
            <w:tcW w:w="1421" w:type="dxa"/>
          </w:tcPr>
          <w:p w14:paraId="5343A1FD">
            <w:pPr>
              <w:spacing w:line="360" w:lineRule="auto"/>
              <w:jc w:val="both"/>
              <w:rPr>
                <w:szCs w:val="21"/>
              </w:rPr>
            </w:pPr>
            <w:r>
              <w:rPr>
                <w:rFonts w:hint="eastAsia"/>
                <w:szCs w:val="21"/>
              </w:rPr>
              <w:t>签订地点：</w:t>
            </w:r>
          </w:p>
        </w:tc>
        <w:tc>
          <w:tcPr>
            <w:tcW w:w="3658" w:type="dxa"/>
          </w:tcPr>
          <w:p w14:paraId="4B3855BF">
            <w:pPr>
              <w:spacing w:line="360" w:lineRule="auto"/>
              <w:jc w:val="both"/>
              <w:rPr>
                <w:sz w:val="24"/>
              </w:rPr>
            </w:pPr>
          </w:p>
        </w:tc>
      </w:tr>
      <w:tr w14:paraId="07A98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8" w:hRule="atLeast"/>
        </w:trPr>
        <w:tc>
          <w:tcPr>
            <w:tcW w:w="4831" w:type="dxa"/>
          </w:tcPr>
          <w:p w14:paraId="3689622E">
            <w:pPr>
              <w:spacing w:line="360" w:lineRule="auto"/>
              <w:jc w:val="both"/>
              <w:rPr>
                <w:sz w:val="24"/>
                <w:lang w:eastAsia="zh-CN"/>
              </w:rPr>
            </w:pPr>
            <w:r>
              <w:rPr>
                <w:rFonts w:hint="eastAsia"/>
                <w:sz w:val="24"/>
                <w:lang w:eastAsia="zh-CN"/>
              </w:rPr>
              <w:t>乙方：</w:t>
            </w:r>
            <w:r>
              <w:rPr>
                <w:sz w:val="24"/>
                <w:lang w:eastAsia="zh-CN"/>
              </w:rPr>
              <w:t xml:space="preserve"> </w:t>
            </w:r>
          </w:p>
        </w:tc>
        <w:tc>
          <w:tcPr>
            <w:tcW w:w="1421" w:type="dxa"/>
          </w:tcPr>
          <w:p w14:paraId="2429CF76">
            <w:pPr>
              <w:spacing w:line="360" w:lineRule="auto"/>
              <w:jc w:val="both"/>
              <w:rPr>
                <w:szCs w:val="21"/>
              </w:rPr>
            </w:pPr>
            <w:r>
              <w:rPr>
                <w:rFonts w:hint="eastAsia"/>
                <w:szCs w:val="21"/>
              </w:rPr>
              <w:t>签订日期：</w:t>
            </w:r>
          </w:p>
        </w:tc>
        <w:tc>
          <w:tcPr>
            <w:tcW w:w="3658" w:type="dxa"/>
          </w:tcPr>
          <w:p w14:paraId="7ABEDF4C">
            <w:pPr>
              <w:spacing w:line="360" w:lineRule="auto"/>
              <w:jc w:val="both"/>
              <w:rPr>
                <w:sz w:val="24"/>
              </w:rPr>
            </w:pPr>
          </w:p>
        </w:tc>
      </w:tr>
    </w:tbl>
    <w:p w14:paraId="33EC77E2">
      <w:pPr>
        <w:spacing w:line="360" w:lineRule="auto"/>
        <w:ind w:firstLine="480" w:firstLineChars="2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根据甲方采购项目需求，经双方友好协商，就甲方向乙方采购本合同第1条所列产品相关事宜，依据《中华人民共和国民法典》及其他相关法律法规规定，双方签订如下协议：</w:t>
      </w:r>
    </w:p>
    <w:p w14:paraId="79A8154C">
      <w:pPr>
        <w:pStyle w:val="22"/>
        <w:numPr>
          <w:ilvl w:val="0"/>
          <w:numId w:val="2"/>
        </w:numPr>
        <w:spacing w:before="0"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合同标的和合同价格</w:t>
      </w:r>
    </w:p>
    <w:p w14:paraId="54C54A7B">
      <w:pPr>
        <w:spacing w:line="360" w:lineRule="auto"/>
        <w:ind w:firstLine="360" w:firstLineChars="15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合同价格为</w:t>
      </w:r>
      <w:r>
        <w:rPr>
          <w:rFonts w:hint="eastAsia" w:asciiTheme="majorEastAsia" w:hAnsiTheme="majorEastAsia" w:eastAsiaTheme="majorEastAsia"/>
          <w:sz w:val="24"/>
          <w:u w:val="single"/>
          <w:lang w:eastAsia="zh-CN"/>
        </w:rPr>
        <w:t xml:space="preserve">        </w:t>
      </w:r>
      <w:r>
        <w:rPr>
          <w:rFonts w:hint="eastAsia" w:asciiTheme="majorEastAsia" w:hAnsiTheme="majorEastAsia" w:eastAsiaTheme="majorEastAsia"/>
          <w:sz w:val="24"/>
          <w:lang w:eastAsia="zh-CN"/>
        </w:rPr>
        <w:t>元整，含税价，税率</w:t>
      </w:r>
      <w:r>
        <w:rPr>
          <w:rFonts w:hint="eastAsia" w:asciiTheme="majorEastAsia" w:hAnsiTheme="majorEastAsia" w:eastAsiaTheme="majorEastAsia"/>
          <w:sz w:val="24"/>
          <w:u w:val="single"/>
          <w:lang w:eastAsia="zh-CN"/>
        </w:rPr>
        <w:t xml:space="preserve">   %</w:t>
      </w:r>
      <w:r>
        <w:rPr>
          <w:rFonts w:hint="eastAsia" w:asciiTheme="majorEastAsia" w:hAnsiTheme="majorEastAsia" w:eastAsiaTheme="majorEastAsia"/>
          <w:sz w:val="24"/>
          <w:lang w:eastAsia="zh-CN"/>
        </w:rPr>
        <w:t>。</w:t>
      </w:r>
    </w:p>
    <w:p w14:paraId="68583DC4">
      <w:pPr>
        <w:spacing w:line="360" w:lineRule="auto"/>
        <w:ind w:firstLine="360" w:firstLineChars="15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上述金额包含了乙方提供本合同约定的产品及相应服务的全部价格，除非另有约定，甲方不再承担其他费用。</w:t>
      </w:r>
    </w:p>
    <w:p w14:paraId="22995CFB">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2、交货：</w:t>
      </w:r>
    </w:p>
    <w:p w14:paraId="379B00F5">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2.1交货方式：</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送货到现场</w:t>
      </w:r>
      <w:r>
        <w:rPr>
          <w:rFonts w:asciiTheme="majorEastAsia" w:hAnsiTheme="majorEastAsia" w:eastAsiaTheme="majorEastAsia"/>
          <w:sz w:val="24"/>
          <w:u w:val="single"/>
          <w:lang w:eastAsia="zh-CN"/>
        </w:rPr>
        <w:t xml:space="preserve"> </w:t>
      </w:r>
    </w:p>
    <w:p w14:paraId="266743FF">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2.2交货地点：运送到</w:t>
      </w:r>
      <w:r>
        <w:rPr>
          <w:rFonts w:asciiTheme="majorEastAsia" w:hAnsiTheme="majorEastAsia" w:eastAsiaTheme="majorEastAsia"/>
          <w:sz w:val="24"/>
          <w:u w:val="single"/>
          <w:lang w:eastAsia="zh-CN"/>
        </w:rPr>
        <w:t xml:space="preserve"> </w:t>
      </w:r>
      <w:r>
        <w:rPr>
          <w:rFonts w:hint="eastAsia" w:ascii="宋体" w:hAnsi="宋体" w:eastAsia="宋体" w:cs="宋体"/>
          <w:sz w:val="24"/>
          <w:u w:val="single"/>
          <w:lang w:val="en-US" w:eastAsia="zh-CN"/>
        </w:rPr>
        <w:t>福建福海创石油化工有限公司</w:t>
      </w:r>
      <w:r>
        <w:rPr>
          <w:rFonts w:hint="eastAsia" w:asciiTheme="majorEastAsia" w:hAnsiTheme="majorEastAsia" w:eastAsiaTheme="majorEastAsia"/>
          <w:sz w:val="24"/>
          <w:u w:val="single"/>
          <w:lang w:eastAsia="zh-CN"/>
        </w:rPr>
        <w:t xml:space="preserve"> </w:t>
      </w:r>
    </w:p>
    <w:p w14:paraId="7513ADC4">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2.3交货及服务时间：</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 xml:space="preserve"> 合同生效后</w:t>
      </w:r>
      <w:r>
        <w:rPr>
          <w:rFonts w:hint="eastAsia" w:asciiTheme="majorEastAsia" w:hAnsiTheme="majorEastAsia" w:eastAsiaTheme="majorEastAsia"/>
          <w:sz w:val="24"/>
          <w:u w:val="single"/>
          <w:lang w:val="en-US" w:eastAsia="zh-CN"/>
        </w:rPr>
        <w:t>10个月内</w:t>
      </w:r>
      <w:r>
        <w:rPr>
          <w:rFonts w:asciiTheme="majorEastAsia" w:hAnsiTheme="majorEastAsia" w:eastAsiaTheme="majorEastAsia"/>
          <w:sz w:val="24"/>
          <w:u w:val="single"/>
          <w:lang w:eastAsia="zh-CN"/>
        </w:rPr>
        <w:t>完成</w:t>
      </w:r>
      <w:r>
        <w:rPr>
          <w:rFonts w:hint="eastAsia" w:asciiTheme="majorEastAsia" w:hAnsiTheme="majorEastAsia" w:eastAsiaTheme="majorEastAsia"/>
          <w:sz w:val="24"/>
          <w:u w:val="single"/>
          <w:lang w:eastAsia="zh-CN"/>
        </w:rPr>
        <w:t xml:space="preserve">  </w:t>
      </w:r>
    </w:p>
    <w:p w14:paraId="4A0CFC2C">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2.4乙方提供产品并承担运输过程中发生的一切费用。在产品交付给甲方之前，相关的毁损、灭失等风险均由乙方自行承担。</w:t>
      </w:r>
    </w:p>
    <w:p w14:paraId="2A9727B8">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3、付款方式与条件</w:t>
      </w:r>
    </w:p>
    <w:p w14:paraId="13B85DB6">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3.1 预付款：无</w:t>
      </w:r>
    </w:p>
    <w:p w14:paraId="72FF3D6D">
      <w:pPr>
        <w:pStyle w:val="21"/>
        <w:spacing w:line="360" w:lineRule="auto"/>
        <w:rPr>
          <w:rFonts w:asciiTheme="majorEastAsia" w:hAnsiTheme="majorEastAsia" w:eastAsiaTheme="majorEastAsia"/>
          <w:sz w:val="24"/>
        </w:rPr>
      </w:pPr>
      <w:r>
        <w:rPr>
          <w:rFonts w:hint="eastAsia"/>
          <w:sz w:val="24"/>
          <w:szCs w:val="24"/>
        </w:rPr>
        <w:t xml:space="preserve">  3.2</w:t>
      </w:r>
      <w:r>
        <w:rPr>
          <w:rFonts w:hint="eastAsia" w:asciiTheme="minorEastAsia" w:hAnsiTheme="minorEastAsia" w:eastAsiaTheme="minorEastAsia" w:cstheme="minorBidi"/>
          <w:sz w:val="24"/>
        </w:rPr>
        <w:t>乙方交付的设备按合同约定到货，并经甲方验收合格，</w:t>
      </w:r>
      <w:r>
        <w:rPr>
          <w:rFonts w:hint="eastAsia" w:asciiTheme="majorEastAsia" w:hAnsiTheme="majorEastAsia" w:eastAsiaTheme="majorEastAsia"/>
          <w:sz w:val="24"/>
          <w:szCs w:val="24"/>
        </w:rPr>
        <w:t>工作完成并经甲方验收合格后，甲方20个工作日内支付给乙方</w:t>
      </w:r>
      <w:r>
        <w:rPr>
          <w:rFonts w:hint="eastAsia" w:asciiTheme="majorEastAsia" w:hAnsiTheme="majorEastAsia" w:eastAsiaTheme="majorEastAsia"/>
          <w:sz w:val="24"/>
          <w:szCs w:val="24"/>
          <w:lang w:val="en-US" w:eastAsia="zh-CN"/>
        </w:rPr>
        <w:t>9</w:t>
      </w:r>
      <w:r>
        <w:rPr>
          <w:rFonts w:hint="eastAsia" w:asciiTheme="majorEastAsia" w:hAnsiTheme="majorEastAsia" w:eastAsiaTheme="majorEastAsia"/>
          <w:sz w:val="24"/>
          <w:szCs w:val="24"/>
        </w:rPr>
        <w:t>0％的验收款（即￥</w:t>
      </w:r>
      <w:r>
        <w:rPr>
          <w:rFonts w:hint="eastAsia" w:asciiTheme="majorEastAsia" w:hAnsiTheme="majorEastAsia" w:eastAsiaTheme="majorEastAsia"/>
          <w:sz w:val="24"/>
          <w:szCs w:val="24"/>
          <w:u w:val="single"/>
        </w:rPr>
        <w:t xml:space="preserve">      </w:t>
      </w:r>
      <w:r>
        <w:rPr>
          <w:rFonts w:hint="eastAsia" w:asciiTheme="majorEastAsia" w:hAnsiTheme="majorEastAsia" w:eastAsiaTheme="majorEastAsia"/>
          <w:sz w:val="24"/>
          <w:szCs w:val="24"/>
        </w:rPr>
        <w:t>元）</w:t>
      </w:r>
      <w:r>
        <w:rPr>
          <w:rFonts w:hint="eastAsia" w:asciiTheme="majorEastAsia" w:hAnsiTheme="majorEastAsia" w:eastAsiaTheme="majorEastAsia"/>
          <w:sz w:val="24"/>
        </w:rPr>
        <w:t>；</w:t>
      </w:r>
    </w:p>
    <w:p w14:paraId="4248C386">
      <w:pPr>
        <w:spacing w:line="360" w:lineRule="auto"/>
        <w:ind w:firstLine="240" w:firstLineChars="100"/>
        <w:rPr>
          <w:sz w:val="24"/>
          <w:szCs w:val="24"/>
          <w:lang w:eastAsia="zh-CN"/>
        </w:rPr>
      </w:pPr>
      <w:r>
        <w:rPr>
          <w:rFonts w:hint="eastAsia" w:asciiTheme="majorEastAsia" w:hAnsiTheme="majorEastAsia" w:eastAsiaTheme="majorEastAsia"/>
          <w:sz w:val="24"/>
          <w:lang w:eastAsia="zh-CN"/>
        </w:rPr>
        <w:t>3.</w:t>
      </w:r>
      <w:r>
        <w:rPr>
          <w:rFonts w:hint="eastAsia" w:asciiTheme="majorEastAsia" w:hAnsiTheme="majorEastAsia" w:eastAsiaTheme="majorEastAsia"/>
          <w:sz w:val="24"/>
          <w:lang w:val="en-US" w:eastAsia="zh-CN"/>
        </w:rPr>
        <w:t>3</w:t>
      </w:r>
      <w:r>
        <w:rPr>
          <w:rFonts w:hint="eastAsia"/>
          <w:sz w:val="24"/>
          <w:szCs w:val="24"/>
          <w:lang w:eastAsia="zh-CN"/>
        </w:rPr>
        <w:t>质保款：合同总价10%作为质保款，质保期为12个月，期满后无任何质量问题，甲方20个工作日内无息返还。</w:t>
      </w:r>
    </w:p>
    <w:p w14:paraId="14BA6695">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3.</w:t>
      </w:r>
      <w:r>
        <w:rPr>
          <w:rFonts w:hint="eastAsia" w:asciiTheme="majorEastAsia" w:hAnsiTheme="majorEastAsia" w:eastAsiaTheme="majorEastAsia"/>
          <w:sz w:val="24"/>
          <w:lang w:val="en-US" w:eastAsia="zh-CN"/>
        </w:rPr>
        <w:t>4</w:t>
      </w:r>
      <w:r>
        <w:rPr>
          <w:rFonts w:hint="eastAsia" w:asciiTheme="majorEastAsia" w:hAnsiTheme="majorEastAsia" w:eastAsiaTheme="majorEastAsia"/>
          <w:sz w:val="24"/>
          <w:lang w:eastAsia="zh-CN"/>
        </w:rPr>
        <w:t xml:space="preserve"> </w:t>
      </w:r>
      <w:r>
        <w:rPr>
          <w:rFonts w:hint="eastAsia" w:asciiTheme="majorEastAsia" w:hAnsiTheme="majorEastAsia" w:eastAsiaTheme="majorEastAsia"/>
          <w:sz w:val="24"/>
          <w:szCs w:val="24"/>
          <w:lang w:eastAsia="zh-CN"/>
        </w:rPr>
        <w:t>参选保证金将在合同签订后自动转为履约保证金，将于合同周期完成后1</w:t>
      </w:r>
      <w:r>
        <w:rPr>
          <w:rFonts w:asciiTheme="majorEastAsia" w:hAnsiTheme="majorEastAsia" w:eastAsiaTheme="majorEastAsia"/>
          <w:sz w:val="24"/>
          <w:szCs w:val="24"/>
          <w:lang w:eastAsia="zh-CN"/>
        </w:rPr>
        <w:t>5</w:t>
      </w:r>
      <w:r>
        <w:rPr>
          <w:rFonts w:hint="eastAsia" w:asciiTheme="majorEastAsia" w:hAnsiTheme="majorEastAsia" w:eastAsiaTheme="majorEastAsia"/>
          <w:sz w:val="24"/>
          <w:szCs w:val="24"/>
          <w:lang w:eastAsia="zh-CN"/>
        </w:rPr>
        <w:t>个工作日内，甲方无息退还履约保证金。</w:t>
      </w:r>
    </w:p>
    <w:p w14:paraId="0C69B762">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说明：如未来国家税率变动，应在不含税金额的基础上以新税率调整含税金额后进行付款。</w:t>
      </w:r>
    </w:p>
    <w:p w14:paraId="42BDF226">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4、质量要求和技术标准</w:t>
      </w:r>
    </w:p>
    <w:p w14:paraId="344E26F5">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4.1 乙方所提供的货物必须是原包装（含货物质量合格证书）产品，质量必须符合国家标准或行业标准以及原厂出厂标准（以说明书为准），如产品不符合本合同中约定的要求，甲方有权拒绝接受。</w:t>
      </w:r>
    </w:p>
    <w:p w14:paraId="361A17A1">
      <w:pPr>
        <w:pStyle w:val="21"/>
        <w:spacing w:line="360" w:lineRule="auto"/>
        <w:ind w:firstLine="240" w:firstLineChars="100"/>
        <w:rPr>
          <w:sz w:val="24"/>
          <w:szCs w:val="24"/>
        </w:rPr>
      </w:pPr>
      <w:r>
        <w:rPr>
          <w:rFonts w:hint="eastAsia"/>
          <w:sz w:val="24"/>
          <w:szCs w:val="24"/>
        </w:rPr>
        <w:t>4.2</w:t>
      </w:r>
      <w:r>
        <w:rPr>
          <w:rFonts w:hint="eastAsia" w:asciiTheme="majorEastAsia" w:hAnsiTheme="majorEastAsia" w:eastAsiaTheme="majorEastAsia"/>
          <w:sz w:val="24"/>
        </w:rPr>
        <w:t>乙方应保证货物是全新、未使用过的合格正品，并完全符合合同规定的质量、规格和性能的要求。乙方应保证其提供的货物在正确安装、正常使用和保养条件下，在其使用寿命内具有良好的性能。在质量保证期（质量保证期自货物验收合格之日起计算</w:t>
      </w:r>
      <w:r>
        <w:rPr>
          <w:rFonts w:hint="eastAsia" w:asciiTheme="majorEastAsia" w:hAnsiTheme="majorEastAsia" w:eastAsiaTheme="majorEastAsia"/>
          <w:sz w:val="24"/>
          <w:u w:val="single"/>
        </w:rPr>
        <w:t>12个月</w:t>
      </w:r>
      <w:r>
        <w:rPr>
          <w:rFonts w:hint="eastAsia" w:asciiTheme="majorEastAsia" w:hAnsiTheme="majorEastAsia" w:eastAsiaTheme="majorEastAsia"/>
          <w:sz w:val="24"/>
        </w:rPr>
        <w:t>）内，乙方应当对其交付的产品承担质量保证责任，所需费用由乙方承担。</w:t>
      </w:r>
    </w:p>
    <w:p w14:paraId="24D3AFB0">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  4.3 除合同另有规定外，乙方提供的全部货物均应按甲方要求的标准采取保护措施进行包装。该包装应适应于远距离运输、防潮、防震、防锈和防野蛮装卸，以确保货物安全无损运抵指定地点。由于包装不善所引起货物损失均由乙方承担。</w:t>
      </w:r>
    </w:p>
    <w:p w14:paraId="4A44EBDC">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  4.4 乙方不按本合同约定交付产品所产生的任何费用由乙方自己承担。</w:t>
      </w:r>
    </w:p>
    <w:p w14:paraId="4254A451">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5、安装调试、技术服务、人员培训及技术资料</w:t>
      </w:r>
    </w:p>
    <w:p w14:paraId="00681933">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5.1乙方为甲方提供下列服务（具体以在□内打“√”为准）</w:t>
      </w:r>
    </w:p>
    <w:p w14:paraId="6C5B1B59">
      <w:pPr>
        <w:spacing w:line="360" w:lineRule="auto"/>
        <w:ind w:firstLine="480" w:firstLineChars="200"/>
        <w:rPr>
          <w:rFonts w:asciiTheme="majorEastAsia" w:hAnsiTheme="majorEastAsia" w:eastAsiaTheme="majorEastAsia"/>
          <w:sz w:val="24"/>
          <w:u w:val="single"/>
          <w:lang w:eastAsia="zh-CN"/>
        </w:rPr>
      </w:pPr>
      <w:sdt>
        <w:sdtPr>
          <w:rPr>
            <w:rFonts w:hint="eastAsia" w:asciiTheme="majorEastAsia" w:hAnsiTheme="majorEastAsia" w:eastAsiaTheme="majorEastAsia"/>
            <w:sz w:val="24"/>
          </w:rPr>
          <w:id w:val="-22404436"/>
        </w:sdtPr>
        <w:sdtEndPr>
          <w:rPr>
            <w:rFonts w:hint="eastAsia" w:asciiTheme="majorEastAsia" w:hAnsiTheme="majorEastAsia" w:eastAsiaTheme="majorEastAsia"/>
            <w:sz w:val="24"/>
          </w:rPr>
        </w:sdtEndPr>
        <w:sdtContent>
          <w:r>
            <w:rPr>
              <w:rFonts w:hint="eastAsia" w:asciiTheme="majorEastAsia" w:hAnsiTheme="majorEastAsia" w:eastAsiaTheme="majorEastAsia"/>
              <w:sz w:val="24"/>
              <w:lang w:eastAsia="zh-CN"/>
            </w:rPr>
            <w:t>√</w:t>
          </w:r>
        </w:sdtContent>
      </w:sdt>
      <w:r>
        <w:rPr>
          <w:rFonts w:hint="eastAsia" w:asciiTheme="majorEastAsia" w:hAnsiTheme="majorEastAsia" w:eastAsiaTheme="majorEastAsia"/>
          <w:sz w:val="24"/>
          <w:lang w:eastAsia="zh-CN"/>
        </w:rPr>
        <w:t>安装调试：</w:t>
      </w:r>
      <w:r>
        <w:rPr>
          <w:rFonts w:hint="eastAsia" w:asciiTheme="majorEastAsia" w:hAnsiTheme="majorEastAsia" w:eastAsiaTheme="majorEastAsia"/>
          <w:sz w:val="24"/>
          <w:u w:val="single"/>
          <w:lang w:eastAsia="zh-CN"/>
        </w:rPr>
        <w:t xml:space="preserve">  有   </w:t>
      </w:r>
    </w:p>
    <w:p w14:paraId="47C05F73">
      <w:pPr>
        <w:spacing w:line="360" w:lineRule="auto"/>
        <w:ind w:firstLine="480" w:firstLineChars="200"/>
        <w:rPr>
          <w:rFonts w:asciiTheme="majorEastAsia" w:hAnsiTheme="majorEastAsia" w:eastAsiaTheme="majorEastAsia"/>
          <w:sz w:val="24"/>
          <w:lang w:eastAsia="zh-CN"/>
        </w:rPr>
      </w:pPr>
      <w:sdt>
        <w:sdtPr>
          <w:rPr>
            <w:rFonts w:hint="eastAsia" w:asciiTheme="majorEastAsia" w:hAnsiTheme="majorEastAsia" w:eastAsiaTheme="majorEastAsia"/>
            <w:sz w:val="24"/>
          </w:rPr>
          <w:id w:val="-1019545688"/>
        </w:sdtPr>
        <w:sdtEndPr>
          <w:rPr>
            <w:rFonts w:hint="eastAsia" w:asciiTheme="majorEastAsia" w:hAnsiTheme="majorEastAsia" w:eastAsiaTheme="majorEastAsia"/>
            <w:sz w:val="24"/>
          </w:rPr>
        </w:sdtEndPr>
        <w:sdtContent>
          <w:sdt>
            <w:sdtPr>
              <w:rPr>
                <w:rFonts w:hint="eastAsia" w:asciiTheme="majorEastAsia" w:hAnsiTheme="majorEastAsia" w:eastAsiaTheme="majorEastAsia"/>
                <w:sz w:val="24"/>
              </w:rPr>
              <w:id w:val="22900620"/>
            </w:sdtPr>
            <w:sdtEndPr>
              <w:rPr>
                <w:rFonts w:hint="eastAsia" w:asciiTheme="majorEastAsia" w:hAnsiTheme="majorEastAsia" w:eastAsiaTheme="majorEastAsia"/>
                <w:sz w:val="24"/>
              </w:rPr>
            </w:sdtEndPr>
            <w:sdtContent>
              <w:r>
                <w:rPr>
                  <w:rFonts w:hint="eastAsia" w:asciiTheme="majorEastAsia" w:hAnsiTheme="majorEastAsia" w:eastAsiaTheme="majorEastAsia"/>
                  <w:sz w:val="24"/>
                  <w:lang w:eastAsia="zh-CN"/>
                </w:rPr>
                <w:t>√</w:t>
              </w:r>
            </w:sdtContent>
          </w:sdt>
        </w:sdtContent>
      </w:sdt>
      <w:r>
        <w:rPr>
          <w:rFonts w:hint="eastAsia" w:asciiTheme="majorEastAsia" w:hAnsiTheme="majorEastAsia" w:eastAsiaTheme="majorEastAsia"/>
          <w:sz w:val="24"/>
          <w:lang w:eastAsia="zh-CN"/>
        </w:rPr>
        <w:t>技术服务：</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有</w:t>
      </w:r>
      <w:r>
        <w:rPr>
          <w:rFonts w:asciiTheme="majorEastAsia" w:hAnsiTheme="majorEastAsia" w:eastAsiaTheme="majorEastAsia"/>
          <w:sz w:val="24"/>
          <w:u w:val="single"/>
          <w:lang w:eastAsia="zh-CN"/>
        </w:rPr>
        <w:t xml:space="preserve">    </w:t>
      </w:r>
    </w:p>
    <w:p w14:paraId="30F6C9A4">
      <w:pPr>
        <w:spacing w:line="360" w:lineRule="auto"/>
        <w:ind w:firstLine="480" w:firstLineChars="200"/>
        <w:rPr>
          <w:rFonts w:asciiTheme="majorEastAsia" w:hAnsiTheme="majorEastAsia" w:eastAsiaTheme="majorEastAsia"/>
          <w:sz w:val="24"/>
          <w:u w:val="single"/>
          <w:lang w:eastAsia="zh-CN"/>
        </w:rPr>
      </w:pPr>
      <w:sdt>
        <w:sdtPr>
          <w:rPr>
            <w:rFonts w:hint="eastAsia" w:asciiTheme="majorEastAsia" w:hAnsiTheme="majorEastAsia" w:eastAsiaTheme="majorEastAsia"/>
            <w:sz w:val="24"/>
          </w:rPr>
          <w:id w:val="1427537698"/>
        </w:sdtPr>
        <w:sdtEndPr>
          <w:rPr>
            <w:rFonts w:hint="eastAsia" w:asciiTheme="majorEastAsia" w:hAnsiTheme="majorEastAsia" w:eastAsiaTheme="majorEastAsia"/>
            <w:sz w:val="24"/>
          </w:rPr>
        </w:sdtEndPr>
        <w:sdtContent>
          <w:sdt>
            <w:sdtPr>
              <w:rPr>
                <w:rFonts w:hint="eastAsia" w:asciiTheme="majorEastAsia" w:hAnsiTheme="majorEastAsia" w:eastAsiaTheme="majorEastAsia"/>
                <w:sz w:val="24"/>
              </w:rPr>
              <w:id w:val="22900621"/>
            </w:sdtPr>
            <w:sdtEndPr>
              <w:rPr>
                <w:rFonts w:hint="eastAsia" w:asciiTheme="majorEastAsia" w:hAnsiTheme="majorEastAsia" w:eastAsiaTheme="majorEastAsia"/>
                <w:sz w:val="24"/>
              </w:rPr>
            </w:sdtEndPr>
            <w:sdtContent>
              <w:r>
                <w:rPr>
                  <w:rFonts w:hint="eastAsia" w:asciiTheme="majorEastAsia" w:hAnsiTheme="majorEastAsia" w:eastAsiaTheme="majorEastAsia"/>
                  <w:sz w:val="24"/>
                  <w:lang w:eastAsia="zh-CN"/>
                </w:rPr>
                <w:t>√</w:t>
              </w:r>
            </w:sdtContent>
          </w:sdt>
        </w:sdtContent>
      </w:sdt>
      <w:r>
        <w:rPr>
          <w:rFonts w:hint="eastAsia" w:asciiTheme="majorEastAsia" w:hAnsiTheme="majorEastAsia" w:eastAsiaTheme="majorEastAsia"/>
          <w:sz w:val="24"/>
          <w:lang w:eastAsia="zh-CN"/>
        </w:rPr>
        <w:t>人员培训：</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有</w:t>
      </w:r>
      <w:r>
        <w:rPr>
          <w:rFonts w:asciiTheme="majorEastAsia" w:hAnsiTheme="majorEastAsia" w:eastAsiaTheme="majorEastAsia"/>
          <w:sz w:val="24"/>
          <w:u w:val="single"/>
          <w:lang w:eastAsia="zh-CN"/>
        </w:rPr>
        <w:t xml:space="preserve">  </w:t>
      </w:r>
    </w:p>
    <w:p w14:paraId="5EC4DD07">
      <w:pPr>
        <w:spacing w:line="360" w:lineRule="auto"/>
        <w:ind w:firstLine="480" w:firstLineChars="200"/>
        <w:rPr>
          <w:rFonts w:asciiTheme="majorEastAsia" w:hAnsiTheme="majorEastAsia" w:eastAsiaTheme="majorEastAsia"/>
          <w:sz w:val="24"/>
          <w:lang w:eastAsia="zh-CN"/>
        </w:rPr>
      </w:pPr>
      <w:sdt>
        <w:sdtPr>
          <w:rPr>
            <w:rFonts w:hint="eastAsia" w:asciiTheme="majorEastAsia" w:hAnsiTheme="majorEastAsia" w:eastAsiaTheme="majorEastAsia"/>
            <w:sz w:val="24"/>
          </w:rPr>
          <w:id w:val="-1252738078"/>
        </w:sdtPr>
        <w:sdtEndPr>
          <w:rPr>
            <w:rFonts w:hint="eastAsia" w:asciiTheme="majorEastAsia" w:hAnsiTheme="majorEastAsia" w:eastAsiaTheme="majorEastAsia"/>
            <w:sz w:val="24"/>
          </w:rPr>
        </w:sdtEndPr>
        <w:sdtContent>
          <w:sdt>
            <w:sdtPr>
              <w:rPr>
                <w:rFonts w:hint="eastAsia" w:asciiTheme="majorEastAsia" w:hAnsiTheme="majorEastAsia" w:eastAsiaTheme="majorEastAsia"/>
                <w:sz w:val="24"/>
              </w:rPr>
              <w:id w:val="22900622"/>
            </w:sdtPr>
            <w:sdtEndPr>
              <w:rPr>
                <w:rFonts w:hint="eastAsia" w:asciiTheme="majorEastAsia" w:hAnsiTheme="majorEastAsia" w:eastAsiaTheme="majorEastAsia"/>
                <w:sz w:val="24"/>
              </w:rPr>
            </w:sdtEndPr>
            <w:sdtContent>
              <w:r>
                <w:rPr>
                  <w:rFonts w:hint="eastAsia" w:asciiTheme="majorEastAsia" w:hAnsiTheme="majorEastAsia" w:eastAsiaTheme="majorEastAsia"/>
                  <w:sz w:val="24"/>
                  <w:lang w:eastAsia="zh-CN"/>
                </w:rPr>
                <w:t>√</w:t>
              </w:r>
            </w:sdtContent>
          </w:sdt>
        </w:sdtContent>
      </w:sdt>
      <w:r>
        <w:rPr>
          <w:rFonts w:hint="eastAsia" w:asciiTheme="majorEastAsia" w:hAnsiTheme="majorEastAsia" w:eastAsiaTheme="majorEastAsia"/>
          <w:sz w:val="24"/>
          <w:lang w:eastAsia="zh-CN"/>
        </w:rPr>
        <w:t>技术资料：</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有</w:t>
      </w:r>
      <w:r>
        <w:rPr>
          <w:rFonts w:asciiTheme="majorEastAsia" w:hAnsiTheme="majorEastAsia" w:eastAsiaTheme="majorEastAsia"/>
          <w:sz w:val="24"/>
          <w:u w:val="single"/>
          <w:lang w:eastAsia="zh-CN"/>
        </w:rPr>
        <w:t xml:space="preserve">  </w:t>
      </w:r>
    </w:p>
    <w:p w14:paraId="7F7D7634">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6、验收</w:t>
      </w:r>
    </w:p>
    <w:p w14:paraId="5ECE5241">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  6.1 到货验收包括：按照“发包说明”要求，检查设备型号、规格、数量、外观质量、及货物包装是否完好。</w:t>
      </w:r>
    </w:p>
    <w:p w14:paraId="70F2EC50">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  6.2 乙方对一次开箱不合格（产品有质量故障）的产品予以换新，承担一切与之有关的费用。</w:t>
      </w:r>
    </w:p>
    <w:p w14:paraId="64F94A57">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  6.3 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3F503F3E">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6.4 产品无需安装调试的，到货开箱验收合格视为产品验收合格；产品需安装调试的，调试验收合格视为产品验收合格。但无论采取何种验收方式，均不免除乙方按照本合同约定应承担的质量保证责任。</w:t>
      </w:r>
    </w:p>
    <w:p w14:paraId="039DE998">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7、质量保证</w:t>
      </w:r>
    </w:p>
    <w:p w14:paraId="323C919C">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    除本合同另有约定外，本合同产品售后服务按厂家标准提供有关质量保证和售后服务的承诺执行，国家有规定的按国家规定执行。</w:t>
      </w:r>
    </w:p>
    <w:p w14:paraId="49F015FB">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8、违约责任</w:t>
      </w:r>
    </w:p>
    <w:p w14:paraId="34C164C1">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  8.1 乙方逾期完成工作的，每日按照合同总额的</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0.1</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lang w:eastAsia="zh-CN"/>
        </w:rPr>
        <w:t>%向甲方支付违约金，逾期超过</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20</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lang w:eastAsia="zh-CN"/>
        </w:rPr>
        <w:t>日的，甲方还有权解除合同，并要求乙方一次性支付合同总额</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20</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lang w:eastAsia="zh-CN"/>
        </w:rPr>
        <w:t>%的违约金。乙方部分交货不合格的，均按照逾期交货处理。</w:t>
      </w:r>
    </w:p>
    <w:p w14:paraId="36A34DBB">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  8.2 乙方交付的产品经甲方验收不合格的，应根据甲方要求进行更换或采取其他补救措施。累计</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3</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lang w:eastAsia="zh-CN"/>
        </w:rPr>
        <w:t>次验收不合格的，甲方还有权解除合同、拒绝支付任何费用。</w:t>
      </w:r>
    </w:p>
    <w:p w14:paraId="7D4D7338">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  8.3 </w:t>
      </w:r>
      <w:r>
        <w:rPr>
          <w:rFonts w:hint="eastAsia"/>
          <w:sz w:val="24"/>
          <w:szCs w:val="24"/>
          <w:lang w:eastAsia="zh-CN"/>
        </w:rPr>
        <w:t>如甲方逾期付款，应按全国银行间同业拆借中心公布的贷款市场报价利率向乙方支付利息</w:t>
      </w:r>
      <w:r>
        <w:rPr>
          <w:rFonts w:hint="eastAsia"/>
          <w:sz w:val="24"/>
          <w:lang w:eastAsia="zh-CN"/>
        </w:rPr>
        <w:t>。</w:t>
      </w:r>
    </w:p>
    <w:p w14:paraId="520F29BC">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8.4 一方的违约行为给对方造成的损失超过本合同约定的违约金数额的，超出部分，违约方应予以赔偿。</w:t>
      </w:r>
    </w:p>
    <w:p w14:paraId="04D2A70E">
      <w:pPr>
        <w:pStyle w:val="21"/>
        <w:spacing w:line="360" w:lineRule="auto"/>
        <w:ind w:firstLine="240" w:firstLineChars="100"/>
        <w:rPr>
          <w:sz w:val="24"/>
          <w:szCs w:val="24"/>
        </w:rPr>
      </w:pPr>
      <w:r>
        <w:rPr>
          <w:rFonts w:hint="eastAsia"/>
          <w:sz w:val="24"/>
          <w:szCs w:val="24"/>
        </w:rPr>
        <w:t>8.5甲方已就本合同项下涉及乙方重大利害关系的条款向乙方作出详细说明，乙方充分理解上述条款含义，并自愿签订本合同。</w:t>
      </w:r>
    </w:p>
    <w:p w14:paraId="15641E10">
      <w:pPr>
        <w:spacing w:line="360" w:lineRule="auto"/>
        <w:ind w:firstLine="120" w:firstLineChars="5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9、法律的适用及争议解决方式</w:t>
      </w:r>
    </w:p>
    <w:p w14:paraId="5829347F">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9.1、本合同的效力、解释及履行均适用中华人民共和国法律。</w:t>
      </w:r>
    </w:p>
    <w:p w14:paraId="3FBD7BC4">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9.2、因本合同履行过程中引起的任何争议，双方应及时友好协商解决。协商不成的，向甲方所在地的人民法院提起诉讼。</w:t>
      </w:r>
    </w:p>
    <w:p w14:paraId="714DFD69">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10、 合同变更与解除： </w:t>
      </w:r>
    </w:p>
    <w:p w14:paraId="641B951E">
      <w:pPr>
        <w:spacing w:line="360" w:lineRule="auto"/>
        <w:ind w:firstLine="360" w:firstLineChars="15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除本合同另有约定或法律规定外，非经双方协商一致，任何一方均不得擅自变更或解除合同。合同变更或解除须采取书面形式。</w:t>
      </w:r>
    </w:p>
    <w:p w14:paraId="332B78E1">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11、通知</w:t>
      </w:r>
    </w:p>
    <w:p w14:paraId="36D37945">
      <w:pPr>
        <w:spacing w:line="360" w:lineRule="auto"/>
        <w:ind w:firstLine="480" w:firstLineChars="2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34CEE43B">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12、本合同一式陆份，经双方盖章后生效，甲方执肆份、乙方执贰份，合同与附件具有同等效力。</w:t>
      </w:r>
    </w:p>
    <w:p w14:paraId="68653C19">
      <w:pPr>
        <w:pStyle w:val="21"/>
        <w:spacing w:line="360" w:lineRule="auto"/>
        <w:rPr>
          <w:sz w:val="24"/>
          <w:szCs w:val="24"/>
        </w:rPr>
      </w:pPr>
      <w:r>
        <w:rPr>
          <w:rFonts w:hint="eastAsia"/>
          <w:sz w:val="24"/>
          <w:szCs w:val="24"/>
        </w:rPr>
        <w:t>13、附件：</w:t>
      </w:r>
    </w:p>
    <w:p w14:paraId="1DC14C85">
      <w:pPr>
        <w:pStyle w:val="21"/>
        <w:spacing w:line="360" w:lineRule="auto"/>
        <w:rPr>
          <w:sz w:val="24"/>
          <w:szCs w:val="24"/>
        </w:rPr>
      </w:pPr>
    </w:p>
    <w:p w14:paraId="5EFD09F3">
      <w:pPr>
        <w:spacing w:line="360" w:lineRule="auto"/>
        <w:rPr>
          <w:sz w:val="24"/>
          <w:szCs w:val="24"/>
        </w:rPr>
      </w:pPr>
      <w:r>
        <w:rPr>
          <w:rFonts w:hint="eastAsia" w:cs="Arial"/>
          <w:b/>
          <w:sz w:val="24"/>
          <w:lang w:eastAsia="zh-CN"/>
        </w:rPr>
        <w:t>（本页为签署栏，无正文）</w:t>
      </w:r>
    </w:p>
    <w:p w14:paraId="1751A15A">
      <w:pPr>
        <w:pStyle w:val="21"/>
        <w:spacing w:line="360" w:lineRule="auto"/>
        <w:rPr>
          <w:sz w:val="24"/>
          <w:szCs w:val="24"/>
        </w:rPr>
      </w:pPr>
    </w:p>
    <w:tbl>
      <w:tblPr>
        <w:tblStyle w:val="17"/>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60"/>
        <w:gridCol w:w="4821"/>
      </w:tblGrid>
      <w:tr w14:paraId="71C9F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3CF979F4">
            <w:pPr>
              <w:spacing w:line="360" w:lineRule="auto"/>
              <w:jc w:val="both"/>
              <w:rPr>
                <w:rFonts w:hint="default" w:asciiTheme="majorEastAsia" w:hAnsiTheme="majorEastAsia" w:eastAsiaTheme="majorEastAsia"/>
                <w:b/>
                <w:sz w:val="24"/>
                <w:lang w:val="en-US" w:eastAsia="zh-CN"/>
              </w:rPr>
            </w:pPr>
            <w:r>
              <w:rPr>
                <w:rFonts w:hint="eastAsia" w:asciiTheme="majorEastAsia" w:hAnsiTheme="majorEastAsia" w:eastAsiaTheme="majorEastAsia"/>
                <w:b/>
                <w:sz w:val="24"/>
                <w:lang w:eastAsia="zh-CN"/>
              </w:rPr>
              <w:t>甲方：</w:t>
            </w:r>
            <w:r>
              <w:rPr>
                <w:rFonts w:hint="eastAsia" w:asciiTheme="majorEastAsia" w:hAnsiTheme="majorEastAsia" w:eastAsiaTheme="majorEastAsia"/>
                <w:b/>
                <w:sz w:val="24"/>
                <w:lang w:val="en-US" w:eastAsia="zh-CN"/>
              </w:rPr>
              <w:t>福建福海创石油化工有限公司</w:t>
            </w:r>
          </w:p>
        </w:tc>
        <w:tc>
          <w:tcPr>
            <w:tcW w:w="4821" w:type="dxa"/>
            <w:vAlign w:val="center"/>
          </w:tcPr>
          <w:p w14:paraId="2E504249">
            <w:pPr>
              <w:spacing w:line="360" w:lineRule="auto"/>
              <w:jc w:val="both"/>
              <w:rPr>
                <w:rFonts w:asciiTheme="majorEastAsia" w:hAnsiTheme="majorEastAsia" w:eastAsiaTheme="majorEastAsia"/>
                <w:b/>
                <w:sz w:val="24"/>
                <w:lang w:eastAsia="zh-CN"/>
              </w:rPr>
            </w:pPr>
            <w:r>
              <w:rPr>
                <w:rFonts w:hint="eastAsia" w:asciiTheme="majorEastAsia" w:hAnsiTheme="majorEastAsia" w:eastAsiaTheme="majorEastAsia"/>
                <w:b/>
                <w:sz w:val="24"/>
                <w:lang w:eastAsia="zh-CN"/>
              </w:rPr>
              <w:t>乙方：</w:t>
            </w:r>
            <w:r>
              <w:rPr>
                <w:rFonts w:asciiTheme="majorEastAsia" w:hAnsiTheme="majorEastAsia" w:eastAsiaTheme="majorEastAsia"/>
                <w:b/>
                <w:sz w:val="24"/>
                <w:lang w:eastAsia="zh-CN"/>
              </w:rPr>
              <w:t xml:space="preserve"> </w:t>
            </w:r>
          </w:p>
        </w:tc>
      </w:tr>
      <w:tr w14:paraId="456D5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4" w:hRule="atLeast"/>
          <w:jc w:val="center"/>
        </w:trPr>
        <w:tc>
          <w:tcPr>
            <w:tcW w:w="4960" w:type="dxa"/>
            <w:vAlign w:val="center"/>
          </w:tcPr>
          <w:p w14:paraId="4AB99DC4">
            <w:pPr>
              <w:spacing w:line="360" w:lineRule="auto"/>
              <w:ind w:left="720" w:hanging="720" w:hangingChars="300"/>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地址：</w:t>
            </w:r>
          </w:p>
        </w:tc>
        <w:tc>
          <w:tcPr>
            <w:tcW w:w="4821" w:type="dxa"/>
            <w:vAlign w:val="center"/>
          </w:tcPr>
          <w:p w14:paraId="11F2CE49">
            <w:pPr>
              <w:spacing w:line="360" w:lineRule="auto"/>
              <w:ind w:left="720" w:hanging="720" w:hangingChars="300"/>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地址：</w:t>
            </w:r>
            <w:r>
              <w:rPr>
                <w:rFonts w:asciiTheme="majorEastAsia" w:hAnsiTheme="majorEastAsia" w:eastAsiaTheme="majorEastAsia"/>
                <w:sz w:val="24"/>
                <w:lang w:eastAsia="zh-CN"/>
              </w:rPr>
              <w:t xml:space="preserve"> </w:t>
            </w:r>
          </w:p>
        </w:tc>
      </w:tr>
      <w:tr w14:paraId="5E6DB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068D7A05">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rPr>
              <w:t>电话：</w:t>
            </w:r>
          </w:p>
        </w:tc>
        <w:tc>
          <w:tcPr>
            <w:tcW w:w="4821" w:type="dxa"/>
            <w:vAlign w:val="center"/>
          </w:tcPr>
          <w:p w14:paraId="736BD406">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rPr>
              <w:t>电话：</w:t>
            </w:r>
          </w:p>
        </w:tc>
      </w:tr>
      <w:tr w14:paraId="44E53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03CAD81B">
            <w:pPr>
              <w:spacing w:line="360" w:lineRule="auto"/>
              <w:ind w:left="1200" w:hanging="1200" w:hangingChars="500"/>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开户银行：</w:t>
            </w:r>
          </w:p>
        </w:tc>
        <w:tc>
          <w:tcPr>
            <w:tcW w:w="4821" w:type="dxa"/>
            <w:vAlign w:val="center"/>
          </w:tcPr>
          <w:p w14:paraId="350BD8D8">
            <w:pPr>
              <w:spacing w:line="360" w:lineRule="auto"/>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开户银行：</w:t>
            </w:r>
            <w:r>
              <w:rPr>
                <w:rFonts w:asciiTheme="majorEastAsia" w:hAnsiTheme="majorEastAsia" w:eastAsiaTheme="majorEastAsia"/>
                <w:sz w:val="24"/>
                <w:lang w:eastAsia="zh-CN"/>
              </w:rPr>
              <w:t xml:space="preserve"> </w:t>
            </w:r>
          </w:p>
        </w:tc>
      </w:tr>
      <w:tr w14:paraId="6DD21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379FFA3F">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rPr>
              <w:t>账号：</w:t>
            </w:r>
          </w:p>
        </w:tc>
        <w:tc>
          <w:tcPr>
            <w:tcW w:w="4821" w:type="dxa"/>
            <w:vAlign w:val="center"/>
          </w:tcPr>
          <w:p w14:paraId="57B9C0F6">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rPr>
              <w:t>账号：</w:t>
            </w:r>
          </w:p>
        </w:tc>
      </w:tr>
      <w:tr w14:paraId="7F25F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1281A1A7">
            <w:pPr>
              <w:spacing w:line="360" w:lineRule="auto"/>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税号：</w:t>
            </w:r>
          </w:p>
        </w:tc>
        <w:tc>
          <w:tcPr>
            <w:tcW w:w="4821" w:type="dxa"/>
            <w:vAlign w:val="center"/>
          </w:tcPr>
          <w:p w14:paraId="6B23EDD5">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lang w:eastAsia="zh-CN"/>
              </w:rPr>
              <w:t>税号：</w:t>
            </w:r>
          </w:p>
        </w:tc>
      </w:tr>
    </w:tbl>
    <w:p w14:paraId="386AFC14">
      <w:pPr>
        <w:rPr>
          <w:rFonts w:hAnsi="Calibri" w:cs="Times New Roman"/>
          <w:b/>
          <w:bCs/>
          <w:sz w:val="32"/>
          <w:szCs w:val="32"/>
          <w:lang w:eastAsia="zh-CN"/>
        </w:rPr>
      </w:pPr>
    </w:p>
    <w:p w14:paraId="35CB86D4">
      <w:pPr>
        <w:pStyle w:val="21"/>
        <w:rPr>
          <w:rFonts w:hint="eastAsia" w:ascii="宋体" w:hAnsi="宋体" w:eastAsia="宋体" w:cs="宋体"/>
          <w:b/>
          <w:sz w:val="30"/>
          <w:szCs w:val="30"/>
          <w:lang w:val="en-US" w:eastAsia="zh-CN" w:bidi="ar-SA"/>
        </w:rPr>
      </w:pPr>
    </w:p>
    <w:p w14:paraId="6A60713D">
      <w:pPr>
        <w:pStyle w:val="14"/>
        <w:jc w:val="both"/>
        <w:rPr>
          <w:rFonts w:hint="eastAsia" w:ascii="新宋体" w:hAnsi="新宋体" w:eastAsia="新宋体" w:cs="新宋体"/>
          <w:b/>
          <w:bCs/>
          <w:lang w:val="en-US" w:eastAsia="zh-CN"/>
        </w:rPr>
      </w:pPr>
    </w:p>
    <w:p w14:paraId="3A33DE3C">
      <w:pPr>
        <w:pStyle w:val="14"/>
        <w:jc w:val="both"/>
        <w:rPr>
          <w:rFonts w:hint="eastAsia" w:ascii="新宋体" w:hAnsi="新宋体" w:eastAsia="新宋体" w:cs="新宋体"/>
          <w:b/>
          <w:bCs/>
          <w:lang w:val="en-US" w:eastAsia="zh-CN"/>
        </w:rPr>
      </w:pPr>
    </w:p>
    <w:p w14:paraId="103B8DDF">
      <w:pPr>
        <w:pStyle w:val="14"/>
        <w:jc w:val="both"/>
        <w:rPr>
          <w:rFonts w:hint="eastAsia" w:ascii="新宋体" w:hAnsi="新宋体" w:eastAsia="新宋体" w:cs="新宋体"/>
          <w:b/>
          <w:bCs/>
          <w:lang w:val="en-US" w:eastAsia="zh-CN"/>
        </w:rPr>
      </w:pPr>
    </w:p>
    <w:p w14:paraId="16B1FB62">
      <w:pPr>
        <w:pStyle w:val="14"/>
        <w:jc w:val="both"/>
        <w:rPr>
          <w:rFonts w:hint="eastAsia" w:ascii="新宋体" w:hAnsi="新宋体" w:eastAsia="新宋体" w:cs="新宋体"/>
          <w:b/>
          <w:bCs/>
          <w:lang w:val="en-US" w:eastAsia="zh-CN"/>
        </w:rPr>
      </w:pPr>
    </w:p>
    <w:p w14:paraId="3C43F25F">
      <w:pPr>
        <w:pStyle w:val="14"/>
        <w:jc w:val="both"/>
        <w:rPr>
          <w:rFonts w:hint="eastAsia" w:ascii="新宋体" w:hAnsi="新宋体" w:eastAsia="新宋体" w:cs="新宋体"/>
          <w:b/>
          <w:bCs/>
          <w:lang w:val="en-US" w:eastAsia="zh-CN"/>
        </w:rPr>
      </w:pPr>
    </w:p>
    <w:p w14:paraId="2BD471FC">
      <w:pPr>
        <w:pStyle w:val="14"/>
        <w:jc w:val="both"/>
        <w:rPr>
          <w:rFonts w:hint="eastAsia" w:ascii="新宋体" w:hAnsi="新宋体" w:eastAsia="新宋体" w:cs="新宋体"/>
          <w:b/>
          <w:bCs/>
          <w:lang w:val="en-US" w:eastAsia="zh-CN"/>
        </w:rPr>
      </w:pPr>
    </w:p>
    <w:p w14:paraId="7A08B079">
      <w:pPr>
        <w:pStyle w:val="14"/>
        <w:jc w:val="both"/>
        <w:rPr>
          <w:rFonts w:hint="eastAsia" w:ascii="新宋体" w:hAnsi="新宋体" w:eastAsia="新宋体" w:cs="新宋体"/>
          <w:b/>
          <w:bCs/>
          <w:lang w:val="en-US" w:eastAsia="zh-CN"/>
        </w:rPr>
      </w:pPr>
    </w:p>
    <w:p w14:paraId="205603F4">
      <w:pPr>
        <w:pStyle w:val="14"/>
        <w:jc w:val="both"/>
        <w:rPr>
          <w:rFonts w:hint="eastAsia" w:ascii="新宋体" w:hAnsi="新宋体" w:eastAsia="新宋体" w:cs="新宋体"/>
          <w:b/>
          <w:bCs/>
          <w:lang w:val="en-US" w:eastAsia="zh-CN"/>
        </w:rPr>
      </w:pPr>
    </w:p>
    <w:p w14:paraId="2D78E056">
      <w:pPr>
        <w:pStyle w:val="14"/>
        <w:jc w:val="both"/>
        <w:rPr>
          <w:rFonts w:hint="eastAsia" w:ascii="新宋体" w:hAnsi="新宋体" w:eastAsia="新宋体" w:cs="新宋体"/>
          <w:b/>
          <w:bCs/>
          <w:lang w:val="en-US" w:eastAsia="zh-CN"/>
        </w:rPr>
      </w:pPr>
    </w:p>
    <w:p w14:paraId="19DAC836">
      <w:pPr>
        <w:pStyle w:val="14"/>
        <w:jc w:val="both"/>
        <w:rPr>
          <w:rFonts w:hint="eastAsia" w:ascii="新宋体" w:hAnsi="新宋体" w:eastAsia="新宋体" w:cs="新宋体"/>
          <w:b/>
          <w:bCs/>
          <w:lang w:val="en-US" w:eastAsia="zh-CN"/>
        </w:rPr>
      </w:pPr>
    </w:p>
    <w:p w14:paraId="25A5F1FC">
      <w:pPr>
        <w:pStyle w:val="14"/>
        <w:jc w:val="both"/>
        <w:rPr>
          <w:rFonts w:hint="eastAsia" w:ascii="新宋体" w:hAnsi="新宋体" w:eastAsia="新宋体" w:cs="新宋体"/>
          <w:b/>
          <w:bCs/>
          <w:lang w:val="en-US" w:eastAsia="zh-CN"/>
        </w:rPr>
      </w:pPr>
      <w:r>
        <w:rPr>
          <w:rFonts w:hint="eastAsia" w:ascii="新宋体" w:hAnsi="新宋体" w:eastAsia="新宋体" w:cs="新宋体"/>
          <w:b/>
          <w:bCs/>
          <w:lang w:val="en-US" w:eastAsia="zh-CN"/>
        </w:rPr>
        <w:t>附件二：</w:t>
      </w:r>
    </w:p>
    <w:p w14:paraId="54B03604">
      <w:pPr>
        <w:pBdr>
          <w:top w:val="none" w:color="000000" w:sz="0" w:space="0"/>
          <w:left w:val="none" w:color="000000" w:sz="0" w:space="0"/>
          <w:bottom w:val="none" w:color="000000" w:sz="0" w:space="0"/>
          <w:right w:val="none" w:color="000000" w:sz="0" w:space="0"/>
        </w:pBdr>
        <w:tabs>
          <w:tab w:val="left" w:pos="3841"/>
        </w:tabs>
        <w:spacing w:after="0" w:line="239" w:lineRule="atLeast"/>
        <w:jc w:val="center"/>
        <w:rPr>
          <w:highlight w:val="none"/>
        </w:rPr>
      </w:pPr>
      <w:bookmarkStart w:id="1" w:name="_Toc176693725"/>
      <w:bookmarkStart w:id="2" w:name="_Toc176690919"/>
      <w:bookmarkStart w:id="3" w:name="_Toc21119"/>
      <w:r>
        <w:rPr>
          <w:rFonts w:hint="eastAsia" w:eastAsia="宋体"/>
          <w:highlight w:val="none"/>
          <w:lang w:eastAsia="zh-CN"/>
        </w:rPr>
        <w:drawing>
          <wp:inline distT="0" distB="0" distL="114300" distR="114300">
            <wp:extent cx="4291965" cy="608330"/>
            <wp:effectExtent l="0" t="0" r="13335" b="1270"/>
            <wp:docPr id="3" name="图片 1" descr="35edb25b9a104dde0bf4375d7f498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35edb25b9a104dde0bf4375d7f4982b"/>
                    <pic:cNvPicPr>
                      <a:picLocks noChangeAspect="1"/>
                    </pic:cNvPicPr>
                  </pic:nvPicPr>
                  <pic:blipFill>
                    <a:blip r:embed="rId10"/>
                    <a:stretch>
                      <a:fillRect/>
                    </a:stretch>
                  </pic:blipFill>
                  <pic:spPr>
                    <a:xfrm>
                      <a:off x="0" y="0"/>
                      <a:ext cx="4291965" cy="608330"/>
                    </a:xfrm>
                    <a:prstGeom prst="rect">
                      <a:avLst/>
                    </a:prstGeom>
                    <a:noFill/>
                    <a:ln>
                      <a:noFill/>
                    </a:ln>
                  </pic:spPr>
                </pic:pic>
              </a:graphicData>
            </a:graphic>
          </wp:inline>
        </w:drawing>
      </w:r>
    </w:p>
    <w:p w14:paraId="43352D1F">
      <w:pPr>
        <w:pBdr>
          <w:top w:val="none" w:color="000000" w:sz="0" w:space="0"/>
          <w:left w:val="none" w:color="000000" w:sz="0" w:space="0"/>
          <w:bottom w:val="none" w:color="000000" w:sz="0" w:space="0"/>
          <w:right w:val="none" w:color="000000" w:sz="0" w:space="0"/>
        </w:pBdr>
        <w:spacing w:after="0" w:line="85" w:lineRule="atLeast"/>
        <w:jc w:val="center"/>
        <w:rPr>
          <w:rFonts w:hint="eastAsia" w:ascii="宋体" w:hAnsi="宋体" w:eastAsia="宋体" w:cs="宋体"/>
          <w:spacing w:val="20"/>
          <w:sz w:val="52"/>
          <w:highlight w:val="none"/>
          <w:lang w:val="en-US" w:eastAsia="zh-CN"/>
        </w:rPr>
      </w:pPr>
    </w:p>
    <w:p w14:paraId="06A64005">
      <w:pPr>
        <w:pBdr>
          <w:top w:val="none" w:color="000000" w:sz="0" w:space="0"/>
          <w:left w:val="none" w:color="000000" w:sz="0" w:space="0"/>
          <w:bottom w:val="none" w:color="000000" w:sz="0" w:space="0"/>
          <w:right w:val="none" w:color="000000" w:sz="0" w:space="0"/>
        </w:pBdr>
        <w:spacing w:after="0" w:line="85" w:lineRule="atLeast"/>
        <w:jc w:val="center"/>
        <w:rPr>
          <w:rFonts w:hint="eastAsia" w:ascii="宋体" w:hAnsi="宋体" w:eastAsia="宋体" w:cs="宋体"/>
          <w:spacing w:val="20"/>
          <w:sz w:val="52"/>
          <w:highlight w:val="none"/>
          <w:lang w:val="en-US" w:eastAsia="zh-CN"/>
        </w:rPr>
      </w:pPr>
    </w:p>
    <w:p w14:paraId="3A3983E6">
      <w:pPr>
        <w:pBdr>
          <w:top w:val="none" w:color="000000" w:sz="0" w:space="0"/>
          <w:left w:val="none" w:color="000000" w:sz="0" w:space="0"/>
          <w:bottom w:val="none" w:color="000000" w:sz="0" w:space="0"/>
          <w:right w:val="none" w:color="000000" w:sz="0" w:space="0"/>
        </w:pBdr>
        <w:spacing w:after="0" w:line="85" w:lineRule="atLeast"/>
        <w:jc w:val="center"/>
        <w:rPr>
          <w:rFonts w:hint="eastAsia" w:ascii="宋体" w:hAnsi="宋体" w:eastAsia="宋体" w:cs="宋体"/>
          <w:spacing w:val="20"/>
          <w:sz w:val="52"/>
          <w:highlight w:val="none"/>
          <w:lang w:val="en-US" w:eastAsia="zh-CN"/>
        </w:rPr>
      </w:pPr>
    </w:p>
    <w:p w14:paraId="4222DAF0">
      <w:pPr>
        <w:pBdr>
          <w:top w:val="none" w:color="000000" w:sz="0" w:space="0"/>
          <w:left w:val="none" w:color="000000" w:sz="0" w:space="0"/>
          <w:bottom w:val="none" w:color="000000" w:sz="0" w:space="0"/>
          <w:right w:val="none" w:color="000000" w:sz="0" w:space="0"/>
        </w:pBdr>
        <w:spacing w:after="0" w:line="480" w:lineRule="auto"/>
        <w:ind w:left="0" w:leftChars="0" w:firstLine="476" w:firstLineChars="85"/>
        <w:jc w:val="center"/>
        <w:rPr>
          <w:rFonts w:hint="eastAsia" w:ascii="宋体" w:hAnsi="宋体" w:eastAsia="宋体" w:cs="宋体"/>
          <w:spacing w:val="20"/>
          <w:sz w:val="52"/>
          <w:highlight w:val="none"/>
          <w:lang w:val="en-US" w:eastAsia="zh-CN"/>
        </w:rPr>
      </w:pPr>
      <w:r>
        <w:rPr>
          <w:rFonts w:hint="eastAsia" w:ascii="宋体" w:hAnsi="宋体" w:eastAsia="宋体" w:cs="宋体"/>
          <w:spacing w:val="20"/>
          <w:sz w:val="52"/>
          <w:highlight w:val="none"/>
          <w:lang w:val="en-US" w:eastAsia="zh-CN"/>
        </w:rPr>
        <w:t>福建福海创石油化工有限公司</w:t>
      </w:r>
    </w:p>
    <w:p w14:paraId="5CDB08D7">
      <w:pPr>
        <w:pBdr>
          <w:top w:val="none" w:color="000000" w:sz="0" w:space="0"/>
          <w:left w:val="none" w:color="000000" w:sz="0" w:space="0"/>
          <w:bottom w:val="none" w:color="000000" w:sz="0" w:space="0"/>
          <w:right w:val="none" w:color="000000" w:sz="0" w:space="0"/>
        </w:pBdr>
        <w:spacing w:after="0" w:line="480" w:lineRule="auto"/>
        <w:ind w:left="0" w:leftChars="0" w:firstLine="476" w:firstLineChars="85"/>
        <w:jc w:val="center"/>
        <w:rPr>
          <w:rFonts w:hint="eastAsia" w:ascii="宋体" w:hAnsi="宋体" w:eastAsia="宋体" w:cs="宋体"/>
          <w:spacing w:val="20"/>
          <w:sz w:val="52"/>
          <w:highlight w:val="none"/>
          <w:lang w:val="en-US" w:eastAsia="zh-CN"/>
        </w:rPr>
      </w:pPr>
      <w:r>
        <w:rPr>
          <w:rFonts w:hint="eastAsia" w:ascii="宋体" w:hAnsi="宋体" w:eastAsia="宋体" w:cs="宋体"/>
          <w:spacing w:val="20"/>
          <w:sz w:val="52"/>
          <w:highlight w:val="none"/>
          <w:lang w:val="en-US" w:eastAsia="zh-CN"/>
        </w:rPr>
        <w:t>机电离线监测设备采购与安装</w:t>
      </w:r>
    </w:p>
    <w:p w14:paraId="401C26F1">
      <w:pPr>
        <w:pBdr>
          <w:top w:val="none" w:color="000000" w:sz="0" w:space="0"/>
          <w:left w:val="none" w:color="000000" w:sz="0" w:space="0"/>
          <w:bottom w:val="none" w:color="000000" w:sz="0" w:space="0"/>
          <w:right w:val="none" w:color="000000" w:sz="0" w:space="0"/>
        </w:pBdr>
        <w:spacing w:after="0" w:line="480" w:lineRule="auto"/>
        <w:ind w:left="0" w:leftChars="0" w:firstLine="476" w:firstLineChars="85"/>
        <w:jc w:val="center"/>
        <w:rPr>
          <w:highlight w:val="none"/>
          <w:lang w:eastAsia="zh-CN"/>
        </w:rPr>
      </w:pPr>
      <w:r>
        <w:rPr>
          <w:rFonts w:hint="eastAsia" w:ascii="宋体" w:hAnsi="宋体" w:eastAsia="宋体" w:cs="宋体"/>
          <w:spacing w:val="20"/>
          <w:sz w:val="52"/>
          <w:highlight w:val="none"/>
          <w:lang w:val="en-US" w:eastAsia="zh-CN"/>
        </w:rPr>
        <w:t>发包文件</w:t>
      </w:r>
    </w:p>
    <w:p w14:paraId="5833A787">
      <w:pPr>
        <w:pBdr>
          <w:top w:val="none" w:color="000000" w:sz="0" w:space="0"/>
          <w:left w:val="none" w:color="000000" w:sz="0" w:space="0"/>
          <w:bottom w:val="none" w:color="000000" w:sz="0" w:space="0"/>
          <w:right w:val="none" w:color="000000" w:sz="0" w:space="0"/>
        </w:pBdr>
        <w:spacing w:after="0"/>
        <w:jc w:val="center"/>
        <w:rPr>
          <w:rFonts w:ascii="宋体" w:hAnsi="宋体" w:eastAsia="宋体" w:cs="宋体"/>
          <w:bCs/>
          <w:sz w:val="28"/>
          <w:highlight w:val="none"/>
          <w:lang w:eastAsia="zh-CN"/>
        </w:rPr>
      </w:pPr>
    </w:p>
    <w:p w14:paraId="73A98DCC">
      <w:pPr>
        <w:pBdr>
          <w:top w:val="none" w:color="000000" w:sz="0" w:space="0"/>
          <w:left w:val="none" w:color="000000" w:sz="0" w:space="0"/>
          <w:bottom w:val="none" w:color="000000" w:sz="0" w:space="0"/>
          <w:right w:val="none" w:color="000000" w:sz="0" w:space="0"/>
        </w:pBdr>
        <w:spacing w:after="0"/>
        <w:jc w:val="center"/>
        <w:rPr>
          <w:rFonts w:ascii="宋体" w:hAnsi="宋体" w:eastAsia="宋体" w:cs="宋体"/>
          <w:bCs/>
          <w:sz w:val="28"/>
          <w:highlight w:val="none"/>
          <w:lang w:eastAsia="zh-CN"/>
        </w:rPr>
      </w:pPr>
    </w:p>
    <w:p w14:paraId="347D1085">
      <w:pPr>
        <w:pBdr>
          <w:top w:val="none" w:color="000000" w:sz="0" w:space="0"/>
          <w:left w:val="none" w:color="000000" w:sz="0" w:space="0"/>
          <w:bottom w:val="none" w:color="000000" w:sz="0" w:space="0"/>
          <w:right w:val="none" w:color="000000" w:sz="0" w:space="0"/>
        </w:pBdr>
        <w:spacing w:after="0"/>
        <w:jc w:val="center"/>
        <w:rPr>
          <w:rFonts w:ascii="宋体" w:hAnsi="宋体" w:eastAsia="宋体" w:cs="宋体"/>
          <w:bCs/>
          <w:sz w:val="28"/>
          <w:highlight w:val="none"/>
          <w:lang w:eastAsia="zh-CN"/>
        </w:rPr>
      </w:pPr>
    </w:p>
    <w:p w14:paraId="7141E531">
      <w:pPr>
        <w:pBdr>
          <w:top w:val="none" w:color="000000" w:sz="0" w:space="0"/>
          <w:left w:val="none" w:color="000000" w:sz="0" w:space="0"/>
          <w:bottom w:val="none" w:color="000000" w:sz="0" w:space="0"/>
          <w:right w:val="none" w:color="000000" w:sz="0" w:space="0"/>
        </w:pBdr>
        <w:spacing w:after="0"/>
        <w:jc w:val="center"/>
        <w:rPr>
          <w:rFonts w:ascii="宋体" w:hAnsi="宋体" w:eastAsia="宋体" w:cs="宋体"/>
          <w:bCs/>
          <w:sz w:val="28"/>
          <w:highlight w:val="none"/>
          <w:lang w:eastAsia="zh-CN"/>
        </w:rPr>
      </w:pPr>
    </w:p>
    <w:p w14:paraId="43737D6A">
      <w:pPr>
        <w:widowControl w:val="0"/>
        <w:tabs>
          <w:tab w:val="left" w:pos="4052"/>
          <w:tab w:val="center" w:pos="4839"/>
        </w:tabs>
        <w:spacing w:after="0" w:line="360" w:lineRule="auto"/>
        <w:ind w:left="0" w:leftChars="0" w:firstLine="0" w:firstLineChars="0"/>
        <w:jc w:val="center"/>
        <w:rPr>
          <w:rFonts w:ascii="微软雅黑" w:hAnsi="微软雅黑" w:eastAsia="微软雅黑"/>
          <w:snapToGrid w:val="0"/>
          <w:kern w:val="2"/>
          <w:sz w:val="44"/>
          <w:szCs w:val="44"/>
          <w:highlight w:val="none"/>
          <w:lang w:val="zh-CN"/>
        </w:rPr>
      </w:pPr>
      <w:bookmarkStart w:id="4" w:name="_Toc255484444"/>
    </w:p>
    <w:p w14:paraId="4599F02A">
      <w:pPr>
        <w:widowControl w:val="0"/>
        <w:tabs>
          <w:tab w:val="left" w:pos="4052"/>
          <w:tab w:val="center" w:pos="4839"/>
        </w:tabs>
        <w:spacing w:after="0" w:line="360" w:lineRule="auto"/>
        <w:ind w:left="0" w:leftChars="0" w:firstLine="0" w:firstLineChars="0"/>
        <w:jc w:val="both"/>
        <w:rPr>
          <w:rFonts w:ascii="微软雅黑" w:hAnsi="微软雅黑" w:eastAsia="微软雅黑"/>
          <w:snapToGrid w:val="0"/>
          <w:kern w:val="2"/>
          <w:sz w:val="44"/>
          <w:szCs w:val="44"/>
          <w:highlight w:val="none"/>
          <w:lang w:val="zh-CN"/>
        </w:rPr>
      </w:pPr>
    </w:p>
    <w:p w14:paraId="34253A0B">
      <w:pPr>
        <w:widowControl w:val="0"/>
        <w:tabs>
          <w:tab w:val="left" w:pos="4052"/>
          <w:tab w:val="center" w:pos="4839"/>
        </w:tabs>
        <w:spacing w:after="0" w:line="360" w:lineRule="auto"/>
        <w:ind w:left="0" w:leftChars="0" w:firstLine="0" w:firstLineChars="0"/>
        <w:jc w:val="center"/>
        <w:rPr>
          <w:rFonts w:ascii="微软雅黑" w:hAnsi="微软雅黑" w:eastAsia="微软雅黑"/>
          <w:snapToGrid w:val="0"/>
          <w:kern w:val="2"/>
          <w:sz w:val="44"/>
          <w:szCs w:val="44"/>
          <w:highlight w:val="none"/>
          <w:lang w:val="zh-CN"/>
        </w:rPr>
      </w:pPr>
    </w:p>
    <w:p w14:paraId="13692492">
      <w:pPr>
        <w:widowControl w:val="0"/>
        <w:tabs>
          <w:tab w:val="left" w:pos="4052"/>
          <w:tab w:val="center" w:pos="4839"/>
        </w:tabs>
        <w:spacing w:after="0" w:line="360" w:lineRule="auto"/>
        <w:ind w:left="0" w:leftChars="0" w:firstLine="0" w:firstLineChars="0"/>
        <w:jc w:val="center"/>
        <w:rPr>
          <w:rFonts w:ascii="微软雅黑" w:hAnsi="微软雅黑" w:eastAsia="微软雅黑"/>
          <w:snapToGrid w:val="0"/>
          <w:kern w:val="2"/>
          <w:sz w:val="44"/>
          <w:szCs w:val="44"/>
          <w:highlight w:val="none"/>
          <w:lang w:val="zh-CN"/>
        </w:rPr>
      </w:pPr>
    </w:p>
    <w:p w14:paraId="56DC44F6">
      <w:pPr>
        <w:widowControl w:val="0"/>
        <w:tabs>
          <w:tab w:val="left" w:pos="4052"/>
          <w:tab w:val="center" w:pos="4839"/>
        </w:tabs>
        <w:spacing w:after="0" w:line="360" w:lineRule="auto"/>
        <w:ind w:left="0" w:leftChars="0" w:firstLine="0" w:firstLineChars="0"/>
        <w:jc w:val="center"/>
        <w:rPr>
          <w:rFonts w:ascii="微软雅黑" w:hAnsi="微软雅黑" w:eastAsia="微软雅黑" w:cs="Calibri"/>
          <w:bCs/>
          <w:caps/>
          <w:snapToGrid w:val="0"/>
          <w:kern w:val="2"/>
          <w:sz w:val="21"/>
          <w:szCs w:val="20"/>
          <w:highlight w:val="none"/>
          <w:lang w:val="en-US" w:eastAsia="zh-CN" w:bidi="ar-SA"/>
        </w:rPr>
      </w:pPr>
      <w:r>
        <w:rPr>
          <w:rFonts w:ascii="微软雅黑" w:hAnsi="微软雅黑" w:eastAsia="微软雅黑"/>
          <w:snapToGrid w:val="0"/>
          <w:kern w:val="2"/>
          <w:sz w:val="44"/>
          <w:szCs w:val="44"/>
          <w:highlight w:val="none"/>
          <w:lang w:val="zh-CN"/>
        </w:rPr>
        <w:t>目</w:t>
      </w:r>
      <w:r>
        <w:rPr>
          <w:rFonts w:hint="eastAsia" w:ascii="微软雅黑" w:hAnsi="微软雅黑" w:eastAsia="微软雅黑"/>
          <w:snapToGrid w:val="0"/>
          <w:kern w:val="2"/>
          <w:sz w:val="44"/>
          <w:szCs w:val="44"/>
          <w:highlight w:val="none"/>
          <w:lang w:val="zh-CN"/>
        </w:rPr>
        <w:t xml:space="preserve">  </w:t>
      </w:r>
      <w:r>
        <w:rPr>
          <w:rFonts w:ascii="微软雅黑" w:hAnsi="微软雅黑" w:eastAsia="微软雅黑"/>
          <w:snapToGrid w:val="0"/>
          <w:kern w:val="2"/>
          <w:sz w:val="44"/>
          <w:szCs w:val="44"/>
          <w:highlight w:val="none"/>
          <w:lang w:val="zh-CN"/>
        </w:rPr>
        <w:t>录</w:t>
      </w:r>
      <w:r>
        <w:rPr>
          <w:rFonts w:ascii="微软雅黑" w:hAnsi="微软雅黑" w:eastAsia="微软雅黑"/>
          <w:b/>
          <w:bCs/>
          <w:caps/>
          <w:snapToGrid w:val="0"/>
          <w:kern w:val="2"/>
          <w:sz w:val="21"/>
          <w:highlight w:val="none"/>
        </w:rPr>
        <w:fldChar w:fldCharType="begin"/>
      </w:r>
      <w:r>
        <w:rPr>
          <w:rFonts w:ascii="微软雅黑" w:hAnsi="微软雅黑" w:eastAsia="微软雅黑"/>
          <w:b/>
          <w:bCs/>
          <w:caps/>
          <w:snapToGrid w:val="0"/>
          <w:kern w:val="2"/>
          <w:sz w:val="21"/>
          <w:highlight w:val="none"/>
        </w:rPr>
        <w:instrText xml:space="preserve"> TOC \o "1-3" \h \z \u </w:instrText>
      </w:r>
      <w:r>
        <w:rPr>
          <w:rFonts w:ascii="微软雅黑" w:hAnsi="微软雅黑" w:eastAsia="微软雅黑"/>
          <w:b/>
          <w:bCs/>
          <w:caps/>
          <w:snapToGrid w:val="0"/>
          <w:kern w:val="2"/>
          <w:sz w:val="21"/>
          <w:highlight w:val="none"/>
        </w:rPr>
        <w:fldChar w:fldCharType="separate"/>
      </w:r>
    </w:p>
    <w:p w14:paraId="5CF9E3BD">
      <w:pPr>
        <w:pStyle w:val="11"/>
        <w:tabs>
          <w:tab w:val="right" w:leader="dot" w:pos="9258"/>
        </w:tabs>
        <w:ind w:left="0" w:leftChars="0" w:firstLine="0" w:firstLineChars="0"/>
        <w:rPr>
          <w:rFonts w:hint="eastAsia" w:ascii="宋体" w:hAnsi="宋体" w:eastAsia="宋体" w:cs="宋体"/>
        </w:rPr>
      </w:pPr>
      <w:r>
        <w:rPr>
          <w:rFonts w:hint="eastAsia" w:ascii="宋体" w:hAnsi="宋体" w:eastAsia="宋体" w:cs="宋体"/>
          <w:bCs w:val="0"/>
          <w:caps w:val="0"/>
          <w:snapToGrid w:val="0"/>
          <w:kern w:val="2"/>
          <w:szCs w:val="20"/>
          <w:highlight w:val="none"/>
        </w:rPr>
        <w:fldChar w:fldCharType="begin"/>
      </w:r>
      <w:r>
        <w:rPr>
          <w:rFonts w:hint="eastAsia" w:ascii="宋体" w:hAnsi="宋体" w:eastAsia="宋体" w:cs="宋体"/>
          <w:bCs w:val="0"/>
          <w:caps w:val="0"/>
          <w:snapToGrid w:val="0"/>
          <w:kern w:val="2"/>
          <w:szCs w:val="20"/>
          <w:highlight w:val="none"/>
        </w:rPr>
        <w:instrText xml:space="preserve"> HYPERLINK \l _Toc25733 </w:instrText>
      </w:r>
      <w:r>
        <w:rPr>
          <w:rFonts w:hint="eastAsia" w:ascii="宋体" w:hAnsi="宋体" w:eastAsia="宋体" w:cs="宋体"/>
          <w:bCs w:val="0"/>
          <w:caps w:val="0"/>
          <w:snapToGrid w:val="0"/>
          <w:kern w:val="2"/>
          <w:szCs w:val="20"/>
          <w:highlight w:val="none"/>
        </w:rPr>
        <w:fldChar w:fldCharType="separate"/>
      </w:r>
      <w:r>
        <w:rPr>
          <w:rFonts w:hint="eastAsia" w:ascii="宋体" w:hAnsi="宋体" w:eastAsia="宋体" w:cs="宋体"/>
          <w:szCs w:val="30"/>
          <w:highlight w:val="none"/>
        </w:rPr>
        <w:t>第一章 项目概述</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_Toc25733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bCs w:val="0"/>
          <w:caps w:val="0"/>
          <w:snapToGrid w:val="0"/>
          <w:kern w:val="2"/>
          <w:szCs w:val="20"/>
          <w:highlight w:val="none"/>
        </w:rPr>
        <w:fldChar w:fldCharType="end"/>
      </w:r>
    </w:p>
    <w:p w14:paraId="7A603D3D">
      <w:pPr>
        <w:pStyle w:val="11"/>
        <w:tabs>
          <w:tab w:val="right" w:leader="dot" w:pos="9258"/>
        </w:tabs>
        <w:ind w:left="0" w:leftChars="0" w:firstLine="0" w:firstLineChars="0"/>
        <w:rPr>
          <w:rFonts w:hint="eastAsia" w:ascii="宋体" w:hAnsi="宋体" w:eastAsia="宋体" w:cs="宋体"/>
        </w:rPr>
      </w:pPr>
      <w:r>
        <w:rPr>
          <w:rFonts w:hint="eastAsia" w:ascii="宋体" w:hAnsi="宋体" w:eastAsia="宋体" w:cs="宋体"/>
          <w:bCs w:val="0"/>
          <w:caps w:val="0"/>
          <w:snapToGrid w:val="0"/>
          <w:kern w:val="2"/>
          <w:szCs w:val="20"/>
          <w:highlight w:val="none"/>
        </w:rPr>
        <w:fldChar w:fldCharType="begin"/>
      </w:r>
      <w:r>
        <w:rPr>
          <w:rFonts w:hint="eastAsia" w:ascii="宋体" w:hAnsi="宋体" w:eastAsia="宋体" w:cs="宋体"/>
          <w:bCs w:val="0"/>
          <w:caps w:val="0"/>
          <w:snapToGrid w:val="0"/>
          <w:kern w:val="2"/>
          <w:szCs w:val="20"/>
          <w:highlight w:val="none"/>
        </w:rPr>
        <w:instrText xml:space="preserve"> HYPERLINK \l _Toc8026 </w:instrText>
      </w:r>
      <w:r>
        <w:rPr>
          <w:rFonts w:hint="eastAsia" w:ascii="宋体" w:hAnsi="宋体" w:eastAsia="宋体" w:cs="宋体"/>
          <w:bCs w:val="0"/>
          <w:caps w:val="0"/>
          <w:snapToGrid w:val="0"/>
          <w:kern w:val="2"/>
          <w:szCs w:val="20"/>
          <w:highlight w:val="none"/>
        </w:rPr>
        <w:fldChar w:fldCharType="separate"/>
      </w:r>
      <w:r>
        <w:rPr>
          <w:rFonts w:hint="eastAsia" w:ascii="宋体" w:hAnsi="宋体" w:eastAsia="宋体" w:cs="宋体"/>
          <w:bCs/>
          <w:szCs w:val="30"/>
          <w:highlight w:val="none"/>
          <w:lang w:val="en-US" w:eastAsia="zh-CN"/>
        </w:rPr>
        <w:t>第二章 采购范围</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_Toc8026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bCs w:val="0"/>
          <w:caps w:val="0"/>
          <w:snapToGrid w:val="0"/>
          <w:kern w:val="2"/>
          <w:szCs w:val="20"/>
          <w:highlight w:val="none"/>
        </w:rPr>
        <w:fldChar w:fldCharType="end"/>
      </w:r>
    </w:p>
    <w:p w14:paraId="2D4FB9E9">
      <w:pPr>
        <w:pStyle w:val="11"/>
        <w:tabs>
          <w:tab w:val="right" w:leader="dot" w:pos="9258"/>
        </w:tabs>
        <w:ind w:left="0" w:leftChars="0" w:firstLine="0" w:firstLineChars="0"/>
        <w:rPr>
          <w:rFonts w:hint="eastAsia" w:ascii="宋体" w:hAnsi="宋体" w:eastAsia="宋体" w:cs="宋体"/>
        </w:rPr>
      </w:pPr>
      <w:r>
        <w:rPr>
          <w:rFonts w:hint="eastAsia" w:ascii="宋体" w:hAnsi="宋体" w:eastAsia="宋体" w:cs="宋体"/>
          <w:bCs w:val="0"/>
          <w:caps w:val="0"/>
          <w:snapToGrid w:val="0"/>
          <w:kern w:val="2"/>
          <w:szCs w:val="20"/>
          <w:highlight w:val="none"/>
        </w:rPr>
        <w:fldChar w:fldCharType="begin"/>
      </w:r>
      <w:r>
        <w:rPr>
          <w:rFonts w:hint="eastAsia" w:ascii="宋体" w:hAnsi="宋体" w:eastAsia="宋体" w:cs="宋体"/>
          <w:bCs w:val="0"/>
          <w:caps w:val="0"/>
          <w:snapToGrid w:val="0"/>
          <w:kern w:val="2"/>
          <w:szCs w:val="20"/>
          <w:highlight w:val="none"/>
        </w:rPr>
        <w:instrText xml:space="preserve"> HYPERLINK \l _Toc30557 </w:instrText>
      </w:r>
      <w:r>
        <w:rPr>
          <w:rFonts w:hint="eastAsia" w:ascii="宋体" w:hAnsi="宋体" w:eastAsia="宋体" w:cs="宋体"/>
          <w:bCs w:val="0"/>
          <w:caps w:val="0"/>
          <w:snapToGrid w:val="0"/>
          <w:kern w:val="2"/>
          <w:szCs w:val="20"/>
          <w:highlight w:val="none"/>
        </w:rPr>
        <w:fldChar w:fldCharType="separate"/>
      </w:r>
      <w:r>
        <w:rPr>
          <w:rFonts w:hint="eastAsia" w:ascii="宋体" w:hAnsi="宋体" w:eastAsia="宋体" w:cs="宋体"/>
          <w:bCs/>
          <w:szCs w:val="30"/>
          <w:highlight w:val="none"/>
          <w:lang w:val="en-US" w:eastAsia="zh-CN"/>
        </w:rPr>
        <w:t>第三章 功能</w:t>
      </w:r>
      <w:r>
        <w:rPr>
          <w:rFonts w:hint="eastAsia" w:ascii="宋体" w:hAnsi="宋体" w:eastAsia="宋体" w:cs="宋体"/>
          <w:szCs w:val="28"/>
          <w:highlight w:val="none"/>
          <w:lang w:val="en-US" w:eastAsia="zh-CN"/>
        </w:rPr>
        <w:t>目标与范围</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_Toc30557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bCs w:val="0"/>
          <w:caps w:val="0"/>
          <w:snapToGrid w:val="0"/>
          <w:kern w:val="2"/>
          <w:szCs w:val="20"/>
          <w:highlight w:val="none"/>
        </w:rPr>
        <w:fldChar w:fldCharType="end"/>
      </w:r>
    </w:p>
    <w:p w14:paraId="5B06E276">
      <w:pPr>
        <w:pStyle w:val="12"/>
        <w:tabs>
          <w:tab w:val="right" w:leader="dot" w:pos="9258"/>
        </w:tabs>
        <w:ind w:left="0" w:leftChars="0" w:firstLine="0" w:firstLineChars="0"/>
        <w:rPr>
          <w:rFonts w:hint="eastAsia" w:ascii="宋体" w:hAnsi="宋体" w:eastAsia="宋体" w:cs="宋体"/>
        </w:rPr>
      </w:pPr>
      <w:r>
        <w:rPr>
          <w:rFonts w:hint="eastAsia" w:ascii="宋体" w:hAnsi="宋体" w:eastAsia="宋体" w:cs="宋体"/>
          <w:bCs/>
          <w:caps/>
          <w:snapToGrid w:val="0"/>
          <w:kern w:val="2"/>
          <w:szCs w:val="20"/>
          <w:highlight w:val="none"/>
        </w:rPr>
        <w:fldChar w:fldCharType="begin"/>
      </w:r>
      <w:r>
        <w:rPr>
          <w:rFonts w:hint="eastAsia" w:ascii="宋体" w:hAnsi="宋体" w:eastAsia="宋体" w:cs="宋体"/>
          <w:bCs/>
          <w:caps/>
          <w:snapToGrid w:val="0"/>
          <w:kern w:val="2"/>
          <w:szCs w:val="20"/>
          <w:highlight w:val="none"/>
        </w:rPr>
        <w:instrText xml:space="preserve"> HYPERLINK \l _Toc19328 </w:instrText>
      </w:r>
      <w:r>
        <w:rPr>
          <w:rFonts w:hint="eastAsia" w:ascii="宋体" w:hAnsi="宋体" w:eastAsia="宋体" w:cs="宋体"/>
          <w:bCs/>
          <w:caps/>
          <w:snapToGrid w:val="0"/>
          <w:kern w:val="2"/>
          <w:szCs w:val="20"/>
          <w:highlight w:val="none"/>
        </w:rPr>
        <w:fldChar w:fldCharType="separate"/>
      </w:r>
      <w:r>
        <w:rPr>
          <w:rFonts w:hint="eastAsia" w:ascii="宋体" w:hAnsi="宋体" w:eastAsia="宋体" w:cs="宋体"/>
          <w:bCs/>
          <w:szCs w:val="28"/>
          <w:lang w:val="en-US" w:eastAsia="zh-CN"/>
        </w:rPr>
        <w:t xml:space="preserve">3.1. </w:t>
      </w:r>
      <w:r>
        <w:rPr>
          <w:rFonts w:hint="eastAsia" w:ascii="宋体" w:hAnsi="宋体" w:eastAsia="宋体" w:cs="宋体"/>
          <w:bCs/>
          <w:szCs w:val="28"/>
          <w:highlight w:val="none"/>
          <w:lang w:val="en-US" w:eastAsia="zh-CN"/>
        </w:rPr>
        <w:t>功能目标</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_Toc19328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bCs/>
          <w:caps/>
          <w:snapToGrid w:val="0"/>
          <w:kern w:val="2"/>
          <w:szCs w:val="20"/>
          <w:highlight w:val="none"/>
        </w:rPr>
        <w:fldChar w:fldCharType="end"/>
      </w:r>
    </w:p>
    <w:p w14:paraId="2E3E9C0F">
      <w:pPr>
        <w:pStyle w:val="12"/>
        <w:tabs>
          <w:tab w:val="right" w:leader="dot" w:pos="9258"/>
        </w:tabs>
        <w:ind w:left="0" w:leftChars="0" w:firstLine="0" w:firstLineChars="0"/>
        <w:rPr>
          <w:rFonts w:hint="eastAsia" w:ascii="宋体" w:hAnsi="宋体" w:eastAsia="宋体" w:cs="宋体"/>
        </w:rPr>
      </w:pPr>
      <w:r>
        <w:rPr>
          <w:rFonts w:hint="eastAsia" w:ascii="宋体" w:hAnsi="宋体" w:eastAsia="宋体" w:cs="宋体"/>
          <w:bCs/>
          <w:caps/>
          <w:snapToGrid w:val="0"/>
          <w:kern w:val="2"/>
          <w:szCs w:val="20"/>
          <w:highlight w:val="none"/>
        </w:rPr>
        <w:fldChar w:fldCharType="begin"/>
      </w:r>
      <w:r>
        <w:rPr>
          <w:rFonts w:hint="eastAsia" w:ascii="宋体" w:hAnsi="宋体" w:eastAsia="宋体" w:cs="宋体"/>
          <w:bCs/>
          <w:caps/>
          <w:snapToGrid w:val="0"/>
          <w:kern w:val="2"/>
          <w:szCs w:val="20"/>
          <w:highlight w:val="none"/>
        </w:rPr>
        <w:instrText xml:space="preserve"> HYPERLINK \l _Toc6534 </w:instrText>
      </w:r>
      <w:r>
        <w:rPr>
          <w:rFonts w:hint="eastAsia" w:ascii="宋体" w:hAnsi="宋体" w:eastAsia="宋体" w:cs="宋体"/>
          <w:bCs/>
          <w:caps/>
          <w:snapToGrid w:val="0"/>
          <w:kern w:val="2"/>
          <w:szCs w:val="20"/>
          <w:highlight w:val="none"/>
        </w:rPr>
        <w:fldChar w:fldCharType="separate"/>
      </w:r>
      <w:r>
        <w:rPr>
          <w:rFonts w:hint="eastAsia" w:ascii="宋体" w:hAnsi="宋体" w:eastAsia="宋体" w:cs="宋体"/>
          <w:szCs w:val="28"/>
        </w:rPr>
        <w:t xml:space="preserve">3.2. </w:t>
      </w:r>
      <w:r>
        <w:rPr>
          <w:rFonts w:hint="eastAsia" w:ascii="宋体" w:hAnsi="宋体" w:eastAsia="宋体" w:cs="宋体"/>
          <w:szCs w:val="28"/>
          <w:highlight w:val="none"/>
          <w:lang w:val="en-US" w:eastAsia="zh-CN"/>
        </w:rPr>
        <w:t>功能范围</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_Toc6534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bCs/>
          <w:caps/>
          <w:snapToGrid w:val="0"/>
          <w:kern w:val="2"/>
          <w:szCs w:val="20"/>
          <w:highlight w:val="none"/>
        </w:rPr>
        <w:fldChar w:fldCharType="end"/>
      </w:r>
    </w:p>
    <w:p w14:paraId="7417AAEA">
      <w:pPr>
        <w:pStyle w:val="11"/>
        <w:tabs>
          <w:tab w:val="right" w:leader="dot" w:pos="9258"/>
        </w:tabs>
        <w:ind w:left="0" w:leftChars="0" w:firstLine="0" w:firstLineChars="0"/>
        <w:rPr>
          <w:rFonts w:hint="eastAsia" w:ascii="宋体" w:hAnsi="宋体" w:eastAsia="宋体" w:cs="宋体"/>
        </w:rPr>
      </w:pPr>
      <w:r>
        <w:rPr>
          <w:rFonts w:hint="eastAsia" w:ascii="宋体" w:hAnsi="宋体" w:eastAsia="宋体" w:cs="宋体"/>
          <w:bCs w:val="0"/>
          <w:caps w:val="0"/>
          <w:snapToGrid w:val="0"/>
          <w:kern w:val="2"/>
          <w:szCs w:val="20"/>
          <w:highlight w:val="none"/>
        </w:rPr>
        <w:fldChar w:fldCharType="begin"/>
      </w:r>
      <w:r>
        <w:rPr>
          <w:rFonts w:hint="eastAsia" w:ascii="宋体" w:hAnsi="宋体" w:eastAsia="宋体" w:cs="宋体"/>
          <w:bCs w:val="0"/>
          <w:caps w:val="0"/>
          <w:snapToGrid w:val="0"/>
          <w:kern w:val="2"/>
          <w:szCs w:val="20"/>
          <w:highlight w:val="none"/>
        </w:rPr>
        <w:instrText xml:space="preserve"> HYPERLINK \l _Toc29525 </w:instrText>
      </w:r>
      <w:r>
        <w:rPr>
          <w:rFonts w:hint="eastAsia" w:ascii="宋体" w:hAnsi="宋体" w:eastAsia="宋体" w:cs="宋体"/>
          <w:bCs w:val="0"/>
          <w:caps w:val="0"/>
          <w:snapToGrid w:val="0"/>
          <w:kern w:val="2"/>
          <w:szCs w:val="20"/>
          <w:highlight w:val="none"/>
        </w:rPr>
        <w:fldChar w:fldCharType="separate"/>
      </w:r>
      <w:r>
        <w:rPr>
          <w:rFonts w:hint="eastAsia" w:ascii="宋体" w:hAnsi="宋体" w:eastAsia="宋体" w:cs="宋体"/>
          <w:bCs/>
          <w:szCs w:val="30"/>
          <w:highlight w:val="none"/>
          <w:lang w:val="en-US" w:eastAsia="zh-CN"/>
        </w:rPr>
        <w:t>第四章 软件功能技术要求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_Toc29525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bCs w:val="0"/>
          <w:caps w:val="0"/>
          <w:snapToGrid w:val="0"/>
          <w:kern w:val="2"/>
          <w:szCs w:val="20"/>
          <w:highlight w:val="none"/>
        </w:rPr>
        <w:fldChar w:fldCharType="end"/>
      </w:r>
    </w:p>
    <w:p w14:paraId="3F96AAA1">
      <w:pPr>
        <w:pStyle w:val="8"/>
        <w:tabs>
          <w:tab w:val="right" w:leader="dot" w:pos="9258"/>
        </w:tabs>
        <w:ind w:left="0" w:leftChars="0" w:firstLine="0" w:firstLineChars="0"/>
        <w:rPr>
          <w:rFonts w:hint="eastAsia" w:ascii="宋体" w:hAnsi="宋体" w:eastAsia="宋体" w:cs="宋体"/>
        </w:rPr>
      </w:pPr>
      <w:r>
        <w:rPr>
          <w:rFonts w:hint="eastAsia" w:ascii="宋体" w:hAnsi="宋体" w:eastAsia="宋体" w:cs="宋体"/>
          <w:bCs/>
          <w:caps/>
          <w:snapToGrid w:val="0"/>
          <w:kern w:val="2"/>
          <w:szCs w:val="20"/>
          <w:highlight w:val="none"/>
        </w:rPr>
        <w:fldChar w:fldCharType="begin"/>
      </w:r>
      <w:r>
        <w:rPr>
          <w:rFonts w:hint="eastAsia" w:ascii="宋体" w:hAnsi="宋体" w:eastAsia="宋体" w:cs="宋体"/>
          <w:bCs/>
          <w:caps/>
          <w:snapToGrid w:val="0"/>
          <w:kern w:val="2"/>
          <w:szCs w:val="20"/>
          <w:highlight w:val="none"/>
        </w:rPr>
        <w:instrText xml:space="preserve"> HYPERLINK \l _Toc28847 </w:instrText>
      </w:r>
      <w:r>
        <w:rPr>
          <w:rFonts w:hint="eastAsia" w:ascii="宋体" w:hAnsi="宋体" w:eastAsia="宋体" w:cs="宋体"/>
          <w:bCs/>
          <w:caps/>
          <w:snapToGrid w:val="0"/>
          <w:kern w:val="2"/>
          <w:szCs w:val="20"/>
          <w:highlight w:val="none"/>
        </w:rPr>
        <w:fldChar w:fldCharType="separate"/>
      </w:r>
      <w:r>
        <w:rPr>
          <w:rFonts w:hint="eastAsia" w:ascii="宋体" w:hAnsi="宋体" w:eastAsia="宋体" w:cs="宋体"/>
          <w:szCs w:val="28"/>
        </w:rPr>
        <w:t xml:space="preserve">4.1. </w:t>
      </w:r>
      <w:r>
        <w:rPr>
          <w:rFonts w:hint="eastAsia" w:ascii="宋体" w:hAnsi="宋体" w:eastAsia="宋体" w:cs="宋体"/>
          <w:szCs w:val="28"/>
          <w:highlight w:val="none"/>
          <w:lang w:val="zh-TW" w:eastAsia="zh-TW"/>
        </w:rPr>
        <w:t>可视化驾驶舱</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_Toc28847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bCs/>
          <w:caps/>
          <w:snapToGrid w:val="0"/>
          <w:kern w:val="2"/>
          <w:szCs w:val="20"/>
          <w:highlight w:val="none"/>
        </w:rPr>
        <w:fldChar w:fldCharType="end"/>
      </w:r>
    </w:p>
    <w:p w14:paraId="3EF39A86">
      <w:pPr>
        <w:pStyle w:val="8"/>
        <w:tabs>
          <w:tab w:val="right" w:leader="dot" w:pos="9258"/>
        </w:tabs>
        <w:ind w:left="0" w:leftChars="0" w:firstLine="0" w:firstLineChars="0"/>
        <w:rPr>
          <w:rFonts w:hint="eastAsia" w:ascii="宋体" w:hAnsi="宋体" w:eastAsia="宋体" w:cs="宋体"/>
        </w:rPr>
      </w:pPr>
      <w:r>
        <w:rPr>
          <w:rFonts w:hint="eastAsia" w:ascii="宋体" w:hAnsi="宋体" w:eastAsia="宋体" w:cs="宋体"/>
          <w:bCs/>
          <w:caps/>
          <w:snapToGrid w:val="0"/>
          <w:kern w:val="2"/>
          <w:szCs w:val="20"/>
          <w:highlight w:val="none"/>
        </w:rPr>
        <w:fldChar w:fldCharType="begin"/>
      </w:r>
      <w:r>
        <w:rPr>
          <w:rFonts w:hint="eastAsia" w:ascii="宋体" w:hAnsi="宋体" w:eastAsia="宋体" w:cs="宋体"/>
          <w:bCs/>
          <w:caps/>
          <w:snapToGrid w:val="0"/>
          <w:kern w:val="2"/>
          <w:szCs w:val="20"/>
          <w:highlight w:val="none"/>
        </w:rPr>
        <w:instrText xml:space="preserve"> HYPERLINK \l _Toc5372 </w:instrText>
      </w:r>
      <w:r>
        <w:rPr>
          <w:rFonts w:hint="eastAsia" w:ascii="宋体" w:hAnsi="宋体" w:eastAsia="宋体" w:cs="宋体"/>
          <w:bCs/>
          <w:caps/>
          <w:snapToGrid w:val="0"/>
          <w:kern w:val="2"/>
          <w:szCs w:val="20"/>
          <w:highlight w:val="none"/>
        </w:rPr>
        <w:fldChar w:fldCharType="separate"/>
      </w:r>
      <w:r>
        <w:rPr>
          <w:rFonts w:hint="eastAsia" w:ascii="宋体" w:hAnsi="宋体" w:eastAsia="宋体" w:cs="宋体"/>
          <w:szCs w:val="28"/>
          <w:lang w:val="zh-TW" w:eastAsia="zh-TW"/>
        </w:rPr>
        <w:t xml:space="preserve">4.2. </w:t>
      </w:r>
      <w:r>
        <w:rPr>
          <w:rFonts w:hint="eastAsia" w:ascii="宋体" w:hAnsi="宋体" w:eastAsia="宋体" w:cs="宋体"/>
          <w:szCs w:val="28"/>
          <w:highlight w:val="none"/>
          <w:lang w:val="zh-TW" w:eastAsia="zh-TW"/>
        </w:rPr>
        <w:t>知识库</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_Toc5372 \h </w:instrText>
      </w:r>
      <w:r>
        <w:rPr>
          <w:rFonts w:hint="eastAsia" w:ascii="宋体" w:hAnsi="宋体" w:eastAsia="宋体" w:cs="宋体"/>
        </w:rPr>
        <w:fldChar w:fldCharType="separate"/>
      </w:r>
      <w:r>
        <w:rPr>
          <w:rFonts w:hint="eastAsia" w:ascii="宋体" w:hAnsi="宋体" w:eastAsia="宋体" w:cs="宋体"/>
        </w:rPr>
        <w:t>6</w:t>
      </w:r>
      <w:r>
        <w:rPr>
          <w:rFonts w:hint="eastAsia" w:ascii="宋体" w:hAnsi="宋体" w:eastAsia="宋体" w:cs="宋体"/>
        </w:rPr>
        <w:fldChar w:fldCharType="end"/>
      </w:r>
      <w:r>
        <w:rPr>
          <w:rFonts w:hint="eastAsia" w:ascii="宋体" w:hAnsi="宋体" w:eastAsia="宋体" w:cs="宋体"/>
          <w:bCs/>
          <w:caps/>
          <w:snapToGrid w:val="0"/>
          <w:kern w:val="2"/>
          <w:szCs w:val="20"/>
          <w:highlight w:val="none"/>
        </w:rPr>
        <w:fldChar w:fldCharType="end"/>
      </w:r>
    </w:p>
    <w:p w14:paraId="59D378E5">
      <w:pPr>
        <w:pStyle w:val="8"/>
        <w:tabs>
          <w:tab w:val="right" w:leader="dot" w:pos="9258"/>
        </w:tabs>
        <w:ind w:left="0" w:leftChars="0" w:firstLine="0" w:firstLineChars="0"/>
        <w:rPr>
          <w:rFonts w:hint="eastAsia" w:ascii="宋体" w:hAnsi="宋体" w:eastAsia="宋体" w:cs="宋体"/>
        </w:rPr>
      </w:pPr>
      <w:r>
        <w:rPr>
          <w:rFonts w:hint="eastAsia" w:ascii="宋体" w:hAnsi="宋体" w:eastAsia="宋体" w:cs="宋体"/>
          <w:bCs/>
          <w:caps/>
          <w:snapToGrid w:val="0"/>
          <w:kern w:val="2"/>
          <w:szCs w:val="20"/>
          <w:highlight w:val="none"/>
        </w:rPr>
        <w:fldChar w:fldCharType="begin"/>
      </w:r>
      <w:r>
        <w:rPr>
          <w:rFonts w:hint="eastAsia" w:ascii="宋体" w:hAnsi="宋体" w:eastAsia="宋体" w:cs="宋体"/>
          <w:bCs/>
          <w:caps/>
          <w:snapToGrid w:val="0"/>
          <w:kern w:val="2"/>
          <w:szCs w:val="20"/>
          <w:highlight w:val="none"/>
        </w:rPr>
        <w:instrText xml:space="preserve"> HYPERLINK \l _Toc23799 </w:instrText>
      </w:r>
      <w:r>
        <w:rPr>
          <w:rFonts w:hint="eastAsia" w:ascii="宋体" w:hAnsi="宋体" w:eastAsia="宋体" w:cs="宋体"/>
          <w:bCs/>
          <w:caps/>
          <w:snapToGrid w:val="0"/>
          <w:kern w:val="2"/>
          <w:szCs w:val="20"/>
          <w:highlight w:val="none"/>
        </w:rPr>
        <w:fldChar w:fldCharType="separate"/>
      </w:r>
      <w:r>
        <w:rPr>
          <w:rFonts w:hint="eastAsia" w:ascii="宋体" w:hAnsi="宋体" w:eastAsia="宋体" w:cs="宋体"/>
          <w:bCs/>
          <w:szCs w:val="28"/>
          <w:lang w:val="en-US" w:eastAsia="zh-CN" w:bidi="ar-SA"/>
        </w:rPr>
        <w:t xml:space="preserve">4.3. </w:t>
      </w:r>
      <w:r>
        <w:rPr>
          <w:rFonts w:hint="eastAsia" w:ascii="宋体" w:hAnsi="宋体" w:eastAsia="宋体" w:cs="宋体"/>
          <w:bCs/>
          <w:szCs w:val="28"/>
          <w:highlight w:val="none"/>
          <w:lang w:val="en-US" w:eastAsia="zh-CN" w:bidi="ar-SA"/>
        </w:rPr>
        <w:t>基础管理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_Toc23799 \h </w:instrText>
      </w:r>
      <w:r>
        <w:rPr>
          <w:rFonts w:hint="eastAsia" w:ascii="宋体" w:hAnsi="宋体" w:eastAsia="宋体" w:cs="宋体"/>
        </w:rPr>
        <w:fldChar w:fldCharType="separate"/>
      </w:r>
      <w:r>
        <w:rPr>
          <w:rFonts w:hint="eastAsia" w:ascii="宋体" w:hAnsi="宋体" w:eastAsia="宋体" w:cs="宋体"/>
        </w:rPr>
        <w:t>7</w:t>
      </w:r>
      <w:r>
        <w:rPr>
          <w:rFonts w:hint="eastAsia" w:ascii="宋体" w:hAnsi="宋体" w:eastAsia="宋体" w:cs="宋体"/>
        </w:rPr>
        <w:fldChar w:fldCharType="end"/>
      </w:r>
      <w:r>
        <w:rPr>
          <w:rFonts w:hint="eastAsia" w:ascii="宋体" w:hAnsi="宋体" w:eastAsia="宋体" w:cs="宋体"/>
          <w:bCs/>
          <w:caps/>
          <w:snapToGrid w:val="0"/>
          <w:kern w:val="2"/>
          <w:szCs w:val="20"/>
          <w:highlight w:val="none"/>
        </w:rPr>
        <w:fldChar w:fldCharType="end"/>
      </w:r>
    </w:p>
    <w:p w14:paraId="2045E80E">
      <w:pPr>
        <w:pStyle w:val="8"/>
        <w:tabs>
          <w:tab w:val="right" w:leader="dot" w:pos="9258"/>
        </w:tabs>
        <w:ind w:left="0" w:leftChars="0" w:firstLine="0" w:firstLineChars="0"/>
        <w:rPr>
          <w:rFonts w:hint="eastAsia" w:ascii="宋体" w:hAnsi="宋体" w:eastAsia="宋体" w:cs="宋体"/>
        </w:rPr>
      </w:pPr>
      <w:r>
        <w:rPr>
          <w:rFonts w:hint="eastAsia" w:ascii="宋体" w:hAnsi="宋体" w:eastAsia="宋体" w:cs="宋体"/>
          <w:bCs/>
          <w:caps/>
          <w:snapToGrid w:val="0"/>
          <w:kern w:val="2"/>
          <w:szCs w:val="20"/>
          <w:highlight w:val="none"/>
        </w:rPr>
        <w:fldChar w:fldCharType="begin"/>
      </w:r>
      <w:r>
        <w:rPr>
          <w:rFonts w:hint="eastAsia" w:ascii="宋体" w:hAnsi="宋体" w:eastAsia="宋体" w:cs="宋体"/>
          <w:bCs/>
          <w:caps/>
          <w:snapToGrid w:val="0"/>
          <w:kern w:val="2"/>
          <w:szCs w:val="20"/>
          <w:highlight w:val="none"/>
        </w:rPr>
        <w:instrText xml:space="preserve"> HYPERLINK \l _Toc2191 </w:instrText>
      </w:r>
      <w:r>
        <w:rPr>
          <w:rFonts w:hint="eastAsia" w:ascii="宋体" w:hAnsi="宋体" w:eastAsia="宋体" w:cs="宋体"/>
          <w:bCs/>
          <w:caps/>
          <w:snapToGrid w:val="0"/>
          <w:kern w:val="2"/>
          <w:szCs w:val="20"/>
          <w:highlight w:val="none"/>
        </w:rPr>
        <w:fldChar w:fldCharType="separate"/>
      </w:r>
      <w:r>
        <w:rPr>
          <w:rFonts w:hint="eastAsia" w:ascii="宋体" w:hAnsi="宋体" w:eastAsia="宋体" w:cs="宋体"/>
          <w:bCs/>
          <w:szCs w:val="28"/>
          <w:lang w:val="en-US" w:eastAsia="zh-CN" w:bidi="ar-SA"/>
        </w:rPr>
        <w:t xml:space="preserve">4.4. </w:t>
      </w:r>
      <w:r>
        <w:rPr>
          <w:rFonts w:hint="eastAsia" w:ascii="宋体" w:hAnsi="宋体" w:eastAsia="宋体" w:cs="宋体"/>
          <w:bCs/>
          <w:szCs w:val="28"/>
          <w:highlight w:val="none"/>
          <w:lang w:val="en-US" w:eastAsia="zh-CN" w:bidi="ar-SA"/>
        </w:rPr>
        <w:t>设备资产</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_Toc2191 \h </w:instrText>
      </w:r>
      <w:r>
        <w:rPr>
          <w:rFonts w:hint="eastAsia" w:ascii="宋体" w:hAnsi="宋体" w:eastAsia="宋体" w:cs="宋体"/>
        </w:rPr>
        <w:fldChar w:fldCharType="separate"/>
      </w:r>
      <w:r>
        <w:rPr>
          <w:rFonts w:hint="eastAsia" w:ascii="宋体" w:hAnsi="宋体" w:eastAsia="宋体" w:cs="宋体"/>
        </w:rPr>
        <w:t>7</w:t>
      </w:r>
      <w:r>
        <w:rPr>
          <w:rFonts w:hint="eastAsia" w:ascii="宋体" w:hAnsi="宋体" w:eastAsia="宋体" w:cs="宋体"/>
        </w:rPr>
        <w:fldChar w:fldCharType="end"/>
      </w:r>
      <w:r>
        <w:rPr>
          <w:rFonts w:hint="eastAsia" w:ascii="宋体" w:hAnsi="宋体" w:eastAsia="宋体" w:cs="宋体"/>
          <w:bCs/>
          <w:caps/>
          <w:snapToGrid w:val="0"/>
          <w:kern w:val="2"/>
          <w:szCs w:val="20"/>
          <w:highlight w:val="none"/>
        </w:rPr>
        <w:fldChar w:fldCharType="end"/>
      </w:r>
    </w:p>
    <w:p w14:paraId="48602E02">
      <w:pPr>
        <w:pStyle w:val="8"/>
        <w:tabs>
          <w:tab w:val="right" w:leader="dot" w:pos="9258"/>
        </w:tabs>
        <w:ind w:left="0" w:leftChars="0" w:firstLine="0" w:firstLineChars="0"/>
        <w:rPr>
          <w:rFonts w:hint="eastAsia" w:ascii="宋体" w:hAnsi="宋体" w:eastAsia="宋体" w:cs="宋体"/>
        </w:rPr>
      </w:pPr>
      <w:r>
        <w:rPr>
          <w:rFonts w:hint="eastAsia" w:ascii="宋体" w:hAnsi="宋体" w:eastAsia="宋体" w:cs="宋体"/>
          <w:bCs/>
          <w:caps/>
          <w:snapToGrid w:val="0"/>
          <w:kern w:val="2"/>
          <w:szCs w:val="20"/>
          <w:highlight w:val="none"/>
        </w:rPr>
        <w:fldChar w:fldCharType="begin"/>
      </w:r>
      <w:r>
        <w:rPr>
          <w:rFonts w:hint="eastAsia" w:ascii="宋体" w:hAnsi="宋体" w:eastAsia="宋体" w:cs="宋体"/>
          <w:bCs/>
          <w:caps/>
          <w:snapToGrid w:val="0"/>
          <w:kern w:val="2"/>
          <w:szCs w:val="20"/>
          <w:highlight w:val="none"/>
        </w:rPr>
        <w:instrText xml:space="preserve"> HYPERLINK \l _Toc21665 </w:instrText>
      </w:r>
      <w:r>
        <w:rPr>
          <w:rFonts w:hint="eastAsia" w:ascii="宋体" w:hAnsi="宋体" w:eastAsia="宋体" w:cs="宋体"/>
          <w:bCs/>
          <w:caps/>
          <w:snapToGrid w:val="0"/>
          <w:kern w:val="2"/>
          <w:szCs w:val="20"/>
          <w:highlight w:val="none"/>
        </w:rPr>
        <w:fldChar w:fldCharType="separate"/>
      </w:r>
      <w:r>
        <w:rPr>
          <w:rFonts w:hint="eastAsia" w:ascii="宋体" w:hAnsi="宋体" w:eastAsia="宋体" w:cs="宋体"/>
          <w:bCs/>
          <w:szCs w:val="28"/>
          <w:lang w:val="en-US" w:eastAsia="zh-CN" w:bidi="ar-SA"/>
        </w:rPr>
        <w:t xml:space="preserve">4.5. </w:t>
      </w:r>
      <w:r>
        <w:rPr>
          <w:rFonts w:hint="eastAsia" w:ascii="宋体" w:hAnsi="宋体" w:eastAsia="宋体" w:cs="宋体"/>
          <w:szCs w:val="28"/>
          <w:highlight w:val="none"/>
          <w:lang w:val="en-US" w:eastAsia="zh-CN"/>
        </w:rPr>
        <w:t>运维管理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_Toc21665 \h </w:instrText>
      </w:r>
      <w:r>
        <w:rPr>
          <w:rFonts w:hint="eastAsia" w:ascii="宋体" w:hAnsi="宋体" w:eastAsia="宋体" w:cs="宋体"/>
        </w:rPr>
        <w:fldChar w:fldCharType="separate"/>
      </w:r>
      <w:r>
        <w:rPr>
          <w:rFonts w:hint="eastAsia" w:ascii="宋体" w:hAnsi="宋体" w:eastAsia="宋体" w:cs="宋体"/>
        </w:rPr>
        <w:t>9</w:t>
      </w:r>
      <w:r>
        <w:rPr>
          <w:rFonts w:hint="eastAsia" w:ascii="宋体" w:hAnsi="宋体" w:eastAsia="宋体" w:cs="宋体"/>
        </w:rPr>
        <w:fldChar w:fldCharType="end"/>
      </w:r>
      <w:r>
        <w:rPr>
          <w:rFonts w:hint="eastAsia" w:ascii="宋体" w:hAnsi="宋体" w:eastAsia="宋体" w:cs="宋体"/>
          <w:bCs/>
          <w:caps/>
          <w:snapToGrid w:val="0"/>
          <w:kern w:val="2"/>
          <w:szCs w:val="20"/>
          <w:highlight w:val="none"/>
        </w:rPr>
        <w:fldChar w:fldCharType="end"/>
      </w:r>
    </w:p>
    <w:p w14:paraId="43B2C5C0">
      <w:pPr>
        <w:pStyle w:val="8"/>
        <w:tabs>
          <w:tab w:val="right" w:leader="dot" w:pos="9258"/>
        </w:tabs>
        <w:ind w:left="0" w:leftChars="0" w:firstLine="0" w:firstLineChars="0"/>
        <w:rPr>
          <w:rFonts w:hint="eastAsia" w:ascii="宋体" w:hAnsi="宋体" w:eastAsia="宋体" w:cs="宋体"/>
        </w:rPr>
      </w:pPr>
      <w:r>
        <w:rPr>
          <w:rFonts w:hint="eastAsia" w:ascii="宋体" w:hAnsi="宋体" w:eastAsia="宋体" w:cs="宋体"/>
          <w:bCs/>
          <w:caps/>
          <w:snapToGrid w:val="0"/>
          <w:kern w:val="2"/>
          <w:szCs w:val="20"/>
          <w:highlight w:val="none"/>
        </w:rPr>
        <w:fldChar w:fldCharType="begin"/>
      </w:r>
      <w:r>
        <w:rPr>
          <w:rFonts w:hint="eastAsia" w:ascii="宋体" w:hAnsi="宋体" w:eastAsia="宋体" w:cs="宋体"/>
          <w:bCs/>
          <w:caps/>
          <w:snapToGrid w:val="0"/>
          <w:kern w:val="2"/>
          <w:szCs w:val="20"/>
          <w:highlight w:val="none"/>
        </w:rPr>
        <w:instrText xml:space="preserve"> HYPERLINK \l _Toc14223 </w:instrText>
      </w:r>
      <w:r>
        <w:rPr>
          <w:rFonts w:hint="eastAsia" w:ascii="宋体" w:hAnsi="宋体" w:eastAsia="宋体" w:cs="宋体"/>
          <w:bCs/>
          <w:caps/>
          <w:snapToGrid w:val="0"/>
          <w:kern w:val="2"/>
          <w:szCs w:val="20"/>
          <w:highlight w:val="none"/>
        </w:rPr>
        <w:fldChar w:fldCharType="separate"/>
      </w:r>
      <w:r>
        <w:rPr>
          <w:rFonts w:hint="eastAsia" w:ascii="宋体" w:hAnsi="宋体" w:eastAsia="宋体" w:cs="宋体"/>
          <w:szCs w:val="28"/>
          <w:lang w:val="zh-TW" w:eastAsia="zh-TW"/>
        </w:rPr>
        <w:t xml:space="preserve">4.6. </w:t>
      </w:r>
      <w:r>
        <w:rPr>
          <w:rFonts w:hint="eastAsia" w:ascii="宋体" w:hAnsi="宋体" w:eastAsia="宋体" w:cs="宋体"/>
          <w:szCs w:val="28"/>
          <w:highlight w:val="none"/>
          <w:lang w:val="en-US" w:eastAsia="zh-CN"/>
        </w:rPr>
        <w:t>专项管理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_Toc14223 \h </w:instrText>
      </w:r>
      <w:r>
        <w:rPr>
          <w:rFonts w:hint="eastAsia" w:ascii="宋体" w:hAnsi="宋体" w:eastAsia="宋体" w:cs="宋体"/>
        </w:rPr>
        <w:fldChar w:fldCharType="separate"/>
      </w:r>
      <w:r>
        <w:rPr>
          <w:rFonts w:hint="eastAsia" w:ascii="宋体" w:hAnsi="宋体" w:eastAsia="宋体" w:cs="宋体"/>
        </w:rPr>
        <w:t>12</w:t>
      </w:r>
      <w:r>
        <w:rPr>
          <w:rFonts w:hint="eastAsia" w:ascii="宋体" w:hAnsi="宋体" w:eastAsia="宋体" w:cs="宋体"/>
        </w:rPr>
        <w:fldChar w:fldCharType="end"/>
      </w:r>
      <w:r>
        <w:rPr>
          <w:rFonts w:hint="eastAsia" w:ascii="宋体" w:hAnsi="宋体" w:eastAsia="宋体" w:cs="宋体"/>
          <w:bCs/>
          <w:caps/>
          <w:snapToGrid w:val="0"/>
          <w:kern w:val="2"/>
          <w:szCs w:val="20"/>
          <w:highlight w:val="none"/>
        </w:rPr>
        <w:fldChar w:fldCharType="end"/>
      </w:r>
    </w:p>
    <w:p w14:paraId="217A6113">
      <w:pPr>
        <w:pStyle w:val="8"/>
        <w:tabs>
          <w:tab w:val="right" w:leader="dot" w:pos="9258"/>
        </w:tabs>
        <w:ind w:left="0" w:leftChars="0" w:firstLine="0" w:firstLineChars="0"/>
        <w:rPr>
          <w:rFonts w:hint="eastAsia" w:ascii="宋体" w:hAnsi="宋体" w:eastAsia="宋体" w:cs="宋体"/>
        </w:rPr>
      </w:pPr>
      <w:r>
        <w:rPr>
          <w:rFonts w:hint="eastAsia" w:ascii="宋体" w:hAnsi="宋体" w:eastAsia="宋体" w:cs="宋体"/>
          <w:bCs/>
          <w:caps/>
          <w:snapToGrid w:val="0"/>
          <w:kern w:val="2"/>
          <w:szCs w:val="20"/>
          <w:highlight w:val="none"/>
        </w:rPr>
        <w:fldChar w:fldCharType="begin"/>
      </w:r>
      <w:r>
        <w:rPr>
          <w:rFonts w:hint="eastAsia" w:ascii="宋体" w:hAnsi="宋体" w:eastAsia="宋体" w:cs="宋体"/>
          <w:bCs/>
          <w:caps/>
          <w:snapToGrid w:val="0"/>
          <w:kern w:val="2"/>
          <w:szCs w:val="20"/>
          <w:highlight w:val="none"/>
        </w:rPr>
        <w:instrText xml:space="preserve"> HYPERLINK \l _Toc24135 </w:instrText>
      </w:r>
      <w:r>
        <w:rPr>
          <w:rFonts w:hint="eastAsia" w:ascii="宋体" w:hAnsi="宋体" w:eastAsia="宋体" w:cs="宋体"/>
          <w:bCs/>
          <w:caps/>
          <w:snapToGrid w:val="0"/>
          <w:kern w:val="2"/>
          <w:szCs w:val="20"/>
          <w:highlight w:val="none"/>
        </w:rPr>
        <w:fldChar w:fldCharType="separate"/>
      </w:r>
      <w:r>
        <w:rPr>
          <w:rFonts w:hint="eastAsia" w:ascii="宋体" w:hAnsi="宋体" w:eastAsia="宋体" w:cs="宋体"/>
          <w:szCs w:val="28"/>
          <w:lang w:val="zh-TW" w:eastAsia="zh-TW"/>
        </w:rPr>
        <w:t xml:space="preserve">4.7. </w:t>
      </w:r>
      <w:r>
        <w:rPr>
          <w:rFonts w:hint="eastAsia" w:ascii="宋体" w:hAnsi="宋体" w:eastAsia="宋体" w:cs="宋体"/>
          <w:szCs w:val="28"/>
          <w:highlight w:val="none"/>
          <w:lang w:val="en-US" w:eastAsia="zh-CN"/>
        </w:rPr>
        <w:t>动静设备管理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_Toc24135 \h </w:instrText>
      </w:r>
      <w:r>
        <w:rPr>
          <w:rFonts w:hint="eastAsia" w:ascii="宋体" w:hAnsi="宋体" w:eastAsia="宋体" w:cs="宋体"/>
        </w:rPr>
        <w:fldChar w:fldCharType="separate"/>
      </w:r>
      <w:r>
        <w:rPr>
          <w:rFonts w:hint="eastAsia" w:ascii="宋体" w:hAnsi="宋体" w:eastAsia="宋体" w:cs="宋体"/>
        </w:rPr>
        <w:t>15</w:t>
      </w:r>
      <w:r>
        <w:rPr>
          <w:rFonts w:hint="eastAsia" w:ascii="宋体" w:hAnsi="宋体" w:eastAsia="宋体" w:cs="宋体"/>
        </w:rPr>
        <w:fldChar w:fldCharType="end"/>
      </w:r>
      <w:r>
        <w:rPr>
          <w:rFonts w:hint="eastAsia" w:ascii="宋体" w:hAnsi="宋体" w:eastAsia="宋体" w:cs="宋体"/>
          <w:bCs/>
          <w:caps/>
          <w:snapToGrid w:val="0"/>
          <w:kern w:val="2"/>
          <w:szCs w:val="20"/>
          <w:highlight w:val="none"/>
        </w:rPr>
        <w:fldChar w:fldCharType="end"/>
      </w:r>
    </w:p>
    <w:p w14:paraId="34A97554">
      <w:pPr>
        <w:pStyle w:val="8"/>
        <w:tabs>
          <w:tab w:val="right" w:leader="dot" w:pos="9258"/>
        </w:tabs>
        <w:ind w:left="0" w:leftChars="0" w:firstLine="0" w:firstLineChars="0"/>
        <w:rPr>
          <w:rFonts w:hint="eastAsia" w:ascii="宋体" w:hAnsi="宋体" w:eastAsia="宋体" w:cs="宋体"/>
        </w:rPr>
      </w:pPr>
      <w:r>
        <w:rPr>
          <w:rFonts w:hint="eastAsia" w:ascii="宋体" w:hAnsi="宋体" w:eastAsia="宋体" w:cs="宋体"/>
          <w:bCs/>
          <w:caps/>
          <w:snapToGrid w:val="0"/>
          <w:kern w:val="2"/>
          <w:szCs w:val="20"/>
          <w:highlight w:val="none"/>
        </w:rPr>
        <w:fldChar w:fldCharType="begin"/>
      </w:r>
      <w:r>
        <w:rPr>
          <w:rFonts w:hint="eastAsia" w:ascii="宋体" w:hAnsi="宋体" w:eastAsia="宋体" w:cs="宋体"/>
          <w:bCs/>
          <w:caps/>
          <w:snapToGrid w:val="0"/>
          <w:kern w:val="2"/>
          <w:szCs w:val="20"/>
          <w:highlight w:val="none"/>
        </w:rPr>
        <w:instrText xml:space="preserve"> HYPERLINK \l _Toc19654 </w:instrText>
      </w:r>
      <w:r>
        <w:rPr>
          <w:rFonts w:hint="eastAsia" w:ascii="宋体" w:hAnsi="宋体" w:eastAsia="宋体" w:cs="宋体"/>
          <w:bCs/>
          <w:caps/>
          <w:snapToGrid w:val="0"/>
          <w:kern w:val="2"/>
          <w:szCs w:val="20"/>
          <w:highlight w:val="none"/>
        </w:rPr>
        <w:fldChar w:fldCharType="separate"/>
      </w:r>
      <w:r>
        <w:rPr>
          <w:rFonts w:hint="eastAsia" w:ascii="宋体" w:hAnsi="宋体" w:eastAsia="宋体" w:cs="宋体"/>
          <w:szCs w:val="28"/>
          <w:lang w:val="zh-TW" w:eastAsia="zh-TW"/>
        </w:rPr>
        <w:t xml:space="preserve">4.8. </w:t>
      </w:r>
      <w:r>
        <w:rPr>
          <w:rFonts w:hint="eastAsia" w:ascii="宋体" w:hAnsi="宋体" w:eastAsia="宋体" w:cs="宋体"/>
          <w:szCs w:val="28"/>
          <w:highlight w:val="none"/>
          <w:lang w:val="en-US" w:eastAsia="zh-CN"/>
        </w:rPr>
        <w:t>精益大修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_Toc19654 \h </w:instrText>
      </w:r>
      <w:r>
        <w:rPr>
          <w:rFonts w:hint="eastAsia" w:ascii="宋体" w:hAnsi="宋体" w:eastAsia="宋体" w:cs="宋体"/>
        </w:rPr>
        <w:fldChar w:fldCharType="separate"/>
      </w:r>
      <w:r>
        <w:rPr>
          <w:rFonts w:hint="eastAsia" w:ascii="宋体" w:hAnsi="宋体" w:eastAsia="宋体" w:cs="宋体"/>
        </w:rPr>
        <w:t>16</w:t>
      </w:r>
      <w:r>
        <w:rPr>
          <w:rFonts w:hint="eastAsia" w:ascii="宋体" w:hAnsi="宋体" w:eastAsia="宋体" w:cs="宋体"/>
        </w:rPr>
        <w:fldChar w:fldCharType="end"/>
      </w:r>
      <w:r>
        <w:rPr>
          <w:rFonts w:hint="eastAsia" w:ascii="宋体" w:hAnsi="宋体" w:eastAsia="宋体" w:cs="宋体"/>
          <w:bCs/>
          <w:caps/>
          <w:snapToGrid w:val="0"/>
          <w:kern w:val="2"/>
          <w:szCs w:val="20"/>
          <w:highlight w:val="none"/>
        </w:rPr>
        <w:fldChar w:fldCharType="end"/>
      </w:r>
    </w:p>
    <w:p w14:paraId="6DA8BF98">
      <w:pPr>
        <w:pStyle w:val="8"/>
        <w:tabs>
          <w:tab w:val="right" w:leader="dot" w:pos="9258"/>
        </w:tabs>
        <w:ind w:left="0" w:leftChars="0" w:firstLine="0" w:firstLineChars="0"/>
        <w:rPr>
          <w:rFonts w:hint="eastAsia" w:ascii="宋体" w:hAnsi="宋体" w:eastAsia="宋体" w:cs="宋体"/>
        </w:rPr>
      </w:pPr>
      <w:r>
        <w:rPr>
          <w:rFonts w:hint="eastAsia" w:ascii="宋体" w:hAnsi="宋体" w:eastAsia="宋体" w:cs="宋体"/>
          <w:bCs/>
          <w:caps/>
          <w:snapToGrid w:val="0"/>
          <w:kern w:val="2"/>
          <w:szCs w:val="20"/>
          <w:highlight w:val="none"/>
        </w:rPr>
        <w:fldChar w:fldCharType="begin"/>
      </w:r>
      <w:r>
        <w:rPr>
          <w:rFonts w:hint="eastAsia" w:ascii="宋体" w:hAnsi="宋体" w:eastAsia="宋体" w:cs="宋体"/>
          <w:bCs/>
          <w:caps/>
          <w:snapToGrid w:val="0"/>
          <w:kern w:val="2"/>
          <w:szCs w:val="20"/>
          <w:highlight w:val="none"/>
        </w:rPr>
        <w:instrText xml:space="preserve"> HYPERLINK \l _Toc9664 </w:instrText>
      </w:r>
      <w:r>
        <w:rPr>
          <w:rFonts w:hint="eastAsia" w:ascii="宋体" w:hAnsi="宋体" w:eastAsia="宋体" w:cs="宋体"/>
          <w:bCs/>
          <w:caps/>
          <w:snapToGrid w:val="0"/>
          <w:kern w:val="2"/>
          <w:szCs w:val="20"/>
          <w:highlight w:val="none"/>
        </w:rPr>
        <w:fldChar w:fldCharType="separate"/>
      </w:r>
      <w:r>
        <w:rPr>
          <w:rFonts w:hint="eastAsia" w:ascii="宋体" w:hAnsi="宋体" w:eastAsia="宋体" w:cs="宋体"/>
          <w:szCs w:val="28"/>
          <w:lang w:val="zh-TW" w:eastAsia="zh-TW"/>
        </w:rPr>
        <w:t xml:space="preserve">4.9. </w:t>
      </w:r>
      <w:r>
        <w:rPr>
          <w:rFonts w:hint="eastAsia" w:ascii="宋体" w:hAnsi="宋体" w:eastAsia="宋体" w:cs="宋体"/>
          <w:szCs w:val="28"/>
          <w:highlight w:val="none"/>
          <w:lang w:val="en-US" w:eastAsia="zh-CN"/>
        </w:rPr>
        <w:t>统计报表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_Toc9664 \h </w:instrText>
      </w:r>
      <w:r>
        <w:rPr>
          <w:rFonts w:hint="eastAsia" w:ascii="宋体" w:hAnsi="宋体" w:eastAsia="宋体" w:cs="宋体"/>
        </w:rPr>
        <w:fldChar w:fldCharType="separate"/>
      </w:r>
      <w:r>
        <w:rPr>
          <w:rFonts w:hint="eastAsia" w:ascii="宋体" w:hAnsi="宋体" w:eastAsia="宋体" w:cs="宋体"/>
        </w:rPr>
        <w:t>17</w:t>
      </w:r>
      <w:r>
        <w:rPr>
          <w:rFonts w:hint="eastAsia" w:ascii="宋体" w:hAnsi="宋体" w:eastAsia="宋体" w:cs="宋体"/>
        </w:rPr>
        <w:fldChar w:fldCharType="end"/>
      </w:r>
      <w:r>
        <w:rPr>
          <w:rFonts w:hint="eastAsia" w:ascii="宋体" w:hAnsi="宋体" w:eastAsia="宋体" w:cs="宋体"/>
          <w:bCs/>
          <w:caps/>
          <w:snapToGrid w:val="0"/>
          <w:kern w:val="2"/>
          <w:szCs w:val="20"/>
          <w:highlight w:val="none"/>
        </w:rPr>
        <w:fldChar w:fldCharType="end"/>
      </w:r>
    </w:p>
    <w:p w14:paraId="10BBD5F7">
      <w:pPr>
        <w:pStyle w:val="8"/>
        <w:tabs>
          <w:tab w:val="right" w:leader="dot" w:pos="9258"/>
        </w:tabs>
        <w:ind w:left="0" w:leftChars="0" w:firstLine="0" w:firstLineChars="0"/>
        <w:rPr>
          <w:rFonts w:hint="eastAsia" w:ascii="宋体" w:hAnsi="宋体" w:eastAsia="宋体" w:cs="宋体"/>
        </w:rPr>
      </w:pPr>
      <w:r>
        <w:rPr>
          <w:rFonts w:hint="eastAsia" w:ascii="宋体" w:hAnsi="宋体" w:eastAsia="宋体" w:cs="宋体"/>
          <w:bCs/>
          <w:caps/>
          <w:snapToGrid w:val="0"/>
          <w:kern w:val="2"/>
          <w:szCs w:val="20"/>
          <w:highlight w:val="none"/>
        </w:rPr>
        <w:fldChar w:fldCharType="begin"/>
      </w:r>
      <w:r>
        <w:rPr>
          <w:rFonts w:hint="eastAsia" w:ascii="宋体" w:hAnsi="宋体" w:eastAsia="宋体" w:cs="宋体"/>
          <w:bCs/>
          <w:caps/>
          <w:snapToGrid w:val="0"/>
          <w:kern w:val="2"/>
          <w:szCs w:val="20"/>
          <w:highlight w:val="none"/>
        </w:rPr>
        <w:instrText xml:space="preserve"> HYPERLINK \l _Toc2077 </w:instrText>
      </w:r>
      <w:r>
        <w:rPr>
          <w:rFonts w:hint="eastAsia" w:ascii="宋体" w:hAnsi="宋体" w:eastAsia="宋体" w:cs="宋体"/>
          <w:bCs/>
          <w:caps/>
          <w:snapToGrid w:val="0"/>
          <w:kern w:val="2"/>
          <w:szCs w:val="20"/>
          <w:highlight w:val="none"/>
        </w:rPr>
        <w:fldChar w:fldCharType="separate"/>
      </w:r>
      <w:r>
        <w:rPr>
          <w:rFonts w:hint="eastAsia" w:ascii="宋体" w:hAnsi="宋体" w:eastAsia="宋体" w:cs="宋体"/>
          <w:bCs/>
          <w:szCs w:val="28"/>
          <w:lang w:val="zh-TW" w:eastAsia="zh-TW"/>
        </w:rPr>
        <w:t xml:space="preserve">4.10. </w:t>
      </w:r>
      <w:r>
        <w:rPr>
          <w:rFonts w:hint="eastAsia" w:ascii="宋体" w:hAnsi="宋体" w:eastAsia="宋体" w:cs="宋体"/>
          <w:bCs/>
          <w:szCs w:val="28"/>
          <w:highlight w:val="none"/>
          <w:lang w:val="en-US" w:eastAsia="zh-CN"/>
        </w:rPr>
        <w:t>系统</w:t>
      </w:r>
      <w:r>
        <w:rPr>
          <w:rFonts w:hint="eastAsia" w:ascii="宋体" w:hAnsi="宋体" w:eastAsia="宋体" w:cs="宋体"/>
          <w:bCs/>
          <w:szCs w:val="28"/>
          <w:highlight w:val="none"/>
          <w:lang w:val="zh-TW" w:eastAsia="zh-TW"/>
        </w:rPr>
        <w:t>管理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_Toc2077 \h </w:instrText>
      </w:r>
      <w:r>
        <w:rPr>
          <w:rFonts w:hint="eastAsia" w:ascii="宋体" w:hAnsi="宋体" w:eastAsia="宋体" w:cs="宋体"/>
        </w:rPr>
        <w:fldChar w:fldCharType="separate"/>
      </w:r>
      <w:r>
        <w:rPr>
          <w:rFonts w:hint="eastAsia" w:ascii="宋体" w:hAnsi="宋体" w:eastAsia="宋体" w:cs="宋体"/>
        </w:rPr>
        <w:t>17</w:t>
      </w:r>
      <w:r>
        <w:rPr>
          <w:rFonts w:hint="eastAsia" w:ascii="宋体" w:hAnsi="宋体" w:eastAsia="宋体" w:cs="宋体"/>
        </w:rPr>
        <w:fldChar w:fldCharType="end"/>
      </w:r>
      <w:r>
        <w:rPr>
          <w:rFonts w:hint="eastAsia" w:ascii="宋体" w:hAnsi="宋体" w:eastAsia="宋体" w:cs="宋体"/>
          <w:bCs/>
          <w:caps/>
          <w:snapToGrid w:val="0"/>
          <w:kern w:val="2"/>
          <w:szCs w:val="20"/>
          <w:highlight w:val="none"/>
        </w:rPr>
        <w:fldChar w:fldCharType="end"/>
      </w:r>
    </w:p>
    <w:p w14:paraId="3CF5187B">
      <w:pPr>
        <w:pStyle w:val="12"/>
        <w:tabs>
          <w:tab w:val="right" w:leader="dot" w:pos="9258"/>
        </w:tabs>
        <w:ind w:left="0" w:leftChars="0" w:firstLine="0" w:firstLineChars="0"/>
        <w:rPr>
          <w:rFonts w:hint="eastAsia" w:ascii="宋体" w:hAnsi="宋体" w:eastAsia="宋体" w:cs="宋体"/>
        </w:rPr>
      </w:pPr>
      <w:r>
        <w:rPr>
          <w:rFonts w:hint="eastAsia" w:ascii="宋体" w:hAnsi="宋体" w:eastAsia="宋体" w:cs="宋体"/>
          <w:bCs/>
          <w:caps/>
          <w:snapToGrid w:val="0"/>
          <w:kern w:val="2"/>
          <w:szCs w:val="20"/>
          <w:highlight w:val="none"/>
        </w:rPr>
        <w:fldChar w:fldCharType="begin"/>
      </w:r>
      <w:r>
        <w:rPr>
          <w:rFonts w:hint="eastAsia" w:ascii="宋体" w:hAnsi="宋体" w:eastAsia="宋体" w:cs="宋体"/>
          <w:bCs/>
          <w:caps/>
          <w:snapToGrid w:val="0"/>
          <w:kern w:val="2"/>
          <w:szCs w:val="20"/>
          <w:highlight w:val="none"/>
        </w:rPr>
        <w:instrText xml:space="preserve"> HYPERLINK \l _Toc18708 </w:instrText>
      </w:r>
      <w:r>
        <w:rPr>
          <w:rFonts w:hint="eastAsia" w:ascii="宋体" w:hAnsi="宋体" w:eastAsia="宋体" w:cs="宋体"/>
          <w:bCs/>
          <w:caps/>
          <w:snapToGrid w:val="0"/>
          <w:kern w:val="2"/>
          <w:szCs w:val="20"/>
          <w:highlight w:val="none"/>
        </w:rPr>
        <w:fldChar w:fldCharType="separate"/>
      </w:r>
      <w:r>
        <w:rPr>
          <w:rFonts w:hint="eastAsia" w:ascii="宋体" w:hAnsi="宋体" w:eastAsia="宋体" w:cs="宋体"/>
          <w:szCs w:val="30"/>
        </w:rPr>
        <w:t xml:space="preserve">4.11. </w:t>
      </w:r>
      <w:r>
        <w:rPr>
          <w:rFonts w:hint="eastAsia" w:ascii="宋体" w:hAnsi="宋体" w:eastAsia="宋体" w:cs="宋体"/>
          <w:szCs w:val="30"/>
          <w:highlight w:val="none"/>
          <w:lang w:val="en-US" w:eastAsia="zh-CN"/>
        </w:rPr>
        <w:t>移动端APP</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_Toc18708 \h </w:instrText>
      </w:r>
      <w:r>
        <w:rPr>
          <w:rFonts w:hint="eastAsia" w:ascii="宋体" w:hAnsi="宋体" w:eastAsia="宋体" w:cs="宋体"/>
        </w:rPr>
        <w:fldChar w:fldCharType="separate"/>
      </w:r>
      <w:r>
        <w:rPr>
          <w:rFonts w:hint="eastAsia" w:ascii="宋体" w:hAnsi="宋体" w:eastAsia="宋体" w:cs="宋体"/>
        </w:rPr>
        <w:t>18</w:t>
      </w:r>
      <w:r>
        <w:rPr>
          <w:rFonts w:hint="eastAsia" w:ascii="宋体" w:hAnsi="宋体" w:eastAsia="宋体" w:cs="宋体"/>
        </w:rPr>
        <w:fldChar w:fldCharType="end"/>
      </w:r>
      <w:r>
        <w:rPr>
          <w:rFonts w:hint="eastAsia" w:ascii="宋体" w:hAnsi="宋体" w:eastAsia="宋体" w:cs="宋体"/>
          <w:bCs/>
          <w:caps/>
          <w:snapToGrid w:val="0"/>
          <w:kern w:val="2"/>
          <w:szCs w:val="20"/>
          <w:highlight w:val="none"/>
        </w:rPr>
        <w:fldChar w:fldCharType="end"/>
      </w:r>
    </w:p>
    <w:p w14:paraId="1095456C">
      <w:pPr>
        <w:pStyle w:val="12"/>
        <w:tabs>
          <w:tab w:val="right" w:leader="dot" w:pos="9258"/>
        </w:tabs>
        <w:ind w:left="0" w:leftChars="0" w:firstLine="0" w:firstLineChars="0"/>
        <w:rPr>
          <w:rFonts w:hint="eastAsia" w:ascii="宋体" w:hAnsi="宋体" w:eastAsia="宋体" w:cs="宋体"/>
        </w:rPr>
      </w:pPr>
      <w:r>
        <w:rPr>
          <w:rFonts w:hint="eastAsia" w:ascii="宋体" w:hAnsi="宋体" w:eastAsia="宋体" w:cs="宋体"/>
          <w:bCs/>
          <w:caps/>
          <w:snapToGrid w:val="0"/>
          <w:kern w:val="2"/>
          <w:szCs w:val="20"/>
          <w:highlight w:val="none"/>
        </w:rPr>
        <w:fldChar w:fldCharType="begin"/>
      </w:r>
      <w:r>
        <w:rPr>
          <w:rFonts w:hint="eastAsia" w:ascii="宋体" w:hAnsi="宋体" w:eastAsia="宋体" w:cs="宋体"/>
          <w:bCs/>
          <w:caps/>
          <w:snapToGrid w:val="0"/>
          <w:kern w:val="2"/>
          <w:szCs w:val="20"/>
          <w:highlight w:val="none"/>
        </w:rPr>
        <w:instrText xml:space="preserve"> HYPERLINK \l _Toc32309 </w:instrText>
      </w:r>
      <w:r>
        <w:rPr>
          <w:rFonts w:hint="eastAsia" w:ascii="宋体" w:hAnsi="宋体" w:eastAsia="宋体" w:cs="宋体"/>
          <w:bCs/>
          <w:caps/>
          <w:snapToGrid w:val="0"/>
          <w:kern w:val="2"/>
          <w:szCs w:val="20"/>
          <w:highlight w:val="none"/>
        </w:rPr>
        <w:fldChar w:fldCharType="separate"/>
      </w:r>
      <w:r>
        <w:rPr>
          <w:rFonts w:hint="eastAsia" w:ascii="宋体" w:hAnsi="宋体" w:eastAsia="宋体" w:cs="宋体"/>
          <w:bCs/>
          <w:szCs w:val="30"/>
          <w:lang w:val="en-US" w:eastAsia="zh-CN"/>
        </w:rPr>
        <w:t xml:space="preserve">4.12. </w:t>
      </w:r>
      <w:r>
        <w:rPr>
          <w:rFonts w:hint="eastAsia" w:ascii="宋体" w:hAnsi="宋体" w:eastAsia="宋体" w:cs="宋体"/>
          <w:bCs/>
          <w:szCs w:val="30"/>
          <w:highlight w:val="none"/>
          <w:lang w:val="en-US" w:eastAsia="zh-CN"/>
        </w:rPr>
        <w:t>预测性维护维修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_Toc32309 \h </w:instrText>
      </w:r>
      <w:r>
        <w:rPr>
          <w:rFonts w:hint="eastAsia" w:ascii="宋体" w:hAnsi="宋体" w:eastAsia="宋体" w:cs="宋体"/>
        </w:rPr>
        <w:fldChar w:fldCharType="separate"/>
      </w:r>
      <w:r>
        <w:rPr>
          <w:rFonts w:hint="eastAsia" w:ascii="宋体" w:hAnsi="宋体" w:eastAsia="宋体" w:cs="宋体"/>
        </w:rPr>
        <w:t>18</w:t>
      </w:r>
      <w:r>
        <w:rPr>
          <w:rFonts w:hint="eastAsia" w:ascii="宋体" w:hAnsi="宋体" w:eastAsia="宋体" w:cs="宋体"/>
        </w:rPr>
        <w:fldChar w:fldCharType="end"/>
      </w:r>
      <w:r>
        <w:rPr>
          <w:rFonts w:hint="eastAsia" w:ascii="宋体" w:hAnsi="宋体" w:eastAsia="宋体" w:cs="宋体"/>
          <w:bCs/>
          <w:caps/>
          <w:snapToGrid w:val="0"/>
          <w:kern w:val="2"/>
          <w:szCs w:val="20"/>
          <w:highlight w:val="none"/>
        </w:rPr>
        <w:fldChar w:fldCharType="end"/>
      </w:r>
    </w:p>
    <w:p w14:paraId="4924A43E">
      <w:pPr>
        <w:pStyle w:val="8"/>
        <w:tabs>
          <w:tab w:val="right" w:leader="dot" w:pos="9258"/>
        </w:tabs>
        <w:ind w:left="0" w:leftChars="0" w:firstLine="0" w:firstLineChars="0"/>
        <w:rPr>
          <w:rFonts w:hint="eastAsia" w:ascii="宋体" w:hAnsi="宋体" w:eastAsia="宋体" w:cs="宋体"/>
        </w:rPr>
      </w:pPr>
      <w:r>
        <w:rPr>
          <w:rFonts w:hint="eastAsia" w:ascii="宋体" w:hAnsi="宋体" w:eastAsia="宋体" w:cs="宋体"/>
          <w:bCs/>
          <w:caps/>
          <w:snapToGrid w:val="0"/>
          <w:kern w:val="2"/>
          <w:szCs w:val="20"/>
          <w:highlight w:val="none"/>
        </w:rPr>
        <w:fldChar w:fldCharType="begin"/>
      </w:r>
      <w:r>
        <w:rPr>
          <w:rFonts w:hint="eastAsia" w:ascii="宋体" w:hAnsi="宋体" w:eastAsia="宋体" w:cs="宋体"/>
          <w:bCs/>
          <w:caps/>
          <w:snapToGrid w:val="0"/>
          <w:kern w:val="2"/>
          <w:szCs w:val="20"/>
          <w:highlight w:val="none"/>
        </w:rPr>
        <w:instrText xml:space="preserve"> HYPERLINK \l _Toc9778 </w:instrText>
      </w:r>
      <w:r>
        <w:rPr>
          <w:rFonts w:hint="eastAsia" w:ascii="宋体" w:hAnsi="宋体" w:eastAsia="宋体" w:cs="宋体"/>
          <w:bCs/>
          <w:caps/>
          <w:snapToGrid w:val="0"/>
          <w:kern w:val="2"/>
          <w:szCs w:val="20"/>
          <w:highlight w:val="none"/>
        </w:rPr>
        <w:fldChar w:fldCharType="separate"/>
      </w:r>
      <w:r>
        <w:rPr>
          <w:rFonts w:hint="eastAsia" w:ascii="宋体" w:hAnsi="宋体" w:eastAsia="宋体" w:cs="宋体"/>
          <w:bCs/>
          <w:szCs w:val="28"/>
          <w:lang w:val="en-US" w:eastAsia="zh-CN"/>
        </w:rPr>
        <w:t xml:space="preserve">4.13. </w:t>
      </w:r>
      <w:r>
        <w:rPr>
          <w:rFonts w:hint="eastAsia" w:ascii="宋体" w:hAnsi="宋体" w:eastAsia="宋体" w:cs="宋体"/>
          <w:bCs/>
          <w:szCs w:val="28"/>
          <w:highlight w:val="none"/>
          <w:lang w:val="en-US" w:eastAsia="zh-CN"/>
        </w:rPr>
        <w:t>外部系统集成</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_Toc9778 \h </w:instrText>
      </w:r>
      <w:r>
        <w:rPr>
          <w:rFonts w:hint="eastAsia" w:ascii="宋体" w:hAnsi="宋体" w:eastAsia="宋体" w:cs="宋体"/>
        </w:rPr>
        <w:fldChar w:fldCharType="separate"/>
      </w:r>
      <w:r>
        <w:rPr>
          <w:rFonts w:hint="eastAsia" w:ascii="宋体" w:hAnsi="宋体" w:eastAsia="宋体" w:cs="宋体"/>
        </w:rPr>
        <w:t>20</w:t>
      </w:r>
      <w:r>
        <w:rPr>
          <w:rFonts w:hint="eastAsia" w:ascii="宋体" w:hAnsi="宋体" w:eastAsia="宋体" w:cs="宋体"/>
        </w:rPr>
        <w:fldChar w:fldCharType="end"/>
      </w:r>
      <w:r>
        <w:rPr>
          <w:rFonts w:hint="eastAsia" w:ascii="宋体" w:hAnsi="宋体" w:eastAsia="宋体" w:cs="宋体"/>
          <w:bCs/>
          <w:caps/>
          <w:snapToGrid w:val="0"/>
          <w:kern w:val="2"/>
          <w:szCs w:val="20"/>
          <w:highlight w:val="none"/>
        </w:rPr>
        <w:fldChar w:fldCharType="end"/>
      </w:r>
    </w:p>
    <w:p w14:paraId="12C6E186">
      <w:pPr>
        <w:pStyle w:val="8"/>
        <w:tabs>
          <w:tab w:val="right" w:leader="dot" w:pos="9258"/>
        </w:tabs>
        <w:ind w:left="0" w:leftChars="0" w:firstLine="0" w:firstLineChars="0"/>
        <w:rPr>
          <w:rFonts w:hint="eastAsia" w:ascii="宋体" w:hAnsi="宋体" w:eastAsia="宋体" w:cs="宋体"/>
        </w:rPr>
      </w:pPr>
      <w:r>
        <w:rPr>
          <w:rFonts w:hint="eastAsia" w:ascii="宋体" w:hAnsi="宋体" w:eastAsia="宋体" w:cs="宋体"/>
          <w:bCs/>
          <w:caps/>
          <w:snapToGrid w:val="0"/>
          <w:kern w:val="2"/>
          <w:szCs w:val="20"/>
          <w:highlight w:val="none"/>
        </w:rPr>
        <w:fldChar w:fldCharType="begin"/>
      </w:r>
      <w:r>
        <w:rPr>
          <w:rFonts w:hint="eastAsia" w:ascii="宋体" w:hAnsi="宋体" w:eastAsia="宋体" w:cs="宋体"/>
          <w:bCs/>
          <w:caps/>
          <w:snapToGrid w:val="0"/>
          <w:kern w:val="2"/>
          <w:szCs w:val="20"/>
          <w:highlight w:val="none"/>
        </w:rPr>
        <w:instrText xml:space="preserve"> HYPERLINK \l _Toc2505 </w:instrText>
      </w:r>
      <w:r>
        <w:rPr>
          <w:rFonts w:hint="eastAsia" w:ascii="宋体" w:hAnsi="宋体" w:eastAsia="宋体" w:cs="宋体"/>
          <w:bCs/>
          <w:caps/>
          <w:snapToGrid w:val="0"/>
          <w:kern w:val="2"/>
          <w:szCs w:val="20"/>
          <w:highlight w:val="none"/>
        </w:rPr>
        <w:fldChar w:fldCharType="separate"/>
      </w:r>
      <w:r>
        <w:rPr>
          <w:rFonts w:hint="eastAsia" w:ascii="宋体" w:hAnsi="宋体" w:eastAsia="宋体" w:cs="宋体"/>
          <w:bCs/>
          <w:szCs w:val="28"/>
          <w:lang w:val="en-US" w:eastAsia="zh-CN"/>
        </w:rPr>
        <w:t xml:space="preserve">4.14. </w:t>
      </w:r>
      <w:r>
        <w:rPr>
          <w:rFonts w:hint="eastAsia" w:ascii="宋体" w:hAnsi="宋体" w:eastAsia="宋体" w:cs="宋体"/>
          <w:bCs/>
          <w:szCs w:val="28"/>
          <w:highlight w:val="none"/>
          <w:lang w:val="en-US" w:eastAsia="zh-CN"/>
        </w:rPr>
        <w:t>系统性能需求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_Toc2505 \h </w:instrText>
      </w:r>
      <w:r>
        <w:rPr>
          <w:rFonts w:hint="eastAsia" w:ascii="宋体" w:hAnsi="宋体" w:eastAsia="宋体" w:cs="宋体"/>
        </w:rPr>
        <w:fldChar w:fldCharType="separate"/>
      </w:r>
      <w:r>
        <w:rPr>
          <w:rFonts w:hint="eastAsia" w:ascii="宋体" w:hAnsi="宋体" w:eastAsia="宋体" w:cs="宋体"/>
        </w:rPr>
        <w:t>20</w:t>
      </w:r>
      <w:r>
        <w:rPr>
          <w:rFonts w:hint="eastAsia" w:ascii="宋体" w:hAnsi="宋体" w:eastAsia="宋体" w:cs="宋体"/>
        </w:rPr>
        <w:fldChar w:fldCharType="end"/>
      </w:r>
      <w:r>
        <w:rPr>
          <w:rFonts w:hint="eastAsia" w:ascii="宋体" w:hAnsi="宋体" w:eastAsia="宋体" w:cs="宋体"/>
          <w:bCs/>
          <w:caps/>
          <w:snapToGrid w:val="0"/>
          <w:kern w:val="2"/>
          <w:szCs w:val="20"/>
          <w:highlight w:val="none"/>
        </w:rPr>
        <w:fldChar w:fldCharType="end"/>
      </w:r>
    </w:p>
    <w:p w14:paraId="4CD8FF40">
      <w:pPr>
        <w:pStyle w:val="11"/>
        <w:tabs>
          <w:tab w:val="right" w:leader="dot" w:pos="9258"/>
        </w:tabs>
        <w:ind w:left="0" w:leftChars="0" w:firstLine="0" w:firstLineChars="0"/>
        <w:rPr>
          <w:rFonts w:hint="eastAsia" w:ascii="宋体" w:hAnsi="宋体" w:eastAsia="宋体" w:cs="宋体"/>
        </w:rPr>
      </w:pPr>
      <w:r>
        <w:rPr>
          <w:rFonts w:hint="eastAsia" w:ascii="宋体" w:hAnsi="宋体" w:eastAsia="宋体" w:cs="宋体"/>
          <w:bCs w:val="0"/>
          <w:caps w:val="0"/>
          <w:snapToGrid w:val="0"/>
          <w:kern w:val="2"/>
          <w:szCs w:val="20"/>
          <w:highlight w:val="none"/>
        </w:rPr>
        <w:fldChar w:fldCharType="begin"/>
      </w:r>
      <w:r>
        <w:rPr>
          <w:rFonts w:hint="eastAsia" w:ascii="宋体" w:hAnsi="宋体" w:eastAsia="宋体" w:cs="宋体"/>
          <w:bCs w:val="0"/>
          <w:caps w:val="0"/>
          <w:snapToGrid w:val="0"/>
          <w:kern w:val="2"/>
          <w:szCs w:val="20"/>
          <w:highlight w:val="none"/>
        </w:rPr>
        <w:instrText xml:space="preserve"> HYPERLINK \l _Toc30540 </w:instrText>
      </w:r>
      <w:r>
        <w:rPr>
          <w:rFonts w:hint="eastAsia" w:ascii="宋体" w:hAnsi="宋体" w:eastAsia="宋体" w:cs="宋体"/>
          <w:bCs w:val="0"/>
          <w:caps w:val="0"/>
          <w:snapToGrid w:val="0"/>
          <w:kern w:val="2"/>
          <w:szCs w:val="20"/>
          <w:highlight w:val="none"/>
        </w:rPr>
        <w:fldChar w:fldCharType="separate"/>
      </w:r>
      <w:r>
        <w:rPr>
          <w:rFonts w:hint="eastAsia" w:ascii="宋体" w:hAnsi="宋体" w:eastAsia="宋体" w:cs="宋体"/>
          <w:szCs w:val="30"/>
          <w:lang w:val="en-US" w:eastAsia="zh-CN"/>
        </w:rPr>
        <w:t xml:space="preserve">第五章 </w:t>
      </w:r>
      <w:r>
        <w:rPr>
          <w:rFonts w:hint="eastAsia" w:ascii="宋体" w:hAnsi="宋体" w:eastAsia="宋体" w:cs="宋体"/>
          <w:szCs w:val="30"/>
          <w:highlight w:val="none"/>
        </w:rPr>
        <w:t>项目</w:t>
      </w:r>
      <w:r>
        <w:rPr>
          <w:rFonts w:hint="eastAsia" w:ascii="宋体" w:hAnsi="宋体" w:eastAsia="宋体" w:cs="宋体"/>
          <w:szCs w:val="30"/>
          <w:highlight w:val="none"/>
          <w:lang w:val="en-US" w:eastAsia="zh-CN"/>
        </w:rPr>
        <w:t>实施与验收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_Toc30540 \h </w:instrText>
      </w:r>
      <w:r>
        <w:rPr>
          <w:rFonts w:hint="eastAsia" w:ascii="宋体" w:hAnsi="宋体" w:eastAsia="宋体" w:cs="宋体"/>
        </w:rPr>
        <w:fldChar w:fldCharType="separate"/>
      </w:r>
      <w:r>
        <w:rPr>
          <w:rFonts w:hint="eastAsia" w:ascii="宋体" w:hAnsi="宋体" w:eastAsia="宋体" w:cs="宋体"/>
        </w:rPr>
        <w:t>23</w:t>
      </w:r>
      <w:r>
        <w:rPr>
          <w:rFonts w:hint="eastAsia" w:ascii="宋体" w:hAnsi="宋体" w:eastAsia="宋体" w:cs="宋体"/>
        </w:rPr>
        <w:fldChar w:fldCharType="end"/>
      </w:r>
      <w:r>
        <w:rPr>
          <w:rFonts w:hint="eastAsia" w:ascii="宋体" w:hAnsi="宋体" w:eastAsia="宋体" w:cs="宋体"/>
          <w:bCs w:val="0"/>
          <w:caps w:val="0"/>
          <w:snapToGrid w:val="0"/>
          <w:kern w:val="2"/>
          <w:szCs w:val="20"/>
          <w:highlight w:val="none"/>
        </w:rPr>
        <w:fldChar w:fldCharType="end"/>
      </w:r>
    </w:p>
    <w:p w14:paraId="0427D94D">
      <w:pPr>
        <w:pStyle w:val="8"/>
        <w:tabs>
          <w:tab w:val="right" w:leader="dot" w:pos="9258"/>
        </w:tabs>
        <w:ind w:left="0" w:leftChars="0" w:firstLine="0" w:firstLineChars="0"/>
        <w:rPr>
          <w:rFonts w:hint="eastAsia" w:ascii="宋体" w:hAnsi="宋体" w:eastAsia="宋体" w:cs="宋体"/>
        </w:rPr>
      </w:pPr>
      <w:r>
        <w:rPr>
          <w:rFonts w:hint="eastAsia" w:ascii="宋体" w:hAnsi="宋体" w:eastAsia="宋体" w:cs="宋体"/>
          <w:bCs/>
          <w:caps/>
          <w:snapToGrid w:val="0"/>
          <w:kern w:val="2"/>
          <w:szCs w:val="20"/>
          <w:highlight w:val="none"/>
        </w:rPr>
        <w:fldChar w:fldCharType="begin"/>
      </w:r>
      <w:r>
        <w:rPr>
          <w:rFonts w:hint="eastAsia" w:ascii="宋体" w:hAnsi="宋体" w:eastAsia="宋体" w:cs="宋体"/>
          <w:bCs/>
          <w:caps/>
          <w:snapToGrid w:val="0"/>
          <w:kern w:val="2"/>
          <w:szCs w:val="20"/>
          <w:highlight w:val="none"/>
        </w:rPr>
        <w:instrText xml:space="preserve"> HYPERLINK \l _Toc9505 </w:instrText>
      </w:r>
      <w:r>
        <w:rPr>
          <w:rFonts w:hint="eastAsia" w:ascii="宋体" w:hAnsi="宋体" w:eastAsia="宋体" w:cs="宋体"/>
          <w:bCs/>
          <w:caps/>
          <w:snapToGrid w:val="0"/>
          <w:kern w:val="2"/>
          <w:szCs w:val="20"/>
          <w:highlight w:val="none"/>
        </w:rPr>
        <w:fldChar w:fldCharType="separate"/>
      </w:r>
      <w:r>
        <w:rPr>
          <w:rFonts w:hint="eastAsia" w:ascii="宋体" w:hAnsi="宋体" w:eastAsia="宋体" w:cs="宋体"/>
          <w:bCs/>
          <w:szCs w:val="28"/>
          <w:lang w:val="en-US" w:eastAsia="zh-CN"/>
        </w:rPr>
        <w:t xml:space="preserve">5.1. </w:t>
      </w:r>
      <w:r>
        <w:rPr>
          <w:rFonts w:hint="eastAsia" w:ascii="宋体" w:hAnsi="宋体" w:eastAsia="宋体" w:cs="宋体"/>
          <w:bCs/>
          <w:szCs w:val="28"/>
          <w:highlight w:val="none"/>
          <w:lang w:val="en-US" w:eastAsia="zh-CN"/>
        </w:rPr>
        <w:t>项目计划</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_Toc9505 \h </w:instrText>
      </w:r>
      <w:r>
        <w:rPr>
          <w:rFonts w:hint="eastAsia" w:ascii="宋体" w:hAnsi="宋体" w:eastAsia="宋体" w:cs="宋体"/>
        </w:rPr>
        <w:fldChar w:fldCharType="separate"/>
      </w:r>
      <w:r>
        <w:rPr>
          <w:rFonts w:hint="eastAsia" w:ascii="宋体" w:hAnsi="宋体" w:eastAsia="宋体" w:cs="宋体"/>
        </w:rPr>
        <w:t>23</w:t>
      </w:r>
      <w:r>
        <w:rPr>
          <w:rFonts w:hint="eastAsia" w:ascii="宋体" w:hAnsi="宋体" w:eastAsia="宋体" w:cs="宋体"/>
        </w:rPr>
        <w:fldChar w:fldCharType="end"/>
      </w:r>
      <w:r>
        <w:rPr>
          <w:rFonts w:hint="eastAsia" w:ascii="宋体" w:hAnsi="宋体" w:eastAsia="宋体" w:cs="宋体"/>
          <w:bCs/>
          <w:caps/>
          <w:snapToGrid w:val="0"/>
          <w:kern w:val="2"/>
          <w:szCs w:val="20"/>
          <w:highlight w:val="none"/>
        </w:rPr>
        <w:fldChar w:fldCharType="end"/>
      </w:r>
    </w:p>
    <w:p w14:paraId="0122CE83">
      <w:pPr>
        <w:pStyle w:val="8"/>
        <w:tabs>
          <w:tab w:val="right" w:leader="dot" w:pos="9258"/>
        </w:tabs>
        <w:ind w:left="0" w:leftChars="0" w:firstLine="0" w:firstLineChars="0"/>
        <w:rPr>
          <w:rFonts w:hint="eastAsia" w:ascii="宋体" w:hAnsi="宋体" w:eastAsia="宋体" w:cs="宋体"/>
        </w:rPr>
      </w:pPr>
      <w:r>
        <w:rPr>
          <w:rFonts w:hint="eastAsia" w:ascii="宋体" w:hAnsi="宋体" w:eastAsia="宋体" w:cs="宋体"/>
          <w:bCs/>
          <w:caps/>
          <w:snapToGrid w:val="0"/>
          <w:kern w:val="2"/>
          <w:szCs w:val="20"/>
          <w:highlight w:val="none"/>
        </w:rPr>
        <w:fldChar w:fldCharType="begin"/>
      </w:r>
      <w:r>
        <w:rPr>
          <w:rFonts w:hint="eastAsia" w:ascii="宋体" w:hAnsi="宋体" w:eastAsia="宋体" w:cs="宋体"/>
          <w:bCs/>
          <w:caps/>
          <w:snapToGrid w:val="0"/>
          <w:kern w:val="2"/>
          <w:szCs w:val="20"/>
          <w:highlight w:val="none"/>
        </w:rPr>
        <w:instrText xml:space="preserve"> HYPERLINK \l _Toc15096 </w:instrText>
      </w:r>
      <w:r>
        <w:rPr>
          <w:rFonts w:hint="eastAsia" w:ascii="宋体" w:hAnsi="宋体" w:eastAsia="宋体" w:cs="宋体"/>
          <w:bCs/>
          <w:caps/>
          <w:snapToGrid w:val="0"/>
          <w:kern w:val="2"/>
          <w:szCs w:val="20"/>
          <w:highlight w:val="none"/>
        </w:rPr>
        <w:fldChar w:fldCharType="separate"/>
      </w:r>
      <w:r>
        <w:rPr>
          <w:rFonts w:hint="eastAsia" w:ascii="宋体" w:hAnsi="宋体" w:eastAsia="宋体" w:cs="宋体"/>
          <w:bCs/>
          <w:szCs w:val="28"/>
          <w:lang w:val="en-US" w:eastAsia="zh-CN"/>
        </w:rPr>
        <w:t xml:space="preserve">5.2. </w:t>
      </w:r>
      <w:r>
        <w:rPr>
          <w:rFonts w:hint="eastAsia" w:ascii="宋体" w:hAnsi="宋体" w:eastAsia="宋体" w:cs="宋体"/>
          <w:bCs/>
          <w:szCs w:val="28"/>
          <w:highlight w:val="none"/>
          <w:lang w:val="en-US" w:eastAsia="zh-CN"/>
        </w:rPr>
        <w:t>项目实施团队要求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_Toc15096 \h </w:instrText>
      </w:r>
      <w:r>
        <w:rPr>
          <w:rFonts w:hint="eastAsia" w:ascii="宋体" w:hAnsi="宋体" w:eastAsia="宋体" w:cs="宋体"/>
        </w:rPr>
        <w:fldChar w:fldCharType="separate"/>
      </w:r>
      <w:r>
        <w:rPr>
          <w:rFonts w:hint="eastAsia" w:ascii="宋体" w:hAnsi="宋体" w:eastAsia="宋体" w:cs="宋体"/>
        </w:rPr>
        <w:t>23</w:t>
      </w:r>
      <w:r>
        <w:rPr>
          <w:rFonts w:hint="eastAsia" w:ascii="宋体" w:hAnsi="宋体" w:eastAsia="宋体" w:cs="宋体"/>
        </w:rPr>
        <w:fldChar w:fldCharType="end"/>
      </w:r>
      <w:r>
        <w:rPr>
          <w:rFonts w:hint="eastAsia" w:ascii="宋体" w:hAnsi="宋体" w:eastAsia="宋体" w:cs="宋体"/>
          <w:bCs/>
          <w:caps/>
          <w:snapToGrid w:val="0"/>
          <w:kern w:val="2"/>
          <w:szCs w:val="20"/>
          <w:highlight w:val="none"/>
        </w:rPr>
        <w:fldChar w:fldCharType="end"/>
      </w:r>
    </w:p>
    <w:p w14:paraId="40A1CC84">
      <w:pPr>
        <w:pStyle w:val="8"/>
        <w:tabs>
          <w:tab w:val="right" w:leader="dot" w:pos="9258"/>
        </w:tabs>
        <w:ind w:left="0" w:leftChars="0" w:firstLine="0" w:firstLineChars="0"/>
        <w:rPr>
          <w:rFonts w:hint="eastAsia" w:ascii="宋体" w:hAnsi="宋体" w:eastAsia="宋体" w:cs="宋体"/>
        </w:rPr>
      </w:pPr>
      <w:r>
        <w:rPr>
          <w:rFonts w:hint="eastAsia" w:ascii="宋体" w:hAnsi="宋体" w:eastAsia="宋体" w:cs="宋体"/>
          <w:bCs/>
          <w:caps/>
          <w:snapToGrid w:val="0"/>
          <w:kern w:val="2"/>
          <w:szCs w:val="20"/>
          <w:highlight w:val="none"/>
        </w:rPr>
        <w:fldChar w:fldCharType="begin"/>
      </w:r>
      <w:r>
        <w:rPr>
          <w:rFonts w:hint="eastAsia" w:ascii="宋体" w:hAnsi="宋体" w:eastAsia="宋体" w:cs="宋体"/>
          <w:bCs/>
          <w:caps/>
          <w:snapToGrid w:val="0"/>
          <w:kern w:val="2"/>
          <w:szCs w:val="20"/>
          <w:highlight w:val="none"/>
        </w:rPr>
        <w:instrText xml:space="preserve"> HYPERLINK \l _Toc21536 </w:instrText>
      </w:r>
      <w:r>
        <w:rPr>
          <w:rFonts w:hint="eastAsia" w:ascii="宋体" w:hAnsi="宋体" w:eastAsia="宋体" w:cs="宋体"/>
          <w:bCs/>
          <w:caps/>
          <w:snapToGrid w:val="0"/>
          <w:kern w:val="2"/>
          <w:szCs w:val="20"/>
          <w:highlight w:val="none"/>
        </w:rPr>
        <w:fldChar w:fldCharType="separate"/>
      </w:r>
      <w:r>
        <w:rPr>
          <w:rFonts w:hint="eastAsia" w:ascii="宋体" w:hAnsi="宋体" w:eastAsia="宋体" w:cs="宋体"/>
          <w:bCs/>
          <w:szCs w:val="28"/>
          <w:lang w:val="en-US" w:eastAsia="zh-CN"/>
        </w:rPr>
        <w:t xml:space="preserve">5.3. </w:t>
      </w:r>
      <w:r>
        <w:rPr>
          <w:rFonts w:hint="eastAsia" w:ascii="宋体" w:hAnsi="宋体" w:eastAsia="宋体" w:cs="宋体"/>
          <w:bCs/>
          <w:szCs w:val="28"/>
          <w:highlight w:val="none"/>
          <w:lang w:val="en-US" w:eastAsia="zh-CN"/>
        </w:rPr>
        <w:t>项目验收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_Toc21536 \h </w:instrText>
      </w:r>
      <w:r>
        <w:rPr>
          <w:rFonts w:hint="eastAsia" w:ascii="宋体" w:hAnsi="宋体" w:eastAsia="宋体" w:cs="宋体"/>
        </w:rPr>
        <w:fldChar w:fldCharType="separate"/>
      </w:r>
      <w:r>
        <w:rPr>
          <w:rFonts w:hint="eastAsia" w:ascii="宋体" w:hAnsi="宋体" w:eastAsia="宋体" w:cs="宋体"/>
        </w:rPr>
        <w:t>24</w:t>
      </w:r>
      <w:r>
        <w:rPr>
          <w:rFonts w:hint="eastAsia" w:ascii="宋体" w:hAnsi="宋体" w:eastAsia="宋体" w:cs="宋体"/>
        </w:rPr>
        <w:fldChar w:fldCharType="end"/>
      </w:r>
      <w:r>
        <w:rPr>
          <w:rFonts w:hint="eastAsia" w:ascii="宋体" w:hAnsi="宋体" w:eastAsia="宋体" w:cs="宋体"/>
          <w:bCs/>
          <w:caps/>
          <w:snapToGrid w:val="0"/>
          <w:kern w:val="2"/>
          <w:szCs w:val="20"/>
          <w:highlight w:val="none"/>
        </w:rPr>
        <w:fldChar w:fldCharType="end"/>
      </w:r>
    </w:p>
    <w:p w14:paraId="393C0C8C">
      <w:pPr>
        <w:pStyle w:val="8"/>
        <w:tabs>
          <w:tab w:val="right" w:leader="dot" w:pos="9258"/>
        </w:tabs>
        <w:ind w:left="0" w:leftChars="0" w:firstLine="0" w:firstLineChars="0"/>
        <w:rPr>
          <w:rFonts w:hint="eastAsia" w:ascii="宋体" w:hAnsi="宋体" w:eastAsia="宋体" w:cs="宋体"/>
        </w:rPr>
      </w:pPr>
      <w:r>
        <w:rPr>
          <w:rFonts w:hint="eastAsia" w:ascii="宋体" w:hAnsi="宋体" w:eastAsia="宋体" w:cs="宋体"/>
          <w:bCs/>
          <w:caps/>
          <w:snapToGrid w:val="0"/>
          <w:kern w:val="2"/>
          <w:szCs w:val="20"/>
          <w:highlight w:val="none"/>
        </w:rPr>
        <w:fldChar w:fldCharType="begin"/>
      </w:r>
      <w:r>
        <w:rPr>
          <w:rFonts w:hint="eastAsia" w:ascii="宋体" w:hAnsi="宋体" w:eastAsia="宋体" w:cs="宋体"/>
          <w:bCs/>
          <w:caps/>
          <w:snapToGrid w:val="0"/>
          <w:kern w:val="2"/>
          <w:szCs w:val="20"/>
          <w:highlight w:val="none"/>
        </w:rPr>
        <w:instrText xml:space="preserve"> HYPERLINK \l _Toc3730 </w:instrText>
      </w:r>
      <w:r>
        <w:rPr>
          <w:rFonts w:hint="eastAsia" w:ascii="宋体" w:hAnsi="宋体" w:eastAsia="宋体" w:cs="宋体"/>
          <w:bCs/>
          <w:caps/>
          <w:snapToGrid w:val="0"/>
          <w:kern w:val="2"/>
          <w:szCs w:val="20"/>
          <w:highlight w:val="none"/>
        </w:rPr>
        <w:fldChar w:fldCharType="separate"/>
      </w:r>
      <w:r>
        <w:rPr>
          <w:rFonts w:hint="eastAsia" w:ascii="宋体" w:hAnsi="宋体" w:eastAsia="宋体" w:cs="宋体"/>
          <w:bCs/>
          <w:szCs w:val="28"/>
          <w:lang w:val="en-US" w:eastAsia="zh-CN"/>
        </w:rPr>
        <w:t xml:space="preserve">5.4. </w:t>
      </w:r>
      <w:r>
        <w:rPr>
          <w:rFonts w:hint="eastAsia" w:ascii="宋体" w:hAnsi="宋体" w:eastAsia="宋体" w:cs="宋体"/>
          <w:bCs/>
          <w:szCs w:val="28"/>
          <w:highlight w:val="none"/>
          <w:lang w:val="en-US" w:eastAsia="zh-CN"/>
        </w:rPr>
        <w:t>其他要求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_Toc3730 \h </w:instrText>
      </w:r>
      <w:r>
        <w:rPr>
          <w:rFonts w:hint="eastAsia" w:ascii="宋体" w:hAnsi="宋体" w:eastAsia="宋体" w:cs="宋体"/>
        </w:rPr>
        <w:fldChar w:fldCharType="separate"/>
      </w:r>
      <w:r>
        <w:rPr>
          <w:rFonts w:hint="eastAsia" w:ascii="宋体" w:hAnsi="宋体" w:eastAsia="宋体" w:cs="宋体"/>
        </w:rPr>
        <w:t>24</w:t>
      </w:r>
      <w:r>
        <w:rPr>
          <w:rFonts w:hint="eastAsia" w:ascii="宋体" w:hAnsi="宋体" w:eastAsia="宋体" w:cs="宋体"/>
        </w:rPr>
        <w:fldChar w:fldCharType="end"/>
      </w:r>
      <w:r>
        <w:rPr>
          <w:rFonts w:hint="eastAsia" w:ascii="宋体" w:hAnsi="宋体" w:eastAsia="宋体" w:cs="宋体"/>
          <w:bCs/>
          <w:caps/>
          <w:snapToGrid w:val="0"/>
          <w:kern w:val="2"/>
          <w:szCs w:val="20"/>
          <w:highlight w:val="none"/>
        </w:rPr>
        <w:fldChar w:fldCharType="end"/>
      </w:r>
    </w:p>
    <w:p w14:paraId="6612DA06">
      <w:pPr>
        <w:pStyle w:val="11"/>
        <w:tabs>
          <w:tab w:val="right" w:leader="dot" w:pos="9258"/>
        </w:tabs>
        <w:ind w:left="0" w:leftChars="0" w:firstLine="0" w:firstLineChars="0"/>
        <w:rPr>
          <w:rFonts w:hint="eastAsia" w:ascii="宋体" w:hAnsi="宋体" w:eastAsia="宋体" w:cs="宋体"/>
        </w:rPr>
      </w:pPr>
      <w:r>
        <w:rPr>
          <w:rFonts w:hint="eastAsia" w:ascii="宋体" w:hAnsi="宋体" w:eastAsia="宋体" w:cs="宋体"/>
          <w:bCs w:val="0"/>
          <w:caps w:val="0"/>
          <w:snapToGrid w:val="0"/>
          <w:kern w:val="2"/>
          <w:szCs w:val="20"/>
          <w:highlight w:val="none"/>
        </w:rPr>
        <w:fldChar w:fldCharType="begin"/>
      </w:r>
      <w:r>
        <w:rPr>
          <w:rFonts w:hint="eastAsia" w:ascii="宋体" w:hAnsi="宋体" w:eastAsia="宋体" w:cs="宋体"/>
          <w:bCs w:val="0"/>
          <w:caps w:val="0"/>
          <w:snapToGrid w:val="0"/>
          <w:kern w:val="2"/>
          <w:szCs w:val="20"/>
          <w:highlight w:val="none"/>
        </w:rPr>
        <w:instrText xml:space="preserve"> HYPERLINK \l _Toc19375 </w:instrText>
      </w:r>
      <w:r>
        <w:rPr>
          <w:rFonts w:hint="eastAsia" w:ascii="宋体" w:hAnsi="宋体" w:eastAsia="宋体" w:cs="宋体"/>
          <w:bCs w:val="0"/>
          <w:caps w:val="0"/>
          <w:snapToGrid w:val="0"/>
          <w:kern w:val="2"/>
          <w:szCs w:val="20"/>
          <w:highlight w:val="none"/>
        </w:rPr>
        <w:fldChar w:fldCharType="separate"/>
      </w:r>
      <w:r>
        <w:rPr>
          <w:rFonts w:hint="eastAsia" w:ascii="宋体" w:hAnsi="宋体" w:eastAsia="宋体" w:cs="宋体"/>
          <w:szCs w:val="30"/>
          <w:lang w:val="en-US" w:eastAsia="zh-CN"/>
        </w:rPr>
        <w:t xml:space="preserve">第六章 </w:t>
      </w:r>
      <w:r>
        <w:rPr>
          <w:rFonts w:hint="eastAsia" w:ascii="宋体" w:hAnsi="宋体" w:eastAsia="宋体" w:cs="宋体"/>
          <w:szCs w:val="30"/>
          <w:highlight w:val="none"/>
          <w:lang w:val="en-US" w:eastAsia="zh-CN"/>
        </w:rPr>
        <w:t>投标要求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_Toc19375 \h </w:instrText>
      </w:r>
      <w:r>
        <w:rPr>
          <w:rFonts w:hint="eastAsia" w:ascii="宋体" w:hAnsi="宋体" w:eastAsia="宋体" w:cs="宋体"/>
        </w:rPr>
        <w:fldChar w:fldCharType="separate"/>
      </w:r>
      <w:r>
        <w:rPr>
          <w:rFonts w:hint="eastAsia" w:ascii="宋体" w:hAnsi="宋体" w:eastAsia="宋体" w:cs="宋体"/>
        </w:rPr>
        <w:t>25</w:t>
      </w:r>
      <w:r>
        <w:rPr>
          <w:rFonts w:hint="eastAsia" w:ascii="宋体" w:hAnsi="宋体" w:eastAsia="宋体" w:cs="宋体"/>
        </w:rPr>
        <w:fldChar w:fldCharType="end"/>
      </w:r>
      <w:r>
        <w:rPr>
          <w:rFonts w:hint="eastAsia" w:ascii="宋体" w:hAnsi="宋体" w:eastAsia="宋体" w:cs="宋体"/>
          <w:bCs w:val="0"/>
          <w:caps w:val="0"/>
          <w:snapToGrid w:val="0"/>
          <w:kern w:val="2"/>
          <w:szCs w:val="20"/>
          <w:highlight w:val="none"/>
        </w:rPr>
        <w:fldChar w:fldCharType="end"/>
      </w:r>
    </w:p>
    <w:p w14:paraId="1CE2C20F">
      <w:pPr>
        <w:pStyle w:val="8"/>
        <w:tabs>
          <w:tab w:val="right" w:leader="dot" w:pos="9258"/>
        </w:tabs>
        <w:ind w:left="0" w:leftChars="0" w:firstLine="0" w:firstLineChars="0"/>
        <w:rPr>
          <w:rFonts w:hint="eastAsia" w:ascii="宋体" w:hAnsi="宋体" w:eastAsia="宋体" w:cs="宋体"/>
        </w:rPr>
      </w:pPr>
      <w:r>
        <w:rPr>
          <w:rFonts w:hint="eastAsia" w:ascii="宋体" w:hAnsi="宋体" w:eastAsia="宋体" w:cs="宋体"/>
          <w:bCs/>
          <w:caps/>
          <w:snapToGrid w:val="0"/>
          <w:kern w:val="2"/>
          <w:szCs w:val="20"/>
          <w:highlight w:val="none"/>
        </w:rPr>
        <w:fldChar w:fldCharType="begin"/>
      </w:r>
      <w:r>
        <w:rPr>
          <w:rFonts w:hint="eastAsia" w:ascii="宋体" w:hAnsi="宋体" w:eastAsia="宋体" w:cs="宋体"/>
          <w:bCs/>
          <w:caps/>
          <w:snapToGrid w:val="0"/>
          <w:kern w:val="2"/>
          <w:szCs w:val="20"/>
          <w:highlight w:val="none"/>
        </w:rPr>
        <w:instrText xml:space="preserve"> HYPERLINK \l _Toc5232 </w:instrText>
      </w:r>
      <w:r>
        <w:rPr>
          <w:rFonts w:hint="eastAsia" w:ascii="宋体" w:hAnsi="宋体" w:eastAsia="宋体" w:cs="宋体"/>
          <w:bCs/>
          <w:caps/>
          <w:snapToGrid w:val="0"/>
          <w:kern w:val="2"/>
          <w:szCs w:val="20"/>
          <w:highlight w:val="none"/>
        </w:rPr>
        <w:fldChar w:fldCharType="separate"/>
      </w:r>
      <w:r>
        <w:rPr>
          <w:rFonts w:hint="eastAsia" w:ascii="宋体" w:hAnsi="宋体" w:eastAsia="宋体" w:cs="宋体"/>
          <w:bCs/>
          <w:szCs w:val="28"/>
          <w:lang w:val="en-US" w:eastAsia="zh-CN"/>
        </w:rPr>
        <w:t xml:space="preserve">6.1. </w:t>
      </w:r>
      <w:r>
        <w:rPr>
          <w:rFonts w:hint="eastAsia" w:ascii="宋体" w:hAnsi="宋体" w:eastAsia="宋体" w:cs="宋体"/>
          <w:bCs/>
          <w:szCs w:val="28"/>
          <w:highlight w:val="none"/>
          <w:lang w:val="en-US" w:eastAsia="zh-CN"/>
        </w:rPr>
        <w:t>资质要求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_Toc5232 \h </w:instrText>
      </w:r>
      <w:r>
        <w:rPr>
          <w:rFonts w:hint="eastAsia" w:ascii="宋体" w:hAnsi="宋体" w:eastAsia="宋体" w:cs="宋体"/>
        </w:rPr>
        <w:fldChar w:fldCharType="separate"/>
      </w:r>
      <w:r>
        <w:rPr>
          <w:rFonts w:hint="eastAsia" w:ascii="宋体" w:hAnsi="宋体" w:eastAsia="宋体" w:cs="宋体"/>
        </w:rPr>
        <w:t>25</w:t>
      </w:r>
      <w:r>
        <w:rPr>
          <w:rFonts w:hint="eastAsia" w:ascii="宋体" w:hAnsi="宋体" w:eastAsia="宋体" w:cs="宋体"/>
        </w:rPr>
        <w:fldChar w:fldCharType="end"/>
      </w:r>
      <w:r>
        <w:rPr>
          <w:rFonts w:hint="eastAsia" w:ascii="宋体" w:hAnsi="宋体" w:eastAsia="宋体" w:cs="宋体"/>
          <w:bCs/>
          <w:caps/>
          <w:snapToGrid w:val="0"/>
          <w:kern w:val="2"/>
          <w:szCs w:val="20"/>
          <w:highlight w:val="none"/>
        </w:rPr>
        <w:fldChar w:fldCharType="end"/>
      </w:r>
    </w:p>
    <w:p w14:paraId="24546BE1">
      <w:pPr>
        <w:pStyle w:val="8"/>
        <w:tabs>
          <w:tab w:val="right" w:leader="dot" w:pos="9258"/>
        </w:tabs>
        <w:ind w:left="0" w:leftChars="0" w:firstLine="0" w:firstLineChars="0"/>
        <w:rPr>
          <w:rFonts w:hint="eastAsia" w:ascii="宋体" w:hAnsi="宋体" w:eastAsia="宋体" w:cs="宋体"/>
        </w:rPr>
      </w:pPr>
      <w:r>
        <w:rPr>
          <w:rFonts w:hint="eastAsia" w:ascii="宋体" w:hAnsi="宋体" w:eastAsia="宋体" w:cs="宋体"/>
          <w:bCs/>
          <w:caps/>
          <w:snapToGrid w:val="0"/>
          <w:kern w:val="2"/>
          <w:szCs w:val="20"/>
          <w:highlight w:val="none"/>
        </w:rPr>
        <w:fldChar w:fldCharType="begin"/>
      </w:r>
      <w:r>
        <w:rPr>
          <w:rFonts w:hint="eastAsia" w:ascii="宋体" w:hAnsi="宋体" w:eastAsia="宋体" w:cs="宋体"/>
          <w:bCs/>
          <w:caps/>
          <w:snapToGrid w:val="0"/>
          <w:kern w:val="2"/>
          <w:szCs w:val="20"/>
          <w:highlight w:val="none"/>
        </w:rPr>
        <w:instrText xml:space="preserve"> HYPERLINK \l _Toc10643 </w:instrText>
      </w:r>
      <w:r>
        <w:rPr>
          <w:rFonts w:hint="eastAsia" w:ascii="宋体" w:hAnsi="宋体" w:eastAsia="宋体" w:cs="宋体"/>
          <w:bCs/>
          <w:caps/>
          <w:snapToGrid w:val="0"/>
          <w:kern w:val="2"/>
          <w:szCs w:val="20"/>
          <w:highlight w:val="none"/>
        </w:rPr>
        <w:fldChar w:fldCharType="separate"/>
      </w:r>
      <w:r>
        <w:rPr>
          <w:rFonts w:hint="eastAsia" w:ascii="宋体" w:hAnsi="宋体" w:eastAsia="宋体" w:cs="宋体"/>
          <w:bCs/>
          <w:szCs w:val="28"/>
          <w:lang w:val="en-US" w:eastAsia="zh-CN"/>
        </w:rPr>
        <w:t xml:space="preserve">6.2. </w:t>
      </w:r>
      <w:r>
        <w:rPr>
          <w:rFonts w:hint="eastAsia" w:ascii="宋体" w:hAnsi="宋体" w:eastAsia="宋体" w:cs="宋体"/>
          <w:bCs/>
          <w:szCs w:val="28"/>
          <w:highlight w:val="none"/>
          <w:lang w:val="en-US" w:eastAsia="zh-CN"/>
        </w:rPr>
        <w:t>投标响应</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_Toc10643 \h </w:instrText>
      </w:r>
      <w:r>
        <w:rPr>
          <w:rFonts w:hint="eastAsia" w:ascii="宋体" w:hAnsi="宋体" w:eastAsia="宋体" w:cs="宋体"/>
        </w:rPr>
        <w:fldChar w:fldCharType="separate"/>
      </w:r>
      <w:r>
        <w:rPr>
          <w:rFonts w:hint="eastAsia" w:ascii="宋体" w:hAnsi="宋体" w:eastAsia="宋体" w:cs="宋体"/>
        </w:rPr>
        <w:t>26</w:t>
      </w:r>
      <w:r>
        <w:rPr>
          <w:rFonts w:hint="eastAsia" w:ascii="宋体" w:hAnsi="宋体" w:eastAsia="宋体" w:cs="宋体"/>
        </w:rPr>
        <w:fldChar w:fldCharType="end"/>
      </w:r>
      <w:r>
        <w:rPr>
          <w:rFonts w:hint="eastAsia" w:ascii="宋体" w:hAnsi="宋体" w:eastAsia="宋体" w:cs="宋体"/>
          <w:bCs/>
          <w:caps/>
          <w:snapToGrid w:val="0"/>
          <w:kern w:val="2"/>
          <w:szCs w:val="20"/>
          <w:highlight w:val="none"/>
        </w:rPr>
        <w:fldChar w:fldCharType="end"/>
      </w:r>
    </w:p>
    <w:p w14:paraId="6C8537C0">
      <w:pPr>
        <w:pStyle w:val="8"/>
        <w:tabs>
          <w:tab w:val="right" w:leader="dot" w:pos="9258"/>
        </w:tabs>
        <w:ind w:left="0" w:leftChars="0" w:firstLine="0" w:firstLineChars="0"/>
        <w:rPr>
          <w:rFonts w:hint="eastAsia" w:ascii="宋体" w:hAnsi="宋体" w:eastAsia="宋体" w:cs="宋体"/>
        </w:rPr>
      </w:pPr>
      <w:r>
        <w:rPr>
          <w:rFonts w:hint="eastAsia" w:ascii="宋体" w:hAnsi="宋体" w:eastAsia="宋体" w:cs="宋体"/>
          <w:bCs/>
          <w:caps/>
          <w:snapToGrid w:val="0"/>
          <w:kern w:val="2"/>
          <w:szCs w:val="20"/>
          <w:highlight w:val="none"/>
        </w:rPr>
        <w:fldChar w:fldCharType="begin"/>
      </w:r>
      <w:r>
        <w:rPr>
          <w:rFonts w:hint="eastAsia" w:ascii="宋体" w:hAnsi="宋体" w:eastAsia="宋体" w:cs="宋体"/>
          <w:bCs/>
          <w:caps/>
          <w:snapToGrid w:val="0"/>
          <w:kern w:val="2"/>
          <w:szCs w:val="20"/>
          <w:highlight w:val="none"/>
        </w:rPr>
        <w:instrText xml:space="preserve"> HYPERLINK \l _Toc3299 </w:instrText>
      </w:r>
      <w:r>
        <w:rPr>
          <w:rFonts w:hint="eastAsia" w:ascii="宋体" w:hAnsi="宋体" w:eastAsia="宋体" w:cs="宋体"/>
          <w:bCs/>
          <w:caps/>
          <w:snapToGrid w:val="0"/>
          <w:kern w:val="2"/>
          <w:szCs w:val="20"/>
          <w:highlight w:val="none"/>
        </w:rPr>
        <w:fldChar w:fldCharType="separate"/>
      </w:r>
      <w:r>
        <w:rPr>
          <w:rFonts w:hint="eastAsia" w:ascii="宋体" w:hAnsi="宋体" w:eastAsia="宋体" w:cs="宋体"/>
          <w:bCs/>
          <w:szCs w:val="28"/>
          <w:lang w:val="en-US" w:eastAsia="zh-CN"/>
        </w:rPr>
        <w:t xml:space="preserve">6.3. </w:t>
      </w:r>
      <w:r>
        <w:rPr>
          <w:rFonts w:hint="eastAsia" w:ascii="宋体" w:hAnsi="宋体" w:eastAsia="宋体" w:cs="宋体"/>
          <w:bCs/>
          <w:szCs w:val="28"/>
          <w:highlight w:val="none"/>
          <w:lang w:val="en-US" w:eastAsia="zh-CN"/>
        </w:rPr>
        <w:t>违约解除条款</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_Toc3299 \h </w:instrText>
      </w:r>
      <w:r>
        <w:rPr>
          <w:rFonts w:hint="eastAsia" w:ascii="宋体" w:hAnsi="宋体" w:eastAsia="宋体" w:cs="宋体"/>
        </w:rPr>
        <w:fldChar w:fldCharType="separate"/>
      </w:r>
      <w:r>
        <w:rPr>
          <w:rFonts w:hint="eastAsia" w:ascii="宋体" w:hAnsi="宋体" w:eastAsia="宋体" w:cs="宋体"/>
        </w:rPr>
        <w:t>27</w:t>
      </w:r>
      <w:r>
        <w:rPr>
          <w:rFonts w:hint="eastAsia" w:ascii="宋体" w:hAnsi="宋体" w:eastAsia="宋体" w:cs="宋体"/>
        </w:rPr>
        <w:fldChar w:fldCharType="end"/>
      </w:r>
      <w:r>
        <w:rPr>
          <w:rFonts w:hint="eastAsia" w:ascii="宋体" w:hAnsi="宋体" w:eastAsia="宋体" w:cs="宋体"/>
          <w:bCs/>
          <w:caps/>
          <w:snapToGrid w:val="0"/>
          <w:kern w:val="2"/>
          <w:szCs w:val="20"/>
          <w:highlight w:val="none"/>
        </w:rPr>
        <w:fldChar w:fldCharType="end"/>
      </w:r>
    </w:p>
    <w:p w14:paraId="1E5AB6EC">
      <w:pPr>
        <w:pStyle w:val="11"/>
        <w:tabs>
          <w:tab w:val="right" w:leader="dot" w:pos="9258"/>
        </w:tabs>
        <w:ind w:left="0" w:leftChars="0" w:firstLine="0" w:firstLineChars="0"/>
      </w:pPr>
      <w:r>
        <w:rPr>
          <w:rFonts w:hint="eastAsia" w:ascii="宋体" w:hAnsi="宋体" w:eastAsia="宋体" w:cs="宋体"/>
          <w:bCs w:val="0"/>
          <w:caps w:val="0"/>
          <w:snapToGrid w:val="0"/>
          <w:kern w:val="2"/>
          <w:szCs w:val="20"/>
          <w:highlight w:val="none"/>
        </w:rPr>
        <w:fldChar w:fldCharType="begin"/>
      </w:r>
      <w:r>
        <w:rPr>
          <w:rFonts w:hint="eastAsia" w:ascii="宋体" w:hAnsi="宋体" w:eastAsia="宋体" w:cs="宋体"/>
          <w:bCs w:val="0"/>
          <w:caps w:val="0"/>
          <w:snapToGrid w:val="0"/>
          <w:kern w:val="2"/>
          <w:szCs w:val="20"/>
          <w:highlight w:val="none"/>
        </w:rPr>
        <w:instrText xml:space="preserve"> HYPERLINK \l _Toc26616 </w:instrText>
      </w:r>
      <w:r>
        <w:rPr>
          <w:rFonts w:hint="eastAsia" w:ascii="宋体" w:hAnsi="宋体" w:eastAsia="宋体" w:cs="宋体"/>
          <w:bCs w:val="0"/>
          <w:caps w:val="0"/>
          <w:snapToGrid w:val="0"/>
          <w:kern w:val="2"/>
          <w:szCs w:val="20"/>
          <w:highlight w:val="none"/>
        </w:rPr>
        <w:fldChar w:fldCharType="separate"/>
      </w:r>
      <w:r>
        <w:rPr>
          <w:rFonts w:hint="eastAsia" w:ascii="宋体" w:hAnsi="宋体" w:eastAsia="宋体" w:cs="宋体"/>
          <w:bCs w:val="0"/>
          <w:caps w:val="0"/>
          <w:snapToGrid w:val="0"/>
          <w:kern w:val="2"/>
          <w:szCs w:val="20"/>
          <w:highlight w:val="none"/>
        </w:rPr>
        <w:fldChar w:fldCharType="end"/>
      </w:r>
    </w:p>
    <w:p w14:paraId="32F51396">
      <w:pPr>
        <w:widowControl w:val="0"/>
        <w:tabs>
          <w:tab w:val="left" w:pos="4052"/>
          <w:tab w:val="center" w:pos="4839"/>
        </w:tabs>
        <w:spacing w:after="0" w:line="360" w:lineRule="auto"/>
        <w:jc w:val="center"/>
        <w:rPr>
          <w:rFonts w:hint="eastAsia" w:ascii="微软雅黑" w:hAnsi="微软雅黑" w:eastAsia="微软雅黑" w:cs="Arial"/>
          <w:snapToGrid w:val="0"/>
          <w:kern w:val="2"/>
          <w:sz w:val="36"/>
          <w:highlight w:val="none"/>
          <w:lang w:eastAsia="zh-CN"/>
        </w:rPr>
        <w:sectPr>
          <w:footerReference r:id="rId7" w:type="first"/>
          <w:footerReference r:id="rId6" w:type="default"/>
          <w:pgSz w:w="11906" w:h="16838"/>
          <w:pgMar w:top="1474" w:right="1230" w:bottom="1077" w:left="1418" w:header="851" w:footer="567" w:gutter="0"/>
          <w:pgBorders>
            <w:top w:val="none" w:sz="0" w:space="0"/>
            <w:left w:val="none" w:sz="0" w:space="0"/>
            <w:bottom w:val="none" w:sz="0" w:space="0"/>
            <w:right w:val="none" w:sz="0" w:space="0"/>
          </w:pgBorders>
          <w:cols w:space="720" w:num="1"/>
          <w:titlePg/>
          <w:docGrid w:type="lines" w:linePitch="326" w:charSpace="0"/>
        </w:sectPr>
      </w:pPr>
      <w:r>
        <w:rPr>
          <w:rFonts w:ascii="微软雅黑" w:hAnsi="微软雅黑" w:eastAsia="微软雅黑" w:cs="Calibri"/>
          <w:bCs/>
          <w:caps/>
          <w:snapToGrid w:val="0"/>
          <w:kern w:val="2"/>
          <w:sz w:val="21"/>
          <w:szCs w:val="20"/>
          <w:highlight w:val="none"/>
        </w:rPr>
        <w:fldChar w:fldCharType="end"/>
      </w:r>
      <w:bookmarkStart w:id="5" w:name="_Toc332632792"/>
      <w:r>
        <w:rPr>
          <w:rFonts w:hint="eastAsia" w:ascii="微软雅黑" w:hAnsi="微软雅黑" w:eastAsia="微软雅黑" w:cs="Calibri"/>
          <w:bCs/>
          <w:caps/>
          <w:snapToGrid w:val="0"/>
          <w:kern w:val="2"/>
          <w:sz w:val="21"/>
          <w:szCs w:val="20"/>
          <w:highlight w:val="none"/>
          <w:lang w:eastAsia="zh-CN"/>
        </w:rPr>
        <w:tab/>
      </w:r>
      <w:r>
        <w:rPr>
          <w:rFonts w:hint="eastAsia" w:ascii="微软雅黑" w:hAnsi="微软雅黑" w:eastAsia="微软雅黑" w:cs="Calibri"/>
          <w:bCs/>
          <w:caps/>
          <w:snapToGrid w:val="0"/>
          <w:kern w:val="2"/>
          <w:sz w:val="21"/>
          <w:szCs w:val="20"/>
          <w:highlight w:val="none"/>
          <w:lang w:eastAsia="zh-CN"/>
        </w:rPr>
        <w:tab/>
      </w:r>
    </w:p>
    <w:bookmarkEnd w:id="4"/>
    <w:bookmarkEnd w:id="5"/>
    <w:p w14:paraId="4152F533">
      <w:pPr>
        <w:pStyle w:val="2"/>
        <w:tabs>
          <w:tab w:val="left" w:pos="432"/>
        </w:tabs>
        <w:spacing w:before="0" w:line="500" w:lineRule="exact"/>
        <w:ind w:left="0" w:leftChars="0" w:firstLine="0" w:firstLineChars="0"/>
        <w:rPr>
          <w:rFonts w:ascii="宋体" w:hAnsi="宋体" w:cs="宋体"/>
          <w:color w:val="auto"/>
          <w:sz w:val="30"/>
          <w:szCs w:val="30"/>
          <w:highlight w:val="none"/>
        </w:rPr>
      </w:pPr>
      <w:bookmarkStart w:id="6" w:name="_Toc23906"/>
      <w:bookmarkStart w:id="7" w:name="_Toc25733"/>
      <w:bookmarkStart w:id="8" w:name="_Toc163745026"/>
      <w:bookmarkStart w:id="9" w:name="_Toc157743502"/>
      <w:r>
        <w:rPr>
          <w:rFonts w:hint="eastAsia" w:ascii="宋体" w:hAnsi="宋体" w:cs="宋体"/>
          <w:color w:val="auto"/>
          <w:sz w:val="30"/>
          <w:szCs w:val="30"/>
          <w:highlight w:val="none"/>
        </w:rPr>
        <w:t>第一章 项目概述</w:t>
      </w:r>
      <w:bookmarkEnd w:id="6"/>
      <w:bookmarkEnd w:id="7"/>
      <w:bookmarkEnd w:id="8"/>
    </w:p>
    <w:p w14:paraId="212B324C">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highlight w:val="none"/>
        </w:rPr>
      </w:pPr>
      <w:r>
        <w:rPr>
          <w:rFonts w:hint="eastAsia"/>
          <w:highlight w:val="none"/>
          <w:lang w:val="en-US" w:eastAsia="zh-CN"/>
        </w:rPr>
        <w:t>为贯彻落实</w:t>
      </w:r>
      <w:r>
        <w:rPr>
          <w:rFonts w:hint="eastAsia"/>
          <w:highlight w:val="none"/>
        </w:rPr>
        <w:t>《</w:t>
      </w:r>
      <w:r>
        <w:rPr>
          <w:rFonts w:hint="eastAsia"/>
          <w:highlight w:val="none"/>
          <w:lang w:eastAsia="zh-CN"/>
        </w:rPr>
        <w:t>“</w:t>
      </w:r>
      <w:r>
        <w:rPr>
          <w:rFonts w:hint="eastAsia"/>
          <w:highlight w:val="none"/>
        </w:rPr>
        <w:t>工业互联网+危化安全生产</w:t>
      </w:r>
      <w:r>
        <w:rPr>
          <w:rFonts w:hint="eastAsia"/>
          <w:highlight w:val="none"/>
          <w:lang w:eastAsia="zh-CN"/>
        </w:rPr>
        <w:t>”</w:t>
      </w:r>
      <w:r>
        <w:rPr>
          <w:rFonts w:hint="eastAsia"/>
          <w:highlight w:val="none"/>
        </w:rPr>
        <w:t>试点建设方案》</w:t>
      </w:r>
      <w:r>
        <w:rPr>
          <w:rFonts w:hint="eastAsia"/>
          <w:highlight w:val="none"/>
          <w:lang w:val="en-US" w:eastAsia="zh-CN"/>
        </w:rPr>
        <w:t>中</w:t>
      </w:r>
      <w:r>
        <w:rPr>
          <w:rFonts w:hint="eastAsia"/>
          <w:highlight w:val="none"/>
        </w:rPr>
        <w:t>要求，</w:t>
      </w:r>
      <w:r>
        <w:rPr>
          <w:rFonts w:hint="eastAsia"/>
          <w:highlight w:val="none"/>
          <w:lang w:val="en-US" w:eastAsia="zh-CN"/>
        </w:rPr>
        <w:t>改善人工点巡检抄录数据等效率低下、数据可靠性存疑问题，提升设备故障预测与健康管理（PHM）能力，系统采集与保存设备全生命周期数据，完善数据资产，推进</w:t>
      </w:r>
      <w:r>
        <w:rPr>
          <w:rFonts w:hint="eastAsia"/>
          <w:highlight w:val="none"/>
        </w:rPr>
        <w:t>设备完整性管理</w:t>
      </w:r>
      <w:r>
        <w:rPr>
          <w:rFonts w:hint="eastAsia"/>
          <w:highlight w:val="none"/>
          <w:lang w:eastAsia="zh-CN"/>
        </w:rPr>
        <w:t>，</w:t>
      </w:r>
      <w:r>
        <w:rPr>
          <w:rFonts w:hint="eastAsia"/>
          <w:highlight w:val="none"/>
          <w:lang w:val="en-US" w:eastAsia="zh-CN"/>
        </w:rPr>
        <w:t>现拟采购一批机电离线监测设备并实施安装、调试及验收，实现与现有的在线监测系统等工业互联网集成平台实时交互。通过定期、规范化采集与分析机电设备关键参数，构建一套先进的设备状态监测、设备预测性维修和设备完整性管理体系</w:t>
      </w:r>
      <w:r>
        <w:rPr>
          <w:rFonts w:hint="eastAsia"/>
          <w:highlight w:val="none"/>
        </w:rPr>
        <w:t>。</w:t>
      </w:r>
    </w:p>
    <w:p w14:paraId="1AEA1CB1">
      <w:pPr>
        <w:pStyle w:val="2"/>
        <w:tabs>
          <w:tab w:val="left" w:pos="432"/>
        </w:tabs>
        <w:spacing w:before="0" w:line="500" w:lineRule="exact"/>
        <w:ind w:left="0" w:leftChars="0" w:firstLine="0" w:firstLineChars="0"/>
        <w:rPr>
          <w:rFonts w:hint="default" w:ascii="宋体" w:hAnsi="宋体" w:cs="宋体"/>
          <w:color w:val="auto"/>
          <w:sz w:val="28"/>
          <w:szCs w:val="28"/>
          <w:highlight w:val="none"/>
          <w:lang w:val="en-US"/>
        </w:rPr>
      </w:pPr>
      <w:bookmarkStart w:id="10" w:name="_Toc8026"/>
      <w:bookmarkStart w:id="11" w:name="_Toc163745036"/>
      <w:r>
        <w:rPr>
          <w:rFonts w:hint="eastAsia" w:ascii="宋体" w:hAnsi="宋体" w:cs="宋体"/>
          <w:b/>
          <w:bCs/>
          <w:color w:val="auto"/>
          <w:sz w:val="30"/>
          <w:szCs w:val="30"/>
          <w:highlight w:val="none"/>
          <w:lang w:val="en-US" w:eastAsia="zh-CN"/>
        </w:rPr>
        <w:t>第二章 采购范围</w:t>
      </w:r>
      <w:bookmarkEnd w:id="10"/>
    </w:p>
    <w:p w14:paraId="7FD5590D">
      <w:pPr>
        <w:spacing w:after="0" w:line="500" w:lineRule="exact"/>
        <w:ind w:firstLine="420"/>
        <w:rPr>
          <w:rFonts w:hint="default" w:ascii="宋体" w:hAnsi="宋体" w:cs="宋体"/>
          <w:sz w:val="24"/>
          <w:szCs w:val="28"/>
          <w:highlight w:val="none"/>
          <w:lang w:val="en-US" w:eastAsia="zh-CN"/>
        </w:rPr>
      </w:pPr>
      <w:r>
        <w:rPr>
          <w:rFonts w:hint="eastAsia" w:ascii="宋体" w:hAnsi="宋体" w:cs="宋体"/>
          <w:sz w:val="24"/>
          <w:szCs w:val="28"/>
          <w:highlight w:val="none"/>
          <w:lang w:val="en-US" w:eastAsia="zh-CN"/>
        </w:rPr>
        <w:t>招标采购设备明细表：</w:t>
      </w:r>
    </w:p>
    <w:tbl>
      <w:tblPr>
        <w:tblStyle w:val="16"/>
        <w:tblW w:w="91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5"/>
        <w:gridCol w:w="6096"/>
        <w:gridCol w:w="1100"/>
      </w:tblGrid>
      <w:tr w14:paraId="6DD99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965" w:type="dxa"/>
            <w:noWrap w:val="0"/>
            <w:vAlign w:val="top"/>
          </w:tcPr>
          <w:p w14:paraId="0C90BDA5">
            <w:pPr>
              <w:spacing w:after="0" w:line="500" w:lineRule="exact"/>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设备名称</w:t>
            </w:r>
          </w:p>
        </w:tc>
        <w:tc>
          <w:tcPr>
            <w:tcW w:w="6096" w:type="dxa"/>
            <w:noWrap w:val="0"/>
            <w:vAlign w:val="top"/>
          </w:tcPr>
          <w:p w14:paraId="07D71103">
            <w:pPr>
              <w:spacing w:after="0" w:line="500" w:lineRule="exact"/>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技术规格</w:t>
            </w:r>
            <w:r>
              <w:rPr>
                <w:rFonts w:hint="eastAsia" w:ascii="宋体" w:hAnsi="宋体" w:cs="宋体"/>
                <w:sz w:val="24"/>
                <w:szCs w:val="24"/>
                <w:highlight w:val="none"/>
                <w:lang w:val="en-US" w:eastAsia="zh-CN"/>
              </w:rPr>
              <w:t>与要求</w:t>
            </w:r>
          </w:p>
        </w:tc>
        <w:tc>
          <w:tcPr>
            <w:tcW w:w="1100" w:type="dxa"/>
            <w:noWrap w:val="0"/>
            <w:vAlign w:val="top"/>
          </w:tcPr>
          <w:p w14:paraId="1130272B">
            <w:pPr>
              <w:spacing w:after="0" w:line="500" w:lineRule="exact"/>
              <w:ind w:left="0" w:leftChars="0" w:firstLine="0" w:firstLineChars="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数量</w:t>
            </w:r>
          </w:p>
        </w:tc>
      </w:tr>
      <w:tr w14:paraId="1E61E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65" w:type="dxa"/>
            <w:noWrap w:val="0"/>
            <w:vAlign w:val="center"/>
          </w:tcPr>
          <w:p w14:paraId="514291CF">
            <w:pPr>
              <w:pStyle w:val="27"/>
              <w:spacing w:after="0" w:line="500" w:lineRule="exact"/>
              <w:jc w:val="center"/>
              <w:rPr>
                <w:rFonts w:hint="eastAsia" w:ascii="宋体" w:hAnsi="宋体" w:eastAsia="宋体" w:cs="宋体"/>
                <w:sz w:val="22"/>
                <w:szCs w:val="22"/>
                <w:highlight w:val="none"/>
              </w:rPr>
            </w:pPr>
            <w:r>
              <w:rPr>
                <w:rFonts w:hint="eastAsia" w:ascii="宋体" w:hAnsi="宋体" w:cs="宋体"/>
                <w:sz w:val="22"/>
                <w:szCs w:val="22"/>
                <w:highlight w:val="none"/>
                <w:lang w:val="en-US" w:eastAsia="zh-CN"/>
              </w:rPr>
              <w:t>手持式</w:t>
            </w:r>
            <w:r>
              <w:rPr>
                <w:rFonts w:hint="eastAsia" w:ascii="宋体" w:hAnsi="宋体" w:eastAsia="宋体" w:cs="宋体"/>
                <w:sz w:val="22"/>
                <w:szCs w:val="22"/>
                <w:highlight w:val="none"/>
              </w:rPr>
              <w:t>测振测温巡检仪</w:t>
            </w:r>
          </w:p>
        </w:tc>
        <w:tc>
          <w:tcPr>
            <w:tcW w:w="6096" w:type="dxa"/>
            <w:noWrap w:val="0"/>
            <w:vAlign w:val="center"/>
          </w:tcPr>
          <w:p w14:paraId="70CBC6A7">
            <w:pPr>
              <w:pStyle w:val="27"/>
              <w:keepNext w:val="0"/>
              <w:keepLines w:val="0"/>
              <w:pageBreakBefore w:val="0"/>
              <w:widowControl/>
              <w:numPr>
                <w:ilvl w:val="0"/>
                <w:numId w:val="3"/>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rPr>
              <w:t>红外温度测量范围：-20℃~360℃</w:t>
            </w:r>
          </w:p>
          <w:p w14:paraId="42C5849C">
            <w:pPr>
              <w:pStyle w:val="27"/>
              <w:keepNext w:val="0"/>
              <w:keepLines w:val="0"/>
              <w:pageBreakBefore w:val="0"/>
              <w:widowControl/>
              <w:numPr>
                <w:ilvl w:val="0"/>
                <w:numId w:val="3"/>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rPr>
              <w:t>加速度测量范围：0.1~200m/s</w:t>
            </w:r>
            <w:r>
              <w:rPr>
                <w:rFonts w:hint="eastAsia" w:ascii="宋体" w:hAnsi="宋体" w:eastAsia="宋体" w:cs="宋体"/>
                <w:sz w:val="22"/>
                <w:szCs w:val="22"/>
                <w:highlight w:val="none"/>
                <w:vertAlign w:val="superscript"/>
                <w:lang w:val="en-US" w:eastAsia="zh-CN"/>
              </w:rPr>
              <w:t>2</w:t>
            </w:r>
          </w:p>
          <w:p w14:paraId="0EBDC61C">
            <w:pPr>
              <w:pStyle w:val="27"/>
              <w:keepNext w:val="0"/>
              <w:keepLines w:val="0"/>
              <w:pageBreakBefore w:val="0"/>
              <w:widowControl/>
              <w:numPr>
                <w:ilvl w:val="0"/>
                <w:numId w:val="3"/>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rPr>
              <w:t>速度测量范围：0.1~200mm/s</w:t>
            </w:r>
          </w:p>
          <w:p w14:paraId="4340B389">
            <w:pPr>
              <w:pStyle w:val="27"/>
              <w:keepNext w:val="0"/>
              <w:keepLines w:val="0"/>
              <w:pageBreakBefore w:val="0"/>
              <w:widowControl/>
              <w:numPr>
                <w:ilvl w:val="0"/>
                <w:numId w:val="3"/>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rPr>
              <w:t>位移测量范围：0.001mm~2.000mm</w:t>
            </w:r>
          </w:p>
          <w:p w14:paraId="71A2C7A2">
            <w:pPr>
              <w:pStyle w:val="27"/>
              <w:keepNext w:val="0"/>
              <w:keepLines w:val="0"/>
              <w:pageBreakBefore w:val="0"/>
              <w:widowControl/>
              <w:numPr>
                <w:ilvl w:val="0"/>
                <w:numId w:val="3"/>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防爆等级：本安型，ⅡC T4以上、ⅢC T130℃以上</w:t>
            </w:r>
          </w:p>
          <w:p w14:paraId="40D304A2">
            <w:pPr>
              <w:pStyle w:val="27"/>
              <w:keepNext w:val="0"/>
              <w:keepLines w:val="0"/>
              <w:pageBreakBefore w:val="0"/>
              <w:widowControl/>
              <w:numPr>
                <w:ilvl w:val="0"/>
                <w:numId w:val="3"/>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rPr>
              <w:t>液晶显示屏幕，实时显示测量数据</w:t>
            </w:r>
          </w:p>
          <w:p w14:paraId="70B81C43">
            <w:pPr>
              <w:pStyle w:val="27"/>
              <w:keepNext w:val="0"/>
              <w:keepLines w:val="0"/>
              <w:pageBreakBefore w:val="0"/>
              <w:widowControl/>
              <w:numPr>
                <w:ilvl w:val="0"/>
                <w:numId w:val="3"/>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支持</w:t>
            </w:r>
            <w:r>
              <w:rPr>
                <w:rFonts w:hint="eastAsia" w:ascii="宋体" w:hAnsi="宋体" w:cs="宋体"/>
                <w:sz w:val="22"/>
                <w:szCs w:val="22"/>
                <w:highlight w:val="none"/>
                <w:lang w:val="en-US" w:eastAsia="zh-CN"/>
              </w:rPr>
              <w:t>蓝牙传输至手机APP</w:t>
            </w:r>
            <w:r>
              <w:rPr>
                <w:rFonts w:hint="eastAsia" w:ascii="宋体" w:hAnsi="宋体" w:eastAsia="宋体" w:cs="宋体"/>
                <w:sz w:val="22"/>
                <w:szCs w:val="22"/>
                <w:highlight w:val="none"/>
              </w:rPr>
              <w:t>，预设报警值</w:t>
            </w:r>
          </w:p>
          <w:p w14:paraId="1C05B41C">
            <w:pPr>
              <w:pStyle w:val="27"/>
              <w:keepNext w:val="0"/>
              <w:keepLines w:val="0"/>
              <w:pageBreakBefore w:val="0"/>
              <w:widowControl/>
              <w:numPr>
                <w:ilvl w:val="0"/>
                <w:numId w:val="3"/>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rPr>
              <w:t>提供合格证、防爆合格证、说明书</w:t>
            </w:r>
            <w:r>
              <w:rPr>
                <w:rFonts w:hint="eastAsia" w:ascii="宋体" w:hAnsi="宋体" w:cs="宋体"/>
                <w:sz w:val="22"/>
                <w:szCs w:val="22"/>
                <w:highlight w:val="none"/>
                <w:lang w:val="en-US" w:eastAsia="zh-CN"/>
              </w:rPr>
              <w:t>等</w:t>
            </w:r>
            <w:r>
              <w:rPr>
                <w:rFonts w:hint="eastAsia" w:ascii="宋体" w:hAnsi="宋体" w:eastAsia="宋体" w:cs="宋体"/>
                <w:sz w:val="22"/>
                <w:szCs w:val="22"/>
                <w:highlight w:val="none"/>
              </w:rPr>
              <w:t>质量证明文件</w:t>
            </w:r>
          </w:p>
        </w:tc>
        <w:tc>
          <w:tcPr>
            <w:tcW w:w="1100" w:type="dxa"/>
            <w:noWrap w:val="0"/>
            <w:vAlign w:val="center"/>
          </w:tcPr>
          <w:p w14:paraId="28590F73">
            <w:pPr>
              <w:pStyle w:val="27"/>
              <w:spacing w:after="0" w:line="500" w:lineRule="exact"/>
              <w:rPr>
                <w:rFonts w:hint="eastAsia"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60</w:t>
            </w:r>
            <w:r>
              <w:rPr>
                <w:rFonts w:hint="eastAsia" w:ascii="宋体" w:hAnsi="宋体" w:eastAsia="宋体" w:cs="宋体"/>
                <w:sz w:val="22"/>
                <w:szCs w:val="22"/>
                <w:highlight w:val="none"/>
                <w:lang w:val="en-US" w:eastAsia="zh-CN"/>
              </w:rPr>
              <w:t>套</w:t>
            </w:r>
          </w:p>
        </w:tc>
      </w:tr>
      <w:tr w14:paraId="6CD15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965" w:type="dxa"/>
            <w:noWrap w:val="0"/>
            <w:vAlign w:val="center"/>
          </w:tcPr>
          <w:p w14:paraId="218D88DB">
            <w:pPr>
              <w:pStyle w:val="27"/>
              <w:spacing w:after="0" w:line="50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lang w:val="zh-TW" w:eastAsia="zh-TW"/>
              </w:rPr>
              <w:t>防爆手机</w:t>
            </w:r>
          </w:p>
        </w:tc>
        <w:tc>
          <w:tcPr>
            <w:tcW w:w="6096" w:type="dxa"/>
            <w:noWrap w:val="0"/>
            <w:vAlign w:val="center"/>
          </w:tcPr>
          <w:p w14:paraId="7559689A">
            <w:pPr>
              <w:pStyle w:val="27"/>
              <w:keepNext w:val="0"/>
              <w:keepLines w:val="0"/>
              <w:pageBreakBefore w:val="0"/>
              <w:widowControl/>
              <w:numPr>
                <w:ilvl w:val="0"/>
                <w:numId w:val="4"/>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处理器：8核2.0GHz以上</w:t>
            </w:r>
          </w:p>
          <w:p w14:paraId="17A251A0">
            <w:pPr>
              <w:pStyle w:val="27"/>
              <w:keepNext w:val="0"/>
              <w:keepLines w:val="0"/>
              <w:pageBreakBefore w:val="0"/>
              <w:widowControl/>
              <w:numPr>
                <w:ilvl w:val="0"/>
                <w:numId w:val="4"/>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操作系统：Android 1</w:t>
            </w:r>
            <w:r>
              <w:rPr>
                <w:rFonts w:hint="eastAsia" w:ascii="宋体" w:hAnsi="宋体" w:cs="宋体"/>
                <w:sz w:val="22"/>
                <w:szCs w:val="22"/>
                <w:highlight w:val="none"/>
                <w:lang w:val="en-US" w:eastAsia="zh-CN"/>
              </w:rPr>
              <w:t>1及</w:t>
            </w:r>
            <w:r>
              <w:rPr>
                <w:rFonts w:hint="eastAsia" w:ascii="宋体" w:hAnsi="宋体" w:eastAsia="宋体" w:cs="宋体"/>
                <w:sz w:val="22"/>
                <w:szCs w:val="22"/>
                <w:highlight w:val="none"/>
              </w:rPr>
              <w:t>以上</w:t>
            </w:r>
          </w:p>
          <w:p w14:paraId="4425C6A2">
            <w:pPr>
              <w:pStyle w:val="27"/>
              <w:keepNext w:val="0"/>
              <w:keepLines w:val="0"/>
              <w:pageBreakBefore w:val="0"/>
              <w:widowControl/>
              <w:numPr>
                <w:ilvl w:val="0"/>
                <w:numId w:val="4"/>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存储：RAM</w:t>
            </w:r>
            <w:r>
              <w:rPr>
                <w:rFonts w:hint="eastAsia" w:ascii="宋体" w:hAnsi="宋体" w:cs="宋体"/>
                <w:sz w:val="22"/>
                <w:szCs w:val="22"/>
                <w:highlight w:val="none"/>
                <w:lang w:val="en-US" w:eastAsia="zh-CN"/>
              </w:rPr>
              <w:t>≥</w:t>
            </w:r>
            <w:r>
              <w:rPr>
                <w:rFonts w:hint="eastAsia" w:ascii="宋体" w:hAnsi="宋体" w:eastAsia="宋体" w:cs="宋体"/>
                <w:sz w:val="22"/>
                <w:szCs w:val="22"/>
                <w:highlight w:val="none"/>
              </w:rPr>
              <w:t>8GB、ROM</w:t>
            </w:r>
            <w:r>
              <w:rPr>
                <w:rFonts w:hint="eastAsia" w:ascii="宋体" w:hAnsi="宋体" w:cs="宋体"/>
                <w:sz w:val="22"/>
                <w:szCs w:val="22"/>
                <w:highlight w:val="none"/>
                <w:lang w:val="en-US" w:eastAsia="zh-CN"/>
              </w:rPr>
              <w:t>≥</w:t>
            </w:r>
            <w:r>
              <w:rPr>
                <w:rFonts w:hint="eastAsia" w:ascii="宋体" w:hAnsi="宋体" w:eastAsia="宋体" w:cs="宋体"/>
                <w:sz w:val="22"/>
                <w:szCs w:val="22"/>
                <w:highlight w:val="none"/>
              </w:rPr>
              <w:t>256GB</w:t>
            </w:r>
          </w:p>
          <w:p w14:paraId="48EAAF09">
            <w:pPr>
              <w:pStyle w:val="27"/>
              <w:keepNext w:val="0"/>
              <w:keepLines w:val="0"/>
              <w:pageBreakBefore w:val="0"/>
              <w:widowControl/>
              <w:numPr>
                <w:ilvl w:val="0"/>
                <w:numId w:val="4"/>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摄像头：</w:t>
            </w:r>
            <w:r>
              <w:rPr>
                <w:rFonts w:hint="eastAsia" w:ascii="宋体" w:hAnsi="宋体" w:cs="宋体"/>
                <w:sz w:val="22"/>
                <w:szCs w:val="22"/>
                <w:highlight w:val="none"/>
                <w:lang w:val="en-US" w:eastAsia="zh-CN"/>
              </w:rPr>
              <w:t>前置≥1600万像素，</w:t>
            </w:r>
            <w:r>
              <w:rPr>
                <w:rFonts w:hint="eastAsia" w:ascii="宋体" w:hAnsi="宋体" w:eastAsia="宋体" w:cs="宋体"/>
                <w:sz w:val="22"/>
                <w:szCs w:val="22"/>
                <w:highlight w:val="none"/>
              </w:rPr>
              <w:t>后置</w:t>
            </w:r>
            <w:r>
              <w:rPr>
                <w:rFonts w:hint="eastAsia" w:ascii="宋体" w:hAnsi="宋体" w:cs="宋体"/>
                <w:sz w:val="22"/>
                <w:szCs w:val="22"/>
                <w:highlight w:val="none"/>
                <w:lang w:val="en-US" w:eastAsia="zh-CN"/>
              </w:rPr>
              <w:t>主摄像头≥50</w:t>
            </w:r>
            <w:r>
              <w:rPr>
                <w:rFonts w:hint="eastAsia" w:ascii="宋体" w:hAnsi="宋体" w:eastAsia="宋体" w:cs="宋体"/>
                <w:sz w:val="22"/>
                <w:szCs w:val="22"/>
                <w:highlight w:val="none"/>
              </w:rPr>
              <w:t>00万</w:t>
            </w:r>
            <w:r>
              <w:rPr>
                <w:rFonts w:hint="eastAsia" w:ascii="宋体" w:hAnsi="宋体" w:cs="宋体"/>
                <w:sz w:val="22"/>
                <w:szCs w:val="22"/>
                <w:highlight w:val="none"/>
                <w:lang w:val="en-US" w:eastAsia="zh-CN"/>
              </w:rPr>
              <w:t>像素以上</w:t>
            </w:r>
            <w:r>
              <w:rPr>
                <w:rFonts w:hint="eastAsia" w:ascii="宋体" w:hAnsi="宋体" w:eastAsia="宋体" w:cs="宋体"/>
                <w:sz w:val="22"/>
                <w:szCs w:val="22"/>
                <w:highlight w:val="none"/>
              </w:rPr>
              <w:t>自动对焦，高亮度LED闪光灯</w:t>
            </w:r>
          </w:p>
          <w:p w14:paraId="4A4CEDDE">
            <w:pPr>
              <w:pStyle w:val="27"/>
              <w:keepNext w:val="0"/>
              <w:keepLines w:val="0"/>
              <w:pageBreakBefore w:val="0"/>
              <w:widowControl/>
              <w:numPr>
                <w:ilvl w:val="0"/>
                <w:numId w:val="4"/>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rPr>
            </w:pPr>
            <w:r>
              <w:rPr>
                <w:rFonts w:hint="eastAsia" w:ascii="宋体" w:hAnsi="宋体" w:cs="宋体"/>
                <w:sz w:val="22"/>
                <w:szCs w:val="22"/>
                <w:highlight w:val="none"/>
                <w:lang w:val="en-US" w:eastAsia="zh-CN"/>
              </w:rPr>
              <w:t>定位系统：北斗定位（非通过软件改制）</w:t>
            </w:r>
          </w:p>
          <w:p w14:paraId="41D65748">
            <w:pPr>
              <w:pStyle w:val="27"/>
              <w:keepNext w:val="0"/>
              <w:keepLines w:val="0"/>
              <w:pageBreakBefore w:val="0"/>
              <w:widowControl/>
              <w:numPr>
                <w:ilvl w:val="0"/>
                <w:numId w:val="4"/>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rPr>
            </w:pPr>
            <w:r>
              <w:rPr>
                <w:rFonts w:hint="eastAsia" w:ascii="宋体" w:hAnsi="宋体" w:cs="宋体"/>
                <w:sz w:val="22"/>
                <w:szCs w:val="22"/>
                <w:highlight w:val="none"/>
                <w:lang w:val="en-US" w:eastAsia="zh-CN"/>
              </w:rPr>
              <w:t>数据通信：5G全网通、向下兼容4G、3G、2G；</w:t>
            </w:r>
            <w:r>
              <w:rPr>
                <w:rFonts w:hint="eastAsia" w:ascii="宋体" w:hAnsi="宋体" w:eastAsia="宋体" w:cs="宋体"/>
                <w:sz w:val="22"/>
                <w:szCs w:val="22"/>
                <w:highlight w:val="none"/>
              </w:rPr>
              <w:t>支持蓝牙</w:t>
            </w:r>
            <w:r>
              <w:rPr>
                <w:rFonts w:hint="eastAsia" w:ascii="宋体" w:hAnsi="宋体" w:cs="宋体"/>
                <w:sz w:val="22"/>
                <w:szCs w:val="22"/>
                <w:highlight w:val="none"/>
                <w:lang w:val="en-US" w:eastAsia="zh-CN"/>
              </w:rPr>
              <w:t>5.0</w:t>
            </w:r>
            <w:r>
              <w:rPr>
                <w:rFonts w:hint="eastAsia" w:ascii="宋体" w:hAnsi="宋体" w:eastAsia="宋体" w:cs="宋体"/>
                <w:sz w:val="22"/>
                <w:szCs w:val="22"/>
                <w:highlight w:val="none"/>
              </w:rPr>
              <w:t>、</w:t>
            </w:r>
            <w:r>
              <w:rPr>
                <w:rFonts w:hint="eastAsia" w:ascii="宋体" w:hAnsi="宋体" w:cs="宋体"/>
                <w:sz w:val="22"/>
                <w:szCs w:val="22"/>
                <w:highlight w:val="none"/>
                <w:lang w:val="en-US" w:eastAsia="zh-CN"/>
              </w:rPr>
              <w:t>W</w:t>
            </w:r>
            <w:r>
              <w:rPr>
                <w:rFonts w:hint="eastAsia" w:ascii="宋体" w:hAnsi="宋体" w:eastAsia="宋体" w:cs="宋体"/>
                <w:sz w:val="22"/>
                <w:szCs w:val="22"/>
                <w:highlight w:val="none"/>
              </w:rPr>
              <w:t>ifi</w:t>
            </w:r>
          </w:p>
          <w:p w14:paraId="468963A9">
            <w:pPr>
              <w:pStyle w:val="27"/>
              <w:keepNext w:val="0"/>
              <w:keepLines w:val="0"/>
              <w:pageBreakBefore w:val="0"/>
              <w:widowControl/>
              <w:numPr>
                <w:ilvl w:val="0"/>
                <w:numId w:val="4"/>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rPr>
            </w:pPr>
            <w:r>
              <w:rPr>
                <w:rFonts w:hint="eastAsia" w:ascii="宋体" w:hAnsi="宋体" w:cs="宋体"/>
                <w:sz w:val="22"/>
                <w:szCs w:val="22"/>
                <w:highlight w:val="none"/>
                <w:lang w:val="en-US" w:eastAsia="zh-CN"/>
              </w:rPr>
              <w:t>触摸屏</w:t>
            </w:r>
            <w:r>
              <w:rPr>
                <w:rFonts w:hint="eastAsia" w:ascii="宋体" w:hAnsi="宋体" w:eastAsia="宋体" w:cs="宋体"/>
                <w:sz w:val="22"/>
                <w:szCs w:val="22"/>
                <w:highlight w:val="none"/>
              </w:rPr>
              <w:t>：6寸以上，2160*1080分辨率以上，多点触控</w:t>
            </w:r>
          </w:p>
          <w:p w14:paraId="1F634E61">
            <w:pPr>
              <w:pStyle w:val="27"/>
              <w:keepNext w:val="0"/>
              <w:keepLines w:val="0"/>
              <w:pageBreakBefore w:val="0"/>
              <w:widowControl/>
              <w:numPr>
                <w:ilvl w:val="0"/>
                <w:numId w:val="4"/>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电池：</w:t>
            </w:r>
            <w:r>
              <w:rPr>
                <w:rFonts w:hint="eastAsia" w:ascii="宋体" w:hAnsi="宋体" w:cs="宋体"/>
                <w:sz w:val="22"/>
                <w:szCs w:val="22"/>
                <w:highlight w:val="none"/>
                <w:lang w:val="en-US" w:eastAsia="zh-CN"/>
              </w:rPr>
              <w:t>≥</w:t>
            </w:r>
            <w:r>
              <w:rPr>
                <w:rFonts w:hint="eastAsia" w:ascii="宋体" w:hAnsi="宋体" w:eastAsia="宋体" w:cs="宋体"/>
                <w:sz w:val="22"/>
                <w:szCs w:val="22"/>
                <w:highlight w:val="none"/>
              </w:rPr>
              <w:t>6000mAH本安型锂电池</w:t>
            </w:r>
            <w:r>
              <w:rPr>
                <w:rFonts w:hint="eastAsia" w:ascii="宋体" w:hAnsi="宋体" w:cs="宋体"/>
                <w:sz w:val="22"/>
                <w:szCs w:val="22"/>
                <w:highlight w:val="none"/>
                <w:lang w:eastAsia="zh-CN"/>
              </w:rPr>
              <w:t>；</w:t>
            </w:r>
            <w:r>
              <w:rPr>
                <w:rFonts w:hint="eastAsia" w:ascii="宋体" w:hAnsi="宋体" w:cs="宋体"/>
                <w:sz w:val="22"/>
                <w:szCs w:val="22"/>
                <w:highlight w:val="none"/>
                <w:lang w:val="en-US" w:eastAsia="zh-CN"/>
              </w:rPr>
              <w:t>支持Type-C；充电口独立防水</w:t>
            </w:r>
          </w:p>
          <w:p w14:paraId="222C3B33">
            <w:pPr>
              <w:pStyle w:val="27"/>
              <w:keepNext w:val="0"/>
              <w:keepLines w:val="0"/>
              <w:pageBreakBefore w:val="0"/>
              <w:widowControl/>
              <w:numPr>
                <w:ilvl w:val="0"/>
                <w:numId w:val="4"/>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防护等级：IP65以上</w:t>
            </w:r>
          </w:p>
          <w:p w14:paraId="66063D09">
            <w:pPr>
              <w:pStyle w:val="27"/>
              <w:keepNext w:val="0"/>
              <w:keepLines w:val="0"/>
              <w:pageBreakBefore w:val="0"/>
              <w:widowControl/>
              <w:numPr>
                <w:ilvl w:val="0"/>
                <w:numId w:val="4"/>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防爆等级：本安型，适用于ⅡC类气体环境和粉尘环境</w:t>
            </w:r>
            <w:r>
              <w:rPr>
                <w:rFonts w:hint="eastAsia" w:ascii="宋体" w:hAnsi="宋体" w:cs="宋体"/>
                <w:sz w:val="22"/>
                <w:szCs w:val="22"/>
                <w:highlight w:val="none"/>
                <w:lang w:eastAsia="zh-CN"/>
              </w:rPr>
              <w:t>，Ex ib IIC T4 Gb\Ex ib IIIC T130℃Db（提供防爆合格证及检验报告扫描件</w:t>
            </w:r>
          </w:p>
          <w:p w14:paraId="2A44E732">
            <w:pPr>
              <w:pStyle w:val="27"/>
              <w:keepNext w:val="0"/>
              <w:keepLines w:val="0"/>
              <w:pageBreakBefore w:val="0"/>
              <w:widowControl/>
              <w:numPr>
                <w:ilvl w:val="0"/>
                <w:numId w:val="4"/>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rPr>
            </w:pPr>
            <w:r>
              <w:rPr>
                <w:rFonts w:hint="eastAsia" w:ascii="宋体" w:hAnsi="宋体" w:cs="宋体"/>
                <w:sz w:val="22"/>
                <w:szCs w:val="22"/>
                <w:highlight w:val="none"/>
                <w:lang w:val="en-US" w:eastAsia="zh-CN"/>
              </w:rPr>
              <w:t>整机：具备三防设计、配有防摔边框、整机厚度≤13mm（含外壳）、重量＜270g（含电池）</w:t>
            </w:r>
          </w:p>
          <w:p w14:paraId="109AEB30">
            <w:pPr>
              <w:pStyle w:val="27"/>
              <w:keepNext w:val="0"/>
              <w:keepLines w:val="0"/>
              <w:pageBreakBefore w:val="0"/>
              <w:widowControl/>
              <w:numPr>
                <w:ilvl w:val="0"/>
                <w:numId w:val="4"/>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物联网SIM卡：含3年套餐费用，月流量</w:t>
            </w:r>
            <w:r>
              <w:rPr>
                <w:rFonts w:hint="eastAsia" w:ascii="宋体" w:hAnsi="宋体" w:cs="宋体"/>
                <w:sz w:val="22"/>
                <w:szCs w:val="22"/>
                <w:highlight w:val="none"/>
                <w:lang w:val="en-US" w:eastAsia="zh-CN"/>
              </w:rPr>
              <w:t>≥</w:t>
            </w:r>
            <w:r>
              <w:rPr>
                <w:rFonts w:hint="eastAsia" w:ascii="宋体" w:hAnsi="宋体" w:eastAsia="宋体" w:cs="宋体"/>
                <w:sz w:val="22"/>
                <w:szCs w:val="22"/>
                <w:highlight w:val="none"/>
                <w:lang w:val="en-US" w:eastAsia="zh-CN"/>
              </w:rPr>
              <w:t>10GB</w:t>
            </w:r>
          </w:p>
        </w:tc>
        <w:tc>
          <w:tcPr>
            <w:tcW w:w="1100" w:type="dxa"/>
            <w:noWrap w:val="0"/>
            <w:vAlign w:val="center"/>
          </w:tcPr>
          <w:p w14:paraId="7BCAA2B2">
            <w:pPr>
              <w:pStyle w:val="27"/>
              <w:spacing w:after="0" w:line="500" w:lineRule="exact"/>
              <w:rPr>
                <w:rFonts w:hint="eastAsia"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60</w:t>
            </w:r>
            <w:r>
              <w:rPr>
                <w:rFonts w:hint="eastAsia" w:ascii="宋体" w:hAnsi="宋体" w:eastAsia="宋体" w:cs="宋体"/>
                <w:sz w:val="22"/>
                <w:szCs w:val="22"/>
                <w:highlight w:val="none"/>
                <w:lang w:val="en-US" w:eastAsia="zh-CN"/>
              </w:rPr>
              <w:t>套</w:t>
            </w:r>
          </w:p>
        </w:tc>
      </w:tr>
      <w:tr w14:paraId="4CAFA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7" w:hRule="atLeast"/>
          <w:jc w:val="center"/>
        </w:trPr>
        <w:tc>
          <w:tcPr>
            <w:tcW w:w="1965" w:type="dxa"/>
            <w:noWrap w:val="0"/>
            <w:vAlign w:val="center"/>
          </w:tcPr>
          <w:p w14:paraId="7D2C4C7F">
            <w:pPr>
              <w:keepNext w:val="0"/>
              <w:keepLines w:val="0"/>
              <w:widowControl/>
              <w:suppressLineNumbers w:val="0"/>
              <w:ind w:left="0" w:leftChars="0" w:firstLine="0" w:firstLineChars="0"/>
              <w:jc w:val="both"/>
              <w:rPr>
                <w:rFonts w:hint="eastAsia" w:ascii="宋体" w:hAnsi="宋体" w:eastAsia="宋体" w:cs="宋体"/>
                <w:sz w:val="22"/>
                <w:szCs w:val="22"/>
                <w:highlight w:val="none"/>
                <w:lang w:val="en-US"/>
              </w:rPr>
            </w:pPr>
            <w:r>
              <w:rPr>
                <w:rFonts w:hint="eastAsia" w:ascii="宋体" w:hAnsi="宋体" w:eastAsia="宋体" w:cs="宋体"/>
                <w:kern w:val="0"/>
                <w:sz w:val="22"/>
                <w:szCs w:val="22"/>
                <w:highlight w:val="none"/>
                <w:lang w:val="en-US" w:eastAsia="zh-CN" w:bidi="ar"/>
              </w:rPr>
              <w:t>二维码标签打印机</w:t>
            </w:r>
          </w:p>
        </w:tc>
        <w:tc>
          <w:tcPr>
            <w:tcW w:w="6096" w:type="dxa"/>
            <w:noWrap w:val="0"/>
            <w:vAlign w:val="center"/>
          </w:tcPr>
          <w:p w14:paraId="2EA0854B">
            <w:pPr>
              <w:pStyle w:val="27"/>
              <w:keepNext w:val="0"/>
              <w:keepLines w:val="0"/>
              <w:pageBreakBefore w:val="0"/>
              <w:widowControl/>
              <w:numPr>
                <w:ilvl w:val="0"/>
                <w:numId w:val="5"/>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lang w:val="zh-TW" w:eastAsia="zh-TW"/>
              </w:rPr>
            </w:pPr>
            <w:r>
              <w:rPr>
                <w:rFonts w:hint="eastAsia" w:ascii="宋体" w:hAnsi="宋体" w:eastAsia="宋体" w:cs="宋体"/>
                <w:sz w:val="22"/>
                <w:szCs w:val="22"/>
                <w:highlight w:val="none"/>
                <w:lang w:val="en-US" w:eastAsia="zh-CN"/>
              </w:rPr>
              <w:t>自动关联软件为每一个资产设备创建标签二维码，支持多种打印功能</w:t>
            </w:r>
          </w:p>
          <w:p w14:paraId="28F2DBEC">
            <w:pPr>
              <w:pStyle w:val="27"/>
              <w:keepNext w:val="0"/>
              <w:keepLines w:val="0"/>
              <w:pageBreakBefore w:val="0"/>
              <w:widowControl/>
              <w:numPr>
                <w:ilvl w:val="0"/>
                <w:numId w:val="5"/>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lang w:val="zh-TW" w:eastAsia="zh-TW"/>
              </w:rPr>
            </w:pPr>
            <w:r>
              <w:rPr>
                <w:rFonts w:hint="eastAsia" w:ascii="宋体" w:hAnsi="宋体" w:eastAsia="宋体" w:cs="宋体"/>
                <w:sz w:val="22"/>
                <w:szCs w:val="22"/>
                <w:highlight w:val="none"/>
                <w:lang w:val="en-US" w:eastAsia="zh-CN"/>
              </w:rPr>
              <w:t>支持条形码、二维码标签的打印</w:t>
            </w:r>
            <w:r>
              <w:rPr>
                <w:rFonts w:hint="eastAsia" w:ascii="宋体" w:hAnsi="宋体" w:cs="宋体"/>
                <w:sz w:val="22"/>
                <w:szCs w:val="22"/>
                <w:highlight w:val="none"/>
                <w:lang w:val="en-US" w:eastAsia="zh-CN"/>
              </w:rPr>
              <w:t>，支持多种尺寸版式标签，以满足现场不同尺寸设备粘贴标签的可视化要求</w:t>
            </w:r>
          </w:p>
          <w:p w14:paraId="102DB0E3">
            <w:pPr>
              <w:pStyle w:val="27"/>
              <w:keepNext w:val="0"/>
              <w:keepLines w:val="0"/>
              <w:pageBreakBefore w:val="0"/>
              <w:widowControl/>
              <w:numPr>
                <w:ilvl w:val="0"/>
                <w:numId w:val="5"/>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lang w:val="zh-TW" w:eastAsia="zh-TW"/>
              </w:rPr>
            </w:pPr>
            <w:r>
              <w:rPr>
                <w:rFonts w:hint="eastAsia" w:ascii="宋体" w:hAnsi="宋体" w:eastAsia="宋体" w:cs="宋体"/>
                <w:sz w:val="22"/>
                <w:szCs w:val="22"/>
                <w:highlight w:val="none"/>
                <w:lang w:val="en-US" w:eastAsia="zh-CN"/>
              </w:rPr>
              <w:t>可自定义标签打印模板，实现自由排版</w:t>
            </w:r>
            <w:r>
              <w:rPr>
                <w:rFonts w:hint="eastAsia" w:ascii="宋体" w:hAnsi="宋体" w:cs="宋体"/>
                <w:sz w:val="22"/>
                <w:szCs w:val="22"/>
                <w:highlight w:val="none"/>
                <w:lang w:val="en-US" w:eastAsia="zh-CN"/>
              </w:rPr>
              <w:t>，支持PC端排版打印</w:t>
            </w:r>
          </w:p>
          <w:p w14:paraId="2BCCC4BA">
            <w:pPr>
              <w:pStyle w:val="27"/>
              <w:keepNext w:val="0"/>
              <w:keepLines w:val="0"/>
              <w:pageBreakBefore w:val="0"/>
              <w:widowControl/>
              <w:numPr>
                <w:ilvl w:val="0"/>
                <w:numId w:val="5"/>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实现批量打印，自动校对</w:t>
            </w:r>
          </w:p>
          <w:p w14:paraId="4562519C">
            <w:pPr>
              <w:pStyle w:val="27"/>
              <w:keepNext w:val="0"/>
              <w:keepLines w:val="0"/>
              <w:pageBreakBefore w:val="0"/>
              <w:widowControl/>
              <w:numPr>
                <w:ilvl w:val="0"/>
                <w:numId w:val="5"/>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rPr>
            </w:pPr>
            <w:r>
              <w:rPr>
                <w:rFonts w:hint="eastAsia" w:ascii="宋体" w:hAnsi="宋体" w:cs="宋体"/>
                <w:sz w:val="22"/>
                <w:szCs w:val="22"/>
                <w:highlight w:val="none"/>
                <w:lang w:val="en-US" w:eastAsia="zh-CN"/>
              </w:rPr>
              <w:t>四防标签纸：防水、防油、防撕、撕下不留胶</w:t>
            </w:r>
          </w:p>
          <w:p w14:paraId="26BF43FE">
            <w:pPr>
              <w:pStyle w:val="27"/>
              <w:keepNext w:val="0"/>
              <w:keepLines w:val="0"/>
              <w:pageBreakBefore w:val="0"/>
              <w:widowControl/>
              <w:numPr>
                <w:ilvl w:val="0"/>
                <w:numId w:val="5"/>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rPr>
            </w:pPr>
            <w:r>
              <w:rPr>
                <w:rFonts w:hint="eastAsia" w:ascii="宋体" w:hAnsi="宋体" w:cs="宋体"/>
                <w:sz w:val="22"/>
                <w:szCs w:val="22"/>
                <w:highlight w:val="none"/>
                <w:lang w:val="en-US" w:eastAsia="zh-CN"/>
              </w:rPr>
              <w:t>打印耗材以满足福海创所有设备（预估9万台）标识要求，并预留25%的备用耗材</w:t>
            </w:r>
          </w:p>
        </w:tc>
        <w:tc>
          <w:tcPr>
            <w:tcW w:w="1100" w:type="dxa"/>
            <w:noWrap w:val="0"/>
            <w:vAlign w:val="center"/>
          </w:tcPr>
          <w:p w14:paraId="7C136092">
            <w:pPr>
              <w:pStyle w:val="27"/>
              <w:spacing w:after="0" w:line="500" w:lineRule="exact"/>
              <w:rPr>
                <w:rFonts w:hint="eastAsia"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1</w:t>
            </w:r>
            <w:r>
              <w:rPr>
                <w:rFonts w:hint="eastAsia" w:ascii="宋体" w:hAnsi="宋体" w:eastAsia="宋体" w:cs="宋体"/>
                <w:sz w:val="22"/>
                <w:szCs w:val="22"/>
                <w:highlight w:val="none"/>
                <w:lang w:val="en-US" w:eastAsia="zh-CN"/>
              </w:rPr>
              <w:t>台</w:t>
            </w:r>
          </w:p>
        </w:tc>
      </w:tr>
      <w:tr w14:paraId="6AC9D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965" w:type="dxa"/>
            <w:noWrap w:val="0"/>
            <w:vAlign w:val="center"/>
          </w:tcPr>
          <w:p w14:paraId="7E5A4BBB">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kern w:val="0"/>
                <w:sz w:val="22"/>
                <w:szCs w:val="22"/>
                <w:highlight w:val="none"/>
                <w:lang w:val="en-US" w:eastAsia="zh-CN" w:bidi="ar"/>
              </w:rPr>
            </w:pPr>
            <w:bookmarkStart w:id="12" w:name="_Toc12331"/>
            <w:r>
              <w:rPr>
                <w:rFonts w:hint="eastAsia" w:ascii="宋体" w:hAnsi="宋体" w:cs="宋体"/>
                <w:kern w:val="0"/>
                <w:sz w:val="22"/>
                <w:szCs w:val="22"/>
                <w:highlight w:val="none"/>
                <w:lang w:val="en-US" w:eastAsia="zh-CN" w:bidi="ar"/>
              </w:rPr>
              <w:t>超融合一体机</w:t>
            </w:r>
          </w:p>
        </w:tc>
        <w:tc>
          <w:tcPr>
            <w:tcW w:w="6096" w:type="dxa"/>
            <w:noWrap w:val="0"/>
            <w:vAlign w:val="center"/>
          </w:tcPr>
          <w:p w14:paraId="041A45AF">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default" w:ascii="宋体" w:hAnsi="宋体" w:eastAsia="宋体" w:cs="宋体"/>
                <w:sz w:val="22"/>
                <w:szCs w:val="22"/>
                <w:highlight w:val="none"/>
                <w:lang w:val="en-US" w:eastAsia="zh-CN"/>
              </w:rPr>
            </w:pPr>
            <w:r>
              <w:rPr>
                <w:rFonts w:hint="eastAsia" w:ascii="宋体" w:hAnsi="宋体" w:eastAsia="宋体" w:cs="宋体"/>
                <w:b/>
                <w:bCs/>
                <w:sz w:val="22"/>
                <w:szCs w:val="22"/>
                <w:highlight w:val="none"/>
                <w:lang w:val="en-US" w:eastAsia="zh-CN"/>
              </w:rPr>
              <w:t>CPU</w:t>
            </w:r>
            <w:r>
              <w:rPr>
                <w:rFonts w:hint="eastAsia" w:ascii="宋体" w:hAnsi="宋体" w:cs="宋体"/>
                <w:sz w:val="22"/>
                <w:szCs w:val="22"/>
                <w:highlight w:val="none"/>
                <w:lang w:val="en-US" w:eastAsia="zh-CN"/>
              </w:rPr>
              <w:t>：2 * 海光C86 7315（16核/32线程，2.5GHz）或2 * 海光C86 7380 (32C/64T)或其他性能不低于此要求的CPU</w:t>
            </w:r>
          </w:p>
          <w:p w14:paraId="5A70AFC2">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default" w:ascii="宋体" w:hAnsi="宋体" w:eastAsia="宋体" w:cs="宋体"/>
                <w:sz w:val="22"/>
                <w:szCs w:val="22"/>
                <w:highlight w:val="none"/>
                <w:lang w:val="en-US" w:eastAsia="zh-CN"/>
              </w:rPr>
            </w:pPr>
            <w:r>
              <w:rPr>
                <w:rFonts w:hint="eastAsia" w:ascii="宋体" w:hAnsi="宋体" w:eastAsia="宋体" w:cs="宋体"/>
                <w:b/>
                <w:bCs/>
                <w:sz w:val="22"/>
                <w:szCs w:val="22"/>
                <w:highlight w:val="none"/>
                <w:lang w:val="en-US" w:eastAsia="zh-CN"/>
              </w:rPr>
              <w:t>内存</w:t>
            </w:r>
            <w:r>
              <w:rPr>
                <w:rFonts w:hint="eastAsia" w:ascii="宋体" w:hAnsi="宋体" w:cs="宋体"/>
                <w:sz w:val="22"/>
                <w:szCs w:val="22"/>
                <w:highlight w:val="none"/>
                <w:lang w:val="en-US" w:eastAsia="zh-CN"/>
              </w:rPr>
              <w:t>：256</w:t>
            </w:r>
            <w:r>
              <w:rPr>
                <w:rFonts w:hint="eastAsia" w:ascii="宋体" w:hAnsi="宋体" w:eastAsia="宋体" w:cs="宋体"/>
                <w:sz w:val="22"/>
                <w:szCs w:val="22"/>
                <w:highlight w:val="none"/>
                <w:lang w:val="en-US" w:eastAsia="zh-CN"/>
              </w:rPr>
              <w:t xml:space="preserve"> GB DDR</w:t>
            </w:r>
            <w:r>
              <w:rPr>
                <w:rFonts w:hint="eastAsia" w:ascii="宋体" w:hAnsi="宋体" w:cs="宋体"/>
                <w:sz w:val="22"/>
                <w:szCs w:val="22"/>
                <w:highlight w:val="none"/>
                <w:lang w:val="en-US" w:eastAsia="zh-CN"/>
              </w:rPr>
              <w:t>5</w:t>
            </w:r>
          </w:p>
          <w:p w14:paraId="5A95369B">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eastAsia" w:ascii="宋体" w:hAnsi="宋体" w:cs="宋体"/>
                <w:sz w:val="22"/>
                <w:szCs w:val="22"/>
                <w:highlight w:val="none"/>
                <w:lang w:val="en-US" w:eastAsia="zh-CN"/>
              </w:rPr>
            </w:pPr>
            <w:r>
              <w:rPr>
                <w:rFonts w:hint="eastAsia" w:ascii="宋体" w:hAnsi="宋体" w:eastAsia="宋体" w:cs="宋体"/>
                <w:b/>
                <w:bCs/>
                <w:sz w:val="22"/>
                <w:szCs w:val="22"/>
                <w:highlight w:val="none"/>
                <w:lang w:val="en-US" w:eastAsia="zh-CN"/>
              </w:rPr>
              <w:t>存储</w:t>
            </w:r>
            <w:r>
              <w:rPr>
                <w:rFonts w:hint="eastAsia" w:ascii="宋体" w:hAnsi="宋体" w:cs="宋体"/>
                <w:sz w:val="22"/>
                <w:szCs w:val="22"/>
                <w:highlight w:val="none"/>
                <w:lang w:val="en-US" w:eastAsia="zh-CN"/>
              </w:rPr>
              <w:t>：</w:t>
            </w:r>
          </w:p>
          <w:p w14:paraId="3D6F07AB">
            <w:pPr>
              <w:pStyle w:val="27"/>
              <w:keepNext w:val="0"/>
              <w:keepLines w:val="0"/>
              <w:pageBreakBefore w:val="0"/>
              <w:widowControl/>
              <w:numPr>
                <w:ilvl w:val="0"/>
                <w:numId w:val="6"/>
              </w:numPr>
              <w:kinsoku/>
              <w:wordWrap/>
              <w:overflowPunct/>
              <w:topLinePunct w:val="0"/>
              <w:autoSpaceDE/>
              <w:autoSpaceDN/>
              <w:bidi w:val="0"/>
              <w:adjustRightInd/>
              <w:snapToGrid/>
              <w:spacing w:after="0" w:line="400" w:lineRule="exact"/>
              <w:ind w:left="240" w:leftChars="0" w:hanging="240" w:firstLineChars="0"/>
              <w:jc w:val="left"/>
              <w:textAlignment w:val="auto"/>
              <w:rPr>
                <w:rFonts w:hint="eastAsia"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系统盘：2 * 480 GB NVMe SSD（RAID 1）</w:t>
            </w:r>
          </w:p>
          <w:p w14:paraId="407C6F70">
            <w:pPr>
              <w:pStyle w:val="27"/>
              <w:keepNext w:val="0"/>
              <w:keepLines w:val="0"/>
              <w:pageBreakBefore w:val="0"/>
              <w:widowControl/>
              <w:numPr>
                <w:ilvl w:val="0"/>
                <w:numId w:val="6"/>
              </w:numPr>
              <w:kinsoku/>
              <w:wordWrap/>
              <w:overflowPunct/>
              <w:topLinePunct w:val="0"/>
              <w:autoSpaceDE/>
              <w:autoSpaceDN/>
              <w:bidi w:val="0"/>
              <w:adjustRightInd/>
              <w:snapToGrid/>
              <w:spacing w:after="0" w:line="400" w:lineRule="exact"/>
              <w:ind w:left="240" w:leftChars="0" w:hanging="240" w:firstLineChars="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缓存</w:t>
            </w:r>
            <w:r>
              <w:rPr>
                <w:rFonts w:hint="eastAsia" w:ascii="宋体" w:hAnsi="宋体" w:cs="宋体"/>
                <w:sz w:val="22"/>
                <w:szCs w:val="22"/>
                <w:highlight w:val="none"/>
                <w:lang w:val="en-US" w:eastAsia="zh-CN"/>
              </w:rPr>
              <w:t>盘</w:t>
            </w:r>
            <w:r>
              <w:rPr>
                <w:rFonts w:hint="eastAsia" w:ascii="宋体" w:hAnsi="宋体" w:eastAsia="宋体" w:cs="宋体"/>
                <w:sz w:val="22"/>
                <w:szCs w:val="22"/>
                <w:highlight w:val="none"/>
                <w:lang w:val="en-US" w:eastAsia="zh-CN"/>
              </w:rPr>
              <w:t>：</w:t>
            </w:r>
            <w:r>
              <w:rPr>
                <w:rFonts w:hint="eastAsia" w:ascii="宋体" w:hAnsi="宋体" w:cs="宋体"/>
                <w:sz w:val="22"/>
                <w:szCs w:val="22"/>
                <w:highlight w:val="none"/>
                <w:lang w:val="en-US" w:eastAsia="zh-CN"/>
              </w:rPr>
              <w:t>2</w:t>
            </w:r>
            <w:r>
              <w:rPr>
                <w:rFonts w:hint="eastAsia" w:ascii="宋体" w:hAnsi="宋体" w:eastAsia="宋体" w:cs="宋体"/>
                <w:sz w:val="22"/>
                <w:szCs w:val="22"/>
                <w:highlight w:val="none"/>
                <w:lang w:val="en-US" w:eastAsia="zh-CN"/>
              </w:rPr>
              <w:t xml:space="preserve"> * 960 GB NVMe SSD</w:t>
            </w:r>
          </w:p>
          <w:p w14:paraId="0C0C2D7B">
            <w:pPr>
              <w:pStyle w:val="27"/>
              <w:keepNext w:val="0"/>
              <w:keepLines w:val="0"/>
              <w:pageBreakBefore w:val="0"/>
              <w:widowControl/>
              <w:numPr>
                <w:ilvl w:val="0"/>
                <w:numId w:val="6"/>
              </w:numPr>
              <w:kinsoku/>
              <w:wordWrap/>
              <w:overflowPunct/>
              <w:topLinePunct w:val="0"/>
              <w:autoSpaceDE/>
              <w:autoSpaceDN/>
              <w:bidi w:val="0"/>
              <w:adjustRightInd/>
              <w:snapToGrid/>
              <w:spacing w:after="0" w:line="400" w:lineRule="exact"/>
              <w:ind w:left="240" w:leftChars="0" w:hanging="240" w:firstLineChars="0"/>
              <w:jc w:val="left"/>
              <w:textAlignment w:val="auto"/>
              <w:rPr>
                <w:rFonts w:hint="eastAsia"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数据盘</w:t>
            </w:r>
            <w:r>
              <w:rPr>
                <w:rFonts w:hint="eastAsia" w:ascii="宋体" w:hAnsi="宋体" w:eastAsia="宋体" w:cs="宋体"/>
                <w:sz w:val="22"/>
                <w:szCs w:val="22"/>
                <w:highlight w:val="none"/>
                <w:lang w:val="en-US" w:eastAsia="zh-CN"/>
              </w:rPr>
              <w:t>：4 * 8 TB SAS HDD</w:t>
            </w:r>
          </w:p>
          <w:p w14:paraId="7A9D4E7E">
            <w:pPr>
              <w:pStyle w:val="27"/>
              <w:keepNext w:val="0"/>
              <w:keepLines w:val="0"/>
              <w:pageBreakBefore w:val="0"/>
              <w:widowControl/>
              <w:numPr>
                <w:ilvl w:val="0"/>
                <w:numId w:val="6"/>
              </w:numPr>
              <w:kinsoku/>
              <w:wordWrap/>
              <w:overflowPunct/>
              <w:topLinePunct w:val="0"/>
              <w:autoSpaceDE/>
              <w:autoSpaceDN/>
              <w:bidi w:val="0"/>
              <w:adjustRightInd/>
              <w:snapToGrid/>
              <w:spacing w:after="0" w:line="400" w:lineRule="exact"/>
              <w:ind w:left="240" w:leftChars="0" w:hanging="240" w:firstLineChars="0"/>
              <w:jc w:val="left"/>
              <w:textAlignment w:val="auto"/>
              <w:rPr>
                <w:rFonts w:hint="eastAsia"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标配盘位数：12</w:t>
            </w:r>
          </w:p>
          <w:p w14:paraId="7228C0A0">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eastAsia" w:ascii="宋体" w:hAnsi="宋体" w:eastAsia="宋体" w:cs="宋体"/>
                <w:sz w:val="22"/>
                <w:szCs w:val="22"/>
                <w:highlight w:val="none"/>
                <w:lang w:val="en-US" w:eastAsia="zh-CN"/>
              </w:rPr>
            </w:pPr>
            <w:r>
              <w:rPr>
                <w:rFonts w:hint="eastAsia" w:ascii="宋体" w:hAnsi="宋体" w:cs="宋体"/>
                <w:b/>
                <w:bCs/>
                <w:sz w:val="22"/>
                <w:szCs w:val="22"/>
                <w:highlight w:val="none"/>
                <w:lang w:val="en-US" w:eastAsia="zh-CN"/>
              </w:rPr>
              <w:t>网卡</w:t>
            </w:r>
            <w:r>
              <w:rPr>
                <w:rFonts w:hint="eastAsia" w:ascii="宋体" w:hAnsi="宋体" w:cs="宋体"/>
                <w:sz w:val="22"/>
                <w:szCs w:val="22"/>
                <w:highlight w:val="none"/>
                <w:lang w:val="en-US" w:eastAsia="zh-CN"/>
              </w:rPr>
              <w:t>：</w:t>
            </w:r>
            <w:r>
              <w:rPr>
                <w:rFonts w:hint="eastAsia" w:ascii="宋体" w:hAnsi="宋体" w:eastAsia="宋体" w:cs="宋体"/>
                <w:sz w:val="22"/>
                <w:szCs w:val="22"/>
                <w:highlight w:val="none"/>
                <w:lang w:val="en-US" w:eastAsia="zh-CN"/>
              </w:rPr>
              <w:t>管理/存储网络：双口25GbE SFP+网卡</w:t>
            </w:r>
            <w:r>
              <w:rPr>
                <w:rFonts w:hint="eastAsia" w:ascii="宋体" w:hAnsi="宋体" w:cs="宋体"/>
                <w:sz w:val="22"/>
                <w:szCs w:val="22"/>
                <w:highlight w:val="none"/>
                <w:lang w:val="en-US" w:eastAsia="zh-CN"/>
              </w:rPr>
              <w:t>，</w:t>
            </w:r>
            <w:r>
              <w:rPr>
                <w:rFonts w:hint="eastAsia" w:ascii="宋体" w:hAnsi="宋体" w:eastAsia="宋体" w:cs="宋体"/>
                <w:sz w:val="22"/>
                <w:szCs w:val="22"/>
                <w:highlight w:val="none"/>
                <w:lang w:val="en-US" w:eastAsia="zh-CN"/>
              </w:rPr>
              <w:t>业务网络：双口</w:t>
            </w:r>
            <w:r>
              <w:rPr>
                <w:rFonts w:hint="eastAsia" w:ascii="宋体" w:hAnsi="宋体" w:cs="宋体"/>
                <w:sz w:val="22"/>
                <w:szCs w:val="22"/>
                <w:highlight w:val="none"/>
                <w:lang w:val="en-US" w:eastAsia="zh-CN"/>
              </w:rPr>
              <w:t>25</w:t>
            </w:r>
            <w:r>
              <w:rPr>
                <w:rFonts w:hint="eastAsia" w:ascii="宋体" w:hAnsi="宋体" w:eastAsia="宋体" w:cs="宋体"/>
                <w:sz w:val="22"/>
                <w:szCs w:val="22"/>
                <w:highlight w:val="none"/>
                <w:lang w:val="en-US" w:eastAsia="zh-CN"/>
              </w:rPr>
              <w:t>GbE SFP+网卡</w:t>
            </w:r>
          </w:p>
          <w:p w14:paraId="16E4BAD7">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eastAsia" w:ascii="宋体" w:hAnsi="宋体" w:cs="宋体"/>
                <w:sz w:val="22"/>
                <w:szCs w:val="22"/>
                <w:highlight w:val="none"/>
                <w:lang w:val="en-US" w:eastAsia="zh-CN"/>
              </w:rPr>
            </w:pPr>
            <w:r>
              <w:rPr>
                <w:rFonts w:hint="eastAsia" w:ascii="宋体" w:hAnsi="宋体" w:cs="宋体"/>
                <w:b/>
                <w:bCs/>
                <w:sz w:val="22"/>
                <w:szCs w:val="22"/>
                <w:highlight w:val="none"/>
                <w:lang w:val="en-US" w:eastAsia="zh-CN"/>
              </w:rPr>
              <w:t>数据库：</w:t>
            </w:r>
            <w:r>
              <w:rPr>
                <w:rFonts w:hint="eastAsia" w:ascii="宋体" w:hAnsi="宋体" w:cs="宋体"/>
                <w:sz w:val="22"/>
                <w:szCs w:val="22"/>
                <w:highlight w:val="none"/>
                <w:lang w:val="en-US" w:eastAsia="zh-CN"/>
              </w:rPr>
              <w:t>达梦DMDPC V8.4、OceanBase V4、金仓分布式HTAP V3</w:t>
            </w:r>
          </w:p>
          <w:p w14:paraId="7F52600B">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default" w:ascii="宋体" w:hAnsi="宋体" w:cs="宋体"/>
                <w:sz w:val="22"/>
                <w:szCs w:val="22"/>
                <w:highlight w:val="none"/>
                <w:lang w:val="en-US" w:eastAsia="zh-CN"/>
              </w:rPr>
            </w:pPr>
            <w:r>
              <w:rPr>
                <w:rFonts w:hint="eastAsia" w:ascii="宋体" w:hAnsi="宋体" w:cs="宋体"/>
                <w:b/>
                <w:bCs/>
                <w:sz w:val="22"/>
                <w:szCs w:val="22"/>
                <w:highlight w:val="none"/>
                <w:lang w:val="en-US" w:eastAsia="zh-CN"/>
              </w:rPr>
              <w:t>操作系统：</w:t>
            </w:r>
            <w:r>
              <w:rPr>
                <w:rFonts w:hint="eastAsia" w:ascii="宋体" w:hAnsi="宋体" w:cs="宋体"/>
                <w:sz w:val="22"/>
                <w:szCs w:val="22"/>
                <w:highlight w:val="none"/>
                <w:lang w:val="en-US" w:eastAsia="zh-CN"/>
              </w:rPr>
              <w:t>银河麒麟V11、北京凝思V6、Sangfor OS V5.0</w:t>
            </w:r>
          </w:p>
          <w:p w14:paraId="18825504">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default" w:ascii="宋体" w:hAnsi="宋体" w:cs="宋体"/>
                <w:sz w:val="22"/>
                <w:szCs w:val="22"/>
                <w:highlight w:val="none"/>
                <w:lang w:val="en-US" w:eastAsia="zh-CN"/>
              </w:rPr>
            </w:pPr>
            <w:r>
              <w:rPr>
                <w:rFonts w:hint="default" w:ascii="宋体" w:hAnsi="宋体" w:cs="宋体"/>
                <w:b/>
                <w:bCs/>
                <w:sz w:val="22"/>
                <w:szCs w:val="22"/>
                <w:highlight w:val="none"/>
                <w:lang w:val="en-US" w:eastAsia="zh-CN"/>
              </w:rPr>
              <w:t>超融合软件：</w:t>
            </w:r>
            <w:r>
              <w:rPr>
                <w:rFonts w:hint="default" w:ascii="宋体" w:hAnsi="宋体" w:cs="宋体"/>
                <w:sz w:val="22"/>
                <w:szCs w:val="22"/>
                <w:highlight w:val="none"/>
                <w:lang w:val="en-US" w:eastAsia="zh-CN"/>
              </w:rPr>
              <w:t>华为FusionCompute（虚拟化） + FusionStorage（分布式存储）</w:t>
            </w:r>
            <w:r>
              <w:rPr>
                <w:rFonts w:hint="eastAsia" w:ascii="宋体" w:hAnsi="宋体" w:cs="宋体"/>
                <w:sz w:val="22"/>
                <w:szCs w:val="22"/>
                <w:highlight w:val="none"/>
                <w:lang w:val="en-US" w:eastAsia="zh-CN"/>
              </w:rPr>
              <w:t>、深信服信创超融合、H3C UIS、SmartX</w:t>
            </w:r>
          </w:p>
          <w:p w14:paraId="3948EF61">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default" w:ascii="宋体" w:hAnsi="宋体" w:cs="宋体"/>
                <w:sz w:val="22"/>
                <w:szCs w:val="22"/>
                <w:highlight w:val="none"/>
                <w:lang w:val="en-US" w:eastAsia="zh-CN"/>
              </w:rPr>
            </w:pPr>
            <w:r>
              <w:rPr>
                <w:rFonts w:hint="eastAsia" w:ascii="宋体" w:hAnsi="宋体" w:cs="宋体"/>
                <w:b/>
                <w:bCs/>
                <w:sz w:val="22"/>
                <w:szCs w:val="22"/>
                <w:highlight w:val="none"/>
                <w:lang w:val="en-US" w:eastAsia="zh-CN"/>
              </w:rPr>
              <w:t>电源</w:t>
            </w:r>
            <w:r>
              <w:rPr>
                <w:rFonts w:hint="eastAsia" w:ascii="宋体" w:hAnsi="宋体" w:cs="宋体"/>
                <w:sz w:val="22"/>
                <w:szCs w:val="22"/>
                <w:highlight w:val="none"/>
                <w:lang w:val="en-US" w:eastAsia="zh-CN"/>
              </w:rPr>
              <w:t>：80 PLUS 白金版</w:t>
            </w:r>
          </w:p>
          <w:p w14:paraId="5E041073">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冗余：电源、风扇、网卡等关键硬件支持冗余配置</w:t>
            </w:r>
          </w:p>
          <w:p w14:paraId="1176EFB2">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具有远程管理功能</w:t>
            </w:r>
          </w:p>
          <w:p w14:paraId="235E4D77">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eastAsia" w:ascii="宋体" w:hAnsi="宋体" w:cs="宋体"/>
                <w:sz w:val="22"/>
                <w:szCs w:val="22"/>
                <w:highlight w:val="none"/>
                <w:lang w:val="en-US" w:eastAsia="zh-CN"/>
              </w:rPr>
            </w:pPr>
            <w:r>
              <w:rPr>
                <w:rFonts w:hint="default" w:ascii="宋体" w:hAnsi="宋体" w:cs="宋体"/>
                <w:sz w:val="22"/>
                <w:szCs w:val="22"/>
                <w:highlight w:val="none"/>
                <w:lang w:val="en-US" w:eastAsia="zh-CN"/>
              </w:rPr>
              <w:t>含超融合软件与3年维保服务</w:t>
            </w:r>
            <w:r>
              <w:rPr>
                <w:rFonts w:hint="eastAsia" w:ascii="宋体" w:hAnsi="宋体" w:cs="宋体"/>
                <w:sz w:val="22"/>
                <w:szCs w:val="22"/>
                <w:highlight w:val="none"/>
                <w:lang w:val="en-US" w:eastAsia="zh-CN"/>
              </w:rPr>
              <w:t>，提供原厂售后承诺函</w:t>
            </w:r>
          </w:p>
          <w:p w14:paraId="08362D2E">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default" w:ascii="宋体" w:hAnsi="宋体" w:cs="宋体"/>
                <w:sz w:val="22"/>
                <w:szCs w:val="22"/>
                <w:highlight w:val="none"/>
                <w:lang w:val="en-US" w:eastAsia="zh-CN"/>
              </w:rPr>
            </w:pPr>
            <w:r>
              <w:rPr>
                <w:rFonts w:hint="eastAsia" w:ascii="宋体" w:hAnsi="宋体" w:cs="宋体"/>
                <w:sz w:val="22"/>
                <w:szCs w:val="22"/>
                <w:highlight w:val="none"/>
                <w:lang w:val="en-US" w:eastAsia="zh-CN"/>
              </w:rPr>
              <w:t>提供“CPU+超融合软件+操作系统+数据库”整套组合的官方兼容性认证报告</w:t>
            </w:r>
          </w:p>
          <w:p w14:paraId="6D78F4EE">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default" w:ascii="宋体" w:hAnsi="宋体" w:cs="宋体"/>
                <w:sz w:val="22"/>
                <w:szCs w:val="22"/>
                <w:highlight w:val="none"/>
                <w:lang w:val="en-US" w:eastAsia="zh-CN"/>
              </w:rPr>
            </w:pPr>
            <w:r>
              <w:rPr>
                <w:rFonts w:hint="eastAsia" w:ascii="宋体" w:hAnsi="宋体" w:cs="宋体"/>
                <w:sz w:val="22"/>
                <w:szCs w:val="22"/>
                <w:highlight w:val="none"/>
                <w:lang w:val="en-US" w:eastAsia="zh-CN"/>
              </w:rPr>
              <w:t>品牌：华为、海光、浪潮、深信服</w:t>
            </w:r>
          </w:p>
        </w:tc>
        <w:tc>
          <w:tcPr>
            <w:tcW w:w="1100" w:type="dxa"/>
            <w:noWrap w:val="0"/>
            <w:vAlign w:val="center"/>
          </w:tcPr>
          <w:p w14:paraId="168B5509">
            <w:pPr>
              <w:pStyle w:val="27"/>
              <w:spacing w:after="0" w:line="500" w:lineRule="exact"/>
              <w:jc w:val="left"/>
              <w:rPr>
                <w:rFonts w:hint="default"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3台</w:t>
            </w:r>
          </w:p>
        </w:tc>
      </w:tr>
      <w:tr w14:paraId="02F61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65" w:type="dxa"/>
            <w:noWrap w:val="0"/>
            <w:vAlign w:val="center"/>
          </w:tcPr>
          <w:p w14:paraId="4954D770">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0"/>
                <w:sz w:val="22"/>
                <w:szCs w:val="22"/>
                <w:highlight w:val="none"/>
                <w:lang w:val="en-US" w:eastAsia="zh-CN" w:bidi="ar"/>
              </w:rPr>
            </w:pPr>
            <w:r>
              <w:rPr>
                <w:rFonts w:hint="eastAsia" w:ascii="宋体" w:hAnsi="宋体" w:cs="宋体"/>
                <w:kern w:val="0"/>
                <w:sz w:val="22"/>
                <w:szCs w:val="22"/>
                <w:highlight w:val="none"/>
                <w:lang w:val="en-US" w:eastAsia="zh-CN" w:bidi="ar"/>
              </w:rPr>
              <w:t>交换机</w:t>
            </w:r>
          </w:p>
        </w:tc>
        <w:tc>
          <w:tcPr>
            <w:tcW w:w="6096" w:type="dxa"/>
            <w:noWrap w:val="0"/>
            <w:vAlign w:val="center"/>
          </w:tcPr>
          <w:p w14:paraId="37A30235">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S5735S-S24T4X-XA（型号以华为为例，其他品牌满足规格要求即可）,交换容量336 Gbps，包转发率126 Mpps</w:t>
            </w:r>
          </w:p>
          <w:p w14:paraId="77861406">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default" w:ascii="宋体" w:hAnsi="宋体" w:cs="宋体"/>
                <w:sz w:val="22"/>
                <w:szCs w:val="22"/>
                <w:highlight w:val="none"/>
                <w:lang w:val="en-US" w:eastAsia="zh-CN"/>
              </w:rPr>
            </w:pPr>
            <w:r>
              <w:rPr>
                <w:rFonts w:hint="eastAsia" w:ascii="宋体" w:hAnsi="宋体" w:cs="宋体"/>
                <w:sz w:val="22"/>
                <w:szCs w:val="22"/>
                <w:highlight w:val="none"/>
                <w:lang w:val="en-US" w:eastAsia="zh-CN"/>
              </w:rPr>
              <w:t>24个10/100/1000BASE-T以太网端口，4个万兆SFP+上行端口 含光模块</w:t>
            </w:r>
          </w:p>
          <w:p w14:paraId="6A21DFAE">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default" w:ascii="宋体" w:hAnsi="宋体" w:cs="宋体"/>
                <w:sz w:val="22"/>
                <w:szCs w:val="22"/>
                <w:highlight w:val="none"/>
                <w:lang w:val="en-US" w:eastAsia="zh-CN"/>
              </w:rPr>
            </w:pPr>
            <w:r>
              <w:rPr>
                <w:rFonts w:hint="eastAsia" w:ascii="宋体" w:hAnsi="宋体" w:cs="宋体"/>
                <w:sz w:val="22"/>
                <w:szCs w:val="22"/>
                <w:highlight w:val="none"/>
                <w:lang w:val="en-US" w:eastAsia="zh-CN"/>
              </w:rPr>
              <w:t>品牌：</w:t>
            </w:r>
            <w:r>
              <w:rPr>
                <w:rFonts w:hint="default" w:ascii="宋体" w:hAnsi="宋体" w:cs="宋体"/>
                <w:sz w:val="22"/>
                <w:szCs w:val="22"/>
                <w:highlight w:val="none"/>
                <w:lang w:val="en-US" w:eastAsia="zh-CN"/>
              </w:rPr>
              <w:t>华为</w:t>
            </w:r>
            <w:r>
              <w:rPr>
                <w:rFonts w:hint="eastAsia" w:ascii="宋体" w:hAnsi="宋体" w:cs="宋体"/>
                <w:sz w:val="22"/>
                <w:szCs w:val="22"/>
                <w:highlight w:val="none"/>
                <w:lang w:val="en-US" w:eastAsia="zh-CN"/>
              </w:rPr>
              <w:t>、华三、浪潮、深信服</w:t>
            </w:r>
          </w:p>
        </w:tc>
        <w:tc>
          <w:tcPr>
            <w:tcW w:w="1100" w:type="dxa"/>
            <w:noWrap w:val="0"/>
            <w:vAlign w:val="center"/>
          </w:tcPr>
          <w:p w14:paraId="70F971C4">
            <w:pPr>
              <w:pStyle w:val="27"/>
              <w:spacing w:after="0" w:line="500" w:lineRule="exact"/>
              <w:jc w:val="left"/>
              <w:rPr>
                <w:rFonts w:hint="eastAsia" w:ascii="宋体" w:hAnsi="宋体" w:eastAsia="宋体" w:cs="宋体"/>
                <w:color w:val="000000"/>
                <w:sz w:val="22"/>
                <w:szCs w:val="22"/>
                <w:highlight w:val="none"/>
                <w:lang w:val="en-US" w:eastAsia="zh-CN" w:bidi="ar-SA"/>
              </w:rPr>
            </w:pPr>
            <w:r>
              <w:rPr>
                <w:rFonts w:hint="eastAsia" w:ascii="宋体" w:hAnsi="宋体" w:cs="宋体"/>
                <w:sz w:val="22"/>
                <w:szCs w:val="22"/>
                <w:highlight w:val="none"/>
                <w:lang w:val="en-US" w:eastAsia="zh-CN"/>
              </w:rPr>
              <w:t>2台</w:t>
            </w:r>
          </w:p>
        </w:tc>
      </w:tr>
      <w:tr w14:paraId="17085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1965" w:type="dxa"/>
            <w:noWrap w:val="0"/>
            <w:vAlign w:val="center"/>
          </w:tcPr>
          <w:p w14:paraId="1A0D350C">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cs="宋体"/>
                <w:kern w:val="0"/>
                <w:sz w:val="22"/>
                <w:szCs w:val="22"/>
                <w:highlight w:val="none"/>
                <w:lang w:val="en-US" w:eastAsia="zh-CN" w:bidi="ar"/>
              </w:rPr>
            </w:pPr>
            <w:r>
              <w:rPr>
                <w:rFonts w:hint="eastAsia" w:ascii="宋体" w:hAnsi="宋体" w:cs="宋体"/>
                <w:kern w:val="0"/>
                <w:sz w:val="22"/>
                <w:szCs w:val="22"/>
                <w:highlight w:val="none"/>
                <w:lang w:val="en-US" w:eastAsia="zh-CN" w:bidi="ar"/>
              </w:rPr>
              <w:t>万兆存储接入交换机</w:t>
            </w:r>
          </w:p>
        </w:tc>
        <w:tc>
          <w:tcPr>
            <w:tcW w:w="6096" w:type="dxa"/>
            <w:noWrap w:val="0"/>
            <w:vAlign w:val="center"/>
          </w:tcPr>
          <w:p w14:paraId="2B30417C">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S6730S-S24X6Q-A（型号以华为为例，其他品牌满足规格要求即可）,交换容量2.4T/24Tbps，包转发率720M/792Mpps</w:t>
            </w:r>
          </w:p>
          <w:p w14:paraId="0244F108">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24个10G SFP+光口（支持千兆/万兆自适应），6个40G QSFP+端口，双电源</w:t>
            </w:r>
          </w:p>
          <w:p w14:paraId="2D8CBD79">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品牌：</w:t>
            </w:r>
            <w:r>
              <w:rPr>
                <w:rFonts w:hint="default" w:ascii="宋体" w:hAnsi="宋体" w:cs="宋体"/>
                <w:sz w:val="22"/>
                <w:szCs w:val="22"/>
                <w:highlight w:val="none"/>
                <w:lang w:val="en-US" w:eastAsia="zh-CN"/>
              </w:rPr>
              <w:t>华为</w:t>
            </w:r>
            <w:r>
              <w:rPr>
                <w:rFonts w:hint="eastAsia" w:ascii="宋体" w:hAnsi="宋体" w:cs="宋体"/>
                <w:sz w:val="22"/>
                <w:szCs w:val="22"/>
                <w:highlight w:val="none"/>
                <w:lang w:val="en-US" w:eastAsia="zh-CN"/>
              </w:rPr>
              <w:t>、华三、浪潮、深信服</w:t>
            </w:r>
          </w:p>
        </w:tc>
        <w:tc>
          <w:tcPr>
            <w:tcW w:w="1100" w:type="dxa"/>
            <w:noWrap w:val="0"/>
            <w:vAlign w:val="center"/>
          </w:tcPr>
          <w:p w14:paraId="7F59A95F">
            <w:pPr>
              <w:pStyle w:val="27"/>
              <w:spacing w:after="0" w:line="500" w:lineRule="exact"/>
              <w:jc w:val="left"/>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2台</w:t>
            </w:r>
          </w:p>
        </w:tc>
      </w:tr>
      <w:tr w14:paraId="188DB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1965" w:type="dxa"/>
            <w:noWrap w:val="0"/>
            <w:vAlign w:val="center"/>
          </w:tcPr>
          <w:p w14:paraId="527ED673">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kern w:val="0"/>
                <w:sz w:val="22"/>
                <w:szCs w:val="22"/>
                <w:highlight w:val="none"/>
                <w:lang w:val="en-US" w:eastAsia="zh-CN" w:bidi="ar"/>
              </w:rPr>
            </w:pPr>
            <w:r>
              <w:rPr>
                <w:rFonts w:hint="eastAsia" w:ascii="宋体" w:hAnsi="宋体" w:cs="宋体"/>
                <w:kern w:val="0"/>
                <w:sz w:val="22"/>
                <w:szCs w:val="22"/>
                <w:highlight w:val="none"/>
                <w:lang w:val="en-US" w:eastAsia="zh-CN" w:bidi="ar"/>
              </w:rPr>
              <w:t>防火墙</w:t>
            </w:r>
          </w:p>
        </w:tc>
        <w:tc>
          <w:tcPr>
            <w:tcW w:w="6096" w:type="dxa"/>
            <w:noWrap w:val="0"/>
            <w:vAlign w:val="center"/>
          </w:tcPr>
          <w:p w14:paraId="129DFFB6">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1U机架式，国产化自主可控CPU、操作系统</w:t>
            </w:r>
          </w:p>
          <w:p w14:paraId="2BBA8462">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内存≥16G</w:t>
            </w:r>
          </w:p>
          <w:p w14:paraId="1261448C">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系统盘≥32G，固态硬盘≥512G</w:t>
            </w:r>
          </w:p>
          <w:p w14:paraId="482C391F">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≥10个千兆电口，≥6个千兆光插槽，≥2个万兆光插槽</w:t>
            </w:r>
          </w:p>
          <w:p w14:paraId="12B60325">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双电源, ≥2个扩展槽位</w:t>
            </w:r>
          </w:p>
          <w:p w14:paraId="5DB459EE">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防火墙吞吐≥4G，并发连接≥160万</w:t>
            </w:r>
          </w:p>
          <w:p w14:paraId="568DE5E7">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提供≥3年硬件维保服务</w:t>
            </w:r>
          </w:p>
          <w:p w14:paraId="53B2FF13">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default" w:ascii="宋体" w:hAnsi="宋体" w:cs="宋体"/>
                <w:sz w:val="22"/>
                <w:szCs w:val="22"/>
                <w:highlight w:val="none"/>
                <w:lang w:val="en-US" w:eastAsia="zh-CN"/>
              </w:rPr>
            </w:pPr>
            <w:r>
              <w:rPr>
                <w:rFonts w:hint="eastAsia" w:ascii="宋体" w:hAnsi="宋体" w:cs="宋体"/>
                <w:sz w:val="22"/>
                <w:szCs w:val="22"/>
                <w:highlight w:val="none"/>
                <w:lang w:val="en-US" w:eastAsia="zh-CN"/>
              </w:rPr>
              <w:t>产品具有国家权威机构颁发的防火墙密码检测证书、国家信息安全测评信息技术产品安全测评证书（级别不低于EAL4+）证书，需提供所有证书复印件佐证</w:t>
            </w:r>
          </w:p>
          <w:p w14:paraId="0716A541">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default" w:ascii="宋体" w:hAnsi="宋体" w:cs="宋体"/>
                <w:sz w:val="22"/>
                <w:szCs w:val="22"/>
                <w:highlight w:val="none"/>
                <w:lang w:val="en-US" w:eastAsia="zh-CN"/>
              </w:rPr>
            </w:pPr>
            <w:r>
              <w:rPr>
                <w:rFonts w:hint="eastAsia" w:ascii="宋体" w:hAnsi="宋体" w:cs="宋体"/>
                <w:sz w:val="22"/>
                <w:szCs w:val="22"/>
                <w:highlight w:val="none"/>
                <w:lang w:val="en-US" w:eastAsia="zh-CN"/>
              </w:rPr>
              <w:t>品牌：华为USG6600系列、深信服AF系列、天融信NGAF系列</w:t>
            </w:r>
          </w:p>
        </w:tc>
        <w:tc>
          <w:tcPr>
            <w:tcW w:w="1100" w:type="dxa"/>
            <w:noWrap w:val="0"/>
            <w:vAlign w:val="center"/>
          </w:tcPr>
          <w:p w14:paraId="73EF5719">
            <w:pPr>
              <w:pStyle w:val="27"/>
              <w:spacing w:after="0" w:line="500" w:lineRule="exact"/>
              <w:jc w:val="left"/>
              <w:rPr>
                <w:rFonts w:hint="default"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1台</w:t>
            </w:r>
          </w:p>
        </w:tc>
      </w:tr>
      <w:tr w14:paraId="03CEA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1965" w:type="dxa"/>
            <w:noWrap w:val="0"/>
            <w:vAlign w:val="center"/>
          </w:tcPr>
          <w:p w14:paraId="4372E220">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0"/>
                <w:sz w:val="22"/>
                <w:szCs w:val="22"/>
                <w:highlight w:val="none"/>
                <w:lang w:val="en-US" w:eastAsia="zh-CN" w:bidi="ar"/>
              </w:rPr>
            </w:pPr>
            <w:r>
              <w:rPr>
                <w:rFonts w:hint="eastAsia" w:ascii="宋体" w:hAnsi="宋体" w:eastAsia="宋体" w:cs="宋体"/>
                <w:kern w:val="0"/>
                <w:sz w:val="22"/>
                <w:szCs w:val="22"/>
                <w:highlight w:val="none"/>
                <w:lang w:val="en-US" w:eastAsia="zh-CN" w:bidi="ar"/>
              </w:rPr>
              <w:t>配套软件、</w:t>
            </w:r>
            <w:r>
              <w:rPr>
                <w:rFonts w:hint="eastAsia" w:ascii="宋体" w:hAnsi="宋体" w:cs="宋体"/>
                <w:kern w:val="0"/>
                <w:sz w:val="22"/>
                <w:szCs w:val="22"/>
                <w:highlight w:val="none"/>
                <w:lang w:val="en-US" w:eastAsia="zh-CN" w:bidi="ar"/>
              </w:rPr>
              <w:t>手机终端</w:t>
            </w:r>
            <w:r>
              <w:rPr>
                <w:rFonts w:hint="eastAsia" w:ascii="宋体" w:hAnsi="宋体" w:eastAsia="宋体" w:cs="宋体"/>
                <w:kern w:val="0"/>
                <w:sz w:val="22"/>
                <w:szCs w:val="22"/>
                <w:highlight w:val="none"/>
                <w:lang w:val="en-US" w:eastAsia="zh-CN" w:bidi="ar"/>
              </w:rPr>
              <w:t>APP</w:t>
            </w:r>
          </w:p>
        </w:tc>
        <w:tc>
          <w:tcPr>
            <w:tcW w:w="6096" w:type="dxa"/>
            <w:noWrap w:val="0"/>
            <w:vAlign w:val="center"/>
          </w:tcPr>
          <w:p w14:paraId="658FDD2B">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详见第三</w:t>
            </w:r>
            <w:r>
              <w:rPr>
                <w:rFonts w:hint="eastAsia" w:ascii="宋体" w:hAnsi="宋体" w:cs="宋体"/>
                <w:sz w:val="22"/>
                <w:szCs w:val="22"/>
                <w:highlight w:val="none"/>
                <w:lang w:val="en-US" w:eastAsia="zh-CN"/>
              </w:rPr>
              <w:t>、四</w:t>
            </w:r>
            <w:r>
              <w:rPr>
                <w:rFonts w:hint="eastAsia" w:ascii="宋体" w:hAnsi="宋体" w:eastAsia="宋体" w:cs="宋体"/>
                <w:sz w:val="22"/>
                <w:szCs w:val="22"/>
                <w:highlight w:val="none"/>
                <w:lang w:val="en-US" w:eastAsia="zh-CN"/>
              </w:rPr>
              <w:t>章内容</w:t>
            </w:r>
          </w:p>
        </w:tc>
        <w:tc>
          <w:tcPr>
            <w:tcW w:w="1100" w:type="dxa"/>
            <w:noWrap w:val="0"/>
            <w:vAlign w:val="center"/>
          </w:tcPr>
          <w:p w14:paraId="43885F48">
            <w:pPr>
              <w:pStyle w:val="27"/>
              <w:spacing w:after="0" w:line="500" w:lineRule="exact"/>
              <w:jc w:val="left"/>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1套</w:t>
            </w:r>
          </w:p>
        </w:tc>
      </w:tr>
    </w:tbl>
    <w:p w14:paraId="412E5063">
      <w:pPr>
        <w:keepNext w:val="0"/>
        <w:keepLines w:val="0"/>
        <w:pageBreakBefore w:val="0"/>
        <w:widowControl/>
        <w:kinsoku/>
        <w:wordWrap/>
        <w:overflowPunct/>
        <w:topLinePunct w:val="0"/>
        <w:autoSpaceDE/>
        <w:autoSpaceDN/>
        <w:bidi w:val="0"/>
        <w:adjustRightInd/>
        <w:snapToGrid/>
        <w:spacing w:line="500" w:lineRule="exact"/>
        <w:ind w:left="0" w:leftChars="0" w:firstLine="420" w:firstLineChars="0"/>
        <w:textAlignment w:val="auto"/>
        <w:rPr>
          <w:rFonts w:hint="default" w:cs="Times New Roman"/>
          <w:highlight w:val="none"/>
          <w:lang w:val="en-US" w:eastAsia="zh-CN"/>
        </w:rPr>
      </w:pPr>
      <w:r>
        <w:rPr>
          <w:rFonts w:hint="eastAsia" w:cs="Times New Roman"/>
          <w:highlight w:val="none"/>
          <w:lang w:val="en-US" w:eastAsia="zh-CN"/>
        </w:rPr>
        <w:t>承包方应综合考虑发包文件系统性能要求，配置不低于以上技术性能要求的巡检仪、防爆手机、标签打印机、服务器、防火墙，以满足系统的运行到高可靠性，并发性等要求。</w:t>
      </w:r>
    </w:p>
    <w:p w14:paraId="279DF915">
      <w:pPr>
        <w:keepNext w:val="0"/>
        <w:keepLines w:val="0"/>
        <w:pageBreakBefore w:val="0"/>
        <w:widowControl/>
        <w:kinsoku/>
        <w:wordWrap/>
        <w:overflowPunct/>
        <w:topLinePunct w:val="0"/>
        <w:autoSpaceDE/>
        <w:autoSpaceDN/>
        <w:bidi w:val="0"/>
        <w:adjustRightInd/>
        <w:snapToGrid/>
        <w:spacing w:line="500" w:lineRule="exact"/>
        <w:ind w:left="0" w:leftChars="0" w:firstLine="420" w:firstLineChars="0"/>
        <w:textAlignment w:val="auto"/>
        <w:rPr>
          <w:rFonts w:hint="default" w:ascii="Times New Roman" w:hAnsi="Times New Roman" w:eastAsia="宋体" w:cs="Times New Roman"/>
          <w:b w:val="0"/>
          <w:bCs w:val="0"/>
          <w:color w:val="auto"/>
          <w:sz w:val="24"/>
          <w:szCs w:val="22"/>
          <w:highlight w:val="none"/>
          <w:lang w:val="en-US" w:eastAsia="zh-CN" w:bidi="ar-SA"/>
        </w:rPr>
      </w:pPr>
      <w:r>
        <w:rPr>
          <w:rFonts w:hint="eastAsia" w:cs="Times New Roman"/>
          <w:highlight w:val="none"/>
          <w:lang w:val="en-US" w:eastAsia="zh-CN"/>
        </w:rPr>
        <w:t>承包方须对所供设备的技术性能、适用性及可靠性全权负责，提供安装、操作所必需的设备、专用工具及备件，即便未在明细表中列明。</w:t>
      </w:r>
    </w:p>
    <w:p w14:paraId="5D4842A5">
      <w:pPr>
        <w:pStyle w:val="2"/>
        <w:tabs>
          <w:tab w:val="left" w:pos="432"/>
        </w:tabs>
        <w:spacing w:before="0" w:line="500" w:lineRule="exact"/>
        <w:ind w:left="0" w:leftChars="0" w:firstLine="0" w:firstLineChars="0"/>
        <w:rPr>
          <w:rFonts w:hint="default" w:ascii="宋体" w:hAnsi="宋体" w:cs="宋体"/>
          <w:color w:val="auto"/>
          <w:szCs w:val="28"/>
          <w:highlight w:val="none"/>
          <w:lang w:val="en-US"/>
        </w:rPr>
      </w:pPr>
      <w:bookmarkStart w:id="13" w:name="_Toc30557"/>
      <w:r>
        <w:rPr>
          <w:rFonts w:hint="eastAsia" w:ascii="宋体" w:hAnsi="宋体" w:cs="宋体"/>
          <w:b/>
          <w:bCs/>
          <w:color w:val="auto"/>
          <w:szCs w:val="30"/>
          <w:highlight w:val="none"/>
          <w:lang w:val="en-US" w:eastAsia="zh-CN"/>
        </w:rPr>
        <w:t xml:space="preserve">第三章 </w:t>
      </w:r>
      <w:bookmarkEnd w:id="11"/>
      <w:bookmarkEnd w:id="12"/>
      <w:r>
        <w:rPr>
          <w:rFonts w:hint="eastAsia" w:ascii="宋体" w:hAnsi="宋体" w:cs="宋体"/>
          <w:b/>
          <w:bCs/>
          <w:color w:val="auto"/>
          <w:szCs w:val="30"/>
          <w:highlight w:val="none"/>
          <w:lang w:val="en-US" w:eastAsia="zh-CN"/>
        </w:rPr>
        <w:t>功能</w:t>
      </w:r>
      <w:r>
        <w:rPr>
          <w:rFonts w:hint="eastAsia" w:ascii="宋体" w:hAnsi="宋体" w:cs="宋体"/>
          <w:color w:val="auto"/>
          <w:szCs w:val="28"/>
          <w:highlight w:val="none"/>
          <w:lang w:val="en-US" w:eastAsia="zh-CN"/>
        </w:rPr>
        <w:t>目标与范围</w:t>
      </w:r>
      <w:bookmarkEnd w:id="13"/>
    </w:p>
    <w:p w14:paraId="1287A19A">
      <w:pPr>
        <w:pStyle w:val="3"/>
        <w:numPr>
          <w:ilvl w:val="1"/>
          <w:numId w:val="7"/>
        </w:numPr>
        <w:spacing w:before="0" w:line="500" w:lineRule="exact"/>
        <w:ind w:left="567" w:leftChars="0" w:hanging="567" w:firstLineChars="0"/>
        <w:rPr>
          <w:rFonts w:hint="eastAsia" w:ascii="宋体" w:hAnsi="宋体" w:cs="宋体"/>
          <w:b/>
          <w:bCs/>
          <w:color w:val="auto"/>
          <w:sz w:val="28"/>
          <w:szCs w:val="28"/>
          <w:highlight w:val="none"/>
          <w:lang w:val="en-US" w:eastAsia="zh-CN"/>
        </w:rPr>
      </w:pPr>
      <w:bookmarkStart w:id="14" w:name="_Toc19328"/>
      <w:r>
        <w:rPr>
          <w:rFonts w:hint="eastAsia" w:ascii="宋体" w:hAnsi="宋体" w:cs="宋体"/>
          <w:b/>
          <w:bCs/>
          <w:color w:val="auto"/>
          <w:sz w:val="28"/>
          <w:szCs w:val="28"/>
          <w:highlight w:val="none"/>
          <w:lang w:val="en-US" w:eastAsia="zh-CN"/>
        </w:rPr>
        <w:t>功能目标</w:t>
      </w:r>
      <w:bookmarkEnd w:id="14"/>
    </w:p>
    <w:p w14:paraId="32D7E252">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highlight w:val="none"/>
          <w:lang w:val="en-US" w:eastAsia="zh-CN"/>
        </w:rPr>
      </w:pPr>
      <w:r>
        <w:rPr>
          <w:rFonts w:hint="eastAsia"/>
          <w:highlight w:val="none"/>
          <w:lang w:val="en-US" w:eastAsia="zh-CN"/>
        </w:rPr>
        <w:t>本项目配套软件与移动端APP旨在构建</w:t>
      </w:r>
      <w:r>
        <w:rPr>
          <w:rFonts w:hint="eastAsia"/>
          <w:highlight w:val="none"/>
          <w:lang w:val="zh-TW" w:eastAsia="zh-TW"/>
        </w:rPr>
        <w:t>一套先进的设备状态监测、</w:t>
      </w:r>
      <w:r>
        <w:rPr>
          <w:rFonts w:hint="eastAsia"/>
          <w:highlight w:val="none"/>
          <w:lang w:val="en-US" w:eastAsia="zh-CN"/>
        </w:rPr>
        <w:t>设备资产管理和设备资产绩效管理体系</w:t>
      </w:r>
      <w:r>
        <w:rPr>
          <w:rFonts w:hint="eastAsia"/>
          <w:highlight w:val="none"/>
          <w:lang w:val="zh-TW" w:eastAsia="zh-CN"/>
        </w:rPr>
        <w:t>，</w:t>
      </w:r>
      <w:r>
        <w:rPr>
          <w:rFonts w:hint="eastAsia"/>
          <w:highlight w:val="none"/>
          <w:lang w:val="en-US" w:eastAsia="zh-CN"/>
        </w:rPr>
        <w:t>集成现有系统和技术，贯通设备全生命周期信息，实现设备全生命周期管理和以数据驱动设备管理业务的智能运维模式，具体目标包括：</w:t>
      </w:r>
    </w:p>
    <w:p w14:paraId="5B3EFCFA">
      <w:pPr>
        <w:keepNext w:val="0"/>
        <w:keepLines w:val="0"/>
        <w:pageBreakBefore w:val="0"/>
        <w:widowControl/>
        <w:numPr>
          <w:ilvl w:val="0"/>
          <w:numId w:val="8"/>
        </w:numPr>
        <w:kinsoku/>
        <w:wordWrap/>
        <w:overflowPunct/>
        <w:topLinePunct w:val="0"/>
        <w:autoSpaceDE/>
        <w:autoSpaceDN/>
        <w:bidi w:val="0"/>
        <w:adjustRightInd/>
        <w:snapToGrid/>
        <w:spacing w:line="500" w:lineRule="exact"/>
        <w:ind w:left="0" w:leftChars="0" w:firstLine="440" w:firstLineChars="200"/>
        <w:textAlignment w:val="auto"/>
        <w:rPr>
          <w:rFonts w:hint="default" w:cs="Times New Roman"/>
          <w:highlight w:val="none"/>
          <w:lang w:val="en-US" w:eastAsia="zh-CN"/>
        </w:rPr>
      </w:pPr>
      <w:r>
        <w:rPr>
          <w:rFonts w:hint="eastAsia" w:cs="Times New Roman"/>
          <w:highlight w:val="none"/>
          <w:lang w:val="en-US" w:eastAsia="zh-CN"/>
        </w:rPr>
        <w:t>数据集成与可视化：实现以数据驱动设备管理业务的重构和价值创新，整合多系统数据资源，提供统一、准确的视图，通过图表、仪表盘等形式直观展示设备运行状态、维护情况与成本分析，提升管理透明度与决策效率。</w:t>
      </w:r>
    </w:p>
    <w:p w14:paraId="7C8E6486">
      <w:pPr>
        <w:keepNext w:val="0"/>
        <w:keepLines w:val="0"/>
        <w:pageBreakBefore w:val="0"/>
        <w:widowControl/>
        <w:numPr>
          <w:ilvl w:val="0"/>
          <w:numId w:val="8"/>
        </w:numPr>
        <w:kinsoku/>
        <w:wordWrap/>
        <w:overflowPunct/>
        <w:topLinePunct w:val="0"/>
        <w:autoSpaceDE/>
        <w:autoSpaceDN/>
        <w:bidi w:val="0"/>
        <w:adjustRightInd/>
        <w:snapToGrid/>
        <w:spacing w:line="500" w:lineRule="exact"/>
        <w:ind w:left="0" w:leftChars="0" w:firstLine="440" w:firstLineChars="200"/>
        <w:textAlignment w:val="auto"/>
        <w:rPr>
          <w:rFonts w:hint="default" w:cs="Times New Roman"/>
          <w:highlight w:val="none"/>
          <w:lang w:val="en-US" w:eastAsia="zh-CN"/>
        </w:rPr>
      </w:pPr>
      <w:r>
        <w:rPr>
          <w:rFonts w:hint="eastAsia" w:cs="Times New Roman"/>
          <w:highlight w:val="none"/>
          <w:lang w:val="en-US" w:eastAsia="zh-CN"/>
        </w:rPr>
        <w:t>设备全生命周期档案：基于二维码技术，实现动静电仪等专业设备全生命周期档案的动态管理，联动巡检、维护、检修、备件等实际操作，融入RCM、TnPM等理念，消除信息孤岛。</w:t>
      </w:r>
    </w:p>
    <w:p w14:paraId="305FAEC6">
      <w:pPr>
        <w:keepNext w:val="0"/>
        <w:keepLines w:val="0"/>
        <w:pageBreakBefore w:val="0"/>
        <w:widowControl/>
        <w:numPr>
          <w:ilvl w:val="0"/>
          <w:numId w:val="8"/>
        </w:numPr>
        <w:kinsoku/>
        <w:wordWrap/>
        <w:overflowPunct/>
        <w:topLinePunct w:val="0"/>
        <w:autoSpaceDE/>
        <w:autoSpaceDN/>
        <w:bidi w:val="0"/>
        <w:adjustRightInd/>
        <w:snapToGrid/>
        <w:spacing w:line="500" w:lineRule="exact"/>
        <w:ind w:left="0" w:leftChars="0" w:firstLine="440" w:firstLineChars="200"/>
        <w:textAlignment w:val="auto"/>
        <w:rPr>
          <w:rFonts w:hint="default" w:cs="Times New Roman"/>
          <w:highlight w:val="none"/>
          <w:lang w:val="en-US" w:eastAsia="zh-CN"/>
        </w:rPr>
      </w:pPr>
      <w:r>
        <w:rPr>
          <w:rFonts w:hint="eastAsia" w:cs="Times New Roman"/>
          <w:highlight w:val="none"/>
          <w:lang w:val="en-US" w:eastAsia="zh-CN"/>
        </w:rPr>
        <w:t>自动化工作流程和移动化管理：通过PC端与APP端自动处理日常任务（如数据整理、任务派发、隐患跟踪、法定检验提醒），避免计划遗漏与执行偏差，解决数据断层。</w:t>
      </w:r>
    </w:p>
    <w:p w14:paraId="713CBA6B">
      <w:pPr>
        <w:keepNext w:val="0"/>
        <w:keepLines w:val="0"/>
        <w:pageBreakBefore w:val="0"/>
        <w:widowControl/>
        <w:numPr>
          <w:ilvl w:val="0"/>
          <w:numId w:val="8"/>
        </w:numPr>
        <w:kinsoku/>
        <w:wordWrap/>
        <w:overflowPunct/>
        <w:topLinePunct w:val="0"/>
        <w:autoSpaceDE/>
        <w:autoSpaceDN/>
        <w:bidi w:val="0"/>
        <w:adjustRightInd/>
        <w:snapToGrid/>
        <w:spacing w:line="500" w:lineRule="exact"/>
        <w:ind w:left="0" w:leftChars="0" w:firstLine="440" w:firstLineChars="200"/>
        <w:textAlignment w:val="auto"/>
        <w:rPr>
          <w:rFonts w:hint="default" w:cs="Times New Roman"/>
          <w:highlight w:val="none"/>
          <w:lang w:val="en-US" w:eastAsia="zh-CN"/>
        </w:rPr>
      </w:pPr>
      <w:r>
        <w:rPr>
          <w:rFonts w:hint="eastAsia" w:cs="Times New Roman"/>
          <w:highlight w:val="none"/>
          <w:lang w:val="en-US" w:eastAsia="zh-CN"/>
        </w:rPr>
        <w:t>信息管理系统之间的互联互通：通过与工业互联网平台数据交互，整合历史与实时数据，实现多信息系统之间的数据交换。</w:t>
      </w:r>
    </w:p>
    <w:p w14:paraId="7094636D">
      <w:pPr>
        <w:keepNext w:val="0"/>
        <w:keepLines w:val="0"/>
        <w:pageBreakBefore w:val="0"/>
        <w:widowControl/>
        <w:numPr>
          <w:ilvl w:val="0"/>
          <w:numId w:val="8"/>
        </w:numPr>
        <w:kinsoku/>
        <w:wordWrap/>
        <w:overflowPunct/>
        <w:topLinePunct w:val="0"/>
        <w:autoSpaceDE/>
        <w:autoSpaceDN/>
        <w:bidi w:val="0"/>
        <w:adjustRightInd/>
        <w:snapToGrid/>
        <w:spacing w:line="500" w:lineRule="exact"/>
        <w:ind w:left="0" w:leftChars="0" w:firstLine="440" w:firstLineChars="200"/>
        <w:textAlignment w:val="auto"/>
        <w:rPr>
          <w:rFonts w:hint="default" w:cs="Times New Roman"/>
          <w:highlight w:val="none"/>
          <w:lang w:val="en-US" w:eastAsia="zh-CN"/>
        </w:rPr>
      </w:pPr>
      <w:r>
        <w:rPr>
          <w:rFonts w:hint="eastAsia" w:cs="Times New Roman"/>
          <w:highlight w:val="none"/>
          <w:lang w:val="en-US" w:eastAsia="zh-CN"/>
        </w:rPr>
        <w:t>设备资产绩效管理：基于状态监测与故障诊断技术，实现故障预警、状态监测、智能诊断、设备健康评价、设备可靠性评估，生成预测性维护维修报告，实现设备健康状态管理。</w:t>
      </w:r>
    </w:p>
    <w:p w14:paraId="54EC5DA6">
      <w:pPr>
        <w:pStyle w:val="3"/>
        <w:numPr>
          <w:ilvl w:val="1"/>
          <w:numId w:val="7"/>
        </w:numPr>
        <w:spacing w:before="0" w:line="500" w:lineRule="exact"/>
        <w:ind w:left="567" w:leftChars="0" w:hanging="567" w:firstLineChars="0"/>
        <w:rPr>
          <w:rFonts w:ascii="宋体" w:hAnsi="宋体" w:cs="宋体"/>
          <w:color w:val="auto"/>
          <w:sz w:val="28"/>
          <w:szCs w:val="28"/>
          <w:highlight w:val="none"/>
        </w:rPr>
      </w:pPr>
      <w:bookmarkStart w:id="15" w:name="_Toc6534"/>
      <w:r>
        <w:rPr>
          <w:rFonts w:hint="eastAsia" w:ascii="宋体" w:hAnsi="宋体" w:cs="宋体"/>
          <w:color w:val="auto"/>
          <w:sz w:val="28"/>
          <w:szCs w:val="28"/>
          <w:highlight w:val="none"/>
          <w:lang w:val="en-US" w:eastAsia="zh-CN"/>
        </w:rPr>
        <w:t>功能范围</w:t>
      </w:r>
      <w:bookmarkEnd w:id="15"/>
    </w:p>
    <w:p w14:paraId="1F3468D3">
      <w:pPr>
        <w:spacing w:after="0" w:line="500" w:lineRule="exact"/>
        <w:ind w:left="0" w:leftChars="0" w:firstLine="421" w:firstLineChars="0"/>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功能范围包括可视化驾驶舱、知识库、基础管理、设备资产、运维管理、专项管理、动静设备管理、电仪管理、精益大修、统计报表、系统管理共计11个功能模块，另配置有移动端APP，具体如下：</w:t>
      </w:r>
    </w:p>
    <w:tbl>
      <w:tblPr>
        <w:tblStyle w:val="17"/>
        <w:tblW w:w="86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45" w:type="dxa"/>
          <w:left w:w="96" w:type="dxa"/>
          <w:bottom w:w="45" w:type="dxa"/>
          <w:right w:w="96" w:type="dxa"/>
        </w:tblCellMar>
      </w:tblPr>
      <w:tblGrid>
        <w:gridCol w:w="1834"/>
        <w:gridCol w:w="6839"/>
      </w:tblGrid>
      <w:tr w14:paraId="12CC4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tblHeader/>
          <w:jc w:val="center"/>
        </w:trPr>
        <w:tc>
          <w:tcPr>
            <w:tcW w:w="1834" w:type="dxa"/>
            <w:noWrap w:val="0"/>
            <w:vAlign w:val="center"/>
          </w:tcPr>
          <w:p w14:paraId="6E0BDA0C">
            <w:pPr>
              <w:snapToGrid w:val="0"/>
              <w:spacing w:line="240" w:lineRule="auto"/>
              <w:ind w:left="0" w:leftChars="0" w:firstLine="0" w:firstLineChars="0"/>
              <w:jc w:val="center"/>
              <w:rPr>
                <w:rFonts w:hint="default" w:ascii="Times New Roman" w:eastAsia="宋体"/>
                <w:b/>
                <w:sz w:val="24"/>
                <w:highlight w:val="none"/>
                <w:vertAlign w:val="baseline"/>
                <w:lang w:val="en-US" w:eastAsia="zh-CN"/>
              </w:rPr>
            </w:pPr>
            <w:r>
              <w:rPr>
                <w:rFonts w:hint="eastAsia"/>
                <w:b/>
                <w:sz w:val="24"/>
                <w:highlight w:val="none"/>
                <w:vertAlign w:val="baseline"/>
                <w:lang w:val="en-US" w:eastAsia="zh-CN"/>
              </w:rPr>
              <w:t>功能模块</w:t>
            </w:r>
          </w:p>
        </w:tc>
        <w:tc>
          <w:tcPr>
            <w:tcW w:w="6839" w:type="dxa"/>
            <w:noWrap w:val="0"/>
            <w:vAlign w:val="center"/>
          </w:tcPr>
          <w:p w14:paraId="6ADE27B2">
            <w:pPr>
              <w:snapToGrid w:val="0"/>
              <w:spacing w:line="240" w:lineRule="auto"/>
              <w:ind w:left="0" w:leftChars="0" w:firstLine="0" w:firstLineChars="0"/>
              <w:jc w:val="center"/>
              <w:rPr>
                <w:rFonts w:hint="default" w:ascii="Times New Roman" w:eastAsia="宋体"/>
                <w:b/>
                <w:sz w:val="24"/>
                <w:highlight w:val="none"/>
                <w:vertAlign w:val="baseline"/>
                <w:lang w:val="en-US" w:eastAsia="zh-CN"/>
              </w:rPr>
            </w:pPr>
            <w:r>
              <w:rPr>
                <w:rFonts w:hint="eastAsia" w:ascii="Times New Roman" w:eastAsia="宋体"/>
                <w:b/>
                <w:sz w:val="24"/>
                <w:highlight w:val="none"/>
                <w:vertAlign w:val="baseline"/>
                <w:lang w:val="en-US" w:eastAsia="zh-CN"/>
              </w:rPr>
              <w:t>功能说明</w:t>
            </w:r>
          </w:p>
        </w:tc>
      </w:tr>
      <w:tr w14:paraId="45663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396" w:hRule="atLeast"/>
          <w:jc w:val="center"/>
        </w:trPr>
        <w:tc>
          <w:tcPr>
            <w:tcW w:w="1834" w:type="dxa"/>
            <w:noWrap w:val="0"/>
            <w:vAlign w:val="center"/>
          </w:tcPr>
          <w:p w14:paraId="6432AD62">
            <w:pPr>
              <w:snapToGrid w:val="0"/>
              <w:spacing w:line="240" w:lineRule="auto"/>
              <w:ind w:left="0" w:leftChars="0" w:firstLine="0" w:firstLineChars="0"/>
              <w:jc w:val="center"/>
              <w:rPr>
                <w:rFonts w:hint="default" w:ascii="Times New Roman" w:eastAsia="宋体"/>
                <w:sz w:val="24"/>
                <w:highlight w:val="none"/>
                <w:vertAlign w:val="baseline"/>
                <w:lang w:val="en-US" w:eastAsia="zh-CN"/>
              </w:rPr>
            </w:pPr>
            <w:r>
              <w:rPr>
                <w:rFonts w:hint="eastAsia" w:ascii="Times New Roman" w:eastAsia="宋体"/>
                <w:sz w:val="24"/>
                <w:highlight w:val="none"/>
                <w:vertAlign w:val="baseline"/>
                <w:lang w:val="en-US" w:eastAsia="zh-CN"/>
              </w:rPr>
              <w:t>可视化驾驶舱</w:t>
            </w:r>
          </w:p>
        </w:tc>
        <w:tc>
          <w:tcPr>
            <w:tcW w:w="6839" w:type="dxa"/>
            <w:noWrap w:val="0"/>
            <w:vAlign w:val="center"/>
          </w:tcPr>
          <w:p w14:paraId="4179EBFD">
            <w:pPr>
              <w:keepNext w:val="0"/>
              <w:keepLines w:val="0"/>
              <w:pageBreakBefore w:val="0"/>
              <w:widowControl/>
              <w:numPr>
                <w:ilvl w:val="0"/>
                <w:numId w:val="0"/>
              </w:numPr>
              <w:kinsoku/>
              <w:wordWrap/>
              <w:overflowPunct/>
              <w:topLinePunct w:val="0"/>
              <w:autoSpaceDE/>
              <w:autoSpaceDN/>
              <w:bidi w:val="0"/>
              <w:adjustRightInd/>
              <w:snapToGrid w:val="0"/>
              <w:spacing w:after="0" w:line="240" w:lineRule="auto"/>
              <w:ind w:leftChars="0"/>
              <w:jc w:val="both"/>
              <w:textAlignment w:val="auto"/>
              <w:rPr>
                <w:rFonts w:hint="default" w:ascii="Times New Roman" w:eastAsia="宋体"/>
                <w:sz w:val="24"/>
                <w:highlight w:val="none"/>
                <w:vertAlign w:val="baseline"/>
                <w:lang w:val="en-US" w:eastAsia="zh-CN"/>
              </w:rPr>
            </w:pPr>
            <w:r>
              <w:rPr>
                <w:rFonts w:hint="eastAsia" w:ascii="Times New Roman" w:eastAsia="宋体" w:cs="Times New Roman"/>
                <w:sz w:val="24"/>
                <w:highlight w:val="none"/>
                <w:vertAlign w:val="baseline"/>
                <w:lang w:val="en-US" w:eastAsia="zh-CN"/>
              </w:rPr>
              <w:t>专业看板、运维看板、专项看板、公示公告</w:t>
            </w:r>
          </w:p>
        </w:tc>
      </w:tr>
      <w:tr w14:paraId="1DA4F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2299" w:hRule="atLeast"/>
          <w:jc w:val="center"/>
        </w:trPr>
        <w:tc>
          <w:tcPr>
            <w:tcW w:w="1834" w:type="dxa"/>
            <w:noWrap w:val="0"/>
            <w:vAlign w:val="center"/>
          </w:tcPr>
          <w:p w14:paraId="5D3BC2D9">
            <w:pPr>
              <w:snapToGrid w:val="0"/>
              <w:spacing w:line="240" w:lineRule="auto"/>
              <w:ind w:left="0" w:leftChars="0" w:firstLine="0" w:firstLineChars="0"/>
              <w:jc w:val="center"/>
              <w:rPr>
                <w:rFonts w:ascii="Times New Roman" w:eastAsia="宋体"/>
                <w:sz w:val="24"/>
                <w:highlight w:val="none"/>
                <w:vertAlign w:val="baseline"/>
              </w:rPr>
            </w:pPr>
            <w:r>
              <w:rPr>
                <w:rFonts w:hint="eastAsia" w:ascii="Times New Roman" w:eastAsia="宋体"/>
                <w:sz w:val="24"/>
                <w:highlight w:val="none"/>
                <w:vertAlign w:val="baseline"/>
                <w:lang w:val="en-US" w:eastAsia="zh-CN"/>
              </w:rPr>
              <w:t>知识库</w:t>
            </w:r>
          </w:p>
        </w:tc>
        <w:tc>
          <w:tcPr>
            <w:tcW w:w="6839" w:type="dxa"/>
            <w:noWrap w:val="0"/>
            <w:vAlign w:val="center"/>
          </w:tcPr>
          <w:p w14:paraId="556D994C">
            <w:pPr>
              <w:keepNext w:val="0"/>
              <w:keepLines w:val="0"/>
              <w:pageBreakBefore w:val="0"/>
              <w:widowControl/>
              <w:numPr>
                <w:ilvl w:val="0"/>
                <w:numId w:val="0"/>
              </w:numPr>
              <w:kinsoku/>
              <w:wordWrap/>
              <w:overflowPunct/>
              <w:topLinePunct w:val="0"/>
              <w:autoSpaceDE/>
              <w:autoSpaceDN/>
              <w:bidi w:val="0"/>
              <w:adjustRightInd/>
              <w:snapToGrid w:val="0"/>
              <w:spacing w:after="0" w:line="360" w:lineRule="auto"/>
              <w:ind w:leftChars="0"/>
              <w:jc w:val="both"/>
              <w:textAlignment w:val="auto"/>
              <w:rPr>
                <w:rFonts w:ascii="Times New Roman" w:eastAsia="宋体"/>
                <w:sz w:val="24"/>
                <w:highlight w:val="none"/>
                <w:vertAlign w:val="baseline"/>
              </w:rPr>
            </w:pPr>
            <w:r>
              <w:rPr>
                <w:rFonts w:hint="eastAsia"/>
                <w:sz w:val="24"/>
                <w:highlight w:val="none"/>
                <w:vertAlign w:val="baseline"/>
                <w:lang w:val="en-US" w:eastAsia="zh-CN"/>
              </w:rPr>
              <w:t>规范标准、</w:t>
            </w:r>
            <w:r>
              <w:rPr>
                <w:rFonts w:hint="eastAsia" w:cs="Times New Roman"/>
                <w:sz w:val="24"/>
                <w:highlight w:val="none"/>
                <w:vertAlign w:val="baseline"/>
                <w:lang w:val="en-US" w:eastAsia="zh-CN"/>
              </w:rPr>
              <w:t>规章制度、经验库（</w:t>
            </w:r>
            <w:r>
              <w:rPr>
                <w:rFonts w:hint="eastAsia"/>
                <w:highlight w:val="none"/>
                <w:vertAlign w:val="baseline"/>
                <w:lang w:val="en-US" w:eastAsia="zh-CN"/>
              </w:rPr>
              <w:t>应知应会、设计审查、采购选型、安装调试验收、维护维修、SOP、检修典型问题手册、隐患排查指导手册、</w:t>
            </w:r>
            <w:r>
              <w:rPr>
                <w:rFonts w:hint="eastAsia" w:ascii="宋体" w:hAnsi="宋体" w:cs="宋体"/>
                <w:sz w:val="24"/>
                <w:szCs w:val="24"/>
                <w:highlight w:val="none"/>
                <w:lang w:val="en-US" w:eastAsia="zh-CN"/>
              </w:rPr>
              <w:t>标准化建设案例库</w:t>
            </w:r>
            <w:r>
              <w:rPr>
                <w:rFonts w:hint="eastAsia"/>
                <w:highlight w:val="none"/>
                <w:vertAlign w:val="baseline"/>
                <w:lang w:val="en-US" w:eastAsia="zh-CN"/>
              </w:rPr>
              <w:t>）、</w:t>
            </w:r>
            <w:r>
              <w:rPr>
                <w:rFonts w:hint="eastAsia" w:cs="Times New Roman"/>
                <w:sz w:val="24"/>
                <w:highlight w:val="none"/>
                <w:vertAlign w:val="baseline"/>
                <w:lang w:val="en-US" w:eastAsia="zh-CN"/>
              </w:rPr>
              <w:t>失效案例库、异常案例库、设计资料库、</w:t>
            </w:r>
            <w:r>
              <w:rPr>
                <w:rFonts w:hint="eastAsia"/>
                <w:sz w:val="24"/>
                <w:highlight w:val="none"/>
                <w:vertAlign w:val="baseline"/>
                <w:lang w:val="en-US" w:eastAsia="zh-CN"/>
              </w:rPr>
              <w:t>设备资料库、大修知识库、合同资料库、培训资料（培训体系、培训计划、培训课程、OPL单点课）、知识库检索</w:t>
            </w:r>
          </w:p>
        </w:tc>
      </w:tr>
      <w:tr w14:paraId="56EBB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834" w:type="dxa"/>
            <w:noWrap w:val="0"/>
            <w:vAlign w:val="center"/>
          </w:tcPr>
          <w:p w14:paraId="5496C600">
            <w:pPr>
              <w:snapToGrid w:val="0"/>
              <w:spacing w:line="240" w:lineRule="auto"/>
              <w:ind w:left="0" w:leftChars="0" w:firstLine="0" w:firstLineChars="0"/>
              <w:jc w:val="center"/>
              <w:rPr>
                <w:rFonts w:hint="default"/>
                <w:sz w:val="24"/>
                <w:highlight w:val="none"/>
                <w:vertAlign w:val="baseline"/>
                <w:lang w:val="en-US" w:eastAsia="zh-CN"/>
              </w:rPr>
            </w:pPr>
            <w:r>
              <w:rPr>
                <w:rFonts w:hint="eastAsia"/>
                <w:sz w:val="24"/>
                <w:highlight w:val="none"/>
                <w:vertAlign w:val="baseline"/>
                <w:lang w:val="en-US" w:eastAsia="zh-CN"/>
              </w:rPr>
              <w:t>基础管理</w:t>
            </w:r>
          </w:p>
        </w:tc>
        <w:tc>
          <w:tcPr>
            <w:tcW w:w="6839" w:type="dxa"/>
            <w:noWrap w:val="0"/>
            <w:vAlign w:val="center"/>
          </w:tcPr>
          <w:p w14:paraId="627FD7A7">
            <w:pPr>
              <w:keepNext w:val="0"/>
              <w:keepLines w:val="0"/>
              <w:pageBreakBefore w:val="0"/>
              <w:widowControl/>
              <w:numPr>
                <w:ilvl w:val="0"/>
                <w:numId w:val="0"/>
              </w:numPr>
              <w:kinsoku/>
              <w:wordWrap/>
              <w:overflowPunct/>
              <w:topLinePunct w:val="0"/>
              <w:autoSpaceDE/>
              <w:autoSpaceDN/>
              <w:bidi w:val="0"/>
              <w:adjustRightInd/>
              <w:snapToGrid w:val="0"/>
              <w:spacing w:after="0" w:line="360" w:lineRule="auto"/>
              <w:ind w:leftChars="0"/>
              <w:jc w:val="both"/>
              <w:textAlignment w:val="auto"/>
              <w:rPr>
                <w:rFonts w:hint="default" w:cs="Times New Roman"/>
                <w:sz w:val="24"/>
                <w:highlight w:val="none"/>
                <w:vertAlign w:val="baseline"/>
                <w:lang w:val="en-US" w:eastAsia="zh-CN"/>
              </w:rPr>
            </w:pPr>
            <w:r>
              <w:rPr>
                <w:rFonts w:hint="eastAsia" w:cs="Times New Roman"/>
                <w:sz w:val="24"/>
                <w:highlight w:val="none"/>
                <w:vertAlign w:val="baseline"/>
                <w:lang w:val="en-US" w:eastAsia="zh-CN"/>
              </w:rPr>
              <w:t>标准体系（点巡检标准、缺陷隐患标准、检查检测标准、维护保养标准、检维修工作包、故障体系）、编码体系（台账编码、工单编码、任务编码）</w:t>
            </w:r>
          </w:p>
        </w:tc>
      </w:tr>
      <w:tr w14:paraId="42ACC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834" w:type="dxa"/>
            <w:noWrap w:val="0"/>
            <w:vAlign w:val="center"/>
          </w:tcPr>
          <w:p w14:paraId="3BD8F84C">
            <w:pPr>
              <w:snapToGrid w:val="0"/>
              <w:spacing w:line="240" w:lineRule="auto"/>
              <w:ind w:left="0" w:leftChars="0" w:firstLine="0" w:firstLineChars="0"/>
              <w:jc w:val="center"/>
              <w:rPr>
                <w:rFonts w:hint="default"/>
                <w:sz w:val="24"/>
                <w:highlight w:val="none"/>
                <w:vertAlign w:val="baseline"/>
                <w:lang w:val="en-US" w:eastAsia="zh-CN"/>
              </w:rPr>
            </w:pPr>
            <w:r>
              <w:rPr>
                <w:rFonts w:hint="eastAsia"/>
                <w:sz w:val="24"/>
                <w:highlight w:val="none"/>
                <w:vertAlign w:val="baseline"/>
                <w:lang w:val="en-US" w:eastAsia="zh-CN"/>
              </w:rPr>
              <w:t>设备资产</w:t>
            </w:r>
          </w:p>
        </w:tc>
        <w:tc>
          <w:tcPr>
            <w:tcW w:w="6839" w:type="dxa"/>
            <w:noWrap w:val="0"/>
            <w:vAlign w:val="center"/>
          </w:tcPr>
          <w:p w14:paraId="6C3E6491">
            <w:pPr>
              <w:keepNext w:val="0"/>
              <w:keepLines w:val="0"/>
              <w:pageBreakBefore w:val="0"/>
              <w:widowControl/>
              <w:numPr>
                <w:ilvl w:val="0"/>
                <w:numId w:val="0"/>
              </w:numPr>
              <w:kinsoku/>
              <w:wordWrap/>
              <w:overflowPunct/>
              <w:topLinePunct w:val="0"/>
              <w:autoSpaceDE/>
              <w:autoSpaceDN/>
              <w:bidi w:val="0"/>
              <w:adjustRightInd/>
              <w:snapToGrid w:val="0"/>
              <w:spacing w:after="0" w:line="360" w:lineRule="auto"/>
              <w:ind w:leftChars="0"/>
              <w:jc w:val="both"/>
              <w:textAlignment w:val="auto"/>
              <w:rPr>
                <w:rFonts w:hint="default" w:cs="Times New Roman"/>
                <w:sz w:val="24"/>
                <w:highlight w:val="none"/>
                <w:vertAlign w:val="baseline"/>
                <w:lang w:val="en-US" w:eastAsia="zh-CN"/>
              </w:rPr>
            </w:pPr>
            <w:r>
              <w:rPr>
                <w:rFonts w:hint="eastAsia" w:cs="Times New Roman"/>
                <w:sz w:val="24"/>
                <w:highlight w:val="none"/>
                <w:vertAlign w:val="baseline"/>
                <w:lang w:val="en-US" w:eastAsia="zh-CN"/>
              </w:rPr>
              <w:t>设备管理（状态、登记、处置、变更、报废、闲置物料管理、工器具管理、设备总览表）、设备档案、设备分级、设备风险</w:t>
            </w:r>
          </w:p>
        </w:tc>
      </w:tr>
      <w:tr w14:paraId="13563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834" w:type="dxa"/>
            <w:noWrap w:val="0"/>
            <w:vAlign w:val="center"/>
          </w:tcPr>
          <w:p w14:paraId="687FFCBC">
            <w:pPr>
              <w:snapToGrid w:val="0"/>
              <w:spacing w:line="240" w:lineRule="auto"/>
              <w:ind w:left="0" w:leftChars="0" w:firstLine="0" w:firstLineChars="0"/>
              <w:jc w:val="center"/>
              <w:rPr>
                <w:rFonts w:hint="default" w:ascii="Times New Roman" w:eastAsia="宋体"/>
                <w:sz w:val="24"/>
                <w:highlight w:val="none"/>
                <w:vertAlign w:val="baseline"/>
                <w:lang w:val="en-US" w:eastAsia="zh-CN"/>
              </w:rPr>
            </w:pPr>
            <w:r>
              <w:rPr>
                <w:rFonts w:hint="eastAsia"/>
                <w:sz w:val="24"/>
                <w:highlight w:val="none"/>
                <w:vertAlign w:val="baseline"/>
                <w:lang w:val="en-US" w:eastAsia="zh-CN"/>
              </w:rPr>
              <w:t>运维管理</w:t>
            </w:r>
          </w:p>
        </w:tc>
        <w:tc>
          <w:tcPr>
            <w:tcW w:w="6839" w:type="dxa"/>
            <w:noWrap w:val="0"/>
            <w:vAlign w:val="center"/>
          </w:tcPr>
          <w:p w14:paraId="70CCD4A6">
            <w:pPr>
              <w:keepNext w:val="0"/>
              <w:keepLines w:val="0"/>
              <w:pageBreakBefore w:val="0"/>
              <w:widowControl/>
              <w:numPr>
                <w:ilvl w:val="0"/>
                <w:numId w:val="0"/>
              </w:numPr>
              <w:kinsoku/>
              <w:wordWrap/>
              <w:overflowPunct/>
              <w:topLinePunct w:val="0"/>
              <w:autoSpaceDE/>
              <w:autoSpaceDN/>
              <w:bidi w:val="0"/>
              <w:adjustRightInd/>
              <w:snapToGrid w:val="0"/>
              <w:spacing w:after="0" w:line="360" w:lineRule="auto"/>
              <w:ind w:leftChars="0"/>
              <w:jc w:val="both"/>
              <w:textAlignment w:val="auto"/>
              <w:rPr>
                <w:rFonts w:ascii="Times New Roman" w:eastAsia="宋体"/>
                <w:sz w:val="24"/>
                <w:highlight w:val="none"/>
                <w:vertAlign w:val="baseline"/>
              </w:rPr>
            </w:pPr>
            <w:r>
              <w:rPr>
                <w:rFonts w:hint="eastAsia" w:cs="Times New Roman"/>
                <w:sz w:val="24"/>
                <w:highlight w:val="none"/>
                <w:vertAlign w:val="baseline"/>
                <w:lang w:val="en-US" w:eastAsia="zh-CN"/>
              </w:rPr>
              <w:t>运行监控、点巡检、缺陷隐患、检查检测、维护保养、检维修、异常申报</w:t>
            </w:r>
          </w:p>
        </w:tc>
      </w:tr>
      <w:tr w14:paraId="1D217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834" w:type="dxa"/>
            <w:noWrap w:val="0"/>
            <w:vAlign w:val="center"/>
          </w:tcPr>
          <w:p w14:paraId="1FEC3CA4">
            <w:pPr>
              <w:snapToGrid w:val="0"/>
              <w:spacing w:line="240" w:lineRule="auto"/>
              <w:ind w:left="0" w:leftChars="0" w:firstLine="0" w:firstLineChars="0"/>
              <w:jc w:val="center"/>
              <w:rPr>
                <w:rFonts w:hint="default" w:eastAsia="宋体"/>
                <w:highlight w:val="none"/>
                <w:vertAlign w:val="baseline"/>
                <w:lang w:val="en-US" w:eastAsia="zh-CN"/>
              </w:rPr>
            </w:pPr>
            <w:r>
              <w:rPr>
                <w:rFonts w:hint="eastAsia"/>
                <w:highlight w:val="none"/>
                <w:vertAlign w:val="baseline"/>
                <w:lang w:val="en-US" w:eastAsia="zh-CN"/>
              </w:rPr>
              <w:t>专项管理</w:t>
            </w:r>
          </w:p>
        </w:tc>
        <w:tc>
          <w:tcPr>
            <w:tcW w:w="6839" w:type="dxa"/>
            <w:noWrap w:val="0"/>
            <w:vAlign w:val="center"/>
          </w:tcPr>
          <w:p w14:paraId="5E3C1EB5">
            <w:pPr>
              <w:keepNext w:val="0"/>
              <w:keepLines w:val="0"/>
              <w:pageBreakBefore w:val="0"/>
              <w:widowControl/>
              <w:numPr>
                <w:ilvl w:val="0"/>
                <w:numId w:val="0"/>
              </w:numPr>
              <w:kinsoku/>
              <w:wordWrap/>
              <w:overflowPunct/>
              <w:topLinePunct w:val="0"/>
              <w:autoSpaceDE/>
              <w:autoSpaceDN/>
              <w:bidi w:val="0"/>
              <w:adjustRightInd/>
              <w:snapToGrid w:val="0"/>
              <w:spacing w:after="0" w:line="360" w:lineRule="auto"/>
              <w:ind w:leftChars="0"/>
              <w:jc w:val="both"/>
              <w:textAlignment w:val="auto"/>
              <w:rPr>
                <w:rFonts w:hint="default"/>
                <w:highlight w:val="none"/>
                <w:vertAlign w:val="baseline"/>
                <w:lang w:val="en-US"/>
              </w:rPr>
            </w:pPr>
            <w:r>
              <w:rPr>
                <w:rFonts w:hint="eastAsia" w:cs="Times New Roman"/>
                <w:sz w:val="24"/>
                <w:highlight w:val="none"/>
                <w:vertAlign w:val="baseline"/>
                <w:lang w:val="en-US" w:eastAsia="zh-CN"/>
              </w:rPr>
              <w:t>润滑管理、防腐蚀管理、法定检验、委外维修、费用管理、备件管理、承包商管理、人员管理</w:t>
            </w:r>
          </w:p>
        </w:tc>
      </w:tr>
      <w:tr w14:paraId="2C60A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834" w:type="dxa"/>
            <w:noWrap w:val="0"/>
            <w:vAlign w:val="center"/>
          </w:tcPr>
          <w:p w14:paraId="720D334C">
            <w:pPr>
              <w:snapToGrid w:val="0"/>
              <w:spacing w:line="240" w:lineRule="auto"/>
              <w:ind w:left="0" w:leftChars="0" w:firstLine="0" w:firstLineChars="0"/>
              <w:jc w:val="center"/>
              <w:rPr>
                <w:rFonts w:hint="default"/>
                <w:sz w:val="24"/>
                <w:highlight w:val="none"/>
                <w:vertAlign w:val="baseline"/>
                <w:lang w:val="en-US" w:eastAsia="zh-CN"/>
              </w:rPr>
            </w:pPr>
            <w:r>
              <w:rPr>
                <w:rFonts w:hint="eastAsia"/>
                <w:sz w:val="24"/>
                <w:highlight w:val="none"/>
                <w:vertAlign w:val="baseline"/>
                <w:lang w:val="en-US" w:eastAsia="zh-CN"/>
              </w:rPr>
              <w:t>动静设备管理</w:t>
            </w:r>
          </w:p>
        </w:tc>
        <w:tc>
          <w:tcPr>
            <w:tcW w:w="6839" w:type="dxa"/>
            <w:noWrap w:val="0"/>
            <w:vAlign w:val="center"/>
          </w:tcPr>
          <w:p w14:paraId="76B0F015">
            <w:pPr>
              <w:keepNext w:val="0"/>
              <w:keepLines w:val="0"/>
              <w:pageBreakBefore w:val="0"/>
              <w:widowControl/>
              <w:numPr>
                <w:ilvl w:val="0"/>
                <w:numId w:val="0"/>
              </w:numPr>
              <w:kinsoku/>
              <w:wordWrap/>
              <w:overflowPunct/>
              <w:topLinePunct w:val="0"/>
              <w:autoSpaceDE/>
              <w:autoSpaceDN/>
              <w:bidi w:val="0"/>
              <w:adjustRightInd/>
              <w:snapToGrid w:val="0"/>
              <w:spacing w:after="0" w:line="360" w:lineRule="auto"/>
              <w:ind w:leftChars="0"/>
              <w:jc w:val="both"/>
              <w:textAlignment w:val="auto"/>
              <w:rPr>
                <w:rFonts w:hint="eastAsia" w:cs="Times New Roman"/>
                <w:sz w:val="24"/>
                <w:highlight w:val="none"/>
                <w:vertAlign w:val="baseline"/>
                <w:lang w:val="en-US" w:eastAsia="zh-CN"/>
              </w:rPr>
            </w:pPr>
            <w:r>
              <w:rPr>
                <w:rFonts w:hint="eastAsia" w:cs="Times New Roman"/>
                <w:sz w:val="24"/>
                <w:highlight w:val="none"/>
                <w:vertAlign w:val="baseline"/>
                <w:lang w:val="en-US" w:eastAsia="zh-CN"/>
              </w:rPr>
              <w:t>机组管理（三维建模）、泄露管理（对接LDAR泄露系统）、小接管管理</w:t>
            </w:r>
          </w:p>
        </w:tc>
      </w:tr>
      <w:tr w14:paraId="523C2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834" w:type="dxa"/>
            <w:noWrap w:val="0"/>
            <w:vAlign w:val="center"/>
          </w:tcPr>
          <w:p w14:paraId="3D8C55F0">
            <w:pPr>
              <w:snapToGrid w:val="0"/>
              <w:spacing w:line="240" w:lineRule="auto"/>
              <w:ind w:left="0" w:leftChars="0" w:firstLine="0" w:firstLineChars="0"/>
              <w:jc w:val="center"/>
              <w:rPr>
                <w:rFonts w:hint="default" w:ascii="Times New Roman" w:eastAsia="宋体"/>
                <w:sz w:val="24"/>
                <w:highlight w:val="none"/>
                <w:vertAlign w:val="baseline"/>
                <w:lang w:val="en-US" w:eastAsia="zh-CN"/>
              </w:rPr>
            </w:pPr>
            <w:r>
              <w:rPr>
                <w:rFonts w:hint="eastAsia"/>
                <w:sz w:val="24"/>
                <w:highlight w:val="none"/>
                <w:vertAlign w:val="baseline"/>
                <w:lang w:val="en-US" w:eastAsia="zh-CN"/>
              </w:rPr>
              <w:t>精益大修</w:t>
            </w:r>
          </w:p>
        </w:tc>
        <w:tc>
          <w:tcPr>
            <w:tcW w:w="6839" w:type="dxa"/>
            <w:noWrap w:val="0"/>
            <w:vAlign w:val="center"/>
          </w:tcPr>
          <w:p w14:paraId="67EE7D21">
            <w:pPr>
              <w:keepNext w:val="0"/>
              <w:keepLines w:val="0"/>
              <w:pageBreakBefore w:val="0"/>
              <w:widowControl/>
              <w:numPr>
                <w:ilvl w:val="0"/>
                <w:numId w:val="0"/>
              </w:numPr>
              <w:kinsoku/>
              <w:wordWrap/>
              <w:overflowPunct/>
              <w:topLinePunct w:val="0"/>
              <w:autoSpaceDE/>
              <w:autoSpaceDN/>
              <w:bidi w:val="0"/>
              <w:adjustRightInd/>
              <w:snapToGrid w:val="0"/>
              <w:spacing w:after="0" w:line="360" w:lineRule="auto"/>
              <w:ind w:leftChars="0"/>
              <w:jc w:val="both"/>
              <w:textAlignment w:val="auto"/>
              <w:rPr>
                <w:rFonts w:ascii="Times New Roman" w:eastAsia="宋体"/>
                <w:sz w:val="24"/>
                <w:highlight w:val="none"/>
                <w:vertAlign w:val="baseline"/>
              </w:rPr>
            </w:pPr>
            <w:r>
              <w:rPr>
                <w:rFonts w:hint="eastAsia" w:cs="Times New Roman"/>
                <w:sz w:val="24"/>
                <w:highlight w:val="none"/>
                <w:vertAlign w:val="baseline"/>
                <w:lang w:val="en-US" w:eastAsia="zh-CN"/>
              </w:rPr>
              <w:t>数字化看板、工作主线（计划、方案、工作包、交底、排程、实施、检修交生产）、项目管理（物资、进度、质量、变更、费用、专项关键工作、安全）、综合管理（大修组织架构、KPI、大修协调会、文档管理、信息发布、统计报表、检修报告）</w:t>
            </w:r>
          </w:p>
        </w:tc>
      </w:tr>
      <w:tr w14:paraId="1EA8E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484" w:hRule="atLeast"/>
          <w:jc w:val="center"/>
        </w:trPr>
        <w:tc>
          <w:tcPr>
            <w:tcW w:w="1834" w:type="dxa"/>
            <w:noWrap w:val="0"/>
            <w:vAlign w:val="center"/>
          </w:tcPr>
          <w:p w14:paraId="7547A033">
            <w:pPr>
              <w:snapToGrid w:val="0"/>
              <w:spacing w:line="240" w:lineRule="auto"/>
              <w:ind w:left="0" w:leftChars="0" w:firstLine="0" w:firstLineChars="0"/>
              <w:jc w:val="center"/>
              <w:rPr>
                <w:rFonts w:hint="default" w:eastAsia="宋体"/>
                <w:highlight w:val="none"/>
                <w:vertAlign w:val="baseline"/>
                <w:lang w:val="en-US" w:eastAsia="zh-CN"/>
              </w:rPr>
            </w:pPr>
            <w:r>
              <w:rPr>
                <w:rFonts w:hint="eastAsia"/>
                <w:highlight w:val="none"/>
                <w:vertAlign w:val="baseline"/>
                <w:lang w:val="en-US" w:eastAsia="zh-CN"/>
              </w:rPr>
              <w:t>统计报表</w:t>
            </w:r>
          </w:p>
        </w:tc>
        <w:tc>
          <w:tcPr>
            <w:tcW w:w="6839" w:type="dxa"/>
            <w:noWrap w:val="0"/>
            <w:vAlign w:val="center"/>
          </w:tcPr>
          <w:p w14:paraId="474E3136">
            <w:pPr>
              <w:snapToGrid w:val="0"/>
              <w:spacing w:line="360" w:lineRule="auto"/>
              <w:ind w:left="0" w:leftChars="0" w:firstLine="0" w:firstLineChars="0"/>
              <w:jc w:val="both"/>
              <w:rPr>
                <w:rFonts w:hint="default"/>
                <w:highlight w:val="none"/>
                <w:vertAlign w:val="baseline"/>
                <w:lang w:val="en-US" w:eastAsia="zh-CN"/>
              </w:rPr>
            </w:pPr>
            <w:r>
              <w:rPr>
                <w:rFonts w:hint="eastAsia"/>
                <w:highlight w:val="none"/>
                <w:vertAlign w:val="baseline"/>
                <w:lang w:val="en-US" w:eastAsia="zh-CN"/>
              </w:rPr>
              <w:t>设备统计、点巡检统计、缺陷隐患统计、检查检测统计、维护保</w:t>
            </w:r>
            <w:r>
              <w:rPr>
                <w:rFonts w:hint="eastAsia" w:cs="Times New Roman"/>
                <w:highlight w:val="none"/>
                <w:vertAlign w:val="baseline"/>
                <w:lang w:val="en-US" w:eastAsia="zh-CN"/>
              </w:rPr>
              <w:t>养统计、异常统计（异常设备清单）、失效统计（失效设备清单）、高风险设备清单、可能存在风险设备清单、设备单个测点预警清单、工单统计、备件统计、设备完好率、设备故障率、设备投用率、维修费用分析、密封点泄露率、特种设备取证率、强检设备检定率、计划执行率、MTBF、MTTR等</w:t>
            </w:r>
          </w:p>
        </w:tc>
      </w:tr>
      <w:tr w14:paraId="0FBA1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834" w:type="dxa"/>
            <w:noWrap w:val="0"/>
            <w:vAlign w:val="center"/>
          </w:tcPr>
          <w:p w14:paraId="3C394ED4">
            <w:pPr>
              <w:snapToGrid w:val="0"/>
              <w:spacing w:line="240" w:lineRule="auto"/>
              <w:ind w:left="0" w:leftChars="0" w:firstLine="0" w:firstLineChars="0"/>
              <w:jc w:val="center"/>
              <w:rPr>
                <w:rFonts w:hint="default" w:eastAsia="宋体"/>
                <w:highlight w:val="none"/>
                <w:vertAlign w:val="baseline"/>
                <w:lang w:val="en-US" w:eastAsia="zh-CN"/>
              </w:rPr>
            </w:pPr>
            <w:r>
              <w:rPr>
                <w:rFonts w:hint="eastAsia"/>
                <w:highlight w:val="none"/>
                <w:vertAlign w:val="baseline"/>
                <w:lang w:val="en-US" w:eastAsia="zh-CN"/>
              </w:rPr>
              <w:t>系统管理</w:t>
            </w:r>
          </w:p>
        </w:tc>
        <w:tc>
          <w:tcPr>
            <w:tcW w:w="6839" w:type="dxa"/>
            <w:noWrap w:val="0"/>
            <w:vAlign w:val="center"/>
          </w:tcPr>
          <w:p w14:paraId="421ED065">
            <w:pPr>
              <w:snapToGrid w:val="0"/>
              <w:spacing w:line="360" w:lineRule="auto"/>
              <w:ind w:left="0" w:leftChars="0" w:firstLine="0" w:firstLineChars="0"/>
              <w:jc w:val="both"/>
              <w:rPr>
                <w:rFonts w:hint="default" w:eastAsia="宋体"/>
                <w:highlight w:val="none"/>
                <w:vertAlign w:val="baseline"/>
                <w:lang w:val="en-US" w:eastAsia="zh-CN"/>
              </w:rPr>
            </w:pPr>
            <w:r>
              <w:rPr>
                <w:rFonts w:hint="eastAsia"/>
                <w:highlight w:val="none"/>
                <w:vertAlign w:val="baseline"/>
                <w:lang w:val="en-US" w:eastAsia="zh-CN"/>
              </w:rPr>
              <w:t>用户工作台、组织架构、流程管理、权限管理、数据备份与恢复、个人设置、日程管理、</w:t>
            </w:r>
          </w:p>
        </w:tc>
      </w:tr>
      <w:tr w14:paraId="5036E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834" w:type="dxa"/>
            <w:noWrap w:val="0"/>
            <w:vAlign w:val="center"/>
          </w:tcPr>
          <w:p w14:paraId="279B6684">
            <w:pPr>
              <w:snapToGrid w:val="0"/>
              <w:spacing w:line="240" w:lineRule="auto"/>
              <w:ind w:left="0" w:leftChars="0" w:firstLine="0" w:firstLineChars="0"/>
              <w:jc w:val="center"/>
              <w:rPr>
                <w:rFonts w:hint="default" w:ascii="Times New Roman" w:eastAsia="宋体"/>
                <w:sz w:val="24"/>
                <w:highlight w:val="none"/>
                <w:vertAlign w:val="baseline"/>
                <w:lang w:val="en-US" w:eastAsia="zh-CN"/>
              </w:rPr>
            </w:pPr>
            <w:r>
              <w:rPr>
                <w:rFonts w:hint="eastAsia"/>
                <w:sz w:val="24"/>
                <w:highlight w:val="none"/>
                <w:vertAlign w:val="baseline"/>
                <w:lang w:val="en-US" w:eastAsia="zh-CN"/>
              </w:rPr>
              <w:t>移动端APP</w:t>
            </w:r>
          </w:p>
        </w:tc>
        <w:tc>
          <w:tcPr>
            <w:tcW w:w="6839" w:type="dxa"/>
            <w:noWrap w:val="0"/>
            <w:vAlign w:val="center"/>
          </w:tcPr>
          <w:p w14:paraId="5B05DFD4">
            <w:pPr>
              <w:snapToGrid w:val="0"/>
              <w:spacing w:line="360" w:lineRule="auto"/>
              <w:ind w:left="0" w:leftChars="0" w:firstLine="0" w:firstLineChars="0"/>
              <w:jc w:val="both"/>
              <w:rPr>
                <w:rFonts w:hint="default" w:ascii="Times New Roman" w:eastAsia="宋体"/>
                <w:sz w:val="24"/>
                <w:highlight w:val="none"/>
                <w:vertAlign w:val="baseline"/>
                <w:lang w:val="en-US" w:eastAsia="zh-CN"/>
              </w:rPr>
            </w:pPr>
            <w:r>
              <w:rPr>
                <w:rFonts w:hint="eastAsia"/>
                <w:sz w:val="24"/>
                <w:highlight w:val="none"/>
                <w:vertAlign w:val="baseline"/>
                <w:lang w:val="en-US" w:eastAsia="zh-CN"/>
              </w:rPr>
              <w:t>设备档案、运维管理、专项管理、精益大修，支持离线模式与一键异常申报</w:t>
            </w:r>
          </w:p>
        </w:tc>
      </w:tr>
    </w:tbl>
    <w:p w14:paraId="2D2D9267">
      <w:pPr>
        <w:pStyle w:val="2"/>
        <w:tabs>
          <w:tab w:val="left" w:pos="432"/>
        </w:tabs>
        <w:spacing w:before="0" w:line="500" w:lineRule="exact"/>
        <w:ind w:left="0" w:leftChars="0" w:firstLine="0" w:firstLineChars="0"/>
        <w:rPr>
          <w:rFonts w:hint="eastAsia" w:ascii="宋体" w:hAnsi="宋体" w:cs="宋体"/>
          <w:sz w:val="24"/>
          <w:szCs w:val="24"/>
          <w:highlight w:val="none"/>
          <w:lang w:val="zh-TW" w:eastAsia="zh-TW"/>
        </w:rPr>
      </w:pPr>
      <w:bookmarkStart w:id="16" w:name="_Toc29525"/>
      <w:r>
        <w:rPr>
          <w:rFonts w:hint="eastAsia" w:ascii="宋体" w:hAnsi="宋体" w:cs="宋体"/>
          <w:b/>
          <w:bCs/>
          <w:color w:val="auto"/>
          <w:szCs w:val="30"/>
          <w:highlight w:val="none"/>
          <w:lang w:val="en-US" w:eastAsia="zh-CN"/>
        </w:rPr>
        <w:t>第四章 软件功能技术要求</w:t>
      </w:r>
      <w:bookmarkEnd w:id="16"/>
    </w:p>
    <w:p w14:paraId="1C27D28B">
      <w:pPr>
        <w:pStyle w:val="4"/>
        <w:numPr>
          <w:ilvl w:val="1"/>
          <w:numId w:val="9"/>
        </w:numPr>
        <w:spacing w:before="0" w:line="500" w:lineRule="exact"/>
        <w:ind w:left="567" w:leftChars="0" w:hanging="567" w:firstLineChars="0"/>
        <w:rPr>
          <w:rFonts w:hint="eastAsia" w:ascii="宋体" w:hAnsi="宋体" w:cs="宋体"/>
          <w:color w:val="auto"/>
          <w:sz w:val="28"/>
          <w:szCs w:val="28"/>
          <w:highlight w:val="none"/>
        </w:rPr>
      </w:pPr>
      <w:bookmarkStart w:id="17" w:name="_Toc28847"/>
      <w:r>
        <w:rPr>
          <w:rFonts w:hint="eastAsia" w:ascii="宋体" w:hAnsi="宋体" w:cs="宋体"/>
          <w:color w:val="auto"/>
          <w:sz w:val="28"/>
          <w:szCs w:val="28"/>
          <w:highlight w:val="none"/>
          <w:lang w:val="zh-TW" w:eastAsia="zh-TW"/>
        </w:rPr>
        <w:t>可视化驾驶舱</w:t>
      </w:r>
      <w:bookmarkEnd w:id="17"/>
    </w:p>
    <w:p w14:paraId="5D0BB186">
      <w:pPr>
        <w:spacing w:after="0" w:line="500" w:lineRule="exact"/>
        <w:ind w:firstLine="420"/>
        <w:rPr>
          <w:rFonts w:hint="eastAsia" w:ascii="宋体" w:hAnsi="宋体" w:cs="宋体"/>
          <w:sz w:val="24"/>
          <w:szCs w:val="24"/>
          <w:highlight w:val="none"/>
          <w:lang w:val="zh-TW" w:eastAsia="zh-TW"/>
        </w:rPr>
      </w:pPr>
      <w:r>
        <w:rPr>
          <w:rFonts w:hint="eastAsia" w:ascii="宋体" w:hAnsi="宋体" w:cs="宋体"/>
          <w:sz w:val="24"/>
          <w:szCs w:val="24"/>
          <w:highlight w:val="none"/>
          <w:lang w:val="zh-TW" w:eastAsia="zh-TW"/>
        </w:rPr>
        <w:t>通过动态可视化技术整合设备全生命周期数据，实现全局状态监控，实时展示设备</w:t>
      </w:r>
      <w:r>
        <w:rPr>
          <w:rFonts w:hint="eastAsia" w:ascii="宋体" w:hAnsi="宋体" w:cs="宋体"/>
          <w:sz w:val="24"/>
          <w:szCs w:val="24"/>
          <w:highlight w:val="none"/>
          <w:lang w:val="en-US" w:eastAsia="zh-CN"/>
        </w:rPr>
        <w:t>关键指标（</w:t>
      </w:r>
      <w:r>
        <w:rPr>
          <w:rFonts w:hint="eastAsia" w:ascii="宋体" w:hAnsi="宋体" w:cs="宋体"/>
          <w:sz w:val="24"/>
          <w:szCs w:val="24"/>
          <w:highlight w:val="none"/>
          <w:lang w:val="zh-TW" w:eastAsia="zh-TW"/>
        </w:rPr>
        <w:t>数量、状态</w:t>
      </w:r>
      <w:r>
        <w:rPr>
          <w:rFonts w:hint="eastAsia" w:ascii="宋体" w:hAnsi="宋体" w:cs="宋体"/>
          <w:sz w:val="24"/>
          <w:szCs w:val="24"/>
          <w:highlight w:val="none"/>
          <w:lang w:val="zh-TW" w:eastAsia="zh-CN"/>
        </w:rPr>
        <w:t>、</w:t>
      </w:r>
      <w:r>
        <w:rPr>
          <w:rFonts w:hint="eastAsia" w:ascii="宋体" w:hAnsi="宋体" w:cs="宋体"/>
          <w:sz w:val="24"/>
          <w:szCs w:val="24"/>
          <w:highlight w:val="none"/>
          <w:lang w:val="en-US" w:eastAsia="zh-CN"/>
        </w:rPr>
        <w:t>任务执行情况）</w:t>
      </w:r>
      <w:r>
        <w:rPr>
          <w:rFonts w:hint="eastAsia" w:ascii="宋体" w:hAnsi="宋体" w:cs="宋体"/>
          <w:sz w:val="24"/>
          <w:szCs w:val="24"/>
          <w:highlight w:val="none"/>
          <w:lang w:val="zh-TW" w:eastAsia="zh-TW"/>
        </w:rPr>
        <w:t>，呈现设备完好率、设备状态分布、今日工单、工单日/月曲线、停机时长排行、故障次数排行、</w:t>
      </w:r>
      <w:r>
        <w:rPr>
          <w:rFonts w:hint="eastAsia" w:ascii="宋体" w:hAnsi="宋体" w:cs="宋体"/>
          <w:sz w:val="24"/>
          <w:szCs w:val="24"/>
          <w:highlight w:val="none"/>
          <w:lang w:val="en-US" w:eastAsia="zh-CN"/>
        </w:rPr>
        <w:t>点巡检/维护</w:t>
      </w:r>
      <w:r>
        <w:rPr>
          <w:rFonts w:hint="eastAsia" w:ascii="宋体" w:hAnsi="宋体" w:cs="宋体"/>
          <w:sz w:val="24"/>
          <w:szCs w:val="24"/>
          <w:highlight w:val="none"/>
          <w:lang w:val="zh-TW" w:eastAsia="zh-TW"/>
        </w:rPr>
        <w:t>保养/备件到期更换列表等数据看板</w:t>
      </w:r>
      <w:r>
        <w:rPr>
          <w:rFonts w:hint="eastAsia" w:ascii="宋体" w:hAnsi="宋体" w:cs="宋体"/>
          <w:sz w:val="24"/>
          <w:szCs w:val="24"/>
          <w:highlight w:val="none"/>
          <w:lang w:val="zh-TW" w:eastAsia="zh-CN"/>
        </w:rPr>
        <w:t>。</w:t>
      </w:r>
      <w:r>
        <w:rPr>
          <w:rFonts w:hint="eastAsia" w:ascii="宋体" w:hAnsi="宋体" w:cs="宋体"/>
          <w:sz w:val="24"/>
          <w:szCs w:val="24"/>
          <w:highlight w:val="none"/>
          <w:lang w:val="zh-TW" w:eastAsia="zh-TW"/>
        </w:rPr>
        <w:t>通过颜色</w:t>
      </w:r>
      <w:r>
        <w:rPr>
          <w:rFonts w:hint="eastAsia" w:ascii="宋体" w:hAnsi="宋体" w:cs="宋体"/>
          <w:sz w:val="24"/>
          <w:szCs w:val="24"/>
          <w:highlight w:val="none"/>
          <w:lang w:val="zh-TW" w:eastAsia="zh-CN"/>
        </w:rPr>
        <w:t>、</w:t>
      </w:r>
      <w:r>
        <w:rPr>
          <w:rFonts w:hint="eastAsia" w:ascii="宋体" w:hAnsi="宋体" w:cs="宋体"/>
          <w:sz w:val="24"/>
          <w:szCs w:val="24"/>
          <w:highlight w:val="none"/>
          <w:lang w:val="en-US" w:eastAsia="zh-CN"/>
        </w:rPr>
        <w:t>图表等统计工具</w:t>
      </w:r>
      <w:r>
        <w:rPr>
          <w:rFonts w:hint="eastAsia" w:ascii="宋体" w:hAnsi="宋体" w:cs="宋体"/>
          <w:sz w:val="24"/>
          <w:szCs w:val="24"/>
          <w:highlight w:val="none"/>
          <w:lang w:val="zh-TW" w:eastAsia="zh-TW"/>
        </w:rPr>
        <w:t>直观呈现设备健康情况，支持工厂级、装置级、设备级多层级视图，集成GIS地图</w:t>
      </w:r>
      <w:r>
        <w:rPr>
          <w:rFonts w:hint="eastAsia" w:ascii="宋体" w:hAnsi="宋体" w:cs="宋体"/>
          <w:sz w:val="24"/>
          <w:szCs w:val="24"/>
          <w:highlight w:val="none"/>
          <w:lang w:val="zh-TW" w:eastAsia="zh-CN"/>
        </w:rPr>
        <w:t>（</w:t>
      </w:r>
      <w:r>
        <w:rPr>
          <w:rFonts w:hint="eastAsia" w:ascii="宋体" w:hAnsi="宋体" w:cs="宋体"/>
          <w:sz w:val="24"/>
          <w:szCs w:val="24"/>
          <w:highlight w:val="none"/>
          <w:lang w:val="en-US" w:eastAsia="zh-CN"/>
        </w:rPr>
        <w:t>地图模型通过对接安全信息系统导入</w:t>
      </w:r>
      <w:r>
        <w:rPr>
          <w:rFonts w:hint="eastAsia" w:ascii="宋体" w:hAnsi="宋体" w:cs="宋体"/>
          <w:sz w:val="24"/>
          <w:szCs w:val="24"/>
          <w:highlight w:val="none"/>
          <w:lang w:val="zh-TW" w:eastAsia="zh-CN"/>
        </w:rPr>
        <w:t>）</w:t>
      </w:r>
      <w:r>
        <w:rPr>
          <w:rFonts w:hint="eastAsia" w:ascii="宋体" w:hAnsi="宋体" w:cs="宋体"/>
          <w:sz w:val="24"/>
          <w:szCs w:val="24"/>
          <w:highlight w:val="none"/>
          <w:lang w:val="zh-TW" w:eastAsia="zh-TW"/>
        </w:rPr>
        <w:t>，</w:t>
      </w:r>
      <w:r>
        <w:rPr>
          <w:rFonts w:hint="default" w:ascii="宋体" w:hAnsi="宋体" w:cs="宋体"/>
          <w:sz w:val="24"/>
          <w:szCs w:val="24"/>
          <w:highlight w:val="none"/>
          <w:lang w:val="en-US" w:eastAsia="zh-CN"/>
        </w:rPr>
        <w:t>地图支持缩放、视角调整</w:t>
      </w:r>
      <w:r>
        <w:rPr>
          <w:rFonts w:hint="eastAsia" w:ascii="宋体" w:hAnsi="宋体" w:cs="宋体"/>
          <w:sz w:val="24"/>
          <w:szCs w:val="24"/>
          <w:highlight w:val="none"/>
          <w:lang w:val="en-US" w:eastAsia="zh-CN"/>
        </w:rPr>
        <w:t>，</w:t>
      </w:r>
      <w:r>
        <w:rPr>
          <w:rFonts w:hint="eastAsia" w:ascii="宋体" w:hAnsi="宋体" w:cs="宋体"/>
          <w:sz w:val="24"/>
          <w:szCs w:val="24"/>
          <w:highlight w:val="none"/>
          <w:lang w:val="zh-TW" w:eastAsia="zh-TW"/>
        </w:rPr>
        <w:t>提供空间视角的设备监控与告警展示</w:t>
      </w:r>
      <w:r>
        <w:rPr>
          <w:rFonts w:hint="eastAsia" w:ascii="宋体" w:hAnsi="宋体" w:cs="宋体"/>
          <w:sz w:val="24"/>
          <w:szCs w:val="24"/>
          <w:highlight w:val="none"/>
          <w:lang w:val="zh-TW" w:eastAsia="zh-CN"/>
        </w:rPr>
        <w:t>，</w:t>
      </w:r>
      <w:r>
        <w:rPr>
          <w:rFonts w:hint="eastAsia" w:ascii="宋体" w:hAnsi="宋体" w:cs="宋体"/>
          <w:sz w:val="24"/>
          <w:szCs w:val="24"/>
          <w:highlight w:val="none"/>
          <w:lang w:val="en-US" w:eastAsia="zh-CN"/>
        </w:rPr>
        <w:t>可实现通过内置评分标准模型对各区域设备健康度进行评级并以颜色区分展示</w:t>
      </w:r>
      <w:r>
        <w:rPr>
          <w:rFonts w:hint="eastAsia" w:ascii="宋体" w:hAnsi="宋体" w:cs="宋体"/>
          <w:sz w:val="24"/>
          <w:szCs w:val="24"/>
          <w:highlight w:val="none"/>
          <w:lang w:val="zh-TW" w:eastAsia="zh-TW"/>
        </w:rPr>
        <w:t>。</w:t>
      </w:r>
    </w:p>
    <w:p w14:paraId="63508CD3">
      <w:pPr>
        <w:numPr>
          <w:ilvl w:val="2"/>
          <w:numId w:val="10"/>
        </w:numPr>
        <w:spacing w:after="0" w:line="500" w:lineRule="exact"/>
        <w:ind w:left="0" w:leftChars="0" w:firstLine="484" w:firstLineChars="201"/>
        <w:rPr>
          <w:rFonts w:hint="eastAsia" w:ascii="宋体" w:hAnsi="宋体" w:cs="宋体"/>
          <w:sz w:val="24"/>
          <w:szCs w:val="24"/>
          <w:highlight w:val="none"/>
          <w:lang w:val="en-US" w:eastAsia="zh-CN"/>
        </w:rPr>
      </w:pPr>
      <w:r>
        <w:rPr>
          <w:rFonts w:hint="eastAsia" w:ascii="宋体" w:hAnsi="宋体" w:cs="宋体"/>
          <w:b/>
          <w:bCs/>
          <w:sz w:val="24"/>
          <w:szCs w:val="24"/>
          <w:highlight w:val="none"/>
          <w:lang w:val="en-US" w:eastAsia="zh-CN"/>
        </w:rPr>
        <w:t>专业看板</w:t>
      </w:r>
      <w:r>
        <w:rPr>
          <w:rFonts w:hint="eastAsia" w:ascii="宋体" w:hAnsi="宋体" w:cs="宋体"/>
          <w:sz w:val="24"/>
          <w:szCs w:val="24"/>
          <w:highlight w:val="none"/>
          <w:lang w:val="en-US" w:eastAsia="zh-CN"/>
        </w:rPr>
        <w:t>：分专业（动设备、静设备、电气、仪表等）</w:t>
      </w:r>
      <w:r>
        <w:rPr>
          <w:rFonts w:hint="default" w:ascii="宋体" w:hAnsi="宋体" w:cs="宋体"/>
          <w:sz w:val="24"/>
          <w:szCs w:val="24"/>
          <w:highlight w:val="none"/>
          <w:lang w:eastAsia="zh-CN"/>
        </w:rPr>
        <w:t>设备数据总览和</w:t>
      </w:r>
      <w:r>
        <w:rPr>
          <w:rFonts w:hint="eastAsia" w:ascii="宋体" w:hAnsi="宋体" w:cs="宋体"/>
          <w:sz w:val="24"/>
          <w:szCs w:val="24"/>
          <w:highlight w:val="none"/>
          <w:lang w:val="en-US" w:eastAsia="zh-CN"/>
        </w:rPr>
        <w:t>实时数据展示。</w:t>
      </w:r>
    </w:p>
    <w:p w14:paraId="5AC2981E">
      <w:pPr>
        <w:numPr>
          <w:ilvl w:val="2"/>
          <w:numId w:val="10"/>
        </w:numPr>
        <w:spacing w:after="0" w:line="500" w:lineRule="exact"/>
        <w:ind w:left="0" w:leftChars="0" w:firstLine="484" w:firstLineChars="201"/>
        <w:rPr>
          <w:rFonts w:hint="eastAsia" w:ascii="宋体" w:hAnsi="宋体" w:cs="宋体"/>
          <w:sz w:val="24"/>
          <w:szCs w:val="24"/>
          <w:highlight w:val="none"/>
          <w:lang w:val="en-US" w:eastAsia="zh-CN"/>
        </w:rPr>
      </w:pPr>
      <w:r>
        <w:rPr>
          <w:rFonts w:hint="eastAsia" w:ascii="宋体" w:hAnsi="宋体" w:cs="宋体"/>
          <w:b/>
          <w:bCs/>
          <w:sz w:val="24"/>
          <w:szCs w:val="24"/>
          <w:highlight w:val="none"/>
          <w:lang w:val="en-US" w:eastAsia="zh-CN"/>
        </w:rPr>
        <w:t>运维看板</w:t>
      </w:r>
      <w:r>
        <w:rPr>
          <w:rFonts w:hint="eastAsia" w:ascii="宋体" w:hAnsi="宋体" w:cs="宋体"/>
          <w:sz w:val="24"/>
          <w:szCs w:val="24"/>
          <w:highlight w:val="none"/>
          <w:lang w:val="en-US" w:eastAsia="zh-CN"/>
        </w:rPr>
        <w:t>：运行、点巡检、缺陷隐患、检查检测、维护保养、检维修等实时数据看板展示。</w:t>
      </w:r>
    </w:p>
    <w:p w14:paraId="1C75636C">
      <w:pPr>
        <w:numPr>
          <w:ilvl w:val="2"/>
          <w:numId w:val="10"/>
        </w:numPr>
        <w:spacing w:after="0" w:line="500" w:lineRule="exact"/>
        <w:ind w:left="0" w:leftChars="0" w:firstLine="484" w:firstLineChars="201"/>
        <w:rPr>
          <w:rFonts w:hint="eastAsia" w:ascii="宋体" w:hAnsi="宋体" w:cs="宋体"/>
          <w:sz w:val="24"/>
          <w:szCs w:val="24"/>
          <w:highlight w:val="none"/>
          <w:lang w:val="en-US" w:eastAsia="zh-CN"/>
        </w:rPr>
      </w:pPr>
      <w:r>
        <w:rPr>
          <w:rFonts w:hint="eastAsia" w:ascii="宋体" w:hAnsi="宋体" w:cs="宋体"/>
          <w:b/>
          <w:bCs/>
          <w:sz w:val="24"/>
          <w:szCs w:val="24"/>
          <w:highlight w:val="none"/>
          <w:lang w:val="en-US" w:eastAsia="zh-CN"/>
        </w:rPr>
        <w:t>专项看板</w:t>
      </w:r>
      <w:r>
        <w:rPr>
          <w:rFonts w:hint="eastAsia" w:ascii="宋体" w:hAnsi="宋体" w:cs="宋体"/>
          <w:sz w:val="24"/>
          <w:szCs w:val="24"/>
          <w:highlight w:val="none"/>
          <w:lang w:val="en-US" w:eastAsia="zh-CN"/>
        </w:rPr>
        <w:t>：专项业务实时数据展示。</w:t>
      </w:r>
    </w:p>
    <w:p w14:paraId="04133953">
      <w:pPr>
        <w:numPr>
          <w:ilvl w:val="2"/>
          <w:numId w:val="10"/>
        </w:numPr>
        <w:spacing w:after="0" w:line="500" w:lineRule="exact"/>
        <w:ind w:left="0" w:leftChars="0" w:firstLine="484" w:firstLineChars="201"/>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公示公告</w:t>
      </w:r>
      <w:r>
        <w:rPr>
          <w:rFonts w:hint="eastAsia" w:ascii="宋体" w:hAnsi="宋体" w:cs="宋体"/>
          <w:sz w:val="24"/>
          <w:szCs w:val="24"/>
          <w:highlight w:val="none"/>
          <w:lang w:val="en-US" w:eastAsia="zh-CN"/>
        </w:rPr>
        <w:t>：信息发布与宣传功能。</w:t>
      </w:r>
    </w:p>
    <w:p w14:paraId="7CB2AD73">
      <w:pPr>
        <w:pStyle w:val="4"/>
        <w:numPr>
          <w:ilvl w:val="1"/>
          <w:numId w:val="9"/>
        </w:numPr>
        <w:spacing w:before="0" w:line="500" w:lineRule="exact"/>
        <w:ind w:left="567" w:leftChars="0" w:hanging="567" w:firstLineChars="0"/>
        <w:rPr>
          <w:rFonts w:hint="eastAsia" w:ascii="宋体" w:hAnsi="宋体" w:cs="宋体"/>
          <w:color w:val="auto"/>
          <w:sz w:val="28"/>
          <w:szCs w:val="28"/>
          <w:highlight w:val="none"/>
          <w:lang w:val="zh-TW" w:eastAsia="zh-TW"/>
        </w:rPr>
      </w:pPr>
      <w:bookmarkStart w:id="18" w:name="_Toc5372"/>
      <w:r>
        <w:rPr>
          <w:rFonts w:hint="eastAsia" w:ascii="宋体" w:hAnsi="宋体" w:cs="宋体"/>
          <w:color w:val="auto"/>
          <w:sz w:val="28"/>
          <w:szCs w:val="28"/>
          <w:highlight w:val="none"/>
          <w:lang w:val="zh-TW" w:eastAsia="zh-TW"/>
        </w:rPr>
        <w:t>知识库</w:t>
      </w:r>
      <w:bookmarkEnd w:id="18"/>
    </w:p>
    <w:p w14:paraId="1520F5A7">
      <w:pPr>
        <w:spacing w:after="0" w:line="500" w:lineRule="exact"/>
        <w:ind w:firstLine="420"/>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基于大模型和RAG（检索增强生成），构建企业级AI知识库，实现信息系统化、规范化与可追溯，支持全局模糊搜索与多格式文件（Word、Excel、PDF、PPT、CAD等）上传、在线阅览与管理，支持知识库自定义分类，发布图文混排的文章或是上传音频、视频文件，可以单独设置查阅权限。</w:t>
      </w:r>
    </w:p>
    <w:p w14:paraId="6BEB99F1">
      <w:pPr>
        <w:numPr>
          <w:ilvl w:val="2"/>
          <w:numId w:val="11"/>
        </w:numPr>
        <w:tabs>
          <w:tab w:val="clear" w:pos="0"/>
        </w:tabs>
        <w:spacing w:after="0" w:line="500" w:lineRule="exact"/>
        <w:ind w:left="9" w:leftChars="0" w:firstLine="471" w:firstLineChars="0"/>
        <w:rPr>
          <w:rFonts w:hint="eastAsia" w:ascii="宋体" w:hAnsi="宋体" w:cs="宋体"/>
          <w:sz w:val="24"/>
          <w:szCs w:val="24"/>
          <w:highlight w:val="none"/>
          <w:lang w:val="en-US" w:eastAsia="zh-CN"/>
        </w:rPr>
      </w:pPr>
      <w:r>
        <w:rPr>
          <w:rFonts w:hint="eastAsia" w:ascii="宋体" w:hAnsi="宋体" w:cs="宋体"/>
          <w:b/>
          <w:bCs/>
          <w:sz w:val="24"/>
          <w:szCs w:val="24"/>
          <w:highlight w:val="none"/>
          <w:lang w:val="en-US" w:eastAsia="zh-CN"/>
        </w:rPr>
        <w:t>规范标准</w:t>
      </w:r>
      <w:r>
        <w:rPr>
          <w:rFonts w:hint="eastAsia" w:ascii="宋体" w:hAnsi="宋体" w:cs="宋体"/>
          <w:sz w:val="24"/>
          <w:szCs w:val="24"/>
          <w:highlight w:val="none"/>
          <w:lang w:val="en-US" w:eastAsia="zh-CN"/>
        </w:rPr>
        <w:t>：上传、显示、标签化、检索管理，通过关键词对每个规范标准设置标签（如专业、设备名称、项目阶段：设计、验收规范等），以便于检索和查阅。</w:t>
      </w:r>
    </w:p>
    <w:p w14:paraId="514CFE12">
      <w:pPr>
        <w:numPr>
          <w:ilvl w:val="2"/>
          <w:numId w:val="11"/>
        </w:numPr>
        <w:tabs>
          <w:tab w:val="clear" w:pos="0"/>
        </w:tabs>
        <w:spacing w:after="0" w:line="500" w:lineRule="exact"/>
        <w:ind w:left="9" w:leftChars="0" w:firstLine="471" w:firstLineChars="0"/>
        <w:rPr>
          <w:rFonts w:hint="eastAsia" w:ascii="宋体" w:hAnsi="宋体" w:cs="宋体"/>
          <w:sz w:val="24"/>
          <w:szCs w:val="24"/>
          <w:highlight w:val="none"/>
          <w:lang w:val="en-US" w:eastAsia="zh-CN"/>
        </w:rPr>
      </w:pPr>
      <w:r>
        <w:rPr>
          <w:rFonts w:hint="eastAsia" w:ascii="宋体" w:hAnsi="宋体" w:cs="宋体"/>
          <w:b/>
          <w:bCs/>
          <w:sz w:val="24"/>
          <w:szCs w:val="24"/>
          <w:highlight w:val="none"/>
          <w:lang w:val="en-US" w:eastAsia="zh-CN"/>
        </w:rPr>
        <w:t>规章制度</w:t>
      </w:r>
      <w:r>
        <w:rPr>
          <w:rFonts w:hint="eastAsia" w:ascii="宋体" w:hAnsi="宋体" w:cs="宋体"/>
          <w:sz w:val="24"/>
          <w:szCs w:val="24"/>
          <w:highlight w:val="none"/>
          <w:lang w:val="en-US" w:eastAsia="zh-CN"/>
        </w:rPr>
        <w:t>：公司级制度、部门级制度、团队级制度的上传、显示、检索管理。</w:t>
      </w:r>
    </w:p>
    <w:p w14:paraId="76C6AAD6">
      <w:pPr>
        <w:numPr>
          <w:ilvl w:val="2"/>
          <w:numId w:val="11"/>
        </w:numPr>
        <w:tabs>
          <w:tab w:val="clear" w:pos="0"/>
        </w:tabs>
        <w:spacing w:after="0" w:line="500" w:lineRule="exact"/>
        <w:ind w:left="9" w:leftChars="0" w:firstLine="471" w:firstLineChars="0"/>
        <w:rPr>
          <w:rFonts w:hint="eastAsia" w:ascii="宋体" w:hAnsi="宋体" w:cs="宋体"/>
          <w:sz w:val="24"/>
          <w:szCs w:val="24"/>
          <w:highlight w:val="none"/>
          <w:lang w:val="en-US" w:eastAsia="zh-CN"/>
        </w:rPr>
      </w:pPr>
      <w:r>
        <w:rPr>
          <w:rFonts w:hint="eastAsia" w:ascii="宋体" w:hAnsi="宋体" w:cs="宋体"/>
          <w:b/>
          <w:bCs/>
          <w:sz w:val="24"/>
          <w:szCs w:val="24"/>
          <w:highlight w:val="none"/>
          <w:lang w:val="en-US" w:eastAsia="zh-CN"/>
        </w:rPr>
        <w:t>经验库</w:t>
      </w:r>
      <w:r>
        <w:rPr>
          <w:rFonts w:hint="eastAsia" w:ascii="宋体" w:hAnsi="宋体" w:cs="宋体"/>
          <w:sz w:val="24"/>
          <w:szCs w:val="24"/>
          <w:highlight w:val="none"/>
          <w:lang w:val="en-US" w:eastAsia="zh-CN"/>
        </w:rPr>
        <w:t>：应知应会、设计审查、选型采购、安装调试验收、维护维修、SOP、检修典型问题手册、隐患排查指导手册、标准化建设案例库等资料的上传、显示、检索管理。</w:t>
      </w:r>
    </w:p>
    <w:p w14:paraId="6F50B64E">
      <w:pPr>
        <w:numPr>
          <w:ilvl w:val="2"/>
          <w:numId w:val="11"/>
        </w:numPr>
        <w:tabs>
          <w:tab w:val="clear" w:pos="0"/>
        </w:tabs>
        <w:spacing w:after="0" w:line="500" w:lineRule="exact"/>
        <w:ind w:left="9" w:leftChars="0" w:firstLine="471" w:firstLineChars="0"/>
        <w:rPr>
          <w:rFonts w:hint="eastAsia" w:ascii="宋体" w:hAnsi="宋体" w:cs="宋体"/>
          <w:sz w:val="24"/>
          <w:szCs w:val="24"/>
          <w:highlight w:val="none"/>
          <w:lang w:val="en-US" w:eastAsia="zh-CN"/>
        </w:rPr>
      </w:pPr>
      <w:r>
        <w:rPr>
          <w:rFonts w:hint="eastAsia" w:ascii="宋体" w:hAnsi="宋体" w:cs="宋体"/>
          <w:b/>
          <w:bCs/>
          <w:sz w:val="24"/>
          <w:szCs w:val="24"/>
          <w:highlight w:val="none"/>
          <w:lang w:val="en-US" w:eastAsia="zh-CN"/>
        </w:rPr>
        <w:t>失效案例库</w:t>
      </w:r>
      <w:r>
        <w:rPr>
          <w:rFonts w:hint="eastAsia" w:ascii="宋体" w:hAnsi="宋体" w:cs="宋体"/>
          <w:sz w:val="24"/>
          <w:szCs w:val="24"/>
          <w:highlight w:val="none"/>
          <w:lang w:val="en-US" w:eastAsia="zh-CN"/>
        </w:rPr>
        <w:t>：记录、分析和管理设备发生的失效信息，将设备在使用过程中出现的各种失效情况、失效原因、维修措施等详细信息用统一的标准格式记录下来，建立全面的失效信息数据库，形成标准化的失效案例库。实现设备失效与失效案例库的双向联动（如可将已解决的典型维修工单转入失效案例库、报修时推荐历史失效案例作为经验使用、推荐维修方法等）。软件系统应结合大模型、知识库、化工设备经验内置有各机电仪设备类型、设备部件的失效案例库（故障模型库），建立失效代码体系，确保同类失效记录的一致性。</w:t>
      </w:r>
    </w:p>
    <w:p w14:paraId="66A81BAE">
      <w:pPr>
        <w:numPr>
          <w:ilvl w:val="2"/>
          <w:numId w:val="11"/>
        </w:numPr>
        <w:tabs>
          <w:tab w:val="clear" w:pos="0"/>
        </w:tabs>
        <w:spacing w:after="0" w:line="500" w:lineRule="exact"/>
        <w:ind w:left="9" w:leftChars="0" w:firstLine="471" w:firstLineChars="0"/>
        <w:rPr>
          <w:rFonts w:hint="eastAsia" w:ascii="宋体" w:hAnsi="宋体" w:cs="宋体"/>
          <w:sz w:val="24"/>
          <w:szCs w:val="24"/>
          <w:highlight w:val="none"/>
          <w:lang w:val="en-US" w:eastAsia="zh-CN"/>
        </w:rPr>
      </w:pPr>
      <w:r>
        <w:rPr>
          <w:rFonts w:hint="eastAsia" w:ascii="宋体" w:hAnsi="宋体" w:cs="宋体"/>
          <w:b/>
          <w:bCs/>
          <w:sz w:val="24"/>
          <w:szCs w:val="24"/>
          <w:highlight w:val="none"/>
          <w:lang w:val="en-US" w:eastAsia="zh-CN"/>
        </w:rPr>
        <w:t>异常案例库</w:t>
      </w:r>
      <w:r>
        <w:rPr>
          <w:rFonts w:hint="eastAsia" w:ascii="宋体" w:hAnsi="宋体" w:cs="宋体"/>
          <w:sz w:val="24"/>
          <w:szCs w:val="24"/>
          <w:highlight w:val="none"/>
          <w:lang w:val="en-US" w:eastAsia="zh-CN"/>
        </w:rPr>
        <w:t>：典型异常记录，实现异常申报经工程师审核确认后，按预设模板整理到异常案例库，形成异常申报和知识库的双向联动（如可将已解决的典型异常转入异常案例库）。</w:t>
      </w:r>
    </w:p>
    <w:p w14:paraId="250F0D41">
      <w:pPr>
        <w:numPr>
          <w:ilvl w:val="2"/>
          <w:numId w:val="11"/>
        </w:numPr>
        <w:tabs>
          <w:tab w:val="clear" w:pos="0"/>
        </w:tabs>
        <w:spacing w:after="0" w:line="500" w:lineRule="exact"/>
        <w:ind w:left="9" w:leftChars="0" w:firstLine="471" w:firstLineChars="0"/>
        <w:rPr>
          <w:rFonts w:hint="eastAsia" w:ascii="宋体" w:hAnsi="宋体" w:cs="宋体"/>
          <w:sz w:val="24"/>
          <w:szCs w:val="24"/>
          <w:highlight w:val="none"/>
          <w:lang w:val="en-US" w:eastAsia="zh-CN"/>
        </w:rPr>
      </w:pPr>
      <w:r>
        <w:rPr>
          <w:rFonts w:hint="eastAsia" w:ascii="宋体" w:hAnsi="宋体" w:cs="宋体"/>
          <w:b/>
          <w:bCs/>
          <w:sz w:val="24"/>
          <w:szCs w:val="24"/>
          <w:highlight w:val="none"/>
          <w:lang w:val="en-US" w:eastAsia="zh-CN"/>
        </w:rPr>
        <w:t>设计资料库</w:t>
      </w:r>
      <w:r>
        <w:rPr>
          <w:rFonts w:hint="eastAsia" w:ascii="宋体" w:hAnsi="宋体" w:cs="宋体"/>
          <w:sz w:val="24"/>
          <w:szCs w:val="24"/>
          <w:highlight w:val="none"/>
          <w:lang w:val="en-US" w:eastAsia="zh-CN"/>
        </w:rPr>
        <w:t>：各项目设计资料上传、查阅。</w:t>
      </w:r>
    </w:p>
    <w:p w14:paraId="5DD3A881">
      <w:pPr>
        <w:numPr>
          <w:ilvl w:val="2"/>
          <w:numId w:val="11"/>
        </w:numPr>
        <w:tabs>
          <w:tab w:val="clear" w:pos="0"/>
        </w:tabs>
        <w:spacing w:after="0" w:line="500" w:lineRule="exact"/>
        <w:ind w:left="9" w:leftChars="0" w:firstLine="471" w:firstLineChars="0"/>
        <w:rPr>
          <w:rFonts w:hint="eastAsia" w:ascii="宋体" w:hAnsi="宋体" w:cs="宋体"/>
          <w:sz w:val="24"/>
          <w:szCs w:val="24"/>
          <w:highlight w:val="none"/>
          <w:lang w:val="en-US" w:eastAsia="zh-CN"/>
        </w:rPr>
      </w:pPr>
      <w:r>
        <w:rPr>
          <w:rFonts w:hint="eastAsia" w:ascii="宋体" w:hAnsi="宋体" w:cs="宋体"/>
          <w:b/>
          <w:bCs/>
          <w:sz w:val="24"/>
          <w:szCs w:val="24"/>
          <w:highlight w:val="none"/>
          <w:lang w:val="en-US" w:eastAsia="zh-CN"/>
        </w:rPr>
        <w:t>设备资料库</w:t>
      </w:r>
      <w:r>
        <w:rPr>
          <w:rFonts w:hint="eastAsia" w:ascii="宋体" w:hAnsi="宋体" w:cs="宋体"/>
          <w:sz w:val="24"/>
          <w:szCs w:val="24"/>
          <w:highlight w:val="none"/>
          <w:lang w:val="en-US" w:eastAsia="zh-CN"/>
        </w:rPr>
        <w:t>：系统对各个业务流程中提交的文档资料自动建立索引进行管理,包含设备资料的查询、上传、下载、导入、编辑、删除、预览功能，支持按文件密级设置查阅权限，也可单独按部门、人员设置权限，在APP端可以预览和下载文件。设备资料分类可以自定义。包括设备质量证明文件、制造安装记录、说明书、图纸；支持与设备、位置或项目关联，方便通过设备、位置或项目进行查询。</w:t>
      </w:r>
    </w:p>
    <w:p w14:paraId="3341D07A">
      <w:pPr>
        <w:numPr>
          <w:ilvl w:val="2"/>
          <w:numId w:val="11"/>
        </w:numPr>
        <w:tabs>
          <w:tab w:val="clear" w:pos="0"/>
        </w:tabs>
        <w:spacing w:after="0" w:line="500" w:lineRule="exact"/>
        <w:ind w:left="9" w:leftChars="0" w:firstLine="471" w:firstLineChars="0"/>
        <w:rPr>
          <w:rFonts w:hint="eastAsia" w:ascii="宋体" w:hAnsi="宋体" w:cs="宋体"/>
          <w:sz w:val="24"/>
          <w:szCs w:val="24"/>
          <w:highlight w:val="none"/>
          <w:lang w:val="zh-TW" w:eastAsia="zh-TW"/>
        </w:rPr>
      </w:pPr>
      <w:r>
        <w:rPr>
          <w:rFonts w:hint="eastAsia" w:ascii="宋体" w:hAnsi="宋体" w:cs="宋体"/>
          <w:b/>
          <w:bCs/>
          <w:sz w:val="24"/>
          <w:szCs w:val="24"/>
          <w:highlight w:val="none"/>
          <w:lang w:val="en-US" w:eastAsia="zh-CN"/>
        </w:rPr>
        <w:t>大修知识库</w:t>
      </w:r>
      <w:r>
        <w:rPr>
          <w:rFonts w:hint="eastAsia" w:ascii="宋体" w:hAnsi="宋体" w:cs="宋体"/>
          <w:sz w:val="24"/>
          <w:szCs w:val="24"/>
          <w:highlight w:val="none"/>
          <w:lang w:val="en-US" w:eastAsia="zh-CN"/>
        </w:rPr>
        <w:t>：大修指导手册、大修创新实践手册等大修前、中、后期产生的各类文档的自动归档、上传、显示、检索管理。</w:t>
      </w:r>
    </w:p>
    <w:p w14:paraId="2A843C9C">
      <w:pPr>
        <w:numPr>
          <w:ilvl w:val="2"/>
          <w:numId w:val="11"/>
        </w:numPr>
        <w:tabs>
          <w:tab w:val="clear" w:pos="0"/>
        </w:tabs>
        <w:spacing w:after="0" w:line="500" w:lineRule="exact"/>
        <w:ind w:left="9" w:leftChars="0" w:firstLine="471" w:firstLineChars="0"/>
        <w:rPr>
          <w:rFonts w:hint="eastAsia" w:ascii="宋体" w:hAnsi="宋体" w:cs="宋体"/>
          <w:sz w:val="24"/>
          <w:szCs w:val="24"/>
          <w:highlight w:val="none"/>
          <w:lang w:val="zh-TW" w:eastAsia="zh-TW"/>
        </w:rPr>
      </w:pPr>
      <w:r>
        <w:rPr>
          <w:rFonts w:hint="eastAsia" w:ascii="宋体" w:hAnsi="宋体" w:cs="宋体"/>
          <w:b/>
          <w:bCs/>
          <w:sz w:val="24"/>
          <w:szCs w:val="24"/>
          <w:highlight w:val="none"/>
          <w:lang w:val="en-US" w:eastAsia="zh-CN"/>
        </w:rPr>
        <w:t>合同资料库</w:t>
      </w:r>
      <w:r>
        <w:rPr>
          <w:rFonts w:hint="eastAsia" w:ascii="宋体" w:hAnsi="宋体" w:cs="宋体"/>
          <w:sz w:val="24"/>
          <w:szCs w:val="24"/>
          <w:highlight w:val="none"/>
          <w:lang w:val="en-US" w:eastAsia="zh-CN"/>
        </w:rPr>
        <w:t>：支持合同相关资料的上传、查阅、检索管理。</w:t>
      </w:r>
    </w:p>
    <w:p w14:paraId="2DFD1343">
      <w:pPr>
        <w:numPr>
          <w:ilvl w:val="2"/>
          <w:numId w:val="11"/>
        </w:numPr>
        <w:tabs>
          <w:tab w:val="clear" w:pos="0"/>
        </w:tabs>
        <w:spacing w:after="0" w:line="500" w:lineRule="exact"/>
        <w:ind w:left="9" w:leftChars="0" w:firstLine="471" w:firstLineChars="0"/>
        <w:rPr>
          <w:rFonts w:hint="eastAsia" w:ascii="宋体" w:hAnsi="宋体" w:cs="宋体"/>
          <w:sz w:val="24"/>
          <w:szCs w:val="24"/>
          <w:highlight w:val="none"/>
          <w:lang w:val="zh-TW" w:eastAsia="zh-TW"/>
        </w:rPr>
      </w:pPr>
      <w:r>
        <w:rPr>
          <w:rFonts w:hint="eastAsia" w:ascii="宋体" w:hAnsi="宋体" w:cs="宋体"/>
          <w:b/>
          <w:bCs/>
          <w:sz w:val="24"/>
          <w:szCs w:val="24"/>
          <w:highlight w:val="none"/>
          <w:lang w:val="en-US" w:eastAsia="zh-CN"/>
        </w:rPr>
        <w:t>培训资料</w:t>
      </w:r>
      <w:r>
        <w:rPr>
          <w:rFonts w:hint="eastAsia" w:ascii="宋体" w:hAnsi="宋体" w:cs="宋体"/>
          <w:sz w:val="24"/>
          <w:szCs w:val="24"/>
          <w:highlight w:val="none"/>
          <w:lang w:val="en-US" w:eastAsia="zh-CN"/>
        </w:rPr>
        <w:t>：各类年度培训、月度培训、OPL单点教程等培训资料的上传、显示、检索管理。</w:t>
      </w:r>
    </w:p>
    <w:p w14:paraId="3D6D608B">
      <w:pPr>
        <w:numPr>
          <w:ilvl w:val="2"/>
          <w:numId w:val="11"/>
        </w:numPr>
        <w:tabs>
          <w:tab w:val="clear" w:pos="0"/>
        </w:tabs>
        <w:spacing w:after="0" w:line="500" w:lineRule="exact"/>
        <w:ind w:left="9" w:leftChars="0" w:firstLine="471" w:firstLineChars="0"/>
        <w:rPr>
          <w:rFonts w:hint="eastAsia" w:ascii="宋体" w:hAnsi="宋体" w:cs="宋体"/>
          <w:sz w:val="24"/>
          <w:szCs w:val="24"/>
          <w:highlight w:val="none"/>
          <w:lang w:val="zh-TW" w:eastAsia="zh-TW"/>
        </w:rPr>
      </w:pPr>
      <w:r>
        <w:rPr>
          <w:rFonts w:hint="eastAsia" w:ascii="宋体" w:hAnsi="宋体" w:cs="宋体"/>
          <w:b/>
          <w:bCs/>
          <w:sz w:val="24"/>
          <w:szCs w:val="24"/>
          <w:highlight w:val="none"/>
          <w:lang w:val="zh-TW" w:eastAsia="zh-TW"/>
        </w:rPr>
        <w:t>知识库检索</w:t>
      </w:r>
      <w:r>
        <w:rPr>
          <w:rFonts w:hint="eastAsia" w:ascii="宋体" w:hAnsi="宋体" w:cs="宋体"/>
          <w:sz w:val="24"/>
          <w:szCs w:val="24"/>
          <w:highlight w:val="none"/>
          <w:lang w:val="zh-TW" w:eastAsia="zh-CN"/>
        </w:rPr>
        <w:t>：</w:t>
      </w:r>
      <w:r>
        <w:rPr>
          <w:rFonts w:hint="eastAsia" w:ascii="宋体" w:hAnsi="宋体" w:cs="宋体"/>
          <w:sz w:val="24"/>
          <w:szCs w:val="24"/>
          <w:highlight w:val="none"/>
          <w:lang w:val="zh-TW" w:eastAsia="zh-TW"/>
        </w:rPr>
        <w:t>带有快速搜索知识库的功能</w:t>
      </w:r>
      <w:r>
        <w:rPr>
          <w:rFonts w:hint="eastAsia" w:ascii="宋体" w:hAnsi="宋体" w:cs="宋体"/>
          <w:sz w:val="24"/>
          <w:szCs w:val="24"/>
          <w:highlight w:val="none"/>
          <w:lang w:val="zh-TW" w:eastAsia="zh-CN"/>
        </w:rPr>
        <w:t>，支持全局模糊搜索，</w:t>
      </w:r>
      <w:r>
        <w:rPr>
          <w:rFonts w:hint="eastAsia" w:ascii="宋体" w:hAnsi="宋体" w:cs="宋体"/>
          <w:sz w:val="24"/>
          <w:szCs w:val="24"/>
          <w:highlight w:val="none"/>
          <w:lang w:val="en-US" w:eastAsia="zh-CN"/>
        </w:rPr>
        <w:t>支持文档内容识别与检索</w:t>
      </w:r>
      <w:r>
        <w:rPr>
          <w:rFonts w:hint="eastAsia" w:ascii="宋体" w:hAnsi="宋体" w:cs="宋体"/>
          <w:sz w:val="24"/>
          <w:szCs w:val="24"/>
          <w:highlight w:val="none"/>
          <w:lang w:val="zh-TW" w:eastAsia="zh-CN"/>
        </w:rPr>
        <w:t>。</w:t>
      </w:r>
    </w:p>
    <w:p w14:paraId="6E6509D5">
      <w:pPr>
        <w:numPr>
          <w:ilvl w:val="2"/>
          <w:numId w:val="11"/>
        </w:numPr>
        <w:tabs>
          <w:tab w:val="clear" w:pos="0"/>
        </w:tabs>
        <w:spacing w:after="0" w:line="500" w:lineRule="exact"/>
        <w:ind w:left="9" w:leftChars="0" w:firstLine="471" w:firstLineChars="0"/>
        <w:rPr>
          <w:rFonts w:hint="eastAsia" w:ascii="宋体" w:hAnsi="宋体" w:cs="宋体"/>
          <w:sz w:val="24"/>
          <w:szCs w:val="24"/>
          <w:highlight w:val="none"/>
          <w:lang w:val="zh-TW" w:eastAsia="zh-TW"/>
        </w:rPr>
      </w:pPr>
      <w:r>
        <w:rPr>
          <w:rFonts w:hint="eastAsia" w:ascii="宋体" w:hAnsi="宋体" w:cs="宋体"/>
          <w:b/>
          <w:bCs/>
          <w:sz w:val="24"/>
          <w:szCs w:val="24"/>
          <w:highlight w:val="none"/>
          <w:lang w:val="en-US" w:eastAsia="zh-CN"/>
        </w:rPr>
        <w:t>知识库问答</w:t>
      </w:r>
      <w:r>
        <w:rPr>
          <w:rFonts w:hint="eastAsia" w:ascii="宋体" w:hAnsi="宋体" w:cs="宋体"/>
          <w:sz w:val="24"/>
          <w:szCs w:val="24"/>
          <w:highlight w:val="none"/>
          <w:lang w:val="en-US" w:eastAsia="zh-CN"/>
        </w:rPr>
        <w:t>：基于人工智能平台，接入大模型，构建动态知识图谱运维问答体系，实现与用户自然流畅的交互，智能分析问题并提供决策支持，形成可持续演进的知识库。</w:t>
      </w:r>
    </w:p>
    <w:p w14:paraId="75E26B26">
      <w:pPr>
        <w:pStyle w:val="4"/>
        <w:numPr>
          <w:ilvl w:val="1"/>
          <w:numId w:val="9"/>
        </w:numPr>
        <w:spacing w:before="0" w:line="500" w:lineRule="exact"/>
        <w:ind w:left="567" w:leftChars="0" w:hanging="567" w:firstLineChars="0"/>
        <w:rPr>
          <w:rFonts w:hint="default" w:ascii="宋体" w:hAnsi="宋体" w:eastAsia="宋体" w:cs="宋体"/>
          <w:b/>
          <w:bCs/>
          <w:color w:val="auto"/>
          <w:sz w:val="28"/>
          <w:szCs w:val="28"/>
          <w:highlight w:val="none"/>
          <w:lang w:val="en-US" w:eastAsia="zh-CN" w:bidi="ar-SA"/>
        </w:rPr>
      </w:pPr>
      <w:bookmarkStart w:id="19" w:name="_Toc23799"/>
      <w:r>
        <w:rPr>
          <w:rFonts w:hint="eastAsia" w:ascii="宋体" w:hAnsi="宋体" w:cs="宋体"/>
          <w:b/>
          <w:bCs/>
          <w:color w:val="auto"/>
          <w:sz w:val="28"/>
          <w:szCs w:val="28"/>
          <w:highlight w:val="none"/>
          <w:lang w:val="en-US" w:eastAsia="zh-CN" w:bidi="ar-SA"/>
        </w:rPr>
        <w:t>基础管理</w:t>
      </w:r>
      <w:bookmarkEnd w:id="19"/>
    </w:p>
    <w:p w14:paraId="0286569B">
      <w:pPr>
        <w:numPr>
          <w:ilvl w:val="0"/>
          <w:numId w:val="0"/>
        </w:numPr>
        <w:spacing w:after="0" w:line="500" w:lineRule="exact"/>
        <w:ind w:firstLine="421" w:firstLineChars="0"/>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实现</w:t>
      </w:r>
      <w:r>
        <w:rPr>
          <w:rFonts w:hint="default" w:ascii="宋体" w:hAnsi="宋体" w:cs="宋体"/>
          <w:sz w:val="24"/>
          <w:szCs w:val="24"/>
          <w:highlight w:val="none"/>
          <w:lang w:val="en-US" w:eastAsia="zh-CN"/>
        </w:rPr>
        <w:t>标准体系（点巡检标准、缺陷隐患标准、检查检测标准、维护保养标准、检维修工作包、故障体系）、编码体系（台账编码、工单编码、任务编码）</w:t>
      </w:r>
      <w:r>
        <w:rPr>
          <w:rFonts w:hint="eastAsia" w:ascii="宋体" w:hAnsi="宋体" w:cs="宋体"/>
          <w:sz w:val="24"/>
          <w:szCs w:val="24"/>
          <w:highlight w:val="none"/>
          <w:lang w:val="en-US" w:eastAsia="zh-CN"/>
        </w:rPr>
        <w:t>功能。</w:t>
      </w:r>
    </w:p>
    <w:p w14:paraId="6D204CC1">
      <w:pPr>
        <w:pStyle w:val="4"/>
        <w:numPr>
          <w:ilvl w:val="1"/>
          <w:numId w:val="9"/>
        </w:numPr>
        <w:spacing w:before="0" w:line="500" w:lineRule="exact"/>
        <w:ind w:left="567" w:leftChars="0" w:hanging="567" w:firstLineChars="0"/>
        <w:rPr>
          <w:rFonts w:hint="default" w:ascii="宋体" w:hAnsi="宋体" w:eastAsia="宋体" w:cs="宋体"/>
          <w:b/>
          <w:bCs/>
          <w:color w:val="auto"/>
          <w:sz w:val="28"/>
          <w:szCs w:val="28"/>
          <w:highlight w:val="none"/>
          <w:lang w:val="en-US" w:eastAsia="zh-CN" w:bidi="ar-SA"/>
        </w:rPr>
      </w:pPr>
      <w:bookmarkStart w:id="20" w:name="_Toc2191"/>
      <w:r>
        <w:rPr>
          <w:rFonts w:hint="eastAsia" w:ascii="宋体" w:hAnsi="宋体" w:cs="宋体"/>
          <w:b/>
          <w:bCs/>
          <w:color w:val="auto"/>
          <w:sz w:val="28"/>
          <w:szCs w:val="28"/>
          <w:highlight w:val="none"/>
          <w:lang w:val="en-US" w:eastAsia="zh-CN" w:bidi="ar-SA"/>
        </w:rPr>
        <w:t>设备资产</w:t>
      </w:r>
      <w:bookmarkEnd w:id="20"/>
    </w:p>
    <w:p w14:paraId="5F107827">
      <w:pPr>
        <w:numPr>
          <w:ilvl w:val="2"/>
          <w:numId w:val="12"/>
        </w:numPr>
        <w:tabs>
          <w:tab w:val="clear" w:pos="0"/>
        </w:tabs>
        <w:spacing w:after="0" w:line="500" w:lineRule="exact"/>
        <w:ind w:left="9" w:leftChars="0" w:firstLine="471" w:firstLineChars="0"/>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设备管理</w:t>
      </w:r>
    </w:p>
    <w:p w14:paraId="6A8B54DE">
      <w:pPr>
        <w:numPr>
          <w:ilvl w:val="0"/>
          <w:numId w:val="13"/>
        </w:numPr>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设备登记：建立设备“身份证”档案，</w:t>
      </w:r>
      <w:r>
        <w:rPr>
          <w:rFonts w:ascii="宋体" w:hAnsi="宋体" w:eastAsia="宋体" w:cs="宋体"/>
          <w:sz w:val="24"/>
          <w:szCs w:val="24"/>
          <w:highlight w:val="none"/>
        </w:rPr>
        <w:t>关联项目来源（如设备更新、技改技措、其他项目），</w:t>
      </w:r>
      <w:r>
        <w:rPr>
          <w:rFonts w:hint="eastAsia" w:ascii="宋体" w:hAnsi="宋体" w:cs="宋体"/>
          <w:sz w:val="24"/>
          <w:szCs w:val="24"/>
          <w:highlight w:val="none"/>
          <w:lang w:val="en-US" w:eastAsia="zh-CN"/>
        </w:rPr>
        <w:t>支持单设备录入、复制录入、批量导入、关联项目导入等多种登记方式，</w:t>
      </w:r>
      <w:r>
        <w:rPr>
          <w:rFonts w:ascii="宋体" w:hAnsi="宋体" w:eastAsia="宋体" w:cs="宋体"/>
          <w:sz w:val="24"/>
          <w:szCs w:val="24"/>
          <w:highlight w:val="none"/>
        </w:rPr>
        <w:t>录入静态数据（如采购、验收、安装调试、投用、基础信息、技文档资料移交如质量证明文件和技术文件、备件清单等），支持资料上传并形成设备档案履历，支持</w:t>
      </w:r>
      <w:r>
        <w:rPr>
          <w:rFonts w:hint="eastAsia" w:ascii="宋体" w:hAnsi="宋体" w:cs="宋体"/>
          <w:sz w:val="24"/>
          <w:szCs w:val="24"/>
          <w:highlight w:val="none"/>
          <w:lang w:val="en-US" w:eastAsia="zh-CN"/>
        </w:rPr>
        <w:t>策略关联（</w:t>
      </w:r>
      <w:r>
        <w:rPr>
          <w:rFonts w:ascii="宋体" w:hAnsi="宋体" w:eastAsia="宋体" w:cs="宋体"/>
          <w:sz w:val="24"/>
          <w:szCs w:val="24"/>
          <w:highlight w:val="none"/>
        </w:rPr>
        <w:t>点巡检标准、点巡检方案、维护保养策略、检修策略，同步列入巡检任务、维护任务、检修计划</w:t>
      </w:r>
      <w:r>
        <w:rPr>
          <w:rFonts w:hint="eastAsia" w:ascii="宋体" w:hAnsi="宋体" w:cs="宋体"/>
          <w:sz w:val="24"/>
          <w:szCs w:val="24"/>
          <w:highlight w:val="none"/>
          <w:lang w:eastAsia="zh-CN"/>
        </w:rPr>
        <w:t>）。</w:t>
      </w:r>
    </w:p>
    <w:p w14:paraId="7DABF1BF">
      <w:pPr>
        <w:numPr>
          <w:ilvl w:val="0"/>
          <w:numId w:val="13"/>
        </w:numPr>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设备状态：在用、停用、闲置、待报废、报废等状态人工/自动变更。</w:t>
      </w:r>
    </w:p>
    <w:p w14:paraId="1C781331">
      <w:pPr>
        <w:numPr>
          <w:ilvl w:val="0"/>
          <w:numId w:val="13"/>
        </w:numPr>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设备处置：闲置、调剂、调拨等过程进行管理，对其流转环节进行线上审批和管理。</w:t>
      </w:r>
    </w:p>
    <w:p w14:paraId="4980267B">
      <w:pPr>
        <w:numPr>
          <w:ilvl w:val="0"/>
          <w:numId w:val="13"/>
        </w:numPr>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设备变更：记录和管理设备在生命周期内的各种变动信息，包括设备的升级、改造、位置调整等。</w:t>
      </w:r>
    </w:p>
    <w:p w14:paraId="4241C492">
      <w:pPr>
        <w:numPr>
          <w:ilvl w:val="0"/>
          <w:numId w:val="13"/>
        </w:numPr>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设备报废：</w:t>
      </w:r>
      <w:r>
        <w:rPr>
          <w:rFonts w:ascii="宋体" w:hAnsi="宋体" w:eastAsia="宋体" w:cs="宋体"/>
          <w:sz w:val="24"/>
          <w:szCs w:val="24"/>
          <w:highlight w:val="none"/>
        </w:rPr>
        <w:t>支持创建设备报废鉴定、评估申请，并支持录入技术鉴定、评估结果，</w:t>
      </w:r>
      <w:r>
        <w:rPr>
          <w:rFonts w:ascii="宋体" w:hAnsi="宋体" w:eastAsia="宋体" w:cs="宋体"/>
          <w:sz w:val="24"/>
          <w:szCs w:val="24"/>
          <w:highlight w:val="none"/>
          <w:shd w:val="clear" w:color="auto" w:fill="FFFFFF"/>
        </w:rPr>
        <w:t>进行技术性和经济性评估</w:t>
      </w:r>
      <w:r>
        <w:rPr>
          <w:rFonts w:hint="eastAsia" w:ascii="宋体" w:hAnsi="宋体" w:cs="宋体"/>
          <w:sz w:val="24"/>
          <w:szCs w:val="24"/>
          <w:highlight w:val="none"/>
          <w:shd w:val="clear" w:color="auto" w:fill="FFFFFF"/>
          <w:lang w:eastAsia="zh-CN"/>
        </w:rPr>
        <w:t>，</w:t>
      </w:r>
      <w:r>
        <w:rPr>
          <w:rFonts w:ascii="宋体" w:hAnsi="宋体" w:eastAsia="宋体" w:cs="宋体"/>
          <w:sz w:val="24"/>
          <w:szCs w:val="24"/>
          <w:highlight w:val="none"/>
        </w:rPr>
        <w:t>根据结果对符合报废标准的设备进行报废。</w:t>
      </w:r>
    </w:p>
    <w:p w14:paraId="00D3C992">
      <w:pPr>
        <w:numPr>
          <w:ilvl w:val="0"/>
          <w:numId w:val="13"/>
        </w:numPr>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闲置物料管理：统一台账实现设备位置、基本信息、技术状态等关键信息的全员可视共享，实现借用、调拨、利旧（修复、拆件、再利用）管理。</w:t>
      </w:r>
    </w:p>
    <w:p w14:paraId="32BE4B1E">
      <w:pPr>
        <w:numPr>
          <w:ilvl w:val="0"/>
          <w:numId w:val="13"/>
        </w:numPr>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工器具管理：管理个人工器具、班组工器具、公用工器具，按类型显示，包括名称、数量、位置、负责人、借用归还、负责人变更、使用状态（在用/待修）、添加、删除，实现计量检定的定期提醒和跟踪。基于工器具管理标准，实现对工器具发放、领用、存储移交以及报废等环节全过程管理。</w:t>
      </w:r>
    </w:p>
    <w:p w14:paraId="72574061">
      <w:pPr>
        <w:numPr>
          <w:ilvl w:val="0"/>
          <w:numId w:val="13"/>
        </w:numPr>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设备总览表：按专业、设备类型、部门、位置显示设备档案及关联数据，包括设备基本信息、元器件、实时运行数据、点巡检异常、缺陷隐患、检查检测、维护保养、润滑、故障、纠正性检修、预防性检修、预测性检修、定检、备件消耗等数据，建立统一的视图表。</w:t>
      </w:r>
    </w:p>
    <w:p w14:paraId="65EA82B1">
      <w:pPr>
        <w:numPr>
          <w:ilvl w:val="2"/>
          <w:numId w:val="12"/>
        </w:numPr>
        <w:tabs>
          <w:tab w:val="clear" w:pos="0"/>
        </w:tabs>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设备档案</w:t>
      </w:r>
      <w:r>
        <w:rPr>
          <w:rFonts w:hint="eastAsia" w:ascii="宋体" w:hAnsi="宋体" w:cs="宋体"/>
          <w:sz w:val="24"/>
          <w:szCs w:val="24"/>
          <w:highlight w:val="none"/>
          <w:lang w:val="en-US" w:eastAsia="zh-CN"/>
        </w:rPr>
        <w:t>：构建设备数字化生命体，让系统自动完成设备全生命周期履历信息的汇总，实现设备静态数据、动态数据等全生命周期数据统一视图展示，在线添加、编辑、查阅、删除数据。</w:t>
      </w:r>
    </w:p>
    <w:p w14:paraId="08E40055">
      <w:pPr>
        <w:numPr>
          <w:ilvl w:val="0"/>
          <w:numId w:val="14"/>
        </w:numPr>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设备结构树：按地理位置、设备类别、组织维度显示设备结构树，直观地表现出设备与其母设备、子设备的从属管辖。</w:t>
      </w:r>
    </w:p>
    <w:p w14:paraId="5A3F6C33">
      <w:pPr>
        <w:numPr>
          <w:ilvl w:val="0"/>
          <w:numId w:val="14"/>
        </w:numPr>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设备履历：集成设备全生命周期数据统一视图展示（基础信息、状态、设计资料、采购资料、设备资料、变更记录、备件清单、运行监控、点巡检、开停机记录、隐患、维护保养、失效、检修、校准检定）。对接安全管理信息系统，实现通过摄像头查看现场设备影像。内置设备健康度评价方法，对单台设备进行健康状态总体评价评分或评级），对区域、厂区设备状态总体评价（评分或评级）并显示在驾驶舱。</w:t>
      </w:r>
    </w:p>
    <w:p w14:paraId="5E1617E8">
      <w:pPr>
        <w:numPr>
          <w:ilvl w:val="0"/>
          <w:numId w:val="14"/>
        </w:numPr>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台账管理：</w:t>
      </w:r>
      <w:r>
        <w:rPr>
          <w:rFonts w:hint="default" w:ascii="宋体" w:hAnsi="宋体" w:cs="宋体"/>
          <w:sz w:val="24"/>
          <w:szCs w:val="24"/>
          <w:highlight w:val="none"/>
          <w:lang w:val="en-US" w:eastAsia="zh-CN"/>
        </w:rPr>
        <w:t>支持表格批量导入</w:t>
      </w:r>
      <w:r>
        <w:rPr>
          <w:rFonts w:hint="eastAsia" w:ascii="宋体" w:hAnsi="宋体" w:cs="宋体"/>
          <w:sz w:val="24"/>
          <w:szCs w:val="24"/>
          <w:highlight w:val="none"/>
          <w:lang w:val="en-US" w:eastAsia="zh-CN"/>
        </w:rPr>
        <w:t>、</w:t>
      </w:r>
      <w:r>
        <w:rPr>
          <w:rFonts w:hint="default" w:ascii="宋体" w:hAnsi="宋体" w:cs="宋体"/>
          <w:sz w:val="24"/>
          <w:szCs w:val="24"/>
          <w:highlight w:val="none"/>
          <w:lang w:val="en-US" w:eastAsia="zh-CN"/>
        </w:rPr>
        <w:t>系统复制录入、手动</w:t>
      </w:r>
      <w:r>
        <w:rPr>
          <w:rFonts w:hint="eastAsia" w:ascii="宋体" w:hAnsi="宋体" w:cs="宋体"/>
          <w:sz w:val="24"/>
          <w:szCs w:val="24"/>
          <w:highlight w:val="none"/>
          <w:lang w:val="en-US" w:eastAsia="zh-CN"/>
        </w:rPr>
        <w:t>维护</w:t>
      </w:r>
      <w:r>
        <w:rPr>
          <w:rFonts w:hint="default" w:ascii="宋体" w:hAnsi="宋体" w:cs="宋体"/>
          <w:sz w:val="24"/>
          <w:szCs w:val="24"/>
          <w:highlight w:val="none"/>
          <w:lang w:val="en-US" w:eastAsia="zh-CN"/>
        </w:rPr>
        <w:t>。支持</w:t>
      </w:r>
      <w:r>
        <w:rPr>
          <w:rFonts w:hint="eastAsia" w:ascii="宋体" w:hAnsi="宋体" w:cs="宋体"/>
          <w:sz w:val="24"/>
          <w:szCs w:val="24"/>
          <w:highlight w:val="none"/>
          <w:lang w:val="en-US" w:eastAsia="zh-CN"/>
        </w:rPr>
        <w:t>电子台账增删改查、导入导出功能，</w:t>
      </w:r>
      <w:r>
        <w:rPr>
          <w:rFonts w:hint="default" w:ascii="宋体" w:hAnsi="宋体" w:cs="宋体"/>
          <w:sz w:val="24"/>
          <w:szCs w:val="24"/>
          <w:highlight w:val="none"/>
          <w:lang w:val="en-US" w:eastAsia="zh-CN"/>
        </w:rPr>
        <w:t>自定义设置设备属性信息</w:t>
      </w:r>
      <w:r>
        <w:rPr>
          <w:rFonts w:hint="eastAsia" w:ascii="宋体" w:hAnsi="宋体" w:cs="宋体"/>
          <w:sz w:val="24"/>
          <w:szCs w:val="24"/>
          <w:highlight w:val="none"/>
          <w:lang w:val="en-US" w:eastAsia="zh-CN"/>
        </w:rPr>
        <w:t>。</w:t>
      </w:r>
    </w:p>
    <w:p w14:paraId="562D5A40">
      <w:pPr>
        <w:numPr>
          <w:ilvl w:val="0"/>
          <w:numId w:val="14"/>
        </w:numPr>
        <w:spacing w:after="0" w:line="500" w:lineRule="exact"/>
        <w:ind w:left="0" w:leftChars="0" w:firstLine="480" w:firstLineChars="0"/>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自动记录每个设备在其生命周期内的所有前期管理、运维管理直至报废的所有活动记录。</w:t>
      </w:r>
    </w:p>
    <w:p w14:paraId="79740289">
      <w:pPr>
        <w:numPr>
          <w:ilvl w:val="0"/>
          <w:numId w:val="14"/>
        </w:numPr>
        <w:spacing w:after="0" w:line="500" w:lineRule="exact"/>
        <w:ind w:left="0" w:leftChars="0" w:firstLine="480" w:firstLineChars="0"/>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能够显示设备的备件/元器件/物料的更换维护记录，支持基于时间周期的更换维护到期提醒</w:t>
      </w:r>
      <w:r>
        <w:rPr>
          <w:rFonts w:hint="eastAsia" w:ascii="宋体" w:hAnsi="宋体" w:cs="宋体"/>
          <w:sz w:val="24"/>
          <w:szCs w:val="24"/>
          <w:highlight w:val="none"/>
          <w:lang w:val="en-US" w:eastAsia="zh-CN"/>
        </w:rPr>
        <w:t>。</w:t>
      </w:r>
    </w:p>
    <w:p w14:paraId="1EB9497B">
      <w:pPr>
        <w:numPr>
          <w:ilvl w:val="0"/>
          <w:numId w:val="14"/>
        </w:numPr>
        <w:spacing w:after="0" w:line="500" w:lineRule="exact"/>
        <w:ind w:left="0" w:leftChars="0" w:firstLine="480" w:firstLineChars="0"/>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一机一码：赋予每台设备一个二维码，实现设备一机一码信息化管理，满足设备日常管理需求，扫码查看设备档案信息。可以批量打印二维码标签，可进行预览、调整打印页面格式,可以自定义设备标签打印模板，支持多个打印模板，自行布局标签大小、设置需要展示的内容，包括设备的各种基础信息、计量信息、自定义文字、图片logo等</w:t>
      </w:r>
      <w:r>
        <w:rPr>
          <w:rFonts w:hint="eastAsia" w:ascii="宋体" w:hAnsi="宋体" w:cs="宋体"/>
          <w:sz w:val="24"/>
          <w:szCs w:val="24"/>
          <w:highlight w:val="none"/>
          <w:lang w:val="en-US" w:eastAsia="zh-CN"/>
        </w:rPr>
        <w:t>。</w:t>
      </w:r>
    </w:p>
    <w:p w14:paraId="49D9525E">
      <w:pPr>
        <w:numPr>
          <w:ilvl w:val="0"/>
          <w:numId w:val="14"/>
        </w:numPr>
        <w:spacing w:after="0" w:line="500" w:lineRule="exact"/>
        <w:ind w:left="0" w:leftChars="0" w:firstLine="480" w:firstLineChars="0"/>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查询与检索：提供</w:t>
      </w:r>
      <w:r>
        <w:rPr>
          <w:rFonts w:hint="eastAsia" w:ascii="宋体" w:hAnsi="宋体" w:cs="宋体"/>
          <w:sz w:val="24"/>
          <w:szCs w:val="24"/>
          <w:highlight w:val="none"/>
          <w:lang w:val="en-US" w:eastAsia="zh-CN"/>
        </w:rPr>
        <w:t>多条件</w:t>
      </w:r>
      <w:r>
        <w:rPr>
          <w:rFonts w:hint="default" w:ascii="宋体" w:hAnsi="宋体" w:cs="宋体"/>
          <w:sz w:val="24"/>
          <w:szCs w:val="24"/>
          <w:highlight w:val="none"/>
          <w:lang w:val="en-US" w:eastAsia="zh-CN"/>
        </w:rPr>
        <w:t>查询和检索方式，按设备编号精确查询、按设备名称模糊查询、按设备状态筛选查询等。查询结果应能以列表形式展示设备的详细信息，并支持导出为常见文件格式（如excel、pdf等）。</w:t>
      </w:r>
    </w:p>
    <w:p w14:paraId="2D3C0313">
      <w:pPr>
        <w:numPr>
          <w:ilvl w:val="2"/>
          <w:numId w:val="12"/>
        </w:numPr>
        <w:tabs>
          <w:tab w:val="clear" w:pos="0"/>
        </w:tabs>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设备分级：</w:t>
      </w:r>
      <w:r>
        <w:rPr>
          <w:rFonts w:hint="eastAsia" w:ascii="宋体" w:hAnsi="宋体" w:cs="宋体"/>
          <w:b w:val="0"/>
          <w:bCs w:val="0"/>
          <w:sz w:val="24"/>
          <w:szCs w:val="24"/>
          <w:highlight w:val="none"/>
          <w:lang w:val="en-US" w:eastAsia="zh-CN"/>
        </w:rPr>
        <w:t>建立设备分级管理台帐，管理内容包括分级程序、分级评定、分级调整、定期复评管理。系统内置设备分类分级方法，量化关键性评价指标。</w:t>
      </w:r>
    </w:p>
    <w:p w14:paraId="730F1B97">
      <w:pPr>
        <w:numPr>
          <w:ilvl w:val="2"/>
          <w:numId w:val="12"/>
        </w:numPr>
        <w:tabs>
          <w:tab w:val="clear" w:pos="0"/>
        </w:tabs>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设备风险</w:t>
      </w:r>
      <w:r>
        <w:rPr>
          <w:rFonts w:hint="eastAsia" w:ascii="宋体" w:hAnsi="宋体" w:cs="宋体"/>
          <w:b w:val="0"/>
          <w:bCs w:val="0"/>
          <w:sz w:val="24"/>
          <w:szCs w:val="24"/>
          <w:highlight w:val="none"/>
          <w:lang w:val="en-US" w:eastAsia="zh-CN"/>
        </w:rPr>
        <w:t>：系统内置主流风险辨识方法和风险评估模型，建立设备风险评价模块，包括静设备及管道基于风险的检验（RBI）、可靠性为中心的维护（RCM）、系统可靠性可用性可维护性分析（RAM）、失效模式及影响分析（FMEA）等分析方法。具体功能包括风险识别、风险评价、分级防控、风险监测、风险治理、风险再评价。</w:t>
      </w:r>
    </w:p>
    <w:p w14:paraId="1F26501A">
      <w:pPr>
        <w:pStyle w:val="4"/>
        <w:numPr>
          <w:ilvl w:val="1"/>
          <w:numId w:val="9"/>
        </w:numPr>
        <w:spacing w:before="0" w:line="500" w:lineRule="exact"/>
        <w:ind w:left="567" w:leftChars="0" w:hanging="567" w:firstLineChars="0"/>
        <w:rPr>
          <w:rFonts w:hint="default" w:ascii="宋体" w:hAnsi="宋体" w:eastAsia="宋体" w:cs="宋体"/>
          <w:b/>
          <w:bCs/>
          <w:color w:val="auto"/>
          <w:sz w:val="28"/>
          <w:szCs w:val="28"/>
          <w:highlight w:val="none"/>
          <w:lang w:val="en-US" w:eastAsia="zh-CN" w:bidi="ar-SA"/>
        </w:rPr>
      </w:pPr>
      <w:bookmarkStart w:id="21" w:name="_Toc21665"/>
      <w:r>
        <w:rPr>
          <w:rFonts w:hint="eastAsia" w:ascii="宋体" w:hAnsi="宋体" w:cs="宋体"/>
          <w:color w:val="auto"/>
          <w:sz w:val="28"/>
          <w:szCs w:val="28"/>
          <w:highlight w:val="none"/>
          <w:lang w:val="en-US" w:eastAsia="zh-CN"/>
        </w:rPr>
        <w:t>运维管理</w:t>
      </w:r>
      <w:bookmarkEnd w:id="21"/>
    </w:p>
    <w:p w14:paraId="1320D04A">
      <w:pPr>
        <w:numPr>
          <w:ilvl w:val="2"/>
          <w:numId w:val="15"/>
        </w:numPr>
        <w:tabs>
          <w:tab w:val="clear" w:pos="0"/>
        </w:tabs>
        <w:spacing w:after="0" w:line="500" w:lineRule="exact"/>
        <w:ind w:left="0" w:leftChars="0" w:firstLine="484" w:firstLineChars="201"/>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运行监控</w:t>
      </w:r>
    </w:p>
    <w:p w14:paraId="42E34A9D">
      <w:pPr>
        <w:numPr>
          <w:ilvl w:val="0"/>
          <w:numId w:val="16"/>
        </w:numPr>
        <w:spacing w:after="0" w:line="500" w:lineRule="exact"/>
        <w:ind w:left="0" w:leftChars="0" w:firstLine="482" w:firstLineChars="201"/>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数据集成：通过API对接工业互联网集成平台，实时获取设备运行数据，对收集到的数据进行分析，监测设备的运行状态是否正常。</w:t>
      </w:r>
    </w:p>
    <w:p w14:paraId="5C97F6D0">
      <w:pPr>
        <w:numPr>
          <w:ilvl w:val="0"/>
          <w:numId w:val="16"/>
        </w:numPr>
        <w:spacing w:after="0" w:line="500" w:lineRule="exact"/>
        <w:ind w:left="0" w:leftChars="0" w:firstLine="482" w:firstLineChars="201"/>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可视化展示：通过直观的图形界面（如仪表盘、折线图、柱状图等）展示设备的运行状态和参数变化趋势。</w:t>
      </w:r>
    </w:p>
    <w:p w14:paraId="7A77462F">
      <w:pPr>
        <w:numPr>
          <w:ilvl w:val="0"/>
          <w:numId w:val="16"/>
        </w:numPr>
        <w:spacing w:after="0" w:line="500" w:lineRule="exact"/>
        <w:ind w:left="0" w:leftChars="0" w:firstLine="482" w:firstLineChars="201"/>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异常联动：设置报警域值，配置推送策略，自动触发异常申报。</w:t>
      </w:r>
    </w:p>
    <w:p w14:paraId="6567C59C">
      <w:pPr>
        <w:numPr>
          <w:ilvl w:val="0"/>
          <w:numId w:val="16"/>
        </w:numPr>
        <w:spacing w:after="0" w:line="500" w:lineRule="exact"/>
        <w:ind w:left="0" w:leftChars="0" w:firstLine="482" w:firstLineChars="201"/>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实现开停机记录监测、运行时长监测与记录。</w:t>
      </w:r>
    </w:p>
    <w:p w14:paraId="363F4C3E">
      <w:pPr>
        <w:numPr>
          <w:ilvl w:val="0"/>
          <w:numId w:val="16"/>
        </w:numPr>
        <w:spacing w:after="0" w:line="500" w:lineRule="exact"/>
        <w:ind w:left="0" w:leftChars="0" w:firstLine="482" w:firstLineChars="201"/>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历史数据查询与分析：</w:t>
      </w:r>
      <w:r>
        <w:rPr>
          <w:rFonts w:hint="eastAsia" w:ascii="宋体" w:hAnsi="宋体" w:cs="宋体"/>
          <w:sz w:val="24"/>
          <w:szCs w:val="24"/>
          <w:highlight w:val="none"/>
          <w:lang w:val="en-US" w:eastAsia="zh-CN"/>
        </w:rPr>
        <w:t>支持按</w:t>
      </w:r>
      <w:r>
        <w:rPr>
          <w:rFonts w:hint="default" w:ascii="宋体" w:hAnsi="宋体" w:cs="宋体"/>
          <w:sz w:val="24"/>
          <w:szCs w:val="24"/>
          <w:highlight w:val="none"/>
          <w:lang w:val="en-US" w:eastAsia="zh-CN"/>
        </w:rPr>
        <w:t>时间范围、设备编号等条件查询历史数据，并进行数据分析操作，如统计分析、趋势分析、对比分析等。系统应能够生成相应的分析报告，为设备的优化运行和维护提供数据支持。</w:t>
      </w:r>
    </w:p>
    <w:p w14:paraId="229E71BC">
      <w:pPr>
        <w:numPr>
          <w:ilvl w:val="2"/>
          <w:numId w:val="15"/>
        </w:numPr>
        <w:tabs>
          <w:tab w:val="clear" w:pos="0"/>
        </w:tabs>
        <w:spacing w:after="0" w:line="500" w:lineRule="exact"/>
        <w:ind w:left="0" w:leftChars="0" w:firstLine="484" w:firstLineChars="201"/>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点巡检</w:t>
      </w:r>
      <w:r>
        <w:rPr>
          <w:rFonts w:hint="eastAsia" w:ascii="宋体" w:hAnsi="宋体" w:cs="宋体"/>
          <w:sz w:val="24"/>
          <w:szCs w:val="24"/>
          <w:highlight w:val="none"/>
          <w:lang w:val="en-US" w:eastAsia="zh-CN"/>
        </w:rPr>
        <w:t>：按预设检查项目和标准引导，确保点巡检工作规范全面。</w:t>
      </w:r>
    </w:p>
    <w:p w14:paraId="57B7DFBE">
      <w:pPr>
        <w:numPr>
          <w:ilvl w:val="0"/>
          <w:numId w:val="17"/>
        </w:numPr>
        <w:spacing w:after="0" w:line="500" w:lineRule="exact"/>
        <w:ind w:left="0" w:leftChars="0" w:firstLine="482" w:firstLineChars="201"/>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全过程管理：标准、计划、任务、实施、记录、验收。支持按设备类别、具体设备制定点巡检标准，同一个设备类别可以制定点巡检通用标准和专用标准，一个标准可以关联多个设备。</w:t>
      </w:r>
      <w:r>
        <w:rPr>
          <w:rFonts w:hint="default" w:ascii="宋体" w:hAnsi="宋体" w:cs="宋体"/>
          <w:sz w:val="24"/>
          <w:szCs w:val="24"/>
          <w:highlight w:val="none"/>
          <w:lang w:val="en-US" w:eastAsia="zh-CN"/>
        </w:rPr>
        <w:t>可实现按预设规则（不同人员角色、不同频</w:t>
      </w:r>
      <w:r>
        <w:rPr>
          <w:rFonts w:hint="eastAsia" w:ascii="宋体" w:hAnsi="宋体" w:cs="宋体"/>
          <w:sz w:val="24"/>
          <w:szCs w:val="24"/>
          <w:highlight w:val="none"/>
          <w:lang w:val="en-US" w:eastAsia="zh-CN"/>
        </w:rPr>
        <w:t>次</w:t>
      </w:r>
      <w:r>
        <w:rPr>
          <w:rFonts w:hint="default" w:ascii="宋体" w:hAnsi="宋体" w:cs="宋体"/>
          <w:sz w:val="24"/>
          <w:szCs w:val="24"/>
          <w:highlight w:val="none"/>
          <w:lang w:val="en-US" w:eastAsia="zh-CN"/>
        </w:rPr>
        <w:t>）生成巡检任务、巡检路线。</w:t>
      </w:r>
    </w:p>
    <w:p w14:paraId="56D81516">
      <w:pPr>
        <w:numPr>
          <w:ilvl w:val="0"/>
          <w:numId w:val="17"/>
        </w:numPr>
        <w:spacing w:after="0" w:line="500" w:lineRule="exact"/>
        <w:ind w:left="0" w:leftChars="0" w:firstLine="482" w:firstLineChars="201"/>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移动端执行：按路线、标准、巡检操作规范，作业人员通过手机端APP</w:t>
      </w:r>
      <w:r>
        <w:rPr>
          <w:rFonts w:hint="default" w:ascii="宋体" w:hAnsi="宋体" w:cs="宋体"/>
          <w:sz w:val="24"/>
          <w:szCs w:val="24"/>
          <w:highlight w:val="none"/>
          <w:lang w:val="en-US" w:eastAsia="zh-CN"/>
        </w:rPr>
        <w:t>执行</w:t>
      </w:r>
      <w:r>
        <w:rPr>
          <w:rFonts w:hint="eastAsia" w:ascii="宋体" w:hAnsi="宋体" w:cs="宋体"/>
          <w:sz w:val="24"/>
          <w:szCs w:val="24"/>
          <w:highlight w:val="none"/>
          <w:lang w:val="en-US" w:eastAsia="zh-CN"/>
        </w:rPr>
        <w:t>点</w:t>
      </w:r>
      <w:r>
        <w:rPr>
          <w:rFonts w:hint="default" w:ascii="宋体" w:hAnsi="宋体" w:cs="宋体"/>
          <w:sz w:val="24"/>
          <w:szCs w:val="24"/>
          <w:highlight w:val="none"/>
          <w:lang w:val="en-US" w:eastAsia="zh-CN"/>
        </w:rPr>
        <w:t>巡检任务</w:t>
      </w:r>
      <w:r>
        <w:rPr>
          <w:rFonts w:hint="eastAsia" w:ascii="宋体" w:hAnsi="宋体" w:cs="宋体"/>
          <w:sz w:val="24"/>
          <w:szCs w:val="24"/>
          <w:highlight w:val="none"/>
          <w:lang w:val="en-US" w:eastAsia="zh-CN"/>
        </w:rPr>
        <w:t>，蓝牙传输测温测振数据至APP。支持点巡检任务离线执行，无网络时数据缓存，联网后自动同步。</w:t>
      </w:r>
    </w:p>
    <w:p w14:paraId="619046F2">
      <w:pPr>
        <w:numPr>
          <w:ilvl w:val="0"/>
          <w:numId w:val="17"/>
        </w:numPr>
        <w:spacing w:after="0" w:line="500" w:lineRule="exact"/>
        <w:ind w:left="0" w:leftChars="0" w:firstLine="482" w:firstLineChars="201"/>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异常申报：发现</w:t>
      </w:r>
      <w:r>
        <w:rPr>
          <w:rFonts w:hint="default" w:ascii="宋体" w:hAnsi="宋体" w:cs="宋体"/>
          <w:sz w:val="24"/>
          <w:szCs w:val="24"/>
          <w:highlight w:val="none"/>
          <w:lang w:val="en-US" w:eastAsia="zh-CN"/>
        </w:rPr>
        <w:t>异常</w:t>
      </w:r>
      <w:r>
        <w:rPr>
          <w:rFonts w:hint="eastAsia" w:ascii="宋体" w:hAnsi="宋体" w:cs="宋体"/>
          <w:sz w:val="24"/>
          <w:szCs w:val="24"/>
          <w:highlight w:val="none"/>
          <w:lang w:val="en-US" w:eastAsia="zh-CN"/>
        </w:rPr>
        <w:t>即时申报，按分级触发工单</w:t>
      </w:r>
      <w:r>
        <w:rPr>
          <w:rFonts w:hint="default" w:ascii="宋体" w:hAnsi="宋体" w:cs="宋体"/>
          <w:sz w:val="24"/>
          <w:szCs w:val="24"/>
          <w:highlight w:val="none"/>
          <w:lang w:val="en-US" w:eastAsia="zh-CN"/>
        </w:rPr>
        <w:t>。</w:t>
      </w:r>
    </w:p>
    <w:p w14:paraId="7FB20310">
      <w:pPr>
        <w:numPr>
          <w:ilvl w:val="0"/>
          <w:numId w:val="17"/>
        </w:numPr>
        <w:spacing w:after="0" w:line="500" w:lineRule="exact"/>
        <w:ind w:left="0" w:leftChars="0" w:firstLine="482" w:firstLineChars="201"/>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防假检：可设置必填项、设置拍照项等防假检措施，避免作业</w:t>
      </w:r>
      <w:r>
        <w:rPr>
          <w:rFonts w:hint="default" w:ascii="宋体" w:hAnsi="宋体" w:cs="宋体"/>
          <w:sz w:val="24"/>
          <w:szCs w:val="24"/>
          <w:highlight w:val="none"/>
          <w:lang w:val="en-US" w:eastAsia="zh-CN"/>
        </w:rPr>
        <w:t>人员</w:t>
      </w:r>
      <w:r>
        <w:rPr>
          <w:rFonts w:hint="eastAsia" w:ascii="宋体" w:hAnsi="宋体" w:cs="宋体"/>
          <w:sz w:val="24"/>
          <w:szCs w:val="24"/>
          <w:highlight w:val="none"/>
          <w:lang w:val="en-US" w:eastAsia="zh-CN"/>
        </w:rPr>
        <w:t>执行</w:t>
      </w:r>
      <w:r>
        <w:rPr>
          <w:rFonts w:hint="default" w:ascii="宋体" w:hAnsi="宋体" w:cs="宋体"/>
          <w:sz w:val="24"/>
          <w:szCs w:val="24"/>
          <w:highlight w:val="none"/>
          <w:lang w:val="en-US" w:eastAsia="zh-CN"/>
        </w:rPr>
        <w:t>造假和数据造假风险。巡检结果和巡检历史对比，精准记录点巡检的执行时间、执行人员及检测数值。</w:t>
      </w:r>
    </w:p>
    <w:p w14:paraId="589DE86A">
      <w:pPr>
        <w:numPr>
          <w:ilvl w:val="0"/>
          <w:numId w:val="17"/>
        </w:numPr>
        <w:spacing w:after="0" w:line="500" w:lineRule="exact"/>
        <w:ind w:left="0" w:leftChars="0" w:firstLine="482" w:firstLineChars="201"/>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异常数据追溯：</w:t>
      </w:r>
      <w:r>
        <w:rPr>
          <w:rFonts w:hint="eastAsia" w:ascii="宋体" w:hAnsi="宋体" w:cs="宋体"/>
          <w:sz w:val="24"/>
          <w:szCs w:val="24"/>
          <w:highlight w:val="none"/>
          <w:lang w:val="en-US" w:eastAsia="zh-CN"/>
        </w:rPr>
        <w:t>对</w:t>
      </w:r>
      <w:r>
        <w:rPr>
          <w:rFonts w:hint="default" w:ascii="宋体" w:hAnsi="宋体" w:cs="宋体"/>
          <w:sz w:val="24"/>
          <w:szCs w:val="24"/>
          <w:highlight w:val="none"/>
          <w:lang w:val="en-US" w:eastAsia="zh-CN"/>
        </w:rPr>
        <w:t>偏离历史值30%的数据</w:t>
      </w:r>
      <w:r>
        <w:rPr>
          <w:rFonts w:hint="eastAsia" w:ascii="宋体" w:hAnsi="宋体" w:cs="宋体"/>
          <w:sz w:val="24"/>
          <w:szCs w:val="24"/>
          <w:highlight w:val="none"/>
          <w:lang w:val="en-US" w:eastAsia="zh-CN"/>
        </w:rPr>
        <w:t>进行</w:t>
      </w:r>
      <w:r>
        <w:rPr>
          <w:rFonts w:hint="default" w:ascii="宋体" w:hAnsi="宋体" w:cs="宋体"/>
          <w:sz w:val="24"/>
          <w:szCs w:val="24"/>
          <w:highlight w:val="none"/>
          <w:lang w:val="en-US" w:eastAsia="zh-CN"/>
        </w:rPr>
        <w:t>异常提醒及二次确认。可关联在线监测系统，实现点巡检数据与在线监测系统数据比对，便于巡检人员进行参考比照，并实现历史、同类异常提示功能，供巡检人员参考。</w:t>
      </w:r>
    </w:p>
    <w:p w14:paraId="625F632C">
      <w:pPr>
        <w:numPr>
          <w:ilvl w:val="0"/>
          <w:numId w:val="17"/>
        </w:numPr>
        <w:spacing w:after="0" w:line="500" w:lineRule="exact"/>
        <w:ind w:left="0" w:leftChars="0" w:firstLine="482" w:firstLineChars="201"/>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数据管理：能通过仪表盘显示巡检数据、数据趋势、报警数值（限值、基准值）。每次点巡检数据自动关联设备档案。支持以月视图查看和管理巡检任务。</w:t>
      </w:r>
    </w:p>
    <w:p w14:paraId="7F806739">
      <w:pPr>
        <w:numPr>
          <w:ilvl w:val="0"/>
          <w:numId w:val="17"/>
        </w:numPr>
        <w:spacing w:after="0" w:line="500" w:lineRule="exact"/>
        <w:ind w:left="0" w:leftChars="0" w:firstLine="482" w:firstLineChars="201"/>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报表导出：支持</w:t>
      </w:r>
      <w:r>
        <w:rPr>
          <w:rFonts w:hint="default" w:ascii="宋体" w:hAnsi="宋体" w:cs="宋体"/>
          <w:sz w:val="24"/>
          <w:szCs w:val="24"/>
          <w:highlight w:val="none"/>
          <w:lang w:val="en-US" w:eastAsia="zh-CN"/>
        </w:rPr>
        <w:t>按日批量、按预设表单样式模板导出或打印pdf点巡检表</w:t>
      </w:r>
      <w:r>
        <w:rPr>
          <w:rFonts w:hint="eastAsia" w:ascii="宋体" w:hAnsi="宋体" w:cs="宋体"/>
          <w:sz w:val="24"/>
          <w:szCs w:val="24"/>
          <w:highlight w:val="none"/>
          <w:lang w:val="en-US" w:eastAsia="zh-CN"/>
        </w:rPr>
        <w:t>。</w:t>
      </w:r>
    </w:p>
    <w:p w14:paraId="013AC231">
      <w:pPr>
        <w:numPr>
          <w:ilvl w:val="2"/>
          <w:numId w:val="15"/>
        </w:numPr>
        <w:tabs>
          <w:tab w:val="clear" w:pos="0"/>
        </w:tabs>
        <w:spacing w:after="0" w:line="500" w:lineRule="exact"/>
        <w:ind w:left="0" w:leftChars="0" w:firstLine="484" w:firstLineChars="201"/>
        <w:rPr>
          <w:rFonts w:hint="default" w:ascii="宋体" w:hAnsi="宋体" w:cs="宋体"/>
          <w:b/>
          <w:bCs/>
          <w:sz w:val="24"/>
          <w:szCs w:val="24"/>
          <w:highlight w:val="none"/>
          <w:lang w:val="en-US" w:eastAsia="zh-CN"/>
        </w:rPr>
      </w:pPr>
      <w:r>
        <w:rPr>
          <w:rFonts w:hint="eastAsia" w:ascii="宋体" w:hAnsi="宋体" w:cs="宋体"/>
          <w:b/>
          <w:bCs/>
          <w:sz w:val="24"/>
          <w:szCs w:val="24"/>
          <w:highlight w:val="none"/>
          <w:lang w:val="en-US" w:eastAsia="zh-CN"/>
        </w:rPr>
        <w:t>缺陷隐患</w:t>
      </w:r>
    </w:p>
    <w:p w14:paraId="792EF914">
      <w:pPr>
        <w:numPr>
          <w:ilvl w:val="0"/>
          <w:numId w:val="18"/>
        </w:numPr>
        <w:spacing w:after="0" w:line="500" w:lineRule="exact"/>
        <w:ind w:left="0" w:leftChars="0" w:firstLine="482" w:firstLineChars="201"/>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排查任务：可实现按角色、周期生成排查任务，显示标准和范围。对排查结果进行“缺陷隐患记录”，形成隐患工单。可实现按预设模板导出或打印pdf隐患排查表。</w:t>
      </w:r>
    </w:p>
    <w:p w14:paraId="327BD6B8">
      <w:pPr>
        <w:numPr>
          <w:ilvl w:val="0"/>
          <w:numId w:val="18"/>
        </w:numPr>
        <w:spacing w:after="0" w:line="500" w:lineRule="exact"/>
        <w:ind w:left="0" w:leftChars="0" w:firstLine="482" w:firstLineChars="201"/>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分类分级管理：内置缺陷隐患分类分级方法，按分类分级汇报与推送，在缺陷隐患提报时，引导提报人员、审核人员对缺陷隐患进行分类分级评价。</w:t>
      </w:r>
    </w:p>
    <w:p w14:paraId="4222D726">
      <w:pPr>
        <w:numPr>
          <w:ilvl w:val="0"/>
          <w:numId w:val="18"/>
        </w:numPr>
        <w:spacing w:after="0" w:line="500" w:lineRule="exact"/>
        <w:ind w:left="0" w:leftChars="0" w:firstLine="482" w:firstLineChars="201"/>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标准化缺陷数据库：缺陷隐患记录的统一视图，实现记录的筛选、查询统计功能。实现将隐患经审核后列入计划性检修。接入安全信息管理系统实现数据交互。</w:t>
      </w:r>
    </w:p>
    <w:p w14:paraId="32A109F3">
      <w:pPr>
        <w:numPr>
          <w:ilvl w:val="0"/>
          <w:numId w:val="18"/>
        </w:numPr>
        <w:spacing w:after="0" w:line="500" w:lineRule="exact"/>
        <w:ind w:left="0" w:leftChars="0" w:firstLine="482" w:firstLineChars="201"/>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整改状态：以时间轴的方式直观展示缺陷隐患的实时进度，实现按进度状态分类显示，如未整改、整改中、等待备件、择机、列入计划性检修、列入大修等。</w:t>
      </w:r>
    </w:p>
    <w:p w14:paraId="697498B8">
      <w:pPr>
        <w:numPr>
          <w:ilvl w:val="0"/>
          <w:numId w:val="18"/>
        </w:numPr>
        <w:spacing w:after="0" w:line="500" w:lineRule="exact"/>
        <w:ind w:left="0" w:leftChars="0" w:firstLine="482" w:firstLineChars="201"/>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整改验收</w:t>
      </w:r>
      <w:r>
        <w:rPr>
          <w:rFonts w:hint="eastAsia" w:ascii="宋体" w:hAnsi="宋体" w:cs="宋体"/>
          <w:sz w:val="24"/>
          <w:szCs w:val="24"/>
          <w:highlight w:val="none"/>
          <w:lang w:val="en-US" w:eastAsia="zh-CN"/>
        </w:rPr>
        <w:t>:线上记录整改情况，填写隐患整改情况、上传照片，关联备件消耗，实现闭环关联。</w:t>
      </w:r>
    </w:p>
    <w:p w14:paraId="06A321CA">
      <w:pPr>
        <w:numPr>
          <w:ilvl w:val="0"/>
          <w:numId w:val="18"/>
        </w:numPr>
        <w:spacing w:after="0" w:line="500" w:lineRule="exact"/>
        <w:ind w:left="0" w:leftChars="0" w:firstLine="482" w:firstLineChars="201"/>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评价</w:t>
      </w:r>
      <w:r>
        <w:rPr>
          <w:rFonts w:hint="eastAsia" w:ascii="宋体" w:hAnsi="宋体" w:cs="宋体"/>
          <w:sz w:val="24"/>
          <w:szCs w:val="24"/>
          <w:highlight w:val="none"/>
          <w:lang w:val="en-US" w:eastAsia="zh-CN"/>
        </w:rPr>
        <w:t>与统计:缺陷隐患整改情况评价与多维度统计。</w:t>
      </w:r>
    </w:p>
    <w:p w14:paraId="566D2E66">
      <w:pPr>
        <w:numPr>
          <w:ilvl w:val="2"/>
          <w:numId w:val="15"/>
        </w:numPr>
        <w:tabs>
          <w:tab w:val="clear" w:pos="0"/>
        </w:tabs>
        <w:spacing w:after="0" w:line="500" w:lineRule="exact"/>
        <w:ind w:left="0" w:leftChars="0" w:firstLine="484" w:firstLineChars="201"/>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检查检测</w:t>
      </w:r>
      <w:r>
        <w:rPr>
          <w:rFonts w:hint="eastAsia" w:ascii="宋体" w:hAnsi="宋体" w:cs="宋体"/>
          <w:sz w:val="24"/>
          <w:szCs w:val="24"/>
          <w:highlight w:val="none"/>
          <w:lang w:val="en-US" w:eastAsia="zh-CN"/>
        </w:rPr>
        <w:t>：通过观察、测量、测试、校准、判断，检测设备缺陷的发生和评估设备部件的状态，对设备的有关性能进行符合性评价。</w:t>
      </w:r>
    </w:p>
    <w:p w14:paraId="451FA1C3">
      <w:pPr>
        <w:numPr>
          <w:ilvl w:val="0"/>
          <w:numId w:val="19"/>
        </w:numPr>
        <w:spacing w:after="0" w:line="500" w:lineRule="exact"/>
        <w:ind w:left="0" w:leftChars="0" w:firstLine="482" w:firstLineChars="201"/>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计划与任务：制定年度/周期性检查计划，明确检查内容、时间与责任人。</w:t>
      </w:r>
    </w:p>
    <w:p w14:paraId="6371D4F7">
      <w:pPr>
        <w:numPr>
          <w:ilvl w:val="0"/>
          <w:numId w:val="19"/>
        </w:numPr>
        <w:spacing w:after="0" w:line="500" w:lineRule="exact"/>
        <w:ind w:left="0" w:leftChars="0" w:firstLine="482" w:firstLineChars="201"/>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问题记录与闭环：</w:t>
      </w:r>
      <w:r>
        <w:rPr>
          <w:rFonts w:hint="default" w:ascii="宋体" w:hAnsi="宋体" w:cs="宋体"/>
          <w:sz w:val="24"/>
          <w:szCs w:val="24"/>
          <w:highlight w:val="none"/>
          <w:lang w:val="en-US" w:eastAsia="zh-CN"/>
        </w:rPr>
        <w:t>填写检查</w:t>
      </w:r>
      <w:r>
        <w:rPr>
          <w:rFonts w:hint="eastAsia" w:ascii="宋体" w:hAnsi="宋体" w:cs="宋体"/>
          <w:sz w:val="24"/>
          <w:szCs w:val="24"/>
          <w:highlight w:val="none"/>
          <w:lang w:val="en-US" w:eastAsia="zh-CN"/>
        </w:rPr>
        <w:t>记录和异常申报</w:t>
      </w:r>
      <w:r>
        <w:rPr>
          <w:rFonts w:hint="default" w:ascii="宋体" w:hAnsi="宋体" w:cs="宋体"/>
          <w:sz w:val="24"/>
          <w:szCs w:val="24"/>
          <w:highlight w:val="none"/>
          <w:lang w:val="en-US" w:eastAsia="zh-CN"/>
        </w:rPr>
        <w:t>，整改后审批闭环。</w:t>
      </w:r>
    </w:p>
    <w:p w14:paraId="1CDBEBAD">
      <w:pPr>
        <w:numPr>
          <w:ilvl w:val="2"/>
          <w:numId w:val="15"/>
        </w:numPr>
        <w:tabs>
          <w:tab w:val="clear" w:pos="0"/>
        </w:tabs>
        <w:spacing w:after="0" w:line="500" w:lineRule="exact"/>
        <w:ind w:left="0" w:leftChars="0" w:firstLine="484" w:firstLineChars="201"/>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维护保养</w:t>
      </w:r>
      <w:r>
        <w:rPr>
          <w:rFonts w:hint="eastAsia" w:ascii="宋体" w:hAnsi="宋体" w:cs="宋体"/>
          <w:sz w:val="24"/>
          <w:szCs w:val="24"/>
          <w:highlight w:val="none"/>
          <w:lang w:val="en-US" w:eastAsia="zh-CN"/>
        </w:rPr>
        <w:t>：</w:t>
      </w:r>
    </w:p>
    <w:p w14:paraId="1FD186E6">
      <w:pPr>
        <w:numPr>
          <w:ilvl w:val="0"/>
          <w:numId w:val="20"/>
        </w:numPr>
        <w:spacing w:after="0" w:line="500" w:lineRule="exact"/>
        <w:ind w:left="0" w:leftChars="0" w:firstLine="482" w:firstLineChars="201"/>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计划：支持根据设备类型、运行状况等因素制定个性化设备维护保养计划。</w:t>
      </w:r>
    </w:p>
    <w:p w14:paraId="7B7950E4">
      <w:pPr>
        <w:numPr>
          <w:ilvl w:val="0"/>
          <w:numId w:val="20"/>
        </w:numPr>
        <w:spacing w:after="0" w:line="500" w:lineRule="exact"/>
        <w:ind w:left="0" w:leftChars="0" w:firstLine="482" w:firstLineChars="201"/>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标准：规范可见的维护保养执行标准，在维护保养任务执行时，显示详细维护保养步骤、安全指南和标准操作程序，以确保维护保养工作的质量和安全性。允许附件相关的图纸、手册或其他文档。</w:t>
      </w:r>
    </w:p>
    <w:p w14:paraId="66321203">
      <w:pPr>
        <w:numPr>
          <w:ilvl w:val="0"/>
          <w:numId w:val="20"/>
        </w:numPr>
        <w:spacing w:after="0" w:line="500" w:lineRule="exact"/>
        <w:ind w:left="0" w:leftChars="0" w:firstLine="482" w:firstLineChars="201"/>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任务</w:t>
      </w:r>
      <w:r>
        <w:rPr>
          <w:rFonts w:hint="default" w:ascii="宋体" w:hAnsi="宋体" w:cs="宋体"/>
          <w:sz w:val="24"/>
          <w:szCs w:val="24"/>
          <w:highlight w:val="none"/>
          <w:lang w:val="en-US" w:eastAsia="zh-CN"/>
        </w:rPr>
        <w:t>执行：</w:t>
      </w:r>
      <w:r>
        <w:rPr>
          <w:rFonts w:hint="eastAsia" w:ascii="宋体" w:hAnsi="宋体" w:cs="宋体"/>
          <w:sz w:val="24"/>
          <w:szCs w:val="24"/>
          <w:highlight w:val="none"/>
          <w:lang w:val="en-US" w:eastAsia="zh-CN"/>
        </w:rPr>
        <w:t>按</w:t>
      </w:r>
      <w:r>
        <w:rPr>
          <w:rFonts w:hint="default" w:ascii="宋体" w:hAnsi="宋体" w:cs="宋体"/>
          <w:sz w:val="24"/>
          <w:szCs w:val="24"/>
          <w:highlight w:val="none"/>
          <w:lang w:val="en-US" w:eastAsia="zh-CN"/>
        </w:rPr>
        <w:t>计划</w:t>
      </w:r>
      <w:r>
        <w:rPr>
          <w:rFonts w:hint="eastAsia" w:ascii="宋体" w:hAnsi="宋体" w:cs="宋体"/>
          <w:sz w:val="24"/>
          <w:szCs w:val="24"/>
          <w:highlight w:val="none"/>
          <w:lang w:val="en-US" w:eastAsia="zh-CN"/>
        </w:rPr>
        <w:t>或状态自动触发任务。</w:t>
      </w:r>
      <w:r>
        <w:rPr>
          <w:rFonts w:hint="default" w:ascii="宋体" w:hAnsi="宋体" w:cs="宋体"/>
          <w:sz w:val="24"/>
          <w:szCs w:val="24"/>
          <w:highlight w:val="none"/>
          <w:lang w:val="en-US" w:eastAsia="zh-CN"/>
        </w:rPr>
        <w:t>记录</w:t>
      </w:r>
      <w:r>
        <w:rPr>
          <w:rFonts w:hint="eastAsia" w:ascii="宋体" w:hAnsi="宋体" w:cs="宋体"/>
          <w:sz w:val="24"/>
          <w:szCs w:val="24"/>
          <w:highlight w:val="none"/>
          <w:lang w:val="en-US" w:eastAsia="zh-CN"/>
        </w:rPr>
        <w:t>实施过程与结论</w:t>
      </w:r>
      <w:r>
        <w:rPr>
          <w:rFonts w:hint="default" w:ascii="宋体" w:hAnsi="宋体" w:cs="宋体"/>
          <w:sz w:val="24"/>
          <w:szCs w:val="24"/>
          <w:highlight w:val="none"/>
          <w:lang w:val="en-US" w:eastAsia="zh-CN"/>
        </w:rPr>
        <w:t>。</w:t>
      </w:r>
    </w:p>
    <w:p w14:paraId="2D57A10D">
      <w:pPr>
        <w:numPr>
          <w:ilvl w:val="0"/>
          <w:numId w:val="20"/>
        </w:numPr>
        <w:spacing w:after="0" w:line="500" w:lineRule="exact"/>
        <w:ind w:left="0" w:leftChars="0" w:firstLine="482" w:firstLineChars="201"/>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异常申报：</w:t>
      </w:r>
      <w:r>
        <w:rPr>
          <w:rFonts w:hint="default" w:ascii="宋体" w:hAnsi="宋体" w:cs="宋体"/>
          <w:sz w:val="24"/>
          <w:szCs w:val="24"/>
          <w:highlight w:val="none"/>
          <w:lang w:val="en-US" w:eastAsia="zh-CN"/>
        </w:rPr>
        <w:t>执行</w:t>
      </w:r>
      <w:r>
        <w:rPr>
          <w:rFonts w:hint="eastAsia" w:ascii="宋体" w:hAnsi="宋体" w:cs="宋体"/>
          <w:sz w:val="24"/>
          <w:szCs w:val="24"/>
          <w:highlight w:val="none"/>
          <w:lang w:val="en-US" w:eastAsia="zh-CN"/>
        </w:rPr>
        <w:t>中发现异常可即时</w:t>
      </w:r>
      <w:r>
        <w:rPr>
          <w:rFonts w:hint="default" w:ascii="宋体" w:hAnsi="宋体" w:cs="宋体"/>
          <w:sz w:val="24"/>
          <w:szCs w:val="24"/>
          <w:highlight w:val="none"/>
          <w:lang w:val="en-US" w:eastAsia="zh-CN"/>
        </w:rPr>
        <w:t>申报。</w:t>
      </w:r>
    </w:p>
    <w:p w14:paraId="0F07E0F5">
      <w:pPr>
        <w:numPr>
          <w:ilvl w:val="2"/>
          <w:numId w:val="15"/>
        </w:numPr>
        <w:tabs>
          <w:tab w:val="clear" w:pos="0"/>
        </w:tabs>
        <w:spacing w:after="0" w:line="500" w:lineRule="exact"/>
        <w:ind w:left="0" w:leftChars="0" w:firstLine="484" w:firstLineChars="201"/>
        <w:rPr>
          <w:rFonts w:hint="default" w:ascii="宋体" w:hAnsi="宋体" w:cs="宋体"/>
          <w:b/>
          <w:bCs/>
          <w:sz w:val="24"/>
          <w:szCs w:val="24"/>
          <w:highlight w:val="none"/>
          <w:lang w:val="en-US" w:eastAsia="zh-CN"/>
        </w:rPr>
      </w:pPr>
      <w:r>
        <w:rPr>
          <w:rFonts w:hint="eastAsia" w:ascii="宋体" w:hAnsi="宋体" w:cs="宋体"/>
          <w:b/>
          <w:bCs/>
          <w:sz w:val="24"/>
          <w:szCs w:val="24"/>
          <w:highlight w:val="none"/>
          <w:lang w:val="en-US" w:eastAsia="zh-CN"/>
        </w:rPr>
        <w:t>检维修</w:t>
      </w:r>
    </w:p>
    <w:p w14:paraId="1B0D2C86">
      <w:pPr>
        <w:numPr>
          <w:ilvl w:val="0"/>
          <w:numId w:val="21"/>
        </w:numPr>
        <w:spacing w:after="0" w:line="500" w:lineRule="exact"/>
        <w:ind w:left="0" w:leftChars="0" w:firstLine="482" w:firstLineChars="201"/>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工单管理：异常申报审核后生成维修工单，按预设模板编辑维修工单内容（可选择历史相同异常进行匹配自动填报），推送相关人员进行维修（也可以预设不同条件实现自动推送派发维修工单）。维修工单具有增加人员、改派、转单等操作功能。</w:t>
      </w:r>
      <w:r>
        <w:rPr>
          <w:rFonts w:hint="default" w:ascii="宋体" w:hAnsi="宋体" w:cs="宋体"/>
          <w:sz w:val="24"/>
          <w:szCs w:val="24"/>
          <w:highlight w:val="none"/>
          <w:lang w:val="en-US" w:eastAsia="zh-CN"/>
        </w:rPr>
        <w:t>关联备件领用、等待备件（推送备件采购汇总）</w:t>
      </w:r>
      <w:r>
        <w:rPr>
          <w:rFonts w:hint="eastAsia" w:ascii="宋体" w:hAnsi="宋体" w:cs="宋体"/>
          <w:sz w:val="24"/>
          <w:szCs w:val="24"/>
          <w:highlight w:val="none"/>
          <w:lang w:val="en-US" w:eastAsia="zh-CN"/>
        </w:rPr>
        <w:t>，以时间轴的方式直观展示维修工单实时进度，可实现在时间轴上编辑修改维修记录</w:t>
      </w:r>
      <w:r>
        <w:rPr>
          <w:rFonts w:hint="default" w:ascii="宋体" w:hAnsi="宋体" w:cs="宋体"/>
          <w:sz w:val="24"/>
          <w:szCs w:val="24"/>
          <w:highlight w:val="none"/>
          <w:lang w:val="en-US" w:eastAsia="zh-CN"/>
        </w:rPr>
        <w:t>。</w:t>
      </w:r>
    </w:p>
    <w:p w14:paraId="55BC1D10">
      <w:pPr>
        <w:numPr>
          <w:ilvl w:val="0"/>
          <w:numId w:val="21"/>
        </w:numPr>
        <w:spacing w:after="0" w:line="500" w:lineRule="exact"/>
        <w:ind w:left="0" w:leftChars="0" w:firstLine="482" w:firstLineChars="201"/>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配置、推送标准化维修方案：可根据工单的描述、类型、级别、部位等信息，系统自动在经验库推荐可与之相匹配的维修经验供参考或直接应用。</w:t>
      </w:r>
    </w:p>
    <w:p w14:paraId="2E6C513C">
      <w:pPr>
        <w:numPr>
          <w:ilvl w:val="0"/>
          <w:numId w:val="21"/>
        </w:numPr>
        <w:spacing w:after="0" w:line="500" w:lineRule="exact"/>
        <w:ind w:left="0" w:leftChars="0" w:firstLine="482" w:firstLineChars="201"/>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维修工单执行：在维修过程中可直接发起领料申请、委外维修申请等实现不同模块功能的联动，维修完成后具有验收评价功能。</w:t>
      </w:r>
    </w:p>
    <w:p w14:paraId="4DCBDD92">
      <w:pPr>
        <w:numPr>
          <w:ilvl w:val="0"/>
          <w:numId w:val="21"/>
        </w:numPr>
        <w:spacing w:after="0" w:line="500" w:lineRule="exact"/>
        <w:ind w:left="0" w:leftChars="0" w:firstLine="482" w:firstLineChars="201"/>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计划维修</w:t>
      </w:r>
      <w:r>
        <w:rPr>
          <w:rFonts w:hint="eastAsia" w:ascii="宋体" w:hAnsi="宋体" w:cs="宋体"/>
          <w:sz w:val="24"/>
          <w:szCs w:val="24"/>
          <w:highlight w:val="none"/>
          <w:lang w:val="en-US" w:eastAsia="zh-CN"/>
        </w:rPr>
        <w:t>：在线编制维修计划，并生成维修工单。支持将设备缺陷隐患、预防性维修、预测性维修等内容汇总生成月计划，根据设备运行情况结合大数据推荐增减维修项目。</w:t>
      </w:r>
    </w:p>
    <w:p w14:paraId="4B889E0F">
      <w:pPr>
        <w:numPr>
          <w:ilvl w:val="0"/>
          <w:numId w:val="21"/>
        </w:numPr>
        <w:spacing w:after="0" w:line="500" w:lineRule="exact"/>
        <w:ind w:left="0" w:leftChars="0" w:firstLine="482" w:firstLineChars="201"/>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质量验收</w:t>
      </w:r>
      <w:r>
        <w:rPr>
          <w:rFonts w:hint="eastAsia" w:ascii="宋体" w:hAnsi="宋体" w:cs="宋体"/>
          <w:sz w:val="24"/>
          <w:szCs w:val="24"/>
          <w:highlight w:val="none"/>
          <w:lang w:val="en-US" w:eastAsia="zh-CN"/>
        </w:rPr>
        <w:t>：标准工作包，实现工序级质量控制点在线验收，验收数据实现痕迹化管理，确保检修过程有“迹”可循、有“证”可查。</w:t>
      </w:r>
    </w:p>
    <w:p w14:paraId="22713D7E">
      <w:pPr>
        <w:numPr>
          <w:ilvl w:val="0"/>
          <w:numId w:val="21"/>
        </w:numPr>
        <w:spacing w:after="0" w:line="500" w:lineRule="exact"/>
        <w:ind w:left="0" w:leftChars="0" w:firstLine="482" w:firstLineChars="201"/>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检修记录：自动填报检修记录，实现维修工单的闭环管理。记录和存储设备在运维阶段的所有检维修信息，记录使用的备件、工时、质量验收和检维修过程中的心得/备忘录。检维修记录关联设备档案。</w:t>
      </w:r>
      <w:r>
        <w:rPr>
          <w:rFonts w:hint="default" w:ascii="宋体" w:hAnsi="宋体" w:cs="宋体"/>
          <w:sz w:val="24"/>
          <w:szCs w:val="24"/>
          <w:highlight w:val="none"/>
          <w:lang w:eastAsia="zh-CN"/>
        </w:rPr>
        <w:t>实现设备的维修统计、故障列表显示。</w:t>
      </w:r>
    </w:p>
    <w:p w14:paraId="2F7FF0ED">
      <w:pPr>
        <w:numPr>
          <w:ilvl w:val="0"/>
          <w:numId w:val="21"/>
        </w:numPr>
        <w:spacing w:after="0" w:line="500" w:lineRule="exact"/>
        <w:ind w:left="0" w:leftChars="0" w:firstLine="482" w:firstLineChars="201"/>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预防性维修：基于历史数据生成年度预防性维修计划，实现在线查看、调整、审批等功能。实现预防性维修计划执行提醒、报警等功能，支持查看、统计、分析执行情况，自动生成下一年度预防性维修计划。</w:t>
      </w:r>
    </w:p>
    <w:p w14:paraId="585AB8E3">
      <w:pPr>
        <w:numPr>
          <w:ilvl w:val="2"/>
          <w:numId w:val="15"/>
        </w:numPr>
        <w:tabs>
          <w:tab w:val="clear" w:pos="0"/>
        </w:tabs>
        <w:spacing w:after="0" w:line="500" w:lineRule="exact"/>
        <w:ind w:left="0" w:leftChars="0" w:firstLine="484" w:firstLineChars="201"/>
        <w:rPr>
          <w:rFonts w:hint="eastAsia" w:ascii="宋体" w:hAnsi="宋体" w:cs="宋体"/>
          <w:b/>
          <w:bCs/>
          <w:sz w:val="24"/>
          <w:szCs w:val="24"/>
          <w:highlight w:val="none"/>
          <w:lang w:val="zh-TW" w:eastAsia="zh-TW"/>
        </w:rPr>
      </w:pPr>
      <w:r>
        <w:rPr>
          <w:rFonts w:hint="eastAsia" w:ascii="宋体" w:hAnsi="宋体" w:cs="宋体"/>
          <w:b/>
          <w:bCs/>
          <w:sz w:val="24"/>
          <w:szCs w:val="24"/>
          <w:highlight w:val="none"/>
          <w:lang w:val="en-US" w:eastAsia="zh-CN"/>
        </w:rPr>
        <w:t>异常申报</w:t>
      </w:r>
    </w:p>
    <w:p w14:paraId="43143B91">
      <w:pPr>
        <w:numPr>
          <w:ilvl w:val="0"/>
          <w:numId w:val="22"/>
        </w:numPr>
        <w:spacing w:after="0" w:line="500" w:lineRule="exact"/>
        <w:ind w:left="0" w:leftChars="0" w:firstLine="482" w:firstLineChars="201"/>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多渠道申报：扫码或选择设备申报，其他业务（点巡检、缺陷隐患、检查检测、维护保养、检维修）提交的异常统一归整到该模块管理。自动化派单/审核派工，备件关联，工时计算，维修执行、结果验收功能，</w:t>
      </w:r>
    </w:p>
    <w:p w14:paraId="3DA96E35">
      <w:pPr>
        <w:numPr>
          <w:ilvl w:val="0"/>
          <w:numId w:val="22"/>
        </w:numPr>
        <w:spacing w:after="0" w:line="500" w:lineRule="exact"/>
        <w:ind w:left="0" w:leftChars="0" w:firstLine="482" w:firstLineChars="201"/>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申报内容：包括</w:t>
      </w:r>
      <w:r>
        <w:rPr>
          <w:rFonts w:hint="default" w:ascii="宋体" w:hAnsi="宋体" w:cs="宋体"/>
          <w:sz w:val="24"/>
          <w:szCs w:val="24"/>
          <w:highlight w:val="none"/>
          <w:lang w:val="en-US" w:eastAsia="zh-CN"/>
        </w:rPr>
        <w:t>文字、语音、拍照、录视频等方式描述</w:t>
      </w:r>
      <w:r>
        <w:rPr>
          <w:rFonts w:hint="eastAsia" w:ascii="宋体" w:hAnsi="宋体" w:cs="宋体"/>
          <w:sz w:val="24"/>
          <w:szCs w:val="24"/>
          <w:highlight w:val="none"/>
          <w:lang w:val="en-US" w:eastAsia="zh-CN"/>
        </w:rPr>
        <w:t>，</w:t>
      </w:r>
      <w:r>
        <w:rPr>
          <w:rFonts w:hint="default" w:ascii="宋体" w:hAnsi="宋体" w:cs="宋体"/>
          <w:sz w:val="24"/>
          <w:szCs w:val="24"/>
          <w:highlight w:val="none"/>
          <w:lang w:val="en-US" w:eastAsia="zh-CN"/>
        </w:rPr>
        <w:t>自动关联或推送维修标准内容、推送处理建议</w:t>
      </w:r>
      <w:r>
        <w:rPr>
          <w:rFonts w:hint="eastAsia" w:ascii="宋体" w:hAnsi="宋体" w:cs="宋体"/>
          <w:sz w:val="24"/>
          <w:szCs w:val="24"/>
          <w:highlight w:val="none"/>
          <w:lang w:val="en-US" w:eastAsia="zh-CN"/>
        </w:rPr>
        <w:t>。</w:t>
      </w:r>
    </w:p>
    <w:p w14:paraId="3DDC27E1">
      <w:pPr>
        <w:numPr>
          <w:ilvl w:val="0"/>
          <w:numId w:val="22"/>
        </w:numPr>
        <w:spacing w:after="0" w:line="500" w:lineRule="exact"/>
        <w:ind w:left="0" w:leftChars="0" w:firstLine="482" w:firstLineChars="201"/>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报警值设置：允许根据设备的不同类型、特性设置异常报警阈值，当设备运行数据超过设定阈值时，应立即触发异常报警。</w:t>
      </w:r>
    </w:p>
    <w:p w14:paraId="7C2754F5">
      <w:pPr>
        <w:numPr>
          <w:ilvl w:val="0"/>
          <w:numId w:val="22"/>
        </w:numPr>
        <w:spacing w:after="0" w:line="500" w:lineRule="exact"/>
        <w:ind w:left="0" w:leftChars="0" w:firstLine="482" w:firstLineChars="201"/>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智能分类分级：内置规则自动分类统计或具有设备失效/故障代码库等根因分析规则，实现按设备属性、异常发生的原因等分类。内置异常、失效分级分类原则，实现异常申报时分级评价。分级显示未处理项防止重复申报。</w:t>
      </w:r>
    </w:p>
    <w:p w14:paraId="6BB731A5">
      <w:pPr>
        <w:numPr>
          <w:ilvl w:val="0"/>
          <w:numId w:val="22"/>
        </w:numPr>
        <w:spacing w:after="0" w:line="500" w:lineRule="exact"/>
        <w:ind w:left="0" w:leftChars="0" w:firstLine="482" w:firstLineChars="201"/>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失效</w:t>
      </w:r>
      <w:r>
        <w:rPr>
          <w:rFonts w:hint="default" w:ascii="宋体" w:hAnsi="宋体" w:cs="宋体"/>
          <w:sz w:val="24"/>
          <w:szCs w:val="24"/>
          <w:highlight w:val="none"/>
          <w:lang w:val="en-US" w:eastAsia="zh-CN"/>
        </w:rPr>
        <w:t>关联</w:t>
      </w:r>
      <w:r>
        <w:rPr>
          <w:rFonts w:hint="eastAsia" w:ascii="宋体" w:hAnsi="宋体" w:cs="宋体"/>
          <w:sz w:val="24"/>
          <w:szCs w:val="24"/>
          <w:highlight w:val="none"/>
          <w:lang w:val="en-US" w:eastAsia="zh-CN"/>
        </w:rPr>
        <w:t>：</w:t>
      </w:r>
      <w:r>
        <w:rPr>
          <w:rFonts w:hint="default" w:ascii="宋体" w:hAnsi="宋体" w:cs="宋体"/>
          <w:sz w:val="24"/>
          <w:szCs w:val="24"/>
          <w:highlight w:val="none"/>
          <w:lang w:val="en-US" w:eastAsia="zh-CN"/>
        </w:rPr>
        <w:t>设备标记为</w:t>
      </w:r>
      <w:r>
        <w:rPr>
          <w:rFonts w:hint="eastAsia" w:ascii="宋体" w:hAnsi="宋体" w:cs="宋体"/>
          <w:sz w:val="24"/>
          <w:szCs w:val="24"/>
          <w:highlight w:val="none"/>
          <w:lang w:val="en-US" w:eastAsia="zh-CN"/>
        </w:rPr>
        <w:t>失效</w:t>
      </w:r>
      <w:r>
        <w:rPr>
          <w:rFonts w:hint="default" w:ascii="宋体" w:hAnsi="宋体" w:cs="宋体"/>
          <w:sz w:val="24"/>
          <w:szCs w:val="24"/>
          <w:highlight w:val="none"/>
          <w:lang w:val="en-US" w:eastAsia="zh-CN"/>
        </w:rPr>
        <w:t>状态后，实现报修、处理、验收、关联</w:t>
      </w:r>
      <w:r>
        <w:rPr>
          <w:rFonts w:hint="eastAsia" w:ascii="宋体" w:hAnsi="宋体" w:cs="宋体"/>
          <w:sz w:val="24"/>
          <w:szCs w:val="24"/>
          <w:highlight w:val="none"/>
          <w:lang w:val="en-US" w:eastAsia="zh-CN"/>
        </w:rPr>
        <w:t>失效案例</w:t>
      </w:r>
      <w:r>
        <w:rPr>
          <w:rFonts w:hint="default" w:ascii="宋体" w:hAnsi="宋体" w:cs="宋体"/>
          <w:sz w:val="24"/>
          <w:szCs w:val="24"/>
          <w:highlight w:val="none"/>
          <w:lang w:val="en-US" w:eastAsia="zh-CN"/>
        </w:rPr>
        <w:t>库，实现</w:t>
      </w:r>
      <w:r>
        <w:rPr>
          <w:rFonts w:hint="eastAsia" w:ascii="宋体" w:hAnsi="宋体" w:cs="宋体"/>
          <w:sz w:val="24"/>
          <w:szCs w:val="24"/>
          <w:highlight w:val="none"/>
          <w:lang w:val="en-US" w:eastAsia="zh-CN"/>
        </w:rPr>
        <w:t>失效</w:t>
      </w:r>
      <w:r>
        <w:rPr>
          <w:rFonts w:hint="default" w:ascii="宋体" w:hAnsi="宋体" w:cs="宋体"/>
          <w:sz w:val="24"/>
          <w:szCs w:val="24"/>
          <w:highlight w:val="none"/>
          <w:lang w:val="en-US" w:eastAsia="zh-CN"/>
        </w:rPr>
        <w:t>案例统计汇总</w:t>
      </w:r>
      <w:r>
        <w:rPr>
          <w:rFonts w:hint="eastAsia" w:ascii="宋体" w:hAnsi="宋体" w:cs="宋体"/>
          <w:sz w:val="24"/>
          <w:szCs w:val="24"/>
          <w:highlight w:val="none"/>
          <w:lang w:val="en-US" w:eastAsia="zh-CN"/>
        </w:rPr>
        <w:t>。</w:t>
      </w:r>
    </w:p>
    <w:p w14:paraId="09730EA3">
      <w:pPr>
        <w:pStyle w:val="4"/>
        <w:numPr>
          <w:ilvl w:val="1"/>
          <w:numId w:val="9"/>
        </w:numPr>
        <w:spacing w:before="0" w:line="500" w:lineRule="exact"/>
        <w:ind w:left="567" w:leftChars="0" w:hanging="567" w:firstLineChars="0"/>
        <w:rPr>
          <w:rFonts w:hint="eastAsia" w:ascii="宋体" w:hAnsi="宋体" w:cs="宋体"/>
          <w:color w:val="auto"/>
          <w:sz w:val="28"/>
          <w:szCs w:val="28"/>
          <w:highlight w:val="none"/>
          <w:lang w:val="zh-TW" w:eastAsia="zh-TW"/>
        </w:rPr>
      </w:pPr>
      <w:bookmarkStart w:id="22" w:name="_Toc14223"/>
      <w:r>
        <w:rPr>
          <w:rFonts w:hint="eastAsia" w:ascii="宋体" w:hAnsi="宋体" w:cs="宋体"/>
          <w:color w:val="auto"/>
          <w:sz w:val="28"/>
          <w:szCs w:val="28"/>
          <w:highlight w:val="none"/>
          <w:lang w:val="en-US" w:eastAsia="zh-CN"/>
        </w:rPr>
        <w:t>专项管理</w:t>
      </w:r>
      <w:bookmarkEnd w:id="22"/>
    </w:p>
    <w:p w14:paraId="54FCC46A">
      <w:pPr>
        <w:numPr>
          <w:ilvl w:val="2"/>
          <w:numId w:val="23"/>
        </w:numPr>
        <w:tabs>
          <w:tab w:val="clear" w:pos="0"/>
        </w:tabs>
        <w:spacing w:after="0" w:line="500" w:lineRule="exact"/>
        <w:ind w:left="0" w:leftChars="0" w:firstLine="484" w:firstLineChars="201"/>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润滑管理</w:t>
      </w:r>
      <w:r>
        <w:rPr>
          <w:rFonts w:hint="eastAsia" w:ascii="宋体" w:hAnsi="宋体" w:cs="宋体"/>
          <w:sz w:val="24"/>
          <w:szCs w:val="24"/>
          <w:highlight w:val="none"/>
          <w:lang w:val="en-US" w:eastAsia="zh-CN"/>
        </w:rPr>
        <w:t>：建立设备润滑档案，记录润滑点位置、油品型号、周期、用量等基本信息和润滑记录。润滑任务自动生成与派发。对接用友BIP系统，实现油品的统计、消耗、检测报告管理。</w:t>
      </w:r>
    </w:p>
    <w:p w14:paraId="7536208C">
      <w:pPr>
        <w:numPr>
          <w:ilvl w:val="2"/>
          <w:numId w:val="23"/>
        </w:numPr>
        <w:tabs>
          <w:tab w:val="clear" w:pos="0"/>
        </w:tabs>
        <w:spacing w:after="0" w:line="500" w:lineRule="exact"/>
        <w:ind w:left="0" w:leftChars="0" w:firstLine="484" w:firstLineChars="201"/>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防腐蚀管理</w:t>
      </w:r>
      <w:r>
        <w:rPr>
          <w:rFonts w:hint="eastAsia" w:ascii="宋体" w:hAnsi="宋体" w:cs="宋体"/>
          <w:sz w:val="24"/>
          <w:szCs w:val="24"/>
          <w:highlight w:val="none"/>
          <w:lang w:val="en-US" w:eastAsia="zh-CN"/>
        </w:rPr>
        <w:t>：腐蚀监测点管理，包括台账、检查记录。定点测厚计划与记录、结果趋势分析、腐蚀速率计算，预警监控。查询统计功能。</w:t>
      </w:r>
    </w:p>
    <w:p w14:paraId="5125153B">
      <w:pPr>
        <w:numPr>
          <w:ilvl w:val="2"/>
          <w:numId w:val="23"/>
        </w:numPr>
        <w:tabs>
          <w:tab w:val="clear" w:pos="0"/>
        </w:tabs>
        <w:spacing w:after="0" w:line="500" w:lineRule="exact"/>
        <w:ind w:left="0" w:leftChars="0" w:firstLine="484" w:firstLineChars="201"/>
        <w:rPr>
          <w:rFonts w:hint="default" w:ascii="宋体" w:hAnsi="宋体" w:cs="宋体"/>
          <w:b/>
          <w:bCs/>
          <w:sz w:val="24"/>
          <w:szCs w:val="24"/>
          <w:highlight w:val="none"/>
          <w:lang w:val="en-US" w:eastAsia="zh-CN"/>
        </w:rPr>
      </w:pPr>
      <w:r>
        <w:rPr>
          <w:rFonts w:hint="eastAsia" w:ascii="宋体" w:hAnsi="宋体" w:cs="宋体"/>
          <w:b/>
          <w:bCs/>
          <w:sz w:val="24"/>
          <w:szCs w:val="24"/>
          <w:highlight w:val="none"/>
          <w:lang w:val="en-US" w:eastAsia="zh-CN"/>
        </w:rPr>
        <w:t>法检功能</w:t>
      </w:r>
    </w:p>
    <w:p w14:paraId="334022BE">
      <w:pPr>
        <w:numPr>
          <w:ilvl w:val="0"/>
          <w:numId w:val="24"/>
        </w:numPr>
        <w:spacing w:after="0" w:line="500" w:lineRule="exact"/>
        <w:ind w:left="0" w:leftChars="0" w:firstLine="482" w:firstLineChars="201"/>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档案管理：设</w:t>
      </w:r>
      <w:r>
        <w:rPr>
          <w:rFonts w:hint="default" w:ascii="宋体" w:hAnsi="宋体" w:cs="宋体"/>
          <w:sz w:val="24"/>
          <w:szCs w:val="24"/>
          <w:highlight w:val="none"/>
          <w:lang w:val="en-US" w:eastAsia="zh-CN"/>
        </w:rPr>
        <w:t>备仪器编码、名称、型号规格、状态、位置，序列号等</w:t>
      </w:r>
      <w:r>
        <w:rPr>
          <w:rFonts w:hint="eastAsia" w:ascii="宋体" w:hAnsi="宋体" w:cs="宋体"/>
          <w:sz w:val="24"/>
          <w:szCs w:val="24"/>
          <w:highlight w:val="none"/>
          <w:lang w:val="en-US" w:eastAsia="zh-CN"/>
        </w:rPr>
        <w:t>信息。</w:t>
      </w:r>
    </w:p>
    <w:p w14:paraId="28AEDD4B">
      <w:pPr>
        <w:numPr>
          <w:ilvl w:val="0"/>
          <w:numId w:val="24"/>
        </w:numPr>
        <w:spacing w:after="0" w:line="500" w:lineRule="exact"/>
        <w:ind w:left="0" w:leftChars="0" w:firstLine="482" w:firstLineChars="201"/>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周期提醒：</w:t>
      </w:r>
      <w:r>
        <w:rPr>
          <w:rFonts w:hint="default" w:ascii="宋体" w:hAnsi="宋体" w:cs="宋体"/>
          <w:sz w:val="24"/>
          <w:szCs w:val="24"/>
          <w:highlight w:val="none"/>
          <w:lang w:val="en-US" w:eastAsia="zh-CN"/>
        </w:rPr>
        <w:t>设定检验周期</w:t>
      </w:r>
      <w:r>
        <w:rPr>
          <w:rFonts w:hint="eastAsia" w:ascii="宋体" w:hAnsi="宋体" w:cs="宋体"/>
          <w:sz w:val="24"/>
          <w:szCs w:val="24"/>
          <w:highlight w:val="none"/>
          <w:lang w:val="en-US" w:eastAsia="zh-CN"/>
        </w:rPr>
        <w:t>、</w:t>
      </w:r>
      <w:r>
        <w:rPr>
          <w:rFonts w:hint="default" w:ascii="宋体" w:hAnsi="宋体" w:cs="宋体"/>
          <w:sz w:val="24"/>
          <w:szCs w:val="24"/>
          <w:highlight w:val="none"/>
          <w:lang w:val="en-US" w:eastAsia="zh-CN"/>
        </w:rPr>
        <w:t>送检规则，自动提醒送检</w:t>
      </w:r>
      <w:r>
        <w:rPr>
          <w:rFonts w:hint="eastAsia" w:ascii="宋体" w:hAnsi="宋体" w:cs="宋体"/>
          <w:sz w:val="24"/>
          <w:szCs w:val="24"/>
          <w:highlight w:val="none"/>
          <w:lang w:val="en-US" w:eastAsia="zh-CN"/>
        </w:rPr>
        <w:t>，推送任务功能。</w:t>
      </w:r>
      <w:r>
        <w:rPr>
          <w:rFonts w:hint="default" w:ascii="宋体" w:hAnsi="宋体" w:cs="宋体"/>
          <w:sz w:val="24"/>
          <w:szCs w:val="24"/>
          <w:highlight w:val="none"/>
          <w:lang w:val="en-US" w:eastAsia="zh-CN"/>
        </w:rPr>
        <w:t>显示超期未检、本月待检、下月到期列表，待检功能筛选和提醒</w:t>
      </w:r>
      <w:r>
        <w:rPr>
          <w:rFonts w:hint="eastAsia" w:ascii="宋体" w:hAnsi="宋体" w:cs="宋体"/>
          <w:sz w:val="24"/>
          <w:szCs w:val="24"/>
          <w:highlight w:val="none"/>
          <w:lang w:val="en-US" w:eastAsia="zh-CN"/>
        </w:rPr>
        <w:t>。</w:t>
      </w:r>
    </w:p>
    <w:p w14:paraId="3BFAA2FE">
      <w:pPr>
        <w:numPr>
          <w:ilvl w:val="0"/>
          <w:numId w:val="24"/>
        </w:numPr>
        <w:spacing w:after="0" w:line="500" w:lineRule="exact"/>
        <w:ind w:left="0" w:leftChars="0" w:firstLine="482" w:firstLineChars="201"/>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到期</w:t>
      </w:r>
      <w:r>
        <w:rPr>
          <w:rFonts w:hint="eastAsia" w:ascii="宋体" w:hAnsi="宋体" w:cs="宋体"/>
          <w:sz w:val="24"/>
          <w:szCs w:val="24"/>
          <w:highlight w:val="none"/>
          <w:lang w:val="en-US" w:eastAsia="zh-CN"/>
        </w:rPr>
        <w:t>送</w:t>
      </w:r>
      <w:r>
        <w:rPr>
          <w:rFonts w:hint="default" w:ascii="宋体" w:hAnsi="宋体" w:cs="宋体"/>
          <w:sz w:val="24"/>
          <w:szCs w:val="24"/>
          <w:highlight w:val="none"/>
          <w:lang w:val="en-US" w:eastAsia="zh-CN"/>
        </w:rPr>
        <w:t>检：</w:t>
      </w:r>
      <w:r>
        <w:rPr>
          <w:rFonts w:hint="eastAsia" w:ascii="宋体" w:hAnsi="宋体" w:cs="宋体"/>
          <w:sz w:val="24"/>
          <w:szCs w:val="24"/>
          <w:highlight w:val="none"/>
          <w:lang w:val="en-US" w:eastAsia="zh-CN"/>
        </w:rPr>
        <w:t>内置规则填写送检</w:t>
      </w:r>
      <w:r>
        <w:rPr>
          <w:rFonts w:hint="default" w:ascii="宋体" w:hAnsi="宋体" w:cs="宋体"/>
          <w:sz w:val="24"/>
          <w:szCs w:val="24"/>
          <w:highlight w:val="none"/>
          <w:lang w:val="en-US" w:eastAsia="zh-CN"/>
        </w:rPr>
        <w:t>申请单，</w:t>
      </w:r>
      <w:r>
        <w:rPr>
          <w:rFonts w:hint="eastAsia" w:ascii="宋体" w:hAnsi="宋体" w:cs="宋体"/>
          <w:sz w:val="24"/>
          <w:szCs w:val="24"/>
          <w:highlight w:val="none"/>
          <w:lang w:val="en-US" w:eastAsia="zh-CN"/>
        </w:rPr>
        <w:t>审批、</w:t>
      </w:r>
      <w:r>
        <w:rPr>
          <w:rFonts w:hint="default" w:ascii="宋体" w:hAnsi="宋体" w:cs="宋体"/>
          <w:sz w:val="24"/>
          <w:szCs w:val="24"/>
          <w:highlight w:val="none"/>
          <w:lang w:val="en-US" w:eastAsia="zh-CN"/>
        </w:rPr>
        <w:t>打印</w:t>
      </w:r>
      <w:r>
        <w:rPr>
          <w:rFonts w:hint="eastAsia" w:ascii="宋体" w:hAnsi="宋体" w:cs="宋体"/>
          <w:sz w:val="24"/>
          <w:szCs w:val="24"/>
          <w:highlight w:val="none"/>
          <w:lang w:val="en-US" w:eastAsia="zh-CN"/>
        </w:rPr>
        <w:t>功能。</w:t>
      </w:r>
    </w:p>
    <w:p w14:paraId="307242D9">
      <w:pPr>
        <w:numPr>
          <w:ilvl w:val="0"/>
          <w:numId w:val="24"/>
        </w:numPr>
        <w:spacing w:after="0" w:line="500" w:lineRule="exact"/>
        <w:ind w:left="0" w:leftChars="0" w:firstLine="482" w:firstLineChars="201"/>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送检反馈：记录送检日期、取回日期结果，上传证书或报告。自动更新下个送检周期数据</w:t>
      </w:r>
      <w:r>
        <w:rPr>
          <w:rFonts w:hint="default" w:ascii="宋体" w:hAnsi="宋体" w:cs="宋体"/>
          <w:sz w:val="24"/>
          <w:szCs w:val="24"/>
          <w:highlight w:val="none"/>
          <w:lang w:val="en-US" w:eastAsia="zh-CN"/>
        </w:rPr>
        <w:t>息</w:t>
      </w:r>
      <w:r>
        <w:rPr>
          <w:rFonts w:hint="eastAsia" w:ascii="宋体" w:hAnsi="宋体" w:cs="宋体"/>
          <w:sz w:val="24"/>
          <w:szCs w:val="24"/>
          <w:highlight w:val="none"/>
          <w:lang w:val="en-US" w:eastAsia="zh-CN"/>
        </w:rPr>
        <w:t>。</w:t>
      </w:r>
    </w:p>
    <w:p w14:paraId="6F6451AE">
      <w:pPr>
        <w:numPr>
          <w:ilvl w:val="2"/>
          <w:numId w:val="23"/>
        </w:numPr>
        <w:tabs>
          <w:tab w:val="clear" w:pos="0"/>
        </w:tabs>
        <w:spacing w:after="0" w:line="500" w:lineRule="exact"/>
        <w:ind w:left="0" w:leftChars="0" w:firstLine="484" w:firstLineChars="201"/>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委外维修</w:t>
      </w:r>
      <w:r>
        <w:rPr>
          <w:rFonts w:hint="eastAsia" w:ascii="宋体" w:hAnsi="宋体" w:cs="宋体"/>
          <w:sz w:val="24"/>
          <w:szCs w:val="24"/>
          <w:highlight w:val="none"/>
          <w:lang w:val="en-US" w:eastAsia="zh-CN"/>
        </w:rPr>
        <w:t>：任务申请、审批、执行、验收、验收文件上传、查询汇总统计、结算、服务商绩效评估。维修记录、验收记录关联设备档案。实现调用合同、框架协议价格，预设计算公式，辅助协议价格计算和结算。</w:t>
      </w:r>
    </w:p>
    <w:p w14:paraId="1C8AB942">
      <w:pPr>
        <w:numPr>
          <w:ilvl w:val="2"/>
          <w:numId w:val="23"/>
        </w:numPr>
        <w:tabs>
          <w:tab w:val="clear" w:pos="0"/>
        </w:tabs>
        <w:spacing w:after="0" w:line="500" w:lineRule="exact"/>
        <w:ind w:left="0" w:leftChars="0" w:firstLine="484" w:firstLineChars="201"/>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费用管理</w:t>
      </w:r>
    </w:p>
    <w:p w14:paraId="4A74F01C">
      <w:pPr>
        <w:numPr>
          <w:ilvl w:val="0"/>
          <w:numId w:val="25"/>
        </w:numPr>
        <w:spacing w:after="0" w:line="500" w:lineRule="exact"/>
        <w:ind w:left="0" w:leftChars="0" w:firstLine="482" w:firstLineChars="201"/>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预算计划：预算费用提报，支持对预算进行编制、审批和发布。</w:t>
      </w:r>
    </w:p>
    <w:p w14:paraId="3879F85B">
      <w:pPr>
        <w:numPr>
          <w:ilvl w:val="0"/>
          <w:numId w:val="25"/>
        </w:numPr>
        <w:spacing w:after="0" w:line="500" w:lineRule="exact"/>
        <w:ind w:left="0" w:leftChars="0" w:firstLine="482" w:firstLineChars="201"/>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费用登记：在线登记修理费、设备更新费用，并自动与年度预算比对、统计、超支预警。</w:t>
      </w:r>
    </w:p>
    <w:p w14:paraId="089555BF">
      <w:pPr>
        <w:numPr>
          <w:ilvl w:val="0"/>
          <w:numId w:val="25"/>
        </w:numPr>
        <w:spacing w:after="0" w:line="500" w:lineRule="exact"/>
        <w:ind w:left="0" w:leftChars="0" w:firstLine="482" w:firstLineChars="201"/>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费用分析：建立维修成本KPI体系，多维度分析与预算优化。</w:t>
      </w:r>
    </w:p>
    <w:p w14:paraId="12F35E1E">
      <w:pPr>
        <w:numPr>
          <w:ilvl w:val="0"/>
          <w:numId w:val="25"/>
        </w:numPr>
        <w:spacing w:after="0" w:line="500" w:lineRule="exact"/>
        <w:ind w:left="0" w:leftChars="0" w:firstLine="482" w:firstLineChars="201"/>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费用调整：实现内部预算（修理费）调整填报、审批流程。</w:t>
      </w:r>
    </w:p>
    <w:p w14:paraId="3CA0BAFF">
      <w:pPr>
        <w:numPr>
          <w:ilvl w:val="0"/>
          <w:numId w:val="25"/>
        </w:numPr>
        <w:spacing w:after="0" w:line="500" w:lineRule="exact"/>
        <w:ind w:left="0" w:leftChars="0" w:firstLine="482" w:firstLineChars="201"/>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资金支付计划提报：支持在线编制资金支付计划，支持按类别统计，具有分析统计功能。</w:t>
      </w:r>
    </w:p>
    <w:p w14:paraId="401C836A">
      <w:pPr>
        <w:numPr>
          <w:ilvl w:val="2"/>
          <w:numId w:val="23"/>
        </w:numPr>
        <w:tabs>
          <w:tab w:val="clear" w:pos="0"/>
        </w:tabs>
        <w:spacing w:after="0" w:line="500" w:lineRule="exact"/>
        <w:ind w:left="0" w:leftChars="0" w:firstLine="484" w:firstLineChars="201"/>
        <w:rPr>
          <w:rFonts w:hint="default" w:ascii="宋体" w:hAnsi="宋体" w:cs="宋体"/>
          <w:b/>
          <w:bCs/>
          <w:sz w:val="24"/>
          <w:szCs w:val="24"/>
          <w:highlight w:val="none"/>
          <w:lang w:val="en-US" w:eastAsia="zh-CN"/>
        </w:rPr>
      </w:pPr>
      <w:r>
        <w:rPr>
          <w:rFonts w:hint="eastAsia" w:ascii="宋体" w:hAnsi="宋体" w:cs="宋体"/>
          <w:b/>
          <w:bCs/>
          <w:sz w:val="24"/>
          <w:szCs w:val="24"/>
          <w:highlight w:val="none"/>
          <w:lang w:val="en-US" w:eastAsia="zh-CN"/>
        </w:rPr>
        <w:t>备件管理</w:t>
      </w:r>
    </w:p>
    <w:p w14:paraId="6BECC00A">
      <w:pPr>
        <w:numPr>
          <w:ilvl w:val="0"/>
          <w:numId w:val="26"/>
        </w:numPr>
        <w:spacing w:after="0" w:line="500" w:lineRule="exact"/>
        <w:ind w:left="0" w:leftChars="0" w:firstLine="482" w:firstLineChars="201"/>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库存交互：对接用友BIP系统，实时查询备件库存。</w:t>
      </w:r>
    </w:p>
    <w:p w14:paraId="1332CD6E">
      <w:pPr>
        <w:numPr>
          <w:ilvl w:val="0"/>
          <w:numId w:val="26"/>
        </w:numPr>
        <w:spacing w:after="0" w:line="500" w:lineRule="exact"/>
        <w:ind w:left="0" w:leftChars="0" w:firstLine="482" w:firstLineChars="201"/>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库存管理：实时库存、</w:t>
      </w:r>
      <w:r>
        <w:rPr>
          <w:rFonts w:hint="default" w:ascii="宋体" w:hAnsi="宋体" w:cs="宋体"/>
          <w:sz w:val="24"/>
          <w:szCs w:val="24"/>
          <w:highlight w:val="none"/>
          <w:lang w:val="en-US" w:eastAsia="zh-CN"/>
        </w:rPr>
        <w:t>安全库存、</w:t>
      </w:r>
      <w:r>
        <w:rPr>
          <w:rFonts w:hint="eastAsia" w:ascii="宋体" w:hAnsi="宋体" w:cs="宋体"/>
          <w:sz w:val="24"/>
          <w:szCs w:val="24"/>
          <w:highlight w:val="none"/>
          <w:lang w:val="en-US" w:eastAsia="zh-CN"/>
        </w:rPr>
        <w:t>高低库存设置与预警。</w:t>
      </w:r>
    </w:p>
    <w:p w14:paraId="7AC3ECF2">
      <w:pPr>
        <w:numPr>
          <w:ilvl w:val="0"/>
          <w:numId w:val="26"/>
        </w:numPr>
        <w:spacing w:after="0" w:line="500" w:lineRule="exact"/>
        <w:ind w:left="0" w:leftChars="0" w:firstLine="482" w:firstLineChars="201"/>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设备BOM：关联设备</w:t>
      </w:r>
      <w:r>
        <w:rPr>
          <w:rFonts w:hint="eastAsia" w:ascii="宋体" w:hAnsi="宋体" w:cs="宋体"/>
          <w:sz w:val="24"/>
          <w:szCs w:val="24"/>
          <w:highlight w:val="none"/>
          <w:lang w:val="en-US" w:eastAsia="zh-CN"/>
        </w:rPr>
        <w:t>备件清单</w:t>
      </w:r>
      <w:r>
        <w:rPr>
          <w:rFonts w:hint="default" w:ascii="宋体" w:hAnsi="宋体" w:cs="宋体"/>
          <w:sz w:val="24"/>
          <w:szCs w:val="24"/>
          <w:highlight w:val="none"/>
          <w:lang w:val="en-US" w:eastAsia="zh-CN"/>
        </w:rPr>
        <w:t>，</w:t>
      </w:r>
      <w:r>
        <w:rPr>
          <w:rFonts w:hint="eastAsia" w:ascii="宋体" w:hAnsi="宋体" w:cs="宋体"/>
          <w:sz w:val="24"/>
          <w:szCs w:val="24"/>
          <w:highlight w:val="none"/>
          <w:lang w:val="en-US" w:eastAsia="zh-CN"/>
        </w:rPr>
        <w:t>支持批量导入，</w:t>
      </w:r>
      <w:r>
        <w:rPr>
          <w:rFonts w:hint="default" w:ascii="宋体" w:hAnsi="宋体" w:cs="宋体"/>
          <w:sz w:val="24"/>
          <w:szCs w:val="24"/>
          <w:highlight w:val="none"/>
          <w:lang w:val="en-US" w:eastAsia="zh-CN"/>
        </w:rPr>
        <w:t>可实现备件与设备对应，一个备件可批量导入到同类设备中作为备件清单。</w:t>
      </w:r>
    </w:p>
    <w:p w14:paraId="1867C3B9">
      <w:pPr>
        <w:numPr>
          <w:ilvl w:val="0"/>
          <w:numId w:val="26"/>
        </w:numPr>
        <w:spacing w:after="0" w:line="500" w:lineRule="exact"/>
        <w:ind w:left="0" w:leftChars="0" w:firstLine="482" w:firstLineChars="201"/>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消耗统计：按设备类型、周期统计消耗，关联安全库存预警</w:t>
      </w:r>
      <w:r>
        <w:rPr>
          <w:rFonts w:hint="eastAsia" w:ascii="宋体" w:hAnsi="宋体" w:cs="宋体"/>
          <w:sz w:val="24"/>
          <w:szCs w:val="24"/>
          <w:highlight w:val="none"/>
          <w:lang w:val="en-US" w:eastAsia="zh-CN"/>
        </w:rPr>
        <w:t>。</w:t>
      </w:r>
      <w:r>
        <w:rPr>
          <w:rFonts w:hint="default" w:ascii="宋体" w:hAnsi="宋体" w:cs="宋体"/>
          <w:sz w:val="24"/>
          <w:szCs w:val="24"/>
          <w:highlight w:val="none"/>
          <w:lang w:val="en-US" w:eastAsia="zh-CN"/>
        </w:rPr>
        <w:t>备件消耗情况自动关联至设备</w:t>
      </w:r>
      <w:r>
        <w:rPr>
          <w:rFonts w:hint="eastAsia" w:ascii="宋体" w:hAnsi="宋体" w:cs="宋体"/>
          <w:sz w:val="24"/>
          <w:szCs w:val="24"/>
          <w:highlight w:val="none"/>
          <w:lang w:val="en-US" w:eastAsia="zh-CN"/>
        </w:rPr>
        <w:t>档案</w:t>
      </w:r>
      <w:r>
        <w:rPr>
          <w:rFonts w:hint="default" w:ascii="宋体" w:hAnsi="宋体" w:cs="宋体"/>
          <w:sz w:val="24"/>
          <w:szCs w:val="24"/>
          <w:highlight w:val="none"/>
          <w:lang w:val="en-US" w:eastAsia="zh-CN"/>
        </w:rPr>
        <w:t>，形成设备和备件的双向关联并支持交叉查询、安全库存预警、备件短缺统计。可查询单个备件出入库及消耗</w:t>
      </w:r>
      <w:r>
        <w:rPr>
          <w:rFonts w:hint="eastAsia" w:ascii="宋体" w:hAnsi="宋体" w:cs="宋体"/>
          <w:sz w:val="24"/>
          <w:szCs w:val="24"/>
          <w:highlight w:val="none"/>
          <w:lang w:val="en-US" w:eastAsia="zh-CN"/>
        </w:rPr>
        <w:t>历史。</w:t>
      </w:r>
    </w:p>
    <w:p w14:paraId="75AE5E60">
      <w:pPr>
        <w:numPr>
          <w:ilvl w:val="0"/>
          <w:numId w:val="26"/>
        </w:numPr>
        <w:spacing w:after="0" w:line="500" w:lineRule="exact"/>
        <w:ind w:left="0" w:leftChars="0" w:firstLine="482" w:firstLineChars="201"/>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寿命监控：</w:t>
      </w:r>
      <w:r>
        <w:rPr>
          <w:rFonts w:hint="default" w:ascii="宋体" w:hAnsi="宋体" w:cs="宋体"/>
          <w:sz w:val="24"/>
          <w:szCs w:val="24"/>
          <w:highlight w:val="none"/>
          <w:lang w:val="en-US" w:eastAsia="zh-CN"/>
        </w:rPr>
        <w:t>易损件自动提醒更换</w:t>
      </w:r>
      <w:r>
        <w:rPr>
          <w:rFonts w:hint="eastAsia" w:ascii="宋体" w:hAnsi="宋体" w:cs="宋体"/>
          <w:sz w:val="24"/>
          <w:szCs w:val="24"/>
          <w:highlight w:val="none"/>
          <w:lang w:val="en-US" w:eastAsia="zh-CN"/>
        </w:rPr>
        <w:t>，实现</w:t>
      </w:r>
      <w:r>
        <w:rPr>
          <w:rFonts w:hint="default" w:ascii="宋体" w:hAnsi="宋体" w:cs="宋体"/>
          <w:sz w:val="24"/>
          <w:szCs w:val="24"/>
          <w:highlight w:val="none"/>
          <w:lang w:val="en-US" w:eastAsia="zh-CN"/>
        </w:rPr>
        <w:t>使用寿命监控</w:t>
      </w:r>
      <w:r>
        <w:rPr>
          <w:rFonts w:hint="eastAsia" w:ascii="宋体" w:hAnsi="宋体" w:cs="宋体"/>
          <w:sz w:val="24"/>
          <w:szCs w:val="24"/>
          <w:highlight w:val="none"/>
          <w:lang w:val="en-US" w:eastAsia="zh-CN"/>
        </w:rPr>
        <w:t>、提醒，通过不同的颜色区分实现分级提醒和报警。</w:t>
      </w:r>
    </w:p>
    <w:p w14:paraId="7883E07B">
      <w:pPr>
        <w:numPr>
          <w:ilvl w:val="0"/>
          <w:numId w:val="26"/>
        </w:numPr>
        <w:spacing w:after="0" w:line="500" w:lineRule="exact"/>
        <w:ind w:left="0" w:leftChars="0" w:firstLine="482" w:firstLineChars="201"/>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采购</w:t>
      </w:r>
      <w:r>
        <w:rPr>
          <w:rFonts w:hint="eastAsia" w:ascii="宋体" w:hAnsi="宋体" w:cs="宋体"/>
          <w:sz w:val="24"/>
          <w:szCs w:val="24"/>
          <w:highlight w:val="none"/>
          <w:lang w:val="en-US" w:eastAsia="zh-CN"/>
        </w:rPr>
        <w:t>计划</w:t>
      </w:r>
      <w:r>
        <w:rPr>
          <w:rFonts w:hint="default" w:ascii="宋体" w:hAnsi="宋体" w:cs="宋体"/>
          <w:sz w:val="24"/>
          <w:szCs w:val="24"/>
          <w:highlight w:val="none"/>
          <w:lang w:val="en-US" w:eastAsia="zh-CN"/>
        </w:rPr>
        <w:t>：根据库存与维修需求自动生成采购清单，按日期自动汇总后生成采购计划。</w:t>
      </w:r>
    </w:p>
    <w:p w14:paraId="05A3C085">
      <w:pPr>
        <w:numPr>
          <w:ilvl w:val="0"/>
          <w:numId w:val="26"/>
        </w:numPr>
        <w:spacing w:after="0" w:line="500" w:lineRule="exact"/>
        <w:ind w:left="0" w:leftChars="0" w:firstLine="482" w:firstLineChars="201"/>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ABC</w:t>
      </w:r>
      <w:r>
        <w:rPr>
          <w:rFonts w:hint="eastAsia" w:ascii="宋体" w:hAnsi="宋体" w:cs="宋体"/>
          <w:sz w:val="24"/>
          <w:szCs w:val="24"/>
          <w:highlight w:val="none"/>
          <w:lang w:val="en-US" w:eastAsia="zh-CN"/>
        </w:rPr>
        <w:t>分类</w:t>
      </w:r>
      <w:r>
        <w:rPr>
          <w:rFonts w:hint="default" w:ascii="宋体" w:hAnsi="宋体" w:cs="宋体"/>
          <w:sz w:val="24"/>
          <w:szCs w:val="24"/>
          <w:highlight w:val="none"/>
          <w:lang w:val="en-US" w:eastAsia="zh-CN"/>
        </w:rPr>
        <w:t>：根据备件品种规格、占用资金和各类备件库存时间、价格差异等因素，采用必要的分类原则而实行的库存管理办法。建立库存模型（如ABC分类），采用JIT策略减少库存积压</w:t>
      </w:r>
      <w:r>
        <w:rPr>
          <w:rFonts w:hint="eastAsia" w:ascii="宋体" w:hAnsi="宋体" w:cs="宋体"/>
          <w:sz w:val="24"/>
          <w:szCs w:val="24"/>
          <w:highlight w:val="none"/>
          <w:lang w:val="en-US" w:eastAsia="zh-CN"/>
        </w:rPr>
        <w:t>。</w:t>
      </w:r>
    </w:p>
    <w:p w14:paraId="042A0B6B">
      <w:pPr>
        <w:numPr>
          <w:ilvl w:val="2"/>
          <w:numId w:val="23"/>
        </w:numPr>
        <w:tabs>
          <w:tab w:val="clear" w:pos="0"/>
        </w:tabs>
        <w:spacing w:after="0" w:line="500" w:lineRule="exact"/>
        <w:ind w:left="0" w:leftChars="0" w:firstLine="484" w:firstLineChars="201"/>
        <w:rPr>
          <w:rFonts w:hint="default" w:ascii="宋体" w:hAnsi="宋体" w:cs="宋体"/>
          <w:b/>
          <w:bCs/>
          <w:sz w:val="24"/>
          <w:szCs w:val="24"/>
          <w:highlight w:val="none"/>
          <w:lang w:val="en-US" w:eastAsia="zh-CN"/>
        </w:rPr>
      </w:pPr>
      <w:r>
        <w:rPr>
          <w:rFonts w:hint="eastAsia" w:ascii="宋体" w:hAnsi="宋体" w:cs="宋体"/>
          <w:b/>
          <w:bCs/>
          <w:sz w:val="24"/>
          <w:szCs w:val="24"/>
          <w:highlight w:val="none"/>
          <w:lang w:val="en-US" w:eastAsia="zh-CN"/>
        </w:rPr>
        <w:t>设备更新、技改技措</w:t>
      </w:r>
      <w:r>
        <w:rPr>
          <w:rFonts w:hint="eastAsia" w:ascii="宋体" w:hAnsi="宋体" w:cs="宋体"/>
          <w:sz w:val="24"/>
          <w:szCs w:val="24"/>
          <w:highlight w:val="none"/>
          <w:lang w:val="en-US" w:eastAsia="zh-CN"/>
        </w:rPr>
        <w:t>：论证、立项、作业申请相关流程管控，实施进度显示。</w:t>
      </w:r>
    </w:p>
    <w:p w14:paraId="7D7C2BA5">
      <w:pPr>
        <w:numPr>
          <w:ilvl w:val="2"/>
          <w:numId w:val="23"/>
        </w:numPr>
        <w:tabs>
          <w:tab w:val="clear" w:pos="0"/>
        </w:tabs>
        <w:spacing w:after="0" w:line="500" w:lineRule="exact"/>
        <w:ind w:left="0" w:leftChars="0" w:firstLine="484" w:firstLineChars="201"/>
        <w:rPr>
          <w:rFonts w:hint="default" w:ascii="宋体" w:hAnsi="宋体" w:cs="宋体"/>
          <w:b/>
          <w:bCs/>
          <w:sz w:val="24"/>
          <w:szCs w:val="24"/>
          <w:highlight w:val="none"/>
          <w:lang w:val="en-US" w:eastAsia="zh-CN"/>
        </w:rPr>
      </w:pPr>
      <w:r>
        <w:rPr>
          <w:rFonts w:hint="eastAsia" w:ascii="宋体" w:hAnsi="宋体" w:cs="宋体"/>
          <w:b/>
          <w:bCs/>
          <w:sz w:val="24"/>
          <w:szCs w:val="24"/>
          <w:highlight w:val="none"/>
          <w:lang w:val="en-US" w:eastAsia="zh-CN"/>
        </w:rPr>
        <w:t>承包商管理</w:t>
      </w:r>
    </w:p>
    <w:p w14:paraId="557B7FDF">
      <w:pPr>
        <w:numPr>
          <w:ilvl w:val="0"/>
          <w:numId w:val="0"/>
        </w:numPr>
        <w:spacing w:after="0" w:line="500" w:lineRule="exact"/>
        <w:ind w:left="0" w:leftChars="0" w:firstLine="482" w:firstLineChars="201"/>
        <w:rPr>
          <w:rFonts w:hint="default" w:ascii="宋体" w:hAnsi="宋体" w:cs="宋体"/>
          <w:b/>
          <w:bCs/>
          <w:sz w:val="24"/>
          <w:szCs w:val="24"/>
          <w:highlight w:val="none"/>
          <w:lang w:val="en-US" w:eastAsia="zh-CN"/>
        </w:rPr>
      </w:pPr>
      <w:r>
        <w:rPr>
          <w:rFonts w:hint="eastAsia" w:ascii="宋体" w:hAnsi="宋体" w:cs="宋体"/>
          <w:b w:val="0"/>
          <w:bCs w:val="0"/>
          <w:sz w:val="24"/>
          <w:szCs w:val="24"/>
          <w:highlight w:val="none"/>
          <w:lang w:val="en-US" w:eastAsia="zh-CN"/>
        </w:rPr>
        <w:t>通过对承包商任务执行、工作汇报、工程变更（签证）及技术方案的规范化、流程化管控，实现承包商从任务分配、执行、考核到工程量签证的全过程线上管理，建立量化的承包商考核体系，为承包商评级、筛选和优化提供数据支撑，规范工程签证流程，确保变更事项得到及时、准确的审批与记录，有效控制项目成本。</w:t>
      </w:r>
    </w:p>
    <w:p w14:paraId="77794D65">
      <w:pPr>
        <w:numPr>
          <w:ilvl w:val="0"/>
          <w:numId w:val="27"/>
        </w:numPr>
        <w:spacing w:after="0" w:line="500" w:lineRule="exact"/>
        <w:ind w:left="0" w:leftChars="0" w:firstLine="484" w:firstLineChars="201"/>
        <w:rPr>
          <w:rFonts w:hint="default" w:ascii="宋体" w:hAnsi="宋体" w:cs="宋体"/>
          <w:b/>
          <w:bCs/>
          <w:sz w:val="24"/>
          <w:szCs w:val="24"/>
          <w:highlight w:val="none"/>
          <w:lang w:val="en-US" w:eastAsia="zh-CN"/>
        </w:rPr>
      </w:pPr>
      <w:r>
        <w:rPr>
          <w:rFonts w:hint="eastAsia" w:ascii="宋体" w:hAnsi="宋体" w:cs="宋体"/>
          <w:b/>
          <w:bCs/>
          <w:sz w:val="24"/>
          <w:szCs w:val="24"/>
          <w:highlight w:val="none"/>
          <w:lang w:val="en-US" w:eastAsia="zh-CN"/>
        </w:rPr>
        <w:t>承包商档案：</w:t>
      </w:r>
      <w:r>
        <w:rPr>
          <w:rFonts w:hint="eastAsia" w:ascii="宋体" w:hAnsi="宋体" w:cs="宋体"/>
          <w:b w:val="0"/>
          <w:bCs w:val="0"/>
          <w:sz w:val="24"/>
          <w:szCs w:val="24"/>
          <w:highlight w:val="none"/>
          <w:lang w:val="en-US" w:eastAsia="zh-CN"/>
        </w:rPr>
        <w:t>接入安全信息管理系统，实现承包商单位基本信息、人员信息、特种作业人员信息、设备工器具资源、项目信息数据交互。资质到期预警：自动监控承包商各类证书的有效期，并在到期前主动预警，督促更新。承包商关键人员（项目经理、质量员、安全员）履职能力评价。</w:t>
      </w:r>
    </w:p>
    <w:p w14:paraId="2F8032C4">
      <w:pPr>
        <w:numPr>
          <w:ilvl w:val="0"/>
          <w:numId w:val="27"/>
        </w:numPr>
        <w:spacing w:after="0" w:line="500" w:lineRule="exact"/>
        <w:ind w:left="0" w:leftChars="0" w:firstLine="484" w:firstLineChars="201"/>
        <w:rPr>
          <w:rFonts w:hint="default" w:ascii="宋体" w:hAnsi="宋体" w:cs="宋体"/>
          <w:b/>
          <w:bCs/>
          <w:sz w:val="24"/>
          <w:szCs w:val="24"/>
          <w:highlight w:val="none"/>
          <w:lang w:val="en-US" w:eastAsia="zh-CN"/>
        </w:rPr>
      </w:pPr>
      <w:r>
        <w:rPr>
          <w:rFonts w:hint="eastAsia" w:ascii="宋体" w:hAnsi="宋体" w:cs="宋体"/>
          <w:b/>
          <w:bCs/>
          <w:sz w:val="24"/>
          <w:szCs w:val="24"/>
          <w:highlight w:val="none"/>
          <w:lang w:val="en-US" w:eastAsia="zh-CN"/>
        </w:rPr>
        <w:t>承包商任务与考核管理</w:t>
      </w:r>
      <w:r>
        <w:rPr>
          <w:rFonts w:hint="eastAsia" w:ascii="宋体" w:hAnsi="宋体" w:cs="宋体"/>
          <w:sz w:val="24"/>
          <w:szCs w:val="24"/>
          <w:highlight w:val="none"/>
          <w:lang w:val="en-US" w:eastAsia="zh-CN"/>
        </w:rPr>
        <w:t>：支持将各类任务单、工单分配给指定承包商，支持任务单、工单完成度评价；支持自定义考核模板、在线考核评分，自动汇总统计承包商的历年绩效得分与排名，生成绩效评估报告，支持按项目、时间段进行多维度分析。</w:t>
      </w:r>
    </w:p>
    <w:p w14:paraId="09E39DF7">
      <w:pPr>
        <w:numPr>
          <w:ilvl w:val="0"/>
          <w:numId w:val="27"/>
        </w:numPr>
        <w:spacing w:after="0" w:line="500" w:lineRule="exact"/>
        <w:ind w:left="0" w:leftChars="0" w:firstLine="484" w:firstLineChars="201"/>
        <w:rPr>
          <w:rFonts w:hint="default" w:ascii="宋体" w:hAnsi="宋体" w:cs="宋体"/>
          <w:b/>
          <w:bCs/>
          <w:sz w:val="24"/>
          <w:szCs w:val="24"/>
          <w:highlight w:val="none"/>
          <w:lang w:val="en-US" w:eastAsia="zh-CN"/>
        </w:rPr>
      </w:pPr>
      <w:r>
        <w:rPr>
          <w:rFonts w:hint="eastAsia" w:ascii="宋体" w:hAnsi="宋体" w:cs="宋体"/>
          <w:b/>
          <w:bCs/>
          <w:sz w:val="24"/>
          <w:szCs w:val="24"/>
          <w:highlight w:val="none"/>
          <w:lang w:val="en-US" w:eastAsia="zh-CN"/>
        </w:rPr>
        <w:t>承包商月报管理</w:t>
      </w:r>
      <w:r>
        <w:rPr>
          <w:rFonts w:hint="eastAsia" w:ascii="宋体" w:hAnsi="宋体" w:cs="宋体"/>
          <w:sz w:val="24"/>
          <w:szCs w:val="24"/>
          <w:highlight w:val="none"/>
          <w:lang w:val="en-US" w:eastAsia="zh-CN"/>
        </w:rPr>
        <w:t>：提供标准化模板，实现承包商按月提交工作报告；支持管理人员在线审核，提出意见。审核通过后自动归档，与相关项目或合同关联存储。</w:t>
      </w:r>
    </w:p>
    <w:p w14:paraId="58BE255C">
      <w:pPr>
        <w:numPr>
          <w:ilvl w:val="0"/>
          <w:numId w:val="27"/>
        </w:numPr>
        <w:spacing w:after="0" w:line="500" w:lineRule="exact"/>
        <w:ind w:left="0" w:leftChars="0" w:firstLine="484" w:firstLineChars="201"/>
        <w:rPr>
          <w:rFonts w:hint="default" w:ascii="宋体" w:hAnsi="宋体" w:cs="宋体"/>
          <w:b/>
          <w:bCs/>
          <w:sz w:val="24"/>
          <w:szCs w:val="24"/>
          <w:highlight w:val="none"/>
          <w:lang w:val="en-US" w:eastAsia="zh-CN"/>
        </w:rPr>
      </w:pPr>
      <w:r>
        <w:rPr>
          <w:rFonts w:hint="eastAsia" w:ascii="宋体" w:hAnsi="宋体" w:cs="宋体"/>
          <w:b/>
          <w:bCs/>
          <w:sz w:val="24"/>
          <w:szCs w:val="24"/>
          <w:highlight w:val="none"/>
          <w:lang w:val="en-US" w:eastAsia="zh-CN"/>
        </w:rPr>
        <w:t>承包商签证管理</w:t>
      </w:r>
      <w:r>
        <w:rPr>
          <w:rFonts w:hint="eastAsia" w:ascii="宋体" w:hAnsi="宋体" w:cs="宋体"/>
          <w:sz w:val="24"/>
          <w:szCs w:val="24"/>
          <w:highlight w:val="none"/>
          <w:lang w:val="en-US" w:eastAsia="zh-CN"/>
        </w:rPr>
        <w:t>：当发生合同范围外的工作量、项目等，支持管理人员在线发起工程签证申请。签证单实现按标准化模板填写，支持照片、图纸等附件上传。支持配置灵活的签证审批流程。</w:t>
      </w:r>
    </w:p>
    <w:p w14:paraId="7A8B7EDE">
      <w:pPr>
        <w:numPr>
          <w:ilvl w:val="2"/>
          <w:numId w:val="23"/>
        </w:numPr>
        <w:tabs>
          <w:tab w:val="clear" w:pos="0"/>
        </w:tabs>
        <w:spacing w:after="0" w:line="500" w:lineRule="exact"/>
        <w:ind w:left="0" w:leftChars="0" w:firstLine="484" w:firstLineChars="201"/>
        <w:rPr>
          <w:rFonts w:hint="default" w:ascii="宋体" w:hAnsi="宋体" w:cs="宋体"/>
          <w:b/>
          <w:bCs/>
          <w:sz w:val="24"/>
          <w:szCs w:val="24"/>
          <w:highlight w:val="none"/>
          <w:lang w:val="en-US" w:eastAsia="zh-CN"/>
        </w:rPr>
      </w:pPr>
      <w:r>
        <w:rPr>
          <w:rFonts w:hint="eastAsia" w:ascii="宋体" w:hAnsi="宋体" w:cs="宋体"/>
          <w:b/>
          <w:bCs/>
          <w:sz w:val="24"/>
          <w:szCs w:val="24"/>
          <w:highlight w:val="none"/>
          <w:lang w:val="en-US" w:eastAsia="zh-CN"/>
        </w:rPr>
        <w:t>人员管理</w:t>
      </w:r>
    </w:p>
    <w:p w14:paraId="3664AFDA">
      <w:pPr>
        <w:numPr>
          <w:ilvl w:val="0"/>
          <w:numId w:val="28"/>
        </w:numPr>
        <w:spacing w:after="0" w:line="500" w:lineRule="exact"/>
        <w:ind w:left="0" w:leftChars="0" w:firstLine="482" w:firstLineChars="201"/>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技能矩阵：定义岗位技能标签，匹配个人能力。</w:t>
      </w:r>
    </w:p>
    <w:p w14:paraId="10E6E886">
      <w:pPr>
        <w:numPr>
          <w:ilvl w:val="0"/>
          <w:numId w:val="28"/>
        </w:numPr>
        <w:spacing w:after="0" w:line="500" w:lineRule="exact"/>
        <w:ind w:left="0" w:leftChars="0" w:firstLine="482" w:firstLineChars="201"/>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证书管理：特种作业人员证书有效期与到期提醒。</w:t>
      </w:r>
    </w:p>
    <w:p w14:paraId="524B3774">
      <w:pPr>
        <w:numPr>
          <w:ilvl w:val="0"/>
          <w:numId w:val="28"/>
        </w:numPr>
        <w:spacing w:after="0" w:line="500" w:lineRule="exact"/>
        <w:ind w:left="0" w:leftChars="0" w:firstLine="482" w:firstLineChars="201"/>
        <w:rPr>
          <w:rFonts w:hint="eastAsia" w:ascii="宋体" w:hAnsi="宋体" w:cs="宋体"/>
          <w:sz w:val="24"/>
          <w:szCs w:val="24"/>
          <w:highlight w:val="none"/>
          <w:lang w:val="zh-TW" w:eastAsia="zh-TW"/>
        </w:rPr>
      </w:pPr>
      <w:r>
        <w:rPr>
          <w:rFonts w:hint="default" w:ascii="宋体" w:hAnsi="宋体" w:cs="宋体"/>
          <w:sz w:val="24"/>
          <w:szCs w:val="24"/>
          <w:highlight w:val="none"/>
          <w:lang w:val="en-US" w:eastAsia="zh-CN"/>
        </w:rPr>
        <w:t>绩效评估</w:t>
      </w:r>
      <w:r>
        <w:rPr>
          <w:rFonts w:hint="eastAsia" w:ascii="宋体" w:hAnsi="宋体" w:cs="宋体"/>
          <w:sz w:val="24"/>
          <w:szCs w:val="24"/>
          <w:highlight w:val="none"/>
          <w:lang w:val="en-US" w:eastAsia="zh-CN"/>
        </w:rPr>
        <w:t>：建设岗位绩效标准、人员履历清单，实现对其在系统中执行的任务、工单的记录以及后评价显示，关联日常工作、培训、学习与知识库建设，实现人员绩效对标评价</w:t>
      </w:r>
      <w:r>
        <w:rPr>
          <w:rFonts w:hint="eastAsia" w:ascii="宋体" w:hAnsi="宋体" w:cs="宋体"/>
          <w:sz w:val="24"/>
          <w:szCs w:val="24"/>
          <w:highlight w:val="none"/>
          <w:lang w:val="zh-TW" w:eastAsia="zh-TW"/>
        </w:rPr>
        <w:t>。</w:t>
      </w:r>
    </w:p>
    <w:p w14:paraId="10AD0C9C">
      <w:pPr>
        <w:pStyle w:val="4"/>
        <w:numPr>
          <w:ilvl w:val="1"/>
          <w:numId w:val="9"/>
        </w:numPr>
        <w:spacing w:before="0" w:line="500" w:lineRule="exact"/>
        <w:ind w:left="567" w:leftChars="0" w:hanging="567" w:firstLineChars="0"/>
        <w:rPr>
          <w:rFonts w:hint="eastAsia" w:ascii="宋体" w:hAnsi="宋体" w:cs="宋体"/>
          <w:color w:val="auto"/>
          <w:sz w:val="28"/>
          <w:szCs w:val="28"/>
          <w:highlight w:val="none"/>
          <w:lang w:val="zh-TW" w:eastAsia="zh-TW"/>
        </w:rPr>
      </w:pPr>
      <w:bookmarkStart w:id="23" w:name="_Toc24135"/>
      <w:r>
        <w:rPr>
          <w:rFonts w:hint="eastAsia" w:ascii="宋体" w:hAnsi="宋体" w:cs="宋体"/>
          <w:color w:val="auto"/>
          <w:sz w:val="28"/>
          <w:szCs w:val="28"/>
          <w:highlight w:val="none"/>
          <w:lang w:val="en-US" w:eastAsia="zh-CN"/>
        </w:rPr>
        <w:t>动静设备管理</w:t>
      </w:r>
      <w:bookmarkEnd w:id="23"/>
    </w:p>
    <w:p w14:paraId="7B8240B0">
      <w:pPr>
        <w:numPr>
          <w:ilvl w:val="2"/>
          <w:numId w:val="29"/>
        </w:numPr>
        <w:tabs>
          <w:tab w:val="clear" w:pos="0"/>
        </w:tabs>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机组管理</w:t>
      </w:r>
      <w:r>
        <w:rPr>
          <w:rFonts w:hint="eastAsia" w:ascii="宋体" w:hAnsi="宋体" w:cs="宋体"/>
          <w:sz w:val="24"/>
          <w:szCs w:val="24"/>
          <w:highlight w:val="none"/>
          <w:lang w:val="en-US" w:eastAsia="zh-CN"/>
        </w:rPr>
        <w:t>：实现三维建模，构建高保真、数据关联的三维模型。</w:t>
      </w:r>
    </w:p>
    <w:p w14:paraId="2B41AC6C">
      <w:pPr>
        <w:numPr>
          <w:ilvl w:val="0"/>
          <w:numId w:val="30"/>
        </w:numPr>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三维建模：高保真模型关联实时数据，覆盖约300套核心设备（压缩机、泵、风机、搅拌器、发电机等）。每套机组包括压缩机/泵/风机/搅拌器等被驱动设备及其动力驱动设备如电机，压缩机、泵、风机、发电机、电动机应根据设备类型建设不同模型（不考虑设备具体尺寸），以满足设备结构显示一致，如泵类有螺杆泵、管道泵、单级离心泵、多级离心泵、磁力泵、屏蔽泵、计量泵、液下泵、真空泵、自吸泵等，风机类有离心风机，压缩机有离心式压缩机、往复式压缩机、螺杆式压缩机、制冷压缩机、透平式压缩机等。</w:t>
      </w:r>
    </w:p>
    <w:p w14:paraId="040CB2C2">
      <w:pPr>
        <w:numPr>
          <w:ilvl w:val="0"/>
          <w:numId w:val="30"/>
        </w:numPr>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属性关联：位号、基本信息、运行参数等元数据关联设备档案，实现机组性能展示。可直观显示设备的总貌图和测点在设备上的位置信息，同时展示单个设备实时运行情况、测点数据、设备历史报警履历。</w:t>
      </w:r>
    </w:p>
    <w:p w14:paraId="07EB913B">
      <w:pPr>
        <w:numPr>
          <w:ilvl w:val="0"/>
          <w:numId w:val="30"/>
        </w:numPr>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平台兼容：模型需能在系统中流畅导入、显示和交互，支持实时数据映射。</w:t>
      </w:r>
    </w:p>
    <w:p w14:paraId="2D92D15A">
      <w:pPr>
        <w:numPr>
          <w:ilvl w:val="0"/>
          <w:numId w:val="30"/>
        </w:numPr>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定期切换监控：关联动设备开停机记录，实现开停机数据统一视角展示，预设机组定期切换时间阈值，超阈值机组报警。</w:t>
      </w:r>
    </w:p>
    <w:p w14:paraId="6AE64ECE">
      <w:pPr>
        <w:numPr>
          <w:ilvl w:val="2"/>
          <w:numId w:val="29"/>
        </w:numPr>
        <w:tabs>
          <w:tab w:val="clear" w:pos="0"/>
        </w:tabs>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泄露管理</w:t>
      </w:r>
      <w:r>
        <w:rPr>
          <w:rFonts w:hint="eastAsia" w:ascii="宋体" w:hAnsi="宋体" w:cs="宋体"/>
          <w:sz w:val="24"/>
          <w:szCs w:val="24"/>
          <w:highlight w:val="none"/>
          <w:lang w:val="en-US" w:eastAsia="zh-CN"/>
        </w:rPr>
        <w:t>：通过API实现对接LDAR泄漏系统，实现台账、检测、上报、统计与堵漏管理。实现带压堵漏台账登记，记录堵漏时间、泄漏部位和堵漏方法等信息，实现堵漏作业的可追溯和质量评估。</w:t>
      </w:r>
    </w:p>
    <w:p w14:paraId="20F42320">
      <w:pPr>
        <w:numPr>
          <w:ilvl w:val="2"/>
          <w:numId w:val="29"/>
        </w:numPr>
        <w:tabs>
          <w:tab w:val="clear" w:pos="0"/>
        </w:tabs>
        <w:spacing w:after="0" w:line="500" w:lineRule="exact"/>
        <w:ind w:left="0" w:leftChars="0" w:firstLine="480" w:firstLineChars="0"/>
        <w:rPr>
          <w:rFonts w:hint="default" w:ascii="宋体" w:hAnsi="宋体" w:cs="宋体"/>
          <w:b/>
          <w:bCs/>
          <w:sz w:val="24"/>
          <w:szCs w:val="24"/>
          <w:highlight w:val="none"/>
          <w:lang w:val="en-US" w:eastAsia="zh-CN"/>
        </w:rPr>
      </w:pPr>
      <w:r>
        <w:rPr>
          <w:rFonts w:hint="eastAsia" w:ascii="宋体" w:hAnsi="宋体" w:cs="宋体"/>
          <w:b/>
          <w:bCs/>
          <w:sz w:val="24"/>
          <w:szCs w:val="24"/>
          <w:highlight w:val="none"/>
          <w:lang w:val="en-US" w:eastAsia="zh-CN"/>
        </w:rPr>
        <w:t>小接管管理</w:t>
      </w:r>
    </w:p>
    <w:p w14:paraId="740BDD63">
      <w:pPr>
        <w:numPr>
          <w:ilvl w:val="0"/>
          <w:numId w:val="31"/>
        </w:numPr>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台账登记：小接管、检验检测数据、失效数据台账登记与更新。</w:t>
      </w:r>
    </w:p>
    <w:p w14:paraId="4C96C9F7">
      <w:pPr>
        <w:numPr>
          <w:ilvl w:val="0"/>
          <w:numId w:val="31"/>
        </w:numPr>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关联</w:t>
      </w:r>
      <w:r>
        <w:rPr>
          <w:rFonts w:hint="default" w:ascii="宋体" w:hAnsi="宋体" w:cs="宋体"/>
          <w:sz w:val="24"/>
          <w:szCs w:val="24"/>
          <w:highlight w:val="none"/>
          <w:lang w:val="en-US" w:eastAsia="zh-CN"/>
        </w:rPr>
        <w:t>主设备档案：主设备或主管道上的小接管相关记录（台账、使用维护、修理改造等）能体现在主设备或主管道的设备档案内。</w:t>
      </w:r>
    </w:p>
    <w:p w14:paraId="624D794F">
      <w:pPr>
        <w:numPr>
          <w:ilvl w:val="0"/>
          <w:numId w:val="31"/>
        </w:numPr>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动态风险</w:t>
      </w:r>
      <w:r>
        <w:rPr>
          <w:rFonts w:hint="default" w:ascii="宋体" w:hAnsi="宋体" w:cs="宋体"/>
          <w:sz w:val="24"/>
          <w:szCs w:val="24"/>
          <w:highlight w:val="none"/>
          <w:lang w:val="en-US" w:eastAsia="zh-CN"/>
        </w:rPr>
        <w:t>分级：</w:t>
      </w:r>
      <w:r>
        <w:rPr>
          <w:rFonts w:hint="eastAsia" w:ascii="宋体" w:hAnsi="宋体" w:cs="宋体"/>
          <w:sz w:val="24"/>
          <w:szCs w:val="24"/>
          <w:highlight w:val="none"/>
          <w:lang w:val="en-US" w:eastAsia="zh-CN"/>
        </w:rPr>
        <w:t>风险</w:t>
      </w:r>
      <w:r>
        <w:rPr>
          <w:rFonts w:hint="default" w:ascii="宋体" w:hAnsi="宋体" w:cs="宋体"/>
          <w:sz w:val="24"/>
          <w:szCs w:val="24"/>
          <w:highlight w:val="none"/>
          <w:lang w:val="en-US" w:eastAsia="zh-CN"/>
        </w:rPr>
        <w:t>分级审查、分级变更；当介质、操作参数、工艺等发生变更时，及时更新评估数据，重新进行风险评估并确定风险等级</w:t>
      </w:r>
      <w:r>
        <w:rPr>
          <w:rFonts w:hint="eastAsia" w:ascii="宋体" w:hAnsi="宋体" w:cs="宋体"/>
          <w:sz w:val="24"/>
          <w:szCs w:val="24"/>
          <w:highlight w:val="none"/>
          <w:lang w:val="en-US" w:eastAsia="zh-CN"/>
        </w:rPr>
        <w:t>。</w:t>
      </w:r>
    </w:p>
    <w:p w14:paraId="2787072A">
      <w:pPr>
        <w:numPr>
          <w:ilvl w:val="0"/>
          <w:numId w:val="31"/>
        </w:numPr>
        <w:spacing w:after="0" w:line="500" w:lineRule="exact"/>
        <w:ind w:left="0" w:leftChars="0" w:firstLine="480" w:firstLineChars="0"/>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维护</w:t>
      </w:r>
      <w:r>
        <w:rPr>
          <w:rFonts w:hint="eastAsia" w:ascii="宋体" w:hAnsi="宋体" w:cs="宋体"/>
          <w:sz w:val="24"/>
          <w:szCs w:val="24"/>
          <w:highlight w:val="none"/>
          <w:lang w:val="en-US" w:eastAsia="zh-CN"/>
        </w:rPr>
        <w:t>更新</w:t>
      </w:r>
      <w:r>
        <w:rPr>
          <w:rFonts w:hint="default" w:ascii="宋体" w:hAnsi="宋体" w:cs="宋体"/>
          <w:sz w:val="24"/>
          <w:szCs w:val="24"/>
          <w:highlight w:val="none"/>
          <w:lang w:val="en-US" w:eastAsia="zh-CN"/>
        </w:rPr>
        <w:t>：包括日常检查、专项检查，按预设内容和频次开展检查工作，发现异常、缺陷问题登记记录，处理整改闭环</w:t>
      </w:r>
      <w:r>
        <w:rPr>
          <w:rFonts w:hint="eastAsia" w:ascii="宋体" w:hAnsi="宋体" w:cs="宋体"/>
          <w:sz w:val="24"/>
          <w:szCs w:val="24"/>
          <w:highlight w:val="none"/>
          <w:lang w:val="en-US" w:eastAsia="zh-CN"/>
        </w:rPr>
        <w:t>。</w:t>
      </w:r>
    </w:p>
    <w:p w14:paraId="25C21BFE">
      <w:pPr>
        <w:pStyle w:val="4"/>
        <w:numPr>
          <w:ilvl w:val="1"/>
          <w:numId w:val="9"/>
        </w:numPr>
        <w:spacing w:before="0" w:line="500" w:lineRule="exact"/>
        <w:ind w:left="567" w:leftChars="0" w:hanging="567" w:firstLineChars="0"/>
        <w:rPr>
          <w:rFonts w:hint="eastAsia" w:ascii="宋体" w:hAnsi="宋体" w:cs="宋体"/>
          <w:color w:val="auto"/>
          <w:sz w:val="28"/>
          <w:szCs w:val="28"/>
          <w:highlight w:val="none"/>
          <w:lang w:val="zh-TW" w:eastAsia="zh-TW"/>
        </w:rPr>
      </w:pPr>
      <w:bookmarkStart w:id="24" w:name="_Toc19654"/>
      <w:r>
        <w:rPr>
          <w:rFonts w:hint="eastAsia" w:ascii="宋体" w:hAnsi="宋体" w:cs="宋体"/>
          <w:color w:val="auto"/>
          <w:sz w:val="28"/>
          <w:szCs w:val="28"/>
          <w:highlight w:val="none"/>
          <w:lang w:val="en-US" w:eastAsia="zh-CN"/>
        </w:rPr>
        <w:t>精益大修</w:t>
      </w:r>
      <w:bookmarkEnd w:id="24"/>
    </w:p>
    <w:p w14:paraId="1B3FE19E">
      <w:pPr>
        <w:spacing w:after="0" w:line="500" w:lineRule="exact"/>
        <w:ind w:left="0" w:leftChars="0" w:firstLine="421" w:firstLineChars="0"/>
        <w:rPr>
          <w:rFonts w:hint="default" w:ascii="宋体" w:hAnsi="宋体" w:cs="宋体"/>
          <w:sz w:val="28"/>
          <w:szCs w:val="30"/>
          <w:highlight w:val="none"/>
          <w:lang w:val="en-US" w:eastAsia="zh-TW"/>
        </w:rPr>
      </w:pPr>
      <w:r>
        <w:rPr>
          <w:rFonts w:hint="eastAsia" w:ascii="宋体" w:hAnsi="宋体" w:cs="宋体"/>
          <w:sz w:val="24"/>
          <w:szCs w:val="24"/>
          <w:highlight w:val="none"/>
          <w:lang w:val="en-US" w:eastAsia="zh-CN"/>
        </w:rPr>
        <w:t>通过构建精益大修管理模式，将大修与设备完整性管理视为一体，运用项目管理思维，通过数字化手段赋能，以大修计划、工作包和排程为主线，整合物资、进度、质量的综合性管理。</w:t>
      </w:r>
    </w:p>
    <w:p w14:paraId="2C9FEE69">
      <w:pPr>
        <w:numPr>
          <w:ilvl w:val="2"/>
          <w:numId w:val="32"/>
        </w:numPr>
        <w:tabs>
          <w:tab w:val="clear" w:pos="0"/>
        </w:tabs>
        <w:spacing w:after="0" w:line="500" w:lineRule="exact"/>
        <w:ind w:left="0" w:leftChars="0" w:firstLine="484" w:firstLineChars="201"/>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数字化看板</w:t>
      </w:r>
      <w:r>
        <w:rPr>
          <w:rFonts w:hint="eastAsia" w:ascii="宋体" w:hAnsi="宋体" w:cs="宋体"/>
          <w:sz w:val="24"/>
          <w:szCs w:val="24"/>
          <w:highlight w:val="none"/>
          <w:lang w:val="en-US" w:eastAsia="zh-CN"/>
        </w:rPr>
        <w:t>：实时展示大修全过程关键信息与数据。</w:t>
      </w:r>
    </w:p>
    <w:p w14:paraId="20B42B64">
      <w:pPr>
        <w:numPr>
          <w:ilvl w:val="2"/>
          <w:numId w:val="32"/>
        </w:numPr>
        <w:tabs>
          <w:tab w:val="clear" w:pos="0"/>
        </w:tabs>
        <w:spacing w:after="0" w:line="500" w:lineRule="exact"/>
        <w:ind w:left="0" w:leftChars="0" w:firstLine="484" w:firstLineChars="201"/>
        <w:rPr>
          <w:rFonts w:hint="default" w:ascii="宋体" w:hAnsi="宋体" w:cs="宋体"/>
          <w:b/>
          <w:bCs/>
          <w:sz w:val="24"/>
          <w:szCs w:val="24"/>
          <w:highlight w:val="none"/>
          <w:lang w:val="en-US" w:eastAsia="zh-CN"/>
        </w:rPr>
      </w:pPr>
      <w:r>
        <w:rPr>
          <w:rFonts w:hint="eastAsia" w:ascii="宋体" w:hAnsi="宋体" w:cs="宋体"/>
          <w:b/>
          <w:bCs/>
          <w:sz w:val="24"/>
          <w:szCs w:val="24"/>
          <w:highlight w:val="none"/>
          <w:lang w:val="en-US" w:eastAsia="zh-CN"/>
        </w:rPr>
        <w:t>工作主线</w:t>
      </w:r>
    </w:p>
    <w:p w14:paraId="7C487017">
      <w:pPr>
        <w:numPr>
          <w:ilvl w:val="0"/>
          <w:numId w:val="33"/>
        </w:numPr>
        <w:spacing w:after="0" w:line="500" w:lineRule="exact"/>
        <w:ind w:left="0" w:leftChars="0" w:firstLine="484" w:firstLineChars="201"/>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大修计划</w:t>
      </w:r>
      <w:r>
        <w:rPr>
          <w:rFonts w:hint="eastAsia" w:ascii="宋体" w:hAnsi="宋体" w:cs="宋体"/>
          <w:sz w:val="24"/>
          <w:szCs w:val="24"/>
          <w:highlight w:val="none"/>
          <w:lang w:val="en-US" w:eastAsia="zh-CN"/>
        </w:rPr>
        <w:t>：在线编辑、审核，包含检修内容、工序、负责人、备件等上报审批功能。对大修计划进行审核锁定，启动范围变更管理。</w:t>
      </w:r>
    </w:p>
    <w:p w14:paraId="349E2EE3">
      <w:pPr>
        <w:numPr>
          <w:ilvl w:val="0"/>
          <w:numId w:val="33"/>
        </w:numPr>
        <w:spacing w:after="0" w:line="500" w:lineRule="exact"/>
        <w:ind w:left="0" w:leftChars="0" w:firstLine="484" w:firstLineChars="201"/>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大修方案</w:t>
      </w:r>
      <w:r>
        <w:rPr>
          <w:rFonts w:hint="eastAsia" w:ascii="宋体" w:hAnsi="宋体" w:cs="宋体"/>
          <w:sz w:val="24"/>
          <w:szCs w:val="24"/>
          <w:highlight w:val="none"/>
          <w:lang w:val="en-US" w:eastAsia="zh-CN"/>
        </w:rPr>
        <w:t>：按模板在线编制总体与专项方案。</w:t>
      </w:r>
    </w:p>
    <w:p w14:paraId="5C9C9C77">
      <w:pPr>
        <w:numPr>
          <w:ilvl w:val="0"/>
          <w:numId w:val="33"/>
        </w:numPr>
        <w:spacing w:after="0" w:line="500" w:lineRule="exact"/>
        <w:ind w:left="0" w:leftChars="0" w:firstLine="484" w:firstLineChars="201"/>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大修工作包</w:t>
      </w:r>
      <w:r>
        <w:rPr>
          <w:rFonts w:hint="eastAsia" w:ascii="宋体" w:hAnsi="宋体" w:cs="宋体"/>
          <w:sz w:val="24"/>
          <w:szCs w:val="24"/>
          <w:highlight w:val="none"/>
          <w:lang w:val="en-US" w:eastAsia="zh-CN"/>
        </w:rPr>
        <w:t>：在线编制工作包，工序分解，资源需求、质量控制、JSA分析和成本估算，执行工序清单审批。</w:t>
      </w:r>
    </w:p>
    <w:p w14:paraId="279A46BC">
      <w:pPr>
        <w:numPr>
          <w:ilvl w:val="0"/>
          <w:numId w:val="33"/>
        </w:numPr>
        <w:spacing w:after="0" w:line="500" w:lineRule="exact"/>
        <w:ind w:left="0" w:leftChars="0" w:firstLine="484" w:firstLineChars="201"/>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检修交底</w:t>
      </w:r>
      <w:r>
        <w:rPr>
          <w:rFonts w:hint="eastAsia" w:ascii="宋体" w:hAnsi="宋体" w:cs="宋体"/>
          <w:sz w:val="24"/>
          <w:szCs w:val="24"/>
          <w:highlight w:val="none"/>
          <w:lang w:val="en-US" w:eastAsia="zh-CN"/>
        </w:rPr>
        <w:t>：按模板进行技术交底、安全交底内容编制、审核与推送。</w:t>
      </w:r>
    </w:p>
    <w:p w14:paraId="5EEFAB88">
      <w:pPr>
        <w:numPr>
          <w:ilvl w:val="0"/>
          <w:numId w:val="33"/>
        </w:numPr>
        <w:spacing w:after="0" w:line="500" w:lineRule="exact"/>
        <w:ind w:left="0" w:leftChars="0" w:firstLine="484" w:firstLineChars="201"/>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大修排程</w:t>
      </w:r>
      <w:r>
        <w:rPr>
          <w:rFonts w:hint="eastAsia" w:ascii="宋体" w:hAnsi="宋体" w:cs="宋体"/>
          <w:sz w:val="24"/>
          <w:szCs w:val="24"/>
          <w:highlight w:val="none"/>
          <w:lang w:val="en-US" w:eastAsia="zh-CN"/>
        </w:rPr>
        <w:t>：资源汇总、关键路径规划、实施计划编制——将所有工作包中的详细工作计划和检修资源进行汇总统计，根据逻辑关系、资源限制和现场情况进行计算和排列，得到一份科学和行之有效的大修实施计划，包括决定检修工期的关键路径规划、全场资源的统筹计划。</w:t>
      </w:r>
    </w:p>
    <w:p w14:paraId="497A3AA2">
      <w:pPr>
        <w:numPr>
          <w:ilvl w:val="0"/>
          <w:numId w:val="33"/>
        </w:numPr>
        <w:spacing w:after="0" w:line="500" w:lineRule="exact"/>
        <w:ind w:left="0" w:leftChars="0" w:firstLine="484" w:firstLineChars="201"/>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大修实施</w:t>
      </w:r>
      <w:r>
        <w:rPr>
          <w:rFonts w:hint="eastAsia" w:ascii="宋体" w:hAnsi="宋体" w:cs="宋体"/>
          <w:sz w:val="24"/>
          <w:szCs w:val="24"/>
          <w:highlight w:val="none"/>
          <w:lang w:val="en-US" w:eastAsia="zh-CN"/>
        </w:rPr>
        <w:t>：通过大修排程指导每日现场检修作业；实施过程安全、质量、进度、费用的管控。承包方通过执行作业 PC/APP，实现项目数据的查询、作业资料的上传、作业进度的录入、质量的验收和数据的同步，实现现场作业的进度和质量管理。管理人员通过 PC/APP 端实现对项目进度的管控和质量的验收。</w:t>
      </w:r>
    </w:p>
    <w:p w14:paraId="09CBFACF">
      <w:pPr>
        <w:numPr>
          <w:ilvl w:val="0"/>
          <w:numId w:val="33"/>
        </w:numPr>
        <w:spacing w:after="0" w:line="500" w:lineRule="exact"/>
        <w:ind w:left="0" w:leftChars="0" w:firstLine="484" w:firstLineChars="201"/>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检修交付生产</w:t>
      </w:r>
      <w:r>
        <w:rPr>
          <w:rFonts w:hint="eastAsia" w:ascii="宋体" w:hAnsi="宋体" w:cs="宋体"/>
          <w:sz w:val="24"/>
          <w:szCs w:val="24"/>
          <w:highlight w:val="none"/>
          <w:lang w:val="en-US" w:eastAsia="zh-CN"/>
        </w:rPr>
        <w:t>：按模板进行检修交付生产工作的内容编辑，完成情况检查。</w:t>
      </w:r>
    </w:p>
    <w:p w14:paraId="2727D5AA">
      <w:pPr>
        <w:numPr>
          <w:ilvl w:val="2"/>
          <w:numId w:val="32"/>
        </w:numPr>
        <w:tabs>
          <w:tab w:val="clear" w:pos="0"/>
        </w:tabs>
        <w:spacing w:after="0" w:line="500" w:lineRule="exact"/>
        <w:ind w:left="0" w:leftChars="0" w:firstLine="484" w:firstLineChars="201"/>
        <w:rPr>
          <w:rFonts w:hint="default" w:ascii="宋体" w:hAnsi="宋体" w:cs="宋体"/>
          <w:b/>
          <w:bCs/>
          <w:sz w:val="24"/>
          <w:szCs w:val="24"/>
          <w:highlight w:val="none"/>
          <w:lang w:val="en-US" w:eastAsia="zh-CN"/>
        </w:rPr>
      </w:pPr>
      <w:r>
        <w:rPr>
          <w:rFonts w:hint="eastAsia" w:ascii="宋体" w:hAnsi="宋体" w:cs="宋体"/>
          <w:b/>
          <w:bCs/>
          <w:sz w:val="24"/>
          <w:szCs w:val="24"/>
          <w:highlight w:val="none"/>
          <w:lang w:val="en-US" w:eastAsia="zh-CN"/>
        </w:rPr>
        <w:t>事务管理</w:t>
      </w:r>
    </w:p>
    <w:p w14:paraId="6393F4ED">
      <w:pPr>
        <w:numPr>
          <w:ilvl w:val="0"/>
          <w:numId w:val="34"/>
        </w:numPr>
        <w:spacing w:after="0" w:line="500" w:lineRule="exact"/>
        <w:ind w:left="0" w:leftChars="0" w:firstLine="484" w:firstLineChars="201"/>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物资管理</w:t>
      </w:r>
      <w:r>
        <w:rPr>
          <w:rFonts w:hint="eastAsia" w:ascii="宋体" w:hAnsi="宋体" w:cs="宋体"/>
          <w:sz w:val="24"/>
          <w:szCs w:val="24"/>
          <w:highlight w:val="none"/>
          <w:lang w:val="en-US" w:eastAsia="zh-CN"/>
        </w:rPr>
        <w:t>：生成物资需求清单，对接BIP采购，跟踪采购订单状态。</w:t>
      </w:r>
    </w:p>
    <w:p w14:paraId="44F60503">
      <w:pPr>
        <w:numPr>
          <w:ilvl w:val="0"/>
          <w:numId w:val="34"/>
        </w:numPr>
        <w:spacing w:after="0" w:line="500" w:lineRule="exact"/>
        <w:ind w:left="0" w:leftChars="0" w:firstLine="484" w:firstLineChars="201"/>
        <w:rPr>
          <w:rFonts w:hint="default" w:ascii="宋体" w:hAnsi="宋体" w:cs="宋体"/>
          <w:sz w:val="24"/>
          <w:szCs w:val="24"/>
          <w:highlight w:val="none"/>
          <w:lang w:val="en-US" w:eastAsia="zh-CN"/>
        </w:rPr>
      </w:pPr>
      <w:r>
        <w:rPr>
          <w:rFonts w:hint="default" w:ascii="宋体" w:hAnsi="宋体" w:cs="宋体"/>
          <w:b/>
          <w:bCs/>
          <w:sz w:val="24"/>
          <w:szCs w:val="24"/>
          <w:highlight w:val="none"/>
          <w:lang w:val="en-US" w:eastAsia="zh-CN"/>
        </w:rPr>
        <w:t>进度管理</w:t>
      </w:r>
      <w:r>
        <w:rPr>
          <w:rFonts w:hint="default" w:ascii="宋体" w:hAnsi="宋体" w:cs="宋体"/>
          <w:sz w:val="24"/>
          <w:szCs w:val="24"/>
          <w:highlight w:val="none"/>
          <w:lang w:val="en-US" w:eastAsia="zh-CN"/>
        </w:rPr>
        <w:t>：实时跟踪任务状态</w:t>
      </w:r>
      <w:r>
        <w:rPr>
          <w:rFonts w:hint="eastAsia" w:ascii="宋体" w:hAnsi="宋体" w:cs="宋体"/>
          <w:sz w:val="24"/>
          <w:szCs w:val="24"/>
          <w:highlight w:val="none"/>
          <w:lang w:val="en-US" w:eastAsia="zh-CN"/>
        </w:rPr>
        <w:t>，动态排程，进度纠偏。发布每天现场施工计划，每日进行现场进度写实，发布进度报告。依据小时级工序实际执行情况，实时统计进度偏差值，每日定时推送存在偏差的检修项目，及时填报偏差信息，管理者可全局掌控大修进展。</w:t>
      </w:r>
    </w:p>
    <w:p w14:paraId="5282037F">
      <w:pPr>
        <w:numPr>
          <w:ilvl w:val="0"/>
          <w:numId w:val="34"/>
        </w:numPr>
        <w:spacing w:after="0" w:line="500" w:lineRule="exact"/>
        <w:ind w:left="0" w:leftChars="0" w:firstLine="484" w:firstLineChars="201"/>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质量管理</w:t>
      </w:r>
      <w:r>
        <w:rPr>
          <w:rFonts w:hint="eastAsia" w:ascii="宋体" w:hAnsi="宋体" w:cs="宋体"/>
          <w:sz w:val="24"/>
          <w:szCs w:val="24"/>
          <w:highlight w:val="none"/>
          <w:lang w:val="en-US" w:eastAsia="zh-CN"/>
        </w:rPr>
        <w:t>：质量控制点识别，分级与可追溯机制。</w:t>
      </w:r>
    </w:p>
    <w:p w14:paraId="4A609D43">
      <w:pPr>
        <w:numPr>
          <w:ilvl w:val="0"/>
          <w:numId w:val="34"/>
        </w:numPr>
        <w:spacing w:after="0" w:line="500" w:lineRule="exact"/>
        <w:ind w:left="0" w:leftChars="0" w:firstLine="484" w:firstLineChars="201"/>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变更管理</w:t>
      </w:r>
      <w:r>
        <w:rPr>
          <w:rFonts w:hint="eastAsia" w:ascii="宋体" w:hAnsi="宋体" w:cs="宋体"/>
          <w:sz w:val="24"/>
          <w:szCs w:val="24"/>
          <w:highlight w:val="none"/>
          <w:lang w:val="en-US" w:eastAsia="zh-CN"/>
        </w:rPr>
        <w:t>：新增、取消、变更工作的在线编制、审批，对关联的未关闭业务进行联动处理。</w:t>
      </w:r>
    </w:p>
    <w:p w14:paraId="1548F2BF">
      <w:pPr>
        <w:numPr>
          <w:ilvl w:val="0"/>
          <w:numId w:val="34"/>
        </w:numPr>
        <w:spacing w:after="0" w:line="500" w:lineRule="exact"/>
        <w:ind w:left="0" w:leftChars="0" w:firstLine="484" w:firstLineChars="201"/>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专项关键工作</w:t>
      </w:r>
      <w:r>
        <w:rPr>
          <w:rFonts w:hint="eastAsia" w:ascii="宋体" w:hAnsi="宋体" w:cs="宋体"/>
          <w:sz w:val="24"/>
          <w:szCs w:val="24"/>
          <w:highlight w:val="none"/>
          <w:lang w:val="en-US" w:eastAsia="zh-CN"/>
        </w:rPr>
        <w:t>：立项、作业申请相关流程实施。</w:t>
      </w:r>
    </w:p>
    <w:p w14:paraId="28FFA80B">
      <w:pPr>
        <w:numPr>
          <w:ilvl w:val="2"/>
          <w:numId w:val="32"/>
        </w:numPr>
        <w:tabs>
          <w:tab w:val="clear" w:pos="0"/>
        </w:tabs>
        <w:spacing w:after="0" w:line="500" w:lineRule="exact"/>
        <w:ind w:left="0" w:leftChars="0" w:firstLine="484" w:firstLineChars="201"/>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综合管理</w:t>
      </w:r>
      <w:r>
        <w:rPr>
          <w:rFonts w:hint="eastAsia" w:ascii="宋体" w:hAnsi="宋体" w:cs="宋体"/>
          <w:sz w:val="24"/>
          <w:szCs w:val="24"/>
          <w:highlight w:val="none"/>
          <w:lang w:val="en-US" w:eastAsia="zh-CN"/>
        </w:rPr>
        <w:t>：大修组织架构、大修协调会、资源统计、文档管理、信息发布、统计报表、检修报告。</w:t>
      </w:r>
    </w:p>
    <w:p w14:paraId="33272BDE">
      <w:pPr>
        <w:numPr>
          <w:ilvl w:val="2"/>
          <w:numId w:val="32"/>
        </w:numPr>
        <w:tabs>
          <w:tab w:val="clear" w:pos="0"/>
        </w:tabs>
        <w:spacing w:after="0" w:line="500" w:lineRule="exact"/>
        <w:ind w:left="0" w:leftChars="0" w:firstLine="484" w:firstLineChars="201"/>
        <w:rPr>
          <w:rFonts w:hint="eastAsia" w:ascii="宋体" w:hAnsi="宋体" w:cs="宋体"/>
          <w:sz w:val="24"/>
          <w:szCs w:val="24"/>
          <w:highlight w:val="none"/>
          <w:lang w:val="zh-TW" w:eastAsia="zh-TW"/>
        </w:rPr>
      </w:pPr>
      <w:r>
        <w:rPr>
          <w:rFonts w:hint="eastAsia" w:ascii="宋体" w:hAnsi="宋体" w:cs="宋体"/>
          <w:b/>
          <w:bCs/>
          <w:sz w:val="24"/>
          <w:szCs w:val="24"/>
          <w:highlight w:val="none"/>
          <w:lang w:val="en-US" w:eastAsia="zh-CN"/>
        </w:rPr>
        <w:t>大修考核</w:t>
      </w:r>
      <w:r>
        <w:rPr>
          <w:rFonts w:hint="eastAsia" w:ascii="宋体" w:hAnsi="宋体" w:cs="宋体"/>
          <w:sz w:val="24"/>
          <w:szCs w:val="24"/>
          <w:highlight w:val="none"/>
          <w:lang w:val="en-US" w:eastAsia="zh-CN"/>
        </w:rPr>
        <w:t>：准备阶段的过程KPI和实施阶段的结果KPI在线打分、统计排名。后评估管理模块是在KPI主观打分之外，通过平台自动收集数据，再根据算法进行更为“客观”的打分，并生成相应的后评估报告。</w:t>
      </w:r>
    </w:p>
    <w:p w14:paraId="1FBFB0E9">
      <w:pPr>
        <w:pStyle w:val="4"/>
        <w:numPr>
          <w:ilvl w:val="1"/>
          <w:numId w:val="9"/>
        </w:numPr>
        <w:spacing w:before="0" w:line="500" w:lineRule="exact"/>
        <w:ind w:left="567" w:leftChars="0" w:hanging="567" w:firstLineChars="0"/>
        <w:rPr>
          <w:rFonts w:hint="eastAsia" w:ascii="宋体" w:hAnsi="宋体" w:cs="宋体"/>
          <w:color w:val="auto"/>
          <w:sz w:val="28"/>
          <w:szCs w:val="28"/>
          <w:highlight w:val="none"/>
          <w:lang w:val="zh-TW" w:eastAsia="zh-TW"/>
        </w:rPr>
      </w:pPr>
      <w:bookmarkStart w:id="25" w:name="_Toc9664"/>
      <w:r>
        <w:rPr>
          <w:rFonts w:hint="eastAsia" w:ascii="宋体" w:hAnsi="宋体" w:cs="宋体"/>
          <w:color w:val="auto"/>
          <w:sz w:val="28"/>
          <w:szCs w:val="28"/>
          <w:highlight w:val="none"/>
          <w:lang w:val="en-US" w:eastAsia="zh-CN"/>
        </w:rPr>
        <w:t>统计报表</w:t>
      </w:r>
      <w:bookmarkEnd w:id="25"/>
    </w:p>
    <w:p w14:paraId="2FC5BB6D">
      <w:pPr>
        <w:spacing w:after="0" w:line="500" w:lineRule="exact"/>
        <w:ind w:firstLine="420"/>
        <w:rPr>
          <w:rFonts w:hint="eastAsia" w:ascii="宋体" w:hAnsi="宋体" w:cs="宋体"/>
          <w:sz w:val="24"/>
          <w:szCs w:val="24"/>
          <w:highlight w:val="none"/>
          <w:lang w:val="zh-TW" w:eastAsia="zh-TW"/>
        </w:rPr>
      </w:pPr>
      <w:r>
        <w:rPr>
          <w:rFonts w:hint="eastAsia" w:ascii="宋体" w:hAnsi="宋体" w:cs="宋体"/>
          <w:sz w:val="24"/>
          <w:szCs w:val="24"/>
          <w:highlight w:val="none"/>
          <w:lang w:val="zh-TW" w:eastAsia="zh-TW"/>
        </w:rPr>
        <w:t>借助信息化工具</w:t>
      </w:r>
      <w:r>
        <w:rPr>
          <w:rFonts w:hint="eastAsia" w:ascii="宋体" w:hAnsi="宋体" w:cs="宋体"/>
          <w:sz w:val="24"/>
          <w:szCs w:val="24"/>
          <w:highlight w:val="none"/>
          <w:lang w:val="en-US" w:eastAsia="zh-CN"/>
        </w:rPr>
        <w:t>自动生成图形化</w:t>
      </w:r>
      <w:r>
        <w:rPr>
          <w:rFonts w:hint="eastAsia" w:ascii="宋体" w:hAnsi="宋体" w:cs="宋体"/>
          <w:sz w:val="24"/>
          <w:szCs w:val="24"/>
          <w:highlight w:val="none"/>
          <w:lang w:val="zh-TW" w:eastAsia="zh-TW"/>
        </w:rPr>
        <w:t>报表，可视化展示设备状态、维护完成情况、成本统计等。带有报表编辑器，预制报表模板，允许用户根据需求定制报表格式和内容，支持选择不同的可视化方式（如图表、柱状图、饼图等）来展示数据。</w:t>
      </w:r>
    </w:p>
    <w:p w14:paraId="1D0EC95E">
      <w:pPr>
        <w:spacing w:after="0" w:line="500" w:lineRule="exact"/>
        <w:ind w:firstLine="420"/>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报表内容包括设备统计、点巡检统计、缺陷隐患统计、检查检测统计、维护保养统计、检修情况统计（如高频检修统计等）、异常统计（异常设备清单）、失效统计（失效设备清单）、高风险设备清单、可能存在风险设备清单、设备单个测点预警清单、工单统计、备件统计、设备完好率、设备故障率、设备投用率、维修费用分析、密封点泄露率、强检设备检定率等。</w:t>
      </w:r>
    </w:p>
    <w:p w14:paraId="594F1304">
      <w:pPr>
        <w:spacing w:after="0" w:line="500" w:lineRule="exact"/>
        <w:ind w:firstLine="420"/>
        <w:rPr>
          <w:rFonts w:hint="eastAsia" w:ascii="宋体" w:hAnsi="宋体" w:cs="宋体"/>
          <w:sz w:val="30"/>
          <w:szCs w:val="30"/>
          <w:highlight w:val="none"/>
          <w:lang w:val="zh-TW" w:eastAsia="zh-TW"/>
        </w:rPr>
      </w:pPr>
      <w:r>
        <w:rPr>
          <w:rFonts w:hint="eastAsia" w:ascii="宋体" w:hAnsi="宋体" w:cs="宋体"/>
          <w:sz w:val="24"/>
          <w:szCs w:val="24"/>
          <w:highlight w:val="none"/>
          <w:lang w:val="zh-TW" w:eastAsia="zh-TW"/>
        </w:rPr>
        <w:t>支持报表导出功能，</w:t>
      </w:r>
      <w:r>
        <w:rPr>
          <w:rFonts w:hint="eastAsia" w:ascii="宋体" w:hAnsi="宋体" w:cs="宋体"/>
          <w:sz w:val="24"/>
          <w:szCs w:val="24"/>
          <w:highlight w:val="none"/>
          <w:lang w:val="en-US" w:eastAsia="zh-CN"/>
        </w:rPr>
        <w:t>预制模板与自定义格式，</w:t>
      </w:r>
      <w:r>
        <w:rPr>
          <w:rFonts w:hint="eastAsia" w:ascii="宋体" w:hAnsi="宋体" w:cs="宋体"/>
          <w:sz w:val="24"/>
          <w:szCs w:val="24"/>
          <w:highlight w:val="none"/>
          <w:lang w:val="zh-TW" w:eastAsia="zh-TW"/>
        </w:rPr>
        <w:t>实现将报表数据导出为常见的格式，如Excel、PDF等。</w:t>
      </w:r>
      <w:bookmarkStart w:id="26" w:name="_Toc182589823"/>
    </w:p>
    <w:p w14:paraId="5FB15DC6">
      <w:pPr>
        <w:pStyle w:val="4"/>
        <w:numPr>
          <w:ilvl w:val="1"/>
          <w:numId w:val="9"/>
        </w:numPr>
        <w:spacing w:before="0" w:line="500" w:lineRule="exact"/>
        <w:ind w:left="567" w:leftChars="0" w:hanging="567" w:firstLineChars="0"/>
        <w:rPr>
          <w:rFonts w:hint="eastAsia" w:ascii="宋体" w:hAnsi="宋体" w:cs="宋体"/>
          <w:b/>
          <w:bCs/>
          <w:color w:val="auto"/>
          <w:sz w:val="28"/>
          <w:szCs w:val="28"/>
          <w:highlight w:val="none"/>
          <w:lang w:val="zh-TW" w:eastAsia="zh-TW"/>
        </w:rPr>
      </w:pPr>
      <w:bookmarkStart w:id="27" w:name="_Toc2077"/>
      <w:r>
        <w:rPr>
          <w:rFonts w:hint="eastAsia" w:ascii="宋体" w:hAnsi="宋体" w:cs="宋体"/>
          <w:b/>
          <w:bCs/>
          <w:color w:val="auto"/>
          <w:sz w:val="28"/>
          <w:szCs w:val="28"/>
          <w:highlight w:val="none"/>
          <w:lang w:val="en-US" w:eastAsia="zh-CN"/>
        </w:rPr>
        <w:t>系统</w:t>
      </w:r>
      <w:r>
        <w:rPr>
          <w:rFonts w:hint="eastAsia" w:ascii="宋体" w:hAnsi="宋体" w:cs="宋体"/>
          <w:b/>
          <w:bCs/>
          <w:color w:val="auto"/>
          <w:sz w:val="28"/>
          <w:szCs w:val="28"/>
          <w:highlight w:val="none"/>
          <w:lang w:val="zh-TW" w:eastAsia="zh-TW"/>
        </w:rPr>
        <w:t>管理</w:t>
      </w:r>
      <w:bookmarkEnd w:id="26"/>
      <w:bookmarkEnd w:id="27"/>
    </w:p>
    <w:p w14:paraId="70A3FD55">
      <w:pPr>
        <w:numPr>
          <w:ilvl w:val="2"/>
          <w:numId w:val="35"/>
        </w:numPr>
        <w:tabs>
          <w:tab w:val="clear" w:pos="0"/>
        </w:tabs>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用户工作台</w:t>
      </w:r>
      <w:r>
        <w:rPr>
          <w:rFonts w:hint="eastAsia" w:ascii="宋体" w:hAnsi="宋体" w:cs="宋体"/>
          <w:sz w:val="24"/>
          <w:szCs w:val="24"/>
          <w:highlight w:val="none"/>
          <w:lang w:val="en-US" w:eastAsia="zh-CN"/>
        </w:rPr>
        <w:t>：按角色定制界面，同时作为每个用户的首页。集成个人工作界面实现单点登录、统一待办、事务提醒，集成待办、消息、审批事项。</w:t>
      </w:r>
    </w:p>
    <w:p w14:paraId="05C6A8D2">
      <w:pPr>
        <w:numPr>
          <w:ilvl w:val="2"/>
          <w:numId w:val="35"/>
        </w:numPr>
        <w:tabs>
          <w:tab w:val="clear" w:pos="0"/>
        </w:tabs>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组织架构</w:t>
      </w:r>
      <w:r>
        <w:rPr>
          <w:rFonts w:hint="eastAsia" w:ascii="宋体" w:hAnsi="宋体" w:cs="宋体"/>
          <w:sz w:val="24"/>
          <w:szCs w:val="24"/>
          <w:highlight w:val="none"/>
          <w:lang w:val="en-US" w:eastAsia="zh-CN"/>
        </w:rPr>
        <w:t>：层级关系与人员账号管理，灵活分配角色权限。支持对员工基本信息的录入、维护和查询，灵活分配和调整人员的角色与权限。</w:t>
      </w:r>
    </w:p>
    <w:p w14:paraId="0DDAB085">
      <w:pPr>
        <w:numPr>
          <w:ilvl w:val="2"/>
          <w:numId w:val="35"/>
        </w:numPr>
        <w:tabs>
          <w:tab w:val="clear" w:pos="0"/>
        </w:tabs>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流程管理</w:t>
      </w:r>
      <w:r>
        <w:rPr>
          <w:rFonts w:hint="eastAsia" w:ascii="宋体" w:hAnsi="宋体" w:cs="宋体"/>
          <w:sz w:val="24"/>
          <w:szCs w:val="24"/>
          <w:highlight w:val="none"/>
          <w:lang w:val="en-US" w:eastAsia="zh-CN"/>
        </w:rPr>
        <w:t>：审批流程配置与多级审批支持。定义每个模块、业务的实施流程，实现节点信息查看、系统管理人员设计流程功能。支持根据实际业务需求灵活创建和配置审批流程，确保审批环节清晰明确、责任分工合理。</w:t>
      </w:r>
    </w:p>
    <w:p w14:paraId="10BE4516">
      <w:pPr>
        <w:numPr>
          <w:ilvl w:val="2"/>
          <w:numId w:val="35"/>
        </w:numPr>
        <w:tabs>
          <w:tab w:val="clear" w:pos="0"/>
        </w:tabs>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权限管理</w:t>
      </w:r>
      <w:r>
        <w:rPr>
          <w:rFonts w:hint="eastAsia" w:ascii="宋体" w:hAnsi="宋体" w:cs="宋体"/>
          <w:sz w:val="24"/>
          <w:szCs w:val="24"/>
          <w:highlight w:val="none"/>
          <w:lang w:val="en-US" w:eastAsia="zh-CN"/>
        </w:rPr>
        <w:t>：按数据权限、功能权限与操作权限（增、删、改、查等）实现权限分配，支持按照不同角色为用户分配权限。支持系统管理员增删改用户角色功能，并具备配置角色权限的功能。</w:t>
      </w:r>
    </w:p>
    <w:p w14:paraId="142B2308">
      <w:pPr>
        <w:numPr>
          <w:ilvl w:val="2"/>
          <w:numId w:val="35"/>
        </w:numPr>
        <w:tabs>
          <w:tab w:val="clear" w:pos="0"/>
        </w:tabs>
        <w:spacing w:after="0" w:line="500" w:lineRule="exact"/>
        <w:ind w:left="0" w:leftChars="0" w:firstLine="480" w:firstLineChars="0"/>
        <w:rPr>
          <w:rFonts w:hint="default" w:ascii="宋体" w:hAnsi="宋体" w:cs="宋体"/>
          <w:b/>
          <w:bCs/>
          <w:sz w:val="24"/>
          <w:szCs w:val="24"/>
          <w:highlight w:val="none"/>
          <w:lang w:val="en-US" w:eastAsia="zh-CN"/>
        </w:rPr>
      </w:pPr>
      <w:r>
        <w:rPr>
          <w:rFonts w:hint="eastAsia" w:ascii="宋体" w:hAnsi="宋体" w:cs="宋体"/>
          <w:b/>
          <w:bCs/>
          <w:sz w:val="24"/>
          <w:szCs w:val="24"/>
          <w:highlight w:val="none"/>
          <w:lang w:val="en-US" w:eastAsia="zh-CN"/>
        </w:rPr>
        <w:t>数据备份与恢复：</w:t>
      </w:r>
      <w:r>
        <w:rPr>
          <w:rFonts w:hint="eastAsia" w:ascii="宋体" w:hAnsi="宋体" w:cs="宋体"/>
          <w:sz w:val="24"/>
          <w:szCs w:val="24"/>
          <w:highlight w:val="none"/>
          <w:lang w:val="en-US" w:eastAsia="zh-CN"/>
        </w:rPr>
        <w:t>完善的数据备份策略，定期对关键数据进行备份。备份数据应存储在安全存储介质上，并且系统应提供数据恢复功能，在发生数据丢失或损坏时能够快速恢复数据。</w:t>
      </w:r>
    </w:p>
    <w:p w14:paraId="08396A99">
      <w:pPr>
        <w:numPr>
          <w:ilvl w:val="2"/>
          <w:numId w:val="35"/>
        </w:numPr>
        <w:tabs>
          <w:tab w:val="clear" w:pos="0"/>
        </w:tabs>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日程管理</w:t>
      </w:r>
      <w:r>
        <w:rPr>
          <w:rFonts w:hint="eastAsia" w:ascii="宋体" w:hAnsi="宋体" w:cs="宋体"/>
          <w:sz w:val="24"/>
          <w:szCs w:val="24"/>
          <w:highlight w:val="none"/>
          <w:lang w:val="en-US" w:eastAsia="zh-CN"/>
        </w:rPr>
        <w:t>：个人与班组工作日历。按任务/工单筛选。</w:t>
      </w:r>
    </w:p>
    <w:p w14:paraId="7C428807">
      <w:pPr>
        <w:pStyle w:val="3"/>
        <w:numPr>
          <w:ilvl w:val="1"/>
          <w:numId w:val="9"/>
        </w:numPr>
        <w:spacing w:before="0" w:line="500" w:lineRule="exact"/>
        <w:ind w:left="567" w:leftChars="0" w:hanging="567" w:firstLineChars="0"/>
        <w:rPr>
          <w:rFonts w:ascii="宋体" w:hAnsi="宋体" w:cs="宋体"/>
          <w:color w:val="auto"/>
          <w:sz w:val="30"/>
          <w:szCs w:val="30"/>
          <w:highlight w:val="none"/>
        </w:rPr>
      </w:pPr>
      <w:bookmarkStart w:id="28" w:name="_Toc18708"/>
      <w:r>
        <w:rPr>
          <w:rFonts w:hint="eastAsia" w:ascii="宋体" w:hAnsi="宋体" w:cs="宋体"/>
          <w:color w:val="auto"/>
          <w:sz w:val="30"/>
          <w:szCs w:val="30"/>
          <w:highlight w:val="none"/>
          <w:lang w:val="en-US" w:eastAsia="zh-CN"/>
        </w:rPr>
        <w:t>移动端APP</w:t>
      </w:r>
      <w:bookmarkEnd w:id="28"/>
    </w:p>
    <w:p w14:paraId="64506AA3">
      <w:pPr>
        <w:numPr>
          <w:ilvl w:val="2"/>
          <w:numId w:val="36"/>
        </w:numPr>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功能支持：</w:t>
      </w:r>
      <w:r>
        <w:rPr>
          <w:rFonts w:hint="eastAsia" w:ascii="宋体" w:hAnsi="宋体" w:cs="宋体"/>
          <w:sz w:val="24"/>
          <w:szCs w:val="24"/>
          <w:highlight w:val="none"/>
          <w:lang w:val="en-US" w:eastAsia="zh-CN"/>
        </w:rPr>
        <w:t>扫码查看档案、执行运维任务、备件查看、一键异常申报等PC端功能。</w:t>
      </w:r>
    </w:p>
    <w:p w14:paraId="5A7C1F37">
      <w:pPr>
        <w:numPr>
          <w:ilvl w:val="2"/>
          <w:numId w:val="36"/>
        </w:numPr>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多平台兼容</w:t>
      </w:r>
      <w:r>
        <w:rPr>
          <w:rFonts w:hint="eastAsia" w:ascii="宋体" w:hAnsi="宋体" w:cs="宋体"/>
          <w:sz w:val="24"/>
          <w:szCs w:val="24"/>
          <w:highlight w:val="none"/>
          <w:lang w:val="en-US" w:eastAsia="zh-CN"/>
        </w:rPr>
        <w:t>：</w:t>
      </w:r>
      <w:r>
        <w:rPr>
          <w:rFonts w:hint="default" w:ascii="宋体" w:hAnsi="宋体" w:cs="宋体"/>
          <w:sz w:val="24"/>
          <w:szCs w:val="24"/>
          <w:highlight w:val="none"/>
          <w:lang w:val="en-US" w:eastAsia="zh-CN"/>
        </w:rPr>
        <w:t>兼容各类平台（包括安卓、华为HarmonyOS、iOS），提供微信小程序版本。</w:t>
      </w:r>
    </w:p>
    <w:p w14:paraId="47C7DA30">
      <w:pPr>
        <w:numPr>
          <w:ilvl w:val="2"/>
          <w:numId w:val="36"/>
        </w:numPr>
        <w:spacing w:after="0" w:line="500" w:lineRule="exact"/>
        <w:ind w:left="0" w:leftChars="0" w:firstLine="480" w:firstLineChars="0"/>
        <w:rPr>
          <w:rFonts w:hint="eastAsia" w:ascii="宋体" w:hAnsi="宋体" w:cs="宋体"/>
          <w:sz w:val="24"/>
          <w:szCs w:val="24"/>
          <w:highlight w:val="none"/>
          <w:lang w:val="zh-CN" w:eastAsia="zh-TW"/>
        </w:rPr>
      </w:pPr>
      <w:r>
        <w:rPr>
          <w:rFonts w:hint="eastAsia" w:ascii="宋体" w:hAnsi="宋体" w:cs="宋体"/>
          <w:b/>
          <w:bCs/>
          <w:sz w:val="24"/>
          <w:szCs w:val="24"/>
          <w:highlight w:val="none"/>
          <w:lang w:val="en-US" w:eastAsia="zh-CN"/>
        </w:rPr>
        <w:t>离线模式</w:t>
      </w:r>
      <w:r>
        <w:rPr>
          <w:rFonts w:hint="eastAsia" w:ascii="宋体" w:hAnsi="宋体" w:cs="宋体"/>
          <w:sz w:val="24"/>
          <w:szCs w:val="24"/>
          <w:highlight w:val="none"/>
          <w:lang w:val="en-US" w:eastAsia="zh-CN"/>
        </w:rPr>
        <w:t>：无网络时数据缓存，联网后自动同步。</w:t>
      </w:r>
    </w:p>
    <w:p w14:paraId="3714F497">
      <w:pPr>
        <w:numPr>
          <w:ilvl w:val="2"/>
          <w:numId w:val="36"/>
        </w:numPr>
        <w:spacing w:after="0" w:line="500" w:lineRule="exact"/>
        <w:ind w:left="0" w:leftChars="0" w:firstLine="480" w:firstLineChars="0"/>
        <w:rPr>
          <w:rFonts w:hint="eastAsia" w:ascii="宋体" w:hAnsi="宋体" w:cs="宋体"/>
          <w:sz w:val="24"/>
          <w:szCs w:val="24"/>
          <w:highlight w:val="none"/>
          <w:lang w:val="zh-CN" w:eastAsia="zh-TW"/>
        </w:rPr>
      </w:pPr>
      <w:r>
        <w:rPr>
          <w:rFonts w:hint="eastAsia" w:ascii="宋体" w:hAnsi="宋体" w:cs="宋体"/>
          <w:b/>
          <w:bCs/>
          <w:sz w:val="24"/>
          <w:szCs w:val="24"/>
          <w:highlight w:val="none"/>
          <w:lang w:val="en-US" w:eastAsia="zh-CN"/>
        </w:rPr>
        <w:t>移动审批</w:t>
      </w:r>
      <w:r>
        <w:rPr>
          <w:rFonts w:hint="eastAsia" w:ascii="宋体" w:hAnsi="宋体" w:cs="宋体"/>
          <w:sz w:val="24"/>
          <w:szCs w:val="24"/>
          <w:highlight w:val="none"/>
          <w:lang w:val="en-US" w:eastAsia="zh-CN"/>
        </w:rPr>
        <w:t>：实现流程移动审批、消息推送及处理工作事务。</w:t>
      </w:r>
    </w:p>
    <w:p w14:paraId="567B7562">
      <w:pPr>
        <w:pStyle w:val="3"/>
        <w:numPr>
          <w:ilvl w:val="1"/>
          <w:numId w:val="9"/>
        </w:numPr>
        <w:spacing w:before="0" w:line="500" w:lineRule="exact"/>
        <w:ind w:left="567" w:leftChars="0" w:hanging="567" w:firstLineChars="0"/>
        <w:rPr>
          <w:rFonts w:hint="eastAsia" w:ascii="宋体" w:hAnsi="宋体" w:cs="宋体"/>
          <w:b/>
          <w:bCs/>
          <w:color w:val="auto"/>
          <w:sz w:val="30"/>
          <w:szCs w:val="30"/>
          <w:highlight w:val="none"/>
          <w:lang w:val="en-US" w:eastAsia="zh-CN"/>
        </w:rPr>
      </w:pPr>
      <w:bookmarkStart w:id="29" w:name="_Toc32309"/>
      <w:r>
        <w:rPr>
          <w:rFonts w:hint="eastAsia" w:ascii="宋体" w:hAnsi="宋体" w:cs="宋体"/>
          <w:b/>
          <w:bCs/>
          <w:color w:val="auto"/>
          <w:sz w:val="30"/>
          <w:szCs w:val="30"/>
          <w:highlight w:val="none"/>
          <w:lang w:val="en-US" w:eastAsia="zh-CN"/>
        </w:rPr>
        <w:t>预测性维护维修</w:t>
      </w:r>
      <w:bookmarkEnd w:id="29"/>
    </w:p>
    <w:p w14:paraId="485EE9D9">
      <w:pPr>
        <w:numPr>
          <w:ilvl w:val="0"/>
          <w:numId w:val="0"/>
        </w:numPr>
        <w:spacing w:after="0" w:line="500" w:lineRule="exact"/>
        <w:ind w:left="0" w:leftChars="0" w:firstLine="482" w:firstLineChars="201"/>
        <w:rPr>
          <w:rFonts w:hint="eastAsia" w:ascii="宋体" w:hAnsi="宋体" w:cs="宋体"/>
          <w:sz w:val="24"/>
          <w:szCs w:val="24"/>
          <w:highlight w:val="none"/>
          <w:lang w:val="zh-TW" w:eastAsia="zh-CN"/>
        </w:rPr>
      </w:pPr>
      <w:r>
        <w:rPr>
          <w:rFonts w:hint="eastAsia" w:ascii="宋体" w:hAnsi="宋体" w:cs="宋体"/>
          <w:sz w:val="24"/>
          <w:szCs w:val="24"/>
          <w:highlight w:val="none"/>
          <w:lang w:val="en-US" w:eastAsia="zh-CN"/>
        </w:rPr>
        <w:t>本模块旨在构建以数据与AI为核心的设备预测性维护体系。通过集成在线监测与运维数据，利用深度学习算法与专家知识库，实现对设备健康状况的深度诊断、劣化趋势预测与智能维修决策，推动设备维护模式从事后维修、定期维修向预测性维修转变，最终提升设备可靠性并降低全生命周期成本。</w:t>
      </w:r>
    </w:p>
    <w:p w14:paraId="02222AE5">
      <w:pPr>
        <w:numPr>
          <w:ilvl w:val="2"/>
          <w:numId w:val="37"/>
        </w:numPr>
        <w:tabs>
          <w:tab w:val="clear" w:pos="420"/>
        </w:tabs>
        <w:spacing w:after="0" w:line="500" w:lineRule="exact"/>
        <w:ind w:left="0" w:leftChars="0" w:firstLine="484" w:firstLineChars="201"/>
        <w:rPr>
          <w:rFonts w:hint="default" w:ascii="宋体" w:hAnsi="宋体" w:cs="宋体"/>
          <w:sz w:val="24"/>
          <w:szCs w:val="24"/>
          <w:highlight w:val="none"/>
          <w:lang w:val="en-US" w:eastAsia="zh-CN"/>
        </w:rPr>
      </w:pPr>
      <w:bookmarkStart w:id="30" w:name="_Toc163745055"/>
      <w:bookmarkStart w:id="31" w:name="_Toc28042"/>
      <w:r>
        <w:rPr>
          <w:rFonts w:hint="eastAsia" w:ascii="宋体" w:hAnsi="宋体" w:cs="宋体"/>
          <w:b/>
          <w:bCs/>
          <w:sz w:val="24"/>
          <w:szCs w:val="24"/>
          <w:highlight w:val="none"/>
          <w:lang w:val="en-US" w:eastAsia="zh-CN"/>
        </w:rPr>
        <w:t>智能诊断与健康评估：</w:t>
      </w:r>
      <w:r>
        <w:rPr>
          <w:rFonts w:hint="eastAsia" w:ascii="宋体" w:hAnsi="宋体" w:cs="宋体"/>
          <w:b w:val="0"/>
          <w:bCs w:val="0"/>
          <w:sz w:val="24"/>
          <w:szCs w:val="24"/>
          <w:highlight w:val="none"/>
          <w:lang w:val="en-US" w:eastAsia="zh-CN"/>
        </w:rPr>
        <w:t>系统应具备基于多源数据融合与AI算法的深度分析能力，实现设备状态的精准洞察与健康度评估。</w:t>
      </w:r>
    </w:p>
    <w:p w14:paraId="296125AE">
      <w:pPr>
        <w:numPr>
          <w:ilvl w:val="0"/>
          <w:numId w:val="38"/>
        </w:numPr>
        <w:spacing w:after="0" w:line="500" w:lineRule="exact"/>
        <w:ind w:left="0" w:leftChars="0" w:firstLine="484" w:firstLineChars="201"/>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数据智能分析与诊断</w:t>
      </w:r>
      <w:r>
        <w:rPr>
          <w:rFonts w:hint="eastAsia" w:ascii="宋体" w:hAnsi="宋体" w:cs="宋体"/>
          <w:sz w:val="24"/>
          <w:szCs w:val="24"/>
          <w:highlight w:val="none"/>
          <w:lang w:val="en-US" w:eastAsia="zh-CN"/>
        </w:rPr>
        <w:t>：内置故障诊断专家知识库、智能AI算法模型及常见故障的机理模型库，综合利用机器学习、趋势分析、图谱分析（如振动频谱图）等技术，对设备运行参数、振动等状态数据进行深度挖掘与智能分析，核心功能是实现设备异常模式的快速识别、潜在故障原因的智能提示与自动定位，并评估故障的可能性。</w:t>
      </w:r>
    </w:p>
    <w:p w14:paraId="1883FD0A">
      <w:pPr>
        <w:numPr>
          <w:ilvl w:val="0"/>
          <w:numId w:val="38"/>
        </w:numPr>
        <w:spacing w:after="0" w:line="500" w:lineRule="exact"/>
        <w:ind w:left="0" w:leftChars="0" w:firstLine="484" w:firstLineChars="201"/>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诊断决策支持与报告生成</w:t>
      </w:r>
      <w:r>
        <w:rPr>
          <w:rFonts w:hint="eastAsia" w:ascii="宋体" w:hAnsi="宋体" w:cs="宋体"/>
          <w:sz w:val="24"/>
          <w:szCs w:val="24"/>
          <w:highlight w:val="none"/>
          <w:lang w:val="en-US" w:eastAsia="zh-CN"/>
        </w:rPr>
        <w:t>：基于诊断结果，自动提供清晰的故障诊断结论、维护维修建议及完整的故障分析过程。当设备产生报警或报错时，系统应能自动推送对应部位的检修经验指南与处理建议。支持根据设备缺陷信息，自动关联并拉取相关的设备参数数据、异常测点图谱，结合诊断结论与维修建议，生成结构化的设备诊断报告。</w:t>
      </w:r>
    </w:p>
    <w:p w14:paraId="2EC8CD9C">
      <w:pPr>
        <w:numPr>
          <w:ilvl w:val="0"/>
          <w:numId w:val="38"/>
        </w:numPr>
        <w:spacing w:after="0" w:line="500" w:lineRule="exact"/>
        <w:ind w:left="0" w:leftChars="0" w:firstLine="484" w:firstLineChars="201"/>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设备与元器件寿命预测</w:t>
      </w:r>
      <w:r>
        <w:rPr>
          <w:rFonts w:hint="eastAsia" w:ascii="宋体" w:hAnsi="宋体" w:cs="宋体"/>
          <w:sz w:val="24"/>
          <w:szCs w:val="24"/>
          <w:highlight w:val="none"/>
          <w:lang w:val="en-US" w:eastAsia="zh-CN"/>
        </w:rPr>
        <w:t>：内置故障模型库与寿命预测算法，综合设备历史数据、运行工况与实时状态，对设备及其关键元器件的剩余使用寿命进行预测，并通过颜色区分（如绿、黄、红）实现分级提醒和报警。</w:t>
      </w:r>
    </w:p>
    <w:p w14:paraId="6427BABC">
      <w:pPr>
        <w:numPr>
          <w:ilvl w:val="2"/>
          <w:numId w:val="37"/>
        </w:numPr>
        <w:tabs>
          <w:tab w:val="clear" w:pos="420"/>
        </w:tabs>
        <w:spacing w:after="0" w:line="500" w:lineRule="exact"/>
        <w:ind w:left="0" w:leftChars="0" w:firstLine="484" w:firstLineChars="201"/>
        <w:rPr>
          <w:rFonts w:hint="default" w:ascii="宋体" w:hAnsi="宋体" w:cs="宋体"/>
          <w:b/>
          <w:bCs/>
          <w:sz w:val="24"/>
          <w:szCs w:val="24"/>
          <w:highlight w:val="none"/>
          <w:lang w:val="en-US" w:eastAsia="zh-CN"/>
        </w:rPr>
      </w:pPr>
      <w:r>
        <w:rPr>
          <w:rFonts w:hint="eastAsia" w:ascii="宋体" w:hAnsi="宋体" w:cs="宋体"/>
          <w:b/>
          <w:bCs/>
          <w:sz w:val="24"/>
          <w:szCs w:val="24"/>
          <w:highlight w:val="none"/>
          <w:lang w:val="en-US" w:eastAsia="zh-CN"/>
        </w:rPr>
        <w:t>振动图谱诊断分析工具：</w:t>
      </w:r>
      <w:r>
        <w:rPr>
          <w:rFonts w:hint="eastAsia" w:ascii="宋体" w:hAnsi="宋体" w:cs="宋体"/>
          <w:b w:val="0"/>
          <w:bCs w:val="0"/>
          <w:sz w:val="24"/>
          <w:szCs w:val="24"/>
          <w:highlight w:val="none"/>
          <w:lang w:val="en-US" w:eastAsia="zh-CN"/>
        </w:rPr>
        <w:t>提供一套从数据采集、多维度分析、智能诊断到报告管理的完整解决方案，旨在通过深度解析振动信号，实现对旋转设备机械故障的精准定位与根因分析。</w:t>
      </w:r>
    </w:p>
    <w:p w14:paraId="0ACA6D41">
      <w:pPr>
        <w:numPr>
          <w:ilvl w:val="0"/>
          <w:numId w:val="39"/>
        </w:numPr>
        <w:spacing w:after="0" w:line="500" w:lineRule="exact"/>
        <w:ind w:left="0" w:leftChars="0" w:firstLine="484" w:firstLineChars="201"/>
        <w:rPr>
          <w:rFonts w:hint="default" w:ascii="宋体" w:hAnsi="宋体" w:cs="宋体"/>
          <w:b/>
          <w:bCs/>
          <w:sz w:val="24"/>
          <w:szCs w:val="24"/>
          <w:highlight w:val="none"/>
          <w:lang w:val="en-US" w:eastAsia="zh-CN"/>
        </w:rPr>
      </w:pPr>
      <w:r>
        <w:rPr>
          <w:rFonts w:hint="eastAsia" w:ascii="宋体" w:hAnsi="宋体" w:cs="宋体"/>
          <w:b/>
          <w:bCs/>
          <w:sz w:val="24"/>
          <w:szCs w:val="24"/>
          <w:highlight w:val="none"/>
          <w:lang w:val="en-US" w:eastAsia="zh-CN"/>
        </w:rPr>
        <w:t>数据集成与图谱分析功能：</w:t>
      </w:r>
      <w:r>
        <w:rPr>
          <w:rFonts w:hint="eastAsia" w:ascii="宋体" w:hAnsi="宋体" w:cs="宋体"/>
          <w:b w:val="0"/>
          <w:bCs w:val="0"/>
          <w:sz w:val="24"/>
          <w:szCs w:val="24"/>
          <w:highlight w:val="none"/>
          <w:lang w:val="en-US" w:eastAsia="zh-CN"/>
        </w:rPr>
        <w:t>支持从在线监测系统获取振动数据，具备全面的图谱显示与分析功能，包括时域分析、频域分析、解调分析、瞬态与过程分析（如瀑布图、阶次分析、倒谱分析），提供综合诊断视图：总貌图、趋势分析、多测点趋势、交叉相位</w:t>
      </w:r>
      <w:r>
        <w:rPr>
          <w:rFonts w:hint="eastAsia" w:ascii="宋体" w:hAnsi="宋体" w:cs="宋体"/>
          <w:sz w:val="24"/>
          <w:szCs w:val="24"/>
          <w:highlight w:val="none"/>
          <w:lang w:val="en-US" w:eastAsia="zh-CN"/>
        </w:rPr>
        <w:t>。</w:t>
      </w:r>
    </w:p>
    <w:p w14:paraId="219F57AD">
      <w:pPr>
        <w:numPr>
          <w:ilvl w:val="0"/>
          <w:numId w:val="39"/>
        </w:numPr>
        <w:spacing w:after="0" w:line="500" w:lineRule="exact"/>
        <w:ind w:left="0" w:leftChars="0" w:firstLine="484" w:firstLineChars="201"/>
        <w:rPr>
          <w:rFonts w:hint="default" w:ascii="宋体" w:hAnsi="宋体" w:cs="宋体"/>
          <w:b/>
          <w:bCs/>
          <w:sz w:val="24"/>
          <w:szCs w:val="24"/>
          <w:highlight w:val="none"/>
          <w:lang w:val="en-US" w:eastAsia="zh-CN"/>
        </w:rPr>
      </w:pPr>
      <w:r>
        <w:rPr>
          <w:rFonts w:hint="eastAsia" w:ascii="宋体" w:hAnsi="宋体" w:cs="宋体"/>
          <w:b/>
          <w:bCs/>
          <w:sz w:val="24"/>
          <w:szCs w:val="24"/>
          <w:highlight w:val="none"/>
          <w:lang w:val="en-US" w:eastAsia="zh-CN"/>
        </w:rPr>
        <w:t>智能诊断与特征管理</w:t>
      </w:r>
      <w:r>
        <w:rPr>
          <w:rFonts w:hint="default" w:ascii="宋体" w:hAnsi="宋体" w:cs="宋体"/>
          <w:b/>
          <w:bCs/>
          <w:sz w:val="24"/>
          <w:szCs w:val="24"/>
          <w:highlight w:val="none"/>
          <w:lang w:val="en-US" w:eastAsia="zh-CN"/>
        </w:rPr>
        <w:t>：</w:t>
      </w:r>
      <w:r>
        <w:rPr>
          <w:rFonts w:hint="default" w:ascii="宋体" w:hAnsi="宋体" w:cs="宋体"/>
          <w:sz w:val="24"/>
          <w:szCs w:val="24"/>
          <w:highlight w:val="none"/>
          <w:lang w:val="en-US" w:eastAsia="zh-CN"/>
        </w:rPr>
        <w:t>能够自动从高频振动信号中提取与设备结构相关的故障特征，包括但不限于1X、2X幅值及相位、边频带、以及轴承各部件的特征频率。基于内置的专家知识库与故障机理模型，自动匹配图谱特征，提供初步的诊断结论（如“疑似轴承外圈故障”）与维护建议。支持将健康状态下的图谱设为标准图谱，并可与实时或历史图谱进行比对，快速识别状态变化与异常。</w:t>
      </w:r>
    </w:p>
    <w:p w14:paraId="52329468">
      <w:pPr>
        <w:numPr>
          <w:ilvl w:val="0"/>
          <w:numId w:val="39"/>
        </w:numPr>
        <w:spacing w:after="0" w:line="500" w:lineRule="exact"/>
        <w:ind w:left="0" w:leftChars="0" w:firstLine="484" w:firstLineChars="201"/>
        <w:rPr>
          <w:rFonts w:hint="default" w:ascii="宋体" w:hAnsi="宋体" w:cs="宋体"/>
          <w:b w:val="0"/>
          <w:bCs w:val="0"/>
          <w:sz w:val="24"/>
          <w:szCs w:val="24"/>
          <w:highlight w:val="none"/>
          <w:lang w:val="en-US" w:eastAsia="zh-CN"/>
        </w:rPr>
      </w:pPr>
      <w:r>
        <w:rPr>
          <w:rFonts w:hint="default" w:ascii="宋体" w:hAnsi="宋体" w:cs="宋体"/>
          <w:b/>
          <w:bCs/>
          <w:sz w:val="24"/>
          <w:szCs w:val="24"/>
          <w:highlight w:val="none"/>
          <w:lang w:val="en-US" w:eastAsia="zh-CN"/>
        </w:rPr>
        <w:t>交互操作与报告生成：</w:t>
      </w:r>
      <w:r>
        <w:rPr>
          <w:rFonts w:hint="default" w:ascii="宋体" w:hAnsi="宋体" w:cs="宋体"/>
          <w:b w:val="0"/>
          <w:bCs w:val="0"/>
          <w:sz w:val="24"/>
          <w:szCs w:val="24"/>
          <w:highlight w:val="none"/>
          <w:lang w:val="en-US" w:eastAsia="zh-CN"/>
        </w:rPr>
        <w:t>支持自动/手动XY轴缩放、游标选择（精确读取数据点）、全屏展示。支持在图谱上添加标注，记录关键发现；并能在图中显示报警事件标记与报警线，直观展示超限情况。支持将分析图谱导出为图片；并可根据分析结果，一键生成包含关键图谱、诊断结论与维护建议的结构化诊断报告。</w:t>
      </w:r>
    </w:p>
    <w:p w14:paraId="151EBC92">
      <w:pPr>
        <w:numPr>
          <w:ilvl w:val="2"/>
          <w:numId w:val="37"/>
        </w:numPr>
        <w:tabs>
          <w:tab w:val="clear" w:pos="420"/>
        </w:tabs>
        <w:spacing w:after="0" w:line="500" w:lineRule="exact"/>
        <w:ind w:left="0" w:leftChars="0" w:firstLine="484" w:firstLineChars="201"/>
        <w:rPr>
          <w:rFonts w:hint="default" w:ascii="宋体" w:hAnsi="宋体" w:cs="宋体"/>
          <w:b/>
          <w:bCs/>
          <w:sz w:val="24"/>
          <w:szCs w:val="24"/>
          <w:highlight w:val="none"/>
          <w:lang w:val="en-US" w:eastAsia="zh-CN"/>
        </w:rPr>
      </w:pPr>
      <w:r>
        <w:rPr>
          <w:rFonts w:hint="eastAsia" w:ascii="宋体" w:hAnsi="宋体" w:cs="宋体"/>
          <w:b/>
          <w:bCs/>
          <w:sz w:val="24"/>
          <w:szCs w:val="24"/>
          <w:highlight w:val="none"/>
          <w:lang w:val="en-US" w:eastAsia="zh-CN"/>
        </w:rPr>
        <w:t>多层次智能预警体系：</w:t>
      </w:r>
      <w:r>
        <w:rPr>
          <w:rFonts w:hint="eastAsia" w:ascii="宋体" w:hAnsi="宋体" w:cs="宋体"/>
          <w:b w:val="0"/>
          <w:bCs w:val="0"/>
          <w:sz w:val="24"/>
          <w:szCs w:val="24"/>
          <w:highlight w:val="none"/>
          <w:lang w:val="en-US" w:eastAsia="zh-CN"/>
        </w:rPr>
        <w:t>基于核心分析能力，系统需建立覆盖参数、设备、工况的多层次智能预警体系，实现从微观参数到宏观工况的全方位监控。</w:t>
      </w:r>
    </w:p>
    <w:p w14:paraId="3C255A91">
      <w:pPr>
        <w:numPr>
          <w:ilvl w:val="0"/>
          <w:numId w:val="39"/>
        </w:numPr>
        <w:spacing w:after="0" w:line="500" w:lineRule="exact"/>
        <w:ind w:left="0" w:leftChars="0" w:firstLine="484" w:firstLineChars="201"/>
        <w:rPr>
          <w:rFonts w:hint="default" w:ascii="宋体" w:hAnsi="宋体" w:cs="宋体"/>
          <w:b/>
          <w:bCs/>
          <w:sz w:val="24"/>
          <w:szCs w:val="24"/>
          <w:highlight w:val="none"/>
          <w:lang w:val="en-US" w:eastAsia="zh-CN"/>
        </w:rPr>
      </w:pPr>
      <w:r>
        <w:rPr>
          <w:rFonts w:hint="eastAsia" w:ascii="宋体" w:hAnsi="宋体" w:cs="宋体"/>
          <w:b/>
          <w:bCs/>
          <w:sz w:val="24"/>
          <w:szCs w:val="24"/>
          <w:highlight w:val="none"/>
          <w:lang w:val="en-US" w:eastAsia="zh-CN"/>
        </w:rPr>
        <w:t>参数劣化预警：</w:t>
      </w:r>
      <w:r>
        <w:rPr>
          <w:rFonts w:hint="eastAsia" w:ascii="宋体" w:hAnsi="宋体" w:cs="宋体"/>
          <w:sz w:val="24"/>
          <w:szCs w:val="24"/>
          <w:highlight w:val="none"/>
          <w:lang w:val="en-US" w:eastAsia="zh-CN"/>
        </w:rPr>
        <w:t>实现设备参数数据质量智能识别、特征参数劣化趋势预警、参数变化率预警及绝对值超限预警。</w:t>
      </w:r>
    </w:p>
    <w:p w14:paraId="64026B47">
      <w:pPr>
        <w:numPr>
          <w:ilvl w:val="0"/>
          <w:numId w:val="39"/>
        </w:numPr>
        <w:spacing w:after="0" w:line="500" w:lineRule="exact"/>
        <w:ind w:left="0" w:leftChars="0" w:firstLine="484" w:firstLineChars="201"/>
        <w:rPr>
          <w:rFonts w:hint="default" w:ascii="宋体" w:hAnsi="宋体" w:cs="宋体"/>
          <w:b/>
          <w:bCs/>
          <w:sz w:val="24"/>
          <w:szCs w:val="24"/>
          <w:highlight w:val="none"/>
          <w:lang w:val="en-US" w:eastAsia="zh-CN"/>
        </w:rPr>
      </w:pPr>
      <w:r>
        <w:rPr>
          <w:rFonts w:hint="default" w:ascii="宋体" w:hAnsi="宋体" w:cs="宋体"/>
          <w:b/>
          <w:bCs/>
          <w:sz w:val="24"/>
          <w:szCs w:val="24"/>
          <w:highlight w:val="none"/>
          <w:lang w:val="en-US" w:eastAsia="zh-CN"/>
        </w:rPr>
        <w:t>设备跳停预警：</w:t>
      </w:r>
      <w:r>
        <w:rPr>
          <w:rFonts w:hint="default" w:ascii="宋体" w:hAnsi="宋体" w:cs="宋体"/>
          <w:sz w:val="24"/>
          <w:szCs w:val="24"/>
          <w:highlight w:val="none"/>
          <w:lang w:val="en-US" w:eastAsia="zh-CN"/>
        </w:rPr>
        <w:t>基于大数据劣化计算模型，能够在参数出现明显异常前，通过识别微小的偏离趋势，预测因设备缓慢劣化（如磨损、效率下降）导致的渐进性故障，并在触发保护跳闸阈值之前提前预警。</w:t>
      </w:r>
    </w:p>
    <w:p w14:paraId="6EBAD57F">
      <w:pPr>
        <w:numPr>
          <w:ilvl w:val="0"/>
          <w:numId w:val="39"/>
        </w:numPr>
        <w:spacing w:after="0" w:line="500" w:lineRule="exact"/>
        <w:ind w:left="0" w:leftChars="0" w:firstLine="484" w:firstLineChars="201"/>
        <w:rPr>
          <w:rFonts w:hint="default" w:ascii="宋体" w:hAnsi="宋体" w:cs="宋体"/>
          <w:b/>
          <w:bCs/>
          <w:sz w:val="24"/>
          <w:szCs w:val="24"/>
          <w:highlight w:val="none"/>
          <w:lang w:val="en-US" w:eastAsia="zh-CN"/>
        </w:rPr>
      </w:pPr>
      <w:r>
        <w:rPr>
          <w:rFonts w:hint="default" w:ascii="宋体" w:hAnsi="宋体" w:cs="宋体"/>
          <w:b/>
          <w:bCs/>
          <w:sz w:val="24"/>
          <w:szCs w:val="24"/>
          <w:highlight w:val="none"/>
          <w:lang w:val="en-US" w:eastAsia="zh-CN"/>
        </w:rPr>
        <w:t>工况劣化预警：</w:t>
      </w:r>
      <w:r>
        <w:rPr>
          <w:rFonts w:hint="default" w:ascii="宋体" w:hAnsi="宋体" w:cs="宋体"/>
          <w:sz w:val="24"/>
          <w:szCs w:val="24"/>
          <w:highlight w:val="none"/>
          <w:lang w:val="en-US" w:eastAsia="zh-CN"/>
        </w:rPr>
        <w:t>自动评估并可视化展示设备当前运行工况的健康程度，对工况的整体劣化进行预警。</w:t>
      </w:r>
    </w:p>
    <w:p w14:paraId="2B2A041A">
      <w:pPr>
        <w:numPr>
          <w:ilvl w:val="2"/>
          <w:numId w:val="37"/>
        </w:numPr>
        <w:tabs>
          <w:tab w:val="clear" w:pos="420"/>
        </w:tabs>
        <w:spacing w:after="0" w:line="500" w:lineRule="exact"/>
        <w:ind w:left="0" w:leftChars="0" w:firstLine="484" w:firstLineChars="201"/>
        <w:rPr>
          <w:rFonts w:hint="default" w:ascii="宋体" w:hAnsi="宋体" w:cs="宋体"/>
          <w:b/>
          <w:bCs/>
          <w:sz w:val="24"/>
          <w:szCs w:val="24"/>
          <w:highlight w:val="none"/>
          <w:lang w:val="en-US" w:eastAsia="zh-CN"/>
        </w:rPr>
      </w:pPr>
      <w:r>
        <w:rPr>
          <w:rFonts w:hint="eastAsia" w:ascii="宋体" w:hAnsi="宋体" w:cs="宋体"/>
          <w:b/>
          <w:bCs/>
          <w:sz w:val="24"/>
          <w:szCs w:val="24"/>
          <w:highlight w:val="none"/>
          <w:lang w:val="en-US" w:eastAsia="zh-CN"/>
        </w:rPr>
        <w:t>维修与库存决策支持：</w:t>
      </w:r>
      <w:r>
        <w:rPr>
          <w:rFonts w:hint="eastAsia" w:ascii="宋体" w:hAnsi="宋体" w:cs="宋体"/>
          <w:b w:val="0"/>
          <w:bCs w:val="0"/>
          <w:sz w:val="24"/>
          <w:szCs w:val="24"/>
          <w:highlight w:val="none"/>
          <w:lang w:val="en-US" w:eastAsia="zh-CN"/>
        </w:rPr>
        <w:t>系统应能将分析预警结果转化为具体的维修行动与资源管理策略，形成管理闭环。</w:t>
      </w:r>
    </w:p>
    <w:p w14:paraId="2990F989">
      <w:pPr>
        <w:numPr>
          <w:ilvl w:val="0"/>
          <w:numId w:val="40"/>
        </w:numPr>
        <w:spacing w:after="0" w:line="500" w:lineRule="exact"/>
        <w:ind w:left="0" w:leftChars="0" w:firstLine="484" w:firstLineChars="201"/>
        <w:rPr>
          <w:rFonts w:hint="default" w:ascii="宋体" w:hAnsi="宋体" w:cs="宋体"/>
          <w:b/>
          <w:bCs/>
          <w:sz w:val="24"/>
          <w:szCs w:val="24"/>
          <w:highlight w:val="none"/>
          <w:lang w:val="en-US" w:eastAsia="zh-CN"/>
        </w:rPr>
      </w:pPr>
      <w:r>
        <w:rPr>
          <w:rFonts w:hint="eastAsia" w:ascii="宋体" w:hAnsi="宋体" w:cs="宋体"/>
          <w:b/>
          <w:bCs/>
          <w:sz w:val="24"/>
          <w:szCs w:val="24"/>
          <w:highlight w:val="none"/>
          <w:lang w:val="en-US" w:eastAsia="zh-CN"/>
        </w:rPr>
        <w:t>预测性维护规划：</w:t>
      </w:r>
      <w:r>
        <w:rPr>
          <w:rFonts w:hint="eastAsia" w:ascii="宋体" w:hAnsi="宋体" w:cs="宋体"/>
          <w:b w:val="0"/>
          <w:bCs w:val="0"/>
          <w:sz w:val="24"/>
          <w:szCs w:val="24"/>
          <w:highlight w:val="none"/>
          <w:lang w:val="en-US" w:eastAsia="zh-CN"/>
        </w:rPr>
        <w:t>基于设备历史数据、实时运行数据及AI预测结果，实现对设备未来状态的研判，预测故障异常及性能变化，并据此自动生成或驱动相应的预测性维护工作指令，实现从定期维护向预测性维护的转变。</w:t>
      </w:r>
    </w:p>
    <w:p w14:paraId="4FD3E2A8">
      <w:pPr>
        <w:numPr>
          <w:ilvl w:val="0"/>
          <w:numId w:val="40"/>
        </w:numPr>
        <w:spacing w:after="0" w:line="500" w:lineRule="exact"/>
        <w:ind w:left="0" w:leftChars="0" w:firstLine="484" w:firstLineChars="201"/>
        <w:rPr>
          <w:rFonts w:hint="default" w:ascii="宋体" w:hAnsi="宋体" w:cs="宋体"/>
          <w:b/>
          <w:bCs/>
          <w:sz w:val="24"/>
          <w:szCs w:val="24"/>
          <w:highlight w:val="none"/>
          <w:lang w:val="en-US" w:eastAsia="zh-CN"/>
        </w:rPr>
      </w:pPr>
      <w:r>
        <w:rPr>
          <w:rFonts w:hint="default" w:ascii="宋体" w:hAnsi="宋体" w:cs="宋体"/>
          <w:b/>
          <w:bCs/>
          <w:sz w:val="24"/>
          <w:szCs w:val="24"/>
          <w:highlight w:val="none"/>
          <w:lang w:val="en-US" w:eastAsia="zh-CN"/>
        </w:rPr>
        <w:t>缺陷隐患根因分析：</w:t>
      </w:r>
      <w:r>
        <w:rPr>
          <w:rFonts w:hint="default" w:ascii="宋体" w:hAnsi="宋体" w:cs="宋体"/>
          <w:b w:val="0"/>
          <w:bCs w:val="0"/>
          <w:sz w:val="24"/>
          <w:szCs w:val="24"/>
          <w:highlight w:val="none"/>
          <w:lang w:val="en-US" w:eastAsia="zh-CN"/>
        </w:rPr>
        <w:t>对重复发生的缺陷进行技术与管理层面的根本原因分析，辅助制定并跟踪预控措施，从源头降低缺陷发生率。</w:t>
      </w:r>
    </w:p>
    <w:p w14:paraId="75BF32E0">
      <w:pPr>
        <w:numPr>
          <w:ilvl w:val="0"/>
          <w:numId w:val="40"/>
        </w:numPr>
        <w:spacing w:after="0" w:line="500" w:lineRule="exact"/>
        <w:ind w:left="0" w:leftChars="0" w:firstLine="484" w:firstLineChars="201"/>
        <w:rPr>
          <w:rFonts w:hint="default" w:ascii="宋体" w:hAnsi="宋体" w:cs="宋体"/>
          <w:b/>
          <w:bCs/>
          <w:sz w:val="24"/>
          <w:szCs w:val="24"/>
          <w:highlight w:val="none"/>
          <w:lang w:val="en-US" w:eastAsia="zh-CN"/>
        </w:rPr>
      </w:pPr>
      <w:r>
        <w:rPr>
          <w:rFonts w:hint="default" w:ascii="宋体" w:hAnsi="宋体" w:cs="宋体"/>
          <w:b/>
          <w:bCs/>
          <w:sz w:val="24"/>
          <w:szCs w:val="24"/>
          <w:highlight w:val="none"/>
          <w:lang w:val="en-US" w:eastAsia="zh-CN"/>
        </w:rPr>
        <w:t>备件库存智能分析：</w:t>
      </w:r>
      <w:r>
        <w:rPr>
          <w:rFonts w:hint="default" w:ascii="宋体" w:hAnsi="宋体" w:cs="宋体"/>
          <w:b w:val="0"/>
          <w:bCs w:val="0"/>
          <w:sz w:val="24"/>
          <w:szCs w:val="24"/>
          <w:highlight w:val="none"/>
          <w:lang w:val="en-US" w:eastAsia="zh-CN"/>
        </w:rPr>
        <w:t>通过算法分析各设备备件的消耗规律与设备劣化趋势，智能计算经济订购量，并结合安全库存建议与算法优化的库存上下限，实现库存缺货与积压的AI智能预警。</w:t>
      </w:r>
    </w:p>
    <w:p w14:paraId="6CC8376A">
      <w:pPr>
        <w:numPr>
          <w:ilvl w:val="2"/>
          <w:numId w:val="37"/>
        </w:numPr>
        <w:tabs>
          <w:tab w:val="clear" w:pos="420"/>
        </w:tabs>
        <w:spacing w:after="0" w:line="500" w:lineRule="exact"/>
        <w:ind w:left="0" w:leftChars="0" w:firstLine="484" w:firstLineChars="201"/>
        <w:rPr>
          <w:rFonts w:hint="default" w:ascii="宋体" w:hAnsi="宋体" w:cs="宋体"/>
          <w:b/>
          <w:bCs/>
          <w:sz w:val="24"/>
          <w:szCs w:val="24"/>
          <w:highlight w:val="none"/>
          <w:lang w:val="en-US" w:eastAsia="zh-CN"/>
        </w:rPr>
      </w:pPr>
      <w:r>
        <w:rPr>
          <w:rFonts w:hint="eastAsia" w:ascii="宋体" w:hAnsi="宋体" w:cs="宋体"/>
          <w:b/>
          <w:bCs/>
          <w:sz w:val="24"/>
          <w:szCs w:val="24"/>
          <w:highlight w:val="none"/>
          <w:lang w:val="en-US" w:eastAsia="zh-CN"/>
        </w:rPr>
        <w:t>统一智能报警管理：</w:t>
      </w:r>
      <w:r>
        <w:rPr>
          <w:rFonts w:hint="eastAsia" w:ascii="宋体" w:hAnsi="宋体" w:cs="宋体"/>
          <w:b w:val="0"/>
          <w:bCs w:val="0"/>
          <w:sz w:val="24"/>
          <w:szCs w:val="24"/>
          <w:highlight w:val="none"/>
          <w:lang w:val="en-US" w:eastAsia="zh-CN"/>
        </w:rPr>
        <w:t>系统需建立统一的、智能化的报警管理机制，以提升预警的有效性与用户体验。</w:t>
      </w:r>
    </w:p>
    <w:p w14:paraId="362B7E8E">
      <w:pPr>
        <w:numPr>
          <w:ilvl w:val="0"/>
          <w:numId w:val="41"/>
        </w:numPr>
        <w:spacing w:after="0" w:line="500" w:lineRule="exact"/>
        <w:ind w:left="0" w:leftChars="0" w:firstLine="484" w:firstLineChars="201"/>
        <w:rPr>
          <w:rFonts w:hint="default" w:ascii="宋体" w:hAnsi="宋体" w:cs="宋体"/>
          <w:b/>
          <w:bCs/>
          <w:sz w:val="24"/>
          <w:szCs w:val="24"/>
          <w:highlight w:val="none"/>
          <w:lang w:val="en-US" w:eastAsia="zh-CN"/>
        </w:rPr>
      </w:pPr>
      <w:r>
        <w:rPr>
          <w:rFonts w:hint="eastAsia" w:ascii="宋体" w:hAnsi="宋体" w:cs="宋体"/>
          <w:b/>
          <w:bCs/>
          <w:sz w:val="24"/>
          <w:szCs w:val="24"/>
          <w:highlight w:val="none"/>
          <w:lang w:val="en-US" w:eastAsia="zh-CN"/>
        </w:rPr>
        <w:t>多类型报警：</w:t>
      </w:r>
      <w:r>
        <w:rPr>
          <w:rFonts w:hint="eastAsia" w:ascii="宋体" w:hAnsi="宋体" w:cs="宋体"/>
          <w:b w:val="0"/>
          <w:bCs w:val="0"/>
          <w:sz w:val="24"/>
          <w:szCs w:val="24"/>
          <w:highlight w:val="none"/>
          <w:lang w:val="en-US" w:eastAsia="zh-CN"/>
        </w:rPr>
        <w:t>支持绝对值报警、变化率报警、趋势报警、分频段报警等多种方式，并可独立开启与配置。</w:t>
      </w:r>
    </w:p>
    <w:p w14:paraId="1101806A">
      <w:pPr>
        <w:numPr>
          <w:ilvl w:val="0"/>
          <w:numId w:val="41"/>
        </w:numPr>
        <w:spacing w:after="0" w:line="500" w:lineRule="exact"/>
        <w:ind w:left="0" w:leftChars="0" w:firstLine="484" w:firstLineChars="201"/>
        <w:rPr>
          <w:rFonts w:hint="default" w:ascii="宋体" w:hAnsi="宋体" w:cs="宋体"/>
          <w:b/>
          <w:bCs/>
          <w:sz w:val="24"/>
          <w:szCs w:val="24"/>
          <w:highlight w:val="none"/>
          <w:lang w:val="en-US" w:eastAsia="zh-CN"/>
        </w:rPr>
      </w:pPr>
      <w:r>
        <w:rPr>
          <w:rFonts w:hint="eastAsia" w:ascii="宋体" w:hAnsi="宋体" w:cs="宋体"/>
          <w:b/>
          <w:bCs/>
          <w:sz w:val="24"/>
          <w:szCs w:val="24"/>
          <w:highlight w:val="none"/>
          <w:lang w:val="en-US" w:eastAsia="zh-CN"/>
        </w:rPr>
        <w:t>报警优化与分级</w:t>
      </w:r>
      <w:r>
        <w:rPr>
          <w:rFonts w:hint="default" w:ascii="宋体" w:hAnsi="宋体" w:cs="宋体"/>
          <w:b/>
          <w:bCs/>
          <w:sz w:val="24"/>
          <w:szCs w:val="24"/>
          <w:highlight w:val="none"/>
          <w:lang w:val="en-US" w:eastAsia="zh-CN"/>
        </w:rPr>
        <w:t>：</w:t>
      </w:r>
      <w:r>
        <w:rPr>
          <w:rFonts w:hint="default" w:ascii="宋体" w:hAnsi="宋体" w:cs="宋体"/>
          <w:b w:val="0"/>
          <w:bCs w:val="0"/>
          <w:sz w:val="24"/>
          <w:szCs w:val="24"/>
          <w:highlight w:val="none"/>
          <w:lang w:val="en-US" w:eastAsia="zh-CN"/>
        </w:rPr>
        <w:t>通过完整的报警体系，大幅降低漏报和误报，有效减少重复报警。系统应依据</w:t>
      </w:r>
      <w:r>
        <w:rPr>
          <w:rFonts w:hint="eastAsia" w:ascii="宋体" w:hAnsi="宋体" w:cs="宋体"/>
          <w:b w:val="0"/>
          <w:bCs w:val="0"/>
          <w:sz w:val="24"/>
          <w:szCs w:val="24"/>
          <w:highlight w:val="none"/>
          <w:lang w:val="en-US" w:eastAsia="zh-CN"/>
        </w:rPr>
        <w:t>报警的</w:t>
      </w:r>
      <w:r>
        <w:rPr>
          <w:rFonts w:hint="default" w:ascii="宋体" w:hAnsi="宋体" w:cs="宋体"/>
          <w:b w:val="0"/>
          <w:bCs w:val="0"/>
          <w:sz w:val="24"/>
          <w:szCs w:val="24"/>
          <w:highlight w:val="none"/>
          <w:lang w:val="en-US" w:eastAsia="zh-CN"/>
        </w:rPr>
        <w:t>严重程度与劣化速度，对报警信息进行</w:t>
      </w:r>
      <w:r>
        <w:rPr>
          <w:rFonts w:hint="eastAsia" w:ascii="宋体" w:hAnsi="宋体" w:cs="宋体"/>
          <w:b w:val="0"/>
          <w:bCs w:val="0"/>
          <w:sz w:val="24"/>
          <w:szCs w:val="24"/>
          <w:highlight w:val="none"/>
          <w:lang w:val="en-US" w:eastAsia="zh-CN"/>
        </w:rPr>
        <w:t>智能</w:t>
      </w:r>
      <w:r>
        <w:rPr>
          <w:rFonts w:hint="default" w:ascii="宋体" w:hAnsi="宋体" w:cs="宋体"/>
          <w:b w:val="0"/>
          <w:bCs w:val="0"/>
          <w:sz w:val="24"/>
          <w:szCs w:val="24"/>
          <w:highlight w:val="none"/>
          <w:lang w:val="en-US" w:eastAsia="zh-CN"/>
        </w:rPr>
        <w:t>分级</w:t>
      </w:r>
      <w:r>
        <w:rPr>
          <w:rFonts w:hint="eastAsia" w:ascii="宋体" w:hAnsi="宋体" w:cs="宋体"/>
          <w:b w:val="0"/>
          <w:bCs w:val="0"/>
          <w:sz w:val="24"/>
          <w:szCs w:val="24"/>
          <w:highlight w:val="none"/>
          <w:lang w:val="en-US" w:eastAsia="zh-CN"/>
        </w:rPr>
        <w:t>与</w:t>
      </w:r>
      <w:r>
        <w:rPr>
          <w:rFonts w:hint="default" w:ascii="宋体" w:hAnsi="宋体" w:cs="宋体"/>
          <w:b w:val="0"/>
          <w:bCs w:val="0"/>
          <w:sz w:val="24"/>
          <w:szCs w:val="24"/>
          <w:highlight w:val="none"/>
          <w:lang w:val="en-US" w:eastAsia="zh-CN"/>
        </w:rPr>
        <w:t>推送，确保最严重的报警被最优先关注和处理。</w:t>
      </w:r>
    </w:p>
    <w:p w14:paraId="7D85CF6C">
      <w:pPr>
        <w:pStyle w:val="4"/>
        <w:numPr>
          <w:ilvl w:val="1"/>
          <w:numId w:val="9"/>
        </w:numPr>
        <w:spacing w:before="0" w:line="500" w:lineRule="exact"/>
        <w:ind w:left="567" w:leftChars="0" w:hanging="567" w:firstLineChars="0"/>
        <w:rPr>
          <w:rFonts w:hint="eastAsia" w:ascii="宋体" w:hAnsi="宋体" w:cs="宋体"/>
          <w:b/>
          <w:bCs/>
          <w:color w:val="auto"/>
          <w:sz w:val="28"/>
          <w:szCs w:val="28"/>
          <w:highlight w:val="none"/>
          <w:lang w:val="en-US" w:eastAsia="zh-CN"/>
        </w:rPr>
      </w:pPr>
      <w:bookmarkStart w:id="32" w:name="_Toc9778"/>
      <w:r>
        <w:rPr>
          <w:rFonts w:hint="eastAsia" w:ascii="宋体" w:hAnsi="宋体" w:cs="宋体"/>
          <w:b/>
          <w:bCs/>
          <w:color w:val="auto"/>
          <w:sz w:val="28"/>
          <w:szCs w:val="28"/>
          <w:highlight w:val="none"/>
          <w:lang w:val="en-US" w:eastAsia="zh-CN"/>
        </w:rPr>
        <w:t>外部系统集成</w:t>
      </w:r>
      <w:bookmarkEnd w:id="32"/>
    </w:p>
    <w:p w14:paraId="3712030B">
      <w:pPr>
        <w:widowControl w:val="0"/>
        <w:spacing w:after="0" w:line="500" w:lineRule="exact"/>
        <w:ind w:firstLine="561"/>
        <w:jc w:val="both"/>
        <w:rPr>
          <w:rFonts w:hint="eastAsia" w:ascii="宋体" w:hAnsi="宋体" w:cs="宋体"/>
          <w:snapToGrid w:val="0"/>
          <w:kern w:val="10"/>
          <w:sz w:val="24"/>
          <w:szCs w:val="24"/>
          <w:highlight w:val="none"/>
          <w:lang w:eastAsia="zh-CN"/>
        </w:rPr>
      </w:pPr>
      <w:r>
        <w:rPr>
          <w:rFonts w:hint="eastAsia" w:ascii="宋体" w:hAnsi="宋体" w:cs="宋体"/>
          <w:snapToGrid w:val="0"/>
          <w:kern w:val="10"/>
          <w:sz w:val="24"/>
          <w:szCs w:val="24"/>
          <w:highlight w:val="none"/>
        </w:rPr>
        <w:t>与工业互联网集成平台实现系统实时交互，系统应能够与</w:t>
      </w:r>
      <w:r>
        <w:rPr>
          <w:rFonts w:hint="eastAsia" w:ascii="宋体" w:hAnsi="宋体" w:cs="宋体"/>
          <w:snapToGrid w:val="0"/>
          <w:kern w:val="10"/>
          <w:sz w:val="24"/>
          <w:szCs w:val="24"/>
          <w:highlight w:val="none"/>
          <w:lang w:eastAsia="zh-CN"/>
        </w:rPr>
        <w:t>发包方</w:t>
      </w:r>
      <w:r>
        <w:rPr>
          <w:rFonts w:hint="eastAsia" w:ascii="宋体" w:hAnsi="宋体" w:cs="宋体"/>
          <w:snapToGrid w:val="0"/>
          <w:kern w:val="10"/>
          <w:sz w:val="24"/>
          <w:szCs w:val="24"/>
          <w:highlight w:val="none"/>
        </w:rPr>
        <w:t>现有的工业互联网平台进行集成。通过标准的接口协议（如Web Service、RESTful API等），实现设备管理数据与其他系统数据的交互共享。打通用友BIP、MES制造执行系统、北京英华达</w:t>
      </w:r>
      <w:r>
        <w:rPr>
          <w:rFonts w:hint="eastAsia" w:ascii="宋体" w:hAnsi="宋体" w:cs="宋体"/>
          <w:snapToGrid w:val="0"/>
          <w:kern w:val="10"/>
          <w:sz w:val="24"/>
          <w:szCs w:val="24"/>
          <w:highlight w:val="none"/>
          <w:lang w:val="en-US" w:eastAsia="zh-CN"/>
        </w:rPr>
        <w:t>CMMS系统、</w:t>
      </w:r>
      <w:r>
        <w:rPr>
          <w:rFonts w:hint="eastAsia" w:ascii="宋体" w:hAnsi="宋体" w:cs="宋体"/>
          <w:snapToGrid w:val="0"/>
          <w:kern w:val="10"/>
          <w:sz w:val="24"/>
          <w:szCs w:val="24"/>
          <w:highlight w:val="none"/>
        </w:rPr>
        <w:t>LDAR泄露系统、</w:t>
      </w:r>
      <w:r>
        <w:rPr>
          <w:rFonts w:hint="eastAsia" w:ascii="宋体" w:hAnsi="宋体" w:cs="宋体"/>
          <w:snapToGrid w:val="0"/>
          <w:kern w:val="10"/>
          <w:sz w:val="24"/>
          <w:szCs w:val="24"/>
          <w:highlight w:val="none"/>
          <w:lang w:val="en-US" w:eastAsia="zh-CN"/>
        </w:rPr>
        <w:t>海顿</w:t>
      </w:r>
      <w:r>
        <w:rPr>
          <w:rFonts w:hint="eastAsia" w:ascii="宋体" w:hAnsi="宋体" w:cs="宋体"/>
          <w:snapToGrid w:val="0"/>
          <w:kern w:val="10"/>
          <w:sz w:val="24"/>
          <w:szCs w:val="24"/>
          <w:highlight w:val="none"/>
        </w:rPr>
        <w:t>安全管理信息数字化平台，围绕</w:t>
      </w:r>
      <w:r>
        <w:rPr>
          <w:rFonts w:hint="eastAsia" w:ascii="宋体" w:hAnsi="宋体" w:cs="宋体"/>
          <w:snapToGrid w:val="0"/>
          <w:kern w:val="10"/>
          <w:sz w:val="24"/>
          <w:szCs w:val="24"/>
          <w:highlight w:val="none"/>
          <w:lang w:val="en-US" w:eastAsia="zh-CN"/>
        </w:rPr>
        <w:t>设备管理系统</w:t>
      </w:r>
      <w:r>
        <w:rPr>
          <w:rFonts w:hint="eastAsia" w:ascii="宋体" w:hAnsi="宋体" w:cs="宋体"/>
          <w:snapToGrid w:val="0"/>
          <w:kern w:val="10"/>
          <w:sz w:val="24"/>
          <w:szCs w:val="24"/>
          <w:highlight w:val="none"/>
        </w:rPr>
        <w:t>为中心进行设备全生命周期管理</w:t>
      </w:r>
      <w:r>
        <w:rPr>
          <w:rFonts w:hint="eastAsia" w:ascii="宋体" w:hAnsi="宋体" w:cs="宋体"/>
          <w:snapToGrid w:val="0"/>
          <w:kern w:val="10"/>
          <w:sz w:val="24"/>
          <w:szCs w:val="24"/>
          <w:highlight w:val="none"/>
          <w:lang w:eastAsia="zh-CN"/>
        </w:rPr>
        <w:t>。</w:t>
      </w:r>
    </w:p>
    <w:p w14:paraId="28D1B217">
      <w:pPr>
        <w:pStyle w:val="4"/>
        <w:numPr>
          <w:ilvl w:val="1"/>
          <w:numId w:val="9"/>
        </w:numPr>
        <w:spacing w:before="0" w:line="500" w:lineRule="exact"/>
        <w:ind w:left="567" w:leftChars="0" w:hanging="567" w:firstLineChars="0"/>
        <w:rPr>
          <w:rFonts w:hint="eastAsia" w:ascii="宋体" w:hAnsi="宋体" w:cs="宋体"/>
          <w:b/>
          <w:bCs/>
          <w:color w:val="auto"/>
          <w:sz w:val="28"/>
          <w:szCs w:val="28"/>
          <w:highlight w:val="none"/>
          <w:lang w:val="en-US" w:eastAsia="zh-CN"/>
        </w:rPr>
      </w:pPr>
      <w:bookmarkStart w:id="33" w:name="_Toc2505"/>
      <w:r>
        <w:rPr>
          <w:rFonts w:hint="eastAsia" w:ascii="宋体" w:hAnsi="宋体" w:cs="宋体"/>
          <w:b/>
          <w:bCs/>
          <w:color w:val="auto"/>
          <w:sz w:val="28"/>
          <w:szCs w:val="28"/>
          <w:highlight w:val="none"/>
          <w:lang w:val="en-US" w:eastAsia="zh-CN"/>
        </w:rPr>
        <w:t>系统性能需求</w:t>
      </w:r>
      <w:bookmarkEnd w:id="33"/>
    </w:p>
    <w:p w14:paraId="3307B639">
      <w:pPr>
        <w:numPr>
          <w:ilvl w:val="2"/>
          <w:numId w:val="42"/>
        </w:numPr>
        <w:tabs>
          <w:tab w:val="clear" w:pos="420"/>
        </w:tabs>
        <w:spacing w:after="0" w:line="500" w:lineRule="exact"/>
        <w:ind w:left="9" w:leftChars="0" w:firstLine="471" w:firstLineChars="0"/>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系统架构：</w:t>
      </w:r>
      <w:r>
        <w:rPr>
          <w:rFonts w:hint="eastAsia" w:ascii="宋体" w:hAnsi="宋体" w:cs="宋体"/>
          <w:sz w:val="24"/>
          <w:szCs w:val="24"/>
          <w:highlight w:val="none"/>
          <w:lang w:val="en-US" w:eastAsia="zh-CN"/>
        </w:rPr>
        <w:t>B/S 架构，满足可靠、集成、兼容、可扩展、可维护、安全要求。</w:t>
      </w:r>
    </w:p>
    <w:p w14:paraId="582BDBCF">
      <w:pPr>
        <w:numPr>
          <w:ilvl w:val="2"/>
          <w:numId w:val="42"/>
        </w:numPr>
        <w:tabs>
          <w:tab w:val="clear" w:pos="420"/>
        </w:tabs>
        <w:spacing w:after="0" w:line="500" w:lineRule="exact"/>
        <w:ind w:left="9" w:leftChars="0" w:firstLine="471" w:firstLineChars="0"/>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服务器架构要点</w:t>
      </w:r>
      <w:r>
        <w:rPr>
          <w:rFonts w:hint="eastAsia" w:ascii="宋体" w:hAnsi="宋体" w:cs="宋体"/>
          <w:sz w:val="24"/>
          <w:szCs w:val="24"/>
          <w:highlight w:val="none"/>
          <w:lang w:val="en-US" w:eastAsia="zh-CN"/>
        </w:rPr>
        <w:t>：高可用性要求：应用层通过负载均衡器将流量分发到多台服务器，任何一台服务器宕机不影响服务；数据库层采用主从复制或集群方案，当主服务器宕机后，从库自动或手动切换为主库；分布式存储具有多副本机制，数据高可用。数据库优化包括合理的索引设计、SQL语句调优、查询缓存等；增加分布式缓存（如部署Redis）。</w:t>
      </w:r>
    </w:p>
    <w:p w14:paraId="37B06C31">
      <w:pPr>
        <w:numPr>
          <w:ilvl w:val="2"/>
          <w:numId w:val="42"/>
        </w:numPr>
        <w:tabs>
          <w:tab w:val="clear" w:pos="420"/>
        </w:tabs>
        <w:spacing w:after="0" w:line="500" w:lineRule="exact"/>
        <w:ind w:left="9" w:leftChars="0" w:firstLine="471" w:firstLineChars="0"/>
        <w:rPr>
          <w:rFonts w:hint="default" w:ascii="宋体" w:hAnsi="宋体" w:cs="宋体"/>
          <w:sz w:val="24"/>
          <w:szCs w:val="24"/>
          <w:highlight w:val="none"/>
          <w:lang w:val="en-US" w:eastAsia="zh-CN"/>
        </w:rPr>
      </w:pPr>
      <w:r>
        <w:rPr>
          <w:rFonts w:hint="default" w:ascii="宋体" w:hAnsi="宋体" w:cs="宋体"/>
          <w:b/>
          <w:bCs/>
          <w:sz w:val="24"/>
          <w:szCs w:val="24"/>
          <w:highlight w:val="none"/>
          <w:lang w:val="en-US" w:eastAsia="zh-CN"/>
        </w:rPr>
        <w:t>模块化设计</w:t>
      </w:r>
      <w:r>
        <w:rPr>
          <w:rFonts w:hint="default" w:ascii="宋体" w:hAnsi="宋体" w:cs="宋体"/>
          <w:sz w:val="24"/>
          <w:szCs w:val="24"/>
          <w:highlight w:val="none"/>
          <w:lang w:val="en-US" w:eastAsia="zh-CN"/>
        </w:rPr>
        <w:t>：各功能模块</w:t>
      </w:r>
      <w:r>
        <w:rPr>
          <w:rFonts w:hint="eastAsia" w:ascii="宋体" w:hAnsi="宋体" w:cs="宋体"/>
          <w:sz w:val="24"/>
          <w:szCs w:val="24"/>
          <w:highlight w:val="none"/>
          <w:lang w:val="en-US" w:eastAsia="zh-CN"/>
        </w:rPr>
        <w:t>独立部署、更新与扩展。</w:t>
      </w:r>
      <w:r>
        <w:rPr>
          <w:rFonts w:hint="default" w:ascii="宋体" w:hAnsi="宋体" w:cs="宋体"/>
          <w:sz w:val="24"/>
          <w:szCs w:val="24"/>
          <w:highlight w:val="none"/>
          <w:lang w:val="en-US" w:eastAsia="zh-CN"/>
        </w:rPr>
        <w:t>支持根据业务需求的变化进行模块扩展或替换。例如，运维管理模块、专项管理模块、</w:t>
      </w:r>
      <w:r>
        <w:rPr>
          <w:rFonts w:hint="eastAsia" w:ascii="宋体" w:hAnsi="宋体" w:cs="宋体"/>
          <w:sz w:val="24"/>
          <w:szCs w:val="24"/>
          <w:highlight w:val="none"/>
          <w:lang w:val="en-US" w:eastAsia="zh-CN"/>
        </w:rPr>
        <w:t>精益</w:t>
      </w:r>
      <w:r>
        <w:rPr>
          <w:rFonts w:hint="default" w:ascii="宋体" w:hAnsi="宋体" w:cs="宋体"/>
          <w:sz w:val="24"/>
          <w:szCs w:val="24"/>
          <w:highlight w:val="none"/>
          <w:lang w:val="en-US" w:eastAsia="zh-CN"/>
        </w:rPr>
        <w:t>大修模块等应能够独立开发、部署和升级，同时又能与其他模块进行有效的集成。</w:t>
      </w:r>
    </w:p>
    <w:p w14:paraId="5B07335A">
      <w:pPr>
        <w:numPr>
          <w:ilvl w:val="2"/>
          <w:numId w:val="42"/>
        </w:numPr>
        <w:tabs>
          <w:tab w:val="clear" w:pos="420"/>
        </w:tabs>
        <w:spacing w:after="0" w:line="500" w:lineRule="exact"/>
        <w:ind w:left="9" w:leftChars="0" w:firstLine="471" w:firstLineChars="0"/>
        <w:rPr>
          <w:rFonts w:hint="default" w:ascii="宋体" w:hAnsi="宋体" w:cs="宋体"/>
          <w:sz w:val="24"/>
          <w:szCs w:val="24"/>
          <w:highlight w:val="none"/>
          <w:lang w:val="en-US" w:eastAsia="zh-CN"/>
        </w:rPr>
      </w:pPr>
      <w:r>
        <w:rPr>
          <w:rFonts w:hint="default" w:ascii="宋体" w:hAnsi="宋体" w:cs="宋体"/>
          <w:b/>
          <w:bCs/>
          <w:sz w:val="24"/>
          <w:szCs w:val="24"/>
          <w:highlight w:val="none"/>
          <w:lang w:val="en-US" w:eastAsia="zh-CN"/>
        </w:rPr>
        <w:t>分布式部署</w:t>
      </w:r>
      <w:r>
        <w:rPr>
          <w:rFonts w:hint="eastAsia" w:ascii="宋体" w:hAnsi="宋体" w:cs="宋体"/>
          <w:b/>
          <w:bCs/>
          <w:sz w:val="24"/>
          <w:szCs w:val="24"/>
          <w:highlight w:val="none"/>
          <w:lang w:val="en-US" w:eastAsia="zh-CN"/>
        </w:rPr>
        <w:t>：</w:t>
      </w:r>
      <w:r>
        <w:rPr>
          <w:rFonts w:hint="eastAsia" w:ascii="宋体" w:hAnsi="宋体" w:cs="宋体"/>
          <w:sz w:val="24"/>
          <w:szCs w:val="24"/>
          <w:highlight w:val="none"/>
          <w:lang w:val="en-US" w:eastAsia="zh-CN"/>
        </w:rPr>
        <w:t>支持</w:t>
      </w:r>
      <w:r>
        <w:rPr>
          <w:rFonts w:hint="default" w:ascii="宋体" w:hAnsi="宋体" w:cs="宋体"/>
          <w:sz w:val="24"/>
          <w:szCs w:val="24"/>
          <w:highlight w:val="none"/>
          <w:lang w:val="en-US" w:eastAsia="zh-CN"/>
        </w:rPr>
        <w:t>灵活扩展，具备高性能的负载均衡和容错机制。</w:t>
      </w:r>
    </w:p>
    <w:p w14:paraId="20C5DC0F">
      <w:pPr>
        <w:numPr>
          <w:ilvl w:val="2"/>
          <w:numId w:val="42"/>
        </w:numPr>
        <w:tabs>
          <w:tab w:val="clear" w:pos="420"/>
        </w:tabs>
        <w:spacing w:after="0" w:line="500" w:lineRule="exact"/>
        <w:ind w:left="9" w:leftChars="0" w:firstLine="471" w:firstLineChars="0"/>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UI和操作性能</w:t>
      </w:r>
      <w:r>
        <w:rPr>
          <w:rFonts w:hint="eastAsia" w:ascii="宋体" w:hAnsi="宋体" w:cs="宋体"/>
          <w:sz w:val="24"/>
          <w:szCs w:val="24"/>
          <w:highlight w:val="none"/>
          <w:lang w:val="en-US" w:eastAsia="zh-CN"/>
        </w:rPr>
        <w:t>：简体中文界面，扁平化设计，操作便捷，提供图形化导航，UI设计美观。系统面向基层用户使用，提供友好的用户交互体验，如操作提示、错误信息反馈等。APP端遵从简易操作，便于一线人员快速完成工作。</w:t>
      </w:r>
    </w:p>
    <w:p w14:paraId="5C54DD83">
      <w:pPr>
        <w:numPr>
          <w:ilvl w:val="2"/>
          <w:numId w:val="42"/>
        </w:numPr>
        <w:tabs>
          <w:tab w:val="clear" w:pos="420"/>
        </w:tabs>
        <w:spacing w:after="0" w:line="500" w:lineRule="exact"/>
        <w:ind w:left="9" w:leftChars="0" w:firstLine="471" w:firstLineChars="0"/>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多终端适用</w:t>
      </w:r>
      <w:r>
        <w:rPr>
          <w:rFonts w:hint="eastAsia" w:ascii="宋体" w:hAnsi="宋体" w:cs="宋体"/>
          <w:sz w:val="24"/>
          <w:szCs w:val="24"/>
          <w:highlight w:val="none"/>
          <w:lang w:val="en-US" w:eastAsia="zh-CN"/>
        </w:rPr>
        <w:t>：支持网页、APP，兼容Windows 7+、IE10+、安卓、iOS、鸿蒙。网页、APP支持按需定制，不限制APP安装数量。可定制APP和网页登录界面：工号、密码。系统在不同操作系统下应能稳定运行，功能和性能不受影响。</w:t>
      </w:r>
    </w:p>
    <w:p w14:paraId="174ED744">
      <w:pPr>
        <w:numPr>
          <w:ilvl w:val="2"/>
          <w:numId w:val="42"/>
        </w:numPr>
        <w:tabs>
          <w:tab w:val="clear" w:pos="420"/>
        </w:tabs>
        <w:spacing w:after="0" w:line="500" w:lineRule="exact"/>
        <w:ind w:left="9" w:leftChars="0" w:firstLine="471" w:firstLineChars="0"/>
        <w:rPr>
          <w:rFonts w:hint="default" w:ascii="宋体" w:hAnsi="宋体" w:cs="宋体"/>
          <w:sz w:val="24"/>
          <w:szCs w:val="24"/>
          <w:highlight w:val="none"/>
          <w:lang w:val="en-US" w:eastAsia="zh-CN"/>
        </w:rPr>
      </w:pPr>
      <w:r>
        <w:rPr>
          <w:rFonts w:hint="default" w:ascii="宋体" w:hAnsi="宋体" w:cs="宋体"/>
          <w:b/>
          <w:bCs/>
          <w:sz w:val="24"/>
          <w:szCs w:val="24"/>
          <w:highlight w:val="none"/>
          <w:lang w:val="en-US" w:eastAsia="zh-CN"/>
        </w:rPr>
        <w:t>二维码功能</w:t>
      </w:r>
      <w:r>
        <w:rPr>
          <w:rFonts w:hint="default" w:ascii="宋体" w:hAnsi="宋体" w:cs="宋体"/>
          <w:sz w:val="24"/>
          <w:szCs w:val="24"/>
          <w:highlight w:val="none"/>
          <w:lang w:val="en-US" w:eastAsia="zh-CN"/>
        </w:rPr>
        <w:t>：支持扫码巡检、异常登记、隐患记录、履历查看等。支持二维码标签自定义设置，批量打印。</w:t>
      </w:r>
    </w:p>
    <w:p w14:paraId="24262A41">
      <w:pPr>
        <w:numPr>
          <w:ilvl w:val="2"/>
          <w:numId w:val="42"/>
        </w:numPr>
        <w:tabs>
          <w:tab w:val="clear" w:pos="420"/>
        </w:tabs>
        <w:spacing w:after="0" w:line="500" w:lineRule="exact"/>
        <w:ind w:left="9" w:leftChars="0" w:firstLine="471" w:firstLineChars="0"/>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流程响应</w:t>
      </w:r>
      <w:r>
        <w:rPr>
          <w:rFonts w:hint="eastAsia" w:ascii="宋体" w:hAnsi="宋体" w:cs="宋体"/>
          <w:sz w:val="24"/>
          <w:szCs w:val="24"/>
          <w:highlight w:val="none"/>
          <w:lang w:val="en-US" w:eastAsia="zh-CN"/>
        </w:rPr>
        <w:t>：预警、工作提醒、督办、日志管理。</w:t>
      </w:r>
    </w:p>
    <w:p w14:paraId="2AFF5E61">
      <w:pPr>
        <w:numPr>
          <w:ilvl w:val="2"/>
          <w:numId w:val="42"/>
        </w:numPr>
        <w:tabs>
          <w:tab w:val="clear" w:pos="420"/>
        </w:tabs>
        <w:spacing w:after="0" w:line="500" w:lineRule="exact"/>
        <w:ind w:left="9" w:leftChars="0" w:firstLine="471" w:firstLineChars="0"/>
        <w:rPr>
          <w:rFonts w:hint="default" w:ascii="宋体" w:hAnsi="宋体" w:cs="宋体"/>
          <w:sz w:val="24"/>
          <w:szCs w:val="24"/>
          <w:highlight w:val="none"/>
          <w:lang w:val="en-US" w:eastAsia="zh-CN"/>
        </w:rPr>
      </w:pPr>
      <w:r>
        <w:rPr>
          <w:rFonts w:hint="default" w:ascii="宋体" w:hAnsi="宋体" w:cs="宋体"/>
          <w:b/>
          <w:bCs/>
          <w:sz w:val="24"/>
          <w:szCs w:val="24"/>
          <w:highlight w:val="none"/>
          <w:lang w:val="en-US" w:eastAsia="zh-CN"/>
        </w:rPr>
        <w:t>离线缓存</w:t>
      </w:r>
      <w:r>
        <w:rPr>
          <w:rFonts w:hint="default" w:ascii="宋体" w:hAnsi="宋体" w:cs="宋体"/>
          <w:sz w:val="24"/>
          <w:szCs w:val="24"/>
          <w:highlight w:val="none"/>
          <w:lang w:val="en-US" w:eastAsia="zh-CN"/>
        </w:rPr>
        <w:t>：</w:t>
      </w:r>
      <w:r>
        <w:rPr>
          <w:rFonts w:hint="eastAsia" w:ascii="宋体" w:hAnsi="宋体" w:cs="宋体"/>
          <w:sz w:val="24"/>
          <w:szCs w:val="24"/>
          <w:highlight w:val="none"/>
          <w:lang w:val="en-US" w:eastAsia="zh-CN"/>
        </w:rPr>
        <w:t>移动端APP无网络时数据缓存</w:t>
      </w:r>
      <w:r>
        <w:rPr>
          <w:rFonts w:hint="default" w:ascii="宋体" w:hAnsi="宋体" w:cs="宋体"/>
          <w:sz w:val="24"/>
          <w:szCs w:val="24"/>
          <w:highlight w:val="none"/>
          <w:lang w:val="en-US" w:eastAsia="zh-CN"/>
        </w:rPr>
        <w:t>。</w:t>
      </w:r>
    </w:p>
    <w:p w14:paraId="612DDE0E">
      <w:pPr>
        <w:numPr>
          <w:ilvl w:val="2"/>
          <w:numId w:val="42"/>
        </w:numPr>
        <w:tabs>
          <w:tab w:val="clear" w:pos="420"/>
        </w:tabs>
        <w:spacing w:after="0" w:line="500" w:lineRule="exact"/>
        <w:ind w:left="9" w:leftChars="0" w:firstLine="471" w:firstLineChars="0"/>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扩展性</w:t>
      </w:r>
      <w:r>
        <w:rPr>
          <w:rFonts w:hint="eastAsia" w:ascii="宋体" w:hAnsi="宋体" w:cs="宋体"/>
          <w:sz w:val="24"/>
          <w:szCs w:val="24"/>
          <w:highlight w:val="none"/>
          <w:lang w:val="en-US" w:eastAsia="zh-CN"/>
        </w:rPr>
        <w:t>：支持系统升级与设备扩展，支持资源横向扩展和业务纵深扩展（如微服务架构+集群部署，缓存中间件、数据二级存储等高速存储技术），随着发包方的规模或设备增加，可根据发包方的要求将更多的设备引入现有系统，只需要在现有系统和网络结构基础上，进行系统升级或扩展。</w:t>
      </w:r>
    </w:p>
    <w:p w14:paraId="68D0D706">
      <w:pPr>
        <w:numPr>
          <w:ilvl w:val="2"/>
          <w:numId w:val="42"/>
        </w:numPr>
        <w:tabs>
          <w:tab w:val="clear" w:pos="420"/>
        </w:tabs>
        <w:spacing w:after="0" w:line="500" w:lineRule="exact"/>
        <w:ind w:left="9" w:leftChars="0" w:firstLine="471" w:firstLineChars="0"/>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维护性</w:t>
      </w:r>
      <w:r>
        <w:rPr>
          <w:rFonts w:hint="eastAsia" w:ascii="宋体" w:hAnsi="宋体" w:cs="宋体"/>
          <w:sz w:val="24"/>
          <w:szCs w:val="24"/>
          <w:highlight w:val="none"/>
          <w:lang w:val="en-US" w:eastAsia="zh-CN"/>
        </w:rPr>
        <w:t>：系统具备自诊断、时钟同步、操作记录和日志管理等功能，保障系统运行的稳定性和操作的可追溯性。</w:t>
      </w:r>
    </w:p>
    <w:p w14:paraId="62E24757">
      <w:pPr>
        <w:numPr>
          <w:ilvl w:val="2"/>
          <w:numId w:val="42"/>
        </w:numPr>
        <w:tabs>
          <w:tab w:val="clear" w:pos="420"/>
        </w:tabs>
        <w:spacing w:after="0" w:line="500" w:lineRule="exact"/>
        <w:ind w:left="9" w:leftChars="0" w:firstLine="471" w:firstLineChars="0"/>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轻量应用：</w:t>
      </w:r>
      <w:r>
        <w:rPr>
          <w:rFonts w:hint="eastAsia" w:ascii="宋体" w:hAnsi="宋体" w:cs="宋体"/>
          <w:b w:val="0"/>
          <w:bCs w:val="0"/>
          <w:sz w:val="24"/>
          <w:szCs w:val="24"/>
          <w:highlight w:val="none"/>
          <w:lang w:val="en-US" w:eastAsia="zh-CN"/>
        </w:rPr>
        <w:t>精简模块功能，尽量减少人工填写、干预，数据自动采集和统计。</w:t>
      </w:r>
    </w:p>
    <w:p w14:paraId="4DFFEEE2">
      <w:pPr>
        <w:numPr>
          <w:ilvl w:val="2"/>
          <w:numId w:val="42"/>
        </w:numPr>
        <w:tabs>
          <w:tab w:val="clear" w:pos="420"/>
        </w:tabs>
        <w:spacing w:after="0" w:line="500" w:lineRule="exact"/>
        <w:ind w:left="9" w:leftChars="0" w:firstLine="471" w:firstLineChars="0"/>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系统集成</w:t>
      </w:r>
      <w:r>
        <w:rPr>
          <w:rFonts w:hint="eastAsia" w:ascii="宋体" w:hAnsi="宋体" w:cs="宋体"/>
          <w:sz w:val="24"/>
          <w:szCs w:val="24"/>
          <w:highlight w:val="none"/>
          <w:lang w:val="en-US" w:eastAsia="zh-CN"/>
        </w:rPr>
        <w:t>：支持标准接口（API、Web Service），由发包方方协调相关方，提供系统接口的开发条件，承包方负责该系统的接口开发工作。为</w:t>
      </w:r>
      <w:r>
        <w:rPr>
          <w:rFonts w:hint="default" w:ascii="宋体" w:hAnsi="宋体" w:cs="宋体"/>
          <w:sz w:val="24"/>
          <w:szCs w:val="24"/>
          <w:highlight w:val="none"/>
          <w:lang w:val="en-US" w:eastAsia="zh-CN"/>
        </w:rPr>
        <w:t>AI预审、知识提炼提供预留接口/协议，以支持后期相关智能应用开发拓展。</w:t>
      </w:r>
      <w:r>
        <w:rPr>
          <w:rFonts w:hint="eastAsia" w:ascii="宋体" w:hAnsi="宋体" w:cs="宋体"/>
          <w:sz w:val="24"/>
          <w:szCs w:val="24"/>
          <w:highlight w:val="none"/>
          <w:lang w:val="en-US" w:eastAsia="zh-CN"/>
        </w:rPr>
        <w:t>同时系统开放API接口，可供第三方系统调用，实现数据交互。</w:t>
      </w:r>
    </w:p>
    <w:p w14:paraId="45031A58">
      <w:pPr>
        <w:numPr>
          <w:ilvl w:val="2"/>
          <w:numId w:val="42"/>
        </w:numPr>
        <w:tabs>
          <w:tab w:val="clear" w:pos="420"/>
        </w:tabs>
        <w:spacing w:after="0" w:line="500" w:lineRule="exact"/>
        <w:ind w:left="9" w:leftChars="0" w:firstLine="471" w:firstLineChars="0"/>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本地化部署</w:t>
      </w:r>
      <w:r>
        <w:rPr>
          <w:rFonts w:hint="eastAsia" w:ascii="宋体" w:hAnsi="宋体" w:cs="宋体"/>
          <w:sz w:val="24"/>
          <w:szCs w:val="24"/>
          <w:highlight w:val="none"/>
          <w:lang w:val="en-US" w:eastAsia="zh-CN"/>
        </w:rPr>
        <w:t>：采用物理服务器，搭设4G专用内网，开放外网端口。</w:t>
      </w:r>
    </w:p>
    <w:p w14:paraId="17030976">
      <w:pPr>
        <w:numPr>
          <w:ilvl w:val="2"/>
          <w:numId w:val="42"/>
        </w:numPr>
        <w:tabs>
          <w:tab w:val="clear" w:pos="420"/>
        </w:tabs>
        <w:spacing w:after="0" w:line="500" w:lineRule="exact"/>
        <w:ind w:left="9" w:leftChars="0" w:firstLine="471" w:firstLineChars="0"/>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并发性能</w:t>
      </w:r>
      <w:r>
        <w:rPr>
          <w:rFonts w:hint="eastAsia" w:ascii="宋体" w:hAnsi="宋体" w:cs="宋体"/>
          <w:sz w:val="24"/>
          <w:szCs w:val="24"/>
          <w:highlight w:val="none"/>
          <w:lang w:val="en-US" w:eastAsia="zh-CN"/>
        </w:rPr>
        <w:t>：注册使用用户约800人，支持300用户同时在线，高数据吞吐量，能够同时处理多个设备的实时数据采集、传输和处理任务。</w:t>
      </w:r>
    </w:p>
    <w:p w14:paraId="4B5BF82D">
      <w:pPr>
        <w:numPr>
          <w:ilvl w:val="2"/>
          <w:numId w:val="42"/>
        </w:numPr>
        <w:tabs>
          <w:tab w:val="clear" w:pos="420"/>
        </w:tabs>
        <w:spacing w:after="0" w:line="500" w:lineRule="exact"/>
        <w:ind w:left="9" w:leftChars="0" w:firstLine="471" w:firstLineChars="0"/>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响应性能</w:t>
      </w:r>
      <w:r>
        <w:rPr>
          <w:rFonts w:hint="eastAsia" w:ascii="宋体" w:hAnsi="宋体" w:cs="宋体"/>
          <w:sz w:val="24"/>
          <w:szCs w:val="24"/>
          <w:highlight w:val="none"/>
          <w:lang w:val="en-US" w:eastAsia="zh-CN"/>
        </w:rPr>
        <w:t>：页面响应≤1秒，查询操作（不涉及大数据表关联操作）≤3秒。</w:t>
      </w:r>
    </w:p>
    <w:p w14:paraId="7665C0EE">
      <w:pPr>
        <w:numPr>
          <w:ilvl w:val="2"/>
          <w:numId w:val="42"/>
        </w:numPr>
        <w:tabs>
          <w:tab w:val="clear" w:pos="420"/>
        </w:tabs>
        <w:spacing w:after="0" w:line="500" w:lineRule="exact"/>
        <w:ind w:left="9" w:leftChars="0" w:firstLine="471" w:firstLineChars="0"/>
        <w:rPr>
          <w:rFonts w:hint="default" w:ascii="宋体" w:hAnsi="宋体" w:cs="宋体"/>
          <w:sz w:val="24"/>
          <w:szCs w:val="24"/>
          <w:highlight w:val="none"/>
          <w:lang w:val="en-US" w:eastAsia="zh-CN"/>
        </w:rPr>
      </w:pPr>
      <w:r>
        <w:rPr>
          <w:rFonts w:hint="default" w:ascii="宋体" w:hAnsi="宋体" w:cs="宋体"/>
          <w:b/>
          <w:bCs/>
          <w:sz w:val="24"/>
          <w:szCs w:val="24"/>
          <w:highlight w:val="none"/>
          <w:lang w:val="en-US" w:eastAsia="zh-CN"/>
        </w:rPr>
        <w:t>安全性</w:t>
      </w:r>
      <w:r>
        <w:rPr>
          <w:rFonts w:hint="default" w:ascii="宋体" w:hAnsi="宋体" w:cs="宋体"/>
          <w:sz w:val="24"/>
          <w:szCs w:val="24"/>
          <w:highlight w:val="none"/>
          <w:lang w:val="en-US" w:eastAsia="zh-CN"/>
        </w:rPr>
        <w:t>：</w:t>
      </w:r>
      <w:r>
        <w:rPr>
          <w:rFonts w:hint="eastAsia" w:ascii="宋体" w:hAnsi="宋体" w:cs="宋体"/>
          <w:sz w:val="24"/>
          <w:szCs w:val="24"/>
          <w:highlight w:val="none"/>
          <w:lang w:val="en-US" w:eastAsia="zh-CN"/>
        </w:rPr>
        <w:t>数据加密、访问控制、漏洞扫描、渗透测试，定期安全评估。</w:t>
      </w:r>
      <w:r>
        <w:rPr>
          <w:rFonts w:hint="default" w:ascii="宋体" w:hAnsi="宋体" w:cs="宋体"/>
          <w:sz w:val="24"/>
          <w:szCs w:val="24"/>
          <w:highlight w:val="none"/>
          <w:lang w:val="en-US" w:eastAsia="zh-CN"/>
        </w:rPr>
        <w:t>要有合理有效的手段来确保系统的数据安全性，包括数据库安全、网络安全、用户安全等，授权保护、访问控制、数据加密、文件黑名单（防止exe、php、jsp等敏感文件）。系统上线前应进行漏洞扫描和渗透测试。定期对系统进行漏洞扫描和安全评估，及时修复发现的系统漏洞。同时，</w:t>
      </w:r>
      <w:r>
        <w:rPr>
          <w:rFonts w:hint="eastAsia" w:ascii="宋体" w:hAnsi="宋体" w:cs="宋体"/>
          <w:sz w:val="24"/>
          <w:szCs w:val="24"/>
          <w:highlight w:val="none"/>
          <w:lang w:val="en-US" w:eastAsia="zh-CN"/>
        </w:rPr>
        <w:t>承包方</w:t>
      </w:r>
      <w:r>
        <w:rPr>
          <w:rFonts w:hint="default" w:ascii="宋体" w:hAnsi="宋体" w:cs="宋体"/>
          <w:sz w:val="24"/>
          <w:szCs w:val="24"/>
          <w:highlight w:val="none"/>
          <w:lang w:val="en-US" w:eastAsia="zh-CN"/>
        </w:rPr>
        <w:t>应及时向</w:t>
      </w:r>
      <w:r>
        <w:rPr>
          <w:rFonts w:hint="eastAsia" w:ascii="宋体" w:hAnsi="宋体" w:cs="宋体"/>
          <w:sz w:val="24"/>
          <w:szCs w:val="24"/>
          <w:highlight w:val="none"/>
          <w:lang w:val="en-US" w:eastAsia="zh-CN"/>
        </w:rPr>
        <w:t>发包方</w:t>
      </w:r>
      <w:r>
        <w:rPr>
          <w:rFonts w:hint="default" w:ascii="宋体" w:hAnsi="宋体" w:cs="宋体"/>
          <w:sz w:val="24"/>
          <w:szCs w:val="24"/>
          <w:highlight w:val="none"/>
          <w:lang w:val="en-US" w:eastAsia="zh-CN"/>
        </w:rPr>
        <w:t>通报系统存在的安全风险和修复措施。</w:t>
      </w:r>
      <w:r>
        <w:rPr>
          <w:rFonts w:hint="eastAsia" w:ascii="宋体" w:hAnsi="宋体" w:cs="宋体"/>
          <w:sz w:val="24"/>
          <w:szCs w:val="24"/>
          <w:highlight w:val="none"/>
          <w:lang w:val="en-US" w:eastAsia="zh-CN"/>
        </w:rPr>
        <w:t>等保二级。</w:t>
      </w:r>
    </w:p>
    <w:p w14:paraId="0BFADE1C">
      <w:pPr>
        <w:numPr>
          <w:ilvl w:val="2"/>
          <w:numId w:val="42"/>
        </w:numPr>
        <w:tabs>
          <w:tab w:val="clear" w:pos="420"/>
        </w:tabs>
        <w:spacing w:after="0" w:line="500" w:lineRule="exact"/>
        <w:ind w:left="9" w:leftChars="0" w:firstLine="471" w:firstLineChars="0"/>
        <w:rPr>
          <w:rFonts w:hint="default" w:ascii="宋体" w:hAnsi="宋体" w:cs="宋体"/>
          <w:sz w:val="24"/>
          <w:szCs w:val="24"/>
          <w:highlight w:val="none"/>
          <w:lang w:val="en-US" w:eastAsia="zh-CN"/>
        </w:rPr>
      </w:pPr>
      <w:r>
        <w:rPr>
          <w:rFonts w:hint="default" w:ascii="宋体" w:hAnsi="宋体" w:cs="宋体"/>
          <w:b/>
          <w:bCs/>
          <w:sz w:val="24"/>
          <w:szCs w:val="24"/>
          <w:highlight w:val="none"/>
          <w:lang w:val="en-US" w:eastAsia="zh-CN"/>
        </w:rPr>
        <w:t>备份和恢复</w:t>
      </w:r>
      <w:r>
        <w:rPr>
          <w:rFonts w:hint="default" w:ascii="宋体" w:hAnsi="宋体" w:cs="宋体"/>
          <w:sz w:val="24"/>
          <w:szCs w:val="24"/>
          <w:highlight w:val="none"/>
          <w:lang w:val="en-US" w:eastAsia="zh-CN"/>
        </w:rPr>
        <w:t>：定期备份关键数据，具备容灾能力，确保平台在硬件故障或系统异常时能迅速恢复，数据不丢失。支持数据备份导出功能。</w:t>
      </w:r>
    </w:p>
    <w:p w14:paraId="7783FBB5">
      <w:pPr>
        <w:numPr>
          <w:ilvl w:val="2"/>
          <w:numId w:val="42"/>
        </w:numPr>
        <w:tabs>
          <w:tab w:val="clear" w:pos="420"/>
        </w:tabs>
        <w:spacing w:after="0" w:line="500" w:lineRule="exact"/>
        <w:ind w:left="9" w:leftChars="0" w:firstLine="471" w:firstLineChars="0"/>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可靠性要求</w:t>
      </w:r>
      <w:r>
        <w:rPr>
          <w:rFonts w:hint="eastAsia" w:ascii="宋体" w:hAnsi="宋体" w:cs="宋体"/>
          <w:sz w:val="24"/>
          <w:szCs w:val="24"/>
          <w:highlight w:val="none"/>
          <w:lang w:val="en-US" w:eastAsia="zh-CN"/>
        </w:rPr>
        <w:t>：7*24小时不间断运行，故障2小时内恢复，在系统处理量达到日常处理量5倍的情况下，系统响应时间下降幅度不能超过10%。系统版本升级后兼容原有系统的数据。具备极高的可靠性，可靠性设计包括容错技术、避错技术、可靠性指标与评估、系统配置方法包括双份、双重、热备份、容错、集群。</w:t>
      </w:r>
    </w:p>
    <w:p w14:paraId="3B67BEA5">
      <w:pPr>
        <w:numPr>
          <w:ilvl w:val="2"/>
          <w:numId w:val="42"/>
        </w:numPr>
        <w:tabs>
          <w:tab w:val="clear" w:pos="420"/>
        </w:tabs>
        <w:spacing w:after="0" w:line="500" w:lineRule="exact"/>
        <w:ind w:left="9" w:leftChars="0" w:firstLine="471" w:firstLineChars="0"/>
        <w:rPr>
          <w:rFonts w:hint="eastAsia" w:ascii="宋体" w:hAnsi="宋体" w:cs="宋体"/>
          <w:snapToGrid w:val="0"/>
          <w:kern w:val="10"/>
          <w:sz w:val="24"/>
          <w:szCs w:val="24"/>
          <w:highlight w:val="none"/>
          <w:lang w:eastAsia="zh-CN"/>
        </w:rPr>
      </w:pPr>
      <w:r>
        <w:rPr>
          <w:rFonts w:hint="default" w:ascii="宋体" w:hAnsi="宋体" w:cs="宋体"/>
          <w:b/>
          <w:bCs/>
          <w:sz w:val="24"/>
          <w:szCs w:val="24"/>
          <w:highlight w:val="none"/>
          <w:lang w:val="en-US" w:eastAsia="zh-CN"/>
        </w:rPr>
        <w:t>先进性和成熟性</w:t>
      </w:r>
      <w:r>
        <w:rPr>
          <w:rFonts w:hint="default" w:ascii="宋体" w:hAnsi="宋体" w:cs="宋体"/>
          <w:sz w:val="24"/>
          <w:szCs w:val="24"/>
          <w:highlight w:val="none"/>
          <w:lang w:val="en-US" w:eastAsia="zh-CN"/>
        </w:rPr>
        <w:t>：产品</w:t>
      </w:r>
      <w:r>
        <w:rPr>
          <w:rFonts w:hint="eastAsia" w:ascii="宋体" w:hAnsi="宋体" w:cs="宋体"/>
          <w:sz w:val="24"/>
          <w:szCs w:val="24"/>
          <w:highlight w:val="none"/>
          <w:lang w:val="en-US" w:eastAsia="zh-CN"/>
        </w:rPr>
        <w:t>技术</w:t>
      </w:r>
      <w:r>
        <w:rPr>
          <w:rFonts w:hint="default" w:ascii="宋体" w:hAnsi="宋体" w:cs="宋体"/>
          <w:sz w:val="24"/>
          <w:szCs w:val="24"/>
          <w:highlight w:val="none"/>
          <w:lang w:val="en-US" w:eastAsia="zh-CN"/>
        </w:rPr>
        <w:t>先进</w:t>
      </w:r>
      <w:r>
        <w:rPr>
          <w:rFonts w:hint="eastAsia" w:ascii="宋体" w:hAnsi="宋体" w:cs="宋体"/>
          <w:sz w:val="24"/>
          <w:szCs w:val="24"/>
          <w:highlight w:val="none"/>
          <w:lang w:val="en-US" w:eastAsia="zh-CN"/>
        </w:rPr>
        <w:t>且</w:t>
      </w:r>
      <w:r>
        <w:rPr>
          <w:rFonts w:hint="default" w:ascii="宋体" w:hAnsi="宋体" w:cs="宋体"/>
          <w:sz w:val="24"/>
          <w:szCs w:val="24"/>
          <w:highlight w:val="none"/>
          <w:lang w:val="en-US" w:eastAsia="zh-CN"/>
        </w:rPr>
        <w:t>成熟</w:t>
      </w:r>
      <w:r>
        <w:rPr>
          <w:rFonts w:hint="eastAsia" w:ascii="宋体" w:hAnsi="宋体" w:cs="宋体"/>
          <w:sz w:val="24"/>
          <w:szCs w:val="24"/>
          <w:highlight w:val="none"/>
          <w:lang w:val="en-US" w:eastAsia="zh-CN"/>
        </w:rPr>
        <w:t>，采用先进数据架构</w:t>
      </w:r>
      <w:r>
        <w:rPr>
          <w:rFonts w:hint="default" w:ascii="宋体" w:hAnsi="宋体" w:cs="宋体"/>
          <w:sz w:val="24"/>
          <w:szCs w:val="24"/>
          <w:highlight w:val="none"/>
          <w:lang w:val="en-US" w:eastAsia="zh-CN"/>
        </w:rPr>
        <w:t>。</w:t>
      </w:r>
    </w:p>
    <w:p w14:paraId="41D3D65E">
      <w:pPr>
        <w:numPr>
          <w:ilvl w:val="2"/>
          <w:numId w:val="42"/>
        </w:numPr>
        <w:tabs>
          <w:tab w:val="clear" w:pos="420"/>
        </w:tabs>
        <w:spacing w:after="0" w:line="500" w:lineRule="exact"/>
        <w:ind w:left="9" w:leftChars="0" w:firstLine="471" w:firstLineChars="0"/>
        <w:rPr>
          <w:rFonts w:hint="eastAsia" w:ascii="宋体" w:hAnsi="宋体" w:cs="宋体"/>
          <w:snapToGrid w:val="0"/>
          <w:kern w:val="10"/>
          <w:sz w:val="24"/>
          <w:szCs w:val="24"/>
          <w:highlight w:val="none"/>
          <w:lang w:eastAsia="zh-CN"/>
        </w:rPr>
      </w:pPr>
      <w:r>
        <w:rPr>
          <w:rFonts w:hint="eastAsia" w:ascii="宋体" w:hAnsi="宋体" w:cs="宋体"/>
          <w:b/>
          <w:bCs/>
          <w:sz w:val="24"/>
          <w:szCs w:val="24"/>
          <w:highlight w:val="none"/>
          <w:lang w:val="en-US" w:eastAsia="zh-CN"/>
        </w:rPr>
        <w:t>业务流程梳理</w:t>
      </w:r>
      <w:r>
        <w:rPr>
          <w:rFonts w:hint="eastAsia" w:ascii="宋体" w:hAnsi="宋体" w:cs="宋体"/>
          <w:sz w:val="24"/>
          <w:szCs w:val="24"/>
          <w:highlight w:val="none"/>
          <w:lang w:val="en-US" w:eastAsia="zh-CN"/>
        </w:rPr>
        <w:t>：协助发包方梳理全生命周期业务流程、审批流程，绘制流程图，完成需求调研工作，出具调研报告；编制面向管理层的设备管理系统宣讲PPT、面向使用人员的《用户操作手册》，内容包括但不限于系统架构、业务模块描述、使用场景描述、面向不同角色的使用场景流程。</w:t>
      </w:r>
    </w:p>
    <w:p w14:paraId="0CB95236">
      <w:pPr>
        <w:numPr>
          <w:ilvl w:val="2"/>
          <w:numId w:val="42"/>
        </w:numPr>
        <w:tabs>
          <w:tab w:val="clear" w:pos="420"/>
        </w:tabs>
        <w:spacing w:after="0" w:line="500" w:lineRule="exact"/>
        <w:ind w:left="9" w:leftChars="0" w:firstLine="471" w:firstLineChars="0"/>
        <w:rPr>
          <w:rFonts w:hint="eastAsia" w:ascii="宋体" w:hAnsi="宋体" w:cs="宋体"/>
          <w:snapToGrid w:val="0"/>
          <w:kern w:val="10"/>
          <w:sz w:val="24"/>
          <w:szCs w:val="24"/>
          <w:highlight w:val="none"/>
          <w:lang w:eastAsia="zh-CN"/>
        </w:rPr>
      </w:pPr>
      <w:r>
        <w:rPr>
          <w:rFonts w:hint="eastAsia" w:ascii="宋体" w:hAnsi="宋体" w:cs="宋体"/>
          <w:b/>
          <w:bCs/>
          <w:sz w:val="24"/>
          <w:szCs w:val="24"/>
          <w:highlight w:val="none"/>
          <w:lang w:val="en-US" w:eastAsia="zh-CN"/>
        </w:rPr>
        <w:t>技术文档要求</w:t>
      </w:r>
      <w:r>
        <w:rPr>
          <w:rFonts w:hint="eastAsia" w:ascii="宋体" w:hAnsi="宋体" w:cs="宋体"/>
          <w:sz w:val="24"/>
          <w:szCs w:val="24"/>
          <w:highlight w:val="none"/>
          <w:lang w:val="en-US" w:eastAsia="zh-CN"/>
        </w:rPr>
        <w:t>：</w:t>
      </w:r>
    </w:p>
    <w:p w14:paraId="7B6D13A8">
      <w:pPr>
        <w:numPr>
          <w:ilvl w:val="0"/>
          <w:numId w:val="43"/>
        </w:numPr>
        <w:spacing w:after="0" w:line="500" w:lineRule="exact"/>
        <w:ind w:left="0" w:leftChars="0" w:firstLine="480" w:firstLineChars="0"/>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调研报告需求手册：根据前期需求调研结果编制</w:t>
      </w:r>
      <w:r>
        <w:rPr>
          <w:rFonts w:hint="eastAsia" w:ascii="宋体" w:hAnsi="宋体" w:cs="宋体"/>
          <w:sz w:val="24"/>
          <w:szCs w:val="24"/>
          <w:highlight w:val="none"/>
          <w:lang w:val="en-US" w:eastAsia="zh-CN"/>
        </w:rPr>
        <w:t>。</w:t>
      </w:r>
    </w:p>
    <w:p w14:paraId="4A0AEBBB">
      <w:pPr>
        <w:numPr>
          <w:ilvl w:val="0"/>
          <w:numId w:val="43"/>
        </w:numPr>
        <w:spacing w:after="0" w:line="500" w:lineRule="exact"/>
        <w:ind w:left="0" w:leftChars="0" w:firstLine="480" w:firstLineChars="0"/>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用户操作手册：编写完整的用户操作手册，涵盖设备管理系统的各个功能模块的操作流程、使用方法、注意事项等内容。用户操作手册应采用通俗易懂的语言编写，并且应提供操作界面的截图辅助说明，方便用户快速上手使用系统。</w:t>
      </w:r>
    </w:p>
    <w:p w14:paraId="26BB7841">
      <w:pPr>
        <w:numPr>
          <w:ilvl w:val="0"/>
          <w:numId w:val="43"/>
        </w:numPr>
        <w:spacing w:after="0" w:line="500" w:lineRule="exact"/>
        <w:ind w:left="0" w:leftChars="0" w:firstLine="480" w:firstLineChars="0"/>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技术维护手册：提供技术维护手册，包括系统的安装部署指南、系统配置说明、故障排除指南</w:t>
      </w:r>
      <w:r>
        <w:rPr>
          <w:rFonts w:hint="eastAsia" w:ascii="宋体" w:hAnsi="宋体" w:cs="宋体"/>
          <w:sz w:val="24"/>
          <w:szCs w:val="24"/>
          <w:highlight w:val="none"/>
          <w:lang w:val="en-US" w:eastAsia="zh-CN"/>
        </w:rPr>
        <w:t>、人员权限</w:t>
      </w:r>
      <w:r>
        <w:rPr>
          <w:rFonts w:hint="default" w:ascii="宋体" w:hAnsi="宋体" w:cs="宋体"/>
          <w:sz w:val="24"/>
          <w:szCs w:val="24"/>
          <w:highlight w:val="none"/>
          <w:lang w:val="en-US" w:eastAsia="zh-CN"/>
        </w:rPr>
        <w:t>等内容。技术维护手册应详细记录系统在运行过程中可能遇到的问题及解决方法，为</w:t>
      </w:r>
      <w:r>
        <w:rPr>
          <w:rFonts w:hint="eastAsia" w:ascii="宋体" w:hAnsi="宋体" w:cs="宋体"/>
          <w:sz w:val="24"/>
          <w:szCs w:val="24"/>
          <w:highlight w:val="none"/>
          <w:lang w:val="en-US" w:eastAsia="zh-CN"/>
        </w:rPr>
        <w:t>发包</w:t>
      </w:r>
      <w:r>
        <w:rPr>
          <w:rFonts w:hint="default" w:ascii="宋体" w:hAnsi="宋体" w:cs="宋体"/>
          <w:sz w:val="24"/>
          <w:szCs w:val="24"/>
          <w:highlight w:val="none"/>
          <w:lang w:val="en-US" w:eastAsia="zh-CN"/>
        </w:rPr>
        <w:t>方的技术维护人员提供有效的技术支持。</w:t>
      </w:r>
    </w:p>
    <w:p w14:paraId="7521C669">
      <w:pPr>
        <w:numPr>
          <w:ilvl w:val="0"/>
          <w:numId w:val="43"/>
        </w:numPr>
        <w:spacing w:after="0" w:line="500" w:lineRule="exact"/>
        <w:ind w:left="0" w:leftChars="0" w:firstLine="480" w:firstLineChars="0"/>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项目</w:t>
      </w:r>
      <w:r>
        <w:rPr>
          <w:rFonts w:hint="eastAsia" w:ascii="宋体" w:hAnsi="宋体" w:cs="宋体"/>
          <w:sz w:val="24"/>
          <w:szCs w:val="24"/>
          <w:highlight w:val="none"/>
          <w:lang w:val="en-US" w:eastAsia="zh-CN"/>
        </w:rPr>
        <w:t>上线运行报告。</w:t>
      </w:r>
    </w:p>
    <w:p w14:paraId="74A9639C">
      <w:pPr>
        <w:numPr>
          <w:ilvl w:val="0"/>
          <w:numId w:val="43"/>
        </w:numPr>
        <w:spacing w:after="0" w:line="500" w:lineRule="exact"/>
        <w:ind w:left="0" w:leftChars="0" w:firstLine="480" w:firstLineChars="0"/>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完工验收总结报告</w:t>
      </w:r>
      <w:r>
        <w:rPr>
          <w:rFonts w:hint="eastAsia" w:ascii="宋体" w:hAnsi="宋体" w:cs="宋体"/>
          <w:sz w:val="24"/>
          <w:szCs w:val="24"/>
          <w:highlight w:val="none"/>
          <w:lang w:val="en-US" w:eastAsia="zh-CN"/>
        </w:rPr>
        <w:t>。</w:t>
      </w:r>
    </w:p>
    <w:p w14:paraId="49A2970B">
      <w:pPr>
        <w:numPr>
          <w:ilvl w:val="0"/>
          <w:numId w:val="43"/>
        </w:numPr>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接口开发、二次开发源代码。</w:t>
      </w:r>
    </w:p>
    <w:p w14:paraId="3AB31369">
      <w:pPr>
        <w:numPr>
          <w:ilvl w:val="0"/>
          <w:numId w:val="43"/>
        </w:numPr>
        <w:spacing w:after="0" w:line="500" w:lineRule="exact"/>
        <w:ind w:left="0" w:leftChars="0" w:firstLine="480" w:firstLineChars="0"/>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项目交付物清单（包括软件、硬件）</w:t>
      </w:r>
      <w:r>
        <w:rPr>
          <w:rFonts w:hint="eastAsia" w:ascii="宋体" w:hAnsi="宋体" w:cs="宋体"/>
          <w:sz w:val="24"/>
          <w:szCs w:val="24"/>
          <w:highlight w:val="none"/>
          <w:lang w:val="en-US" w:eastAsia="zh-CN"/>
        </w:rPr>
        <w:t>。</w:t>
      </w:r>
    </w:p>
    <w:p w14:paraId="2E83A6F7">
      <w:pPr>
        <w:pStyle w:val="2"/>
        <w:numPr>
          <w:ilvl w:val="0"/>
          <w:numId w:val="44"/>
        </w:numPr>
        <w:tabs>
          <w:tab w:val="left" w:pos="432"/>
        </w:tabs>
        <w:spacing w:before="0" w:line="500" w:lineRule="exact"/>
        <w:ind w:left="0" w:leftChars="0" w:firstLine="0" w:firstLineChars="0"/>
        <w:rPr>
          <w:rFonts w:hint="eastAsia" w:ascii="宋体" w:hAnsi="宋体" w:cs="宋体"/>
          <w:color w:val="auto"/>
          <w:sz w:val="30"/>
          <w:szCs w:val="30"/>
          <w:highlight w:val="none"/>
          <w:lang w:val="en-US" w:eastAsia="zh-CN"/>
        </w:rPr>
      </w:pPr>
      <w:bookmarkStart w:id="34" w:name="_Toc30540"/>
      <w:r>
        <w:rPr>
          <w:rFonts w:hint="eastAsia" w:ascii="宋体" w:hAnsi="宋体" w:cs="宋体"/>
          <w:color w:val="auto"/>
          <w:sz w:val="30"/>
          <w:szCs w:val="30"/>
          <w:highlight w:val="none"/>
        </w:rPr>
        <w:t>项目</w:t>
      </w:r>
      <w:r>
        <w:rPr>
          <w:rFonts w:hint="eastAsia" w:ascii="宋体" w:hAnsi="宋体" w:cs="宋体"/>
          <w:color w:val="auto"/>
          <w:sz w:val="30"/>
          <w:szCs w:val="30"/>
          <w:highlight w:val="none"/>
          <w:lang w:val="en-US" w:eastAsia="zh-CN"/>
        </w:rPr>
        <w:t>实施</w:t>
      </w:r>
      <w:bookmarkEnd w:id="30"/>
      <w:bookmarkEnd w:id="31"/>
      <w:r>
        <w:rPr>
          <w:rFonts w:hint="eastAsia" w:ascii="宋体" w:hAnsi="宋体" w:cs="宋体"/>
          <w:color w:val="auto"/>
          <w:sz w:val="30"/>
          <w:szCs w:val="30"/>
          <w:highlight w:val="none"/>
          <w:lang w:val="en-US" w:eastAsia="zh-CN"/>
        </w:rPr>
        <w:t>与验收</w:t>
      </w:r>
      <w:bookmarkEnd w:id="34"/>
    </w:p>
    <w:p w14:paraId="1756F44F">
      <w:pPr>
        <w:pStyle w:val="4"/>
        <w:numPr>
          <w:ilvl w:val="1"/>
          <w:numId w:val="45"/>
        </w:numPr>
        <w:spacing w:before="0" w:line="500" w:lineRule="exact"/>
        <w:ind w:left="567" w:leftChars="0" w:hanging="567" w:firstLineChars="0"/>
        <w:rPr>
          <w:rFonts w:hint="eastAsia" w:ascii="宋体" w:hAnsi="宋体" w:cs="宋体"/>
          <w:b/>
          <w:bCs/>
          <w:color w:val="auto"/>
          <w:sz w:val="28"/>
          <w:szCs w:val="28"/>
          <w:highlight w:val="none"/>
          <w:lang w:val="en-US" w:eastAsia="zh-CN"/>
        </w:rPr>
      </w:pPr>
      <w:bookmarkStart w:id="35" w:name="_Toc9505"/>
      <w:r>
        <w:rPr>
          <w:rFonts w:hint="eastAsia" w:ascii="宋体" w:hAnsi="宋体" w:cs="宋体"/>
          <w:b/>
          <w:bCs/>
          <w:color w:val="auto"/>
          <w:sz w:val="28"/>
          <w:szCs w:val="28"/>
          <w:highlight w:val="none"/>
          <w:lang w:val="en-US" w:eastAsia="zh-CN"/>
        </w:rPr>
        <w:t>项目计划</w:t>
      </w:r>
      <w:bookmarkEnd w:id="35"/>
    </w:p>
    <w:p w14:paraId="2282C99E">
      <w:pPr>
        <w:numPr>
          <w:ilvl w:val="0"/>
          <w:numId w:val="0"/>
        </w:numPr>
        <w:spacing w:after="0" w:line="500" w:lineRule="exact"/>
        <w:ind w:left="0" w:leftChars="0" w:firstLine="482" w:firstLineChars="201"/>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承包方须在合同签订后10个工作日内提交详细实施计划（含阶段、里程碑、任务分解、时间与人员安排），经发包方审核后执行。项目分两阶段：</w:t>
      </w:r>
    </w:p>
    <w:p w14:paraId="2A259063">
      <w:pPr>
        <w:keepNext w:val="0"/>
        <w:keepLines w:val="0"/>
        <w:pageBreakBefore w:val="0"/>
        <w:widowControl/>
        <w:numPr>
          <w:ilvl w:val="0"/>
          <w:numId w:val="46"/>
        </w:numPr>
        <w:kinsoku/>
        <w:wordWrap/>
        <w:overflowPunct/>
        <w:topLinePunct w:val="0"/>
        <w:autoSpaceDE/>
        <w:autoSpaceDN/>
        <w:bidi w:val="0"/>
        <w:adjustRightInd/>
        <w:snapToGrid/>
        <w:spacing w:line="500" w:lineRule="exact"/>
        <w:ind w:left="420" w:leftChars="0" w:hanging="420" w:firstLineChars="0"/>
        <w:textAlignment w:val="auto"/>
        <w:rPr>
          <w:rFonts w:hint="eastAsia"/>
          <w:highlight w:val="none"/>
          <w:lang w:val="en-US" w:eastAsia="zh-CN"/>
        </w:rPr>
      </w:pPr>
      <w:r>
        <w:rPr>
          <w:rFonts w:hint="eastAsia"/>
          <w:highlight w:val="none"/>
          <w:lang w:val="en-US" w:eastAsia="zh-CN"/>
        </w:rPr>
        <w:t>第一阶段（5个月）：需求调研、硬件供货安装、软件基本功能上线完成初步验收、第一阶段功能迭代优化。</w:t>
      </w:r>
    </w:p>
    <w:p w14:paraId="726558B0">
      <w:pPr>
        <w:keepNext w:val="0"/>
        <w:keepLines w:val="0"/>
        <w:pageBreakBefore w:val="0"/>
        <w:widowControl/>
        <w:numPr>
          <w:ilvl w:val="0"/>
          <w:numId w:val="46"/>
        </w:numPr>
        <w:kinsoku/>
        <w:wordWrap/>
        <w:overflowPunct/>
        <w:topLinePunct w:val="0"/>
        <w:autoSpaceDE/>
        <w:autoSpaceDN/>
        <w:bidi w:val="0"/>
        <w:adjustRightInd/>
        <w:snapToGrid/>
        <w:spacing w:line="500" w:lineRule="exact"/>
        <w:ind w:left="420" w:leftChars="0" w:hanging="420" w:firstLineChars="0"/>
        <w:textAlignment w:val="auto"/>
        <w:rPr>
          <w:rFonts w:hint="default" w:ascii="宋体" w:hAnsi="宋体" w:cs="宋体"/>
          <w:sz w:val="24"/>
          <w:szCs w:val="24"/>
          <w:highlight w:val="none"/>
          <w:lang w:val="en-US" w:eastAsia="zh-CN"/>
        </w:rPr>
      </w:pPr>
      <w:r>
        <w:rPr>
          <w:rFonts w:hint="eastAsia"/>
          <w:highlight w:val="none"/>
          <w:lang w:val="en-US" w:eastAsia="zh-CN"/>
        </w:rPr>
        <w:t>第二阶段（5个月）：机组三维模型搭建、第二阶段功能迭代优化。</w:t>
      </w:r>
    </w:p>
    <w:p w14:paraId="32E8A833">
      <w:pPr>
        <w:pStyle w:val="4"/>
        <w:numPr>
          <w:ilvl w:val="1"/>
          <w:numId w:val="45"/>
        </w:numPr>
        <w:spacing w:before="0" w:line="500" w:lineRule="exact"/>
        <w:ind w:left="567" w:leftChars="0" w:hanging="567" w:firstLineChars="0"/>
        <w:rPr>
          <w:rFonts w:hint="eastAsia" w:ascii="宋体" w:hAnsi="宋体" w:cs="宋体"/>
          <w:b/>
          <w:bCs/>
          <w:color w:val="auto"/>
          <w:sz w:val="28"/>
          <w:szCs w:val="28"/>
          <w:highlight w:val="none"/>
          <w:lang w:val="en-US" w:eastAsia="zh-CN"/>
        </w:rPr>
      </w:pPr>
      <w:bookmarkStart w:id="36" w:name="_Toc15096"/>
      <w:r>
        <w:rPr>
          <w:rFonts w:hint="eastAsia" w:ascii="宋体" w:hAnsi="宋体" w:cs="宋体"/>
          <w:b/>
          <w:bCs/>
          <w:color w:val="auto"/>
          <w:sz w:val="28"/>
          <w:szCs w:val="28"/>
          <w:highlight w:val="none"/>
          <w:lang w:val="en-US" w:eastAsia="zh-CN"/>
        </w:rPr>
        <w:t>项目实施团队要求</w:t>
      </w:r>
      <w:bookmarkEnd w:id="36"/>
    </w:p>
    <w:p w14:paraId="5159EDC4">
      <w:pPr>
        <w:numPr>
          <w:ilvl w:val="2"/>
          <w:numId w:val="47"/>
        </w:numPr>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团队组成</w:t>
      </w:r>
      <w:r>
        <w:rPr>
          <w:rFonts w:hint="eastAsia" w:ascii="宋体" w:hAnsi="宋体" w:cs="宋体"/>
          <w:sz w:val="24"/>
          <w:szCs w:val="24"/>
          <w:highlight w:val="none"/>
          <w:lang w:val="en-US" w:eastAsia="zh-CN"/>
        </w:rPr>
        <w:t>：具备设备管理系统开发经验的专业团队，配置经验丰富的项目管理和实施人员。</w:t>
      </w:r>
    </w:p>
    <w:p w14:paraId="43BD3236">
      <w:pPr>
        <w:numPr>
          <w:ilvl w:val="2"/>
          <w:numId w:val="47"/>
        </w:numPr>
        <w:spacing w:after="0" w:line="500" w:lineRule="exact"/>
        <w:ind w:left="0" w:leftChars="0" w:firstLine="480" w:firstLineChars="0"/>
        <w:rPr>
          <w:rFonts w:hint="default" w:ascii="宋体" w:hAnsi="宋体" w:eastAsia="宋体" w:cs="宋体"/>
          <w:sz w:val="24"/>
          <w:szCs w:val="24"/>
          <w:highlight w:val="none"/>
          <w:lang w:val="en-US" w:eastAsia="zh-CN"/>
        </w:rPr>
      </w:pPr>
      <w:r>
        <w:rPr>
          <w:rFonts w:hint="eastAsia" w:ascii="宋体" w:hAnsi="宋体" w:cs="宋体"/>
          <w:b/>
          <w:bCs/>
          <w:sz w:val="24"/>
          <w:szCs w:val="24"/>
          <w:highlight w:val="none"/>
          <w:lang w:val="en-US" w:eastAsia="zh-CN"/>
        </w:rPr>
        <w:t>人员资质</w:t>
      </w:r>
      <w:r>
        <w:rPr>
          <w:rFonts w:hint="eastAsia" w:ascii="宋体" w:hAnsi="宋体" w:cs="宋体"/>
          <w:sz w:val="24"/>
          <w:szCs w:val="24"/>
          <w:highlight w:val="none"/>
          <w:lang w:val="en-US" w:eastAsia="zh-CN"/>
        </w:rPr>
        <w:t>：承包方应在项目启动前向发包方提供项目团队成员名单、联系方式、职责分工、资格证书与简历等信息，并确保项目团队成员在项目实施期间的稳定性。</w:t>
      </w:r>
      <w:r>
        <w:rPr>
          <w:rFonts w:hint="eastAsia" w:ascii="宋体" w:hAnsi="宋体" w:eastAsia="宋体" w:cs="宋体"/>
          <w:sz w:val="24"/>
          <w:szCs w:val="24"/>
          <w:highlight w:val="none"/>
          <w:lang w:val="en-US" w:eastAsia="zh-CN"/>
        </w:rPr>
        <w:t>实施人员要求：承包方根据软件系统建设规模，配备适当的项目实施人员，人员数量需满足各模块建设需要，且不少于3人。实施人员需要熟悉软件系统建设各业务，能独立执行某个阶段的项目工作，并且参加过1个及以上设备管理系统的实施工作。主要实施成员，有项目管理或计算机类（信息系统项目管理师、软件设计师、软件测试师、系统集成管理师、数据治理工程师、系统规划与管理师）等证书。</w:t>
      </w:r>
    </w:p>
    <w:p w14:paraId="1EA2F6EC">
      <w:pPr>
        <w:numPr>
          <w:ilvl w:val="2"/>
          <w:numId w:val="47"/>
        </w:numPr>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人员能力：</w:t>
      </w:r>
      <w:r>
        <w:rPr>
          <w:rFonts w:hint="eastAsia" w:ascii="宋体" w:hAnsi="宋体" w:cs="宋体"/>
          <w:sz w:val="24"/>
          <w:szCs w:val="24"/>
          <w:highlight w:val="none"/>
          <w:lang w:val="en-US" w:eastAsia="zh-CN"/>
        </w:rPr>
        <w:t>承包方</w:t>
      </w:r>
      <w:r>
        <w:rPr>
          <w:rFonts w:hint="default" w:ascii="宋体" w:hAnsi="宋体" w:cs="宋体"/>
          <w:sz w:val="24"/>
          <w:szCs w:val="24"/>
          <w:highlight w:val="none"/>
          <w:lang w:val="en-US" w:eastAsia="zh-CN"/>
        </w:rPr>
        <w:t>项目经理，全面负责本项目的调研、开发、测试、上线、推广培训等协调、协作事宜。</w:t>
      </w:r>
      <w:r>
        <w:rPr>
          <w:rFonts w:hint="eastAsia" w:ascii="宋体" w:hAnsi="宋体" w:cs="宋体"/>
          <w:sz w:val="24"/>
          <w:szCs w:val="24"/>
          <w:highlight w:val="none"/>
          <w:lang w:val="en-US" w:eastAsia="zh-CN"/>
        </w:rPr>
        <w:t>对于项目实施过程中，发现能力不能够满足项目建设要求的承包方项目经理和实施人员，发包方有权提出更换要求，承包方须在发包方提出要求2周内完成新人员的更换。</w:t>
      </w:r>
    </w:p>
    <w:p w14:paraId="1D7CBFA5">
      <w:pPr>
        <w:numPr>
          <w:ilvl w:val="2"/>
          <w:numId w:val="47"/>
        </w:numPr>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稳定性：</w:t>
      </w:r>
      <w:r>
        <w:rPr>
          <w:rFonts w:hint="eastAsia" w:ascii="宋体" w:hAnsi="宋体" w:cs="宋体"/>
          <w:sz w:val="24"/>
          <w:szCs w:val="24"/>
          <w:highlight w:val="none"/>
          <w:lang w:val="en-US" w:eastAsia="zh-CN"/>
        </w:rPr>
        <w:t>为保证人员的稳定性，项目实施期间，承包方更换项目经理，必须书面征得发包方同意，替代人员资质、能力不低于原人员。对于未经发包方同意，承包方擅自更换项目经理，发包方按合同相关约定进行费用扣减。</w:t>
      </w:r>
    </w:p>
    <w:p w14:paraId="3128D720">
      <w:pPr>
        <w:numPr>
          <w:ilvl w:val="2"/>
          <w:numId w:val="47"/>
        </w:numPr>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驻场要求：</w:t>
      </w:r>
      <w:r>
        <w:rPr>
          <w:rFonts w:hint="eastAsia" w:ascii="宋体" w:hAnsi="宋体" w:cs="宋体"/>
          <w:sz w:val="24"/>
          <w:szCs w:val="24"/>
          <w:highlight w:val="none"/>
          <w:lang w:val="en-US" w:eastAsia="zh-CN"/>
        </w:rPr>
        <w:t>项目经理不少于80%的工作时间常驻福海创现场直至软件系统上线，实施人员驻厂服务至软件系统正式上线、试运行完成。</w:t>
      </w:r>
    </w:p>
    <w:p w14:paraId="02FAAE00">
      <w:pPr>
        <w:pStyle w:val="4"/>
        <w:numPr>
          <w:ilvl w:val="1"/>
          <w:numId w:val="45"/>
        </w:numPr>
        <w:spacing w:before="0" w:line="500" w:lineRule="exact"/>
        <w:ind w:left="567" w:leftChars="0" w:hanging="567" w:firstLineChars="0"/>
        <w:rPr>
          <w:rFonts w:hint="eastAsia" w:ascii="宋体" w:hAnsi="宋体" w:cs="宋体"/>
          <w:b/>
          <w:bCs/>
          <w:color w:val="auto"/>
          <w:sz w:val="28"/>
          <w:szCs w:val="28"/>
          <w:highlight w:val="none"/>
          <w:lang w:val="en-US" w:eastAsia="zh-CN"/>
        </w:rPr>
      </w:pPr>
      <w:bookmarkStart w:id="37" w:name="_Toc21536"/>
      <w:r>
        <w:rPr>
          <w:rFonts w:hint="eastAsia" w:ascii="宋体" w:hAnsi="宋体" w:cs="宋体"/>
          <w:b/>
          <w:bCs/>
          <w:color w:val="auto"/>
          <w:sz w:val="28"/>
          <w:szCs w:val="28"/>
          <w:highlight w:val="none"/>
          <w:lang w:val="en-US" w:eastAsia="zh-CN"/>
        </w:rPr>
        <w:t>项目验收</w:t>
      </w:r>
      <w:bookmarkEnd w:id="37"/>
    </w:p>
    <w:p w14:paraId="429F61D6">
      <w:pPr>
        <w:numPr>
          <w:ilvl w:val="2"/>
          <w:numId w:val="48"/>
        </w:numPr>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项目测试</w:t>
      </w:r>
      <w:r>
        <w:rPr>
          <w:rFonts w:hint="eastAsia" w:ascii="宋体" w:hAnsi="宋体" w:cs="宋体"/>
          <w:sz w:val="24"/>
          <w:szCs w:val="24"/>
          <w:highlight w:val="none"/>
          <w:lang w:val="en-US" w:eastAsia="zh-CN"/>
        </w:rPr>
        <w:t>：承包方完成模块测试、集成测试、用户验收测试（UAT）。承包方应详细记录测试结果，对发现的问题及时进行修复和优化。用户验收测试应在发包方的实际业务环境下进行，由发包方指定的用户按照功能要求和业务流程对系统进行测试。承包方应提供必要的技术支持和培训，协助发包方完成用户验收测试。</w:t>
      </w:r>
    </w:p>
    <w:p w14:paraId="5F1E4FD4">
      <w:pPr>
        <w:numPr>
          <w:ilvl w:val="2"/>
          <w:numId w:val="48"/>
        </w:numPr>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验收标准</w:t>
      </w:r>
      <w:r>
        <w:rPr>
          <w:rFonts w:hint="eastAsia" w:ascii="宋体" w:hAnsi="宋体" w:cs="宋体"/>
          <w:sz w:val="24"/>
          <w:szCs w:val="24"/>
          <w:highlight w:val="none"/>
          <w:lang w:val="en-US" w:eastAsia="zh-CN"/>
        </w:rPr>
        <w:t>：符合技术要求、功能模块、性能指标、安全要求等各项验收标准，符合《“工业互联网+危化安全生产”设备完整性管理与预测性维修系统建设应用指南》。</w:t>
      </w:r>
    </w:p>
    <w:p w14:paraId="6506DEB8">
      <w:pPr>
        <w:numPr>
          <w:ilvl w:val="2"/>
          <w:numId w:val="48"/>
        </w:numPr>
        <w:spacing w:after="0" w:line="500" w:lineRule="exact"/>
        <w:ind w:left="0" w:leftChars="0" w:firstLine="480" w:firstLineChars="0"/>
        <w:rPr>
          <w:rFonts w:hint="eastAsia" w:ascii="宋体" w:hAnsi="宋体" w:cs="宋体"/>
          <w:sz w:val="24"/>
          <w:szCs w:val="24"/>
          <w:highlight w:val="none"/>
          <w:lang w:val="en-US" w:eastAsia="zh-CN"/>
        </w:rPr>
      </w:pPr>
      <w:r>
        <w:rPr>
          <w:rFonts w:hint="eastAsia" w:ascii="宋体" w:hAnsi="宋体" w:cs="宋体"/>
          <w:b/>
          <w:bCs/>
          <w:sz w:val="24"/>
          <w:szCs w:val="24"/>
          <w:highlight w:val="none"/>
          <w:lang w:val="en-US" w:eastAsia="zh-CN"/>
        </w:rPr>
        <w:t>初步</w:t>
      </w:r>
      <w:r>
        <w:rPr>
          <w:rFonts w:hint="default" w:ascii="宋体" w:hAnsi="宋体" w:cs="宋体"/>
          <w:b/>
          <w:bCs/>
          <w:sz w:val="24"/>
          <w:szCs w:val="24"/>
          <w:highlight w:val="none"/>
          <w:lang w:val="en-US" w:eastAsia="zh-CN"/>
        </w:rPr>
        <w:t>验收</w:t>
      </w:r>
      <w:r>
        <w:rPr>
          <w:rFonts w:hint="default" w:ascii="宋体" w:hAnsi="宋体" w:cs="宋体"/>
          <w:sz w:val="24"/>
          <w:szCs w:val="24"/>
          <w:highlight w:val="none"/>
          <w:lang w:val="en-US" w:eastAsia="zh-CN"/>
        </w:rPr>
        <w:t>：开发测试</w:t>
      </w:r>
      <w:r>
        <w:rPr>
          <w:rFonts w:hint="eastAsia" w:ascii="宋体" w:hAnsi="宋体" w:cs="宋体"/>
          <w:sz w:val="24"/>
          <w:szCs w:val="24"/>
          <w:highlight w:val="none"/>
          <w:lang w:val="en-US" w:eastAsia="zh-CN"/>
        </w:rPr>
        <w:t>完成</w:t>
      </w:r>
      <w:r>
        <w:rPr>
          <w:rFonts w:hint="default" w:ascii="宋体" w:hAnsi="宋体" w:cs="宋体"/>
          <w:sz w:val="24"/>
          <w:szCs w:val="24"/>
          <w:highlight w:val="none"/>
          <w:lang w:val="en-US" w:eastAsia="zh-CN"/>
        </w:rPr>
        <w:t>后提交</w:t>
      </w:r>
      <w:r>
        <w:rPr>
          <w:rFonts w:hint="eastAsia" w:ascii="宋体" w:hAnsi="宋体" w:cs="宋体"/>
          <w:sz w:val="24"/>
          <w:szCs w:val="24"/>
          <w:highlight w:val="none"/>
          <w:lang w:val="en-US" w:eastAsia="zh-CN"/>
        </w:rPr>
        <w:t>验收</w:t>
      </w:r>
      <w:r>
        <w:rPr>
          <w:rFonts w:hint="default" w:ascii="宋体" w:hAnsi="宋体" w:cs="宋体"/>
          <w:sz w:val="24"/>
          <w:szCs w:val="24"/>
          <w:highlight w:val="none"/>
          <w:lang w:val="en-US" w:eastAsia="zh-CN"/>
        </w:rPr>
        <w:t>申请，并提供相关的验收文档（如测试报告、用户手册、技术文档等）。</w:t>
      </w:r>
      <w:r>
        <w:rPr>
          <w:rFonts w:hint="eastAsia" w:ascii="宋体" w:hAnsi="宋体" w:cs="宋体"/>
          <w:sz w:val="24"/>
          <w:szCs w:val="24"/>
          <w:highlight w:val="none"/>
          <w:lang w:val="en-US" w:eastAsia="zh-CN"/>
        </w:rPr>
        <w:t>发包方</w:t>
      </w:r>
      <w:r>
        <w:rPr>
          <w:rFonts w:hint="default" w:ascii="宋体" w:hAnsi="宋体" w:cs="宋体"/>
          <w:sz w:val="24"/>
          <w:szCs w:val="24"/>
          <w:highlight w:val="none"/>
          <w:lang w:val="en-US" w:eastAsia="zh-CN"/>
        </w:rPr>
        <w:t>在</w:t>
      </w:r>
      <w:r>
        <w:rPr>
          <w:rFonts w:hint="eastAsia" w:ascii="宋体" w:hAnsi="宋体" w:cs="宋体"/>
          <w:sz w:val="24"/>
          <w:szCs w:val="24"/>
          <w:highlight w:val="none"/>
          <w:lang w:val="en-US" w:eastAsia="zh-CN"/>
        </w:rPr>
        <w:t>5</w:t>
      </w:r>
      <w:r>
        <w:rPr>
          <w:rFonts w:hint="default" w:ascii="宋体" w:hAnsi="宋体" w:cs="宋体"/>
          <w:sz w:val="24"/>
          <w:szCs w:val="24"/>
          <w:highlight w:val="none"/>
          <w:lang w:val="en-US" w:eastAsia="zh-CN"/>
        </w:rPr>
        <w:t>个工作日内组织验收。验收合格</w:t>
      </w:r>
      <w:r>
        <w:rPr>
          <w:rFonts w:hint="eastAsia" w:ascii="宋体" w:hAnsi="宋体" w:cs="宋体"/>
          <w:sz w:val="24"/>
          <w:szCs w:val="24"/>
          <w:highlight w:val="none"/>
          <w:lang w:val="en-US" w:eastAsia="zh-CN"/>
        </w:rPr>
        <w:t>后</w:t>
      </w:r>
      <w:r>
        <w:rPr>
          <w:rFonts w:hint="default" w:ascii="宋体" w:hAnsi="宋体" w:cs="宋体"/>
          <w:sz w:val="24"/>
          <w:szCs w:val="24"/>
          <w:highlight w:val="none"/>
          <w:lang w:val="en-US" w:eastAsia="zh-CN"/>
        </w:rPr>
        <w:t>，</w:t>
      </w:r>
      <w:r>
        <w:rPr>
          <w:rFonts w:hint="eastAsia" w:ascii="宋体" w:hAnsi="宋体" w:cs="宋体"/>
          <w:sz w:val="24"/>
          <w:szCs w:val="24"/>
          <w:highlight w:val="none"/>
          <w:lang w:val="en-US" w:eastAsia="zh-CN"/>
        </w:rPr>
        <w:t>由双方签署《系统实施初步</w:t>
      </w:r>
      <w:r>
        <w:rPr>
          <w:rFonts w:hint="default" w:ascii="宋体" w:hAnsi="宋体" w:cs="宋体"/>
          <w:sz w:val="24"/>
          <w:szCs w:val="24"/>
          <w:highlight w:val="none"/>
          <w:lang w:val="en-US" w:eastAsia="zh-CN"/>
        </w:rPr>
        <w:t>验收报告</w:t>
      </w:r>
      <w:r>
        <w:rPr>
          <w:rFonts w:hint="eastAsia" w:ascii="宋体" w:hAnsi="宋体" w:cs="宋体"/>
          <w:sz w:val="24"/>
          <w:szCs w:val="24"/>
          <w:highlight w:val="none"/>
          <w:lang w:val="en-US" w:eastAsia="zh-CN"/>
        </w:rPr>
        <w:t>》</w:t>
      </w:r>
      <w:r>
        <w:rPr>
          <w:rFonts w:hint="default" w:ascii="宋体" w:hAnsi="宋体" w:cs="宋体"/>
          <w:sz w:val="24"/>
          <w:szCs w:val="24"/>
          <w:highlight w:val="none"/>
          <w:lang w:val="en-US" w:eastAsia="zh-CN"/>
        </w:rPr>
        <w:t>；如果验收不合格，</w:t>
      </w:r>
      <w:r>
        <w:rPr>
          <w:rFonts w:hint="eastAsia" w:ascii="宋体" w:hAnsi="宋体" w:cs="宋体"/>
          <w:sz w:val="24"/>
          <w:szCs w:val="24"/>
          <w:highlight w:val="none"/>
          <w:lang w:val="en-US" w:eastAsia="zh-CN"/>
        </w:rPr>
        <w:t>发包方</w:t>
      </w:r>
      <w:r>
        <w:rPr>
          <w:rFonts w:hint="default" w:ascii="宋体" w:hAnsi="宋体" w:cs="宋体"/>
          <w:sz w:val="24"/>
          <w:szCs w:val="24"/>
          <w:highlight w:val="none"/>
          <w:lang w:val="en-US" w:eastAsia="zh-CN"/>
        </w:rPr>
        <w:t>应向</w:t>
      </w:r>
      <w:r>
        <w:rPr>
          <w:rFonts w:hint="eastAsia" w:ascii="宋体" w:hAnsi="宋体" w:cs="宋体"/>
          <w:sz w:val="24"/>
          <w:szCs w:val="24"/>
          <w:highlight w:val="none"/>
          <w:lang w:val="en-US" w:eastAsia="zh-CN"/>
        </w:rPr>
        <w:t>承包方</w:t>
      </w:r>
      <w:r>
        <w:rPr>
          <w:rFonts w:hint="default" w:ascii="宋体" w:hAnsi="宋体" w:cs="宋体"/>
          <w:sz w:val="24"/>
          <w:szCs w:val="24"/>
          <w:highlight w:val="none"/>
          <w:lang w:val="en-US" w:eastAsia="zh-CN"/>
        </w:rPr>
        <w:t>提出整改意见，</w:t>
      </w:r>
      <w:r>
        <w:rPr>
          <w:rFonts w:hint="eastAsia" w:ascii="宋体" w:hAnsi="宋体" w:cs="宋体"/>
          <w:sz w:val="24"/>
          <w:szCs w:val="24"/>
          <w:highlight w:val="none"/>
          <w:lang w:val="en-US" w:eastAsia="zh-CN"/>
        </w:rPr>
        <w:t>承包方</w:t>
      </w:r>
      <w:r>
        <w:rPr>
          <w:rFonts w:hint="default" w:ascii="宋体" w:hAnsi="宋体" w:cs="宋体"/>
          <w:sz w:val="24"/>
          <w:szCs w:val="24"/>
          <w:highlight w:val="none"/>
          <w:lang w:val="en-US" w:eastAsia="zh-CN"/>
        </w:rPr>
        <w:t>应根据</w:t>
      </w:r>
      <w:r>
        <w:rPr>
          <w:rFonts w:hint="eastAsia" w:ascii="宋体" w:hAnsi="宋体" w:cs="宋体"/>
          <w:sz w:val="24"/>
          <w:szCs w:val="24"/>
          <w:highlight w:val="none"/>
          <w:lang w:val="en-US" w:eastAsia="zh-CN"/>
        </w:rPr>
        <w:t>发包方</w:t>
      </w:r>
      <w:r>
        <w:rPr>
          <w:rFonts w:hint="default" w:ascii="宋体" w:hAnsi="宋体" w:cs="宋体"/>
          <w:sz w:val="24"/>
          <w:szCs w:val="24"/>
          <w:highlight w:val="none"/>
          <w:lang w:val="en-US" w:eastAsia="zh-CN"/>
        </w:rPr>
        <w:t>的整改意见进行整改，并重新提交验收申请。</w:t>
      </w:r>
    </w:p>
    <w:p w14:paraId="5B1E73D1">
      <w:pPr>
        <w:numPr>
          <w:ilvl w:val="2"/>
          <w:numId w:val="48"/>
        </w:numPr>
        <w:spacing w:after="0" w:line="500" w:lineRule="exact"/>
        <w:ind w:left="0" w:leftChars="0" w:firstLine="480" w:firstLineChars="0"/>
        <w:rPr>
          <w:rFonts w:hint="eastAsia" w:ascii="宋体" w:hAnsi="宋体" w:cs="宋体"/>
          <w:sz w:val="24"/>
          <w:szCs w:val="24"/>
          <w:highlight w:val="none"/>
          <w:lang w:val="en-US" w:eastAsia="zh-CN"/>
        </w:rPr>
      </w:pPr>
      <w:r>
        <w:rPr>
          <w:rFonts w:hint="eastAsia" w:ascii="宋体" w:hAnsi="宋体" w:cs="宋体"/>
          <w:b/>
          <w:bCs/>
          <w:sz w:val="24"/>
          <w:szCs w:val="24"/>
          <w:highlight w:val="none"/>
          <w:lang w:val="en-US" w:eastAsia="zh-CN"/>
        </w:rPr>
        <w:t>试运行期</w:t>
      </w:r>
      <w:r>
        <w:rPr>
          <w:rFonts w:hint="eastAsia" w:ascii="宋体" w:hAnsi="宋体" w:cs="宋体"/>
          <w:sz w:val="24"/>
          <w:szCs w:val="24"/>
          <w:highlight w:val="none"/>
          <w:lang w:val="en-US" w:eastAsia="zh-CN"/>
        </w:rPr>
        <w:t>：初步验收合格完成后的第二日作为试运行期的起点，试运行期时间为3个月。</w:t>
      </w:r>
    </w:p>
    <w:p w14:paraId="67127C46">
      <w:pPr>
        <w:numPr>
          <w:ilvl w:val="2"/>
          <w:numId w:val="48"/>
        </w:numPr>
        <w:spacing w:after="0" w:line="500" w:lineRule="exact"/>
        <w:ind w:left="0" w:leftChars="0" w:firstLine="480" w:firstLineChars="0"/>
        <w:rPr>
          <w:rFonts w:hint="eastAsia" w:ascii="宋体" w:hAnsi="宋体" w:cs="宋体"/>
          <w:sz w:val="24"/>
          <w:szCs w:val="24"/>
          <w:highlight w:val="none"/>
          <w:lang w:val="en-US" w:eastAsia="zh-CN"/>
        </w:rPr>
      </w:pPr>
      <w:r>
        <w:rPr>
          <w:rFonts w:hint="eastAsia" w:ascii="宋体" w:hAnsi="宋体" w:cs="宋体"/>
          <w:b/>
          <w:bCs/>
          <w:sz w:val="24"/>
          <w:szCs w:val="24"/>
          <w:highlight w:val="none"/>
          <w:lang w:val="en-US" w:eastAsia="zh-CN"/>
        </w:rPr>
        <w:t>终验</w:t>
      </w:r>
      <w:r>
        <w:rPr>
          <w:rFonts w:hint="eastAsia" w:ascii="宋体" w:hAnsi="宋体" w:cs="宋体"/>
          <w:sz w:val="24"/>
          <w:szCs w:val="24"/>
          <w:highlight w:val="none"/>
          <w:lang w:val="en-US" w:eastAsia="zh-CN"/>
        </w:rPr>
        <w:t>：试运行稳定后，由承包方向发包方申请终验，验收合格后，由双方签署《系统实施终验报告》。</w:t>
      </w:r>
    </w:p>
    <w:p w14:paraId="07B6E79F">
      <w:pPr>
        <w:numPr>
          <w:ilvl w:val="2"/>
          <w:numId w:val="48"/>
        </w:numPr>
        <w:spacing w:after="0" w:line="500" w:lineRule="exact"/>
        <w:ind w:left="0" w:leftChars="0" w:firstLine="480" w:firstLineChars="0"/>
        <w:rPr>
          <w:rFonts w:hint="eastAsia" w:ascii="宋体" w:hAnsi="宋体" w:cs="宋体"/>
          <w:sz w:val="24"/>
          <w:szCs w:val="24"/>
          <w:highlight w:val="none"/>
          <w:lang w:val="en-US" w:eastAsia="zh-CN"/>
        </w:rPr>
      </w:pPr>
      <w:r>
        <w:rPr>
          <w:rFonts w:hint="eastAsia" w:ascii="宋体" w:hAnsi="宋体" w:cs="宋体"/>
          <w:b/>
          <w:bCs/>
          <w:sz w:val="24"/>
          <w:szCs w:val="24"/>
          <w:highlight w:val="none"/>
          <w:lang w:val="en-US" w:eastAsia="zh-CN"/>
        </w:rPr>
        <w:t>质保期</w:t>
      </w:r>
      <w:r>
        <w:rPr>
          <w:rFonts w:hint="eastAsia" w:ascii="宋体" w:hAnsi="宋体" w:cs="宋体"/>
          <w:sz w:val="24"/>
          <w:szCs w:val="24"/>
          <w:highlight w:val="none"/>
          <w:lang w:val="en-US" w:eastAsia="zh-CN"/>
        </w:rPr>
        <w:t>：终验验收后12个月，软件、硬件提供原厂质保。承包方购置的软件必须是正版商品化软件，具有完整、齐全的配套资料，且能正常升级。项目正式验收以后，承包方要及时通知发包方各种软件升级信息，并提供技术支持和服务。到货验收时，承包方应提供所有正版软件的最终用户证明，项目中包含的软件授权，最终用户应是福海创用户。</w:t>
      </w:r>
    </w:p>
    <w:p w14:paraId="19302843">
      <w:pPr>
        <w:pStyle w:val="4"/>
        <w:numPr>
          <w:ilvl w:val="1"/>
          <w:numId w:val="45"/>
        </w:numPr>
        <w:spacing w:before="0" w:line="500" w:lineRule="exact"/>
        <w:ind w:left="567" w:leftChars="0" w:hanging="567" w:firstLineChars="0"/>
        <w:rPr>
          <w:rFonts w:hint="eastAsia" w:ascii="宋体" w:hAnsi="宋体" w:cs="宋体"/>
          <w:b/>
          <w:bCs/>
          <w:color w:val="auto"/>
          <w:sz w:val="28"/>
          <w:szCs w:val="28"/>
          <w:highlight w:val="none"/>
          <w:lang w:val="en-US" w:eastAsia="zh-CN"/>
        </w:rPr>
      </w:pPr>
      <w:bookmarkStart w:id="38" w:name="_Toc3730"/>
      <w:r>
        <w:rPr>
          <w:rFonts w:hint="eastAsia" w:ascii="宋体" w:hAnsi="宋体" w:cs="宋体"/>
          <w:b/>
          <w:bCs/>
          <w:color w:val="auto"/>
          <w:sz w:val="28"/>
          <w:szCs w:val="28"/>
          <w:highlight w:val="none"/>
          <w:lang w:val="en-US" w:eastAsia="zh-CN"/>
        </w:rPr>
        <w:t>其他要求</w:t>
      </w:r>
      <w:bookmarkEnd w:id="38"/>
    </w:p>
    <w:p w14:paraId="628B0042">
      <w:pPr>
        <w:numPr>
          <w:ilvl w:val="2"/>
          <w:numId w:val="49"/>
        </w:numPr>
        <w:tabs>
          <w:tab w:val="left" w:pos="420"/>
          <w:tab w:val="clear" w:pos="0"/>
        </w:tabs>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培训：</w:t>
      </w:r>
      <w:r>
        <w:rPr>
          <w:rFonts w:hint="eastAsia" w:ascii="宋体" w:hAnsi="宋体" w:cs="宋体"/>
          <w:sz w:val="24"/>
          <w:szCs w:val="24"/>
          <w:highlight w:val="none"/>
          <w:lang w:val="en-US" w:eastAsia="zh-CN"/>
        </w:rPr>
        <w:t>上线后提供线上或线下培训，提供培训资料。根据不同的对象制定不同的培训策略，培训内容应涵盖软件系统的操作、维护、故障排除等。</w:t>
      </w:r>
    </w:p>
    <w:p w14:paraId="6D123E87">
      <w:pPr>
        <w:numPr>
          <w:ilvl w:val="2"/>
          <w:numId w:val="49"/>
        </w:numPr>
        <w:tabs>
          <w:tab w:val="left" w:pos="420"/>
          <w:tab w:val="clear" w:pos="0"/>
        </w:tabs>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反馈</w:t>
      </w:r>
      <w:r>
        <w:rPr>
          <w:rFonts w:hint="eastAsia" w:ascii="宋体" w:hAnsi="宋体" w:cs="宋体"/>
          <w:sz w:val="24"/>
          <w:szCs w:val="24"/>
          <w:highlight w:val="none"/>
          <w:lang w:val="en-US" w:eastAsia="zh-CN"/>
        </w:rPr>
        <w:t>：承包方应跟踪反馈用户使用情况、软件和硬件运行状况等。承包方以保障用户顺利、正常的日常应用为服务宗旨，严格按照行业标准对项目情况进行跟踪和反馈。</w:t>
      </w:r>
    </w:p>
    <w:p w14:paraId="09CFC96D">
      <w:pPr>
        <w:numPr>
          <w:ilvl w:val="2"/>
          <w:numId w:val="49"/>
        </w:numPr>
        <w:tabs>
          <w:tab w:val="left" w:pos="420"/>
          <w:tab w:val="clear" w:pos="0"/>
        </w:tabs>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服务承诺</w:t>
      </w:r>
      <w:r>
        <w:rPr>
          <w:rFonts w:hint="eastAsia" w:ascii="宋体" w:hAnsi="宋体" w:cs="宋体"/>
          <w:sz w:val="24"/>
          <w:szCs w:val="24"/>
          <w:highlight w:val="none"/>
          <w:lang w:val="en-US" w:eastAsia="zh-CN"/>
        </w:rPr>
        <w:t>：承包方投标文件应对项目运维期间（运维时间为质保到期后三年）做出服务承诺，承诺内容包括但不限于运维服务人员职责、运维服务范围内容、服务响应要求、更新升级服务和系统优化、系统软件维护、系统故障处理、远程故障诊断等技术服务等。</w:t>
      </w:r>
    </w:p>
    <w:p w14:paraId="155B2CBC">
      <w:pPr>
        <w:numPr>
          <w:ilvl w:val="2"/>
          <w:numId w:val="49"/>
        </w:numPr>
        <w:tabs>
          <w:tab w:val="left" w:pos="420"/>
          <w:tab w:val="clear" w:pos="0"/>
        </w:tabs>
        <w:spacing w:after="0" w:line="500" w:lineRule="exact"/>
        <w:ind w:left="0" w:leftChars="0" w:firstLine="480" w:firstLineChars="0"/>
        <w:rPr>
          <w:rFonts w:hint="default" w:ascii="宋体" w:hAnsi="宋体" w:cs="宋体"/>
          <w:sz w:val="24"/>
          <w:szCs w:val="24"/>
          <w:highlight w:val="none"/>
          <w:lang w:val="en-US" w:eastAsia="zh-CN"/>
        </w:rPr>
      </w:pPr>
      <w:r>
        <w:rPr>
          <w:rFonts w:hint="default" w:ascii="宋体" w:hAnsi="宋体" w:cs="宋体"/>
          <w:b/>
          <w:bCs/>
          <w:sz w:val="24"/>
          <w:szCs w:val="24"/>
          <w:highlight w:val="none"/>
          <w:lang w:val="en-US" w:eastAsia="zh-CN"/>
        </w:rPr>
        <w:t>沟通</w:t>
      </w:r>
      <w:r>
        <w:rPr>
          <w:rFonts w:hint="eastAsia" w:ascii="宋体" w:hAnsi="宋体" w:cs="宋体"/>
          <w:b/>
          <w:bCs/>
          <w:sz w:val="24"/>
          <w:szCs w:val="24"/>
          <w:highlight w:val="none"/>
          <w:lang w:val="en-US" w:eastAsia="zh-CN"/>
        </w:rPr>
        <w:t>平台</w:t>
      </w:r>
      <w:r>
        <w:rPr>
          <w:rFonts w:hint="default" w:ascii="宋体" w:hAnsi="宋体" w:cs="宋体"/>
          <w:sz w:val="24"/>
          <w:szCs w:val="24"/>
          <w:highlight w:val="none"/>
          <w:lang w:val="en-US" w:eastAsia="zh-CN"/>
        </w:rPr>
        <w:t>：建立维护服务平台，作为专门的沟通渠道和</w:t>
      </w:r>
      <w:r>
        <w:rPr>
          <w:rFonts w:hint="eastAsia" w:ascii="宋体" w:hAnsi="宋体" w:cs="宋体"/>
          <w:sz w:val="24"/>
          <w:szCs w:val="24"/>
          <w:highlight w:val="none"/>
          <w:lang w:val="en-US" w:eastAsia="zh-CN"/>
        </w:rPr>
        <w:t>发包方</w:t>
      </w:r>
      <w:r>
        <w:rPr>
          <w:rFonts w:hint="default" w:ascii="宋体" w:hAnsi="宋体" w:cs="宋体"/>
          <w:sz w:val="24"/>
          <w:szCs w:val="24"/>
          <w:highlight w:val="none"/>
          <w:lang w:val="en-US" w:eastAsia="zh-CN"/>
        </w:rPr>
        <w:t>及用户的联系点。 7*24 小时</w:t>
      </w:r>
      <w:r>
        <w:rPr>
          <w:rFonts w:hint="eastAsia" w:ascii="宋体" w:hAnsi="宋体" w:cs="宋体"/>
          <w:sz w:val="24"/>
          <w:szCs w:val="24"/>
          <w:highlight w:val="none"/>
          <w:lang w:val="en-US" w:eastAsia="zh-CN"/>
        </w:rPr>
        <w:t>接受</w:t>
      </w:r>
      <w:r>
        <w:rPr>
          <w:rFonts w:hint="default" w:ascii="宋体" w:hAnsi="宋体" w:cs="宋体"/>
          <w:sz w:val="24"/>
          <w:szCs w:val="24"/>
          <w:highlight w:val="none"/>
          <w:lang w:val="en-US" w:eastAsia="zh-CN"/>
        </w:rPr>
        <w:t>服务请求、记录、处理</w:t>
      </w:r>
      <w:r>
        <w:rPr>
          <w:rFonts w:hint="eastAsia" w:ascii="宋体" w:hAnsi="宋体" w:cs="宋体"/>
          <w:sz w:val="24"/>
          <w:szCs w:val="24"/>
          <w:highlight w:val="none"/>
          <w:lang w:val="en-US" w:eastAsia="zh-CN"/>
        </w:rPr>
        <w:t>、</w:t>
      </w:r>
      <w:r>
        <w:rPr>
          <w:rFonts w:hint="default" w:ascii="宋体" w:hAnsi="宋体" w:cs="宋体"/>
          <w:sz w:val="24"/>
          <w:szCs w:val="24"/>
          <w:highlight w:val="none"/>
          <w:lang w:val="en-US" w:eastAsia="zh-CN"/>
        </w:rPr>
        <w:t>跟踪反馈。</w:t>
      </w:r>
    </w:p>
    <w:p w14:paraId="512CD841">
      <w:pPr>
        <w:numPr>
          <w:ilvl w:val="2"/>
          <w:numId w:val="49"/>
        </w:numPr>
        <w:tabs>
          <w:tab w:val="left" w:pos="420"/>
          <w:tab w:val="clear" w:pos="0"/>
        </w:tabs>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售后服务</w:t>
      </w:r>
      <w:r>
        <w:rPr>
          <w:rFonts w:hint="eastAsia" w:ascii="宋体" w:hAnsi="宋体" w:cs="宋体"/>
          <w:sz w:val="24"/>
          <w:szCs w:val="24"/>
          <w:highlight w:val="none"/>
          <w:lang w:val="en-US" w:eastAsia="zh-CN"/>
        </w:rPr>
        <w:t>：每年1~2次现场服务和访问，质保期内免费维护与升级。系统维护应包括故障排除、性能优化等内容；系统升级应确保在不影响发包方正常业务使用的前提下，对系统的功能进行增强和完善。</w:t>
      </w:r>
    </w:p>
    <w:p w14:paraId="652BDA16">
      <w:pPr>
        <w:numPr>
          <w:ilvl w:val="2"/>
          <w:numId w:val="49"/>
        </w:numPr>
        <w:tabs>
          <w:tab w:val="left" w:pos="420"/>
          <w:tab w:val="clear" w:pos="0"/>
        </w:tabs>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软件版权</w:t>
      </w:r>
      <w:r>
        <w:rPr>
          <w:rFonts w:hint="eastAsia" w:ascii="宋体" w:hAnsi="宋体" w:cs="宋体"/>
          <w:sz w:val="24"/>
          <w:szCs w:val="24"/>
          <w:highlight w:val="none"/>
          <w:lang w:val="en-US" w:eastAsia="zh-CN"/>
        </w:rPr>
        <w:t>：保证软件版权合法，不存在任何侵权行为。在系统交付使用后，承包方应将系统相关技术文档、</w:t>
      </w:r>
      <w:r>
        <w:rPr>
          <w:rFonts w:hint="eastAsia" w:ascii="宋体" w:hAnsi="宋体" w:cs="宋体"/>
          <w:b w:val="0"/>
          <w:bCs w:val="0"/>
          <w:sz w:val="24"/>
          <w:szCs w:val="24"/>
          <w:highlight w:val="none"/>
          <w:lang w:val="en-US" w:eastAsia="zh-CN"/>
        </w:rPr>
        <w:t>接口开发代码、二次开发代码交</w:t>
      </w:r>
      <w:r>
        <w:rPr>
          <w:rFonts w:hint="eastAsia" w:ascii="宋体" w:hAnsi="宋体" w:cs="宋体"/>
          <w:sz w:val="24"/>
          <w:szCs w:val="24"/>
          <w:highlight w:val="none"/>
          <w:lang w:val="en-US" w:eastAsia="zh-CN"/>
        </w:rPr>
        <w:t>付给发包方，并协助发包方办理软件著作权登记手续（费用由承包方承担）。甲乙双方作为合作方，共同完成上线设备完整性管理系统的软件著作权（不少于1项）申请或发明专利（不少于1项）申请。</w:t>
      </w:r>
    </w:p>
    <w:p w14:paraId="7790764F">
      <w:pPr>
        <w:numPr>
          <w:ilvl w:val="2"/>
          <w:numId w:val="49"/>
        </w:numPr>
        <w:tabs>
          <w:tab w:val="left" w:pos="420"/>
          <w:tab w:val="clear" w:pos="0"/>
        </w:tabs>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b/>
          <w:bCs/>
          <w:sz w:val="24"/>
          <w:szCs w:val="24"/>
          <w:highlight w:val="none"/>
          <w:lang w:val="en-US" w:eastAsia="zh-CN"/>
        </w:rPr>
        <w:t>保密要求</w:t>
      </w:r>
      <w:r>
        <w:rPr>
          <w:rFonts w:hint="eastAsia" w:ascii="宋体" w:hAnsi="宋体" w:cs="宋体"/>
          <w:sz w:val="24"/>
          <w:szCs w:val="24"/>
          <w:highlight w:val="none"/>
          <w:lang w:val="en-US" w:eastAsia="zh-CN"/>
        </w:rPr>
        <w:t>：由发包方提供给承包方的文件、资料和数据，承包方应当承担保密义务，未经发包方同意，承包方不得以任何形式向第三方透露。一经完成合同中规定的工作，承包方应返还所有发包方提供的资料。对于承包方提交的资料及软件代码，发包方承诺将严格保密，仅限于执行本项目需要而向第三人提供或披露；未经承包方书面同意，发包方不得将承包方提交的资料和软件代码提供给建设其他项目的第三方使用。</w:t>
      </w:r>
    </w:p>
    <w:bookmarkEnd w:id="9"/>
    <w:p w14:paraId="249FA603">
      <w:pPr>
        <w:pStyle w:val="2"/>
        <w:numPr>
          <w:ilvl w:val="0"/>
          <w:numId w:val="44"/>
        </w:numPr>
        <w:tabs>
          <w:tab w:val="left" w:pos="432"/>
        </w:tabs>
        <w:spacing w:before="0" w:line="500" w:lineRule="exact"/>
        <w:ind w:left="0" w:leftChars="0" w:firstLine="0" w:firstLineChars="0"/>
        <w:rPr>
          <w:rFonts w:hint="eastAsia" w:ascii="宋体" w:hAnsi="宋体" w:cs="宋体"/>
          <w:color w:val="auto"/>
          <w:sz w:val="30"/>
          <w:szCs w:val="30"/>
          <w:highlight w:val="none"/>
          <w:lang w:val="en-US" w:eastAsia="zh-CN"/>
        </w:rPr>
      </w:pPr>
      <w:bookmarkStart w:id="39" w:name="_Toc19375"/>
      <w:bookmarkStart w:id="40" w:name="_Ref148293493"/>
      <w:bookmarkStart w:id="41" w:name="_Toc361925643"/>
      <w:bookmarkStart w:id="42" w:name="_Ref148293495"/>
      <w:bookmarkStart w:id="43" w:name="_Toc42835512"/>
      <w:bookmarkStart w:id="44" w:name="_Toc153052135"/>
      <w:bookmarkStart w:id="45" w:name="_Toc242059046"/>
      <w:bookmarkStart w:id="46" w:name="_Toc441985079"/>
      <w:bookmarkStart w:id="47" w:name="_Toc362277517"/>
      <w:bookmarkStart w:id="48" w:name="_Toc148303718"/>
      <w:bookmarkStart w:id="49" w:name="_Toc29012861"/>
      <w:bookmarkStart w:id="50" w:name="_Ref148293498"/>
      <w:bookmarkStart w:id="51" w:name="_Toc430878227"/>
      <w:bookmarkStart w:id="52" w:name="_Toc255484557"/>
      <w:bookmarkStart w:id="53" w:name="_Toc246991068"/>
      <w:r>
        <w:rPr>
          <w:rFonts w:hint="eastAsia" w:ascii="宋体" w:hAnsi="宋体" w:cs="宋体"/>
          <w:color w:val="auto"/>
          <w:sz w:val="30"/>
          <w:szCs w:val="30"/>
          <w:highlight w:val="none"/>
          <w:lang w:val="en-US" w:eastAsia="zh-CN"/>
        </w:rPr>
        <w:t>投标要求</w:t>
      </w:r>
      <w:bookmarkEnd w:id="39"/>
    </w:p>
    <w:p w14:paraId="7C5A6E41">
      <w:pPr>
        <w:pStyle w:val="4"/>
        <w:numPr>
          <w:ilvl w:val="1"/>
          <w:numId w:val="50"/>
        </w:numPr>
        <w:spacing w:before="0" w:line="500" w:lineRule="exact"/>
        <w:ind w:left="567" w:leftChars="0" w:hanging="567" w:firstLineChars="0"/>
        <w:rPr>
          <w:rFonts w:hint="eastAsia" w:ascii="宋体" w:hAnsi="宋体" w:cs="宋体"/>
          <w:b/>
          <w:bCs/>
          <w:color w:val="auto"/>
          <w:sz w:val="28"/>
          <w:szCs w:val="28"/>
          <w:highlight w:val="none"/>
          <w:lang w:val="en-US" w:eastAsia="zh-CN"/>
        </w:rPr>
      </w:pPr>
      <w:bookmarkStart w:id="54" w:name="_Toc5232"/>
      <w:r>
        <w:rPr>
          <w:rFonts w:hint="eastAsia" w:ascii="宋体" w:hAnsi="宋体" w:cs="宋体"/>
          <w:b/>
          <w:bCs/>
          <w:color w:val="auto"/>
          <w:sz w:val="28"/>
          <w:szCs w:val="28"/>
          <w:highlight w:val="none"/>
          <w:lang w:val="en-US" w:eastAsia="zh-CN"/>
        </w:rPr>
        <w:t>资质要求</w:t>
      </w:r>
      <w:bookmarkEnd w:id="54"/>
    </w:p>
    <w:p w14:paraId="70EB9AA0">
      <w:pPr>
        <w:pStyle w:val="4"/>
        <w:numPr>
          <w:ilvl w:val="0"/>
          <w:numId w:val="0"/>
        </w:numPr>
        <w:spacing w:before="0" w:line="500" w:lineRule="exact"/>
        <w:ind w:leftChars="0"/>
        <w:rPr>
          <w:rFonts w:hint="eastAsia"/>
          <w:b w:val="0"/>
          <w:bCs w:val="0"/>
          <w:color w:val="000000"/>
          <w:sz w:val="28"/>
          <w:lang w:val="en-US" w:eastAsia="zh-CN"/>
        </w:rPr>
      </w:pPr>
      <w:bookmarkStart w:id="55" w:name="_Toc10643"/>
      <w:r>
        <w:rPr>
          <w:rFonts w:hint="eastAsia"/>
          <w:b w:val="0"/>
          <w:bCs w:val="0"/>
          <w:color w:val="000000"/>
          <w:sz w:val="28"/>
          <w:lang w:val="en-US" w:eastAsia="zh-CN"/>
        </w:rPr>
        <w:t>6.1.1.独立法人资格。具有独立订立合同的权利和履行合同的能力，依法取得营业执照，营业执照处于有效期，营业执照、税务登记证、组织机构代码证三证齐全。</w:t>
      </w:r>
    </w:p>
    <w:p w14:paraId="3C74FE65">
      <w:pPr>
        <w:pStyle w:val="4"/>
        <w:numPr>
          <w:ilvl w:val="0"/>
          <w:numId w:val="0"/>
        </w:numPr>
        <w:spacing w:before="0" w:line="500" w:lineRule="exact"/>
        <w:ind w:leftChars="0"/>
        <w:rPr>
          <w:rFonts w:hint="eastAsia"/>
          <w:b w:val="0"/>
          <w:bCs w:val="0"/>
          <w:color w:val="000000"/>
          <w:sz w:val="28"/>
        </w:rPr>
      </w:pPr>
      <w:r>
        <w:rPr>
          <w:rFonts w:hint="eastAsia" w:cs="宋体"/>
          <w:b/>
          <w:bCs/>
          <w:color w:val="auto"/>
          <w:sz w:val="28"/>
          <w:szCs w:val="28"/>
          <w:highlight w:val="none"/>
          <w:lang w:val="en-US" w:eastAsia="zh-CN"/>
        </w:rPr>
        <w:t>6.1.</w:t>
      </w:r>
      <w:r>
        <w:rPr>
          <w:rFonts w:hint="default" w:ascii="宋体" w:hAnsi="宋体" w:cs="宋体"/>
          <w:b/>
          <w:bCs/>
          <w:color w:val="auto"/>
          <w:sz w:val="28"/>
          <w:szCs w:val="28"/>
          <w:highlight w:val="none"/>
          <w:lang w:val="en-US" w:eastAsia="zh-CN"/>
        </w:rPr>
        <w:t>2</w:t>
      </w:r>
      <w:r>
        <w:rPr>
          <w:rFonts w:hint="eastAsia" w:ascii="宋体" w:hAnsi="宋体" w:cs="宋体"/>
          <w:b/>
          <w:bCs/>
          <w:color w:val="auto"/>
          <w:sz w:val="28"/>
          <w:szCs w:val="28"/>
          <w:highlight w:val="none"/>
          <w:lang w:val="en-US" w:eastAsia="zh-CN"/>
        </w:rPr>
        <w:t>.至少</w:t>
      </w:r>
      <w:r>
        <w:rPr>
          <w:rFonts w:hint="eastAsia"/>
          <w:b w:val="0"/>
          <w:bCs w:val="0"/>
          <w:color w:val="000000"/>
          <w:sz w:val="28"/>
        </w:rPr>
        <w:t>1项国内</w:t>
      </w:r>
      <w:r>
        <w:rPr>
          <w:rFonts w:hint="default"/>
          <w:b w:val="0"/>
          <w:bCs w:val="0"/>
          <w:color w:val="000000"/>
          <w:sz w:val="28"/>
          <w:woUserID w:val="1"/>
        </w:rPr>
        <w:t>信息</w:t>
      </w:r>
      <w:r>
        <w:rPr>
          <w:rFonts w:hint="eastAsia"/>
          <w:b w:val="0"/>
          <w:bCs w:val="0"/>
          <w:color w:val="000000"/>
          <w:sz w:val="28"/>
        </w:rPr>
        <w:t>管理系统的业绩，必须提供相关业绩证明文件，有效业绩应符合以下条件：</w:t>
      </w:r>
    </w:p>
    <w:p w14:paraId="23289C3C">
      <w:pPr>
        <w:spacing w:line="360" w:lineRule="auto"/>
        <w:ind w:firstLine="560" w:firstLineChars="200"/>
        <w:rPr>
          <w:rFonts w:hint="eastAsia"/>
          <w:b w:val="0"/>
          <w:bCs w:val="0"/>
          <w:color w:val="000000"/>
          <w:sz w:val="28"/>
        </w:rPr>
      </w:pPr>
      <w:r>
        <w:rPr>
          <w:rFonts w:hint="eastAsia"/>
          <w:b w:val="0"/>
          <w:bCs w:val="0"/>
          <w:color w:val="000000"/>
          <w:sz w:val="28"/>
        </w:rPr>
        <w:t>合同标的总价不低于150万；</w:t>
      </w:r>
    </w:p>
    <w:p w14:paraId="568D677C">
      <w:pPr>
        <w:spacing w:line="360" w:lineRule="auto"/>
        <w:ind w:firstLine="560" w:firstLineChars="200"/>
        <w:rPr>
          <w:rFonts w:hint="eastAsia"/>
          <w:b w:val="0"/>
          <w:bCs w:val="0"/>
          <w:color w:val="000000"/>
          <w:sz w:val="28"/>
        </w:rPr>
      </w:pPr>
      <w:r>
        <w:rPr>
          <w:rFonts w:hint="eastAsia"/>
          <w:b w:val="0"/>
          <w:bCs w:val="0"/>
          <w:color w:val="000000"/>
          <w:sz w:val="28"/>
        </w:rPr>
        <w:t>合同签订日期为2020年1月1日至投标截止日止；</w:t>
      </w:r>
    </w:p>
    <w:p w14:paraId="4804C9D3">
      <w:pPr>
        <w:spacing w:line="360" w:lineRule="auto"/>
        <w:ind w:firstLine="560" w:firstLineChars="200"/>
        <w:rPr>
          <w:rFonts w:hint="eastAsia"/>
          <w:b w:val="0"/>
          <w:bCs w:val="0"/>
          <w:color w:val="000000"/>
          <w:sz w:val="28"/>
        </w:rPr>
      </w:pPr>
      <w:r>
        <w:rPr>
          <w:rFonts w:hint="eastAsia"/>
          <w:b w:val="0"/>
          <w:bCs w:val="0"/>
          <w:color w:val="000000"/>
          <w:sz w:val="28"/>
        </w:rPr>
        <w:t>业绩证明文件包括合同关键页复印件、发票复印件（至少一张）、验收报告复印件以及其他符合项目相关性的资料。</w:t>
      </w:r>
    </w:p>
    <w:p w14:paraId="16DF944E">
      <w:pPr>
        <w:spacing w:line="360" w:lineRule="auto"/>
        <w:rPr>
          <w:rFonts w:hint="eastAsia"/>
          <w:color w:val="000000"/>
          <w:sz w:val="28"/>
        </w:rPr>
      </w:pPr>
      <w:r>
        <w:rPr>
          <w:rFonts w:hint="eastAsia" w:cs="宋体"/>
          <w:b/>
          <w:bCs/>
          <w:color w:val="auto"/>
          <w:sz w:val="28"/>
          <w:szCs w:val="28"/>
          <w:highlight w:val="none"/>
          <w:lang w:val="en-US" w:eastAsia="zh-CN"/>
        </w:rPr>
        <w:t>6.1.</w:t>
      </w:r>
      <w:r>
        <w:rPr>
          <w:rFonts w:hint="default"/>
          <w:color w:val="000000"/>
          <w:sz w:val="28"/>
          <w:woUserID w:val="1"/>
        </w:rPr>
        <w:t>3</w:t>
      </w:r>
      <w:r>
        <w:rPr>
          <w:rFonts w:hint="eastAsia"/>
          <w:color w:val="000000"/>
          <w:sz w:val="28"/>
        </w:rPr>
        <w:t>.所需物资供应能力及质量控制措施，近三年无重大质量问题。</w:t>
      </w:r>
      <w:r>
        <w:rPr>
          <w:rFonts w:hint="eastAsia" w:cs="宋体"/>
          <w:b/>
          <w:bCs/>
          <w:color w:val="auto"/>
          <w:sz w:val="28"/>
          <w:szCs w:val="28"/>
          <w:highlight w:val="none"/>
          <w:lang w:val="en-US" w:eastAsia="zh-CN"/>
        </w:rPr>
        <w:t>6.1.</w:t>
      </w:r>
      <w:r>
        <w:rPr>
          <w:rFonts w:hint="default"/>
          <w:color w:val="000000"/>
          <w:sz w:val="28"/>
          <w:woUserID w:val="1"/>
        </w:rPr>
        <w:t>4</w:t>
      </w:r>
      <w:r>
        <w:rPr>
          <w:rFonts w:hint="eastAsia"/>
          <w:color w:val="000000"/>
          <w:sz w:val="28"/>
        </w:rPr>
        <w:t>.良好的商业信誉、财务状况。无吊销营业执照、吊销资质、停业整顿、取消投标资格以及财产被接管、冻结或进入破产程序等情形。</w:t>
      </w:r>
    </w:p>
    <w:p w14:paraId="4D1111DD">
      <w:pPr>
        <w:spacing w:line="360" w:lineRule="auto"/>
        <w:rPr>
          <w:rFonts w:hint="eastAsia"/>
          <w:color w:val="000000"/>
          <w:sz w:val="28"/>
        </w:rPr>
      </w:pPr>
      <w:r>
        <w:rPr>
          <w:rFonts w:hint="eastAsia" w:cs="宋体"/>
          <w:b/>
          <w:bCs/>
          <w:color w:val="auto"/>
          <w:sz w:val="28"/>
          <w:szCs w:val="28"/>
          <w:highlight w:val="none"/>
          <w:lang w:val="en-US" w:eastAsia="zh-CN"/>
        </w:rPr>
        <w:t>6.1.</w:t>
      </w:r>
      <w:r>
        <w:rPr>
          <w:rFonts w:hint="default"/>
          <w:color w:val="000000"/>
          <w:sz w:val="28"/>
          <w:woUserID w:val="1"/>
        </w:rPr>
        <w:t>5</w:t>
      </w:r>
      <w:r>
        <w:rPr>
          <w:rFonts w:hint="eastAsia"/>
          <w:color w:val="000000"/>
          <w:sz w:val="28"/>
        </w:rPr>
        <w:t>.没有处于因违约、诚信等原因被能化集团停用交易资格的状态。</w:t>
      </w:r>
    </w:p>
    <w:p w14:paraId="27A53670">
      <w:pPr>
        <w:spacing w:line="360" w:lineRule="auto"/>
        <w:rPr>
          <w:rFonts w:hint="eastAsia"/>
          <w:color w:val="000000"/>
          <w:sz w:val="28"/>
        </w:rPr>
      </w:pPr>
      <w:r>
        <w:rPr>
          <w:rFonts w:hint="eastAsia" w:cs="宋体"/>
          <w:b/>
          <w:bCs/>
          <w:color w:val="auto"/>
          <w:sz w:val="28"/>
          <w:szCs w:val="28"/>
          <w:highlight w:val="none"/>
          <w:lang w:val="en-US" w:eastAsia="zh-CN"/>
        </w:rPr>
        <w:t>6.1.</w:t>
      </w:r>
      <w:r>
        <w:rPr>
          <w:rFonts w:hint="default"/>
          <w:color w:val="000000"/>
          <w:sz w:val="28"/>
          <w:woUserID w:val="1"/>
        </w:rPr>
        <w:t>6</w:t>
      </w:r>
      <w:r>
        <w:rPr>
          <w:rFonts w:hint="eastAsia"/>
          <w:color w:val="000000"/>
          <w:sz w:val="28"/>
        </w:rPr>
        <w:t>.拥有投标产品软件系统的自主知识产权证书，并同时具备软件企业证书。</w:t>
      </w:r>
    </w:p>
    <w:p w14:paraId="011DDA3A">
      <w:pPr>
        <w:spacing w:line="360" w:lineRule="auto"/>
        <w:rPr>
          <w:rFonts w:hint="eastAsia"/>
          <w:color w:val="000000"/>
          <w:sz w:val="28"/>
        </w:rPr>
      </w:pPr>
      <w:r>
        <w:rPr>
          <w:rFonts w:hint="eastAsia" w:cs="宋体"/>
          <w:b/>
          <w:bCs/>
          <w:color w:val="auto"/>
          <w:sz w:val="28"/>
          <w:szCs w:val="28"/>
          <w:highlight w:val="none"/>
          <w:lang w:val="en-US" w:eastAsia="zh-CN"/>
        </w:rPr>
        <w:t>6.1.</w:t>
      </w:r>
      <w:r>
        <w:rPr>
          <w:rFonts w:hint="default"/>
          <w:color w:val="000000"/>
          <w:sz w:val="28"/>
          <w:woUserID w:val="1"/>
        </w:rPr>
        <w:t>7</w:t>
      </w:r>
      <w:r>
        <w:rPr>
          <w:rFonts w:hint="eastAsia"/>
          <w:color w:val="000000"/>
          <w:sz w:val="28"/>
        </w:rPr>
        <w:t>.项目经理需至少持有以下任一资格认证：信息系统项目管理师（高级）、系统架构设计师（高级）、PMP（项目管理专业人士）或CISP（注册信息安全工程师）。</w:t>
      </w:r>
    </w:p>
    <w:p w14:paraId="41EE53D9">
      <w:pPr>
        <w:spacing w:line="360" w:lineRule="auto"/>
        <w:rPr>
          <w:rFonts w:hint="eastAsia"/>
          <w:color w:val="000000"/>
          <w:sz w:val="28"/>
        </w:rPr>
      </w:pPr>
      <w:r>
        <w:rPr>
          <w:rFonts w:hint="eastAsia" w:cs="宋体"/>
          <w:b/>
          <w:bCs/>
          <w:color w:val="auto"/>
          <w:sz w:val="28"/>
          <w:szCs w:val="28"/>
          <w:highlight w:val="none"/>
          <w:lang w:val="en-US" w:eastAsia="zh-CN"/>
        </w:rPr>
        <w:t>6.1.</w:t>
      </w:r>
      <w:r>
        <w:rPr>
          <w:rFonts w:hint="default"/>
          <w:color w:val="000000"/>
          <w:sz w:val="28"/>
          <w:woUserID w:val="1"/>
        </w:rPr>
        <w:t>8</w:t>
      </w:r>
      <w:r>
        <w:rPr>
          <w:rFonts w:hint="eastAsia"/>
          <w:color w:val="000000"/>
          <w:sz w:val="28"/>
        </w:rPr>
        <w:t>.项目经理要求：项目经理需具有5年以上的信息技术项目管理经验，至少已完成2项设备管理系统的建设，其中行业相关如石化、钢铁、冶金、能源行业设备管理系统不少于1项。</w:t>
      </w:r>
    </w:p>
    <w:p w14:paraId="67BE755D">
      <w:pPr>
        <w:spacing w:line="360" w:lineRule="auto"/>
        <w:rPr>
          <w:rFonts w:hint="eastAsia"/>
          <w:color w:val="000000"/>
          <w:sz w:val="28"/>
        </w:rPr>
      </w:pPr>
      <w:r>
        <w:rPr>
          <w:rFonts w:hint="eastAsia" w:cs="宋体"/>
          <w:b/>
          <w:bCs/>
          <w:color w:val="auto"/>
          <w:sz w:val="28"/>
          <w:szCs w:val="28"/>
          <w:highlight w:val="none"/>
          <w:lang w:val="en-US" w:eastAsia="zh-CN"/>
        </w:rPr>
        <w:t>6.1.</w:t>
      </w:r>
      <w:r>
        <w:rPr>
          <w:rFonts w:hint="default"/>
          <w:color w:val="000000"/>
          <w:sz w:val="28"/>
        </w:rPr>
        <w:t>9</w:t>
      </w:r>
      <w:r>
        <w:rPr>
          <w:rFonts w:hint="eastAsia"/>
          <w:color w:val="000000"/>
          <w:sz w:val="28"/>
        </w:rPr>
        <w:t>.本项目不接受联合体投标。</w:t>
      </w:r>
    </w:p>
    <w:p w14:paraId="26D8E830">
      <w:pPr>
        <w:pStyle w:val="4"/>
        <w:numPr>
          <w:ilvl w:val="1"/>
          <w:numId w:val="51"/>
        </w:numPr>
        <w:spacing w:before="0" w:line="500" w:lineRule="exact"/>
        <w:ind w:left="567" w:leftChars="0" w:hanging="567" w:firstLineChars="0"/>
        <w:rPr>
          <w:rFonts w:hint="eastAsia" w:ascii="宋体" w:hAnsi="宋体" w:cs="宋体"/>
          <w:b/>
          <w:bCs/>
          <w:color w:val="auto"/>
          <w:sz w:val="28"/>
          <w:szCs w:val="28"/>
          <w:highlight w:val="none"/>
          <w:lang w:val="en-US" w:eastAsia="zh-CN"/>
        </w:rPr>
      </w:pPr>
      <w:r>
        <w:rPr>
          <w:rFonts w:hint="eastAsia" w:ascii="宋体" w:hAnsi="宋体" w:cs="宋体"/>
          <w:b/>
          <w:bCs/>
          <w:color w:val="auto"/>
          <w:sz w:val="28"/>
          <w:szCs w:val="28"/>
          <w:highlight w:val="none"/>
          <w:lang w:val="en-US" w:eastAsia="zh-CN"/>
        </w:rPr>
        <w:t>投标响应</w:t>
      </w:r>
      <w:bookmarkEnd w:id="55"/>
    </w:p>
    <w:p w14:paraId="02B13955">
      <w:pPr>
        <w:numPr>
          <w:ilvl w:val="2"/>
          <w:numId w:val="52"/>
        </w:numPr>
        <w:tabs>
          <w:tab w:val="left" w:pos="0"/>
          <w:tab w:val="clear" w:pos="420"/>
        </w:tabs>
        <w:spacing w:after="0" w:line="500" w:lineRule="exact"/>
        <w:ind w:left="0" w:leftChars="0" w:firstLine="480" w:firstLineChars="0"/>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投标方应对本发包文件中第二、三、四、五章技术要求逐条响应，</w:t>
      </w:r>
      <w:r>
        <w:rPr>
          <w:rFonts w:hint="eastAsia" w:ascii="宋体" w:hAnsi="宋体" w:cs="宋体"/>
          <w:b/>
          <w:bCs/>
          <w:sz w:val="24"/>
          <w:szCs w:val="24"/>
          <w:highlight w:val="none"/>
          <w:lang w:val="en-US" w:eastAsia="zh-CN"/>
        </w:rPr>
        <w:t>涉及软件系统各模块、功能需附软件系统demo或已实施项目类似情景图片，如需二次开发的功能，需评估并注明二次开发的难易程度。</w:t>
      </w:r>
    </w:p>
    <w:p w14:paraId="356ED26A">
      <w:pPr>
        <w:numPr>
          <w:ilvl w:val="2"/>
          <w:numId w:val="52"/>
        </w:numPr>
        <w:tabs>
          <w:tab w:val="left" w:pos="0"/>
          <w:tab w:val="clear" w:pos="420"/>
        </w:tabs>
        <w:spacing w:after="0" w:line="500" w:lineRule="exact"/>
        <w:ind w:left="0" w:leftChars="0" w:firstLine="480" w:firstLineChars="0"/>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投标文件应严格符合本项目发包文件中列出的所有条款，除已特殊说明的条款外，报价文件中所提供的服务应保证完全符合发包文件所需要技术指标，否则由此而产生的问题均由承包方负责。</w:t>
      </w:r>
    </w:p>
    <w:p w14:paraId="5809A8E7">
      <w:pPr>
        <w:numPr>
          <w:ilvl w:val="2"/>
          <w:numId w:val="52"/>
        </w:numPr>
        <w:tabs>
          <w:tab w:val="left" w:pos="0"/>
          <w:tab w:val="clear" w:pos="420"/>
        </w:tabs>
        <w:spacing w:after="0" w:line="500" w:lineRule="exact"/>
        <w:ind w:left="0" w:leftChars="0" w:firstLine="480" w:firstLineChars="0"/>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投标</w:t>
      </w:r>
      <w:r>
        <w:rPr>
          <w:rFonts w:hint="default" w:ascii="宋体" w:hAnsi="宋体" w:cs="宋体"/>
          <w:sz w:val="24"/>
          <w:szCs w:val="24"/>
          <w:highlight w:val="none"/>
          <w:lang w:val="en-US" w:eastAsia="zh-CN"/>
        </w:rPr>
        <w:t>前</w:t>
      </w:r>
      <w:r>
        <w:rPr>
          <w:rFonts w:hint="eastAsia" w:ascii="宋体" w:hAnsi="宋体" w:cs="宋体"/>
          <w:sz w:val="24"/>
          <w:szCs w:val="24"/>
          <w:highlight w:val="none"/>
          <w:lang w:val="en-US" w:eastAsia="zh-CN"/>
        </w:rPr>
        <w:t>进行技术交流和澄清</w:t>
      </w:r>
      <w:r>
        <w:rPr>
          <w:rFonts w:hint="default" w:ascii="宋体" w:hAnsi="宋体" w:cs="宋体"/>
          <w:sz w:val="24"/>
          <w:szCs w:val="24"/>
          <w:highlight w:val="none"/>
          <w:lang w:val="en-US" w:eastAsia="zh-CN"/>
        </w:rPr>
        <w:t>，以确定</w:t>
      </w:r>
      <w:r>
        <w:rPr>
          <w:rFonts w:hint="eastAsia" w:ascii="宋体" w:hAnsi="宋体" w:cs="宋体"/>
          <w:sz w:val="24"/>
          <w:szCs w:val="24"/>
          <w:highlight w:val="none"/>
          <w:lang w:val="en-US" w:eastAsia="zh-CN"/>
        </w:rPr>
        <w:t>项目实施所需的技术细节</w:t>
      </w:r>
      <w:r>
        <w:rPr>
          <w:rFonts w:hint="default" w:ascii="宋体" w:hAnsi="宋体" w:cs="宋体"/>
          <w:sz w:val="24"/>
          <w:szCs w:val="24"/>
          <w:highlight w:val="none"/>
          <w:lang w:val="en-US" w:eastAsia="zh-CN"/>
        </w:rPr>
        <w:t>，如有异议须在投标前提出，参与投标即视为已充分了解现场情况</w:t>
      </w:r>
      <w:r>
        <w:rPr>
          <w:rFonts w:hint="eastAsia" w:ascii="宋体" w:hAnsi="宋体" w:cs="宋体"/>
          <w:sz w:val="24"/>
          <w:szCs w:val="24"/>
          <w:highlight w:val="none"/>
          <w:lang w:val="en-US" w:eastAsia="zh-CN"/>
        </w:rPr>
        <w:t>，实施</w:t>
      </w:r>
      <w:r>
        <w:rPr>
          <w:rFonts w:hint="default" w:ascii="宋体" w:hAnsi="宋体" w:cs="宋体"/>
          <w:sz w:val="24"/>
          <w:szCs w:val="24"/>
          <w:highlight w:val="none"/>
          <w:lang w:val="en-US" w:eastAsia="zh-CN"/>
        </w:rPr>
        <w:t>过程中产生其它的工作量均视为优惠报价，不予追加。</w:t>
      </w:r>
    </w:p>
    <w:p w14:paraId="279F41CD">
      <w:pPr>
        <w:numPr>
          <w:ilvl w:val="2"/>
          <w:numId w:val="52"/>
        </w:numPr>
        <w:tabs>
          <w:tab w:val="left" w:pos="0"/>
          <w:tab w:val="clear" w:pos="420"/>
        </w:tabs>
        <w:spacing w:after="0" w:line="500" w:lineRule="exact"/>
        <w:ind w:left="0" w:leftChars="0" w:firstLine="480" w:firstLineChars="0"/>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投标文件除响应本发包文件要求外，可在投标文件中列出投标方已开发的设备管理系统其他功能模块或亮点功能（如</w:t>
      </w:r>
      <w:r>
        <w:rPr>
          <w:rFonts w:hint="eastAsia" w:ascii="宋体" w:hAnsi="宋体" w:cs="宋体"/>
          <w:b/>
          <w:bCs/>
          <w:sz w:val="24"/>
          <w:szCs w:val="24"/>
          <w:highlight w:val="none"/>
          <w:lang w:val="en-US" w:eastAsia="zh-CN"/>
        </w:rPr>
        <w:t>低代码应用开发平台、可视化工作流程管理、图形化深度学习建模平台、用户自定义报表、提供程序源代码及部署开放环境</w:t>
      </w:r>
      <w:r>
        <w:rPr>
          <w:rFonts w:hint="eastAsia" w:ascii="宋体" w:hAnsi="宋体" w:cs="宋体"/>
          <w:sz w:val="24"/>
          <w:szCs w:val="24"/>
          <w:highlight w:val="none"/>
          <w:lang w:val="en-US" w:eastAsia="zh-CN"/>
        </w:rPr>
        <w:t>等），作为技术补充。</w:t>
      </w:r>
    </w:p>
    <w:p w14:paraId="5666C334">
      <w:pPr>
        <w:numPr>
          <w:ilvl w:val="2"/>
          <w:numId w:val="52"/>
        </w:numPr>
        <w:tabs>
          <w:tab w:val="left" w:pos="0"/>
          <w:tab w:val="clear" w:pos="420"/>
        </w:tabs>
        <w:spacing w:after="0" w:line="500" w:lineRule="exact"/>
        <w:ind w:left="0" w:leftChars="0" w:firstLine="480" w:firstLineChars="0"/>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投标方报价包括但不限于以下费用：硬件、软件开发、APP开发、集成、保险、测试、质保、培训、验收、售后、资料费、物联网卡费、服务器费用、质保期后的三年运维服务费、安装材料，以及完成合同约定的责任和义务所应支付的专利费、版权费或其他知识产权的许可使用费。</w:t>
      </w:r>
    </w:p>
    <w:p w14:paraId="6B7E14BC">
      <w:pPr>
        <w:numPr>
          <w:ilvl w:val="2"/>
          <w:numId w:val="52"/>
        </w:numPr>
        <w:tabs>
          <w:tab w:val="left" w:pos="0"/>
          <w:tab w:val="clear" w:pos="420"/>
        </w:tabs>
        <w:spacing w:after="0" w:line="500" w:lineRule="exact"/>
        <w:ind w:left="0" w:leftChars="0" w:firstLine="480" w:firstLineChars="0"/>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投标报价不完整或超过最高限价的，均视为无效投标。</w:t>
      </w:r>
    </w:p>
    <w:p w14:paraId="58C9F09B">
      <w:pPr>
        <w:pStyle w:val="4"/>
        <w:numPr>
          <w:ilvl w:val="1"/>
          <w:numId w:val="51"/>
        </w:numPr>
        <w:spacing w:before="0" w:line="500" w:lineRule="exact"/>
        <w:ind w:left="567" w:leftChars="0" w:hanging="567" w:firstLineChars="0"/>
        <w:rPr>
          <w:rFonts w:hint="eastAsia" w:ascii="宋体" w:hAnsi="宋体" w:cs="宋体"/>
          <w:b/>
          <w:bCs/>
          <w:color w:val="auto"/>
          <w:sz w:val="28"/>
          <w:szCs w:val="28"/>
          <w:highlight w:val="none"/>
          <w:lang w:val="en-US" w:eastAsia="zh-CN"/>
        </w:rPr>
      </w:pPr>
      <w:bookmarkStart w:id="56" w:name="_Toc3299"/>
      <w:r>
        <w:rPr>
          <w:rFonts w:hint="eastAsia" w:ascii="宋体" w:hAnsi="宋体" w:cs="宋体"/>
          <w:b/>
          <w:bCs/>
          <w:color w:val="auto"/>
          <w:sz w:val="28"/>
          <w:szCs w:val="28"/>
          <w:highlight w:val="none"/>
          <w:lang w:val="en-US" w:eastAsia="zh-CN"/>
        </w:rPr>
        <w:t>违约解除条款</w:t>
      </w:r>
      <w:bookmarkEnd w:id="56"/>
    </w:p>
    <w:p w14:paraId="49DD27BB">
      <w:pPr>
        <w:numPr>
          <w:ilvl w:val="0"/>
          <w:numId w:val="0"/>
        </w:numPr>
        <w:tabs>
          <w:tab w:val="left" w:pos="0"/>
        </w:tabs>
        <w:spacing w:after="0" w:line="500" w:lineRule="exact"/>
        <w:ind w:left="480" w:leftChars="0"/>
        <w:rPr>
          <w:rFonts w:hint="eastAsia"/>
          <w:highlight w:val="none"/>
          <w:lang w:val="en-US" w:eastAsia="zh-CN"/>
        </w:rPr>
      </w:pPr>
      <w:r>
        <w:rPr>
          <w:rFonts w:hint="eastAsia"/>
          <w:highlight w:val="none"/>
          <w:lang w:val="en-US" w:eastAsia="zh-CN"/>
        </w:rPr>
        <w:t>承包方有下列情形之一，发包方可终止或解除本合同</w:t>
      </w:r>
    </w:p>
    <w:p w14:paraId="0128381A">
      <w:pPr>
        <w:numPr>
          <w:ilvl w:val="0"/>
          <w:numId w:val="53"/>
        </w:numPr>
        <w:tabs>
          <w:tab w:val="left" w:pos="0"/>
        </w:tabs>
        <w:spacing w:after="0" w:line="500" w:lineRule="exact"/>
        <w:ind w:left="0" w:leftChars="0" w:firstLine="442" w:firstLineChars="201"/>
        <w:rPr>
          <w:rFonts w:hint="eastAsia"/>
          <w:highlight w:val="none"/>
          <w:lang w:val="en-US" w:eastAsia="zh-CN"/>
        </w:rPr>
      </w:pPr>
      <w:r>
        <w:rPr>
          <w:rFonts w:hint="eastAsia"/>
          <w:highlight w:val="none"/>
          <w:lang w:val="en-US" w:eastAsia="zh-CN"/>
        </w:rPr>
        <w:t>承包方人员、设备不足，发包方认为不能依合同完工时。</w:t>
      </w:r>
    </w:p>
    <w:p w14:paraId="7FB0C1A5">
      <w:pPr>
        <w:numPr>
          <w:ilvl w:val="0"/>
          <w:numId w:val="53"/>
        </w:numPr>
        <w:tabs>
          <w:tab w:val="left" w:pos="0"/>
        </w:tabs>
        <w:spacing w:after="0" w:line="500" w:lineRule="exact"/>
        <w:ind w:left="0" w:leftChars="0" w:firstLine="442" w:firstLineChars="201"/>
        <w:rPr>
          <w:rFonts w:hint="eastAsia"/>
          <w:highlight w:val="none"/>
          <w:lang w:val="en-US" w:eastAsia="zh-CN"/>
        </w:rPr>
      </w:pPr>
      <w:r>
        <w:rPr>
          <w:rFonts w:hint="eastAsia"/>
          <w:highlight w:val="none"/>
          <w:lang w:val="en-US" w:eastAsia="zh-CN"/>
        </w:rPr>
        <w:t>承包方违反本合同条款规定或发生事故不能履行合约。</w:t>
      </w:r>
    </w:p>
    <w:p w14:paraId="59DDA7A8">
      <w:pPr>
        <w:numPr>
          <w:ilvl w:val="0"/>
          <w:numId w:val="53"/>
        </w:numPr>
        <w:tabs>
          <w:tab w:val="left" w:pos="0"/>
        </w:tabs>
        <w:spacing w:after="0" w:line="500" w:lineRule="exact"/>
        <w:ind w:left="0" w:leftChars="0" w:firstLine="442" w:firstLineChars="201"/>
        <w:rPr>
          <w:rFonts w:hint="eastAsia"/>
          <w:highlight w:val="none"/>
          <w:lang w:val="en-US" w:eastAsia="zh-CN"/>
        </w:rPr>
      </w:pPr>
      <w:r>
        <w:rPr>
          <w:rFonts w:hint="eastAsia"/>
          <w:highlight w:val="none"/>
          <w:lang w:val="en-US" w:eastAsia="zh-CN"/>
        </w:rPr>
        <w:t>承包方人员有偷窃、破坏发包方财产等违章、违法行为时。</w:t>
      </w:r>
    </w:p>
    <w:p w14:paraId="2FD41A29">
      <w:pPr>
        <w:numPr>
          <w:ilvl w:val="0"/>
          <w:numId w:val="53"/>
        </w:numPr>
        <w:tabs>
          <w:tab w:val="left" w:pos="0"/>
        </w:tabs>
        <w:spacing w:after="0" w:line="500" w:lineRule="exact"/>
        <w:ind w:left="0" w:leftChars="0" w:firstLine="442" w:firstLineChars="201"/>
        <w:rPr>
          <w:rFonts w:hint="eastAsia"/>
          <w:highlight w:val="none"/>
          <w:lang w:val="en-US" w:eastAsia="zh-CN"/>
        </w:rPr>
      </w:pPr>
      <w:r>
        <w:rPr>
          <w:rFonts w:hint="eastAsia"/>
          <w:highlight w:val="none"/>
          <w:lang w:val="en-US" w:eastAsia="zh-CN"/>
        </w:rPr>
        <w:t>承包方有其他违反约定的行为3次以上。</w:t>
      </w:r>
    </w:p>
    <w:p w14:paraId="534758BE">
      <w:pPr>
        <w:numPr>
          <w:ilvl w:val="0"/>
          <w:numId w:val="53"/>
        </w:numPr>
        <w:tabs>
          <w:tab w:val="left" w:pos="0"/>
        </w:tabs>
        <w:spacing w:after="0" w:line="500" w:lineRule="exact"/>
        <w:ind w:left="0" w:leftChars="0" w:firstLine="442" w:firstLineChars="201"/>
        <w:rPr>
          <w:rFonts w:hint="eastAsia"/>
          <w:highlight w:val="none"/>
          <w:lang w:val="en-US" w:eastAsia="zh-CN"/>
        </w:rPr>
      </w:pPr>
      <w:r>
        <w:rPr>
          <w:rFonts w:hint="eastAsia"/>
          <w:highlight w:val="none"/>
          <w:lang w:val="en-US" w:eastAsia="zh-CN"/>
        </w:rPr>
        <w:t>承包方提供的设备、材料严重不符约定标准，经两次纠正仍达不到标准时。</w:t>
      </w:r>
    </w:p>
    <w:p w14:paraId="02C1CD48">
      <w:pPr>
        <w:numPr>
          <w:ilvl w:val="0"/>
          <w:numId w:val="53"/>
        </w:numPr>
        <w:tabs>
          <w:tab w:val="left" w:pos="0"/>
        </w:tabs>
        <w:spacing w:after="0" w:line="500" w:lineRule="exact"/>
        <w:ind w:left="0" w:leftChars="0" w:firstLine="442" w:firstLineChars="201"/>
        <w:rPr>
          <w:rFonts w:hint="eastAsia"/>
          <w:highlight w:val="none"/>
          <w:lang w:val="en-US" w:eastAsia="zh-CN"/>
        </w:rPr>
      </w:pPr>
      <w:r>
        <w:rPr>
          <w:rFonts w:hint="eastAsia"/>
          <w:highlight w:val="none"/>
          <w:lang w:val="en-US" w:eastAsia="zh-CN"/>
        </w:rPr>
        <w:t>承包方不执行合同约定的义务。</w:t>
      </w:r>
    </w:p>
    <w:p w14:paraId="21122D1E">
      <w:pPr>
        <w:numPr>
          <w:ilvl w:val="0"/>
          <w:numId w:val="53"/>
        </w:numPr>
        <w:tabs>
          <w:tab w:val="left" w:pos="0"/>
        </w:tabs>
        <w:spacing w:after="0" w:line="500" w:lineRule="exact"/>
        <w:ind w:left="0" w:leftChars="0" w:firstLine="442" w:firstLineChars="201"/>
        <w:rPr>
          <w:rFonts w:hint="eastAsia"/>
          <w:highlight w:val="none"/>
          <w:lang w:val="en-US" w:eastAsia="zh-CN"/>
        </w:rPr>
      </w:pPr>
      <w:r>
        <w:rPr>
          <w:rFonts w:hint="eastAsia"/>
          <w:highlight w:val="none"/>
          <w:lang w:val="en-US" w:eastAsia="zh-CN"/>
        </w:rPr>
        <w:t>承包方未能按时提供质保服务，给发包方遭受人身或经济损失的。</w:t>
      </w:r>
    </w:p>
    <w:p w14:paraId="1317BB8C">
      <w:pPr>
        <w:numPr>
          <w:ilvl w:val="0"/>
          <w:numId w:val="53"/>
        </w:numPr>
        <w:tabs>
          <w:tab w:val="left" w:pos="0"/>
        </w:tabs>
        <w:spacing w:after="0" w:line="500" w:lineRule="exact"/>
        <w:ind w:left="0" w:leftChars="0" w:firstLine="442" w:firstLineChars="201"/>
        <w:rPr>
          <w:rFonts w:hint="eastAsia"/>
          <w:highlight w:val="none"/>
          <w:lang w:val="en-US" w:eastAsia="zh-CN"/>
        </w:rPr>
      </w:pPr>
      <w:r>
        <w:rPr>
          <w:rFonts w:hint="eastAsia"/>
          <w:highlight w:val="none"/>
          <w:lang w:val="en-US" w:eastAsia="zh-CN"/>
        </w:rPr>
        <w:t>承包方违反福海创相关管理规定。</w:t>
      </w:r>
    </w:p>
    <w:p w14:paraId="4FCE9624">
      <w:pPr>
        <w:numPr>
          <w:ilvl w:val="0"/>
          <w:numId w:val="0"/>
        </w:numPr>
        <w:tabs>
          <w:tab w:val="left" w:pos="0"/>
        </w:tabs>
        <w:spacing w:after="0" w:line="500" w:lineRule="exact"/>
        <w:ind w:left="0" w:leftChars="0" w:firstLine="442" w:firstLineChars="201"/>
        <w:rPr>
          <w:rFonts w:hint="eastAsia"/>
          <w:highlight w:val="none"/>
          <w:lang w:val="en-US" w:eastAsia="zh-CN"/>
        </w:rPr>
      </w:pPr>
      <w:r>
        <w:rPr>
          <w:rFonts w:hint="eastAsia"/>
          <w:highlight w:val="none"/>
          <w:lang w:val="en-US" w:eastAsia="zh-CN"/>
        </w:rPr>
        <w:t>承包方若因上述原因被终止或解除合约时，在福海创书面通知中止合同后，承包方必须无条件配合交接，否则造成的一切损失由承包方承担。</w:t>
      </w:r>
    </w:p>
    <w:bookmarkEnd w:id="1"/>
    <w:bookmarkEnd w:id="2"/>
    <w:bookmarkEnd w:id="3"/>
    <w:bookmarkEnd w:id="40"/>
    <w:bookmarkEnd w:id="41"/>
    <w:bookmarkEnd w:id="42"/>
    <w:bookmarkEnd w:id="43"/>
    <w:bookmarkEnd w:id="44"/>
    <w:bookmarkEnd w:id="45"/>
    <w:bookmarkEnd w:id="46"/>
    <w:bookmarkEnd w:id="47"/>
    <w:bookmarkEnd w:id="48"/>
    <w:bookmarkEnd w:id="49"/>
    <w:bookmarkEnd w:id="50"/>
    <w:bookmarkEnd w:id="51"/>
    <w:bookmarkEnd w:id="52"/>
    <w:bookmarkEnd w:id="53"/>
    <w:p w14:paraId="18B4D84E">
      <w:pPr>
        <w:bidi w:val="0"/>
        <w:rPr>
          <w:rFonts w:hint="eastAsia"/>
          <w:highlight w:val="none"/>
          <w:lang w:val="en-US" w:eastAsia="zh-CN"/>
        </w:rPr>
      </w:pPr>
    </w:p>
    <w:p w14:paraId="50CCC672">
      <w:pPr>
        <w:bidi w:val="0"/>
        <w:rPr>
          <w:rFonts w:hint="eastAsia"/>
          <w:highlight w:val="none"/>
          <w:lang w:val="en-US" w:eastAsia="zh-CN"/>
        </w:rPr>
      </w:pPr>
    </w:p>
    <w:p w14:paraId="6001964C">
      <w:pPr>
        <w:bidi w:val="0"/>
        <w:rPr>
          <w:rFonts w:hint="eastAsia"/>
          <w:highlight w:val="none"/>
          <w:lang w:val="en-US" w:eastAsia="zh-CN"/>
        </w:rPr>
      </w:pPr>
    </w:p>
    <w:p w14:paraId="3469A5EB">
      <w:pPr>
        <w:bidi w:val="0"/>
        <w:rPr>
          <w:rFonts w:hint="eastAsia"/>
          <w:highlight w:val="none"/>
          <w:lang w:val="en-US" w:eastAsia="zh-CN"/>
        </w:rPr>
      </w:pPr>
    </w:p>
    <w:p w14:paraId="651060CE">
      <w:pPr>
        <w:bidi w:val="0"/>
        <w:rPr>
          <w:rFonts w:hint="eastAsia"/>
          <w:highlight w:val="none"/>
          <w:lang w:val="en-US" w:eastAsia="zh-CN"/>
        </w:rPr>
      </w:pPr>
    </w:p>
    <w:p w14:paraId="04DB46BA">
      <w:pPr>
        <w:bidi w:val="0"/>
        <w:rPr>
          <w:rFonts w:hint="eastAsia"/>
          <w:highlight w:val="none"/>
          <w:lang w:val="en-US" w:eastAsia="zh-CN"/>
        </w:rPr>
      </w:pPr>
    </w:p>
    <w:p w14:paraId="5A626353">
      <w:pPr>
        <w:bidi w:val="0"/>
        <w:rPr>
          <w:rFonts w:hint="eastAsia"/>
          <w:highlight w:val="none"/>
          <w:lang w:val="en-US" w:eastAsia="zh-CN"/>
        </w:rPr>
      </w:pPr>
    </w:p>
    <w:p w14:paraId="215B645B">
      <w:pPr>
        <w:bidi w:val="0"/>
        <w:rPr>
          <w:rFonts w:hint="eastAsia"/>
          <w:highlight w:val="none"/>
          <w:lang w:val="en-US" w:eastAsia="zh-CN"/>
        </w:rPr>
      </w:pPr>
    </w:p>
    <w:p w14:paraId="6AF5A572">
      <w:pPr>
        <w:bidi w:val="0"/>
        <w:rPr>
          <w:rFonts w:hint="eastAsia"/>
          <w:highlight w:val="none"/>
          <w:lang w:val="en-US" w:eastAsia="zh-CN"/>
        </w:rPr>
      </w:pPr>
    </w:p>
    <w:p w14:paraId="53CCF38D">
      <w:pPr>
        <w:bidi w:val="0"/>
        <w:rPr>
          <w:rFonts w:hint="eastAsia"/>
          <w:highlight w:val="none"/>
          <w:lang w:val="en-US" w:eastAsia="zh-CN"/>
        </w:rPr>
      </w:pPr>
    </w:p>
    <w:p w14:paraId="1CFA9C16">
      <w:pPr>
        <w:bidi w:val="0"/>
        <w:rPr>
          <w:rFonts w:hint="eastAsia"/>
          <w:highlight w:val="none"/>
          <w:lang w:val="en-US" w:eastAsia="zh-CN"/>
        </w:rPr>
      </w:pPr>
    </w:p>
    <w:p w14:paraId="2D4167E0">
      <w:pPr>
        <w:bidi w:val="0"/>
        <w:rPr>
          <w:rFonts w:hint="eastAsia"/>
          <w:highlight w:val="none"/>
          <w:lang w:val="en-US" w:eastAsia="zh-CN"/>
        </w:rPr>
      </w:pPr>
    </w:p>
    <w:p w14:paraId="229451F1">
      <w:pPr>
        <w:bidi w:val="0"/>
        <w:rPr>
          <w:rFonts w:hint="eastAsia"/>
          <w:highlight w:val="none"/>
          <w:lang w:val="en-US" w:eastAsia="zh-CN"/>
        </w:rPr>
      </w:pPr>
    </w:p>
    <w:p w14:paraId="327BF9C8">
      <w:pPr>
        <w:bidi w:val="0"/>
        <w:rPr>
          <w:rFonts w:hint="eastAsia"/>
          <w:highlight w:val="none"/>
          <w:lang w:val="en-US" w:eastAsia="zh-CN"/>
        </w:rPr>
      </w:pPr>
    </w:p>
    <w:p w14:paraId="3A4F0189">
      <w:pPr>
        <w:bidi w:val="0"/>
        <w:rPr>
          <w:rFonts w:hint="eastAsia"/>
          <w:highlight w:val="none"/>
          <w:lang w:val="en-US" w:eastAsia="zh-CN"/>
        </w:rPr>
      </w:pPr>
    </w:p>
    <w:p w14:paraId="0249D9B6">
      <w:pPr>
        <w:bidi w:val="0"/>
        <w:rPr>
          <w:rFonts w:hint="eastAsia"/>
          <w:highlight w:val="none"/>
          <w:lang w:val="en-US" w:eastAsia="zh-CN"/>
        </w:rPr>
      </w:pPr>
    </w:p>
    <w:p w14:paraId="1915D17B">
      <w:pPr>
        <w:bidi w:val="0"/>
        <w:rPr>
          <w:rFonts w:hint="eastAsia"/>
          <w:highlight w:val="none"/>
          <w:lang w:val="en-US" w:eastAsia="zh-CN"/>
        </w:rPr>
      </w:pPr>
    </w:p>
    <w:p w14:paraId="32ACF80D">
      <w:pPr>
        <w:bidi w:val="0"/>
        <w:rPr>
          <w:rFonts w:hint="eastAsia"/>
          <w:highlight w:val="none"/>
          <w:lang w:val="en-US" w:eastAsia="zh-CN"/>
        </w:rPr>
      </w:pPr>
    </w:p>
    <w:p w14:paraId="4C73BAB3">
      <w:pPr>
        <w:bidi w:val="0"/>
        <w:rPr>
          <w:rFonts w:hint="eastAsia"/>
          <w:highlight w:val="none"/>
          <w:lang w:val="en-US" w:eastAsia="zh-CN"/>
        </w:rPr>
      </w:pPr>
    </w:p>
    <w:p w14:paraId="4BDF701C">
      <w:pPr>
        <w:bidi w:val="0"/>
        <w:rPr>
          <w:rFonts w:hint="eastAsia"/>
          <w:highlight w:val="none"/>
          <w:lang w:val="en-US" w:eastAsia="zh-CN"/>
        </w:rPr>
      </w:pPr>
    </w:p>
    <w:p w14:paraId="52884772">
      <w:pPr>
        <w:bidi w:val="0"/>
        <w:rPr>
          <w:rFonts w:hint="eastAsia"/>
          <w:highlight w:val="none"/>
          <w:lang w:val="en-US" w:eastAsia="zh-CN"/>
        </w:rPr>
      </w:pPr>
    </w:p>
    <w:p w14:paraId="786BF2D5">
      <w:pPr>
        <w:bidi w:val="0"/>
        <w:rPr>
          <w:rFonts w:hint="eastAsia"/>
          <w:highlight w:val="none"/>
          <w:lang w:val="en-US" w:eastAsia="zh-CN"/>
        </w:rPr>
      </w:pPr>
    </w:p>
    <w:p w14:paraId="695908B1">
      <w:pPr>
        <w:bidi w:val="0"/>
        <w:rPr>
          <w:rFonts w:hint="eastAsia"/>
          <w:highlight w:val="none"/>
          <w:lang w:val="en-US" w:eastAsia="zh-CN"/>
        </w:rPr>
      </w:pPr>
    </w:p>
    <w:p w14:paraId="66977EB0">
      <w:pPr>
        <w:bidi w:val="0"/>
        <w:rPr>
          <w:rFonts w:hint="eastAsia"/>
          <w:highlight w:val="none"/>
          <w:lang w:val="en-US" w:eastAsia="zh-CN"/>
        </w:rPr>
      </w:pPr>
    </w:p>
    <w:p w14:paraId="692FE434">
      <w:pPr>
        <w:bidi w:val="0"/>
        <w:rPr>
          <w:rFonts w:hint="eastAsia"/>
          <w:highlight w:val="none"/>
          <w:lang w:val="en-US" w:eastAsia="zh-CN"/>
        </w:rPr>
      </w:pPr>
    </w:p>
    <w:p w14:paraId="708811B4">
      <w:pPr>
        <w:pStyle w:val="14"/>
        <w:jc w:val="both"/>
        <w:rPr>
          <w:rFonts w:hint="eastAsia" w:ascii="新宋体" w:hAnsi="新宋体" w:eastAsia="新宋体" w:cs="新宋体"/>
          <w:b/>
          <w:bCs/>
          <w:lang w:val="en-US" w:eastAsia="zh-CN"/>
        </w:rPr>
      </w:pPr>
    </w:p>
    <w:p w14:paraId="6B1793BD">
      <w:pPr>
        <w:pStyle w:val="14"/>
        <w:jc w:val="both"/>
        <w:rPr>
          <w:rFonts w:hint="eastAsia" w:ascii="新宋体" w:hAnsi="新宋体" w:eastAsia="新宋体" w:cs="新宋体"/>
          <w:b/>
          <w:bCs/>
          <w:lang w:val="en-US" w:eastAsia="zh-CN"/>
        </w:rPr>
      </w:pPr>
    </w:p>
    <w:p w14:paraId="091840E3">
      <w:pPr>
        <w:pStyle w:val="14"/>
        <w:jc w:val="both"/>
        <w:rPr>
          <w:rFonts w:hint="eastAsia" w:ascii="新宋体" w:hAnsi="新宋体" w:eastAsia="新宋体" w:cs="新宋体"/>
          <w:b/>
          <w:bCs/>
          <w:lang w:val="en-US" w:eastAsia="zh-CN"/>
        </w:rPr>
      </w:pPr>
    </w:p>
    <w:p w14:paraId="37A7AA2F">
      <w:pPr>
        <w:pStyle w:val="14"/>
        <w:jc w:val="both"/>
        <w:rPr>
          <w:rFonts w:hint="eastAsia" w:ascii="新宋体" w:hAnsi="新宋体" w:eastAsia="新宋体" w:cs="新宋体"/>
          <w:b/>
          <w:bCs/>
          <w:lang w:val="en-US" w:eastAsia="zh-CN"/>
        </w:rPr>
      </w:pPr>
    </w:p>
    <w:p w14:paraId="12E8143E">
      <w:pPr>
        <w:pStyle w:val="22"/>
        <w:ind w:left="0" w:leftChars="0" w:firstLine="0" w:firstLineChars="0"/>
        <w:jc w:val="both"/>
        <w:rPr>
          <w:rFonts w:hint="eastAsia"/>
          <w:b/>
          <w:bCs/>
          <w:sz w:val="32"/>
          <w:szCs w:val="36"/>
          <w:lang w:val="en-US" w:eastAsia="zh-CN"/>
        </w:rPr>
      </w:pPr>
    </w:p>
    <w:p w14:paraId="52A8C61F">
      <w:pPr>
        <w:pStyle w:val="22"/>
        <w:ind w:left="0" w:leftChars="0" w:firstLine="0" w:firstLineChars="0"/>
        <w:jc w:val="both"/>
        <w:rPr>
          <w:rFonts w:hint="eastAsia"/>
          <w:b/>
          <w:bCs/>
          <w:sz w:val="32"/>
          <w:szCs w:val="36"/>
          <w:lang w:val="en-US" w:eastAsia="zh-CN"/>
        </w:rPr>
      </w:pPr>
      <w:r>
        <w:rPr>
          <w:rFonts w:hint="eastAsia"/>
          <w:b/>
          <w:bCs/>
          <w:sz w:val="32"/>
          <w:szCs w:val="36"/>
          <w:lang w:val="en-US" w:eastAsia="zh-CN"/>
        </w:rPr>
        <w:t>附件三：</w:t>
      </w:r>
    </w:p>
    <w:p w14:paraId="59034813">
      <w:pPr>
        <w:pStyle w:val="22"/>
        <w:ind w:left="0" w:leftChars="0" w:firstLine="0" w:firstLineChars="0"/>
        <w:jc w:val="center"/>
        <w:rPr>
          <w:b/>
          <w:bCs/>
          <w:sz w:val="32"/>
          <w:szCs w:val="36"/>
          <w:lang w:eastAsia="zh-CN"/>
        </w:rPr>
      </w:pPr>
      <w:r>
        <w:rPr>
          <w:rFonts w:hint="eastAsia"/>
          <w:b/>
          <w:bCs/>
          <w:sz w:val="32"/>
          <w:szCs w:val="36"/>
          <w:lang w:eastAsia="zh-CN"/>
        </w:rPr>
        <w:t>人员、车辆入厂安全管理协议</w:t>
      </w:r>
    </w:p>
    <w:p w14:paraId="4DA72506">
      <w:pPr>
        <w:pStyle w:val="9"/>
        <w:spacing w:line="400" w:lineRule="exact"/>
        <w:rPr>
          <w:rFonts w:hint="default" w:hAnsi="宋体" w:eastAsiaTheme="minorEastAsia" w:cstheme="minorBidi"/>
          <w:b/>
          <w:bCs/>
          <w:sz w:val="24"/>
          <w:lang w:val="en-US" w:eastAsia="zh-CN"/>
        </w:rPr>
      </w:pPr>
      <w:r>
        <w:rPr>
          <w:rFonts w:hint="eastAsia" w:hAnsi="宋体" w:eastAsiaTheme="minorEastAsia" w:cstheme="minorBidi"/>
          <w:b/>
          <w:bCs/>
          <w:sz w:val="24"/>
          <w:lang w:eastAsia="zh-CN"/>
        </w:rPr>
        <w:t>甲方：</w:t>
      </w:r>
      <w:r>
        <w:rPr>
          <w:rFonts w:hint="eastAsia" w:hAnsi="宋体" w:eastAsiaTheme="minorEastAsia" w:cstheme="minorBidi"/>
          <w:b/>
          <w:bCs/>
          <w:sz w:val="24"/>
          <w:lang w:val="en-US" w:eastAsia="zh-CN"/>
        </w:rPr>
        <w:t>福建福海创石油化化工有限公司</w:t>
      </w:r>
    </w:p>
    <w:p w14:paraId="583D1E77">
      <w:pPr>
        <w:pStyle w:val="22"/>
        <w:ind w:left="0" w:firstLine="0"/>
        <w:rPr>
          <w:rFonts w:eastAsiaTheme="minorEastAsia" w:cstheme="minorBidi"/>
          <w:b/>
          <w:bCs/>
          <w:sz w:val="24"/>
          <w:szCs w:val="21"/>
          <w:lang w:eastAsia="zh-CN"/>
        </w:rPr>
      </w:pPr>
      <w:r>
        <w:rPr>
          <w:rFonts w:hint="eastAsia" w:eastAsiaTheme="minorEastAsia" w:cstheme="minorBidi"/>
          <w:b/>
          <w:bCs/>
          <w:sz w:val="24"/>
          <w:lang w:eastAsia="zh-CN"/>
        </w:rPr>
        <w:t>乙方：</w:t>
      </w:r>
    </w:p>
    <w:p w14:paraId="0BF63DCB">
      <w:pPr>
        <w:spacing w:line="480" w:lineRule="auto"/>
        <w:ind w:firstLine="440" w:firstLineChars="200"/>
        <w:rPr>
          <w:szCs w:val="21"/>
          <w:lang w:eastAsia="zh-CN"/>
        </w:rPr>
      </w:pPr>
      <w:r>
        <w:rPr>
          <w:rFonts w:hint="eastAsia"/>
          <w:szCs w:val="21"/>
          <w:lang w:eastAsia="zh-CN"/>
        </w:rPr>
        <w:t>为进一步明确甲乙双方在合同履行过程中的安全生产权利和义务及责任，经双方协商，双方自愿签订本协议，作为主合同的附件。</w:t>
      </w:r>
    </w:p>
    <w:p w14:paraId="6DF1F859">
      <w:pPr>
        <w:numPr>
          <w:ilvl w:val="0"/>
          <w:numId w:val="54"/>
        </w:numPr>
        <w:spacing w:line="480" w:lineRule="auto"/>
        <w:ind w:left="-526" w:leftChars="-239" w:firstLine="466" w:firstLineChars="211"/>
        <w:rPr>
          <w:b/>
          <w:bCs/>
          <w:szCs w:val="21"/>
        </w:rPr>
      </w:pPr>
      <w:r>
        <w:rPr>
          <w:rFonts w:hint="eastAsia"/>
          <w:b/>
          <w:bCs/>
          <w:szCs w:val="21"/>
        </w:rPr>
        <w:t>甲方的权利和义务</w:t>
      </w:r>
    </w:p>
    <w:p w14:paraId="4D8BBF6A">
      <w:pPr>
        <w:numPr>
          <w:ilvl w:val="0"/>
          <w:numId w:val="55"/>
        </w:numPr>
        <w:spacing w:line="480" w:lineRule="auto"/>
        <w:ind w:left="-62" w:leftChars="-28"/>
        <w:rPr>
          <w:szCs w:val="21"/>
          <w:lang w:eastAsia="zh-CN"/>
        </w:rPr>
      </w:pPr>
      <w:r>
        <w:rPr>
          <w:rFonts w:hint="eastAsia"/>
          <w:szCs w:val="21"/>
          <w:lang w:eastAsia="zh-CN"/>
        </w:rPr>
        <w:t>甲方负责向乙方提供乙方需遵守的安全环保管理规定，并在入厂前向需要进入甲方厂区的人员进行安全告知。</w:t>
      </w:r>
    </w:p>
    <w:p w14:paraId="7E61E157">
      <w:pPr>
        <w:numPr>
          <w:ilvl w:val="0"/>
          <w:numId w:val="55"/>
        </w:numPr>
        <w:spacing w:line="480" w:lineRule="auto"/>
        <w:ind w:left="-62" w:leftChars="-28"/>
        <w:rPr>
          <w:szCs w:val="21"/>
          <w:lang w:eastAsia="zh-CN"/>
        </w:rPr>
      </w:pPr>
      <w:r>
        <w:rPr>
          <w:rFonts w:hint="eastAsia"/>
          <w:szCs w:val="21"/>
          <w:lang w:eastAsia="zh-CN"/>
        </w:rPr>
        <w:t>甲方应为乙方指定甲方厂区内的安全行车路线。</w:t>
      </w:r>
    </w:p>
    <w:p w14:paraId="6CC094EF">
      <w:pPr>
        <w:numPr>
          <w:ilvl w:val="0"/>
          <w:numId w:val="55"/>
        </w:numPr>
        <w:spacing w:line="480" w:lineRule="auto"/>
        <w:ind w:left="-62" w:leftChars="-28"/>
        <w:rPr>
          <w:szCs w:val="21"/>
          <w:lang w:eastAsia="zh-CN"/>
        </w:rPr>
      </w:pPr>
      <w:r>
        <w:rPr>
          <w:rFonts w:hint="eastAsia"/>
          <w:szCs w:val="21"/>
          <w:lang w:eastAsia="zh-CN"/>
        </w:rPr>
        <w:t>甲方负责对乙方的入厂车辆和人员进行安全资质、车辆完好情况及人员健康情况进行检查，禁止不合格的车辆和人员入厂。</w:t>
      </w:r>
    </w:p>
    <w:p w14:paraId="3EA32FCE">
      <w:pPr>
        <w:numPr>
          <w:ilvl w:val="0"/>
          <w:numId w:val="55"/>
        </w:numPr>
        <w:spacing w:line="480" w:lineRule="auto"/>
        <w:ind w:left="-62" w:leftChars="-28"/>
        <w:rPr>
          <w:szCs w:val="21"/>
          <w:lang w:eastAsia="zh-CN"/>
        </w:rPr>
      </w:pPr>
      <w:r>
        <w:rPr>
          <w:rFonts w:hint="eastAsia"/>
          <w:szCs w:val="21"/>
          <w:lang w:eastAsia="zh-CN"/>
        </w:rPr>
        <w:t>甲方对乙方车辆在甲方厂区门口、停车场及厂区内停放和行驶情况进行监督检查，有权对违规的车辆和人员按照甲方的规定进行处罚。</w:t>
      </w:r>
    </w:p>
    <w:p w14:paraId="47D6EAA4">
      <w:pPr>
        <w:numPr>
          <w:ilvl w:val="0"/>
          <w:numId w:val="55"/>
        </w:numPr>
        <w:spacing w:line="480" w:lineRule="auto"/>
        <w:ind w:left="-62" w:leftChars="-28"/>
        <w:rPr>
          <w:szCs w:val="21"/>
          <w:lang w:eastAsia="zh-CN"/>
        </w:rPr>
      </w:pPr>
      <w:r>
        <w:rPr>
          <w:rFonts w:hint="eastAsia"/>
          <w:szCs w:val="21"/>
          <w:lang w:eastAsia="zh-CN"/>
        </w:rPr>
        <w:t>甲方业务主管部门应全程委托专门人员引导乙方车辆和人员按指定的路线进入厂区、到达指定位置。</w:t>
      </w:r>
    </w:p>
    <w:p w14:paraId="77ABD9C7">
      <w:pPr>
        <w:numPr>
          <w:ilvl w:val="0"/>
          <w:numId w:val="54"/>
        </w:numPr>
        <w:spacing w:line="480" w:lineRule="auto"/>
        <w:ind w:left="-526" w:leftChars="-239" w:firstLine="466" w:firstLineChars="211"/>
        <w:rPr>
          <w:b/>
          <w:bCs/>
          <w:szCs w:val="21"/>
        </w:rPr>
      </w:pPr>
      <w:r>
        <w:rPr>
          <w:rFonts w:hint="eastAsia"/>
          <w:b/>
          <w:bCs/>
          <w:szCs w:val="21"/>
        </w:rPr>
        <w:t>乙方的权利和义务</w:t>
      </w:r>
    </w:p>
    <w:p w14:paraId="6C267A3B">
      <w:pPr>
        <w:numPr>
          <w:ilvl w:val="0"/>
          <w:numId w:val="56"/>
        </w:numPr>
        <w:spacing w:line="480" w:lineRule="auto"/>
        <w:ind w:left="-62" w:leftChars="-28"/>
        <w:rPr>
          <w:szCs w:val="21"/>
          <w:lang w:eastAsia="zh-CN"/>
        </w:rPr>
      </w:pPr>
      <w:r>
        <w:rPr>
          <w:rFonts w:hint="eastAsia"/>
          <w:szCs w:val="21"/>
          <w:lang w:eastAsia="zh-CN"/>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4C20688C">
      <w:pPr>
        <w:numPr>
          <w:ilvl w:val="0"/>
          <w:numId w:val="56"/>
        </w:numPr>
        <w:spacing w:line="480" w:lineRule="auto"/>
        <w:ind w:left="-62" w:leftChars="-28"/>
        <w:rPr>
          <w:szCs w:val="21"/>
          <w:lang w:eastAsia="zh-CN"/>
        </w:rPr>
      </w:pPr>
      <w:r>
        <w:rPr>
          <w:rFonts w:hint="eastAsia"/>
          <w:szCs w:val="21"/>
          <w:lang w:eastAsia="zh-CN"/>
        </w:rPr>
        <w:t>乙方应为需进入甲方厂区的人员提供符合甲方要求的安全帽、劳保服、劳保鞋等劳动防护用品，并督促入厂人员规范佩戴和使用。</w:t>
      </w:r>
    </w:p>
    <w:p w14:paraId="24C2F9D4">
      <w:pPr>
        <w:numPr>
          <w:ilvl w:val="0"/>
          <w:numId w:val="56"/>
        </w:numPr>
        <w:spacing w:line="480" w:lineRule="auto"/>
        <w:ind w:left="-62" w:leftChars="-28"/>
        <w:rPr>
          <w:szCs w:val="21"/>
        </w:rPr>
      </w:pPr>
      <w:r>
        <w:rPr>
          <w:rFonts w:hint="eastAsia"/>
          <w:szCs w:val="21"/>
          <w:lang w:eastAsia="zh-CN"/>
        </w:rPr>
        <w:t>乙方应遵守甲方相关管理规定（以甲方发给乙方的制度内容为准），并提前向入厂人员做好宣贯，禁止入厂人员违规携带香烟、打火机、非防爆手机等器具。</w:t>
      </w:r>
      <w:r>
        <w:rPr>
          <w:rFonts w:hint="eastAsia"/>
          <w:szCs w:val="21"/>
        </w:rPr>
        <w:t>如按规定遭受甲方处罚时，应按期缴纳罚款。</w:t>
      </w:r>
    </w:p>
    <w:p w14:paraId="06435014">
      <w:pPr>
        <w:numPr>
          <w:ilvl w:val="0"/>
          <w:numId w:val="56"/>
        </w:numPr>
        <w:spacing w:line="480" w:lineRule="auto"/>
        <w:ind w:left="-62" w:leftChars="-28"/>
        <w:rPr>
          <w:szCs w:val="21"/>
          <w:lang w:eastAsia="zh-CN"/>
        </w:rPr>
      </w:pPr>
      <w:r>
        <w:rPr>
          <w:rFonts w:hint="eastAsia"/>
          <w:szCs w:val="21"/>
          <w:lang w:eastAsia="zh-CN"/>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27CCBC3F">
      <w:pPr>
        <w:numPr>
          <w:ilvl w:val="0"/>
          <w:numId w:val="56"/>
        </w:numPr>
        <w:spacing w:line="480" w:lineRule="auto"/>
        <w:ind w:left="-62" w:leftChars="-28"/>
        <w:rPr>
          <w:szCs w:val="21"/>
          <w:lang w:eastAsia="zh-CN"/>
        </w:rPr>
      </w:pPr>
      <w:r>
        <w:rPr>
          <w:rFonts w:hint="eastAsia"/>
          <w:szCs w:val="21"/>
          <w:lang w:eastAsia="zh-CN"/>
        </w:rPr>
        <w:t>在厂区内卸货过程应根据甲方的要求进行卸货，积极接受甲方的现场管理，开具相应的作业许可证，并按甲方的操作规程进行卸货及作业。</w:t>
      </w:r>
    </w:p>
    <w:p w14:paraId="55DD2A6A">
      <w:pPr>
        <w:numPr>
          <w:ilvl w:val="0"/>
          <w:numId w:val="56"/>
        </w:numPr>
        <w:spacing w:line="480" w:lineRule="auto"/>
        <w:ind w:left="-62" w:leftChars="-28"/>
        <w:rPr>
          <w:szCs w:val="21"/>
          <w:lang w:eastAsia="zh-CN"/>
        </w:rPr>
      </w:pPr>
      <w:r>
        <w:rPr>
          <w:rFonts w:hint="eastAsia"/>
          <w:szCs w:val="21"/>
          <w:lang w:eastAsia="zh-CN"/>
        </w:rPr>
        <w:t>对于甲方在安全生产监管中发现的问题，乙方应按要求落实整改。</w:t>
      </w:r>
    </w:p>
    <w:p w14:paraId="54071CE8">
      <w:pPr>
        <w:numPr>
          <w:ilvl w:val="0"/>
          <w:numId w:val="54"/>
        </w:numPr>
        <w:spacing w:line="480" w:lineRule="auto"/>
        <w:ind w:left="-526" w:leftChars="-239" w:firstLine="466" w:firstLineChars="211"/>
        <w:rPr>
          <w:rFonts w:asciiTheme="minorEastAsia" w:hAnsiTheme="minorEastAsia" w:eastAsiaTheme="minorEastAsia"/>
          <w:b/>
          <w:szCs w:val="21"/>
        </w:rPr>
      </w:pPr>
      <w:r>
        <w:rPr>
          <w:rFonts w:hint="eastAsia" w:asciiTheme="minorEastAsia" w:hAnsiTheme="minorEastAsia" w:eastAsiaTheme="minorEastAsia"/>
          <w:b/>
          <w:szCs w:val="21"/>
        </w:rPr>
        <w:t>违约责任及处理</w:t>
      </w:r>
    </w:p>
    <w:p w14:paraId="69B7CEEB">
      <w:pPr>
        <w:numPr>
          <w:ilvl w:val="0"/>
          <w:numId w:val="57"/>
        </w:numPr>
        <w:spacing w:line="480"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发生安全事故时，甲乙双方均有抢险、救灾的义务，所发生的费用由责任方承担。</w:t>
      </w:r>
    </w:p>
    <w:p w14:paraId="61EF8DB1">
      <w:pPr>
        <w:numPr>
          <w:ilvl w:val="0"/>
          <w:numId w:val="57"/>
        </w:numPr>
        <w:spacing w:line="480" w:lineRule="auto"/>
        <w:ind w:left="-62" w:leftChars="-28"/>
        <w:rPr>
          <w:rFonts w:asciiTheme="minorEastAsia" w:hAnsiTheme="minorEastAsia" w:eastAsiaTheme="minorEastAsia"/>
          <w:szCs w:val="21"/>
          <w:lang w:eastAsia="zh-CN"/>
        </w:rPr>
      </w:pP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2C9358BC">
      <w:pPr>
        <w:numPr>
          <w:ilvl w:val="0"/>
          <w:numId w:val="57"/>
        </w:numPr>
        <w:spacing w:line="480"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甲方违约造成的事故，甲方承担全部责任，并按规定追究有关人员责任及上报。</w:t>
      </w:r>
    </w:p>
    <w:p w14:paraId="17E43CCD">
      <w:pPr>
        <w:numPr>
          <w:ilvl w:val="0"/>
          <w:numId w:val="57"/>
        </w:numPr>
        <w:spacing w:line="480"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乙方在</w:t>
      </w:r>
      <w:r>
        <w:rPr>
          <w:rFonts w:hint="eastAsia" w:asciiTheme="minorEastAsia" w:hAnsiTheme="minorEastAsia"/>
          <w:szCs w:val="21"/>
          <w:lang w:eastAsia="zh-CN"/>
        </w:rPr>
        <w:t>厂区内</w:t>
      </w:r>
      <w:r>
        <w:rPr>
          <w:rFonts w:hint="eastAsia" w:asciiTheme="minorEastAsia" w:hAnsiTheme="minorEastAsia" w:eastAsiaTheme="minorEastAsia"/>
          <w:szCs w:val="21"/>
          <w:lang w:eastAsia="zh-CN"/>
        </w:rPr>
        <w:t>中如果有违法、违规和违章行为，甲方将按照按国家法律、法规和甲方的HSE管理制度进行处罚。</w:t>
      </w:r>
      <w:r>
        <w:rPr>
          <w:rFonts w:hint="eastAsia"/>
          <w:szCs w:val="21"/>
          <w:lang w:eastAsia="zh-CN"/>
        </w:rPr>
        <w:t>处罚款由乙方按甲方要求交到甲方指定部门或账户，对不按时缴纳罚款的，甲方可以从乙方合同款双倍扣除。</w:t>
      </w:r>
    </w:p>
    <w:p w14:paraId="298D07CC">
      <w:pPr>
        <w:numPr>
          <w:ilvl w:val="0"/>
          <w:numId w:val="57"/>
        </w:numPr>
        <w:spacing w:line="480"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乙方违约造成的事故，乙方承担全部责任；由于乙方</w:t>
      </w:r>
      <w:r>
        <w:rPr>
          <w:rFonts w:hint="eastAsia" w:asciiTheme="minorEastAsia" w:hAnsiTheme="minorEastAsia"/>
          <w:szCs w:val="21"/>
          <w:lang w:eastAsia="zh-CN"/>
        </w:rPr>
        <w:t>的</w:t>
      </w:r>
      <w:r>
        <w:rPr>
          <w:rFonts w:hint="eastAsia" w:asciiTheme="minorEastAsia" w:hAnsiTheme="minorEastAsia" w:eastAsiaTheme="minorEastAsia"/>
          <w:szCs w:val="21"/>
          <w:lang w:eastAsia="zh-CN"/>
        </w:rPr>
        <w:t>服务质量及</w:t>
      </w:r>
      <w:r>
        <w:rPr>
          <w:rFonts w:hint="eastAsia" w:asciiTheme="minorEastAsia" w:hAnsiTheme="minorEastAsia"/>
          <w:szCs w:val="21"/>
          <w:lang w:eastAsia="zh-CN"/>
        </w:rPr>
        <w:t>货物</w:t>
      </w:r>
      <w:r>
        <w:rPr>
          <w:rFonts w:hint="eastAsia" w:asciiTheme="minorEastAsia" w:hAnsiTheme="minorEastAsia" w:eastAsiaTheme="minorEastAsia"/>
          <w:szCs w:val="21"/>
          <w:lang w:eastAsia="zh-CN"/>
        </w:rPr>
        <w:t>质量导致的事故，由乙方承担全部责任构成犯罪的，依法追究刑事责任。</w:t>
      </w:r>
    </w:p>
    <w:p w14:paraId="409D06F6">
      <w:pPr>
        <w:numPr>
          <w:ilvl w:val="0"/>
          <w:numId w:val="57"/>
        </w:numPr>
        <w:spacing w:line="480"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对乙方发生事故后弄虚作假、隐瞒不报、迟报或谎报，一经查出，按有关规定处罚</w:t>
      </w:r>
      <w:r>
        <w:rPr>
          <w:rFonts w:hint="eastAsia" w:asciiTheme="minorEastAsia" w:hAnsiTheme="minorEastAsia"/>
          <w:szCs w:val="21"/>
          <w:lang w:eastAsia="zh-CN"/>
        </w:rPr>
        <w:t>，</w:t>
      </w:r>
      <w:r>
        <w:rPr>
          <w:rFonts w:hint="eastAsia" w:asciiTheme="minorEastAsia" w:hAnsiTheme="minorEastAsia" w:eastAsiaTheme="minorEastAsia"/>
          <w:szCs w:val="21"/>
          <w:lang w:eastAsia="zh-CN"/>
        </w:rPr>
        <w:t>情节严重的，取消其进入甲方的市场资格。</w:t>
      </w:r>
    </w:p>
    <w:p w14:paraId="2351E374">
      <w:pPr>
        <w:spacing w:line="480" w:lineRule="auto"/>
        <w:ind w:left="-526" w:leftChars="-239" w:firstLine="466" w:firstLineChars="21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四、 不可抗力：</w:t>
      </w:r>
    </w:p>
    <w:p w14:paraId="34B56336">
      <w:pPr>
        <w:spacing w:line="480" w:lineRule="auto"/>
        <w:ind w:left="-551" w:leftChars="-33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w:t>
      </w:r>
      <w:r>
        <w:rPr>
          <w:rFonts w:hint="eastAsia" w:asciiTheme="minorEastAsia" w:hAnsiTheme="minorEastAsia"/>
          <w:szCs w:val="21"/>
          <w:lang w:eastAsia="zh-CN"/>
        </w:rPr>
        <w:t xml:space="preserve">  </w:t>
      </w:r>
      <w:r>
        <w:rPr>
          <w:rFonts w:hint="eastAsia" w:asciiTheme="minorEastAsia" w:hAnsiTheme="minorEastAsia" w:eastAsiaTheme="minorEastAsia"/>
          <w:szCs w:val="21"/>
          <w:lang w:eastAsia="zh-CN"/>
        </w:rPr>
        <w:t xml:space="preserve"> 由于不可抗力造成事故及产生的损失，甲乙双方各自承担相应的损失。</w:t>
      </w:r>
    </w:p>
    <w:p w14:paraId="5291D521">
      <w:pPr>
        <w:spacing w:line="480" w:lineRule="auto"/>
        <w:ind w:left="-526" w:leftChars="-239" w:firstLine="466" w:firstLineChars="21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五、</w:t>
      </w:r>
      <w:r>
        <w:rPr>
          <w:rFonts w:hint="eastAsia" w:asciiTheme="minorEastAsia" w:hAnsiTheme="minorEastAsia" w:eastAsiaTheme="minorEastAsia"/>
          <w:szCs w:val="21"/>
          <w:lang w:eastAsia="zh-CN"/>
        </w:rPr>
        <w:t>本协议书一式两份，甲乙双方各执一份。</w:t>
      </w:r>
    </w:p>
    <w:p w14:paraId="31F1EDFE">
      <w:pPr>
        <w:spacing w:line="480" w:lineRule="auto"/>
        <w:ind w:left="-526" w:leftChars="-239" w:firstLine="466" w:firstLineChars="21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六、</w:t>
      </w:r>
      <w:r>
        <w:rPr>
          <w:rFonts w:hint="eastAsia" w:asciiTheme="minorEastAsia" w:hAnsiTheme="minorEastAsia" w:eastAsiaTheme="minorEastAsia"/>
          <w:szCs w:val="21"/>
          <w:lang w:eastAsia="zh-CN"/>
        </w:rPr>
        <w:t>本协议书经双方盖章后生效。</w:t>
      </w:r>
    </w:p>
    <w:p w14:paraId="765B4B34">
      <w:pPr>
        <w:spacing w:line="480" w:lineRule="auto"/>
        <w:ind w:left="-526" w:leftChars="-239" w:firstLine="466" w:firstLineChars="21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七、协议期限：</w:t>
      </w:r>
    </w:p>
    <w:p w14:paraId="516E39AC">
      <w:pPr>
        <w:spacing w:line="480" w:lineRule="auto"/>
        <w:ind w:left="-636" w:leftChars="-289" w:firstLine="550" w:firstLineChars="2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本协议期限应与主合同期限一致。如果主合同因故需要变更期限，本合同应与主同变更至相同期限。</w:t>
      </w:r>
    </w:p>
    <w:p w14:paraId="44423397">
      <w:pPr>
        <w:pStyle w:val="9"/>
        <w:spacing w:afterLines="150" w:line="276" w:lineRule="auto"/>
        <w:ind w:left="-496" w:leftChars="-339" w:hanging="250" w:hangingChars="89"/>
        <w:jc w:val="center"/>
        <w:rPr>
          <w:rFonts w:ascii="黑体" w:hAnsi="宋体" w:eastAsia="黑体"/>
          <w:b/>
          <w:sz w:val="28"/>
          <w:szCs w:val="28"/>
          <w:lang w:eastAsia="zh-CN"/>
        </w:rPr>
      </w:pPr>
    </w:p>
    <w:p w14:paraId="5C3A684B">
      <w:pPr>
        <w:pStyle w:val="9"/>
        <w:spacing w:afterLines="150" w:line="276" w:lineRule="auto"/>
        <w:ind w:left="-496" w:leftChars="-339" w:hanging="250" w:hangingChars="89"/>
        <w:jc w:val="center"/>
        <w:rPr>
          <w:rFonts w:ascii="黑体" w:hAnsi="宋体" w:eastAsia="黑体"/>
          <w:b/>
          <w:sz w:val="28"/>
          <w:szCs w:val="28"/>
          <w:lang w:eastAsia="zh-CN"/>
        </w:rPr>
      </w:pPr>
    </w:p>
    <w:p w14:paraId="4A6E303D">
      <w:pPr>
        <w:pStyle w:val="9"/>
        <w:spacing w:afterLines="150" w:line="276" w:lineRule="auto"/>
        <w:jc w:val="both"/>
        <w:rPr>
          <w:rFonts w:ascii="黑体" w:hAnsi="宋体" w:eastAsia="黑体"/>
          <w:b/>
          <w:sz w:val="28"/>
          <w:szCs w:val="28"/>
          <w:lang w:eastAsia="zh-CN"/>
        </w:rPr>
      </w:pPr>
    </w:p>
    <w:p w14:paraId="737B412B">
      <w:pPr>
        <w:pStyle w:val="9"/>
        <w:spacing w:afterLines="150" w:line="276" w:lineRule="auto"/>
        <w:jc w:val="both"/>
        <w:rPr>
          <w:rFonts w:ascii="黑体" w:hAnsi="宋体" w:eastAsia="黑体"/>
          <w:b/>
          <w:sz w:val="28"/>
          <w:szCs w:val="28"/>
          <w:lang w:eastAsia="zh-CN"/>
        </w:rPr>
      </w:pPr>
    </w:p>
    <w:p w14:paraId="1C1432A0">
      <w:pPr>
        <w:pStyle w:val="9"/>
        <w:spacing w:afterLines="150" w:line="276" w:lineRule="auto"/>
        <w:jc w:val="both"/>
        <w:rPr>
          <w:rFonts w:ascii="黑体" w:hAnsi="宋体" w:eastAsia="黑体"/>
          <w:b/>
          <w:sz w:val="28"/>
          <w:szCs w:val="28"/>
          <w:lang w:eastAsia="zh-CN"/>
        </w:rPr>
      </w:pPr>
    </w:p>
    <w:p w14:paraId="1AAC4C25">
      <w:pPr>
        <w:pStyle w:val="9"/>
        <w:spacing w:afterLines="150" w:line="276" w:lineRule="auto"/>
        <w:jc w:val="both"/>
        <w:rPr>
          <w:rFonts w:ascii="黑体" w:hAnsi="宋体" w:eastAsia="黑体"/>
          <w:b/>
          <w:sz w:val="28"/>
          <w:szCs w:val="28"/>
          <w:lang w:eastAsia="zh-CN"/>
        </w:rPr>
      </w:pPr>
    </w:p>
    <w:p w14:paraId="43E20422">
      <w:pPr>
        <w:pStyle w:val="9"/>
        <w:spacing w:afterLines="150" w:line="276" w:lineRule="auto"/>
        <w:jc w:val="both"/>
        <w:rPr>
          <w:rFonts w:ascii="黑体" w:hAnsi="宋体" w:eastAsia="黑体"/>
          <w:b/>
          <w:sz w:val="28"/>
          <w:szCs w:val="28"/>
          <w:lang w:eastAsia="zh-CN"/>
        </w:rPr>
      </w:pPr>
    </w:p>
    <w:p w14:paraId="2C65622F">
      <w:pPr>
        <w:pStyle w:val="9"/>
        <w:spacing w:afterLines="150" w:line="276" w:lineRule="auto"/>
        <w:jc w:val="both"/>
        <w:rPr>
          <w:rFonts w:ascii="黑体" w:hAnsi="宋体" w:eastAsia="黑体"/>
          <w:b/>
          <w:sz w:val="28"/>
          <w:szCs w:val="28"/>
          <w:lang w:eastAsia="zh-CN"/>
        </w:rPr>
      </w:pPr>
    </w:p>
    <w:p w14:paraId="6C0D04F2">
      <w:pPr>
        <w:pStyle w:val="9"/>
        <w:spacing w:afterLines="150" w:line="276" w:lineRule="auto"/>
        <w:jc w:val="both"/>
        <w:rPr>
          <w:rFonts w:ascii="黑体" w:hAnsi="宋体" w:eastAsia="黑体"/>
          <w:b/>
          <w:sz w:val="28"/>
          <w:szCs w:val="28"/>
          <w:lang w:eastAsia="zh-CN"/>
        </w:rPr>
      </w:pPr>
    </w:p>
    <w:p w14:paraId="6152615E">
      <w:pPr>
        <w:pStyle w:val="9"/>
        <w:spacing w:afterLines="150" w:line="276" w:lineRule="auto"/>
        <w:jc w:val="both"/>
        <w:rPr>
          <w:rFonts w:ascii="黑体" w:hAnsi="宋体" w:eastAsia="黑体"/>
          <w:b/>
          <w:sz w:val="36"/>
          <w:szCs w:val="36"/>
          <w:lang w:eastAsia="zh-CN"/>
        </w:rPr>
      </w:pPr>
      <w:r>
        <w:rPr>
          <w:rFonts w:hint="eastAsia" w:ascii="黑体" w:hAnsi="宋体" w:eastAsia="黑体"/>
          <w:b/>
          <w:sz w:val="28"/>
          <w:szCs w:val="28"/>
          <w:lang w:eastAsia="zh-CN"/>
        </w:rPr>
        <w:t xml:space="preserve">附件4、  </w:t>
      </w:r>
      <w:r>
        <w:rPr>
          <w:rFonts w:hint="eastAsia" w:ascii="黑体" w:hAnsi="宋体" w:eastAsia="黑体"/>
          <w:b/>
          <w:sz w:val="36"/>
          <w:szCs w:val="36"/>
          <w:lang w:eastAsia="zh-CN"/>
        </w:rPr>
        <w:t>安全环保协议书</w:t>
      </w:r>
    </w:p>
    <w:p w14:paraId="010F4E16">
      <w:pPr>
        <w:pStyle w:val="9"/>
        <w:spacing w:line="400" w:lineRule="exact"/>
        <w:rPr>
          <w:rFonts w:hAnsi="宋体"/>
          <w:lang w:eastAsia="zh-CN"/>
        </w:rPr>
      </w:pPr>
      <w:r>
        <w:rPr>
          <w:rFonts w:hint="eastAsia" w:hAnsi="宋体"/>
          <w:lang w:eastAsia="zh-CN"/>
        </w:rPr>
        <w:t xml:space="preserve">发包单位（以下简称甲方）：  </w:t>
      </w:r>
      <w:r>
        <w:rPr>
          <w:rFonts w:hint="eastAsia" w:hAnsi="宋体"/>
          <w:u w:val="single"/>
          <w:lang w:val="en-US" w:eastAsia="zh-CN"/>
        </w:rPr>
        <w:t>福建福海创石油化工有限公司</w:t>
      </w:r>
      <w:r>
        <w:rPr>
          <w:rFonts w:hint="eastAsia" w:hAnsi="宋体"/>
          <w:u w:val="single"/>
          <w:lang w:eastAsia="zh-CN"/>
        </w:rPr>
        <w:t xml:space="preserve">           </w:t>
      </w:r>
      <w:r>
        <w:rPr>
          <w:rFonts w:hint="eastAsia" w:hAnsi="宋体"/>
          <w:lang w:eastAsia="zh-CN"/>
        </w:rPr>
        <w:t xml:space="preserve">   </w:t>
      </w:r>
    </w:p>
    <w:p w14:paraId="5C48DB7A">
      <w:pPr>
        <w:spacing w:line="360" w:lineRule="auto"/>
        <w:ind w:left="-636" w:leftChars="-289" w:firstLine="660" w:firstLineChars="300"/>
        <w:rPr>
          <w:szCs w:val="21"/>
          <w:lang w:eastAsia="zh-CN"/>
        </w:rPr>
      </w:pPr>
      <w:r>
        <w:rPr>
          <w:rFonts w:hint="eastAsia"/>
          <w:szCs w:val="21"/>
          <w:lang w:eastAsia="zh-CN"/>
        </w:rPr>
        <w:t xml:space="preserve">承包单位（以下简称乙方）： </w:t>
      </w:r>
      <w:r>
        <w:rPr>
          <w:rFonts w:hint="eastAsia"/>
          <w:szCs w:val="21"/>
          <w:u w:val="single"/>
          <w:lang w:val="en-US" w:eastAsia="zh-CN"/>
        </w:rPr>
        <w:t xml:space="preserve">    </w:t>
      </w:r>
      <w:r>
        <w:rPr>
          <w:rFonts w:hint="eastAsia" w:cs="Courier New"/>
          <w:szCs w:val="21"/>
          <w:u w:val="single"/>
          <w:lang w:eastAsia="zh-CN"/>
        </w:rPr>
        <w:t xml:space="preserve">  </w:t>
      </w:r>
      <w:r>
        <w:rPr>
          <w:rFonts w:hint="eastAsia"/>
          <w:szCs w:val="21"/>
          <w:u w:val="single"/>
          <w:lang w:eastAsia="zh-CN"/>
        </w:rPr>
        <w:t xml:space="preserve">    </w:t>
      </w:r>
      <w:r>
        <w:rPr>
          <w:rFonts w:hint="eastAsia"/>
          <w:szCs w:val="21"/>
          <w:u w:val="single"/>
          <w:lang w:val="en-US" w:eastAsia="zh-CN"/>
        </w:rPr>
        <w:t xml:space="preserve">                       </w:t>
      </w:r>
      <w:r>
        <w:rPr>
          <w:rFonts w:hint="eastAsia"/>
          <w:szCs w:val="21"/>
          <w:u w:val="single"/>
          <w:lang w:eastAsia="zh-CN"/>
        </w:rPr>
        <w:t xml:space="preserve">     </w:t>
      </w:r>
      <w:r>
        <w:rPr>
          <w:rFonts w:hint="eastAsia"/>
          <w:szCs w:val="21"/>
          <w:lang w:eastAsia="zh-CN"/>
        </w:rPr>
        <w:t xml:space="preserve">                      </w:t>
      </w:r>
    </w:p>
    <w:p w14:paraId="034A7FAC">
      <w:pPr>
        <w:spacing w:line="360" w:lineRule="auto"/>
        <w:ind w:left="-636" w:leftChars="-289" w:firstLine="440" w:firstLineChars="200"/>
        <w:rPr>
          <w:szCs w:val="21"/>
          <w:lang w:eastAsia="zh-CN"/>
        </w:rPr>
      </w:pPr>
      <w:r>
        <w:rPr>
          <w:rFonts w:hint="eastAsia"/>
          <w:szCs w:val="21"/>
          <w:lang w:eastAsia="zh-CN"/>
        </w:rPr>
        <w:t xml:space="preserve"> 双方就</w:t>
      </w:r>
      <w:r>
        <w:rPr>
          <w:rFonts w:hint="eastAsia"/>
          <w:szCs w:val="21"/>
          <w:u w:val="single"/>
          <w:lang w:eastAsia="zh-CN"/>
        </w:rPr>
        <w:t xml:space="preserve"> 2024年PTA团队消缺检修压缩机检修工程项目</w:t>
      </w:r>
      <w:r>
        <w:rPr>
          <w:rFonts w:hint="eastAsia"/>
          <w:szCs w:val="21"/>
          <w:lang w:eastAsia="zh-CN"/>
        </w:rPr>
        <w:t xml:space="preserve">签订了 </w:t>
      </w:r>
      <w:r>
        <w:rPr>
          <w:rFonts w:hint="eastAsia"/>
          <w:szCs w:val="21"/>
          <w:u w:val="single"/>
          <w:lang w:eastAsia="zh-CN"/>
        </w:rPr>
        <w:t xml:space="preserve">检修施工 </w:t>
      </w:r>
      <w:r>
        <w:rPr>
          <w:rFonts w:hint="eastAsia"/>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14:paraId="7E34F16A">
      <w:pPr>
        <w:spacing w:line="360" w:lineRule="auto"/>
        <w:ind w:left="-549" w:leftChars="-339" w:hanging="197" w:hangingChars="89"/>
        <w:rPr>
          <w:szCs w:val="21"/>
          <w:lang w:eastAsia="zh-CN"/>
        </w:rPr>
      </w:pPr>
      <w:r>
        <w:rPr>
          <w:rFonts w:hint="eastAsia"/>
          <w:b/>
          <w:szCs w:val="21"/>
          <w:lang w:eastAsia="zh-CN"/>
        </w:rPr>
        <w:t>一、甲方的权利和义务：</w:t>
      </w:r>
    </w:p>
    <w:p w14:paraId="1929A226">
      <w:pPr>
        <w:pStyle w:val="22"/>
        <w:spacing w:line="360" w:lineRule="auto"/>
        <w:ind w:left="-636" w:leftChars="-289" w:firstLine="110" w:firstLineChars="50"/>
        <w:rPr>
          <w:szCs w:val="21"/>
          <w:lang w:eastAsia="zh-CN"/>
        </w:rPr>
      </w:pPr>
      <w:r>
        <w:rPr>
          <w:rFonts w:hint="eastAsia"/>
          <w:szCs w:val="21"/>
          <w:lang w:eastAsia="zh-CN"/>
        </w:rPr>
        <w:t>1、 甲方有权对乙方的资质进行审查，确认其符合且具备进厂条件，方可进厂施工。</w:t>
      </w:r>
    </w:p>
    <w:p w14:paraId="1FAD331A">
      <w:pPr>
        <w:pStyle w:val="22"/>
        <w:spacing w:line="360" w:lineRule="auto"/>
        <w:ind w:left="-636" w:leftChars="-289" w:firstLine="110" w:firstLineChars="50"/>
        <w:rPr>
          <w:szCs w:val="21"/>
          <w:lang w:eastAsia="zh-CN"/>
        </w:rPr>
      </w:pPr>
      <w:r>
        <w:rPr>
          <w:rFonts w:hint="eastAsia"/>
          <w:szCs w:val="21"/>
          <w:lang w:eastAsia="zh-CN"/>
        </w:rPr>
        <w:t>2、 甲方有权要求乙方维护好甲方相关的安全环保设施、设备和器材。</w:t>
      </w:r>
    </w:p>
    <w:p w14:paraId="5F34AB95">
      <w:pPr>
        <w:tabs>
          <w:tab w:val="left" w:pos="360"/>
          <w:tab w:val="left" w:pos="840"/>
        </w:tabs>
        <w:spacing w:line="360" w:lineRule="auto"/>
        <w:ind w:left="-526" w:leftChars="-239"/>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14:paraId="4DCD28D8">
      <w:pPr>
        <w:tabs>
          <w:tab w:val="left" w:pos="360"/>
          <w:tab w:val="left" w:pos="840"/>
        </w:tabs>
        <w:spacing w:line="360" w:lineRule="auto"/>
        <w:ind w:left="-526" w:leftChars="-239"/>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14:paraId="62225A3C">
      <w:pPr>
        <w:tabs>
          <w:tab w:val="left" w:pos="360"/>
          <w:tab w:val="left" w:pos="840"/>
        </w:tabs>
        <w:spacing w:line="360" w:lineRule="auto"/>
        <w:ind w:left="-636" w:leftChars="-289" w:firstLine="110" w:firstLineChars="50"/>
        <w:rPr>
          <w:szCs w:val="21"/>
          <w:lang w:eastAsia="zh-CN"/>
        </w:rPr>
      </w:pPr>
      <w:r>
        <w:rPr>
          <w:rFonts w:hint="eastAsia"/>
          <w:szCs w:val="21"/>
          <w:lang w:eastAsia="zh-CN"/>
        </w:rPr>
        <w:t>5、 甲方有权对乙方不服从管理和严重违章者，驱逐出施工现场，列入黑名单。</w:t>
      </w:r>
    </w:p>
    <w:p w14:paraId="17A99E89">
      <w:pPr>
        <w:pStyle w:val="22"/>
        <w:spacing w:line="360" w:lineRule="auto"/>
        <w:ind w:left="-636" w:leftChars="-289" w:firstLine="110" w:firstLineChars="50"/>
        <w:rPr>
          <w:b/>
          <w:szCs w:val="21"/>
          <w:lang w:eastAsia="zh-CN"/>
        </w:rPr>
      </w:pPr>
      <w:r>
        <w:rPr>
          <w:rFonts w:hint="eastAsia"/>
          <w:szCs w:val="21"/>
          <w:lang w:eastAsia="zh-CN"/>
        </w:rPr>
        <w:t>6、 甲方负责对乙方进行厂级和部门级安全培训教育和考核，考核合格方可办理入厂手续。</w:t>
      </w:r>
    </w:p>
    <w:p w14:paraId="560A9901">
      <w:pPr>
        <w:tabs>
          <w:tab w:val="left" w:pos="360"/>
          <w:tab w:val="left" w:pos="840"/>
        </w:tabs>
        <w:spacing w:line="360" w:lineRule="auto"/>
        <w:ind w:left="-636" w:leftChars="-289" w:firstLine="110" w:firstLineChars="50"/>
        <w:rPr>
          <w:szCs w:val="21"/>
          <w:lang w:eastAsia="zh-CN"/>
        </w:rPr>
      </w:pPr>
      <w:r>
        <w:rPr>
          <w:rFonts w:hint="eastAsia"/>
          <w:szCs w:val="21"/>
          <w:lang w:eastAsia="zh-CN"/>
        </w:rPr>
        <w:t>7、 甲方负责各装置的工艺处理、退料、置换、吹扫及盲板隔离工作，为本项目提供安全的施工条件。</w:t>
      </w:r>
    </w:p>
    <w:p w14:paraId="51DE3628">
      <w:pPr>
        <w:tabs>
          <w:tab w:val="left" w:pos="360"/>
          <w:tab w:val="left" w:pos="840"/>
        </w:tabs>
        <w:spacing w:line="360" w:lineRule="auto"/>
        <w:ind w:left="-636" w:leftChars="-289" w:firstLine="110" w:firstLineChars="50"/>
        <w:rPr>
          <w:szCs w:val="21"/>
          <w:lang w:eastAsia="zh-CN"/>
        </w:rPr>
      </w:pPr>
      <w:r>
        <w:rPr>
          <w:rFonts w:hint="eastAsia"/>
          <w:szCs w:val="21"/>
          <w:lang w:eastAsia="zh-CN"/>
        </w:rPr>
        <w:t>8、 甲方应向乙方提供与乙方作业相关的甲方有毒有害、易燃易爆物品的数据</w:t>
      </w:r>
      <w:r>
        <w:rPr>
          <w:rFonts w:hint="eastAsia"/>
          <w:sz w:val="32"/>
          <w:szCs w:val="32"/>
          <w:lang w:eastAsia="zh-CN"/>
        </w:rPr>
        <w:t>。</w:t>
      </w:r>
    </w:p>
    <w:p w14:paraId="7B713334">
      <w:pPr>
        <w:tabs>
          <w:tab w:val="left" w:pos="360"/>
          <w:tab w:val="left" w:pos="840"/>
        </w:tabs>
        <w:spacing w:line="360" w:lineRule="auto"/>
        <w:ind w:left="-636" w:leftChars="-289" w:firstLine="110" w:firstLineChars="50"/>
        <w:rPr>
          <w:szCs w:val="21"/>
          <w:lang w:eastAsia="zh-CN"/>
        </w:rPr>
      </w:pPr>
      <w:r>
        <w:rPr>
          <w:rFonts w:hint="eastAsia"/>
          <w:szCs w:val="21"/>
          <w:lang w:eastAsia="zh-CN"/>
        </w:rPr>
        <w:t>9、 甲方在开工前必须对乙方进行全面的安全技术及文明施工交底。</w:t>
      </w:r>
    </w:p>
    <w:p w14:paraId="26532E57">
      <w:pPr>
        <w:spacing w:line="360" w:lineRule="auto"/>
        <w:ind w:left="-549" w:leftChars="-339" w:hanging="197" w:hangingChars="89"/>
        <w:rPr>
          <w:b/>
          <w:szCs w:val="21"/>
          <w:lang w:eastAsia="zh-CN"/>
        </w:rPr>
      </w:pPr>
      <w:r>
        <w:rPr>
          <w:rFonts w:hint="eastAsia"/>
          <w:b/>
          <w:szCs w:val="21"/>
          <w:lang w:eastAsia="zh-CN"/>
        </w:rPr>
        <w:t>二、乙方的权利和义务：</w:t>
      </w:r>
    </w:p>
    <w:p w14:paraId="163F64E9">
      <w:pPr>
        <w:spacing w:line="360" w:lineRule="auto"/>
        <w:ind w:left="-526" w:leftChars="-239"/>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4ACF353E">
      <w:pPr>
        <w:spacing w:line="360" w:lineRule="auto"/>
        <w:ind w:left="-636" w:leftChars="-289" w:firstLine="110" w:firstLineChars="50"/>
        <w:rPr>
          <w:szCs w:val="21"/>
          <w:lang w:eastAsia="zh-CN"/>
        </w:rPr>
      </w:pPr>
      <w:r>
        <w:rPr>
          <w:rFonts w:hint="eastAsia"/>
          <w:szCs w:val="21"/>
          <w:lang w:eastAsia="zh-CN"/>
        </w:rPr>
        <w:t>2、  乙方有权对甲方安全管理工作提出合理化建议或改进措施。</w:t>
      </w:r>
    </w:p>
    <w:p w14:paraId="244A89E0">
      <w:pPr>
        <w:spacing w:line="360" w:lineRule="auto"/>
        <w:ind w:left="-526" w:leftChars="-239"/>
        <w:rPr>
          <w:szCs w:val="21"/>
          <w:lang w:eastAsia="zh-CN"/>
        </w:rPr>
      </w:pPr>
      <w:r>
        <w:rPr>
          <w:rFonts w:hint="eastAsia"/>
          <w:szCs w:val="21"/>
          <w:lang w:eastAsia="zh-CN"/>
        </w:rPr>
        <w:t xml:space="preserve">3、 乙方对甲方管理人员违章指挥、强令冒险作业、有权拒绝执行。对打击和报复行为有权向上级和有关部门汇报。 </w:t>
      </w:r>
    </w:p>
    <w:p w14:paraId="197DA539">
      <w:pPr>
        <w:spacing w:line="360" w:lineRule="auto"/>
        <w:ind w:left="-636" w:leftChars="-289" w:firstLine="110" w:firstLineChars="50"/>
        <w:rPr>
          <w:szCs w:val="21"/>
          <w:lang w:eastAsia="zh-CN"/>
        </w:rPr>
      </w:pPr>
      <w:r>
        <w:rPr>
          <w:rFonts w:hint="eastAsia"/>
          <w:szCs w:val="21"/>
          <w:lang w:eastAsia="zh-CN"/>
        </w:rPr>
        <w:t>4、 乙方对危及生命安全和身体健康的施工作业条件和环境，有权提出整改建议或拒绝施工作业。</w:t>
      </w:r>
    </w:p>
    <w:p w14:paraId="251C836B">
      <w:pPr>
        <w:spacing w:line="360" w:lineRule="auto"/>
        <w:ind w:left="-526" w:leftChars="-239"/>
        <w:rPr>
          <w:szCs w:val="21"/>
          <w:lang w:eastAsia="zh-CN"/>
        </w:rPr>
      </w:pPr>
      <w:r>
        <w:rPr>
          <w:rFonts w:hint="eastAsia"/>
          <w:szCs w:val="21"/>
          <w:lang w:eastAsia="zh-CN"/>
        </w:rPr>
        <w:t>5、 乙方施工过程中在发生严重危及作业人员生命安全的不可抗拒紧急情况时，有权采取必要的避险措施，并立即向管理部门报告。</w:t>
      </w:r>
    </w:p>
    <w:p w14:paraId="53B0C916">
      <w:pPr>
        <w:spacing w:line="360" w:lineRule="auto"/>
        <w:ind w:left="-636" w:leftChars="-289" w:firstLine="110" w:firstLineChars="50"/>
        <w:rPr>
          <w:szCs w:val="21"/>
          <w:lang w:eastAsia="zh-CN"/>
        </w:rPr>
      </w:pPr>
      <w:r>
        <w:rPr>
          <w:rFonts w:hint="eastAsia"/>
          <w:szCs w:val="21"/>
          <w:lang w:eastAsia="zh-CN"/>
        </w:rPr>
        <w:t>6、 乙方有权要求甲方提供与其工作相关的安全资料，如八大票证管理制度等。</w:t>
      </w:r>
    </w:p>
    <w:p w14:paraId="4394DEAE">
      <w:pPr>
        <w:spacing w:line="360" w:lineRule="auto"/>
        <w:ind w:left="-636" w:leftChars="-289" w:firstLine="110" w:firstLineChars="50"/>
        <w:rPr>
          <w:b/>
          <w:szCs w:val="21"/>
          <w:lang w:eastAsia="zh-CN"/>
        </w:rPr>
      </w:pPr>
      <w:r>
        <w:rPr>
          <w:rFonts w:hint="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，依照《安全生产法》的要求配备专职或兼职安全生产管理人员，安全管理人员配备比例不等小于5</w:t>
      </w:r>
      <w:r>
        <w:rPr>
          <w:szCs w:val="21"/>
          <w:lang w:eastAsia="zh-CN"/>
        </w:rPr>
        <w:t>0</w:t>
      </w:r>
      <w:r>
        <w:rPr>
          <w:rFonts w:hint="eastAsia"/>
          <w:szCs w:val="21"/>
          <w:lang w:eastAsia="zh-CN"/>
        </w:rPr>
        <w:t>比1（最少1名），</w:t>
      </w:r>
      <w:r>
        <w:rPr>
          <w:rFonts w:hint="eastAsia" w:cs="Arial"/>
          <w:lang w:eastAsia="zh-CN"/>
        </w:rPr>
        <w:t>并佩戴明显标志；编制和实施各安全环保施工方案和专项应急预案。</w:t>
      </w:r>
    </w:p>
    <w:p w14:paraId="7BCD8625">
      <w:pPr>
        <w:spacing w:line="360" w:lineRule="auto"/>
        <w:ind w:left="-526" w:leftChars="-289" w:hanging="110" w:hangingChars="50"/>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1FD5AE0E">
      <w:pPr>
        <w:spacing w:line="360" w:lineRule="auto"/>
        <w:ind w:left="-551" w:leftChars="-289" w:hanging="85" w:hangingChars="39"/>
        <w:rPr>
          <w:szCs w:val="21"/>
          <w:lang w:eastAsia="zh-CN"/>
        </w:rPr>
      </w:pPr>
      <w:r>
        <w:rPr>
          <w:rFonts w:hint="eastAsia"/>
          <w:szCs w:val="21"/>
          <w:lang w:eastAsia="zh-CN"/>
        </w:rPr>
        <w:t>9、 在工程开工前，乙方必须对全体人员（含监护人）分工种进行安全教育、技能考试，合格后方可进行作业。作业前，必须向作业人员进行安全环保技术交底，掌握工程特点及施工安全环保措施。</w:t>
      </w:r>
    </w:p>
    <w:p w14:paraId="0E5B431D">
      <w:pPr>
        <w:spacing w:line="360" w:lineRule="auto"/>
        <w:ind w:left="-551" w:leftChars="-289" w:hanging="85" w:hangingChars="39"/>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038F71B3">
      <w:pPr>
        <w:spacing w:line="360" w:lineRule="auto"/>
        <w:ind w:left="-551" w:leftChars="-289" w:hanging="85" w:hangingChars="39"/>
        <w:rPr>
          <w:szCs w:val="21"/>
          <w:lang w:eastAsia="zh-CN"/>
        </w:rPr>
      </w:pPr>
      <w:r>
        <w:rPr>
          <w:rFonts w:hint="eastAsia"/>
          <w:szCs w:val="21"/>
          <w:lang w:eastAsia="zh-CN"/>
        </w:rPr>
        <w:t>11、 乙方必须按国家有关规定，为施工人员办理工伤保险、意外伤害保险（</w:t>
      </w:r>
      <w:r>
        <w:rPr>
          <w:rFonts w:hint="eastAsia"/>
          <w:lang w:eastAsia="zh-CN"/>
        </w:rPr>
        <w:t>承包商应为其员工购</w:t>
      </w:r>
      <w:r>
        <w:rPr>
          <w:rFonts w:hint="eastAsia" w:cs="Arial"/>
          <w:lang w:eastAsia="zh-CN"/>
        </w:rPr>
        <w:t>买不低于100万/人的人身意外伤害责任险或者工伤+不低于23万</w:t>
      </w:r>
      <w:r>
        <w:rPr>
          <w:rFonts w:cs="Arial"/>
          <w:lang w:eastAsia="zh-CN"/>
        </w:rPr>
        <w:t>/人的</w:t>
      </w:r>
      <w:r>
        <w:rPr>
          <w:rFonts w:hint="eastAsia" w:cs="Arial"/>
          <w:lang w:eastAsia="zh-CN"/>
        </w:rPr>
        <w:t>人身意外伤害险</w:t>
      </w:r>
      <w:r>
        <w:rPr>
          <w:rFonts w:hint="eastAsia"/>
          <w:szCs w:val="21"/>
          <w:lang w:eastAsia="zh-CN"/>
        </w:rPr>
        <w:t>），为施工人员配备合格的劳动防护用品、安全用具及应急救援设施，并保证施工工具、器械使用安全。</w:t>
      </w:r>
    </w:p>
    <w:p w14:paraId="05722A0F">
      <w:pPr>
        <w:spacing w:line="360" w:lineRule="auto"/>
        <w:ind w:left="-551" w:leftChars="-289" w:hanging="85" w:hangingChars="39"/>
        <w:rPr>
          <w:szCs w:val="21"/>
          <w:lang w:eastAsia="zh-CN"/>
        </w:rPr>
      </w:pPr>
      <w:r>
        <w:rPr>
          <w:rFonts w:hint="eastAsia"/>
          <w:szCs w:val="21"/>
          <w:lang w:eastAsia="zh-CN"/>
        </w:rPr>
        <w:t>12、 乙方需建立安全检查制度，指定专人负责现场安全监督检查工作，认真开展安全检查，发现作业过程中不安全行为、隐患、重大险情，应采取有效措施及时处理并报告甲方。</w:t>
      </w:r>
    </w:p>
    <w:p w14:paraId="5E9EA78B">
      <w:pPr>
        <w:spacing w:line="360" w:lineRule="auto"/>
        <w:ind w:left="-551" w:leftChars="-289" w:hanging="85" w:hangingChars="39"/>
        <w:rPr>
          <w:szCs w:val="21"/>
          <w:lang w:eastAsia="zh-CN"/>
        </w:rPr>
      </w:pPr>
      <w:r>
        <w:rPr>
          <w:rFonts w:hint="eastAsia"/>
          <w:szCs w:val="21"/>
          <w:lang w:eastAsia="zh-CN"/>
        </w:rPr>
        <w:t>13、 发生事故时，乙方必须按我司管理规定及时向甲方报告。同时根据指令迅速组织实施现场人员疏散和抢救工作、采取相应的措施保护好现场，并要积极配合甲方或上级有关部门对事故的调查和现场勘查。</w:t>
      </w:r>
    </w:p>
    <w:p w14:paraId="3914DB7C">
      <w:pPr>
        <w:spacing w:line="360" w:lineRule="auto"/>
        <w:ind w:left="-551" w:leftChars="-289" w:hanging="85" w:hangingChars="39"/>
        <w:rPr>
          <w:szCs w:val="21"/>
          <w:lang w:eastAsia="zh-CN"/>
        </w:rPr>
      </w:pPr>
      <w:r>
        <w:rPr>
          <w:rFonts w:hint="eastAsia"/>
          <w:szCs w:val="21"/>
          <w:lang w:eastAsia="zh-CN"/>
        </w:rPr>
        <w:t>14、 乙方进入现场的施工人员，严禁动用装置区机泵、容器、塔、加热炉等任何部位阀门，防止误开误关，造成意外事故。如确实需用，经与装置有关人员联系，同意后，由操作人员启闭阀门。</w:t>
      </w:r>
    </w:p>
    <w:p w14:paraId="126F58FB">
      <w:pPr>
        <w:spacing w:line="360" w:lineRule="auto"/>
        <w:ind w:left="-551" w:leftChars="-289" w:hanging="85" w:hangingChars="39"/>
        <w:rPr>
          <w:szCs w:val="21"/>
          <w:lang w:eastAsia="zh-CN"/>
        </w:rPr>
      </w:pPr>
      <w:r>
        <w:rPr>
          <w:rFonts w:hint="eastAsia"/>
          <w:szCs w:val="21"/>
          <w:lang w:eastAsia="zh-CN"/>
        </w:rPr>
        <w:t>15、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5822DA71">
      <w:pPr>
        <w:spacing w:line="360" w:lineRule="auto"/>
        <w:ind w:left="-551" w:leftChars="-289" w:hanging="85" w:hangingChars="39"/>
        <w:rPr>
          <w:szCs w:val="21"/>
          <w:lang w:eastAsia="zh-CN"/>
        </w:rPr>
      </w:pPr>
      <w:r>
        <w:rPr>
          <w:rFonts w:hint="eastAsia"/>
          <w:szCs w:val="21"/>
          <w:lang w:eastAsia="zh-CN"/>
        </w:rPr>
        <w:t xml:space="preserve">16、 </w:t>
      </w:r>
      <w:r>
        <w:rPr>
          <w:rFonts w:hint="eastAsia"/>
          <w:bCs/>
          <w:lang w:eastAsia="zh-CN"/>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14:paraId="19AA35FA">
      <w:pPr>
        <w:spacing w:line="360" w:lineRule="auto"/>
        <w:ind w:left="-551" w:leftChars="-289" w:hanging="85" w:hangingChars="39"/>
        <w:rPr>
          <w:bCs/>
          <w:lang w:eastAsia="zh-CN"/>
        </w:rPr>
      </w:pPr>
      <w:r>
        <w:rPr>
          <w:rFonts w:hint="eastAsia"/>
          <w:bCs/>
          <w:lang w:eastAsia="zh-CN"/>
        </w:rPr>
        <w:t xml:space="preserve">17、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14:paraId="29E3674D">
      <w:pPr>
        <w:spacing w:line="360" w:lineRule="auto"/>
        <w:ind w:left="-551" w:leftChars="-289" w:hanging="85" w:hangingChars="39"/>
        <w:rPr>
          <w:szCs w:val="21"/>
          <w:lang w:eastAsia="zh-CN"/>
        </w:rPr>
      </w:pPr>
      <w:r>
        <w:rPr>
          <w:rFonts w:hint="eastAsia"/>
          <w:bCs/>
          <w:lang w:eastAsia="zh-CN"/>
        </w:rPr>
        <w:t>18、</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10678A4A">
      <w:pPr>
        <w:spacing w:line="360" w:lineRule="auto"/>
        <w:ind w:left="-551" w:leftChars="-289" w:hanging="85" w:hangingChars="39"/>
        <w:rPr>
          <w:szCs w:val="21"/>
          <w:lang w:eastAsia="zh-CN"/>
        </w:rPr>
      </w:pPr>
      <w:r>
        <w:rPr>
          <w:rFonts w:hint="eastAsia"/>
          <w:szCs w:val="21"/>
          <w:lang w:eastAsia="zh-CN"/>
        </w:rPr>
        <w:t>19、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r>
        <w:rPr>
          <w:rFonts w:hint="eastAsia" w:ascii="Calibri" w:hAnsi="Calibri"/>
          <w:szCs w:val="21"/>
          <w:lang w:eastAsia="zh-CN"/>
        </w:rPr>
        <w:t>不依法合规处置固体废物，在厂外随意丢弃的，直接解除合同，清除出厂。</w:t>
      </w:r>
    </w:p>
    <w:p w14:paraId="5F0FFA22">
      <w:pPr>
        <w:spacing w:line="360" w:lineRule="auto"/>
        <w:ind w:left="-551" w:leftChars="-289" w:hanging="85" w:hangingChars="39"/>
        <w:rPr>
          <w:sz w:val="24"/>
          <w:lang w:eastAsia="zh-CN"/>
        </w:rPr>
      </w:pPr>
      <w:r>
        <w:rPr>
          <w:rFonts w:hint="eastAsia"/>
          <w:szCs w:val="21"/>
          <w:lang w:eastAsia="zh-CN"/>
        </w:rPr>
        <w:t>20、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3F4D8FB9">
      <w:pPr>
        <w:spacing w:line="360" w:lineRule="auto"/>
        <w:ind w:left="-551" w:leftChars="-289" w:hanging="85" w:hangingChars="39"/>
        <w:rPr>
          <w:bCs/>
          <w:lang w:eastAsia="zh-CN"/>
        </w:rPr>
      </w:pPr>
      <w:r>
        <w:rPr>
          <w:rFonts w:hint="eastAsia"/>
          <w:szCs w:val="21"/>
          <w:lang w:eastAsia="zh-CN"/>
        </w:rPr>
        <w:t xml:space="preserve">21、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73C6774C">
      <w:pPr>
        <w:spacing w:line="360" w:lineRule="auto"/>
        <w:ind w:left="-551" w:leftChars="-289" w:hanging="85" w:hangingChars="39"/>
        <w:rPr>
          <w:szCs w:val="21"/>
          <w:lang w:eastAsia="zh-CN"/>
        </w:rPr>
      </w:pPr>
      <w:r>
        <w:rPr>
          <w:rFonts w:hint="eastAsia"/>
          <w:szCs w:val="21"/>
          <w:lang w:eastAsia="zh-CN"/>
        </w:rPr>
        <w:t>22、承包商与接触职业病危害因素的施工人员订立劳动合同时，应当将工作过程中可能产生的职业病危害及其后果、职业病防护措施和待遇等如实告知施工人员，并在劳动合同中写明，不得隐瞒或者欺骗。</w:t>
      </w:r>
      <w:r>
        <w:rPr>
          <w:rFonts w:hint="eastAsia"/>
          <w:szCs w:val="21"/>
          <w:lang w:eastAsia="zh-CN"/>
        </w:rPr>
        <w:br w:type="textWrapping"/>
      </w:r>
      <w:r>
        <w:rPr>
          <w:rFonts w:hint="eastAsia"/>
          <w:szCs w:val="21"/>
          <w:lang w:eastAsia="zh-CN"/>
        </w:rPr>
        <w:t>23、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r>
        <w:rPr>
          <w:rFonts w:hint="eastAsia"/>
          <w:szCs w:val="21"/>
          <w:lang w:eastAsia="zh-CN"/>
        </w:rPr>
        <w:br w:type="textWrapping"/>
      </w:r>
      <w:r>
        <w:rPr>
          <w:rFonts w:hint="eastAsia"/>
          <w:szCs w:val="21"/>
          <w:lang w:eastAsia="zh-CN"/>
        </w:rPr>
        <w:t>24、承包商应根据各个岗位各种作业时的有害因素制定相应的劳动防护用品配发标准，为施工人员定期配发符合国家规定的相应的劳动防护用品。</w:t>
      </w:r>
      <w:r>
        <w:rPr>
          <w:rFonts w:hint="eastAsia"/>
          <w:szCs w:val="21"/>
          <w:lang w:eastAsia="zh-CN"/>
        </w:rPr>
        <w:br w:type="textWrapping"/>
      </w:r>
      <w:r>
        <w:rPr>
          <w:rFonts w:hint="eastAsia"/>
          <w:szCs w:val="21"/>
          <w:lang w:eastAsia="zh-CN"/>
        </w:rPr>
        <w:t>25、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不安排未经上岗前职业健康检查的施工人员从事接触职业病危害的作业；不安排未成年工和有职业禁忌的施工人员从事其所禁忌的作业。</w:t>
      </w:r>
    </w:p>
    <w:p w14:paraId="580C2C91">
      <w:pPr>
        <w:spacing w:line="360" w:lineRule="auto"/>
        <w:ind w:left="-551" w:leftChars="-289" w:hanging="85" w:hangingChars="39"/>
        <w:rPr>
          <w:szCs w:val="21"/>
          <w:lang w:eastAsia="zh-CN"/>
        </w:rPr>
      </w:pPr>
      <w:r>
        <w:rPr>
          <w:rFonts w:hint="eastAsia"/>
          <w:szCs w:val="21"/>
          <w:lang w:eastAsia="zh-CN"/>
        </w:rPr>
        <w:t>三、违约责任及处理</w:t>
      </w:r>
    </w:p>
    <w:p w14:paraId="1616A3E5">
      <w:pPr>
        <w:spacing w:line="360" w:lineRule="auto"/>
        <w:ind w:left="-551" w:leftChars="-289" w:hanging="85" w:hangingChars="39"/>
        <w:rPr>
          <w:szCs w:val="21"/>
          <w:lang w:eastAsia="zh-CN"/>
        </w:rPr>
      </w:pPr>
      <w:r>
        <w:rPr>
          <w:rFonts w:hint="eastAsia"/>
          <w:szCs w:val="21"/>
          <w:lang w:eastAsia="zh-CN"/>
        </w:rPr>
        <w:t>1、乙方不得转包、违法分包及挂靠等违法行为，若存在违法行为，甲方有权解除合同；未经福海创许可，不得将工程分包。</w:t>
      </w:r>
    </w:p>
    <w:p w14:paraId="38ECA594">
      <w:pPr>
        <w:spacing w:line="360" w:lineRule="auto"/>
        <w:ind w:left="-551" w:leftChars="-289" w:hanging="85" w:hangingChars="39"/>
        <w:rPr>
          <w:szCs w:val="21"/>
          <w:lang w:eastAsia="zh-CN"/>
        </w:rPr>
      </w:pPr>
      <w:r>
        <w:rPr>
          <w:rFonts w:hint="eastAsia"/>
          <w:szCs w:val="21"/>
          <w:lang w:eastAsia="zh-CN"/>
        </w:rPr>
        <w:t>2、发生安全事故时，甲乙双方均有抢险、救灾的义务，所发生的费用由责任方承担。</w:t>
      </w:r>
    </w:p>
    <w:p w14:paraId="47117EA6">
      <w:pPr>
        <w:spacing w:line="360" w:lineRule="auto"/>
        <w:ind w:left="-551" w:leftChars="-289" w:hanging="85" w:hangingChars="39"/>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62F2B9E0">
      <w:pPr>
        <w:spacing w:line="360" w:lineRule="auto"/>
        <w:ind w:left="-551" w:leftChars="-289" w:hanging="85" w:hangingChars="39"/>
        <w:rPr>
          <w:szCs w:val="21"/>
          <w:lang w:eastAsia="zh-CN"/>
        </w:rPr>
      </w:pPr>
      <w:r>
        <w:rPr>
          <w:rFonts w:hint="eastAsia"/>
          <w:szCs w:val="21"/>
          <w:lang w:eastAsia="zh-CN"/>
        </w:rPr>
        <w:t>4、甲方违约造成的事故，甲方承担全部责任，并按规定追究有关人员责任及上报。</w:t>
      </w:r>
    </w:p>
    <w:p w14:paraId="5978F26C">
      <w:pPr>
        <w:spacing w:line="360" w:lineRule="auto"/>
        <w:ind w:left="-551" w:leftChars="-289" w:hanging="85" w:hangingChars="39"/>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14:paraId="4B1585BF">
      <w:pPr>
        <w:spacing w:line="360" w:lineRule="auto"/>
        <w:ind w:left="-551" w:leftChars="-289" w:hanging="85" w:hangingChars="39"/>
        <w:rPr>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2791C6B8">
      <w:pPr>
        <w:spacing w:line="360" w:lineRule="auto"/>
        <w:ind w:left="-551" w:leftChars="-289" w:hanging="85" w:hangingChars="39"/>
        <w:rPr>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14:paraId="5C00A5D8">
      <w:pPr>
        <w:spacing w:line="550" w:lineRule="exact"/>
        <w:ind w:left="-549" w:leftChars="-339" w:hanging="197" w:hangingChars="89"/>
        <w:rPr>
          <w:b/>
          <w:szCs w:val="21"/>
          <w:lang w:eastAsia="zh-CN"/>
        </w:rPr>
      </w:pPr>
      <w:r>
        <w:rPr>
          <w:rFonts w:hint="eastAsia"/>
          <w:b/>
          <w:szCs w:val="21"/>
          <w:lang w:eastAsia="zh-CN"/>
        </w:rPr>
        <w:t>四、 不可抗力：</w:t>
      </w:r>
    </w:p>
    <w:p w14:paraId="5556563E">
      <w:pPr>
        <w:spacing w:line="550" w:lineRule="exact"/>
        <w:ind w:left="-551" w:leftChars="-339" w:hanging="195" w:hangingChars="89"/>
        <w:rPr>
          <w:szCs w:val="21"/>
          <w:lang w:eastAsia="zh-CN"/>
        </w:rPr>
      </w:pPr>
      <w:r>
        <w:rPr>
          <w:rFonts w:hint="eastAsia"/>
          <w:szCs w:val="21"/>
          <w:lang w:eastAsia="zh-CN"/>
        </w:rPr>
        <w:t xml:space="preserve">    由于不可抗力造成合同项目施工作业事故及产生的损失，甲乙双方各自承担相应的损失。</w:t>
      </w:r>
    </w:p>
    <w:p w14:paraId="7B7C9D52">
      <w:pPr>
        <w:spacing w:line="550" w:lineRule="exact"/>
        <w:ind w:left="-549" w:leftChars="-339" w:hanging="197" w:hangingChars="89"/>
        <w:rPr>
          <w:b/>
          <w:szCs w:val="21"/>
          <w:lang w:eastAsia="zh-CN"/>
        </w:rPr>
      </w:pPr>
      <w:r>
        <w:rPr>
          <w:rFonts w:hint="eastAsia"/>
          <w:b/>
          <w:szCs w:val="21"/>
          <w:lang w:eastAsia="zh-CN"/>
        </w:rPr>
        <w:t>五、本协议书一式两份，甲乙双方各执一份。</w:t>
      </w:r>
    </w:p>
    <w:p w14:paraId="77AEAF4A">
      <w:pPr>
        <w:spacing w:line="550" w:lineRule="exact"/>
        <w:ind w:left="-549" w:leftChars="-339" w:hanging="197" w:hangingChars="89"/>
        <w:rPr>
          <w:b/>
          <w:szCs w:val="21"/>
          <w:lang w:eastAsia="zh-CN"/>
        </w:rPr>
      </w:pPr>
      <w:r>
        <w:rPr>
          <w:rFonts w:hint="eastAsia"/>
          <w:b/>
          <w:szCs w:val="21"/>
          <w:lang w:eastAsia="zh-CN"/>
        </w:rPr>
        <w:t>六、本协议书经双方盖章后生效。</w:t>
      </w:r>
    </w:p>
    <w:p w14:paraId="3A74A2FA">
      <w:pPr>
        <w:spacing w:line="550" w:lineRule="exact"/>
        <w:ind w:left="-549" w:leftChars="-339" w:hanging="197" w:hangingChars="89"/>
        <w:rPr>
          <w:b/>
          <w:szCs w:val="21"/>
          <w:lang w:eastAsia="zh-CN"/>
        </w:rPr>
      </w:pPr>
      <w:r>
        <w:rPr>
          <w:rFonts w:hint="eastAsia"/>
          <w:b/>
          <w:szCs w:val="21"/>
          <w:lang w:eastAsia="zh-CN"/>
        </w:rPr>
        <w:t>七、协议期限：</w:t>
      </w:r>
    </w:p>
    <w:p w14:paraId="72050002">
      <w:pPr>
        <w:spacing w:line="550" w:lineRule="exact"/>
        <w:ind w:left="-636" w:leftChars="-289" w:firstLine="110" w:firstLineChars="50"/>
        <w:rPr>
          <w:szCs w:val="21"/>
          <w:lang w:eastAsia="zh-CN"/>
        </w:rPr>
      </w:pPr>
      <w:r>
        <w:rPr>
          <w:rFonts w:hint="eastAsia"/>
          <w:szCs w:val="21"/>
          <w:lang w:eastAsia="zh-CN"/>
        </w:rPr>
        <w:t>本协议期限应与主合同期限一致。如果主合同因故需要变更期限，本合同应与主同变更至相同期限。</w:t>
      </w:r>
    </w:p>
    <w:p w14:paraId="56EB9E1F">
      <w:pPr>
        <w:spacing w:line="360" w:lineRule="auto"/>
        <w:ind w:left="-551" w:leftChars="-289" w:hanging="85" w:hangingChars="39"/>
        <w:rPr>
          <w:szCs w:val="21"/>
        </w:rPr>
      </w:pPr>
      <w:r>
        <w:rPr>
          <w:rFonts w:hint="eastAsia"/>
          <w:szCs w:val="21"/>
        </w:rPr>
        <w:t>（以下无正文）</w:t>
      </w:r>
    </w:p>
    <w:p w14:paraId="1B8374DC">
      <w:pPr>
        <w:spacing w:line="276" w:lineRule="auto"/>
        <w:rPr>
          <w:szCs w:val="21"/>
        </w:rPr>
      </w:pPr>
    </w:p>
    <w:tbl>
      <w:tblPr>
        <w:tblStyle w:val="17"/>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48"/>
        <w:gridCol w:w="5033"/>
      </w:tblGrid>
      <w:tr w14:paraId="75621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9" w:hRule="atLeast"/>
          <w:jc w:val="center"/>
        </w:trPr>
        <w:tc>
          <w:tcPr>
            <w:tcW w:w="4748" w:type="dxa"/>
            <w:vAlign w:val="center"/>
          </w:tcPr>
          <w:p w14:paraId="30D84D01">
            <w:pPr>
              <w:rPr>
                <w:rFonts w:hint="default"/>
                <w:b/>
                <w:bCs/>
                <w:sz w:val="24"/>
                <w:lang w:val="en-US" w:eastAsia="zh-CN"/>
              </w:rPr>
            </w:pPr>
            <w:r>
              <w:rPr>
                <w:rFonts w:hint="eastAsia"/>
                <w:b/>
                <w:bCs/>
                <w:sz w:val="24"/>
                <w:lang w:eastAsia="zh-CN"/>
              </w:rPr>
              <w:t>甲方：</w:t>
            </w:r>
            <w:r>
              <w:rPr>
                <w:rFonts w:hint="eastAsia"/>
                <w:b/>
                <w:bCs/>
                <w:sz w:val="24"/>
                <w:lang w:val="en-US" w:eastAsia="zh-CN"/>
              </w:rPr>
              <w:t>福建福海创石油化工有限公司</w:t>
            </w:r>
          </w:p>
        </w:tc>
        <w:tc>
          <w:tcPr>
            <w:tcW w:w="5033" w:type="dxa"/>
            <w:vAlign w:val="center"/>
          </w:tcPr>
          <w:p w14:paraId="158792C0">
            <w:pPr>
              <w:rPr>
                <w:b/>
                <w:bCs/>
                <w:sz w:val="24"/>
                <w:lang w:eastAsia="zh-CN"/>
              </w:rPr>
            </w:pPr>
            <w:r>
              <w:rPr>
                <w:rFonts w:hint="eastAsia"/>
                <w:b/>
                <w:bCs/>
                <w:sz w:val="24"/>
                <w:lang w:eastAsia="zh-CN"/>
              </w:rPr>
              <w:t>乙方：</w:t>
            </w:r>
          </w:p>
        </w:tc>
      </w:tr>
      <w:tr w14:paraId="4BDF1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7" w:hRule="atLeast"/>
          <w:jc w:val="center"/>
        </w:trPr>
        <w:tc>
          <w:tcPr>
            <w:tcW w:w="4748" w:type="dxa"/>
            <w:vAlign w:val="center"/>
          </w:tcPr>
          <w:p w14:paraId="3BE38290">
            <w:pPr>
              <w:rPr>
                <w:sz w:val="24"/>
                <w:lang w:eastAsia="zh-CN"/>
              </w:rPr>
            </w:pPr>
            <w:r>
              <w:rPr>
                <w:rFonts w:hint="eastAsia"/>
                <w:sz w:val="24"/>
                <w:lang w:eastAsia="zh-CN"/>
              </w:rPr>
              <w:t xml:space="preserve">联系地址： </w:t>
            </w:r>
          </w:p>
        </w:tc>
        <w:tc>
          <w:tcPr>
            <w:tcW w:w="5033" w:type="dxa"/>
            <w:vAlign w:val="center"/>
          </w:tcPr>
          <w:p w14:paraId="55BDB34F">
            <w:pPr>
              <w:rPr>
                <w:sz w:val="24"/>
                <w:lang w:eastAsia="zh-CN"/>
              </w:rPr>
            </w:pPr>
            <w:r>
              <w:rPr>
                <w:rFonts w:hint="eastAsia"/>
                <w:sz w:val="24"/>
                <w:lang w:eastAsia="zh-CN"/>
              </w:rPr>
              <w:t>联系地址：</w:t>
            </w:r>
          </w:p>
        </w:tc>
      </w:tr>
      <w:tr w14:paraId="5106F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4748" w:type="dxa"/>
            <w:vAlign w:val="center"/>
          </w:tcPr>
          <w:p w14:paraId="4D6B33CF">
            <w:pPr>
              <w:rPr>
                <w:sz w:val="24"/>
              </w:rPr>
            </w:pPr>
            <w:r>
              <w:rPr>
                <w:rFonts w:hint="eastAsia"/>
                <w:sz w:val="24"/>
                <w:lang w:eastAsia="zh-CN"/>
              </w:rPr>
              <w:t>电子邮箱:</w:t>
            </w:r>
          </w:p>
        </w:tc>
        <w:tc>
          <w:tcPr>
            <w:tcW w:w="5033" w:type="dxa"/>
            <w:vAlign w:val="center"/>
          </w:tcPr>
          <w:p w14:paraId="7A735712">
            <w:pPr>
              <w:rPr>
                <w:sz w:val="24"/>
                <w:lang w:eastAsia="zh-CN"/>
              </w:rPr>
            </w:pPr>
            <w:r>
              <w:rPr>
                <w:rFonts w:hint="eastAsia"/>
                <w:sz w:val="24"/>
                <w:lang w:eastAsia="zh-CN"/>
              </w:rPr>
              <w:t>电子邮箱：</w:t>
            </w:r>
          </w:p>
        </w:tc>
      </w:tr>
      <w:tr w14:paraId="1EC94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4748" w:type="dxa"/>
            <w:vAlign w:val="center"/>
          </w:tcPr>
          <w:p w14:paraId="332A7AC2">
            <w:pPr>
              <w:rPr>
                <w:sz w:val="24"/>
              </w:rPr>
            </w:pPr>
            <w:r>
              <w:rPr>
                <w:rFonts w:hint="eastAsia"/>
                <w:sz w:val="24"/>
                <w:lang w:eastAsia="zh-CN"/>
              </w:rPr>
              <w:t xml:space="preserve">授权委托人： </w:t>
            </w:r>
          </w:p>
        </w:tc>
        <w:tc>
          <w:tcPr>
            <w:tcW w:w="5033" w:type="dxa"/>
            <w:vAlign w:val="center"/>
          </w:tcPr>
          <w:p w14:paraId="003414CC">
            <w:pPr>
              <w:rPr>
                <w:sz w:val="24"/>
                <w:lang w:eastAsia="zh-CN"/>
              </w:rPr>
            </w:pPr>
            <w:r>
              <w:rPr>
                <w:rFonts w:hint="eastAsia"/>
                <w:sz w:val="24"/>
                <w:lang w:eastAsia="zh-CN"/>
              </w:rPr>
              <w:t>委托代理人：</w:t>
            </w:r>
          </w:p>
        </w:tc>
      </w:tr>
      <w:tr w14:paraId="6DFBB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jc w:val="center"/>
        </w:trPr>
        <w:tc>
          <w:tcPr>
            <w:tcW w:w="4748" w:type="dxa"/>
            <w:vAlign w:val="center"/>
          </w:tcPr>
          <w:p w14:paraId="5EC2F7F2">
            <w:pPr>
              <w:rPr>
                <w:sz w:val="24"/>
              </w:rPr>
            </w:pPr>
            <w:r>
              <w:rPr>
                <w:rFonts w:hint="eastAsia"/>
                <w:sz w:val="24"/>
                <w:lang w:eastAsia="zh-CN"/>
              </w:rPr>
              <w:t>联系电话：</w:t>
            </w:r>
          </w:p>
        </w:tc>
        <w:tc>
          <w:tcPr>
            <w:tcW w:w="5033" w:type="dxa"/>
            <w:vAlign w:val="center"/>
          </w:tcPr>
          <w:p w14:paraId="53416400">
            <w:pPr>
              <w:rPr>
                <w:sz w:val="24"/>
                <w:lang w:eastAsia="zh-CN"/>
              </w:rPr>
            </w:pPr>
            <w:r>
              <w:rPr>
                <w:rFonts w:hint="eastAsia"/>
                <w:sz w:val="24"/>
                <w:lang w:val="en-US" w:eastAsia="zh-CN"/>
              </w:rPr>
              <w:t>联系</w:t>
            </w:r>
            <w:r>
              <w:rPr>
                <w:rFonts w:hint="eastAsia"/>
                <w:sz w:val="24"/>
                <w:lang w:eastAsia="zh-CN"/>
              </w:rPr>
              <w:t>电话：</w:t>
            </w:r>
          </w:p>
        </w:tc>
      </w:tr>
    </w:tbl>
    <w:p w14:paraId="6BB962B0">
      <w:pPr>
        <w:rPr>
          <w:szCs w:val="32"/>
        </w:rPr>
      </w:pPr>
    </w:p>
    <w:p w14:paraId="661D6E8A">
      <w:pPr>
        <w:spacing w:line="276" w:lineRule="auto"/>
        <w:ind w:left="-551" w:leftChars="-339" w:hanging="195" w:hangingChars="89"/>
        <w:rPr>
          <w:szCs w:val="21"/>
        </w:rPr>
      </w:pPr>
      <w:r>
        <w:rPr>
          <w:rFonts w:hint="eastAsia"/>
          <w:szCs w:val="21"/>
        </w:rPr>
        <w:t>签定日期：</w:t>
      </w:r>
      <w:r>
        <w:rPr>
          <w:rFonts w:hint="eastAsia"/>
          <w:szCs w:val="21"/>
          <w:lang w:eastAsia="zh-CN"/>
        </w:rPr>
        <w:t>202</w:t>
      </w:r>
      <w:r>
        <w:rPr>
          <w:rFonts w:hint="eastAsia"/>
          <w:szCs w:val="21"/>
          <w:lang w:val="en-US" w:eastAsia="zh-CN"/>
        </w:rPr>
        <w:t>5</w:t>
      </w:r>
      <w:r>
        <w:rPr>
          <w:rFonts w:hint="eastAsia"/>
          <w:szCs w:val="21"/>
          <w:lang w:eastAsia="zh-CN"/>
        </w:rPr>
        <w:t>年</w:t>
      </w:r>
      <w:r>
        <w:rPr>
          <w:rFonts w:hint="eastAsia"/>
          <w:szCs w:val="21"/>
          <w:lang w:val="en-US" w:eastAsia="zh-CN"/>
        </w:rPr>
        <w:t xml:space="preserve">  </w:t>
      </w:r>
      <w:r>
        <w:rPr>
          <w:rFonts w:hint="eastAsia"/>
          <w:szCs w:val="21"/>
        </w:rPr>
        <w:t>月</w:t>
      </w:r>
      <w:r>
        <w:rPr>
          <w:rFonts w:hint="eastAsia"/>
          <w:szCs w:val="21"/>
          <w:lang w:val="en-US" w:eastAsia="zh-CN"/>
        </w:rPr>
        <w:t xml:space="preserve">  </w:t>
      </w:r>
      <w:r>
        <w:rPr>
          <w:rFonts w:hint="eastAsia"/>
          <w:szCs w:val="21"/>
        </w:rPr>
        <w:t xml:space="preserve">日                  </w:t>
      </w:r>
    </w:p>
    <w:p w14:paraId="5472A455">
      <w:pPr>
        <w:rPr>
          <w:szCs w:val="32"/>
        </w:rPr>
      </w:pPr>
    </w:p>
    <w:p w14:paraId="02125A46">
      <w:pPr>
        <w:pStyle w:val="21"/>
        <w:rPr>
          <w:rFonts w:hint="eastAsia" w:ascii="宋体" w:hAnsi="宋体" w:eastAsia="宋体" w:cs="宋体"/>
          <w:b/>
          <w:sz w:val="30"/>
          <w:szCs w:val="30"/>
          <w:lang w:val="en-US" w:eastAsia="zh-CN" w:bidi="ar-SA"/>
        </w:rPr>
      </w:pPr>
    </w:p>
    <w:p w14:paraId="4BE8C2CB">
      <w:pPr>
        <w:pStyle w:val="21"/>
        <w:rPr>
          <w:rFonts w:hint="eastAsia" w:ascii="宋体" w:hAnsi="宋体" w:eastAsia="宋体" w:cs="宋体"/>
          <w:b/>
          <w:sz w:val="30"/>
          <w:szCs w:val="30"/>
          <w:lang w:val="en-US" w:eastAsia="zh-CN" w:bidi="ar-SA"/>
        </w:rPr>
      </w:pPr>
    </w:p>
    <w:p w14:paraId="2B3FF7D7">
      <w:pPr>
        <w:pStyle w:val="21"/>
        <w:rPr>
          <w:rFonts w:hint="eastAsia" w:ascii="宋体" w:hAnsi="宋体" w:eastAsia="宋体" w:cs="宋体"/>
          <w:b/>
          <w:sz w:val="30"/>
          <w:szCs w:val="30"/>
          <w:lang w:val="en-US" w:eastAsia="zh-CN" w:bidi="ar-SA"/>
        </w:rPr>
      </w:pPr>
    </w:p>
    <w:p w14:paraId="564BFEED">
      <w:pPr>
        <w:pStyle w:val="21"/>
        <w:rPr>
          <w:rFonts w:hint="eastAsia" w:ascii="宋体" w:hAnsi="宋体" w:eastAsia="宋体" w:cs="宋体"/>
          <w:b/>
          <w:sz w:val="30"/>
          <w:szCs w:val="30"/>
          <w:lang w:val="en-US" w:eastAsia="zh-CN" w:bidi="ar-SA"/>
        </w:rPr>
      </w:pPr>
    </w:p>
    <w:p w14:paraId="6F4285DC">
      <w:pPr>
        <w:pStyle w:val="21"/>
        <w:rPr>
          <w:rFonts w:hint="eastAsia" w:ascii="宋体" w:hAnsi="宋体" w:eastAsia="宋体" w:cs="宋体"/>
          <w:b/>
          <w:sz w:val="30"/>
          <w:szCs w:val="30"/>
          <w:lang w:val="en-US" w:eastAsia="zh-CN" w:bidi="ar-SA"/>
        </w:rPr>
      </w:pPr>
    </w:p>
    <w:p w14:paraId="59CDB898">
      <w:pPr>
        <w:pStyle w:val="21"/>
        <w:rPr>
          <w:rFonts w:hint="eastAsia" w:ascii="宋体" w:hAnsi="宋体" w:eastAsia="宋体" w:cs="宋体"/>
          <w:b/>
          <w:sz w:val="30"/>
          <w:szCs w:val="30"/>
          <w:lang w:val="en-US" w:eastAsia="zh-CN" w:bidi="ar-SA"/>
        </w:rPr>
      </w:pPr>
    </w:p>
    <w:p w14:paraId="18BCA4FE">
      <w:pPr>
        <w:pStyle w:val="21"/>
        <w:rPr>
          <w:rFonts w:hint="eastAsia" w:ascii="宋体" w:hAnsi="宋体" w:eastAsia="宋体" w:cs="宋体"/>
          <w:b/>
          <w:sz w:val="30"/>
          <w:szCs w:val="30"/>
          <w:lang w:val="en-US" w:eastAsia="zh-CN" w:bidi="ar-SA"/>
        </w:rPr>
      </w:pPr>
    </w:p>
    <w:p w14:paraId="1909887E">
      <w:pPr>
        <w:pStyle w:val="21"/>
        <w:rPr>
          <w:rFonts w:hint="eastAsia" w:ascii="宋体" w:hAnsi="宋体" w:eastAsia="宋体" w:cs="宋体"/>
          <w:b/>
          <w:sz w:val="30"/>
          <w:szCs w:val="30"/>
          <w:lang w:val="en-US" w:eastAsia="zh-CN" w:bidi="ar-SA"/>
        </w:rPr>
      </w:pPr>
    </w:p>
    <w:p w14:paraId="0DCA01EB">
      <w:pPr>
        <w:pStyle w:val="21"/>
        <w:rPr>
          <w:rFonts w:hint="eastAsia" w:ascii="宋体" w:hAnsi="宋体" w:eastAsia="宋体" w:cs="宋体"/>
          <w:b/>
          <w:sz w:val="30"/>
          <w:szCs w:val="30"/>
          <w:lang w:val="en-US" w:eastAsia="zh-CN" w:bidi="ar-SA"/>
        </w:rPr>
      </w:pPr>
    </w:p>
    <w:p w14:paraId="339EB8BF">
      <w:pPr>
        <w:pStyle w:val="21"/>
        <w:rPr>
          <w:rFonts w:hint="eastAsia" w:ascii="宋体" w:hAnsi="宋体" w:eastAsia="宋体" w:cs="宋体"/>
          <w:b/>
          <w:sz w:val="30"/>
          <w:szCs w:val="30"/>
          <w:lang w:val="en-US" w:eastAsia="zh-CN" w:bidi="ar-SA"/>
        </w:rPr>
      </w:pPr>
    </w:p>
    <w:p w14:paraId="553737B3">
      <w:pPr>
        <w:pStyle w:val="21"/>
        <w:rPr>
          <w:rFonts w:hint="eastAsia" w:ascii="宋体" w:hAnsi="宋体" w:eastAsia="宋体" w:cs="宋体"/>
          <w:b/>
          <w:sz w:val="30"/>
          <w:szCs w:val="30"/>
          <w:lang w:val="en-US" w:eastAsia="zh-CN" w:bidi="ar-SA"/>
        </w:rPr>
      </w:pPr>
    </w:p>
    <w:p w14:paraId="0DBBDC57">
      <w:pPr>
        <w:pStyle w:val="21"/>
        <w:rPr>
          <w:rFonts w:hint="eastAsia" w:ascii="宋体" w:hAnsi="宋体" w:eastAsia="宋体" w:cs="宋体"/>
          <w:b/>
          <w:sz w:val="30"/>
          <w:szCs w:val="30"/>
          <w:lang w:val="en-US" w:eastAsia="zh-CN" w:bidi="ar-SA"/>
        </w:rPr>
      </w:pPr>
    </w:p>
    <w:p w14:paraId="43E83294">
      <w:pPr>
        <w:pStyle w:val="21"/>
        <w:rPr>
          <w:rFonts w:hint="eastAsia" w:ascii="宋体" w:hAnsi="宋体" w:eastAsia="宋体" w:cs="宋体"/>
          <w:b/>
          <w:sz w:val="30"/>
          <w:szCs w:val="30"/>
          <w:lang w:val="en-US" w:eastAsia="zh-CN" w:bidi="ar-SA"/>
        </w:rPr>
      </w:pPr>
    </w:p>
    <w:p w14:paraId="7061F972">
      <w:pPr>
        <w:pStyle w:val="21"/>
        <w:rPr>
          <w:rFonts w:hint="eastAsia" w:ascii="宋体" w:hAnsi="宋体" w:eastAsia="宋体" w:cs="宋体"/>
          <w:b/>
          <w:sz w:val="30"/>
          <w:szCs w:val="30"/>
          <w:lang w:val="en-US" w:eastAsia="zh-CN" w:bidi="ar-SA"/>
        </w:rPr>
      </w:pPr>
      <w:r>
        <w:rPr>
          <w:rFonts w:hint="eastAsia" w:ascii="宋体" w:hAnsi="宋体" w:eastAsia="宋体" w:cs="宋体"/>
          <w:b/>
          <w:sz w:val="30"/>
          <w:szCs w:val="30"/>
          <w:lang w:val="en-US" w:eastAsia="zh-CN" w:bidi="ar-SA"/>
        </w:rPr>
        <w:t>附件二、参比文件范本</w:t>
      </w:r>
    </w:p>
    <w:p w14:paraId="41ADC26D">
      <w:pPr>
        <w:pStyle w:val="9"/>
        <w:jc w:val="center"/>
        <w:rPr>
          <w:rFonts w:hint="eastAsia" w:ascii="宋体" w:hAnsi="宋体" w:eastAsia="宋体" w:cs="宋体"/>
          <w:b/>
          <w:sz w:val="52"/>
          <w:szCs w:val="52"/>
          <w:lang w:eastAsia="zh-CN"/>
        </w:rPr>
      </w:pPr>
    </w:p>
    <w:p w14:paraId="2CBD0752">
      <w:pPr>
        <w:pStyle w:val="9"/>
        <w:spacing w:line="615" w:lineRule="exact"/>
        <w:jc w:val="center"/>
        <w:rPr>
          <w:rFonts w:hint="eastAsia" w:ascii="宋体" w:hAnsi="宋体" w:eastAsia="宋体" w:cs="宋体"/>
          <w:b/>
          <w:sz w:val="44"/>
          <w:szCs w:val="44"/>
          <w:lang w:eastAsia="zh-CN"/>
        </w:rPr>
      </w:pPr>
      <w:r>
        <w:rPr>
          <w:rFonts w:hint="eastAsia" w:ascii="宋体" w:hAnsi="宋体" w:eastAsia="宋体" w:cs="宋体"/>
          <w:b/>
          <w:sz w:val="44"/>
          <w:szCs w:val="44"/>
          <w:lang w:eastAsia="zh-CN"/>
        </w:rPr>
        <w:t>福建福海创石油化工有限公司</w:t>
      </w:r>
    </w:p>
    <w:p w14:paraId="5B59DECF">
      <w:pPr>
        <w:spacing w:line="1000" w:lineRule="exact"/>
        <w:jc w:val="center"/>
        <w:rPr>
          <w:rFonts w:hint="eastAsia" w:ascii="宋体" w:hAnsi="宋体" w:eastAsia="宋体" w:cs="宋体"/>
          <w:b/>
          <w:sz w:val="44"/>
          <w:szCs w:val="44"/>
          <w:lang w:eastAsia="zh-CN"/>
        </w:rPr>
      </w:pPr>
      <w:r>
        <w:rPr>
          <w:rFonts w:hint="eastAsia" w:cs="宋体"/>
          <w:b/>
          <w:color w:val="FF0000"/>
          <w:sz w:val="44"/>
          <w:szCs w:val="44"/>
          <w:lang w:eastAsia="zh-CN"/>
        </w:rPr>
        <w:t>机电离线监测设备采购与安装项目</w:t>
      </w:r>
      <w:r>
        <w:rPr>
          <w:rFonts w:hint="eastAsia" w:ascii="宋体" w:hAnsi="宋体" w:eastAsia="宋体" w:cs="宋体"/>
          <w:b/>
          <w:sz w:val="44"/>
          <w:szCs w:val="44"/>
          <w:lang w:eastAsia="zh-CN"/>
        </w:rPr>
        <w:t>参比文件</w:t>
      </w:r>
    </w:p>
    <w:p w14:paraId="799DB0BF">
      <w:pPr>
        <w:pStyle w:val="21"/>
        <w:rPr>
          <w:rFonts w:hint="eastAsia" w:ascii="宋体" w:hAnsi="宋体" w:eastAsia="宋体" w:cs="宋体"/>
        </w:rPr>
      </w:pPr>
    </w:p>
    <w:p w14:paraId="66430289">
      <w:pPr>
        <w:pStyle w:val="9"/>
        <w:rPr>
          <w:rFonts w:hint="eastAsia" w:ascii="宋体" w:hAnsi="宋体" w:eastAsia="宋体" w:cs="宋体"/>
          <w:lang w:eastAsia="zh-CN"/>
        </w:rPr>
      </w:pPr>
    </w:p>
    <w:p w14:paraId="303A44C3">
      <w:pPr>
        <w:pStyle w:val="9"/>
        <w:rPr>
          <w:rFonts w:hint="eastAsia" w:ascii="宋体" w:hAnsi="宋体" w:eastAsia="宋体" w:cs="宋体"/>
          <w:lang w:eastAsia="zh-CN"/>
        </w:rPr>
      </w:pPr>
    </w:p>
    <w:p w14:paraId="559558BB">
      <w:pPr>
        <w:pStyle w:val="9"/>
        <w:rPr>
          <w:rFonts w:hint="eastAsia" w:ascii="宋体" w:hAnsi="宋体" w:eastAsia="宋体" w:cs="宋体"/>
          <w:lang w:eastAsia="zh-CN"/>
        </w:rPr>
      </w:pPr>
    </w:p>
    <w:p w14:paraId="35D9A259">
      <w:pPr>
        <w:pStyle w:val="9"/>
        <w:rPr>
          <w:rFonts w:hint="eastAsia" w:ascii="宋体" w:hAnsi="宋体" w:eastAsia="宋体" w:cs="宋体"/>
          <w:lang w:eastAsia="zh-CN"/>
        </w:rPr>
      </w:pPr>
    </w:p>
    <w:p w14:paraId="0CC5A5D1">
      <w:pPr>
        <w:pStyle w:val="9"/>
        <w:rPr>
          <w:rFonts w:hint="eastAsia" w:ascii="宋体" w:hAnsi="宋体" w:eastAsia="宋体" w:cs="宋体"/>
          <w:lang w:eastAsia="zh-CN"/>
        </w:rPr>
      </w:pPr>
    </w:p>
    <w:p w14:paraId="5C6052BA">
      <w:pPr>
        <w:pStyle w:val="9"/>
        <w:rPr>
          <w:rFonts w:hint="eastAsia" w:ascii="宋体" w:hAnsi="宋体" w:eastAsia="宋体" w:cs="宋体"/>
          <w:b/>
          <w:bCs/>
          <w:sz w:val="32"/>
          <w:szCs w:val="32"/>
          <w:lang w:eastAsia="zh-CN"/>
        </w:rPr>
      </w:pPr>
    </w:p>
    <w:p w14:paraId="59C232A5">
      <w:pPr>
        <w:pStyle w:val="9"/>
        <w:rPr>
          <w:rFonts w:hint="eastAsia" w:ascii="宋体" w:hAnsi="宋体" w:eastAsia="宋体" w:cs="宋体"/>
          <w:b/>
          <w:bCs/>
          <w:sz w:val="32"/>
          <w:szCs w:val="32"/>
          <w:lang w:eastAsia="zh-CN"/>
        </w:rPr>
      </w:pPr>
    </w:p>
    <w:p w14:paraId="402D501D">
      <w:pPr>
        <w:pStyle w:val="9"/>
        <w:rPr>
          <w:rFonts w:hint="eastAsia" w:ascii="宋体" w:hAnsi="宋体" w:eastAsia="宋体" w:cs="宋体"/>
          <w:b/>
          <w:bCs/>
          <w:sz w:val="32"/>
          <w:szCs w:val="32"/>
          <w:lang w:eastAsia="zh-CN"/>
        </w:rPr>
      </w:pPr>
    </w:p>
    <w:p w14:paraId="1224C0F5">
      <w:pPr>
        <w:pStyle w:val="9"/>
        <w:rPr>
          <w:rFonts w:hint="eastAsia" w:ascii="宋体" w:hAnsi="宋体" w:eastAsia="宋体" w:cs="宋体"/>
          <w:b/>
          <w:bCs/>
          <w:sz w:val="32"/>
          <w:szCs w:val="36"/>
          <w:lang w:eastAsia="zh-CN"/>
        </w:rPr>
      </w:pPr>
    </w:p>
    <w:p w14:paraId="179B654D">
      <w:pPr>
        <w:pStyle w:val="9"/>
        <w:jc w:val="center"/>
        <w:rPr>
          <w:rFonts w:hint="eastAsia" w:ascii="宋体" w:hAnsi="宋体" w:eastAsia="宋体" w:cs="宋体"/>
          <w:b/>
          <w:bCs/>
          <w:sz w:val="32"/>
          <w:szCs w:val="32"/>
          <w:lang w:eastAsia="zh-CN"/>
        </w:rPr>
      </w:pPr>
      <w:r>
        <w:rPr>
          <w:rFonts w:hint="eastAsia" w:ascii="宋体" w:hAnsi="宋体" w:eastAsia="宋体" w:cs="宋体"/>
          <w:b/>
          <w:bCs/>
          <w:w w:val="95"/>
          <w:sz w:val="32"/>
          <w:szCs w:val="32"/>
          <w:lang w:eastAsia="zh-CN"/>
        </w:rPr>
        <w:t>参比人：</w:t>
      </w:r>
      <w:r>
        <w:rPr>
          <w:rFonts w:hint="eastAsia" w:ascii="宋体" w:hAnsi="宋体" w:eastAsia="宋体" w:cs="宋体"/>
          <w:b/>
          <w:bCs/>
          <w:i/>
          <w:iCs/>
          <w:color w:val="C00000"/>
          <w:sz w:val="32"/>
          <w:szCs w:val="32"/>
          <w:lang w:eastAsia="zh-CN"/>
        </w:rPr>
        <w:t xml:space="preserve"> </w:t>
      </w:r>
      <w:r>
        <w:rPr>
          <w:rFonts w:hint="eastAsia" w:ascii="宋体" w:hAnsi="宋体" w:eastAsia="宋体" w:cs="宋体"/>
          <w:b/>
          <w:bCs/>
          <w:i/>
          <w:iCs/>
          <w:color w:val="C00000"/>
          <w:sz w:val="32"/>
          <w:szCs w:val="32"/>
          <w:u w:val="single"/>
          <w:lang w:eastAsia="zh-CN"/>
        </w:rPr>
        <w:t>（打印时请取消下划线）</w:t>
      </w:r>
      <w:r>
        <w:rPr>
          <w:rFonts w:hint="eastAsia" w:ascii="宋体" w:hAnsi="宋体" w:eastAsia="宋体" w:cs="宋体"/>
          <w:b/>
          <w:bCs/>
          <w:sz w:val="32"/>
          <w:szCs w:val="32"/>
          <w:lang w:eastAsia="zh-CN"/>
        </w:rPr>
        <w:t>有限公司</w:t>
      </w:r>
    </w:p>
    <w:p w14:paraId="76734556">
      <w:pPr>
        <w:pStyle w:val="9"/>
        <w:jc w:val="center"/>
        <w:rPr>
          <w:rFonts w:hint="eastAsia" w:ascii="宋体" w:hAnsi="宋体" w:eastAsia="宋体" w:cs="宋体"/>
          <w:b/>
          <w:bCs/>
          <w:color w:val="FF0000"/>
          <w:w w:val="95"/>
          <w:sz w:val="32"/>
          <w:lang w:eastAsia="zh-CN"/>
        </w:rPr>
      </w:pPr>
      <w:r>
        <w:rPr>
          <w:rFonts w:hint="eastAsia" w:ascii="宋体" w:hAnsi="宋体" w:eastAsia="宋体" w:cs="宋体"/>
          <w:b/>
          <w:bCs/>
          <w:color w:val="FF0000"/>
          <w:w w:val="95"/>
          <w:sz w:val="32"/>
          <w:lang w:eastAsia="zh-CN"/>
        </w:rPr>
        <w:t xml:space="preserve"> 2025年 月</w:t>
      </w:r>
    </w:p>
    <w:p w14:paraId="26B5AD43">
      <w:pPr>
        <w:rPr>
          <w:rFonts w:hint="eastAsia" w:ascii="宋体" w:hAnsi="宋体" w:eastAsia="宋体" w:cs="宋体"/>
          <w:lang w:eastAsia="zh-CN"/>
        </w:rPr>
      </w:pPr>
    </w:p>
    <w:p w14:paraId="066019F2">
      <w:pPr>
        <w:pStyle w:val="21"/>
        <w:rPr>
          <w:rFonts w:hint="eastAsia" w:ascii="宋体" w:hAnsi="宋体" w:eastAsia="宋体" w:cs="宋体"/>
        </w:rPr>
      </w:pPr>
    </w:p>
    <w:p w14:paraId="1B40AA16">
      <w:pPr>
        <w:pStyle w:val="21"/>
        <w:rPr>
          <w:rFonts w:hint="eastAsia" w:ascii="宋体" w:hAnsi="宋体" w:eastAsia="宋体" w:cs="宋体"/>
        </w:rPr>
      </w:pPr>
    </w:p>
    <w:p w14:paraId="62CE8FE6">
      <w:pPr>
        <w:pStyle w:val="21"/>
        <w:rPr>
          <w:rFonts w:hint="eastAsia" w:ascii="宋体" w:hAnsi="宋体" w:eastAsia="宋体" w:cs="宋体"/>
        </w:rPr>
      </w:pPr>
    </w:p>
    <w:p w14:paraId="72182172">
      <w:pPr>
        <w:pStyle w:val="21"/>
        <w:rPr>
          <w:rFonts w:hint="eastAsia" w:ascii="宋体" w:hAnsi="宋体" w:eastAsia="宋体" w:cs="宋体"/>
        </w:rPr>
      </w:pPr>
    </w:p>
    <w:p w14:paraId="4AA21FD5">
      <w:pPr>
        <w:pStyle w:val="21"/>
        <w:rPr>
          <w:rFonts w:hint="eastAsia" w:ascii="宋体" w:hAnsi="宋体" w:eastAsia="宋体" w:cs="宋体"/>
        </w:rPr>
      </w:pPr>
    </w:p>
    <w:p w14:paraId="4068E097">
      <w:pPr>
        <w:pStyle w:val="21"/>
        <w:rPr>
          <w:rFonts w:hint="eastAsia" w:ascii="宋体" w:hAnsi="宋体" w:eastAsia="宋体" w:cs="宋体"/>
        </w:rPr>
      </w:pPr>
    </w:p>
    <w:p w14:paraId="46D2DC26">
      <w:pPr>
        <w:pStyle w:val="21"/>
        <w:rPr>
          <w:rFonts w:hint="eastAsia" w:ascii="宋体" w:hAnsi="宋体" w:eastAsia="宋体" w:cs="宋体"/>
        </w:rPr>
      </w:pPr>
    </w:p>
    <w:p w14:paraId="0517CDBC">
      <w:pPr>
        <w:pStyle w:val="21"/>
        <w:rPr>
          <w:rFonts w:hint="eastAsia" w:ascii="宋体" w:hAnsi="宋体" w:eastAsia="宋体" w:cs="宋体"/>
        </w:rPr>
      </w:pPr>
    </w:p>
    <w:p w14:paraId="3062721C">
      <w:pPr>
        <w:spacing w:line="1000" w:lineRule="exact"/>
        <w:jc w:val="center"/>
        <w:rPr>
          <w:rFonts w:hint="eastAsia" w:ascii="宋体" w:hAnsi="宋体" w:eastAsia="宋体" w:cs="宋体"/>
          <w:b/>
          <w:i/>
          <w:iCs/>
          <w:color w:val="C00000"/>
          <w:sz w:val="44"/>
          <w:szCs w:val="44"/>
          <w:lang w:eastAsia="zh-CN"/>
        </w:rPr>
      </w:pPr>
      <w:r>
        <w:rPr>
          <w:rFonts w:hint="eastAsia" w:ascii="宋体" w:hAnsi="宋体" w:eastAsia="宋体" w:cs="宋体"/>
          <w:b/>
          <w:i/>
          <w:iCs/>
          <w:color w:val="C00000"/>
          <w:sz w:val="44"/>
          <w:szCs w:val="44"/>
          <w:lang w:eastAsia="zh-CN"/>
        </w:rPr>
        <w:t>参比文件编写说明</w:t>
      </w:r>
    </w:p>
    <w:p w14:paraId="211A143E">
      <w:pPr>
        <w:spacing w:line="1000" w:lineRule="exact"/>
        <w:jc w:val="center"/>
        <w:rPr>
          <w:rFonts w:hint="eastAsia" w:ascii="宋体" w:hAnsi="宋体" w:eastAsia="宋体" w:cs="宋体"/>
          <w:b/>
          <w:i/>
          <w:iCs/>
          <w:color w:val="C00000"/>
          <w:sz w:val="44"/>
          <w:szCs w:val="44"/>
          <w:u w:val="double"/>
          <w:lang w:eastAsia="zh-CN"/>
        </w:rPr>
      </w:pPr>
      <w:r>
        <w:rPr>
          <w:rFonts w:hint="eastAsia" w:ascii="宋体" w:hAnsi="宋体" w:eastAsia="宋体" w:cs="宋体"/>
          <w:b/>
          <w:i/>
          <w:iCs/>
          <w:color w:val="C00000"/>
          <w:sz w:val="44"/>
          <w:szCs w:val="44"/>
          <w:u w:val="double"/>
          <w:lang w:eastAsia="zh-CN"/>
        </w:rPr>
        <w:t>（本页无须打印）</w:t>
      </w:r>
    </w:p>
    <w:p w14:paraId="0B05338D">
      <w:pPr>
        <w:pStyle w:val="23"/>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1．参比人应按规定，向采购人递交参比文件，正本一份、副本一份，当正本与副本有不一致时，以正本为准。</w:t>
      </w:r>
    </w:p>
    <w:p w14:paraId="3DBDDB7A">
      <w:pPr>
        <w:pStyle w:val="23"/>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2.所有纸质文件采用A4纸胶装、平装。所有参比文件应增加统一外层包封。</w:t>
      </w:r>
    </w:p>
    <w:p w14:paraId="304AD512">
      <w:pPr>
        <w:pStyle w:val="23"/>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3.提交参比文件时提供两个包装，商务参比文件（报价单）一个包装、技术参比文件一个包装,封口处均需加盖骑缝章。商务参比文件和技术参比文件盖章扫描PDF版本（需有相应页码）电子拷贝一份（随商务参比文件包装）。</w:t>
      </w:r>
    </w:p>
    <w:p w14:paraId="40CFF7BF">
      <w:pPr>
        <w:pStyle w:val="23"/>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4.凡因参比文件不按规定填写，或填写不清晰、不完整、或密封不合要求而引起的一切后果，由参比人自行负责。</w:t>
      </w:r>
    </w:p>
    <w:p w14:paraId="7988D46B">
      <w:pPr>
        <w:pStyle w:val="23"/>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5.参比文件正本必须逐页或骑缝加盖参比人公章或由法人代表或法人代表授权人逐页签字方视为有效，同时应注明提交日期，否则视为废标。</w:t>
      </w:r>
    </w:p>
    <w:p w14:paraId="110FF19E">
      <w:pPr>
        <w:pStyle w:val="23"/>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6.在外层包封上应写明参比人的名称与地址、邮政编码，以便参审出现逾期送达时能原封退回。具体样式如下：</w:t>
      </w:r>
    </w:p>
    <w:p w14:paraId="2476B54A">
      <w:pPr>
        <w:rPr>
          <w:rFonts w:hint="eastAsia" w:ascii="宋体" w:hAnsi="宋体" w:eastAsia="宋体" w:cs="宋体"/>
          <w:sz w:val="28"/>
          <w:szCs w:val="28"/>
          <w:lang w:eastAsia="zh-CN"/>
        </w:rPr>
      </w:pPr>
      <w:r>
        <w:rPr>
          <w:rFonts w:hint="eastAsia" w:ascii="宋体" w:hAnsi="宋体" w:eastAsia="宋体" w:cs="宋体"/>
          <w:sz w:val="28"/>
          <w:szCs w:val="28"/>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14:paraId="181CF35C">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A3CD283">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08A2979B">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分（北京时间）（开标时间）前不得开封此文件</w:t>
                            </w:r>
                          </w:p>
                          <w:p w14:paraId="784EBD5C">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575E37F4">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25C9927C">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573C6675">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TYZZ8SAIAAJYEAAAOAAAAAAAA&#10;AAEAIAAAACYBAABkcnMvZTJvRG9jLnhtbFBLBQYAAAAABgAGAFkBAADgBQAAAAA=&#10;">
                <v:fill on="t" focussize="0,0"/>
                <v:stroke color="#000000" miterlimit="8" joinstyle="miter"/>
                <v:imagedata o:title=""/>
                <o:lock v:ext="edit" aspectratio="f"/>
                <v:textbox>
                  <w:txbxContent>
                    <w:p w14:paraId="181CF35C">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A3CD283">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08A2979B">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分（北京时间）（开标时间）前不得开封此文件</w:t>
                      </w:r>
                    </w:p>
                    <w:p w14:paraId="784EBD5C">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575E37F4">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25C9927C">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573C6675">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mc:Fallback>
        </mc:AlternateContent>
      </w:r>
    </w:p>
    <w:p w14:paraId="6FDDF02B">
      <w:pPr>
        <w:rPr>
          <w:rFonts w:hint="eastAsia" w:ascii="宋体" w:hAnsi="宋体" w:eastAsia="宋体" w:cs="宋体"/>
          <w:sz w:val="28"/>
          <w:szCs w:val="28"/>
          <w:lang w:eastAsia="zh-CN"/>
        </w:rPr>
      </w:pPr>
    </w:p>
    <w:p w14:paraId="13E70A2B">
      <w:pPr>
        <w:rPr>
          <w:rFonts w:hint="eastAsia" w:ascii="宋体" w:hAnsi="宋体" w:eastAsia="宋体" w:cs="宋体"/>
          <w:sz w:val="28"/>
          <w:szCs w:val="28"/>
          <w:lang w:eastAsia="zh-CN"/>
        </w:rPr>
      </w:pPr>
    </w:p>
    <w:p w14:paraId="50AA526F">
      <w:pPr>
        <w:rPr>
          <w:rFonts w:hint="eastAsia" w:ascii="宋体" w:hAnsi="宋体" w:eastAsia="宋体" w:cs="宋体"/>
          <w:sz w:val="28"/>
          <w:szCs w:val="28"/>
          <w:lang w:eastAsia="zh-CN"/>
        </w:rPr>
      </w:pPr>
    </w:p>
    <w:p w14:paraId="50CA8ADD">
      <w:pPr>
        <w:pStyle w:val="23"/>
        <w:spacing w:beforeLines="0" w:afterLines="0" w:line="240" w:lineRule="auto"/>
        <w:ind w:firstLine="0" w:firstLineChars="0"/>
        <w:rPr>
          <w:rFonts w:hint="eastAsia" w:ascii="宋体" w:hAnsi="宋体" w:eastAsia="宋体" w:cs="宋体"/>
          <w:bCs w:val="0"/>
          <w:color w:val="C00000"/>
          <w:lang w:eastAsia="zh-CN"/>
        </w:rPr>
      </w:pPr>
    </w:p>
    <w:p w14:paraId="003EA591">
      <w:pPr>
        <w:pStyle w:val="23"/>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7.以下文件中</w:t>
      </w:r>
      <w:r>
        <w:rPr>
          <w:rFonts w:hint="eastAsia" w:ascii="宋体" w:hAnsi="宋体" w:eastAsia="宋体" w:cs="宋体"/>
          <w:b/>
          <w:color w:val="00B050"/>
          <w:lang w:eastAsia="zh-CN"/>
        </w:rPr>
        <w:t>绿色</w:t>
      </w:r>
      <w:r>
        <w:rPr>
          <w:rFonts w:hint="eastAsia" w:ascii="宋体" w:hAnsi="宋体" w:eastAsia="宋体" w:cs="宋体"/>
          <w:bCs w:val="0"/>
          <w:color w:val="C00000"/>
          <w:lang w:eastAsia="zh-CN"/>
        </w:rPr>
        <w:t>字体部分，请各参比单位根据实际情况填写后，修改为</w:t>
      </w:r>
      <w:r>
        <w:rPr>
          <w:rFonts w:hint="eastAsia" w:ascii="宋体" w:hAnsi="宋体" w:eastAsia="宋体" w:cs="宋体"/>
          <w:b/>
          <w:color w:val="C00000"/>
          <w:lang w:eastAsia="zh-CN"/>
        </w:rPr>
        <w:t>黑色（不加粗）</w:t>
      </w:r>
      <w:r>
        <w:rPr>
          <w:rFonts w:hint="eastAsia" w:ascii="宋体" w:hAnsi="宋体" w:eastAsia="宋体" w:cs="宋体"/>
          <w:bCs w:val="0"/>
          <w:color w:val="C00000"/>
          <w:lang w:eastAsia="zh-CN"/>
        </w:rPr>
        <w:t>字体打印。目录页码请根据实际情况编写。</w:t>
      </w:r>
    </w:p>
    <w:p w14:paraId="1E7540FF">
      <w:pPr>
        <w:pStyle w:val="23"/>
        <w:spacing w:beforeLines="0" w:afterLines="0"/>
        <w:ind w:firstLine="618" w:firstLineChars="221"/>
        <w:rPr>
          <w:rFonts w:hint="eastAsia" w:ascii="宋体" w:hAnsi="宋体" w:eastAsia="宋体" w:cs="宋体"/>
          <w:color w:val="C00000"/>
          <w:lang w:eastAsia="zh-CN"/>
        </w:rPr>
      </w:pPr>
      <w:r>
        <w:rPr>
          <w:rFonts w:hint="eastAsia" w:ascii="宋体" w:hAnsi="宋体" w:eastAsia="宋体" w:cs="宋体"/>
          <w:color w:val="C00000"/>
          <w:lang w:eastAsia="zh-CN"/>
        </w:rPr>
        <w:t>8.以下文件中红色字体部分，打印时请删除。</w:t>
      </w:r>
    </w:p>
    <w:p w14:paraId="09EF9D88">
      <w:pPr>
        <w:rPr>
          <w:rFonts w:hint="eastAsia" w:ascii="宋体" w:hAnsi="宋体" w:eastAsia="宋体" w:cs="宋体"/>
          <w:sz w:val="28"/>
          <w:szCs w:val="28"/>
          <w:lang w:eastAsia="zh-CN"/>
        </w:rPr>
      </w:pPr>
    </w:p>
    <w:p w14:paraId="42938C73">
      <w:pPr>
        <w:pStyle w:val="21"/>
        <w:rPr>
          <w:rFonts w:hint="eastAsia" w:ascii="宋体" w:hAnsi="宋体" w:eastAsia="宋体" w:cs="宋体"/>
          <w:sz w:val="28"/>
          <w:szCs w:val="28"/>
        </w:rPr>
      </w:pPr>
    </w:p>
    <w:p w14:paraId="01650629">
      <w:pPr>
        <w:pStyle w:val="21"/>
        <w:rPr>
          <w:rFonts w:hint="eastAsia" w:ascii="宋体" w:hAnsi="宋体" w:eastAsia="宋体" w:cs="宋体"/>
        </w:rPr>
      </w:pPr>
    </w:p>
    <w:p w14:paraId="2239D7F9">
      <w:pPr>
        <w:pStyle w:val="21"/>
        <w:rPr>
          <w:rFonts w:hint="eastAsia" w:ascii="宋体" w:hAnsi="宋体" w:eastAsia="宋体" w:cs="宋体"/>
        </w:rPr>
      </w:pPr>
    </w:p>
    <w:p w14:paraId="511814B1">
      <w:pPr>
        <w:pStyle w:val="21"/>
        <w:rPr>
          <w:rFonts w:hint="eastAsia" w:ascii="宋体" w:hAnsi="宋体" w:eastAsia="宋体" w:cs="宋体"/>
        </w:rPr>
      </w:pPr>
    </w:p>
    <w:p w14:paraId="585CAA79">
      <w:pPr>
        <w:pStyle w:val="21"/>
        <w:rPr>
          <w:rFonts w:hint="eastAsia" w:ascii="宋体" w:hAnsi="宋体" w:eastAsia="宋体" w:cs="宋体"/>
        </w:rPr>
      </w:pPr>
    </w:p>
    <w:p w14:paraId="215395B8">
      <w:pPr>
        <w:pStyle w:val="21"/>
        <w:rPr>
          <w:rFonts w:hint="eastAsia" w:ascii="宋体" w:hAnsi="宋体" w:eastAsia="宋体" w:cs="宋体"/>
        </w:rPr>
      </w:pPr>
    </w:p>
    <w:p w14:paraId="2041CC29">
      <w:pPr>
        <w:pStyle w:val="21"/>
        <w:rPr>
          <w:rFonts w:hint="eastAsia" w:ascii="宋体" w:hAnsi="宋体" w:eastAsia="宋体" w:cs="宋体"/>
        </w:rPr>
      </w:pPr>
    </w:p>
    <w:p w14:paraId="41673E0F">
      <w:pPr>
        <w:pStyle w:val="21"/>
        <w:rPr>
          <w:rFonts w:hint="eastAsia" w:ascii="宋体" w:hAnsi="宋体" w:eastAsia="宋体" w:cs="宋体"/>
        </w:rPr>
      </w:pPr>
    </w:p>
    <w:p w14:paraId="0D0C2EF0">
      <w:pPr>
        <w:pStyle w:val="21"/>
        <w:rPr>
          <w:rFonts w:hint="eastAsia" w:ascii="宋体" w:hAnsi="宋体" w:eastAsia="宋体" w:cs="宋体"/>
        </w:rPr>
      </w:pPr>
    </w:p>
    <w:p w14:paraId="57229CB8">
      <w:pPr>
        <w:pStyle w:val="21"/>
        <w:rPr>
          <w:rFonts w:hint="eastAsia" w:ascii="宋体" w:hAnsi="宋体" w:eastAsia="宋体" w:cs="宋体"/>
        </w:rPr>
      </w:pPr>
    </w:p>
    <w:p w14:paraId="79C1207A">
      <w:pPr>
        <w:pStyle w:val="21"/>
        <w:rPr>
          <w:rFonts w:hint="eastAsia" w:ascii="宋体" w:hAnsi="宋体" w:eastAsia="宋体" w:cs="宋体"/>
        </w:rPr>
      </w:pPr>
    </w:p>
    <w:p w14:paraId="3A2E7E07">
      <w:pPr>
        <w:pStyle w:val="21"/>
        <w:rPr>
          <w:rFonts w:hint="eastAsia" w:ascii="宋体" w:hAnsi="宋体" w:eastAsia="宋体" w:cs="宋体"/>
        </w:rPr>
      </w:pPr>
    </w:p>
    <w:p w14:paraId="7F3387D6">
      <w:pPr>
        <w:pStyle w:val="21"/>
        <w:rPr>
          <w:rFonts w:hint="eastAsia" w:ascii="宋体" w:hAnsi="宋体" w:eastAsia="宋体" w:cs="宋体"/>
        </w:rPr>
      </w:pPr>
    </w:p>
    <w:p w14:paraId="771D921A">
      <w:pPr>
        <w:pStyle w:val="21"/>
        <w:rPr>
          <w:rFonts w:hint="eastAsia" w:ascii="宋体" w:hAnsi="宋体" w:eastAsia="宋体" w:cs="宋体"/>
        </w:rPr>
      </w:pPr>
    </w:p>
    <w:p w14:paraId="505778A1">
      <w:pPr>
        <w:pStyle w:val="21"/>
        <w:rPr>
          <w:rFonts w:hint="eastAsia" w:ascii="宋体" w:hAnsi="宋体" w:eastAsia="宋体" w:cs="宋体"/>
        </w:rPr>
      </w:pPr>
    </w:p>
    <w:p w14:paraId="049FFE20">
      <w:pPr>
        <w:pStyle w:val="21"/>
        <w:rPr>
          <w:rFonts w:hint="eastAsia" w:ascii="宋体" w:hAnsi="宋体" w:eastAsia="宋体" w:cs="宋体"/>
        </w:rPr>
      </w:pPr>
    </w:p>
    <w:p w14:paraId="5401509C">
      <w:pPr>
        <w:pStyle w:val="21"/>
        <w:rPr>
          <w:rFonts w:hint="eastAsia" w:ascii="宋体" w:hAnsi="宋体" w:eastAsia="宋体" w:cs="宋体"/>
        </w:rPr>
      </w:pPr>
    </w:p>
    <w:p w14:paraId="06A21BBC">
      <w:pPr>
        <w:spacing w:line="1000" w:lineRule="exact"/>
        <w:jc w:val="both"/>
        <w:rPr>
          <w:rFonts w:hint="eastAsia" w:ascii="宋体" w:hAnsi="宋体" w:eastAsia="宋体" w:cs="宋体"/>
          <w:b/>
          <w:sz w:val="44"/>
          <w:szCs w:val="44"/>
        </w:rPr>
      </w:pPr>
    </w:p>
    <w:p w14:paraId="47A20739">
      <w:pPr>
        <w:spacing w:line="1000" w:lineRule="exact"/>
        <w:jc w:val="center"/>
        <w:rPr>
          <w:rFonts w:hint="eastAsia" w:ascii="宋体" w:hAnsi="宋体" w:eastAsia="宋体" w:cs="宋体"/>
          <w:b/>
          <w:sz w:val="44"/>
          <w:szCs w:val="44"/>
        </w:rPr>
      </w:pPr>
      <w:r>
        <w:rPr>
          <w:rFonts w:hint="eastAsia" w:ascii="宋体" w:hAnsi="宋体" w:eastAsia="宋体" w:cs="宋体"/>
          <w:b/>
          <w:sz w:val="44"/>
          <w:szCs w:val="44"/>
        </w:rPr>
        <w:t>目</w:t>
      </w:r>
      <w:r>
        <w:rPr>
          <w:rFonts w:hint="eastAsia" w:ascii="宋体" w:hAnsi="宋体" w:eastAsia="宋体" w:cs="宋体"/>
          <w:b/>
          <w:sz w:val="44"/>
          <w:szCs w:val="44"/>
          <w:lang w:eastAsia="zh-CN"/>
        </w:rPr>
        <w:tab/>
      </w:r>
      <w:r>
        <w:rPr>
          <w:rFonts w:hint="eastAsia" w:ascii="宋体" w:hAnsi="宋体" w:eastAsia="宋体" w:cs="宋体"/>
          <w:b/>
          <w:sz w:val="44"/>
          <w:szCs w:val="44"/>
        </w:rPr>
        <w:t>录</w:t>
      </w:r>
    </w:p>
    <w:tbl>
      <w:tblPr>
        <w:tblStyle w:val="1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0DD0F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6650DD2">
            <w:pPr>
              <w:spacing w:line="500" w:lineRule="exact"/>
              <w:jc w:val="center"/>
              <w:rPr>
                <w:rFonts w:hint="eastAsia" w:ascii="宋体" w:hAnsi="宋体" w:eastAsia="宋体" w:cs="宋体"/>
                <w:b/>
                <w:bCs/>
                <w:sz w:val="24"/>
              </w:rPr>
            </w:pPr>
            <w:r>
              <w:rPr>
                <w:rFonts w:hint="eastAsia" w:ascii="宋体" w:hAnsi="宋体" w:eastAsia="宋体" w:cs="宋体"/>
                <w:b/>
                <w:bCs/>
                <w:sz w:val="24"/>
              </w:rPr>
              <w:t>序号</w:t>
            </w:r>
          </w:p>
        </w:tc>
        <w:tc>
          <w:tcPr>
            <w:tcW w:w="6023" w:type="dxa"/>
          </w:tcPr>
          <w:p w14:paraId="05569C40">
            <w:pPr>
              <w:spacing w:line="500" w:lineRule="exact"/>
              <w:jc w:val="center"/>
              <w:rPr>
                <w:rFonts w:hint="eastAsia" w:ascii="宋体" w:hAnsi="宋体" w:eastAsia="宋体" w:cs="宋体"/>
                <w:b/>
                <w:bCs/>
                <w:sz w:val="24"/>
              </w:rPr>
            </w:pPr>
            <w:r>
              <w:rPr>
                <w:rFonts w:hint="eastAsia" w:ascii="宋体" w:hAnsi="宋体" w:eastAsia="宋体" w:cs="宋体"/>
                <w:b/>
                <w:bCs/>
                <w:sz w:val="24"/>
              </w:rPr>
              <w:t>内容</w:t>
            </w:r>
          </w:p>
        </w:tc>
        <w:tc>
          <w:tcPr>
            <w:tcW w:w="1843" w:type="dxa"/>
          </w:tcPr>
          <w:p w14:paraId="732DB5B3">
            <w:pPr>
              <w:spacing w:line="500" w:lineRule="exact"/>
              <w:jc w:val="center"/>
              <w:rPr>
                <w:rFonts w:hint="eastAsia" w:ascii="宋体" w:hAnsi="宋体" w:eastAsia="宋体" w:cs="宋体"/>
                <w:b/>
                <w:bCs/>
                <w:sz w:val="24"/>
              </w:rPr>
            </w:pPr>
            <w:r>
              <w:rPr>
                <w:rFonts w:hint="eastAsia" w:ascii="宋体" w:hAnsi="宋体" w:eastAsia="宋体" w:cs="宋体"/>
                <w:b/>
                <w:bCs/>
                <w:sz w:val="24"/>
              </w:rPr>
              <w:t>页码</w:t>
            </w:r>
          </w:p>
        </w:tc>
      </w:tr>
      <w:tr w14:paraId="203E8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D1D925F">
            <w:pPr>
              <w:spacing w:line="500" w:lineRule="exact"/>
              <w:jc w:val="center"/>
              <w:rPr>
                <w:rFonts w:hint="eastAsia" w:ascii="宋体" w:hAnsi="宋体" w:eastAsia="宋体" w:cs="宋体"/>
                <w:sz w:val="24"/>
              </w:rPr>
            </w:pPr>
            <w:r>
              <w:rPr>
                <w:rFonts w:hint="eastAsia" w:ascii="宋体" w:hAnsi="宋体" w:eastAsia="宋体" w:cs="宋体"/>
                <w:sz w:val="24"/>
              </w:rPr>
              <w:t>1</w:t>
            </w:r>
          </w:p>
        </w:tc>
        <w:tc>
          <w:tcPr>
            <w:tcW w:w="6023" w:type="dxa"/>
          </w:tcPr>
          <w:p w14:paraId="1A0DAEEA">
            <w:pPr>
              <w:spacing w:line="500" w:lineRule="exact"/>
              <w:rPr>
                <w:rFonts w:hint="eastAsia" w:ascii="宋体" w:hAnsi="宋体" w:eastAsia="宋体" w:cs="宋体"/>
                <w:sz w:val="24"/>
              </w:rPr>
            </w:pPr>
            <w:r>
              <w:rPr>
                <w:rFonts w:hint="eastAsia" w:ascii="宋体" w:hAnsi="宋体" w:eastAsia="宋体" w:cs="宋体"/>
                <w:sz w:val="24"/>
              </w:rPr>
              <w:t>参</w:t>
            </w:r>
            <w:r>
              <w:rPr>
                <w:rFonts w:hint="eastAsia" w:ascii="宋体" w:hAnsi="宋体" w:eastAsia="宋体" w:cs="宋体"/>
                <w:sz w:val="24"/>
                <w:lang w:eastAsia="zh-CN"/>
              </w:rPr>
              <w:t>比</w:t>
            </w:r>
            <w:r>
              <w:rPr>
                <w:rFonts w:hint="eastAsia" w:ascii="宋体" w:hAnsi="宋体" w:eastAsia="宋体" w:cs="宋体"/>
                <w:sz w:val="24"/>
              </w:rPr>
              <w:t>书</w:t>
            </w:r>
          </w:p>
        </w:tc>
        <w:tc>
          <w:tcPr>
            <w:tcW w:w="1843" w:type="dxa"/>
          </w:tcPr>
          <w:p w14:paraId="48B915CE">
            <w:pPr>
              <w:spacing w:line="500" w:lineRule="exact"/>
              <w:jc w:val="center"/>
              <w:rPr>
                <w:rFonts w:hint="eastAsia" w:ascii="宋体" w:hAnsi="宋体" w:eastAsia="宋体" w:cs="宋体"/>
                <w:sz w:val="24"/>
              </w:rPr>
            </w:pPr>
          </w:p>
        </w:tc>
      </w:tr>
      <w:tr w14:paraId="7EAAA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521986D">
            <w:pPr>
              <w:spacing w:line="500" w:lineRule="exact"/>
              <w:jc w:val="center"/>
              <w:rPr>
                <w:rFonts w:hint="eastAsia" w:ascii="宋体" w:hAnsi="宋体" w:eastAsia="宋体" w:cs="宋体"/>
                <w:sz w:val="24"/>
              </w:rPr>
            </w:pPr>
            <w:r>
              <w:rPr>
                <w:rFonts w:hint="eastAsia" w:ascii="宋体" w:hAnsi="宋体" w:eastAsia="宋体" w:cs="宋体"/>
                <w:sz w:val="24"/>
              </w:rPr>
              <w:t>2</w:t>
            </w:r>
          </w:p>
        </w:tc>
        <w:tc>
          <w:tcPr>
            <w:tcW w:w="6023" w:type="dxa"/>
          </w:tcPr>
          <w:p w14:paraId="39BF2900">
            <w:pPr>
              <w:spacing w:line="500" w:lineRule="exact"/>
              <w:rPr>
                <w:rFonts w:hint="eastAsia" w:ascii="宋体" w:hAnsi="宋体" w:eastAsia="宋体" w:cs="宋体"/>
                <w:sz w:val="24"/>
              </w:rPr>
            </w:pPr>
            <w:r>
              <w:rPr>
                <w:rFonts w:hint="eastAsia" w:ascii="宋体" w:hAnsi="宋体" w:eastAsia="宋体" w:cs="宋体"/>
                <w:sz w:val="24"/>
              </w:rPr>
              <w:t>法定代表人授权书</w:t>
            </w:r>
          </w:p>
        </w:tc>
        <w:tc>
          <w:tcPr>
            <w:tcW w:w="1843" w:type="dxa"/>
          </w:tcPr>
          <w:p w14:paraId="7ECF94DF">
            <w:pPr>
              <w:spacing w:line="500" w:lineRule="exact"/>
              <w:jc w:val="center"/>
              <w:rPr>
                <w:rFonts w:hint="eastAsia" w:ascii="宋体" w:hAnsi="宋体" w:eastAsia="宋体" w:cs="宋体"/>
                <w:sz w:val="24"/>
              </w:rPr>
            </w:pPr>
          </w:p>
        </w:tc>
      </w:tr>
      <w:tr w14:paraId="5C958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EB9F5BB">
            <w:pPr>
              <w:spacing w:line="500" w:lineRule="exact"/>
              <w:jc w:val="center"/>
              <w:rPr>
                <w:rFonts w:hint="eastAsia" w:ascii="宋体" w:hAnsi="宋体" w:eastAsia="宋体" w:cs="宋体"/>
                <w:sz w:val="24"/>
              </w:rPr>
            </w:pPr>
            <w:r>
              <w:rPr>
                <w:rFonts w:hint="eastAsia" w:ascii="宋体" w:hAnsi="宋体" w:eastAsia="宋体" w:cs="宋体"/>
                <w:sz w:val="24"/>
              </w:rPr>
              <w:t>3</w:t>
            </w:r>
          </w:p>
        </w:tc>
        <w:tc>
          <w:tcPr>
            <w:tcW w:w="6023" w:type="dxa"/>
          </w:tcPr>
          <w:p w14:paraId="22FB476F">
            <w:pPr>
              <w:spacing w:line="500" w:lineRule="exact"/>
              <w:rPr>
                <w:rFonts w:hint="eastAsia" w:ascii="宋体" w:hAnsi="宋体" w:eastAsia="宋体" w:cs="宋体"/>
                <w:sz w:val="24"/>
                <w:lang w:eastAsia="zh-CN"/>
              </w:rPr>
            </w:pPr>
            <w:r>
              <w:rPr>
                <w:rFonts w:hint="eastAsia" w:ascii="宋体" w:hAnsi="宋体" w:eastAsia="宋体" w:cs="宋体"/>
                <w:sz w:val="24"/>
                <w:lang w:eastAsia="zh-CN"/>
              </w:rPr>
              <w:t>法定代表人身份证复印件</w:t>
            </w:r>
          </w:p>
        </w:tc>
        <w:tc>
          <w:tcPr>
            <w:tcW w:w="1843" w:type="dxa"/>
          </w:tcPr>
          <w:p w14:paraId="5F3C4F6B">
            <w:pPr>
              <w:spacing w:line="500" w:lineRule="exact"/>
              <w:jc w:val="center"/>
              <w:rPr>
                <w:rFonts w:hint="eastAsia" w:ascii="宋体" w:hAnsi="宋体" w:eastAsia="宋体" w:cs="宋体"/>
                <w:sz w:val="24"/>
                <w:lang w:eastAsia="zh-CN"/>
              </w:rPr>
            </w:pPr>
          </w:p>
        </w:tc>
      </w:tr>
      <w:tr w14:paraId="70AB4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7303CEC">
            <w:pPr>
              <w:spacing w:line="500" w:lineRule="exact"/>
              <w:jc w:val="center"/>
              <w:rPr>
                <w:rFonts w:hint="eastAsia" w:ascii="宋体" w:hAnsi="宋体" w:eastAsia="宋体" w:cs="宋体"/>
                <w:sz w:val="24"/>
              </w:rPr>
            </w:pPr>
            <w:r>
              <w:rPr>
                <w:rFonts w:hint="eastAsia" w:ascii="宋体" w:hAnsi="宋体" w:eastAsia="宋体" w:cs="宋体"/>
                <w:sz w:val="24"/>
              </w:rPr>
              <w:t>4</w:t>
            </w:r>
          </w:p>
        </w:tc>
        <w:tc>
          <w:tcPr>
            <w:tcW w:w="6023" w:type="dxa"/>
          </w:tcPr>
          <w:p w14:paraId="0A2FC38D">
            <w:pPr>
              <w:spacing w:line="500" w:lineRule="exact"/>
              <w:rPr>
                <w:rFonts w:hint="eastAsia" w:ascii="宋体" w:hAnsi="宋体" w:eastAsia="宋体" w:cs="宋体"/>
                <w:sz w:val="24"/>
                <w:lang w:eastAsia="zh-CN"/>
              </w:rPr>
            </w:pPr>
            <w:r>
              <w:rPr>
                <w:rFonts w:hint="eastAsia" w:ascii="宋体" w:hAnsi="宋体" w:eastAsia="宋体" w:cs="宋体"/>
                <w:sz w:val="24"/>
                <w:lang w:eastAsia="zh-CN"/>
              </w:rPr>
              <w:t>授权代表身份证复印件</w:t>
            </w:r>
          </w:p>
        </w:tc>
        <w:tc>
          <w:tcPr>
            <w:tcW w:w="1843" w:type="dxa"/>
          </w:tcPr>
          <w:p w14:paraId="346BEB0B">
            <w:pPr>
              <w:spacing w:line="500" w:lineRule="exact"/>
              <w:jc w:val="center"/>
              <w:rPr>
                <w:rFonts w:hint="eastAsia" w:ascii="宋体" w:hAnsi="宋体" w:eastAsia="宋体" w:cs="宋体"/>
                <w:sz w:val="24"/>
                <w:lang w:eastAsia="zh-CN"/>
              </w:rPr>
            </w:pPr>
          </w:p>
        </w:tc>
      </w:tr>
      <w:tr w14:paraId="5F8A1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5C793C">
            <w:pPr>
              <w:spacing w:line="500" w:lineRule="exact"/>
              <w:jc w:val="center"/>
              <w:rPr>
                <w:rFonts w:hint="eastAsia" w:ascii="宋体" w:hAnsi="宋体" w:eastAsia="宋体" w:cs="宋体"/>
                <w:sz w:val="24"/>
              </w:rPr>
            </w:pPr>
            <w:r>
              <w:rPr>
                <w:rFonts w:hint="eastAsia" w:ascii="宋体" w:hAnsi="宋体" w:eastAsia="宋体" w:cs="宋体"/>
                <w:sz w:val="24"/>
              </w:rPr>
              <w:t>5</w:t>
            </w:r>
          </w:p>
        </w:tc>
        <w:tc>
          <w:tcPr>
            <w:tcW w:w="6023" w:type="dxa"/>
          </w:tcPr>
          <w:p w14:paraId="18A6C29C">
            <w:pPr>
              <w:spacing w:line="500" w:lineRule="exact"/>
              <w:rPr>
                <w:rFonts w:hint="eastAsia" w:ascii="宋体" w:hAnsi="宋体" w:eastAsia="宋体" w:cs="宋体"/>
                <w:sz w:val="24"/>
                <w:lang w:eastAsia="zh-CN"/>
              </w:rPr>
            </w:pPr>
            <w:r>
              <w:rPr>
                <w:rFonts w:hint="eastAsia" w:ascii="宋体" w:hAnsi="宋体" w:eastAsia="宋体" w:cs="宋体"/>
                <w:sz w:val="24"/>
                <w:szCs w:val="28"/>
                <w:lang w:eastAsia="zh-CN"/>
              </w:rPr>
              <w:t>企业概况</w:t>
            </w:r>
          </w:p>
        </w:tc>
        <w:tc>
          <w:tcPr>
            <w:tcW w:w="1843" w:type="dxa"/>
          </w:tcPr>
          <w:p w14:paraId="7F88149C">
            <w:pPr>
              <w:spacing w:line="500" w:lineRule="exact"/>
              <w:jc w:val="center"/>
              <w:rPr>
                <w:rFonts w:hint="eastAsia" w:ascii="宋体" w:hAnsi="宋体" w:eastAsia="宋体" w:cs="宋体"/>
                <w:sz w:val="24"/>
                <w:lang w:eastAsia="zh-CN"/>
              </w:rPr>
            </w:pPr>
          </w:p>
        </w:tc>
      </w:tr>
      <w:tr w14:paraId="03A6A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2BE4911">
            <w:pPr>
              <w:spacing w:line="500" w:lineRule="exact"/>
              <w:jc w:val="center"/>
              <w:rPr>
                <w:rFonts w:hint="eastAsia" w:ascii="宋体" w:hAnsi="宋体" w:eastAsia="宋体" w:cs="宋体"/>
                <w:sz w:val="24"/>
              </w:rPr>
            </w:pPr>
            <w:r>
              <w:rPr>
                <w:rFonts w:hint="eastAsia" w:ascii="宋体" w:hAnsi="宋体" w:eastAsia="宋体" w:cs="宋体"/>
                <w:sz w:val="24"/>
              </w:rPr>
              <w:t>6</w:t>
            </w:r>
          </w:p>
        </w:tc>
        <w:tc>
          <w:tcPr>
            <w:tcW w:w="6023" w:type="dxa"/>
          </w:tcPr>
          <w:p w14:paraId="4B1E18EB">
            <w:pPr>
              <w:spacing w:line="500" w:lineRule="exact"/>
              <w:rPr>
                <w:rFonts w:hint="eastAsia" w:ascii="宋体" w:hAnsi="宋体" w:eastAsia="宋体" w:cs="宋体"/>
                <w:sz w:val="24"/>
              </w:rPr>
            </w:pPr>
            <w:r>
              <w:rPr>
                <w:rFonts w:hint="eastAsia" w:ascii="宋体" w:hAnsi="宋体" w:eastAsia="宋体" w:cs="宋体"/>
                <w:sz w:val="24"/>
              </w:rPr>
              <w:t>营业执照复印件</w:t>
            </w:r>
          </w:p>
        </w:tc>
        <w:tc>
          <w:tcPr>
            <w:tcW w:w="1843" w:type="dxa"/>
          </w:tcPr>
          <w:p w14:paraId="34D034AD">
            <w:pPr>
              <w:spacing w:line="500" w:lineRule="exact"/>
              <w:jc w:val="center"/>
              <w:rPr>
                <w:rFonts w:hint="eastAsia" w:ascii="宋体" w:hAnsi="宋体" w:eastAsia="宋体" w:cs="宋体"/>
                <w:sz w:val="24"/>
              </w:rPr>
            </w:pPr>
          </w:p>
        </w:tc>
      </w:tr>
      <w:tr w14:paraId="6AC9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243EF88">
            <w:pPr>
              <w:spacing w:line="500" w:lineRule="exact"/>
              <w:jc w:val="center"/>
              <w:rPr>
                <w:rFonts w:hint="eastAsia" w:ascii="宋体" w:hAnsi="宋体" w:eastAsia="宋体" w:cs="宋体"/>
                <w:sz w:val="24"/>
              </w:rPr>
            </w:pPr>
            <w:r>
              <w:rPr>
                <w:rFonts w:hint="eastAsia" w:ascii="宋体" w:hAnsi="宋体" w:eastAsia="宋体" w:cs="宋体"/>
                <w:sz w:val="24"/>
              </w:rPr>
              <w:t>7</w:t>
            </w:r>
          </w:p>
        </w:tc>
        <w:tc>
          <w:tcPr>
            <w:tcW w:w="6023" w:type="dxa"/>
          </w:tcPr>
          <w:p w14:paraId="6FDCDDC0">
            <w:pPr>
              <w:spacing w:line="500" w:lineRule="exact"/>
              <w:rPr>
                <w:rFonts w:hint="eastAsia" w:ascii="宋体" w:hAnsi="宋体" w:eastAsia="宋体" w:cs="宋体"/>
                <w:sz w:val="24"/>
                <w:lang w:eastAsia="zh-CN"/>
              </w:rPr>
            </w:pPr>
            <w:r>
              <w:rPr>
                <w:rFonts w:hint="eastAsia" w:ascii="宋体" w:hAnsi="宋体" w:eastAsia="宋体" w:cs="宋体"/>
                <w:lang w:eastAsia="zh-CN"/>
              </w:rPr>
              <w:t>商务报价函</w:t>
            </w:r>
          </w:p>
        </w:tc>
        <w:tc>
          <w:tcPr>
            <w:tcW w:w="1843" w:type="dxa"/>
          </w:tcPr>
          <w:p w14:paraId="17B44F90">
            <w:pPr>
              <w:spacing w:line="500" w:lineRule="exact"/>
              <w:jc w:val="center"/>
              <w:rPr>
                <w:rFonts w:hint="eastAsia" w:ascii="宋体" w:hAnsi="宋体" w:eastAsia="宋体" w:cs="宋体"/>
                <w:sz w:val="24"/>
              </w:rPr>
            </w:pPr>
          </w:p>
        </w:tc>
      </w:tr>
      <w:tr w14:paraId="22397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B6C72C9">
            <w:pPr>
              <w:spacing w:line="500" w:lineRule="exact"/>
              <w:jc w:val="center"/>
              <w:rPr>
                <w:rFonts w:hint="eastAsia" w:ascii="宋体" w:hAnsi="宋体" w:eastAsia="宋体" w:cs="宋体"/>
                <w:sz w:val="24"/>
                <w:lang w:eastAsia="zh-CN"/>
              </w:rPr>
            </w:pPr>
            <w:r>
              <w:rPr>
                <w:rFonts w:hint="eastAsia" w:ascii="宋体" w:hAnsi="宋体" w:eastAsia="宋体" w:cs="宋体"/>
                <w:sz w:val="24"/>
                <w:lang w:eastAsia="zh-CN"/>
              </w:rPr>
              <w:t>8</w:t>
            </w:r>
          </w:p>
        </w:tc>
        <w:tc>
          <w:tcPr>
            <w:tcW w:w="6023" w:type="dxa"/>
          </w:tcPr>
          <w:p w14:paraId="1C2683C4">
            <w:pPr>
              <w:spacing w:line="500" w:lineRule="exact"/>
              <w:rPr>
                <w:rFonts w:hint="eastAsia" w:ascii="宋体" w:hAnsi="宋体" w:eastAsia="宋体" w:cs="宋体"/>
                <w:sz w:val="24"/>
                <w:lang w:eastAsia="zh-CN"/>
              </w:rPr>
            </w:pPr>
            <w:r>
              <w:rPr>
                <w:rFonts w:hint="eastAsia" w:ascii="宋体" w:hAnsi="宋体" w:eastAsia="宋体" w:cs="宋体"/>
                <w:lang w:eastAsia="zh-CN"/>
              </w:rPr>
              <w:t>承诺函</w:t>
            </w:r>
          </w:p>
        </w:tc>
        <w:tc>
          <w:tcPr>
            <w:tcW w:w="1843" w:type="dxa"/>
          </w:tcPr>
          <w:p w14:paraId="0E4CFE75">
            <w:pPr>
              <w:spacing w:line="500" w:lineRule="exact"/>
              <w:jc w:val="center"/>
              <w:rPr>
                <w:rFonts w:hint="eastAsia" w:ascii="宋体" w:hAnsi="宋体" w:eastAsia="宋体" w:cs="宋体"/>
                <w:sz w:val="24"/>
                <w:lang w:eastAsia="zh-CN"/>
              </w:rPr>
            </w:pPr>
          </w:p>
        </w:tc>
      </w:tr>
    </w:tbl>
    <w:p w14:paraId="3C88CBC3">
      <w:pPr>
        <w:spacing w:line="500" w:lineRule="exact"/>
        <w:jc w:val="center"/>
        <w:rPr>
          <w:rFonts w:hint="eastAsia" w:ascii="宋体" w:hAnsi="宋体" w:eastAsia="宋体" w:cs="宋体"/>
          <w:b/>
          <w:bCs/>
          <w:sz w:val="24"/>
        </w:rPr>
      </w:pPr>
    </w:p>
    <w:p w14:paraId="6BD3E60C">
      <w:pPr>
        <w:pStyle w:val="21"/>
        <w:rPr>
          <w:rFonts w:hint="eastAsia" w:ascii="宋体" w:hAnsi="宋体" w:eastAsia="宋体" w:cs="宋体"/>
          <w:b/>
          <w:bCs/>
          <w:sz w:val="36"/>
          <w:szCs w:val="36"/>
        </w:rPr>
      </w:pPr>
    </w:p>
    <w:p w14:paraId="340BCC72">
      <w:pPr>
        <w:pStyle w:val="21"/>
        <w:rPr>
          <w:rFonts w:hint="eastAsia" w:ascii="宋体" w:hAnsi="宋体" w:eastAsia="宋体" w:cs="宋体"/>
          <w:b/>
          <w:bCs/>
          <w:sz w:val="36"/>
          <w:szCs w:val="36"/>
        </w:rPr>
      </w:pPr>
    </w:p>
    <w:p w14:paraId="355D38E7">
      <w:pPr>
        <w:pStyle w:val="21"/>
        <w:rPr>
          <w:rFonts w:hint="eastAsia" w:ascii="宋体" w:hAnsi="宋体" w:eastAsia="宋体" w:cs="宋体"/>
          <w:b/>
          <w:bCs/>
          <w:sz w:val="36"/>
          <w:szCs w:val="36"/>
        </w:rPr>
      </w:pPr>
    </w:p>
    <w:p w14:paraId="618D4FC5">
      <w:pPr>
        <w:spacing w:line="500" w:lineRule="exact"/>
        <w:rPr>
          <w:rFonts w:hint="eastAsia" w:ascii="宋体" w:hAnsi="宋体" w:eastAsia="宋体" w:cs="宋体"/>
          <w:b/>
          <w:bCs/>
          <w:sz w:val="36"/>
          <w:szCs w:val="36"/>
          <w:lang w:eastAsia="zh-CN"/>
        </w:rPr>
      </w:pPr>
    </w:p>
    <w:p w14:paraId="621C0A3D">
      <w:pPr>
        <w:pStyle w:val="21"/>
        <w:rPr>
          <w:rFonts w:hint="eastAsia" w:ascii="宋体" w:hAnsi="宋体" w:eastAsia="宋体" w:cs="宋体"/>
          <w:b/>
          <w:bCs/>
          <w:sz w:val="36"/>
          <w:szCs w:val="36"/>
        </w:rPr>
      </w:pPr>
    </w:p>
    <w:p w14:paraId="24D79123">
      <w:pPr>
        <w:pStyle w:val="21"/>
        <w:rPr>
          <w:rFonts w:hint="eastAsia" w:ascii="宋体" w:hAnsi="宋体" w:eastAsia="宋体" w:cs="宋体"/>
          <w:b/>
          <w:bCs/>
          <w:sz w:val="36"/>
          <w:szCs w:val="36"/>
        </w:rPr>
      </w:pPr>
    </w:p>
    <w:p w14:paraId="024EFB28">
      <w:pPr>
        <w:pStyle w:val="21"/>
        <w:rPr>
          <w:rFonts w:hint="eastAsia" w:ascii="宋体" w:hAnsi="宋体" w:eastAsia="宋体" w:cs="宋体"/>
        </w:rPr>
      </w:pPr>
    </w:p>
    <w:p w14:paraId="2C65D7B7">
      <w:pPr>
        <w:pStyle w:val="21"/>
        <w:rPr>
          <w:rFonts w:hint="eastAsia" w:ascii="宋体" w:hAnsi="宋体" w:eastAsia="宋体" w:cs="宋体"/>
        </w:rPr>
      </w:pPr>
    </w:p>
    <w:p w14:paraId="4385FD1F">
      <w:pPr>
        <w:pStyle w:val="21"/>
        <w:rPr>
          <w:rFonts w:hint="eastAsia" w:ascii="宋体" w:hAnsi="宋体" w:eastAsia="宋体" w:cs="宋体"/>
        </w:rPr>
      </w:pPr>
    </w:p>
    <w:p w14:paraId="7E986680">
      <w:pPr>
        <w:pStyle w:val="21"/>
        <w:rPr>
          <w:rFonts w:hint="eastAsia" w:ascii="宋体" w:hAnsi="宋体" w:eastAsia="宋体" w:cs="宋体"/>
        </w:rPr>
      </w:pPr>
    </w:p>
    <w:p w14:paraId="5802E1F4">
      <w:pPr>
        <w:pStyle w:val="21"/>
        <w:rPr>
          <w:rFonts w:hint="eastAsia" w:ascii="宋体" w:hAnsi="宋体" w:eastAsia="宋体" w:cs="宋体"/>
        </w:rPr>
      </w:pPr>
    </w:p>
    <w:p w14:paraId="5ECF2963">
      <w:pPr>
        <w:pStyle w:val="21"/>
        <w:rPr>
          <w:rFonts w:hint="eastAsia" w:ascii="宋体" w:hAnsi="宋体" w:eastAsia="宋体" w:cs="宋体"/>
        </w:rPr>
      </w:pPr>
    </w:p>
    <w:p w14:paraId="4AF283DE">
      <w:pPr>
        <w:pStyle w:val="21"/>
        <w:rPr>
          <w:rFonts w:hint="eastAsia" w:ascii="宋体" w:hAnsi="宋体" w:eastAsia="宋体" w:cs="宋体"/>
        </w:rPr>
      </w:pPr>
    </w:p>
    <w:p w14:paraId="24E5FCDB">
      <w:pPr>
        <w:spacing w:line="500" w:lineRule="exact"/>
        <w:jc w:val="center"/>
        <w:rPr>
          <w:rFonts w:hint="eastAsia" w:ascii="宋体" w:hAnsi="宋体" w:eastAsia="宋体" w:cs="宋体"/>
          <w:b/>
          <w:bCs/>
          <w:sz w:val="36"/>
          <w:szCs w:val="36"/>
        </w:rPr>
      </w:pPr>
    </w:p>
    <w:p w14:paraId="3938011D">
      <w:pPr>
        <w:spacing w:line="500" w:lineRule="exact"/>
        <w:jc w:val="center"/>
        <w:rPr>
          <w:rFonts w:hint="eastAsia" w:ascii="宋体" w:hAnsi="宋体" w:eastAsia="宋体" w:cs="宋体"/>
          <w:b/>
          <w:bCs/>
          <w:sz w:val="36"/>
          <w:szCs w:val="36"/>
        </w:rPr>
      </w:pPr>
      <w:r>
        <w:rPr>
          <w:rFonts w:hint="eastAsia" w:ascii="宋体" w:hAnsi="宋体" w:eastAsia="宋体" w:cs="宋体"/>
          <w:b/>
          <w:bCs/>
          <w:sz w:val="36"/>
          <w:szCs w:val="36"/>
        </w:rPr>
        <w:t>参</w:t>
      </w:r>
      <w:r>
        <w:rPr>
          <w:rFonts w:hint="eastAsia" w:ascii="宋体" w:hAnsi="宋体" w:eastAsia="宋体" w:cs="宋体"/>
          <w:b/>
          <w:bCs/>
          <w:sz w:val="36"/>
          <w:szCs w:val="36"/>
          <w:lang w:eastAsia="zh-CN"/>
        </w:rPr>
        <w:t>比</w:t>
      </w:r>
      <w:r>
        <w:rPr>
          <w:rFonts w:hint="eastAsia" w:ascii="宋体" w:hAnsi="宋体" w:eastAsia="宋体" w:cs="宋体"/>
          <w:b/>
          <w:bCs/>
          <w:sz w:val="36"/>
          <w:szCs w:val="36"/>
        </w:rPr>
        <w:t>书</w:t>
      </w:r>
    </w:p>
    <w:p w14:paraId="32969A68">
      <w:pPr>
        <w:spacing w:line="500" w:lineRule="exact"/>
        <w:rPr>
          <w:rFonts w:hint="eastAsia" w:ascii="宋体" w:hAnsi="宋体" w:eastAsia="宋体" w:cs="宋体"/>
          <w:sz w:val="24"/>
          <w:lang w:eastAsia="zh-CN"/>
        </w:rPr>
      </w:pPr>
      <w:r>
        <w:rPr>
          <w:rFonts w:hint="eastAsia" w:ascii="宋体" w:hAnsi="宋体" w:eastAsia="宋体" w:cs="宋体"/>
          <w:sz w:val="24"/>
          <w:lang w:eastAsia="zh-CN"/>
        </w:rPr>
        <w:t>致：福建福海创石油化工有限公司</w:t>
      </w:r>
    </w:p>
    <w:p w14:paraId="54EE585A">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 xml:space="preserve"> 根据贵方的采购文件， </w:t>
      </w:r>
      <w:r>
        <w:rPr>
          <w:rFonts w:hint="eastAsia" w:ascii="宋体" w:hAnsi="宋体" w:eastAsia="宋体" w:cs="宋体"/>
          <w:color w:val="00B050"/>
          <w:sz w:val="28"/>
          <w:szCs w:val="28"/>
          <w:u w:val="single"/>
          <w:lang w:eastAsia="zh-CN"/>
        </w:rPr>
        <w:t>被授权代表人姓名</w:t>
      </w:r>
      <w:r>
        <w:rPr>
          <w:rFonts w:hint="eastAsia" w:ascii="宋体" w:hAnsi="宋体" w:eastAsia="宋体" w:cs="宋体"/>
          <w:sz w:val="24"/>
          <w:lang w:eastAsia="zh-CN"/>
        </w:rPr>
        <w:t>被我方正式授权并代表我公司</w:t>
      </w:r>
      <w:r>
        <w:rPr>
          <w:rFonts w:hint="eastAsia" w:ascii="宋体" w:hAnsi="宋体" w:eastAsia="宋体" w:cs="宋体"/>
          <w:color w:val="00B050"/>
          <w:sz w:val="28"/>
          <w:szCs w:val="28"/>
          <w:u w:val="single"/>
          <w:lang w:eastAsia="zh-CN"/>
        </w:rPr>
        <w:t>单位名称</w:t>
      </w:r>
      <w:r>
        <w:rPr>
          <w:rFonts w:hint="eastAsia" w:ascii="宋体" w:hAnsi="宋体" w:eastAsia="宋体" w:cs="宋体"/>
          <w:sz w:val="24"/>
          <w:lang w:eastAsia="zh-CN"/>
        </w:rPr>
        <w:t>递交下述文件，并对此负责。</w:t>
      </w:r>
    </w:p>
    <w:p w14:paraId="4055AD36">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（1）参比文件</w:t>
      </w:r>
    </w:p>
    <w:p w14:paraId="782F5544">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（2）法定代表人授权委托书</w:t>
      </w:r>
    </w:p>
    <w:p w14:paraId="0BC51492">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（3）参比报价单</w:t>
      </w:r>
    </w:p>
    <w:p w14:paraId="0DE685BF">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 xml:space="preserve"> 据此参比书，我公司及签字代表宣布同意如下：</w:t>
      </w:r>
    </w:p>
    <w:p w14:paraId="5A053D5E">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1、所递交的文件真实合法有效，且不存在任何虚假陈述或记载。</w:t>
      </w:r>
    </w:p>
    <w:p w14:paraId="6133B061">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2、我方将履行比选文件规定的每一项要求：如中标，将严格按照合同约定履行各项义务。</w:t>
      </w:r>
    </w:p>
    <w:p w14:paraId="45571DF2">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3、我公司报价有效期为采购文件收取时间截止期后30个工作日，如中标，有效期将延长至合同执行完毕。</w:t>
      </w:r>
    </w:p>
    <w:p w14:paraId="0E5B9B7E">
      <w:pPr>
        <w:spacing w:line="500" w:lineRule="exact"/>
        <w:ind w:firstLine="480" w:firstLineChars="200"/>
        <w:rPr>
          <w:rFonts w:hint="eastAsia" w:ascii="宋体" w:hAnsi="宋体" w:eastAsia="宋体" w:cs="宋体"/>
          <w:sz w:val="24"/>
          <w:lang w:eastAsia="zh-CN"/>
        </w:rPr>
      </w:pPr>
    </w:p>
    <w:p w14:paraId="0A2BF7FA">
      <w:pPr>
        <w:spacing w:line="500" w:lineRule="exact"/>
        <w:ind w:firstLine="480" w:firstLineChars="200"/>
        <w:rPr>
          <w:rFonts w:hint="eastAsia" w:ascii="宋体" w:hAnsi="宋体" w:eastAsia="宋体" w:cs="宋体"/>
          <w:sz w:val="24"/>
          <w:lang w:eastAsia="zh-CN"/>
        </w:rPr>
      </w:pPr>
    </w:p>
    <w:p w14:paraId="66192917">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被授权代表姓名：</w:t>
      </w:r>
    </w:p>
    <w:p w14:paraId="29BE4727">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职          务：</w:t>
      </w:r>
    </w:p>
    <w:p w14:paraId="502F86FF">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联系方式及邮箱：</w:t>
      </w:r>
    </w:p>
    <w:p w14:paraId="317F5F59">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被授权代表签字：</w:t>
      </w:r>
    </w:p>
    <w:p w14:paraId="719EA7BB">
      <w:pPr>
        <w:pStyle w:val="21"/>
        <w:rPr>
          <w:rFonts w:hint="eastAsia" w:ascii="宋体" w:hAnsi="宋体" w:eastAsia="宋体" w:cs="宋体"/>
        </w:rPr>
      </w:pPr>
    </w:p>
    <w:p w14:paraId="057638D8">
      <w:pPr>
        <w:pStyle w:val="21"/>
        <w:jc w:val="center"/>
        <w:rPr>
          <w:rFonts w:hint="eastAsia" w:ascii="宋体" w:hAnsi="宋体" w:eastAsia="宋体" w:cs="宋体"/>
          <w:kern w:val="2"/>
          <w:sz w:val="24"/>
          <w:szCs w:val="24"/>
        </w:rPr>
      </w:pPr>
      <w:r>
        <w:rPr>
          <w:rFonts w:hint="eastAsia" w:ascii="宋体" w:hAnsi="宋体" w:eastAsia="宋体" w:cs="宋体"/>
          <w:kern w:val="2"/>
          <w:sz w:val="24"/>
          <w:szCs w:val="24"/>
        </w:rPr>
        <w:t xml:space="preserve">                                     参  比  人：</w:t>
      </w:r>
      <w:r>
        <w:rPr>
          <w:rFonts w:hint="eastAsia" w:ascii="宋体" w:hAnsi="宋体" w:eastAsia="宋体" w:cs="宋体"/>
          <w:color w:val="00B050"/>
          <w:kern w:val="2"/>
          <w:sz w:val="28"/>
          <w:szCs w:val="28"/>
        </w:rPr>
        <w:t>（单位名称）</w:t>
      </w:r>
    </w:p>
    <w:p w14:paraId="025BD11C">
      <w:pPr>
        <w:pStyle w:val="21"/>
        <w:ind w:firstLine="420"/>
        <w:jc w:val="center"/>
        <w:rPr>
          <w:rFonts w:hint="eastAsia" w:ascii="宋体" w:hAnsi="宋体" w:eastAsia="宋体" w:cs="宋体"/>
          <w:kern w:val="2"/>
          <w:sz w:val="24"/>
          <w:szCs w:val="24"/>
        </w:rPr>
      </w:pPr>
      <w:r>
        <w:rPr>
          <w:rFonts w:hint="eastAsia" w:ascii="宋体" w:hAnsi="宋体" w:eastAsia="宋体" w:cs="宋体"/>
          <w:kern w:val="2"/>
          <w:sz w:val="24"/>
          <w:szCs w:val="24"/>
        </w:rPr>
        <w:t xml:space="preserve">       法定代表人：</w:t>
      </w:r>
    </w:p>
    <w:p w14:paraId="12227B63">
      <w:pPr>
        <w:pStyle w:val="21"/>
        <w:jc w:val="center"/>
        <w:rPr>
          <w:rFonts w:hint="eastAsia" w:ascii="宋体" w:hAnsi="宋体" w:eastAsia="宋体" w:cs="宋体"/>
        </w:rPr>
      </w:pPr>
    </w:p>
    <w:p w14:paraId="67147497">
      <w:pPr>
        <w:pStyle w:val="21"/>
        <w:jc w:val="center"/>
        <w:rPr>
          <w:rFonts w:hint="eastAsia" w:ascii="宋体" w:hAnsi="宋体" w:eastAsia="宋体" w:cs="宋体"/>
        </w:rPr>
      </w:pPr>
    </w:p>
    <w:p w14:paraId="131EF3F0">
      <w:pPr>
        <w:pStyle w:val="21"/>
        <w:jc w:val="center"/>
        <w:rPr>
          <w:rFonts w:hint="eastAsia" w:ascii="宋体" w:hAnsi="宋体" w:eastAsia="宋体" w:cs="宋体"/>
        </w:rPr>
      </w:pPr>
    </w:p>
    <w:p w14:paraId="18C044F7">
      <w:pPr>
        <w:pStyle w:val="21"/>
        <w:jc w:val="center"/>
        <w:rPr>
          <w:rFonts w:hint="eastAsia" w:ascii="宋体" w:hAnsi="宋体" w:eastAsia="宋体" w:cs="宋体"/>
        </w:rPr>
      </w:pPr>
    </w:p>
    <w:p w14:paraId="1EA550DB">
      <w:pPr>
        <w:spacing w:line="500" w:lineRule="exact"/>
        <w:jc w:val="both"/>
        <w:rPr>
          <w:rFonts w:hint="eastAsia" w:ascii="宋体" w:hAnsi="宋体" w:eastAsia="宋体" w:cs="宋体"/>
          <w:b/>
          <w:bCs/>
          <w:sz w:val="36"/>
          <w:szCs w:val="36"/>
          <w:lang w:eastAsia="zh-CN"/>
        </w:rPr>
      </w:pPr>
    </w:p>
    <w:p w14:paraId="4670DD80">
      <w:pPr>
        <w:spacing w:line="500" w:lineRule="exact"/>
        <w:jc w:val="center"/>
        <w:rPr>
          <w:rFonts w:hint="eastAsia" w:ascii="宋体" w:hAnsi="宋体" w:eastAsia="宋体" w:cs="宋体"/>
          <w:b/>
          <w:bCs/>
          <w:sz w:val="36"/>
          <w:szCs w:val="36"/>
          <w:lang w:eastAsia="zh-CN"/>
        </w:rPr>
      </w:pPr>
    </w:p>
    <w:p w14:paraId="2EA03849">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法定代表人授权书</w:t>
      </w:r>
    </w:p>
    <w:p w14:paraId="38E47730">
      <w:pPr>
        <w:pStyle w:val="21"/>
        <w:jc w:val="center"/>
        <w:rPr>
          <w:rFonts w:hint="eastAsia" w:ascii="宋体" w:hAnsi="宋体" w:eastAsia="宋体" w:cs="宋体"/>
        </w:rPr>
      </w:pPr>
    </w:p>
    <w:p w14:paraId="1E32367B">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本授权书声明：注册于</w:t>
      </w:r>
      <w:r>
        <w:rPr>
          <w:rFonts w:hint="eastAsia" w:ascii="宋体" w:hAnsi="宋体" w:eastAsia="宋体" w:cs="宋体"/>
          <w:color w:val="00B050"/>
          <w:sz w:val="28"/>
          <w:szCs w:val="28"/>
          <w:u w:val="single"/>
          <w:lang w:eastAsia="zh-CN"/>
        </w:rPr>
        <w:t>注册地址</w:t>
      </w:r>
      <w:r>
        <w:rPr>
          <w:rFonts w:hint="eastAsia" w:ascii="宋体" w:hAnsi="宋体" w:eastAsia="宋体" w:cs="宋体"/>
          <w:sz w:val="24"/>
          <w:lang w:eastAsia="zh-CN"/>
        </w:rPr>
        <w:t>的</w:t>
      </w:r>
      <w:r>
        <w:rPr>
          <w:rFonts w:hint="eastAsia" w:ascii="宋体" w:hAnsi="宋体" w:eastAsia="宋体" w:cs="宋体"/>
          <w:color w:val="00B050"/>
          <w:sz w:val="28"/>
          <w:szCs w:val="28"/>
          <w:u w:val="single"/>
          <w:lang w:eastAsia="zh-CN"/>
        </w:rPr>
        <w:t>公司名称</w:t>
      </w:r>
      <w:r>
        <w:rPr>
          <w:rFonts w:hint="eastAsia" w:ascii="宋体" w:hAnsi="宋体" w:eastAsia="宋体" w:cs="宋体"/>
          <w:sz w:val="24"/>
          <w:lang w:eastAsia="zh-CN"/>
        </w:rPr>
        <w:t>的在下方签字（或签章）的</w:t>
      </w:r>
      <w:r>
        <w:rPr>
          <w:rFonts w:hint="eastAsia" w:ascii="宋体" w:hAnsi="宋体" w:eastAsia="宋体" w:cs="宋体"/>
          <w:color w:val="00B050"/>
          <w:sz w:val="28"/>
          <w:szCs w:val="28"/>
          <w:u w:val="single"/>
          <w:lang w:eastAsia="zh-CN"/>
        </w:rPr>
        <w:t>法人代表姓名</w:t>
      </w:r>
      <w:r>
        <w:rPr>
          <w:rFonts w:hint="eastAsia" w:ascii="宋体" w:hAnsi="宋体" w:eastAsia="宋体" w:cs="宋体"/>
          <w:sz w:val="24"/>
          <w:lang w:eastAsia="zh-CN"/>
        </w:rPr>
        <w:t>代表本公司授权</w:t>
      </w:r>
      <w:r>
        <w:rPr>
          <w:rFonts w:hint="eastAsia" w:ascii="宋体" w:hAnsi="宋体" w:eastAsia="宋体" w:cs="宋体"/>
          <w:color w:val="00B050"/>
          <w:sz w:val="28"/>
          <w:szCs w:val="28"/>
          <w:u w:val="single"/>
          <w:lang w:eastAsia="zh-CN"/>
        </w:rPr>
        <w:t>被授权代表人姓名、职务</w:t>
      </w:r>
      <w:r>
        <w:rPr>
          <w:rFonts w:hint="eastAsia" w:ascii="宋体" w:hAnsi="宋体" w:eastAsia="宋体" w:cs="宋体"/>
          <w:sz w:val="24"/>
          <w:lang w:eastAsia="zh-CN"/>
        </w:rPr>
        <w:t>为本公司的合法代理人，就</w:t>
      </w:r>
      <w:r>
        <w:rPr>
          <w:rFonts w:hint="eastAsia" w:ascii="宋体" w:hAnsi="宋体" w:eastAsia="宋体" w:cs="宋体"/>
          <w:color w:val="00B050"/>
          <w:sz w:val="28"/>
          <w:szCs w:val="28"/>
          <w:u w:val="single"/>
          <w:lang w:eastAsia="zh-CN"/>
        </w:rPr>
        <w:t>项目名称</w:t>
      </w:r>
      <w:r>
        <w:rPr>
          <w:rFonts w:hint="eastAsia" w:ascii="宋体" w:hAnsi="宋体" w:eastAsia="宋体" w:cs="宋体"/>
          <w:sz w:val="24"/>
          <w:lang w:eastAsia="zh-CN"/>
        </w:rPr>
        <w:t xml:space="preserve">       报告公开询比活动，以本公司名义参与报价、合同执行并处理与之有关的其他事务，相关责任及后果由本公司承担。</w:t>
      </w:r>
    </w:p>
    <w:p w14:paraId="25C78572">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本授权书于</w:t>
      </w:r>
      <w:r>
        <w:rPr>
          <w:rFonts w:hint="eastAsia" w:ascii="宋体" w:hAnsi="宋体" w:eastAsia="宋体" w:cs="宋体"/>
          <w:color w:val="00B050"/>
          <w:sz w:val="28"/>
          <w:szCs w:val="28"/>
          <w:u w:val="single"/>
          <w:lang w:eastAsia="zh-CN"/>
        </w:rPr>
        <w:t>2025年</w:t>
      </w:r>
      <w:r>
        <w:rPr>
          <w:rFonts w:hint="eastAsia" w:ascii="宋体" w:hAnsi="宋体" w:eastAsia="宋体" w:cs="宋体"/>
          <w:color w:val="00B050"/>
          <w:sz w:val="28"/>
          <w:szCs w:val="28"/>
          <w:u w:val="single"/>
          <w:lang w:val="en-US" w:eastAsia="zh-CN"/>
        </w:rPr>
        <w:t>3</w:t>
      </w:r>
      <w:r>
        <w:rPr>
          <w:rFonts w:hint="eastAsia" w:ascii="宋体" w:hAnsi="宋体" w:eastAsia="宋体" w:cs="宋体"/>
          <w:color w:val="00B050"/>
          <w:sz w:val="28"/>
          <w:szCs w:val="28"/>
          <w:u w:val="single"/>
          <w:lang w:eastAsia="zh-CN"/>
        </w:rPr>
        <w:t>月   日</w:t>
      </w:r>
      <w:r>
        <w:rPr>
          <w:rFonts w:hint="eastAsia" w:ascii="宋体" w:hAnsi="宋体" w:eastAsia="宋体" w:cs="宋体"/>
          <w:sz w:val="24"/>
          <w:lang w:eastAsia="zh-CN"/>
        </w:rPr>
        <w:t>生效，本授权书有效期至此次报价，以及合同履行完毕时止。</w:t>
      </w:r>
    </w:p>
    <w:p w14:paraId="63A6AAFC">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特此声明。</w:t>
      </w:r>
    </w:p>
    <w:p w14:paraId="38AB3525">
      <w:pPr>
        <w:pStyle w:val="21"/>
        <w:rPr>
          <w:rFonts w:hint="eastAsia" w:ascii="宋体" w:hAnsi="宋体" w:eastAsia="宋体" w:cs="宋体"/>
        </w:rPr>
      </w:pPr>
    </w:p>
    <w:p w14:paraId="3C9C356B">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法人代表（签字）：</w:t>
      </w:r>
    </w:p>
    <w:p w14:paraId="48566376">
      <w:pPr>
        <w:spacing w:line="500" w:lineRule="exact"/>
        <w:rPr>
          <w:rFonts w:hint="eastAsia" w:ascii="宋体" w:hAnsi="宋体" w:eastAsia="宋体" w:cs="宋体"/>
          <w:sz w:val="24"/>
          <w:lang w:eastAsia="zh-CN"/>
        </w:rPr>
      </w:pPr>
    </w:p>
    <w:p w14:paraId="49D5A297">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被授权代表签字：</w:t>
      </w:r>
    </w:p>
    <w:p w14:paraId="2987A378">
      <w:pPr>
        <w:spacing w:line="500" w:lineRule="exact"/>
        <w:rPr>
          <w:rFonts w:hint="eastAsia" w:ascii="宋体" w:hAnsi="宋体" w:eastAsia="宋体" w:cs="宋体"/>
          <w:sz w:val="24"/>
          <w:lang w:eastAsia="zh-CN"/>
        </w:rPr>
      </w:pPr>
    </w:p>
    <w:p w14:paraId="0DF187F5">
      <w:pPr>
        <w:pStyle w:val="21"/>
        <w:rPr>
          <w:rFonts w:hint="eastAsia" w:ascii="宋体" w:hAnsi="宋体" w:eastAsia="宋体" w:cs="宋体"/>
        </w:rPr>
      </w:pPr>
    </w:p>
    <w:p w14:paraId="659FA83A">
      <w:pPr>
        <w:pStyle w:val="21"/>
        <w:rPr>
          <w:rFonts w:hint="eastAsia" w:ascii="宋体" w:hAnsi="宋体" w:eastAsia="宋体" w:cs="宋体"/>
        </w:rPr>
      </w:pPr>
    </w:p>
    <w:p w14:paraId="7837B619">
      <w:pPr>
        <w:pStyle w:val="21"/>
        <w:rPr>
          <w:rFonts w:hint="eastAsia" w:ascii="宋体" w:hAnsi="宋体" w:eastAsia="宋体" w:cs="宋体"/>
        </w:rPr>
      </w:pPr>
    </w:p>
    <w:p w14:paraId="6CBC2A0F">
      <w:pPr>
        <w:pStyle w:val="21"/>
        <w:rPr>
          <w:rFonts w:hint="eastAsia" w:ascii="宋体" w:hAnsi="宋体" w:eastAsia="宋体" w:cs="宋体"/>
        </w:rPr>
      </w:pPr>
    </w:p>
    <w:p w14:paraId="35D7CB36">
      <w:pPr>
        <w:pStyle w:val="21"/>
        <w:jc w:val="center"/>
        <w:rPr>
          <w:rFonts w:hint="eastAsia" w:ascii="宋体" w:hAnsi="宋体" w:eastAsia="宋体" w:cs="宋体"/>
          <w:color w:val="4E6127"/>
        </w:rPr>
      </w:pPr>
      <w:r>
        <w:rPr>
          <w:rFonts w:hint="eastAsia" w:ascii="宋体" w:hAnsi="宋体" w:eastAsia="宋体" w:cs="宋体"/>
          <w:sz w:val="24"/>
          <w:szCs w:val="24"/>
        </w:rPr>
        <w:t xml:space="preserve">               单位名称：</w:t>
      </w:r>
      <w:r>
        <w:rPr>
          <w:rFonts w:hint="eastAsia" w:ascii="宋体" w:hAnsi="宋体" w:eastAsia="宋体" w:cs="宋体"/>
          <w:color w:val="00B050"/>
          <w:kern w:val="2"/>
          <w:sz w:val="28"/>
          <w:szCs w:val="28"/>
        </w:rPr>
        <w:t>（公章）</w:t>
      </w:r>
    </w:p>
    <w:p w14:paraId="3B0DA987">
      <w:pPr>
        <w:pStyle w:val="21"/>
        <w:jc w:val="center"/>
        <w:rPr>
          <w:rFonts w:hint="eastAsia" w:ascii="宋体" w:hAnsi="宋体" w:eastAsia="宋体" w:cs="宋体"/>
          <w:color w:val="4E6127"/>
        </w:rPr>
      </w:pPr>
    </w:p>
    <w:p w14:paraId="50039A4A">
      <w:pPr>
        <w:pStyle w:val="21"/>
        <w:jc w:val="center"/>
        <w:rPr>
          <w:rFonts w:hint="eastAsia" w:ascii="宋体" w:hAnsi="宋体" w:eastAsia="宋体" w:cs="宋体"/>
        </w:rPr>
      </w:pPr>
    </w:p>
    <w:p w14:paraId="0920C7A9">
      <w:pPr>
        <w:pStyle w:val="21"/>
        <w:jc w:val="center"/>
        <w:rPr>
          <w:rFonts w:hint="eastAsia" w:ascii="宋体" w:hAnsi="宋体" w:eastAsia="宋体" w:cs="宋体"/>
        </w:rPr>
      </w:pPr>
    </w:p>
    <w:p w14:paraId="2F4A945B">
      <w:pPr>
        <w:pStyle w:val="21"/>
        <w:jc w:val="center"/>
        <w:rPr>
          <w:rFonts w:hint="eastAsia" w:ascii="宋体" w:hAnsi="宋体" w:eastAsia="宋体" w:cs="宋体"/>
        </w:rPr>
      </w:pPr>
    </w:p>
    <w:p w14:paraId="6ADFABA8">
      <w:pPr>
        <w:pStyle w:val="21"/>
        <w:jc w:val="center"/>
        <w:rPr>
          <w:rFonts w:hint="eastAsia" w:ascii="宋体" w:hAnsi="宋体" w:eastAsia="宋体" w:cs="宋体"/>
        </w:rPr>
      </w:pPr>
    </w:p>
    <w:p w14:paraId="0F2FF226">
      <w:pPr>
        <w:pStyle w:val="21"/>
        <w:jc w:val="center"/>
        <w:rPr>
          <w:rFonts w:hint="eastAsia" w:ascii="宋体" w:hAnsi="宋体" w:eastAsia="宋体" w:cs="宋体"/>
        </w:rPr>
      </w:pPr>
    </w:p>
    <w:p w14:paraId="34CD6438">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法定代表人身份证复印件（正反面）</w:t>
      </w:r>
    </w:p>
    <w:p w14:paraId="5D77E4E2">
      <w:pPr>
        <w:spacing w:line="500" w:lineRule="exact"/>
        <w:jc w:val="center"/>
        <w:rPr>
          <w:rFonts w:hint="eastAsia" w:ascii="宋体" w:hAnsi="宋体" w:eastAsia="宋体" w:cs="宋体"/>
          <w:b/>
          <w:bCs/>
          <w:color w:val="4E6127"/>
          <w:sz w:val="36"/>
          <w:szCs w:val="36"/>
          <w:lang w:eastAsia="zh-CN"/>
        </w:rPr>
      </w:pPr>
    </w:p>
    <w:p w14:paraId="7B5C2B71">
      <w:pPr>
        <w:spacing w:line="500" w:lineRule="exact"/>
        <w:jc w:val="center"/>
        <w:rPr>
          <w:rFonts w:hint="eastAsia" w:ascii="宋体" w:hAnsi="宋体" w:eastAsia="宋体" w:cs="宋体"/>
          <w:b/>
          <w:bCs/>
          <w:color w:val="4E6127"/>
          <w:sz w:val="36"/>
          <w:szCs w:val="36"/>
          <w:lang w:eastAsia="zh-CN"/>
        </w:rPr>
      </w:pPr>
    </w:p>
    <w:p w14:paraId="5AC63E42">
      <w:pPr>
        <w:spacing w:line="500" w:lineRule="exact"/>
        <w:jc w:val="center"/>
        <w:rPr>
          <w:rFonts w:hint="eastAsia" w:ascii="宋体" w:hAnsi="宋体" w:eastAsia="宋体" w:cs="宋体"/>
          <w:b/>
          <w:bCs/>
          <w:color w:val="4E6127"/>
          <w:sz w:val="36"/>
          <w:szCs w:val="36"/>
          <w:lang w:eastAsia="zh-CN"/>
        </w:rPr>
      </w:pPr>
    </w:p>
    <w:p w14:paraId="5E7E48CB">
      <w:pPr>
        <w:spacing w:line="500" w:lineRule="exact"/>
        <w:jc w:val="center"/>
        <w:rPr>
          <w:rFonts w:hint="eastAsia" w:ascii="宋体" w:hAnsi="宋体" w:eastAsia="宋体" w:cs="宋体"/>
          <w:b/>
          <w:bCs/>
          <w:color w:val="4E6127"/>
          <w:sz w:val="36"/>
          <w:szCs w:val="36"/>
          <w:lang w:eastAsia="zh-CN"/>
        </w:rPr>
      </w:pPr>
    </w:p>
    <w:p w14:paraId="7163D208">
      <w:pPr>
        <w:spacing w:line="500" w:lineRule="exact"/>
        <w:jc w:val="center"/>
        <w:rPr>
          <w:rFonts w:hint="eastAsia" w:ascii="宋体" w:hAnsi="宋体" w:eastAsia="宋体" w:cs="宋体"/>
          <w:b/>
          <w:bCs/>
          <w:color w:val="4E6127"/>
          <w:sz w:val="36"/>
          <w:szCs w:val="36"/>
          <w:lang w:eastAsia="zh-CN"/>
        </w:rPr>
      </w:pPr>
    </w:p>
    <w:p w14:paraId="1F81290F">
      <w:pPr>
        <w:pStyle w:val="21"/>
        <w:rPr>
          <w:rFonts w:hint="eastAsia" w:ascii="宋体" w:hAnsi="宋体" w:eastAsia="宋体" w:cs="宋体"/>
          <w:b/>
          <w:bCs/>
          <w:color w:val="4E6127"/>
          <w:sz w:val="36"/>
          <w:szCs w:val="36"/>
        </w:rPr>
      </w:pPr>
    </w:p>
    <w:p w14:paraId="31480A80">
      <w:pPr>
        <w:pStyle w:val="21"/>
        <w:rPr>
          <w:rFonts w:hint="eastAsia" w:ascii="宋体" w:hAnsi="宋体" w:eastAsia="宋体" w:cs="宋体"/>
          <w:b/>
          <w:bCs/>
          <w:color w:val="4E6127"/>
          <w:sz w:val="36"/>
          <w:szCs w:val="36"/>
        </w:rPr>
      </w:pPr>
    </w:p>
    <w:p w14:paraId="37F55F60">
      <w:pPr>
        <w:pStyle w:val="21"/>
        <w:rPr>
          <w:rFonts w:hint="eastAsia" w:ascii="宋体" w:hAnsi="宋体" w:eastAsia="宋体" w:cs="宋体"/>
          <w:b/>
          <w:bCs/>
          <w:color w:val="4E6127"/>
          <w:sz w:val="36"/>
          <w:szCs w:val="36"/>
        </w:rPr>
      </w:pPr>
    </w:p>
    <w:p w14:paraId="1D5DC6B2">
      <w:pPr>
        <w:pStyle w:val="21"/>
        <w:rPr>
          <w:rFonts w:hint="eastAsia" w:ascii="宋体" w:hAnsi="宋体" w:eastAsia="宋体" w:cs="宋体"/>
          <w:b/>
          <w:bCs/>
          <w:color w:val="4E6127"/>
          <w:sz w:val="36"/>
          <w:szCs w:val="36"/>
        </w:rPr>
      </w:pPr>
    </w:p>
    <w:p w14:paraId="478E67EC">
      <w:pPr>
        <w:pStyle w:val="23"/>
        <w:spacing w:beforeLines="0" w:afterLines="0" w:line="240" w:lineRule="auto"/>
        <w:ind w:firstLine="0" w:firstLineChars="0"/>
        <w:jc w:val="center"/>
        <w:rPr>
          <w:rFonts w:hint="eastAsia" w:ascii="宋体" w:hAnsi="宋体" w:eastAsia="宋体" w:cs="宋体"/>
          <w:b/>
          <w:sz w:val="36"/>
          <w:szCs w:val="36"/>
          <w:lang w:eastAsia="zh-CN"/>
        </w:rPr>
      </w:pPr>
      <w:r>
        <w:rPr>
          <w:rFonts w:hint="eastAsia" w:ascii="宋体" w:hAnsi="宋体" w:eastAsia="宋体" w:cs="宋体"/>
          <w:b/>
          <w:sz w:val="36"/>
          <w:szCs w:val="36"/>
          <w:lang w:eastAsia="zh-CN"/>
        </w:rPr>
        <w:t>被授权代表人身份证复印件</w:t>
      </w:r>
      <w:r>
        <w:rPr>
          <w:rFonts w:hint="eastAsia" w:ascii="宋体" w:hAnsi="宋体" w:eastAsia="宋体" w:cs="宋体"/>
          <w:b/>
          <w:bCs w:val="0"/>
          <w:sz w:val="36"/>
          <w:szCs w:val="36"/>
          <w:lang w:eastAsia="zh-CN"/>
        </w:rPr>
        <w:t>（正反面）</w:t>
      </w:r>
    </w:p>
    <w:p w14:paraId="4D3DD480">
      <w:pPr>
        <w:spacing w:line="500" w:lineRule="exact"/>
        <w:jc w:val="center"/>
        <w:rPr>
          <w:rFonts w:hint="eastAsia" w:ascii="宋体" w:hAnsi="宋体" w:eastAsia="宋体" w:cs="宋体"/>
          <w:b/>
          <w:bCs/>
          <w:color w:val="4E6127"/>
          <w:sz w:val="36"/>
          <w:szCs w:val="36"/>
          <w:lang w:eastAsia="zh-CN"/>
        </w:rPr>
      </w:pPr>
    </w:p>
    <w:p w14:paraId="0F0443EB">
      <w:pPr>
        <w:spacing w:line="500" w:lineRule="exact"/>
        <w:jc w:val="center"/>
        <w:rPr>
          <w:rFonts w:hint="eastAsia" w:ascii="宋体" w:hAnsi="宋体" w:eastAsia="宋体" w:cs="宋体"/>
          <w:b/>
          <w:bCs/>
          <w:sz w:val="36"/>
          <w:szCs w:val="36"/>
          <w:lang w:eastAsia="zh-CN"/>
        </w:rPr>
      </w:pPr>
    </w:p>
    <w:p w14:paraId="545CF976">
      <w:pPr>
        <w:spacing w:line="500" w:lineRule="exact"/>
        <w:jc w:val="center"/>
        <w:rPr>
          <w:rFonts w:hint="eastAsia" w:ascii="宋体" w:hAnsi="宋体" w:eastAsia="宋体" w:cs="宋体"/>
          <w:b/>
          <w:bCs/>
          <w:sz w:val="36"/>
          <w:szCs w:val="36"/>
          <w:lang w:eastAsia="zh-CN"/>
        </w:rPr>
      </w:pPr>
    </w:p>
    <w:p w14:paraId="6D8F1CCC">
      <w:pPr>
        <w:spacing w:line="500" w:lineRule="exact"/>
        <w:jc w:val="center"/>
        <w:rPr>
          <w:rFonts w:hint="eastAsia" w:ascii="宋体" w:hAnsi="宋体" w:eastAsia="宋体" w:cs="宋体"/>
          <w:b/>
          <w:bCs/>
          <w:sz w:val="36"/>
          <w:szCs w:val="36"/>
          <w:lang w:eastAsia="zh-CN"/>
        </w:rPr>
      </w:pPr>
    </w:p>
    <w:p w14:paraId="07EE472C">
      <w:pPr>
        <w:spacing w:line="500" w:lineRule="exact"/>
        <w:jc w:val="center"/>
        <w:rPr>
          <w:rFonts w:hint="eastAsia" w:ascii="宋体" w:hAnsi="宋体" w:eastAsia="宋体" w:cs="宋体"/>
          <w:b/>
          <w:bCs/>
          <w:sz w:val="36"/>
          <w:szCs w:val="36"/>
          <w:lang w:eastAsia="zh-CN"/>
        </w:rPr>
      </w:pPr>
    </w:p>
    <w:p w14:paraId="359D3F67">
      <w:pPr>
        <w:spacing w:line="500" w:lineRule="exact"/>
        <w:jc w:val="center"/>
        <w:rPr>
          <w:rFonts w:hint="eastAsia" w:ascii="宋体" w:hAnsi="宋体" w:eastAsia="宋体" w:cs="宋体"/>
          <w:b/>
          <w:bCs/>
          <w:sz w:val="36"/>
          <w:szCs w:val="36"/>
          <w:lang w:eastAsia="zh-CN"/>
        </w:rPr>
      </w:pPr>
    </w:p>
    <w:p w14:paraId="6BA956FB">
      <w:pPr>
        <w:spacing w:line="500" w:lineRule="exact"/>
        <w:jc w:val="center"/>
        <w:rPr>
          <w:rFonts w:hint="eastAsia" w:ascii="宋体" w:hAnsi="宋体" w:eastAsia="宋体" w:cs="宋体"/>
          <w:b/>
          <w:bCs/>
          <w:sz w:val="36"/>
          <w:szCs w:val="36"/>
          <w:lang w:eastAsia="zh-CN"/>
        </w:rPr>
      </w:pPr>
    </w:p>
    <w:p w14:paraId="7A57984C">
      <w:pPr>
        <w:spacing w:line="500" w:lineRule="exact"/>
        <w:jc w:val="center"/>
        <w:rPr>
          <w:rFonts w:hint="eastAsia" w:ascii="宋体" w:hAnsi="宋体" w:eastAsia="宋体" w:cs="宋体"/>
          <w:b/>
          <w:bCs/>
          <w:sz w:val="36"/>
          <w:szCs w:val="36"/>
          <w:lang w:eastAsia="zh-CN"/>
        </w:rPr>
      </w:pPr>
    </w:p>
    <w:p w14:paraId="2AA8D2B5">
      <w:pPr>
        <w:spacing w:line="500" w:lineRule="exact"/>
        <w:jc w:val="center"/>
        <w:rPr>
          <w:rFonts w:hint="eastAsia" w:ascii="宋体" w:hAnsi="宋体" w:eastAsia="宋体" w:cs="宋体"/>
          <w:b/>
          <w:bCs/>
          <w:sz w:val="36"/>
          <w:szCs w:val="36"/>
          <w:lang w:eastAsia="zh-CN"/>
        </w:rPr>
      </w:pPr>
    </w:p>
    <w:p w14:paraId="2EA894D9">
      <w:pPr>
        <w:spacing w:line="500" w:lineRule="exact"/>
        <w:jc w:val="center"/>
        <w:rPr>
          <w:rFonts w:hint="eastAsia" w:ascii="宋体" w:hAnsi="宋体" w:eastAsia="宋体" w:cs="宋体"/>
          <w:b/>
          <w:bCs/>
          <w:sz w:val="36"/>
          <w:szCs w:val="36"/>
          <w:lang w:eastAsia="zh-CN"/>
        </w:rPr>
      </w:pPr>
    </w:p>
    <w:p w14:paraId="49053AFE">
      <w:pPr>
        <w:spacing w:line="500" w:lineRule="exact"/>
        <w:rPr>
          <w:rFonts w:hint="eastAsia" w:ascii="宋体" w:hAnsi="宋体" w:eastAsia="宋体" w:cs="宋体"/>
          <w:b/>
          <w:bCs/>
          <w:sz w:val="36"/>
          <w:szCs w:val="36"/>
          <w:lang w:eastAsia="zh-CN"/>
        </w:rPr>
      </w:pPr>
    </w:p>
    <w:p w14:paraId="2BAB67A5">
      <w:pPr>
        <w:spacing w:line="500" w:lineRule="exact"/>
        <w:jc w:val="center"/>
        <w:rPr>
          <w:rFonts w:hint="eastAsia" w:ascii="宋体" w:hAnsi="宋体" w:eastAsia="宋体" w:cs="宋体"/>
          <w:b/>
          <w:bCs/>
          <w:sz w:val="36"/>
          <w:szCs w:val="36"/>
          <w:lang w:eastAsia="zh-CN"/>
        </w:rPr>
      </w:pPr>
    </w:p>
    <w:p w14:paraId="07F65932">
      <w:pPr>
        <w:spacing w:line="500" w:lineRule="exact"/>
        <w:jc w:val="center"/>
        <w:rPr>
          <w:rFonts w:hint="eastAsia" w:ascii="宋体" w:hAnsi="宋体" w:eastAsia="宋体" w:cs="宋体"/>
          <w:b/>
          <w:bCs/>
          <w:sz w:val="36"/>
          <w:szCs w:val="36"/>
          <w:lang w:eastAsia="zh-CN"/>
        </w:rPr>
      </w:pPr>
    </w:p>
    <w:p w14:paraId="1BFF260C">
      <w:pPr>
        <w:pStyle w:val="21"/>
        <w:rPr>
          <w:rFonts w:hint="eastAsia" w:ascii="宋体" w:hAnsi="宋体" w:eastAsia="宋体" w:cs="宋体"/>
          <w:b/>
          <w:bCs/>
          <w:sz w:val="36"/>
          <w:szCs w:val="36"/>
        </w:rPr>
      </w:pPr>
    </w:p>
    <w:p w14:paraId="56FE4AB3">
      <w:pPr>
        <w:pStyle w:val="21"/>
        <w:rPr>
          <w:rFonts w:hint="eastAsia" w:ascii="宋体" w:hAnsi="宋体" w:eastAsia="宋体" w:cs="宋体"/>
          <w:b/>
          <w:bCs/>
          <w:sz w:val="36"/>
          <w:szCs w:val="36"/>
        </w:rPr>
      </w:pPr>
    </w:p>
    <w:p w14:paraId="4082A934">
      <w:pPr>
        <w:pStyle w:val="21"/>
        <w:rPr>
          <w:rFonts w:hint="eastAsia" w:ascii="宋体" w:hAnsi="宋体" w:eastAsia="宋体" w:cs="宋体"/>
          <w:b/>
          <w:bCs/>
          <w:sz w:val="36"/>
          <w:szCs w:val="36"/>
        </w:rPr>
      </w:pPr>
    </w:p>
    <w:p w14:paraId="52FE9EB3">
      <w:pPr>
        <w:pStyle w:val="23"/>
        <w:spacing w:beforeLines="0" w:afterLines="0" w:line="240" w:lineRule="auto"/>
        <w:ind w:firstLine="0" w:firstLineChars="0"/>
        <w:jc w:val="center"/>
        <w:rPr>
          <w:rFonts w:hint="eastAsia" w:ascii="宋体" w:hAnsi="宋体" w:eastAsia="宋体" w:cs="宋体"/>
          <w:b/>
          <w:sz w:val="36"/>
          <w:szCs w:val="36"/>
          <w:lang w:eastAsia="zh-CN"/>
        </w:rPr>
      </w:pPr>
      <w:r>
        <w:rPr>
          <w:rFonts w:hint="eastAsia" w:ascii="宋体" w:hAnsi="宋体" w:eastAsia="宋体" w:cs="宋体"/>
          <w:b/>
          <w:sz w:val="36"/>
          <w:szCs w:val="36"/>
          <w:lang w:eastAsia="zh-CN"/>
        </w:rPr>
        <w:t>企业概况</w:t>
      </w:r>
    </w:p>
    <w:p w14:paraId="406D68F1">
      <w:pPr>
        <w:pStyle w:val="23"/>
        <w:spacing w:beforeLines="0" w:afterLines="0" w:line="240" w:lineRule="auto"/>
        <w:ind w:firstLine="0" w:firstLineChars="0"/>
        <w:jc w:val="center"/>
        <w:rPr>
          <w:rFonts w:hint="eastAsia" w:ascii="宋体" w:hAnsi="宋体" w:eastAsia="宋体" w:cs="宋体"/>
          <w:color w:val="FF0000"/>
          <w:lang w:eastAsia="zh-CN"/>
        </w:rPr>
      </w:pPr>
      <w:r>
        <w:rPr>
          <w:rFonts w:hint="eastAsia" w:ascii="宋体" w:hAnsi="宋体" w:eastAsia="宋体" w:cs="宋体"/>
          <w:b/>
          <w:color w:val="FF0000"/>
          <w:sz w:val="24"/>
          <w:szCs w:val="24"/>
          <w:u w:val="single"/>
          <w:lang w:eastAsia="zh-CN"/>
        </w:rPr>
        <w:t>（如内容超过一页，可附页）</w:t>
      </w:r>
    </w:p>
    <w:p w14:paraId="3DFECAF6">
      <w:pPr>
        <w:pStyle w:val="21"/>
        <w:jc w:val="center"/>
        <w:rPr>
          <w:rFonts w:hint="eastAsia" w:ascii="宋体" w:hAnsi="宋体" w:eastAsia="宋体" w:cs="宋体"/>
          <w:color w:val="FF0000"/>
        </w:rPr>
      </w:pPr>
    </w:p>
    <w:p w14:paraId="5387328F">
      <w:pPr>
        <w:pStyle w:val="21"/>
        <w:jc w:val="center"/>
        <w:rPr>
          <w:rFonts w:hint="eastAsia" w:ascii="宋体" w:hAnsi="宋体" w:eastAsia="宋体" w:cs="宋体"/>
        </w:rPr>
      </w:pPr>
    </w:p>
    <w:p w14:paraId="0102840C">
      <w:pPr>
        <w:pStyle w:val="21"/>
        <w:jc w:val="center"/>
        <w:rPr>
          <w:rFonts w:hint="eastAsia" w:ascii="宋体" w:hAnsi="宋体" w:eastAsia="宋体" w:cs="宋体"/>
        </w:rPr>
      </w:pPr>
    </w:p>
    <w:p w14:paraId="634EE69A">
      <w:pPr>
        <w:pStyle w:val="21"/>
        <w:jc w:val="center"/>
        <w:rPr>
          <w:rFonts w:hint="eastAsia" w:ascii="宋体" w:hAnsi="宋体" w:eastAsia="宋体" w:cs="宋体"/>
        </w:rPr>
      </w:pPr>
    </w:p>
    <w:p w14:paraId="149B8867">
      <w:pPr>
        <w:pStyle w:val="21"/>
        <w:jc w:val="center"/>
        <w:rPr>
          <w:rFonts w:hint="eastAsia" w:ascii="宋体" w:hAnsi="宋体" w:eastAsia="宋体" w:cs="宋体"/>
        </w:rPr>
      </w:pPr>
    </w:p>
    <w:p w14:paraId="77B291E9">
      <w:pPr>
        <w:pStyle w:val="21"/>
        <w:jc w:val="center"/>
        <w:rPr>
          <w:rFonts w:hint="eastAsia" w:ascii="宋体" w:hAnsi="宋体" w:eastAsia="宋体" w:cs="宋体"/>
        </w:rPr>
      </w:pPr>
    </w:p>
    <w:p w14:paraId="179A504F">
      <w:pPr>
        <w:pStyle w:val="21"/>
        <w:jc w:val="center"/>
        <w:rPr>
          <w:rFonts w:hint="eastAsia" w:ascii="宋体" w:hAnsi="宋体" w:eastAsia="宋体" w:cs="宋体"/>
        </w:rPr>
      </w:pPr>
    </w:p>
    <w:p w14:paraId="5CAFDA94">
      <w:pPr>
        <w:pStyle w:val="21"/>
        <w:jc w:val="center"/>
        <w:rPr>
          <w:rFonts w:hint="eastAsia" w:ascii="宋体" w:hAnsi="宋体" w:eastAsia="宋体" w:cs="宋体"/>
        </w:rPr>
      </w:pPr>
    </w:p>
    <w:p w14:paraId="4451840C">
      <w:pPr>
        <w:pStyle w:val="21"/>
        <w:jc w:val="center"/>
        <w:rPr>
          <w:rFonts w:hint="eastAsia" w:ascii="宋体" w:hAnsi="宋体" w:eastAsia="宋体" w:cs="宋体"/>
        </w:rPr>
      </w:pPr>
    </w:p>
    <w:p w14:paraId="0A5770F0">
      <w:pPr>
        <w:pStyle w:val="21"/>
        <w:jc w:val="center"/>
        <w:rPr>
          <w:rFonts w:hint="eastAsia" w:ascii="宋体" w:hAnsi="宋体" w:eastAsia="宋体" w:cs="宋体"/>
        </w:rPr>
      </w:pPr>
    </w:p>
    <w:p w14:paraId="55630743">
      <w:pPr>
        <w:pStyle w:val="21"/>
        <w:jc w:val="center"/>
        <w:rPr>
          <w:rFonts w:hint="eastAsia" w:ascii="宋体" w:hAnsi="宋体" w:eastAsia="宋体" w:cs="宋体"/>
        </w:rPr>
      </w:pPr>
    </w:p>
    <w:p w14:paraId="25F80610">
      <w:pPr>
        <w:pStyle w:val="21"/>
        <w:jc w:val="center"/>
        <w:rPr>
          <w:rFonts w:hint="eastAsia" w:ascii="宋体" w:hAnsi="宋体" w:eastAsia="宋体" w:cs="宋体"/>
        </w:rPr>
      </w:pPr>
    </w:p>
    <w:p w14:paraId="39C69273">
      <w:pPr>
        <w:pStyle w:val="21"/>
        <w:jc w:val="center"/>
        <w:rPr>
          <w:rFonts w:hint="eastAsia" w:ascii="宋体" w:hAnsi="宋体" w:eastAsia="宋体" w:cs="宋体"/>
        </w:rPr>
      </w:pPr>
    </w:p>
    <w:p w14:paraId="0B695781">
      <w:pPr>
        <w:pStyle w:val="21"/>
        <w:jc w:val="center"/>
        <w:rPr>
          <w:rFonts w:hint="eastAsia" w:ascii="宋体" w:hAnsi="宋体" w:eastAsia="宋体" w:cs="宋体"/>
        </w:rPr>
      </w:pPr>
    </w:p>
    <w:p w14:paraId="0A309931">
      <w:pPr>
        <w:pStyle w:val="21"/>
        <w:jc w:val="center"/>
        <w:rPr>
          <w:rFonts w:hint="eastAsia" w:ascii="宋体" w:hAnsi="宋体" w:eastAsia="宋体" w:cs="宋体"/>
        </w:rPr>
      </w:pPr>
    </w:p>
    <w:p w14:paraId="2FC1F9AB">
      <w:pPr>
        <w:pStyle w:val="21"/>
        <w:jc w:val="center"/>
        <w:rPr>
          <w:rFonts w:hint="eastAsia" w:ascii="宋体" w:hAnsi="宋体" w:eastAsia="宋体" w:cs="宋体"/>
        </w:rPr>
      </w:pPr>
    </w:p>
    <w:p w14:paraId="0CAAE5D0">
      <w:pPr>
        <w:pStyle w:val="21"/>
        <w:jc w:val="center"/>
        <w:rPr>
          <w:rFonts w:hint="eastAsia" w:ascii="宋体" w:hAnsi="宋体" w:eastAsia="宋体" w:cs="宋体"/>
        </w:rPr>
      </w:pPr>
    </w:p>
    <w:p w14:paraId="53B1DA61">
      <w:pPr>
        <w:pStyle w:val="21"/>
        <w:jc w:val="center"/>
        <w:rPr>
          <w:rFonts w:hint="eastAsia" w:ascii="宋体" w:hAnsi="宋体" w:eastAsia="宋体" w:cs="宋体"/>
        </w:rPr>
      </w:pPr>
    </w:p>
    <w:p w14:paraId="44B736F7">
      <w:pPr>
        <w:pStyle w:val="21"/>
        <w:jc w:val="center"/>
        <w:rPr>
          <w:rFonts w:hint="eastAsia" w:ascii="宋体" w:hAnsi="宋体" w:eastAsia="宋体" w:cs="宋体"/>
          <w:color w:val="0000FF"/>
        </w:rPr>
      </w:pPr>
    </w:p>
    <w:p w14:paraId="149AF8AF">
      <w:pPr>
        <w:spacing w:line="500" w:lineRule="exact"/>
        <w:jc w:val="center"/>
        <w:rPr>
          <w:rFonts w:hint="eastAsia" w:ascii="宋体" w:hAnsi="宋体" w:eastAsia="宋体" w:cs="宋体"/>
          <w:b/>
          <w:bCs/>
          <w:sz w:val="36"/>
          <w:szCs w:val="36"/>
          <w:lang w:eastAsia="zh-CN"/>
        </w:rPr>
      </w:pPr>
    </w:p>
    <w:p w14:paraId="255F96A3">
      <w:pPr>
        <w:spacing w:line="500" w:lineRule="exact"/>
        <w:jc w:val="center"/>
        <w:rPr>
          <w:rFonts w:hint="eastAsia" w:ascii="宋体" w:hAnsi="宋体" w:eastAsia="宋体" w:cs="宋体"/>
          <w:b/>
          <w:bCs/>
          <w:sz w:val="36"/>
          <w:szCs w:val="36"/>
          <w:lang w:eastAsia="zh-CN"/>
        </w:rPr>
      </w:pPr>
    </w:p>
    <w:p w14:paraId="36AF5635">
      <w:pPr>
        <w:pStyle w:val="21"/>
        <w:rPr>
          <w:rFonts w:hint="eastAsia" w:ascii="宋体" w:hAnsi="宋体" w:eastAsia="宋体" w:cs="宋体"/>
        </w:rPr>
      </w:pPr>
    </w:p>
    <w:p w14:paraId="35C64CAA">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营业执照复印件</w:t>
      </w:r>
    </w:p>
    <w:p w14:paraId="5741F8C1">
      <w:pPr>
        <w:pStyle w:val="21"/>
        <w:jc w:val="center"/>
        <w:rPr>
          <w:rFonts w:hint="eastAsia" w:ascii="宋体" w:hAnsi="宋体" w:eastAsia="宋体" w:cs="宋体"/>
        </w:rPr>
      </w:pPr>
    </w:p>
    <w:p w14:paraId="134BD03B">
      <w:pPr>
        <w:pStyle w:val="21"/>
        <w:jc w:val="center"/>
        <w:rPr>
          <w:rFonts w:hint="eastAsia" w:ascii="宋体" w:hAnsi="宋体" w:eastAsia="宋体" w:cs="宋体"/>
        </w:rPr>
      </w:pPr>
    </w:p>
    <w:p w14:paraId="4DC9CA0A">
      <w:pPr>
        <w:pStyle w:val="21"/>
        <w:jc w:val="center"/>
        <w:rPr>
          <w:rFonts w:hint="eastAsia" w:ascii="宋体" w:hAnsi="宋体" w:eastAsia="宋体" w:cs="宋体"/>
        </w:rPr>
      </w:pPr>
    </w:p>
    <w:p w14:paraId="58BD69EE">
      <w:pPr>
        <w:pStyle w:val="21"/>
        <w:jc w:val="center"/>
        <w:rPr>
          <w:rFonts w:hint="eastAsia" w:ascii="宋体" w:hAnsi="宋体" w:eastAsia="宋体" w:cs="宋体"/>
        </w:rPr>
      </w:pPr>
    </w:p>
    <w:p w14:paraId="0407A769">
      <w:pPr>
        <w:pStyle w:val="21"/>
        <w:jc w:val="center"/>
        <w:rPr>
          <w:rFonts w:hint="eastAsia" w:ascii="宋体" w:hAnsi="宋体" w:eastAsia="宋体" w:cs="宋体"/>
        </w:rPr>
      </w:pPr>
    </w:p>
    <w:p w14:paraId="00DCFCF0">
      <w:pPr>
        <w:pStyle w:val="21"/>
        <w:jc w:val="center"/>
        <w:rPr>
          <w:rFonts w:hint="eastAsia" w:ascii="宋体" w:hAnsi="宋体" w:eastAsia="宋体" w:cs="宋体"/>
        </w:rPr>
      </w:pPr>
    </w:p>
    <w:p w14:paraId="0DAF1E17">
      <w:pPr>
        <w:pStyle w:val="21"/>
        <w:jc w:val="center"/>
        <w:rPr>
          <w:rFonts w:hint="eastAsia" w:ascii="宋体" w:hAnsi="宋体" w:eastAsia="宋体" w:cs="宋体"/>
        </w:rPr>
      </w:pPr>
    </w:p>
    <w:p w14:paraId="0FED7F89">
      <w:pPr>
        <w:pStyle w:val="21"/>
        <w:jc w:val="center"/>
        <w:rPr>
          <w:rFonts w:hint="eastAsia" w:ascii="宋体" w:hAnsi="宋体" w:eastAsia="宋体" w:cs="宋体"/>
        </w:rPr>
      </w:pPr>
    </w:p>
    <w:p w14:paraId="3B51FA27">
      <w:pPr>
        <w:pStyle w:val="21"/>
        <w:jc w:val="center"/>
        <w:rPr>
          <w:rFonts w:hint="eastAsia" w:ascii="宋体" w:hAnsi="宋体" w:eastAsia="宋体" w:cs="宋体"/>
        </w:rPr>
      </w:pPr>
    </w:p>
    <w:p w14:paraId="41E2E596">
      <w:pPr>
        <w:pStyle w:val="21"/>
        <w:jc w:val="center"/>
        <w:rPr>
          <w:rFonts w:hint="eastAsia" w:ascii="宋体" w:hAnsi="宋体" w:eastAsia="宋体" w:cs="宋体"/>
        </w:rPr>
      </w:pPr>
    </w:p>
    <w:p w14:paraId="63C39446">
      <w:pPr>
        <w:pStyle w:val="21"/>
        <w:jc w:val="center"/>
        <w:rPr>
          <w:rFonts w:hint="eastAsia" w:ascii="宋体" w:hAnsi="宋体" w:eastAsia="宋体" w:cs="宋体"/>
        </w:rPr>
      </w:pPr>
    </w:p>
    <w:p w14:paraId="7AEC7268">
      <w:pPr>
        <w:pStyle w:val="21"/>
        <w:rPr>
          <w:rFonts w:hint="eastAsia" w:ascii="宋体" w:hAnsi="宋体" w:eastAsia="宋体" w:cs="宋体"/>
        </w:rPr>
      </w:pPr>
    </w:p>
    <w:p w14:paraId="4957E307">
      <w:pPr>
        <w:pStyle w:val="21"/>
        <w:rPr>
          <w:rFonts w:hint="eastAsia" w:ascii="宋体" w:hAnsi="宋体" w:eastAsia="宋体" w:cs="宋体"/>
        </w:rPr>
      </w:pPr>
    </w:p>
    <w:p w14:paraId="3FB37B22">
      <w:pPr>
        <w:pStyle w:val="21"/>
        <w:rPr>
          <w:rFonts w:hint="eastAsia" w:ascii="宋体" w:hAnsi="宋体" w:eastAsia="宋体" w:cs="宋体"/>
        </w:rPr>
      </w:pPr>
    </w:p>
    <w:p w14:paraId="11323277">
      <w:pPr>
        <w:pStyle w:val="21"/>
        <w:rPr>
          <w:rFonts w:hint="eastAsia" w:ascii="宋体" w:hAnsi="宋体" w:eastAsia="宋体" w:cs="宋体"/>
        </w:rPr>
      </w:pPr>
    </w:p>
    <w:p w14:paraId="5DB04789">
      <w:pPr>
        <w:pStyle w:val="21"/>
        <w:rPr>
          <w:rFonts w:hint="eastAsia" w:ascii="宋体" w:hAnsi="宋体" w:eastAsia="宋体" w:cs="宋体"/>
        </w:rPr>
      </w:pPr>
    </w:p>
    <w:p w14:paraId="69A8C2B9">
      <w:pPr>
        <w:pStyle w:val="21"/>
        <w:rPr>
          <w:rFonts w:hint="eastAsia" w:ascii="宋体" w:hAnsi="宋体" w:eastAsia="宋体" w:cs="宋体"/>
        </w:rPr>
      </w:pPr>
    </w:p>
    <w:p w14:paraId="75CE5622">
      <w:pPr>
        <w:pStyle w:val="21"/>
        <w:rPr>
          <w:rFonts w:hint="eastAsia" w:ascii="宋体" w:hAnsi="宋体" w:eastAsia="宋体" w:cs="宋体"/>
        </w:rPr>
      </w:pPr>
    </w:p>
    <w:p w14:paraId="273A2B27">
      <w:pPr>
        <w:pStyle w:val="21"/>
        <w:rPr>
          <w:rFonts w:hint="eastAsia" w:ascii="宋体" w:hAnsi="宋体" w:eastAsia="宋体" w:cs="宋体"/>
        </w:rPr>
      </w:pPr>
    </w:p>
    <w:p w14:paraId="25045C9A">
      <w:pPr>
        <w:pStyle w:val="21"/>
        <w:rPr>
          <w:rFonts w:hint="eastAsia" w:ascii="宋体" w:hAnsi="宋体" w:eastAsia="宋体" w:cs="宋体"/>
        </w:rPr>
      </w:pPr>
    </w:p>
    <w:p w14:paraId="00F92A37">
      <w:pPr>
        <w:pStyle w:val="21"/>
        <w:rPr>
          <w:rFonts w:hint="eastAsia" w:ascii="宋体" w:hAnsi="宋体" w:eastAsia="宋体" w:cs="宋体"/>
        </w:rPr>
      </w:pPr>
    </w:p>
    <w:p w14:paraId="0F0A4B5B">
      <w:pPr>
        <w:spacing w:line="360" w:lineRule="auto"/>
        <w:jc w:val="center"/>
        <w:rPr>
          <w:rFonts w:hint="eastAsia" w:ascii="宋体" w:hAnsi="宋体" w:eastAsia="宋体" w:cs="宋体"/>
          <w:b/>
          <w:sz w:val="36"/>
          <w:szCs w:val="36"/>
          <w:lang w:eastAsia="zh-CN"/>
        </w:rPr>
      </w:pPr>
    </w:p>
    <w:p w14:paraId="24831B41">
      <w:pPr>
        <w:jc w:val="center"/>
        <w:rPr>
          <w:b/>
          <w:sz w:val="36"/>
          <w:szCs w:val="36"/>
          <w:lang w:eastAsia="zh-CN"/>
        </w:rPr>
      </w:pPr>
      <w:r>
        <w:rPr>
          <w:rFonts w:hint="eastAsia"/>
          <w:b/>
          <w:sz w:val="36"/>
          <w:szCs w:val="36"/>
          <w:lang w:eastAsia="zh-CN"/>
        </w:rPr>
        <w:t>报 价 单</w:t>
      </w:r>
    </w:p>
    <w:p w14:paraId="43DAA3A8">
      <w:pPr>
        <w:pStyle w:val="23"/>
        <w:spacing w:beforeLines="0" w:afterLines="0" w:line="240" w:lineRule="auto"/>
        <w:ind w:firstLineChars="0"/>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（注：本报价单和附件需单独盖章密封）</w:t>
      </w:r>
    </w:p>
    <w:p w14:paraId="12B73641">
      <w:pPr>
        <w:pStyle w:val="23"/>
        <w:spacing w:beforeLines="0" w:afterLines="0"/>
        <w:ind w:firstLineChars="0"/>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14:paraId="1132BDE4">
      <w:pPr>
        <w:pStyle w:val="6"/>
        <w:spacing w:line="360" w:lineRule="auto"/>
        <w:ind w:right="121"/>
        <w:jc w:val="both"/>
        <w:rPr>
          <w:rFonts w:hint="eastAsia" w:ascii="宋体" w:hAnsi="宋体" w:eastAsia="宋体" w:cs="宋体"/>
          <w:color w:val="000000" w:themeColor="text1"/>
          <w:u w:val="single"/>
          <w:lang w:eastAsia="zh-CN"/>
          <w14:textFill>
            <w14:solidFill>
              <w14:schemeClr w14:val="tx1"/>
            </w14:solidFill>
          </w14:textFill>
        </w:rPr>
      </w:pPr>
      <w:r>
        <w:rPr>
          <w:rFonts w:hint="eastAsia"/>
          <w:lang w:eastAsia="zh-CN"/>
        </w:rPr>
        <w:t>项目名称：</w:t>
      </w:r>
      <w:r>
        <w:rPr>
          <w:rFonts w:hint="eastAsia"/>
          <w:color w:val="000000" w:themeColor="text1"/>
          <w:u w:val="single"/>
          <w:lang w:eastAsia="zh-CN"/>
          <w14:textFill>
            <w14:solidFill>
              <w14:schemeClr w14:val="tx1"/>
            </w14:solidFill>
          </w14:textFill>
        </w:rPr>
        <w:t>福建福海创石油化工有限公司</w:t>
      </w:r>
      <w:r>
        <w:rPr>
          <w:rFonts w:hint="eastAsia" w:ascii="宋体" w:hAnsi="宋体" w:eastAsia="宋体" w:cs="宋体"/>
          <w:color w:val="FF0000"/>
          <w:sz w:val="28"/>
          <w:szCs w:val="28"/>
          <w:u w:val="single"/>
          <w:lang w:eastAsia="zh-CN"/>
        </w:rPr>
        <w:t>机电离线监测设备采购与安装项目</w:t>
      </w:r>
    </w:p>
    <w:p w14:paraId="79B6AFE7">
      <w:pPr>
        <w:widowControl/>
        <w:autoSpaceDE/>
        <w:autoSpaceDN/>
        <w:spacing w:line="360" w:lineRule="auto"/>
        <w:ind w:left="557"/>
        <w:jc w:val="both"/>
        <w:rPr>
          <w:sz w:val="24"/>
          <w:szCs w:val="24"/>
          <w:lang w:eastAsia="zh-CN"/>
        </w:rPr>
      </w:pPr>
      <w:r>
        <w:rPr>
          <w:rFonts w:hint="eastAsia"/>
          <w:sz w:val="24"/>
          <w:szCs w:val="24"/>
          <w:lang w:val="en-US" w:eastAsia="zh-CN"/>
        </w:rPr>
        <w:t>暂定</w:t>
      </w:r>
      <w:r>
        <w:rPr>
          <w:rFonts w:hint="eastAsia"/>
          <w:sz w:val="24"/>
          <w:szCs w:val="24"/>
          <w:lang w:eastAsia="zh-CN"/>
        </w:rPr>
        <w:t>参选报价</w:t>
      </w:r>
      <w:r>
        <w:rPr>
          <w:rFonts w:hint="eastAsia"/>
          <w:sz w:val="24"/>
          <w:szCs w:val="24"/>
          <w:lang w:val="en-US" w:eastAsia="zh-CN"/>
        </w:rPr>
        <w:t>总价</w:t>
      </w:r>
      <w:r>
        <w:rPr>
          <w:rFonts w:hint="eastAsia"/>
          <w:sz w:val="24"/>
          <w:szCs w:val="24"/>
          <w:lang w:eastAsia="zh-CN"/>
        </w:rPr>
        <w:t>：</w:t>
      </w:r>
      <w:r>
        <w:rPr>
          <w:rFonts w:hint="eastAsia"/>
          <w:sz w:val="24"/>
          <w:szCs w:val="24"/>
          <w:u w:val="single"/>
          <w:lang w:eastAsia="zh-CN"/>
        </w:rPr>
        <w:t xml:space="preserve">            </w:t>
      </w:r>
      <w:r>
        <w:rPr>
          <w:rFonts w:hint="eastAsia"/>
          <w:sz w:val="24"/>
          <w:szCs w:val="24"/>
          <w:lang w:eastAsia="zh-CN"/>
        </w:rPr>
        <w:t>元 （具体见附件</w:t>
      </w:r>
      <w:r>
        <w:rPr>
          <w:rFonts w:hint="eastAsia"/>
          <w:sz w:val="24"/>
          <w:szCs w:val="24"/>
          <w:lang w:val="en-US" w:eastAsia="zh-CN"/>
        </w:rPr>
        <w:t>1、《价格清单》，</w:t>
      </w:r>
      <w:r>
        <w:rPr>
          <w:rFonts w:hint="eastAsia" w:asciiTheme="minorEastAsia" w:hAnsiTheme="minorEastAsia" w:eastAsiaTheme="minorEastAsia" w:cstheme="minorEastAsia"/>
          <w:sz w:val="24"/>
          <w:szCs w:val="24"/>
          <w:lang w:eastAsia="zh-CN"/>
        </w:rPr>
        <w:t>分项报价表见下表</w:t>
      </w:r>
      <w:r>
        <w:rPr>
          <w:rFonts w:hint="eastAsia"/>
          <w:sz w:val="24"/>
          <w:szCs w:val="24"/>
          <w:lang w:eastAsia="zh-CN"/>
        </w:rPr>
        <w:t>）</w:t>
      </w:r>
    </w:p>
    <w:p w14:paraId="54F8C198">
      <w:pPr>
        <w:pStyle w:val="21"/>
        <w:rPr>
          <w:sz w:val="24"/>
          <w:szCs w:val="24"/>
        </w:rPr>
      </w:pPr>
      <w:r>
        <w:rPr>
          <w:rFonts w:hint="eastAsia"/>
        </w:rPr>
        <w:t xml:space="preserve">   </w:t>
      </w:r>
      <w:r>
        <w:rPr>
          <w:rFonts w:hint="eastAsia"/>
          <w:sz w:val="24"/>
          <w:szCs w:val="24"/>
        </w:rPr>
        <w:t>注： 1、价格为含税价，税率：</w:t>
      </w:r>
      <w:r>
        <w:rPr>
          <w:rFonts w:hint="eastAsia"/>
          <w:sz w:val="24"/>
          <w:szCs w:val="24"/>
          <w:u w:val="single"/>
        </w:rPr>
        <w:t xml:space="preserve">     </w:t>
      </w:r>
      <w:r>
        <w:rPr>
          <w:rFonts w:hint="eastAsia"/>
          <w:sz w:val="24"/>
          <w:szCs w:val="24"/>
        </w:rPr>
        <w:t xml:space="preserve"> ；</w:t>
      </w:r>
    </w:p>
    <w:p w14:paraId="44854C9B">
      <w:pPr>
        <w:pStyle w:val="21"/>
        <w:spacing w:line="360" w:lineRule="auto"/>
        <w:rPr>
          <w:sz w:val="24"/>
          <w:szCs w:val="24"/>
        </w:rPr>
      </w:pPr>
      <w:r>
        <w:rPr>
          <w:rFonts w:hint="eastAsia"/>
          <w:sz w:val="24"/>
          <w:szCs w:val="24"/>
        </w:rPr>
        <w:t xml:space="preserve">         2、付款方式：</w:t>
      </w:r>
      <w:r>
        <w:rPr>
          <w:rFonts w:hint="eastAsia"/>
          <w:bCs/>
          <w:sz w:val="24"/>
        </w:rPr>
        <w:t>全部款项均以电汇方式支付，验收合格后付90%,留10%质保金（质保期以检修结束验收合格后12个月）</w:t>
      </w:r>
      <w:r>
        <w:rPr>
          <w:rFonts w:hint="eastAsia"/>
          <w:sz w:val="24"/>
          <w:szCs w:val="24"/>
        </w:rPr>
        <w:t>；</w:t>
      </w:r>
    </w:p>
    <w:p w14:paraId="551B7BEA">
      <w:pPr>
        <w:pStyle w:val="21"/>
        <w:spacing w:line="360" w:lineRule="auto"/>
        <w:rPr>
          <w:sz w:val="24"/>
          <w:szCs w:val="24"/>
          <w:u w:val="single"/>
        </w:rPr>
      </w:pPr>
      <w:r>
        <w:rPr>
          <w:rFonts w:hint="eastAsia"/>
          <w:sz w:val="24"/>
          <w:szCs w:val="24"/>
        </w:rPr>
        <w:t xml:space="preserve">       </w:t>
      </w:r>
    </w:p>
    <w:p w14:paraId="0FF0EBDA">
      <w:pPr>
        <w:pStyle w:val="21"/>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color w:val="00B050"/>
          <w:sz w:val="24"/>
          <w:szCs w:val="24"/>
        </w:rPr>
        <w:t>（加盖参选单位章）</w:t>
      </w:r>
    </w:p>
    <w:p w14:paraId="53F3F394">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14:paraId="20D3B41F">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14:paraId="0EB66D60">
      <w:pPr>
        <w:spacing w:line="360" w:lineRule="auto"/>
        <w:ind w:firstLine="480" w:firstLineChars="200"/>
        <w:rPr>
          <w:sz w:val="24"/>
          <w:szCs w:val="24"/>
          <w:u w:val="single"/>
          <w:lang w:eastAsia="zh-CN"/>
        </w:rPr>
      </w:pPr>
      <w:r>
        <w:rPr>
          <w:rFonts w:hint="eastAsia"/>
          <w:sz w:val="24"/>
          <w:szCs w:val="24"/>
          <w:lang w:eastAsia="zh-CN"/>
        </w:rPr>
        <w:t xml:space="preserve">时间： </w:t>
      </w:r>
      <w:r>
        <w:rPr>
          <w:rFonts w:hint="eastAsia"/>
          <w:sz w:val="24"/>
          <w:szCs w:val="24"/>
          <w:u w:val="single"/>
          <w:lang w:eastAsia="zh-CN"/>
        </w:rPr>
        <w:t xml:space="preserve">      年   月   日</w:t>
      </w:r>
    </w:p>
    <w:p w14:paraId="42FAD893">
      <w:pPr>
        <w:pStyle w:val="21"/>
        <w:jc w:val="left"/>
        <w:rPr>
          <w:rFonts w:hint="default" w:ascii="宋体" w:hAnsi="宋体" w:eastAsia="宋体" w:cs="宋体"/>
          <w:sz w:val="24"/>
          <w:szCs w:val="24"/>
          <w:lang w:val="en-US" w:eastAsia="zh-CN" w:bidi="ar-SA"/>
        </w:rPr>
      </w:pPr>
      <w:r>
        <w:rPr>
          <w:rFonts w:hint="eastAsia" w:hAnsi="宋体" w:cs="宋体"/>
          <w:sz w:val="24"/>
          <w:szCs w:val="24"/>
          <w:lang w:val="en-US" w:eastAsia="zh-CN" w:bidi="ar-SA"/>
        </w:rPr>
        <w:t>附表：</w:t>
      </w:r>
    </w:p>
    <w:p w14:paraId="736FB821">
      <w:pPr>
        <w:pStyle w:val="21"/>
        <w:jc w:val="center"/>
        <w:rPr>
          <w:rFonts w:hint="eastAsia" w:ascii="宋体" w:hAnsi="宋体" w:eastAsia="宋体" w:cs="宋体"/>
          <w:sz w:val="32"/>
          <w:szCs w:val="32"/>
          <w:lang w:val="en-US" w:eastAsia="zh-CN" w:bidi="ar-SA"/>
        </w:rPr>
      </w:pPr>
      <w:r>
        <w:rPr>
          <w:rFonts w:hint="eastAsia"/>
          <w:sz w:val="32"/>
          <w:szCs w:val="32"/>
          <w:lang w:val="en-US" w:eastAsia="zh-CN"/>
        </w:rPr>
        <w:t>价格清单</w:t>
      </w:r>
    </w:p>
    <w:p w14:paraId="7B0954E3">
      <w:pPr>
        <w:pStyle w:val="21"/>
        <w:jc w:val="center"/>
        <w:rPr>
          <w:rFonts w:hint="eastAsia" w:ascii="宋体" w:hAnsi="宋体" w:eastAsia="宋体" w:cs="宋体"/>
          <w:sz w:val="24"/>
          <w:szCs w:val="24"/>
          <w:lang w:val="en-US" w:eastAsia="zh-CN" w:bidi="ar-SA"/>
        </w:rPr>
      </w:pPr>
    </w:p>
    <w:tbl>
      <w:tblPr>
        <w:tblStyle w:val="16"/>
        <w:tblpPr w:leftFromText="180" w:rightFromText="180" w:vertAnchor="text" w:horzAnchor="page" w:tblpX="960" w:tblpY="9"/>
        <w:tblOverlap w:val="never"/>
        <w:tblW w:w="104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7"/>
        <w:gridCol w:w="4069"/>
        <w:gridCol w:w="881"/>
        <w:gridCol w:w="1182"/>
        <w:gridCol w:w="1050"/>
        <w:gridCol w:w="1481"/>
      </w:tblGrid>
      <w:tr w14:paraId="686C4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757" w:type="dxa"/>
            <w:noWrap w:val="0"/>
            <w:vAlign w:val="top"/>
          </w:tcPr>
          <w:p w14:paraId="20B6E425">
            <w:pPr>
              <w:spacing w:after="0" w:line="500" w:lineRule="exact"/>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设备名称</w:t>
            </w:r>
          </w:p>
        </w:tc>
        <w:tc>
          <w:tcPr>
            <w:tcW w:w="4069" w:type="dxa"/>
            <w:noWrap w:val="0"/>
            <w:vAlign w:val="top"/>
          </w:tcPr>
          <w:p w14:paraId="70605769">
            <w:pPr>
              <w:spacing w:after="0" w:line="500" w:lineRule="exact"/>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技术规格</w:t>
            </w:r>
            <w:r>
              <w:rPr>
                <w:rFonts w:hint="eastAsia" w:ascii="宋体" w:hAnsi="宋体" w:cs="宋体"/>
                <w:sz w:val="24"/>
                <w:szCs w:val="24"/>
                <w:highlight w:val="none"/>
                <w:lang w:val="en-US" w:eastAsia="zh-CN"/>
              </w:rPr>
              <w:t>与要求</w:t>
            </w:r>
          </w:p>
        </w:tc>
        <w:tc>
          <w:tcPr>
            <w:tcW w:w="881" w:type="dxa"/>
            <w:noWrap w:val="0"/>
            <w:vAlign w:val="top"/>
          </w:tcPr>
          <w:p w14:paraId="428AE5E1">
            <w:pPr>
              <w:spacing w:after="0" w:line="500" w:lineRule="exact"/>
              <w:ind w:left="0" w:lef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数量</w:t>
            </w:r>
          </w:p>
        </w:tc>
        <w:tc>
          <w:tcPr>
            <w:tcW w:w="1182" w:type="dxa"/>
            <w:noWrap w:val="0"/>
            <w:vAlign w:val="center"/>
          </w:tcPr>
          <w:p w14:paraId="54EFFCA4">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单价</w:t>
            </w:r>
          </w:p>
          <w:p w14:paraId="50D50910">
            <w:pPr>
              <w:pStyle w:val="21"/>
              <w:jc w:val="center"/>
              <w:rPr>
                <w:rFonts w:hint="eastAsia" w:ascii="宋体" w:hAnsi="宋体" w:eastAsia="宋体" w:cs="宋体"/>
                <w:sz w:val="24"/>
                <w:szCs w:val="24"/>
                <w:highlight w:val="none"/>
                <w:lang w:val="en-US" w:eastAsia="zh-CN"/>
              </w:rPr>
            </w:pPr>
            <w:r>
              <w:rPr>
                <w:rFonts w:hint="eastAsia" w:asciiTheme="majorEastAsia" w:hAnsiTheme="majorEastAsia" w:eastAsiaTheme="majorEastAsia"/>
                <w:sz w:val="21"/>
                <w:szCs w:val="21"/>
              </w:rPr>
              <w:t>（元）</w:t>
            </w:r>
          </w:p>
        </w:tc>
        <w:tc>
          <w:tcPr>
            <w:tcW w:w="1050" w:type="dxa"/>
            <w:noWrap w:val="0"/>
            <w:vAlign w:val="center"/>
          </w:tcPr>
          <w:p w14:paraId="2B01E6DF">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合计</w:t>
            </w:r>
          </w:p>
          <w:p w14:paraId="7FBBEA81">
            <w:pPr>
              <w:pStyle w:val="21"/>
              <w:jc w:val="center"/>
              <w:rPr>
                <w:rFonts w:hint="eastAsia" w:ascii="宋体" w:hAnsi="宋体" w:eastAsia="宋体" w:cs="宋体"/>
                <w:sz w:val="24"/>
                <w:szCs w:val="24"/>
                <w:highlight w:val="none"/>
                <w:lang w:val="en-US" w:eastAsia="zh-CN"/>
              </w:rPr>
            </w:pPr>
            <w:r>
              <w:rPr>
                <w:rFonts w:hint="eastAsia" w:asciiTheme="majorEastAsia" w:hAnsiTheme="majorEastAsia" w:eastAsiaTheme="majorEastAsia"/>
                <w:sz w:val="21"/>
                <w:szCs w:val="21"/>
              </w:rPr>
              <w:t>（元）</w:t>
            </w:r>
          </w:p>
        </w:tc>
        <w:tc>
          <w:tcPr>
            <w:tcW w:w="1481" w:type="dxa"/>
            <w:noWrap w:val="0"/>
            <w:vAlign w:val="center"/>
          </w:tcPr>
          <w:p w14:paraId="0DCF79F5">
            <w:pPr>
              <w:widowControl/>
              <w:autoSpaceDE/>
              <w:autoSpaceDN/>
              <w:jc w:val="center"/>
              <w:rPr>
                <w:rFonts w:hint="eastAsia" w:ascii="宋体" w:hAnsi="宋体" w:eastAsia="宋体" w:cs="宋体"/>
                <w:sz w:val="24"/>
                <w:szCs w:val="24"/>
                <w:highlight w:val="none"/>
                <w:lang w:val="en-US" w:eastAsia="zh-CN"/>
              </w:rPr>
            </w:pPr>
            <w:r>
              <w:rPr>
                <w:rFonts w:hint="eastAsia" w:asciiTheme="majorEastAsia" w:hAnsiTheme="majorEastAsia" w:eastAsiaTheme="majorEastAsia"/>
                <w:sz w:val="21"/>
                <w:szCs w:val="21"/>
                <w:lang w:eastAsia="zh-CN"/>
              </w:rPr>
              <w:t>备注</w:t>
            </w:r>
          </w:p>
        </w:tc>
      </w:tr>
      <w:tr w14:paraId="43994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57" w:type="dxa"/>
            <w:noWrap w:val="0"/>
            <w:vAlign w:val="center"/>
          </w:tcPr>
          <w:p w14:paraId="1E82A00E">
            <w:pPr>
              <w:pStyle w:val="27"/>
              <w:spacing w:after="0" w:line="500" w:lineRule="exact"/>
              <w:jc w:val="center"/>
              <w:rPr>
                <w:rFonts w:hint="eastAsia" w:ascii="宋体" w:hAnsi="宋体" w:eastAsia="宋体" w:cs="宋体"/>
                <w:sz w:val="22"/>
                <w:szCs w:val="22"/>
                <w:highlight w:val="none"/>
              </w:rPr>
            </w:pPr>
            <w:r>
              <w:rPr>
                <w:rFonts w:hint="eastAsia" w:ascii="宋体" w:hAnsi="宋体" w:cs="宋体"/>
                <w:sz w:val="22"/>
                <w:szCs w:val="22"/>
                <w:highlight w:val="none"/>
                <w:lang w:val="en-US" w:eastAsia="zh-CN"/>
              </w:rPr>
              <w:t>手持式</w:t>
            </w:r>
            <w:r>
              <w:rPr>
                <w:rFonts w:hint="eastAsia" w:ascii="宋体" w:hAnsi="宋体" w:eastAsia="宋体" w:cs="宋体"/>
                <w:sz w:val="22"/>
                <w:szCs w:val="22"/>
                <w:highlight w:val="none"/>
              </w:rPr>
              <w:t>测振测温巡检仪</w:t>
            </w:r>
          </w:p>
        </w:tc>
        <w:tc>
          <w:tcPr>
            <w:tcW w:w="4069" w:type="dxa"/>
            <w:noWrap w:val="0"/>
            <w:vAlign w:val="center"/>
          </w:tcPr>
          <w:p w14:paraId="1BFF280D">
            <w:pPr>
              <w:pStyle w:val="27"/>
              <w:keepNext w:val="0"/>
              <w:keepLines w:val="0"/>
              <w:pageBreakBefore w:val="0"/>
              <w:widowControl/>
              <w:numPr>
                <w:ilvl w:val="0"/>
                <w:numId w:val="3"/>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rPr>
              <w:t>红外温度测量范围：-20℃~360℃</w:t>
            </w:r>
          </w:p>
          <w:p w14:paraId="762207AA">
            <w:pPr>
              <w:pStyle w:val="27"/>
              <w:keepNext w:val="0"/>
              <w:keepLines w:val="0"/>
              <w:pageBreakBefore w:val="0"/>
              <w:widowControl/>
              <w:numPr>
                <w:ilvl w:val="0"/>
                <w:numId w:val="3"/>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rPr>
              <w:t>加速度测量范围：0.1~200m/s</w:t>
            </w:r>
            <w:r>
              <w:rPr>
                <w:rFonts w:hint="eastAsia" w:ascii="宋体" w:hAnsi="宋体" w:eastAsia="宋体" w:cs="宋体"/>
                <w:sz w:val="22"/>
                <w:szCs w:val="22"/>
                <w:highlight w:val="none"/>
                <w:vertAlign w:val="superscript"/>
                <w:lang w:val="en-US" w:eastAsia="zh-CN"/>
              </w:rPr>
              <w:t>2</w:t>
            </w:r>
          </w:p>
          <w:p w14:paraId="1A6E3051">
            <w:pPr>
              <w:pStyle w:val="27"/>
              <w:keepNext w:val="0"/>
              <w:keepLines w:val="0"/>
              <w:pageBreakBefore w:val="0"/>
              <w:widowControl/>
              <w:numPr>
                <w:ilvl w:val="0"/>
                <w:numId w:val="3"/>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rPr>
              <w:t>速度测量范围：0.1~200mm/s</w:t>
            </w:r>
          </w:p>
          <w:p w14:paraId="1AB06500">
            <w:pPr>
              <w:pStyle w:val="27"/>
              <w:keepNext w:val="0"/>
              <w:keepLines w:val="0"/>
              <w:pageBreakBefore w:val="0"/>
              <w:widowControl/>
              <w:numPr>
                <w:ilvl w:val="0"/>
                <w:numId w:val="3"/>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rPr>
              <w:t>位移测量范围：0.001mm~2.000mm</w:t>
            </w:r>
          </w:p>
          <w:p w14:paraId="120B16EA">
            <w:pPr>
              <w:pStyle w:val="27"/>
              <w:keepNext w:val="0"/>
              <w:keepLines w:val="0"/>
              <w:pageBreakBefore w:val="0"/>
              <w:widowControl/>
              <w:numPr>
                <w:ilvl w:val="0"/>
                <w:numId w:val="3"/>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防爆等级：本安型，ⅡC T4以上、ⅢC T130℃以上</w:t>
            </w:r>
          </w:p>
          <w:p w14:paraId="796C553D">
            <w:pPr>
              <w:pStyle w:val="27"/>
              <w:keepNext w:val="0"/>
              <w:keepLines w:val="0"/>
              <w:pageBreakBefore w:val="0"/>
              <w:widowControl/>
              <w:numPr>
                <w:ilvl w:val="0"/>
                <w:numId w:val="3"/>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rPr>
              <w:t>液晶显示屏幕，实时显示测量数据</w:t>
            </w:r>
          </w:p>
          <w:p w14:paraId="0C640F99">
            <w:pPr>
              <w:pStyle w:val="27"/>
              <w:keepNext w:val="0"/>
              <w:keepLines w:val="0"/>
              <w:pageBreakBefore w:val="0"/>
              <w:widowControl/>
              <w:numPr>
                <w:ilvl w:val="0"/>
                <w:numId w:val="3"/>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支持</w:t>
            </w:r>
            <w:r>
              <w:rPr>
                <w:rFonts w:hint="eastAsia" w:ascii="宋体" w:hAnsi="宋体" w:cs="宋体"/>
                <w:sz w:val="22"/>
                <w:szCs w:val="22"/>
                <w:highlight w:val="none"/>
                <w:lang w:val="en-US" w:eastAsia="zh-CN"/>
              </w:rPr>
              <w:t>蓝牙传输至手机APP</w:t>
            </w:r>
            <w:r>
              <w:rPr>
                <w:rFonts w:hint="eastAsia" w:ascii="宋体" w:hAnsi="宋体" w:eastAsia="宋体" w:cs="宋体"/>
                <w:sz w:val="22"/>
                <w:szCs w:val="22"/>
                <w:highlight w:val="none"/>
              </w:rPr>
              <w:t>，预设报警值</w:t>
            </w:r>
          </w:p>
          <w:p w14:paraId="006E6D9A">
            <w:pPr>
              <w:pStyle w:val="27"/>
              <w:keepNext w:val="0"/>
              <w:keepLines w:val="0"/>
              <w:pageBreakBefore w:val="0"/>
              <w:widowControl/>
              <w:numPr>
                <w:ilvl w:val="0"/>
                <w:numId w:val="3"/>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rPr>
              <w:t>提供合格证、防爆合格证、说明书</w:t>
            </w:r>
            <w:r>
              <w:rPr>
                <w:rFonts w:hint="eastAsia" w:ascii="宋体" w:hAnsi="宋体" w:cs="宋体"/>
                <w:sz w:val="22"/>
                <w:szCs w:val="22"/>
                <w:highlight w:val="none"/>
                <w:lang w:val="en-US" w:eastAsia="zh-CN"/>
              </w:rPr>
              <w:t>等</w:t>
            </w:r>
            <w:r>
              <w:rPr>
                <w:rFonts w:hint="eastAsia" w:ascii="宋体" w:hAnsi="宋体" w:eastAsia="宋体" w:cs="宋体"/>
                <w:sz w:val="22"/>
                <w:szCs w:val="22"/>
                <w:highlight w:val="none"/>
              </w:rPr>
              <w:t>质量证明文件</w:t>
            </w:r>
          </w:p>
        </w:tc>
        <w:tc>
          <w:tcPr>
            <w:tcW w:w="881" w:type="dxa"/>
            <w:noWrap w:val="0"/>
            <w:vAlign w:val="center"/>
          </w:tcPr>
          <w:p w14:paraId="3C587DBB">
            <w:pPr>
              <w:pStyle w:val="27"/>
              <w:spacing w:after="0" w:line="500" w:lineRule="exact"/>
              <w:jc w:val="center"/>
              <w:rPr>
                <w:rFonts w:hint="eastAsia"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60</w:t>
            </w:r>
            <w:r>
              <w:rPr>
                <w:rFonts w:hint="eastAsia" w:ascii="宋体" w:hAnsi="宋体" w:eastAsia="宋体" w:cs="宋体"/>
                <w:sz w:val="22"/>
                <w:szCs w:val="22"/>
                <w:highlight w:val="none"/>
                <w:lang w:val="en-US" w:eastAsia="zh-CN"/>
              </w:rPr>
              <w:t>套</w:t>
            </w:r>
          </w:p>
        </w:tc>
        <w:tc>
          <w:tcPr>
            <w:tcW w:w="1182" w:type="dxa"/>
            <w:noWrap w:val="0"/>
            <w:vAlign w:val="center"/>
          </w:tcPr>
          <w:p w14:paraId="679982E2">
            <w:pPr>
              <w:pStyle w:val="27"/>
              <w:spacing w:after="0" w:line="500" w:lineRule="exact"/>
              <w:rPr>
                <w:rFonts w:hint="eastAsia" w:ascii="宋体" w:hAnsi="宋体" w:cs="宋体"/>
                <w:sz w:val="22"/>
                <w:szCs w:val="22"/>
                <w:highlight w:val="none"/>
                <w:lang w:val="en-US" w:eastAsia="zh-CN"/>
              </w:rPr>
            </w:pPr>
          </w:p>
        </w:tc>
        <w:tc>
          <w:tcPr>
            <w:tcW w:w="1050" w:type="dxa"/>
            <w:noWrap w:val="0"/>
            <w:vAlign w:val="center"/>
          </w:tcPr>
          <w:p w14:paraId="780ABF88">
            <w:pPr>
              <w:pStyle w:val="27"/>
              <w:spacing w:after="0" w:line="500" w:lineRule="exact"/>
              <w:rPr>
                <w:rFonts w:hint="eastAsia" w:ascii="宋体" w:hAnsi="宋体" w:cs="宋体"/>
                <w:sz w:val="22"/>
                <w:szCs w:val="22"/>
                <w:highlight w:val="none"/>
                <w:lang w:val="en-US" w:eastAsia="zh-CN"/>
              </w:rPr>
            </w:pPr>
          </w:p>
        </w:tc>
        <w:tc>
          <w:tcPr>
            <w:tcW w:w="1481" w:type="dxa"/>
            <w:noWrap w:val="0"/>
            <w:vAlign w:val="center"/>
          </w:tcPr>
          <w:p w14:paraId="1768847D">
            <w:pPr>
              <w:pStyle w:val="27"/>
              <w:spacing w:after="0" w:line="500" w:lineRule="exact"/>
              <w:rPr>
                <w:rFonts w:hint="eastAsia" w:ascii="宋体" w:hAnsi="宋体" w:cs="宋体"/>
                <w:sz w:val="22"/>
                <w:szCs w:val="22"/>
                <w:highlight w:val="none"/>
                <w:lang w:val="en-US" w:eastAsia="zh-CN"/>
              </w:rPr>
            </w:pPr>
          </w:p>
        </w:tc>
      </w:tr>
      <w:tr w14:paraId="79F09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757" w:type="dxa"/>
            <w:noWrap w:val="0"/>
            <w:vAlign w:val="center"/>
          </w:tcPr>
          <w:p w14:paraId="0A7EE043">
            <w:pPr>
              <w:pStyle w:val="27"/>
              <w:spacing w:after="0" w:line="50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lang w:val="zh-TW" w:eastAsia="zh-TW"/>
              </w:rPr>
              <w:t>防爆手机</w:t>
            </w:r>
          </w:p>
        </w:tc>
        <w:tc>
          <w:tcPr>
            <w:tcW w:w="4069" w:type="dxa"/>
            <w:noWrap w:val="0"/>
            <w:vAlign w:val="center"/>
          </w:tcPr>
          <w:p w14:paraId="5EA93D24">
            <w:pPr>
              <w:pStyle w:val="27"/>
              <w:keepNext w:val="0"/>
              <w:keepLines w:val="0"/>
              <w:pageBreakBefore w:val="0"/>
              <w:widowControl/>
              <w:numPr>
                <w:ilvl w:val="0"/>
                <w:numId w:val="4"/>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处理器：8核2.0GHz以上</w:t>
            </w:r>
          </w:p>
          <w:p w14:paraId="0D3132C2">
            <w:pPr>
              <w:pStyle w:val="27"/>
              <w:keepNext w:val="0"/>
              <w:keepLines w:val="0"/>
              <w:pageBreakBefore w:val="0"/>
              <w:widowControl/>
              <w:numPr>
                <w:ilvl w:val="0"/>
                <w:numId w:val="4"/>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操作系统：Android 1</w:t>
            </w:r>
            <w:r>
              <w:rPr>
                <w:rFonts w:hint="eastAsia" w:ascii="宋体" w:hAnsi="宋体" w:cs="宋体"/>
                <w:sz w:val="22"/>
                <w:szCs w:val="22"/>
                <w:highlight w:val="none"/>
                <w:lang w:val="en-US" w:eastAsia="zh-CN"/>
              </w:rPr>
              <w:t>1及</w:t>
            </w:r>
            <w:r>
              <w:rPr>
                <w:rFonts w:hint="eastAsia" w:ascii="宋体" w:hAnsi="宋体" w:eastAsia="宋体" w:cs="宋体"/>
                <w:sz w:val="22"/>
                <w:szCs w:val="22"/>
                <w:highlight w:val="none"/>
              </w:rPr>
              <w:t>以上</w:t>
            </w:r>
          </w:p>
          <w:p w14:paraId="19A614EC">
            <w:pPr>
              <w:pStyle w:val="27"/>
              <w:keepNext w:val="0"/>
              <w:keepLines w:val="0"/>
              <w:pageBreakBefore w:val="0"/>
              <w:widowControl/>
              <w:numPr>
                <w:ilvl w:val="0"/>
                <w:numId w:val="4"/>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存储：RAM</w:t>
            </w:r>
            <w:r>
              <w:rPr>
                <w:rFonts w:hint="eastAsia" w:ascii="宋体" w:hAnsi="宋体" w:cs="宋体"/>
                <w:sz w:val="22"/>
                <w:szCs w:val="22"/>
                <w:highlight w:val="none"/>
                <w:lang w:val="en-US" w:eastAsia="zh-CN"/>
              </w:rPr>
              <w:t>≥</w:t>
            </w:r>
            <w:r>
              <w:rPr>
                <w:rFonts w:hint="eastAsia" w:ascii="宋体" w:hAnsi="宋体" w:eastAsia="宋体" w:cs="宋体"/>
                <w:sz w:val="22"/>
                <w:szCs w:val="22"/>
                <w:highlight w:val="none"/>
              </w:rPr>
              <w:t>8GB、ROM</w:t>
            </w:r>
            <w:r>
              <w:rPr>
                <w:rFonts w:hint="eastAsia" w:ascii="宋体" w:hAnsi="宋体" w:cs="宋体"/>
                <w:sz w:val="22"/>
                <w:szCs w:val="22"/>
                <w:highlight w:val="none"/>
                <w:lang w:val="en-US" w:eastAsia="zh-CN"/>
              </w:rPr>
              <w:t>≥</w:t>
            </w:r>
            <w:r>
              <w:rPr>
                <w:rFonts w:hint="eastAsia" w:ascii="宋体" w:hAnsi="宋体" w:eastAsia="宋体" w:cs="宋体"/>
                <w:sz w:val="22"/>
                <w:szCs w:val="22"/>
                <w:highlight w:val="none"/>
              </w:rPr>
              <w:t>256GB</w:t>
            </w:r>
          </w:p>
          <w:p w14:paraId="7FC9F0BB">
            <w:pPr>
              <w:pStyle w:val="27"/>
              <w:keepNext w:val="0"/>
              <w:keepLines w:val="0"/>
              <w:pageBreakBefore w:val="0"/>
              <w:widowControl/>
              <w:numPr>
                <w:ilvl w:val="0"/>
                <w:numId w:val="4"/>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摄像头：</w:t>
            </w:r>
            <w:r>
              <w:rPr>
                <w:rFonts w:hint="eastAsia" w:ascii="宋体" w:hAnsi="宋体" w:cs="宋体"/>
                <w:sz w:val="22"/>
                <w:szCs w:val="22"/>
                <w:highlight w:val="none"/>
                <w:lang w:val="en-US" w:eastAsia="zh-CN"/>
              </w:rPr>
              <w:t>前置≥1600万像素，</w:t>
            </w:r>
            <w:r>
              <w:rPr>
                <w:rFonts w:hint="eastAsia" w:ascii="宋体" w:hAnsi="宋体" w:eastAsia="宋体" w:cs="宋体"/>
                <w:sz w:val="22"/>
                <w:szCs w:val="22"/>
                <w:highlight w:val="none"/>
              </w:rPr>
              <w:t>后置</w:t>
            </w:r>
            <w:r>
              <w:rPr>
                <w:rFonts w:hint="eastAsia" w:ascii="宋体" w:hAnsi="宋体" w:cs="宋体"/>
                <w:sz w:val="22"/>
                <w:szCs w:val="22"/>
                <w:highlight w:val="none"/>
                <w:lang w:val="en-US" w:eastAsia="zh-CN"/>
              </w:rPr>
              <w:t>主摄像头≥50</w:t>
            </w:r>
            <w:r>
              <w:rPr>
                <w:rFonts w:hint="eastAsia" w:ascii="宋体" w:hAnsi="宋体" w:eastAsia="宋体" w:cs="宋体"/>
                <w:sz w:val="22"/>
                <w:szCs w:val="22"/>
                <w:highlight w:val="none"/>
              </w:rPr>
              <w:t>00万</w:t>
            </w:r>
            <w:r>
              <w:rPr>
                <w:rFonts w:hint="eastAsia" w:ascii="宋体" w:hAnsi="宋体" w:cs="宋体"/>
                <w:sz w:val="22"/>
                <w:szCs w:val="22"/>
                <w:highlight w:val="none"/>
                <w:lang w:val="en-US" w:eastAsia="zh-CN"/>
              </w:rPr>
              <w:t>像素以上</w:t>
            </w:r>
            <w:r>
              <w:rPr>
                <w:rFonts w:hint="eastAsia" w:ascii="宋体" w:hAnsi="宋体" w:eastAsia="宋体" w:cs="宋体"/>
                <w:sz w:val="22"/>
                <w:szCs w:val="22"/>
                <w:highlight w:val="none"/>
              </w:rPr>
              <w:t>自动对焦，高亮度LED闪光灯</w:t>
            </w:r>
          </w:p>
          <w:p w14:paraId="0E948F71">
            <w:pPr>
              <w:pStyle w:val="27"/>
              <w:keepNext w:val="0"/>
              <w:keepLines w:val="0"/>
              <w:pageBreakBefore w:val="0"/>
              <w:widowControl/>
              <w:numPr>
                <w:ilvl w:val="0"/>
                <w:numId w:val="4"/>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rPr>
            </w:pPr>
            <w:r>
              <w:rPr>
                <w:rFonts w:hint="eastAsia" w:ascii="宋体" w:hAnsi="宋体" w:cs="宋体"/>
                <w:sz w:val="22"/>
                <w:szCs w:val="22"/>
                <w:highlight w:val="none"/>
                <w:lang w:val="en-US" w:eastAsia="zh-CN"/>
              </w:rPr>
              <w:t>定位系统：北斗定位（非通过软件改制）</w:t>
            </w:r>
          </w:p>
          <w:p w14:paraId="5C628A62">
            <w:pPr>
              <w:pStyle w:val="27"/>
              <w:keepNext w:val="0"/>
              <w:keepLines w:val="0"/>
              <w:pageBreakBefore w:val="0"/>
              <w:widowControl/>
              <w:numPr>
                <w:ilvl w:val="0"/>
                <w:numId w:val="4"/>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rPr>
            </w:pPr>
            <w:r>
              <w:rPr>
                <w:rFonts w:hint="eastAsia" w:ascii="宋体" w:hAnsi="宋体" w:cs="宋体"/>
                <w:sz w:val="22"/>
                <w:szCs w:val="22"/>
                <w:highlight w:val="none"/>
                <w:lang w:val="en-US" w:eastAsia="zh-CN"/>
              </w:rPr>
              <w:t>数据通信：5G全网通、向下兼容4G、3G、2G；</w:t>
            </w:r>
            <w:r>
              <w:rPr>
                <w:rFonts w:hint="eastAsia" w:ascii="宋体" w:hAnsi="宋体" w:eastAsia="宋体" w:cs="宋体"/>
                <w:sz w:val="22"/>
                <w:szCs w:val="22"/>
                <w:highlight w:val="none"/>
              </w:rPr>
              <w:t>支持蓝牙</w:t>
            </w:r>
            <w:r>
              <w:rPr>
                <w:rFonts w:hint="eastAsia" w:ascii="宋体" w:hAnsi="宋体" w:cs="宋体"/>
                <w:sz w:val="22"/>
                <w:szCs w:val="22"/>
                <w:highlight w:val="none"/>
                <w:lang w:val="en-US" w:eastAsia="zh-CN"/>
              </w:rPr>
              <w:t>5.0</w:t>
            </w:r>
            <w:r>
              <w:rPr>
                <w:rFonts w:hint="eastAsia" w:ascii="宋体" w:hAnsi="宋体" w:eastAsia="宋体" w:cs="宋体"/>
                <w:sz w:val="22"/>
                <w:szCs w:val="22"/>
                <w:highlight w:val="none"/>
              </w:rPr>
              <w:t>、</w:t>
            </w:r>
            <w:r>
              <w:rPr>
                <w:rFonts w:hint="eastAsia" w:ascii="宋体" w:hAnsi="宋体" w:cs="宋体"/>
                <w:sz w:val="22"/>
                <w:szCs w:val="22"/>
                <w:highlight w:val="none"/>
                <w:lang w:val="en-US" w:eastAsia="zh-CN"/>
              </w:rPr>
              <w:t>W</w:t>
            </w:r>
            <w:r>
              <w:rPr>
                <w:rFonts w:hint="eastAsia" w:ascii="宋体" w:hAnsi="宋体" w:eastAsia="宋体" w:cs="宋体"/>
                <w:sz w:val="22"/>
                <w:szCs w:val="22"/>
                <w:highlight w:val="none"/>
              </w:rPr>
              <w:t>ifi</w:t>
            </w:r>
          </w:p>
          <w:p w14:paraId="61553051">
            <w:pPr>
              <w:pStyle w:val="27"/>
              <w:keepNext w:val="0"/>
              <w:keepLines w:val="0"/>
              <w:pageBreakBefore w:val="0"/>
              <w:widowControl/>
              <w:numPr>
                <w:ilvl w:val="0"/>
                <w:numId w:val="4"/>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rPr>
            </w:pPr>
            <w:r>
              <w:rPr>
                <w:rFonts w:hint="eastAsia" w:ascii="宋体" w:hAnsi="宋体" w:cs="宋体"/>
                <w:sz w:val="22"/>
                <w:szCs w:val="22"/>
                <w:highlight w:val="none"/>
                <w:lang w:val="en-US" w:eastAsia="zh-CN"/>
              </w:rPr>
              <w:t>触摸屏</w:t>
            </w:r>
            <w:r>
              <w:rPr>
                <w:rFonts w:hint="eastAsia" w:ascii="宋体" w:hAnsi="宋体" w:eastAsia="宋体" w:cs="宋体"/>
                <w:sz w:val="22"/>
                <w:szCs w:val="22"/>
                <w:highlight w:val="none"/>
              </w:rPr>
              <w:t>：6寸以上，2160*1080分辨率以上，多点触控</w:t>
            </w:r>
          </w:p>
          <w:p w14:paraId="6FD3BAFA">
            <w:pPr>
              <w:pStyle w:val="27"/>
              <w:keepNext w:val="0"/>
              <w:keepLines w:val="0"/>
              <w:pageBreakBefore w:val="0"/>
              <w:widowControl/>
              <w:numPr>
                <w:ilvl w:val="0"/>
                <w:numId w:val="4"/>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电池：</w:t>
            </w:r>
            <w:r>
              <w:rPr>
                <w:rFonts w:hint="eastAsia" w:ascii="宋体" w:hAnsi="宋体" w:cs="宋体"/>
                <w:sz w:val="22"/>
                <w:szCs w:val="22"/>
                <w:highlight w:val="none"/>
                <w:lang w:val="en-US" w:eastAsia="zh-CN"/>
              </w:rPr>
              <w:t>≥</w:t>
            </w:r>
            <w:r>
              <w:rPr>
                <w:rFonts w:hint="eastAsia" w:ascii="宋体" w:hAnsi="宋体" w:eastAsia="宋体" w:cs="宋体"/>
                <w:sz w:val="22"/>
                <w:szCs w:val="22"/>
                <w:highlight w:val="none"/>
              </w:rPr>
              <w:t>6000mAH本安型锂电池</w:t>
            </w:r>
            <w:r>
              <w:rPr>
                <w:rFonts w:hint="eastAsia" w:ascii="宋体" w:hAnsi="宋体" w:cs="宋体"/>
                <w:sz w:val="22"/>
                <w:szCs w:val="22"/>
                <w:highlight w:val="none"/>
                <w:lang w:eastAsia="zh-CN"/>
              </w:rPr>
              <w:t>；</w:t>
            </w:r>
            <w:r>
              <w:rPr>
                <w:rFonts w:hint="eastAsia" w:ascii="宋体" w:hAnsi="宋体" w:cs="宋体"/>
                <w:sz w:val="22"/>
                <w:szCs w:val="22"/>
                <w:highlight w:val="none"/>
                <w:lang w:val="en-US" w:eastAsia="zh-CN"/>
              </w:rPr>
              <w:t>支持Type-C；充电口独立防水</w:t>
            </w:r>
          </w:p>
          <w:p w14:paraId="31124C6B">
            <w:pPr>
              <w:pStyle w:val="27"/>
              <w:keepNext w:val="0"/>
              <w:keepLines w:val="0"/>
              <w:pageBreakBefore w:val="0"/>
              <w:widowControl/>
              <w:numPr>
                <w:ilvl w:val="0"/>
                <w:numId w:val="4"/>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防护等级：IP65以上</w:t>
            </w:r>
          </w:p>
          <w:p w14:paraId="1B2D70C6">
            <w:pPr>
              <w:pStyle w:val="27"/>
              <w:keepNext w:val="0"/>
              <w:keepLines w:val="0"/>
              <w:pageBreakBefore w:val="0"/>
              <w:widowControl/>
              <w:numPr>
                <w:ilvl w:val="0"/>
                <w:numId w:val="4"/>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防爆等级：本安型，适用于ⅡC类气体环境和粉尘环境</w:t>
            </w:r>
            <w:r>
              <w:rPr>
                <w:rFonts w:hint="eastAsia" w:ascii="宋体" w:hAnsi="宋体" w:cs="宋体"/>
                <w:sz w:val="22"/>
                <w:szCs w:val="22"/>
                <w:highlight w:val="none"/>
                <w:lang w:eastAsia="zh-CN"/>
              </w:rPr>
              <w:t>，Ex ib IIC T4 Gb\Ex ib IIIC T130℃Db（提供防爆合格证及检验报告扫描件</w:t>
            </w:r>
          </w:p>
          <w:p w14:paraId="787378EC">
            <w:pPr>
              <w:pStyle w:val="27"/>
              <w:keepNext w:val="0"/>
              <w:keepLines w:val="0"/>
              <w:pageBreakBefore w:val="0"/>
              <w:widowControl/>
              <w:numPr>
                <w:ilvl w:val="0"/>
                <w:numId w:val="4"/>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rPr>
            </w:pPr>
            <w:r>
              <w:rPr>
                <w:rFonts w:hint="eastAsia" w:ascii="宋体" w:hAnsi="宋体" w:cs="宋体"/>
                <w:sz w:val="22"/>
                <w:szCs w:val="22"/>
                <w:highlight w:val="none"/>
                <w:lang w:val="en-US" w:eastAsia="zh-CN"/>
              </w:rPr>
              <w:t>整机：具备三防设计、配有防摔边框、整机厚度≤13mm（含外壳）、重量＜270g（含电池）</w:t>
            </w:r>
          </w:p>
          <w:p w14:paraId="33342859">
            <w:pPr>
              <w:pStyle w:val="27"/>
              <w:keepNext w:val="0"/>
              <w:keepLines w:val="0"/>
              <w:pageBreakBefore w:val="0"/>
              <w:widowControl/>
              <w:numPr>
                <w:ilvl w:val="0"/>
                <w:numId w:val="4"/>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物联网SIM卡：含3年套餐费用，月流量</w:t>
            </w:r>
            <w:r>
              <w:rPr>
                <w:rFonts w:hint="eastAsia" w:ascii="宋体" w:hAnsi="宋体" w:cs="宋体"/>
                <w:sz w:val="22"/>
                <w:szCs w:val="22"/>
                <w:highlight w:val="none"/>
                <w:lang w:val="en-US" w:eastAsia="zh-CN"/>
              </w:rPr>
              <w:t>≥</w:t>
            </w:r>
            <w:r>
              <w:rPr>
                <w:rFonts w:hint="eastAsia" w:ascii="宋体" w:hAnsi="宋体" w:eastAsia="宋体" w:cs="宋体"/>
                <w:sz w:val="22"/>
                <w:szCs w:val="22"/>
                <w:highlight w:val="none"/>
                <w:lang w:val="en-US" w:eastAsia="zh-CN"/>
              </w:rPr>
              <w:t>10GB</w:t>
            </w:r>
          </w:p>
        </w:tc>
        <w:tc>
          <w:tcPr>
            <w:tcW w:w="881" w:type="dxa"/>
            <w:noWrap w:val="0"/>
            <w:vAlign w:val="center"/>
          </w:tcPr>
          <w:p w14:paraId="2ECCE911">
            <w:pPr>
              <w:pStyle w:val="27"/>
              <w:spacing w:after="0" w:line="500" w:lineRule="exact"/>
              <w:jc w:val="center"/>
              <w:rPr>
                <w:rFonts w:hint="eastAsia"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60</w:t>
            </w:r>
            <w:r>
              <w:rPr>
                <w:rFonts w:hint="eastAsia" w:ascii="宋体" w:hAnsi="宋体" w:eastAsia="宋体" w:cs="宋体"/>
                <w:sz w:val="22"/>
                <w:szCs w:val="22"/>
                <w:highlight w:val="none"/>
                <w:lang w:val="en-US" w:eastAsia="zh-CN"/>
              </w:rPr>
              <w:t>套</w:t>
            </w:r>
          </w:p>
        </w:tc>
        <w:tc>
          <w:tcPr>
            <w:tcW w:w="1182" w:type="dxa"/>
            <w:noWrap w:val="0"/>
            <w:vAlign w:val="center"/>
          </w:tcPr>
          <w:p w14:paraId="71D9D03A">
            <w:pPr>
              <w:pStyle w:val="27"/>
              <w:spacing w:after="0" w:line="500" w:lineRule="exact"/>
              <w:rPr>
                <w:rFonts w:hint="eastAsia" w:ascii="宋体" w:hAnsi="宋体" w:cs="宋体"/>
                <w:sz w:val="22"/>
                <w:szCs w:val="22"/>
                <w:highlight w:val="none"/>
                <w:lang w:val="en-US" w:eastAsia="zh-CN"/>
              </w:rPr>
            </w:pPr>
          </w:p>
        </w:tc>
        <w:tc>
          <w:tcPr>
            <w:tcW w:w="1050" w:type="dxa"/>
            <w:noWrap w:val="0"/>
            <w:vAlign w:val="center"/>
          </w:tcPr>
          <w:p w14:paraId="44B0F4DE">
            <w:pPr>
              <w:pStyle w:val="27"/>
              <w:spacing w:after="0" w:line="500" w:lineRule="exact"/>
              <w:rPr>
                <w:rFonts w:hint="eastAsia" w:ascii="宋体" w:hAnsi="宋体" w:cs="宋体"/>
                <w:sz w:val="22"/>
                <w:szCs w:val="22"/>
                <w:highlight w:val="none"/>
                <w:lang w:val="en-US" w:eastAsia="zh-CN"/>
              </w:rPr>
            </w:pPr>
          </w:p>
        </w:tc>
        <w:tc>
          <w:tcPr>
            <w:tcW w:w="1481" w:type="dxa"/>
            <w:noWrap w:val="0"/>
            <w:vAlign w:val="center"/>
          </w:tcPr>
          <w:p w14:paraId="6397845F">
            <w:pPr>
              <w:pStyle w:val="27"/>
              <w:spacing w:after="0" w:line="500" w:lineRule="exact"/>
              <w:rPr>
                <w:rFonts w:hint="eastAsia" w:ascii="宋体" w:hAnsi="宋体" w:cs="宋体"/>
                <w:sz w:val="22"/>
                <w:szCs w:val="22"/>
                <w:highlight w:val="none"/>
                <w:lang w:val="en-US" w:eastAsia="zh-CN"/>
              </w:rPr>
            </w:pPr>
          </w:p>
        </w:tc>
      </w:tr>
      <w:tr w14:paraId="65545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7" w:hRule="atLeast"/>
        </w:trPr>
        <w:tc>
          <w:tcPr>
            <w:tcW w:w="1757" w:type="dxa"/>
            <w:noWrap w:val="0"/>
            <w:vAlign w:val="center"/>
          </w:tcPr>
          <w:p w14:paraId="07677567">
            <w:pPr>
              <w:keepNext w:val="0"/>
              <w:keepLines w:val="0"/>
              <w:widowControl/>
              <w:suppressLineNumbers w:val="0"/>
              <w:ind w:left="0" w:leftChars="0" w:firstLine="0" w:firstLineChars="0"/>
              <w:jc w:val="both"/>
              <w:rPr>
                <w:rFonts w:hint="eastAsia" w:ascii="宋体" w:hAnsi="宋体" w:eastAsia="宋体" w:cs="宋体"/>
                <w:sz w:val="22"/>
                <w:szCs w:val="22"/>
                <w:highlight w:val="none"/>
                <w:lang w:val="en-US"/>
              </w:rPr>
            </w:pPr>
            <w:r>
              <w:rPr>
                <w:rFonts w:hint="eastAsia" w:ascii="宋体" w:hAnsi="宋体" w:eastAsia="宋体" w:cs="宋体"/>
                <w:kern w:val="0"/>
                <w:sz w:val="22"/>
                <w:szCs w:val="22"/>
                <w:highlight w:val="none"/>
                <w:lang w:val="en-US" w:eastAsia="zh-CN" w:bidi="ar"/>
              </w:rPr>
              <w:t>二维码标签打印机</w:t>
            </w:r>
          </w:p>
        </w:tc>
        <w:tc>
          <w:tcPr>
            <w:tcW w:w="4069" w:type="dxa"/>
            <w:noWrap w:val="0"/>
            <w:vAlign w:val="center"/>
          </w:tcPr>
          <w:p w14:paraId="37F1C95E">
            <w:pPr>
              <w:pStyle w:val="27"/>
              <w:keepNext w:val="0"/>
              <w:keepLines w:val="0"/>
              <w:pageBreakBefore w:val="0"/>
              <w:widowControl/>
              <w:numPr>
                <w:ilvl w:val="0"/>
                <w:numId w:val="5"/>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lang w:val="zh-TW" w:eastAsia="zh-TW"/>
              </w:rPr>
            </w:pPr>
            <w:r>
              <w:rPr>
                <w:rFonts w:hint="eastAsia" w:ascii="宋体" w:hAnsi="宋体" w:eastAsia="宋体" w:cs="宋体"/>
                <w:sz w:val="22"/>
                <w:szCs w:val="22"/>
                <w:highlight w:val="none"/>
                <w:lang w:val="en-US" w:eastAsia="zh-CN"/>
              </w:rPr>
              <w:t>自动关联软件为每一个资产设备创建标签二维码，支持多种打印功能</w:t>
            </w:r>
          </w:p>
          <w:p w14:paraId="689FA822">
            <w:pPr>
              <w:pStyle w:val="27"/>
              <w:keepNext w:val="0"/>
              <w:keepLines w:val="0"/>
              <w:pageBreakBefore w:val="0"/>
              <w:widowControl/>
              <w:numPr>
                <w:ilvl w:val="0"/>
                <w:numId w:val="5"/>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lang w:val="zh-TW" w:eastAsia="zh-TW"/>
              </w:rPr>
            </w:pPr>
            <w:r>
              <w:rPr>
                <w:rFonts w:hint="eastAsia" w:ascii="宋体" w:hAnsi="宋体" w:eastAsia="宋体" w:cs="宋体"/>
                <w:sz w:val="22"/>
                <w:szCs w:val="22"/>
                <w:highlight w:val="none"/>
                <w:lang w:val="en-US" w:eastAsia="zh-CN"/>
              </w:rPr>
              <w:t>支持条形码、二维码标签的打印</w:t>
            </w:r>
            <w:r>
              <w:rPr>
                <w:rFonts w:hint="eastAsia" w:ascii="宋体" w:hAnsi="宋体" w:cs="宋体"/>
                <w:sz w:val="22"/>
                <w:szCs w:val="22"/>
                <w:highlight w:val="none"/>
                <w:lang w:val="en-US" w:eastAsia="zh-CN"/>
              </w:rPr>
              <w:t>，支持多种尺寸版式标签，以满足现场不同尺寸设备粘贴标签的可视化要求</w:t>
            </w:r>
          </w:p>
          <w:p w14:paraId="413F2DA1">
            <w:pPr>
              <w:pStyle w:val="27"/>
              <w:keepNext w:val="0"/>
              <w:keepLines w:val="0"/>
              <w:pageBreakBefore w:val="0"/>
              <w:widowControl/>
              <w:numPr>
                <w:ilvl w:val="0"/>
                <w:numId w:val="5"/>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lang w:val="zh-TW" w:eastAsia="zh-TW"/>
              </w:rPr>
            </w:pPr>
            <w:r>
              <w:rPr>
                <w:rFonts w:hint="eastAsia" w:ascii="宋体" w:hAnsi="宋体" w:eastAsia="宋体" w:cs="宋体"/>
                <w:sz w:val="22"/>
                <w:szCs w:val="22"/>
                <w:highlight w:val="none"/>
                <w:lang w:val="en-US" w:eastAsia="zh-CN"/>
              </w:rPr>
              <w:t>可自定义标签打印模板，实现自由排版</w:t>
            </w:r>
            <w:r>
              <w:rPr>
                <w:rFonts w:hint="eastAsia" w:ascii="宋体" w:hAnsi="宋体" w:cs="宋体"/>
                <w:sz w:val="22"/>
                <w:szCs w:val="22"/>
                <w:highlight w:val="none"/>
                <w:lang w:val="en-US" w:eastAsia="zh-CN"/>
              </w:rPr>
              <w:t>，支持PC端排版打印</w:t>
            </w:r>
          </w:p>
          <w:p w14:paraId="1201E6EC">
            <w:pPr>
              <w:pStyle w:val="27"/>
              <w:keepNext w:val="0"/>
              <w:keepLines w:val="0"/>
              <w:pageBreakBefore w:val="0"/>
              <w:widowControl/>
              <w:numPr>
                <w:ilvl w:val="0"/>
                <w:numId w:val="5"/>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实现批量打印，自动校对</w:t>
            </w:r>
          </w:p>
          <w:p w14:paraId="4E7D4FA6">
            <w:pPr>
              <w:pStyle w:val="27"/>
              <w:keepNext w:val="0"/>
              <w:keepLines w:val="0"/>
              <w:pageBreakBefore w:val="0"/>
              <w:widowControl/>
              <w:numPr>
                <w:ilvl w:val="0"/>
                <w:numId w:val="5"/>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rPr>
            </w:pPr>
            <w:r>
              <w:rPr>
                <w:rFonts w:hint="eastAsia" w:ascii="宋体" w:hAnsi="宋体" w:cs="宋体"/>
                <w:sz w:val="22"/>
                <w:szCs w:val="22"/>
                <w:highlight w:val="none"/>
                <w:lang w:val="en-US" w:eastAsia="zh-CN"/>
              </w:rPr>
              <w:t>四防标签纸：防水、防油、防撕、撕下不留胶</w:t>
            </w:r>
          </w:p>
          <w:p w14:paraId="34EE5C0E">
            <w:pPr>
              <w:pStyle w:val="27"/>
              <w:keepNext w:val="0"/>
              <w:keepLines w:val="0"/>
              <w:pageBreakBefore w:val="0"/>
              <w:widowControl/>
              <w:numPr>
                <w:ilvl w:val="0"/>
                <w:numId w:val="5"/>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2"/>
                <w:szCs w:val="22"/>
                <w:highlight w:val="none"/>
              </w:rPr>
            </w:pPr>
            <w:r>
              <w:rPr>
                <w:rFonts w:hint="eastAsia" w:ascii="宋体" w:hAnsi="宋体" w:cs="宋体"/>
                <w:sz w:val="22"/>
                <w:szCs w:val="22"/>
                <w:highlight w:val="none"/>
                <w:lang w:val="en-US" w:eastAsia="zh-CN"/>
              </w:rPr>
              <w:t>打印耗材以满足福海创所有设备（预估9万台）标识要求，并预留25%的备用耗材</w:t>
            </w:r>
          </w:p>
        </w:tc>
        <w:tc>
          <w:tcPr>
            <w:tcW w:w="881" w:type="dxa"/>
            <w:noWrap w:val="0"/>
            <w:vAlign w:val="center"/>
          </w:tcPr>
          <w:p w14:paraId="476E6614">
            <w:pPr>
              <w:pStyle w:val="27"/>
              <w:spacing w:after="0" w:line="500" w:lineRule="exact"/>
              <w:jc w:val="center"/>
              <w:rPr>
                <w:rFonts w:hint="eastAsia"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1</w:t>
            </w:r>
            <w:r>
              <w:rPr>
                <w:rFonts w:hint="eastAsia" w:ascii="宋体" w:hAnsi="宋体" w:eastAsia="宋体" w:cs="宋体"/>
                <w:sz w:val="22"/>
                <w:szCs w:val="22"/>
                <w:highlight w:val="none"/>
                <w:lang w:val="en-US" w:eastAsia="zh-CN"/>
              </w:rPr>
              <w:t>台</w:t>
            </w:r>
          </w:p>
        </w:tc>
        <w:tc>
          <w:tcPr>
            <w:tcW w:w="1182" w:type="dxa"/>
            <w:noWrap w:val="0"/>
            <w:vAlign w:val="center"/>
          </w:tcPr>
          <w:p w14:paraId="30E97778">
            <w:pPr>
              <w:pStyle w:val="27"/>
              <w:spacing w:after="0" w:line="500" w:lineRule="exact"/>
              <w:rPr>
                <w:rFonts w:hint="eastAsia" w:ascii="宋体" w:hAnsi="宋体" w:cs="宋体"/>
                <w:sz w:val="22"/>
                <w:szCs w:val="22"/>
                <w:highlight w:val="none"/>
                <w:lang w:val="en-US" w:eastAsia="zh-CN"/>
              </w:rPr>
            </w:pPr>
          </w:p>
        </w:tc>
        <w:tc>
          <w:tcPr>
            <w:tcW w:w="1050" w:type="dxa"/>
            <w:noWrap w:val="0"/>
            <w:vAlign w:val="center"/>
          </w:tcPr>
          <w:p w14:paraId="2EFAE65D">
            <w:pPr>
              <w:pStyle w:val="27"/>
              <w:spacing w:after="0" w:line="500" w:lineRule="exact"/>
              <w:rPr>
                <w:rFonts w:hint="eastAsia" w:ascii="宋体" w:hAnsi="宋体" w:cs="宋体"/>
                <w:sz w:val="22"/>
                <w:szCs w:val="22"/>
                <w:highlight w:val="none"/>
                <w:lang w:val="en-US" w:eastAsia="zh-CN"/>
              </w:rPr>
            </w:pPr>
          </w:p>
        </w:tc>
        <w:tc>
          <w:tcPr>
            <w:tcW w:w="1481" w:type="dxa"/>
            <w:noWrap w:val="0"/>
            <w:vAlign w:val="center"/>
          </w:tcPr>
          <w:p w14:paraId="010B495C">
            <w:pPr>
              <w:pStyle w:val="27"/>
              <w:spacing w:after="0" w:line="500" w:lineRule="exact"/>
              <w:rPr>
                <w:rFonts w:hint="eastAsia" w:ascii="宋体" w:hAnsi="宋体" w:cs="宋体"/>
                <w:sz w:val="22"/>
                <w:szCs w:val="22"/>
                <w:highlight w:val="none"/>
                <w:lang w:val="en-US" w:eastAsia="zh-CN"/>
              </w:rPr>
            </w:pPr>
          </w:p>
        </w:tc>
      </w:tr>
      <w:tr w14:paraId="451BC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757" w:type="dxa"/>
            <w:noWrap w:val="0"/>
            <w:vAlign w:val="center"/>
          </w:tcPr>
          <w:p w14:paraId="05339417">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kern w:val="0"/>
                <w:sz w:val="22"/>
                <w:szCs w:val="22"/>
                <w:highlight w:val="none"/>
                <w:lang w:val="en-US" w:eastAsia="zh-CN" w:bidi="ar"/>
              </w:rPr>
            </w:pPr>
            <w:r>
              <w:rPr>
                <w:rFonts w:hint="eastAsia" w:ascii="宋体" w:hAnsi="宋体" w:cs="宋体"/>
                <w:kern w:val="0"/>
                <w:sz w:val="22"/>
                <w:szCs w:val="22"/>
                <w:highlight w:val="none"/>
                <w:lang w:val="en-US" w:eastAsia="zh-CN" w:bidi="ar"/>
              </w:rPr>
              <w:t>超融合一体机</w:t>
            </w:r>
          </w:p>
        </w:tc>
        <w:tc>
          <w:tcPr>
            <w:tcW w:w="4069" w:type="dxa"/>
            <w:noWrap w:val="0"/>
            <w:vAlign w:val="center"/>
          </w:tcPr>
          <w:p w14:paraId="33C6BA0C">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default" w:ascii="宋体" w:hAnsi="宋体" w:eastAsia="宋体" w:cs="宋体"/>
                <w:sz w:val="22"/>
                <w:szCs w:val="22"/>
                <w:highlight w:val="none"/>
                <w:lang w:val="en-US" w:eastAsia="zh-CN"/>
              </w:rPr>
            </w:pPr>
            <w:r>
              <w:rPr>
                <w:rFonts w:hint="eastAsia" w:ascii="宋体" w:hAnsi="宋体" w:eastAsia="宋体" w:cs="宋体"/>
                <w:b/>
                <w:bCs/>
                <w:sz w:val="22"/>
                <w:szCs w:val="22"/>
                <w:highlight w:val="none"/>
                <w:lang w:val="en-US" w:eastAsia="zh-CN"/>
              </w:rPr>
              <w:t>CPU</w:t>
            </w:r>
            <w:r>
              <w:rPr>
                <w:rFonts w:hint="eastAsia" w:ascii="宋体" w:hAnsi="宋体" w:cs="宋体"/>
                <w:sz w:val="22"/>
                <w:szCs w:val="22"/>
                <w:highlight w:val="none"/>
                <w:lang w:val="en-US" w:eastAsia="zh-CN"/>
              </w:rPr>
              <w:t>：2 * 海光C86 7315（16核/32线程，2.5GHz）或2 * 海光C86 7380 (32C/64T)或其他性能不低于此要求的CPU</w:t>
            </w:r>
          </w:p>
          <w:p w14:paraId="520EBFF1">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default" w:ascii="宋体" w:hAnsi="宋体" w:eastAsia="宋体" w:cs="宋体"/>
                <w:sz w:val="22"/>
                <w:szCs w:val="22"/>
                <w:highlight w:val="none"/>
                <w:lang w:val="en-US" w:eastAsia="zh-CN"/>
              </w:rPr>
            </w:pPr>
            <w:r>
              <w:rPr>
                <w:rFonts w:hint="eastAsia" w:ascii="宋体" w:hAnsi="宋体" w:eastAsia="宋体" w:cs="宋体"/>
                <w:b/>
                <w:bCs/>
                <w:sz w:val="22"/>
                <w:szCs w:val="22"/>
                <w:highlight w:val="none"/>
                <w:lang w:val="en-US" w:eastAsia="zh-CN"/>
              </w:rPr>
              <w:t>内存</w:t>
            </w:r>
            <w:r>
              <w:rPr>
                <w:rFonts w:hint="eastAsia" w:ascii="宋体" w:hAnsi="宋体" w:cs="宋体"/>
                <w:sz w:val="22"/>
                <w:szCs w:val="22"/>
                <w:highlight w:val="none"/>
                <w:lang w:val="en-US" w:eastAsia="zh-CN"/>
              </w:rPr>
              <w:t>：256</w:t>
            </w:r>
            <w:r>
              <w:rPr>
                <w:rFonts w:hint="eastAsia" w:ascii="宋体" w:hAnsi="宋体" w:eastAsia="宋体" w:cs="宋体"/>
                <w:sz w:val="22"/>
                <w:szCs w:val="22"/>
                <w:highlight w:val="none"/>
                <w:lang w:val="en-US" w:eastAsia="zh-CN"/>
              </w:rPr>
              <w:t xml:space="preserve"> GB DDR</w:t>
            </w:r>
            <w:r>
              <w:rPr>
                <w:rFonts w:hint="eastAsia" w:ascii="宋体" w:hAnsi="宋体" w:cs="宋体"/>
                <w:sz w:val="22"/>
                <w:szCs w:val="22"/>
                <w:highlight w:val="none"/>
                <w:lang w:val="en-US" w:eastAsia="zh-CN"/>
              </w:rPr>
              <w:t>5</w:t>
            </w:r>
          </w:p>
          <w:p w14:paraId="31FD62CA">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eastAsia" w:ascii="宋体" w:hAnsi="宋体" w:cs="宋体"/>
                <w:sz w:val="22"/>
                <w:szCs w:val="22"/>
                <w:highlight w:val="none"/>
                <w:lang w:val="en-US" w:eastAsia="zh-CN"/>
              </w:rPr>
            </w:pPr>
            <w:r>
              <w:rPr>
                <w:rFonts w:hint="eastAsia" w:ascii="宋体" w:hAnsi="宋体" w:eastAsia="宋体" w:cs="宋体"/>
                <w:b/>
                <w:bCs/>
                <w:sz w:val="22"/>
                <w:szCs w:val="22"/>
                <w:highlight w:val="none"/>
                <w:lang w:val="en-US" w:eastAsia="zh-CN"/>
              </w:rPr>
              <w:t>存储</w:t>
            </w:r>
            <w:r>
              <w:rPr>
                <w:rFonts w:hint="eastAsia" w:ascii="宋体" w:hAnsi="宋体" w:cs="宋体"/>
                <w:sz w:val="22"/>
                <w:szCs w:val="22"/>
                <w:highlight w:val="none"/>
                <w:lang w:val="en-US" w:eastAsia="zh-CN"/>
              </w:rPr>
              <w:t>：</w:t>
            </w:r>
          </w:p>
          <w:p w14:paraId="686D04B3">
            <w:pPr>
              <w:pStyle w:val="27"/>
              <w:keepNext w:val="0"/>
              <w:keepLines w:val="0"/>
              <w:pageBreakBefore w:val="0"/>
              <w:widowControl/>
              <w:numPr>
                <w:ilvl w:val="0"/>
                <w:numId w:val="6"/>
              </w:numPr>
              <w:kinsoku/>
              <w:wordWrap/>
              <w:overflowPunct/>
              <w:topLinePunct w:val="0"/>
              <w:autoSpaceDE/>
              <w:autoSpaceDN/>
              <w:bidi w:val="0"/>
              <w:adjustRightInd/>
              <w:snapToGrid/>
              <w:spacing w:after="0" w:line="400" w:lineRule="exact"/>
              <w:ind w:left="240" w:leftChars="0" w:hanging="240" w:firstLineChars="0"/>
              <w:jc w:val="left"/>
              <w:textAlignment w:val="auto"/>
              <w:rPr>
                <w:rFonts w:hint="eastAsia"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系统盘：2 * 480 GB NVMe SSD（RAID 1）</w:t>
            </w:r>
          </w:p>
          <w:p w14:paraId="3C7AF0B0">
            <w:pPr>
              <w:pStyle w:val="27"/>
              <w:keepNext w:val="0"/>
              <w:keepLines w:val="0"/>
              <w:pageBreakBefore w:val="0"/>
              <w:widowControl/>
              <w:numPr>
                <w:ilvl w:val="0"/>
                <w:numId w:val="6"/>
              </w:numPr>
              <w:kinsoku/>
              <w:wordWrap/>
              <w:overflowPunct/>
              <w:topLinePunct w:val="0"/>
              <w:autoSpaceDE/>
              <w:autoSpaceDN/>
              <w:bidi w:val="0"/>
              <w:adjustRightInd/>
              <w:snapToGrid/>
              <w:spacing w:after="0" w:line="400" w:lineRule="exact"/>
              <w:ind w:left="240" w:leftChars="0" w:hanging="240" w:firstLineChars="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缓存</w:t>
            </w:r>
            <w:r>
              <w:rPr>
                <w:rFonts w:hint="eastAsia" w:ascii="宋体" w:hAnsi="宋体" w:cs="宋体"/>
                <w:sz w:val="22"/>
                <w:szCs w:val="22"/>
                <w:highlight w:val="none"/>
                <w:lang w:val="en-US" w:eastAsia="zh-CN"/>
              </w:rPr>
              <w:t>盘</w:t>
            </w:r>
            <w:r>
              <w:rPr>
                <w:rFonts w:hint="eastAsia" w:ascii="宋体" w:hAnsi="宋体" w:eastAsia="宋体" w:cs="宋体"/>
                <w:sz w:val="22"/>
                <w:szCs w:val="22"/>
                <w:highlight w:val="none"/>
                <w:lang w:val="en-US" w:eastAsia="zh-CN"/>
              </w:rPr>
              <w:t>：</w:t>
            </w:r>
            <w:r>
              <w:rPr>
                <w:rFonts w:hint="eastAsia" w:ascii="宋体" w:hAnsi="宋体" w:cs="宋体"/>
                <w:sz w:val="22"/>
                <w:szCs w:val="22"/>
                <w:highlight w:val="none"/>
                <w:lang w:val="en-US" w:eastAsia="zh-CN"/>
              </w:rPr>
              <w:t>2</w:t>
            </w:r>
            <w:r>
              <w:rPr>
                <w:rFonts w:hint="eastAsia" w:ascii="宋体" w:hAnsi="宋体" w:eastAsia="宋体" w:cs="宋体"/>
                <w:sz w:val="22"/>
                <w:szCs w:val="22"/>
                <w:highlight w:val="none"/>
                <w:lang w:val="en-US" w:eastAsia="zh-CN"/>
              </w:rPr>
              <w:t xml:space="preserve"> * 960 GB NVMe SSD</w:t>
            </w:r>
          </w:p>
          <w:p w14:paraId="27FBA80C">
            <w:pPr>
              <w:pStyle w:val="27"/>
              <w:keepNext w:val="0"/>
              <w:keepLines w:val="0"/>
              <w:pageBreakBefore w:val="0"/>
              <w:widowControl/>
              <w:numPr>
                <w:ilvl w:val="0"/>
                <w:numId w:val="6"/>
              </w:numPr>
              <w:kinsoku/>
              <w:wordWrap/>
              <w:overflowPunct/>
              <w:topLinePunct w:val="0"/>
              <w:autoSpaceDE/>
              <w:autoSpaceDN/>
              <w:bidi w:val="0"/>
              <w:adjustRightInd/>
              <w:snapToGrid/>
              <w:spacing w:after="0" w:line="400" w:lineRule="exact"/>
              <w:ind w:left="240" w:leftChars="0" w:hanging="240" w:firstLineChars="0"/>
              <w:jc w:val="left"/>
              <w:textAlignment w:val="auto"/>
              <w:rPr>
                <w:rFonts w:hint="eastAsia"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数据盘</w:t>
            </w:r>
            <w:r>
              <w:rPr>
                <w:rFonts w:hint="eastAsia" w:ascii="宋体" w:hAnsi="宋体" w:eastAsia="宋体" w:cs="宋体"/>
                <w:sz w:val="22"/>
                <w:szCs w:val="22"/>
                <w:highlight w:val="none"/>
                <w:lang w:val="en-US" w:eastAsia="zh-CN"/>
              </w:rPr>
              <w:t>：4 * 8 TB SAS HDD</w:t>
            </w:r>
          </w:p>
          <w:p w14:paraId="233313E5">
            <w:pPr>
              <w:pStyle w:val="27"/>
              <w:keepNext w:val="0"/>
              <w:keepLines w:val="0"/>
              <w:pageBreakBefore w:val="0"/>
              <w:widowControl/>
              <w:numPr>
                <w:ilvl w:val="0"/>
                <w:numId w:val="6"/>
              </w:numPr>
              <w:kinsoku/>
              <w:wordWrap/>
              <w:overflowPunct/>
              <w:topLinePunct w:val="0"/>
              <w:autoSpaceDE/>
              <w:autoSpaceDN/>
              <w:bidi w:val="0"/>
              <w:adjustRightInd/>
              <w:snapToGrid/>
              <w:spacing w:after="0" w:line="400" w:lineRule="exact"/>
              <w:ind w:left="240" w:leftChars="0" w:hanging="240" w:firstLineChars="0"/>
              <w:jc w:val="left"/>
              <w:textAlignment w:val="auto"/>
              <w:rPr>
                <w:rFonts w:hint="eastAsia"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标配盘位数：12</w:t>
            </w:r>
          </w:p>
          <w:p w14:paraId="66102A2C">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eastAsia" w:ascii="宋体" w:hAnsi="宋体" w:eastAsia="宋体" w:cs="宋体"/>
                <w:sz w:val="22"/>
                <w:szCs w:val="22"/>
                <w:highlight w:val="none"/>
                <w:lang w:val="en-US" w:eastAsia="zh-CN"/>
              </w:rPr>
            </w:pPr>
            <w:r>
              <w:rPr>
                <w:rFonts w:hint="eastAsia" w:ascii="宋体" w:hAnsi="宋体" w:cs="宋体"/>
                <w:b/>
                <w:bCs/>
                <w:sz w:val="22"/>
                <w:szCs w:val="22"/>
                <w:highlight w:val="none"/>
                <w:lang w:val="en-US" w:eastAsia="zh-CN"/>
              </w:rPr>
              <w:t>网卡</w:t>
            </w:r>
            <w:r>
              <w:rPr>
                <w:rFonts w:hint="eastAsia" w:ascii="宋体" w:hAnsi="宋体" w:cs="宋体"/>
                <w:sz w:val="22"/>
                <w:szCs w:val="22"/>
                <w:highlight w:val="none"/>
                <w:lang w:val="en-US" w:eastAsia="zh-CN"/>
              </w:rPr>
              <w:t>：</w:t>
            </w:r>
            <w:r>
              <w:rPr>
                <w:rFonts w:hint="eastAsia" w:ascii="宋体" w:hAnsi="宋体" w:eastAsia="宋体" w:cs="宋体"/>
                <w:sz w:val="22"/>
                <w:szCs w:val="22"/>
                <w:highlight w:val="none"/>
                <w:lang w:val="en-US" w:eastAsia="zh-CN"/>
              </w:rPr>
              <w:t>管理/存储网络：双口25GbE SFP+网卡</w:t>
            </w:r>
            <w:r>
              <w:rPr>
                <w:rFonts w:hint="eastAsia" w:ascii="宋体" w:hAnsi="宋体" w:cs="宋体"/>
                <w:sz w:val="22"/>
                <w:szCs w:val="22"/>
                <w:highlight w:val="none"/>
                <w:lang w:val="en-US" w:eastAsia="zh-CN"/>
              </w:rPr>
              <w:t>，</w:t>
            </w:r>
            <w:r>
              <w:rPr>
                <w:rFonts w:hint="eastAsia" w:ascii="宋体" w:hAnsi="宋体" w:eastAsia="宋体" w:cs="宋体"/>
                <w:sz w:val="22"/>
                <w:szCs w:val="22"/>
                <w:highlight w:val="none"/>
                <w:lang w:val="en-US" w:eastAsia="zh-CN"/>
              </w:rPr>
              <w:t>业务网络：双口</w:t>
            </w:r>
            <w:r>
              <w:rPr>
                <w:rFonts w:hint="eastAsia" w:ascii="宋体" w:hAnsi="宋体" w:cs="宋体"/>
                <w:sz w:val="22"/>
                <w:szCs w:val="22"/>
                <w:highlight w:val="none"/>
                <w:lang w:val="en-US" w:eastAsia="zh-CN"/>
              </w:rPr>
              <w:t>25</w:t>
            </w:r>
            <w:r>
              <w:rPr>
                <w:rFonts w:hint="eastAsia" w:ascii="宋体" w:hAnsi="宋体" w:eastAsia="宋体" w:cs="宋体"/>
                <w:sz w:val="22"/>
                <w:szCs w:val="22"/>
                <w:highlight w:val="none"/>
                <w:lang w:val="en-US" w:eastAsia="zh-CN"/>
              </w:rPr>
              <w:t>GbE SFP+网卡</w:t>
            </w:r>
          </w:p>
          <w:p w14:paraId="32AC8551">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eastAsia" w:ascii="宋体" w:hAnsi="宋体" w:cs="宋体"/>
                <w:sz w:val="22"/>
                <w:szCs w:val="22"/>
                <w:highlight w:val="none"/>
                <w:lang w:val="en-US" w:eastAsia="zh-CN"/>
              </w:rPr>
            </w:pPr>
            <w:r>
              <w:rPr>
                <w:rFonts w:hint="eastAsia" w:ascii="宋体" w:hAnsi="宋体" w:cs="宋体"/>
                <w:b/>
                <w:bCs/>
                <w:sz w:val="22"/>
                <w:szCs w:val="22"/>
                <w:highlight w:val="none"/>
                <w:lang w:val="en-US" w:eastAsia="zh-CN"/>
              </w:rPr>
              <w:t>数据库：</w:t>
            </w:r>
            <w:r>
              <w:rPr>
                <w:rFonts w:hint="eastAsia" w:ascii="宋体" w:hAnsi="宋体" w:cs="宋体"/>
                <w:sz w:val="22"/>
                <w:szCs w:val="22"/>
                <w:highlight w:val="none"/>
                <w:lang w:val="en-US" w:eastAsia="zh-CN"/>
              </w:rPr>
              <w:t>达梦DMDPC V8.4、OceanBase V4、金仓分布式HTAP V3</w:t>
            </w:r>
          </w:p>
          <w:p w14:paraId="3DBA2BAE">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default" w:ascii="宋体" w:hAnsi="宋体" w:cs="宋体"/>
                <w:sz w:val="22"/>
                <w:szCs w:val="22"/>
                <w:highlight w:val="none"/>
                <w:lang w:val="en-US" w:eastAsia="zh-CN"/>
              </w:rPr>
            </w:pPr>
            <w:r>
              <w:rPr>
                <w:rFonts w:hint="eastAsia" w:ascii="宋体" w:hAnsi="宋体" w:cs="宋体"/>
                <w:b/>
                <w:bCs/>
                <w:sz w:val="22"/>
                <w:szCs w:val="22"/>
                <w:highlight w:val="none"/>
                <w:lang w:val="en-US" w:eastAsia="zh-CN"/>
              </w:rPr>
              <w:t>操作系统：</w:t>
            </w:r>
            <w:r>
              <w:rPr>
                <w:rFonts w:hint="eastAsia" w:ascii="宋体" w:hAnsi="宋体" w:cs="宋体"/>
                <w:sz w:val="22"/>
                <w:szCs w:val="22"/>
                <w:highlight w:val="none"/>
                <w:lang w:val="en-US" w:eastAsia="zh-CN"/>
              </w:rPr>
              <w:t>银河麒麟V11、北京凝思V6、Sangfor OS V5.0</w:t>
            </w:r>
          </w:p>
          <w:p w14:paraId="05DC0E3C">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default" w:ascii="宋体" w:hAnsi="宋体" w:cs="宋体"/>
                <w:sz w:val="22"/>
                <w:szCs w:val="22"/>
                <w:highlight w:val="none"/>
                <w:lang w:val="en-US" w:eastAsia="zh-CN"/>
              </w:rPr>
            </w:pPr>
            <w:r>
              <w:rPr>
                <w:rFonts w:hint="default" w:ascii="宋体" w:hAnsi="宋体" w:cs="宋体"/>
                <w:b/>
                <w:bCs/>
                <w:sz w:val="22"/>
                <w:szCs w:val="22"/>
                <w:highlight w:val="none"/>
                <w:lang w:val="en-US" w:eastAsia="zh-CN"/>
              </w:rPr>
              <w:t>超融合软件：</w:t>
            </w:r>
            <w:r>
              <w:rPr>
                <w:rFonts w:hint="default" w:ascii="宋体" w:hAnsi="宋体" w:cs="宋体"/>
                <w:sz w:val="22"/>
                <w:szCs w:val="22"/>
                <w:highlight w:val="none"/>
                <w:lang w:val="en-US" w:eastAsia="zh-CN"/>
              </w:rPr>
              <w:t>华为FusionCompute（虚拟化） + FusionStorage（分布式存储）</w:t>
            </w:r>
            <w:r>
              <w:rPr>
                <w:rFonts w:hint="eastAsia" w:ascii="宋体" w:hAnsi="宋体" w:cs="宋体"/>
                <w:sz w:val="22"/>
                <w:szCs w:val="22"/>
                <w:highlight w:val="none"/>
                <w:lang w:val="en-US" w:eastAsia="zh-CN"/>
              </w:rPr>
              <w:t>、深信服信创超融合、H3C UIS、SmartX</w:t>
            </w:r>
          </w:p>
          <w:p w14:paraId="3CE9DCB7">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default" w:ascii="宋体" w:hAnsi="宋体" w:cs="宋体"/>
                <w:sz w:val="22"/>
                <w:szCs w:val="22"/>
                <w:highlight w:val="none"/>
                <w:lang w:val="en-US" w:eastAsia="zh-CN"/>
              </w:rPr>
            </w:pPr>
            <w:r>
              <w:rPr>
                <w:rFonts w:hint="eastAsia" w:ascii="宋体" w:hAnsi="宋体" w:cs="宋体"/>
                <w:b/>
                <w:bCs/>
                <w:sz w:val="22"/>
                <w:szCs w:val="22"/>
                <w:highlight w:val="none"/>
                <w:lang w:val="en-US" w:eastAsia="zh-CN"/>
              </w:rPr>
              <w:t>电源</w:t>
            </w:r>
            <w:r>
              <w:rPr>
                <w:rFonts w:hint="eastAsia" w:ascii="宋体" w:hAnsi="宋体" w:cs="宋体"/>
                <w:sz w:val="22"/>
                <w:szCs w:val="22"/>
                <w:highlight w:val="none"/>
                <w:lang w:val="en-US" w:eastAsia="zh-CN"/>
              </w:rPr>
              <w:t>：80 PLUS 白金版</w:t>
            </w:r>
          </w:p>
          <w:p w14:paraId="7EB45026">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冗余：电源、风扇、网卡等关键硬件支持冗余配置</w:t>
            </w:r>
          </w:p>
          <w:p w14:paraId="5B0AEC48">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具有远程管理功能</w:t>
            </w:r>
          </w:p>
          <w:p w14:paraId="637209DF">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eastAsia" w:ascii="宋体" w:hAnsi="宋体" w:cs="宋体"/>
                <w:sz w:val="22"/>
                <w:szCs w:val="22"/>
                <w:highlight w:val="none"/>
                <w:lang w:val="en-US" w:eastAsia="zh-CN"/>
              </w:rPr>
            </w:pPr>
            <w:r>
              <w:rPr>
                <w:rFonts w:hint="default" w:ascii="宋体" w:hAnsi="宋体" w:cs="宋体"/>
                <w:sz w:val="22"/>
                <w:szCs w:val="22"/>
                <w:highlight w:val="none"/>
                <w:lang w:val="en-US" w:eastAsia="zh-CN"/>
              </w:rPr>
              <w:t>含超融合软件与3年维保服务</w:t>
            </w:r>
            <w:r>
              <w:rPr>
                <w:rFonts w:hint="eastAsia" w:ascii="宋体" w:hAnsi="宋体" w:cs="宋体"/>
                <w:sz w:val="22"/>
                <w:szCs w:val="22"/>
                <w:highlight w:val="none"/>
                <w:lang w:val="en-US" w:eastAsia="zh-CN"/>
              </w:rPr>
              <w:t>，提供原厂售后承诺函</w:t>
            </w:r>
          </w:p>
          <w:p w14:paraId="07BB3BC3">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default" w:ascii="宋体" w:hAnsi="宋体" w:cs="宋体"/>
                <w:sz w:val="22"/>
                <w:szCs w:val="22"/>
                <w:highlight w:val="none"/>
                <w:lang w:val="en-US" w:eastAsia="zh-CN"/>
              </w:rPr>
            </w:pPr>
            <w:r>
              <w:rPr>
                <w:rFonts w:hint="eastAsia" w:ascii="宋体" w:hAnsi="宋体" w:cs="宋体"/>
                <w:sz w:val="22"/>
                <w:szCs w:val="22"/>
                <w:highlight w:val="none"/>
                <w:lang w:val="en-US" w:eastAsia="zh-CN"/>
              </w:rPr>
              <w:t>提供“CPU+超融合软件+操作系统+数据库”整套组合的官方兼容性认证报告</w:t>
            </w:r>
          </w:p>
          <w:p w14:paraId="7F3E7AB5">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default" w:ascii="宋体" w:hAnsi="宋体" w:cs="宋体"/>
                <w:sz w:val="22"/>
                <w:szCs w:val="22"/>
                <w:highlight w:val="none"/>
                <w:lang w:val="en-US" w:eastAsia="zh-CN"/>
              </w:rPr>
            </w:pPr>
            <w:r>
              <w:rPr>
                <w:rFonts w:hint="eastAsia" w:ascii="宋体" w:hAnsi="宋体" w:cs="宋体"/>
                <w:sz w:val="22"/>
                <w:szCs w:val="22"/>
                <w:highlight w:val="none"/>
                <w:lang w:val="en-US" w:eastAsia="zh-CN"/>
              </w:rPr>
              <w:t>品牌：华为、海光、浪潮、深信服</w:t>
            </w:r>
          </w:p>
        </w:tc>
        <w:tc>
          <w:tcPr>
            <w:tcW w:w="881" w:type="dxa"/>
            <w:noWrap w:val="0"/>
            <w:vAlign w:val="center"/>
          </w:tcPr>
          <w:p w14:paraId="21232AC8">
            <w:pPr>
              <w:pStyle w:val="27"/>
              <w:spacing w:after="0" w:line="500" w:lineRule="exact"/>
              <w:jc w:val="center"/>
              <w:rPr>
                <w:rFonts w:hint="default"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3台</w:t>
            </w:r>
          </w:p>
        </w:tc>
        <w:tc>
          <w:tcPr>
            <w:tcW w:w="1182" w:type="dxa"/>
            <w:noWrap w:val="0"/>
            <w:vAlign w:val="center"/>
          </w:tcPr>
          <w:p w14:paraId="69A8BE74">
            <w:pPr>
              <w:pStyle w:val="27"/>
              <w:spacing w:after="0" w:line="500" w:lineRule="exact"/>
              <w:jc w:val="left"/>
              <w:rPr>
                <w:rFonts w:hint="eastAsia" w:ascii="宋体" w:hAnsi="宋体" w:cs="宋体"/>
                <w:sz w:val="22"/>
                <w:szCs w:val="22"/>
                <w:highlight w:val="none"/>
                <w:lang w:val="en-US" w:eastAsia="zh-CN"/>
              </w:rPr>
            </w:pPr>
          </w:p>
        </w:tc>
        <w:tc>
          <w:tcPr>
            <w:tcW w:w="1050" w:type="dxa"/>
            <w:noWrap w:val="0"/>
            <w:vAlign w:val="center"/>
          </w:tcPr>
          <w:p w14:paraId="20663BD5">
            <w:pPr>
              <w:pStyle w:val="27"/>
              <w:spacing w:after="0" w:line="500" w:lineRule="exact"/>
              <w:jc w:val="left"/>
              <w:rPr>
                <w:rFonts w:hint="eastAsia" w:ascii="宋体" w:hAnsi="宋体" w:cs="宋体"/>
                <w:sz w:val="22"/>
                <w:szCs w:val="22"/>
                <w:highlight w:val="none"/>
                <w:lang w:val="en-US" w:eastAsia="zh-CN"/>
              </w:rPr>
            </w:pPr>
          </w:p>
        </w:tc>
        <w:tc>
          <w:tcPr>
            <w:tcW w:w="1481" w:type="dxa"/>
            <w:noWrap w:val="0"/>
            <w:vAlign w:val="center"/>
          </w:tcPr>
          <w:p w14:paraId="7095F933">
            <w:pPr>
              <w:pStyle w:val="27"/>
              <w:spacing w:after="0" w:line="500" w:lineRule="exact"/>
              <w:jc w:val="left"/>
              <w:rPr>
                <w:rFonts w:hint="eastAsia" w:ascii="宋体" w:hAnsi="宋体" w:cs="宋体"/>
                <w:sz w:val="22"/>
                <w:szCs w:val="22"/>
                <w:highlight w:val="none"/>
                <w:lang w:val="en-US" w:eastAsia="zh-CN"/>
              </w:rPr>
            </w:pPr>
          </w:p>
        </w:tc>
      </w:tr>
      <w:tr w14:paraId="4B751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57" w:type="dxa"/>
            <w:noWrap w:val="0"/>
            <w:vAlign w:val="center"/>
          </w:tcPr>
          <w:p w14:paraId="5D99754B">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0"/>
                <w:sz w:val="22"/>
                <w:szCs w:val="22"/>
                <w:highlight w:val="none"/>
                <w:lang w:val="en-US" w:eastAsia="zh-CN" w:bidi="ar"/>
              </w:rPr>
            </w:pPr>
            <w:r>
              <w:rPr>
                <w:rFonts w:hint="eastAsia" w:ascii="宋体" w:hAnsi="宋体" w:cs="宋体"/>
                <w:kern w:val="0"/>
                <w:sz w:val="22"/>
                <w:szCs w:val="22"/>
                <w:highlight w:val="none"/>
                <w:lang w:val="en-US" w:eastAsia="zh-CN" w:bidi="ar"/>
              </w:rPr>
              <w:t>交换机</w:t>
            </w:r>
          </w:p>
        </w:tc>
        <w:tc>
          <w:tcPr>
            <w:tcW w:w="4069" w:type="dxa"/>
            <w:noWrap w:val="0"/>
            <w:vAlign w:val="center"/>
          </w:tcPr>
          <w:p w14:paraId="1CEFBF7C">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S5735S-S24T4X-XA（型号以华为为例，其他品牌满足规格要求即可）,交换容量336 Gbps，包转发率126 Mpps</w:t>
            </w:r>
          </w:p>
          <w:p w14:paraId="6B1ED2DD">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default" w:ascii="宋体" w:hAnsi="宋体" w:cs="宋体"/>
                <w:sz w:val="22"/>
                <w:szCs w:val="22"/>
                <w:highlight w:val="none"/>
                <w:lang w:val="en-US" w:eastAsia="zh-CN"/>
              </w:rPr>
            </w:pPr>
            <w:r>
              <w:rPr>
                <w:rFonts w:hint="eastAsia" w:ascii="宋体" w:hAnsi="宋体" w:cs="宋体"/>
                <w:sz w:val="22"/>
                <w:szCs w:val="22"/>
                <w:highlight w:val="none"/>
                <w:lang w:val="en-US" w:eastAsia="zh-CN"/>
              </w:rPr>
              <w:t>24个10/100/1000BASE-T以太网端口，4个万兆SFP+上行端口 含光模块</w:t>
            </w:r>
          </w:p>
          <w:p w14:paraId="4B371318">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default" w:ascii="宋体" w:hAnsi="宋体" w:cs="宋体"/>
                <w:sz w:val="22"/>
                <w:szCs w:val="22"/>
                <w:highlight w:val="none"/>
                <w:lang w:val="en-US" w:eastAsia="zh-CN"/>
              </w:rPr>
            </w:pPr>
            <w:r>
              <w:rPr>
                <w:rFonts w:hint="eastAsia" w:ascii="宋体" w:hAnsi="宋体" w:cs="宋体"/>
                <w:sz w:val="22"/>
                <w:szCs w:val="22"/>
                <w:highlight w:val="none"/>
                <w:lang w:val="en-US" w:eastAsia="zh-CN"/>
              </w:rPr>
              <w:t>品牌：</w:t>
            </w:r>
            <w:r>
              <w:rPr>
                <w:rFonts w:hint="default" w:ascii="宋体" w:hAnsi="宋体" w:cs="宋体"/>
                <w:sz w:val="22"/>
                <w:szCs w:val="22"/>
                <w:highlight w:val="none"/>
                <w:lang w:val="en-US" w:eastAsia="zh-CN"/>
              </w:rPr>
              <w:t>华为</w:t>
            </w:r>
            <w:r>
              <w:rPr>
                <w:rFonts w:hint="eastAsia" w:ascii="宋体" w:hAnsi="宋体" w:cs="宋体"/>
                <w:sz w:val="22"/>
                <w:szCs w:val="22"/>
                <w:highlight w:val="none"/>
                <w:lang w:val="en-US" w:eastAsia="zh-CN"/>
              </w:rPr>
              <w:t>、华三、浪潮、深信服</w:t>
            </w:r>
          </w:p>
        </w:tc>
        <w:tc>
          <w:tcPr>
            <w:tcW w:w="881" w:type="dxa"/>
            <w:noWrap w:val="0"/>
            <w:vAlign w:val="center"/>
          </w:tcPr>
          <w:p w14:paraId="54C55358">
            <w:pPr>
              <w:pStyle w:val="27"/>
              <w:spacing w:after="0" w:line="500" w:lineRule="exact"/>
              <w:jc w:val="center"/>
              <w:rPr>
                <w:rFonts w:hint="eastAsia" w:ascii="宋体" w:hAnsi="宋体" w:eastAsia="宋体" w:cs="宋体"/>
                <w:color w:val="000000"/>
                <w:sz w:val="22"/>
                <w:szCs w:val="22"/>
                <w:highlight w:val="none"/>
                <w:lang w:val="en-US" w:eastAsia="zh-CN" w:bidi="ar-SA"/>
              </w:rPr>
            </w:pPr>
            <w:r>
              <w:rPr>
                <w:rFonts w:hint="eastAsia" w:ascii="宋体" w:hAnsi="宋体" w:cs="宋体"/>
                <w:sz w:val="22"/>
                <w:szCs w:val="22"/>
                <w:highlight w:val="none"/>
                <w:lang w:val="en-US" w:eastAsia="zh-CN"/>
              </w:rPr>
              <w:t>2台</w:t>
            </w:r>
          </w:p>
        </w:tc>
        <w:tc>
          <w:tcPr>
            <w:tcW w:w="1182" w:type="dxa"/>
            <w:noWrap w:val="0"/>
            <w:vAlign w:val="center"/>
          </w:tcPr>
          <w:p w14:paraId="31FF9EAA">
            <w:pPr>
              <w:pStyle w:val="27"/>
              <w:spacing w:after="0" w:line="500" w:lineRule="exact"/>
              <w:jc w:val="left"/>
              <w:rPr>
                <w:rFonts w:hint="eastAsia" w:ascii="宋体" w:hAnsi="宋体" w:cs="宋体"/>
                <w:sz w:val="22"/>
                <w:szCs w:val="22"/>
                <w:highlight w:val="none"/>
                <w:lang w:val="en-US" w:eastAsia="zh-CN"/>
              </w:rPr>
            </w:pPr>
          </w:p>
        </w:tc>
        <w:tc>
          <w:tcPr>
            <w:tcW w:w="1050" w:type="dxa"/>
            <w:noWrap w:val="0"/>
            <w:vAlign w:val="center"/>
          </w:tcPr>
          <w:p w14:paraId="5C484A85">
            <w:pPr>
              <w:pStyle w:val="27"/>
              <w:spacing w:after="0" w:line="500" w:lineRule="exact"/>
              <w:jc w:val="left"/>
              <w:rPr>
                <w:rFonts w:hint="eastAsia" w:ascii="宋体" w:hAnsi="宋体" w:cs="宋体"/>
                <w:sz w:val="22"/>
                <w:szCs w:val="22"/>
                <w:highlight w:val="none"/>
                <w:lang w:val="en-US" w:eastAsia="zh-CN"/>
              </w:rPr>
            </w:pPr>
          </w:p>
        </w:tc>
        <w:tc>
          <w:tcPr>
            <w:tcW w:w="1481" w:type="dxa"/>
            <w:noWrap w:val="0"/>
            <w:vAlign w:val="center"/>
          </w:tcPr>
          <w:p w14:paraId="7F1E1528">
            <w:pPr>
              <w:pStyle w:val="27"/>
              <w:spacing w:after="0" w:line="500" w:lineRule="exact"/>
              <w:jc w:val="left"/>
              <w:rPr>
                <w:rFonts w:hint="eastAsia" w:ascii="宋体" w:hAnsi="宋体" w:cs="宋体"/>
                <w:sz w:val="22"/>
                <w:szCs w:val="22"/>
                <w:highlight w:val="none"/>
                <w:lang w:val="en-US" w:eastAsia="zh-CN"/>
              </w:rPr>
            </w:pPr>
          </w:p>
        </w:tc>
      </w:tr>
      <w:tr w14:paraId="40A65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757" w:type="dxa"/>
            <w:noWrap w:val="0"/>
            <w:vAlign w:val="center"/>
          </w:tcPr>
          <w:p w14:paraId="55BF97FC">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cs="宋体"/>
                <w:kern w:val="0"/>
                <w:sz w:val="22"/>
                <w:szCs w:val="22"/>
                <w:highlight w:val="none"/>
                <w:lang w:val="en-US" w:eastAsia="zh-CN" w:bidi="ar"/>
              </w:rPr>
            </w:pPr>
            <w:r>
              <w:rPr>
                <w:rFonts w:hint="eastAsia" w:ascii="宋体" w:hAnsi="宋体" w:cs="宋体"/>
                <w:kern w:val="0"/>
                <w:sz w:val="22"/>
                <w:szCs w:val="22"/>
                <w:highlight w:val="none"/>
                <w:lang w:val="en-US" w:eastAsia="zh-CN" w:bidi="ar"/>
              </w:rPr>
              <w:t>万兆存储接入交换机</w:t>
            </w:r>
          </w:p>
        </w:tc>
        <w:tc>
          <w:tcPr>
            <w:tcW w:w="4069" w:type="dxa"/>
            <w:noWrap w:val="0"/>
            <w:vAlign w:val="center"/>
          </w:tcPr>
          <w:p w14:paraId="5D831FE8">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S6730S-S24X6Q-A（型号以华为为例，其他品牌满足规格要求即可）,交换容量2.4T/24Tbps，包转发率720M/792Mpps</w:t>
            </w:r>
          </w:p>
          <w:p w14:paraId="20A446AA">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24个10G SFP+光口（支持千兆/万兆自适应），6个40G QSFP+端口，双电源</w:t>
            </w:r>
          </w:p>
          <w:p w14:paraId="01852782">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品牌：</w:t>
            </w:r>
            <w:r>
              <w:rPr>
                <w:rFonts w:hint="default" w:ascii="宋体" w:hAnsi="宋体" w:cs="宋体"/>
                <w:sz w:val="22"/>
                <w:szCs w:val="22"/>
                <w:highlight w:val="none"/>
                <w:lang w:val="en-US" w:eastAsia="zh-CN"/>
              </w:rPr>
              <w:t>华为</w:t>
            </w:r>
            <w:r>
              <w:rPr>
                <w:rFonts w:hint="eastAsia" w:ascii="宋体" w:hAnsi="宋体" w:cs="宋体"/>
                <w:sz w:val="22"/>
                <w:szCs w:val="22"/>
                <w:highlight w:val="none"/>
                <w:lang w:val="en-US" w:eastAsia="zh-CN"/>
              </w:rPr>
              <w:t>、华三、浪潮、深信服</w:t>
            </w:r>
          </w:p>
        </w:tc>
        <w:tc>
          <w:tcPr>
            <w:tcW w:w="881" w:type="dxa"/>
            <w:noWrap w:val="0"/>
            <w:vAlign w:val="center"/>
          </w:tcPr>
          <w:p w14:paraId="650D7933">
            <w:pPr>
              <w:pStyle w:val="27"/>
              <w:spacing w:after="0" w:line="500" w:lineRule="exact"/>
              <w:jc w:val="center"/>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2台</w:t>
            </w:r>
          </w:p>
        </w:tc>
        <w:tc>
          <w:tcPr>
            <w:tcW w:w="1182" w:type="dxa"/>
            <w:noWrap w:val="0"/>
            <w:vAlign w:val="center"/>
          </w:tcPr>
          <w:p w14:paraId="4EB83A91">
            <w:pPr>
              <w:pStyle w:val="27"/>
              <w:spacing w:after="0" w:line="500" w:lineRule="exact"/>
              <w:jc w:val="left"/>
              <w:rPr>
                <w:rFonts w:hint="eastAsia" w:ascii="宋体" w:hAnsi="宋体" w:cs="宋体"/>
                <w:sz w:val="22"/>
                <w:szCs w:val="22"/>
                <w:highlight w:val="none"/>
                <w:lang w:val="en-US" w:eastAsia="zh-CN"/>
              </w:rPr>
            </w:pPr>
          </w:p>
        </w:tc>
        <w:tc>
          <w:tcPr>
            <w:tcW w:w="1050" w:type="dxa"/>
            <w:noWrap w:val="0"/>
            <w:vAlign w:val="center"/>
          </w:tcPr>
          <w:p w14:paraId="0BEADE9C">
            <w:pPr>
              <w:pStyle w:val="27"/>
              <w:spacing w:after="0" w:line="500" w:lineRule="exact"/>
              <w:jc w:val="left"/>
              <w:rPr>
                <w:rFonts w:hint="eastAsia" w:ascii="宋体" w:hAnsi="宋体" w:cs="宋体"/>
                <w:sz w:val="22"/>
                <w:szCs w:val="22"/>
                <w:highlight w:val="none"/>
                <w:lang w:val="en-US" w:eastAsia="zh-CN"/>
              </w:rPr>
            </w:pPr>
          </w:p>
        </w:tc>
        <w:tc>
          <w:tcPr>
            <w:tcW w:w="1481" w:type="dxa"/>
            <w:noWrap w:val="0"/>
            <w:vAlign w:val="center"/>
          </w:tcPr>
          <w:p w14:paraId="6B90D80F">
            <w:pPr>
              <w:pStyle w:val="27"/>
              <w:spacing w:after="0" w:line="500" w:lineRule="exact"/>
              <w:jc w:val="left"/>
              <w:rPr>
                <w:rFonts w:hint="eastAsia" w:ascii="宋体" w:hAnsi="宋体" w:cs="宋体"/>
                <w:sz w:val="22"/>
                <w:szCs w:val="22"/>
                <w:highlight w:val="none"/>
                <w:lang w:val="en-US" w:eastAsia="zh-CN"/>
              </w:rPr>
            </w:pPr>
          </w:p>
        </w:tc>
      </w:tr>
      <w:tr w14:paraId="2709F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757" w:type="dxa"/>
            <w:noWrap w:val="0"/>
            <w:vAlign w:val="center"/>
          </w:tcPr>
          <w:p w14:paraId="24A90301">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kern w:val="0"/>
                <w:sz w:val="22"/>
                <w:szCs w:val="22"/>
                <w:highlight w:val="none"/>
                <w:lang w:val="en-US" w:eastAsia="zh-CN" w:bidi="ar"/>
              </w:rPr>
            </w:pPr>
            <w:r>
              <w:rPr>
                <w:rFonts w:hint="eastAsia" w:ascii="宋体" w:hAnsi="宋体" w:cs="宋体"/>
                <w:kern w:val="0"/>
                <w:sz w:val="22"/>
                <w:szCs w:val="22"/>
                <w:highlight w:val="none"/>
                <w:lang w:val="en-US" w:eastAsia="zh-CN" w:bidi="ar"/>
              </w:rPr>
              <w:t>防火墙</w:t>
            </w:r>
          </w:p>
        </w:tc>
        <w:tc>
          <w:tcPr>
            <w:tcW w:w="4069" w:type="dxa"/>
            <w:noWrap w:val="0"/>
            <w:vAlign w:val="center"/>
          </w:tcPr>
          <w:p w14:paraId="53295B3B">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1U机架式，国产化自主可控CPU、操作系统</w:t>
            </w:r>
          </w:p>
          <w:p w14:paraId="25BD3C86">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内存≥16G</w:t>
            </w:r>
          </w:p>
          <w:p w14:paraId="08477751">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系统盘≥32G，固态硬盘≥512G</w:t>
            </w:r>
          </w:p>
          <w:p w14:paraId="6B27A0F4">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≥10个千兆电口，≥6个千兆光插槽，≥2个万兆光插槽</w:t>
            </w:r>
          </w:p>
          <w:p w14:paraId="0940FBE0">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双电源, ≥2个扩展槽位</w:t>
            </w:r>
          </w:p>
          <w:p w14:paraId="0229AFBB">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防火墙吞吐≥4G，并发连接≥160万</w:t>
            </w:r>
          </w:p>
          <w:p w14:paraId="257C72D8">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提供≥3年硬件维保服务</w:t>
            </w:r>
          </w:p>
          <w:p w14:paraId="7E03B595">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default" w:ascii="宋体" w:hAnsi="宋体" w:cs="宋体"/>
                <w:sz w:val="22"/>
                <w:szCs w:val="22"/>
                <w:highlight w:val="none"/>
                <w:lang w:val="en-US" w:eastAsia="zh-CN"/>
              </w:rPr>
            </w:pPr>
            <w:r>
              <w:rPr>
                <w:rFonts w:hint="eastAsia" w:ascii="宋体" w:hAnsi="宋体" w:cs="宋体"/>
                <w:sz w:val="22"/>
                <w:szCs w:val="22"/>
                <w:highlight w:val="none"/>
                <w:lang w:val="en-US" w:eastAsia="zh-CN"/>
              </w:rPr>
              <w:t>产品具有国家权威机构颁发的防火墙密码检测证书、国家信息安全测评信息技术产品安全测评证书（级别不低于EAL4+）证书，需提供所有证书复印件佐证</w:t>
            </w:r>
          </w:p>
          <w:p w14:paraId="0E35DCEA">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default" w:ascii="宋体" w:hAnsi="宋体" w:cs="宋体"/>
                <w:sz w:val="22"/>
                <w:szCs w:val="22"/>
                <w:highlight w:val="none"/>
                <w:lang w:val="en-US" w:eastAsia="zh-CN"/>
              </w:rPr>
            </w:pPr>
            <w:r>
              <w:rPr>
                <w:rFonts w:hint="eastAsia" w:ascii="宋体" w:hAnsi="宋体" w:cs="宋体"/>
                <w:sz w:val="22"/>
                <w:szCs w:val="22"/>
                <w:highlight w:val="none"/>
                <w:lang w:val="en-US" w:eastAsia="zh-CN"/>
              </w:rPr>
              <w:t>品牌：华为USG6600系列、深信服AF系列、天融信NGAF系列</w:t>
            </w:r>
          </w:p>
        </w:tc>
        <w:tc>
          <w:tcPr>
            <w:tcW w:w="881" w:type="dxa"/>
            <w:noWrap w:val="0"/>
            <w:vAlign w:val="center"/>
          </w:tcPr>
          <w:p w14:paraId="5C9452C4">
            <w:pPr>
              <w:pStyle w:val="27"/>
              <w:spacing w:after="0" w:line="500" w:lineRule="exact"/>
              <w:jc w:val="center"/>
              <w:rPr>
                <w:rFonts w:hint="default"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1台</w:t>
            </w:r>
          </w:p>
        </w:tc>
        <w:tc>
          <w:tcPr>
            <w:tcW w:w="1182" w:type="dxa"/>
            <w:noWrap w:val="0"/>
            <w:vAlign w:val="center"/>
          </w:tcPr>
          <w:p w14:paraId="220BB385">
            <w:pPr>
              <w:pStyle w:val="27"/>
              <w:spacing w:after="0" w:line="500" w:lineRule="exact"/>
              <w:jc w:val="left"/>
              <w:rPr>
                <w:rFonts w:hint="eastAsia" w:ascii="宋体" w:hAnsi="宋体" w:cs="宋体"/>
                <w:sz w:val="22"/>
                <w:szCs w:val="22"/>
                <w:highlight w:val="none"/>
                <w:lang w:val="en-US" w:eastAsia="zh-CN"/>
              </w:rPr>
            </w:pPr>
          </w:p>
        </w:tc>
        <w:tc>
          <w:tcPr>
            <w:tcW w:w="1050" w:type="dxa"/>
            <w:noWrap w:val="0"/>
            <w:vAlign w:val="center"/>
          </w:tcPr>
          <w:p w14:paraId="1B95F8EE">
            <w:pPr>
              <w:pStyle w:val="27"/>
              <w:spacing w:after="0" w:line="500" w:lineRule="exact"/>
              <w:jc w:val="left"/>
              <w:rPr>
                <w:rFonts w:hint="eastAsia" w:ascii="宋体" w:hAnsi="宋体" w:cs="宋体"/>
                <w:sz w:val="22"/>
                <w:szCs w:val="22"/>
                <w:highlight w:val="none"/>
                <w:lang w:val="en-US" w:eastAsia="zh-CN"/>
              </w:rPr>
            </w:pPr>
          </w:p>
        </w:tc>
        <w:tc>
          <w:tcPr>
            <w:tcW w:w="1481" w:type="dxa"/>
            <w:noWrap w:val="0"/>
            <w:vAlign w:val="center"/>
          </w:tcPr>
          <w:p w14:paraId="730F4235">
            <w:pPr>
              <w:pStyle w:val="27"/>
              <w:spacing w:after="0" w:line="500" w:lineRule="exact"/>
              <w:jc w:val="left"/>
              <w:rPr>
                <w:rFonts w:hint="eastAsia" w:ascii="宋体" w:hAnsi="宋体" w:cs="宋体"/>
                <w:sz w:val="22"/>
                <w:szCs w:val="22"/>
                <w:highlight w:val="none"/>
                <w:lang w:val="en-US" w:eastAsia="zh-CN"/>
              </w:rPr>
            </w:pPr>
          </w:p>
        </w:tc>
      </w:tr>
      <w:tr w14:paraId="3F701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757" w:type="dxa"/>
            <w:noWrap w:val="0"/>
            <w:vAlign w:val="center"/>
          </w:tcPr>
          <w:p w14:paraId="0400A613">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0"/>
                <w:sz w:val="22"/>
                <w:szCs w:val="22"/>
                <w:highlight w:val="none"/>
                <w:lang w:val="en-US" w:eastAsia="zh-CN" w:bidi="ar"/>
              </w:rPr>
            </w:pPr>
            <w:r>
              <w:rPr>
                <w:rFonts w:hint="eastAsia" w:ascii="宋体" w:hAnsi="宋体" w:eastAsia="宋体" w:cs="宋体"/>
                <w:kern w:val="0"/>
                <w:sz w:val="22"/>
                <w:szCs w:val="22"/>
                <w:highlight w:val="none"/>
                <w:lang w:val="en-US" w:eastAsia="zh-CN" w:bidi="ar"/>
              </w:rPr>
              <w:t>配套软件、</w:t>
            </w:r>
            <w:r>
              <w:rPr>
                <w:rFonts w:hint="eastAsia" w:ascii="宋体" w:hAnsi="宋体" w:cs="宋体"/>
                <w:kern w:val="0"/>
                <w:sz w:val="22"/>
                <w:szCs w:val="22"/>
                <w:highlight w:val="none"/>
                <w:lang w:val="en-US" w:eastAsia="zh-CN" w:bidi="ar"/>
              </w:rPr>
              <w:t>手机终端</w:t>
            </w:r>
            <w:r>
              <w:rPr>
                <w:rFonts w:hint="eastAsia" w:ascii="宋体" w:hAnsi="宋体" w:eastAsia="宋体" w:cs="宋体"/>
                <w:kern w:val="0"/>
                <w:sz w:val="22"/>
                <w:szCs w:val="22"/>
                <w:highlight w:val="none"/>
                <w:lang w:val="en-US" w:eastAsia="zh-CN" w:bidi="ar"/>
              </w:rPr>
              <w:t>APP</w:t>
            </w:r>
          </w:p>
        </w:tc>
        <w:tc>
          <w:tcPr>
            <w:tcW w:w="4069" w:type="dxa"/>
            <w:noWrap w:val="0"/>
            <w:vAlign w:val="center"/>
          </w:tcPr>
          <w:p w14:paraId="0F665E38">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Chars="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详见第三</w:t>
            </w:r>
            <w:r>
              <w:rPr>
                <w:rFonts w:hint="eastAsia" w:ascii="宋体" w:hAnsi="宋体" w:cs="宋体"/>
                <w:sz w:val="22"/>
                <w:szCs w:val="22"/>
                <w:highlight w:val="none"/>
                <w:lang w:val="en-US" w:eastAsia="zh-CN"/>
              </w:rPr>
              <w:t>、四</w:t>
            </w:r>
            <w:r>
              <w:rPr>
                <w:rFonts w:hint="eastAsia" w:ascii="宋体" w:hAnsi="宋体" w:eastAsia="宋体" w:cs="宋体"/>
                <w:sz w:val="22"/>
                <w:szCs w:val="22"/>
                <w:highlight w:val="none"/>
                <w:lang w:val="en-US" w:eastAsia="zh-CN"/>
              </w:rPr>
              <w:t>章内容</w:t>
            </w:r>
          </w:p>
        </w:tc>
        <w:tc>
          <w:tcPr>
            <w:tcW w:w="881" w:type="dxa"/>
            <w:noWrap w:val="0"/>
            <w:vAlign w:val="center"/>
          </w:tcPr>
          <w:p w14:paraId="14332C34">
            <w:pPr>
              <w:pStyle w:val="27"/>
              <w:spacing w:after="0" w:line="500" w:lineRule="exact"/>
              <w:jc w:val="center"/>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1套</w:t>
            </w:r>
          </w:p>
        </w:tc>
        <w:tc>
          <w:tcPr>
            <w:tcW w:w="1182" w:type="dxa"/>
            <w:noWrap w:val="0"/>
            <w:vAlign w:val="center"/>
          </w:tcPr>
          <w:p w14:paraId="00DA41DD">
            <w:pPr>
              <w:pStyle w:val="27"/>
              <w:spacing w:after="0" w:line="500" w:lineRule="exact"/>
              <w:jc w:val="left"/>
              <w:rPr>
                <w:rFonts w:hint="eastAsia" w:ascii="宋体" w:hAnsi="宋体" w:eastAsia="宋体" w:cs="宋体"/>
                <w:sz w:val="22"/>
                <w:szCs w:val="22"/>
                <w:highlight w:val="none"/>
                <w:lang w:val="en-US" w:eastAsia="zh-CN"/>
              </w:rPr>
            </w:pPr>
          </w:p>
        </w:tc>
        <w:tc>
          <w:tcPr>
            <w:tcW w:w="1050" w:type="dxa"/>
            <w:noWrap w:val="0"/>
            <w:vAlign w:val="center"/>
          </w:tcPr>
          <w:p w14:paraId="5D224AE3">
            <w:pPr>
              <w:pStyle w:val="27"/>
              <w:spacing w:after="0" w:line="500" w:lineRule="exact"/>
              <w:jc w:val="left"/>
              <w:rPr>
                <w:rFonts w:hint="eastAsia" w:ascii="宋体" w:hAnsi="宋体" w:eastAsia="宋体" w:cs="宋体"/>
                <w:sz w:val="22"/>
                <w:szCs w:val="22"/>
                <w:highlight w:val="none"/>
                <w:lang w:val="en-US" w:eastAsia="zh-CN"/>
              </w:rPr>
            </w:pPr>
          </w:p>
        </w:tc>
        <w:tc>
          <w:tcPr>
            <w:tcW w:w="1481" w:type="dxa"/>
            <w:noWrap w:val="0"/>
            <w:vAlign w:val="center"/>
          </w:tcPr>
          <w:p w14:paraId="5DA53C8B">
            <w:pPr>
              <w:pStyle w:val="27"/>
              <w:spacing w:after="0" w:line="500" w:lineRule="exact"/>
              <w:jc w:val="left"/>
              <w:rPr>
                <w:rFonts w:hint="eastAsia" w:ascii="宋体" w:hAnsi="宋体" w:eastAsia="宋体" w:cs="宋体"/>
                <w:sz w:val="22"/>
                <w:szCs w:val="22"/>
                <w:highlight w:val="none"/>
                <w:lang w:val="en-US" w:eastAsia="zh-CN"/>
              </w:rPr>
            </w:pPr>
          </w:p>
        </w:tc>
      </w:tr>
      <w:tr w14:paraId="4D616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757" w:type="dxa"/>
            <w:shd w:val="clear" w:color="auto" w:fill="auto"/>
            <w:noWrap w:val="0"/>
            <w:vAlign w:val="center"/>
          </w:tcPr>
          <w:p w14:paraId="47907F43">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0"/>
                <w:sz w:val="22"/>
                <w:szCs w:val="22"/>
                <w:highlight w:val="none"/>
                <w:lang w:val="en-US" w:eastAsia="zh-CN" w:bidi="ar"/>
              </w:rPr>
            </w:pPr>
            <w:r>
              <w:rPr>
                <w:rFonts w:hint="eastAsia" w:ascii="宋体" w:hAnsi="宋体" w:eastAsia="宋体" w:cs="宋体"/>
                <w:kern w:val="0"/>
                <w:sz w:val="22"/>
                <w:szCs w:val="22"/>
                <w:highlight w:val="none"/>
                <w:lang w:val="en-US" w:eastAsia="zh-CN" w:bidi="ar"/>
              </w:rPr>
              <w:t>安装调试</w:t>
            </w:r>
          </w:p>
        </w:tc>
        <w:tc>
          <w:tcPr>
            <w:tcW w:w="4069" w:type="dxa"/>
            <w:shd w:val="clear" w:color="auto" w:fill="auto"/>
            <w:noWrap w:val="0"/>
            <w:vAlign w:val="center"/>
          </w:tcPr>
          <w:p w14:paraId="7B5231F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0"/>
                <w:sz w:val="22"/>
                <w:szCs w:val="22"/>
                <w:highlight w:val="none"/>
                <w:lang w:val="en-US" w:eastAsia="zh-CN" w:bidi="ar"/>
              </w:rPr>
            </w:pPr>
          </w:p>
        </w:tc>
        <w:tc>
          <w:tcPr>
            <w:tcW w:w="881" w:type="dxa"/>
            <w:shd w:val="clear" w:color="auto" w:fill="auto"/>
            <w:noWrap w:val="0"/>
            <w:vAlign w:val="center"/>
          </w:tcPr>
          <w:p w14:paraId="18D373F8">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0"/>
                <w:sz w:val="22"/>
                <w:szCs w:val="22"/>
                <w:highlight w:val="none"/>
                <w:lang w:val="en-US" w:eastAsia="zh-CN" w:bidi="ar"/>
              </w:rPr>
            </w:pPr>
          </w:p>
        </w:tc>
        <w:tc>
          <w:tcPr>
            <w:tcW w:w="1182" w:type="dxa"/>
            <w:noWrap w:val="0"/>
            <w:vAlign w:val="center"/>
          </w:tcPr>
          <w:p w14:paraId="78623F8C">
            <w:pPr>
              <w:pStyle w:val="27"/>
              <w:spacing w:after="0" w:line="500" w:lineRule="exact"/>
              <w:jc w:val="left"/>
              <w:rPr>
                <w:rFonts w:hint="eastAsia" w:ascii="宋体" w:hAnsi="宋体" w:eastAsia="宋体" w:cs="宋体"/>
                <w:sz w:val="22"/>
                <w:szCs w:val="22"/>
                <w:highlight w:val="none"/>
                <w:lang w:val="en-US" w:eastAsia="zh-CN"/>
              </w:rPr>
            </w:pPr>
          </w:p>
        </w:tc>
        <w:tc>
          <w:tcPr>
            <w:tcW w:w="1050" w:type="dxa"/>
            <w:noWrap w:val="0"/>
            <w:vAlign w:val="center"/>
          </w:tcPr>
          <w:p w14:paraId="11DD43A2">
            <w:pPr>
              <w:pStyle w:val="27"/>
              <w:spacing w:after="0" w:line="500" w:lineRule="exact"/>
              <w:jc w:val="left"/>
              <w:rPr>
                <w:rFonts w:hint="eastAsia" w:ascii="宋体" w:hAnsi="宋体" w:eastAsia="宋体" w:cs="宋体"/>
                <w:sz w:val="22"/>
                <w:szCs w:val="22"/>
                <w:highlight w:val="none"/>
                <w:lang w:val="en-US" w:eastAsia="zh-CN"/>
              </w:rPr>
            </w:pPr>
          </w:p>
        </w:tc>
        <w:tc>
          <w:tcPr>
            <w:tcW w:w="1481" w:type="dxa"/>
            <w:noWrap w:val="0"/>
            <w:vAlign w:val="center"/>
          </w:tcPr>
          <w:p w14:paraId="23187E42">
            <w:pPr>
              <w:pStyle w:val="27"/>
              <w:spacing w:after="0" w:line="500" w:lineRule="exact"/>
              <w:jc w:val="left"/>
              <w:rPr>
                <w:rFonts w:hint="eastAsia" w:ascii="宋体" w:hAnsi="宋体" w:eastAsia="宋体" w:cs="宋体"/>
                <w:sz w:val="22"/>
                <w:szCs w:val="22"/>
                <w:highlight w:val="none"/>
                <w:lang w:val="en-US" w:eastAsia="zh-CN"/>
              </w:rPr>
            </w:pPr>
          </w:p>
        </w:tc>
      </w:tr>
      <w:tr w14:paraId="696A9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757" w:type="dxa"/>
            <w:shd w:val="clear" w:color="auto" w:fill="auto"/>
            <w:noWrap w:val="0"/>
            <w:vAlign w:val="center"/>
          </w:tcPr>
          <w:p w14:paraId="75C396B2">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0"/>
                <w:sz w:val="22"/>
                <w:szCs w:val="22"/>
                <w:highlight w:val="none"/>
                <w:lang w:val="en-US" w:eastAsia="zh-CN" w:bidi="ar"/>
              </w:rPr>
            </w:pPr>
            <w:r>
              <w:rPr>
                <w:rFonts w:hint="eastAsia" w:cs="宋体"/>
                <w:kern w:val="0"/>
                <w:sz w:val="22"/>
                <w:szCs w:val="22"/>
                <w:highlight w:val="none"/>
                <w:lang w:val="en-US" w:eastAsia="zh-CN" w:bidi="ar"/>
              </w:rPr>
              <w:t>合计：</w:t>
            </w:r>
          </w:p>
        </w:tc>
        <w:tc>
          <w:tcPr>
            <w:tcW w:w="4069" w:type="dxa"/>
            <w:shd w:val="clear" w:color="auto" w:fill="auto"/>
            <w:noWrap w:val="0"/>
            <w:vAlign w:val="center"/>
          </w:tcPr>
          <w:p w14:paraId="3BA2DB12">
            <w:pPr>
              <w:pStyle w:val="27"/>
              <w:keepNext w:val="0"/>
              <w:keepLines w:val="0"/>
              <w:pageBreakBefore w:val="0"/>
              <w:widowControl/>
              <w:numPr>
                <w:ilvl w:val="0"/>
                <w:numId w:val="0"/>
              </w:numPr>
              <w:kinsoku/>
              <w:wordWrap/>
              <w:overflowPunct/>
              <w:topLinePunct w:val="0"/>
              <w:autoSpaceDE/>
              <w:autoSpaceDN/>
              <w:bidi w:val="0"/>
              <w:adjustRightInd/>
              <w:snapToGrid/>
              <w:spacing w:after="0" w:line="400" w:lineRule="exact"/>
              <w:ind w:left="0" w:leftChars="0" w:firstLine="0" w:firstLineChars="0"/>
              <w:jc w:val="left"/>
              <w:textAlignment w:val="auto"/>
              <w:rPr>
                <w:rFonts w:hint="eastAsia" w:ascii="宋体" w:hAnsi="宋体" w:eastAsia="宋体" w:cs="宋体"/>
                <w:color w:val="000000"/>
                <w:sz w:val="22"/>
                <w:szCs w:val="22"/>
                <w:highlight w:val="none"/>
                <w:lang w:val="en-US" w:eastAsia="zh-CN" w:bidi="ar-SA"/>
              </w:rPr>
            </w:pPr>
            <w:r>
              <w:rPr>
                <w:rFonts w:hint="eastAsia" w:ascii="宋体" w:hAnsi="宋体" w:cs="宋体"/>
                <w:sz w:val="22"/>
                <w:szCs w:val="22"/>
                <w:highlight w:val="none"/>
                <w:lang w:val="en-US" w:eastAsia="zh-CN"/>
              </w:rPr>
              <w:t>大写：</w:t>
            </w:r>
          </w:p>
        </w:tc>
        <w:tc>
          <w:tcPr>
            <w:tcW w:w="4594" w:type="dxa"/>
            <w:gridSpan w:val="4"/>
            <w:shd w:val="clear" w:color="auto" w:fill="auto"/>
            <w:noWrap w:val="0"/>
            <w:vAlign w:val="center"/>
          </w:tcPr>
          <w:p w14:paraId="295C5EA9">
            <w:pPr>
              <w:pStyle w:val="27"/>
              <w:spacing w:after="0" w:line="500" w:lineRule="exact"/>
              <w:jc w:val="left"/>
              <w:rPr>
                <w:rFonts w:hint="eastAsia" w:ascii="宋体" w:hAnsi="宋体" w:eastAsia="宋体" w:cs="宋体"/>
                <w:color w:val="000000"/>
                <w:sz w:val="22"/>
                <w:szCs w:val="22"/>
                <w:highlight w:val="none"/>
                <w:lang w:val="en-US" w:eastAsia="zh-CN" w:bidi="ar-SA"/>
              </w:rPr>
            </w:pPr>
            <w:r>
              <w:rPr>
                <w:rFonts w:hint="eastAsia" w:ascii="宋体" w:hAnsi="宋体" w:cs="宋体"/>
                <w:sz w:val="22"/>
                <w:szCs w:val="22"/>
                <w:highlight w:val="none"/>
                <w:lang w:val="en-US" w:eastAsia="zh-CN"/>
              </w:rPr>
              <w:t>小写：</w:t>
            </w:r>
          </w:p>
        </w:tc>
      </w:tr>
    </w:tbl>
    <w:p w14:paraId="351AA708">
      <w:pPr>
        <w:pStyle w:val="21"/>
        <w:jc w:val="left"/>
        <w:rPr>
          <w:rFonts w:hint="eastAsia" w:ascii="宋体" w:hAnsi="宋体" w:eastAsia="宋体" w:cs="宋体"/>
          <w:sz w:val="24"/>
          <w:szCs w:val="24"/>
          <w:lang w:val="en-US" w:eastAsia="zh-CN" w:bidi="ar-SA"/>
        </w:rPr>
      </w:pPr>
    </w:p>
    <w:p w14:paraId="47FF08CE">
      <w:pPr>
        <w:pStyle w:val="21"/>
        <w:jc w:val="center"/>
        <w:rPr>
          <w:rFonts w:hint="eastAsia" w:ascii="宋体" w:hAnsi="宋体" w:eastAsia="宋体" w:cs="宋体"/>
          <w:sz w:val="24"/>
          <w:szCs w:val="24"/>
          <w:lang w:val="en-US" w:eastAsia="zh-CN" w:bidi="ar-SA"/>
        </w:rPr>
      </w:pPr>
    </w:p>
    <w:p w14:paraId="7104F707">
      <w:pPr>
        <w:pStyle w:val="21"/>
        <w:jc w:val="center"/>
        <w:rPr>
          <w:rFonts w:hint="eastAsia" w:ascii="宋体" w:hAnsi="宋体" w:eastAsia="宋体" w:cs="宋体"/>
          <w:sz w:val="24"/>
          <w:szCs w:val="24"/>
          <w:lang w:val="en-US" w:eastAsia="zh-CN" w:bidi="ar-SA"/>
        </w:rPr>
      </w:pPr>
    </w:p>
    <w:p w14:paraId="6B959FF3">
      <w:pPr>
        <w:pStyle w:val="21"/>
        <w:jc w:val="center"/>
        <w:rPr>
          <w:rFonts w:hint="eastAsia" w:ascii="宋体" w:hAnsi="宋体" w:eastAsia="宋体" w:cs="宋体"/>
          <w:sz w:val="24"/>
          <w:szCs w:val="24"/>
          <w:lang w:val="en-US" w:eastAsia="zh-CN" w:bidi="ar-SA"/>
        </w:rPr>
      </w:pPr>
    </w:p>
    <w:p w14:paraId="4DDFB4DB">
      <w:pPr>
        <w:pStyle w:val="21"/>
        <w:jc w:val="center"/>
        <w:rPr>
          <w:rFonts w:hint="eastAsia" w:ascii="宋体" w:hAnsi="宋体" w:eastAsia="宋体" w:cs="宋体"/>
          <w:sz w:val="24"/>
          <w:szCs w:val="24"/>
          <w:lang w:val="en-US" w:eastAsia="zh-CN" w:bidi="ar-SA"/>
        </w:rPr>
      </w:pPr>
    </w:p>
    <w:p w14:paraId="3C3357C4">
      <w:pPr>
        <w:pStyle w:val="21"/>
        <w:jc w:val="center"/>
        <w:rPr>
          <w:rFonts w:hint="eastAsia" w:ascii="宋体" w:hAnsi="宋体" w:eastAsia="宋体" w:cs="宋体"/>
          <w:sz w:val="24"/>
          <w:szCs w:val="24"/>
          <w:lang w:val="en-US" w:eastAsia="zh-CN" w:bidi="ar-SA"/>
        </w:rPr>
      </w:pPr>
    </w:p>
    <w:p w14:paraId="72F72392">
      <w:pPr>
        <w:pStyle w:val="21"/>
        <w:jc w:val="center"/>
        <w:rPr>
          <w:rFonts w:hint="eastAsia" w:ascii="宋体" w:hAnsi="宋体" w:eastAsia="宋体" w:cs="宋体"/>
          <w:sz w:val="24"/>
          <w:szCs w:val="24"/>
          <w:lang w:val="en-US" w:eastAsia="zh-CN" w:bidi="ar-SA"/>
        </w:rPr>
      </w:pPr>
    </w:p>
    <w:p w14:paraId="5F9136FB">
      <w:pPr>
        <w:pStyle w:val="21"/>
        <w:jc w:val="center"/>
        <w:rPr>
          <w:rFonts w:hint="eastAsia" w:ascii="宋体" w:hAnsi="宋体" w:eastAsia="宋体" w:cs="宋体"/>
          <w:sz w:val="24"/>
          <w:szCs w:val="24"/>
          <w:lang w:val="en-US" w:eastAsia="zh-CN" w:bidi="ar-SA"/>
        </w:rPr>
      </w:pPr>
    </w:p>
    <w:p w14:paraId="1DD290EE">
      <w:pPr>
        <w:pStyle w:val="21"/>
        <w:jc w:val="center"/>
        <w:rPr>
          <w:rFonts w:hint="eastAsia" w:ascii="宋体" w:hAnsi="宋体" w:eastAsia="宋体" w:cs="宋体"/>
          <w:sz w:val="24"/>
          <w:szCs w:val="24"/>
          <w:lang w:val="en-US" w:eastAsia="zh-CN" w:bidi="ar-SA"/>
        </w:rPr>
      </w:pPr>
    </w:p>
    <w:p w14:paraId="2027CF58">
      <w:pPr>
        <w:pStyle w:val="21"/>
        <w:jc w:val="center"/>
        <w:rPr>
          <w:rFonts w:hint="eastAsia" w:ascii="宋体" w:hAnsi="宋体" w:eastAsia="宋体" w:cs="宋体"/>
          <w:sz w:val="24"/>
          <w:szCs w:val="24"/>
          <w:lang w:val="en-US" w:eastAsia="zh-CN" w:bidi="ar-SA"/>
        </w:rPr>
      </w:pPr>
    </w:p>
    <w:p w14:paraId="43B6A90F">
      <w:pPr>
        <w:pStyle w:val="21"/>
        <w:jc w:val="center"/>
        <w:rPr>
          <w:rFonts w:hint="eastAsia" w:ascii="宋体" w:hAnsi="宋体" w:eastAsia="宋体" w:cs="宋体"/>
          <w:sz w:val="44"/>
          <w:szCs w:val="44"/>
          <w:lang w:val="en-US" w:eastAsia="zh-CN"/>
        </w:rPr>
      </w:pPr>
    </w:p>
    <w:p w14:paraId="30442E82">
      <w:pPr>
        <w:pStyle w:val="21"/>
        <w:jc w:val="center"/>
        <w:rPr>
          <w:rFonts w:hint="eastAsia" w:ascii="宋体" w:hAnsi="宋体" w:eastAsia="宋体" w:cs="宋体"/>
          <w:sz w:val="44"/>
          <w:szCs w:val="44"/>
          <w:lang w:val="en-US" w:eastAsia="zh-CN"/>
        </w:rPr>
      </w:pPr>
    </w:p>
    <w:p w14:paraId="4C8EB64C">
      <w:pPr>
        <w:pStyle w:val="21"/>
        <w:spacing w:line="360" w:lineRule="auto"/>
        <w:jc w:val="both"/>
        <w:rPr>
          <w:rFonts w:hint="eastAsia" w:ascii="宋体" w:hAnsi="宋体" w:eastAsia="宋体" w:cs="宋体"/>
          <w:b/>
          <w:sz w:val="36"/>
          <w:szCs w:val="36"/>
        </w:rPr>
      </w:pPr>
    </w:p>
    <w:p w14:paraId="376D4BF9">
      <w:pPr>
        <w:pStyle w:val="21"/>
        <w:spacing w:line="360" w:lineRule="auto"/>
        <w:jc w:val="center"/>
        <w:rPr>
          <w:rFonts w:hint="eastAsia" w:ascii="宋体" w:hAnsi="宋体" w:eastAsia="宋体" w:cs="宋体"/>
          <w:b/>
          <w:sz w:val="36"/>
          <w:szCs w:val="36"/>
        </w:rPr>
      </w:pPr>
      <w:r>
        <w:rPr>
          <w:rFonts w:hint="eastAsia" w:ascii="宋体" w:hAnsi="宋体" w:eastAsia="宋体" w:cs="宋体"/>
          <w:b/>
          <w:sz w:val="36"/>
          <w:szCs w:val="36"/>
        </w:rPr>
        <w:t>承诺函</w:t>
      </w:r>
    </w:p>
    <w:p w14:paraId="348B4B40">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致：福建福海创石油化工有限公司</w:t>
      </w:r>
    </w:p>
    <w:p w14:paraId="03365B46">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我方为对福建福海创石油化工有限公司</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项目比选文件表示完全响应，遵照公告的要求，特此确认并承诺：</w:t>
      </w:r>
    </w:p>
    <w:p w14:paraId="33FC7D8B">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1、我方确认，我方已仔细阅读并研究了贵方的公告及其附件，我方完全熟悉其中的要求、条款和条件，并充分了解比选情况。</w:t>
      </w:r>
    </w:p>
    <w:p w14:paraId="283DDD36">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2、我方确认：我方完全同意比选文件制定的交易规则。接受比选文件中所制定的评分标准。</w:t>
      </w:r>
    </w:p>
    <w:p w14:paraId="051B3FBD">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3、我方承诺：我方为参比方所提供的材料均为真实、合法、完整。</w:t>
      </w:r>
    </w:p>
    <w:p w14:paraId="0C3DB426">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14:paraId="62FC7EBF">
      <w:pPr>
        <w:snapToGrid w:val="0"/>
        <w:spacing w:line="360" w:lineRule="auto"/>
        <w:ind w:firstLine="700" w:firstLineChars="250"/>
        <w:rPr>
          <w:rFonts w:hint="eastAsia" w:ascii="宋体" w:hAnsi="宋体" w:eastAsia="宋体" w:cs="宋体"/>
          <w:sz w:val="28"/>
          <w:szCs w:val="28"/>
          <w:lang w:eastAsia="zh-CN"/>
        </w:rPr>
      </w:pPr>
      <w:r>
        <w:rPr>
          <w:rFonts w:hint="eastAsia" w:ascii="宋体" w:hAnsi="宋体" w:eastAsia="宋体" w:cs="宋体"/>
          <w:sz w:val="28"/>
          <w:szCs w:val="28"/>
          <w:lang w:eastAsia="zh-CN"/>
        </w:rPr>
        <w:t>特此承诺。</w:t>
      </w:r>
    </w:p>
    <w:p w14:paraId="6FAA86FF">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意向参比方（盖章）：</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32C449A4">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法定代表人或委托代理人（签字或盖章）：</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1ADFFBAE">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地  址：</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069E1473">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联系人：</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79062E07">
      <w:pPr>
        <w:snapToGrid w:val="0"/>
        <w:spacing w:line="360" w:lineRule="auto"/>
        <w:rPr>
          <w:rFonts w:hint="eastAsia" w:ascii="宋体" w:hAnsi="宋体" w:eastAsia="宋体" w:cs="宋体"/>
          <w:sz w:val="28"/>
          <w:szCs w:val="28"/>
          <w:u w:val="single"/>
          <w:lang w:eastAsia="zh-CN"/>
        </w:rPr>
      </w:pPr>
      <w:r>
        <w:rPr>
          <w:rFonts w:hint="eastAsia" w:ascii="宋体" w:hAnsi="宋体" w:eastAsia="宋体" w:cs="宋体"/>
          <w:sz w:val="28"/>
          <w:szCs w:val="28"/>
          <w:lang w:eastAsia="zh-CN"/>
        </w:rPr>
        <w:t>电  话：</w:t>
      </w:r>
      <w:r>
        <w:rPr>
          <w:rFonts w:hint="eastAsia" w:ascii="宋体" w:hAnsi="宋体" w:eastAsia="宋体" w:cs="宋体"/>
          <w:sz w:val="28"/>
          <w:szCs w:val="28"/>
          <w:u w:val="single"/>
          <w:lang w:eastAsia="zh-CN"/>
        </w:rPr>
        <w:t xml:space="preserve">                                              </w:t>
      </w:r>
    </w:p>
    <w:p w14:paraId="04D54475">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邮箱： </w:t>
      </w:r>
      <w:r>
        <w:rPr>
          <w:rFonts w:hint="eastAsia" w:ascii="宋体" w:hAnsi="宋体" w:eastAsia="宋体" w:cs="宋体"/>
          <w:sz w:val="28"/>
          <w:szCs w:val="28"/>
          <w:u w:val="single"/>
          <w:lang w:eastAsia="zh-CN"/>
        </w:rPr>
        <w:t xml:space="preserve">                                               </w:t>
      </w:r>
    </w:p>
    <w:p w14:paraId="7CC01FE5">
      <w:pPr>
        <w:widowControl/>
        <w:autoSpaceDE/>
        <w:autoSpaceDN/>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日期：</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年</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月</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日</w:t>
      </w:r>
    </w:p>
    <w:p w14:paraId="2E912970">
      <w:pPr>
        <w:pStyle w:val="21"/>
        <w:spacing w:line="360" w:lineRule="auto"/>
        <w:rPr>
          <w:rFonts w:hint="eastAsia" w:ascii="宋体" w:hAnsi="宋体" w:eastAsia="宋体" w:cs="宋体"/>
          <w:sz w:val="28"/>
          <w:szCs w:val="28"/>
        </w:rPr>
      </w:pPr>
    </w:p>
    <w:bookmarkEnd w:id="0"/>
    <w:p w14:paraId="3C4920E1">
      <w:pPr>
        <w:spacing w:line="360" w:lineRule="auto"/>
        <w:jc w:val="center"/>
        <w:rPr>
          <w:rFonts w:hint="eastAsia" w:ascii="宋体" w:hAnsi="宋体" w:eastAsia="宋体" w:cs="宋体"/>
          <w:sz w:val="28"/>
          <w:szCs w:val="28"/>
          <w:lang w:eastAsia="zh-CN"/>
        </w:rPr>
      </w:pPr>
    </w:p>
    <w:p w14:paraId="799CE77F">
      <w:pPr>
        <w:rPr>
          <w:rFonts w:hint="eastAsia" w:ascii="宋体" w:hAnsi="宋体" w:eastAsia="宋体" w:cs="宋体"/>
        </w:rPr>
      </w:pPr>
    </w:p>
    <w:sectPr>
      <w:footerReference r:id="rId8"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KaiTi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PingFang SC Regular">
    <w:altName w:val="GWZT-EN"/>
    <w:panose1 w:val="00000000000000000000"/>
    <w:charset w:val="00"/>
    <w:family w:val="auto"/>
    <w:pitch w:val="default"/>
    <w:sig w:usb0="00000000" w:usb1="00000000" w:usb2="00000000" w:usb3="00000000" w:csb0="00040001" w:csb1="00000000"/>
  </w:font>
  <w:font w:name="GWZT-EN">
    <w:panose1 w:val="02020400000000000000"/>
    <w:charset w:val="86"/>
    <w:family w:val="auto"/>
    <w:pitch w:val="default"/>
    <w:sig w:usb0="A00002BF" w:usb1="38CF7CFA" w:usb2="00082016" w:usb3="00000000" w:csb0="00040001" w:csb1="00000000"/>
  </w:font>
  <w:font w:name="新宋体">
    <w:panose1 w:val="02010609030101010101"/>
    <w:charset w:val="86"/>
    <w:family w:val="auto"/>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110B9091">
            <w:pPr>
              <w:pStyle w:val="1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14:paraId="67BD0CED">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14:paraId="146C287D">
            <w:pPr>
              <w:pStyle w:val="1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34</w:t>
            </w:r>
            <w:r>
              <w:rPr>
                <w:b/>
                <w:bCs/>
                <w:sz w:val="24"/>
                <w:szCs w:val="24"/>
              </w:rPr>
              <w:fldChar w:fldCharType="end"/>
            </w:r>
          </w:p>
        </w:sdtContent>
      </w:sdt>
    </w:sdtContent>
  </w:sdt>
  <w:p w14:paraId="3B117067">
    <w:pPr>
      <w:pStyle w:val="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B7DE0">
    <w:pPr>
      <w:pStyle w:val="6"/>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03950E46">
                          <w:pPr>
                            <w:spacing w:line="219" w:lineRule="exact"/>
                            <w:ind w:left="20"/>
                            <w:rPr>
                              <w:sz w:val="18"/>
                            </w:rPr>
                          </w:pPr>
                        </w:p>
                      </w:txbxContent>
                    </wps:txbx>
                    <wps:bodyPr lIns="0" tIns="0" rIns="0" bIns="0" upright="1"/>
                  </wps:wsp>
                </a:graphicData>
              </a:graphic>
            </wp:anchor>
          </w:drawing>
        </mc:Choice>
        <mc:Fallback>
          <w:pict>
            <v:shape id="_x0000_s1026"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Ni9lMHZAAAADQEAAA8AAAAAAAAAAQAgAAAAIgAAAGRycy9kb3ducmV2LnhtbFBLAQIU&#10;ABQAAAAIAIdO4kAIjPbpuQEAAHEDAAAOAAAAAAAAAAEAIAAAACgBAABkcnMvZTJvRG9jLnhtbFBL&#10;BQYAAAAABgAGAFkBAABTBQAAAAA=&#10;">
              <v:fill on="f" focussize="0,0"/>
              <v:stroke on="f"/>
              <v:imagedata o:title=""/>
              <o:lock v:ext="edit" aspectratio="f"/>
              <v:textbox inset="0mm,0mm,0mm,0mm">
                <w:txbxContent>
                  <w:p w14:paraId="03950E46">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A83A6">
    <w:pPr>
      <w:pStyle w:val="10"/>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AE140">
    <w:pPr>
      <w:pStyle w:val="10"/>
      <w:ind w:firstLine="360"/>
      <w:jc w:val="both"/>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8DF33">
    <w:pPr>
      <w:pStyle w:val="6"/>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8BBF6F"/>
    <w:multiLevelType w:val="singleLevel"/>
    <w:tmpl w:val="808BBF6F"/>
    <w:lvl w:ilvl="0" w:tentative="0">
      <w:start w:val="1"/>
      <w:numFmt w:val="decimal"/>
      <w:suff w:val="nothing"/>
      <w:lvlText w:val="%1．"/>
      <w:lvlJc w:val="left"/>
      <w:pPr>
        <w:ind w:left="0" w:firstLine="400"/>
      </w:pPr>
      <w:rPr>
        <w:rFonts w:hint="default"/>
      </w:rPr>
    </w:lvl>
  </w:abstractNum>
  <w:abstractNum w:abstractNumId="1">
    <w:nsid w:val="85111577"/>
    <w:multiLevelType w:val="singleLevel"/>
    <w:tmpl w:val="85111577"/>
    <w:lvl w:ilvl="0" w:tentative="0">
      <w:start w:val="1"/>
      <w:numFmt w:val="decimal"/>
      <w:lvlText w:val="(%1)"/>
      <w:lvlJc w:val="left"/>
      <w:pPr>
        <w:ind w:left="425" w:hanging="425"/>
      </w:pPr>
      <w:rPr>
        <w:rFonts w:hint="default"/>
      </w:rPr>
    </w:lvl>
  </w:abstractNum>
  <w:abstractNum w:abstractNumId="2">
    <w:nsid w:val="8BAFEE0D"/>
    <w:multiLevelType w:val="singleLevel"/>
    <w:tmpl w:val="8BAFEE0D"/>
    <w:lvl w:ilvl="0" w:tentative="0">
      <w:start w:val="1"/>
      <w:numFmt w:val="bullet"/>
      <w:lvlText w:val=""/>
      <w:lvlJc w:val="left"/>
      <w:pPr>
        <w:ind w:left="420" w:hanging="420"/>
      </w:pPr>
      <w:rPr>
        <w:rFonts w:hint="default" w:ascii="Wingdings" w:hAnsi="Wingdings"/>
      </w:rPr>
    </w:lvl>
  </w:abstractNum>
  <w:abstractNum w:abstractNumId="3">
    <w:nsid w:val="8EBD62ED"/>
    <w:multiLevelType w:val="multilevel"/>
    <w:tmpl w:val="8EBD62ED"/>
    <w:lvl w:ilvl="0" w:tentative="0">
      <w:start w:val="4"/>
      <w:numFmt w:val="decimal"/>
      <w:lvlText w:val="%1."/>
      <w:lvlJc w:val="left"/>
      <w:pPr>
        <w:tabs>
          <w:tab w:val="left" w:pos="420"/>
        </w:tabs>
        <w:ind w:left="425" w:hanging="425"/>
      </w:pPr>
      <w:rPr>
        <w:rFonts w:hint="default"/>
      </w:rPr>
    </w:lvl>
    <w:lvl w:ilvl="1" w:tentative="0">
      <w:start w:val="10"/>
      <w:numFmt w:val="decimal"/>
      <w:lvlText w:val="%1.%2."/>
      <w:lvlJc w:val="left"/>
      <w:pPr>
        <w:tabs>
          <w:tab w:val="left" w:pos="420"/>
        </w:tabs>
        <w:ind w:left="567" w:hanging="567"/>
      </w:pPr>
      <w:rPr>
        <w:rFonts w:hint="default"/>
      </w:rPr>
    </w:lvl>
    <w:lvl w:ilvl="2" w:tentative="0">
      <w:start w:val="1"/>
      <w:numFmt w:val="decimal"/>
      <w:suff w:val="nothing"/>
      <w:lvlText w:val="%1.%2.%3."/>
      <w:lvlJc w:val="left"/>
      <w:pPr>
        <w:tabs>
          <w:tab w:val="left" w:pos="0"/>
        </w:tabs>
        <w:ind w:left="709" w:hanging="709"/>
      </w:pPr>
      <w:rPr>
        <w:rFonts w:hint="default"/>
      </w:rPr>
    </w:lvl>
    <w:lvl w:ilvl="3" w:tentative="0">
      <w:start w:val="1"/>
      <w:numFmt w:val="decimal"/>
      <w:lvlText w:val="%1.%2.%3.%4."/>
      <w:lvlJc w:val="left"/>
      <w:pPr>
        <w:ind w:left="851" w:hanging="851"/>
      </w:pPr>
      <w:rPr>
        <w:rFonts w:hint="default"/>
      </w:r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4">
    <w:nsid w:val="93309E27"/>
    <w:multiLevelType w:val="multilevel"/>
    <w:tmpl w:val="93309E27"/>
    <w:lvl w:ilvl="0" w:tentative="0">
      <w:start w:val="4"/>
      <w:numFmt w:val="decimal"/>
      <w:lvlText w:val="%1."/>
      <w:lvlJc w:val="left"/>
      <w:pPr>
        <w:tabs>
          <w:tab w:val="left" w:pos="420"/>
        </w:tabs>
        <w:ind w:left="425" w:hanging="425"/>
      </w:pPr>
      <w:rPr>
        <w:rFonts w:hint="default"/>
      </w:rPr>
    </w:lvl>
    <w:lvl w:ilvl="1" w:tentative="0">
      <w:start w:val="7"/>
      <w:numFmt w:val="decimal"/>
      <w:lvlText w:val="%1.%2."/>
      <w:lvlJc w:val="left"/>
      <w:pPr>
        <w:tabs>
          <w:tab w:val="left" w:pos="420"/>
        </w:tabs>
        <w:ind w:left="567" w:hanging="567"/>
      </w:pPr>
      <w:rPr>
        <w:rFonts w:hint="default"/>
      </w:rPr>
    </w:lvl>
    <w:lvl w:ilvl="2" w:tentative="0">
      <w:start w:val="1"/>
      <w:numFmt w:val="decimal"/>
      <w:suff w:val="nothing"/>
      <w:lvlText w:val="%1.%2.%3."/>
      <w:lvlJc w:val="left"/>
      <w:pPr>
        <w:tabs>
          <w:tab w:val="left" w:pos="0"/>
        </w:tabs>
        <w:ind w:left="709" w:hanging="709"/>
      </w:pPr>
      <w:rPr>
        <w:rFonts w:hint="default"/>
      </w:rPr>
    </w:lvl>
    <w:lvl w:ilvl="3" w:tentative="0">
      <w:start w:val="1"/>
      <w:numFmt w:val="decimal"/>
      <w:lvlText w:val="%1.%2.%3.%4."/>
      <w:lvlJc w:val="left"/>
      <w:pPr>
        <w:ind w:left="851" w:hanging="851"/>
      </w:pPr>
      <w:rPr>
        <w:rFonts w:hint="default"/>
      </w:r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5">
    <w:nsid w:val="97151808"/>
    <w:multiLevelType w:val="multilevel"/>
    <w:tmpl w:val="97151808"/>
    <w:lvl w:ilvl="0" w:tentative="0">
      <w:start w:val="4"/>
      <w:numFmt w:val="decimal"/>
      <w:lvlText w:val="%1."/>
      <w:lvlJc w:val="left"/>
      <w:pPr>
        <w:tabs>
          <w:tab w:val="left" w:pos="420"/>
        </w:tabs>
        <w:ind w:left="425" w:hanging="425"/>
      </w:pPr>
      <w:rPr>
        <w:rFonts w:hint="default"/>
      </w:rPr>
    </w:lvl>
    <w:lvl w:ilvl="1" w:tentative="0">
      <w:start w:val="4"/>
      <w:numFmt w:val="decimal"/>
      <w:lvlText w:val="%1.%2."/>
      <w:lvlJc w:val="left"/>
      <w:pPr>
        <w:tabs>
          <w:tab w:val="left" w:pos="420"/>
        </w:tabs>
        <w:ind w:left="567" w:hanging="567"/>
      </w:pPr>
      <w:rPr>
        <w:rFonts w:hint="default"/>
      </w:rPr>
    </w:lvl>
    <w:lvl w:ilvl="2" w:tentative="0">
      <w:start w:val="1"/>
      <w:numFmt w:val="decimal"/>
      <w:suff w:val="nothing"/>
      <w:lvlText w:val="%1.%2.%3."/>
      <w:lvlJc w:val="left"/>
      <w:pPr>
        <w:tabs>
          <w:tab w:val="left" w:pos="0"/>
        </w:tabs>
        <w:ind w:left="709" w:hanging="709"/>
      </w:pPr>
      <w:rPr>
        <w:rFonts w:hint="default"/>
      </w:rPr>
    </w:lvl>
    <w:lvl w:ilvl="3" w:tentative="0">
      <w:start w:val="1"/>
      <w:numFmt w:val="decimal"/>
      <w:lvlText w:val="%1.%2.%3.%4."/>
      <w:lvlJc w:val="left"/>
      <w:pPr>
        <w:ind w:left="851" w:hanging="851"/>
      </w:pPr>
      <w:rPr>
        <w:rFonts w:hint="default"/>
      </w:r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6">
    <w:nsid w:val="99C3874B"/>
    <w:multiLevelType w:val="multilevel"/>
    <w:tmpl w:val="99C3874B"/>
    <w:lvl w:ilvl="0" w:tentative="0">
      <w:start w:val="4"/>
      <w:numFmt w:val="decimal"/>
      <w:lvlText w:val="%1."/>
      <w:lvlJc w:val="left"/>
      <w:pPr>
        <w:tabs>
          <w:tab w:val="left" w:pos="420"/>
        </w:tabs>
        <w:ind w:left="425" w:hanging="425"/>
      </w:pPr>
      <w:rPr>
        <w:rFonts w:hint="default"/>
      </w:rPr>
    </w:lvl>
    <w:lvl w:ilvl="1" w:tentative="0">
      <w:start w:val="14"/>
      <w:numFmt w:val="decimal"/>
      <w:lvlText w:val="%1.%2."/>
      <w:lvlJc w:val="left"/>
      <w:pPr>
        <w:tabs>
          <w:tab w:val="left" w:pos="420"/>
        </w:tabs>
        <w:ind w:left="567" w:hanging="567"/>
      </w:pPr>
      <w:rPr>
        <w:rFonts w:hint="default"/>
      </w:rPr>
    </w:lvl>
    <w:lvl w:ilvl="2" w:tentative="0">
      <w:start w:val="1"/>
      <w:numFmt w:val="decimal"/>
      <w:suff w:val="nothing"/>
      <w:lvlText w:val="%1.%2.%3."/>
      <w:lvlJc w:val="left"/>
      <w:pPr>
        <w:tabs>
          <w:tab w:val="left" w:pos="420"/>
        </w:tabs>
        <w:ind w:left="709" w:hanging="709"/>
      </w:pPr>
      <w:rPr>
        <w:rFonts w:hint="default"/>
      </w:rPr>
    </w:lvl>
    <w:lvl w:ilvl="3" w:tentative="0">
      <w:start w:val="1"/>
      <w:numFmt w:val="decimal"/>
      <w:lvlText w:val="%1.%2.%3.%4."/>
      <w:lvlJc w:val="left"/>
      <w:pPr>
        <w:ind w:left="851" w:hanging="851"/>
      </w:pPr>
      <w:rPr>
        <w:rFonts w:hint="default"/>
      </w:r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7">
    <w:nsid w:val="9A383476"/>
    <w:multiLevelType w:val="multilevel"/>
    <w:tmpl w:val="9A383476"/>
    <w:lvl w:ilvl="0" w:tentative="0">
      <w:start w:val="4"/>
      <w:numFmt w:val="decimal"/>
      <w:lvlText w:val="%1."/>
      <w:lvlJc w:val="left"/>
      <w:pPr>
        <w:tabs>
          <w:tab w:val="left" w:pos="420"/>
        </w:tabs>
        <w:ind w:left="425" w:hanging="425"/>
      </w:pPr>
      <w:rPr>
        <w:rFonts w:hint="default"/>
      </w:rPr>
    </w:lvl>
    <w:lvl w:ilvl="1" w:tentative="0">
      <w:start w:val="8"/>
      <w:numFmt w:val="decimal"/>
      <w:lvlText w:val="%1.%2."/>
      <w:lvlJc w:val="left"/>
      <w:pPr>
        <w:tabs>
          <w:tab w:val="left" w:pos="420"/>
        </w:tabs>
        <w:ind w:left="567" w:hanging="567"/>
      </w:pPr>
      <w:rPr>
        <w:rFonts w:hint="default"/>
      </w:rPr>
    </w:lvl>
    <w:lvl w:ilvl="2" w:tentative="0">
      <w:start w:val="1"/>
      <w:numFmt w:val="decimal"/>
      <w:suff w:val="nothing"/>
      <w:lvlText w:val="%1.%2.%3."/>
      <w:lvlJc w:val="left"/>
      <w:pPr>
        <w:tabs>
          <w:tab w:val="left" w:pos="0"/>
        </w:tabs>
        <w:ind w:left="709" w:hanging="709"/>
      </w:pPr>
      <w:rPr>
        <w:rFonts w:hint="default"/>
      </w:rPr>
    </w:lvl>
    <w:lvl w:ilvl="3" w:tentative="0">
      <w:start w:val="1"/>
      <w:numFmt w:val="decimal"/>
      <w:lvlText w:val="%1.%2.%3.%4."/>
      <w:lvlJc w:val="left"/>
      <w:pPr>
        <w:ind w:left="851" w:hanging="851"/>
      </w:pPr>
      <w:rPr>
        <w:rFonts w:hint="default"/>
      </w:r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8">
    <w:nsid w:val="9AEE3966"/>
    <w:multiLevelType w:val="multilevel"/>
    <w:tmpl w:val="9AEE3966"/>
    <w:lvl w:ilvl="0" w:tentative="0">
      <w:start w:val="4"/>
      <w:numFmt w:val="decimal"/>
      <w:lvlText w:val="%1."/>
      <w:lvlJc w:val="left"/>
      <w:pPr>
        <w:tabs>
          <w:tab w:val="left" w:pos="420"/>
        </w:tabs>
        <w:ind w:left="425" w:hanging="425"/>
      </w:pPr>
      <w:rPr>
        <w:rFonts w:hint="default"/>
      </w:rPr>
    </w:lvl>
    <w:lvl w:ilvl="1" w:tentative="0">
      <w:start w:val="6"/>
      <w:numFmt w:val="decimal"/>
      <w:lvlText w:val="%1.%2."/>
      <w:lvlJc w:val="left"/>
      <w:pPr>
        <w:tabs>
          <w:tab w:val="left" w:pos="420"/>
        </w:tabs>
        <w:ind w:left="567" w:hanging="567"/>
      </w:pPr>
      <w:rPr>
        <w:rFonts w:hint="default"/>
      </w:rPr>
    </w:lvl>
    <w:lvl w:ilvl="2" w:tentative="0">
      <w:start w:val="1"/>
      <w:numFmt w:val="decimal"/>
      <w:suff w:val="nothing"/>
      <w:lvlText w:val="%1.%2.%3."/>
      <w:lvlJc w:val="left"/>
      <w:pPr>
        <w:tabs>
          <w:tab w:val="left" w:pos="0"/>
        </w:tabs>
        <w:ind w:left="709" w:hanging="709"/>
      </w:pPr>
      <w:rPr>
        <w:rFonts w:hint="default"/>
      </w:rPr>
    </w:lvl>
    <w:lvl w:ilvl="3" w:tentative="0">
      <w:start w:val="1"/>
      <w:numFmt w:val="decimal"/>
      <w:lvlText w:val="%1.%2.%3.%4."/>
      <w:lvlJc w:val="left"/>
      <w:pPr>
        <w:ind w:left="851" w:hanging="851"/>
      </w:pPr>
      <w:rPr>
        <w:rFonts w:hint="default"/>
      </w:r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9">
    <w:nsid w:val="A361AB2A"/>
    <w:multiLevelType w:val="singleLevel"/>
    <w:tmpl w:val="A361AB2A"/>
    <w:lvl w:ilvl="0" w:tentative="0">
      <w:start w:val="1"/>
      <w:numFmt w:val="decimal"/>
      <w:lvlText w:val="(%1)"/>
      <w:lvlJc w:val="left"/>
      <w:pPr>
        <w:ind w:left="425" w:hanging="425"/>
      </w:pPr>
      <w:rPr>
        <w:rFonts w:hint="default"/>
      </w:rPr>
    </w:lvl>
  </w:abstractNum>
  <w:abstractNum w:abstractNumId="10">
    <w:nsid w:val="A368E2F0"/>
    <w:multiLevelType w:val="multilevel"/>
    <w:tmpl w:val="A368E2F0"/>
    <w:lvl w:ilvl="0" w:tentative="0">
      <w:start w:val="6"/>
      <w:numFmt w:val="decimal"/>
      <w:lvlText w:val="%1."/>
      <w:lvlJc w:val="left"/>
      <w:pPr>
        <w:tabs>
          <w:tab w:val="left" w:pos="420"/>
        </w:tabs>
        <w:ind w:left="425" w:hanging="425"/>
      </w:pPr>
      <w:rPr>
        <w:rFonts w:hint="default"/>
      </w:rPr>
    </w:lvl>
    <w:lvl w:ilvl="1" w:tentative="0">
      <w:start w:val="2"/>
      <w:numFmt w:val="decimal"/>
      <w:lvlText w:val="%1.%2."/>
      <w:lvlJc w:val="left"/>
      <w:pPr>
        <w:tabs>
          <w:tab w:val="left" w:pos="420"/>
        </w:tabs>
        <w:ind w:left="567" w:hanging="567"/>
      </w:pPr>
      <w:rPr>
        <w:rFonts w:hint="default"/>
      </w:rPr>
    </w:lvl>
    <w:lvl w:ilvl="2" w:tentative="0">
      <w:start w:val="1"/>
      <w:numFmt w:val="decimal"/>
      <w:suff w:val="nothing"/>
      <w:lvlText w:val="%1.%2.%3."/>
      <w:lvlJc w:val="left"/>
      <w:pPr>
        <w:tabs>
          <w:tab w:val="left" w:pos="420"/>
        </w:tabs>
        <w:ind w:left="709" w:hanging="709"/>
      </w:pPr>
      <w:rPr>
        <w:rFonts w:hint="default"/>
      </w:rPr>
    </w:lvl>
    <w:lvl w:ilvl="3" w:tentative="0">
      <w:start w:val="1"/>
      <w:numFmt w:val="decimal"/>
      <w:lvlText w:val="%1.%2.%3.%4."/>
      <w:lvlJc w:val="left"/>
      <w:pPr>
        <w:ind w:left="851" w:hanging="851"/>
      </w:pPr>
      <w:rPr>
        <w:rFonts w:hint="default"/>
      </w:r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1">
    <w:nsid w:val="A4806EA4"/>
    <w:multiLevelType w:val="singleLevel"/>
    <w:tmpl w:val="A4806EA4"/>
    <w:lvl w:ilvl="0" w:tentative="0">
      <w:start w:val="1"/>
      <w:numFmt w:val="decimal"/>
      <w:lvlText w:val="(%1)"/>
      <w:lvlJc w:val="left"/>
      <w:pPr>
        <w:ind w:left="425" w:hanging="425"/>
      </w:pPr>
      <w:rPr>
        <w:rFonts w:hint="default"/>
      </w:rPr>
    </w:lvl>
  </w:abstractNum>
  <w:abstractNum w:abstractNumId="12">
    <w:nsid w:val="A690C34D"/>
    <w:multiLevelType w:val="singleLevel"/>
    <w:tmpl w:val="A690C34D"/>
    <w:lvl w:ilvl="0" w:tentative="0">
      <w:start w:val="1"/>
      <w:numFmt w:val="decimal"/>
      <w:lvlText w:val="(%1)"/>
      <w:lvlJc w:val="left"/>
      <w:pPr>
        <w:ind w:left="425" w:hanging="425"/>
      </w:pPr>
      <w:rPr>
        <w:rFonts w:hint="default"/>
      </w:rPr>
    </w:lvl>
  </w:abstractNum>
  <w:abstractNum w:abstractNumId="13">
    <w:nsid w:val="A8586879"/>
    <w:multiLevelType w:val="singleLevel"/>
    <w:tmpl w:val="A8586879"/>
    <w:lvl w:ilvl="0" w:tentative="0">
      <w:start w:val="1"/>
      <w:numFmt w:val="decimal"/>
      <w:lvlText w:val="(%1)"/>
      <w:lvlJc w:val="left"/>
      <w:pPr>
        <w:ind w:left="425" w:hanging="425"/>
      </w:pPr>
      <w:rPr>
        <w:rFonts w:hint="default"/>
      </w:rPr>
    </w:lvl>
  </w:abstractNum>
  <w:abstractNum w:abstractNumId="14">
    <w:nsid w:val="AE679E7A"/>
    <w:multiLevelType w:val="singleLevel"/>
    <w:tmpl w:val="AE679E7A"/>
    <w:lvl w:ilvl="0" w:tentative="0">
      <w:start w:val="1"/>
      <w:numFmt w:val="decimal"/>
      <w:suff w:val="nothing"/>
      <w:lvlText w:val="%1、"/>
      <w:lvlJc w:val="left"/>
    </w:lvl>
  </w:abstractNum>
  <w:abstractNum w:abstractNumId="15">
    <w:nsid w:val="B2D21417"/>
    <w:multiLevelType w:val="singleLevel"/>
    <w:tmpl w:val="B2D21417"/>
    <w:lvl w:ilvl="0" w:tentative="0">
      <w:start w:val="1"/>
      <w:numFmt w:val="bullet"/>
      <w:lvlText w:val=""/>
      <w:lvlJc w:val="left"/>
      <w:pPr>
        <w:ind w:left="420" w:hanging="420"/>
      </w:pPr>
      <w:rPr>
        <w:rFonts w:hint="default" w:ascii="Wingdings" w:hAnsi="Wingdings"/>
      </w:rPr>
    </w:lvl>
  </w:abstractNum>
  <w:abstractNum w:abstractNumId="16">
    <w:nsid w:val="B6633EB4"/>
    <w:multiLevelType w:val="multilevel"/>
    <w:tmpl w:val="B6633EB4"/>
    <w:lvl w:ilvl="0" w:tentative="0">
      <w:start w:val="6"/>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nothing"/>
      <w:lvlText w:val="%1.%2.%3."/>
      <w:lvlJc w:val="left"/>
      <w:pPr>
        <w:ind w:left="709" w:hanging="709"/>
      </w:pPr>
    </w:lvl>
    <w:lvl w:ilvl="3" w:tentative="0">
      <w:start w:val="1"/>
      <w:numFmt w:val="decimal"/>
      <w:lvlText w:val="%1.%2.%3.%4."/>
      <w:lvlJc w:val="left"/>
      <w:pPr>
        <w:ind w:left="851" w:hanging="851"/>
      </w:pPr>
      <w:rPr>
        <w:rFonts w:hint="default"/>
      </w:r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7">
    <w:nsid w:val="C0543220"/>
    <w:multiLevelType w:val="singleLevel"/>
    <w:tmpl w:val="C0543220"/>
    <w:lvl w:ilvl="0" w:tentative="0">
      <w:start w:val="1"/>
      <w:numFmt w:val="decimal"/>
      <w:lvlText w:val="(%1)"/>
      <w:lvlJc w:val="left"/>
      <w:pPr>
        <w:ind w:left="425" w:hanging="425"/>
      </w:pPr>
      <w:rPr>
        <w:rFonts w:hint="default"/>
      </w:rPr>
    </w:lvl>
  </w:abstractNum>
  <w:abstractNum w:abstractNumId="18">
    <w:nsid w:val="C16BC7F2"/>
    <w:multiLevelType w:val="multilevel"/>
    <w:tmpl w:val="C16BC7F2"/>
    <w:lvl w:ilvl="0" w:tentative="0">
      <w:start w:val="5"/>
      <w:numFmt w:val="decimal"/>
      <w:lvlText w:val="%1."/>
      <w:lvlJc w:val="left"/>
      <w:pPr>
        <w:tabs>
          <w:tab w:val="left" w:pos="420"/>
        </w:tabs>
        <w:ind w:left="425" w:hanging="425"/>
      </w:pPr>
      <w:rPr>
        <w:rFonts w:hint="default"/>
      </w:rPr>
    </w:lvl>
    <w:lvl w:ilvl="1" w:tentative="0">
      <w:start w:val="3"/>
      <w:numFmt w:val="decimal"/>
      <w:lvlText w:val="%1.%2."/>
      <w:lvlJc w:val="left"/>
      <w:pPr>
        <w:tabs>
          <w:tab w:val="left" w:pos="420"/>
        </w:tabs>
        <w:ind w:left="567" w:hanging="567"/>
      </w:pPr>
      <w:rPr>
        <w:rFonts w:hint="default"/>
      </w:rPr>
    </w:lvl>
    <w:lvl w:ilvl="2" w:tentative="0">
      <w:start w:val="1"/>
      <w:numFmt w:val="decimal"/>
      <w:suff w:val="nothing"/>
      <w:lvlText w:val="%1.%2.%3."/>
      <w:lvlJc w:val="left"/>
      <w:pPr>
        <w:tabs>
          <w:tab w:val="left" w:pos="420"/>
        </w:tabs>
        <w:ind w:left="709" w:hanging="709"/>
      </w:pPr>
      <w:rPr>
        <w:rFonts w:hint="default"/>
      </w:rPr>
    </w:lvl>
    <w:lvl w:ilvl="3" w:tentative="0">
      <w:start w:val="1"/>
      <w:numFmt w:val="decimal"/>
      <w:lvlText w:val="%1.%2.%3.%4."/>
      <w:lvlJc w:val="left"/>
      <w:pPr>
        <w:ind w:left="851" w:hanging="851"/>
      </w:pPr>
      <w:rPr>
        <w:rFonts w:hint="default"/>
      </w:r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9">
    <w:nsid w:val="C2248E32"/>
    <w:multiLevelType w:val="multilevel"/>
    <w:tmpl w:val="C2248E32"/>
    <w:lvl w:ilvl="0" w:tentative="0">
      <w:start w:val="4"/>
      <w:numFmt w:val="decimal"/>
      <w:lvlText w:val="%1."/>
      <w:lvlJc w:val="left"/>
      <w:pPr>
        <w:tabs>
          <w:tab w:val="left" w:pos="420"/>
        </w:tabs>
        <w:ind w:left="425" w:hanging="425"/>
      </w:pPr>
      <w:rPr>
        <w:rFonts w:hint="default"/>
      </w:rPr>
    </w:lvl>
    <w:lvl w:ilvl="1" w:tentative="0">
      <w:start w:val="11"/>
      <w:numFmt w:val="decimal"/>
      <w:lvlText w:val="%1.%2."/>
      <w:lvlJc w:val="left"/>
      <w:pPr>
        <w:tabs>
          <w:tab w:val="left" w:pos="420"/>
        </w:tabs>
        <w:ind w:left="567" w:hanging="567"/>
      </w:pPr>
      <w:rPr>
        <w:rFonts w:hint="default"/>
      </w:rPr>
    </w:lvl>
    <w:lvl w:ilvl="2" w:tentative="0">
      <w:start w:val="1"/>
      <w:numFmt w:val="decimal"/>
      <w:suff w:val="nothing"/>
      <w:lvlText w:val="%1.%2.%3."/>
      <w:lvlJc w:val="left"/>
      <w:pPr>
        <w:tabs>
          <w:tab w:val="left" w:pos="420"/>
        </w:tabs>
        <w:ind w:left="709" w:hanging="709"/>
      </w:pPr>
      <w:rPr>
        <w:rFonts w:hint="default"/>
      </w:rPr>
    </w:lvl>
    <w:lvl w:ilvl="3" w:tentative="0">
      <w:start w:val="1"/>
      <w:numFmt w:val="decimal"/>
      <w:lvlText w:val="%1.%2.%3.%4."/>
      <w:lvlJc w:val="left"/>
      <w:pPr>
        <w:ind w:left="851" w:hanging="851"/>
      </w:pPr>
      <w:rPr>
        <w:rFonts w:hint="default"/>
      </w:r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20">
    <w:nsid w:val="C4FD83BE"/>
    <w:multiLevelType w:val="multilevel"/>
    <w:tmpl w:val="C4FD83BE"/>
    <w:lvl w:ilvl="0" w:tentative="0">
      <w:start w:val="4"/>
      <w:numFmt w:val="decimal"/>
      <w:lvlText w:val="%1."/>
      <w:lvlJc w:val="left"/>
      <w:pPr>
        <w:tabs>
          <w:tab w:val="left" w:pos="420"/>
        </w:tabs>
        <w:ind w:left="425" w:hanging="425"/>
      </w:pPr>
      <w:rPr>
        <w:rFonts w:hint="default"/>
      </w:rPr>
    </w:lvl>
    <w:lvl w:ilvl="1" w:tentative="0">
      <w:start w:val="5"/>
      <w:numFmt w:val="decimal"/>
      <w:lvlText w:val="%1.%2."/>
      <w:lvlJc w:val="left"/>
      <w:pPr>
        <w:tabs>
          <w:tab w:val="left" w:pos="420"/>
        </w:tabs>
        <w:ind w:left="567" w:hanging="567"/>
      </w:pPr>
      <w:rPr>
        <w:rFonts w:hint="default"/>
      </w:rPr>
    </w:lvl>
    <w:lvl w:ilvl="2" w:tentative="0">
      <w:start w:val="1"/>
      <w:numFmt w:val="decimal"/>
      <w:suff w:val="nothing"/>
      <w:lvlText w:val="%1.%2.%3."/>
      <w:lvlJc w:val="left"/>
      <w:pPr>
        <w:tabs>
          <w:tab w:val="left" w:pos="0"/>
        </w:tabs>
        <w:ind w:left="709" w:hanging="709"/>
      </w:pPr>
      <w:rPr>
        <w:rFonts w:hint="default"/>
      </w:rPr>
    </w:lvl>
    <w:lvl w:ilvl="3" w:tentative="0">
      <w:start w:val="1"/>
      <w:numFmt w:val="decimal"/>
      <w:lvlText w:val="%1.%2.%3.%4."/>
      <w:lvlJc w:val="left"/>
      <w:pPr>
        <w:ind w:left="851" w:hanging="851"/>
      </w:pPr>
      <w:rPr>
        <w:rFonts w:hint="default"/>
      </w:r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21">
    <w:nsid w:val="CD53FED8"/>
    <w:multiLevelType w:val="singleLevel"/>
    <w:tmpl w:val="CD53FED8"/>
    <w:lvl w:ilvl="0" w:tentative="0">
      <w:start w:val="1"/>
      <w:numFmt w:val="decimal"/>
      <w:suff w:val="nothing"/>
      <w:lvlText w:val="%1．"/>
      <w:lvlJc w:val="left"/>
      <w:pPr>
        <w:ind w:left="0" w:firstLine="400"/>
      </w:pPr>
      <w:rPr>
        <w:rFonts w:hint="default"/>
      </w:rPr>
    </w:lvl>
  </w:abstractNum>
  <w:abstractNum w:abstractNumId="22">
    <w:nsid w:val="CEB101E9"/>
    <w:multiLevelType w:val="singleLevel"/>
    <w:tmpl w:val="CEB101E9"/>
    <w:lvl w:ilvl="0" w:tentative="0">
      <w:start w:val="1"/>
      <w:numFmt w:val="chineseCounting"/>
      <w:suff w:val="nothing"/>
      <w:lvlText w:val="%1、"/>
      <w:lvlJc w:val="left"/>
      <w:rPr>
        <w:rFonts w:hint="eastAsia"/>
      </w:rPr>
    </w:lvl>
  </w:abstractNum>
  <w:abstractNum w:abstractNumId="23">
    <w:nsid w:val="E382267B"/>
    <w:multiLevelType w:val="singleLevel"/>
    <w:tmpl w:val="E382267B"/>
    <w:lvl w:ilvl="0" w:tentative="0">
      <w:start w:val="1"/>
      <w:numFmt w:val="decimal"/>
      <w:lvlText w:val="(%1)"/>
      <w:lvlJc w:val="left"/>
      <w:pPr>
        <w:ind w:left="425" w:hanging="425"/>
      </w:pPr>
      <w:rPr>
        <w:rFonts w:hint="default"/>
      </w:rPr>
    </w:lvl>
  </w:abstractNum>
  <w:abstractNum w:abstractNumId="24">
    <w:nsid w:val="E6C7A35C"/>
    <w:multiLevelType w:val="singleLevel"/>
    <w:tmpl w:val="E6C7A35C"/>
    <w:lvl w:ilvl="0" w:tentative="0">
      <w:start w:val="1"/>
      <w:numFmt w:val="decimal"/>
      <w:lvlText w:val="(%1)"/>
      <w:lvlJc w:val="left"/>
      <w:pPr>
        <w:ind w:left="425" w:hanging="425"/>
      </w:pPr>
      <w:rPr>
        <w:rFonts w:hint="default"/>
      </w:rPr>
    </w:lvl>
  </w:abstractNum>
  <w:abstractNum w:abstractNumId="25">
    <w:nsid w:val="EC6EAFCB"/>
    <w:multiLevelType w:val="multilevel"/>
    <w:tmpl w:val="EC6EAFCB"/>
    <w:lvl w:ilvl="0" w:tentative="0">
      <w:start w:val="4"/>
      <w:numFmt w:val="decimal"/>
      <w:lvlText w:val="%1."/>
      <w:lvlJc w:val="left"/>
      <w:pPr>
        <w:tabs>
          <w:tab w:val="left" w:pos="420"/>
        </w:tabs>
        <w:ind w:left="425" w:hanging="425"/>
      </w:pPr>
      <w:rPr>
        <w:rFonts w:hint="default"/>
      </w:rPr>
    </w:lvl>
    <w:lvl w:ilvl="1" w:tentative="0">
      <w:start w:val="2"/>
      <w:numFmt w:val="decimal"/>
      <w:lvlText w:val="%1.%2."/>
      <w:lvlJc w:val="left"/>
      <w:pPr>
        <w:ind w:left="567" w:hanging="567"/>
      </w:pPr>
      <w:rPr>
        <w:rFonts w:hint="default"/>
      </w:rPr>
    </w:lvl>
    <w:lvl w:ilvl="2" w:tentative="0">
      <w:start w:val="1"/>
      <w:numFmt w:val="decimal"/>
      <w:suff w:val="nothing"/>
      <w:lvlText w:val="%1.%2.%3."/>
      <w:lvlJc w:val="left"/>
      <w:pPr>
        <w:tabs>
          <w:tab w:val="left" w:pos="0"/>
        </w:tabs>
        <w:ind w:left="709" w:hanging="709"/>
      </w:pPr>
      <w:rPr>
        <w:rFonts w:hint="default"/>
      </w:rPr>
    </w:lvl>
    <w:lvl w:ilvl="3" w:tentative="0">
      <w:start w:val="1"/>
      <w:numFmt w:val="decimal"/>
      <w:lvlText w:val="%1.%2.%3.%4."/>
      <w:lvlJc w:val="left"/>
      <w:pPr>
        <w:ind w:left="851" w:hanging="851"/>
      </w:pPr>
      <w:rPr>
        <w:rFonts w:hint="default"/>
      </w:r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26">
    <w:nsid w:val="F045683E"/>
    <w:multiLevelType w:val="multilevel"/>
    <w:tmpl w:val="F045683E"/>
    <w:lvl w:ilvl="0" w:tentative="0">
      <w:start w:val="5"/>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nothing"/>
      <w:lvlText w:val="%1.%2.%3."/>
      <w:lvlJc w:val="left"/>
      <w:pPr>
        <w:ind w:left="709" w:hanging="709"/>
      </w:pPr>
    </w:lvl>
    <w:lvl w:ilvl="3" w:tentative="0">
      <w:start w:val="1"/>
      <w:numFmt w:val="decimal"/>
      <w:lvlText w:val="%1.%2.%3.%4."/>
      <w:lvlJc w:val="left"/>
      <w:pPr>
        <w:ind w:left="851" w:hanging="851"/>
      </w:pPr>
      <w:rPr>
        <w:rFonts w:hint="default"/>
      </w:r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27">
    <w:nsid w:val="F413C4F7"/>
    <w:multiLevelType w:val="singleLevel"/>
    <w:tmpl w:val="F413C4F7"/>
    <w:lvl w:ilvl="0" w:tentative="0">
      <w:start w:val="1"/>
      <w:numFmt w:val="decimal"/>
      <w:suff w:val="nothing"/>
      <w:lvlText w:val="%1．"/>
      <w:lvlJc w:val="left"/>
      <w:pPr>
        <w:ind w:left="0" w:firstLine="400"/>
      </w:pPr>
      <w:rPr>
        <w:rFonts w:hint="default"/>
      </w:rPr>
    </w:lvl>
  </w:abstractNum>
  <w:abstractNum w:abstractNumId="28">
    <w:nsid w:val="F43C8E24"/>
    <w:multiLevelType w:val="singleLevel"/>
    <w:tmpl w:val="F43C8E24"/>
    <w:lvl w:ilvl="0" w:tentative="0">
      <w:start w:val="1"/>
      <w:numFmt w:val="decimal"/>
      <w:suff w:val="nothing"/>
      <w:lvlText w:val="%1、"/>
      <w:lvlJc w:val="left"/>
    </w:lvl>
  </w:abstractNum>
  <w:abstractNum w:abstractNumId="29">
    <w:nsid w:val="F4864DFA"/>
    <w:multiLevelType w:val="multilevel"/>
    <w:tmpl w:val="F4864DFA"/>
    <w:lvl w:ilvl="0" w:tentative="0">
      <w:start w:val="3"/>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nothing"/>
      <w:lvlText w:val="%1.%2.%3."/>
      <w:lvlJc w:val="left"/>
      <w:pPr>
        <w:ind w:left="709" w:hanging="709"/>
      </w:pPr>
    </w:lvl>
    <w:lvl w:ilvl="3" w:tentative="0">
      <w:start w:val="1"/>
      <w:numFmt w:val="decimal"/>
      <w:lvlText w:val="%1.%2.%3.%4."/>
      <w:lvlJc w:val="left"/>
      <w:pPr>
        <w:ind w:left="851" w:hanging="851"/>
      </w:pPr>
      <w:rPr>
        <w:rFonts w:hint="default"/>
      </w:r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30">
    <w:nsid w:val="F7BDEBB6"/>
    <w:multiLevelType w:val="multilevel"/>
    <w:tmpl w:val="F7BDEBB6"/>
    <w:lvl w:ilvl="0" w:tentative="0">
      <w:start w:val="4"/>
      <w:numFmt w:val="decimal"/>
      <w:lvlText w:val="%1."/>
      <w:lvlJc w:val="left"/>
      <w:pPr>
        <w:tabs>
          <w:tab w:val="left" w:pos="420"/>
        </w:tabs>
        <w:ind w:left="425" w:hanging="425"/>
      </w:pPr>
      <w:rPr>
        <w:rFonts w:hint="default"/>
      </w:rPr>
    </w:lvl>
    <w:lvl w:ilvl="1" w:tentative="0">
      <w:start w:val="12"/>
      <w:numFmt w:val="decimal"/>
      <w:lvlText w:val="%1.%2."/>
      <w:lvlJc w:val="left"/>
      <w:pPr>
        <w:tabs>
          <w:tab w:val="left" w:pos="420"/>
        </w:tabs>
        <w:ind w:left="567" w:hanging="567"/>
      </w:pPr>
      <w:rPr>
        <w:rFonts w:hint="default"/>
      </w:rPr>
    </w:lvl>
    <w:lvl w:ilvl="2" w:tentative="0">
      <w:start w:val="1"/>
      <w:numFmt w:val="decimal"/>
      <w:suff w:val="nothing"/>
      <w:lvlText w:val="%1.%2.%3."/>
      <w:lvlJc w:val="left"/>
      <w:pPr>
        <w:tabs>
          <w:tab w:val="left" w:pos="420"/>
        </w:tabs>
        <w:ind w:left="709" w:hanging="709"/>
      </w:pPr>
      <w:rPr>
        <w:rFonts w:hint="default"/>
      </w:rPr>
    </w:lvl>
    <w:lvl w:ilvl="3" w:tentative="0">
      <w:start w:val="1"/>
      <w:numFmt w:val="decimal"/>
      <w:lvlText w:val="%1.%2.%3.%4."/>
      <w:lvlJc w:val="left"/>
      <w:pPr>
        <w:ind w:left="851" w:hanging="851"/>
      </w:pPr>
      <w:rPr>
        <w:rFonts w:hint="default"/>
      </w:r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31">
    <w:nsid w:val="FDA12D28"/>
    <w:multiLevelType w:val="singleLevel"/>
    <w:tmpl w:val="FDA12D28"/>
    <w:lvl w:ilvl="0" w:tentative="0">
      <w:start w:val="5"/>
      <w:numFmt w:val="chineseCounting"/>
      <w:suff w:val="space"/>
      <w:lvlText w:val="第%1章"/>
      <w:lvlJc w:val="left"/>
      <w:rPr>
        <w:rFonts w:hint="eastAsia"/>
      </w:rPr>
    </w:lvl>
  </w:abstractNum>
  <w:abstractNum w:abstractNumId="32">
    <w:nsid w:val="01DEC824"/>
    <w:multiLevelType w:val="multilevel"/>
    <w:tmpl w:val="01DEC824"/>
    <w:lvl w:ilvl="0" w:tentative="0">
      <w:start w:val="5"/>
      <w:numFmt w:val="decimal"/>
      <w:lvlText w:val="%1."/>
      <w:lvlJc w:val="left"/>
      <w:pPr>
        <w:tabs>
          <w:tab w:val="left" w:pos="420"/>
        </w:tabs>
        <w:ind w:left="425" w:hanging="425"/>
      </w:pPr>
      <w:rPr>
        <w:rFonts w:hint="default"/>
      </w:rPr>
    </w:lvl>
    <w:lvl w:ilvl="1" w:tentative="0">
      <w:start w:val="2"/>
      <w:numFmt w:val="decimal"/>
      <w:lvlText w:val="%1.%2."/>
      <w:lvlJc w:val="left"/>
      <w:pPr>
        <w:tabs>
          <w:tab w:val="left" w:pos="420"/>
        </w:tabs>
        <w:ind w:left="567" w:hanging="567"/>
      </w:pPr>
      <w:rPr>
        <w:rFonts w:hint="default"/>
      </w:rPr>
    </w:lvl>
    <w:lvl w:ilvl="2" w:tentative="0">
      <w:start w:val="1"/>
      <w:numFmt w:val="decimal"/>
      <w:suff w:val="nothing"/>
      <w:lvlText w:val="%1.%2.%3."/>
      <w:lvlJc w:val="left"/>
      <w:pPr>
        <w:tabs>
          <w:tab w:val="left" w:pos="420"/>
        </w:tabs>
        <w:ind w:left="709" w:hanging="709"/>
      </w:pPr>
      <w:rPr>
        <w:rFonts w:hint="default"/>
      </w:rPr>
    </w:lvl>
    <w:lvl w:ilvl="3" w:tentative="0">
      <w:start w:val="1"/>
      <w:numFmt w:val="decimal"/>
      <w:lvlText w:val="%1.%2.%3.%4."/>
      <w:lvlJc w:val="left"/>
      <w:pPr>
        <w:ind w:left="851" w:hanging="851"/>
      </w:pPr>
      <w:rPr>
        <w:rFonts w:hint="default"/>
      </w:r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33">
    <w:nsid w:val="08C04B64"/>
    <w:multiLevelType w:val="singleLevel"/>
    <w:tmpl w:val="08C04B64"/>
    <w:lvl w:ilvl="0" w:tentative="0">
      <w:start w:val="1"/>
      <w:numFmt w:val="decimal"/>
      <w:lvlText w:val="(%1)"/>
      <w:lvlJc w:val="left"/>
      <w:pPr>
        <w:ind w:left="425" w:hanging="425"/>
      </w:pPr>
      <w:rPr>
        <w:rFonts w:hint="default"/>
      </w:rPr>
    </w:lvl>
  </w:abstractNum>
  <w:abstractNum w:abstractNumId="34">
    <w:nsid w:val="1C319DF5"/>
    <w:multiLevelType w:val="singleLevel"/>
    <w:tmpl w:val="1C319DF5"/>
    <w:lvl w:ilvl="0" w:tentative="0">
      <w:start w:val="1"/>
      <w:numFmt w:val="decimal"/>
      <w:lvlText w:val="(%1)"/>
      <w:lvlJc w:val="left"/>
      <w:pPr>
        <w:ind w:left="425" w:hanging="425"/>
      </w:pPr>
      <w:rPr>
        <w:rFonts w:hint="default"/>
      </w:rPr>
    </w:lvl>
  </w:abstractNum>
  <w:abstractNum w:abstractNumId="35">
    <w:nsid w:val="1C8D2983"/>
    <w:multiLevelType w:val="singleLevel"/>
    <w:tmpl w:val="1C8D2983"/>
    <w:lvl w:ilvl="0" w:tentative="0">
      <w:start w:val="1"/>
      <w:numFmt w:val="decimal"/>
      <w:suff w:val="nothing"/>
      <w:lvlText w:val="（%1）"/>
      <w:lvlJc w:val="left"/>
    </w:lvl>
  </w:abstractNum>
  <w:abstractNum w:abstractNumId="36">
    <w:nsid w:val="1D7A01EE"/>
    <w:multiLevelType w:val="multilevel"/>
    <w:tmpl w:val="1D7A01E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7">
    <w:nsid w:val="1DA2E404"/>
    <w:multiLevelType w:val="singleLevel"/>
    <w:tmpl w:val="1DA2E404"/>
    <w:lvl w:ilvl="0" w:tentative="0">
      <w:start w:val="1"/>
      <w:numFmt w:val="decimal"/>
      <w:lvlText w:val="(%1)"/>
      <w:lvlJc w:val="left"/>
      <w:pPr>
        <w:ind w:left="425" w:hanging="425"/>
      </w:pPr>
      <w:rPr>
        <w:rFonts w:hint="default"/>
      </w:rPr>
    </w:lvl>
  </w:abstractNum>
  <w:abstractNum w:abstractNumId="38">
    <w:nsid w:val="2B86DC3C"/>
    <w:multiLevelType w:val="singleLevel"/>
    <w:tmpl w:val="2B86DC3C"/>
    <w:lvl w:ilvl="0" w:tentative="0">
      <w:start w:val="1"/>
      <w:numFmt w:val="decimal"/>
      <w:suff w:val="nothing"/>
      <w:lvlText w:val="%1、"/>
      <w:lvlJc w:val="left"/>
    </w:lvl>
  </w:abstractNum>
  <w:abstractNum w:abstractNumId="39">
    <w:nsid w:val="33FD15C1"/>
    <w:multiLevelType w:val="singleLevel"/>
    <w:tmpl w:val="33FD15C1"/>
    <w:lvl w:ilvl="0" w:tentative="0">
      <w:start w:val="1"/>
      <w:numFmt w:val="decimal"/>
      <w:lvlText w:val="(%1)"/>
      <w:lvlJc w:val="left"/>
      <w:pPr>
        <w:ind w:left="425" w:hanging="425"/>
      </w:pPr>
      <w:rPr>
        <w:rFonts w:hint="default"/>
      </w:rPr>
    </w:lvl>
  </w:abstractNum>
  <w:abstractNum w:abstractNumId="40">
    <w:nsid w:val="3EDCF70E"/>
    <w:multiLevelType w:val="singleLevel"/>
    <w:tmpl w:val="3EDCF70E"/>
    <w:lvl w:ilvl="0" w:tentative="0">
      <w:start w:val="1"/>
      <w:numFmt w:val="decimal"/>
      <w:lvlText w:val="(%1)"/>
      <w:lvlJc w:val="left"/>
      <w:pPr>
        <w:ind w:left="425" w:hanging="425"/>
      </w:pPr>
      <w:rPr>
        <w:rFonts w:hint="default"/>
      </w:rPr>
    </w:lvl>
  </w:abstractNum>
  <w:abstractNum w:abstractNumId="41">
    <w:nsid w:val="3FF7FE5C"/>
    <w:multiLevelType w:val="singleLevel"/>
    <w:tmpl w:val="3FF7FE5C"/>
    <w:lvl w:ilvl="0" w:tentative="0">
      <w:start w:val="1"/>
      <w:numFmt w:val="decimal"/>
      <w:lvlText w:val="(%1)"/>
      <w:lvlJc w:val="left"/>
      <w:pPr>
        <w:ind w:left="425" w:hanging="425"/>
      </w:pPr>
      <w:rPr>
        <w:rFonts w:hint="default"/>
      </w:rPr>
    </w:lvl>
  </w:abstractNum>
  <w:abstractNum w:abstractNumId="42">
    <w:nsid w:val="44EB39E3"/>
    <w:multiLevelType w:val="multilevel"/>
    <w:tmpl w:val="44EB39E3"/>
    <w:lvl w:ilvl="0" w:tentative="0">
      <w:start w:val="4"/>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nothing"/>
      <w:lvlText w:val="%1.%2.%3."/>
      <w:lvlJc w:val="left"/>
      <w:pPr>
        <w:ind w:left="709" w:hanging="709"/>
      </w:pPr>
      <w:rPr>
        <w:rFonts w:hint="default"/>
      </w:rPr>
    </w:lvl>
    <w:lvl w:ilvl="3" w:tentative="0">
      <w:start w:val="1"/>
      <w:numFmt w:val="decimal"/>
      <w:lvlText w:val="%1.%2.%3.%4."/>
      <w:lvlJc w:val="left"/>
      <w:pPr>
        <w:ind w:left="851" w:hanging="851"/>
      </w:pPr>
      <w:rPr>
        <w:rFonts w:hint="default"/>
      </w:r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43">
    <w:nsid w:val="527006D9"/>
    <w:multiLevelType w:val="singleLevel"/>
    <w:tmpl w:val="527006D9"/>
    <w:lvl w:ilvl="0" w:tentative="0">
      <w:start w:val="1"/>
      <w:numFmt w:val="decimal"/>
      <w:lvlText w:val="(%1)"/>
      <w:lvlJc w:val="left"/>
      <w:pPr>
        <w:ind w:left="425" w:hanging="425"/>
      </w:pPr>
      <w:rPr>
        <w:rFonts w:hint="default"/>
      </w:rPr>
    </w:lvl>
  </w:abstractNum>
  <w:abstractNum w:abstractNumId="44">
    <w:nsid w:val="53AFA339"/>
    <w:multiLevelType w:val="singleLevel"/>
    <w:tmpl w:val="53AFA339"/>
    <w:lvl w:ilvl="0" w:tentative="0">
      <w:start w:val="1"/>
      <w:numFmt w:val="decimal"/>
      <w:lvlText w:val="(%1)"/>
      <w:lvlJc w:val="left"/>
      <w:pPr>
        <w:ind w:left="425" w:hanging="425"/>
      </w:pPr>
      <w:rPr>
        <w:rFonts w:hint="default"/>
      </w:rPr>
    </w:lvl>
  </w:abstractNum>
  <w:abstractNum w:abstractNumId="45">
    <w:nsid w:val="5542729C"/>
    <w:multiLevelType w:val="singleLevel"/>
    <w:tmpl w:val="5542729C"/>
    <w:lvl w:ilvl="0" w:tentative="0">
      <w:start w:val="1"/>
      <w:numFmt w:val="decimal"/>
      <w:lvlText w:val="(%1)"/>
      <w:lvlJc w:val="left"/>
      <w:pPr>
        <w:ind w:left="425" w:hanging="425"/>
      </w:pPr>
      <w:rPr>
        <w:rFonts w:hint="default"/>
      </w:rPr>
    </w:lvl>
  </w:abstractNum>
  <w:abstractNum w:abstractNumId="46">
    <w:nsid w:val="56B41B7F"/>
    <w:multiLevelType w:val="multilevel"/>
    <w:tmpl w:val="56B41B7F"/>
    <w:lvl w:ilvl="0" w:tentative="0">
      <w:start w:val="6"/>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nothing"/>
      <w:lvlText w:val="%1.%2.%3."/>
      <w:lvlJc w:val="left"/>
      <w:pPr>
        <w:ind w:left="709" w:hanging="709"/>
      </w:pPr>
    </w:lvl>
    <w:lvl w:ilvl="3" w:tentative="0">
      <w:start w:val="1"/>
      <w:numFmt w:val="decimal"/>
      <w:lvlText w:val="%1.%2.%3.%4."/>
      <w:lvlJc w:val="left"/>
      <w:pPr>
        <w:ind w:left="851" w:hanging="851"/>
      </w:pPr>
      <w:rPr>
        <w:rFonts w:hint="default"/>
      </w:r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47">
    <w:nsid w:val="600D7E3A"/>
    <w:multiLevelType w:val="singleLevel"/>
    <w:tmpl w:val="600D7E3A"/>
    <w:lvl w:ilvl="0" w:tentative="0">
      <w:start w:val="1"/>
      <w:numFmt w:val="decimal"/>
      <w:lvlText w:val="(%1)"/>
      <w:lvlJc w:val="left"/>
      <w:pPr>
        <w:ind w:left="425" w:hanging="425"/>
      </w:pPr>
      <w:rPr>
        <w:rFonts w:hint="default"/>
      </w:rPr>
    </w:lvl>
  </w:abstractNum>
  <w:abstractNum w:abstractNumId="48">
    <w:nsid w:val="60D95659"/>
    <w:multiLevelType w:val="singleLevel"/>
    <w:tmpl w:val="60D95659"/>
    <w:lvl w:ilvl="0" w:tentative="0">
      <w:start w:val="1"/>
      <w:numFmt w:val="decimal"/>
      <w:lvlText w:val="(%1)"/>
      <w:lvlJc w:val="left"/>
      <w:pPr>
        <w:ind w:left="425" w:hanging="425"/>
      </w:pPr>
      <w:rPr>
        <w:rFonts w:hint="default"/>
      </w:rPr>
    </w:lvl>
  </w:abstractNum>
  <w:abstractNum w:abstractNumId="49">
    <w:nsid w:val="6DA0BD58"/>
    <w:multiLevelType w:val="multilevel"/>
    <w:tmpl w:val="6DA0BD58"/>
    <w:lvl w:ilvl="0" w:tentative="0">
      <w:start w:val="4"/>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nothing"/>
      <w:lvlText w:val="%1.%2.%3."/>
      <w:lvlJc w:val="left"/>
      <w:pPr>
        <w:ind w:left="709" w:hanging="709"/>
      </w:pPr>
    </w:lvl>
    <w:lvl w:ilvl="3" w:tentative="0">
      <w:start w:val="1"/>
      <w:numFmt w:val="decimal"/>
      <w:lvlText w:val="%1.%2.%3.%4."/>
      <w:lvlJc w:val="left"/>
      <w:pPr>
        <w:ind w:left="851" w:hanging="851"/>
      </w:pPr>
      <w:rPr>
        <w:rFonts w:hint="default"/>
      </w:r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50">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51">
    <w:nsid w:val="6E7B7226"/>
    <w:multiLevelType w:val="singleLevel"/>
    <w:tmpl w:val="6E7B7226"/>
    <w:lvl w:ilvl="0" w:tentative="0">
      <w:start w:val="1"/>
      <w:numFmt w:val="decimal"/>
      <w:lvlText w:val="(%1)"/>
      <w:lvlJc w:val="left"/>
      <w:pPr>
        <w:ind w:left="425" w:hanging="425"/>
      </w:pPr>
      <w:rPr>
        <w:rFonts w:hint="default"/>
      </w:rPr>
    </w:lvl>
  </w:abstractNum>
  <w:abstractNum w:abstractNumId="52">
    <w:nsid w:val="70CFA080"/>
    <w:multiLevelType w:val="singleLevel"/>
    <w:tmpl w:val="70CFA080"/>
    <w:lvl w:ilvl="0" w:tentative="0">
      <w:start w:val="1"/>
      <w:numFmt w:val="decimal"/>
      <w:lvlText w:val="(%1)"/>
      <w:lvlJc w:val="left"/>
      <w:pPr>
        <w:ind w:left="425" w:hanging="425"/>
      </w:pPr>
      <w:rPr>
        <w:rFonts w:hint="default"/>
      </w:rPr>
    </w:lvl>
  </w:abstractNum>
  <w:abstractNum w:abstractNumId="53">
    <w:nsid w:val="7368FC94"/>
    <w:multiLevelType w:val="singleLevel"/>
    <w:tmpl w:val="7368FC94"/>
    <w:lvl w:ilvl="0" w:tentative="0">
      <w:start w:val="1"/>
      <w:numFmt w:val="decimal"/>
      <w:suff w:val="nothing"/>
      <w:lvlText w:val="%1．"/>
      <w:lvlJc w:val="left"/>
      <w:pPr>
        <w:ind w:left="0" w:firstLine="400"/>
      </w:pPr>
      <w:rPr>
        <w:rFonts w:hint="default"/>
      </w:rPr>
    </w:lvl>
  </w:abstractNum>
  <w:abstractNum w:abstractNumId="54">
    <w:nsid w:val="75C73D2B"/>
    <w:multiLevelType w:val="singleLevel"/>
    <w:tmpl w:val="75C73D2B"/>
    <w:lvl w:ilvl="0" w:tentative="0">
      <w:start w:val="1"/>
      <w:numFmt w:val="decimal"/>
      <w:lvlText w:val="(%1)"/>
      <w:lvlJc w:val="left"/>
      <w:pPr>
        <w:ind w:left="425" w:hanging="425"/>
      </w:pPr>
      <w:rPr>
        <w:rFonts w:hint="default"/>
      </w:rPr>
    </w:lvl>
  </w:abstractNum>
  <w:abstractNum w:abstractNumId="55">
    <w:nsid w:val="797F15B9"/>
    <w:multiLevelType w:val="singleLevel"/>
    <w:tmpl w:val="797F15B9"/>
    <w:lvl w:ilvl="0" w:tentative="0">
      <w:start w:val="1"/>
      <w:numFmt w:val="decimal"/>
      <w:lvlText w:val="(%1)"/>
      <w:lvlJc w:val="left"/>
      <w:pPr>
        <w:ind w:left="425" w:hanging="425"/>
      </w:pPr>
      <w:rPr>
        <w:rFonts w:hint="default"/>
      </w:rPr>
    </w:lvl>
  </w:abstractNum>
  <w:abstractNum w:abstractNumId="56">
    <w:nsid w:val="7EB05411"/>
    <w:multiLevelType w:val="multilevel"/>
    <w:tmpl w:val="7EB05411"/>
    <w:lvl w:ilvl="0" w:tentative="0">
      <w:start w:val="5"/>
      <w:numFmt w:val="decimal"/>
      <w:lvlText w:val="%1."/>
      <w:lvlJc w:val="left"/>
      <w:pPr>
        <w:tabs>
          <w:tab w:val="left" w:pos="420"/>
        </w:tabs>
        <w:ind w:left="425" w:hanging="425"/>
      </w:pPr>
      <w:rPr>
        <w:rFonts w:hint="default"/>
      </w:rPr>
    </w:lvl>
    <w:lvl w:ilvl="1" w:tentative="0">
      <w:start w:val="4"/>
      <w:numFmt w:val="decimal"/>
      <w:lvlText w:val="%1.%2."/>
      <w:lvlJc w:val="left"/>
      <w:pPr>
        <w:tabs>
          <w:tab w:val="left" w:pos="420"/>
        </w:tabs>
        <w:ind w:left="567" w:hanging="567"/>
      </w:pPr>
      <w:rPr>
        <w:rFonts w:hint="default"/>
      </w:rPr>
    </w:lvl>
    <w:lvl w:ilvl="2" w:tentative="0">
      <w:start w:val="1"/>
      <w:numFmt w:val="decimal"/>
      <w:suff w:val="nothing"/>
      <w:lvlText w:val="%1.%2.%3."/>
      <w:lvlJc w:val="left"/>
      <w:pPr>
        <w:tabs>
          <w:tab w:val="left" w:pos="0"/>
        </w:tabs>
        <w:ind w:left="709" w:hanging="709"/>
      </w:pPr>
      <w:rPr>
        <w:rFonts w:hint="default"/>
      </w:rPr>
    </w:lvl>
    <w:lvl w:ilvl="3" w:tentative="0">
      <w:start w:val="1"/>
      <w:numFmt w:val="decimal"/>
      <w:lvlText w:val="%1.%2.%3.%4."/>
      <w:lvlJc w:val="left"/>
      <w:pPr>
        <w:ind w:left="851" w:hanging="851"/>
      </w:pPr>
      <w:rPr>
        <w:rFonts w:hint="default"/>
      </w:r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num w:numId="1">
    <w:abstractNumId w:val="50"/>
  </w:num>
  <w:num w:numId="2">
    <w:abstractNumId w:val="36"/>
  </w:num>
  <w:num w:numId="3">
    <w:abstractNumId w:val="21"/>
  </w:num>
  <w:num w:numId="4">
    <w:abstractNumId w:val="53"/>
  </w:num>
  <w:num w:numId="5">
    <w:abstractNumId w:val="0"/>
  </w:num>
  <w:num w:numId="6">
    <w:abstractNumId w:val="15"/>
  </w:num>
  <w:num w:numId="7">
    <w:abstractNumId w:val="29"/>
  </w:num>
  <w:num w:numId="8">
    <w:abstractNumId w:val="27"/>
  </w:num>
  <w:num w:numId="9">
    <w:abstractNumId w:val="49"/>
  </w:num>
  <w:num w:numId="10">
    <w:abstractNumId w:val="42"/>
  </w:num>
  <w:num w:numId="11">
    <w:abstractNumId w:val="25"/>
  </w:num>
  <w:num w:numId="12">
    <w:abstractNumId w:val="5"/>
  </w:num>
  <w:num w:numId="13">
    <w:abstractNumId w:val="33"/>
  </w:num>
  <w:num w:numId="14">
    <w:abstractNumId w:val="1"/>
  </w:num>
  <w:num w:numId="15">
    <w:abstractNumId w:val="20"/>
  </w:num>
  <w:num w:numId="16">
    <w:abstractNumId w:val="23"/>
  </w:num>
  <w:num w:numId="17">
    <w:abstractNumId w:val="34"/>
  </w:num>
  <w:num w:numId="18">
    <w:abstractNumId w:val="44"/>
  </w:num>
  <w:num w:numId="19">
    <w:abstractNumId w:val="54"/>
  </w:num>
  <w:num w:numId="20">
    <w:abstractNumId w:val="40"/>
  </w:num>
  <w:num w:numId="21">
    <w:abstractNumId w:val="12"/>
  </w:num>
  <w:num w:numId="22">
    <w:abstractNumId w:val="52"/>
  </w:num>
  <w:num w:numId="23">
    <w:abstractNumId w:val="8"/>
  </w:num>
  <w:num w:numId="24">
    <w:abstractNumId w:val="37"/>
  </w:num>
  <w:num w:numId="25">
    <w:abstractNumId w:val="39"/>
  </w:num>
  <w:num w:numId="26">
    <w:abstractNumId w:val="55"/>
  </w:num>
  <w:num w:numId="27">
    <w:abstractNumId w:val="47"/>
  </w:num>
  <w:num w:numId="28">
    <w:abstractNumId w:val="45"/>
  </w:num>
  <w:num w:numId="29">
    <w:abstractNumId w:val="4"/>
  </w:num>
  <w:num w:numId="30">
    <w:abstractNumId w:val="9"/>
  </w:num>
  <w:num w:numId="31">
    <w:abstractNumId w:val="48"/>
  </w:num>
  <w:num w:numId="32">
    <w:abstractNumId w:val="7"/>
  </w:num>
  <w:num w:numId="33">
    <w:abstractNumId w:val="43"/>
  </w:num>
  <w:num w:numId="34">
    <w:abstractNumId w:val="24"/>
  </w:num>
  <w:num w:numId="35">
    <w:abstractNumId w:val="3"/>
  </w:num>
  <w:num w:numId="36">
    <w:abstractNumId w:val="19"/>
  </w:num>
  <w:num w:numId="37">
    <w:abstractNumId w:val="30"/>
  </w:num>
  <w:num w:numId="38">
    <w:abstractNumId w:val="11"/>
  </w:num>
  <w:num w:numId="39">
    <w:abstractNumId w:val="51"/>
  </w:num>
  <w:num w:numId="40">
    <w:abstractNumId w:val="17"/>
  </w:num>
  <w:num w:numId="41">
    <w:abstractNumId w:val="13"/>
  </w:num>
  <w:num w:numId="42">
    <w:abstractNumId w:val="6"/>
  </w:num>
  <w:num w:numId="43">
    <w:abstractNumId w:val="41"/>
  </w:num>
  <w:num w:numId="44">
    <w:abstractNumId w:val="31"/>
  </w:num>
  <w:num w:numId="45">
    <w:abstractNumId w:val="26"/>
  </w:num>
  <w:num w:numId="46">
    <w:abstractNumId w:val="2"/>
  </w:num>
  <w:num w:numId="47">
    <w:abstractNumId w:val="32"/>
  </w:num>
  <w:num w:numId="48">
    <w:abstractNumId w:val="18"/>
  </w:num>
  <w:num w:numId="49">
    <w:abstractNumId w:val="56"/>
  </w:num>
  <w:num w:numId="50">
    <w:abstractNumId w:val="16"/>
  </w:num>
  <w:num w:numId="51">
    <w:abstractNumId w:val="46"/>
  </w:num>
  <w:num w:numId="52">
    <w:abstractNumId w:val="10"/>
  </w:num>
  <w:num w:numId="53">
    <w:abstractNumId w:val="35"/>
  </w:num>
  <w:num w:numId="54">
    <w:abstractNumId w:val="22"/>
  </w:num>
  <w:num w:numId="55">
    <w:abstractNumId w:val="38"/>
  </w:num>
  <w:num w:numId="56">
    <w:abstractNumId w:val="14"/>
  </w:num>
  <w:num w:numId="5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CF2269"/>
    <w:rsid w:val="035C454C"/>
    <w:rsid w:val="0A810751"/>
    <w:rsid w:val="0ABC5FB9"/>
    <w:rsid w:val="145F4C75"/>
    <w:rsid w:val="1573779B"/>
    <w:rsid w:val="183C40B4"/>
    <w:rsid w:val="1E9E2ED1"/>
    <w:rsid w:val="1ECF2269"/>
    <w:rsid w:val="249471B2"/>
    <w:rsid w:val="2B9065EA"/>
    <w:rsid w:val="2C3614AA"/>
    <w:rsid w:val="2E092DE3"/>
    <w:rsid w:val="32B5393A"/>
    <w:rsid w:val="33AF4B9A"/>
    <w:rsid w:val="33DB7225"/>
    <w:rsid w:val="34921CE4"/>
    <w:rsid w:val="38E7731C"/>
    <w:rsid w:val="3EDB497E"/>
    <w:rsid w:val="4D50309A"/>
    <w:rsid w:val="517C47AD"/>
    <w:rsid w:val="55465897"/>
    <w:rsid w:val="57F06B97"/>
    <w:rsid w:val="57F45C8F"/>
    <w:rsid w:val="5B047D71"/>
    <w:rsid w:val="62F917B9"/>
    <w:rsid w:val="672B3381"/>
    <w:rsid w:val="70085C14"/>
    <w:rsid w:val="70CD001C"/>
    <w:rsid w:val="71D65F0B"/>
    <w:rsid w:val="79D55B13"/>
    <w:rsid w:val="7BB44529"/>
    <w:rsid w:val="7C7451B1"/>
    <w:rsid w:val="7F153B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0"/>
    <w:pPr>
      <w:ind w:left="538"/>
      <w:outlineLvl w:val="0"/>
    </w:pPr>
    <w:rPr>
      <w:b/>
      <w:bCs/>
      <w:sz w:val="28"/>
      <w:szCs w:val="28"/>
    </w:rPr>
  </w:style>
  <w:style w:type="paragraph" w:styleId="3">
    <w:name w:val="heading 2"/>
    <w:basedOn w:val="1"/>
    <w:next w:val="1"/>
    <w:qFormat/>
    <w:uiPriority w:val="0"/>
    <w:pPr>
      <w:ind w:left="629"/>
      <w:outlineLvl w:val="1"/>
    </w:pPr>
    <w:rPr>
      <w:b/>
      <w:bCs/>
      <w:sz w:val="24"/>
      <w:szCs w:val="24"/>
    </w:rPr>
  </w:style>
  <w:style w:type="paragraph" w:styleId="4">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Body Text"/>
    <w:basedOn w:val="1"/>
    <w:qFormat/>
    <w:uiPriority w:val="1"/>
    <w:rPr>
      <w:sz w:val="24"/>
      <w:szCs w:val="24"/>
    </w:rPr>
  </w:style>
  <w:style w:type="paragraph" w:styleId="7">
    <w:name w:val="Body Text Indent"/>
    <w:basedOn w:val="1"/>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8">
    <w:name w:val="toc 3"/>
    <w:basedOn w:val="1"/>
    <w:next w:val="1"/>
    <w:qFormat/>
    <w:uiPriority w:val="39"/>
    <w:pPr>
      <w:widowControl w:val="0"/>
      <w:spacing w:after="0" w:line="240" w:lineRule="auto"/>
      <w:ind w:left="420"/>
      <w:jc w:val="both"/>
    </w:pPr>
    <w:rPr>
      <w:rFonts w:ascii="Times New Roman" w:hAnsi="Times New Roman" w:eastAsia="KaiTi_GB2312"/>
      <w:iCs/>
      <w:kern w:val="2"/>
      <w:sz w:val="24"/>
      <w:szCs w:val="21"/>
    </w:rPr>
  </w:style>
  <w:style w:type="paragraph" w:styleId="9">
    <w:name w:val="Plain Text"/>
    <w:basedOn w:val="1"/>
    <w:qFormat/>
    <w:uiPriority w:val="99"/>
    <w:rPr>
      <w:rFonts w:hAnsi="Courier New" w:cs="Courier New"/>
      <w:szCs w:val="21"/>
    </w:rPr>
  </w:style>
  <w:style w:type="paragraph" w:styleId="10">
    <w:name w:val="footer"/>
    <w:basedOn w:val="1"/>
    <w:qFormat/>
    <w:uiPriority w:val="99"/>
    <w:pPr>
      <w:tabs>
        <w:tab w:val="center" w:pos="4153"/>
        <w:tab w:val="right" w:pos="8306"/>
      </w:tabs>
      <w:snapToGrid w:val="0"/>
    </w:pPr>
    <w:rPr>
      <w:sz w:val="18"/>
      <w:szCs w:val="18"/>
    </w:rPr>
  </w:style>
  <w:style w:type="paragraph" w:styleId="11">
    <w:name w:val="toc 1"/>
    <w:basedOn w:val="1"/>
    <w:next w:val="1"/>
    <w:qFormat/>
    <w:uiPriority w:val="39"/>
    <w:pPr>
      <w:widowControl w:val="0"/>
      <w:spacing w:before="120" w:after="120" w:line="240" w:lineRule="auto"/>
      <w:jc w:val="both"/>
    </w:pPr>
    <w:rPr>
      <w:rFonts w:ascii="Times New Roman" w:hAnsi="Times New Roman" w:eastAsia="宋体"/>
      <w:b/>
      <w:bCs/>
      <w:caps/>
      <w:kern w:val="2"/>
      <w:sz w:val="24"/>
      <w:szCs w:val="21"/>
    </w:rPr>
  </w:style>
  <w:style w:type="paragraph" w:styleId="12">
    <w:name w:val="toc 2"/>
    <w:basedOn w:val="1"/>
    <w:next w:val="1"/>
    <w:qFormat/>
    <w:uiPriority w:val="39"/>
    <w:pPr>
      <w:widowControl w:val="0"/>
      <w:spacing w:after="0" w:line="240" w:lineRule="auto"/>
      <w:ind w:left="210"/>
      <w:jc w:val="both"/>
    </w:pPr>
    <w:rPr>
      <w:rFonts w:ascii="Times New Roman" w:hAnsi="Times New Roman" w:eastAsia="宋体"/>
      <w:smallCaps/>
      <w:kern w:val="2"/>
      <w:sz w:val="24"/>
      <w:szCs w:val="21"/>
    </w:rPr>
  </w:style>
  <w:style w:type="paragraph" w:styleId="13">
    <w:name w:val="Normal (Web)"/>
    <w:basedOn w:val="1"/>
    <w:unhideWhenUsed/>
    <w:qFormat/>
    <w:uiPriority w:val="99"/>
    <w:pPr>
      <w:widowControl/>
      <w:autoSpaceDE/>
      <w:autoSpaceDN/>
      <w:spacing w:before="100" w:beforeAutospacing="1" w:after="100" w:afterAutospacing="1"/>
    </w:pPr>
    <w:rPr>
      <w:sz w:val="24"/>
      <w:szCs w:val="24"/>
      <w:lang w:eastAsia="zh-CN"/>
    </w:rPr>
  </w:style>
  <w:style w:type="paragraph" w:styleId="14">
    <w:name w:val="Title"/>
    <w:basedOn w:val="1"/>
    <w:qFormat/>
    <w:uiPriority w:val="0"/>
    <w:pPr>
      <w:jc w:val="center"/>
    </w:pPr>
    <w:rPr>
      <w:sz w:val="32"/>
    </w:rPr>
  </w:style>
  <w:style w:type="paragraph" w:styleId="15">
    <w:name w:val="Body Text First Indent 2"/>
    <w:basedOn w:val="7"/>
    <w:next w:val="1"/>
    <w:qFormat/>
    <w:uiPriority w:val="0"/>
    <w:pPr>
      <w:ind w:firstLine="420" w:firstLineChars="200"/>
    </w:p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22"/>
    <w:rPr>
      <w:b/>
      <w:bCs/>
    </w:rPr>
  </w:style>
  <w:style w:type="character" w:styleId="20">
    <w:name w:val="Hyperlink"/>
    <w:basedOn w:val="18"/>
    <w:qFormat/>
    <w:uiPriority w:val="0"/>
    <w:rPr>
      <w:color w:val="0026E5" w:themeColor="hyperlink"/>
      <w:u w:val="single"/>
      <w14:textFill>
        <w14:solidFill>
          <w14:schemeClr w14:val="hlink"/>
        </w14:solidFill>
      </w14:textFill>
    </w:rPr>
  </w:style>
  <w:style w:type="paragraph" w:customStyle="1" w:styleId="21">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22">
    <w:name w:val="List Paragraph"/>
    <w:basedOn w:val="1"/>
    <w:qFormat/>
    <w:uiPriority w:val="34"/>
    <w:pPr>
      <w:spacing w:before="206"/>
      <w:ind w:left="959" w:hanging="361"/>
    </w:pPr>
  </w:style>
  <w:style w:type="paragraph" w:customStyle="1" w:styleId="2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24">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paragraph" w:customStyle="1" w:styleId="25">
    <w:name w:val="Table Paragraph"/>
    <w:basedOn w:val="1"/>
    <w:qFormat/>
    <w:uiPriority w:val="1"/>
    <w:pPr>
      <w:jc w:val="both"/>
    </w:pPr>
    <w:rPr>
      <w:rFonts w:ascii="Calibri" w:hAnsi="Calibri" w:eastAsia="宋体"/>
      <w:sz w:val="21"/>
      <w:lang w:eastAsia="zh-CN"/>
    </w:rPr>
  </w:style>
  <w:style w:type="table" w:customStyle="1" w:styleId="26">
    <w:name w:val="Table Normal"/>
    <w:semiHidden/>
    <w:unhideWhenUsed/>
    <w:qFormat/>
    <w:uiPriority w:val="0"/>
    <w:tblPr>
      <w:tblCellMar>
        <w:top w:w="0" w:type="dxa"/>
        <w:left w:w="0" w:type="dxa"/>
        <w:bottom w:w="0" w:type="dxa"/>
        <w:right w:w="0" w:type="dxa"/>
      </w:tblCellMar>
    </w:tblPr>
  </w:style>
  <w:style w:type="paragraph" w:customStyle="1" w:styleId="27">
    <w:name w:val="Body"/>
    <w:qFormat/>
    <w:uiPriority w:val="0"/>
    <w:pPr>
      <w:spacing w:after="100" w:line="276" w:lineRule="auto"/>
    </w:pPr>
    <w:rPr>
      <w:rFonts w:ascii="PingFang SC Regular" w:hAnsi="PingFang SC Regular" w:eastAsia="宋体" w:cs="PingFang SC Regular"/>
      <w:color w:val="000000"/>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77</Pages>
  <Words>5616</Words>
  <Characters>5983</Characters>
  <Lines>0</Lines>
  <Paragraphs>0</Paragraphs>
  <TotalTime>13</TotalTime>
  <ScaleCrop>false</ScaleCrop>
  <LinksUpToDate>false</LinksUpToDate>
  <CharactersWithSpaces>6330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2025-04-14T01:54:00Z</dcterms:created>
  <dc:creator>GM9</dc:creator>
  <cp:lastModifiedBy>沈学荣</cp:lastModifiedBy>
  <dcterms:modified xsi:type="dcterms:W3CDTF">2025-11-26T02:21:06Z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9982E558A79B4A12A7D7CEAE9095EAB7_11</vt:lpwstr>
  </property>
  <property fmtid="{D5CDD505-2E9C-101B-9397-08002B2CF9AE}" pid="4" name="KSOTemplateDocerSaveRecord">
    <vt:lpwstr>eyJoZGlkIjoiYmFmNWE5ZjRmZThmMWZkNWVhZTNlYWE0YmNkOGI3ZTEiLCJ1c2VySWQiOiIxNTY4NzkzMDYxIn0=</vt:lpwstr>
  </property>
</Properties>
</file>