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val="0"/>
          <w:bCs/>
          <w:sz w:val="36"/>
          <w:szCs w:val="36"/>
          <w:u w:val="single"/>
          <w:lang w:val="en-US" w:eastAsia="zh-CN"/>
        </w:rPr>
        <w:t>铂金坩埚回收加工（以旧换新）</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 xml:space="preserve">FHC-PTCG20230706002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cs="宋体"/>
          <w:sz w:val="24"/>
          <w:szCs w:val="24"/>
          <w:u w:val="single"/>
          <w:lang w:val="en-US" w:eastAsia="zh-CN"/>
        </w:rPr>
        <w:t>铂金坩埚回收加工（以旧换新）</w:t>
      </w:r>
      <w:r>
        <w:rPr>
          <w:rFonts w:hint="eastAsia" w:asciiTheme="majorEastAsia" w:hAnsiTheme="majorEastAsia" w:eastAsiaTheme="majorEastAsia"/>
          <w:u w:val="single"/>
          <w:lang w:eastAsia="zh-CN"/>
        </w:rPr>
        <w:t>采购项目（项目编号：FHC-PTCG20230706002）</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cs="宋体"/>
          <w:sz w:val="24"/>
          <w:szCs w:val="24"/>
          <w:u w:val="single"/>
          <w:lang w:val="en-US" w:eastAsia="zh-CN"/>
        </w:rPr>
        <w:t>铂金坩埚回收加工（以旧换新）</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720" w:leftChars="218" w:hanging="240" w:hangingChars="100"/>
        <w:rPr>
          <w:rFonts w:hint="default" w:asciiTheme="majorEastAsia" w:hAnsiTheme="majorEastAsia" w:eastAsiaTheme="majorEastAsia"/>
          <w:b w:val="0"/>
          <w:lang w:val="en-US"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说明</w:t>
      </w:r>
      <w:r>
        <w:rPr>
          <w:rFonts w:hint="eastAsia" w:asciiTheme="majorEastAsia" w:hAnsiTheme="majorEastAsia" w:eastAsiaTheme="majorEastAsia"/>
          <w:b w:val="0"/>
          <w:lang w:eastAsia="zh-CN"/>
        </w:rPr>
        <w:t>：铂金坩埚回收加工（以旧换新）、</w:t>
      </w:r>
      <w:r>
        <w:rPr>
          <w:rFonts w:hint="eastAsia" w:asciiTheme="majorEastAsia" w:hAnsiTheme="majorEastAsia" w:eastAsiaTheme="majorEastAsia"/>
          <w:b w:val="0"/>
          <w:lang w:val="en-US" w:eastAsia="zh-CN"/>
        </w:rPr>
        <w:t>详见铂金坩埚加工要求</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20000</w:t>
      </w:r>
      <w:r>
        <w:rPr>
          <w:rFonts w:hint="eastAsia"/>
          <w:sz w:val="24"/>
          <w:szCs w:val="24"/>
          <w:lang w:eastAsia="zh-CN"/>
        </w:rPr>
        <w:t>元</w:t>
      </w:r>
      <w:r>
        <w:rPr>
          <w:rFonts w:hint="eastAsia"/>
          <w:b w:val="0"/>
          <w:bCs/>
          <w:lang w:eastAsia="zh-CN"/>
        </w:rPr>
        <w:t>（含税价）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8</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12</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4"/>
          <w:rFonts w:hint="eastAsia" w:asciiTheme="majorEastAsia" w:hAnsiTheme="majorEastAsia" w:eastAsiaTheme="majorEastAsia"/>
          <w:sz w:val="24"/>
          <w:szCs w:val="24"/>
          <w:lang w:val="en-US" w:eastAsia="zh-CN"/>
        </w:rPr>
        <w:t>zyhe</w:t>
      </w:r>
      <w:r>
        <w:rPr>
          <w:rStyle w:val="34"/>
          <w:rFonts w:hint="eastAsia" w:asciiTheme="majorEastAsia" w:hAnsiTheme="majorEastAsia" w:eastAsiaTheme="majorEastAsia"/>
          <w:sz w:val="24"/>
          <w:szCs w:val="24"/>
          <w:lang w:eastAsia="zh-CN"/>
        </w:rPr>
        <w:t>@f</w:t>
      </w:r>
      <w:r>
        <w:rPr>
          <w:rStyle w:val="34"/>
          <w:rFonts w:hint="eastAsia" w:asciiTheme="majorEastAsia" w:hAnsiTheme="majorEastAsia" w:eastAsiaTheme="majorEastAsia"/>
          <w:sz w:val="24"/>
          <w:szCs w:val="24"/>
          <w:lang w:val="en-US" w:eastAsia="zh-CN"/>
        </w:rPr>
        <w:t>j</w:t>
      </w:r>
      <w:r>
        <w:rPr>
          <w:rStyle w:val="34"/>
          <w:rFonts w:hint="eastAsia" w:asciiTheme="majorEastAsia" w:hAnsiTheme="majorEastAsia" w:eastAsiaTheme="majorEastAsia"/>
          <w:sz w:val="24"/>
          <w:szCs w:val="24"/>
          <w:lang w:eastAsia="zh-CN"/>
        </w:rPr>
        <w:t>pec.com.cn</w:t>
      </w:r>
      <w:r>
        <w:rPr>
          <w:rStyle w:val="34"/>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15</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pStyle w:val="10"/>
        <w:spacing w:line="360" w:lineRule="auto"/>
        <w:ind w:left="440" w:right="121"/>
        <w:jc w:val="both"/>
        <w:rPr>
          <w:rFonts w:hint="eastAsia"/>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sz w:val="24"/>
          <w:szCs w:val="24"/>
          <w:lang w:eastAsia="zh-CN"/>
        </w:rPr>
        <w:t>参选保证金</w:t>
      </w:r>
    </w:p>
    <w:p>
      <w:pPr>
        <w:pStyle w:val="10"/>
        <w:spacing w:line="360" w:lineRule="auto"/>
        <w:ind w:left="440" w:right="121"/>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b/>
          <w:bCs/>
          <w:snapToGrid w:val="0"/>
          <w:color w:val="000000" w:themeColor="text1"/>
          <w:spacing w:val="8"/>
          <w:sz w:val="24"/>
          <w:szCs w:val="24"/>
          <w:lang w:eastAsia="zh-CN"/>
          <w14:textFill>
            <w14:solidFill>
              <w14:schemeClr w14:val="tx1"/>
            </w14:solidFill>
          </w14:textFill>
        </w:rPr>
      </w:pPr>
      <w:r>
        <w:rPr>
          <w:rFonts w:hint="eastAsia"/>
          <w:b/>
          <w:bCs/>
          <w:snapToGrid w:val="0"/>
          <w:color w:val="000000" w:themeColor="text1"/>
          <w:spacing w:val="8"/>
          <w:sz w:val="24"/>
          <w:szCs w:val="24"/>
          <w:lang w:eastAsia="zh-CN"/>
          <w14:textFill>
            <w14:solidFill>
              <w14:schemeClr w14:val="tx1"/>
            </w14:solidFill>
          </w14:textFill>
        </w:rPr>
        <w:t>六、合同付款方式</w:t>
      </w:r>
    </w:p>
    <w:p>
      <w:pPr>
        <w:autoSpaceDE/>
        <w:autoSpaceDN/>
        <w:spacing w:line="360" w:lineRule="auto"/>
        <w:ind w:firstLine="470" w:firstLineChars="196"/>
        <w:jc w:val="both"/>
        <w:rPr>
          <w:rFonts w:hint="eastAsia" w:ascii="宋体" w:hAnsi="宋体"/>
          <w:sz w:val="24"/>
          <w:szCs w:val="22"/>
          <w:lang w:eastAsia="zh-CN"/>
        </w:rPr>
      </w:pP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依据本合同约定的质量、数量标准验收合格后，甲方</w:t>
      </w:r>
      <w:r>
        <w:rPr>
          <w:rFonts w:hint="eastAsia" w:ascii="宋体" w:hAnsi="宋体"/>
          <w:sz w:val="24"/>
          <w:szCs w:val="22"/>
          <w:lang w:val="en-US" w:eastAsia="zh-CN"/>
        </w:rPr>
        <w:t>30日</w:t>
      </w:r>
      <w:r>
        <w:rPr>
          <w:rFonts w:hint="eastAsia" w:ascii="宋体" w:hAnsi="宋体"/>
          <w:sz w:val="24"/>
          <w:szCs w:val="22"/>
          <w:lang w:eastAsia="zh-CN"/>
        </w:rPr>
        <w:t>向乙方支付合同价款总额的【</w:t>
      </w:r>
      <w:r>
        <w:rPr>
          <w:rFonts w:hint="eastAsia" w:ascii="宋体" w:hAnsi="宋体"/>
          <w:sz w:val="24"/>
          <w:szCs w:val="22"/>
          <w:lang w:val="en-US" w:eastAsia="zh-CN"/>
        </w:rPr>
        <w:t>90</w:t>
      </w:r>
      <w:r>
        <w:rPr>
          <w:rFonts w:hint="eastAsia" w:ascii="宋体" w:hAnsi="宋体"/>
          <w:sz w:val="24"/>
          <w:szCs w:val="22"/>
          <w:lang w:eastAsia="zh-CN"/>
        </w:rPr>
        <w:t>】%，剩余合同价款总额的【</w:t>
      </w:r>
      <w:r>
        <w:rPr>
          <w:rFonts w:hint="eastAsia" w:ascii="宋体" w:hAnsi="宋体"/>
          <w:sz w:val="24"/>
          <w:szCs w:val="22"/>
          <w:lang w:val="en-US" w:eastAsia="zh-CN"/>
        </w:rPr>
        <w:t>10</w:t>
      </w:r>
      <w:r>
        <w:rPr>
          <w:rFonts w:hint="eastAsia" w:ascii="宋体" w:hAnsi="宋体"/>
          <w:sz w:val="24"/>
          <w:szCs w:val="22"/>
          <w:lang w:eastAsia="zh-CN"/>
        </w:rPr>
        <w:t>】%作为质量保证金，待质量保证期满且乙方无结欠甲方款项或债务的情况下无息退还。</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商务联系人：何震洋  电话：15259232765  邮箱：zyhe@fjpec.com.cn</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8</w:t>
      </w:r>
      <w:r>
        <w:rPr>
          <w:rFonts w:hint="eastAsia"/>
          <w:sz w:val="24"/>
          <w:szCs w:val="24"/>
          <w:lang w:eastAsia="zh-CN"/>
        </w:rPr>
        <w:t>.</w:t>
      </w:r>
      <w:r>
        <w:rPr>
          <w:rFonts w:hint="eastAsia"/>
          <w:sz w:val="24"/>
          <w:szCs w:val="24"/>
          <w:lang w:val="en-US" w:eastAsia="zh-CN"/>
        </w:rPr>
        <w:t>1</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cs="宋体"/>
          <w:sz w:val="24"/>
          <w:szCs w:val="24"/>
          <w:u w:val="single"/>
          <w:lang w:val="en-US" w:eastAsia="zh-CN"/>
        </w:rPr>
        <w:t>铂金坩埚回收加工（以旧换新）</w:t>
      </w:r>
      <w:r>
        <w:rPr>
          <w:rFonts w:hint="eastAsia" w:asciiTheme="majorEastAsia" w:hAnsiTheme="majorEastAsia" w:eastAsiaTheme="majorEastAsia"/>
          <w:bCs/>
          <w:sz w:val="24"/>
          <w:szCs w:val="24"/>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(二）项目要求：详见铂金坩埚加工要求</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76"/>
        <w:spacing w:line="360" w:lineRule="auto"/>
        <w:ind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inorEastAsia" w:hAnsiTheme="minorEastAsia" w:eastAsiaTheme="minorEastAsia"/>
        </w:rPr>
        <w:t>固定单价，据实结算</w:t>
      </w:r>
      <w:r>
        <w:rPr>
          <w:rFonts w:hint="eastAsia" w:asciiTheme="majorEastAsia" w:hAnsiTheme="majorEastAsia" w:eastAsiaTheme="majorEastAsia"/>
          <w:lang w:eastAsia="zh-CN"/>
        </w:rPr>
        <w:t>。</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cs="宋体"/>
          <w:sz w:val="24"/>
          <w:szCs w:val="24"/>
          <w:u w:val="single"/>
          <w:lang w:val="en-US" w:eastAsia="zh-CN"/>
        </w:rPr>
        <w:t>铂金坩埚回收加工（以旧换新）（10个）</w:t>
      </w:r>
    </w:p>
    <w:p>
      <w:pPr>
        <w:spacing w:line="360" w:lineRule="auto"/>
        <w:ind w:left="720" w:leftChars="218" w:hanging="240" w:hanging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lang w:val="en-US" w:eastAsia="zh-CN"/>
        </w:rPr>
        <w:t xml:space="preserve">将10个变形破损的铂坩埚，回收加工处理，扣除旧铂金坩埚实际重量，不足部分按金库实际称重结算（加工费、损耗、税金 、贵金属护送等费用另计） ，旧的铂金坩埚每个约28-30克，为增加其使用寿命，建议加工成超过32克/个，底部加厚处理。因铂属贵重物品，建议由厂商先提供新的铂金坩埚10个，送达我厂后带回需返厂加工的旧铂金坩埚，避免邮寄过程中出现意外损失。 </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3.相关要求标准、规范及规定：须符合</w:t>
      </w:r>
      <w:r>
        <w:rPr>
          <w:rFonts w:hint="eastAsia" w:asciiTheme="majorEastAsia" w:hAnsiTheme="majorEastAsia" w:eastAsiaTheme="majorEastAsia" w:cstheme="minorEastAsia"/>
          <w:kern w:val="59"/>
          <w:sz w:val="24"/>
          <w:szCs w:val="24"/>
          <w:lang w:val="en-US" w:eastAsia="zh-CN"/>
        </w:rPr>
        <w:t>国家验收标准。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10"/>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443" w:leftChars="0" w:right="106" w:hanging="443" w:hangingChars="184"/>
        <w:rPr>
          <w:rFonts w:asciiTheme="majorEastAsia" w:hAnsiTheme="majorEastAsia" w:eastAsiaTheme="majorEastAsia"/>
          <w:b w:val="0"/>
          <w:bCs w:val="0"/>
          <w:spacing w:val="-57"/>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漳州市漳浦县杜浔镇杜昌路9号3楼设备及服务团队</w:t>
      </w:r>
    </w:p>
    <w:p>
      <w:pPr>
        <w:pStyle w:val="4"/>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4"/>
        <w:tabs>
          <w:tab w:val="left" w:pos="6879"/>
        </w:tabs>
        <w:spacing w:line="360" w:lineRule="auto"/>
        <w:ind w:left="435" w:leftChars="127" w:right="106" w:hanging="156" w:hangingChars="67"/>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范克钦</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13950819470</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1"/>
          <w:szCs w:val="21"/>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1"/>
          <w:szCs w:val="21"/>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20000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w:t>
      </w:r>
      <w:r>
        <w:rPr>
          <w:rFonts w:hint="eastAsia" w:asciiTheme="minorEastAsia" w:hAnsiTheme="minorEastAsia" w:eastAsiaTheme="minorEastAsia"/>
        </w:rPr>
        <w:t>固定单价，据实结算</w:t>
      </w:r>
      <w:r>
        <w:rPr>
          <w:rFonts w:hint="eastAsia" w:asciiTheme="majorEastAsia" w:hAnsiTheme="majorEastAsia" w:eastAsiaTheme="majorEastAsia"/>
          <w:bCs/>
          <w:sz w:val="24"/>
          <w:szCs w:val="24"/>
          <w:lang w:eastAsia="zh-CN"/>
        </w:rPr>
        <w:t>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lang w:eastAsia="zh-CN"/>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leftChars="54" w:right="222" w:firstLine="480" w:firstLineChars="200"/>
        <w:rPr>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30492133"/>
      <w:bookmarkStart w:id="2" w:name="_Toc304357904"/>
      <w:bookmarkStart w:id="3" w:name="_Toc430489126"/>
      <w:bookmarkStart w:id="4" w:name="_Toc430422420"/>
      <w:bookmarkStart w:id="5" w:name="_Toc415567504"/>
      <w:bookmarkStart w:id="6" w:name="_Toc430488651"/>
      <w:bookmarkStart w:id="7" w:name="_Toc430490619"/>
      <w:bookmarkStart w:id="8" w:name="_Toc430488858"/>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20000</w:t>
      </w:r>
      <w:r>
        <w:rPr>
          <w:rFonts w:hint="eastAsia"/>
          <w:b/>
          <w:lang w:eastAsia="zh-CN"/>
        </w:rPr>
        <w:t>元（含税价）</w:t>
      </w:r>
      <w:r>
        <w:rPr>
          <w:rFonts w:hint="eastAsia"/>
          <w:lang w:eastAsia="zh-CN"/>
        </w:rPr>
        <w:t>。参选人所填报的</w:t>
      </w:r>
      <w:r>
        <w:rPr>
          <w:rFonts w:hint="eastAsia" w:asciiTheme="minorEastAsia" w:hAnsiTheme="minorEastAsia" w:eastAsiaTheme="minorEastAsia"/>
        </w:rPr>
        <w:t>固定单价，据实结</w:t>
      </w:r>
      <w:r>
        <w:rPr>
          <w:rFonts w:hint="eastAsia" w:asciiTheme="minorEastAsia" w:hAnsiTheme="minorEastAsia" w:eastAsiaTheme="minorEastAsia"/>
          <w:lang w:val="en-US" w:eastAsia="zh-CN"/>
        </w:rPr>
        <w:t>算</w:t>
      </w:r>
      <w:bookmarkStart w:id="9" w:name="_GoBack"/>
      <w:bookmarkEnd w:id="9"/>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w:t>
      </w:r>
      <w:r>
        <w:rPr>
          <w:rStyle w:val="28"/>
          <w:rFonts w:hint="eastAsia"/>
          <w:sz w:val="24"/>
          <w:szCs w:val="24"/>
          <w:lang w:val="en-US" w:eastAsia="zh-CN"/>
        </w:rPr>
        <w:t>翔鹭石化</w:t>
      </w:r>
      <w:r>
        <w:rPr>
          <w:rStyle w:val="28"/>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b/>
          <w:bCs/>
          <w:spacing w:val="-2"/>
          <w:u w:val="single"/>
          <w:lang w:val="en-US" w:eastAsia="zh-CN"/>
        </w:rPr>
        <w:t>铂金坩埚回收加工（以旧换新）</w:t>
      </w:r>
      <w:r>
        <w:rPr>
          <w:rFonts w:hint="eastAsia" w:asciiTheme="majorEastAsia" w:hAnsiTheme="majorEastAsia" w:eastAsiaTheme="majorEastAsia"/>
          <w:b/>
          <w:bCs/>
          <w:kern w:val="59"/>
          <w:u w:val="single"/>
          <w:lang w:eastAsia="zh-CN"/>
        </w:rPr>
        <w:t>采购</w:t>
      </w:r>
      <w:r>
        <w:rPr>
          <w:b/>
          <w:bCs/>
          <w:spacing w:val="-2"/>
          <w:lang w:eastAsia="zh-CN"/>
        </w:rPr>
        <w:t>合同</w:t>
      </w:r>
      <w:r>
        <w:rPr>
          <w:b/>
          <w:bCs/>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lang w:eastAsia="zh-CN"/>
        </w:rPr>
      </w:pPr>
      <w:r>
        <w:rPr>
          <w:rFonts w:hint="eastAsia"/>
          <w:b/>
          <w:sz w:val="28"/>
          <w:szCs w:val="28"/>
          <w:lang w:val="en-US" w:eastAsia="zh-CN"/>
        </w:rPr>
        <w:t>铂金坩埚回收加工（以旧换新）</w:t>
      </w:r>
      <w:r>
        <w:rPr>
          <w:rFonts w:hint="eastAsia"/>
          <w:b/>
          <w:sz w:val="28"/>
          <w:szCs w:val="28"/>
          <w:lang w:eastAsia="zh-CN"/>
        </w:rPr>
        <w:t>采购合同</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
        <w:gridCol w:w="3460"/>
        <w:gridCol w:w="1235"/>
        <w:gridCol w:w="29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lang w:eastAsia="zh-CN"/>
              </w:rPr>
            </w:pPr>
            <w:r>
              <w:rPr>
                <w:rFonts w:hint="eastAsia"/>
                <w:sz w:val="24"/>
                <w:lang w:eastAsia="zh-CN"/>
              </w:rPr>
              <w:t xml:space="preserve">                                                                                      </w:t>
            </w:r>
          </w:p>
        </w:tc>
        <w:tc>
          <w:tcPr>
            <w:tcW w:w="3920" w:type="dxa"/>
          </w:tcPr>
          <w:p>
            <w:pPr>
              <w:spacing w:line="120" w:lineRule="auto"/>
              <w:jc w:val="both"/>
              <w:rPr>
                <w:sz w:val="24"/>
                <w:lang w:eastAsia="zh-CN"/>
              </w:rPr>
            </w:pPr>
          </w:p>
        </w:tc>
        <w:tc>
          <w:tcPr>
            <w:tcW w:w="1325" w:type="dxa"/>
          </w:tcPr>
          <w:p>
            <w:pPr>
              <w:spacing w:line="120" w:lineRule="auto"/>
              <w:jc w:val="both"/>
              <w:rPr>
                <w:sz w:val="24"/>
              </w:rPr>
            </w:pPr>
            <w:r>
              <w:rPr>
                <w:rFonts w:hint="eastAsia"/>
                <w:sz w:val="24"/>
              </w:rPr>
              <w:t>合同编号：</w:t>
            </w:r>
          </w:p>
        </w:tc>
        <w:tc>
          <w:tcPr>
            <w:tcW w:w="3286"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lang w:eastAsia="zh-CN"/>
              </w:rPr>
            </w:pPr>
            <w:r>
              <w:rPr>
                <w:rFonts w:hint="eastAsia" w:cs="Times New Roman"/>
                <w:sz w:val="24"/>
                <w:lang w:val="en-US" w:eastAsia="zh-CN"/>
              </w:rPr>
              <w:t>翔鹭石化</w:t>
            </w:r>
            <w:r>
              <w:rPr>
                <w:rFonts w:hint="eastAsia" w:ascii="Times New Roman" w:hAnsi="Times New Roman" w:cs="Times New Roman"/>
                <w:sz w:val="24"/>
                <w:lang w:eastAsia="zh-CN"/>
              </w:rPr>
              <w:t xml:space="preserve">（漳州）有限公司    </w:t>
            </w:r>
            <w:r>
              <w:rPr>
                <w:rFonts w:hint="eastAsia"/>
                <w:sz w:val="24"/>
                <w:lang w:eastAsia="zh-CN"/>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sz w:val="24"/>
                <w:lang w:eastAsia="zh-CN"/>
              </w:rPr>
            </w:pPr>
            <w:r>
              <w:rPr>
                <w:rFonts w:hint="eastAsia"/>
                <w:sz w:val="24"/>
                <w:lang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sz w:val="24"/>
                <w:lang w:eastAsia="zh-CN"/>
              </w:rPr>
            </w:pPr>
            <w:r>
              <w:rPr>
                <w:rFonts w:hint="eastAsia"/>
                <w:sz w:val="24"/>
                <w:lang w:eastAsia="zh-CN"/>
              </w:rPr>
              <w:t>2023年_____ 月____日</w:t>
            </w: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sz w:val="24"/>
        </w:rPr>
      </w:pPr>
      <w:r>
        <w:rPr>
          <w:rFonts w:hint="eastAsia"/>
          <w:sz w:val="24"/>
        </w:rPr>
        <w:t>合同标的和合同价格</w:t>
      </w:r>
    </w:p>
    <w:tbl>
      <w:tblPr>
        <w:tblStyle w:val="25"/>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2741"/>
        <w:gridCol w:w="1050"/>
        <w:gridCol w:w="825"/>
        <w:gridCol w:w="1313"/>
        <w:gridCol w:w="1000"/>
        <w:gridCol w:w="1141"/>
      </w:tblGrid>
      <w:tr>
        <w:tblPrEx>
          <w:tblCellMar>
            <w:top w:w="15" w:type="dxa"/>
            <w:left w:w="15" w:type="dxa"/>
            <w:bottom w:w="15" w:type="dxa"/>
            <w:right w:w="15" w:type="dxa"/>
          </w:tblCellMar>
        </w:tblPrEx>
        <w:trPr>
          <w:trHeight w:val="645"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bidi="ar"/>
              </w:rPr>
              <w:t>存货名称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数量</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eastAsia="宋体"/>
                <w:color w:val="000000"/>
                <w:sz w:val="18"/>
                <w:szCs w:val="18"/>
                <w:lang w:val="en-US" w:eastAsia="zh-CN"/>
              </w:rPr>
            </w:pPr>
            <w:r>
              <w:rPr>
                <w:rFonts w:hint="eastAsia"/>
                <w:color w:val="000000"/>
                <w:sz w:val="18"/>
                <w:szCs w:val="18"/>
                <w:lang w:bidi="ar"/>
              </w:rPr>
              <w:t>含税单价</w:t>
            </w:r>
            <w:r>
              <w:rPr>
                <w:rFonts w:hint="eastAsia"/>
                <w:color w:val="000000"/>
                <w:sz w:val="18"/>
                <w:szCs w:val="18"/>
                <w:lang w:val="en-US" w:eastAsia="zh-CN" w:bidi="ar"/>
              </w:rPr>
              <w:t>/元</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bidi="ar"/>
              </w:rPr>
            </w:pPr>
            <w:r>
              <w:rPr>
                <w:rFonts w:hint="eastAsia"/>
                <w:color w:val="000000"/>
                <w:sz w:val="18"/>
                <w:szCs w:val="18"/>
                <w:lang w:bidi="ar"/>
              </w:rPr>
              <w:t>含税</w:t>
            </w:r>
            <w:r>
              <w:rPr>
                <w:rFonts w:hint="eastAsia"/>
                <w:color w:val="000000"/>
                <w:sz w:val="18"/>
                <w:szCs w:val="18"/>
                <w:lang w:eastAsia="zh-CN" w:bidi="ar"/>
              </w:rPr>
              <w:t>小计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bidi="ar"/>
              </w:rPr>
            </w:pPr>
            <w:r>
              <w:rPr>
                <w:rFonts w:hint="eastAsia"/>
                <w:color w:val="000000"/>
                <w:sz w:val="18"/>
                <w:szCs w:val="18"/>
                <w:lang w:eastAsia="zh-CN" w:bidi="ar"/>
              </w:rPr>
              <w:t>备注</w:t>
            </w:r>
          </w:p>
        </w:tc>
      </w:tr>
      <w:tr>
        <w:tblPrEx>
          <w:tblCellMar>
            <w:top w:w="15" w:type="dxa"/>
            <w:left w:w="15" w:type="dxa"/>
            <w:bottom w:w="15" w:type="dxa"/>
            <w:right w:w="15" w:type="dxa"/>
          </w:tblCellMar>
        </w:tblPrEx>
        <w:trPr>
          <w:trHeight w:val="1011"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color w:val="000000"/>
                <w:sz w:val="18"/>
                <w:szCs w:val="18"/>
                <w:lang w:val="en-US" w:eastAsia="zh-CN" w:bidi="ar"/>
              </w:rPr>
              <w:t>铂金坩埚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个</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10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color w:val="000000"/>
                <w:sz w:val="18"/>
                <w:szCs w:val="18"/>
                <w:lang w:eastAsia="zh-CN" w:bidi="ar"/>
              </w:rPr>
              <w:br w:type="textWrapping"/>
            </w:r>
            <w:r>
              <w:rPr>
                <w:sz w:val="24"/>
                <w:szCs w:val="24"/>
              </w:rPr>
              <w:br w:type="textWrapping"/>
            </w:r>
          </w:p>
        </w:tc>
      </w:tr>
      <w:tr>
        <w:tblPrEx>
          <w:tblCellMar>
            <w:top w:w="15" w:type="dxa"/>
            <w:left w:w="15" w:type="dxa"/>
            <w:bottom w:w="15" w:type="dxa"/>
            <w:right w:w="15" w:type="dxa"/>
          </w:tblCellMar>
        </w:tblPrEx>
        <w:trPr>
          <w:trHeight w:val="649"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val="en-US" w:eastAsia="zh-CN" w:bidi="ar"/>
              </w:rPr>
            </w:pPr>
            <w:r>
              <w:rPr>
                <w:rFonts w:hint="eastAsia"/>
                <w:color w:val="000000"/>
                <w:sz w:val="18"/>
                <w:szCs w:val="18"/>
                <w:lang w:val="en-US" w:eastAsia="zh-CN" w:bidi="ar"/>
              </w:rPr>
              <w:t>加工费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克</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val="en-US" w:eastAsia="zh-CN" w:bidi="ar"/>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bidi="ar"/>
              </w:rPr>
            </w:pPr>
          </w:p>
        </w:tc>
      </w:tr>
      <w:tr>
        <w:tblPrEx>
          <w:tblCellMar>
            <w:top w:w="15" w:type="dxa"/>
            <w:left w:w="15" w:type="dxa"/>
            <w:bottom w:w="15" w:type="dxa"/>
            <w:right w:w="15" w:type="dxa"/>
          </w:tblCellMar>
        </w:tblPrEx>
        <w:trPr>
          <w:trHeight w:val="823"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val="en-US" w:eastAsia="zh-CN" w:bidi="ar"/>
              </w:rPr>
            </w:pPr>
            <w:r>
              <w:rPr>
                <w:rFonts w:hint="eastAsia"/>
                <w:color w:val="000000"/>
                <w:sz w:val="18"/>
                <w:szCs w:val="18"/>
                <w:lang w:val="en-US" w:eastAsia="zh-CN" w:bidi="ar"/>
              </w:rPr>
              <w:t>护送费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趟</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eastAsia"/>
                <w:color w:val="000000"/>
                <w:sz w:val="18"/>
                <w:szCs w:val="18"/>
                <w:lang w:eastAsia="zh-CN" w:bidi="ar"/>
              </w:rPr>
            </w:pPr>
          </w:p>
        </w:tc>
      </w:tr>
      <w:tr>
        <w:tblPrEx>
          <w:tblCellMar>
            <w:top w:w="15" w:type="dxa"/>
            <w:left w:w="15" w:type="dxa"/>
            <w:bottom w:w="15" w:type="dxa"/>
            <w:right w:w="15" w:type="dxa"/>
          </w:tblCellMar>
        </w:tblPrEx>
        <w:trPr>
          <w:trHeight w:val="699" w:hRule="atLeast"/>
        </w:trPr>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b/>
                <w:color w:val="000000"/>
                <w:szCs w:val="21"/>
                <w:lang w:eastAsia="zh-CN"/>
              </w:rPr>
              <w:t>含税总计 大写（小写）</w:t>
            </w:r>
          </w:p>
        </w:tc>
        <w:tc>
          <w:tcPr>
            <w:tcW w:w="53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b/>
                <w:color w:val="000000"/>
                <w:szCs w:val="21"/>
                <w:lang w:eastAsia="zh-CN"/>
              </w:rPr>
            </w:pPr>
            <w:r>
              <w:rPr>
                <w:rFonts w:hint="eastAsia"/>
                <w:b/>
                <w:color w:val="000000"/>
                <w:szCs w:val="21"/>
                <w:lang w:eastAsia="zh-CN"/>
              </w:rPr>
              <w:t>元整（0.00元）</w:t>
            </w:r>
          </w:p>
        </w:tc>
      </w:tr>
    </w:tbl>
    <w:p>
      <w:pPr>
        <w:spacing w:line="120" w:lineRule="auto"/>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铂金坩埚由乙方工作人员护送到古雷（PTA厂区）</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福建省漳州市漳浦县古雷开发区腾龙路</w:t>
      </w:r>
      <w:r>
        <w:rPr>
          <w:rFonts w:hint="eastAsia"/>
          <w:sz w:val="24"/>
          <w:u w:val="single"/>
          <w:lang w:val="en-US" w:eastAsia="zh-CN"/>
        </w:rPr>
        <w:t>86号</w:t>
      </w:r>
      <w:r>
        <w:rPr>
          <w:rFonts w:hint="eastAsia"/>
          <w:sz w:val="24"/>
          <w:u w:val="single"/>
          <w:lang w:eastAsia="zh-CN"/>
        </w:rPr>
        <w:t>（福建福海创石油化工有限公司</w:t>
      </w:r>
      <w:r>
        <w:rPr>
          <w:rFonts w:hint="default"/>
          <w:sz w:val="24"/>
          <w:u w:val="single"/>
          <w:lang w:eastAsia="zh-CN"/>
        </w:rPr>
        <w:t>PTA工厂）</w:t>
      </w:r>
      <w:r>
        <w:rPr>
          <w:rFonts w:hint="eastAsia"/>
          <w:sz w:val="24"/>
          <w:u w:val="single"/>
          <w:lang w:val="en-US" w:eastAsia="zh-CN"/>
        </w:rPr>
        <w:t>；收货单位：福建福海创石油化工有限公司（翔鹭石化）：李华美15980980473</w:t>
      </w:r>
    </w:p>
    <w:p>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ascii="Times New Roman" w:hAnsi="Times New Roman" w:cs="Times New Roman"/>
          <w:sz w:val="24"/>
          <w:u w:val="single"/>
          <w:lang w:eastAsia="zh-CN"/>
        </w:rPr>
        <w:t>乙方应在合同签订生效后 3</w:t>
      </w:r>
      <w:r>
        <w:rPr>
          <w:rFonts w:hint="eastAsia" w:cs="Times New Roman"/>
          <w:sz w:val="24"/>
          <w:u w:val="single"/>
          <w:lang w:eastAsia="zh-CN"/>
        </w:rPr>
        <w:t>0</w:t>
      </w:r>
      <w:r>
        <w:rPr>
          <w:rFonts w:hint="eastAsia" w:ascii="Times New Roman" w:hAnsi="Times New Roman" w:cs="Times New Roman"/>
          <w:sz w:val="24"/>
          <w:u w:val="single"/>
          <w:lang w:eastAsia="zh-CN"/>
        </w:rPr>
        <w:t>日内将合同全部货物交付至甲方。厂外对接送货及发票接收联系人：</w:t>
      </w:r>
      <w:r>
        <w:rPr>
          <w:rFonts w:hint="eastAsia" w:cs="Times New Roman"/>
          <w:sz w:val="24"/>
          <w:u w:val="single"/>
          <w:lang w:eastAsia="zh-CN"/>
        </w:rPr>
        <w:t>何震洋 15259232765</w:t>
      </w:r>
      <w:r>
        <w:rPr>
          <w:rFonts w:hint="eastAsia" w:ascii="Times New Roman" w:hAnsi="Times New Roman" w:cs="Times New Roman"/>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依据本合同约定的质量、数量标准验收合格后，甲方</w:t>
      </w:r>
      <w:r>
        <w:rPr>
          <w:rFonts w:hint="eastAsia" w:ascii="宋体" w:hAnsi="宋体"/>
          <w:sz w:val="24"/>
          <w:szCs w:val="22"/>
          <w:lang w:val="en-US" w:eastAsia="zh-CN"/>
        </w:rPr>
        <w:t>30日</w:t>
      </w:r>
      <w:r>
        <w:rPr>
          <w:rFonts w:hint="eastAsia" w:ascii="宋体" w:hAnsi="宋体"/>
          <w:sz w:val="24"/>
          <w:szCs w:val="22"/>
          <w:lang w:eastAsia="zh-CN"/>
        </w:rPr>
        <w:t>向乙方支付合同价款总额的【</w:t>
      </w:r>
      <w:r>
        <w:rPr>
          <w:rFonts w:hint="eastAsia" w:ascii="宋体" w:hAnsi="宋体"/>
          <w:sz w:val="24"/>
          <w:szCs w:val="22"/>
          <w:lang w:val="en-US" w:eastAsia="zh-CN"/>
        </w:rPr>
        <w:t>90</w:t>
      </w:r>
      <w:r>
        <w:rPr>
          <w:rFonts w:hint="eastAsia" w:ascii="宋体" w:hAnsi="宋体"/>
          <w:sz w:val="24"/>
          <w:szCs w:val="22"/>
          <w:lang w:eastAsia="zh-CN"/>
        </w:rPr>
        <w:t>】%，剩余合同价款总额的【</w:t>
      </w:r>
      <w:r>
        <w:rPr>
          <w:rFonts w:hint="eastAsia" w:ascii="宋体" w:hAnsi="宋体"/>
          <w:sz w:val="24"/>
          <w:szCs w:val="22"/>
          <w:lang w:val="en-US" w:eastAsia="zh-CN"/>
        </w:rPr>
        <w:t>10</w:t>
      </w:r>
      <w:r>
        <w:rPr>
          <w:rFonts w:hint="eastAsia" w:ascii="宋体" w:hAnsi="宋体"/>
          <w:sz w:val="24"/>
          <w:szCs w:val="22"/>
          <w:lang w:eastAsia="zh-CN"/>
        </w:rPr>
        <w:t>】%作为质量保证金，待质量保证期满且乙方无结欠甲方款项或债务的情况下无息退还。</w:t>
      </w:r>
    </w:p>
    <w:p>
      <w:pPr>
        <w:spacing w:line="360" w:lineRule="auto"/>
        <w:ind w:firstLine="480" w:firstLineChars="200"/>
        <w:rPr>
          <w:szCs w:val="21"/>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10</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rFonts w:hint="eastAsia" w:ascii="Times New Roman" w:hAnsi="Times New Roman" w:cs="Times New Roman"/>
          <w:sz w:val="24"/>
          <w:lang w:eastAsia="zh-CN"/>
        </w:rPr>
        <w:t>增值税专用发票发</w:t>
      </w:r>
      <w:r>
        <w:rPr>
          <w:rFonts w:hint="eastAsia"/>
          <w:sz w:val="24"/>
          <w:lang w:eastAsia="zh-CN"/>
        </w:rPr>
        <w:t>票（税率</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r>
        <w:rPr>
          <w:rFonts w:hint="eastAsia"/>
          <w:sz w:val="24"/>
          <w:lang w:eastAsia="zh-CN"/>
        </w:rPr>
        <w:t>%）。</w:t>
      </w:r>
    </w:p>
    <w:p>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pPr>
        <w:spacing w:line="360" w:lineRule="auto"/>
        <w:rPr>
          <w:sz w:val="24"/>
          <w:lang w:eastAsia="zh-CN"/>
        </w:rPr>
      </w:pPr>
      <w:r>
        <w:rPr>
          <w:rFonts w:hint="eastAsia"/>
          <w:sz w:val="24"/>
          <w:lang w:eastAsia="zh-CN"/>
        </w:rPr>
        <w:t>4、质量要求和技术标准</w:t>
      </w:r>
    </w:p>
    <w:p>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12个月。  </w:t>
      </w:r>
    </w:p>
    <w:p>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rFonts w:hint="eastAsia"/>
          <w:sz w:val="24"/>
          <w:u w:val="single"/>
          <w:lang w:eastAsia="zh-CN"/>
        </w:rPr>
        <w:t xml:space="preserve"> 0.1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sz w:val="24"/>
          <w:lang w:eastAsia="zh-CN"/>
        </w:rPr>
      </w:pPr>
      <w:r>
        <w:rPr>
          <w:rFonts w:hint="eastAsia"/>
          <w:sz w:val="24"/>
          <w:lang w:eastAsia="zh-CN"/>
        </w:rPr>
        <w:t>本合同一式四份，经双方签订后生效，甲方执三份、乙方执一份，具有同等效力。</w:t>
      </w:r>
    </w:p>
    <w:p>
      <w:pPr>
        <w:pStyle w:val="24"/>
        <w:autoSpaceDE/>
        <w:autoSpaceDN/>
        <w:ind w:left="0" w:leftChars="0" w:firstLine="0" w:firstLineChars="0"/>
        <w:jc w:val="both"/>
        <w:rPr>
          <w:lang w:eastAsia="zh-CN"/>
        </w:rPr>
      </w:pPr>
    </w:p>
    <w:p>
      <w:pPr>
        <w:rPr>
          <w:lang w:eastAsia="zh-CN"/>
        </w:rPr>
      </w:pPr>
    </w:p>
    <w:p>
      <w:pPr>
        <w:rPr>
          <w:lang w:eastAsia="zh-CN"/>
        </w:rPr>
      </w:pPr>
    </w:p>
    <w:p>
      <w:pPr>
        <w:pStyle w:val="24"/>
        <w:ind w:left="440" w:firstLine="440"/>
        <w:rPr>
          <w:lang w:eastAsia="zh-CN"/>
        </w:rPr>
      </w:pPr>
    </w:p>
    <w:tbl>
      <w:tblPr>
        <w:tblStyle w:val="2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rPr>
              <w:t>甲方：</w:t>
            </w:r>
            <w:r>
              <w:rPr>
                <w:rFonts w:hint="eastAsia"/>
                <w:sz w:val="24"/>
                <w:lang w:val="en-US" w:eastAsia="zh-CN"/>
              </w:rPr>
              <w:t>翔鹭石化</w:t>
            </w:r>
            <w:r>
              <w:rPr>
                <w:rFonts w:hint="eastAsia"/>
                <w:sz w:val="24"/>
                <w:lang w:eastAsia="zh-CN"/>
              </w:rPr>
              <w:t>（漳州）有限公司</w:t>
            </w:r>
          </w:p>
        </w:tc>
        <w:tc>
          <w:tcPr>
            <w:tcW w:w="4821" w:type="dxa"/>
            <w:vAlign w:val="center"/>
          </w:tcPr>
          <w:p>
            <w:pPr>
              <w:spacing w:line="360" w:lineRule="auto"/>
              <w:jc w:val="both"/>
              <w:rPr>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rPr>
              <w:t xml:space="preserve">联系地址：福建省漳州市漳州古雷经济开发区腾龙路86号 </w:t>
            </w:r>
          </w:p>
        </w:tc>
        <w:tc>
          <w:tcPr>
            <w:tcW w:w="4821" w:type="dxa"/>
            <w:vAlign w:val="center"/>
          </w:tcPr>
          <w:p>
            <w:pPr>
              <w:spacing w:line="360" w:lineRule="auto"/>
              <w:jc w:val="both"/>
              <w:rPr>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电话：0596-6311165</w:t>
            </w:r>
          </w:p>
        </w:tc>
        <w:tc>
          <w:tcPr>
            <w:tcW w:w="4821" w:type="dxa"/>
            <w:vAlign w:val="center"/>
          </w:tcPr>
          <w:p>
            <w:pPr>
              <w:spacing w:line="360" w:lineRule="auto"/>
              <w:jc w:val="both"/>
              <w:rPr>
                <w:sz w:val="24"/>
                <w:lang w:eastAsia="zh-CN"/>
              </w:rPr>
            </w:pPr>
            <w:r>
              <w:rPr>
                <w:rFonts w:hint="eastAsia"/>
                <w:sz w:val="24"/>
                <w:lang w:eastAsia="zh-CN"/>
              </w:rPr>
              <w:t>电话：</w:t>
            </w:r>
            <w:r>
              <w:rPr>
                <w:rFonts w:hint="eastAsia"/>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lang w:eastAsia="zh-CN"/>
              </w:rPr>
            </w:pPr>
            <w:r>
              <w:rPr>
                <w:rFonts w:hint="eastAsia"/>
                <w:sz w:val="24"/>
                <w:lang w:eastAsia="zh-CN"/>
              </w:rPr>
              <w:t xml:space="preserve">开户银行：中国银行漳州分行 </w:t>
            </w:r>
          </w:p>
        </w:tc>
        <w:tc>
          <w:tcPr>
            <w:tcW w:w="4821" w:type="dxa"/>
            <w:vAlign w:val="center"/>
          </w:tcPr>
          <w:p>
            <w:pPr>
              <w:spacing w:line="360" w:lineRule="auto"/>
              <w:jc w:val="both"/>
              <w:rPr>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账号：416958369985</w:t>
            </w:r>
          </w:p>
        </w:tc>
        <w:tc>
          <w:tcPr>
            <w:tcW w:w="4821" w:type="dxa"/>
            <w:vAlign w:val="center"/>
          </w:tcPr>
          <w:p>
            <w:pPr>
              <w:spacing w:line="360" w:lineRule="auto"/>
              <w:jc w:val="both"/>
              <w:rPr>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lang w:eastAsia="zh-CN"/>
              </w:rPr>
            </w:pPr>
            <w:r>
              <w:rPr>
                <w:rFonts w:hint="default" w:ascii="Times New Roman" w:hAnsi="Times New Roman" w:eastAsia="宋体" w:cs="Times New Roman"/>
                <w:sz w:val="24"/>
                <w:szCs w:val="24"/>
                <w:lang w:eastAsia="zh-CN"/>
              </w:rPr>
              <w:t>税号：913506006765392255</w:t>
            </w:r>
          </w:p>
        </w:tc>
        <w:tc>
          <w:tcPr>
            <w:tcW w:w="4821" w:type="dxa"/>
            <w:vAlign w:val="center"/>
          </w:tcPr>
          <w:p>
            <w:pPr>
              <w:spacing w:line="360" w:lineRule="auto"/>
              <w:jc w:val="both"/>
              <w:rPr>
                <w:sz w:val="24"/>
                <w:lang w:eastAsia="zh-CN"/>
              </w:rPr>
            </w:pPr>
            <w:r>
              <w:rPr>
                <w:rFonts w:hint="eastAsia"/>
                <w:sz w:val="24"/>
                <w:lang w:eastAsia="zh-CN"/>
              </w:rPr>
              <w:t>税号：</w:t>
            </w:r>
            <w:r>
              <w:rPr>
                <w:rFonts w:hint="eastAsia"/>
                <w:b/>
                <w:bCs/>
                <w:color w:val="000000"/>
                <w:szCs w:val="21"/>
              </w:rPr>
              <w:t xml:space="preserve"> </w:t>
            </w:r>
          </w:p>
        </w:tc>
      </w:tr>
    </w:tbl>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r>
        <w:rPr>
          <w:rFonts w:hAnsi="宋体" w:cs="宋体" w:eastAsiaTheme="minorEastAsia"/>
          <w:kern w:val="2"/>
          <w:sz w:val="24"/>
          <w:szCs w:val="24"/>
        </w:rPr>
        <w:br w:type="textWrapping"/>
      </w:r>
    </w:p>
    <w:p>
      <w:pPr>
        <w:pStyle w:val="13"/>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asciiTheme="minorEastAsia" w:hAnsiTheme="minorEastAsia" w:eastAsiaTheme="minorEastAsia"/>
          <w:szCs w:val="21"/>
          <w:u w:val="single"/>
          <w:lang w:eastAsia="zh-CN"/>
        </w:rPr>
        <w:t>福建福海创石油化工有限公司</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应急发电机保养</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应急发电机保养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8"/>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8"/>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8"/>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8"/>
        <w:numPr>
          <w:ilvl w:val="0"/>
          <w:numId w:val="5"/>
        </w:numPr>
        <w:spacing w:line="550" w:lineRule="exact"/>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(章)：福建福海创石油化工有限公司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 w:val="24"/>
        </w:rPr>
        <w:sectPr>
          <w:pgSz w:w="11906" w:h="16838"/>
          <w:pgMar w:top="1440" w:right="1800" w:bottom="1440" w:left="1800" w:header="851" w:footer="992" w:gutter="0"/>
          <w:cols w:space="425" w:num="1"/>
          <w:docGrid w:type="lines" w:linePitch="312" w:charSpace="0"/>
        </w:sectPr>
      </w:pPr>
      <w:r>
        <w:rPr>
          <w:rFonts w:hint="eastAsia"/>
          <w:szCs w:val="21"/>
          <w:lang w:eastAsia="zh-CN"/>
        </w:rPr>
        <w:t xml:space="preserve">签定日期：    年    月    日                   年    月  </w:t>
      </w: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铂金坩埚回收加工（以旧换新）采购项目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7</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铂金坩埚回收加工（以旧换新）</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铂金坩埚回收加工（以旧换新）</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b/>
          <w:bCs/>
          <w:sz w:val="24"/>
          <w:szCs w:val="24"/>
          <w:u w:val="single"/>
          <w:lang w:val="en-US" w:eastAsia="zh-CN"/>
        </w:rPr>
        <w:t>铂金坩埚回收加工（以旧换新）</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/个，数量10个，共计人民币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5"/>
        <w:tblpPr w:leftFromText="180" w:rightFromText="180" w:vertAnchor="text" w:horzAnchor="margin" w:tblpXSpec="center" w:tblpY="377"/>
        <w:tblW w:w="10018" w:type="dxa"/>
        <w:tblInd w:w="0" w:type="dxa"/>
        <w:tblLayout w:type="fixed"/>
        <w:tblCellMar>
          <w:top w:w="0" w:type="dxa"/>
          <w:left w:w="108" w:type="dxa"/>
          <w:bottom w:w="0" w:type="dxa"/>
          <w:right w:w="108" w:type="dxa"/>
        </w:tblCellMar>
      </w:tblPr>
      <w:tblGrid>
        <w:gridCol w:w="590"/>
        <w:gridCol w:w="2625"/>
        <w:gridCol w:w="850"/>
        <w:gridCol w:w="850"/>
        <w:gridCol w:w="1713"/>
        <w:gridCol w:w="1230"/>
        <w:gridCol w:w="2160"/>
      </w:tblGrid>
      <w:tr>
        <w:tblPrEx>
          <w:tblCellMar>
            <w:top w:w="0" w:type="dxa"/>
            <w:left w:w="108" w:type="dxa"/>
            <w:bottom w:w="0" w:type="dxa"/>
            <w:right w:w="108" w:type="dxa"/>
          </w:tblCellMar>
        </w:tblPrEx>
        <w:trPr>
          <w:trHeight w:val="675"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单位</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21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CellMar>
            <w:top w:w="0" w:type="dxa"/>
            <w:left w:w="108" w:type="dxa"/>
            <w:bottom w:w="0" w:type="dxa"/>
            <w:right w:w="108" w:type="dxa"/>
          </w:tblCellMar>
        </w:tblPrEx>
        <w:trPr>
          <w:trHeight w:val="690"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hAnsi="宋体" w:cs="宋体"/>
                <w:b w:val="0"/>
                <w:bCs w:val="0"/>
                <w:i w:val="0"/>
                <w:color w:val="000000"/>
                <w:kern w:val="0"/>
                <w:sz w:val="24"/>
                <w:szCs w:val="24"/>
                <w:u w:val="none"/>
                <w:lang w:val="en-US" w:eastAsia="zh-CN" w:bidi="ar"/>
              </w:rPr>
              <w:t>铂金坩埚</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10</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个</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2</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val="en-US" w:eastAsia="zh-CN"/>
              </w:rPr>
            </w:pPr>
            <w:r>
              <w:rPr>
                <w:rFonts w:hint="eastAsia"/>
                <w:color w:val="000000"/>
                <w:sz w:val="18"/>
                <w:szCs w:val="18"/>
                <w:lang w:val="en-US" w:eastAsia="zh-CN" w:bidi="ar"/>
              </w:rPr>
              <w:t>加工费</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cs="宋体"/>
                <w:sz w:val="24"/>
                <w:szCs w:val="24"/>
                <w:lang w:val="en-US" w:eastAsia="zh-CN"/>
              </w:rPr>
            </w:pP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克</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3</w:t>
            </w:r>
          </w:p>
        </w:tc>
        <w:tc>
          <w:tcPr>
            <w:tcW w:w="26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护送费</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1</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cs="宋体"/>
                <w:sz w:val="24"/>
                <w:szCs w:val="24"/>
                <w:lang w:val="en-US" w:eastAsia="zh-CN"/>
              </w:rPr>
            </w:pPr>
            <w:r>
              <w:rPr>
                <w:rFonts w:hint="eastAsia" w:cs="宋体"/>
                <w:sz w:val="24"/>
                <w:szCs w:val="24"/>
                <w:lang w:val="en-US" w:eastAsia="zh-CN"/>
              </w:rPr>
              <w:t>趟</w:t>
            </w:r>
          </w:p>
        </w:tc>
        <w:tc>
          <w:tcPr>
            <w:tcW w:w="171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3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top"/>
              <w:rPr>
                <w:rFonts w:ascii="宋体" w:hAnsi="宋体" w:eastAsia="宋体" w:cs="宋体"/>
                <w:color w:val="000000"/>
                <w:sz w:val="18"/>
                <w:szCs w:val="18"/>
                <w:lang w:val="en-US" w:eastAsia="zh-CN" w:bidi="ar"/>
              </w:rPr>
            </w:pPr>
            <w:r>
              <w:rPr>
                <w:rFonts w:hint="eastAsia"/>
                <w:b/>
                <w:color w:val="000000"/>
                <w:szCs w:val="21"/>
                <w:lang w:eastAsia="zh-CN"/>
              </w:rPr>
              <w:t>含税总计 大写（小写）</w:t>
            </w:r>
          </w:p>
        </w:tc>
        <w:tc>
          <w:tcPr>
            <w:tcW w:w="680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top"/>
              <w:rPr>
                <w:rFonts w:ascii="宋体" w:hAnsi="宋体" w:eastAsia="宋体" w:cs="宋体"/>
                <w:b/>
                <w:color w:val="000000"/>
                <w:sz w:val="22"/>
                <w:szCs w:val="21"/>
                <w:lang w:val="en-US" w:eastAsia="zh-CN" w:bidi="ar-SA"/>
              </w:rPr>
            </w:pPr>
            <w:r>
              <w:rPr>
                <w:rFonts w:hint="eastAsia"/>
                <w:b/>
                <w:color w:val="000000"/>
                <w:szCs w:val="21"/>
                <w:lang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4">
    <w:nsid w:val="605D2D12"/>
    <w:multiLevelType w:val="singleLevel"/>
    <w:tmpl w:val="605D2D12"/>
    <w:lvl w:ilvl="0" w:tentative="0">
      <w:start w:val="12"/>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B121B5"/>
    <w:rsid w:val="06F50B00"/>
    <w:rsid w:val="076E1278"/>
    <w:rsid w:val="07D95A22"/>
    <w:rsid w:val="08153C1F"/>
    <w:rsid w:val="08D1141D"/>
    <w:rsid w:val="0B296DE2"/>
    <w:rsid w:val="0CEC2637"/>
    <w:rsid w:val="0D103128"/>
    <w:rsid w:val="0D704EEE"/>
    <w:rsid w:val="0EEC5213"/>
    <w:rsid w:val="0FBB2AA9"/>
    <w:rsid w:val="10294AA3"/>
    <w:rsid w:val="10E40CA0"/>
    <w:rsid w:val="12A4052D"/>
    <w:rsid w:val="136130D9"/>
    <w:rsid w:val="15342061"/>
    <w:rsid w:val="1571589E"/>
    <w:rsid w:val="164500FE"/>
    <w:rsid w:val="18D85DB9"/>
    <w:rsid w:val="18DD4F7E"/>
    <w:rsid w:val="195B58A2"/>
    <w:rsid w:val="1B79633D"/>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2E8E3D52"/>
    <w:rsid w:val="306C6CAE"/>
    <w:rsid w:val="30D07398"/>
    <w:rsid w:val="31C54755"/>
    <w:rsid w:val="3216608C"/>
    <w:rsid w:val="34CE14C6"/>
    <w:rsid w:val="34D84CEC"/>
    <w:rsid w:val="35880579"/>
    <w:rsid w:val="37AF5AB7"/>
    <w:rsid w:val="3B1C3371"/>
    <w:rsid w:val="3B4C274E"/>
    <w:rsid w:val="3CC23198"/>
    <w:rsid w:val="3DDF4815"/>
    <w:rsid w:val="3FB16D1A"/>
    <w:rsid w:val="3FE669E5"/>
    <w:rsid w:val="454347BE"/>
    <w:rsid w:val="47771119"/>
    <w:rsid w:val="49A31EDC"/>
    <w:rsid w:val="500F48EF"/>
    <w:rsid w:val="50F63E28"/>
    <w:rsid w:val="52105747"/>
    <w:rsid w:val="5221007F"/>
    <w:rsid w:val="52926B5A"/>
    <w:rsid w:val="545C5E51"/>
    <w:rsid w:val="5486175B"/>
    <w:rsid w:val="57667D24"/>
    <w:rsid w:val="57CE5BC3"/>
    <w:rsid w:val="58492F99"/>
    <w:rsid w:val="58604AE0"/>
    <w:rsid w:val="59F5351B"/>
    <w:rsid w:val="5AE1516A"/>
    <w:rsid w:val="5B6207E4"/>
    <w:rsid w:val="5B6A3A79"/>
    <w:rsid w:val="5B7E351C"/>
    <w:rsid w:val="5BA20029"/>
    <w:rsid w:val="5C1A5F7B"/>
    <w:rsid w:val="5C8277EA"/>
    <w:rsid w:val="5E88034A"/>
    <w:rsid w:val="60161979"/>
    <w:rsid w:val="627C4924"/>
    <w:rsid w:val="645771F8"/>
    <w:rsid w:val="68B757AA"/>
    <w:rsid w:val="6A54112D"/>
    <w:rsid w:val="6AA035AE"/>
    <w:rsid w:val="6CA258AD"/>
    <w:rsid w:val="6CD44A05"/>
    <w:rsid w:val="6D8E1F39"/>
    <w:rsid w:val="6DE6205D"/>
    <w:rsid w:val="6E0F2E14"/>
    <w:rsid w:val="6E1A1323"/>
    <w:rsid w:val="6F1E141D"/>
    <w:rsid w:val="6F5354F8"/>
    <w:rsid w:val="6F855916"/>
    <w:rsid w:val="71754026"/>
    <w:rsid w:val="729329B5"/>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99"/>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9"/>
    <w:qFormat/>
    <w:uiPriority w:val="1"/>
    <w:rPr>
      <w:sz w:val="24"/>
      <w:szCs w:val="24"/>
    </w:rPr>
  </w:style>
  <w:style w:type="paragraph" w:styleId="11">
    <w:name w:val="Body Text Indent"/>
    <w:basedOn w:val="1"/>
    <w:link w:val="63"/>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5"/>
    <w:qFormat/>
    <w:uiPriority w:val="99"/>
    <w:rPr>
      <w:rFonts w:hAnsi="Courier New" w:cs="Courier New"/>
      <w:szCs w:val="21"/>
    </w:rPr>
  </w:style>
  <w:style w:type="paragraph" w:styleId="14">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4"/>
    <w:qFormat/>
    <w:uiPriority w:val="0"/>
    <w:pPr>
      <w:spacing w:after="120" w:line="480" w:lineRule="auto"/>
      <w:ind w:left="420" w:leftChars="200"/>
    </w:pPr>
  </w:style>
  <w:style w:type="paragraph" w:styleId="16">
    <w:name w:val="Balloon Text"/>
    <w:basedOn w:val="1"/>
    <w:link w:val="45"/>
    <w:qFormat/>
    <w:uiPriority w:val="99"/>
    <w:rPr>
      <w:sz w:val="18"/>
      <w:szCs w:val="18"/>
    </w:rPr>
  </w:style>
  <w:style w:type="paragraph" w:styleId="17">
    <w:name w:val="footer"/>
    <w:basedOn w:val="1"/>
    <w:link w:val="46"/>
    <w:qFormat/>
    <w:uiPriority w:val="99"/>
    <w:pPr>
      <w:tabs>
        <w:tab w:val="center" w:pos="4153"/>
        <w:tab w:val="right" w:pos="8306"/>
      </w:tabs>
      <w:snapToGrid w:val="0"/>
    </w:pPr>
    <w:rPr>
      <w:sz w:val="18"/>
      <w:szCs w:val="18"/>
    </w:rPr>
  </w:style>
  <w:style w:type="paragraph" w:styleId="18">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3"/>
    <w:qFormat/>
    <w:uiPriority w:val="0"/>
    <w:pPr>
      <w:spacing w:after="120" w:line="480" w:lineRule="auto"/>
    </w:pPr>
  </w:style>
  <w:style w:type="paragraph" w:styleId="23">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4">
    <w:name w:val="Body Text First Indent 2"/>
    <w:basedOn w:val="11"/>
    <w:next w:val="1"/>
    <w:qFormat/>
    <w:uiPriority w:val="0"/>
    <w:pPr>
      <w:ind w:firstLine="420" w:firstLineChars="200"/>
    </w:p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TML Definition"/>
    <w:basedOn w:val="27"/>
    <w:qFormat/>
    <w:uiPriority w:val="0"/>
  </w:style>
  <w:style w:type="character" w:styleId="33">
    <w:name w:val="HTML Variable"/>
    <w:basedOn w:val="27"/>
    <w:qFormat/>
    <w:uiPriority w:val="0"/>
  </w:style>
  <w:style w:type="character" w:styleId="34">
    <w:name w:val="Hyperlink"/>
    <w:basedOn w:val="27"/>
    <w:qFormat/>
    <w:uiPriority w:val="99"/>
    <w:rPr>
      <w:color w:val="0000FF"/>
      <w:u w:val="single"/>
    </w:rPr>
  </w:style>
  <w:style w:type="character" w:styleId="35">
    <w:name w:val="HTML Code"/>
    <w:basedOn w:val="27"/>
    <w:qFormat/>
    <w:uiPriority w:val="0"/>
    <w:rPr>
      <w:rFonts w:ascii="Courier New" w:hAnsi="Courier New"/>
      <w:sz w:val="20"/>
    </w:rPr>
  </w:style>
  <w:style w:type="character" w:styleId="36">
    <w:name w:val="HTML Cite"/>
    <w:basedOn w:val="27"/>
    <w:qFormat/>
    <w:uiPriority w:val="0"/>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7"/>
    <w:link w:val="14"/>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7"/>
    <w:qFormat/>
    <w:uiPriority w:val="0"/>
    <w:rPr>
      <w:color w:val="0000FF"/>
      <w:sz w:val="18"/>
      <w:szCs w:val="18"/>
      <w:u w:val="none"/>
      <w:bdr w:val="single" w:color="DCDCDC" w:sz="8" w:space="0"/>
      <w:shd w:val="clear" w:color="auto" w:fill="FFFFFF"/>
    </w:rPr>
  </w:style>
  <w:style w:type="character" w:customStyle="1" w:styleId="45">
    <w:name w:val="批注框文本 Char"/>
    <w:basedOn w:val="27"/>
    <w:link w:val="16"/>
    <w:qFormat/>
    <w:uiPriority w:val="99"/>
    <w:rPr>
      <w:rFonts w:ascii="宋体" w:hAnsi="宋体" w:cs="宋体"/>
      <w:sz w:val="18"/>
      <w:szCs w:val="18"/>
      <w:lang w:eastAsia="en-US"/>
    </w:rPr>
  </w:style>
  <w:style w:type="character" w:customStyle="1" w:styleId="46">
    <w:name w:val="页脚 Char"/>
    <w:basedOn w:val="27"/>
    <w:link w:val="17"/>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7"/>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7"/>
    <w:link w:val="5"/>
    <w:qFormat/>
    <w:uiPriority w:val="0"/>
    <w:rPr>
      <w:rFonts w:ascii="宋体" w:hAnsi="宋体" w:cs="宋体"/>
      <w:b/>
      <w:bCs/>
      <w:sz w:val="32"/>
      <w:szCs w:val="32"/>
      <w:lang w:eastAsia="en-US"/>
    </w:rPr>
  </w:style>
  <w:style w:type="character" w:customStyle="1" w:styleId="51">
    <w:name w:val="批注文字 Char"/>
    <w:basedOn w:val="27"/>
    <w:link w:val="9"/>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7"/>
    <w:link w:val="22"/>
    <w:qFormat/>
    <w:uiPriority w:val="0"/>
    <w:rPr>
      <w:rFonts w:ascii="宋体" w:hAnsi="宋体" w:cs="宋体"/>
      <w:sz w:val="22"/>
      <w:szCs w:val="22"/>
      <w:lang w:eastAsia="en-US"/>
    </w:rPr>
  </w:style>
  <w:style w:type="character" w:customStyle="1" w:styleId="54">
    <w:name w:val="正文文本缩进 2 Char"/>
    <w:basedOn w:val="27"/>
    <w:link w:val="15"/>
    <w:qFormat/>
    <w:uiPriority w:val="0"/>
    <w:rPr>
      <w:rFonts w:ascii="宋体" w:hAnsi="宋体" w:cs="宋体"/>
      <w:sz w:val="22"/>
      <w:szCs w:val="22"/>
      <w:lang w:eastAsia="en-US"/>
    </w:rPr>
  </w:style>
  <w:style w:type="character" w:customStyle="1" w:styleId="55">
    <w:name w:val="纯文本 Char1"/>
    <w:basedOn w:val="27"/>
    <w:link w:val="13"/>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7"/>
    <w:link w:val="4"/>
    <w:qFormat/>
    <w:uiPriority w:val="0"/>
    <w:rPr>
      <w:rFonts w:ascii="宋体" w:hAnsi="宋体" w:cs="宋体"/>
      <w:b/>
      <w:bCs/>
      <w:sz w:val="24"/>
      <w:szCs w:val="24"/>
      <w:lang w:eastAsia="en-US"/>
    </w:rPr>
  </w:style>
  <w:style w:type="character" w:customStyle="1" w:styleId="58">
    <w:name w:val="正文缩进 Char"/>
    <w:link w:val="7"/>
    <w:qFormat/>
    <w:uiPriority w:val="0"/>
    <w:rPr>
      <w:sz w:val="24"/>
    </w:rPr>
  </w:style>
  <w:style w:type="character" w:customStyle="1" w:styleId="59">
    <w:name w:val="正文文本 Char"/>
    <w:basedOn w:val="27"/>
    <w:link w:val="10"/>
    <w:qFormat/>
    <w:uiPriority w:val="0"/>
    <w:rPr>
      <w:rFonts w:ascii="宋体" w:hAnsi="宋体" w:cs="宋体"/>
      <w:sz w:val="24"/>
      <w:szCs w:val="24"/>
      <w:lang w:eastAsia="en-US"/>
    </w:rPr>
  </w:style>
  <w:style w:type="character" w:customStyle="1" w:styleId="60">
    <w:name w:val="普通文字 Char2"/>
    <w:basedOn w:val="27"/>
    <w:qFormat/>
    <w:uiPriority w:val="0"/>
    <w:rPr>
      <w:rFonts w:ascii="宋体" w:hAnsi="Courier New" w:cs="Courier New"/>
      <w:sz w:val="22"/>
      <w:szCs w:val="21"/>
      <w:lang w:eastAsia="en-US"/>
    </w:rPr>
  </w:style>
  <w:style w:type="character" w:customStyle="1" w:styleId="61">
    <w:name w:val="标题 1 Char"/>
    <w:link w:val="3"/>
    <w:qFormat/>
    <w:uiPriority w:val="99"/>
    <w:rPr>
      <w:rFonts w:ascii="宋体" w:hAnsi="宋体" w:cs="宋体"/>
      <w:b/>
      <w:bCs/>
      <w:sz w:val="28"/>
      <w:szCs w:val="28"/>
      <w:lang w:eastAsia="en-US"/>
    </w:rPr>
  </w:style>
  <w:style w:type="character" w:customStyle="1" w:styleId="62">
    <w:name w:val="正文1 Char"/>
    <w:basedOn w:val="27"/>
    <w:link w:val="2"/>
    <w:qFormat/>
    <w:locked/>
    <w:uiPriority w:val="0"/>
    <w:rPr>
      <w:rFonts w:ascii="宋体" w:hAnsi="Calibri"/>
      <w:sz w:val="34"/>
      <w:szCs w:val="22"/>
    </w:rPr>
  </w:style>
  <w:style w:type="character" w:customStyle="1" w:styleId="63">
    <w:name w:val="正文文本缩进 Char"/>
    <w:basedOn w:val="27"/>
    <w:link w:val="11"/>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7"/>
    <w:link w:val="6"/>
    <w:qFormat/>
    <w:uiPriority w:val="99"/>
    <w:rPr>
      <w:rFonts w:ascii="Arial" w:hAnsi="Arial" w:eastAsia="黑体"/>
      <w:b/>
      <w:bCs/>
      <w:kern w:val="2"/>
      <w:sz w:val="28"/>
      <w:szCs w:val="28"/>
    </w:rPr>
  </w:style>
  <w:style w:type="character" w:customStyle="1" w:styleId="66">
    <w:name w:val="文档结构图 Char"/>
    <w:basedOn w:val="27"/>
    <w:link w:val="8"/>
    <w:qFormat/>
    <w:uiPriority w:val="99"/>
    <w:rPr>
      <w:rFonts w:ascii="宋体"/>
      <w:kern w:val="2"/>
      <w:sz w:val="18"/>
      <w:szCs w:val="18"/>
    </w:rPr>
  </w:style>
  <w:style w:type="character" w:customStyle="1" w:styleId="67">
    <w:name w:val="副标题 Char"/>
    <w:basedOn w:val="27"/>
    <w:link w:val="20"/>
    <w:qFormat/>
    <w:uiPriority w:val="99"/>
    <w:rPr>
      <w:rFonts w:ascii="Cambria" w:hAnsi="Cambria"/>
      <w:b/>
      <w:bCs/>
      <w:kern w:val="28"/>
      <w:sz w:val="32"/>
      <w:szCs w:val="32"/>
    </w:rPr>
  </w:style>
  <w:style w:type="character" w:customStyle="1" w:styleId="68">
    <w:name w:val="标题 Char"/>
    <w:basedOn w:val="27"/>
    <w:link w:val="23"/>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7"/>
    <w:link w:val="18"/>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7"/>
    <w:qFormat/>
    <w:uiPriority w:val="0"/>
    <w:rPr>
      <w:color w:val="FFFFFF"/>
    </w:rPr>
  </w:style>
  <w:style w:type="character" w:customStyle="1" w:styleId="78">
    <w:name w:val="tmpztreemove_arrow"/>
    <w:basedOn w:val="27"/>
    <w:qFormat/>
    <w:uiPriority w:val="0"/>
  </w:style>
  <w:style w:type="character" w:customStyle="1" w:styleId="79">
    <w:name w:val="cy"/>
    <w:basedOn w:val="27"/>
    <w:qFormat/>
    <w:uiPriority w:val="0"/>
  </w:style>
  <w:style w:type="character" w:customStyle="1" w:styleId="80">
    <w:name w:val="associateddata"/>
    <w:basedOn w:val="27"/>
    <w:qFormat/>
    <w:uiPriority w:val="0"/>
    <w:rPr>
      <w:shd w:val="clear" w:fill="50A6F9"/>
    </w:rPr>
  </w:style>
  <w:style w:type="character" w:customStyle="1" w:styleId="81">
    <w:name w:val="choosename"/>
    <w:basedOn w:val="27"/>
    <w:qFormat/>
    <w:uiPriority w:val="0"/>
  </w:style>
  <w:style w:type="character" w:customStyle="1" w:styleId="82">
    <w:name w:val="xdrichtextbox"/>
    <w:basedOn w:val="27"/>
    <w:qFormat/>
    <w:uiPriority w:val="0"/>
    <w:rPr>
      <w:color w:val="auto"/>
      <w:u w:val="none"/>
      <w:bdr w:val="single" w:color="DCDCDC" w:sz="8" w:space="0"/>
      <w:shd w:val="clear" w:fill="auto"/>
    </w:rPr>
  </w:style>
  <w:style w:type="character" w:customStyle="1" w:styleId="83">
    <w:name w:val="iconline2"/>
    <w:basedOn w:val="27"/>
    <w:qFormat/>
    <w:uiPriority w:val="0"/>
  </w:style>
  <w:style w:type="character" w:customStyle="1" w:styleId="84">
    <w:name w:val="iconline21"/>
    <w:basedOn w:val="27"/>
    <w:qFormat/>
    <w:uiPriority w:val="0"/>
  </w:style>
  <w:style w:type="character" w:customStyle="1" w:styleId="85">
    <w:name w:val="design_class"/>
    <w:basedOn w:val="27"/>
    <w:qFormat/>
    <w:uiPriority w:val="0"/>
  </w:style>
  <w:style w:type="character" w:customStyle="1" w:styleId="86">
    <w:name w:val="button"/>
    <w:basedOn w:val="27"/>
    <w:qFormat/>
    <w:uiPriority w:val="0"/>
  </w:style>
  <w:style w:type="character" w:customStyle="1" w:styleId="87">
    <w:name w:val="layui-layer-tabnow"/>
    <w:basedOn w:val="27"/>
    <w:qFormat/>
    <w:uiPriority w:val="0"/>
    <w:rPr>
      <w:bdr w:val="single" w:color="CCCCCC" w:sz="6" w:space="0"/>
      <w:shd w:val="clear" w:fill="FFFFFF"/>
    </w:rPr>
  </w:style>
  <w:style w:type="character" w:customStyle="1" w:styleId="88">
    <w:name w:val="icontext1"/>
    <w:basedOn w:val="27"/>
    <w:qFormat/>
    <w:uiPriority w:val="0"/>
  </w:style>
  <w:style w:type="character" w:customStyle="1" w:styleId="89">
    <w:name w:val="icontext11"/>
    <w:basedOn w:val="27"/>
    <w:qFormat/>
    <w:uiPriority w:val="0"/>
  </w:style>
  <w:style w:type="character" w:customStyle="1" w:styleId="90">
    <w:name w:val="icontext12"/>
    <w:basedOn w:val="27"/>
    <w:qFormat/>
    <w:uiPriority w:val="0"/>
  </w:style>
  <w:style w:type="character" w:customStyle="1" w:styleId="91">
    <w:name w:val="after"/>
    <w:basedOn w:val="27"/>
    <w:qFormat/>
    <w:uiPriority w:val="0"/>
    <w:rPr>
      <w:sz w:val="0"/>
      <w:szCs w:val="0"/>
    </w:rPr>
  </w:style>
  <w:style w:type="character" w:customStyle="1" w:styleId="92">
    <w:name w:val="hilite6"/>
    <w:basedOn w:val="27"/>
    <w:qFormat/>
    <w:uiPriority w:val="0"/>
    <w:rPr>
      <w:color w:val="FFFFFF"/>
      <w:shd w:val="clear" w:fill="666666"/>
    </w:rPr>
  </w:style>
  <w:style w:type="character" w:customStyle="1" w:styleId="93">
    <w:name w:val="active2"/>
    <w:basedOn w:val="27"/>
    <w:qFormat/>
    <w:uiPriority w:val="0"/>
    <w:rPr>
      <w:color w:val="00FF00"/>
      <w:shd w:val="clear" w:fill="111111"/>
    </w:rPr>
  </w:style>
  <w:style w:type="character" w:customStyle="1" w:styleId="94">
    <w:name w:val="active3"/>
    <w:basedOn w:val="27"/>
    <w:qFormat/>
    <w:uiPriority w:val="0"/>
    <w:rPr>
      <w:shd w:val="clear" w:fill="EC3535"/>
    </w:rPr>
  </w:style>
  <w:style w:type="character" w:customStyle="1" w:styleId="95">
    <w:name w:val="w32"/>
    <w:basedOn w:val="27"/>
    <w:qFormat/>
    <w:uiPriority w:val="0"/>
  </w:style>
  <w:style w:type="character" w:customStyle="1" w:styleId="96">
    <w:name w:val="biggerthanmax"/>
    <w:basedOn w:val="27"/>
    <w:qFormat/>
    <w:uiPriority w:val="0"/>
    <w:rPr>
      <w:shd w:val="clear" w:fill="FFFF00"/>
    </w:rPr>
  </w:style>
  <w:style w:type="character" w:customStyle="1" w:styleId="97">
    <w:name w:val="cdropright"/>
    <w:basedOn w:val="27"/>
    <w:qFormat/>
    <w:uiPriority w:val="0"/>
  </w:style>
  <w:style w:type="character" w:customStyle="1" w:styleId="98">
    <w:name w:val="pagechatarealistclose_box"/>
    <w:basedOn w:val="27"/>
    <w:qFormat/>
    <w:uiPriority w:val="0"/>
  </w:style>
  <w:style w:type="character" w:customStyle="1" w:styleId="99">
    <w:name w:val="pagechatarealistclose_box1"/>
    <w:basedOn w:val="27"/>
    <w:qFormat/>
    <w:uiPriority w:val="0"/>
  </w:style>
  <w:style w:type="character" w:customStyle="1" w:styleId="100">
    <w:name w:val="ico1654"/>
    <w:basedOn w:val="27"/>
    <w:qFormat/>
    <w:uiPriority w:val="0"/>
  </w:style>
  <w:style w:type="character" w:customStyle="1" w:styleId="101">
    <w:name w:val="ico1655"/>
    <w:basedOn w:val="27"/>
    <w:qFormat/>
    <w:uiPriority w:val="0"/>
  </w:style>
  <w:style w:type="character" w:customStyle="1" w:styleId="102">
    <w:name w:val="drapbtn"/>
    <w:basedOn w:val="27"/>
    <w:qFormat/>
    <w:uiPriority w:val="0"/>
  </w:style>
  <w:style w:type="character" w:customStyle="1" w:styleId="103">
    <w:name w:val="cdropleft"/>
    <w:basedOn w:val="27"/>
    <w:qFormat/>
    <w:uiPriority w:val="0"/>
  </w:style>
  <w:style w:type="character" w:customStyle="1" w:styleId="104">
    <w:name w:val="icontext2"/>
    <w:basedOn w:val="27"/>
    <w:qFormat/>
    <w:uiPriority w:val="0"/>
  </w:style>
  <w:style w:type="character" w:customStyle="1" w:styleId="105">
    <w:name w:val="icontext3"/>
    <w:basedOn w:val="27"/>
    <w:qFormat/>
    <w:uiPriority w:val="0"/>
  </w:style>
  <w:style w:type="character" w:customStyle="1" w:styleId="106">
    <w:name w:val="first-child"/>
    <w:basedOn w:val="27"/>
    <w:qFormat/>
    <w:uiPriority w:val="0"/>
  </w:style>
  <w:style w:type="character" w:customStyle="1" w:styleId="107">
    <w:name w:val="edit_class"/>
    <w:basedOn w:val="27"/>
    <w:qFormat/>
    <w:uiPriority w:val="0"/>
  </w:style>
  <w:style w:type="character" w:customStyle="1" w:styleId="108">
    <w:name w:val="font11"/>
    <w:basedOn w:val="27"/>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15093</Words>
  <Characters>15586</Characters>
  <Lines>146</Lines>
  <Paragraphs>41</Paragraphs>
  <TotalTime>2</TotalTime>
  <ScaleCrop>false</ScaleCrop>
  <LinksUpToDate>false</LinksUpToDate>
  <CharactersWithSpaces>16866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2023-08-01T09:08:00Z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0A30C12B16FD42658B4CD8F19D0CD055_13</vt:lpwstr>
  </property>
</Properties>
</file>