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ascii="Times New Roman"/>
          <w:sz w:val="20"/>
          <w:lang w:eastAsia="zh-CN"/>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 xml:space="preserve"> 热电厂锅炉氢气掺烧改造项目可行性研究报告等</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编制服务项目</w:t>
      </w:r>
    </w:p>
    <w:p>
      <w:pPr>
        <w:pStyle w:val="14"/>
        <w:rPr>
          <w:rFonts w:ascii="微软雅黑"/>
          <w:b/>
          <w:sz w:val="68"/>
          <w:lang w:eastAsia="zh-CN"/>
        </w:rPr>
      </w:pPr>
    </w:p>
    <w:p>
      <w:pPr>
        <w:pStyle w:val="14"/>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（文件编号：FHC-PTCG20230608001）</w:t>
      </w:r>
    </w:p>
    <w:p>
      <w:pPr>
        <w:pStyle w:val="14"/>
        <w:rPr>
          <w:rFonts w:ascii="微软雅黑"/>
          <w:b/>
          <w:sz w:val="94"/>
          <w:lang w:eastAsia="zh-CN"/>
        </w:rPr>
      </w:pPr>
    </w:p>
    <w:p>
      <w:pPr>
        <w:pStyle w:val="14"/>
        <w:rPr>
          <w:rFonts w:ascii="微软雅黑"/>
          <w:b/>
          <w:sz w:val="94"/>
          <w:lang w:eastAsia="zh-CN"/>
        </w:rPr>
      </w:pPr>
    </w:p>
    <w:p>
      <w:pPr>
        <w:pStyle w:val="14"/>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二〇二三年七月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4"/>
        <w:rPr>
          <w:rFonts w:ascii="黑体"/>
          <w:sz w:val="20"/>
          <w:lang w:eastAsia="zh-CN"/>
        </w:rPr>
      </w:pPr>
    </w:p>
    <w:p>
      <w:pPr>
        <w:pStyle w:val="14"/>
        <w:rPr>
          <w:rFonts w:ascii="黑体"/>
          <w:sz w:val="20"/>
          <w:lang w:eastAsia="zh-CN"/>
        </w:rPr>
      </w:pPr>
    </w:p>
    <w:p>
      <w:pPr>
        <w:pStyle w:val="14"/>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4"/>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4"/>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360" w:lineRule="auto"/>
        <w:ind w:firstLine="720" w:firstLineChars="300"/>
        <w:jc w:val="both"/>
        <w:rPr>
          <w:bCs/>
          <w:sz w:val="24"/>
          <w:szCs w:val="24"/>
          <w:lang w:eastAsia="zh-CN"/>
        </w:rPr>
      </w:pPr>
      <w:r>
        <w:rPr>
          <w:rFonts w:hint="eastAsia"/>
          <w:bCs/>
          <w:sz w:val="24"/>
          <w:szCs w:val="24"/>
          <w:lang w:eastAsia="zh-CN"/>
        </w:rPr>
        <w:t>福建福海创石油化工有限公司拟对热电厂锅炉氢气掺烧改造项目可行性研究报告等编制服务项目进行国内公开比选，欢迎国内符合条件的参选人积极参选。</w:t>
      </w:r>
    </w:p>
    <w:p>
      <w:pPr>
        <w:spacing w:line="360" w:lineRule="auto"/>
        <w:rPr>
          <w:b/>
          <w:bCs/>
          <w:sz w:val="24"/>
          <w:szCs w:val="24"/>
          <w:lang w:eastAsia="zh-CN"/>
        </w:rPr>
      </w:pPr>
      <w:r>
        <w:rPr>
          <w:rFonts w:hint="eastAsia"/>
          <w:b/>
          <w:bCs/>
          <w:sz w:val="24"/>
          <w:szCs w:val="24"/>
          <w:lang w:eastAsia="zh-CN"/>
        </w:rPr>
        <w:t>一、主要内容：</w:t>
      </w:r>
    </w:p>
    <w:p>
      <w:pPr>
        <w:widowControl/>
        <w:autoSpaceDE/>
        <w:autoSpaceDN/>
        <w:spacing w:line="360" w:lineRule="auto"/>
        <w:ind w:left="716" w:leftChars="209" w:hanging="256" w:hangingChars="107"/>
        <w:jc w:val="both"/>
        <w:rPr>
          <w:rFonts w:asciiTheme="minorEastAsia" w:hAnsiTheme="minorEastAsia" w:eastAsiaTheme="minorEastAsia"/>
          <w:sz w:val="24"/>
          <w:lang w:eastAsia="zh-CN"/>
        </w:rPr>
      </w:pPr>
      <w:r>
        <w:rPr>
          <w:rFonts w:hint="eastAsia" w:asciiTheme="majorEastAsia" w:hAnsiTheme="majorEastAsia" w:eastAsiaTheme="majorEastAsia"/>
          <w:sz w:val="24"/>
          <w:szCs w:val="24"/>
          <w:lang w:eastAsia="zh-CN"/>
        </w:rPr>
        <w:t>1.项目名称：</w:t>
      </w:r>
      <w:r>
        <w:rPr>
          <w:rFonts w:hint="eastAsia" w:asciiTheme="minorEastAsia" w:hAnsiTheme="minorEastAsia" w:eastAsiaTheme="minorEastAsia"/>
          <w:sz w:val="24"/>
          <w:lang w:eastAsia="zh-CN"/>
        </w:rPr>
        <w:t>热电厂锅炉氢气掺烧改造项目可行性研究报告等编制服务</w:t>
      </w:r>
    </w:p>
    <w:p>
      <w:pPr>
        <w:pStyle w:val="2"/>
        <w:spacing w:line="360" w:lineRule="auto"/>
        <w:ind w:left="716" w:leftChars="209" w:hanging="256" w:hangingChars="107"/>
      </w:pPr>
      <w:r>
        <w:rPr>
          <w:rFonts w:hint="eastAsia" w:asciiTheme="majorEastAsia" w:hAnsiTheme="majorEastAsia" w:eastAsiaTheme="majorEastAsia"/>
          <w:sz w:val="24"/>
          <w:szCs w:val="24"/>
        </w:rPr>
        <w:t>2.项目主要内容:</w:t>
      </w:r>
      <w:r>
        <w:rPr>
          <w:rFonts w:hint="eastAsia" w:asciiTheme="minorEastAsia" w:hAnsiTheme="minorEastAsia" w:eastAsiaTheme="minorEastAsia"/>
          <w:sz w:val="24"/>
        </w:rPr>
        <w:t>通过对现有电厂燃烧情况和燃烧器使用情况及现场实地勘查，投标方负责完成编制锅炉氢气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并组织进行可研评审</w:t>
      </w:r>
      <w:r>
        <w:rPr>
          <w:rFonts w:asciiTheme="minorEastAsia" w:hAnsiTheme="minorEastAsia" w:eastAsiaTheme="minorEastAsia"/>
          <w:color w:val="000000" w:themeColor="text1"/>
          <w:sz w:val="24"/>
          <w:szCs w:val="24"/>
        </w:rPr>
        <w:t>并出具</w:t>
      </w:r>
      <w:r>
        <w:rPr>
          <w:rFonts w:hint="eastAsia" w:asciiTheme="minorEastAsia" w:hAnsiTheme="minorEastAsia" w:eastAsiaTheme="minorEastAsia"/>
          <w:color w:val="000000" w:themeColor="text1"/>
          <w:sz w:val="24"/>
          <w:szCs w:val="24"/>
        </w:rPr>
        <w:t>分析</w:t>
      </w:r>
      <w:r>
        <w:rPr>
          <w:rFonts w:asciiTheme="minorEastAsia" w:hAnsiTheme="minorEastAsia" w:eastAsiaTheme="minorEastAsia"/>
          <w:color w:val="000000" w:themeColor="text1"/>
          <w:sz w:val="24"/>
          <w:szCs w:val="24"/>
        </w:rPr>
        <w:t>报告</w:t>
      </w:r>
      <w:r>
        <w:rPr>
          <w:rFonts w:hint="eastAsia" w:asciiTheme="minorEastAsia" w:hAnsiTheme="minorEastAsia" w:eastAsiaTheme="minorEastAsia"/>
          <w:color w:val="000000" w:themeColor="text1"/>
          <w:sz w:val="24"/>
          <w:szCs w:val="24"/>
        </w:rPr>
        <w:t>。</w:t>
      </w:r>
    </w:p>
    <w:p>
      <w:pPr>
        <w:pStyle w:val="2"/>
        <w:spacing w:line="360" w:lineRule="auto"/>
        <w:ind w:left="716" w:leftChars="209" w:hanging="256" w:hangingChars="107"/>
        <w:rPr>
          <w:rFonts w:cs="宋体" w:asciiTheme="minorEastAsia" w:hAnsiTheme="minorEastAsia" w:eastAsiaTheme="minorEastAsia"/>
          <w:sz w:val="24"/>
        </w:rPr>
      </w:pPr>
      <w:r>
        <w:rPr>
          <w:rFonts w:hint="eastAsia" w:asciiTheme="majorEastAsia" w:hAnsiTheme="majorEastAsia" w:eastAsiaTheme="majorEastAsia"/>
          <w:sz w:val="24"/>
          <w:szCs w:val="24"/>
        </w:rPr>
        <w:t>3.规范及技术要求：详见附件《</w:t>
      </w:r>
      <w:r>
        <w:rPr>
          <w:rFonts w:hint="eastAsia" w:cs="宋体" w:asciiTheme="minorEastAsia" w:hAnsiTheme="minorEastAsia" w:eastAsiaTheme="minorEastAsia"/>
          <w:sz w:val="24"/>
        </w:rPr>
        <w:t>热电厂锅炉氢气掺烧改造项目可行性研究报告等编制服务技术规范书》</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4.执行方式：采用总价包干方式</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5.项目地点：</w:t>
      </w: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w:t>
      </w:r>
    </w:p>
    <w:p>
      <w:pPr>
        <w:spacing w:line="360" w:lineRule="auto"/>
        <w:ind w:left="379" w:hanging="379" w:hangingChars="158"/>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6.项目工期: </w:t>
      </w:r>
      <w:r>
        <w:rPr>
          <w:rFonts w:hint="eastAsia" w:asciiTheme="minorEastAsia" w:hAnsiTheme="minorEastAsia" w:eastAsiaTheme="minorEastAsia"/>
          <w:sz w:val="24"/>
          <w:szCs w:val="24"/>
          <w:lang w:eastAsia="zh-CN"/>
        </w:rPr>
        <w:t>合同签订后150天内完成。</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750" w:leftChars="209" w:hanging="290" w:hangingChars="121"/>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w:t>
      </w:r>
      <w:r>
        <w:rPr>
          <w:rFonts w:hint="eastAsia"/>
          <w:sz w:val="24"/>
          <w:szCs w:val="24"/>
          <w:highlight w:val="none"/>
          <w:lang w:eastAsia="zh-CN"/>
        </w:rPr>
        <w:t>参选人</w:t>
      </w:r>
      <w:r>
        <w:rPr>
          <w:rFonts w:hint="eastAsia" w:asciiTheme="minorEastAsia" w:hAnsiTheme="minorEastAsia" w:eastAsiaTheme="minorEastAsia"/>
          <w:sz w:val="24"/>
          <w:highlight w:val="none"/>
          <w:lang w:eastAsia="zh-CN"/>
        </w:rPr>
        <w:t>应具有资质条件：具备主管部门颁发的工程咨询乙级资信证书或电力及</w:t>
      </w:r>
      <w:r>
        <w:rPr>
          <w:rFonts w:asciiTheme="minorEastAsia" w:hAnsiTheme="minorEastAsia" w:eastAsiaTheme="minorEastAsia"/>
          <w:sz w:val="24"/>
          <w:highlight w:val="none"/>
          <w:lang w:eastAsia="zh-CN"/>
        </w:rPr>
        <w:t>相关</w:t>
      </w:r>
      <w:r>
        <w:rPr>
          <w:rFonts w:hint="eastAsia" w:asciiTheme="minorEastAsia" w:hAnsiTheme="minorEastAsia" w:eastAsiaTheme="minorEastAsia"/>
          <w:sz w:val="24"/>
          <w:highlight w:val="none"/>
          <w:lang w:eastAsia="zh-CN"/>
        </w:rPr>
        <w:t>行业工程设计乙级资质；</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w:t>
      </w:r>
      <w:r>
        <w:rPr>
          <w:rFonts w:hint="eastAsia"/>
          <w:sz w:val="24"/>
          <w:szCs w:val="24"/>
          <w:lang w:eastAsia="zh-CN"/>
        </w:rPr>
        <w:t>参选人</w:t>
      </w:r>
      <w:r>
        <w:rPr>
          <w:rFonts w:hint="eastAsia" w:asciiTheme="minorEastAsia" w:hAnsiTheme="minorEastAsia" w:eastAsiaTheme="minorEastAsia"/>
          <w:sz w:val="24"/>
          <w:lang w:eastAsia="zh-CN"/>
        </w:rPr>
        <w:t>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4.近三年内无设计质量事故，无被相关行政部门处罚记录；</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w:t>
      </w:r>
      <w:r>
        <w:rPr>
          <w:rFonts w:hint="eastAsia"/>
          <w:sz w:val="24"/>
          <w:szCs w:val="24"/>
          <w:lang w:eastAsia="zh-CN"/>
        </w:rPr>
        <w:t>参选人</w:t>
      </w:r>
      <w:r>
        <w:rPr>
          <w:rFonts w:hint="eastAsia" w:asciiTheme="minorEastAsia" w:hAnsiTheme="minorEastAsia" w:eastAsiaTheme="minorEastAsia"/>
          <w:sz w:val="24"/>
          <w:lang w:eastAsia="zh-CN"/>
        </w:rPr>
        <w:t>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w:t>
      </w:r>
      <w:r>
        <w:rPr>
          <w:rFonts w:hint="eastAsia"/>
          <w:sz w:val="24"/>
          <w:szCs w:val="24"/>
          <w:lang w:eastAsia="zh-CN"/>
        </w:rPr>
        <w:t>参选人</w:t>
      </w:r>
      <w:r>
        <w:rPr>
          <w:rFonts w:hint="eastAsia" w:asciiTheme="minorEastAsia" w:hAnsiTheme="minorEastAsia" w:eastAsiaTheme="minorEastAsia"/>
          <w:sz w:val="24"/>
          <w:lang w:eastAsia="zh-CN"/>
        </w:rPr>
        <w:t>应提供以下证明材料，并加盖投标人单位公章。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6.1</w:t>
      </w:r>
      <w:r>
        <w:rPr>
          <w:rFonts w:hint="eastAsia"/>
          <w:sz w:val="24"/>
          <w:szCs w:val="24"/>
          <w:lang w:eastAsia="zh-CN"/>
        </w:rPr>
        <w:t>参选人</w:t>
      </w:r>
      <w:r>
        <w:rPr>
          <w:rFonts w:hint="eastAsia" w:asciiTheme="minorEastAsia" w:hAnsiTheme="minorEastAsia" w:eastAsiaTheme="minorEastAsia"/>
          <w:sz w:val="24"/>
          <w:lang w:eastAsia="zh-CN"/>
        </w:rPr>
        <w:t>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6.2</w:t>
      </w:r>
      <w:r>
        <w:rPr>
          <w:rFonts w:hint="eastAsia"/>
          <w:sz w:val="24"/>
          <w:szCs w:val="24"/>
          <w:lang w:eastAsia="zh-CN"/>
        </w:rPr>
        <w:t>参选人</w:t>
      </w:r>
      <w:r>
        <w:rPr>
          <w:rFonts w:hint="eastAsia" w:asciiTheme="minorEastAsia" w:hAnsiTheme="minorEastAsia" w:eastAsiaTheme="minorEastAsia"/>
          <w:sz w:val="24"/>
          <w:lang w:eastAsia="zh-CN"/>
        </w:rPr>
        <w:t>应提供相关业绩相关证明材料，并加盖投标人公章；</w:t>
      </w:r>
    </w:p>
    <w:p>
      <w:pPr>
        <w:pStyle w:val="53"/>
        <w:widowControl w:val="0"/>
        <w:adjustRightInd w:val="0"/>
        <w:spacing w:line="360" w:lineRule="auto"/>
        <w:ind w:left="1028" w:leftChars="309" w:hanging="348" w:hangingChars="145"/>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6.3</w:t>
      </w:r>
      <w:r>
        <w:rPr>
          <w:rFonts w:hint="eastAsia"/>
          <w:sz w:val="24"/>
          <w:szCs w:val="24"/>
        </w:rPr>
        <w:t>参选人</w:t>
      </w:r>
      <w:r>
        <w:rPr>
          <w:rFonts w:hint="eastAsia" w:asciiTheme="minorEastAsia" w:hAnsiTheme="minorEastAsia" w:eastAsiaTheme="minorEastAsia"/>
          <w:sz w:val="24"/>
        </w:rPr>
        <w:t>应提供三年内无设计质量事故，无被相关行政部门处罚证明文件或承诺函，并加盖投标人公章。</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参选文件递交的起止时间：自公告之日起12天即</w:t>
      </w:r>
      <w:r>
        <w:rPr>
          <w:bCs/>
          <w:sz w:val="24"/>
          <w:szCs w:val="24"/>
          <w:lang w:eastAsia="zh-CN"/>
        </w:rPr>
        <w:t>202</w:t>
      </w:r>
      <w:r>
        <w:rPr>
          <w:rFonts w:hint="eastAsia"/>
          <w:bCs/>
          <w:sz w:val="24"/>
          <w:szCs w:val="24"/>
          <w:lang w:eastAsia="zh-CN"/>
        </w:rPr>
        <w:t>3年</w:t>
      </w:r>
      <w:r>
        <w:rPr>
          <w:rFonts w:hint="eastAsia"/>
          <w:bCs/>
          <w:sz w:val="24"/>
          <w:szCs w:val="24"/>
          <w:lang w:val="en-US" w:eastAsia="zh-CN"/>
        </w:rPr>
        <w:t>08</w:t>
      </w:r>
      <w:r>
        <w:rPr>
          <w:rFonts w:hint="eastAsia"/>
          <w:bCs/>
          <w:sz w:val="24"/>
          <w:szCs w:val="24"/>
          <w:lang w:eastAsia="zh-CN"/>
        </w:rPr>
        <w:t>月</w:t>
      </w:r>
      <w:r>
        <w:rPr>
          <w:rFonts w:hint="eastAsia"/>
          <w:bCs/>
          <w:sz w:val="24"/>
          <w:szCs w:val="24"/>
          <w:lang w:val="en-US" w:eastAsia="zh-CN"/>
        </w:rPr>
        <w:t>01</w:t>
      </w:r>
      <w:r>
        <w:rPr>
          <w:rFonts w:hint="eastAsia"/>
          <w:bCs/>
          <w:sz w:val="24"/>
          <w:szCs w:val="24"/>
          <w:lang w:eastAsia="zh-CN"/>
        </w:rPr>
        <w:t xml:space="preserve">日~ </w:t>
      </w:r>
      <w:r>
        <w:rPr>
          <w:rFonts w:hint="eastAsia"/>
          <w:bCs/>
          <w:sz w:val="24"/>
          <w:szCs w:val="24"/>
          <w:lang w:val="en-US" w:eastAsia="zh-CN"/>
        </w:rPr>
        <w:t>08</w:t>
      </w:r>
      <w:r>
        <w:rPr>
          <w:rFonts w:hint="eastAsia"/>
          <w:bCs/>
          <w:sz w:val="24"/>
          <w:szCs w:val="24"/>
          <w:lang w:eastAsia="zh-CN"/>
        </w:rPr>
        <w:t>月</w:t>
      </w:r>
      <w:r>
        <w:rPr>
          <w:rFonts w:hint="eastAsia"/>
          <w:bCs/>
          <w:sz w:val="24"/>
          <w:szCs w:val="24"/>
          <w:lang w:val="en-US" w:eastAsia="zh-CN"/>
        </w:rPr>
        <w:t>12</w:t>
      </w:r>
      <w:r>
        <w:rPr>
          <w:rFonts w:hint="eastAsia"/>
          <w:bCs/>
          <w:sz w:val="24"/>
          <w:szCs w:val="24"/>
          <w:lang w:eastAsia="zh-CN"/>
        </w:rPr>
        <w:t>日前。</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四、参选保证金：无</w:t>
      </w:r>
    </w:p>
    <w:p>
      <w:pPr>
        <w:autoSpaceDE/>
        <w:autoSpaceDN/>
        <w:spacing w:line="360" w:lineRule="auto"/>
        <w:jc w:val="both"/>
        <w:rPr>
          <w:sz w:val="24"/>
          <w:szCs w:val="24"/>
          <w:lang w:eastAsia="zh-CN"/>
        </w:rPr>
      </w:pPr>
      <w:r>
        <w:rPr>
          <w:rFonts w:hint="eastAsia"/>
          <w:b/>
          <w:snapToGrid w:val="0"/>
          <w:color w:val="000000" w:themeColor="text1"/>
          <w:spacing w:val="8"/>
          <w:sz w:val="24"/>
          <w:szCs w:val="24"/>
          <w:lang w:eastAsia="zh-CN"/>
        </w:rPr>
        <w:t>五、</w:t>
      </w:r>
      <w:r>
        <w:rPr>
          <w:rFonts w:hint="eastAsia" w:asciiTheme="majorEastAsia" w:hAnsiTheme="majorEastAsia" w:eastAsiaTheme="majorEastAsia"/>
          <w:sz w:val="24"/>
          <w:szCs w:val="24"/>
          <w:highlight w:val="none"/>
          <w:lang w:eastAsia="zh-CN"/>
        </w:rPr>
        <w:t>本项目</w:t>
      </w:r>
      <w:r>
        <w:rPr>
          <w:rFonts w:asciiTheme="majorEastAsia" w:hAnsiTheme="majorEastAsia" w:eastAsiaTheme="majorEastAsia"/>
          <w:sz w:val="24"/>
          <w:szCs w:val="24"/>
          <w:highlight w:val="none"/>
          <w:lang w:eastAsia="zh-CN"/>
        </w:rPr>
        <w:t>采用综合评分法，商务部分(PB)满分</w:t>
      </w:r>
      <w:r>
        <w:rPr>
          <w:rFonts w:hint="eastAsia" w:asciiTheme="majorEastAsia" w:hAnsiTheme="majorEastAsia" w:eastAsiaTheme="majorEastAsia"/>
          <w:sz w:val="24"/>
          <w:szCs w:val="24"/>
          <w:highlight w:val="none"/>
          <w:lang w:eastAsia="zh-CN"/>
        </w:rPr>
        <w:t>80</w:t>
      </w:r>
      <w:r>
        <w:rPr>
          <w:rFonts w:asciiTheme="majorEastAsia" w:hAnsiTheme="majorEastAsia" w:eastAsiaTheme="majorEastAsia"/>
          <w:sz w:val="24"/>
          <w:szCs w:val="24"/>
          <w:highlight w:val="none"/>
          <w:lang w:eastAsia="zh-CN"/>
        </w:rPr>
        <w:t>分，技术部分（PT)满分2</w:t>
      </w:r>
      <w:r>
        <w:rPr>
          <w:rFonts w:hint="eastAsia" w:asciiTheme="majorEastAsia" w:hAnsiTheme="majorEastAsia" w:eastAsiaTheme="majorEastAsia"/>
          <w:sz w:val="24"/>
          <w:szCs w:val="24"/>
          <w:highlight w:val="none"/>
          <w:lang w:eastAsia="zh-CN"/>
        </w:rPr>
        <w:t>0</w:t>
      </w:r>
      <w:r>
        <w:rPr>
          <w:rFonts w:asciiTheme="majorEastAsia" w:hAnsiTheme="majorEastAsia" w:eastAsiaTheme="majorEastAsia"/>
          <w:sz w:val="24"/>
          <w:szCs w:val="24"/>
          <w:highlight w:val="none"/>
          <w:lang w:eastAsia="zh-CN"/>
        </w:rPr>
        <w:t>分。综合得分（P＝PT＋PB）最高者作为本</w:t>
      </w:r>
      <w:r>
        <w:rPr>
          <w:rFonts w:hint="eastAsia" w:asciiTheme="majorEastAsia" w:hAnsiTheme="majorEastAsia" w:eastAsiaTheme="majorEastAsia"/>
          <w:sz w:val="24"/>
          <w:szCs w:val="24"/>
          <w:highlight w:val="none"/>
          <w:lang w:eastAsia="zh-CN"/>
        </w:rPr>
        <w:t>案</w:t>
      </w:r>
      <w:r>
        <w:rPr>
          <w:rFonts w:asciiTheme="majorEastAsia" w:hAnsiTheme="majorEastAsia" w:eastAsiaTheme="majorEastAsia"/>
          <w:sz w:val="24"/>
          <w:szCs w:val="24"/>
          <w:highlight w:val="none"/>
          <w:lang w:eastAsia="zh-CN"/>
        </w:rPr>
        <w:t>中选人。</w:t>
      </w:r>
    </w:p>
    <w:p>
      <w:pPr>
        <w:spacing w:line="360" w:lineRule="auto"/>
        <w:rPr>
          <w:sz w:val="24"/>
          <w:szCs w:val="24"/>
          <w:lang w:eastAsia="zh-CN"/>
        </w:rPr>
      </w:pPr>
      <w:r>
        <w:rPr>
          <w:rFonts w:hint="eastAsia"/>
          <w:sz w:val="24"/>
          <w:szCs w:val="24"/>
          <w:lang w:val="en-US" w:eastAsia="zh-CN"/>
        </w:rPr>
        <w:t>六、</w:t>
      </w:r>
      <w:r>
        <w:rPr>
          <w:rFonts w:hint="eastAsia"/>
          <w:sz w:val="24"/>
          <w:szCs w:val="24"/>
          <w:lang w:eastAsia="zh-CN"/>
        </w:rPr>
        <w:t xml:space="preserve">联 系 人：黄梅钦  0596-6311073    </w:t>
      </w:r>
      <w:r>
        <w:fldChar w:fldCharType="begin"/>
      </w:r>
      <w:r>
        <w:instrText xml:space="preserve"> HYPERLINK "mailto:huangmq@fjpec.com.cn" </w:instrText>
      </w:r>
      <w:r>
        <w:fldChar w:fldCharType="separate"/>
      </w:r>
      <w:r>
        <w:rPr>
          <w:rStyle w:val="34"/>
          <w:rFonts w:hint="eastAsia"/>
          <w:color w:val="auto"/>
          <w:sz w:val="24"/>
          <w:szCs w:val="24"/>
          <w:lang w:eastAsia="zh-CN"/>
        </w:rPr>
        <w:t>huangmq@fjpec.com.cn</w:t>
      </w:r>
      <w:r>
        <w:rPr>
          <w:rStyle w:val="34"/>
          <w:rFonts w:hint="eastAsia"/>
          <w:color w:val="auto"/>
          <w:sz w:val="24"/>
          <w:szCs w:val="24"/>
          <w:lang w:eastAsia="zh-CN"/>
        </w:rPr>
        <w:fldChar w:fldCharType="end"/>
      </w:r>
    </w:p>
    <w:p>
      <w:pPr>
        <w:pStyle w:val="2"/>
        <w:spacing w:line="360" w:lineRule="auto"/>
        <w:ind w:left="480" w:leftChars="218"/>
        <w:rPr>
          <w:rFonts w:hAnsi="宋体" w:cs="宋体"/>
          <w:sz w:val="24"/>
          <w:szCs w:val="24"/>
        </w:rPr>
      </w:pPr>
      <w:r>
        <w:rPr>
          <w:rFonts w:hint="eastAsia" w:hAnsi="宋体" w:cs="宋体"/>
          <w:sz w:val="24"/>
          <w:szCs w:val="24"/>
        </w:rPr>
        <w:t>技术经办：许展文13960075287      zwxu@fhcpec.com.cn</w:t>
      </w:r>
    </w:p>
    <w:p>
      <w:pPr>
        <w:pStyle w:val="2"/>
        <w:spacing w:line="360" w:lineRule="auto"/>
        <w:ind w:left="480" w:leftChars="218"/>
        <w:rPr>
          <w:rFonts w:hAnsi="宋体" w:cs="宋体"/>
          <w:sz w:val="24"/>
          <w:szCs w:val="24"/>
        </w:rPr>
      </w:pPr>
      <w:r>
        <w:rPr>
          <w:rFonts w:hint="eastAsia" w:hAnsi="宋体" w:cs="宋体"/>
          <w:sz w:val="24"/>
          <w:szCs w:val="24"/>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4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3年7月</w:t>
      </w:r>
      <w:r>
        <w:rPr>
          <w:rFonts w:hint="eastAsia"/>
          <w:sz w:val="24"/>
          <w:szCs w:val="24"/>
          <w:lang w:val="en-US" w:eastAsia="zh-CN"/>
        </w:rPr>
        <w:t>26</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0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14"/>
        <w:spacing w:before="3"/>
        <w:rPr>
          <w:b/>
          <w:sz w:val="26"/>
          <w:lang w:eastAsia="zh-CN"/>
        </w:rPr>
      </w:pPr>
    </w:p>
    <w:p>
      <w:pPr>
        <w:spacing w:after="240"/>
        <w:rPr>
          <w:b/>
          <w:sz w:val="28"/>
          <w:lang w:eastAsia="zh-CN"/>
        </w:rPr>
      </w:pPr>
      <w:r>
        <w:rPr>
          <w:b/>
          <w:w w:val="95"/>
          <w:sz w:val="28"/>
          <w:lang w:eastAsia="zh-CN"/>
        </w:rPr>
        <w:t>一、比选内容</w:t>
      </w:r>
    </w:p>
    <w:p>
      <w:pPr>
        <w:widowControl/>
        <w:autoSpaceDE/>
        <w:autoSpaceDN/>
        <w:spacing w:line="360" w:lineRule="auto"/>
        <w:ind w:left="716" w:leftChars="209" w:hanging="256" w:hangingChars="107"/>
        <w:jc w:val="both"/>
        <w:rPr>
          <w:rFonts w:asciiTheme="minorEastAsia" w:hAnsiTheme="minorEastAsia" w:eastAsiaTheme="minorEastAsia"/>
          <w:sz w:val="24"/>
          <w:lang w:eastAsia="zh-CN"/>
        </w:rPr>
      </w:pPr>
      <w:r>
        <w:rPr>
          <w:rFonts w:hint="eastAsia" w:asciiTheme="majorEastAsia" w:hAnsiTheme="majorEastAsia" w:eastAsiaTheme="majorEastAsia"/>
          <w:sz w:val="24"/>
          <w:szCs w:val="24"/>
          <w:lang w:eastAsia="zh-CN"/>
        </w:rPr>
        <w:t>1.项目名称：</w:t>
      </w:r>
      <w:r>
        <w:rPr>
          <w:rFonts w:hint="eastAsia" w:asciiTheme="minorEastAsia" w:hAnsiTheme="minorEastAsia" w:eastAsiaTheme="minorEastAsia"/>
          <w:sz w:val="24"/>
          <w:lang w:eastAsia="zh-CN"/>
        </w:rPr>
        <w:t>热电厂锅炉氢气掺烧改造项目可行性研究报告等编制服务</w:t>
      </w:r>
    </w:p>
    <w:p>
      <w:pPr>
        <w:pStyle w:val="2"/>
        <w:spacing w:line="360" w:lineRule="auto"/>
        <w:ind w:left="716" w:leftChars="209" w:hanging="256" w:hangingChars="107"/>
      </w:pPr>
      <w:r>
        <w:rPr>
          <w:rFonts w:hint="eastAsia" w:asciiTheme="majorEastAsia" w:hAnsiTheme="majorEastAsia" w:eastAsiaTheme="majorEastAsia"/>
          <w:sz w:val="24"/>
          <w:szCs w:val="24"/>
        </w:rPr>
        <w:t>2.项目主要内容:</w:t>
      </w:r>
      <w:r>
        <w:rPr>
          <w:rFonts w:hint="eastAsia" w:asciiTheme="minorEastAsia" w:hAnsiTheme="minorEastAsia" w:eastAsiaTheme="minorEastAsia"/>
          <w:sz w:val="24"/>
        </w:rPr>
        <w:t>通过对现有电厂燃烧情况和燃烧器使用情况及现场实地勘查，投标方负责完成编制锅炉氢气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并组织进行可研评审。</w:t>
      </w:r>
    </w:p>
    <w:p>
      <w:pPr>
        <w:pStyle w:val="2"/>
        <w:spacing w:line="360" w:lineRule="auto"/>
        <w:ind w:left="716" w:leftChars="209" w:hanging="256" w:hangingChars="107"/>
        <w:rPr>
          <w:rFonts w:cs="宋体" w:asciiTheme="minorEastAsia" w:hAnsiTheme="minorEastAsia" w:eastAsiaTheme="minorEastAsia"/>
          <w:sz w:val="24"/>
        </w:rPr>
      </w:pPr>
      <w:r>
        <w:rPr>
          <w:rFonts w:hint="eastAsia" w:asciiTheme="majorEastAsia" w:hAnsiTheme="majorEastAsia" w:eastAsiaTheme="majorEastAsia"/>
          <w:sz w:val="24"/>
          <w:szCs w:val="24"/>
        </w:rPr>
        <w:t>3.规范及技术要求：详见附件《</w:t>
      </w:r>
      <w:r>
        <w:rPr>
          <w:rFonts w:hint="eastAsia" w:cs="宋体" w:asciiTheme="minorEastAsia" w:hAnsiTheme="minorEastAsia" w:eastAsiaTheme="minorEastAsia"/>
          <w:sz w:val="24"/>
        </w:rPr>
        <w:t>热电厂锅炉氢气掺烧改造项目可行性研究报告等编制服务技术规范书》</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4.执行方式：采用总价包干方式</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5.项目地点：</w:t>
      </w: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w:t>
      </w:r>
    </w:p>
    <w:p>
      <w:pPr>
        <w:spacing w:line="360" w:lineRule="auto"/>
        <w:ind w:left="379" w:hanging="379" w:hangingChars="158"/>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6.项目工期: </w:t>
      </w:r>
      <w:r>
        <w:rPr>
          <w:rFonts w:hint="eastAsia" w:asciiTheme="minorEastAsia" w:hAnsiTheme="minorEastAsia" w:eastAsiaTheme="minorEastAsia"/>
          <w:sz w:val="24"/>
          <w:szCs w:val="24"/>
          <w:lang w:eastAsia="zh-CN"/>
        </w:rPr>
        <w:t>合同签订后150天内完成。</w:t>
      </w:r>
    </w:p>
    <w:p>
      <w:pPr>
        <w:spacing w:line="360" w:lineRule="auto"/>
        <w:ind w:left="224" w:leftChars="102" w:firstLine="240" w:firstLineChars="100"/>
        <w:rPr>
          <w:sz w:val="24"/>
          <w:szCs w:val="24"/>
          <w:lang w:eastAsia="zh-CN"/>
        </w:rPr>
      </w:pPr>
      <w:r>
        <w:rPr>
          <w:rFonts w:hint="eastAsia"/>
          <w:sz w:val="24"/>
          <w:szCs w:val="24"/>
          <w:lang w:eastAsia="zh-CN"/>
        </w:rPr>
        <w:t>7.项目联系人</w:t>
      </w:r>
    </w:p>
    <w:p>
      <w:pPr>
        <w:pStyle w:val="2"/>
        <w:spacing w:line="360" w:lineRule="auto"/>
        <w:ind w:left="480" w:leftChars="218" w:firstLine="240" w:firstLineChars="100"/>
        <w:rPr>
          <w:rFonts w:hAnsi="宋体" w:cs="宋体"/>
          <w:sz w:val="24"/>
          <w:szCs w:val="24"/>
        </w:rPr>
      </w:pPr>
      <w:r>
        <w:rPr>
          <w:rFonts w:hint="eastAsia" w:hAnsi="宋体" w:cs="宋体"/>
          <w:sz w:val="24"/>
          <w:szCs w:val="24"/>
        </w:rPr>
        <w:t>技术联系人：许展文13960075287      zwxu@fhcpec.com.cn</w:t>
      </w:r>
    </w:p>
    <w:p>
      <w:pPr>
        <w:pStyle w:val="14"/>
        <w:spacing w:line="360" w:lineRule="auto"/>
        <w:ind w:right="121"/>
        <w:jc w:val="both"/>
        <w:rPr>
          <w:lang w:eastAsia="zh-CN"/>
        </w:rPr>
      </w:pPr>
      <w:r>
        <w:rPr>
          <w:rFonts w:hint="eastAsia"/>
          <w:lang w:eastAsia="zh-CN"/>
        </w:rPr>
        <w:t xml:space="preserve">      商务联系人：黄梅钦 0596-6311073     huangmq@fjpec.com.cn</w:t>
      </w:r>
    </w:p>
    <w:p>
      <w:pPr>
        <w:pStyle w:val="3"/>
        <w:spacing w:before="18"/>
        <w:ind w:left="0"/>
        <w:rPr>
          <w:lang w:eastAsia="zh-CN"/>
        </w:rPr>
      </w:pPr>
      <w:r>
        <w:rPr>
          <w:w w:val="95"/>
          <w:lang w:eastAsia="zh-CN"/>
        </w:rPr>
        <w:t>二、定义和解释</w:t>
      </w:r>
    </w:p>
    <w:p>
      <w:pPr>
        <w:pStyle w:val="14"/>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14"/>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4"/>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ind w:left="0"/>
        <w:rPr>
          <w:lang w:eastAsia="zh-CN"/>
        </w:rPr>
      </w:pPr>
      <w:r>
        <w:rPr>
          <w:w w:val="95"/>
          <w:lang w:eastAsia="zh-CN"/>
        </w:rPr>
        <w:t>三、比选文件组成</w:t>
      </w:r>
    </w:p>
    <w:p>
      <w:pPr>
        <w:pStyle w:val="14"/>
        <w:spacing w:before="188"/>
        <w:ind w:left="598"/>
        <w:rPr>
          <w:lang w:eastAsia="zh-CN"/>
        </w:rPr>
      </w:pPr>
      <w:r>
        <w:rPr>
          <w:lang w:eastAsia="zh-CN"/>
        </w:rPr>
        <w:t>1.比选文件包括下列内容：</w:t>
      </w:r>
    </w:p>
    <w:p>
      <w:pPr>
        <w:pStyle w:val="14"/>
        <w:spacing w:before="105"/>
        <w:ind w:left="598"/>
        <w:rPr>
          <w:lang w:eastAsia="zh-CN"/>
        </w:rPr>
      </w:pPr>
      <w:r>
        <w:rPr>
          <w:lang w:eastAsia="zh-CN"/>
        </w:rPr>
        <w:t>比选公告、比选须知、项目内容、合同书格式、报价单、承诺函等。</w:t>
      </w:r>
    </w:p>
    <w:p>
      <w:pPr>
        <w:pStyle w:val="14"/>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14"/>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14"/>
        <w:spacing w:line="360" w:lineRule="auto"/>
        <w:ind w:left="118"/>
        <w:rPr>
          <w:lang w:eastAsia="zh-CN"/>
        </w:rPr>
      </w:pPr>
      <w:r>
        <w:rPr>
          <w:lang w:eastAsia="zh-CN"/>
        </w:rPr>
        <w:t>重要事项、格式、条款和技术规范、参数及要求等）。参选人没有按照比选文件要求提交</w:t>
      </w:r>
    </w:p>
    <w:p>
      <w:pPr>
        <w:pStyle w:val="14"/>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0"/>
        <w:rPr>
          <w:lang w:eastAsia="zh-CN"/>
        </w:rPr>
      </w:pPr>
      <w:r>
        <w:rPr>
          <w:w w:val="95"/>
          <w:lang w:eastAsia="zh-CN"/>
        </w:rPr>
        <w:t>四、比选文件的澄清</w:t>
      </w:r>
    </w:p>
    <w:p>
      <w:pPr>
        <w:pStyle w:val="14"/>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rPr>
          <w:lang w:eastAsia="zh-CN"/>
        </w:rPr>
      </w:pPr>
      <w:r>
        <w:rPr>
          <w:w w:val="95"/>
          <w:lang w:eastAsia="zh-CN"/>
        </w:rPr>
        <w:t>五、比选文件的修改、补充</w:t>
      </w:r>
    </w:p>
    <w:p>
      <w:pPr>
        <w:pStyle w:val="14"/>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4"/>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4"/>
        <w:spacing w:before="27" w:line="360" w:lineRule="auto"/>
        <w:ind w:firstLine="480" w:firstLineChars="200"/>
        <w:rPr>
          <w:lang w:eastAsia="zh-CN"/>
        </w:rPr>
      </w:pPr>
      <w:r>
        <w:rPr>
          <w:lang w:eastAsia="zh-CN"/>
        </w:rPr>
        <w:t>3.比选文件的修改书将构成比选文件的一部分，对参选人具有约束作用。</w:t>
      </w:r>
    </w:p>
    <w:p>
      <w:pPr>
        <w:pStyle w:val="14"/>
        <w:spacing w:before="27" w:line="360" w:lineRule="auto"/>
        <w:ind w:firstLine="480" w:firstLineChars="200"/>
        <w:rPr>
          <w:lang w:eastAsia="zh-CN"/>
        </w:rPr>
      </w:pPr>
      <w:r>
        <w:rPr>
          <w:rFonts w:hint="eastAsia"/>
          <w:lang w:eastAsia="zh-CN"/>
        </w:rPr>
        <w:t>4.比选人所作的一切有效补充、修改文件，均被视为比选文件不可分割的部分。</w:t>
      </w:r>
    </w:p>
    <w:p>
      <w:pPr>
        <w:pStyle w:val="3"/>
        <w:spacing w:line="360" w:lineRule="auto"/>
        <w:ind w:left="0"/>
        <w:rPr>
          <w:lang w:eastAsia="zh-CN"/>
        </w:rPr>
      </w:pPr>
      <w:r>
        <w:rPr>
          <w:w w:val="95"/>
          <w:lang w:eastAsia="zh-CN"/>
        </w:rPr>
        <w:t>六、参选人资格</w:t>
      </w:r>
    </w:p>
    <w:p>
      <w:pPr>
        <w:widowControl/>
        <w:autoSpaceDE/>
        <w:autoSpaceDN/>
        <w:spacing w:line="360" w:lineRule="auto"/>
        <w:ind w:left="750" w:leftChars="209" w:hanging="290" w:hangingChars="121"/>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w:t>
      </w:r>
      <w:r>
        <w:rPr>
          <w:rFonts w:hint="eastAsia"/>
          <w:sz w:val="24"/>
          <w:szCs w:val="24"/>
          <w:lang w:eastAsia="zh-CN"/>
        </w:rPr>
        <w:t>参选人</w:t>
      </w:r>
      <w:r>
        <w:rPr>
          <w:rFonts w:hint="eastAsia" w:asciiTheme="minorEastAsia" w:hAnsiTheme="minorEastAsia" w:eastAsiaTheme="minorEastAsia"/>
          <w:sz w:val="24"/>
          <w:lang w:eastAsia="zh-CN"/>
        </w:rPr>
        <w:t>应具有资质条件：具备主管部门颁发的工程咨询甲级资信证书或电力及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行业工程设计甲级资质；</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w:t>
      </w:r>
      <w:r>
        <w:rPr>
          <w:rFonts w:hint="eastAsia"/>
          <w:sz w:val="24"/>
          <w:szCs w:val="24"/>
          <w:lang w:eastAsia="zh-CN"/>
        </w:rPr>
        <w:t>参选人</w:t>
      </w:r>
      <w:r>
        <w:rPr>
          <w:rFonts w:hint="eastAsia" w:asciiTheme="minorEastAsia" w:hAnsiTheme="minorEastAsia" w:eastAsiaTheme="minorEastAsia"/>
          <w:sz w:val="24"/>
          <w:lang w:eastAsia="zh-CN"/>
        </w:rPr>
        <w:t>近6年内具备至少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4.近三年内无设计质量事故，无被相关行政部门处罚记录；</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w:t>
      </w:r>
      <w:r>
        <w:rPr>
          <w:rFonts w:hint="eastAsia"/>
          <w:sz w:val="24"/>
          <w:szCs w:val="24"/>
          <w:lang w:eastAsia="zh-CN"/>
        </w:rPr>
        <w:t>参选人</w:t>
      </w:r>
      <w:r>
        <w:rPr>
          <w:rFonts w:hint="eastAsia" w:asciiTheme="minorEastAsia" w:hAnsiTheme="minorEastAsia" w:eastAsiaTheme="minorEastAsia"/>
          <w:sz w:val="24"/>
          <w:lang w:eastAsia="zh-CN"/>
        </w:rPr>
        <w:t>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w:t>
      </w:r>
      <w:r>
        <w:rPr>
          <w:rFonts w:hint="eastAsia"/>
          <w:sz w:val="24"/>
          <w:szCs w:val="24"/>
          <w:lang w:eastAsia="zh-CN"/>
        </w:rPr>
        <w:t>参选人</w:t>
      </w:r>
      <w:r>
        <w:rPr>
          <w:rFonts w:hint="eastAsia" w:asciiTheme="minorEastAsia" w:hAnsiTheme="minorEastAsia" w:eastAsiaTheme="minorEastAsia"/>
          <w:sz w:val="24"/>
          <w:lang w:eastAsia="zh-CN"/>
        </w:rPr>
        <w:t>应提供以下证明材料，并加盖投标人单位公章。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6.1</w:t>
      </w:r>
      <w:r>
        <w:rPr>
          <w:rFonts w:hint="eastAsia"/>
          <w:sz w:val="24"/>
          <w:szCs w:val="24"/>
          <w:lang w:eastAsia="zh-CN"/>
        </w:rPr>
        <w:t>参选人</w:t>
      </w:r>
      <w:r>
        <w:rPr>
          <w:rFonts w:hint="eastAsia" w:asciiTheme="minorEastAsia" w:hAnsiTheme="minorEastAsia" w:eastAsiaTheme="minorEastAsia"/>
          <w:sz w:val="24"/>
          <w:lang w:eastAsia="zh-CN"/>
        </w:rPr>
        <w:t>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6.2</w:t>
      </w:r>
      <w:r>
        <w:rPr>
          <w:rFonts w:hint="eastAsia"/>
          <w:sz w:val="24"/>
          <w:szCs w:val="24"/>
          <w:lang w:eastAsia="zh-CN"/>
        </w:rPr>
        <w:t>参选人</w:t>
      </w:r>
      <w:r>
        <w:rPr>
          <w:rFonts w:hint="eastAsia" w:asciiTheme="minorEastAsia" w:hAnsiTheme="minorEastAsia" w:eastAsiaTheme="minorEastAsia"/>
          <w:sz w:val="24"/>
          <w:lang w:eastAsia="zh-CN"/>
        </w:rPr>
        <w:t>应提供相关业绩相关证明材料，并加盖投标人公章；</w:t>
      </w:r>
    </w:p>
    <w:p>
      <w:pPr>
        <w:pStyle w:val="53"/>
        <w:widowControl w:val="0"/>
        <w:adjustRightInd w:val="0"/>
        <w:spacing w:line="360" w:lineRule="auto"/>
        <w:ind w:left="1028" w:leftChars="309" w:hanging="348" w:hangingChars="145"/>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6.3</w:t>
      </w:r>
      <w:r>
        <w:rPr>
          <w:rFonts w:hint="eastAsia"/>
          <w:sz w:val="24"/>
          <w:szCs w:val="24"/>
        </w:rPr>
        <w:t>参选人</w:t>
      </w:r>
      <w:r>
        <w:rPr>
          <w:rFonts w:hint="eastAsia" w:asciiTheme="minorEastAsia" w:hAnsiTheme="minorEastAsia" w:eastAsiaTheme="minorEastAsia"/>
          <w:sz w:val="24"/>
        </w:rPr>
        <w:t>应提供三年内无设计质量事故，无被相关行政部门处罚证明文件或承诺函，并加盖投标人公章。</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9.本项目不接受联合体投标</w:t>
      </w:r>
      <w:r>
        <w:rPr>
          <w:rFonts w:hint="eastAsia"/>
          <w:sz w:val="24"/>
          <w:szCs w:val="24"/>
          <w:lang w:eastAsia="zh-CN"/>
        </w:rPr>
        <w:t>。</w:t>
      </w:r>
    </w:p>
    <w:p>
      <w:pPr>
        <w:pStyle w:val="3"/>
        <w:spacing w:line="360" w:lineRule="auto"/>
        <w:ind w:left="0"/>
        <w:rPr>
          <w:b w:val="0"/>
          <w:sz w:val="24"/>
          <w:szCs w:val="24"/>
          <w:lang w:eastAsia="zh-CN"/>
        </w:rPr>
      </w:pPr>
      <w:r>
        <w:rPr>
          <w:w w:val="95"/>
          <w:lang w:eastAsia="zh-CN"/>
        </w:rPr>
        <w:t>七、参选保证金</w:t>
      </w:r>
      <w:r>
        <w:rPr>
          <w:rFonts w:hint="eastAsia"/>
          <w:w w:val="95"/>
          <w:lang w:eastAsia="zh-CN"/>
        </w:rPr>
        <w:t>：无</w:t>
      </w:r>
    </w:p>
    <w:p>
      <w:pPr>
        <w:pStyle w:val="3"/>
        <w:spacing w:line="360" w:lineRule="auto"/>
        <w:ind w:left="0"/>
        <w:rPr>
          <w:lang w:eastAsia="zh-CN"/>
        </w:rPr>
      </w:pPr>
      <w:r>
        <w:rPr>
          <w:w w:val="95"/>
          <w:lang w:eastAsia="zh-CN"/>
        </w:rPr>
        <w:t>八、参选文件的递交</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1.参选文件递交的截止时间：自公告之日起12天即2023年</w:t>
      </w:r>
      <w:r>
        <w:rPr>
          <w:rFonts w:hint="eastAsia" w:asciiTheme="majorEastAsia" w:hAnsiTheme="majorEastAsia" w:eastAsiaTheme="majorEastAsia"/>
          <w:sz w:val="24"/>
          <w:szCs w:val="24"/>
          <w:lang w:val="en-US" w:eastAsia="zh-CN"/>
        </w:rPr>
        <w:t>08</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01</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08</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12</w:t>
      </w:r>
      <w:bookmarkStart w:id="16" w:name="_GoBack"/>
      <w:bookmarkEnd w:id="16"/>
      <w:r>
        <w:rPr>
          <w:rFonts w:hint="eastAsia" w:asciiTheme="majorEastAsia" w:hAnsiTheme="majorEastAsia" w:eastAsiaTheme="majorEastAsia"/>
          <w:sz w:val="24"/>
          <w:szCs w:val="24"/>
          <w:lang w:eastAsia="zh-CN"/>
        </w:rPr>
        <w:t>日前。</w:t>
      </w:r>
    </w:p>
    <w:p>
      <w:pPr>
        <w:pStyle w:val="4"/>
        <w:tabs>
          <w:tab w:val="left" w:pos="6879"/>
        </w:tabs>
        <w:spacing w:line="360" w:lineRule="auto"/>
        <w:ind w:left="0" w:right="106" w:firstLine="470" w:firstLineChars="196"/>
        <w:rPr>
          <w:b w:val="0"/>
          <w:bCs w:val="0"/>
          <w:spacing w:val="-57"/>
          <w:lang w:eastAsia="zh-CN"/>
        </w:rPr>
      </w:pPr>
      <w:r>
        <w:rPr>
          <w:b w:val="0"/>
          <w:bCs w:val="0"/>
          <w:lang w:eastAsia="zh-CN"/>
        </w:rPr>
        <w:t>2.</w:t>
      </w:r>
      <w:r>
        <w:rPr>
          <w:b w:val="0"/>
          <w:bCs w:val="0"/>
          <w:spacing w:val="4"/>
          <w:lang w:eastAsia="zh-CN"/>
        </w:rPr>
        <w:t>递交</w:t>
      </w:r>
      <w:r>
        <w:rPr>
          <w:b w:val="0"/>
          <w:bCs w:val="0"/>
          <w:lang w:eastAsia="zh-CN"/>
        </w:rPr>
        <w:t>参</w:t>
      </w:r>
      <w:r>
        <w:rPr>
          <w:b w:val="0"/>
          <w:bCs w:val="0"/>
          <w:spacing w:val="4"/>
          <w:lang w:eastAsia="zh-CN"/>
        </w:rPr>
        <w:t>选文件的地</w:t>
      </w:r>
      <w:r>
        <w:rPr>
          <w:b w:val="0"/>
          <w:bCs w:val="0"/>
          <w:lang w:eastAsia="zh-CN"/>
        </w:rPr>
        <w:t>点</w:t>
      </w:r>
      <w:r>
        <w:rPr>
          <w:b w:val="0"/>
          <w:bCs w:val="0"/>
          <w:spacing w:val="4"/>
          <w:lang w:eastAsia="zh-CN"/>
        </w:rPr>
        <w:t>为：</w:t>
      </w:r>
      <w:r>
        <w:rPr>
          <w:rFonts w:hint="eastAsia"/>
          <w:b w:val="0"/>
          <w:bCs w:val="0"/>
          <w:spacing w:val="4"/>
          <w:lang w:eastAsia="zh-CN"/>
        </w:rPr>
        <w:t>漳州市漳浦县杜浔镇杜昌路9号</w:t>
      </w:r>
    </w:p>
    <w:p>
      <w:pPr>
        <w:pStyle w:val="4"/>
        <w:tabs>
          <w:tab w:val="left" w:pos="6879"/>
        </w:tabs>
        <w:spacing w:line="360" w:lineRule="auto"/>
        <w:ind w:left="119" w:leftChars="54" w:right="106" w:firstLine="830" w:firstLineChars="346"/>
        <w:rPr>
          <w:b w:val="0"/>
          <w:bCs w:val="0"/>
          <w:lang w:eastAsia="zh-CN"/>
        </w:rPr>
      </w:pPr>
      <w:r>
        <w:rPr>
          <w:b w:val="0"/>
          <w:bCs w:val="0"/>
          <w:lang w:eastAsia="zh-CN"/>
        </w:rPr>
        <w:t>联</w:t>
      </w:r>
      <w:r>
        <w:rPr>
          <w:rFonts w:hint="eastAsia"/>
          <w:b w:val="0"/>
          <w:bCs w:val="0"/>
          <w:lang w:eastAsia="zh-CN"/>
        </w:rPr>
        <w:t xml:space="preserve"> </w:t>
      </w:r>
      <w:r>
        <w:rPr>
          <w:b w:val="0"/>
          <w:bCs w:val="0"/>
          <w:lang w:eastAsia="zh-CN"/>
        </w:rPr>
        <w:t>系</w:t>
      </w:r>
      <w:r>
        <w:rPr>
          <w:rFonts w:hint="eastAsia"/>
          <w:b w:val="0"/>
          <w:bCs w:val="0"/>
          <w:lang w:eastAsia="zh-CN"/>
        </w:rPr>
        <w:t xml:space="preserve"> </w:t>
      </w:r>
      <w:r>
        <w:rPr>
          <w:b w:val="0"/>
          <w:bCs w:val="0"/>
          <w:lang w:eastAsia="zh-CN"/>
        </w:rPr>
        <w:t>人</w:t>
      </w:r>
      <w:r>
        <w:rPr>
          <w:b w:val="0"/>
          <w:bCs w:val="0"/>
          <w:spacing w:val="-56"/>
          <w:lang w:eastAsia="zh-CN"/>
        </w:rPr>
        <w:t>：</w:t>
      </w:r>
      <w:r>
        <w:rPr>
          <w:rFonts w:hint="eastAsia"/>
          <w:b w:val="0"/>
          <w:bCs w:val="0"/>
          <w:spacing w:val="-56"/>
          <w:lang w:eastAsia="zh-CN"/>
        </w:rPr>
        <w:t>黄梅钦</w:t>
      </w:r>
      <w:r>
        <w:rPr>
          <w:rFonts w:hint="eastAsia"/>
          <w:b w:val="0"/>
          <w:bCs w:val="0"/>
          <w:lang w:eastAsia="zh-CN"/>
        </w:rPr>
        <w:t xml:space="preserve">   </w:t>
      </w:r>
      <w:r>
        <w:rPr>
          <w:b w:val="0"/>
          <w:bCs w:val="0"/>
          <w:lang w:eastAsia="zh-CN"/>
        </w:rPr>
        <w:t>联系电话</w:t>
      </w:r>
      <w:r>
        <w:rPr>
          <w:b w:val="0"/>
          <w:bCs w:val="0"/>
          <w:spacing w:val="-4"/>
          <w:lang w:eastAsia="zh-CN"/>
        </w:rPr>
        <w:t>：</w:t>
      </w:r>
      <w:r>
        <w:rPr>
          <w:rFonts w:hint="eastAsia"/>
          <w:b w:val="0"/>
          <w:bCs w:val="0"/>
          <w:spacing w:val="-4"/>
          <w:lang w:eastAsia="zh-CN"/>
        </w:rPr>
        <w:t xml:space="preserve">0596-6311073 </w:t>
      </w:r>
    </w:p>
    <w:p>
      <w:pPr>
        <w:spacing w:line="360" w:lineRule="auto"/>
        <w:ind w:left="598" w:leftChars="272" w:firstLine="235" w:firstLineChars="98"/>
        <w:rPr>
          <w:sz w:val="24"/>
          <w:lang w:eastAsia="zh-CN"/>
        </w:rPr>
      </w:pPr>
      <w:r>
        <w:rPr>
          <w:sz w:val="24"/>
          <w:lang w:eastAsia="zh-CN"/>
        </w:rPr>
        <w:t>注：请使用顺丰快递或中国邮政 EMS 快递，其他快递不能保证送达目的地。</w:t>
      </w:r>
    </w:p>
    <w:p>
      <w:pPr>
        <w:pStyle w:val="14"/>
        <w:spacing w:line="360" w:lineRule="auto"/>
        <w:ind w:firstLine="480" w:firstLineChars="200"/>
        <w:rPr>
          <w:lang w:eastAsia="zh-CN"/>
        </w:rPr>
      </w:pPr>
      <w:r>
        <w:rPr>
          <w:lang w:eastAsia="zh-CN"/>
        </w:rPr>
        <w:t>3.只允许参选人有一个参选方案，否则将被视为无效参选。</w:t>
      </w:r>
    </w:p>
    <w:p>
      <w:pPr>
        <w:pStyle w:val="14"/>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14"/>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14"/>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17"/>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20</w:t>
      </w:r>
      <w:r>
        <w:rPr>
          <w:rFonts w:hint="eastAsia"/>
          <w:b/>
          <w:bCs/>
          <w:sz w:val="24"/>
          <w:szCs w:val="24"/>
          <w:lang w:eastAsia="zh-CN"/>
        </w:rPr>
        <w:t>万元（含税）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4"/>
        <w:spacing w:before="3" w:line="360" w:lineRule="auto"/>
        <w:rPr>
          <w:lang w:eastAsia="zh-CN"/>
        </w:rPr>
      </w:pPr>
    </w:p>
    <w:p>
      <w:pPr>
        <w:pStyle w:val="14"/>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14"/>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4"/>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4"/>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4"/>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4"/>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4"/>
        <w:spacing w:before="26" w:line="360" w:lineRule="auto"/>
        <w:ind w:firstLine="482" w:firstLineChars="200"/>
        <w:rPr>
          <w:highlight w:val="yellow"/>
          <w:lang w:eastAsia="zh-CN"/>
        </w:rPr>
      </w:pPr>
      <w:r>
        <w:rPr>
          <w:rFonts w:hint="eastAsia"/>
          <w:b/>
          <w:highlight w:val="yellow"/>
          <w:lang w:eastAsia="zh-CN"/>
        </w:rPr>
        <w:t>须提供电子版参选文件及报价表（电子U盘里含盖公章的PDF版）</w:t>
      </w:r>
    </w:p>
    <w:p>
      <w:pPr>
        <w:pStyle w:val="3"/>
        <w:ind w:left="0" w:firstLine="534" w:firstLineChars="200"/>
        <w:rPr>
          <w:lang w:eastAsia="zh-CN"/>
        </w:rPr>
      </w:pPr>
      <w:r>
        <w:rPr>
          <w:w w:val="95"/>
          <w:lang w:eastAsia="zh-CN"/>
        </w:rPr>
        <w:t>二、参选书格式内容</w:t>
      </w:r>
    </w:p>
    <w:p>
      <w:pPr>
        <w:pStyle w:val="14"/>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4"/>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14"/>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14"/>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4"/>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4"/>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5"/>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4"/>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4"/>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88858"/>
      <w:bookmarkStart w:id="2" w:name="_Toc430422420"/>
      <w:bookmarkStart w:id="3" w:name="_Toc304357904"/>
      <w:bookmarkStart w:id="4" w:name="_Toc430490619"/>
      <w:bookmarkStart w:id="5" w:name="_Toc415567504"/>
      <w:bookmarkStart w:id="6" w:name="_Toc430489126"/>
      <w:bookmarkStart w:id="7" w:name="_Toc177186249"/>
      <w:bookmarkStart w:id="8" w:name="_Toc430492133"/>
    </w:p>
    <w:p>
      <w:pPr>
        <w:pStyle w:val="14"/>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4"/>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4"/>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4"/>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99" w:firstLineChars="150"/>
        <w:rPr>
          <w:b/>
          <w:w w:val="95"/>
          <w:sz w:val="28"/>
          <w:lang w:eastAsia="zh-CN"/>
        </w:rPr>
      </w:pPr>
      <w:r>
        <w:rPr>
          <w:b/>
          <w:w w:val="95"/>
          <w:sz w:val="28"/>
          <w:lang w:eastAsia="zh-CN"/>
        </w:rPr>
        <w:t>一、规则</w:t>
      </w:r>
    </w:p>
    <w:p>
      <w:pPr>
        <w:pStyle w:val="14"/>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4"/>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2" w:firstLineChars="200"/>
        <w:rPr>
          <w:b/>
          <w:w w:val="95"/>
          <w:sz w:val="28"/>
          <w:lang w:eastAsia="zh-CN"/>
        </w:rPr>
      </w:pPr>
      <w:r>
        <w:rPr>
          <w:b/>
          <w:w w:val="95"/>
          <w:sz w:val="28"/>
          <w:lang w:eastAsia="zh-CN"/>
        </w:rPr>
        <w:t>二、资格审查</w:t>
      </w:r>
    </w:p>
    <w:p>
      <w:pPr>
        <w:pStyle w:val="1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2" w:firstLineChars="200"/>
        <w:rPr>
          <w:b/>
          <w:w w:val="95"/>
          <w:sz w:val="28"/>
          <w:lang w:eastAsia="zh-CN"/>
        </w:rPr>
      </w:pPr>
      <w:r>
        <w:rPr>
          <w:b/>
          <w:w w:val="95"/>
          <w:sz w:val="28"/>
          <w:lang w:eastAsia="zh-CN"/>
        </w:rPr>
        <w:t>三、评选办法</w:t>
      </w:r>
    </w:p>
    <w:p>
      <w:pPr>
        <w:pStyle w:val="14"/>
        <w:spacing w:line="360" w:lineRule="auto"/>
        <w:ind w:right="121" w:firstLine="480" w:firstLineChars="200"/>
        <w:rPr>
          <w:lang w:eastAsia="zh-CN"/>
        </w:rPr>
      </w:pPr>
      <w:r>
        <w:rPr>
          <w:rFonts w:hint="eastAsia"/>
          <w:lang w:eastAsia="zh-CN"/>
        </w:rPr>
        <w:t>本项目设置最高控制价</w:t>
      </w:r>
      <w:r>
        <w:rPr>
          <w:rFonts w:hint="eastAsia"/>
          <w:b/>
          <w:bCs/>
          <w:lang w:eastAsia="zh-CN"/>
        </w:rPr>
        <w:t>人民币20</w:t>
      </w:r>
      <w:r>
        <w:rPr>
          <w:rFonts w:hint="eastAsia"/>
          <w:b/>
          <w:lang w:eastAsia="zh-CN"/>
        </w:rPr>
        <w:t>万元整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spacing w:before="15" w:line="360" w:lineRule="auto"/>
        <w:ind w:firstLine="360" w:firstLineChars="150"/>
        <w:rPr>
          <w:sz w:val="24"/>
          <w:szCs w:val="24"/>
          <w:highlight w:val="none"/>
          <w:lang w:eastAsia="zh-CN"/>
        </w:rPr>
      </w:pPr>
      <w:r>
        <w:rPr>
          <w:rFonts w:hint="eastAsia"/>
          <w:sz w:val="24"/>
          <w:szCs w:val="24"/>
          <w:highlight w:val="none"/>
          <w:lang w:eastAsia="zh-CN"/>
        </w:rPr>
        <w:t>本项目采用综合评分法，商务部分（PB)满分80分、技术部分（PT)满分20分，综合得分（</w:t>
      </w:r>
      <w:r>
        <w:rPr>
          <w:sz w:val="24"/>
          <w:szCs w:val="24"/>
          <w:highlight w:val="none"/>
          <w:lang w:eastAsia="zh-CN"/>
        </w:rPr>
        <w:t>P＝PT＋PB</w:t>
      </w:r>
      <w:r>
        <w:rPr>
          <w:rFonts w:hint="eastAsia"/>
          <w:sz w:val="24"/>
          <w:szCs w:val="24"/>
          <w:highlight w:val="none"/>
          <w:lang w:eastAsia="zh-CN"/>
        </w:rPr>
        <w:t>)最高者作为本案中选人。</w:t>
      </w:r>
      <w:r>
        <w:rPr>
          <w:sz w:val="24"/>
          <w:szCs w:val="24"/>
          <w:highlight w:val="none"/>
          <w:lang w:eastAsia="zh-CN"/>
        </w:rPr>
        <w:t>具体评分办法和标准如下：</w:t>
      </w:r>
    </w:p>
    <w:p>
      <w:pPr>
        <w:spacing w:before="15" w:line="360" w:lineRule="auto"/>
        <w:rPr>
          <w:b/>
          <w:w w:val="95"/>
          <w:sz w:val="28"/>
          <w:highlight w:val="none"/>
          <w:lang w:eastAsia="zh-CN"/>
        </w:rPr>
      </w:pPr>
      <w:r>
        <w:rPr>
          <w:b/>
          <w:w w:val="95"/>
          <w:sz w:val="28"/>
          <w:highlight w:val="none"/>
          <w:lang w:eastAsia="zh-CN"/>
        </w:rPr>
        <w:t>评分标准</w:t>
      </w:r>
    </w:p>
    <w:p>
      <w:pPr>
        <w:pStyle w:val="2"/>
        <w:numPr>
          <w:ilvl w:val="0"/>
          <w:numId w:val="3"/>
        </w:numPr>
        <w:rPr>
          <w:rFonts w:ascii="Times New Roman" w:hAnsi="Times New Roman"/>
          <w:bCs/>
          <w:sz w:val="24"/>
          <w:szCs w:val="24"/>
          <w:highlight w:val="none"/>
          <w:shd w:val="clear" w:color="auto" w:fill="FFFFFF"/>
        </w:rPr>
      </w:pPr>
      <w:r>
        <w:rPr>
          <w:rFonts w:ascii="Times New Roman" w:hAnsi="Times New Roman"/>
          <w:bCs/>
          <w:sz w:val="24"/>
          <w:szCs w:val="24"/>
          <w:highlight w:val="none"/>
          <w:shd w:val="clear" w:color="auto" w:fill="FFFFFF"/>
        </w:rPr>
        <w:t>通过比选人资格性、符合性审核，对招标文件作实质性响应的合格投标人，则依照以下标准进行评审：</w:t>
      </w:r>
    </w:p>
    <w:p>
      <w:pPr>
        <w:pStyle w:val="2"/>
        <w:widowControl w:val="0"/>
        <w:numPr>
          <w:ilvl w:val="0"/>
          <w:numId w:val="0"/>
        </w:numPr>
        <w:adjustRightInd w:val="0"/>
        <w:spacing w:line="312" w:lineRule="atLeast"/>
        <w:jc w:val="both"/>
        <w:textAlignment w:val="baseline"/>
        <w:rPr>
          <w:rFonts w:ascii="Times New Roman" w:hAnsi="Times New Roman"/>
          <w:bCs/>
          <w:sz w:val="24"/>
          <w:szCs w:val="24"/>
          <w:highlight w:val="none"/>
          <w:shd w:val="clear" w:color="auto" w:fill="FFFFFF"/>
        </w:rPr>
      </w:pPr>
    </w:p>
    <w:p>
      <w:pPr>
        <w:pStyle w:val="2"/>
        <w:widowControl w:val="0"/>
        <w:numPr>
          <w:ilvl w:val="0"/>
          <w:numId w:val="0"/>
        </w:numPr>
        <w:adjustRightInd w:val="0"/>
        <w:spacing w:line="312" w:lineRule="atLeast"/>
        <w:jc w:val="both"/>
        <w:textAlignment w:val="baseline"/>
        <w:rPr>
          <w:rFonts w:ascii="Times New Roman" w:hAnsi="Times New Roman"/>
          <w:bCs/>
          <w:sz w:val="24"/>
          <w:szCs w:val="24"/>
          <w:highlight w:val="none"/>
          <w:shd w:val="clear" w:color="auto" w:fill="FFFFFF"/>
        </w:rPr>
      </w:pPr>
    </w:p>
    <w:tbl>
      <w:tblPr>
        <w:tblStyle w:val="37"/>
        <w:tblW w:w="945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559"/>
        <w:gridCol w:w="6636"/>
        <w:gridCol w:w="5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38" w:hRule="atLeast"/>
          <w:jc w:val="center"/>
        </w:trPr>
        <w:tc>
          <w:tcPr>
            <w:tcW w:w="9453" w:type="dxa"/>
            <w:gridSpan w:val="4"/>
            <w:vAlign w:val="center"/>
          </w:tcPr>
          <w:p>
            <w:pPr>
              <w:pStyle w:val="105"/>
              <w:spacing w:line="380" w:lineRule="exact"/>
              <w:jc w:val="left"/>
              <w:rPr>
                <w:sz w:val="21"/>
                <w:szCs w:val="21"/>
                <w:highlight w:val="none"/>
              </w:rPr>
            </w:pPr>
            <w:r>
              <w:rPr>
                <w:sz w:val="21"/>
                <w:szCs w:val="21"/>
                <w:highlight w:val="none"/>
              </w:rPr>
              <w:t>（一）</w:t>
            </w:r>
            <w:r>
              <w:rPr>
                <w:rFonts w:hint="eastAsia"/>
                <w:spacing w:val="5"/>
                <w:sz w:val="21"/>
                <w:szCs w:val="21"/>
                <w:highlight w:val="none"/>
                <w:shd w:val="clear" w:color="auto" w:fill="FFFFFF"/>
              </w:rPr>
              <w:t>技术</w:t>
            </w:r>
            <w:r>
              <w:rPr>
                <w:sz w:val="21"/>
                <w:szCs w:val="21"/>
                <w:highlight w:val="none"/>
              </w:rPr>
              <w:t>部分（满分</w:t>
            </w:r>
            <w:r>
              <w:rPr>
                <w:rFonts w:hint="eastAsia"/>
                <w:sz w:val="21"/>
                <w:szCs w:val="21"/>
                <w:highlight w:val="none"/>
              </w:rPr>
              <w:t>20</w:t>
            </w:r>
            <w:r>
              <w:rPr>
                <w:sz w:val="21"/>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672" w:type="dxa"/>
            <w:tcBorders>
              <w:right w:val="single" w:color="auto" w:sz="4" w:space="0"/>
            </w:tcBorders>
            <w:vAlign w:val="center"/>
          </w:tcPr>
          <w:p>
            <w:pPr>
              <w:pStyle w:val="8"/>
              <w:spacing w:line="400" w:lineRule="exact"/>
              <w:ind w:left="-39" w:leftChars="-18" w:right="-112" w:rightChars="-51"/>
              <w:jc w:val="center"/>
              <w:rPr>
                <w:b/>
                <w:szCs w:val="21"/>
                <w:highlight w:val="none"/>
              </w:rPr>
            </w:pPr>
            <w:r>
              <w:rPr>
                <w:b/>
                <w:szCs w:val="21"/>
                <w:highlight w:val="none"/>
              </w:rPr>
              <w:t>序号</w:t>
            </w:r>
          </w:p>
        </w:tc>
        <w:tc>
          <w:tcPr>
            <w:tcW w:w="1559" w:type="dxa"/>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评标因素</w:t>
            </w:r>
          </w:p>
        </w:tc>
        <w:tc>
          <w:tcPr>
            <w:tcW w:w="6636" w:type="dxa"/>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评标标准</w:t>
            </w:r>
          </w:p>
        </w:tc>
        <w:tc>
          <w:tcPr>
            <w:tcW w:w="586" w:type="dxa"/>
            <w:tcBorders>
              <w:lef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1" w:hRule="atLeast"/>
          <w:jc w:val="center"/>
        </w:trPr>
        <w:tc>
          <w:tcPr>
            <w:tcW w:w="672" w:type="dxa"/>
            <w:tcBorders>
              <w:right w:val="single" w:color="auto" w:sz="4" w:space="0"/>
            </w:tcBorders>
            <w:vAlign w:val="center"/>
          </w:tcPr>
          <w:p>
            <w:pPr>
              <w:pStyle w:val="21"/>
              <w:spacing w:line="276" w:lineRule="auto"/>
              <w:jc w:val="center"/>
              <w:rPr>
                <w:rFonts w:ascii="Times New Roman" w:hAnsi="Times New Roman" w:cs="Times New Roman"/>
                <w:kern w:val="2"/>
                <w:sz w:val="21"/>
                <w:szCs w:val="21"/>
                <w:highlight w:val="none"/>
                <w:lang w:eastAsia="zh-CN"/>
              </w:rPr>
            </w:pPr>
            <w:r>
              <w:rPr>
                <w:rFonts w:ascii="Times New Roman" w:hAnsi="Times New Roman" w:cs="Times New Roman"/>
                <w:kern w:val="2"/>
                <w:sz w:val="21"/>
                <w:szCs w:val="21"/>
                <w:highlight w:val="none"/>
                <w:lang w:eastAsia="zh-CN"/>
              </w:rPr>
              <w:t>1</w:t>
            </w:r>
          </w:p>
        </w:tc>
        <w:tc>
          <w:tcPr>
            <w:tcW w:w="1559" w:type="dxa"/>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highlight w:val="none"/>
                <w:shd w:val="clear" w:color="auto" w:fill="FFFFFF"/>
              </w:rPr>
            </w:pPr>
            <w:r>
              <w:rPr>
                <w:rFonts w:hint="eastAsia" w:ascii="Times New Roman" w:hAnsi="Times New Roman" w:cs="Times New Roman"/>
                <w:sz w:val="21"/>
                <w:szCs w:val="21"/>
                <w:highlight w:val="none"/>
                <w:shd w:val="clear" w:color="auto" w:fill="FFFFFF"/>
                <w:lang w:eastAsia="zh-CN"/>
              </w:rPr>
              <w:t>业绩情况</w:t>
            </w:r>
          </w:p>
        </w:tc>
        <w:tc>
          <w:tcPr>
            <w:tcW w:w="6636" w:type="dxa"/>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hint="eastAsia"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eastAsia="zh-CN"/>
              </w:rPr>
              <w:t>对响应人具有锅炉氢气掺烧改造项目的EPC总包或设计或咨询业绩，最少1项，最低分1分，每多一项加1分，满分5分。</w:t>
            </w:r>
          </w:p>
          <w:p>
            <w:pPr>
              <w:pStyle w:val="2"/>
              <w:rPr>
                <w:highlight w:val="none"/>
              </w:rPr>
            </w:pPr>
            <w:r>
              <w:rPr>
                <w:rFonts w:hint="eastAsia" w:ascii="Times New Roman" w:hAnsi="Times New Roman"/>
                <w:sz w:val="21"/>
                <w:szCs w:val="21"/>
                <w:highlight w:val="none"/>
              </w:rPr>
              <w:t>注：须提供加盖投标人单位公章的合同文件，合同须至少包含双方印章、合同标的内容、签订时间等关键信息，否则不得分。</w:t>
            </w:r>
          </w:p>
        </w:tc>
        <w:tc>
          <w:tcPr>
            <w:tcW w:w="586"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highlight w:val="none"/>
                <w:shd w:val="clear" w:color="auto" w:fill="FFFFFF"/>
                <w:lang w:eastAsia="zh-CN"/>
              </w:rPr>
            </w:pPr>
            <w:r>
              <w:rPr>
                <w:rFonts w:hint="eastAsia" w:ascii="Times New Roman" w:hAnsi="Times New Roman" w:cs="Times New Roman"/>
                <w:sz w:val="21"/>
                <w:szCs w:val="21"/>
                <w:highlight w:val="none"/>
                <w:shd w:val="clear" w:color="auto" w:fill="FFFFFF"/>
                <w:lang w:eastAsia="zh-CN"/>
              </w:rPr>
              <w:t>5</w:t>
            </w:r>
            <w:r>
              <w:rPr>
                <w:rFonts w:ascii="Times New Roman" w:hAnsi="Times New Roman" w:cs="Times New Roman"/>
                <w:sz w:val="21"/>
                <w:szCs w:val="21"/>
                <w:highlight w:val="none"/>
                <w:shd w:val="clear" w:color="auto" w:fill="FFFFFF"/>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76" w:hRule="atLeast"/>
          <w:jc w:val="center"/>
        </w:trPr>
        <w:tc>
          <w:tcPr>
            <w:tcW w:w="672" w:type="dxa"/>
            <w:tcBorders>
              <w:right w:val="single" w:color="auto" w:sz="4" w:space="0"/>
            </w:tcBorders>
            <w:vAlign w:val="center"/>
          </w:tcPr>
          <w:p>
            <w:pPr>
              <w:pStyle w:val="21"/>
              <w:spacing w:line="276" w:lineRule="auto"/>
              <w:jc w:val="center"/>
              <w:rPr>
                <w:rFonts w:ascii="Times New Roman" w:hAnsi="Times New Roman" w:cs="Times New Roman"/>
                <w:kern w:val="2"/>
                <w:sz w:val="21"/>
                <w:szCs w:val="21"/>
                <w:highlight w:val="none"/>
                <w:lang w:eastAsia="zh-CN"/>
              </w:rPr>
            </w:pPr>
            <w:r>
              <w:rPr>
                <w:rFonts w:hint="eastAsia" w:ascii="Times New Roman" w:hAnsi="Times New Roman" w:cs="Times New Roman"/>
                <w:kern w:val="2"/>
                <w:sz w:val="21"/>
                <w:szCs w:val="21"/>
                <w:highlight w:val="none"/>
                <w:lang w:eastAsia="zh-CN"/>
              </w:rPr>
              <w:t>2</w:t>
            </w:r>
          </w:p>
        </w:tc>
        <w:tc>
          <w:tcPr>
            <w:tcW w:w="1559" w:type="dxa"/>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bCs/>
                <w:sz w:val="21"/>
                <w:szCs w:val="21"/>
                <w:highlight w:val="none"/>
                <w:lang w:eastAsia="zh-CN"/>
              </w:rPr>
            </w:pPr>
            <w:r>
              <w:rPr>
                <w:rFonts w:hint="eastAsia" w:ascii="Times New Roman" w:hAnsi="Times New Roman" w:cs="Times New Roman"/>
                <w:bCs/>
                <w:sz w:val="21"/>
                <w:szCs w:val="21"/>
                <w:highlight w:val="none"/>
                <w:lang w:eastAsia="zh-CN"/>
              </w:rPr>
              <w:t>服务方案及进度计划</w:t>
            </w:r>
          </w:p>
        </w:tc>
        <w:tc>
          <w:tcPr>
            <w:tcW w:w="6636" w:type="dxa"/>
            <w:tcBorders>
              <w:left w:val="single" w:color="auto" w:sz="4" w:space="0"/>
              <w:right w:val="single" w:color="auto" w:sz="4" w:space="0"/>
            </w:tcBorders>
            <w:vAlign w:val="center"/>
          </w:tcPr>
          <w:p>
            <w:pPr>
              <w:widowControl/>
              <w:rPr>
                <w:rFonts w:hint="eastAsia"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eastAsia="zh-CN"/>
              </w:rPr>
              <w:t>根据各投标人提供的服务方案及进度计划等情况，得1-15分。</w:t>
            </w:r>
          </w:p>
          <w:p>
            <w:pPr>
              <w:widowControl/>
              <w:rPr>
                <w:rFonts w:ascii="Times New Roman" w:hAnsi="Times New Roman" w:cs="Times New Roman"/>
                <w:color w:val="000000"/>
                <w:sz w:val="21"/>
                <w:szCs w:val="21"/>
                <w:highlight w:val="none"/>
                <w:lang w:eastAsia="zh-CN"/>
              </w:rPr>
            </w:pPr>
            <w:r>
              <w:rPr>
                <w:rFonts w:hint="eastAsia" w:ascii="Times New Roman" w:hAnsi="Times New Roman" w:cs="Times New Roman"/>
                <w:sz w:val="21"/>
                <w:szCs w:val="21"/>
                <w:highlight w:val="none"/>
                <w:lang w:eastAsia="zh-CN"/>
              </w:rPr>
              <w:t>（</w:t>
            </w:r>
            <w:r>
              <w:rPr>
                <w:rFonts w:hint="eastAsia" w:ascii="Times New Roman" w:hAnsi="Times New Roman" w:cs="Times New Roman"/>
                <w:color w:val="000000"/>
                <w:sz w:val="21"/>
                <w:szCs w:val="21"/>
                <w:highlight w:val="none"/>
                <w:lang w:eastAsia="zh-CN"/>
              </w:rPr>
              <w:t>根据响应人的技术方案横向比较综合评审。</w:t>
            </w:r>
          </w:p>
          <w:p>
            <w:pPr>
              <w:shd w:val="clear" w:color="auto" w:fill="FFFFFF"/>
              <w:tabs>
                <w:tab w:val="left" w:pos="720"/>
                <w:tab w:val="left" w:pos="1260"/>
              </w:tabs>
              <w:spacing w:line="400" w:lineRule="exact"/>
              <w:rPr>
                <w:rFonts w:ascii="Times New Roman" w:hAnsi="Times New Roman" w:cs="Times New Roman"/>
                <w:sz w:val="21"/>
                <w:szCs w:val="21"/>
                <w:highlight w:val="none"/>
                <w:lang w:eastAsia="zh-CN"/>
              </w:rPr>
            </w:pPr>
            <w:r>
              <w:rPr>
                <w:rFonts w:hint="eastAsia" w:ascii="Times New Roman" w:hAnsi="Times New Roman" w:cs="Times New Roman"/>
                <w:color w:val="000000"/>
                <w:sz w:val="21"/>
                <w:szCs w:val="21"/>
                <w:highlight w:val="none"/>
                <w:lang w:eastAsia="zh-CN"/>
              </w:rPr>
              <w:t>技术方案要求：1、针对本工程的建设条件进行初步分析和论证，2、提出建设设想及方案，3、并进行工程的投资估算及经济效益分析，4、风险分析，5、完整的进度计划。以上五点各得1-3分，满分15分。</w:t>
            </w:r>
          </w:p>
        </w:tc>
        <w:tc>
          <w:tcPr>
            <w:tcW w:w="586"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highlight w:val="none"/>
                <w:shd w:val="clear" w:color="auto" w:fill="FFFFFF"/>
                <w:lang w:eastAsia="zh-CN"/>
              </w:rPr>
            </w:pPr>
            <w:r>
              <w:rPr>
                <w:rFonts w:hint="eastAsia" w:ascii="Times New Roman" w:hAnsi="Times New Roman" w:cs="Times New Roman"/>
                <w:sz w:val="21"/>
                <w:szCs w:val="21"/>
                <w:highlight w:val="none"/>
                <w:shd w:val="clear" w:color="auto" w:fill="FFFFFF"/>
                <w:lang w:eastAsia="zh-CN"/>
              </w:rPr>
              <w:t>15</w:t>
            </w:r>
            <w:r>
              <w:rPr>
                <w:rFonts w:ascii="Times New Roman" w:hAnsi="Times New Roman" w:cs="Times New Roman"/>
                <w:sz w:val="21"/>
                <w:szCs w:val="21"/>
                <w:highlight w:val="none"/>
                <w:shd w:val="clear" w:color="auto" w:fill="FFFFFF"/>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1" w:hRule="atLeast"/>
          <w:jc w:val="center"/>
        </w:trPr>
        <w:tc>
          <w:tcPr>
            <w:tcW w:w="9453" w:type="dxa"/>
            <w:gridSpan w:val="4"/>
            <w:vAlign w:val="center"/>
          </w:tcPr>
          <w:p>
            <w:pPr>
              <w:shd w:val="clear" w:color="auto" w:fill="FFFFFF"/>
              <w:spacing w:line="400" w:lineRule="exact"/>
              <w:jc w:val="both"/>
              <w:rPr>
                <w:rFonts w:hint="eastAsia" w:ascii="Times New Roman" w:hAnsi="Times New Roman" w:cs="Times New Roman"/>
                <w:sz w:val="21"/>
                <w:szCs w:val="21"/>
                <w:highlight w:val="none"/>
                <w:shd w:val="clear" w:color="auto" w:fill="FFFFFF"/>
                <w:lang w:eastAsia="zh-CN"/>
              </w:rPr>
            </w:pPr>
            <w:r>
              <w:rPr>
                <w:b/>
                <w:bCs/>
                <w:color w:val="auto"/>
                <w:sz w:val="21"/>
                <w:szCs w:val="21"/>
                <w:highlight w:val="none"/>
              </w:rPr>
              <w:t>（</w:t>
            </w:r>
            <w:r>
              <w:rPr>
                <w:rFonts w:hint="eastAsia"/>
                <w:b/>
                <w:bCs/>
                <w:color w:val="auto"/>
                <w:sz w:val="21"/>
                <w:szCs w:val="21"/>
                <w:highlight w:val="none"/>
                <w:lang w:val="en-US" w:eastAsia="zh-CN"/>
              </w:rPr>
              <w:t>二</w:t>
            </w:r>
            <w:r>
              <w:rPr>
                <w:b/>
                <w:bCs/>
                <w:color w:val="auto"/>
                <w:sz w:val="21"/>
                <w:szCs w:val="21"/>
                <w:highlight w:val="none"/>
              </w:rPr>
              <w:t>）价格部分（满分</w:t>
            </w:r>
            <w:r>
              <w:rPr>
                <w:rFonts w:hint="eastAsia"/>
                <w:b/>
                <w:bCs/>
                <w:color w:val="auto"/>
                <w:sz w:val="21"/>
                <w:szCs w:val="21"/>
                <w:highlight w:val="none"/>
                <w:lang w:val="en-US" w:eastAsia="zh-CN"/>
              </w:rPr>
              <w:t>8</w:t>
            </w:r>
            <w:r>
              <w:rPr>
                <w:b/>
                <w:bCs/>
                <w:color w:val="auto"/>
                <w:sz w:val="21"/>
                <w:szCs w:val="21"/>
                <w:highlight w:val="none"/>
              </w:rPr>
              <w:t>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76" w:hRule="atLeast"/>
          <w:jc w:val="center"/>
        </w:trPr>
        <w:tc>
          <w:tcPr>
            <w:tcW w:w="672" w:type="dxa"/>
            <w:tcBorders>
              <w:right w:val="single" w:color="auto" w:sz="4" w:space="0"/>
            </w:tcBorders>
            <w:vAlign w:val="center"/>
          </w:tcPr>
          <w:p>
            <w:pPr>
              <w:pStyle w:val="21"/>
              <w:spacing w:line="276" w:lineRule="auto"/>
              <w:jc w:val="center"/>
              <w:rPr>
                <w:rFonts w:hint="eastAsia" w:ascii="Times New Roman" w:hAnsi="Times New Roman" w:cs="Times New Roman"/>
                <w:kern w:val="2"/>
                <w:sz w:val="21"/>
                <w:szCs w:val="21"/>
                <w:highlight w:val="none"/>
                <w:lang w:val="en-US" w:eastAsia="zh-CN"/>
              </w:rPr>
            </w:pPr>
            <w:r>
              <w:rPr>
                <w:rFonts w:hint="eastAsia" w:ascii="Times New Roman" w:hAnsi="Times New Roman" w:cs="Times New Roman"/>
                <w:kern w:val="2"/>
                <w:sz w:val="21"/>
                <w:szCs w:val="21"/>
                <w:highlight w:val="none"/>
                <w:lang w:val="en-US" w:eastAsia="zh-CN"/>
              </w:rPr>
              <w:t>1</w:t>
            </w:r>
          </w:p>
        </w:tc>
        <w:tc>
          <w:tcPr>
            <w:tcW w:w="8195" w:type="dxa"/>
            <w:gridSpan w:val="2"/>
            <w:tcBorders>
              <w:left w:val="single" w:color="auto" w:sz="4" w:space="0"/>
              <w:right w:val="single" w:color="auto" w:sz="4" w:space="0"/>
            </w:tcBorders>
            <w:vAlign w:val="center"/>
          </w:tcPr>
          <w:p>
            <w:pPr>
              <w:pStyle w:val="2"/>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投标价格得分=( F低/ Fn)×</w:t>
            </w:r>
            <w:r>
              <w:rPr>
                <w:rFonts w:hint="eastAsia" w:ascii="Times New Roman" w:hAnsi="Times New Roman"/>
                <w:color w:val="000000"/>
                <w:sz w:val="21"/>
                <w:szCs w:val="21"/>
                <w:highlight w:val="none"/>
                <w:lang w:val="en-US" w:eastAsia="zh-CN"/>
              </w:rPr>
              <w:t>8</w:t>
            </w:r>
            <w:r>
              <w:rPr>
                <w:rFonts w:hint="eastAsia" w:ascii="Times New Roman" w:hAnsi="Times New Roman"/>
                <w:color w:val="000000"/>
                <w:sz w:val="21"/>
                <w:szCs w:val="21"/>
                <w:highlight w:val="none"/>
              </w:rPr>
              <w:t>0</w:t>
            </w:r>
          </w:p>
          <w:p>
            <w:pPr>
              <w:pStyle w:val="2"/>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式中：①F低为评标基准价=进入报价部分评分的各合格投标人中最低的报价评标价。</w:t>
            </w:r>
          </w:p>
          <w:p>
            <w:pPr>
              <w:shd w:val="clear" w:color="auto" w:fill="FFFFFF"/>
              <w:tabs>
                <w:tab w:val="left" w:pos="720"/>
                <w:tab w:val="left" w:pos="1260"/>
              </w:tabs>
              <w:spacing w:line="400" w:lineRule="exact"/>
              <w:ind w:firstLine="630" w:firstLineChars="300"/>
              <w:rPr>
                <w:rFonts w:hint="eastAsia" w:ascii="Times New Roman" w:hAnsi="Times New Roman" w:cs="Times New Roman"/>
                <w:b/>
                <w:bCs/>
                <w:color w:val="000000"/>
                <w:sz w:val="21"/>
                <w:szCs w:val="21"/>
                <w:highlight w:val="none"/>
                <w:lang w:eastAsia="zh-CN"/>
              </w:rPr>
            </w:pPr>
            <w:r>
              <w:rPr>
                <w:rFonts w:hint="eastAsia" w:ascii="Times New Roman" w:hAnsi="Times New Roman"/>
                <w:color w:val="000000"/>
                <w:sz w:val="21"/>
                <w:szCs w:val="21"/>
                <w:highlight w:val="none"/>
              </w:rPr>
              <w:t>②Fn为进入报价部分评分的各合格投标人的报价评标价。</w:t>
            </w:r>
          </w:p>
        </w:tc>
        <w:tc>
          <w:tcPr>
            <w:tcW w:w="586" w:type="dxa"/>
            <w:tcBorders>
              <w:left w:val="single" w:color="auto" w:sz="4" w:space="0"/>
            </w:tcBorders>
            <w:vAlign w:val="center"/>
          </w:tcPr>
          <w:p>
            <w:pPr>
              <w:shd w:val="clear" w:color="auto" w:fill="FFFFFF"/>
              <w:spacing w:line="400" w:lineRule="exact"/>
              <w:jc w:val="center"/>
              <w:rPr>
                <w:rFonts w:hint="eastAsia" w:ascii="Times New Roman" w:hAnsi="Times New Roman" w:cs="Times New Roman"/>
                <w:sz w:val="21"/>
                <w:szCs w:val="21"/>
                <w:highlight w:val="none"/>
                <w:shd w:val="clear" w:color="auto" w:fill="FFFFFF"/>
                <w:lang w:val="en-US" w:eastAsia="zh-CN"/>
              </w:rPr>
            </w:pPr>
            <w:r>
              <w:rPr>
                <w:rFonts w:hint="eastAsia" w:ascii="Times New Roman" w:hAnsi="Times New Roman" w:cs="Times New Roman"/>
                <w:sz w:val="21"/>
                <w:szCs w:val="21"/>
                <w:highlight w:val="none"/>
                <w:shd w:val="clear" w:color="auto" w:fill="FFFFFF"/>
                <w:lang w:val="en-US" w:eastAsia="zh-CN"/>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01" w:hRule="atLeast"/>
          <w:jc w:val="center"/>
        </w:trPr>
        <w:tc>
          <w:tcPr>
            <w:tcW w:w="9453" w:type="dxa"/>
            <w:gridSpan w:val="4"/>
            <w:vAlign w:val="center"/>
          </w:tcPr>
          <w:p>
            <w:pPr>
              <w:spacing w:line="400" w:lineRule="exact"/>
              <w:rPr>
                <w:rFonts w:ascii="Times New Roman" w:hAnsi="Times New Roman" w:cs="Times New Roman"/>
                <w:b/>
                <w:bCs/>
                <w:sz w:val="21"/>
                <w:szCs w:val="21"/>
                <w:highlight w:val="none"/>
                <w:lang w:eastAsia="zh-CN"/>
              </w:rPr>
            </w:pPr>
            <w:r>
              <w:rPr>
                <w:rFonts w:ascii="Times New Roman" w:hAnsi="Times New Roman" w:cs="Times New Roman"/>
                <w:b/>
                <w:bCs/>
                <w:sz w:val="21"/>
                <w:szCs w:val="21"/>
                <w:highlight w:val="none"/>
                <w:lang w:eastAsia="zh-CN"/>
              </w:rPr>
              <w:t>注：投标人应如实提供评标的相关证明材料复印件、承诺或说明并盖投标人单位公章，未提供相关证明资料复印件或承诺、说明的内容不得分。招标人将保留要求标人提供原件予以核查的权利。评标过程中如发现填报不实，本项不得分。合同履行过程中发现本项有虚假者，取消其中标资格，并追究相应的法律责任和相应的赔偿。</w:t>
            </w:r>
          </w:p>
        </w:tc>
      </w:tr>
    </w:tbl>
    <w:p>
      <w:pPr>
        <w:pStyle w:val="2"/>
        <w:rPr>
          <w:rFonts w:ascii="Times New Roman" w:hAnsi="Times New Roman"/>
          <w:b/>
          <w:sz w:val="24"/>
          <w:szCs w:val="24"/>
          <w:shd w:val="clear" w:color="auto" w:fill="FFFFFF"/>
        </w:rPr>
      </w:pPr>
    </w:p>
    <w:p>
      <w:pPr>
        <w:spacing w:before="15" w:line="360" w:lineRule="auto"/>
        <w:ind w:left="279" w:leftChars="0" w:hanging="279" w:hangingChars="105"/>
        <w:rPr>
          <w:b/>
          <w:w w:val="95"/>
          <w:sz w:val="28"/>
          <w:lang w:eastAsia="zh-CN"/>
        </w:rPr>
      </w:pPr>
      <w:r>
        <w:rPr>
          <w:b/>
          <w:w w:val="95"/>
          <w:sz w:val="28"/>
          <w:lang w:eastAsia="zh-CN"/>
        </w:rPr>
        <w:t>四、以下情况作废选处理</w:t>
      </w:r>
    </w:p>
    <w:p>
      <w:pPr>
        <w:pStyle w:val="14"/>
        <w:spacing w:line="360" w:lineRule="auto"/>
        <w:ind w:left="252" w:leftChars="0" w:right="121" w:hanging="252" w:hangingChars="105"/>
        <w:jc w:val="both"/>
        <w:rPr>
          <w:lang w:eastAsia="zh-CN"/>
        </w:rPr>
      </w:pPr>
      <w:r>
        <w:rPr>
          <w:lang w:eastAsia="zh-CN"/>
        </w:rPr>
        <w:t>1.对比选文件提出的实质性要求和条件，参选文件未能在实质上响应的。</w:t>
      </w:r>
    </w:p>
    <w:p>
      <w:pPr>
        <w:pStyle w:val="14"/>
        <w:spacing w:line="360" w:lineRule="auto"/>
        <w:ind w:left="252" w:leftChars="0" w:right="121" w:hanging="252" w:hangingChars="105"/>
        <w:jc w:val="both"/>
        <w:rPr>
          <w:lang w:eastAsia="zh-CN"/>
        </w:rPr>
      </w:pPr>
      <w:r>
        <w:rPr>
          <w:lang w:eastAsia="zh-CN"/>
        </w:rPr>
        <w:t>2.参选文件存在重大偏差的。</w:t>
      </w:r>
    </w:p>
    <w:p>
      <w:pPr>
        <w:pStyle w:val="14"/>
        <w:spacing w:line="360" w:lineRule="auto"/>
        <w:ind w:left="252" w:leftChars="0" w:right="121" w:hanging="252" w:hangingChars="105"/>
        <w:jc w:val="both"/>
        <w:rPr>
          <w:lang w:eastAsia="zh-CN"/>
        </w:rPr>
      </w:pPr>
      <w:r>
        <w:rPr>
          <w:rFonts w:hint="eastAsia"/>
          <w:lang w:eastAsia="zh-CN"/>
        </w:rPr>
        <w:t>3</w:t>
      </w:r>
      <w:r>
        <w:rPr>
          <w:lang w:eastAsia="zh-CN"/>
        </w:rPr>
        <w:t>.违反规定影响开选评选工作或采取其他方式对比选人施加影响的。</w:t>
      </w:r>
    </w:p>
    <w:p>
      <w:pPr>
        <w:pStyle w:val="14"/>
        <w:spacing w:line="360" w:lineRule="auto"/>
        <w:ind w:left="252" w:leftChars="0" w:right="121" w:hanging="252" w:hangingChars="105"/>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left="279" w:leftChars="0" w:hanging="279" w:hangingChars="105"/>
        <w:rPr>
          <w:b/>
          <w:w w:val="95"/>
          <w:sz w:val="28"/>
          <w:lang w:eastAsia="zh-CN"/>
        </w:rPr>
      </w:pPr>
      <w:r>
        <w:rPr>
          <w:b/>
          <w:w w:val="95"/>
          <w:sz w:val="28"/>
          <w:lang w:eastAsia="zh-CN"/>
        </w:rPr>
        <w:t>五、评选</w:t>
      </w:r>
    </w:p>
    <w:p>
      <w:pPr>
        <w:pStyle w:val="14"/>
        <w:spacing w:line="360" w:lineRule="auto"/>
        <w:ind w:left="252" w:leftChars="0" w:right="121" w:hanging="252" w:hangingChars="105"/>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4"/>
        <w:spacing w:line="360" w:lineRule="auto"/>
        <w:ind w:left="252" w:leftChars="0" w:right="121" w:hanging="252" w:hangingChars="105"/>
        <w:jc w:val="both"/>
        <w:rPr>
          <w:lang w:eastAsia="zh-CN"/>
        </w:rPr>
      </w:pPr>
      <w:r>
        <w:rPr>
          <w:lang w:eastAsia="zh-CN"/>
        </w:rPr>
        <w:t>2.在开选时没有启封和读出的参选文件，在评选时将不予考虑。</w:t>
      </w:r>
    </w:p>
    <w:p>
      <w:pPr>
        <w:pStyle w:val="14"/>
        <w:spacing w:line="360" w:lineRule="auto"/>
        <w:ind w:left="252" w:leftChars="0" w:right="121" w:hanging="252" w:hangingChars="105"/>
        <w:jc w:val="both"/>
        <w:rPr>
          <w:lang w:eastAsia="zh-CN"/>
        </w:rPr>
      </w:pPr>
      <w:r>
        <w:rPr>
          <w:lang w:eastAsia="zh-CN"/>
        </w:rPr>
        <w:t>3.比选人将做开选记录。</w:t>
      </w:r>
    </w:p>
    <w:p>
      <w:pPr>
        <w:pStyle w:val="14"/>
        <w:spacing w:line="360" w:lineRule="auto"/>
        <w:ind w:right="121"/>
        <w:jc w:val="both"/>
        <w:rPr>
          <w:lang w:eastAsia="zh-CN"/>
        </w:rPr>
      </w:pPr>
      <w:r>
        <w:rPr>
          <w:rFonts w:hint="eastAsia"/>
          <w:lang w:eastAsia="zh-CN"/>
        </w:rPr>
        <w:t>4.业主将根据评选结果与中选人签订合同。</w:t>
      </w:r>
    </w:p>
    <w:p>
      <w:pPr>
        <w:pStyle w:val="3"/>
        <w:tabs>
          <w:tab w:val="left" w:pos="1632"/>
        </w:tabs>
        <w:spacing w:line="355" w:lineRule="exact"/>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4"/>
        <w:spacing w:before="12"/>
        <w:rPr>
          <w:b/>
          <w:sz w:val="33"/>
          <w:lang w:eastAsia="zh-CN"/>
        </w:rPr>
      </w:pPr>
    </w:p>
    <w:p>
      <w:pPr>
        <w:pStyle w:val="14"/>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4"/>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4"/>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4"/>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4"/>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4"/>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rStyle w:val="29"/>
          <w:sz w:val="24"/>
          <w:szCs w:val="24"/>
        </w:rPr>
      </w:pPr>
      <w:r>
        <w:rPr>
          <w:rFonts w:hint="eastAsia"/>
          <w:sz w:val="24"/>
          <w:szCs w:val="24"/>
        </w:rPr>
        <w:t>9.</w:t>
      </w:r>
      <w:r>
        <w:rPr>
          <w:rStyle w:val="29"/>
          <w:rFonts w:hint="eastAsia"/>
          <w:sz w:val="24"/>
          <w:szCs w:val="24"/>
        </w:rPr>
        <w:t>福建福海创石油化工有限公司的权属子公司“腾龙芳烃（漳州）有限公司”作为合同执行主体，将于中选通知书发出之日起20日内与中选人完成合同签订事宜。</w:t>
      </w:r>
    </w:p>
    <w:p>
      <w:pPr>
        <w:pStyle w:val="2"/>
        <w:spacing w:line="360" w:lineRule="auto"/>
        <w:ind w:firstLine="437"/>
        <w:rPr>
          <w:rStyle w:val="29"/>
          <w:sz w:val="24"/>
          <w:szCs w:val="24"/>
        </w:rPr>
      </w:pPr>
    </w:p>
    <w:p>
      <w:pPr>
        <w:pStyle w:val="2"/>
        <w:spacing w:line="360" w:lineRule="auto"/>
        <w:ind w:firstLine="437"/>
        <w:rPr>
          <w:rStyle w:val="29"/>
          <w:sz w:val="24"/>
          <w:szCs w:val="24"/>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4"/>
        <w:spacing w:before="12"/>
        <w:rPr>
          <w:b/>
          <w:sz w:val="33"/>
          <w:lang w:eastAsia="zh-CN"/>
        </w:rPr>
      </w:pPr>
    </w:p>
    <w:p>
      <w:pPr>
        <w:pStyle w:val="14"/>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32"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14"/>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80" w:firstLineChars="1100"/>
        <w:jc w:val="both"/>
        <w:rPr>
          <w:lang w:eastAsia="zh-CN"/>
        </w:rPr>
      </w:pPr>
    </w:p>
    <w:p>
      <w:pPr>
        <w:pStyle w:val="3"/>
        <w:tabs>
          <w:tab w:val="left" w:pos="1912"/>
        </w:tabs>
        <w:spacing w:line="355" w:lineRule="exact"/>
        <w:ind w:left="647" w:firstLine="3080" w:firstLineChars="1100"/>
        <w:jc w:val="both"/>
        <w:rPr>
          <w:lang w:eastAsia="zh-CN"/>
        </w:rPr>
      </w:pPr>
    </w:p>
    <w:p>
      <w:pPr>
        <w:pStyle w:val="3"/>
        <w:tabs>
          <w:tab w:val="left" w:pos="1912"/>
        </w:tabs>
        <w:spacing w:line="355" w:lineRule="exact"/>
        <w:ind w:left="647" w:firstLine="3080"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4"/>
        <w:spacing w:line="360" w:lineRule="auto"/>
        <w:ind w:left="567"/>
        <w:rPr>
          <w:lang w:eastAsia="zh-CN"/>
        </w:rPr>
      </w:pPr>
    </w:p>
    <w:p>
      <w:pPr>
        <w:pStyle w:val="14"/>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4"/>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14"/>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14"/>
        <w:spacing w:before="106" w:line="360" w:lineRule="auto"/>
        <w:ind w:left="567"/>
        <w:rPr>
          <w:lang w:eastAsia="zh-CN"/>
        </w:rPr>
      </w:pPr>
      <w:r>
        <w:rPr>
          <w:lang w:eastAsia="zh-CN"/>
        </w:rPr>
        <w:br w:type="page"/>
      </w:r>
    </w:p>
    <w:p>
      <w:pPr>
        <w:pStyle w:val="14"/>
        <w:rPr>
          <w:rFonts w:ascii="Times New Roman"/>
          <w:b/>
          <w:bCs/>
          <w:lang w:eastAsia="zh-CN"/>
        </w:rPr>
      </w:pPr>
      <w:r>
        <w:rPr>
          <w:rFonts w:hint="eastAsia" w:ascii="Times New Roman"/>
          <w:b/>
          <w:bCs/>
          <w:lang w:eastAsia="zh-CN"/>
        </w:rPr>
        <w:t>附件一：</w:t>
      </w:r>
    </w:p>
    <w:p>
      <w:pPr>
        <w:spacing w:line="360" w:lineRule="auto"/>
        <w:jc w:val="center"/>
        <w:rPr>
          <w:b/>
          <w:sz w:val="36"/>
          <w:szCs w:val="36"/>
          <w:lang w:eastAsia="zh-CN"/>
        </w:rPr>
      </w:pPr>
    </w:p>
    <w:p>
      <w:pPr>
        <w:spacing w:line="360" w:lineRule="auto"/>
        <w:jc w:val="center"/>
        <w:rPr>
          <w:b/>
          <w:sz w:val="36"/>
          <w:szCs w:val="36"/>
          <w:lang w:eastAsia="zh-CN"/>
        </w:rPr>
      </w:pPr>
      <w:r>
        <w:rPr>
          <w:rFonts w:hint="eastAsia"/>
          <w:b/>
          <w:sz w:val="36"/>
          <w:szCs w:val="36"/>
          <w:lang w:eastAsia="zh-CN"/>
        </w:rPr>
        <w:t>热电厂锅炉氢气掺烧改造项目可行性研究报告等</w:t>
      </w:r>
    </w:p>
    <w:p>
      <w:pPr>
        <w:spacing w:line="360" w:lineRule="auto"/>
        <w:jc w:val="center"/>
        <w:rPr>
          <w:b/>
          <w:sz w:val="36"/>
          <w:szCs w:val="36"/>
          <w:lang w:eastAsia="zh-CN"/>
        </w:rPr>
      </w:pPr>
      <w:r>
        <w:rPr>
          <w:rFonts w:hint="eastAsia"/>
          <w:b/>
          <w:sz w:val="36"/>
          <w:szCs w:val="36"/>
          <w:lang w:eastAsia="zh-CN"/>
        </w:rPr>
        <w:t>编制服务项目技术服务合同</w:t>
      </w:r>
    </w:p>
    <w:p>
      <w:pPr>
        <w:spacing w:line="800" w:lineRule="exact"/>
        <w:ind w:firstLine="3640" w:firstLineChars="1300"/>
        <w:jc w:val="both"/>
        <w:rPr>
          <w:sz w:val="28"/>
          <w:szCs w:val="28"/>
          <w:lang w:eastAsia="zh-CN"/>
        </w:rPr>
      </w:pPr>
    </w:p>
    <w:p>
      <w:pPr>
        <w:spacing w:line="800" w:lineRule="exact"/>
        <w:ind w:firstLine="3640" w:firstLineChars="1300"/>
        <w:jc w:val="both"/>
        <w:rPr>
          <w:sz w:val="28"/>
          <w:szCs w:val="28"/>
          <w:lang w:eastAsia="zh-CN"/>
        </w:rPr>
      </w:pPr>
      <w:r>
        <w:rPr>
          <w:rFonts w:hint="eastAsia"/>
          <w:sz w:val="28"/>
          <w:szCs w:val="28"/>
          <w:lang w:eastAsia="zh-CN"/>
        </w:rPr>
        <w:t>合同编号：</w:t>
      </w:r>
    </w:p>
    <w:p>
      <w:pPr>
        <w:rPr>
          <w:sz w:val="48"/>
          <w:szCs w:val="48"/>
          <w:lang w:eastAsia="zh-CN"/>
        </w:rPr>
      </w:pPr>
    </w:p>
    <w:p>
      <w:pPr>
        <w:pStyle w:val="2"/>
      </w:pPr>
    </w:p>
    <w:p>
      <w:pPr>
        <w:spacing w:line="520" w:lineRule="exact"/>
        <w:ind w:firstLine="280" w:firstLineChars="100"/>
        <w:rPr>
          <w:sz w:val="28"/>
          <w:szCs w:val="28"/>
          <w:u w:val="single"/>
          <w:lang w:eastAsia="zh-CN"/>
        </w:rPr>
      </w:pPr>
      <w:r>
        <w:rPr>
          <w:rFonts w:hint="eastAsia"/>
          <w:sz w:val="28"/>
          <w:szCs w:val="28"/>
          <w:lang w:eastAsia="zh-CN"/>
        </w:rPr>
        <w:t>委托方（甲方）：</w:t>
      </w:r>
      <w:r>
        <w:rPr>
          <w:rFonts w:hint="eastAsia"/>
          <w:sz w:val="28"/>
          <w:szCs w:val="28"/>
          <w:u w:val="single"/>
          <w:lang w:eastAsia="zh-CN"/>
        </w:rPr>
        <w:t xml:space="preserve"> 腾龙芳烃（漳州）有限公司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许展文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13960075287</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byhong@fhcpec.com.cn</w:t>
      </w:r>
    </w:p>
    <w:p>
      <w:pPr>
        <w:pStyle w:val="2"/>
        <w:rPr>
          <w:sz w:val="28"/>
          <w:szCs w:val="28"/>
          <w:u w:val="single"/>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pStyle w:val="2"/>
      </w:pPr>
    </w:p>
    <w:p>
      <w:pPr>
        <w:pStyle w:val="2"/>
        <w:jc w:val="center"/>
        <w:rPr>
          <w:sz w:val="28"/>
          <w:szCs w:val="28"/>
        </w:rPr>
      </w:pPr>
      <w:r>
        <w:rPr>
          <w:rFonts w:hint="eastAsia"/>
          <w:sz w:val="28"/>
          <w:szCs w:val="28"/>
        </w:rPr>
        <w:t>签订日期：2023年  月   日</w:t>
      </w:r>
    </w:p>
    <w:p>
      <w:pPr>
        <w:pStyle w:val="17"/>
        <w:spacing w:line="360" w:lineRule="auto"/>
        <w:rPr>
          <w:sz w:val="24"/>
        </w:rPr>
      </w:pPr>
      <w:r>
        <w:rPr>
          <w:rFonts w:hint="eastAsia" w:hAnsi="宋体"/>
          <w:lang w:eastAsia="zh-CN"/>
        </w:rPr>
        <w:t xml:space="preserve">    本合同由甲方委托乙方就</w:t>
      </w:r>
      <w:r>
        <w:rPr>
          <w:rFonts w:hint="eastAsia" w:hAnsi="宋体"/>
          <w:b/>
          <w:bCs/>
          <w:u w:val="single"/>
          <w:lang w:eastAsia="zh-CN"/>
        </w:rPr>
        <w:t>热电厂锅炉氢气掺烧改造项目可行性研究报告等编制服务项目</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r>
        <w:rPr>
          <w:rFonts w:hint="eastAsia" w:hAnsi="宋体"/>
          <w:b/>
          <w:bCs/>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hAnsi="宋体"/>
          <w:b/>
          <w:bCs/>
        </w:rPr>
        <w:t>）</w:t>
      </w:r>
    </w:p>
    <w:p>
      <w:pPr>
        <w:pStyle w:val="17"/>
        <w:spacing w:line="400" w:lineRule="exact"/>
        <w:rPr>
          <w:rFonts w:hAnsi="宋体"/>
          <w:b/>
          <w:bCs/>
          <w:lang w:eastAsia="zh-CN"/>
        </w:rPr>
      </w:pPr>
      <w:r>
        <w:rPr>
          <w:rFonts w:hint="eastAsia" w:hAnsi="宋体"/>
          <w:b/>
          <w:bCs/>
          <w:lang w:eastAsia="zh-CN"/>
        </w:rPr>
        <w:t>第一条　乙方进行技术咨询的内容、要求、方式：</w:t>
      </w:r>
    </w:p>
    <w:p>
      <w:pPr>
        <w:spacing w:line="360" w:lineRule="auto"/>
        <w:ind w:left="660" w:hanging="660" w:hangingChars="300"/>
        <w:rPr>
          <w:szCs w:val="21"/>
          <w:lang w:eastAsia="zh-CN"/>
        </w:rPr>
      </w:pPr>
      <w:r>
        <w:rPr>
          <w:rFonts w:hint="eastAsia"/>
          <w:szCs w:val="21"/>
          <w:lang w:eastAsia="zh-CN"/>
        </w:rPr>
        <w:t xml:space="preserve">    1.技术服务及咨询内容：</w:t>
      </w:r>
      <w:r>
        <w:rPr>
          <w:rFonts w:hint="eastAsia"/>
          <w:szCs w:val="21"/>
          <w:u w:val="single"/>
          <w:lang w:eastAsia="zh-CN"/>
        </w:rPr>
        <w:t xml:space="preserve">详见附件1《热电厂锅炉氢气掺烧改造项目可行性研究报告等编制服务技术规范书》 </w:t>
      </w:r>
    </w:p>
    <w:p>
      <w:pPr>
        <w:spacing w:line="360" w:lineRule="auto"/>
        <w:ind w:left="660" w:hanging="660" w:hangingChars="300"/>
        <w:rPr>
          <w:szCs w:val="21"/>
          <w:lang w:eastAsia="zh-CN"/>
        </w:rPr>
      </w:pPr>
      <w:r>
        <w:rPr>
          <w:rFonts w:hint="eastAsia"/>
          <w:szCs w:val="21"/>
          <w:lang w:eastAsia="zh-CN"/>
        </w:rPr>
        <w:t xml:space="preserve">    2.技术服务及咨询要求：</w:t>
      </w:r>
      <w:r>
        <w:rPr>
          <w:rFonts w:hint="eastAsia"/>
          <w:szCs w:val="21"/>
          <w:u w:val="single"/>
          <w:lang w:eastAsia="zh-CN"/>
        </w:rPr>
        <w:t xml:space="preserve"> 详见附件1《热电厂锅炉氢气掺烧改造项目可行性研究报告等编制服务技术规范书》 </w:t>
      </w:r>
    </w:p>
    <w:p>
      <w:pPr>
        <w:pStyle w:val="17"/>
        <w:spacing w:line="400" w:lineRule="exact"/>
        <w:rPr>
          <w:rFonts w:hAnsi="宋体"/>
          <w:b/>
          <w:bCs/>
          <w:lang w:eastAsia="zh-CN"/>
        </w:rPr>
      </w:pPr>
      <w:r>
        <w:rPr>
          <w:rFonts w:hint="eastAsia" w:hAnsi="宋体"/>
          <w:b/>
          <w:bCs/>
          <w:lang w:eastAsia="zh-CN"/>
        </w:rPr>
        <w:t>第二条 乙方按照下列要求进行本合同项目的技术咨询工作：</w:t>
      </w:r>
    </w:p>
    <w:p>
      <w:pPr>
        <w:pStyle w:val="17"/>
        <w:spacing w:line="400" w:lineRule="exact"/>
        <w:ind w:left="660" w:leftChars="200" w:hanging="220" w:hangingChars="100"/>
        <w:rPr>
          <w:rFonts w:hAnsi="宋体"/>
          <w:lang w:eastAsia="zh-CN"/>
        </w:rPr>
      </w:pPr>
      <w:r>
        <w:rPr>
          <w:rFonts w:hint="eastAsia" w:hAnsi="宋体"/>
          <w:lang w:eastAsia="zh-CN"/>
        </w:rPr>
        <w:t>1.技术服务及咨询地点：</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7"/>
        <w:spacing w:line="400" w:lineRule="exact"/>
        <w:ind w:left="660" w:leftChars="200" w:hanging="220" w:hangingChars="100"/>
        <w:rPr>
          <w:rFonts w:hAnsi="宋体"/>
          <w:lang w:eastAsia="zh-CN"/>
        </w:rPr>
      </w:pPr>
      <w:r>
        <w:rPr>
          <w:rFonts w:hint="eastAsia" w:hAnsi="宋体"/>
          <w:lang w:eastAsia="zh-CN"/>
        </w:rPr>
        <w:t>2.技术服务及咨询期限：</w:t>
      </w:r>
      <w:r>
        <w:rPr>
          <w:rFonts w:hint="eastAsia" w:hAnsi="宋体"/>
          <w:u w:val="single"/>
          <w:lang w:eastAsia="zh-CN"/>
        </w:rPr>
        <w:t xml:space="preserve"> 合同签订后150天内完成。 </w:t>
      </w:r>
    </w:p>
    <w:p>
      <w:pPr>
        <w:pStyle w:val="17"/>
        <w:spacing w:line="400" w:lineRule="exact"/>
        <w:ind w:left="660" w:leftChars="200" w:hanging="220" w:hangingChars="100"/>
        <w:rPr>
          <w:rFonts w:hAnsi="宋体"/>
          <w:lang w:eastAsia="zh-CN"/>
        </w:rPr>
      </w:pPr>
      <w:r>
        <w:rPr>
          <w:rFonts w:hint="eastAsia" w:hAnsi="宋体"/>
          <w:lang w:eastAsia="zh-CN"/>
        </w:rPr>
        <w:t>3.技术服务及咨询进度：</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7"/>
        <w:spacing w:line="400" w:lineRule="exact"/>
        <w:ind w:left="660" w:leftChars="200" w:hanging="220" w:hangingChars="100"/>
        <w:rPr>
          <w:rFonts w:hAnsi="宋体"/>
          <w:lang w:eastAsia="zh-CN"/>
        </w:rPr>
      </w:pPr>
      <w:r>
        <w:rPr>
          <w:rFonts w:hint="eastAsia" w:hAnsi="宋体"/>
          <w:lang w:eastAsia="zh-CN"/>
        </w:rPr>
        <w:t>4、技术服务及咨询质量要求：</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7"/>
        <w:numPr>
          <w:ilvl w:val="0"/>
          <w:numId w:val="4"/>
        </w:numPr>
        <w:spacing w:line="400" w:lineRule="exact"/>
        <w:ind w:left="660" w:leftChars="200" w:hanging="220" w:hangingChars="100"/>
        <w:rPr>
          <w:rFonts w:hAnsi="宋体"/>
          <w:u w:val="single"/>
          <w:lang w:eastAsia="zh-CN"/>
        </w:rPr>
      </w:pPr>
      <w:r>
        <w:rPr>
          <w:rFonts w:hint="eastAsia" w:hAnsi="宋体"/>
          <w:lang w:eastAsia="zh-CN"/>
        </w:rPr>
        <w:t>技术服务及咨询质量期限要求：</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7"/>
        <w:spacing w:line="400" w:lineRule="exact"/>
        <w:rPr>
          <w:rFonts w:hAnsi="宋体"/>
          <w:b/>
          <w:bCs/>
          <w:lang w:eastAsia="zh-CN"/>
        </w:rPr>
      </w:pPr>
      <w:r>
        <w:rPr>
          <w:rFonts w:hint="eastAsia" w:hAnsi="宋体"/>
          <w:b/>
          <w:bCs/>
          <w:lang w:eastAsia="zh-CN"/>
        </w:rPr>
        <w:t>第三条 为保证乙方有效进行技术咨询工作，甲方应当向乙方提供下列协作事项：</w:t>
      </w:r>
    </w:p>
    <w:p>
      <w:pPr>
        <w:pStyle w:val="17"/>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w:t>
      </w:r>
      <w:r>
        <w:rPr>
          <w:rFonts w:hint="eastAsia" w:hAnsi="宋体"/>
          <w:lang w:eastAsia="zh-CN"/>
        </w:rPr>
        <w:t xml:space="preserve"> </w:t>
      </w:r>
    </w:p>
    <w:p>
      <w:pPr>
        <w:pStyle w:val="17"/>
        <w:spacing w:line="400" w:lineRule="exact"/>
        <w:ind w:firstLine="440" w:firstLineChars="200"/>
        <w:rPr>
          <w:rFonts w:hAnsi="宋体"/>
          <w:lang w:eastAsia="zh-CN"/>
        </w:rPr>
      </w:pPr>
      <w:r>
        <w:rPr>
          <w:rFonts w:hint="eastAsia" w:hAnsi="宋体"/>
          <w:lang w:eastAsia="zh-CN"/>
        </w:rPr>
        <w:t>提供工作条件：</w:t>
      </w:r>
      <w:r>
        <w:rPr>
          <w:rFonts w:hint="eastAsia"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其他：</w:t>
      </w:r>
      <w:r>
        <w:rPr>
          <w:rFonts w:hint="eastAsia" w:hAnsi="宋体"/>
          <w:u w:val="single"/>
          <w:lang w:eastAsia="zh-CN"/>
        </w:rPr>
        <w:t xml:space="preserve">                                              </w:t>
      </w:r>
    </w:p>
    <w:p>
      <w:pPr>
        <w:pStyle w:val="17"/>
        <w:spacing w:line="400" w:lineRule="exact"/>
        <w:ind w:firstLine="440" w:firstLineChars="200"/>
        <w:rPr>
          <w:rFonts w:hAnsi="宋体"/>
          <w:u w:val="single"/>
          <w:lang w:eastAsia="zh-CN"/>
        </w:rPr>
      </w:pPr>
      <w:r>
        <w:rPr>
          <w:rFonts w:hint="eastAsia" w:hAnsi="宋体"/>
          <w:lang w:eastAsia="zh-CN"/>
        </w:rPr>
        <w:t>甲方提供上述协作事项的时间及方式：</w:t>
      </w:r>
      <w:r>
        <w:rPr>
          <w:rFonts w:hint="eastAsia" w:hAnsi="宋体"/>
          <w:u w:val="single"/>
          <w:lang w:eastAsia="zh-CN"/>
        </w:rPr>
        <w:t xml:space="preserve">                                              </w:t>
      </w:r>
    </w:p>
    <w:p>
      <w:pPr>
        <w:pStyle w:val="17"/>
        <w:spacing w:line="400" w:lineRule="exact"/>
        <w:ind w:firstLine="440" w:firstLineChars="20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Pr>
          <w:b/>
          <w:lang w:eastAsia="zh-CN"/>
        </w:rPr>
        <w:t>若发现上述资料、材料</w:t>
      </w:r>
      <w:r>
        <w:rPr>
          <w:rFonts w:hint="eastAsia"/>
          <w:b/>
          <w:lang w:eastAsia="zh-CN"/>
        </w:rPr>
        <w:t>、工作条件等</w:t>
      </w:r>
      <w:r>
        <w:rPr>
          <w:b/>
          <w:lang w:eastAsia="zh-CN"/>
        </w:rPr>
        <w:t>不符合约定的，应当在收到材料</w:t>
      </w:r>
      <w:r>
        <w:rPr>
          <w:rFonts w:hint="eastAsia"/>
          <w:b/>
          <w:lang w:eastAsia="zh-CN"/>
        </w:rPr>
        <w:t>或协作事项落实</w:t>
      </w:r>
      <w:r>
        <w:rPr>
          <w:b/>
          <w:lang w:eastAsia="zh-CN"/>
        </w:rPr>
        <w:t>后</w:t>
      </w:r>
      <w:r>
        <w:rPr>
          <w:rFonts w:hint="eastAsia"/>
          <w:b/>
          <w:lang w:eastAsia="zh-CN"/>
        </w:rPr>
        <w:t>7</w:t>
      </w:r>
      <w:r>
        <w:rPr>
          <w:b/>
          <w:lang w:eastAsia="zh-CN"/>
        </w:rPr>
        <w:t>天内书面通知甲方。若逾期未提出异议的，视作甲方的资料、材料</w:t>
      </w:r>
      <w:r>
        <w:rPr>
          <w:rFonts w:hint="eastAsia"/>
          <w:b/>
          <w:lang w:eastAsia="zh-CN"/>
        </w:rPr>
        <w:t>、工作条件等协作事项</w:t>
      </w:r>
      <w:r>
        <w:rPr>
          <w:b/>
          <w:lang w:eastAsia="zh-CN"/>
        </w:rPr>
        <w:t>符合合同约定。</w:t>
      </w:r>
    </w:p>
    <w:p>
      <w:pPr>
        <w:pStyle w:val="17"/>
        <w:spacing w:line="400" w:lineRule="exact"/>
        <w:rPr>
          <w:rFonts w:hAnsi="宋体"/>
          <w:b/>
          <w:bCs/>
          <w:lang w:eastAsia="zh-CN"/>
        </w:rPr>
      </w:pPr>
      <w:r>
        <w:rPr>
          <w:rFonts w:hint="eastAsia" w:hAnsi="宋体"/>
          <w:b/>
          <w:bCs/>
          <w:lang w:eastAsia="zh-CN"/>
        </w:rPr>
        <w:t>第四条 甲方向乙方支付技术服务及咨询报酬及支付方式为：</w:t>
      </w:r>
    </w:p>
    <w:p>
      <w:pPr>
        <w:pStyle w:val="17"/>
        <w:spacing w:line="400" w:lineRule="exact"/>
        <w:ind w:firstLine="440" w:firstLineChars="200"/>
        <w:rPr>
          <w:rFonts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元（含税）</w:t>
      </w:r>
    </w:p>
    <w:p>
      <w:pPr>
        <w:pStyle w:val="17"/>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17"/>
        <w:spacing w:line="400" w:lineRule="exact"/>
        <w:rPr>
          <w:rFonts w:hAnsi="宋体"/>
          <w:lang w:eastAsia="zh-CN"/>
        </w:rPr>
      </w:pPr>
      <w:r>
        <w:rPr>
          <w:rFonts w:hAnsi="宋体"/>
          <w:lang w:eastAsia="zh-CN"/>
        </w:rPr>
        <w:t xml:space="preserve">   </w:t>
      </w:r>
      <w:r>
        <w:rPr>
          <w:rFonts w:hint="eastAsia" w:hAnsi="宋体"/>
          <w:lang w:eastAsia="zh-CN"/>
        </w:rPr>
        <w:t>（</w:t>
      </w:r>
      <w:r>
        <w:rPr>
          <w:rFonts w:hAnsi="宋体"/>
          <w:lang w:eastAsia="zh-CN"/>
        </w:rPr>
        <w:t>1</w:t>
      </w:r>
      <w:r>
        <w:rPr>
          <w:rFonts w:hint="eastAsia" w:hAnsi="宋体"/>
          <w:lang w:eastAsia="zh-CN"/>
        </w:rPr>
        <w:t>）协议签定之日起</w:t>
      </w:r>
      <w:r>
        <w:rPr>
          <w:rFonts w:hint="eastAsia" w:hAnsi="宋体"/>
          <w:u w:val="single"/>
          <w:lang w:eastAsia="zh-CN"/>
        </w:rPr>
        <w:t xml:space="preserve">    </w:t>
      </w:r>
      <w:r>
        <w:rPr>
          <w:rFonts w:hint="eastAsia" w:hAnsi="宋体"/>
          <w:lang w:eastAsia="zh-CN"/>
        </w:rPr>
        <w:t>个工作日内,甲方支付总价款的</w:t>
      </w:r>
      <w:r>
        <w:rPr>
          <w:rFonts w:hint="eastAsia" w:hAnsi="宋体"/>
          <w:u w:val="single"/>
          <w:lang w:eastAsia="zh-CN"/>
        </w:rPr>
        <w:t xml:space="preserve">    </w:t>
      </w:r>
      <w:r>
        <w:rPr>
          <w:rFonts w:hint="eastAsia" w:hAnsi="宋体"/>
          <w:lang w:eastAsia="zh-CN"/>
        </w:rPr>
        <w:t xml:space="preserve"> %比例作为预付款，即人民币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7"/>
        <w:spacing w:line="400" w:lineRule="exact"/>
        <w:rPr>
          <w:rFonts w:hAnsi="宋体"/>
          <w:lang w:eastAsia="zh-CN"/>
        </w:rPr>
      </w:pPr>
      <w:r>
        <w:rPr>
          <w:rFonts w:hAnsi="宋体"/>
          <w:lang w:eastAsia="zh-CN"/>
        </w:rPr>
        <w:t xml:space="preserve">   </w:t>
      </w:r>
      <w:r>
        <w:rPr>
          <w:rFonts w:hint="eastAsia" w:hAnsi="宋体"/>
          <w:lang w:eastAsia="zh-CN"/>
        </w:rPr>
        <w:t>（</w:t>
      </w:r>
      <w:r>
        <w:rPr>
          <w:rFonts w:hAnsi="宋体"/>
          <w:lang w:eastAsia="zh-CN"/>
        </w:rPr>
        <w:t>2</w:t>
      </w:r>
      <w:r>
        <w:rPr>
          <w:rFonts w:hint="eastAsia" w:hAnsi="宋体"/>
          <w:lang w:eastAsia="zh-CN"/>
        </w:rPr>
        <w:t>）乙方按照合同约定提供</w:t>
      </w:r>
      <w:r>
        <w:rPr>
          <w:rFonts w:hAnsi="宋体"/>
          <w:lang w:eastAsia="zh-CN"/>
        </w:rPr>
        <w:t>完整</w:t>
      </w:r>
      <w:r>
        <w:rPr>
          <w:rFonts w:hint="eastAsia" w:hAnsi="宋体"/>
          <w:lang w:eastAsia="zh-CN"/>
        </w:rPr>
        <w:t>的服务，并出具经甲方认可的正式</w:t>
      </w:r>
      <w:r>
        <w:rPr>
          <w:rFonts w:hint="eastAsia" w:hAnsi="宋体"/>
          <w:u w:val="single"/>
          <w:lang w:eastAsia="zh-CN"/>
        </w:rPr>
        <w:t xml:space="preserve">    </w:t>
      </w:r>
      <w:r>
        <w:rPr>
          <w:rFonts w:hAnsi="宋体"/>
          <w:lang w:eastAsia="zh-CN"/>
        </w:rPr>
        <w:t>报告</w:t>
      </w:r>
      <w:r>
        <w:rPr>
          <w:rFonts w:hint="eastAsia" w:hAnsi="宋体"/>
          <w:lang w:eastAsia="zh-CN"/>
        </w:rPr>
        <w:t>后</w:t>
      </w:r>
      <w:r>
        <w:rPr>
          <w:rFonts w:hint="eastAsia" w:hAnsi="宋体"/>
          <w:u w:val="single"/>
          <w:lang w:eastAsia="zh-CN"/>
        </w:rPr>
        <w:t xml:space="preserve">    </w:t>
      </w:r>
      <w:r>
        <w:rPr>
          <w:rFonts w:hint="eastAsia" w:hAnsi="宋体"/>
          <w:lang w:eastAsia="zh-CN"/>
        </w:rPr>
        <w:t>个工作日内，甲方支付总价款的</w:t>
      </w:r>
      <w:r>
        <w:rPr>
          <w:rFonts w:hint="eastAsia" w:hAnsi="宋体"/>
          <w:u w:val="single"/>
          <w:lang w:eastAsia="zh-CN"/>
        </w:rPr>
        <w:t xml:space="preserve">    </w:t>
      </w:r>
      <w:r>
        <w:rPr>
          <w:rFonts w:hint="eastAsia" w:hAnsi="宋体"/>
          <w:lang w:eastAsia="zh-CN"/>
        </w:rPr>
        <w:t xml:space="preserve"> %，即人民币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7"/>
        <w:spacing w:line="400" w:lineRule="exact"/>
        <w:ind w:firstLine="330" w:firstLineChars="150"/>
        <w:rPr>
          <w:rFonts w:hAnsi="宋体"/>
          <w:lang w:eastAsia="zh-CN"/>
        </w:rPr>
      </w:pPr>
      <w:r>
        <w:rPr>
          <w:rFonts w:hint="eastAsia" w:hAnsi="宋体"/>
          <w:lang w:eastAsia="zh-CN"/>
        </w:rPr>
        <w:t>（3）在乙方</w:t>
      </w:r>
      <w:r>
        <w:rPr>
          <w:rFonts w:hAnsi="宋体"/>
          <w:lang w:eastAsia="zh-CN"/>
        </w:rPr>
        <w:t>报告</w:t>
      </w:r>
      <w:r>
        <w:rPr>
          <w:rFonts w:hint="eastAsia" w:hAnsi="宋体"/>
          <w:lang w:eastAsia="zh-CN"/>
        </w:rPr>
        <w:t>经政府有权部门审批通过后</w:t>
      </w:r>
      <w:r>
        <w:rPr>
          <w:rFonts w:hint="eastAsia" w:hAnsi="宋体"/>
          <w:u w:val="single"/>
          <w:lang w:eastAsia="zh-CN"/>
        </w:rPr>
        <w:t xml:space="preserve">    </w:t>
      </w:r>
      <w:r>
        <w:rPr>
          <w:rFonts w:hint="eastAsia" w:hAnsi="宋体"/>
          <w:lang w:eastAsia="zh-CN"/>
        </w:rPr>
        <w:t>个工作日内，甲方支付剩余款，即人民币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7"/>
        <w:spacing w:line="400" w:lineRule="exact"/>
        <w:ind w:firstLine="330" w:firstLineChars="150"/>
        <w:rPr>
          <w:rFonts w:hAnsi="宋体"/>
          <w:lang w:eastAsia="zh-CN"/>
        </w:rPr>
      </w:pPr>
      <w:r>
        <w:rPr>
          <w:rFonts w:hint="eastAsia" w:hAnsi="宋体"/>
          <w:lang w:eastAsia="zh-CN"/>
        </w:rPr>
        <w:t>（4）乙方应根据合同约定进度，在甲方付款期限届满</w:t>
      </w:r>
      <w:r>
        <w:rPr>
          <w:rFonts w:hint="eastAsia" w:hAnsi="宋体"/>
          <w:u w:val="single"/>
          <w:lang w:eastAsia="zh-CN"/>
        </w:rPr>
        <w:t xml:space="preserve"> 30</w:t>
      </w:r>
      <w:r>
        <w:rPr>
          <w:rFonts w:hAnsi="宋体"/>
          <w:u w:val="single"/>
          <w:lang w:eastAsia="zh-CN"/>
        </w:rPr>
        <w:t xml:space="preserve"> </w:t>
      </w:r>
      <w:r>
        <w:rPr>
          <w:rFonts w:hint="eastAsia" w:hAnsi="宋体"/>
          <w:lang w:eastAsia="zh-CN"/>
        </w:rPr>
        <w:t>日前提供合法、有效的</w:t>
      </w:r>
      <w:r>
        <w:rPr>
          <w:rFonts w:hint="eastAsia" w:hAnsi="宋体"/>
          <w:u w:val="single"/>
          <w:lang w:eastAsia="zh-CN"/>
        </w:rPr>
        <w:t xml:space="preserve">    %</w:t>
      </w:r>
      <w:r>
        <w:rPr>
          <w:rFonts w:hint="eastAsia" w:hAnsi="宋体"/>
          <w:lang w:eastAsia="zh-CN"/>
        </w:rPr>
        <w:t>增值税专用发票，否则甲方有权顺延付款。上述技术服务及咨询报酬直接支付至乙方指定的下列账号：</w:t>
      </w:r>
    </w:p>
    <w:p>
      <w:pPr>
        <w:pStyle w:val="17"/>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17"/>
        <w:spacing w:line="400" w:lineRule="exact"/>
        <w:rPr>
          <w:rFonts w:hAnsi="宋体"/>
          <w:b/>
          <w:bCs/>
          <w:lang w:eastAsia="zh-CN"/>
        </w:rPr>
      </w:pPr>
      <w:r>
        <w:rPr>
          <w:rFonts w:hint="eastAsia" w:hAnsi="宋体"/>
          <w:b/>
          <w:bCs/>
          <w:lang w:eastAsia="zh-CN"/>
        </w:rPr>
        <w:t>第五条 双方确定因履行本合同应遵守的保密义务如下：</w:t>
      </w:r>
    </w:p>
    <w:p>
      <w:pPr>
        <w:pStyle w:val="17"/>
        <w:spacing w:line="400" w:lineRule="exact"/>
        <w:ind w:firstLine="440" w:firstLineChars="200"/>
        <w:rPr>
          <w:rFonts w:hAnsi="宋体"/>
          <w:lang w:eastAsia="zh-CN"/>
        </w:rPr>
      </w:pPr>
      <w:r>
        <w:rPr>
          <w:rFonts w:hint="eastAsia" w:hAnsi="宋体"/>
          <w:lang w:eastAsia="zh-CN"/>
        </w:rPr>
        <w:t>甲方：</w:t>
      </w:r>
    </w:p>
    <w:p>
      <w:pPr>
        <w:pStyle w:val="17"/>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17"/>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17"/>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17"/>
        <w:spacing w:line="400" w:lineRule="exact"/>
        <w:ind w:firstLine="440" w:firstLineChars="200"/>
        <w:rPr>
          <w:rFonts w:hAnsi="宋体"/>
          <w:lang w:eastAsia="zh-CN"/>
        </w:rPr>
      </w:pPr>
      <w:r>
        <w:rPr>
          <w:rFonts w:hint="eastAsia" w:hAnsi="宋体"/>
          <w:lang w:eastAsia="zh-CN"/>
        </w:rPr>
        <w:t>乙方：</w:t>
      </w:r>
    </w:p>
    <w:p>
      <w:pPr>
        <w:pStyle w:val="17"/>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17"/>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17"/>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17"/>
        <w:spacing w:line="400" w:lineRule="exact"/>
        <w:rPr>
          <w:rFonts w:hAnsi="宋体"/>
          <w:b/>
          <w:bCs/>
          <w:lang w:eastAsia="zh-CN"/>
        </w:rPr>
      </w:pPr>
      <w:r>
        <w:rPr>
          <w:rFonts w:hint="eastAsia" w:hAnsi="宋体"/>
          <w:b/>
          <w:bCs/>
          <w:lang w:eastAsia="zh-CN"/>
        </w:rPr>
        <w:t>第六条 本合同的变更必须由双方协商一致，并以书面形式确定。</w:t>
      </w:r>
    </w:p>
    <w:p>
      <w:pPr>
        <w:pStyle w:val="17"/>
        <w:spacing w:line="400" w:lineRule="exact"/>
        <w:rPr>
          <w:rFonts w:hAnsi="宋体"/>
          <w:lang w:eastAsia="zh-CN"/>
        </w:rPr>
      </w:pPr>
      <w:r>
        <w:rPr>
          <w:rFonts w:hint="eastAsia" w:hAnsi="宋体"/>
          <w:b/>
          <w:bCs/>
          <w:lang w:eastAsia="zh-CN"/>
        </w:rPr>
        <w:t xml:space="preserve">第七条 </w:t>
      </w:r>
      <w:r>
        <w:rPr>
          <w:rFonts w:hint="eastAsia" w:hAnsi="宋体"/>
          <w:lang w:eastAsia="zh-CN"/>
        </w:rPr>
        <w:t>双方确定，按以下标准和方式对乙方提交的技术咨询工作成果进行验收：</w:t>
      </w:r>
    </w:p>
    <w:p>
      <w:pPr>
        <w:pStyle w:val="17"/>
        <w:spacing w:line="400" w:lineRule="exact"/>
        <w:ind w:firstLine="440" w:firstLineChars="200"/>
        <w:rPr>
          <w:rFonts w:hAnsi="宋体"/>
          <w:lang w:eastAsia="zh-CN"/>
        </w:rPr>
      </w:pPr>
      <w:r>
        <w:rPr>
          <w:rFonts w:hint="eastAsia" w:hAnsi="宋体"/>
          <w:lang w:eastAsia="zh-CN"/>
        </w:rPr>
        <w:t>1、乙方提交技术</w:t>
      </w:r>
      <w:r>
        <w:rPr>
          <w:rFonts w:hint="eastAsia" w:hAnsi="宋体"/>
          <w:u w:val="single"/>
          <w:lang w:eastAsia="zh-CN"/>
        </w:rPr>
        <w:t xml:space="preserve">    </w:t>
      </w:r>
      <w:r>
        <w:rPr>
          <w:rFonts w:hAnsi="宋体"/>
          <w:u w:val="single"/>
          <w:lang w:eastAsia="zh-CN"/>
        </w:rPr>
        <w:t xml:space="preserve"> </w:t>
      </w:r>
      <w:r>
        <w:rPr>
          <w:rFonts w:hint="eastAsia" w:hAnsi="宋体"/>
          <w:lang w:eastAsia="zh-CN"/>
        </w:rPr>
        <w:t>工作成果的形式：</w:t>
      </w: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2、技术</w:t>
      </w:r>
      <w:r>
        <w:rPr>
          <w:rFonts w:hint="eastAsia" w:hAnsi="宋体"/>
          <w:u w:val="single"/>
          <w:lang w:eastAsia="zh-CN"/>
        </w:rPr>
        <w:t xml:space="preserve">    </w:t>
      </w:r>
      <w:r>
        <w:rPr>
          <w:rFonts w:hAnsi="宋体"/>
          <w:u w:val="single"/>
          <w:lang w:eastAsia="zh-CN"/>
        </w:rPr>
        <w:t xml:space="preserve"> </w:t>
      </w:r>
      <w:r>
        <w:rPr>
          <w:rFonts w:hint="eastAsia" w:hAnsi="宋体"/>
          <w:lang w:eastAsia="zh-CN"/>
        </w:rPr>
        <w:t>工作成果的验收标准：</w:t>
      </w: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w:t>
      </w:r>
      <w:r>
        <w:rPr>
          <w:rFonts w:hAnsi="宋体"/>
          <w:u w:val="single"/>
          <w:lang w:eastAsia="zh-CN"/>
        </w:rPr>
        <w:t xml:space="preserve">                                </w:t>
      </w:r>
    </w:p>
    <w:p>
      <w:pPr>
        <w:spacing w:line="520" w:lineRule="exact"/>
        <w:ind w:firstLine="440" w:firstLineChars="200"/>
        <w:rPr>
          <w:sz w:val="24"/>
          <w:lang w:eastAsia="zh-CN"/>
        </w:rPr>
      </w:pPr>
      <w:r>
        <w:rPr>
          <w:rFonts w:hint="eastAsia"/>
          <w:szCs w:val="21"/>
          <w:lang w:eastAsia="zh-CN"/>
        </w:rPr>
        <w:t>4、双方确认，</w:t>
      </w:r>
      <w:r>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pPr>
        <w:pStyle w:val="17"/>
        <w:spacing w:line="400" w:lineRule="exact"/>
        <w:rPr>
          <w:rFonts w:hAnsi="宋体"/>
          <w:lang w:eastAsia="zh-CN"/>
        </w:rPr>
      </w:pPr>
      <w:r>
        <w:rPr>
          <w:rFonts w:hint="eastAsia" w:hAnsi="宋体"/>
          <w:b/>
          <w:bCs/>
          <w:lang w:eastAsia="zh-CN"/>
        </w:rPr>
        <w:t>第八条</w:t>
      </w:r>
      <w:r>
        <w:rPr>
          <w:rFonts w:hint="eastAsia" w:hAnsi="宋体"/>
          <w:lang w:eastAsia="zh-CN"/>
        </w:rPr>
        <w:t xml:space="preserve"> 双方确定，甲方指定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为乙方项目联系人。项目联系人承担以下责任：</w:t>
      </w:r>
    </w:p>
    <w:p>
      <w:pPr>
        <w:pStyle w:val="17"/>
        <w:spacing w:line="400" w:lineRule="exact"/>
        <w:ind w:firstLine="440" w:firstLineChars="200"/>
        <w:rPr>
          <w:rFonts w:hAnsi="宋体"/>
          <w:u w:val="single"/>
          <w:lang w:eastAsia="zh-CN"/>
        </w:rPr>
      </w:pP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u w:val="single"/>
          <w:lang w:eastAsia="zh-CN"/>
        </w:rPr>
        <w:t xml:space="preserve">    </w:t>
      </w:r>
      <w:r>
        <w:rPr>
          <w:rFonts w:hAnsi="宋体"/>
          <w:u w:val="single"/>
          <w:lang w:eastAsia="zh-CN"/>
        </w:rPr>
        <w:t xml:space="preserve">                                                             </w:t>
      </w:r>
    </w:p>
    <w:p>
      <w:pPr>
        <w:pStyle w:val="17"/>
        <w:spacing w:line="400" w:lineRule="exact"/>
        <w:ind w:firstLine="440" w:firstLineChars="200"/>
        <w:rPr>
          <w:rFonts w:hAnsi="宋体"/>
          <w:lang w:eastAsia="zh-CN"/>
        </w:rPr>
      </w:pPr>
      <w:r>
        <w:rPr>
          <w:rFonts w:hint="eastAsia" w:hAnsi="宋体"/>
          <w:lang w:eastAsia="zh-CN"/>
        </w:rPr>
        <w:t>一方变更项目联系人的，应当及时以书面形式通知另一方。未及时通知并影响本合同履行或造成损失的，应承担相应的责任。</w:t>
      </w:r>
    </w:p>
    <w:p>
      <w:pPr>
        <w:pStyle w:val="17"/>
        <w:spacing w:line="400" w:lineRule="exact"/>
        <w:rPr>
          <w:rFonts w:hAnsi="宋体"/>
          <w:b/>
          <w:bCs/>
          <w:lang w:eastAsia="zh-CN"/>
        </w:rPr>
      </w:pPr>
      <w:r>
        <w:rPr>
          <w:rFonts w:hint="eastAsia" w:hAnsi="宋体"/>
          <w:b/>
          <w:bCs/>
          <w:lang w:eastAsia="zh-CN"/>
        </w:rPr>
        <w:t>第九条  违约责任</w:t>
      </w:r>
    </w:p>
    <w:p>
      <w:pPr>
        <w:spacing w:line="400" w:lineRule="exact"/>
        <w:ind w:firstLine="440" w:firstLineChars="200"/>
        <w:rPr>
          <w:rStyle w:val="57"/>
          <w:color w:val="000000"/>
          <w:lang w:eastAsia="zh-CN"/>
        </w:rPr>
      </w:pPr>
      <w:r>
        <w:rPr>
          <w:rStyle w:val="57"/>
          <w:rFonts w:hint="eastAsia"/>
          <w:color w:val="000000"/>
          <w:lang w:eastAsia="zh-CN"/>
        </w:rPr>
        <w:t>1．乙方逾期提交服务咨询报告等工作成果的，</w:t>
      </w:r>
      <w:r>
        <w:rPr>
          <w:rStyle w:val="57"/>
          <w:rFonts w:hint="eastAsia"/>
          <w:b/>
          <w:color w:val="000000"/>
          <w:lang w:eastAsia="zh-CN"/>
        </w:rPr>
        <w:t>每日按照合同总价</w:t>
      </w:r>
      <w:r>
        <w:rPr>
          <w:rStyle w:val="57"/>
          <w:rFonts w:hint="eastAsia"/>
          <w:b/>
          <w:color w:val="000000"/>
          <w:u w:val="single"/>
          <w:lang w:eastAsia="zh-CN"/>
        </w:rPr>
        <w:t xml:space="preserve"> 1 </w:t>
      </w:r>
      <w:r>
        <w:rPr>
          <w:rStyle w:val="57"/>
          <w:rFonts w:hint="eastAsia"/>
          <w:b/>
          <w:color w:val="000000"/>
          <w:lang w:eastAsia="zh-CN"/>
        </w:rPr>
        <w:t>%向甲方支付违约金，逾期超过</w:t>
      </w:r>
      <w:r>
        <w:rPr>
          <w:rFonts w:hint="eastAsia"/>
          <w:b/>
          <w:szCs w:val="21"/>
          <w:u w:val="single"/>
          <w:lang w:eastAsia="zh-CN"/>
        </w:rPr>
        <w:t xml:space="preserve"> 30</w:t>
      </w:r>
      <w:r>
        <w:rPr>
          <w:b/>
          <w:szCs w:val="21"/>
          <w:u w:val="single"/>
          <w:lang w:eastAsia="zh-CN"/>
        </w:rPr>
        <w:t xml:space="preserve"> </w:t>
      </w:r>
      <w:r>
        <w:rPr>
          <w:rStyle w:val="57"/>
          <w:rFonts w:hint="eastAsia"/>
          <w:b/>
          <w:color w:val="000000"/>
          <w:lang w:eastAsia="zh-CN"/>
        </w:rPr>
        <w:t>日的，甲方有权解除本合同并要求乙方退还已经收取的费用，乙方应按照合同总价20%向甲方支付违约金，违约金不足以弥补甲方损失的，甲方有权追偿</w:t>
      </w:r>
      <w:r>
        <w:rPr>
          <w:rStyle w:val="57"/>
          <w:rFonts w:hint="eastAsia"/>
          <w:color w:val="000000"/>
          <w:lang w:eastAsia="zh-CN"/>
        </w:rPr>
        <w:t>。</w:t>
      </w:r>
    </w:p>
    <w:p>
      <w:pPr>
        <w:pStyle w:val="17"/>
        <w:spacing w:line="400" w:lineRule="exact"/>
        <w:ind w:firstLine="440" w:firstLineChars="200"/>
        <w:rPr>
          <w:rStyle w:val="57"/>
          <w:b/>
          <w:color w:val="000000"/>
          <w:lang w:eastAsia="zh-CN"/>
        </w:rPr>
      </w:pPr>
      <w:r>
        <w:rPr>
          <w:rStyle w:val="57"/>
          <w:rFonts w:hint="eastAsia"/>
          <w:color w:val="000000"/>
          <w:lang w:eastAsia="zh-CN"/>
        </w:rPr>
        <w:t>2．乙方提交的服务咨询报告不符合合同约定的，应在甲方指定期限内修改完善直至符合合同约定为止，</w:t>
      </w:r>
      <w:r>
        <w:rPr>
          <w:rStyle w:val="57"/>
          <w:rFonts w:hint="eastAsia"/>
          <w:b/>
          <w:color w:val="000000"/>
          <w:lang w:eastAsia="zh-CN"/>
        </w:rPr>
        <w:t>由此造成逾期提交的，按照第1款约定执行。</w:t>
      </w:r>
    </w:p>
    <w:p>
      <w:pPr>
        <w:pStyle w:val="17"/>
        <w:spacing w:line="400" w:lineRule="exact"/>
        <w:ind w:firstLine="440" w:firstLineChars="200"/>
        <w:rPr>
          <w:rFonts w:hAnsi="宋体"/>
          <w:lang w:eastAsia="zh-CN"/>
        </w:rPr>
      </w:pPr>
      <w:r>
        <w:rPr>
          <w:rStyle w:val="57"/>
          <w:rFonts w:hint="eastAsia"/>
          <w:color w:val="000000"/>
          <w:lang w:eastAsia="zh-CN"/>
        </w:rPr>
        <w:t>3．任何一方违反保密义务的，应向对方支付违约金人民币</w:t>
      </w:r>
      <w:r>
        <w:rPr>
          <w:rFonts w:hint="eastAsia" w:hAnsi="宋体"/>
          <w:u w:val="single"/>
          <w:lang w:eastAsia="zh-CN"/>
        </w:rPr>
        <w:t xml:space="preserve"> 10000</w:t>
      </w:r>
      <w:r>
        <w:rPr>
          <w:rFonts w:hAnsi="宋体"/>
          <w:u w:val="single"/>
          <w:lang w:eastAsia="zh-CN"/>
        </w:rPr>
        <w:t xml:space="preserve"> </w:t>
      </w:r>
      <w:r>
        <w:rPr>
          <w:rStyle w:val="57"/>
          <w:rFonts w:hint="eastAsia"/>
          <w:color w:val="000000"/>
          <w:lang w:eastAsia="zh-CN"/>
        </w:rPr>
        <w:t>元；赔偿由此给对方造成的损失。</w:t>
      </w:r>
    </w:p>
    <w:p>
      <w:pPr>
        <w:pStyle w:val="17"/>
        <w:spacing w:line="400" w:lineRule="exact"/>
        <w:rPr>
          <w:rFonts w:hAnsi="宋体"/>
          <w:lang w:eastAsia="zh-CN"/>
        </w:rPr>
      </w:pPr>
      <w:r>
        <w:rPr>
          <w:rFonts w:hint="eastAsia" w:hAnsi="宋体"/>
          <w:b/>
          <w:bCs/>
          <w:lang w:eastAsia="zh-CN"/>
        </w:rPr>
        <w:t xml:space="preserve">第十条 </w:t>
      </w:r>
      <w:r>
        <w:rPr>
          <w:rFonts w:hint="eastAsia" w:hAnsi="宋体"/>
          <w:lang w:eastAsia="zh-CN"/>
        </w:rPr>
        <w:t>双方因履行本合同而发生的争议，可协商、调解解决，也可直接采取下列第</w:t>
      </w:r>
      <w:r>
        <w:rPr>
          <w:rFonts w:hint="eastAsia" w:hAnsi="宋体"/>
          <w:u w:val="single"/>
          <w:lang w:eastAsia="zh-CN"/>
        </w:rPr>
        <w:t xml:space="preserve"> 2</w:t>
      </w:r>
      <w:r>
        <w:rPr>
          <w:rFonts w:hAnsi="宋体"/>
          <w:u w:val="single"/>
          <w:lang w:eastAsia="zh-CN"/>
        </w:rPr>
        <w:t xml:space="preserve"> </w:t>
      </w:r>
      <w:r>
        <w:rPr>
          <w:rFonts w:hint="eastAsia" w:hAnsi="宋体"/>
          <w:lang w:eastAsia="zh-CN"/>
        </w:rPr>
        <w:t>种方式解决：</w:t>
      </w:r>
    </w:p>
    <w:p>
      <w:pPr>
        <w:pStyle w:val="17"/>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17"/>
        <w:spacing w:line="400" w:lineRule="exact"/>
        <w:ind w:firstLine="440" w:firstLineChars="200"/>
        <w:rPr>
          <w:rFonts w:hAnsi="宋体"/>
          <w:lang w:eastAsia="zh-CN"/>
        </w:rPr>
      </w:pPr>
      <w:r>
        <w:rPr>
          <w:rFonts w:hint="eastAsia" w:hAnsi="宋体"/>
          <w:lang w:eastAsia="zh-CN"/>
        </w:rPr>
        <w:t>2．向甲方所在地人民法院提起诉讼。</w:t>
      </w:r>
    </w:p>
    <w:p>
      <w:pPr>
        <w:pStyle w:val="17"/>
        <w:spacing w:line="400" w:lineRule="exact"/>
        <w:rPr>
          <w:rFonts w:hAnsi="宋体"/>
          <w:b/>
          <w:bCs/>
          <w:lang w:eastAsia="zh-CN"/>
        </w:rPr>
      </w:pPr>
      <w:r>
        <w:rPr>
          <w:rFonts w:hint="eastAsia" w:hAnsi="宋体"/>
          <w:b/>
          <w:bCs/>
          <w:lang w:eastAsia="zh-CN"/>
        </w:rPr>
        <w:t>第十一条 其他</w:t>
      </w:r>
    </w:p>
    <w:p>
      <w:pPr>
        <w:pStyle w:val="17"/>
        <w:spacing w:line="400" w:lineRule="exact"/>
        <w:ind w:firstLine="440" w:firstLineChars="200"/>
        <w:rPr>
          <w:rStyle w:val="57"/>
          <w:color w:val="000000"/>
          <w:lang w:eastAsia="zh-CN"/>
        </w:rPr>
      </w:pPr>
      <w:r>
        <w:rPr>
          <w:rStyle w:val="57"/>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7"/>
        <w:spacing w:line="400" w:lineRule="exact"/>
        <w:ind w:firstLine="440" w:firstLineChars="200"/>
        <w:rPr>
          <w:rFonts w:hAnsi="宋体"/>
          <w:b/>
          <w:lang w:eastAsia="zh-CN"/>
        </w:rPr>
      </w:pPr>
      <w:r>
        <w:rPr>
          <w:rFonts w:hint="eastAsia" w:hAnsi="宋体"/>
          <w:lang w:eastAsia="zh-CN"/>
        </w:rPr>
        <w:t>2．</w:t>
      </w:r>
      <w:r>
        <w:rPr>
          <w:rFonts w:hint="eastAsia" w:hAnsi="宋体"/>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pPr>
        <w:pStyle w:val="17"/>
        <w:spacing w:line="400" w:lineRule="exact"/>
        <w:ind w:firstLine="440" w:firstLineChars="200"/>
        <w:rPr>
          <w:rFonts w:hAnsi="宋体"/>
          <w:lang w:eastAsia="zh-CN"/>
        </w:rPr>
      </w:pPr>
      <w:r>
        <w:rPr>
          <w:rFonts w:hint="eastAsia" w:hAnsi="宋体"/>
          <w:lang w:eastAsia="zh-CN"/>
        </w:rPr>
        <w:t>第十二条 本合同经双方签订后生效。本合同一式</w:t>
      </w:r>
      <w:r>
        <w:rPr>
          <w:rFonts w:hint="eastAsia" w:hAnsi="宋体"/>
          <w:u w:val="single"/>
          <w:lang w:eastAsia="zh-CN"/>
        </w:rPr>
        <w:t xml:space="preserve"> 陆</w:t>
      </w:r>
      <w:r>
        <w:rPr>
          <w:rFonts w:hAnsi="宋体"/>
          <w:u w:val="single"/>
          <w:lang w:eastAsia="zh-CN"/>
        </w:rPr>
        <w:t xml:space="preserve"> </w:t>
      </w:r>
      <w:r>
        <w:rPr>
          <w:rFonts w:hint="eastAsia" w:hAnsi="宋体"/>
          <w:lang w:eastAsia="zh-CN"/>
        </w:rPr>
        <w:t>份，甲方执</w:t>
      </w:r>
      <w:r>
        <w:rPr>
          <w:rFonts w:hint="eastAsia" w:hAnsi="宋体"/>
          <w:u w:val="single"/>
          <w:lang w:eastAsia="zh-CN"/>
        </w:rPr>
        <w:t xml:space="preserve"> 肆</w:t>
      </w:r>
      <w:r>
        <w:rPr>
          <w:rFonts w:hAnsi="宋体"/>
          <w:u w:val="single"/>
          <w:lang w:eastAsia="zh-CN"/>
        </w:rPr>
        <w:t xml:space="preserve"> </w:t>
      </w:r>
      <w:r>
        <w:rPr>
          <w:rFonts w:hint="eastAsia" w:hAnsi="宋体"/>
          <w:lang w:eastAsia="zh-CN"/>
        </w:rPr>
        <w:t>份，乙方执</w:t>
      </w:r>
      <w:r>
        <w:rPr>
          <w:rFonts w:hint="eastAsia" w:hAnsi="宋体"/>
          <w:u w:val="single"/>
          <w:lang w:eastAsia="zh-CN"/>
        </w:rPr>
        <w:t xml:space="preserve"> 贰</w:t>
      </w:r>
      <w:r>
        <w:rPr>
          <w:rFonts w:hAnsi="宋体"/>
          <w:u w:val="single"/>
          <w:lang w:eastAsia="zh-CN"/>
        </w:rPr>
        <w:t xml:space="preserve"> </w:t>
      </w:r>
      <w:r>
        <w:rPr>
          <w:rFonts w:hint="eastAsia" w:hAnsi="宋体"/>
          <w:lang w:eastAsia="zh-CN"/>
        </w:rPr>
        <w:t>份，具有同等法律效力。</w:t>
      </w:r>
    </w:p>
    <w:p>
      <w:pPr>
        <w:pStyle w:val="17"/>
        <w:spacing w:line="400" w:lineRule="exact"/>
        <w:rPr>
          <w:rFonts w:hAnsi="宋体"/>
          <w:lang w:eastAsia="zh-CN"/>
        </w:rPr>
      </w:pPr>
    </w:p>
    <w:p>
      <w:pPr>
        <w:pStyle w:val="17"/>
        <w:spacing w:line="400" w:lineRule="exact"/>
        <w:rPr>
          <w:rFonts w:hAnsi="宋体"/>
          <w:b/>
          <w:bCs/>
          <w:sz w:val="24"/>
          <w:szCs w:val="24"/>
          <w:lang w:eastAsia="zh-CN"/>
        </w:rPr>
      </w:pPr>
      <w:r>
        <w:rPr>
          <w:rFonts w:hint="eastAsia" w:hAnsi="宋体"/>
          <w:b/>
          <w:bCs/>
          <w:sz w:val="24"/>
          <w:szCs w:val="24"/>
          <w:lang w:eastAsia="zh-CN"/>
        </w:rPr>
        <w:t>甲方（公章）:腾龙芳烃（漳州）有限公司 　     乙方：（公章）</w:t>
      </w:r>
    </w:p>
    <w:p>
      <w:pPr>
        <w:pStyle w:val="17"/>
        <w:spacing w:line="400" w:lineRule="exact"/>
        <w:ind w:firstLine="440" w:firstLineChars="200"/>
        <w:rPr>
          <w:rFonts w:hAnsi="宋体"/>
          <w:lang w:eastAsia="zh-CN"/>
        </w:rPr>
      </w:pPr>
      <w:r>
        <w:rPr>
          <w:rFonts w:hint="eastAsia" w:hAnsi="宋体"/>
          <w:lang w:eastAsia="zh-CN"/>
        </w:rPr>
        <w:t xml:space="preserve">                           </w:t>
      </w:r>
    </w:p>
    <w:p>
      <w:pPr>
        <w:pStyle w:val="17"/>
        <w:spacing w:line="400" w:lineRule="exact"/>
        <w:rPr>
          <w:rFonts w:hAnsi="宋体"/>
          <w:lang w:eastAsia="zh-CN"/>
        </w:rPr>
      </w:pPr>
      <w:r>
        <w:rPr>
          <w:rFonts w:hint="eastAsia" w:hAnsi="宋体"/>
          <w:lang w:eastAsia="zh-CN"/>
        </w:rPr>
        <w:t xml:space="preserve">   </w:t>
      </w: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ind w:left="1928" w:hanging="1920" w:hangingChars="600"/>
        <w:jc w:val="both"/>
        <w:rPr>
          <w:b/>
          <w:color w:val="000000" w:themeColor="text1"/>
          <w:sz w:val="32"/>
          <w:szCs w:val="32"/>
          <w:lang w:eastAsia="zh-CN"/>
        </w:rPr>
      </w:pPr>
    </w:p>
    <w:p>
      <w:pPr>
        <w:ind w:left="1928" w:hanging="1920" w:hangingChars="600"/>
        <w:jc w:val="both"/>
        <w:rPr>
          <w:b/>
          <w:color w:val="000000" w:themeColor="text1"/>
          <w:sz w:val="32"/>
          <w:szCs w:val="32"/>
          <w:lang w:eastAsia="zh-CN"/>
        </w:rPr>
      </w:pPr>
      <w:r>
        <w:rPr>
          <w:rFonts w:hint="eastAsia"/>
          <w:b/>
          <w:color w:val="000000" w:themeColor="text1"/>
          <w:sz w:val="32"/>
          <w:szCs w:val="32"/>
          <w:lang w:eastAsia="zh-CN"/>
        </w:rPr>
        <w:t>附件一</w:t>
      </w:r>
    </w:p>
    <w:p>
      <w:pPr>
        <w:spacing w:line="360" w:lineRule="auto"/>
        <w:jc w:val="center"/>
        <w:rPr>
          <w:rFonts w:asciiTheme="minorEastAsia" w:hAnsiTheme="minorEastAsia" w:eastAsiaTheme="minorEastAsia"/>
          <w:b/>
          <w:sz w:val="36"/>
          <w:szCs w:val="36"/>
          <w:lang w:eastAsia="zh-CN"/>
        </w:rPr>
      </w:pPr>
      <w:bookmarkStart w:id="9" w:name="_Toc251742852"/>
    </w:p>
    <w:p>
      <w:pPr>
        <w:spacing w:line="360" w:lineRule="auto"/>
        <w:jc w:val="center"/>
        <w:rPr>
          <w:rFonts w:asciiTheme="minorEastAsia" w:hAnsiTheme="minorEastAsia" w:eastAsiaTheme="minorEastAsia"/>
          <w:b/>
          <w:sz w:val="36"/>
          <w:szCs w:val="36"/>
          <w:lang w:eastAsia="zh-CN"/>
        </w:rPr>
      </w:pPr>
      <w:r>
        <w:rPr>
          <w:rFonts w:hint="eastAsia" w:asciiTheme="minorEastAsia" w:hAnsiTheme="minorEastAsia" w:eastAsiaTheme="minorEastAsia"/>
          <w:b/>
          <w:sz w:val="36"/>
          <w:szCs w:val="36"/>
          <w:lang w:eastAsia="zh-CN"/>
        </w:rPr>
        <w:t>腾龙芳烃（</w:t>
      </w:r>
      <w:r>
        <w:rPr>
          <w:rFonts w:asciiTheme="minorEastAsia" w:hAnsiTheme="minorEastAsia" w:eastAsiaTheme="minorEastAsia"/>
          <w:b/>
          <w:sz w:val="36"/>
          <w:szCs w:val="36"/>
          <w:lang w:eastAsia="zh-CN"/>
        </w:rPr>
        <w:t>漳州</w:t>
      </w:r>
      <w:r>
        <w:rPr>
          <w:rFonts w:hint="eastAsia" w:asciiTheme="minorEastAsia" w:hAnsiTheme="minorEastAsia" w:eastAsiaTheme="minorEastAsia"/>
          <w:b/>
          <w:sz w:val="36"/>
          <w:szCs w:val="36"/>
          <w:lang w:eastAsia="zh-CN"/>
        </w:rPr>
        <w:t>）</w:t>
      </w:r>
      <w:r>
        <w:rPr>
          <w:rFonts w:asciiTheme="minorEastAsia" w:hAnsiTheme="minorEastAsia" w:eastAsiaTheme="minorEastAsia"/>
          <w:b/>
          <w:sz w:val="36"/>
          <w:szCs w:val="36"/>
          <w:lang w:eastAsia="zh-CN"/>
        </w:rPr>
        <w:t>有限</w:t>
      </w:r>
      <w:r>
        <w:rPr>
          <w:rFonts w:asciiTheme="minorEastAsia" w:hAnsiTheme="minorEastAsia" w:eastAsiaTheme="minorEastAsia"/>
          <w:b/>
          <w:bCs/>
          <w:sz w:val="36"/>
          <w:szCs w:val="36"/>
          <w:lang w:eastAsia="zh-CN"/>
        </w:rPr>
        <w:t>公司</w:t>
      </w:r>
    </w:p>
    <w:p>
      <w:pPr>
        <w:spacing w:line="360" w:lineRule="auto"/>
        <w:jc w:val="center"/>
        <w:rPr>
          <w:rFonts w:asciiTheme="minorEastAsia" w:hAnsiTheme="minorEastAsia" w:eastAsiaTheme="minorEastAsia"/>
          <w:b/>
          <w:sz w:val="44"/>
          <w:szCs w:val="44"/>
          <w:lang w:eastAsia="zh-CN"/>
        </w:rPr>
      </w:pPr>
    </w:p>
    <w:p>
      <w:pPr>
        <w:spacing w:line="360" w:lineRule="auto"/>
        <w:jc w:val="center"/>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热电厂锅炉氢气</w:t>
      </w:r>
      <w:r>
        <w:rPr>
          <w:rFonts w:asciiTheme="minorEastAsia" w:hAnsiTheme="minorEastAsia" w:eastAsiaTheme="minorEastAsia"/>
          <w:b/>
          <w:sz w:val="32"/>
          <w:szCs w:val="32"/>
          <w:lang w:eastAsia="zh-CN"/>
        </w:rPr>
        <w:t>掺烧</w:t>
      </w:r>
      <w:r>
        <w:rPr>
          <w:rFonts w:hint="eastAsia" w:asciiTheme="minorEastAsia" w:hAnsiTheme="minorEastAsia" w:eastAsiaTheme="minorEastAsia"/>
          <w:b/>
          <w:sz w:val="32"/>
          <w:szCs w:val="32"/>
          <w:lang w:eastAsia="zh-CN"/>
        </w:rPr>
        <w:t>改造</w:t>
      </w:r>
      <w:r>
        <w:rPr>
          <w:rFonts w:asciiTheme="minorEastAsia" w:hAnsiTheme="minorEastAsia" w:eastAsiaTheme="minorEastAsia"/>
          <w:b/>
          <w:sz w:val="32"/>
          <w:szCs w:val="32"/>
          <w:lang w:eastAsia="zh-CN"/>
        </w:rPr>
        <w:t>项目可行性研究报告</w:t>
      </w:r>
      <w:r>
        <w:rPr>
          <w:rFonts w:hint="eastAsia" w:asciiTheme="minorEastAsia" w:hAnsiTheme="minorEastAsia" w:eastAsiaTheme="minorEastAsia"/>
          <w:b/>
          <w:sz w:val="32"/>
          <w:szCs w:val="32"/>
          <w:lang w:eastAsia="zh-CN"/>
        </w:rPr>
        <w:t>等</w:t>
      </w:r>
    </w:p>
    <w:p>
      <w:pPr>
        <w:spacing w:line="360" w:lineRule="auto"/>
        <w:jc w:val="center"/>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编制服务</w:t>
      </w:r>
      <w:r>
        <w:rPr>
          <w:rFonts w:asciiTheme="minorEastAsia" w:hAnsiTheme="minorEastAsia" w:eastAsiaTheme="minorEastAsia"/>
          <w:b/>
          <w:sz w:val="32"/>
          <w:szCs w:val="32"/>
          <w:lang w:eastAsia="zh-CN"/>
        </w:rPr>
        <w:t>技术</w:t>
      </w:r>
      <w:r>
        <w:rPr>
          <w:rFonts w:hint="eastAsia" w:asciiTheme="minorEastAsia" w:hAnsiTheme="minorEastAsia" w:eastAsiaTheme="minorEastAsia"/>
          <w:b/>
          <w:sz w:val="32"/>
          <w:szCs w:val="32"/>
          <w:lang w:eastAsia="zh-CN"/>
        </w:rPr>
        <w:t>规范书</w:t>
      </w:r>
    </w:p>
    <w:p>
      <w:pPr>
        <w:spacing w:line="360" w:lineRule="auto"/>
        <w:rPr>
          <w:rFonts w:asciiTheme="minorEastAsia" w:hAnsiTheme="minorEastAsia" w:eastAsiaTheme="minorEastAsia"/>
          <w:b/>
          <w:sz w:val="44"/>
          <w:szCs w:val="44"/>
          <w:lang w:eastAsia="zh-CN"/>
        </w:rPr>
      </w:pPr>
    </w:p>
    <w:p>
      <w:pPr>
        <w:spacing w:line="360" w:lineRule="auto"/>
        <w:ind w:firstLine="1920" w:firstLineChars="600"/>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 xml:space="preserve">编    制： </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初    审：</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审    定：</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批    准：</w:t>
      </w:r>
    </w:p>
    <w:p>
      <w:pPr>
        <w:spacing w:line="360" w:lineRule="auto"/>
        <w:rPr>
          <w:rFonts w:asciiTheme="minorEastAsia" w:hAnsiTheme="minorEastAsia" w:eastAsiaTheme="minorEastAsia"/>
          <w:b/>
          <w:sz w:val="44"/>
          <w:szCs w:val="44"/>
          <w:lang w:eastAsia="zh-CN"/>
        </w:rPr>
      </w:pPr>
    </w:p>
    <w:p>
      <w:pPr>
        <w:spacing w:line="360" w:lineRule="auto"/>
        <w:rPr>
          <w:rFonts w:asciiTheme="minorEastAsia" w:hAnsiTheme="minorEastAsia" w:eastAsiaTheme="minorEastAsia"/>
          <w:b/>
          <w:sz w:val="52"/>
          <w:szCs w:val="52"/>
          <w:lang w:eastAsia="zh-CN"/>
        </w:rPr>
        <w:sectPr>
          <w:footerReference r:id="rId4" w:type="default"/>
          <w:footerReference r:id="rId5" w:type="even"/>
          <w:pgSz w:w="11906" w:h="16838"/>
          <w:pgMar w:top="1418" w:right="1418" w:bottom="1418" w:left="1418" w:header="851" w:footer="850" w:gutter="0"/>
          <w:pgNumType w:start="1"/>
          <w:cols w:space="720" w:num="1"/>
          <w:docGrid w:type="linesAndChars" w:linePitch="326" w:charSpace="0"/>
        </w:sectPr>
      </w:pPr>
    </w:p>
    <w:p>
      <w:pPr>
        <w:pStyle w:val="3"/>
        <w:spacing w:before="120" w:after="120" w:line="360" w:lineRule="auto"/>
        <w:ind w:left="440" w:hanging="440" w:hangingChars="137"/>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一、总则</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1本技术</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书适用</w:t>
      </w:r>
      <w:r>
        <w:rPr>
          <w:rFonts w:hint="eastAsia" w:asciiTheme="minorEastAsia" w:hAnsiTheme="minorEastAsia" w:eastAsiaTheme="minorEastAsia"/>
          <w:sz w:val="24"/>
          <w:lang w:eastAsia="zh-CN"/>
        </w:rPr>
        <w:t>腾龙芳烃（漳州）有限公司</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等编制服务（含可研评审、项目申请书、工程招标技术规范书）的技术要求。</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1.2</w:t>
      </w:r>
      <w:r>
        <w:rPr>
          <w:rFonts w:hint="eastAsia" w:asciiTheme="minorEastAsia" w:hAnsiTheme="minorEastAsia" w:eastAsiaTheme="minorEastAsia"/>
          <w:sz w:val="24"/>
          <w:lang w:eastAsia="zh-CN"/>
        </w:rPr>
        <w:t>本技术规范书规定的是最低限度的技术协议，并未对一切技术细节作出规定，也未充分引述有关标准和规范的条文，投标方提供的设计成品必须执行国家强制性标准和相关工业标准，并保证提供符合本规范书要求的优质产品。同时必须满足国家有关安全、环保等强制性标准和规范的要求。编制的可行性研究报告必须通过相关单位的审查。</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1.3</w:t>
      </w:r>
      <w:r>
        <w:rPr>
          <w:rFonts w:hint="eastAsia" w:asciiTheme="minorEastAsia" w:hAnsiTheme="minorEastAsia" w:eastAsiaTheme="minorEastAsia"/>
          <w:sz w:val="24"/>
          <w:lang w:eastAsia="zh-CN"/>
        </w:rPr>
        <w:t>投标方应对招标文件内容进行逐条响应，对于本技术规范书若有异议（无论偏差大小），均以书面形式在投标文件差异表中一并提出。</w:t>
      </w:r>
      <w:r>
        <w:rPr>
          <w:rFonts w:asciiTheme="minorEastAsia" w:hAnsiTheme="minorEastAsia" w:eastAsiaTheme="minorEastAsia"/>
          <w:sz w:val="24"/>
          <w:lang w:eastAsia="zh-CN"/>
        </w:rPr>
        <w:t>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没有以书面形式对本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的条文提出异议，</w:t>
      </w:r>
      <w:r>
        <w:rPr>
          <w:rFonts w:hint="eastAsia" w:asciiTheme="minorEastAsia" w:hAnsiTheme="minorEastAsia" w:eastAsiaTheme="minorEastAsia"/>
          <w:sz w:val="24"/>
          <w:lang w:eastAsia="zh-CN"/>
        </w:rPr>
        <w:t>则</w:t>
      </w:r>
      <w:r>
        <w:rPr>
          <w:rFonts w:asciiTheme="minorEastAsia" w:hAnsiTheme="minorEastAsia" w:eastAsiaTheme="minorEastAsia"/>
          <w:sz w:val="24"/>
          <w:lang w:eastAsia="zh-CN"/>
        </w:rPr>
        <w:t>招标方认为</w:t>
      </w:r>
      <w:r>
        <w:rPr>
          <w:rFonts w:hint="eastAsia" w:asciiTheme="minorEastAsia" w:hAnsiTheme="minorEastAsia" w:eastAsiaTheme="minorEastAsia"/>
          <w:sz w:val="24"/>
          <w:lang w:eastAsia="zh-CN"/>
        </w:rPr>
        <w:t>投标方提供</w:t>
      </w:r>
      <w:r>
        <w:rPr>
          <w:rFonts w:asciiTheme="minorEastAsia" w:hAnsiTheme="minorEastAsia" w:eastAsiaTheme="minorEastAsia"/>
          <w:sz w:val="24"/>
          <w:lang w:eastAsia="zh-CN"/>
        </w:rPr>
        <w:t>的服务完全接受和满足本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的要求</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1.4如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有除本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书以外的其他要求</w:t>
      </w:r>
      <w:r>
        <w:rPr>
          <w:rFonts w:hint="eastAsia" w:asciiTheme="minorEastAsia" w:hAnsiTheme="minorEastAsia" w:eastAsiaTheme="minorEastAsia"/>
          <w:sz w:val="24"/>
          <w:lang w:eastAsia="zh-CN"/>
        </w:rPr>
        <w:t>或说明</w:t>
      </w:r>
      <w:r>
        <w:rPr>
          <w:rFonts w:asciiTheme="minorEastAsia" w:hAnsiTheme="minorEastAsia" w:eastAsiaTheme="minorEastAsia"/>
          <w:sz w:val="24"/>
          <w:lang w:eastAsia="zh-CN"/>
        </w:rPr>
        <w:t>，应以书面形式提出，经</w:t>
      </w:r>
      <w:r>
        <w:rPr>
          <w:rFonts w:hint="eastAsia" w:asciiTheme="minorEastAsia" w:hAnsiTheme="minorEastAsia" w:eastAsiaTheme="minorEastAsia"/>
          <w:sz w:val="24"/>
          <w:lang w:eastAsia="zh-CN"/>
        </w:rPr>
        <w:t>与招标方</w:t>
      </w:r>
      <w:r>
        <w:rPr>
          <w:rFonts w:asciiTheme="minorEastAsia" w:hAnsiTheme="minorEastAsia" w:eastAsiaTheme="minorEastAsia"/>
          <w:sz w:val="24"/>
          <w:lang w:eastAsia="zh-CN"/>
        </w:rPr>
        <w:t>讨论、确认后，载于本</w:t>
      </w:r>
      <w:r>
        <w:rPr>
          <w:rFonts w:hint="eastAsia" w:asciiTheme="minorEastAsia" w:hAnsiTheme="minorEastAsia" w:eastAsiaTheme="minorEastAsia"/>
          <w:sz w:val="24"/>
          <w:lang w:eastAsia="zh-CN"/>
        </w:rPr>
        <w:t>规范书。</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1.5</w:t>
      </w:r>
      <w:r>
        <w:rPr>
          <w:rFonts w:hint="eastAsia" w:asciiTheme="minorEastAsia" w:hAnsiTheme="minorEastAsia" w:eastAsiaTheme="minorEastAsia"/>
          <w:sz w:val="24"/>
          <w:lang w:eastAsia="zh-CN"/>
        </w:rPr>
        <w:t>在合同签订后，招标方有权提出因设计、标准、规程、规范和现场实际发生变化而产生的修订要求。投标方应承诺予以配合，具体项目和条件由双方共同商定。</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1.6</w:t>
      </w:r>
      <w:r>
        <w:rPr>
          <w:rFonts w:hint="eastAsia" w:asciiTheme="minorEastAsia" w:hAnsiTheme="minorEastAsia" w:eastAsiaTheme="minorEastAsia"/>
          <w:sz w:val="24"/>
          <w:lang w:eastAsia="zh-CN"/>
        </w:rPr>
        <w:t>本技术规范书以及相关的澄清文件经招标方、投标方双方确认后作为合同的技术附件，与合同正文具有同等效力。</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1.7本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所使用标准如与</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所执行标准发生矛盾时，按较严格现行标准执行</w:t>
      </w:r>
      <w:r>
        <w:rPr>
          <w:rFonts w:hint="eastAsia" w:asciiTheme="minorEastAsia" w:hAnsiTheme="minorEastAsia" w:eastAsiaTheme="minorEastAsia"/>
          <w:sz w:val="24"/>
          <w:lang w:eastAsia="zh-CN"/>
        </w:rPr>
        <w:t>。若本招标文件前后有不一致的地方，应以有利于设备安全运行、工程质量为原则，由招标方确认。</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1.8</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对本项目可行性研究报告编制及评审的内容负有全部技术责任</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1.9本项目要求采用国家最新实行的或将要实行的有关标准、规范和规定</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1.10</w:t>
      </w:r>
      <w:r>
        <w:rPr>
          <w:rFonts w:asciiTheme="minorEastAsia" w:hAnsiTheme="minorEastAsia" w:eastAsiaTheme="minorEastAsia"/>
          <w:sz w:val="24"/>
          <w:lang w:eastAsia="zh-CN"/>
        </w:rPr>
        <w:t>在签订合同之后，</w:t>
      </w:r>
      <w:r>
        <w:rPr>
          <w:rFonts w:hint="eastAsia" w:asciiTheme="minorEastAsia" w:hAnsiTheme="minorEastAsia" w:eastAsiaTheme="minorEastAsia"/>
          <w:sz w:val="24"/>
          <w:lang w:eastAsia="zh-CN"/>
        </w:rPr>
        <w:t>招标方</w:t>
      </w:r>
      <w:r>
        <w:rPr>
          <w:rFonts w:asciiTheme="minorEastAsia" w:hAnsiTheme="minorEastAsia" w:eastAsiaTheme="minorEastAsia"/>
          <w:sz w:val="24"/>
          <w:lang w:eastAsia="zh-CN"/>
        </w:rPr>
        <w:t>有权提出因规范标准和规程发生变化而产生的一些补充要求，具体项目由双方共同商定</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1.1</w:t>
      </w:r>
      <w:r>
        <w:rPr>
          <w:rFonts w:hint="eastAsia" w:asciiTheme="minorEastAsia" w:hAnsiTheme="minorEastAsia" w:eastAsiaTheme="minorEastAsia"/>
          <w:sz w:val="24"/>
          <w:lang w:eastAsia="zh-CN"/>
        </w:rPr>
        <w:t>1本规范书中设计有关商务方面的内容，如与招标文件的商务部分由矛盾时，以商务部分为准。</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1.1</w:t>
      </w:r>
      <w:r>
        <w:rPr>
          <w:rFonts w:hint="eastAsia" w:asciiTheme="minorEastAsia" w:hAnsiTheme="minorEastAsia" w:eastAsiaTheme="minorEastAsia"/>
          <w:sz w:val="24"/>
          <w:lang w:eastAsia="zh-CN"/>
        </w:rPr>
        <w:t>2</w:t>
      </w:r>
      <w:r>
        <w:rPr>
          <w:rFonts w:asciiTheme="minorEastAsia" w:hAnsiTheme="minorEastAsia" w:eastAsiaTheme="minorEastAsia"/>
          <w:sz w:val="24"/>
          <w:lang w:eastAsia="zh-CN"/>
        </w:rPr>
        <w:t>为便于评标工作，投标方提交的所有投标文件的电子版应采用可编辑电子文件</w:t>
      </w:r>
      <w:r>
        <w:rPr>
          <w:rFonts w:hint="eastAsia" w:asciiTheme="minorEastAsia" w:hAnsiTheme="minorEastAsia" w:eastAsiaTheme="minorEastAsia"/>
          <w:sz w:val="24"/>
          <w:lang w:eastAsia="zh-CN"/>
        </w:rPr>
        <w:t>，使用语言为中文，</w:t>
      </w:r>
      <w:r>
        <w:rPr>
          <w:rFonts w:asciiTheme="minorEastAsia" w:hAnsiTheme="minorEastAsia" w:eastAsiaTheme="minorEastAsia"/>
          <w:sz w:val="24"/>
          <w:lang w:eastAsia="zh-CN"/>
        </w:rPr>
        <w:t>投标方在投标文件中所提的技术数据应以表格的形式列出。</w:t>
      </w:r>
      <w:r>
        <w:rPr>
          <w:rFonts w:hint="eastAsia" w:asciiTheme="minorEastAsia" w:hAnsiTheme="minorEastAsia" w:eastAsiaTheme="minorEastAsia"/>
          <w:sz w:val="24"/>
          <w:lang w:eastAsia="zh-CN"/>
        </w:rPr>
        <w:t>工程联系文件、技术资料、图纸、计算、仪表刻度和文件中的计量单位均采用法定计量单位。</w:t>
      </w:r>
    </w:p>
    <w:p>
      <w:pPr>
        <w:pStyle w:val="3"/>
        <w:spacing w:before="120" w:after="120" w:line="360" w:lineRule="auto"/>
        <w:ind w:left="440" w:hanging="440" w:hangingChars="137"/>
        <w:rPr>
          <w:rFonts w:asciiTheme="minorEastAsia" w:hAnsiTheme="minorEastAsia" w:eastAsiaTheme="minorEastAsia"/>
          <w:sz w:val="32"/>
          <w:szCs w:val="32"/>
          <w:lang w:eastAsia="zh-CN"/>
        </w:rPr>
      </w:pPr>
    </w:p>
    <w:p>
      <w:pPr>
        <w:pStyle w:val="3"/>
        <w:spacing w:before="120" w:after="120" w:line="360" w:lineRule="auto"/>
        <w:ind w:left="440" w:hanging="440" w:hangingChars="137"/>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二、工程概况及设备运行环境条件</w:t>
      </w:r>
    </w:p>
    <w:p>
      <w:pPr>
        <w:snapToGrid w:val="0"/>
        <w:spacing w:line="360" w:lineRule="auto"/>
        <w:ind w:left="385" w:hanging="385" w:hangingChars="137"/>
        <w:rPr>
          <w:rFonts w:asciiTheme="minorEastAsia" w:hAnsiTheme="minorEastAsia" w:eastAsiaTheme="minorEastAsia"/>
          <w:b/>
          <w:sz w:val="28"/>
          <w:szCs w:val="28"/>
          <w:lang w:eastAsia="zh-CN"/>
        </w:rPr>
      </w:pPr>
      <w:bookmarkStart w:id="10" w:name="_Toc104345445"/>
      <w:r>
        <w:rPr>
          <w:rFonts w:asciiTheme="minorEastAsia" w:hAnsiTheme="minorEastAsia" w:eastAsiaTheme="minorEastAsia"/>
          <w:b/>
          <w:sz w:val="28"/>
          <w:szCs w:val="28"/>
          <w:lang w:eastAsia="zh-CN"/>
        </w:rPr>
        <w:t>2.1厂址概况</w:t>
      </w:r>
    </w:p>
    <w:p>
      <w:pPr>
        <w:snapToGrid w:val="0"/>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位于漳州古雷港口经济区（位于福建省南端，东经117°30′～117°45′，北纬23°25′～24°），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pPr>
        <w:snapToGrid w:val="0"/>
        <w:spacing w:line="360" w:lineRule="auto"/>
        <w:ind w:left="385" w:hanging="385" w:hangingChars="137"/>
        <w:rPr>
          <w:rFonts w:asciiTheme="minorEastAsia" w:hAnsiTheme="minorEastAsia" w:eastAsiaTheme="minorEastAsia"/>
          <w:b/>
          <w:sz w:val="28"/>
          <w:szCs w:val="28"/>
          <w:lang w:eastAsia="zh-CN"/>
        </w:rPr>
      </w:pPr>
      <w:bookmarkStart w:id="11" w:name="baidusnap4"/>
      <w:bookmarkEnd w:id="11"/>
      <w:r>
        <w:rPr>
          <w:rFonts w:asciiTheme="minorEastAsia" w:hAnsiTheme="minorEastAsia" w:eastAsiaTheme="minorEastAsia"/>
          <w:b/>
          <w:sz w:val="28"/>
          <w:szCs w:val="28"/>
          <w:lang w:eastAsia="zh-CN"/>
        </w:rPr>
        <w:t>2.2设计条件</w:t>
      </w:r>
    </w:p>
    <w:bookmarkEnd w:id="10"/>
    <w:p>
      <w:pPr>
        <w:snapToGri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1</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工程简介</w:t>
      </w:r>
    </w:p>
    <w:p>
      <w:pPr>
        <w:adjustRightInd w:val="0"/>
        <w:spacing w:line="360" w:lineRule="auto"/>
        <w:ind w:left="329" w:hanging="328" w:hangingChars="137"/>
        <w:rPr>
          <w:rFonts w:asciiTheme="minorEastAsia" w:hAnsiTheme="minorEastAsia" w:eastAsiaTheme="minorEastAsia"/>
          <w:sz w:val="10"/>
          <w:lang w:eastAsia="zh-CN"/>
        </w:rPr>
      </w:pPr>
      <w:r>
        <w:rPr>
          <w:rFonts w:hint="eastAsia" w:asciiTheme="minorEastAsia" w:hAnsiTheme="minorEastAsia" w:eastAsiaTheme="minorEastAsia"/>
          <w:sz w:val="24"/>
          <w:lang w:eastAsia="zh-CN"/>
        </w:rPr>
        <w:t>腾龙芳烃</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现有</w:t>
      </w:r>
      <w:r>
        <w:rPr>
          <w:rFonts w:asciiTheme="minorEastAsia" w:hAnsiTheme="minorEastAsia" w:eastAsiaTheme="minorEastAsia"/>
          <w:sz w:val="24"/>
          <w:lang w:eastAsia="zh-CN"/>
        </w:rPr>
        <w:t>4台670t/h超高压煤粉锅炉（</w:t>
      </w:r>
      <w:r>
        <w:rPr>
          <w:rFonts w:hint="eastAsia" w:asciiTheme="minorEastAsia" w:hAnsiTheme="minorEastAsia" w:eastAsiaTheme="minorEastAsia"/>
          <w:sz w:val="24"/>
          <w:lang w:eastAsia="zh-CN"/>
        </w:rPr>
        <w:t>单台额定蒸发量：</w:t>
      </w:r>
      <w:r>
        <w:rPr>
          <w:rFonts w:asciiTheme="minorEastAsia" w:hAnsiTheme="minorEastAsia" w:eastAsiaTheme="minorEastAsia"/>
          <w:sz w:val="24"/>
          <w:lang w:eastAsia="zh-CN"/>
        </w:rPr>
        <w:t>670t/h</w:t>
      </w:r>
      <w:r>
        <w:rPr>
          <w:rFonts w:hint="eastAsia" w:asciiTheme="minorEastAsia" w:hAnsiTheme="minorEastAsia" w:eastAsiaTheme="minorEastAsia"/>
          <w:sz w:val="24"/>
          <w:lang w:eastAsia="zh-CN"/>
        </w:rPr>
        <w:t>，主蒸汽额定参数：</w:t>
      </w:r>
      <w:r>
        <w:rPr>
          <w:rFonts w:asciiTheme="minorEastAsia" w:hAnsiTheme="minorEastAsia" w:eastAsiaTheme="minorEastAsia"/>
          <w:sz w:val="24"/>
          <w:lang w:eastAsia="zh-CN"/>
        </w:rPr>
        <w:t>13.7MPa、540℃）。锅炉采用自然循环、四角切向燃烧方式，单炉膛，无再热，平衡通风，露天布置，固态排渣，全钢架悬吊结构∏型汽包锅炉。</w:t>
      </w:r>
      <w:bookmarkStart w:id="12" w:name="_Toc259708452"/>
      <w:bookmarkStart w:id="13" w:name="_Toc508202964"/>
      <w:r>
        <w:rPr>
          <w:rFonts w:hint="eastAsia" w:asciiTheme="minorEastAsia" w:hAnsiTheme="minorEastAsia" w:eastAsiaTheme="minorEastAsia"/>
          <w:sz w:val="24"/>
          <w:lang w:eastAsia="zh-CN"/>
        </w:rPr>
        <w:t>本锅炉的采用HP743中速磨煤机以及正压冷一次风机直吹式制粉系统，每台锅炉配置5台中速磨煤机；锅炉设计煤种采用烟煤掺烧废气，启动点火及助燃采用轻油；本项目掺烧氢气，氢气浓度≥99%。</w:t>
      </w:r>
    </w:p>
    <w:p>
      <w:pPr>
        <w:widowControl/>
        <w:snapToGrid w:val="0"/>
        <w:spacing w:line="360" w:lineRule="auto"/>
        <w:ind w:left="330" w:hanging="330" w:hangingChars="137"/>
        <w:rPr>
          <w:rFonts w:asciiTheme="minorEastAsia" w:hAnsiTheme="minorEastAsia" w:eastAsiaTheme="minorEastAsia"/>
          <w:b/>
          <w:sz w:val="24"/>
          <w:lang w:eastAsia="zh-CN"/>
        </w:rPr>
      </w:pPr>
      <w:bookmarkStart w:id="14" w:name="_Toc162615116"/>
      <w:r>
        <w:rPr>
          <w:rFonts w:asciiTheme="minorEastAsia" w:hAnsiTheme="minorEastAsia" w:eastAsiaTheme="minorEastAsia"/>
          <w:b/>
          <w:sz w:val="24"/>
          <w:lang w:eastAsia="zh-CN"/>
        </w:rPr>
        <w:t>2</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气象条件</w:t>
      </w:r>
      <w:bookmarkEnd w:id="14"/>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本项目所在地属南亚热带季风性气候，冬无严寒，夏无酷暑。年平均气温为21.3℃；年平均降水1327.4mm，雨季集中在5~8月；多年平均湿度为80%；常年主导风向为东北风；7~9月受台风影响频率最高。</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气象台位置：东山县（“城关建国楼”117°30’，E；23°47’，N），1952～1980年实测统计资料：</w:t>
      </w:r>
    </w:p>
    <w:p>
      <w:pPr>
        <w:pStyle w:val="48"/>
        <w:numPr>
          <w:ilvl w:val="0"/>
          <w:numId w:val="5"/>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气温</w:t>
      </w:r>
    </w:p>
    <w:tbl>
      <w:tblPr>
        <w:tblStyle w:val="38"/>
        <w:tblW w:w="8945"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4"/>
        <w:gridCol w:w="5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年平均大气温度</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21.3</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最高月平均气温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28.8</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极端最高气温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38.2</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最低月平均气温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12.1</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极端最低气温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4.7</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最热月的日最高大气温度的平均值</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31.6</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年最高气温日数</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≥30</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81d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≥35</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0.65d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无霜期</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365</w:t>
            </w:r>
            <w:r>
              <w:rPr>
                <w:rFonts w:hint="eastAsia" w:asciiTheme="minorEastAsia" w:hAnsiTheme="minorEastAsia" w:eastAsiaTheme="minorEastAsia"/>
                <w:sz w:val="24"/>
                <w:szCs w:val="20"/>
              </w:rPr>
              <w:t>天</w:t>
            </w:r>
            <w:r>
              <w:rPr>
                <w:rFonts w:asciiTheme="minorEastAsia" w:hAnsiTheme="minorEastAsia" w:eastAsiaTheme="minorEastAsia"/>
                <w:sz w:val="24"/>
                <w:szCs w:val="20"/>
              </w:rPr>
              <w:t>/</w:t>
            </w:r>
            <w:r>
              <w:rPr>
                <w:rFonts w:hint="eastAsia" w:asciiTheme="minorEastAsia" w:hAnsiTheme="minorEastAsia" w:eastAsiaTheme="minorEastAsia"/>
                <w:sz w:val="24"/>
                <w:szCs w:val="20"/>
              </w:rPr>
              <w:t>年</w:t>
            </w:r>
          </w:p>
        </w:tc>
      </w:tr>
    </w:tbl>
    <w:p>
      <w:pPr>
        <w:pStyle w:val="48"/>
        <w:numPr>
          <w:ilvl w:val="0"/>
          <w:numId w:val="6"/>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降水</w:t>
      </w:r>
    </w:p>
    <w:tbl>
      <w:tblPr>
        <w:tblStyle w:val="38"/>
        <w:tblW w:w="9095"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7"/>
        <w:gridCol w:w="52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1327.4</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2125.6</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历年最少年降水量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788.8</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历年最多月降水量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676.2</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历年最多日降水量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310.5</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年平均降水日数</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103.7</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全年</w:t>
            </w:r>
            <w:r>
              <w:rPr>
                <w:rFonts w:asciiTheme="minorEastAsia" w:hAnsiTheme="minorEastAsia" w:eastAsiaTheme="minorEastAsia"/>
                <w:sz w:val="24"/>
                <w:szCs w:val="20"/>
              </w:rPr>
              <w:t>≥25</w:t>
            </w:r>
            <w:r>
              <w:rPr>
                <w:rFonts w:hint="eastAsia" w:asciiTheme="minorEastAsia" w:hAnsiTheme="minorEastAsia" w:eastAsiaTheme="minorEastAsia"/>
                <w:sz w:val="24"/>
                <w:szCs w:val="20"/>
              </w:rPr>
              <w:t>毫米降水日数</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平均为</w:t>
            </w:r>
            <w:r>
              <w:rPr>
                <w:rFonts w:asciiTheme="minorEastAsia" w:hAnsiTheme="minorEastAsia" w:eastAsiaTheme="minorEastAsia"/>
                <w:sz w:val="24"/>
                <w:szCs w:val="20"/>
              </w:rPr>
              <w:t>18</w:t>
            </w:r>
            <w:r>
              <w:rPr>
                <w:rFonts w:hint="eastAsia" w:asciiTheme="minorEastAsia" w:hAnsiTheme="minorEastAsia" w:eastAsiaTheme="minorEastAsia"/>
                <w:sz w:val="24"/>
                <w:szCs w:val="20"/>
              </w:rPr>
              <w:t>天</w:t>
            </w:r>
            <w:r>
              <w:rPr>
                <w:rFonts w:asciiTheme="minorEastAsia" w:hAnsiTheme="minorEastAsia" w:eastAsiaTheme="minorEastAsia"/>
                <w:sz w:val="24"/>
                <w:szCs w:val="20"/>
              </w:rPr>
              <w:t>(2003</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~2007</w:t>
            </w:r>
            <w:r>
              <w:rPr>
                <w:rFonts w:hint="eastAsia" w:asciiTheme="minorEastAsia" w:hAnsiTheme="minorEastAsia" w:eastAsiaTheme="minorEastAsia"/>
                <w:sz w:val="24"/>
                <w:szCs w:val="20"/>
              </w:rPr>
              <w:t>年</w:t>
            </w:r>
            <w:r>
              <w:rPr>
                <w:rFonts w:asciiTheme="minorEastAsia" w:hAnsiTheme="minorEastAsia" w:eastAsiaTheme="minorEastAsia"/>
                <w:sz w:val="24"/>
                <w:szCs w:val="20"/>
              </w:rPr>
              <w:t>)</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风</w:t>
      </w:r>
    </w:p>
    <w:tbl>
      <w:tblPr>
        <w:tblStyle w:val="38"/>
        <w:tblW w:w="908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0"/>
        <w:gridCol w:w="7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5.5</w:t>
            </w:r>
            <w:r>
              <w:rPr>
                <w:rFonts w:hint="eastAsia" w:asciiTheme="minorEastAsia" w:hAnsiTheme="minorEastAsia" w:eastAsiaTheme="minorEastAsia"/>
                <w:sz w:val="24"/>
                <w:szCs w:val="20"/>
              </w:rPr>
              <w:t>米</w:t>
            </w:r>
            <w:r>
              <w:rPr>
                <w:rFonts w:asciiTheme="minorEastAsia" w:hAnsiTheme="minorEastAsia" w:eastAsiaTheme="minorEastAsia"/>
                <w:sz w:val="24"/>
                <w:szCs w:val="20"/>
              </w:rPr>
              <w:t>/</w:t>
            </w:r>
            <w:r>
              <w:rPr>
                <w:rFonts w:hint="eastAsia" w:asciiTheme="minorEastAsia" w:hAnsiTheme="minorEastAsia" w:eastAsiaTheme="minorEastAsia"/>
                <w:sz w:val="24"/>
                <w:szCs w:val="20"/>
              </w:rPr>
              <w:t>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夏季平均风速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3.9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冬季平均风速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6.9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基本风压值</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不小于</w:t>
            </w:r>
            <w:r>
              <w:rPr>
                <w:rFonts w:asciiTheme="minorEastAsia" w:hAnsiTheme="minorEastAsia" w:eastAsiaTheme="minorEastAsia"/>
                <w:sz w:val="24"/>
                <w:szCs w:val="20"/>
              </w:rPr>
              <w:t>1.2kN/m2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2060"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7020" w:type="dxa"/>
            <w:vAlign w:val="center"/>
          </w:tcPr>
          <w:p>
            <w:pPr>
              <w:spacing w:line="360" w:lineRule="auto"/>
              <w:ind w:left="329" w:hanging="328" w:hangingChars="137"/>
              <w:jc w:val="left"/>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注：设计单位可按1.2</w:t>
            </w:r>
            <w:r>
              <w:rPr>
                <w:rFonts w:asciiTheme="minorEastAsia" w:hAnsiTheme="minorEastAsia" w:eastAsiaTheme="minorEastAsia"/>
                <w:sz w:val="24"/>
                <w:szCs w:val="20"/>
                <w:lang w:eastAsia="zh-CN"/>
              </w:rPr>
              <w:t>kN/m2</w:t>
            </w:r>
            <w:r>
              <w:rPr>
                <w:rFonts w:hint="eastAsia" w:asciiTheme="minorEastAsia" w:hAnsiTheme="minorEastAsia" w:eastAsiaTheme="minorEastAsia"/>
                <w:sz w:val="24"/>
                <w:szCs w:val="20"/>
                <w:lang w:eastAsia="zh-CN"/>
              </w:rPr>
              <w:t>设计，但需考虑建设项目实际情况和建筑结构荷载规范</w:t>
            </w:r>
            <w:r>
              <w:rPr>
                <w:rFonts w:asciiTheme="minorEastAsia" w:hAnsiTheme="minorEastAsia" w:eastAsiaTheme="minorEastAsia"/>
                <w:sz w:val="24"/>
                <w:szCs w:val="20"/>
                <w:lang w:eastAsia="zh-CN"/>
              </w:rPr>
              <w:t>GB50009-2001</w:t>
            </w:r>
            <w:r>
              <w:rPr>
                <w:rFonts w:hint="eastAsia" w:asciiTheme="minorEastAsia" w:hAnsiTheme="minorEastAsia" w:eastAsiaTheme="minorEastAsia"/>
                <w:sz w:val="24"/>
                <w:szCs w:val="20"/>
                <w:lang w:eastAsia="zh-CN"/>
              </w:rPr>
              <w:t>（</w:t>
            </w:r>
            <w:r>
              <w:rPr>
                <w:rFonts w:asciiTheme="minorEastAsia" w:hAnsiTheme="minorEastAsia" w:eastAsiaTheme="minorEastAsia"/>
                <w:sz w:val="24"/>
                <w:szCs w:val="20"/>
                <w:lang w:eastAsia="zh-CN"/>
              </w:rPr>
              <w:t>2006</w:t>
            </w:r>
            <w:r>
              <w:rPr>
                <w:rFonts w:hint="eastAsia" w:asciiTheme="minorEastAsia" w:hAnsiTheme="minorEastAsia" w:eastAsiaTheme="minorEastAsia"/>
                <w:sz w:val="24"/>
                <w:szCs w:val="20"/>
                <w:lang w:eastAsia="zh-CN"/>
              </w:rPr>
              <w:t>版）等有关设计规范适当调整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主导风向</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东北，北北东</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台风</w:t>
      </w:r>
    </w:p>
    <w:tbl>
      <w:tblPr>
        <w:tblStyle w:val="38"/>
        <w:tblW w:w="908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8"/>
        <w:gridCol w:w="5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年台风次数</w:t>
            </w: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5.9</w:t>
            </w:r>
            <w:r>
              <w:rPr>
                <w:rFonts w:hint="eastAsia" w:asciiTheme="minorEastAsia" w:hAnsiTheme="minorEastAsia" w:eastAsiaTheme="minorEastAsia"/>
                <w:sz w:val="24"/>
                <w:szCs w:val="20"/>
              </w:rPr>
              <w:t>次</w:t>
            </w:r>
            <w:r>
              <w:rPr>
                <w:rFonts w:asciiTheme="minorEastAsia" w:hAnsiTheme="minorEastAsia" w:eastAsiaTheme="minorEastAsia"/>
                <w:sz w:val="24"/>
                <w:szCs w:val="20"/>
              </w:rPr>
              <w:t>/</w:t>
            </w:r>
            <w:r>
              <w:rPr>
                <w:rFonts w:hint="eastAsia" w:asciiTheme="minorEastAsia" w:hAnsiTheme="minorEastAsia" w:eastAsiaTheme="minorEastAsia"/>
                <w:sz w:val="24"/>
                <w:szCs w:val="20"/>
              </w:rPr>
              <w:t>年平均（</w:t>
            </w:r>
            <w:r>
              <w:rPr>
                <w:rFonts w:asciiTheme="minorEastAsia" w:hAnsiTheme="minorEastAsia" w:eastAsiaTheme="minorEastAsia"/>
                <w:sz w:val="24"/>
                <w:szCs w:val="20"/>
              </w:rPr>
              <w:t>1951</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~2000</w:t>
            </w:r>
            <w:r>
              <w:rPr>
                <w:rFonts w:hint="eastAsia" w:asciiTheme="minorEastAsia" w:hAnsiTheme="minorEastAsia" w:eastAsiaTheme="minorEastAsia"/>
                <w:sz w:val="24"/>
                <w:szCs w:val="20"/>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最大瞬间风速（东山近</w:t>
            </w:r>
            <w:r>
              <w:rPr>
                <w:rFonts w:asciiTheme="minorEastAsia" w:hAnsiTheme="minorEastAsia" w:eastAsiaTheme="minorEastAsia"/>
                <w:sz w:val="24"/>
                <w:szCs w:val="20"/>
                <w:lang w:eastAsia="zh-CN"/>
              </w:rPr>
              <w:t>20</w:t>
            </w:r>
            <w:r>
              <w:rPr>
                <w:rFonts w:hint="eastAsia" w:asciiTheme="minorEastAsia" w:hAnsiTheme="minorEastAsia" w:eastAsiaTheme="minorEastAsia"/>
                <w:sz w:val="24"/>
                <w:szCs w:val="20"/>
                <w:lang w:eastAsia="zh-CN"/>
              </w:rPr>
              <w:t>年资料）</w:t>
            </w: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48m/s</w:t>
            </w:r>
            <w:r>
              <w:rPr>
                <w:rFonts w:hint="eastAsia" w:asciiTheme="minorEastAsia" w:hAnsiTheme="minorEastAsia" w:eastAsiaTheme="minorEastAsia"/>
                <w:sz w:val="24"/>
                <w:szCs w:val="20"/>
              </w:rPr>
              <w:t>（</w:t>
            </w:r>
            <w:r>
              <w:rPr>
                <w:rFonts w:asciiTheme="minorEastAsia" w:hAnsiTheme="minorEastAsia" w:eastAsiaTheme="minorEastAsia"/>
                <w:sz w:val="24"/>
                <w:szCs w:val="20"/>
              </w:rPr>
              <w:t>1980</w:t>
            </w:r>
            <w:r>
              <w:rPr>
                <w:rFonts w:hint="eastAsia" w:asciiTheme="minorEastAsia" w:hAnsiTheme="minorEastAsia" w:eastAsiaTheme="minorEastAsia"/>
                <w:sz w:val="24"/>
                <w:szCs w:val="20"/>
              </w:rPr>
              <w:t>年</w:t>
            </w:r>
            <w:r>
              <w:rPr>
                <w:rFonts w:asciiTheme="minorEastAsia" w:hAnsiTheme="minorEastAsia" w:eastAsiaTheme="minorEastAsia"/>
                <w:sz w:val="24"/>
                <w:szCs w:val="20"/>
              </w:rPr>
              <w:t>9</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19</w:t>
            </w:r>
            <w:r>
              <w:rPr>
                <w:rFonts w:hint="eastAsia" w:asciiTheme="minorEastAsia" w:hAnsiTheme="minorEastAsia" w:eastAsiaTheme="minorEastAsia"/>
                <w:sz w:val="24"/>
                <w:szCs w:val="20"/>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37.6m/s</w:t>
            </w:r>
            <w:r>
              <w:rPr>
                <w:rFonts w:hint="eastAsia" w:asciiTheme="minorEastAsia" w:hAnsiTheme="minorEastAsia" w:eastAsiaTheme="minorEastAsia"/>
                <w:sz w:val="24"/>
                <w:szCs w:val="20"/>
              </w:rPr>
              <w:t>（</w:t>
            </w:r>
            <w:r>
              <w:rPr>
                <w:rFonts w:asciiTheme="minorEastAsia" w:hAnsiTheme="minorEastAsia" w:eastAsiaTheme="minorEastAsia"/>
                <w:sz w:val="24"/>
                <w:szCs w:val="20"/>
              </w:rPr>
              <w:t>2006</w:t>
            </w:r>
            <w:r>
              <w:rPr>
                <w:rFonts w:hint="eastAsia" w:asciiTheme="minorEastAsia" w:hAnsiTheme="minorEastAsia" w:eastAsiaTheme="minorEastAsia"/>
                <w:sz w:val="24"/>
                <w:szCs w:val="20"/>
              </w:rPr>
              <w:t>年</w:t>
            </w:r>
            <w:r>
              <w:rPr>
                <w:rFonts w:asciiTheme="minorEastAsia" w:hAnsiTheme="minorEastAsia" w:eastAsiaTheme="minorEastAsia"/>
                <w:sz w:val="24"/>
                <w:szCs w:val="20"/>
              </w:rPr>
              <w:t>5</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17</w:t>
            </w:r>
            <w:r>
              <w:rPr>
                <w:rFonts w:hint="eastAsia" w:asciiTheme="minorEastAsia" w:hAnsiTheme="minorEastAsia" w:eastAsiaTheme="minorEastAsia"/>
                <w:sz w:val="24"/>
                <w:szCs w:val="20"/>
              </w:rPr>
              <w:t>日）</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雾</w:t>
      </w:r>
    </w:p>
    <w:tbl>
      <w:tblPr>
        <w:tblStyle w:val="38"/>
        <w:tblW w:w="911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8"/>
        <w:gridCol w:w="5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多年平均雾日数</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22.5</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最多年雾日数</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39</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多雾月份</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2~4</w:t>
            </w:r>
            <w:r>
              <w:rPr>
                <w:rFonts w:hint="eastAsia" w:asciiTheme="minorEastAsia" w:hAnsiTheme="minorEastAsia" w:eastAsiaTheme="minorEastAsia"/>
                <w:sz w:val="24"/>
                <w:szCs w:val="20"/>
              </w:rPr>
              <w:t>月</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相对湿度</w:t>
      </w:r>
    </w:p>
    <w:tbl>
      <w:tblPr>
        <w:tblStyle w:val="38"/>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74"/>
        <w:gridCol w:w="3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80</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夏季相对湿度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85.7</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冬季相对湿度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77.3</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夏天最热时间相对湿度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75</w:t>
            </w:r>
            <w:r>
              <w:rPr>
                <w:rFonts w:hint="eastAsia" w:asciiTheme="minorEastAsia" w:hAnsiTheme="minorEastAsia" w:eastAsiaTheme="minorEastAsia"/>
                <w:sz w:val="24"/>
                <w:szCs w:val="20"/>
              </w:rPr>
              <w:t>％</w:t>
            </w:r>
            <w:r>
              <w:rPr>
                <w:rFonts w:asciiTheme="minorEastAsia" w:hAnsiTheme="minorEastAsia" w:eastAsiaTheme="minorEastAsia"/>
                <w:sz w:val="24"/>
                <w:szCs w:val="20"/>
              </w:rPr>
              <w:t>(13</w:t>
            </w:r>
            <w:r>
              <w:rPr>
                <w:rFonts w:hint="eastAsia" w:asciiTheme="minorEastAsia" w:hAnsiTheme="minorEastAsia" w:eastAsiaTheme="minorEastAsia"/>
                <w:sz w:val="24"/>
                <w:szCs w:val="20"/>
              </w:rPr>
              <w:t>～</w:t>
            </w:r>
            <w:r>
              <w:rPr>
                <w:rFonts w:asciiTheme="minorEastAsia" w:hAnsiTheme="minorEastAsia" w:eastAsiaTheme="minorEastAsia"/>
                <w:sz w:val="24"/>
                <w:szCs w:val="20"/>
              </w:rPr>
              <w:t>14</w:t>
            </w:r>
            <w:r>
              <w:rPr>
                <w:rFonts w:hint="eastAsia" w:asciiTheme="minorEastAsia" w:hAnsiTheme="minorEastAsia" w:eastAsiaTheme="minorEastAsia"/>
                <w:sz w:val="24"/>
                <w:szCs w:val="20"/>
              </w:rPr>
              <w:t>时</w:t>
            </w:r>
            <w:r>
              <w:rPr>
                <w:rFonts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最大相对湿度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最热月平均相对湿度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98% / 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2003~2007</w:t>
            </w:r>
            <w:r>
              <w:rPr>
                <w:rFonts w:hint="eastAsia" w:asciiTheme="minorEastAsia" w:hAnsiTheme="minorEastAsia" w:eastAsiaTheme="minorEastAsia"/>
                <w:sz w:val="24"/>
                <w:szCs w:val="20"/>
                <w:lang w:eastAsia="zh-CN"/>
              </w:rPr>
              <w:t>年最热月</w:t>
            </w:r>
            <w:r>
              <w:rPr>
                <w:rFonts w:asciiTheme="minorEastAsia" w:hAnsiTheme="minorEastAsia" w:eastAsiaTheme="minorEastAsia"/>
                <w:sz w:val="24"/>
                <w:szCs w:val="20"/>
                <w:lang w:eastAsia="zh-CN"/>
              </w:rPr>
              <w:t>(7~9</w:t>
            </w:r>
            <w:r>
              <w:rPr>
                <w:rFonts w:hint="eastAsia" w:asciiTheme="minorEastAsia" w:hAnsiTheme="minorEastAsia" w:eastAsiaTheme="minorEastAsia"/>
                <w:sz w:val="24"/>
                <w:szCs w:val="20"/>
                <w:lang w:eastAsia="zh-CN"/>
              </w:rPr>
              <w:t>月</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的平均相对湿度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79%</w:t>
            </w:r>
          </w:p>
        </w:tc>
      </w:tr>
    </w:tbl>
    <w:p>
      <w:pPr>
        <w:pStyle w:val="48"/>
        <w:numPr>
          <w:ilvl w:val="0"/>
          <w:numId w:val="8"/>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气压</w:t>
      </w:r>
    </w:p>
    <w:tbl>
      <w:tblPr>
        <w:tblStyle w:val="38"/>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65"/>
        <w:gridCol w:w="4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65"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年平均气压</w:t>
            </w:r>
          </w:p>
        </w:tc>
        <w:tc>
          <w:tcPr>
            <w:tcW w:w="4573"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1007.6hPa</w:t>
            </w:r>
          </w:p>
        </w:tc>
      </w:tr>
    </w:tbl>
    <w:p>
      <w:pPr>
        <w:pStyle w:val="48"/>
        <w:numPr>
          <w:ilvl w:val="0"/>
          <w:numId w:val="9"/>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蒸发量</w:t>
      </w:r>
    </w:p>
    <w:tbl>
      <w:tblPr>
        <w:tblStyle w:val="38"/>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3"/>
        <w:gridCol w:w="4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3"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年平均蒸发量</w:t>
            </w:r>
          </w:p>
        </w:tc>
        <w:tc>
          <w:tcPr>
            <w:tcW w:w="4565"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1658.2</w:t>
            </w:r>
            <w:r>
              <w:rPr>
                <w:rFonts w:hint="eastAsia" w:asciiTheme="minorEastAsia" w:hAnsiTheme="minorEastAsia" w:eastAsiaTheme="minorEastAsia"/>
                <w:sz w:val="24"/>
                <w:szCs w:val="20"/>
              </w:rPr>
              <w:t>毫米</w:t>
            </w:r>
          </w:p>
        </w:tc>
      </w:tr>
    </w:tbl>
    <w:p>
      <w:pPr>
        <w:pStyle w:val="48"/>
        <w:numPr>
          <w:ilvl w:val="0"/>
          <w:numId w:val="10"/>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地震</w:t>
      </w:r>
    </w:p>
    <w:tbl>
      <w:tblPr>
        <w:tblStyle w:val="38"/>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6"/>
        <w:gridCol w:w="4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6"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地震设防烈度</w:t>
            </w:r>
          </w:p>
        </w:tc>
        <w:tc>
          <w:tcPr>
            <w:tcW w:w="456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w:t>
            </w:r>
            <w:r>
              <w:rPr>
                <w:rFonts w:hint="eastAsia" w:asciiTheme="minorEastAsia" w:hAnsiTheme="minorEastAsia" w:eastAsiaTheme="minorEastAsia"/>
                <w:sz w:val="24"/>
                <w:szCs w:val="20"/>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76"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地震基本加速度</w:t>
            </w:r>
          </w:p>
        </w:tc>
        <w:tc>
          <w:tcPr>
            <w:tcW w:w="456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0.15g</w:t>
            </w:r>
          </w:p>
        </w:tc>
      </w:tr>
    </w:tbl>
    <w:p>
      <w:pPr>
        <w:pStyle w:val="48"/>
        <w:numPr>
          <w:ilvl w:val="0"/>
          <w:numId w:val="11"/>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暴雨强度公式：</w:t>
      </w:r>
    </w:p>
    <w:tbl>
      <w:tblPr>
        <w:tblStyle w:val="38"/>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95"/>
        <w:gridCol w:w="4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438" w:type="dxa"/>
            <w:gridSpan w:val="2"/>
            <w:vAlign w:val="center"/>
          </w:tcPr>
          <w:p>
            <w:pPr>
              <w:spacing w:line="360" w:lineRule="auto"/>
              <w:ind w:left="329" w:hanging="328" w:hangingChars="137"/>
              <w:jc w:val="center"/>
              <w:rPr>
                <w:rFonts w:asciiTheme="minorEastAsia" w:hAnsiTheme="minorEastAsia" w:eastAsiaTheme="minorEastAsia"/>
                <w:sz w:val="24"/>
                <w:szCs w:val="20"/>
              </w:rPr>
            </w:pPr>
            <w:r>
              <w:rPr>
                <w:rFonts w:asciiTheme="minorEastAsia" w:hAnsiTheme="minorEastAsia" w:eastAsiaTheme="minorEastAsia"/>
                <w:sz w:val="24"/>
                <w:szCs w:val="20"/>
              </w:rPr>
              <w:t>q = 2003.515×(1 + 0.568lgTe)/ (t + 6.187) 0.659（L/S·ha）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895"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其中：Te-设计重现期（a）</w:t>
            </w:r>
          </w:p>
        </w:tc>
        <w:tc>
          <w:tcPr>
            <w:tcW w:w="4543" w:type="dxa"/>
            <w:vAlign w:val="center"/>
          </w:tcPr>
          <w:p>
            <w:pPr>
              <w:spacing w:line="360" w:lineRule="auto"/>
              <w:ind w:left="329" w:hanging="328" w:hangingChars="137"/>
              <w:jc w:val="both"/>
              <w:rPr>
                <w:rFonts w:asciiTheme="minorEastAsia" w:hAnsiTheme="minorEastAsia" w:eastAsiaTheme="minorEastAsia"/>
                <w:sz w:val="24"/>
                <w:szCs w:val="20"/>
                <w:lang w:eastAsia="zh-CN"/>
              </w:rPr>
            </w:pPr>
          </w:p>
        </w:tc>
      </w:tr>
    </w:tbl>
    <w:p>
      <w:pPr>
        <w:snapToGri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3</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现有系统说明</w:t>
      </w:r>
      <w:bookmarkEnd w:id="12"/>
      <w:bookmarkEnd w:id="13"/>
    </w:p>
    <w:p>
      <w:pPr>
        <w:pStyle w:val="81"/>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腾龙芳烃工程现装设4×670t/h锅炉，锅炉燃用烟煤，采用超高压参数、自然循环、无再热、单炉膛、四角切向燃烧方式、平衡通风、固态排渣、全钢构架、全悬吊结构等。锅炉的制粉系统采用HP743中速磨煤机正压冷一次风机直吹式系统。每台锅炉配置5台中速磨煤机，煤粉细度R90≤20%，其中4台运行，1台备用。锅炉设计煤种采用烟煤并掺烧废气（废气具体成分见</w:t>
      </w:r>
      <w:r>
        <w:rPr>
          <w:rFonts w:hint="eastAsia" w:asciiTheme="minorEastAsia" w:hAnsiTheme="minorEastAsia" w:eastAsiaTheme="minorEastAsia"/>
          <w:sz w:val="24"/>
          <w:szCs w:val="24"/>
          <w:lang w:eastAsia="zh-CN"/>
        </w:rPr>
        <w:t>附件1：6803001-1-8151燃烧计算书</w:t>
      </w:r>
      <w:r>
        <w:rPr>
          <w:rFonts w:hint="eastAsia" w:asciiTheme="minorEastAsia" w:hAnsiTheme="minorEastAsia" w:eastAsiaTheme="minorEastAsia"/>
          <w:sz w:val="24"/>
          <w:lang w:eastAsia="zh-CN"/>
        </w:rPr>
        <w:t>），启动点火及助燃采用轻油和煤质（轻油和煤质的具体成分见附件1</w:t>
      </w:r>
      <w:r>
        <w:rPr>
          <w:rFonts w:hint="eastAsia" w:asciiTheme="minorEastAsia" w:hAnsiTheme="minorEastAsia" w:eastAsiaTheme="minorEastAsia"/>
          <w:sz w:val="24"/>
          <w:szCs w:val="24"/>
          <w:lang w:eastAsia="zh-CN"/>
        </w:rPr>
        <w:t>：6803001-1-8151燃烧计算书）</w:t>
      </w:r>
      <w:r>
        <w:rPr>
          <w:rFonts w:hint="eastAsia" w:asciiTheme="minorEastAsia" w:hAnsiTheme="minorEastAsia" w:eastAsiaTheme="minorEastAsia"/>
          <w:sz w:val="24"/>
          <w:lang w:eastAsia="zh-CN"/>
        </w:rPr>
        <w:t>。</w:t>
      </w:r>
    </w:p>
    <w:p>
      <w:pPr>
        <w:snapToGrid w:val="0"/>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现锅炉需进行氢气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PX开一条生产线，加氢裂化不开的情况下，每小时最大重整供氢量约为3.6万Nm³/h，每小时最小重整供氢量约为7500Nm³/h；每年按照运行8000小时计算最大供氢量为：0.72亿Nm³/年，最小供氢量为：0.15亿Nm³/年，氢气浓度为≥99%，边界压力为2.8MPa（详见附件6中第5.3节热电厂氢气掺烧方案和表1）。每台锅炉可掺烧氢气量大约在1万 Nm³/h，掺烧压力为小于等于0.35MPa（详见附件4：上海锅炉厂有限公司答复函）。</w:t>
      </w:r>
    </w:p>
    <w:p>
      <w:pPr>
        <w:snapToGrid w:val="0"/>
        <w:spacing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表1 供氢量</w:t>
      </w:r>
    </w:p>
    <w:tbl>
      <w:tblPr>
        <w:tblStyle w:val="38"/>
        <w:tblW w:w="98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380"/>
        <w:gridCol w:w="1219"/>
        <w:gridCol w:w="1841"/>
        <w:gridCol w:w="1508"/>
        <w:gridCol w:w="1339"/>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91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380"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最大供氢量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（Nm³/h）</w:t>
            </w:r>
          </w:p>
        </w:tc>
        <w:tc>
          <w:tcPr>
            <w:tcW w:w="121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运行小时</w:t>
            </w:r>
          </w:p>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（h）</w:t>
            </w:r>
          </w:p>
        </w:tc>
        <w:tc>
          <w:tcPr>
            <w:tcW w:w="1841"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最大供氢量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（亿Nm³/年）</w:t>
            </w:r>
          </w:p>
        </w:tc>
        <w:tc>
          <w:tcPr>
            <w:tcW w:w="1508"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最小供氢量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（Nm³/h）</w:t>
            </w:r>
          </w:p>
        </w:tc>
        <w:tc>
          <w:tcPr>
            <w:tcW w:w="133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运行小时</w:t>
            </w:r>
          </w:p>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（h）</w:t>
            </w:r>
          </w:p>
        </w:tc>
        <w:tc>
          <w:tcPr>
            <w:tcW w:w="1674"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最小供氢量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（亿Nm³/年）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919" w:type="dxa"/>
            <w:vAlign w:val="bottom"/>
          </w:tcPr>
          <w:p>
            <w:pPr>
              <w:snapToGrid w:val="0"/>
              <w:spacing w:line="276"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380"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36000</w:t>
            </w:r>
          </w:p>
        </w:tc>
        <w:tc>
          <w:tcPr>
            <w:tcW w:w="1219"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2000</w:t>
            </w:r>
          </w:p>
        </w:tc>
        <w:tc>
          <w:tcPr>
            <w:tcW w:w="1841"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0.72</w:t>
            </w:r>
          </w:p>
        </w:tc>
        <w:tc>
          <w:tcPr>
            <w:tcW w:w="1508"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7500</w:t>
            </w:r>
          </w:p>
        </w:tc>
        <w:tc>
          <w:tcPr>
            <w:tcW w:w="1339"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2000</w:t>
            </w:r>
          </w:p>
        </w:tc>
        <w:tc>
          <w:tcPr>
            <w:tcW w:w="1674"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0.15</w:t>
            </w:r>
          </w:p>
        </w:tc>
      </w:tr>
    </w:tbl>
    <w:p>
      <w:pPr>
        <w:snapToGrid w:val="0"/>
        <w:spacing w:line="360" w:lineRule="auto"/>
        <w:ind w:left="329" w:hanging="328" w:hangingChars="137"/>
        <w:rPr>
          <w:rFonts w:asciiTheme="minorEastAsia" w:hAnsiTheme="minorEastAsia" w:eastAsiaTheme="minorEastAsia"/>
          <w:sz w:val="24"/>
        </w:rPr>
      </w:pPr>
    </w:p>
    <w:p>
      <w:pPr>
        <w:adjustRightInd w:val="0"/>
        <w:snapToGrid w:val="0"/>
        <w:spacing w:line="360" w:lineRule="auto"/>
        <w:ind w:left="440" w:hanging="440" w:hangingChars="137"/>
        <w:textAlignment w:val="baseline"/>
        <w:outlineLvl w:val="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三、技术标准（不限于此）</w:t>
      </w:r>
    </w:p>
    <w:p>
      <w:pPr>
        <w:adjustRightInd w:val="0"/>
        <w:snapToGrid w:val="0"/>
        <w:spacing w:line="360" w:lineRule="auto"/>
        <w:ind w:left="329" w:hanging="328" w:hangingChars="137"/>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可研文件及文件中所涉及的附件和设备应符合相应的标准规范或法规的最新版本或其修正本的要求</w:t>
      </w:r>
      <w:r>
        <w:rPr>
          <w:rFonts w:asciiTheme="minorEastAsia" w:hAnsiTheme="minorEastAsia" w:eastAsiaTheme="minorEastAsia"/>
          <w:sz w:val="24"/>
          <w:lang w:eastAsia="zh-CN"/>
        </w:rPr>
        <w:t xml:space="preserve">, </w:t>
      </w:r>
      <w:r>
        <w:rPr>
          <w:rFonts w:hint="eastAsia" w:asciiTheme="minorEastAsia" w:hAnsiTheme="minorEastAsia" w:eastAsiaTheme="minorEastAsia"/>
          <w:sz w:val="24"/>
          <w:lang w:eastAsia="zh-CN"/>
        </w:rPr>
        <w:t>除非另有特别说明，将包括投标期内有效的任何修正和补充。</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除非合同另有规定，均须遵守最新的国家标准</w:t>
      </w:r>
      <w:r>
        <w:rPr>
          <w:rFonts w:asciiTheme="minorEastAsia" w:hAnsiTheme="minorEastAsia" w:eastAsiaTheme="minorEastAsia"/>
          <w:sz w:val="24"/>
          <w:lang w:eastAsia="zh-CN"/>
        </w:rPr>
        <w:t>(GB)</w:t>
      </w:r>
      <w:r>
        <w:rPr>
          <w:rFonts w:hint="eastAsia" w:asciiTheme="minorEastAsia" w:hAnsiTheme="minorEastAsia" w:eastAsiaTheme="minorEastAsia"/>
          <w:sz w:val="24"/>
          <w:lang w:eastAsia="zh-CN"/>
        </w:rPr>
        <w:t>、国家电力行业标准(</w:t>
      </w:r>
      <w:r>
        <w:rPr>
          <w:rFonts w:asciiTheme="minorEastAsia" w:hAnsiTheme="minorEastAsia" w:eastAsiaTheme="minorEastAsia"/>
          <w:sz w:val="24"/>
          <w:lang w:eastAsia="zh-CN"/>
        </w:rPr>
        <w:t>DL</w:t>
      </w:r>
      <w:r>
        <w:rPr>
          <w:rFonts w:hint="eastAsia" w:asciiTheme="minorEastAsia" w:hAnsiTheme="minorEastAsia" w:eastAsiaTheme="minorEastAsia"/>
          <w:sz w:val="24"/>
          <w:lang w:eastAsia="zh-CN"/>
        </w:rPr>
        <w:t>)、国际电工委员会</w:t>
      </w:r>
      <w:r>
        <w:rPr>
          <w:rFonts w:asciiTheme="minorEastAsia" w:hAnsiTheme="minorEastAsia" w:eastAsiaTheme="minorEastAsia"/>
          <w:sz w:val="24"/>
          <w:lang w:eastAsia="zh-CN"/>
        </w:rPr>
        <w:t>(IEC)</w:t>
      </w:r>
      <w:r>
        <w:rPr>
          <w:rFonts w:hint="eastAsia" w:asciiTheme="minorEastAsia" w:hAnsiTheme="minorEastAsia" w:eastAsiaTheme="minorEastAsia"/>
          <w:sz w:val="24"/>
          <w:lang w:eastAsia="zh-CN"/>
        </w:rPr>
        <w:t>标准及国际单位制</w:t>
      </w:r>
      <w:r>
        <w:rPr>
          <w:rFonts w:asciiTheme="minorEastAsia" w:hAnsiTheme="minorEastAsia" w:eastAsiaTheme="minorEastAsia"/>
          <w:sz w:val="24"/>
          <w:lang w:eastAsia="zh-CN"/>
        </w:rPr>
        <w:t>(SI)</w:t>
      </w:r>
      <w:r>
        <w:rPr>
          <w:rFonts w:hint="eastAsia" w:asciiTheme="minorEastAsia" w:hAnsiTheme="minorEastAsia" w:eastAsiaTheme="minorEastAsia"/>
          <w:sz w:val="24"/>
          <w:lang w:eastAsia="zh-CN"/>
        </w:rPr>
        <w:t>标准。当上述标准不一致时，按技术条款要求高的标准执行。</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50660《大中型火力发电厂设计规范》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4272《设备及管道保温技术通则》</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12801《生产过程安全卫生要求总则》</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GBZ230 《职业性接触毒物危险程度分级》</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GB50016 《建筑设计防火规范》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GB50160 《石油化工企业设计防火规范》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50720《建设工程施工现场消防安全技术规范》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GB/T 50087《工业企业噪声控制设计规范》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YB 9073《钢制压力容器设计技术规定》</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DL5000《火力发电厂设计技术规程》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5094《火力发电厂建筑设计规程》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DL/T5047《电力建设施工及验收技术规范》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5375《火力发电厂可行性研究报告内容深度规定》</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5204 《发电厂油气管道设计规程》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GB/T8163-2022《流体输送用无缝钢管》</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GB50264-2013《工业设备及管道绝热工程设计规范》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GB50235-2010《工业金属管道工程施工及验收规范》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GB50236-2011《现场设备、工业管道焊接工程施工及验收规范》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GB50177-2022《制氢站设计规范》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GB4962-2022《氢气使用安全技术规范》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GB7231-2021《工业管路的基本识别色、识别符号和安全标识》</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GB50231-2009《机械设备安装工程施工及验收通用规范》</w:t>
      </w:r>
    </w:p>
    <w:p>
      <w:pPr>
        <w:pStyle w:val="52"/>
        <w:adjustRightInd/>
        <w:spacing w:line="360" w:lineRule="auto"/>
        <w:ind w:left="26" w:leftChars="12" w:firstLine="309" w:firstLineChars="129"/>
        <w:jc w:val="left"/>
        <w:rPr>
          <w:rFonts w:asciiTheme="minorEastAsia" w:hAnsiTheme="minorEastAsia" w:eastAsiaTheme="minorEastAsia"/>
          <w:kern w:val="2"/>
          <w:szCs w:val="24"/>
        </w:rPr>
      </w:pPr>
      <w:r>
        <w:rPr>
          <w:rFonts w:hint="eastAsia" w:asciiTheme="minorEastAsia" w:hAnsiTheme="minorEastAsia" w:eastAsiaTheme="minorEastAsia"/>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pPr>
        <w:spacing w:line="360" w:lineRule="auto"/>
        <w:ind w:left="26" w:leftChars="12" w:firstLine="309" w:firstLineChars="12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提供审查的标准应为中文版本。</w:t>
      </w:r>
    </w:p>
    <w:p>
      <w:pPr>
        <w:spacing w:line="360" w:lineRule="auto"/>
        <w:ind w:left="440" w:hanging="440" w:hangingChars="137"/>
        <w:outlineLvl w:val="0"/>
        <w:rPr>
          <w:rFonts w:asciiTheme="minorEastAsia" w:hAnsiTheme="minorEastAsia" w:eastAsiaTheme="minorEastAsia"/>
          <w:sz w:val="24"/>
          <w:szCs w:val="24"/>
          <w:lang w:eastAsia="zh-CN"/>
        </w:rPr>
      </w:pPr>
      <w:r>
        <w:rPr>
          <w:rFonts w:hint="eastAsia" w:asciiTheme="minorEastAsia" w:hAnsiTheme="minorEastAsia" w:eastAsiaTheme="minorEastAsia"/>
          <w:b/>
          <w:sz w:val="32"/>
          <w:szCs w:val="32"/>
          <w:lang w:eastAsia="zh-CN"/>
        </w:rPr>
        <w:t>四、工程范围</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4.1</w:t>
      </w:r>
      <w:r>
        <w:rPr>
          <w:rFonts w:hint="eastAsia" w:asciiTheme="minorEastAsia" w:hAnsiTheme="minorEastAsia" w:eastAsiaTheme="minorEastAsia"/>
          <w:sz w:val="24"/>
          <w:lang w:eastAsia="zh-CN"/>
        </w:rPr>
        <w:t>通过对现有电厂燃烧情况和燃烧器使用情况及现场实地勘查，投标方负责完成编制锅炉氢气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并组织进行可研评审。</w:t>
      </w:r>
    </w:p>
    <w:p>
      <w:p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4.2</w:t>
      </w:r>
      <w:r>
        <w:rPr>
          <w:rFonts w:hint="eastAsia" w:asciiTheme="minorEastAsia" w:hAnsiTheme="minorEastAsia" w:eastAsiaTheme="minorEastAsia"/>
          <w:sz w:val="24"/>
        </w:rPr>
        <w:t>工程</w:t>
      </w:r>
      <w:r>
        <w:rPr>
          <w:rFonts w:asciiTheme="minorEastAsia" w:hAnsiTheme="minorEastAsia" w:eastAsiaTheme="minorEastAsia"/>
          <w:sz w:val="24"/>
        </w:rPr>
        <w:t>量清单</w:t>
      </w:r>
    </w:p>
    <w:tbl>
      <w:tblPr>
        <w:tblStyle w:val="37"/>
        <w:tblW w:w="933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803"/>
        <w:gridCol w:w="4356"/>
        <w:gridCol w:w="769"/>
        <w:gridCol w:w="980"/>
        <w:gridCol w:w="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07" w:hRule="atLeast"/>
          <w:tblHeader/>
          <w:jc w:val="center"/>
        </w:trPr>
        <w:tc>
          <w:tcPr>
            <w:tcW w:w="717" w:type="dxa"/>
            <w:vAlign w:val="center"/>
          </w:tcPr>
          <w:p>
            <w:pPr>
              <w:spacing w:line="360" w:lineRule="auto"/>
              <w:ind w:left="301" w:hanging="301" w:hangingChars="137"/>
              <w:jc w:val="center"/>
              <w:rPr>
                <w:rFonts w:asciiTheme="minorEastAsia" w:hAnsiTheme="minorEastAsia" w:eastAsiaTheme="minorEastAsia"/>
              </w:rPr>
            </w:pPr>
            <w:bookmarkStart w:id="15" w:name="OLE_LINK16"/>
            <w:r>
              <w:rPr>
                <w:rFonts w:hint="eastAsia" w:asciiTheme="minorEastAsia" w:hAnsiTheme="minorEastAsia" w:eastAsiaTheme="minorEastAsia"/>
              </w:rPr>
              <w:t>项目编码</w:t>
            </w:r>
            <w:bookmarkEnd w:id="15"/>
          </w:p>
        </w:tc>
        <w:tc>
          <w:tcPr>
            <w:tcW w:w="1803"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项目名称</w:t>
            </w:r>
          </w:p>
        </w:tc>
        <w:tc>
          <w:tcPr>
            <w:tcW w:w="4356" w:type="dxa"/>
            <w:vAlign w:val="center"/>
          </w:tcPr>
          <w:p>
            <w:pPr>
              <w:spacing w:line="360" w:lineRule="auto"/>
              <w:ind w:left="301" w:hanging="301" w:hangingChars="137"/>
              <w:jc w:val="center"/>
              <w:rPr>
                <w:rFonts w:asciiTheme="minorEastAsia" w:hAnsiTheme="minorEastAsia" w:eastAsiaTheme="minorEastAsia"/>
                <w:lang w:eastAsia="zh-CN"/>
              </w:rPr>
            </w:pPr>
            <w:r>
              <w:rPr>
                <w:rFonts w:hint="eastAsia" w:asciiTheme="minorEastAsia" w:hAnsiTheme="minorEastAsia" w:eastAsiaTheme="minorEastAsia"/>
                <w:lang w:eastAsia="zh-CN"/>
              </w:rPr>
              <w:t>项目特征描述/项目</w:t>
            </w:r>
            <w:r>
              <w:rPr>
                <w:rFonts w:asciiTheme="minorEastAsia" w:hAnsiTheme="minorEastAsia" w:eastAsiaTheme="minorEastAsia"/>
                <w:lang w:eastAsia="zh-CN"/>
              </w:rPr>
              <w:t>内容</w:t>
            </w:r>
          </w:p>
        </w:tc>
        <w:tc>
          <w:tcPr>
            <w:tcW w:w="769"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计量</w:t>
            </w:r>
          </w:p>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单位</w:t>
            </w:r>
          </w:p>
        </w:tc>
        <w:tc>
          <w:tcPr>
            <w:tcW w:w="980"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工程量</w:t>
            </w:r>
          </w:p>
        </w:tc>
        <w:tc>
          <w:tcPr>
            <w:tcW w:w="705"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02" w:hRule="atLeast"/>
          <w:jc w:val="center"/>
        </w:trPr>
        <w:tc>
          <w:tcPr>
            <w:tcW w:w="717"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1</w:t>
            </w:r>
          </w:p>
        </w:tc>
        <w:tc>
          <w:tcPr>
            <w:tcW w:w="1803" w:type="dxa"/>
            <w:vAlign w:val="center"/>
          </w:tcPr>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热电厂</w:t>
            </w:r>
            <w:r>
              <w:rPr>
                <w:rFonts w:hint="eastAsia" w:asciiTheme="minorEastAsia" w:hAnsiTheme="minorEastAsia" w:eastAsiaTheme="minorEastAsia"/>
                <w:bCs/>
                <w:lang w:eastAsia="zh-CN"/>
              </w:rPr>
              <w:t>锅炉氢气</w:t>
            </w:r>
          </w:p>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w:t>
            </w:r>
          </w:p>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可行性研究报告</w:t>
            </w:r>
          </w:p>
          <w:p>
            <w:pPr>
              <w:spacing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等编制服务</w:t>
            </w:r>
          </w:p>
        </w:tc>
        <w:tc>
          <w:tcPr>
            <w:tcW w:w="4356" w:type="dxa"/>
            <w:vAlign w:val="center"/>
          </w:tcPr>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编制锅炉氢气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项目可行性研究报告</w:t>
            </w:r>
            <w:r>
              <w:rPr>
                <w:rFonts w:hint="eastAsia" w:asciiTheme="minorEastAsia" w:hAnsiTheme="minorEastAsia" w:eastAsiaTheme="minorEastAsia"/>
                <w:bCs/>
                <w:lang w:eastAsia="zh-CN"/>
              </w:rPr>
              <w:t>，提出锅炉氢气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改造的技术路线、工艺方案、工程方案、投资估算、经济分析，得出结论性推荐意见。</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组织可研评审，提供可研评审报告。</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根据可研评审报告对锅炉氢气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项目可行性研究报告</w:t>
            </w:r>
            <w:r>
              <w:rPr>
                <w:rFonts w:hint="eastAsia" w:asciiTheme="minorEastAsia" w:hAnsiTheme="minorEastAsia" w:eastAsiaTheme="minorEastAsia"/>
                <w:bCs/>
                <w:lang w:eastAsia="zh-CN"/>
              </w:rPr>
              <w:t>进行修订，并提供收口版报告。</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编制项目申请报告及工程招标技术规范书。</w:t>
            </w:r>
          </w:p>
        </w:tc>
        <w:tc>
          <w:tcPr>
            <w:tcW w:w="769"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项</w:t>
            </w:r>
          </w:p>
        </w:tc>
        <w:tc>
          <w:tcPr>
            <w:tcW w:w="980"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1</w:t>
            </w:r>
          </w:p>
        </w:tc>
        <w:tc>
          <w:tcPr>
            <w:tcW w:w="705" w:type="dxa"/>
            <w:vAlign w:val="center"/>
          </w:tcPr>
          <w:p>
            <w:pPr>
              <w:spacing w:line="360" w:lineRule="auto"/>
              <w:ind w:left="301" w:hanging="301" w:hangingChars="137"/>
              <w:jc w:val="center"/>
              <w:rPr>
                <w:rFonts w:asciiTheme="minorEastAsia" w:hAnsiTheme="minorEastAsia" w:eastAsiaTheme="minorEastAsia"/>
              </w:rPr>
            </w:pPr>
          </w:p>
        </w:tc>
      </w:tr>
    </w:tbl>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4.3</w:t>
      </w:r>
      <w:r>
        <w:rPr>
          <w:rFonts w:hint="eastAsia" w:asciiTheme="minorEastAsia" w:hAnsiTheme="minorEastAsia" w:eastAsiaTheme="minorEastAsia"/>
          <w:sz w:val="24"/>
          <w:lang w:eastAsia="zh-CN"/>
        </w:rPr>
        <w:t>内容包括但不限于以下内容：</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的项目背景、项目的必要性。</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w:t>
      </w:r>
      <w:r>
        <w:rPr>
          <w:rFonts w:hint="eastAsia" w:asciiTheme="minorEastAsia" w:hAnsiTheme="minorEastAsia" w:eastAsiaTheme="minorEastAsia"/>
          <w:sz w:val="24"/>
          <w:lang w:eastAsia="zh-CN"/>
        </w:rPr>
        <w:t>的技术路线比对及其优势</w:t>
      </w:r>
      <w:r>
        <w:rPr>
          <w:rFonts w:asciiTheme="minorEastAsia" w:hAnsiTheme="minorEastAsia" w:eastAsiaTheme="minorEastAsia"/>
          <w:sz w:val="24"/>
          <w:lang w:eastAsia="zh-CN"/>
        </w:rPr>
        <w:t>。</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w:t>
      </w:r>
      <w:r>
        <w:rPr>
          <w:rFonts w:hint="eastAsia" w:asciiTheme="minorEastAsia" w:hAnsiTheme="minorEastAsia" w:eastAsiaTheme="minorEastAsia"/>
          <w:sz w:val="24"/>
          <w:lang w:eastAsia="zh-CN"/>
        </w:rPr>
        <w:t>推荐的工程方案设想，工程设想方案应包含潜在风险和影响，如对锅炉安全运行等进行论述。</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w:t>
      </w:r>
      <w:r>
        <w:rPr>
          <w:rFonts w:hint="eastAsia" w:asciiTheme="minorEastAsia" w:hAnsiTheme="minorEastAsia" w:eastAsiaTheme="minorEastAsia"/>
          <w:sz w:val="24"/>
          <w:lang w:eastAsia="zh-CN"/>
        </w:rPr>
        <w:t>建设对现有电厂布置、设备、热网等的影响说明。如厂区用地、布置、新增设备用电、用水、用汽等进行说明，并论证其实施可行性、合理性、安全性，提出改造最佳方案。</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对项目安全进行可行性分析，包括系统安全性分析、劳动人员的安全性分析等。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施工方案及工期论述：含施工方案及内容综述、施工工期及进度计划等。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对投资成本及效益进行估算，包括土建投资、设备投资、安装费用、效益测算、回收期、收益率等。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 xml:space="preserve">增加改造总费用，以及在改造完成后，需要估算运行和维护安全措施费用前后比对。                                                                                                                                                                                                                                                                                                                                                                                                                                              </w:t>
      </w:r>
    </w:p>
    <w:p>
      <w:pPr>
        <w:pStyle w:val="48"/>
        <w:numPr>
          <w:ilvl w:val="0"/>
          <w:numId w:val="13"/>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结论性意见。</w:t>
      </w:r>
    </w:p>
    <w:p>
      <w:pPr>
        <w:pStyle w:val="3"/>
        <w:spacing w:line="360" w:lineRule="auto"/>
        <w:ind w:left="440" w:hanging="440" w:hangingChars="137"/>
        <w:rPr>
          <w:rFonts w:asciiTheme="minorEastAsia" w:hAnsiTheme="minorEastAsia" w:eastAsiaTheme="minorEastAsia"/>
          <w:sz w:val="32"/>
          <w:szCs w:val="32"/>
        </w:rPr>
      </w:pPr>
      <w:r>
        <w:rPr>
          <w:rFonts w:hint="eastAsia" w:asciiTheme="minorEastAsia" w:hAnsiTheme="minorEastAsia" w:eastAsiaTheme="minorEastAsia"/>
          <w:sz w:val="32"/>
          <w:szCs w:val="32"/>
        </w:rPr>
        <w:t>五、技术要求</w:t>
      </w:r>
    </w:p>
    <w:p>
      <w:pPr>
        <w:pStyle w:val="3"/>
        <w:spacing w:line="360" w:lineRule="auto"/>
        <w:ind w:left="385" w:hanging="385" w:hangingChars="137"/>
        <w:rPr>
          <w:rFonts w:asciiTheme="minorEastAsia" w:hAnsiTheme="minorEastAsia" w:eastAsiaTheme="minorEastAsia"/>
          <w:bCs w:val="0"/>
          <w:kern w:val="2"/>
        </w:rPr>
      </w:pPr>
      <w:r>
        <w:rPr>
          <w:rFonts w:asciiTheme="minorEastAsia" w:hAnsiTheme="minorEastAsia" w:eastAsiaTheme="minorEastAsia"/>
          <w:bCs w:val="0"/>
          <w:kern w:val="2"/>
        </w:rPr>
        <w:t>5.</w:t>
      </w:r>
      <w:r>
        <w:rPr>
          <w:rFonts w:hint="eastAsia" w:asciiTheme="minorEastAsia" w:hAnsiTheme="minorEastAsia" w:eastAsiaTheme="minorEastAsia"/>
          <w:bCs w:val="0"/>
          <w:kern w:val="2"/>
        </w:rPr>
        <w:t>1总的要求：</w:t>
      </w:r>
    </w:p>
    <w:p>
      <w:pPr>
        <w:spacing w:line="360" w:lineRule="auto"/>
        <w:ind w:left="329" w:hanging="328" w:hangingChars="137"/>
        <w:rPr>
          <w:rFonts w:asciiTheme="minorEastAsia" w:hAnsiTheme="minorEastAsia" w:eastAsiaTheme="minorEastAsia"/>
          <w:sz w:val="24"/>
          <w:szCs w:val="24"/>
          <w:lang w:eastAsia="zh-CN"/>
        </w:rPr>
      </w:pPr>
      <w:r>
        <w:rPr>
          <w:rFonts w:hint="eastAsia" w:asciiTheme="minorEastAsia" w:hAnsiTheme="minorEastAsia" w:eastAsiaTheme="minorEastAsia"/>
          <w:sz w:val="24"/>
          <w:lang w:eastAsia="zh-CN"/>
        </w:rPr>
        <w:t>按照国家、行业标准规范编制腾龙芳烃（漳州）有限公司</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，并组织专家进行可研评审，技改后</w:t>
      </w:r>
      <w:r>
        <w:rPr>
          <w:rFonts w:hint="eastAsia" w:asciiTheme="minorEastAsia" w:hAnsiTheme="minorEastAsia" w:eastAsiaTheme="minorEastAsia"/>
          <w:sz w:val="24"/>
          <w:szCs w:val="24"/>
          <w:lang w:eastAsia="zh-CN"/>
        </w:rPr>
        <w:t>的设备、系统与原有设备、系统有良好的兼容性，并能接入现有的监控、控制系统。</w:t>
      </w:r>
    </w:p>
    <w:p>
      <w:pPr>
        <w:pStyle w:val="3"/>
        <w:spacing w:line="360" w:lineRule="auto"/>
        <w:ind w:left="385" w:hanging="385" w:hangingChars="137"/>
        <w:rPr>
          <w:rFonts w:asciiTheme="minorEastAsia" w:hAnsiTheme="minorEastAsia" w:eastAsiaTheme="minorEastAsia"/>
          <w:bCs w:val="0"/>
          <w:kern w:val="2"/>
        </w:rPr>
      </w:pPr>
      <w:r>
        <w:rPr>
          <w:rFonts w:asciiTheme="minorEastAsia" w:hAnsiTheme="minorEastAsia" w:eastAsiaTheme="minorEastAsia"/>
          <w:bCs w:val="0"/>
          <w:kern w:val="2"/>
        </w:rPr>
        <w:t>5.2</w:t>
      </w:r>
      <w:r>
        <w:rPr>
          <w:rFonts w:hint="eastAsia" w:asciiTheme="minorEastAsia" w:hAnsiTheme="minorEastAsia" w:eastAsiaTheme="minorEastAsia"/>
          <w:bCs w:val="0"/>
          <w:kern w:val="2"/>
        </w:rPr>
        <w:t>基本要求：</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可行性研究基础资料分析。根据本次可研工作的主要内容和目标，进行现场勘察和资料收集，作为可行性研究的基础资料。</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改造可行性方案的制定。根据收资情况，给出锅炉氢气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项目的可行性结论</w:t>
      </w:r>
      <w:r>
        <w:rPr>
          <w:rFonts w:hint="eastAsia" w:asciiTheme="minorEastAsia" w:hAnsiTheme="minorEastAsia" w:eastAsiaTheme="minorEastAsia"/>
          <w:sz w:val="24"/>
          <w:lang w:eastAsia="zh-CN"/>
        </w:rPr>
        <w:t>。</w:t>
      </w:r>
    </w:p>
    <w:p>
      <w:pPr>
        <w:pStyle w:val="48"/>
        <w:numPr>
          <w:ilvl w:val="0"/>
          <w:numId w:val="14"/>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可行性研究报告编制。</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组织双方认可的专家团队，完成可研报告评审。</w:t>
      </w:r>
    </w:p>
    <w:p>
      <w:pPr>
        <w:pStyle w:val="4"/>
        <w:spacing w:line="360" w:lineRule="auto"/>
        <w:ind w:left="385" w:hanging="385" w:hangingChars="137"/>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5</w:t>
      </w:r>
      <w:r>
        <w:rPr>
          <w:rFonts w:asciiTheme="minorEastAsia" w:hAnsiTheme="minorEastAsia" w:eastAsiaTheme="minorEastAsia"/>
          <w:sz w:val="28"/>
          <w:szCs w:val="28"/>
          <w:lang w:eastAsia="zh-CN"/>
        </w:rPr>
        <w:t>.3</w:t>
      </w:r>
      <w:r>
        <w:rPr>
          <w:rFonts w:hint="eastAsia" w:asciiTheme="minorEastAsia" w:hAnsiTheme="minorEastAsia" w:eastAsiaTheme="minorEastAsia"/>
          <w:sz w:val="28"/>
          <w:szCs w:val="28"/>
          <w:lang w:eastAsia="zh-CN"/>
        </w:rPr>
        <w:t>工作要求：</w:t>
      </w:r>
    </w:p>
    <w:p>
      <w:pPr>
        <w:adjustRightInd w:val="0"/>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严格执行技术大纲内容，主动配合委托方在设计过程中各方面的协调工作，处理好各相关单位和人员的关系。服务于全过程</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及时做好各类质量信息的收集、汇总、分析和反馈。</w:t>
      </w:r>
    </w:p>
    <w:p>
      <w:pPr>
        <w:pStyle w:val="81"/>
        <w:adjustRightIn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1</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质量目标：</w:t>
      </w:r>
    </w:p>
    <w:p>
      <w:pPr>
        <w:adjustRightInd w:val="0"/>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lang w:eastAsia="zh-CN"/>
        </w:rPr>
        <w:t>按照国家有关标准、规程规范的要求，</w:t>
      </w:r>
      <w:r>
        <w:rPr>
          <w:rFonts w:hint="eastAsia" w:asciiTheme="minorEastAsia" w:hAnsiTheme="minorEastAsia" w:eastAsiaTheme="minorEastAsia"/>
          <w:sz w:val="24"/>
          <w:lang w:eastAsia="zh-CN"/>
        </w:rPr>
        <w:t>提供的数据准确可靠，结论正确</w:t>
      </w:r>
      <w:r>
        <w:rPr>
          <w:rFonts w:asciiTheme="minorEastAsia" w:hAnsiTheme="minorEastAsia" w:eastAsiaTheme="minorEastAsia"/>
          <w:sz w:val="24"/>
          <w:lang w:eastAsia="zh-CN"/>
        </w:rPr>
        <w:t>。在保证</w:t>
      </w:r>
      <w:r>
        <w:rPr>
          <w:rFonts w:hint="eastAsia" w:asciiTheme="minorEastAsia" w:hAnsiTheme="minorEastAsia" w:eastAsiaTheme="minorEastAsia"/>
          <w:sz w:val="24"/>
          <w:lang w:eastAsia="zh-CN"/>
        </w:rPr>
        <w:t>热电厂</w:t>
      </w:r>
      <w:r>
        <w:rPr>
          <w:rFonts w:asciiTheme="minorEastAsia" w:hAnsiTheme="minorEastAsia" w:eastAsiaTheme="minorEastAsia"/>
          <w:sz w:val="24"/>
          <w:lang w:eastAsia="zh-CN"/>
        </w:rPr>
        <w:t>安全可靠运行的前提下，</w:t>
      </w:r>
      <w:r>
        <w:rPr>
          <w:rFonts w:hint="eastAsia" w:asciiTheme="minorEastAsia" w:hAnsiTheme="minorEastAsia" w:eastAsiaTheme="minorEastAsia"/>
          <w:sz w:val="24"/>
          <w:lang w:eastAsia="zh-CN"/>
        </w:rPr>
        <w:t>充分考虑安全性，</w:t>
      </w:r>
      <w:r>
        <w:rPr>
          <w:rFonts w:asciiTheme="minorEastAsia" w:hAnsiTheme="minorEastAsia" w:eastAsiaTheme="minorEastAsia"/>
          <w:sz w:val="24"/>
          <w:lang w:eastAsia="zh-CN"/>
        </w:rPr>
        <w:t>体现可靠性、经济性、合理性和先进性。贯彻以经济效益为中心，</w:t>
      </w:r>
      <w:r>
        <w:rPr>
          <w:rFonts w:hint="eastAsia" w:asciiTheme="minorEastAsia" w:hAnsiTheme="minorEastAsia" w:eastAsiaTheme="minorEastAsia"/>
          <w:sz w:val="24"/>
          <w:lang w:eastAsia="zh-CN"/>
        </w:rPr>
        <w:t>以供热安全为重点，符合国情和满足可持续发展要求，以合理的投资，获取最佳的经济效益和社会效益</w:t>
      </w:r>
      <w:r>
        <w:rPr>
          <w:rFonts w:asciiTheme="minorEastAsia" w:hAnsiTheme="minorEastAsia" w:eastAsiaTheme="minorEastAsia"/>
          <w:sz w:val="24"/>
          <w:lang w:eastAsia="zh-CN"/>
        </w:rPr>
        <w:t>。</w:t>
      </w:r>
      <w:r>
        <w:rPr>
          <w:rFonts w:asciiTheme="minorEastAsia" w:hAnsiTheme="minorEastAsia" w:eastAsiaTheme="minorEastAsia"/>
          <w:sz w:val="24"/>
        </w:rPr>
        <w:t>具体内容为：</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满足国家环保政策和可持续发展战略：节约用水、用地，控制各种污染物排放，珍惜有限资源</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对现有氢气掺烧的几种方案进行比选，</w:t>
      </w:r>
      <w:r>
        <w:rPr>
          <w:rFonts w:asciiTheme="minorEastAsia" w:hAnsiTheme="minorEastAsia" w:eastAsiaTheme="minorEastAsia"/>
          <w:sz w:val="24"/>
          <w:lang w:eastAsia="zh-CN"/>
        </w:rPr>
        <w:t>投资估算应能满足控制概算的要求，节约工程投资，并进行造价分析，应论证并提出设备技术条件，以满足主设备招标的要求</w:t>
      </w:r>
      <w:r>
        <w:rPr>
          <w:rFonts w:hint="eastAsia" w:asciiTheme="minorEastAsia" w:hAnsiTheme="minorEastAsia" w:eastAsiaTheme="minorEastAsia"/>
          <w:sz w:val="24"/>
          <w:lang w:eastAsia="zh-CN"/>
        </w:rPr>
        <w:t>并</w:t>
      </w:r>
      <w:r>
        <w:rPr>
          <w:rFonts w:asciiTheme="minorEastAsia" w:hAnsiTheme="minorEastAsia" w:eastAsiaTheme="minorEastAsia"/>
          <w:sz w:val="24"/>
          <w:lang w:eastAsia="zh-CN"/>
        </w:rPr>
        <w:t>做到系统、设备选型合理、高效，降低运行能耗</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自动化水平先进适用</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提出</w:t>
      </w:r>
      <w:r>
        <w:rPr>
          <w:rFonts w:asciiTheme="minorEastAsia" w:hAnsiTheme="minorEastAsia" w:eastAsiaTheme="minorEastAsia"/>
          <w:sz w:val="24"/>
          <w:lang w:eastAsia="zh-CN"/>
        </w:rPr>
        <w:t>优化设计</w:t>
      </w:r>
      <w:r>
        <w:rPr>
          <w:rFonts w:hint="eastAsia" w:asciiTheme="minorEastAsia" w:hAnsiTheme="minorEastAsia" w:eastAsiaTheme="minorEastAsia"/>
          <w:sz w:val="24"/>
          <w:lang w:eastAsia="zh-CN"/>
        </w:rPr>
        <w:t>方案</w:t>
      </w:r>
      <w:r>
        <w:rPr>
          <w:rFonts w:asciiTheme="minorEastAsia" w:hAnsiTheme="minorEastAsia" w:eastAsiaTheme="minorEastAsia"/>
          <w:sz w:val="24"/>
          <w:lang w:eastAsia="zh-CN"/>
        </w:rPr>
        <w:t>，使其各系统设计先进合理，建设周期短</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财务分析所需的原始资料应切合实际，以此确定相应上网参考电价估算值；利用外资项目的财务分析指标，还应符合国家规定的有关利用外资项目的技术经济政策；</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应说明合理利用资源情况，并进行节能分析、抗灾能力评价、风险分析和经济与社会影响分析。</w:t>
      </w:r>
    </w:p>
    <w:p>
      <w:pPr>
        <w:pStyle w:val="81"/>
        <w:adjustRightInd w:val="0"/>
        <w:spacing w:line="360" w:lineRule="auto"/>
        <w:ind w:left="330" w:hanging="330" w:hangingChars="137"/>
        <w:rPr>
          <w:rFonts w:asciiTheme="minorEastAsia" w:hAnsiTheme="minorEastAsia" w:eastAsiaTheme="minorEastAsia"/>
          <w:b/>
          <w:sz w:val="24"/>
          <w:lang w:eastAsia="zh-CN"/>
        </w:rPr>
      </w:pPr>
      <w:r>
        <w:rPr>
          <w:rFonts w:hint="eastAsia" w:asciiTheme="minorEastAsia" w:hAnsiTheme="minorEastAsia" w:eastAsiaTheme="minorEastAsia"/>
          <w:b/>
          <w:sz w:val="24"/>
          <w:lang w:eastAsia="zh-CN"/>
        </w:rPr>
        <w:t>2）投标方责任</w:t>
      </w:r>
      <w:r>
        <w:rPr>
          <w:rFonts w:asciiTheme="minorEastAsia" w:hAnsiTheme="minorEastAsia" w:eastAsiaTheme="minorEastAsia"/>
          <w:b/>
          <w:sz w:val="24"/>
          <w:lang w:eastAsia="zh-CN"/>
        </w:rPr>
        <w:t>：</w:t>
      </w:r>
    </w:p>
    <w:p>
      <w:pPr>
        <w:adjustRightInd w:val="0"/>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全面加强与委托方的沟通，</w:t>
      </w:r>
      <w:r>
        <w:rPr>
          <w:rFonts w:hint="eastAsia" w:asciiTheme="minorEastAsia" w:hAnsiTheme="minorEastAsia" w:eastAsiaTheme="minorEastAsia"/>
          <w:sz w:val="24"/>
          <w:lang w:eastAsia="zh-CN"/>
        </w:rPr>
        <w:t>确保项目</w:t>
      </w:r>
      <w:r>
        <w:rPr>
          <w:rFonts w:asciiTheme="minorEastAsia" w:hAnsiTheme="minorEastAsia" w:eastAsiaTheme="minorEastAsia"/>
          <w:sz w:val="24"/>
          <w:lang w:eastAsia="zh-CN"/>
        </w:rPr>
        <w:t>安全可靠、经济适用。</w:t>
      </w:r>
      <w:r>
        <w:rPr>
          <w:rFonts w:hint="eastAsia" w:asciiTheme="minorEastAsia" w:hAnsiTheme="minorEastAsia" w:eastAsiaTheme="minorEastAsia"/>
          <w:sz w:val="24"/>
          <w:lang w:eastAsia="zh-CN"/>
        </w:rPr>
        <w:t>投标</w:t>
      </w:r>
      <w:r>
        <w:rPr>
          <w:rFonts w:asciiTheme="minorEastAsia" w:hAnsiTheme="minorEastAsia" w:eastAsiaTheme="minorEastAsia"/>
          <w:sz w:val="24"/>
          <w:lang w:eastAsia="zh-CN"/>
        </w:rPr>
        <w:t>方目标明确、措施得力</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为</w:t>
      </w:r>
      <w:r>
        <w:rPr>
          <w:rFonts w:hint="eastAsia" w:asciiTheme="minorEastAsia" w:hAnsiTheme="minorEastAsia" w:eastAsiaTheme="minorEastAsia"/>
          <w:sz w:val="24"/>
          <w:lang w:eastAsia="zh-CN"/>
        </w:rPr>
        <w:t>招标</w:t>
      </w:r>
      <w:r>
        <w:rPr>
          <w:rFonts w:asciiTheme="minorEastAsia" w:hAnsiTheme="minorEastAsia" w:eastAsiaTheme="minorEastAsia"/>
          <w:sz w:val="24"/>
          <w:lang w:eastAsia="zh-CN"/>
        </w:rPr>
        <w:t>方提供满意的</w:t>
      </w:r>
      <w:r>
        <w:rPr>
          <w:rFonts w:hint="eastAsia" w:asciiTheme="minorEastAsia" w:hAnsiTheme="minorEastAsia" w:eastAsiaTheme="minorEastAsia"/>
          <w:sz w:val="24"/>
          <w:lang w:eastAsia="zh-CN"/>
        </w:rPr>
        <w:t>可研</w:t>
      </w:r>
      <w:r>
        <w:rPr>
          <w:rFonts w:asciiTheme="minorEastAsia" w:hAnsiTheme="minorEastAsia" w:eastAsiaTheme="minorEastAsia"/>
          <w:sz w:val="24"/>
          <w:lang w:eastAsia="zh-CN"/>
        </w:rPr>
        <w:t>成果。</w:t>
      </w:r>
      <w:r>
        <w:rPr>
          <w:rFonts w:asciiTheme="minorEastAsia" w:hAnsiTheme="minorEastAsia" w:eastAsiaTheme="minorEastAsia"/>
          <w:sz w:val="24"/>
          <w:szCs w:val="24"/>
          <w:lang w:eastAsia="zh-CN"/>
        </w:rPr>
        <w:t>全力提供优质的</w:t>
      </w:r>
      <w:r>
        <w:rPr>
          <w:rFonts w:hint="eastAsia" w:asciiTheme="minorEastAsia" w:hAnsiTheme="minorEastAsia" w:eastAsiaTheme="minorEastAsia"/>
          <w:sz w:val="24"/>
          <w:szCs w:val="24"/>
          <w:lang w:eastAsia="zh-CN"/>
        </w:rPr>
        <w:t>设计</w:t>
      </w:r>
      <w:r>
        <w:rPr>
          <w:rFonts w:asciiTheme="minorEastAsia" w:hAnsiTheme="minorEastAsia" w:eastAsiaTheme="minorEastAsia"/>
          <w:sz w:val="24"/>
          <w:szCs w:val="24"/>
          <w:lang w:eastAsia="zh-CN"/>
        </w:rPr>
        <w:t>产品、提供优质的全过程技术服务。</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服务态度、服务内容、服务行为规范化；服务计划、服务组织制度化；服务工作及时、周到、主动，让委托方满意。</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严格履行合同规定的责任和义务。按合同规定进行</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的组织和实施，保证</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质量和工期。</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保</w:t>
      </w:r>
      <w:r>
        <w:rPr>
          <w:rFonts w:hint="eastAsia" w:asciiTheme="minorEastAsia" w:hAnsiTheme="minorEastAsia" w:eastAsiaTheme="minorEastAsia"/>
          <w:sz w:val="24"/>
          <w:szCs w:val="24"/>
        </w:rPr>
        <w:t>证可研</w:t>
      </w:r>
      <w:r>
        <w:rPr>
          <w:rFonts w:asciiTheme="minorEastAsia" w:hAnsiTheme="minorEastAsia" w:eastAsiaTheme="minorEastAsia"/>
          <w:sz w:val="24"/>
          <w:szCs w:val="24"/>
        </w:rPr>
        <w:t>服务的完整性、连续性，对</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质量、综合技术全面负责，做好协调、善后服务等工作。</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在服务过程中，认真听取委托方的意见，持续改进</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和服务工作。在不违背国家政策及技术原则的前提下，对委托方根据工作需要所作的决定，积极支持并贯彻，并尽职尽责、努力工作、严守机密。</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明确以项目为中心的指导思想。充分理解委托方当前和未来的需要，满足委托方并争取超越委托方期望。</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深入优化技术方案，严格执行国家、地方和电力</w:t>
      </w:r>
      <w:r>
        <w:rPr>
          <w:rFonts w:hint="eastAsia" w:asciiTheme="minorEastAsia" w:hAnsiTheme="minorEastAsia" w:eastAsiaTheme="minorEastAsia"/>
          <w:sz w:val="24"/>
          <w:szCs w:val="24"/>
        </w:rPr>
        <w:t>及相关</w:t>
      </w:r>
      <w:r>
        <w:rPr>
          <w:rFonts w:asciiTheme="minorEastAsia" w:hAnsiTheme="minorEastAsia" w:eastAsiaTheme="minorEastAsia"/>
          <w:sz w:val="24"/>
          <w:szCs w:val="24"/>
        </w:rPr>
        <w:t>行业的各种规范和规定，优质完成工程的</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文件，提供优秀</w:t>
      </w:r>
      <w:r>
        <w:rPr>
          <w:rFonts w:hint="eastAsia" w:asciiTheme="minorEastAsia" w:hAnsiTheme="minorEastAsia" w:eastAsiaTheme="minorEastAsia"/>
          <w:sz w:val="24"/>
          <w:szCs w:val="24"/>
        </w:rPr>
        <w:t>可研成果</w:t>
      </w:r>
      <w:r>
        <w:rPr>
          <w:rFonts w:asciiTheme="minorEastAsia" w:hAnsiTheme="minorEastAsia" w:eastAsiaTheme="minorEastAsia"/>
          <w:sz w:val="24"/>
          <w:szCs w:val="24"/>
        </w:rPr>
        <w:t>。如果以上规范、规定和要求出现重叠、交叉或矛盾，</w:t>
      </w:r>
      <w:r>
        <w:rPr>
          <w:rFonts w:hint="eastAsia" w:asciiTheme="minorEastAsia" w:hAnsiTheme="minorEastAsia" w:eastAsiaTheme="minorEastAsia"/>
          <w:sz w:val="24"/>
          <w:szCs w:val="24"/>
        </w:rPr>
        <w:t>投标方</w:t>
      </w:r>
      <w:r>
        <w:rPr>
          <w:rFonts w:asciiTheme="minorEastAsia" w:hAnsiTheme="minorEastAsia" w:eastAsiaTheme="minorEastAsia"/>
          <w:sz w:val="24"/>
          <w:szCs w:val="24"/>
        </w:rPr>
        <w:t>将首先和</w:t>
      </w:r>
      <w:r>
        <w:rPr>
          <w:rFonts w:hint="eastAsia" w:asciiTheme="minorEastAsia" w:hAnsiTheme="minorEastAsia" w:eastAsiaTheme="minorEastAsia"/>
          <w:sz w:val="24"/>
          <w:szCs w:val="24"/>
        </w:rPr>
        <w:t>招标方</w:t>
      </w:r>
      <w:r>
        <w:rPr>
          <w:rFonts w:asciiTheme="minorEastAsia" w:hAnsiTheme="minorEastAsia" w:eastAsiaTheme="minorEastAsia"/>
          <w:sz w:val="24"/>
          <w:szCs w:val="24"/>
        </w:rPr>
        <w:t>研究、讨论，若无重大原则问题一般将采用标准高的规范和要求。</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为确保</w:t>
      </w:r>
      <w:r>
        <w:rPr>
          <w:rFonts w:hint="eastAsia" w:asciiTheme="minorEastAsia" w:hAnsiTheme="minorEastAsia" w:eastAsiaTheme="minorEastAsia"/>
          <w:sz w:val="24"/>
          <w:szCs w:val="24"/>
        </w:rPr>
        <w:t>可获得</w:t>
      </w:r>
      <w:r>
        <w:rPr>
          <w:rFonts w:asciiTheme="minorEastAsia" w:hAnsiTheme="minorEastAsia" w:eastAsiaTheme="minorEastAsia"/>
          <w:sz w:val="24"/>
          <w:szCs w:val="24"/>
        </w:rPr>
        <w:t>优秀的</w:t>
      </w:r>
      <w:r>
        <w:rPr>
          <w:rFonts w:hint="eastAsia" w:asciiTheme="minorEastAsia" w:hAnsiTheme="minorEastAsia" w:eastAsiaTheme="minorEastAsia"/>
          <w:sz w:val="24"/>
          <w:szCs w:val="24"/>
        </w:rPr>
        <w:t>可研成果</w:t>
      </w:r>
      <w:r>
        <w:rPr>
          <w:rFonts w:asciiTheme="minorEastAsia" w:hAnsiTheme="minorEastAsia" w:eastAsiaTheme="minorEastAsia"/>
          <w:sz w:val="24"/>
          <w:szCs w:val="24"/>
        </w:rPr>
        <w:t>，公司将集中优秀的管理及技术专家，对各系统方案进行策划和指导，并参与</w:t>
      </w:r>
      <w:r>
        <w:rPr>
          <w:rFonts w:hint="eastAsia" w:asciiTheme="minorEastAsia" w:hAnsiTheme="minorEastAsia" w:eastAsiaTheme="minorEastAsia"/>
          <w:sz w:val="24"/>
          <w:szCs w:val="24"/>
        </w:rPr>
        <w:t>可研报告的</w:t>
      </w:r>
      <w:r>
        <w:rPr>
          <w:rFonts w:asciiTheme="minorEastAsia" w:hAnsiTheme="minorEastAsia" w:eastAsiaTheme="minorEastAsia"/>
          <w:sz w:val="24"/>
          <w:szCs w:val="24"/>
        </w:rPr>
        <w:t>最终评审、验证和确认。</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hint="eastAsia" w:asciiTheme="minorEastAsia" w:hAnsiTheme="minorEastAsia" w:eastAsiaTheme="minorEastAsia"/>
          <w:sz w:val="24"/>
        </w:rPr>
        <w:t>报告应</w:t>
      </w:r>
      <w:r>
        <w:rPr>
          <w:rFonts w:hint="eastAsia" w:asciiTheme="minorEastAsia" w:hAnsiTheme="minorEastAsia" w:eastAsiaTheme="minorEastAsia"/>
          <w:sz w:val="24"/>
          <w:szCs w:val="24"/>
        </w:rPr>
        <w:t>满足</w:t>
      </w:r>
      <w:r>
        <w:rPr>
          <w:rFonts w:hint="eastAsia" w:asciiTheme="minorEastAsia" w:hAnsiTheme="minorEastAsia" w:eastAsiaTheme="minorEastAsia"/>
          <w:sz w:val="24"/>
        </w:rPr>
        <w:t>安全、适用、经济、满足本项目电力设计使用功能的要求，并经专家审批通过。</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hint="eastAsia" w:asciiTheme="minorEastAsia" w:hAnsiTheme="minorEastAsia" w:eastAsiaTheme="minorEastAsia"/>
          <w:sz w:val="24"/>
          <w:szCs w:val="24"/>
        </w:rPr>
        <w:t>项目评审期间产生一切费用由投标方承担，包含（不限于）专家评审费、会议费、住宿费、餐饮费等费用。</w:t>
      </w:r>
    </w:p>
    <w:p>
      <w:pPr>
        <w:pStyle w:val="81"/>
        <w:adjustRightInd w:val="0"/>
        <w:spacing w:line="360" w:lineRule="auto"/>
        <w:ind w:left="330" w:hanging="330" w:hangingChars="137"/>
        <w:rPr>
          <w:rFonts w:asciiTheme="minorEastAsia" w:hAnsiTheme="minorEastAsia" w:eastAsiaTheme="minorEastAsia"/>
          <w:b/>
          <w:sz w:val="24"/>
        </w:rPr>
      </w:pPr>
      <w:r>
        <w:rPr>
          <w:rFonts w:hint="eastAsia" w:asciiTheme="minorEastAsia" w:hAnsiTheme="minorEastAsia" w:eastAsiaTheme="minorEastAsia"/>
          <w:b/>
          <w:sz w:val="24"/>
        </w:rPr>
        <w:t>3）招标方责任</w:t>
      </w:r>
      <w:r>
        <w:rPr>
          <w:rFonts w:asciiTheme="minorEastAsia" w:hAnsiTheme="minorEastAsia" w:eastAsiaTheme="minorEastAsia"/>
          <w:b/>
          <w:sz w:val="24"/>
        </w:rPr>
        <w:t>：</w:t>
      </w:r>
    </w:p>
    <w:p>
      <w:pPr>
        <w:pStyle w:val="48"/>
        <w:numPr>
          <w:ilvl w:val="0"/>
          <w:numId w:val="17"/>
        </w:numPr>
        <w:spacing w:before="0" w:line="360" w:lineRule="auto"/>
        <w:ind w:left="325" w:hanging="320" w:hangingChars="137"/>
        <w:rPr>
          <w:rFonts w:asciiTheme="minorEastAsia" w:hAnsiTheme="minorEastAsia" w:eastAsiaTheme="minorEastAsia"/>
          <w:sz w:val="24"/>
          <w:lang w:eastAsia="zh-CN"/>
        </w:rPr>
      </w:pPr>
      <w:r>
        <w:rPr>
          <w:rFonts w:asciiTheme="minorEastAsia" w:hAnsiTheme="minorEastAsia" w:eastAsiaTheme="minorEastAsia"/>
          <w:spacing w:val="-3"/>
          <w:sz w:val="24"/>
          <w:lang w:eastAsia="zh-CN"/>
        </w:rPr>
        <w:t>向</w:t>
      </w:r>
      <w:r>
        <w:rPr>
          <w:rFonts w:hint="eastAsia" w:asciiTheme="minorEastAsia" w:hAnsiTheme="minorEastAsia" w:eastAsiaTheme="minorEastAsia"/>
          <w:spacing w:val="-3"/>
          <w:sz w:val="24"/>
          <w:lang w:eastAsia="zh-CN"/>
        </w:rPr>
        <w:t>投标方</w:t>
      </w:r>
      <w:r>
        <w:rPr>
          <w:rFonts w:asciiTheme="minorEastAsia" w:hAnsiTheme="minorEastAsia" w:eastAsiaTheme="minorEastAsia"/>
          <w:spacing w:val="-3"/>
          <w:sz w:val="24"/>
          <w:lang w:eastAsia="zh-CN"/>
        </w:rPr>
        <w:t>提供与</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asciiTheme="minorEastAsia" w:hAnsiTheme="minorEastAsia" w:eastAsiaTheme="minorEastAsia"/>
          <w:spacing w:val="-2"/>
          <w:sz w:val="24"/>
          <w:lang w:eastAsia="zh-CN"/>
        </w:rPr>
        <w:t>编制</w:t>
      </w:r>
      <w:r>
        <w:rPr>
          <w:rFonts w:asciiTheme="minorEastAsia" w:hAnsiTheme="minorEastAsia" w:eastAsiaTheme="minorEastAsia"/>
          <w:spacing w:val="-3"/>
          <w:sz w:val="24"/>
          <w:lang w:eastAsia="zh-CN"/>
        </w:rPr>
        <w:t>相关的技术资料及图纸等。</w:t>
      </w:r>
    </w:p>
    <w:p>
      <w:pPr>
        <w:pStyle w:val="48"/>
        <w:numPr>
          <w:ilvl w:val="0"/>
          <w:numId w:val="17"/>
        </w:numPr>
        <w:spacing w:before="0" w:line="360" w:lineRule="auto"/>
        <w:ind w:left="333" w:hanging="337" w:hangingChars="137"/>
        <w:rPr>
          <w:rFonts w:asciiTheme="minorEastAsia" w:hAnsiTheme="minorEastAsia" w:eastAsiaTheme="minorEastAsia"/>
          <w:sz w:val="24"/>
          <w:lang w:eastAsia="zh-CN"/>
        </w:rPr>
      </w:pPr>
      <w:r>
        <w:rPr>
          <w:rFonts w:hint="eastAsia" w:asciiTheme="minorEastAsia" w:hAnsiTheme="minorEastAsia" w:eastAsiaTheme="minorEastAsia"/>
          <w:spacing w:val="3"/>
          <w:sz w:val="24"/>
          <w:lang w:eastAsia="zh-CN"/>
        </w:rPr>
        <w:t>负责文件编制咨询工作全过程协调配合，协调与工作有关的各部门之间的联系沟通，为投标方现场勘查调研工作提供方便</w:t>
      </w:r>
      <w:r>
        <w:rPr>
          <w:rFonts w:asciiTheme="minorEastAsia" w:hAnsiTheme="minorEastAsia" w:eastAsiaTheme="minorEastAsia"/>
          <w:spacing w:val="-4"/>
          <w:sz w:val="24"/>
          <w:lang w:eastAsia="zh-CN"/>
        </w:rPr>
        <w:t>。</w:t>
      </w:r>
    </w:p>
    <w:p>
      <w:pPr>
        <w:pStyle w:val="48"/>
        <w:numPr>
          <w:ilvl w:val="0"/>
          <w:numId w:val="17"/>
        </w:numPr>
        <w:spacing w:before="0" w:line="360" w:lineRule="auto"/>
        <w:ind w:left="329" w:hanging="328" w:hangingChars="137"/>
        <w:rPr>
          <w:rFonts w:asciiTheme="minorEastAsia" w:hAnsiTheme="minorEastAsia" w:eastAsiaTheme="minorEastAsia"/>
          <w:spacing w:val="-4"/>
          <w:sz w:val="24"/>
          <w:lang w:eastAsia="zh-CN"/>
        </w:rPr>
      </w:pPr>
      <w:r>
        <w:rPr>
          <w:rFonts w:hint="eastAsia" w:asciiTheme="minorEastAsia" w:hAnsiTheme="minorEastAsia" w:eastAsiaTheme="minorEastAsia"/>
          <w:sz w:val="24"/>
          <w:lang w:eastAsia="zh-CN"/>
        </w:rPr>
        <w:t>在工作中招标方负责对投标方工作进行监督。</w:t>
      </w:r>
    </w:p>
    <w:p>
      <w:pPr>
        <w:pStyle w:val="48"/>
        <w:numPr>
          <w:ilvl w:val="0"/>
          <w:numId w:val="17"/>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招标方按规定对投标方进入现场人员，进行必要的电力安全培训教育。</w:t>
      </w:r>
    </w:p>
    <w:p>
      <w:pPr>
        <w:pStyle w:val="48"/>
        <w:numPr>
          <w:ilvl w:val="0"/>
          <w:numId w:val="17"/>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参与可研报告评审。</w:t>
      </w:r>
    </w:p>
    <w:p>
      <w:pPr>
        <w:pStyle w:val="48"/>
        <w:numPr>
          <w:ilvl w:val="0"/>
          <w:numId w:val="17"/>
        </w:numPr>
        <w:spacing w:before="0" w:line="360" w:lineRule="auto"/>
        <w:ind w:left="323" w:hanging="317" w:hangingChars="137"/>
        <w:rPr>
          <w:rFonts w:asciiTheme="minorEastAsia" w:hAnsiTheme="minorEastAsia" w:eastAsiaTheme="minorEastAsia"/>
          <w:spacing w:val="-4"/>
          <w:sz w:val="24"/>
          <w:lang w:eastAsia="zh-CN"/>
        </w:rPr>
      </w:pPr>
      <w:r>
        <w:rPr>
          <w:rFonts w:asciiTheme="minorEastAsia" w:hAnsiTheme="minorEastAsia" w:eastAsiaTheme="minorEastAsia"/>
          <w:spacing w:val="-4"/>
          <w:sz w:val="24"/>
          <w:lang w:eastAsia="zh-CN"/>
        </w:rPr>
        <w:t>负责及时按合同向</w:t>
      </w:r>
      <w:r>
        <w:rPr>
          <w:rFonts w:hint="eastAsia" w:asciiTheme="minorEastAsia" w:hAnsiTheme="minorEastAsia" w:eastAsiaTheme="minorEastAsia"/>
          <w:spacing w:val="-4"/>
          <w:sz w:val="24"/>
          <w:lang w:eastAsia="zh-CN"/>
        </w:rPr>
        <w:t>投标方</w:t>
      </w:r>
      <w:r>
        <w:rPr>
          <w:rFonts w:asciiTheme="minorEastAsia" w:hAnsiTheme="minorEastAsia" w:eastAsiaTheme="minorEastAsia"/>
          <w:spacing w:val="-4"/>
          <w:sz w:val="24"/>
          <w:lang w:eastAsia="zh-CN"/>
        </w:rPr>
        <w:t>支付服务费用。</w:t>
      </w:r>
    </w:p>
    <w:p>
      <w:pPr>
        <w:pStyle w:val="4"/>
        <w:spacing w:line="360" w:lineRule="auto"/>
        <w:ind w:left="0"/>
        <w:rPr>
          <w:rFonts w:asciiTheme="minorEastAsia" w:hAnsiTheme="minorEastAsia" w:eastAsiaTheme="minorEastAsia"/>
          <w:sz w:val="28"/>
          <w:lang w:eastAsia="zh-CN"/>
        </w:rPr>
      </w:pPr>
      <w:r>
        <w:rPr>
          <w:rFonts w:asciiTheme="minorEastAsia" w:hAnsiTheme="minorEastAsia" w:eastAsiaTheme="minorEastAsia"/>
          <w:sz w:val="28"/>
          <w:lang w:eastAsia="zh-CN"/>
        </w:rPr>
        <w:t>5.4</w:t>
      </w:r>
      <w:r>
        <w:rPr>
          <w:rFonts w:hint="eastAsia" w:asciiTheme="minorEastAsia" w:hAnsiTheme="minorEastAsia" w:eastAsiaTheme="minorEastAsia"/>
          <w:sz w:val="28"/>
          <w:lang w:eastAsia="zh-CN"/>
        </w:rPr>
        <w:t>资质业绩要求：</w:t>
      </w:r>
      <w:r>
        <w:rPr>
          <w:rFonts w:asciiTheme="minorEastAsia" w:hAnsiTheme="minorEastAsia" w:eastAsiaTheme="minorEastAsia"/>
          <w:sz w:val="28"/>
          <w:lang w:eastAsia="zh-CN"/>
        </w:rPr>
        <w:t xml:space="preserve"> </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1.投标方应具有资质条件：具备主管部门颁发的工程咨询甲级资信证书或电力及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行业工程设计甲级资质；</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2.投标人近6年内具备至少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3.近三年内无设计质量事故，无被相关行政部门处罚记录；</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4.投标方应能提供相关锅炉氢气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5.投标方应提供以下证明材料，并加盖投标人单位公章。</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1）投标人应提供投标人公司营业执照、工程咨询资信证书、电力及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2）投标人应提供相关业绩相关证明材料，并加盖投标人公章；</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3）投标人应提供三年内无设计质量事故，无被相关行政部门处罚证明文件或承诺函，并加盖投标人公章。</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六、工期要求</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1、合同签订后，投标方应在60日内完成可行性研究报告并组织专家评审；</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2、专家评审后15天内提供可行性研究报告正式文件；</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3、可研报告完成后10天内提供项目申请书；</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4、项目申请书审批通过后30天内提供下一阶段工程招标技术规范书。</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七、差异表</w:t>
      </w:r>
    </w:p>
    <w:p>
      <w:pPr>
        <w:spacing w:line="360" w:lineRule="auto"/>
        <w:ind w:firstLine="480" w:firstLineChars="200"/>
        <w:rPr>
          <w:sz w:val="24"/>
          <w:lang w:eastAsia="zh-CN"/>
        </w:rPr>
      </w:pPr>
      <w:r>
        <w:rPr>
          <w:rFonts w:hint="eastAsia"/>
          <w:sz w:val="24"/>
          <w:lang w:eastAsia="zh-CN"/>
        </w:rPr>
        <w:t>投标方要将投标文件和招标文件的差异之处汇集成表。</w:t>
      </w:r>
    </w:p>
    <w:tbl>
      <w:tblPr>
        <w:tblStyle w:val="37"/>
        <w:tblW w:w="7917"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850"/>
        <w:gridCol w:w="2675"/>
        <w:gridCol w:w="10"/>
        <w:gridCol w:w="807"/>
        <w:gridCol w:w="272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1" w:type="dxa"/>
            <w:vMerge w:val="restart"/>
            <w:vAlign w:val="center"/>
          </w:tcPr>
          <w:p>
            <w:pPr>
              <w:spacing w:line="360" w:lineRule="auto"/>
              <w:rPr>
                <w:sz w:val="24"/>
              </w:rPr>
            </w:pPr>
            <w:r>
              <w:rPr>
                <w:rFonts w:hint="eastAsia"/>
                <w:sz w:val="24"/>
              </w:rPr>
              <w:t>序号</w:t>
            </w:r>
          </w:p>
        </w:tc>
        <w:tc>
          <w:tcPr>
            <w:tcW w:w="3535" w:type="dxa"/>
            <w:gridSpan w:val="3"/>
            <w:vAlign w:val="center"/>
          </w:tcPr>
          <w:p>
            <w:pPr>
              <w:spacing w:line="360" w:lineRule="auto"/>
              <w:jc w:val="center"/>
              <w:rPr>
                <w:sz w:val="24"/>
              </w:rPr>
            </w:pPr>
            <w:r>
              <w:rPr>
                <w:rFonts w:hint="eastAsia"/>
                <w:sz w:val="24"/>
              </w:rPr>
              <w:t>招标文件</w:t>
            </w:r>
          </w:p>
        </w:tc>
        <w:tc>
          <w:tcPr>
            <w:tcW w:w="3531" w:type="dxa"/>
            <w:gridSpan w:val="2"/>
            <w:vAlign w:val="center"/>
          </w:tcPr>
          <w:p>
            <w:pPr>
              <w:spacing w:line="360" w:lineRule="auto"/>
              <w:jc w:val="center"/>
              <w:rPr>
                <w:sz w:val="24"/>
              </w:rPr>
            </w:pPr>
            <w:r>
              <w:rPr>
                <w:rFonts w:hint="eastAsia"/>
                <w:sz w:val="24"/>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1" w:type="dxa"/>
            <w:vMerge w:val="continue"/>
            <w:vAlign w:val="center"/>
          </w:tcPr>
          <w:p>
            <w:pPr>
              <w:spacing w:line="360" w:lineRule="auto"/>
              <w:rPr>
                <w:sz w:val="24"/>
              </w:rPr>
            </w:pPr>
          </w:p>
        </w:tc>
        <w:tc>
          <w:tcPr>
            <w:tcW w:w="850" w:type="dxa"/>
            <w:vAlign w:val="center"/>
          </w:tcPr>
          <w:p>
            <w:pPr>
              <w:spacing w:line="360" w:lineRule="auto"/>
              <w:jc w:val="center"/>
              <w:rPr>
                <w:sz w:val="24"/>
              </w:rPr>
            </w:pPr>
            <w:r>
              <w:rPr>
                <w:rFonts w:hint="eastAsia"/>
                <w:sz w:val="24"/>
              </w:rPr>
              <w:t>条目</w:t>
            </w:r>
          </w:p>
        </w:tc>
        <w:tc>
          <w:tcPr>
            <w:tcW w:w="2675" w:type="dxa"/>
            <w:vAlign w:val="center"/>
          </w:tcPr>
          <w:p>
            <w:pPr>
              <w:spacing w:line="360" w:lineRule="auto"/>
              <w:jc w:val="center"/>
              <w:rPr>
                <w:sz w:val="24"/>
              </w:rPr>
            </w:pPr>
            <w:r>
              <w:rPr>
                <w:rFonts w:hint="eastAsia"/>
                <w:sz w:val="24"/>
              </w:rPr>
              <w:t>简要内容</w:t>
            </w:r>
          </w:p>
        </w:tc>
        <w:tc>
          <w:tcPr>
            <w:tcW w:w="817" w:type="dxa"/>
            <w:gridSpan w:val="2"/>
            <w:vAlign w:val="center"/>
          </w:tcPr>
          <w:p>
            <w:pPr>
              <w:spacing w:line="360" w:lineRule="auto"/>
              <w:jc w:val="center"/>
              <w:rPr>
                <w:sz w:val="24"/>
              </w:rPr>
            </w:pPr>
            <w:r>
              <w:rPr>
                <w:rFonts w:hint="eastAsia"/>
                <w:sz w:val="24"/>
              </w:rPr>
              <w:t>条目</w:t>
            </w:r>
          </w:p>
        </w:tc>
        <w:tc>
          <w:tcPr>
            <w:tcW w:w="2724" w:type="dxa"/>
            <w:vAlign w:val="center"/>
          </w:tcPr>
          <w:p>
            <w:pPr>
              <w:spacing w:line="360" w:lineRule="auto"/>
              <w:jc w:val="center"/>
              <w:rPr>
                <w:sz w:val="24"/>
              </w:rPr>
            </w:pPr>
            <w:r>
              <w:rPr>
                <w:rFonts w:hint="eastAsia"/>
                <w:sz w:val="24"/>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bl>
    <w:p>
      <w:pPr>
        <w:spacing w:line="360" w:lineRule="auto"/>
        <w:ind w:firstLine="480" w:firstLineChars="200"/>
        <w:rPr>
          <w:rFonts w:asciiTheme="minorEastAsia" w:hAnsiTheme="minorEastAsia" w:eastAsiaTheme="minorEastAsia"/>
          <w:sz w:val="24"/>
          <w:lang w:eastAsia="zh-CN"/>
        </w:rPr>
      </w:pPr>
      <w:r>
        <w:rPr>
          <w:rFonts w:hint="eastAsia"/>
          <w:sz w:val="24"/>
          <w:lang w:eastAsia="zh-CN"/>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八、附件</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附件1：6803001-1-8151燃烧计算书</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附件2：6803001-1-8661燃烧设备说明书</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：产品氢规格和采样分析数据</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附件4：上海锅炉厂有限公司答复函</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附件5：热电厂锅炉氢气掺烧改造项目可行性研究报告技术规范书</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附件6：福海创综合节能环保解决方案项目建议书</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附件2   参选文件范本</w:t>
      </w:r>
    </w:p>
    <w:p>
      <w:pPr>
        <w:pStyle w:val="17"/>
        <w:jc w:val="center"/>
        <w:rPr>
          <w:rFonts w:ascii="Times New Roman" w:hAnsi="Times New Roman"/>
          <w:b/>
          <w:sz w:val="52"/>
          <w:szCs w:val="52"/>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7"/>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热电厂锅炉氢气掺烧改造项目可行性研究报告等</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编制服务项目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6"/>
          <w:lang w:eastAsia="zh-CN"/>
        </w:rPr>
      </w:pPr>
    </w:p>
    <w:p>
      <w:pPr>
        <w:pStyle w:val="1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2023</w:t>
      </w:r>
      <w:r>
        <w:rPr>
          <w:rFonts w:ascii="Times New Roman" w:hAnsi="Times New Roman"/>
          <w:b/>
          <w:bCs/>
          <w:w w:val="95"/>
          <w:sz w:val="32"/>
          <w:lang w:eastAsia="zh-CN"/>
        </w:rPr>
        <w:t>年</w:t>
      </w:r>
      <w:r>
        <w:rPr>
          <w:rFonts w:hint="eastAsia" w:ascii="Times New Roman" w:hAnsi="Times New Roman"/>
          <w:b/>
          <w:bCs/>
          <w:w w:val="95"/>
          <w:sz w:val="32"/>
          <w:lang w:eastAsia="zh-CN"/>
        </w:rPr>
        <w:t>07</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5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50"/>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50"/>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p>
      <w:pPr>
        <w:spacing w:line="1000" w:lineRule="exact"/>
        <w:jc w:val="center"/>
        <w:rPr>
          <w:b/>
          <w:sz w:val="44"/>
          <w:szCs w:val="44"/>
          <w:lang w:eastAsia="zh-CN"/>
        </w:rPr>
      </w:pPr>
    </w:p>
    <w:bookmarkEnd w:id="9"/>
    <w:p>
      <w:pPr>
        <w:spacing w:before="11" w:line="360" w:lineRule="auto"/>
        <w:rPr>
          <w:b/>
          <w:bCs/>
          <w:sz w:val="24"/>
          <w:szCs w:val="24"/>
          <w:lang w:eastAsia="zh-CN"/>
        </w:rPr>
      </w:pPr>
    </w:p>
    <w:p>
      <w:pPr>
        <w:pStyle w:val="2"/>
      </w:pPr>
    </w:p>
    <w:p>
      <w:pPr>
        <w:pStyle w:val="2"/>
      </w:pPr>
    </w:p>
    <w:p>
      <w:pPr>
        <w:pStyle w:val="2"/>
      </w:pPr>
    </w:p>
    <w:p>
      <w:pPr>
        <w:pStyle w:val="2"/>
        <w:rPr>
          <w:sz w:val="24"/>
          <w:szCs w:val="24"/>
        </w:rPr>
      </w:pPr>
    </w:p>
    <w:p>
      <w:pPr>
        <w:pStyle w:val="2"/>
        <w:rPr>
          <w:sz w:val="24"/>
          <w:szCs w:val="24"/>
        </w:rPr>
      </w:pPr>
    </w:p>
    <w:p>
      <w:pPr>
        <w:pStyle w:val="2"/>
        <w:rPr>
          <w:sz w:val="24"/>
          <w:szCs w:val="24"/>
        </w:rPr>
      </w:pPr>
      <w:r>
        <w:rPr>
          <w:rFonts w:hint="eastAsia"/>
          <w:sz w:val="24"/>
          <w:szCs w:val="24"/>
        </w:rPr>
        <w:t>附件1、</w:t>
      </w:r>
    </w:p>
    <w:p>
      <w:pPr>
        <w:pStyle w:val="17"/>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960" w:firstLineChars="16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color w:val="000000" w:themeColor="text1"/>
          <w:sz w:val="24"/>
          <w:szCs w:val="24"/>
          <w:u w:val="single"/>
          <w:lang w:eastAsia="zh-CN"/>
        </w:rPr>
        <w:t>热电厂锅炉氢气掺烧改造项目可行性研究报告等编制服务</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5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b/>
          <w:bCs/>
          <w:sz w:val="24"/>
          <w:u w:val="single"/>
          <w:lang w:eastAsia="zh-CN"/>
        </w:rPr>
        <w:t xml:space="preserve"> 福建福海创石油化工有限公司</w:t>
      </w:r>
      <w:r>
        <w:rPr>
          <w:rFonts w:hint="eastAsia"/>
          <w:b/>
          <w:color w:val="000000" w:themeColor="text1"/>
          <w:sz w:val="24"/>
          <w:szCs w:val="24"/>
          <w:u w:val="single"/>
          <w:lang w:eastAsia="zh-CN"/>
        </w:rPr>
        <w:t>热电厂锅炉氢气掺烧改造项目可行性研究报告等编制服务</w:t>
      </w:r>
      <w:r>
        <w:rPr>
          <w:rFonts w:hint="eastAsia" w:asciiTheme="majorEastAsia" w:hAnsiTheme="majorEastAsia" w:eastAsiaTheme="major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both"/>
        <w:rPr>
          <w:sz w:val="24"/>
          <w:szCs w:val="24"/>
          <w:lang w:eastAsia="zh-CN"/>
        </w:rPr>
      </w:pPr>
      <w:r>
        <w:rPr>
          <w:rFonts w:hint="eastAsia"/>
          <w:sz w:val="24"/>
          <w:szCs w:val="24"/>
          <w:lang w:eastAsia="zh-CN"/>
        </w:rPr>
        <w:t>附件6、</w:t>
      </w:r>
    </w:p>
    <w:p>
      <w:pPr>
        <w:pStyle w:val="5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50"/>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5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福建福海创石油化工有限公司热电厂锅炉氢气掺烧改造项目可行性研究报告等编制服务</w:t>
      </w:r>
    </w:p>
    <w:p>
      <w:pPr>
        <w:spacing w:line="360" w:lineRule="auto"/>
        <w:ind w:firstLine="480" w:firstLineChars="200"/>
        <w:rPr>
          <w:sz w:val="24"/>
          <w:szCs w:val="24"/>
          <w:lang w:eastAsia="zh-CN"/>
        </w:rPr>
      </w:pPr>
      <w:r>
        <w:rPr>
          <w:rFonts w:hint="eastAsia"/>
          <w:sz w:val="24"/>
          <w:szCs w:val="24"/>
          <w:lang w:eastAsia="zh-CN"/>
        </w:rPr>
        <w:t>参选报价：</w:t>
      </w:r>
    </w:p>
    <w:p>
      <w:pPr>
        <w:pStyle w:val="2"/>
        <w:rPr>
          <w:rFonts w:hAnsi="宋体" w:cs="Arial"/>
          <w:b/>
          <w:bCs/>
          <w:sz w:val="24"/>
          <w:szCs w:val="24"/>
        </w:rPr>
      </w:pPr>
      <w:r>
        <w:rPr>
          <w:rFonts w:hint="eastAsia"/>
        </w:rPr>
        <w:t xml:space="preserve">  </w:t>
      </w:r>
      <w:r>
        <w:rPr>
          <w:rFonts w:hint="eastAsia"/>
          <w:b/>
          <w:bCs/>
        </w:rPr>
        <w:t xml:space="preserve"> </w:t>
      </w:r>
      <w:r>
        <w:rPr>
          <w:rFonts w:hint="eastAsia" w:hAnsi="宋体" w:cs="Arial"/>
          <w:b/>
          <w:bCs/>
          <w:sz w:val="24"/>
          <w:szCs w:val="24"/>
        </w:rPr>
        <w:t>1、分项报价：</w:t>
      </w:r>
    </w:p>
    <w:tbl>
      <w:tblPr>
        <w:tblStyle w:val="38"/>
        <w:tblW w:w="8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4638"/>
        <w:gridCol w:w="2025"/>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935" w:type="dxa"/>
            <w:vAlign w:val="center"/>
          </w:tcPr>
          <w:p>
            <w:pPr>
              <w:pStyle w:val="2"/>
              <w:jc w:val="center"/>
              <w:rPr>
                <w:sz w:val="24"/>
                <w:szCs w:val="24"/>
              </w:rPr>
            </w:pPr>
            <w:r>
              <w:rPr>
                <w:rFonts w:hint="eastAsia"/>
                <w:sz w:val="24"/>
                <w:szCs w:val="24"/>
              </w:rPr>
              <w:t>序号</w:t>
            </w:r>
          </w:p>
        </w:tc>
        <w:tc>
          <w:tcPr>
            <w:tcW w:w="4638" w:type="dxa"/>
            <w:vAlign w:val="center"/>
          </w:tcPr>
          <w:p>
            <w:pPr>
              <w:pStyle w:val="2"/>
              <w:jc w:val="center"/>
              <w:rPr>
                <w:sz w:val="24"/>
                <w:szCs w:val="24"/>
              </w:rPr>
            </w:pPr>
            <w:r>
              <w:rPr>
                <w:rFonts w:hint="eastAsia"/>
                <w:sz w:val="24"/>
                <w:szCs w:val="24"/>
              </w:rPr>
              <w:t>项目</w:t>
            </w:r>
          </w:p>
        </w:tc>
        <w:tc>
          <w:tcPr>
            <w:tcW w:w="2025" w:type="dxa"/>
            <w:vAlign w:val="center"/>
          </w:tcPr>
          <w:p>
            <w:pPr>
              <w:pStyle w:val="2"/>
              <w:jc w:val="center"/>
              <w:rPr>
                <w:sz w:val="24"/>
                <w:szCs w:val="24"/>
              </w:rPr>
            </w:pPr>
            <w:r>
              <w:rPr>
                <w:rFonts w:hint="eastAsia"/>
                <w:sz w:val="24"/>
                <w:szCs w:val="24"/>
              </w:rPr>
              <w:t>报价</w:t>
            </w:r>
          </w:p>
        </w:tc>
        <w:tc>
          <w:tcPr>
            <w:tcW w:w="1262" w:type="dxa"/>
            <w:vAlign w:val="center"/>
          </w:tcPr>
          <w:p>
            <w:pPr>
              <w:pStyle w:val="2"/>
              <w:jc w:val="center"/>
              <w:rPr>
                <w:sz w:val="24"/>
                <w:szCs w:val="24"/>
              </w:rPr>
            </w:pPr>
            <w:r>
              <w:rPr>
                <w:rFonts w:hint="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935" w:type="dxa"/>
            <w:vAlign w:val="center"/>
          </w:tcPr>
          <w:p>
            <w:pPr>
              <w:pStyle w:val="2"/>
              <w:jc w:val="center"/>
              <w:rPr>
                <w:sz w:val="24"/>
                <w:szCs w:val="24"/>
              </w:rPr>
            </w:pPr>
            <w:r>
              <w:rPr>
                <w:rFonts w:hint="eastAsia"/>
                <w:sz w:val="24"/>
                <w:szCs w:val="24"/>
              </w:rPr>
              <w:t>1</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935" w:type="dxa"/>
            <w:vAlign w:val="center"/>
          </w:tcPr>
          <w:p>
            <w:pPr>
              <w:pStyle w:val="2"/>
              <w:jc w:val="center"/>
              <w:rPr>
                <w:sz w:val="24"/>
                <w:szCs w:val="24"/>
              </w:rPr>
            </w:pPr>
            <w:r>
              <w:rPr>
                <w:rFonts w:hint="eastAsia"/>
                <w:sz w:val="24"/>
                <w:szCs w:val="24"/>
              </w:rPr>
              <w:t>2</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评审</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935" w:type="dxa"/>
            <w:vAlign w:val="center"/>
          </w:tcPr>
          <w:p>
            <w:pPr>
              <w:pStyle w:val="2"/>
              <w:jc w:val="center"/>
              <w:rPr>
                <w:sz w:val="24"/>
                <w:szCs w:val="24"/>
              </w:rPr>
            </w:pPr>
            <w:r>
              <w:rPr>
                <w:rFonts w:hint="eastAsia"/>
                <w:sz w:val="24"/>
                <w:szCs w:val="24"/>
              </w:rPr>
              <w:t>3</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改造项目申请书</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8" w:hRule="atLeast"/>
        </w:trPr>
        <w:tc>
          <w:tcPr>
            <w:tcW w:w="935" w:type="dxa"/>
            <w:vAlign w:val="center"/>
          </w:tcPr>
          <w:p>
            <w:pPr>
              <w:pStyle w:val="2"/>
              <w:jc w:val="center"/>
              <w:rPr>
                <w:sz w:val="24"/>
                <w:szCs w:val="24"/>
              </w:rPr>
            </w:pPr>
            <w:r>
              <w:rPr>
                <w:rFonts w:hint="eastAsia"/>
                <w:sz w:val="24"/>
                <w:szCs w:val="24"/>
              </w:rPr>
              <w:t>4</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改造项目工程招标技术规范书</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bl>
    <w:p>
      <w:pPr>
        <w:pStyle w:val="50"/>
        <w:spacing w:beforeLines="0" w:afterLines="0"/>
        <w:ind w:firstLine="470" w:firstLineChars="196"/>
        <w:rPr>
          <w:sz w:val="24"/>
          <w:szCs w:val="24"/>
          <w:lang w:eastAsia="zh-CN"/>
        </w:rPr>
      </w:pPr>
    </w:p>
    <w:p>
      <w:pPr>
        <w:pStyle w:val="50"/>
        <w:spacing w:beforeLines="0" w:afterLines="0"/>
        <w:ind w:firstLine="472" w:firstLineChars="196"/>
        <w:rPr>
          <w:b/>
          <w:bCs w:val="0"/>
          <w:sz w:val="24"/>
          <w:szCs w:val="24"/>
          <w:lang w:eastAsia="zh-CN"/>
        </w:rPr>
      </w:pPr>
      <w:r>
        <w:rPr>
          <w:rFonts w:hint="eastAsia"/>
          <w:b/>
          <w:bCs w:val="0"/>
          <w:sz w:val="24"/>
          <w:szCs w:val="24"/>
          <w:lang w:eastAsia="zh-CN"/>
        </w:rPr>
        <w:t>2、合计总价：</w:t>
      </w:r>
      <w:r>
        <w:rPr>
          <w:b/>
          <w:bCs w:val="0"/>
          <w:sz w:val="24"/>
          <w:szCs w:val="24"/>
          <w:lang w:eastAsia="zh-CN"/>
        </w:rPr>
        <w:t xml:space="preserve"> ____________________</w:t>
      </w:r>
      <w:r>
        <w:rPr>
          <w:rFonts w:hint="eastAsia"/>
          <w:b/>
          <w:bCs w:val="0"/>
          <w:sz w:val="24"/>
          <w:szCs w:val="24"/>
          <w:lang w:eastAsia="zh-CN"/>
        </w:rPr>
        <w:t>元</w:t>
      </w:r>
    </w:p>
    <w:p>
      <w:pPr>
        <w:pStyle w:val="2"/>
      </w:pP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p>
      <w:pPr>
        <w:pStyle w:val="2"/>
        <w:rPr>
          <w:sz w:val="28"/>
          <w:szCs w:val="28"/>
        </w:rPr>
      </w:pPr>
    </w:p>
    <w:sectPr>
      <w:headerReference r:id="rId6" w:type="default"/>
      <w:footerReference r:id="rId7"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db">
    <w:altName w:val="Sitka Text"/>
    <w:panose1 w:val="02000500000000000000"/>
    <w:charset w:val="00"/>
    <w:family w:val="auto"/>
    <w:pitch w:val="default"/>
    <w:sig w:usb0="00000000" w:usb1="00000000" w:usb2="00000000" w:usb3="00000000" w:csb0="00000001" w:csb1="00000000"/>
  </w:font>
  <w:font w:name="长城仿宋">
    <w:altName w:val="宋体"/>
    <w:panose1 w:val="00000000000000000000"/>
    <w:charset w:val="00"/>
    <w:family w:val="moder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CS?o｡ﾀ?">
    <w:altName w:val="MS PGothic"/>
    <w:panose1 w:val="00000000000000000000"/>
    <w:charset w:val="80"/>
    <w:family w:val="modern"/>
    <w:pitch w:val="default"/>
    <w:sig w:usb0="00000000" w:usb1="00000000" w:usb2="00000010" w:usb3="00000000" w:csb0="00020000" w:csb1="00000000"/>
  </w:font>
  <w:font w:name="Calibri Light">
    <w:panose1 w:val="020F03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Consolas">
    <w:panose1 w:val="020B0609020204030204"/>
    <w:charset w:val="00"/>
    <w:family w:val="modern"/>
    <w:pitch w:val="default"/>
    <w:sig w:usb0="E00006FF" w:usb1="0000FCFF" w:usb2="00000001" w:usb3="00000000" w:csb0="6000019F" w:csb1="DFD70000"/>
  </w:font>
  <w:font w:name="方正中等线简体">
    <w:altName w:val="宋体"/>
    <w:panose1 w:val="02010601030101010101"/>
    <w:charset w:val="86"/>
    <w:family w:val="auto"/>
    <w:pitch w:val="default"/>
    <w:sig w:usb0="00000000" w:usb1="00000000" w:usb2="00000010" w:usb3="00000000" w:csb0="00040000" w:csb1="00000000"/>
  </w:font>
  <w:font w:name="ArialMT">
    <w:altName w:val="新宋体"/>
    <w:panose1 w:val="00000000000000000000"/>
    <w:charset w:val="00"/>
    <w:family w:val="swiss"/>
    <w:pitch w:val="default"/>
    <w:sig w:usb0="00000000" w:usb1="00000000" w:usb2="00000010" w:usb3="00000000" w:csb0="00040001" w:csb1="00000000"/>
  </w:font>
  <w:font w:name="新宋体">
    <w:panose1 w:val="02010609030101010101"/>
    <w:charset w:val="86"/>
    <w:family w:val="auto"/>
    <w:pitch w:val="default"/>
    <w:sig w:usb0="00000203" w:usb1="288F0000" w:usb2="0000000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itka Text">
    <w:panose1 w:val="02000505000000020004"/>
    <w:charset w:val="00"/>
    <w:family w:val="auto"/>
    <w:pitch w:val="default"/>
    <w:sig w:usb0="A00002EF" w:usb1="4000204B" w:usb2="00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0"/>
      </w:rPr>
    </w:pPr>
    <w:r>
      <w:fldChar w:fldCharType="begin"/>
    </w:r>
    <w:r>
      <w:rPr>
        <w:rStyle w:val="30"/>
      </w:rPr>
      <w:instrText xml:space="preserve">PAGE  </w:instrText>
    </w:r>
    <w:r>
      <w:fldChar w:fldCharType="end"/>
    </w:r>
  </w:p>
  <w:p>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7543"/>
    <w:multiLevelType w:val="multilevel"/>
    <w:tmpl w:val="155E754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1BFC3617"/>
    <w:multiLevelType w:val="multilevel"/>
    <w:tmpl w:val="1BFC36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307595"/>
    <w:multiLevelType w:val="multilevel"/>
    <w:tmpl w:val="1D30759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FAB0DE7"/>
    <w:multiLevelType w:val="multilevel"/>
    <w:tmpl w:val="1FAB0DE7"/>
    <w:lvl w:ilvl="0" w:tentative="0">
      <w:start w:val="1"/>
      <w:numFmt w:val="japaneseCounting"/>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FB46A88"/>
    <w:multiLevelType w:val="multilevel"/>
    <w:tmpl w:val="1FB46A8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F0C238D"/>
    <w:multiLevelType w:val="multilevel"/>
    <w:tmpl w:val="2F0C238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39B33957"/>
    <w:multiLevelType w:val="multilevel"/>
    <w:tmpl w:val="39B339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A896832"/>
    <w:multiLevelType w:val="multilevel"/>
    <w:tmpl w:val="3A89683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F42A50"/>
    <w:multiLevelType w:val="multilevel"/>
    <w:tmpl w:val="5DF42A5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
    <w:nsid w:val="63227D6E"/>
    <w:multiLevelType w:val="singleLevel"/>
    <w:tmpl w:val="63227D6E"/>
    <w:lvl w:ilvl="0" w:tentative="0">
      <w:start w:val="1"/>
      <w:numFmt w:val="chineseCounting"/>
      <w:lvlText w:val="第%1章"/>
      <w:lvlJc w:val="left"/>
    </w:lvl>
  </w:abstractNum>
  <w:abstractNum w:abstractNumId="10">
    <w:nsid w:val="63228A70"/>
    <w:multiLevelType w:val="singleLevel"/>
    <w:tmpl w:val="63228A70"/>
    <w:lvl w:ilvl="0" w:tentative="0">
      <w:start w:val="6"/>
      <w:numFmt w:val="chineseCounting"/>
      <w:lvlText w:val="第%1章"/>
      <w:lvlJc w:val="left"/>
    </w:lvl>
  </w:abstractNum>
  <w:abstractNum w:abstractNumId="11">
    <w:nsid w:val="64AE1BD4"/>
    <w:multiLevelType w:val="singleLevel"/>
    <w:tmpl w:val="64AE1BD4"/>
    <w:lvl w:ilvl="0" w:tentative="0">
      <w:start w:val="5"/>
      <w:numFmt w:val="decimal"/>
      <w:suff w:val="nothing"/>
      <w:lvlText w:val="%1、"/>
      <w:lvlJc w:val="left"/>
    </w:lvl>
  </w:abstractNum>
  <w:abstractNum w:abstractNumId="12">
    <w:nsid w:val="64C0A71B"/>
    <w:multiLevelType w:val="singleLevel"/>
    <w:tmpl w:val="64C0A71B"/>
    <w:lvl w:ilvl="0" w:tentative="0">
      <w:start w:val="1"/>
      <w:numFmt w:val="decimal"/>
      <w:suff w:val="nothing"/>
      <w:lvlText w:val="%1、"/>
      <w:lvlJc w:val="left"/>
    </w:lvl>
  </w:abstractNum>
  <w:abstractNum w:abstractNumId="13">
    <w:nsid w:val="6545519C"/>
    <w:multiLevelType w:val="multilevel"/>
    <w:tmpl w:val="654551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655A678A"/>
    <w:multiLevelType w:val="multilevel"/>
    <w:tmpl w:val="655A678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683E55E8"/>
    <w:multiLevelType w:val="multilevel"/>
    <w:tmpl w:val="683E55E8"/>
    <w:lvl w:ilvl="0" w:tentative="0">
      <w:start w:val="1"/>
      <w:numFmt w:val="bullet"/>
      <w:lvlText w:val=""/>
      <w:lvlJc w:val="left"/>
      <w:pPr>
        <w:ind w:left="562" w:hanging="420"/>
      </w:pPr>
      <w:rPr>
        <w:rFonts w:hint="default" w:ascii="Wingdings" w:hAnsi="Wingdings"/>
      </w:rPr>
    </w:lvl>
    <w:lvl w:ilvl="1" w:tentative="0">
      <w:start w:val="1"/>
      <w:numFmt w:val="bullet"/>
      <w:lvlText w:val=""/>
      <w:lvlJc w:val="left"/>
      <w:pPr>
        <w:ind w:left="982" w:hanging="420"/>
      </w:pPr>
      <w:rPr>
        <w:rFonts w:hint="default" w:ascii="Wingdings" w:hAnsi="Wingdings"/>
      </w:rPr>
    </w:lvl>
    <w:lvl w:ilvl="2" w:tentative="0">
      <w:start w:val="1"/>
      <w:numFmt w:val="bullet"/>
      <w:lvlText w:val=""/>
      <w:lvlJc w:val="left"/>
      <w:pPr>
        <w:ind w:left="1402" w:hanging="420"/>
      </w:pPr>
      <w:rPr>
        <w:rFonts w:hint="default" w:ascii="Wingdings" w:hAnsi="Wingdings"/>
      </w:rPr>
    </w:lvl>
    <w:lvl w:ilvl="3" w:tentative="0">
      <w:start w:val="1"/>
      <w:numFmt w:val="bullet"/>
      <w:lvlText w:val=""/>
      <w:lvlJc w:val="left"/>
      <w:pPr>
        <w:ind w:left="1822" w:hanging="420"/>
      </w:pPr>
      <w:rPr>
        <w:rFonts w:hint="default" w:ascii="Wingdings" w:hAnsi="Wingdings"/>
      </w:rPr>
    </w:lvl>
    <w:lvl w:ilvl="4" w:tentative="0">
      <w:start w:val="1"/>
      <w:numFmt w:val="bullet"/>
      <w:lvlText w:val=""/>
      <w:lvlJc w:val="left"/>
      <w:pPr>
        <w:ind w:left="2242" w:hanging="420"/>
      </w:pPr>
      <w:rPr>
        <w:rFonts w:hint="default" w:ascii="Wingdings" w:hAnsi="Wingdings"/>
      </w:rPr>
    </w:lvl>
    <w:lvl w:ilvl="5" w:tentative="0">
      <w:start w:val="1"/>
      <w:numFmt w:val="bullet"/>
      <w:lvlText w:val=""/>
      <w:lvlJc w:val="left"/>
      <w:pPr>
        <w:ind w:left="2662" w:hanging="420"/>
      </w:pPr>
      <w:rPr>
        <w:rFonts w:hint="default" w:ascii="Wingdings" w:hAnsi="Wingdings"/>
      </w:rPr>
    </w:lvl>
    <w:lvl w:ilvl="6" w:tentative="0">
      <w:start w:val="1"/>
      <w:numFmt w:val="bullet"/>
      <w:lvlText w:val=""/>
      <w:lvlJc w:val="left"/>
      <w:pPr>
        <w:ind w:left="3082" w:hanging="420"/>
      </w:pPr>
      <w:rPr>
        <w:rFonts w:hint="default" w:ascii="Wingdings" w:hAnsi="Wingdings"/>
      </w:rPr>
    </w:lvl>
    <w:lvl w:ilvl="7" w:tentative="0">
      <w:start w:val="1"/>
      <w:numFmt w:val="bullet"/>
      <w:lvlText w:val=""/>
      <w:lvlJc w:val="left"/>
      <w:pPr>
        <w:ind w:left="3502" w:hanging="420"/>
      </w:pPr>
      <w:rPr>
        <w:rFonts w:hint="default" w:ascii="Wingdings" w:hAnsi="Wingdings"/>
      </w:rPr>
    </w:lvl>
    <w:lvl w:ilvl="8" w:tentative="0">
      <w:start w:val="1"/>
      <w:numFmt w:val="bullet"/>
      <w:lvlText w:val=""/>
      <w:lvlJc w:val="left"/>
      <w:pPr>
        <w:ind w:left="3922" w:hanging="420"/>
      </w:pPr>
      <w:rPr>
        <w:rFonts w:hint="default" w:ascii="Wingdings" w:hAnsi="Wingdings"/>
      </w:rPr>
    </w:lvl>
  </w:abstractNum>
  <w:abstractNum w:abstractNumId="16">
    <w:nsid w:val="793B0E26"/>
    <w:multiLevelType w:val="multilevel"/>
    <w:tmpl w:val="793B0E2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9"/>
  </w:num>
  <w:num w:numId="2">
    <w:abstractNumId w:val="10"/>
  </w:num>
  <w:num w:numId="3">
    <w:abstractNumId w:val="12"/>
  </w:num>
  <w:num w:numId="4">
    <w:abstractNumId w:val="11"/>
  </w:num>
  <w:num w:numId="5">
    <w:abstractNumId w:val="13"/>
  </w:num>
  <w:num w:numId="6">
    <w:abstractNumId w:val="16"/>
  </w:num>
  <w:num w:numId="7">
    <w:abstractNumId w:val="5"/>
  </w:num>
  <w:num w:numId="8">
    <w:abstractNumId w:val="14"/>
  </w:num>
  <w:num w:numId="9">
    <w:abstractNumId w:val="0"/>
  </w:num>
  <w:num w:numId="10">
    <w:abstractNumId w:val="2"/>
  </w:num>
  <w:num w:numId="11">
    <w:abstractNumId w:val="8"/>
  </w:num>
  <w:num w:numId="12">
    <w:abstractNumId w:val="3"/>
  </w:num>
  <w:num w:numId="13">
    <w:abstractNumId w:val="1"/>
  </w:num>
  <w:num w:numId="14">
    <w:abstractNumId w:val="7"/>
  </w:num>
  <w:num w:numId="15">
    <w:abstractNumId w:val="4"/>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4CAA"/>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6DE3"/>
    <w:rsid w:val="00127930"/>
    <w:rsid w:val="00127A27"/>
    <w:rsid w:val="00127CFD"/>
    <w:rsid w:val="00130566"/>
    <w:rsid w:val="00130589"/>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92D06"/>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0823"/>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0FD8"/>
    <w:rsid w:val="00981423"/>
    <w:rsid w:val="0098443A"/>
    <w:rsid w:val="00986A43"/>
    <w:rsid w:val="00995671"/>
    <w:rsid w:val="009A0766"/>
    <w:rsid w:val="009A106C"/>
    <w:rsid w:val="009B2C57"/>
    <w:rsid w:val="009B30BD"/>
    <w:rsid w:val="009B3333"/>
    <w:rsid w:val="009B34E7"/>
    <w:rsid w:val="009C38B3"/>
    <w:rsid w:val="009C3BE2"/>
    <w:rsid w:val="009C76EB"/>
    <w:rsid w:val="009D510E"/>
    <w:rsid w:val="009D6569"/>
    <w:rsid w:val="009F1737"/>
    <w:rsid w:val="009F186E"/>
    <w:rsid w:val="00A00F4B"/>
    <w:rsid w:val="00A12DF4"/>
    <w:rsid w:val="00A16EDC"/>
    <w:rsid w:val="00A219F1"/>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6B83"/>
    <w:rsid w:val="00A7709F"/>
    <w:rsid w:val="00A77229"/>
    <w:rsid w:val="00A809F3"/>
    <w:rsid w:val="00A81C9C"/>
    <w:rsid w:val="00A81D87"/>
    <w:rsid w:val="00A84167"/>
    <w:rsid w:val="00A86721"/>
    <w:rsid w:val="00A867E8"/>
    <w:rsid w:val="00A9710D"/>
    <w:rsid w:val="00A976BF"/>
    <w:rsid w:val="00A97D0E"/>
    <w:rsid w:val="00AA062F"/>
    <w:rsid w:val="00AA6D81"/>
    <w:rsid w:val="00AB4D76"/>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484D"/>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97F"/>
    <w:rsid w:val="00C13E7D"/>
    <w:rsid w:val="00C14D43"/>
    <w:rsid w:val="00C1672A"/>
    <w:rsid w:val="00C16F95"/>
    <w:rsid w:val="00C20616"/>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08F0"/>
    <w:rsid w:val="00C929E9"/>
    <w:rsid w:val="00C9553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48EC"/>
    <w:rsid w:val="00F56134"/>
    <w:rsid w:val="00F60757"/>
    <w:rsid w:val="00F62379"/>
    <w:rsid w:val="00F6274B"/>
    <w:rsid w:val="00F64067"/>
    <w:rsid w:val="00F6409E"/>
    <w:rsid w:val="00F7405E"/>
    <w:rsid w:val="00F766F8"/>
    <w:rsid w:val="00F80742"/>
    <w:rsid w:val="00F81DC8"/>
    <w:rsid w:val="00F84A9C"/>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2821768"/>
    <w:rsid w:val="0367315B"/>
    <w:rsid w:val="047C4414"/>
    <w:rsid w:val="061139E5"/>
    <w:rsid w:val="06F50B00"/>
    <w:rsid w:val="072B17F5"/>
    <w:rsid w:val="076E1278"/>
    <w:rsid w:val="08D1141D"/>
    <w:rsid w:val="0B296DE2"/>
    <w:rsid w:val="0B96754C"/>
    <w:rsid w:val="0C2922AC"/>
    <w:rsid w:val="0FAD7681"/>
    <w:rsid w:val="10294AA3"/>
    <w:rsid w:val="10E40CA0"/>
    <w:rsid w:val="136130D9"/>
    <w:rsid w:val="16AE5342"/>
    <w:rsid w:val="17D349B4"/>
    <w:rsid w:val="180F649F"/>
    <w:rsid w:val="18DD4F7E"/>
    <w:rsid w:val="195B58A2"/>
    <w:rsid w:val="19C96DB4"/>
    <w:rsid w:val="1AAB5881"/>
    <w:rsid w:val="1D7F0BBC"/>
    <w:rsid w:val="1E085A14"/>
    <w:rsid w:val="1F032EDA"/>
    <w:rsid w:val="1FF43DDB"/>
    <w:rsid w:val="213E7005"/>
    <w:rsid w:val="21933AA2"/>
    <w:rsid w:val="232527D7"/>
    <w:rsid w:val="23C6604C"/>
    <w:rsid w:val="244D30D9"/>
    <w:rsid w:val="25BF356F"/>
    <w:rsid w:val="25DB0C2D"/>
    <w:rsid w:val="269469E7"/>
    <w:rsid w:val="269E2889"/>
    <w:rsid w:val="29FC3B14"/>
    <w:rsid w:val="2AE9294B"/>
    <w:rsid w:val="2B11792E"/>
    <w:rsid w:val="2F6E5409"/>
    <w:rsid w:val="31C54755"/>
    <w:rsid w:val="3216608C"/>
    <w:rsid w:val="333714CE"/>
    <w:rsid w:val="34482335"/>
    <w:rsid w:val="34CE14C6"/>
    <w:rsid w:val="34D84CEC"/>
    <w:rsid w:val="37AF5AB7"/>
    <w:rsid w:val="39221113"/>
    <w:rsid w:val="39665C35"/>
    <w:rsid w:val="3B1C3371"/>
    <w:rsid w:val="3CAD6FC5"/>
    <w:rsid w:val="3CC23198"/>
    <w:rsid w:val="3DDF4815"/>
    <w:rsid w:val="3FE669E5"/>
    <w:rsid w:val="40CD01C8"/>
    <w:rsid w:val="45EF67D4"/>
    <w:rsid w:val="479A53F3"/>
    <w:rsid w:val="4E3B540D"/>
    <w:rsid w:val="50F63E28"/>
    <w:rsid w:val="5188200C"/>
    <w:rsid w:val="5221007F"/>
    <w:rsid w:val="52926B5A"/>
    <w:rsid w:val="539217B5"/>
    <w:rsid w:val="54311F38"/>
    <w:rsid w:val="545C5E51"/>
    <w:rsid w:val="54645D57"/>
    <w:rsid w:val="5486175B"/>
    <w:rsid w:val="55607B1B"/>
    <w:rsid w:val="57667D24"/>
    <w:rsid w:val="57CE5BC3"/>
    <w:rsid w:val="580A05EC"/>
    <w:rsid w:val="5ABE0659"/>
    <w:rsid w:val="5AE1516A"/>
    <w:rsid w:val="5AF36F14"/>
    <w:rsid w:val="5B5F0F7C"/>
    <w:rsid w:val="5B6A3A79"/>
    <w:rsid w:val="5C1A5F7B"/>
    <w:rsid w:val="5F371C40"/>
    <w:rsid w:val="5FB16285"/>
    <w:rsid w:val="607F787F"/>
    <w:rsid w:val="61F824E1"/>
    <w:rsid w:val="62CC1B3D"/>
    <w:rsid w:val="645771F8"/>
    <w:rsid w:val="675D676B"/>
    <w:rsid w:val="6A54112D"/>
    <w:rsid w:val="6AA035AE"/>
    <w:rsid w:val="6BB76C71"/>
    <w:rsid w:val="6C8775B8"/>
    <w:rsid w:val="6E0F2E14"/>
    <w:rsid w:val="6F1E141D"/>
    <w:rsid w:val="6F5354F8"/>
    <w:rsid w:val="6FA72F29"/>
    <w:rsid w:val="740A2BDE"/>
    <w:rsid w:val="751839E0"/>
    <w:rsid w:val="756E6168"/>
    <w:rsid w:val="76274F93"/>
    <w:rsid w:val="77171B2F"/>
    <w:rsid w:val="774F6AAC"/>
    <w:rsid w:val="78726AC0"/>
    <w:rsid w:val="78D50BA7"/>
    <w:rsid w:val="79C2137C"/>
    <w:rsid w:val="79EB3F2F"/>
    <w:rsid w:val="7B11789E"/>
    <w:rsid w:val="7CD2740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39"/>
    <w:qFormat/>
    <w:uiPriority w:val="0"/>
    <w:pPr>
      <w:ind w:left="538"/>
      <w:outlineLvl w:val="0"/>
    </w:pPr>
    <w:rPr>
      <w:b/>
      <w:bCs/>
      <w:sz w:val="28"/>
      <w:szCs w:val="28"/>
    </w:rPr>
  </w:style>
  <w:style w:type="paragraph" w:styleId="4">
    <w:name w:val="heading 2"/>
    <w:basedOn w:val="1"/>
    <w:next w:val="1"/>
    <w:link w:val="40"/>
    <w:qFormat/>
    <w:uiPriority w:val="0"/>
    <w:pPr>
      <w:ind w:left="629"/>
      <w:outlineLvl w:val="1"/>
    </w:pPr>
    <w:rPr>
      <w:b/>
      <w:bCs/>
      <w:sz w:val="24"/>
      <w:szCs w:val="24"/>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8">
    <w:name w:val="Default Paragraph Font"/>
    <w:unhideWhenUsed/>
    <w:uiPriority w:val="1"/>
  </w:style>
  <w:style w:type="table" w:default="1" w:styleId="3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annotation subject"/>
    <w:basedOn w:val="8"/>
    <w:next w:val="8"/>
    <w:link w:val="64"/>
    <w:qFormat/>
    <w:uiPriority w:val="0"/>
    <w:pPr>
      <w:adjustRightInd w:val="0"/>
      <w:spacing w:line="360" w:lineRule="atLeast"/>
      <w:jc w:val="left"/>
      <w:textAlignment w:val="baseline"/>
    </w:pPr>
    <w:rPr>
      <w:b/>
      <w:bCs/>
      <w:kern w:val="0"/>
      <w:sz w:val="20"/>
    </w:rPr>
  </w:style>
  <w:style w:type="paragraph" w:styleId="8">
    <w:name w:val="annotation text"/>
    <w:basedOn w:val="1"/>
    <w:link w:val="59"/>
    <w:qFormat/>
    <w:uiPriority w:val="0"/>
    <w:pPr>
      <w:autoSpaceDE/>
      <w:autoSpaceDN/>
      <w:jc w:val="both"/>
    </w:pPr>
    <w:rPr>
      <w:rFonts w:ascii="Times New Roman" w:hAnsi="Times New Roman" w:cs="Times New Roman"/>
      <w:kern w:val="2"/>
      <w:sz w:val="21"/>
      <w:szCs w:val="20"/>
      <w:lang w:eastAsia="zh-CN"/>
    </w:rPr>
  </w:style>
  <w:style w:type="paragraph" w:styleId="9">
    <w:name w:val="toc 7"/>
    <w:basedOn w:val="1"/>
    <w:next w:val="1"/>
    <w:qFormat/>
    <w:uiPriority w:val="0"/>
    <w:pPr>
      <w:ind w:left="2520" w:leftChars="1200"/>
    </w:pPr>
  </w:style>
  <w:style w:type="paragraph" w:styleId="10">
    <w:name w:val="Normal Indent"/>
    <w:basedOn w:val="1"/>
    <w:next w:val="11"/>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11">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2">
    <w:name w:val="Document Map"/>
    <w:basedOn w:val="1"/>
    <w:link w:val="67"/>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13">
    <w:name w:val="Closing"/>
    <w:basedOn w:val="1"/>
    <w:link w:val="6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4">
    <w:name w:val="Body Text"/>
    <w:basedOn w:val="1"/>
    <w:link w:val="43"/>
    <w:qFormat/>
    <w:uiPriority w:val="1"/>
    <w:rPr>
      <w:sz w:val="24"/>
      <w:szCs w:val="24"/>
    </w:rPr>
  </w:style>
  <w:style w:type="paragraph" w:styleId="15">
    <w:name w:val="Body Text Indent"/>
    <w:basedOn w:val="1"/>
    <w:link w:val="63"/>
    <w:qFormat/>
    <w:uiPriority w:val="0"/>
    <w:pPr>
      <w:spacing w:after="120"/>
      <w:ind w:left="420" w:leftChars="200"/>
    </w:pPr>
  </w:style>
  <w:style w:type="paragraph" w:styleId="16">
    <w:name w:val="toc 3"/>
    <w:basedOn w:val="1"/>
    <w:next w:val="1"/>
    <w:qFormat/>
    <w:uiPriority w:val="39"/>
    <w:pPr>
      <w:ind w:left="840" w:leftChars="400"/>
    </w:pPr>
  </w:style>
  <w:style w:type="paragraph" w:styleId="17">
    <w:name w:val="Plain Text"/>
    <w:basedOn w:val="1"/>
    <w:link w:val="44"/>
    <w:qFormat/>
    <w:uiPriority w:val="0"/>
    <w:rPr>
      <w:rFonts w:hAnsi="Courier New" w:cs="Courier New"/>
      <w:szCs w:val="21"/>
    </w:rPr>
  </w:style>
  <w:style w:type="paragraph" w:styleId="18">
    <w:name w:val="Date"/>
    <w:basedOn w:val="1"/>
    <w:next w:val="1"/>
    <w:link w:val="51"/>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9">
    <w:name w:val="Body Text Indent 2"/>
    <w:basedOn w:val="1"/>
    <w:link w:val="61"/>
    <w:qFormat/>
    <w:uiPriority w:val="0"/>
    <w:pPr>
      <w:spacing w:after="120" w:line="480" w:lineRule="auto"/>
      <w:ind w:left="420" w:leftChars="200"/>
    </w:pPr>
  </w:style>
  <w:style w:type="paragraph" w:styleId="20">
    <w:name w:val="Balloon Text"/>
    <w:basedOn w:val="1"/>
    <w:link w:val="55"/>
    <w:qFormat/>
    <w:uiPriority w:val="0"/>
    <w:rPr>
      <w:sz w:val="18"/>
      <w:szCs w:val="18"/>
    </w:rPr>
  </w:style>
  <w:style w:type="paragraph" w:styleId="21">
    <w:name w:val="footer"/>
    <w:basedOn w:val="1"/>
    <w:link w:val="45"/>
    <w:qFormat/>
    <w:uiPriority w:val="99"/>
    <w:pPr>
      <w:tabs>
        <w:tab w:val="center" w:pos="4153"/>
        <w:tab w:val="right" w:pos="8306"/>
      </w:tabs>
      <w:snapToGrid w:val="0"/>
    </w:pPr>
    <w:rPr>
      <w:sz w:val="18"/>
      <w:szCs w:val="18"/>
    </w:rPr>
  </w:style>
  <w:style w:type="paragraph" w:styleId="22">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3">
    <w:name w:val="List"/>
    <w:basedOn w:val="1"/>
    <w:qFormat/>
    <w:uiPriority w:val="0"/>
    <w:pPr>
      <w:widowControl/>
      <w:autoSpaceDE/>
      <w:autoSpaceDN/>
      <w:ind w:left="420" w:hanging="420"/>
    </w:pPr>
    <w:rPr>
      <w:rFonts w:hAnsi="Times New Roman" w:cs="Times New Roman"/>
      <w:szCs w:val="20"/>
      <w:lang w:eastAsia="zh-CN"/>
    </w:rPr>
  </w:style>
  <w:style w:type="paragraph" w:styleId="24">
    <w:name w:val="Body Text Indent 3"/>
    <w:basedOn w:val="1"/>
    <w:link w:val="75"/>
    <w:qFormat/>
    <w:uiPriority w:val="0"/>
    <w:pPr>
      <w:tabs>
        <w:tab w:val="left" w:pos="360"/>
      </w:tabs>
      <w:autoSpaceDE/>
      <w:autoSpaceDN/>
      <w:adjustRightInd w:val="0"/>
      <w:snapToGrid w:val="0"/>
      <w:spacing w:line="360" w:lineRule="auto"/>
      <w:ind w:firstLine="480" w:firstLineChars="200"/>
      <w:jc w:val="both"/>
    </w:pPr>
    <w:rPr>
      <w:rFonts w:hint="eastAsia" w:cs="Times New Roman"/>
      <w:kern w:val="2"/>
      <w:sz w:val="24"/>
      <w:szCs w:val="24"/>
      <w:lang w:eastAsia="zh-CN"/>
    </w:rPr>
  </w:style>
  <w:style w:type="paragraph" w:styleId="25">
    <w:name w:val="toc 2"/>
    <w:basedOn w:val="1"/>
    <w:next w:val="1"/>
    <w:qFormat/>
    <w:uiPriority w:val="39"/>
    <w:pPr>
      <w:tabs>
        <w:tab w:val="left" w:pos="780"/>
        <w:tab w:val="right" w:leader="hyphen" w:pos="8279"/>
        <w:tab w:val="right" w:leader="dot" w:pos="8820"/>
        <w:tab w:val="right" w:leader="dot" w:pos="8949"/>
        <w:tab w:val="right" w:leader="dot" w:pos="9089"/>
      </w:tabs>
      <w:autoSpaceDE/>
      <w:autoSpaceDN/>
      <w:adjustRightInd w:val="0"/>
      <w:spacing w:line="360" w:lineRule="auto"/>
      <w:ind w:firstLine="540" w:firstLineChars="225"/>
      <w:jc w:val="both"/>
      <w:textAlignment w:val="baseline"/>
    </w:pPr>
    <w:rPr>
      <w:rFonts w:ascii="Times New Roman" w:hAnsi="Times New Roman" w:cs="Times New Roman"/>
      <w:smallCaps/>
      <w:sz w:val="24"/>
      <w:szCs w:val="20"/>
      <w:lang w:eastAsia="zh-CN"/>
    </w:rPr>
  </w:style>
  <w:style w:type="paragraph" w:styleId="26">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27">
    <w:name w:val="index 1"/>
    <w:basedOn w:val="1"/>
    <w:next w:val="1"/>
    <w:qFormat/>
    <w:uiPriority w:val="0"/>
    <w:pPr>
      <w:autoSpaceDE/>
      <w:autoSpaceDN/>
      <w:spacing w:line="400" w:lineRule="atLeast"/>
      <w:jc w:val="both"/>
    </w:pPr>
    <w:rPr>
      <w:rFonts w:hint="eastAsia" w:cs="Times New Roman"/>
      <w:kern w:val="2"/>
      <w:sz w:val="24"/>
      <w:szCs w:val="24"/>
      <w:lang w:eastAsia="zh-CN"/>
    </w:rPr>
  </w:style>
  <w:style w:type="character" w:styleId="29">
    <w:name w:val="Strong"/>
    <w:qFormat/>
    <w:uiPriority w:val="22"/>
    <w:rPr>
      <w:b/>
      <w:bCs/>
    </w:rPr>
  </w:style>
  <w:style w:type="character" w:styleId="30">
    <w:name w:val="page number"/>
    <w:basedOn w:val="28"/>
    <w:qFormat/>
    <w:uiPriority w:val="0"/>
  </w:style>
  <w:style w:type="character" w:styleId="31">
    <w:name w:val="FollowedHyperlink"/>
    <w:basedOn w:val="28"/>
    <w:qFormat/>
    <w:uiPriority w:val="0"/>
    <w:rPr>
      <w:color w:val="800080"/>
      <w:u w:val="none"/>
    </w:rPr>
  </w:style>
  <w:style w:type="character" w:styleId="32">
    <w:name w:val="HTML Definition"/>
    <w:basedOn w:val="28"/>
    <w:qFormat/>
    <w:uiPriority w:val="0"/>
  </w:style>
  <w:style w:type="character" w:styleId="33">
    <w:name w:val="HTML Variable"/>
    <w:basedOn w:val="28"/>
    <w:qFormat/>
    <w:uiPriority w:val="0"/>
  </w:style>
  <w:style w:type="character" w:styleId="34">
    <w:name w:val="Hyperlink"/>
    <w:basedOn w:val="28"/>
    <w:qFormat/>
    <w:uiPriority w:val="99"/>
    <w:rPr>
      <w:color w:val="0000FF"/>
      <w:u w:val="none"/>
    </w:rPr>
  </w:style>
  <w:style w:type="character" w:styleId="35">
    <w:name w:val="HTML Code"/>
    <w:basedOn w:val="28"/>
    <w:qFormat/>
    <w:uiPriority w:val="0"/>
    <w:rPr>
      <w:rFonts w:ascii="Courier New" w:hAnsi="Courier New"/>
      <w:sz w:val="20"/>
    </w:rPr>
  </w:style>
  <w:style w:type="character" w:styleId="36">
    <w:name w:val="HTML Cite"/>
    <w:basedOn w:val="28"/>
    <w:qFormat/>
    <w:uiPriority w:val="0"/>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9">
    <w:name w:val="标题 1 Char"/>
    <w:link w:val="3"/>
    <w:qFormat/>
    <w:uiPriority w:val="0"/>
    <w:rPr>
      <w:rFonts w:ascii="宋体" w:hAnsi="宋体" w:cs="宋体"/>
      <w:b/>
      <w:bCs/>
      <w:sz w:val="28"/>
      <w:szCs w:val="28"/>
      <w:lang w:eastAsia="en-US"/>
    </w:rPr>
  </w:style>
  <w:style w:type="character" w:customStyle="1" w:styleId="40">
    <w:name w:val="标题 2 Char"/>
    <w:basedOn w:val="28"/>
    <w:link w:val="4"/>
    <w:qFormat/>
    <w:uiPriority w:val="0"/>
    <w:rPr>
      <w:rFonts w:ascii="宋体" w:hAnsi="宋体" w:cs="宋体"/>
      <w:b/>
      <w:bCs/>
      <w:sz w:val="24"/>
      <w:szCs w:val="24"/>
      <w:lang w:eastAsia="en-US"/>
    </w:rPr>
  </w:style>
  <w:style w:type="character" w:customStyle="1" w:styleId="41">
    <w:name w:val="标题 3 Char"/>
    <w:basedOn w:val="28"/>
    <w:link w:val="5"/>
    <w:qFormat/>
    <w:uiPriority w:val="0"/>
    <w:rPr>
      <w:rFonts w:ascii="宋体" w:hAnsi="宋体" w:cs="宋体"/>
      <w:b/>
      <w:bCs/>
      <w:sz w:val="32"/>
      <w:szCs w:val="32"/>
      <w:lang w:eastAsia="en-US"/>
    </w:rPr>
  </w:style>
  <w:style w:type="character" w:customStyle="1" w:styleId="42">
    <w:name w:val="标题 4 Char"/>
    <w:basedOn w:val="28"/>
    <w:link w:val="6"/>
    <w:semiHidden/>
    <w:qFormat/>
    <w:uiPriority w:val="0"/>
    <w:rPr>
      <w:rFonts w:asciiTheme="majorHAnsi" w:hAnsiTheme="majorHAnsi" w:eastAsiaTheme="majorEastAsia" w:cstheme="majorBidi"/>
      <w:b/>
      <w:bCs/>
      <w:sz w:val="28"/>
      <w:szCs w:val="28"/>
      <w:lang w:eastAsia="en-US"/>
    </w:rPr>
  </w:style>
  <w:style w:type="character" w:customStyle="1" w:styleId="43">
    <w:name w:val="正文文本 Char"/>
    <w:basedOn w:val="28"/>
    <w:link w:val="14"/>
    <w:qFormat/>
    <w:uiPriority w:val="0"/>
    <w:rPr>
      <w:rFonts w:ascii="宋体" w:hAnsi="宋体" w:cs="宋体"/>
      <w:sz w:val="24"/>
      <w:szCs w:val="24"/>
      <w:lang w:eastAsia="en-US"/>
    </w:rPr>
  </w:style>
  <w:style w:type="character" w:customStyle="1" w:styleId="44">
    <w:name w:val="纯文本 Char"/>
    <w:link w:val="17"/>
    <w:qFormat/>
    <w:uiPriority w:val="0"/>
    <w:rPr>
      <w:rFonts w:ascii="宋体" w:hAnsi="Courier New" w:cs="Courier New"/>
      <w:sz w:val="22"/>
      <w:szCs w:val="21"/>
      <w:lang w:eastAsia="en-US"/>
    </w:rPr>
  </w:style>
  <w:style w:type="character" w:customStyle="1" w:styleId="45">
    <w:name w:val="页脚 Char"/>
    <w:basedOn w:val="28"/>
    <w:link w:val="21"/>
    <w:qFormat/>
    <w:uiPriority w:val="99"/>
    <w:rPr>
      <w:rFonts w:ascii="宋体" w:hAnsi="宋体" w:cs="宋体"/>
      <w:sz w:val="18"/>
      <w:szCs w:val="18"/>
      <w:lang w:eastAsia="en-US"/>
    </w:rPr>
  </w:style>
  <w:style w:type="character" w:customStyle="1" w:styleId="46">
    <w:name w:val="页眉 Char"/>
    <w:basedOn w:val="28"/>
    <w:link w:val="11"/>
    <w:qFormat/>
    <w:uiPriority w:val="0"/>
    <w:rPr>
      <w:rFonts w:ascii="宋体" w:hAnsi="宋体" w:cs="宋体"/>
      <w:sz w:val="18"/>
      <w:szCs w:val="22"/>
      <w:lang w:eastAsia="en-US"/>
    </w:rPr>
  </w:style>
  <w:style w:type="table" w:customStyle="1" w:styleId="47">
    <w:name w:val="Table Normal"/>
    <w:unhideWhenUsed/>
    <w:qFormat/>
    <w:uiPriority w:val="2"/>
    <w:tblPr>
      <w:tblLayout w:type="fixed"/>
      <w:tblCellMar>
        <w:top w:w="0" w:type="dxa"/>
        <w:left w:w="0" w:type="dxa"/>
        <w:bottom w:w="0" w:type="dxa"/>
        <w:right w:w="0" w:type="dxa"/>
      </w:tblCellMar>
    </w:tblPr>
  </w:style>
  <w:style w:type="paragraph" w:customStyle="1" w:styleId="48">
    <w:name w:val="列出段落1"/>
    <w:basedOn w:val="1"/>
    <w:qFormat/>
    <w:uiPriority w:val="34"/>
    <w:pPr>
      <w:spacing w:before="206"/>
      <w:ind w:left="959" w:hanging="361"/>
    </w:pPr>
  </w:style>
  <w:style w:type="paragraph" w:customStyle="1" w:styleId="49">
    <w:name w:val="Table Paragraph"/>
    <w:basedOn w:val="1"/>
    <w:qFormat/>
    <w:uiPriority w:val="1"/>
  </w:style>
  <w:style w:type="paragraph" w:customStyle="1" w:styleId="5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51">
    <w:name w:val="日期 Char"/>
    <w:basedOn w:val="28"/>
    <w:link w:val="18"/>
    <w:qFormat/>
    <w:uiPriority w:val="0"/>
    <w:rPr>
      <w:rFonts w:asciiTheme="minorHAnsi" w:hAnsiTheme="minorHAnsi" w:eastAsiaTheme="minorEastAsia" w:cstheme="minorBidi"/>
      <w:kern w:val="2"/>
      <w:sz w:val="21"/>
      <w:szCs w:val="22"/>
    </w:rPr>
  </w:style>
  <w:style w:type="paragraph" w:customStyle="1" w:styleId="5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5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54">
    <w:name w:val="xdrichtextbox2"/>
    <w:basedOn w:val="28"/>
    <w:qFormat/>
    <w:uiPriority w:val="0"/>
    <w:rPr>
      <w:color w:val="0000FF"/>
      <w:sz w:val="18"/>
      <w:szCs w:val="18"/>
      <w:u w:val="none"/>
      <w:bdr w:val="single" w:color="DCDCDC" w:sz="8" w:space="0"/>
      <w:shd w:val="clear" w:color="auto" w:fill="FFFFFF"/>
    </w:rPr>
  </w:style>
  <w:style w:type="character" w:customStyle="1" w:styleId="55">
    <w:name w:val="批注框文本 Char"/>
    <w:basedOn w:val="28"/>
    <w:link w:val="20"/>
    <w:qFormat/>
    <w:uiPriority w:val="0"/>
    <w:rPr>
      <w:rFonts w:ascii="宋体" w:hAnsi="宋体" w:cs="宋体"/>
      <w:sz w:val="18"/>
      <w:szCs w:val="18"/>
      <w:lang w:eastAsia="en-US"/>
    </w:rPr>
  </w:style>
  <w:style w:type="paragraph" w:customStyle="1" w:styleId="5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57">
    <w:name w:val="apple-converted-space"/>
    <w:basedOn w:val="28"/>
    <w:qFormat/>
    <w:uiPriority w:val="0"/>
  </w:style>
  <w:style w:type="paragraph" w:customStyle="1" w:styleId="5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9">
    <w:name w:val="批注文字 Char"/>
    <w:basedOn w:val="28"/>
    <w:link w:val="8"/>
    <w:qFormat/>
    <w:uiPriority w:val="0"/>
    <w:rPr>
      <w:kern w:val="2"/>
      <w:sz w:val="21"/>
    </w:rPr>
  </w:style>
  <w:style w:type="paragraph" w:customStyle="1" w:styleId="6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61">
    <w:name w:val="正文文本缩进 2 Char"/>
    <w:basedOn w:val="28"/>
    <w:link w:val="19"/>
    <w:qFormat/>
    <w:uiPriority w:val="0"/>
    <w:rPr>
      <w:rFonts w:ascii="宋体" w:hAnsi="宋体" w:cs="宋体"/>
      <w:sz w:val="22"/>
      <w:szCs w:val="22"/>
      <w:lang w:eastAsia="en-US"/>
    </w:rPr>
  </w:style>
  <w:style w:type="character" w:customStyle="1" w:styleId="62">
    <w:name w:val="结束语 Char"/>
    <w:basedOn w:val="28"/>
    <w:link w:val="13"/>
    <w:qFormat/>
    <w:uiPriority w:val="99"/>
    <w:rPr>
      <w:b/>
      <w:kern w:val="2"/>
      <w:sz w:val="21"/>
    </w:rPr>
  </w:style>
  <w:style w:type="character" w:customStyle="1" w:styleId="63">
    <w:name w:val="正文文本缩进 Char"/>
    <w:basedOn w:val="28"/>
    <w:link w:val="15"/>
    <w:qFormat/>
    <w:uiPriority w:val="0"/>
    <w:rPr>
      <w:rFonts w:ascii="宋体" w:hAnsi="宋体" w:cs="宋体"/>
      <w:sz w:val="22"/>
      <w:szCs w:val="22"/>
      <w:lang w:eastAsia="en-US"/>
    </w:rPr>
  </w:style>
  <w:style w:type="character" w:customStyle="1" w:styleId="64">
    <w:name w:val="批注主题 Char"/>
    <w:basedOn w:val="59"/>
    <w:link w:val="7"/>
    <w:qFormat/>
    <w:uiPriority w:val="0"/>
    <w:rPr>
      <w:b/>
      <w:bCs/>
    </w:rPr>
  </w:style>
  <w:style w:type="character" w:customStyle="1" w:styleId="65">
    <w:name w:val="书籍标题1"/>
    <w:basedOn w:val="28"/>
    <w:qFormat/>
    <w:uiPriority w:val="33"/>
    <w:rPr>
      <w:b/>
      <w:bCs/>
      <w:smallCaps/>
      <w:spacing w:val="5"/>
    </w:rPr>
  </w:style>
  <w:style w:type="paragraph" w:customStyle="1" w:styleId="66">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character" w:customStyle="1" w:styleId="67">
    <w:name w:val="文档结构图 Char"/>
    <w:basedOn w:val="28"/>
    <w:link w:val="12"/>
    <w:qFormat/>
    <w:uiPriority w:val="0"/>
    <w:rPr>
      <w:kern w:val="2"/>
      <w:sz w:val="21"/>
      <w:szCs w:val="24"/>
      <w:shd w:val="clear" w:color="auto" w:fill="000080"/>
    </w:rPr>
  </w:style>
  <w:style w:type="paragraph" w:customStyle="1" w:styleId="68">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69">
    <w:name w:val="Char Char Char Char"/>
    <w:basedOn w:val="1"/>
    <w:qFormat/>
    <w:uiPriority w:val="0"/>
    <w:pPr>
      <w:autoSpaceDE/>
      <w:autoSpaceDN/>
      <w:jc w:val="both"/>
    </w:pPr>
    <w:rPr>
      <w:rFonts w:ascii="Times New Roman" w:hAnsi="Times New Roman" w:eastAsia="Times New Roman" w:cs="Times New Roman"/>
      <w:sz w:val="20"/>
      <w:szCs w:val="20"/>
      <w:lang w:eastAsia="zh-CN"/>
    </w:rPr>
  </w:style>
  <w:style w:type="paragraph" w:customStyle="1" w:styleId="70">
    <w:name w:val="TOC 标题1"/>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71">
    <w:name w:val="Char Char Char"/>
    <w:basedOn w:val="1"/>
    <w:qFormat/>
    <w:uiPriority w:val="0"/>
    <w:pPr>
      <w:autoSpaceDE/>
      <w:autoSpaceDN/>
      <w:jc w:val="both"/>
    </w:pPr>
    <w:rPr>
      <w:rFonts w:ascii="Tahoma" w:hAnsi="Tahoma" w:cs="Times New Roman"/>
      <w:kern w:val="2"/>
      <w:sz w:val="24"/>
      <w:szCs w:val="20"/>
      <w:lang w:eastAsia="zh-CN"/>
    </w:rPr>
  </w:style>
  <w:style w:type="paragraph" w:customStyle="1" w:styleId="72">
    <w:name w:val="样式2"/>
    <w:basedOn w:val="1"/>
    <w:qFormat/>
    <w:uiPriority w:val="0"/>
    <w:pPr>
      <w:autoSpaceDE/>
      <w:autoSpaceDN/>
      <w:spacing w:line="360" w:lineRule="auto"/>
      <w:jc w:val="both"/>
    </w:pPr>
    <w:rPr>
      <w:rFonts w:ascii="Times New Roman" w:hAnsi="Times New Roman" w:cs="Times New Roman"/>
      <w:sz w:val="28"/>
      <w:szCs w:val="20"/>
      <w:lang w:eastAsia="zh-CN"/>
    </w:rPr>
  </w:style>
  <w:style w:type="paragraph" w:customStyle="1" w:styleId="7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7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75">
    <w:name w:val="正文文本缩进 3 Char"/>
    <w:basedOn w:val="28"/>
    <w:link w:val="24"/>
    <w:qFormat/>
    <w:uiPriority w:val="0"/>
    <w:rPr>
      <w:rFonts w:ascii="宋体" w:hAnsi="宋体"/>
      <w:kern w:val="2"/>
      <w:sz w:val="24"/>
      <w:szCs w:val="24"/>
    </w:rPr>
  </w:style>
  <w:style w:type="paragraph" w:customStyle="1" w:styleId="76">
    <w:name w:val="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77">
    <w:name w:val="font21"/>
    <w:qFormat/>
    <w:uiPriority w:val="0"/>
    <w:rPr>
      <w:rFonts w:hint="eastAsia" w:ascii="宋体" w:hAnsi="宋体" w:eastAsia="宋体" w:cs="宋体"/>
      <w:color w:val="000000"/>
      <w:sz w:val="20"/>
      <w:szCs w:val="20"/>
      <w:u w:val="none"/>
    </w:rPr>
  </w:style>
  <w:style w:type="character" w:customStyle="1" w:styleId="78">
    <w:name w:val="font01"/>
    <w:basedOn w:val="28"/>
    <w:qFormat/>
    <w:uiPriority w:val="0"/>
    <w:rPr>
      <w:rFonts w:hint="eastAsia" w:ascii="宋体" w:hAnsi="宋体" w:eastAsia="宋体" w:cs="宋体"/>
      <w:color w:val="000000"/>
      <w:sz w:val="24"/>
      <w:szCs w:val="24"/>
      <w:u w:val="single"/>
    </w:rPr>
  </w:style>
  <w:style w:type="character" w:customStyle="1" w:styleId="79">
    <w:name w:val="普通文字 Char2"/>
    <w:basedOn w:val="28"/>
    <w:qFormat/>
    <w:uiPriority w:val="99"/>
    <w:rPr>
      <w:rFonts w:ascii="宋体" w:hAnsi="Courier New" w:cs="Courier New"/>
      <w:sz w:val="22"/>
      <w:szCs w:val="21"/>
      <w:lang w:eastAsia="en-US"/>
    </w:rPr>
  </w:style>
  <w:style w:type="character" w:customStyle="1" w:styleId="80">
    <w:name w:val="正文文本 Char1"/>
    <w:basedOn w:val="28"/>
    <w:qFormat/>
    <w:uiPriority w:val="0"/>
    <w:rPr>
      <w:rFonts w:ascii="宋体" w:hAnsi="宋体" w:cs="宋体"/>
      <w:sz w:val="24"/>
      <w:szCs w:val="24"/>
      <w:lang w:eastAsia="en-US"/>
    </w:rPr>
  </w:style>
  <w:style w:type="paragraph" w:customStyle="1" w:styleId="81">
    <w:name w:val="列出段落11"/>
    <w:basedOn w:val="1"/>
    <w:qFormat/>
    <w:uiPriority w:val="0"/>
    <w:pPr>
      <w:ind w:firstLine="420" w:firstLineChars="200"/>
      <w:jc w:val="both"/>
    </w:pPr>
    <w:rPr>
      <w:rFonts w:ascii="Calibri" w:hAnsi="Calibri" w:cs="Calibri"/>
      <w:kern w:val="2"/>
      <w:sz w:val="21"/>
      <w:szCs w:val="21"/>
    </w:rPr>
  </w:style>
  <w:style w:type="character" w:customStyle="1" w:styleId="82">
    <w:name w:val="edit_class"/>
    <w:basedOn w:val="28"/>
    <w:qFormat/>
    <w:uiPriority w:val="0"/>
  </w:style>
  <w:style w:type="character" w:customStyle="1" w:styleId="83">
    <w:name w:val="design_class"/>
    <w:basedOn w:val="28"/>
    <w:qFormat/>
    <w:uiPriority w:val="0"/>
  </w:style>
  <w:style w:type="character" w:customStyle="1" w:styleId="84">
    <w:name w:val="choosename"/>
    <w:basedOn w:val="28"/>
    <w:qFormat/>
    <w:uiPriority w:val="0"/>
  </w:style>
  <w:style w:type="character" w:customStyle="1" w:styleId="85">
    <w:name w:val="hover4"/>
    <w:basedOn w:val="28"/>
    <w:qFormat/>
    <w:uiPriority w:val="0"/>
    <w:rPr>
      <w:color w:val="FFFFFF"/>
    </w:rPr>
  </w:style>
  <w:style w:type="character" w:customStyle="1" w:styleId="86">
    <w:name w:val="biggerthanmax"/>
    <w:basedOn w:val="28"/>
    <w:qFormat/>
    <w:uiPriority w:val="0"/>
    <w:rPr>
      <w:shd w:val="clear" w:color="auto" w:fill="FFFF00"/>
    </w:rPr>
  </w:style>
  <w:style w:type="character" w:customStyle="1" w:styleId="87">
    <w:name w:val="xdrichtextbox4"/>
    <w:basedOn w:val="28"/>
    <w:qFormat/>
    <w:uiPriority w:val="0"/>
  </w:style>
  <w:style w:type="character" w:customStyle="1" w:styleId="88">
    <w:name w:val="active"/>
    <w:basedOn w:val="28"/>
    <w:qFormat/>
    <w:uiPriority w:val="0"/>
    <w:rPr>
      <w:shd w:val="clear" w:color="auto" w:fill="EC3535"/>
    </w:rPr>
  </w:style>
  <w:style w:type="character" w:customStyle="1" w:styleId="89">
    <w:name w:val="tmpztreemove_arrow"/>
    <w:basedOn w:val="28"/>
    <w:uiPriority w:val="0"/>
  </w:style>
  <w:style w:type="character" w:customStyle="1" w:styleId="90">
    <w:name w:val="pagechatarealistclose_box"/>
    <w:basedOn w:val="28"/>
    <w:uiPriority w:val="0"/>
  </w:style>
  <w:style w:type="character" w:customStyle="1" w:styleId="91">
    <w:name w:val="pagechatarealistclose_box1"/>
    <w:basedOn w:val="28"/>
    <w:uiPriority w:val="0"/>
  </w:style>
  <w:style w:type="character" w:customStyle="1" w:styleId="92">
    <w:name w:val="ico1648"/>
    <w:basedOn w:val="28"/>
    <w:uiPriority w:val="0"/>
  </w:style>
  <w:style w:type="character" w:customStyle="1" w:styleId="93">
    <w:name w:val="ico1649"/>
    <w:basedOn w:val="28"/>
    <w:uiPriority w:val="0"/>
  </w:style>
  <w:style w:type="character" w:customStyle="1" w:styleId="94">
    <w:name w:val="associateddata"/>
    <w:basedOn w:val="28"/>
    <w:uiPriority w:val="0"/>
    <w:rPr>
      <w:shd w:val="clear" w:color="auto" w:fill="50A6F9"/>
    </w:rPr>
  </w:style>
  <w:style w:type="character" w:customStyle="1" w:styleId="95">
    <w:name w:val="cy"/>
    <w:basedOn w:val="28"/>
    <w:uiPriority w:val="0"/>
  </w:style>
  <w:style w:type="character" w:customStyle="1" w:styleId="96">
    <w:name w:val="after"/>
    <w:basedOn w:val="28"/>
    <w:uiPriority w:val="0"/>
    <w:rPr>
      <w:sz w:val="0"/>
      <w:szCs w:val="0"/>
    </w:rPr>
  </w:style>
  <w:style w:type="character" w:customStyle="1" w:styleId="97">
    <w:name w:val="icontext1"/>
    <w:basedOn w:val="28"/>
    <w:qFormat/>
    <w:uiPriority w:val="0"/>
  </w:style>
  <w:style w:type="character" w:customStyle="1" w:styleId="98">
    <w:name w:val="icontext11"/>
    <w:basedOn w:val="28"/>
    <w:uiPriority w:val="0"/>
  </w:style>
  <w:style w:type="character" w:customStyle="1" w:styleId="99">
    <w:name w:val="icontext12"/>
    <w:basedOn w:val="28"/>
    <w:qFormat/>
    <w:uiPriority w:val="0"/>
  </w:style>
  <w:style w:type="character" w:customStyle="1" w:styleId="100">
    <w:name w:val="iconline2"/>
    <w:basedOn w:val="28"/>
    <w:uiPriority w:val="0"/>
  </w:style>
  <w:style w:type="character" w:customStyle="1" w:styleId="101">
    <w:name w:val="iconline21"/>
    <w:basedOn w:val="28"/>
    <w:qFormat/>
    <w:uiPriority w:val="0"/>
  </w:style>
  <w:style w:type="character" w:customStyle="1" w:styleId="102">
    <w:name w:val="icontext2"/>
    <w:basedOn w:val="28"/>
    <w:uiPriority w:val="0"/>
  </w:style>
  <w:style w:type="character" w:customStyle="1" w:styleId="103">
    <w:name w:val="icontext3"/>
    <w:basedOn w:val="28"/>
    <w:uiPriority w:val="0"/>
  </w:style>
  <w:style w:type="character" w:customStyle="1" w:styleId="104">
    <w:name w:val="active2"/>
    <w:basedOn w:val="28"/>
    <w:uiPriority w:val="0"/>
    <w:rPr>
      <w:shd w:val="clear" w:color="auto" w:fill="EC3535"/>
    </w:rPr>
  </w:style>
  <w:style w:type="paragraph" w:customStyle="1" w:styleId="105">
    <w:name w:val="表头文本"/>
    <w:basedOn w:val="1"/>
    <w:qFormat/>
    <w:uiPriority w:val="0"/>
    <w:pPr>
      <w:adjustRightInd w:val="0"/>
      <w:jc w:val="center"/>
    </w:pPr>
    <w:rPr>
      <w:rFonts w:ascii="Times New Roman" w:hAnsi="Times New Roman" w:cs="Times New Roman"/>
      <w:b/>
      <w:sz w:val="24"/>
      <w:szCs w:val="20"/>
      <w:lang w:eastAsia="zh-CN"/>
    </w:rPr>
  </w:style>
  <w:style w:type="paragraph" w:customStyle="1" w:styleId="106">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8528EA-1695-4043-A8D6-806A5A2B46C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3364</Words>
  <Characters>19179</Characters>
  <Lines>159</Lines>
  <Paragraphs>44</Paragraphs>
  <TotalTime>9</TotalTime>
  <ScaleCrop>false</ScaleCrop>
  <LinksUpToDate>false</LinksUpToDate>
  <CharactersWithSpaces>22499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2020-08-27T05:48:00Z</dcterms:created>
  <dc:creator>CGC</dc:creator>
  <cp:lastModifiedBy>mqhuang</cp:lastModifiedBy>
  <dcterms:modified xsi:type="dcterms:W3CDTF">2023-08-01T05:47:41Z</dcterms:modified>
  <dc:title>公开招标文件（货物服务类）</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