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12英寸钛球阀</w:t>
      </w:r>
      <w:r>
        <w:rPr>
          <w:rFonts w:hint="eastAsia" w:ascii="微软雅黑" w:eastAsia="微软雅黑"/>
          <w:b/>
          <w:sz w:val="52"/>
          <w:szCs w:val="22"/>
          <w:u w:val="single"/>
          <w:lang w:val="en-US" w:eastAsia="zh-CN"/>
        </w:rPr>
        <w:t>采购</w:t>
      </w:r>
      <w:r>
        <w:rPr>
          <w:rFonts w:hint="eastAsia" w:ascii="微软雅黑" w:eastAsia="微软雅黑"/>
          <w:b/>
          <w:sz w:val="52"/>
          <w:szCs w:val="22"/>
          <w:u w:val="single"/>
          <w:lang w:eastAsia="zh-CN"/>
        </w:rPr>
        <w:t>项目</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6"/>
        <w:jc w:val="center"/>
        <w:rPr>
          <w:color w:val="000000" w:themeColor="text1"/>
          <w:sz w:val="28"/>
          <w:szCs w:val="28"/>
        </w:rPr>
      </w:pPr>
      <w:r>
        <w:rPr>
          <w:rFonts w:hint="eastAsia"/>
          <w:color w:val="000000" w:themeColor="text1"/>
          <w:sz w:val="28"/>
          <w:szCs w:val="28"/>
        </w:rPr>
        <w:t>（文件编号：QG2304170025）</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bookmarkStart w:id="16" w:name="_GoBack"/>
      <w:bookmarkEnd w:id="16"/>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56"/>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6"/>
      </w:pPr>
    </w:p>
    <w:p>
      <w:pPr>
        <w:keepNext w:val="0"/>
        <w:keepLines w:val="0"/>
        <w:pageBreakBefore w:val="0"/>
        <w:kinsoku/>
        <w:wordWrap/>
        <w:overflowPunct/>
        <w:topLinePunct w:val="0"/>
        <w:bidi w:val="0"/>
        <w:snapToGrid/>
        <w:spacing w:line="600" w:lineRule="exact"/>
        <w:ind w:right="0" w:firstLine="643" w:firstLineChars="200"/>
        <w:jc w:val="center"/>
        <w:rPr>
          <w:b/>
          <w:bCs/>
          <w:sz w:val="32"/>
          <w:lang w:eastAsia="zh-CN"/>
        </w:rPr>
      </w:pPr>
      <w:r>
        <w:rPr>
          <w:rFonts w:hint="eastAsia"/>
          <w:b/>
          <w:bCs/>
          <w:sz w:val="32"/>
          <w:lang w:eastAsia="zh-CN"/>
        </w:rPr>
        <w:t>福建福海创石油化工有限公司12英寸钛球阀</w:t>
      </w:r>
      <w:r>
        <w:rPr>
          <w:rFonts w:hint="eastAsia"/>
          <w:b/>
          <w:bCs/>
          <w:sz w:val="32"/>
          <w:lang w:val="en-US" w:eastAsia="zh-CN"/>
        </w:rPr>
        <w:t>采购</w:t>
      </w:r>
      <w:r>
        <w:rPr>
          <w:rFonts w:hint="eastAsia"/>
          <w:b/>
          <w:bCs/>
          <w:sz w:val="32"/>
          <w:lang w:eastAsia="zh-CN"/>
        </w:rPr>
        <w:t>项</w:t>
      </w:r>
      <w:r>
        <w:rPr>
          <w:b/>
          <w:bCs/>
          <w:sz w:val="32"/>
          <w:lang w:eastAsia="zh-CN"/>
        </w:rPr>
        <w:t>目</w:t>
      </w:r>
      <w:r>
        <w:rPr>
          <w:rFonts w:hint="eastAsia"/>
          <w:b/>
          <w:bCs/>
          <w:sz w:val="32"/>
          <w:lang w:eastAsia="zh-CN"/>
        </w:rPr>
        <w:t>比选公告</w:t>
      </w:r>
    </w:p>
    <w:p>
      <w:pPr>
        <w:pStyle w:val="21"/>
        <w:keepNext w:val="0"/>
        <w:keepLines w:val="0"/>
        <w:pageBreakBefore w:val="0"/>
        <w:kinsoku/>
        <w:wordWrap/>
        <w:overflowPunct/>
        <w:topLinePunct w:val="0"/>
        <w:bidi w:val="0"/>
        <w:snapToGrid/>
        <w:spacing w:line="600" w:lineRule="exact"/>
        <w:ind w:right="0" w:firstLine="562" w:firstLineChars="200"/>
        <w:jc w:val="both"/>
        <w:rPr>
          <w:b/>
          <w:sz w:val="28"/>
          <w:lang w:eastAsia="zh-CN"/>
        </w:rPr>
      </w:pPr>
    </w:p>
    <w:p>
      <w:pPr>
        <w:pStyle w:val="21"/>
        <w:keepNext w:val="0"/>
        <w:keepLines w:val="0"/>
        <w:pageBreakBefore w:val="0"/>
        <w:kinsoku/>
        <w:wordWrap/>
        <w:overflowPunct/>
        <w:topLinePunct w:val="0"/>
        <w:bidi w:val="0"/>
        <w:adjustRightInd/>
        <w:snapToGrid/>
        <w:spacing w:line="600" w:lineRule="exact"/>
        <w:ind w:right="0"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福建福海创石油化工有限公司12英寸钛球阀</w:t>
      </w:r>
      <w:r>
        <w:rPr>
          <w:rFonts w:hint="eastAsia"/>
          <w:color w:val="000000" w:themeColor="text1"/>
          <w:u w:val="single"/>
          <w:lang w:val="en-US" w:eastAsia="zh-CN"/>
        </w:rPr>
        <w:t>采购</w:t>
      </w:r>
      <w:r>
        <w:rPr>
          <w:rFonts w:hint="eastAsia"/>
          <w:color w:val="000000" w:themeColor="text1"/>
          <w:u w:val="single"/>
          <w:lang w:eastAsia="zh-CN"/>
        </w:rPr>
        <w:t>项目（项目编号：QG2304170025）”</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项目名称：福建福海创石油化工有限公司12英寸钛球阀</w:t>
      </w:r>
      <w:r>
        <w:rPr>
          <w:rFonts w:hint="eastAsia"/>
          <w:sz w:val="24"/>
          <w:szCs w:val="24"/>
          <w:lang w:val="en-US" w:eastAsia="zh-CN"/>
        </w:rPr>
        <w:t>采购</w:t>
      </w:r>
      <w:r>
        <w:rPr>
          <w:rFonts w:hint="eastAsia"/>
          <w:sz w:val="24"/>
          <w:szCs w:val="24"/>
          <w:lang w:eastAsia="zh-CN"/>
        </w:rPr>
        <w:t>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default"/>
          <w:lang w:val="en-US"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575"/>
        <w:gridCol w:w="1147"/>
        <w:gridCol w:w="1172"/>
        <w:gridCol w:w="4430"/>
        <w:gridCol w:w="600"/>
        <w:gridCol w:w="977"/>
      </w:tblGrid>
      <w:tr>
        <w:tblPrEx>
          <w:tblCellMar>
            <w:top w:w="15" w:type="dxa"/>
            <w:left w:w="15" w:type="dxa"/>
            <w:bottom w:w="15" w:type="dxa"/>
            <w:right w:w="15" w:type="dxa"/>
          </w:tblCellMar>
        </w:tblPrEx>
        <w:trPr>
          <w:trHeight w:val="645"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180" w:firstLineChars="1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4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127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olor w:val="000000"/>
                <w:kern w:val="0"/>
                <w:sz w:val="18"/>
                <w:szCs w:val="18"/>
                <w:lang w:val="en-US" w:eastAsia="zh-CN" w:bidi="ar"/>
              </w:rPr>
              <w:t>2723060141</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olor w:val="000000"/>
                <w:kern w:val="0"/>
                <w:sz w:val="18"/>
                <w:szCs w:val="18"/>
                <w:lang w:val="en-US" w:eastAsia="zh-CN" w:bidi="ar"/>
              </w:rPr>
              <w:t>气动球阀</w:t>
            </w:r>
          </w:p>
        </w:tc>
        <w:tc>
          <w:tcPr>
            <w:tcW w:w="4430" w:type="dxa"/>
            <w:tcBorders>
              <w:top w:val="single" w:color="000000" w:sz="4" w:space="0"/>
              <w:left w:val="single" w:color="000000" w:sz="4" w:space="0"/>
              <w:bottom w:val="single" w:color="000000" w:sz="4" w:space="0"/>
              <w:right w:val="single" w:color="auto" w:sz="4" w:space="0"/>
            </w:tcBorders>
            <w:shd w:val="clear" w:color="auto" w:fill="auto"/>
            <w:vAlign w:val="center"/>
          </w:tcPr>
          <w:p>
            <w:pPr>
              <w:rPr>
                <w:rFonts w:hint="default" w:ascii="宋体" w:hAnsi="宋体" w:eastAsia="宋体" w:cs="宋体"/>
                <w:i w:val="0"/>
                <w:iCs w:val="0"/>
                <w:color w:val="000000"/>
                <w:kern w:val="0"/>
                <w:sz w:val="18"/>
                <w:szCs w:val="18"/>
                <w:u w:val="none"/>
                <w:lang w:val="en-US" w:eastAsia="zh-CN" w:bidi="ar"/>
              </w:rPr>
            </w:pPr>
            <w:r>
              <w:rPr>
                <w:rFonts w:hint="eastAsia"/>
                <w:sz w:val="18"/>
                <w:szCs w:val="18"/>
              </w:rPr>
              <w:t>钛球阀/12寸300磅/气动双作用/故障关/详见规格书</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olor w:val="000000"/>
                <w:kern w:val="0"/>
                <w:sz w:val="18"/>
                <w:szCs w:val="18"/>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color w:val="000000"/>
                <w:kern w:val="0"/>
                <w:sz w:val="18"/>
                <w:szCs w:val="18"/>
                <w:lang w:val="en-US" w:eastAsia="zh-CN" w:bidi="ar"/>
              </w:rPr>
              <w:t>1</w:t>
            </w:r>
          </w:p>
        </w:tc>
      </w:tr>
    </w:tbl>
    <w:p>
      <w:pPr>
        <w:keepNext w:val="0"/>
        <w:keepLines w:val="0"/>
        <w:pageBreakBefore w:val="0"/>
        <w:numPr>
          <w:ilvl w:val="0"/>
          <w:numId w:val="7"/>
        </w:numPr>
        <w:tabs>
          <w:tab w:val="left" w:pos="709"/>
          <w:tab w:val="clear" w:pos="312"/>
        </w:tabs>
        <w:kinsoku/>
        <w:wordWrap/>
        <w:overflowPunct/>
        <w:topLinePunct w:val="0"/>
        <w:bidi w:val="0"/>
        <w:adjustRightInd/>
        <w:snapToGrid/>
        <w:spacing w:line="600" w:lineRule="exact"/>
        <w:ind w:right="0" w:firstLine="240" w:firstLineChars="100"/>
        <w:jc w:val="both"/>
        <w:rPr>
          <w:rFonts w:hint="eastAsia" w:ascii="宋体" w:hAnsi="宋体"/>
          <w:b w:val="0"/>
          <w:bCs w:val="0"/>
          <w:sz w:val="24"/>
        </w:rPr>
      </w:pP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numPr>
          <w:ilvl w:val="0"/>
          <w:numId w:val="7"/>
        </w:numPr>
        <w:tabs>
          <w:tab w:val="left" w:pos="709"/>
          <w:tab w:val="clear" w:pos="312"/>
        </w:tabs>
        <w:kinsoku/>
        <w:wordWrap/>
        <w:overflowPunct/>
        <w:topLinePunct w:val="0"/>
        <w:bidi w:val="0"/>
        <w:adjustRightInd/>
        <w:snapToGrid/>
        <w:spacing w:line="600" w:lineRule="exact"/>
        <w:ind w:right="0" w:firstLine="240" w:firstLineChars="100"/>
        <w:jc w:val="both"/>
        <w:rPr>
          <w:rFonts w:hint="default"/>
          <w:lang w:val="en-US" w:eastAsia="zh-CN"/>
        </w:rPr>
      </w:pPr>
      <w:r>
        <w:rPr>
          <w:rFonts w:hint="eastAsia" w:ascii="宋体" w:hAnsi="宋体"/>
          <w:b w:val="0"/>
          <w:bCs w:val="0"/>
          <w:sz w:val="24"/>
          <w:lang w:eastAsia="zh-CN"/>
        </w:rPr>
        <w:t>本项目设置最高</w:t>
      </w:r>
      <w:r>
        <w:rPr>
          <w:rFonts w:hint="eastAsia" w:ascii="宋体" w:hAnsi="宋体"/>
          <w:b w:val="0"/>
          <w:bCs w:val="0"/>
          <w:sz w:val="24"/>
          <w:lang w:val="en-US" w:eastAsia="zh-CN"/>
        </w:rPr>
        <w:t>限</w:t>
      </w:r>
      <w:r>
        <w:rPr>
          <w:rFonts w:hint="eastAsia" w:ascii="宋体" w:hAnsi="宋体"/>
          <w:b w:val="0"/>
          <w:bCs w:val="0"/>
          <w:sz w:val="24"/>
          <w:lang w:eastAsia="zh-CN"/>
        </w:rPr>
        <w:t>价</w:t>
      </w:r>
      <w:r>
        <w:rPr>
          <w:rFonts w:hint="eastAsia"/>
          <w:b w:val="0"/>
          <w:bCs w:val="0"/>
          <w:sz w:val="24"/>
          <w:lang w:val="en-US" w:eastAsia="zh-CN"/>
        </w:rPr>
        <w:t>含税总价60</w:t>
      </w:r>
      <w:r>
        <w:rPr>
          <w:rFonts w:hint="eastAsia" w:ascii="宋体" w:hAnsi="宋体"/>
          <w:b w:val="0"/>
          <w:bCs w:val="0"/>
          <w:sz w:val="24"/>
          <w:lang w:eastAsia="zh-CN"/>
        </w:rPr>
        <w:t>万元整</w:t>
      </w:r>
      <w:r>
        <w:rPr>
          <w:rFonts w:hint="eastAsia"/>
          <w:b w:val="0"/>
          <w:bCs w:val="0"/>
          <w:sz w:val="24"/>
          <w:lang w:eastAsia="zh-CN"/>
        </w:rPr>
        <w:t>（</w:t>
      </w:r>
      <w:r>
        <w:rPr>
          <w:rFonts w:hint="eastAsia"/>
          <w:b w:val="0"/>
          <w:bCs w:val="0"/>
          <w:sz w:val="24"/>
          <w:lang w:val="en-US" w:eastAsia="zh-CN"/>
        </w:rPr>
        <w:t>含13%增值税）</w:t>
      </w:r>
      <w:r>
        <w:rPr>
          <w:rFonts w:hint="eastAsia" w:ascii="宋体" w:hAnsi="宋体"/>
          <w:b w:val="0"/>
          <w:bCs w:val="0"/>
          <w:sz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3.参选人要有特种设备制造许可证限阀门 A1、A2、B。</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4.参选人提供的阀门应该是成熟可靠、技术先进、在国内石油化工类型、近</w:t>
      </w:r>
      <w:r>
        <w:rPr>
          <w:rFonts w:hint="eastAsia"/>
          <w:sz w:val="24"/>
          <w:szCs w:val="24"/>
          <w:lang w:val="en-US" w:eastAsia="zh-CN"/>
        </w:rPr>
        <w:t>五</w:t>
      </w:r>
      <w:r>
        <w:rPr>
          <w:rFonts w:hint="eastAsia" w:eastAsia="宋体"/>
          <w:sz w:val="24"/>
          <w:szCs w:val="24"/>
          <w:lang w:val="en-US" w:eastAsia="zh-CN"/>
        </w:rPr>
        <w:t>年同规模装置至少有2处（2个合同）主装置，单个合同总价≥30万元，数量≥5台调节阀的合同业绩。</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报名成功后，参选人须与现场技术人员进行前期技术交流，需详细阅读比选项目说明，并按照相关要求提供相关方案。技术交流后经比选人技术人员确认合格</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签订技术协议书后，参选人方可参与后续比选，未进行报名和技术交流确认</w:t>
      </w:r>
      <w:r>
        <w:rPr>
          <w:rFonts w:hint="eastAsia" w:cs="宋体"/>
          <w:color w:val="000000" w:themeColor="text1"/>
          <w:sz w:val="24"/>
          <w:szCs w:val="24"/>
          <w:lang w:val="en-US" w:eastAsia="zh-CN"/>
        </w:rPr>
        <w:t>或</w:t>
      </w:r>
      <w:r>
        <w:rPr>
          <w:rFonts w:hint="eastAsia" w:ascii="宋体" w:hAnsi="宋体" w:eastAsia="宋体" w:cs="宋体"/>
          <w:color w:val="000000" w:themeColor="text1"/>
          <w:sz w:val="24"/>
          <w:szCs w:val="24"/>
          <w:lang w:val="en-US" w:eastAsia="zh-CN"/>
        </w:rPr>
        <w:t>未签订技术协议书的参选人不能参加比选。技术交流及技术协议签订时间暂定为报名截止后15天内完成。</w:t>
      </w:r>
    </w:p>
    <w:p>
      <w:pPr>
        <w:keepNext w:val="0"/>
        <w:keepLines w:val="0"/>
        <w:pageBreakBefore w:val="0"/>
        <w:widowControl w:val="0"/>
        <w:numPr>
          <w:ilvl w:val="0"/>
          <w:numId w:val="8"/>
        </w:numPr>
        <w:tabs>
          <w:tab w:val="left" w:pos="709"/>
          <w:tab w:val="clear" w:pos="312"/>
        </w:tabs>
        <w:kinsoku/>
        <w:wordWrap/>
        <w:overflowPunct/>
        <w:topLinePunct w:val="0"/>
        <w:autoSpaceDE w:val="0"/>
        <w:autoSpaceDN w:val="0"/>
        <w:bidi w:val="0"/>
        <w:adjustRightInd/>
        <w:snapToGrid/>
        <w:spacing w:line="600" w:lineRule="exact"/>
        <w:ind w:left="-40" w:leftChars="0" w:firstLine="480" w:firstLineChars="0"/>
        <w:jc w:val="both"/>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获取比选文件：本项目比选文件待比选人确认合格的参选人后统一邮件发送，不合格的参选人不予发送。</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257" w:firstLineChars="100"/>
        <w:jc w:val="both"/>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评选方法：</w:t>
      </w:r>
    </w:p>
    <w:p>
      <w:pPr>
        <w:pStyle w:val="21"/>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119" w:rightChars="0" w:firstLine="240" w:firstLineChars="100"/>
        <w:jc w:val="both"/>
        <w:textAlignment w:val="auto"/>
        <w:rPr>
          <w:rFonts w:hint="default"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采用商务报价决标评选的方式，从价格和付款方式两方面进行评选，满足</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（1）付款条件：货到验收合格付90%，留10%质保；</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（2）未税总价最低者作为第一中选人，以此类推。</w:t>
      </w:r>
    </w:p>
    <w:p>
      <w:pPr>
        <w:keepNext w:val="0"/>
        <w:keepLines w:val="0"/>
        <w:pageBreakBefore w:val="0"/>
        <w:tabs>
          <w:tab w:val="left" w:pos="709"/>
        </w:tabs>
        <w:kinsoku/>
        <w:wordWrap/>
        <w:overflowPunct/>
        <w:topLinePunct w:val="0"/>
        <w:bidi w:val="0"/>
        <w:adjustRightInd/>
        <w:snapToGrid/>
        <w:spacing w:line="600" w:lineRule="exact"/>
        <w:ind w:right="0" w:firstLine="257" w:firstLineChars="100"/>
        <w:jc w:val="both"/>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、参选文件递交要求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keepNext w:val="0"/>
        <w:keepLines w:val="0"/>
        <w:pageBreakBefore w:val="0"/>
        <w:tabs>
          <w:tab w:val="left" w:pos="709"/>
        </w:tabs>
        <w:kinsoku/>
        <w:wordWrap/>
        <w:overflowPunct/>
        <w:topLinePunct w:val="0"/>
        <w:bidi w:val="0"/>
        <w:adjustRightInd/>
        <w:snapToGrid/>
        <w:spacing w:line="600" w:lineRule="exact"/>
        <w:ind w:right="0" w:firstLine="257" w:firstLineChars="100"/>
        <w:jc w:val="both"/>
        <w:rPr>
          <w:rFonts w:hint="default" w:ascii="宋体" w:hAnsi="宋体" w:eastAsia="宋体" w:cs="宋体"/>
          <w:b/>
          <w:snapToGrid w:val="0"/>
          <w:color w:val="000000" w:themeColor="text1"/>
          <w:spacing w:val="8"/>
          <w:sz w:val="24"/>
          <w:szCs w:val="24"/>
          <w:lang w:val="en-US" w:eastAsia="zh-CN"/>
        </w:rPr>
      </w:pPr>
      <w:r>
        <w:rPr>
          <w:rFonts w:hint="eastAsia" w:ascii="宋体" w:hAnsi="宋体" w:eastAsia="宋体" w:cs="宋体"/>
          <w:b/>
          <w:snapToGrid w:val="0"/>
          <w:color w:val="000000" w:themeColor="text1"/>
          <w:spacing w:val="8"/>
          <w:sz w:val="24"/>
          <w:szCs w:val="24"/>
          <w:lang w:val="en-US" w:eastAsia="zh-CN"/>
        </w:rPr>
        <w:t>六</w:t>
      </w:r>
      <w:r>
        <w:rPr>
          <w:rFonts w:hint="eastAsia" w:ascii="宋体" w:hAnsi="宋体" w:eastAsia="宋体" w:cs="宋体"/>
          <w:b/>
          <w:snapToGrid w:val="0"/>
          <w:color w:val="000000" w:themeColor="text1"/>
          <w:spacing w:val="8"/>
          <w:sz w:val="24"/>
          <w:szCs w:val="24"/>
          <w:lang w:eastAsia="zh-CN"/>
        </w:rPr>
        <w:t>、参选保证金</w:t>
      </w:r>
    </w:p>
    <w:p>
      <w:pPr>
        <w:pStyle w:val="21"/>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12000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1"/>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福海创</w:t>
      </w:r>
      <w:r>
        <w:rPr>
          <w:rFonts w:hint="eastAsia"/>
          <w:sz w:val="24"/>
          <w:szCs w:val="24"/>
          <w:lang w:eastAsia="zh-CN"/>
        </w:rPr>
        <w:t>12英寸钛球阀</w:t>
      </w:r>
      <w:r>
        <w:rPr>
          <w:rFonts w:hint="eastAsia"/>
          <w:sz w:val="24"/>
          <w:szCs w:val="24"/>
          <w:lang w:val="en-US" w:eastAsia="zh-CN"/>
        </w:rPr>
        <w:t>采购</w:t>
      </w:r>
      <w:r>
        <w:rPr>
          <w:rFonts w:hint="eastAsia"/>
          <w:sz w:val="24"/>
          <w:szCs w:val="24"/>
          <w:lang w:eastAsia="zh-CN"/>
        </w:rPr>
        <w:t>项</w:t>
      </w:r>
      <w:r>
        <w:rPr>
          <w:sz w:val="24"/>
          <w:szCs w:val="24"/>
          <w:lang w:eastAsia="zh-CN"/>
        </w:rPr>
        <w:t>目</w:t>
      </w:r>
      <w:r>
        <w:rPr>
          <w:rFonts w:hint="eastAsia"/>
          <w:color w:val="000000" w:themeColor="text1"/>
          <w:lang w:eastAsia="zh-CN"/>
        </w:rPr>
        <w:t>参选</w:t>
      </w:r>
      <w:r>
        <w:rPr>
          <w:color w:val="000000" w:themeColor="text1"/>
          <w:lang w:eastAsia="zh-CN"/>
        </w:rPr>
        <w:t>保证金</w:t>
      </w:r>
    </w:p>
    <w:p>
      <w:pPr>
        <w:pStyle w:val="21"/>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1"/>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1"/>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1"/>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21"/>
        <w:spacing w:line="360" w:lineRule="auto"/>
        <w:ind w:right="121" w:firstLine="482" w:firstLineChars="200"/>
        <w:jc w:val="both"/>
        <w:rPr>
          <w:color w:val="000000" w:themeColor="text1"/>
          <w:lang w:eastAsia="zh-CN"/>
        </w:rPr>
      </w:pPr>
      <w:r>
        <w:rPr>
          <w:rFonts w:hint="eastAsia"/>
          <w:b/>
          <w:lang w:eastAsia="zh-CN"/>
        </w:rPr>
        <w:t>4.中选者的参选保证金将直接转为履约保证金；</w:t>
      </w:r>
    </w:p>
    <w:p>
      <w:pPr>
        <w:pStyle w:val="21"/>
        <w:spacing w:line="360" w:lineRule="auto"/>
        <w:ind w:right="121"/>
        <w:jc w:val="both"/>
        <w:rPr>
          <w:lang w:eastAsia="zh-CN"/>
        </w:rPr>
      </w:pPr>
      <w:r>
        <w:rPr>
          <w:rFonts w:hint="eastAsia"/>
          <w:lang w:eastAsia="zh-CN"/>
        </w:rPr>
        <w:t xml:space="preserve">    5.如有下列情况发生，将被没收参选保证金：</w:t>
      </w:r>
    </w:p>
    <w:p>
      <w:pPr>
        <w:pStyle w:val="21"/>
        <w:spacing w:line="360" w:lineRule="auto"/>
        <w:ind w:right="121"/>
        <w:jc w:val="both"/>
        <w:rPr>
          <w:lang w:eastAsia="zh-CN"/>
        </w:rPr>
      </w:pPr>
      <w:r>
        <w:rPr>
          <w:rFonts w:hint="eastAsia"/>
          <w:lang w:eastAsia="zh-CN"/>
        </w:rPr>
        <w:t xml:space="preserve">    （1）参选单位在参选有效期内撤回参选文件；</w:t>
      </w:r>
    </w:p>
    <w:p>
      <w:pPr>
        <w:pStyle w:val="21"/>
        <w:spacing w:line="360" w:lineRule="auto"/>
        <w:ind w:right="121"/>
        <w:jc w:val="both"/>
        <w:rPr>
          <w:lang w:eastAsia="zh-CN"/>
        </w:rPr>
      </w:pPr>
      <w:r>
        <w:rPr>
          <w:rFonts w:hint="eastAsia"/>
          <w:lang w:eastAsia="zh-CN"/>
        </w:rPr>
        <w:t xml:space="preserve">    （2）参选单位未能按接到中标通知书后规定的时间内签定合同。</w:t>
      </w:r>
    </w:p>
    <w:p>
      <w:pPr>
        <w:keepNext w:val="0"/>
        <w:keepLines w:val="0"/>
        <w:pageBreakBefore w:val="0"/>
        <w:kinsoku/>
        <w:wordWrap/>
        <w:overflowPunct/>
        <w:topLinePunct w:val="0"/>
        <w:bidi w:val="0"/>
        <w:adjustRightInd/>
        <w:snapToGrid/>
        <w:spacing w:line="600" w:lineRule="exact"/>
        <w:ind w:right="0" w:firstLine="514" w:firstLineChars="200"/>
        <w:jc w:val="both"/>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6"/>
        <w:keepNext w:val="0"/>
        <w:keepLines w:val="0"/>
        <w:pageBreakBefore w:val="0"/>
        <w:kinsoku/>
        <w:wordWrap/>
        <w:overflowPunct/>
        <w:topLinePunct w:val="0"/>
        <w:bidi w:val="0"/>
        <w:snapToGrid/>
        <w:spacing w:line="600" w:lineRule="exact"/>
        <w:ind w:right="0" w:firstLine="680" w:firstLineChars="200"/>
        <w:jc w:val="both"/>
        <w:sectPr>
          <w:pgSz w:w="11910" w:h="16840"/>
          <w:pgMar w:top="1500" w:right="1020" w:bottom="740" w:left="1300" w:header="0" w:footer="551" w:gutter="0"/>
          <w:cols w:space="720" w:num="1"/>
        </w:sectPr>
      </w:pPr>
    </w:p>
    <w:p>
      <w:pPr>
        <w:pStyle w:val="4"/>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福建福海创石油化工有限公司12英寸钛球阀</w:t>
      </w:r>
      <w:r>
        <w:rPr>
          <w:rFonts w:hint="eastAsia"/>
          <w:sz w:val="24"/>
          <w:szCs w:val="24"/>
          <w:lang w:val="en-US" w:eastAsia="zh-CN"/>
        </w:rPr>
        <w:t>采购项目</w:t>
      </w:r>
      <w:r>
        <w:rPr>
          <w:rFonts w:hint="eastAsia"/>
          <w:sz w:val="24"/>
          <w:szCs w:val="24"/>
          <w:lang w:eastAsia="zh-CN"/>
        </w:rPr>
        <w:t>。</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1"/>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firstLine="480" w:firstLineChars="200"/>
        <w:jc w:val="both"/>
        <w:rPr>
          <w:rFonts w:hint="eastAsia"/>
          <w:lang w:val="en-US" w:eastAsia="zh-CN"/>
        </w:rPr>
      </w:pPr>
      <w:r>
        <w:rPr>
          <w:rFonts w:hint="eastAsia"/>
          <w:lang w:eastAsia="zh-CN"/>
        </w:rPr>
        <w:t>技术联系人</w:t>
      </w:r>
      <w:r>
        <w:rPr>
          <w:rFonts w:hint="eastAsia" w:ascii="宋体" w:hAnsi="宋体" w:eastAsia="宋体" w:cs="宋体"/>
          <w:lang w:eastAsia="zh-CN"/>
        </w:rPr>
        <w:t>：</w:t>
      </w:r>
      <w:r>
        <w:rPr>
          <w:rFonts w:hint="eastAsia" w:ascii="宋体" w:hAnsi="宋体" w:eastAsia="宋体" w:cs="宋体"/>
          <w:lang w:val="en-US" w:eastAsia="zh-CN"/>
        </w:rPr>
        <w:t>黄志明18659155631，zmhuang@fhcpec.com.cn  </w:t>
      </w:r>
      <w:r>
        <w:rPr>
          <w:rFonts w:hint="eastAsia"/>
          <w:lang w:val="en-US" w:eastAsia="zh-CN"/>
        </w:rPr>
        <w:t>,  </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3.参选人要有特种设备制造许可证限阀门 A1、A2、B。</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rFonts w:hint="eastAsia" w:eastAsia="宋体"/>
          <w:sz w:val="24"/>
          <w:szCs w:val="24"/>
          <w:lang w:val="en-US" w:eastAsia="zh-CN"/>
        </w:rPr>
        <w:t>4.参选人提供的阀门应该是成熟可靠、技术先进、在国内石油化工类型、近</w:t>
      </w:r>
      <w:r>
        <w:rPr>
          <w:rFonts w:hint="eastAsia"/>
          <w:sz w:val="24"/>
          <w:szCs w:val="24"/>
          <w:lang w:val="en-US" w:eastAsia="zh-CN"/>
        </w:rPr>
        <w:t>五</w:t>
      </w:r>
      <w:r>
        <w:rPr>
          <w:rFonts w:hint="eastAsia" w:eastAsia="宋体"/>
          <w:sz w:val="24"/>
          <w:szCs w:val="24"/>
          <w:lang w:val="en-US" w:eastAsia="zh-CN"/>
        </w:rPr>
        <w:t>年同规模装置至少有2处（2个合同）主装置，单个合同总价≥30万元，数量≥5台调节阀的合同业绩。</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12</w:t>
      </w:r>
      <w:r>
        <w:rPr>
          <w:rFonts w:hint="eastAsia"/>
          <w:color w:val="000000" w:themeColor="text1"/>
          <w:lang w:eastAsia="zh-CN"/>
        </w:rPr>
        <w:t>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1"/>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1"/>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福海创</w:t>
      </w:r>
      <w:r>
        <w:rPr>
          <w:rFonts w:hint="eastAsia"/>
          <w:sz w:val="24"/>
          <w:szCs w:val="24"/>
          <w:lang w:eastAsia="zh-CN"/>
        </w:rPr>
        <w:t>12英寸钛球阀</w:t>
      </w:r>
      <w:r>
        <w:rPr>
          <w:rFonts w:hint="eastAsia"/>
          <w:sz w:val="24"/>
          <w:szCs w:val="24"/>
          <w:lang w:val="en-US" w:eastAsia="zh-CN"/>
        </w:rPr>
        <w:t>采购</w:t>
      </w:r>
      <w:r>
        <w:rPr>
          <w:rFonts w:hint="eastAsia"/>
          <w:sz w:val="24"/>
          <w:szCs w:val="24"/>
          <w:lang w:eastAsia="zh-CN"/>
        </w:rPr>
        <w:t>项</w:t>
      </w:r>
      <w:r>
        <w:rPr>
          <w:sz w:val="24"/>
          <w:szCs w:val="24"/>
          <w:lang w:eastAsia="zh-CN"/>
        </w:rPr>
        <w:t>目</w:t>
      </w:r>
      <w:r>
        <w:rPr>
          <w:rFonts w:hint="eastAsia"/>
          <w:color w:val="000000" w:themeColor="text1"/>
          <w:lang w:eastAsia="zh-CN"/>
        </w:rPr>
        <w:t>参选</w:t>
      </w:r>
      <w:r>
        <w:rPr>
          <w:color w:val="000000" w:themeColor="text1"/>
          <w:lang w:eastAsia="zh-CN"/>
        </w:rPr>
        <w:t>保证金</w:t>
      </w:r>
    </w:p>
    <w:p>
      <w:pPr>
        <w:pStyle w:val="21"/>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1"/>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1"/>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21"/>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5"/>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5"/>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5"/>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4"/>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4"/>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60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翔鹭石化</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1"/>
        <w:spacing w:line="360" w:lineRule="auto"/>
        <w:rPr>
          <w:lang w:eastAsia="zh-CN"/>
        </w:rPr>
      </w:pPr>
    </w:p>
    <w:p>
      <w:pPr>
        <w:pStyle w:val="21"/>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1"/>
        <w:rPr>
          <w:rFonts w:hint="default" w:ascii="Times New Roman"/>
          <w:b/>
          <w:bCs/>
          <w:lang w:val="en-US" w:eastAsia="zh-CN"/>
        </w:rPr>
      </w:pPr>
    </w:p>
    <w:p>
      <w:pPr>
        <w:spacing w:line="120" w:lineRule="auto"/>
        <w:ind w:firstLine="4357" w:firstLineChars="1550"/>
        <w:rPr>
          <w:b/>
          <w:sz w:val="28"/>
          <w:szCs w:val="28"/>
        </w:rPr>
      </w:pPr>
      <w:bookmarkStart w:id="1" w:name="_Toc352146655"/>
      <w:bookmarkStart w:id="2" w:name="_Toc20180"/>
      <w:bookmarkStart w:id="3" w:name="_Toc10991"/>
      <w:bookmarkStart w:id="4" w:name="_Toc27787"/>
      <w:bookmarkStart w:id="5" w:name="_Toc23434"/>
      <w:bookmarkStart w:id="6" w:name="_Toc2239"/>
      <w:bookmarkStart w:id="7" w:name="_Toc18049"/>
      <w:bookmarkStart w:id="8" w:name="_Toc20273"/>
      <w:bookmarkStart w:id="9" w:name="_Toc8520"/>
      <w:bookmarkStart w:id="10" w:name="_Toc31402"/>
      <w:bookmarkStart w:id="11" w:name="_Toc17959"/>
      <w:bookmarkStart w:id="12" w:name="_Toc31173"/>
      <w:bookmarkStart w:id="13" w:name="_Toc385779252"/>
      <w:bookmarkStart w:id="14" w:name="_Toc14171"/>
      <w:bookmarkStart w:id="15" w:name="_Toc4114"/>
      <w:r>
        <w:rPr>
          <w:rFonts w:hint="eastAsia"/>
          <w:b/>
          <w:sz w:val="28"/>
          <w:szCs w:val="28"/>
        </w:rPr>
        <w:t>采购合同</w:t>
      </w:r>
    </w:p>
    <w:tbl>
      <w:tblPr>
        <w:tblStyle w:val="48"/>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甲方：翔鹭石化（漳州）有限公司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联系地址：漳州市古雷港经济开发区腾龙路86号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电子邮箱:xumx@fhcpec.com.cn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授权委托人： 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1"/>
        <w:rPr>
          <w:rFonts w:hint="eastAsia" w:ascii="Times New Roman"/>
          <w:b/>
          <w:bCs/>
          <w:lang w:val="en-US" w:eastAsia="zh-CN"/>
        </w:rPr>
      </w:pPr>
    </w:p>
    <w:p>
      <w:pPr>
        <w:pStyle w:val="21"/>
        <w:rPr>
          <w:rFonts w:hint="eastAsia" w:ascii="Times New Roman"/>
          <w:b/>
          <w:bCs/>
          <w:lang w:val="en-US" w:eastAsia="zh-CN"/>
        </w:rPr>
      </w:pPr>
    </w:p>
    <w:p>
      <w:pPr>
        <w:pStyle w:val="21"/>
        <w:rPr>
          <w:rFonts w:hint="eastAsia" w:ascii="Times New Roman"/>
          <w:b/>
          <w:bCs/>
          <w:lang w:val="en-US" w:eastAsia="zh-CN"/>
        </w:rPr>
      </w:pPr>
    </w:p>
    <w:p>
      <w:pPr>
        <w:pStyle w:val="21"/>
        <w:rPr>
          <w:rFonts w:hint="default" w:ascii="Times New Roman"/>
          <w:b/>
          <w:bCs/>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rFonts w:hint="eastAsia" w:eastAsia="宋体"/>
          <w:b/>
          <w:bCs/>
          <w:sz w:val="24"/>
          <w:szCs w:val="24"/>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6"/>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12英寸钛球阀</w:t>
      </w:r>
      <w:r>
        <w:rPr>
          <w:rFonts w:hint="eastAsia" w:ascii="方正小标宋简体" w:hAnsi="方正小标宋简体" w:eastAsia="方正小标宋简体" w:cs="方正小标宋简体"/>
          <w:b/>
          <w:color w:val="000000" w:themeColor="text1"/>
          <w:sz w:val="44"/>
          <w:szCs w:val="44"/>
          <w:lang w:val="en-US" w:eastAsia="zh-CN"/>
        </w:rPr>
        <w:t>采购</w:t>
      </w:r>
      <w:r>
        <w:rPr>
          <w:rFonts w:ascii="方正小标宋简体" w:hAnsi="方正小标宋简体" w:eastAsia="方正小标宋简体" w:cs="方正小标宋简体"/>
          <w:b/>
          <w:color w:val="000000" w:themeColor="text1"/>
          <w:sz w:val="44"/>
          <w:szCs w:val="44"/>
          <w:lang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6"/>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6"/>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4"/>
        <w:spacing w:beforeLines="0" w:afterLines="0" w:line="240" w:lineRule="auto"/>
        <w:ind w:firstLine="618" w:firstLineChars="221"/>
        <w:rPr>
          <w:rFonts w:cs="Times New Roman"/>
          <w:bCs w:val="0"/>
          <w:color w:val="C00000"/>
          <w:lang w:eastAsia="zh-CN"/>
        </w:rPr>
      </w:pP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6"/>
      </w:pPr>
    </w:p>
    <w:p>
      <w:pPr>
        <w:pStyle w:val="56"/>
      </w:pPr>
    </w:p>
    <w:p>
      <w:pPr>
        <w:pStyle w:val="56"/>
      </w:pPr>
    </w:p>
    <w:p>
      <w:pPr>
        <w:pStyle w:val="56"/>
      </w:pPr>
    </w:p>
    <w:p>
      <w:pPr>
        <w:pStyle w:val="56"/>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6"/>
        <w:rPr>
          <w:b/>
          <w:bCs/>
          <w:sz w:val="36"/>
          <w:szCs w:val="36"/>
        </w:rPr>
      </w:pPr>
    </w:p>
    <w:p>
      <w:pPr>
        <w:pStyle w:val="56"/>
        <w:rPr>
          <w:b/>
          <w:bCs/>
          <w:sz w:val="36"/>
          <w:szCs w:val="36"/>
        </w:rPr>
      </w:pPr>
    </w:p>
    <w:p>
      <w:pPr>
        <w:pStyle w:val="56"/>
        <w:rPr>
          <w:b/>
          <w:bCs/>
          <w:sz w:val="36"/>
          <w:szCs w:val="36"/>
        </w:rPr>
      </w:pPr>
    </w:p>
    <w:p>
      <w:pPr>
        <w:spacing w:line="500" w:lineRule="exact"/>
        <w:rPr>
          <w:b/>
          <w:bCs/>
          <w:sz w:val="36"/>
          <w:szCs w:val="36"/>
          <w:lang w:eastAsia="zh-CN"/>
        </w:rPr>
      </w:pPr>
    </w:p>
    <w:p>
      <w:pPr>
        <w:pStyle w:val="56"/>
        <w:rPr>
          <w:b/>
          <w:bCs/>
          <w:sz w:val="36"/>
          <w:szCs w:val="36"/>
        </w:rPr>
      </w:pPr>
    </w:p>
    <w:p>
      <w:pPr>
        <w:pStyle w:val="56"/>
        <w:rPr>
          <w:b/>
          <w:bCs/>
          <w:sz w:val="36"/>
          <w:szCs w:val="36"/>
        </w:rPr>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6"/>
      </w:pPr>
    </w:p>
    <w:p>
      <w:pPr>
        <w:pStyle w:val="56"/>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6"/>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6"/>
        <w:jc w:val="center"/>
      </w:pPr>
    </w:p>
    <w:p>
      <w:pPr>
        <w:pStyle w:val="56"/>
        <w:jc w:val="center"/>
      </w:pPr>
    </w:p>
    <w:p>
      <w:pPr>
        <w:pStyle w:val="56"/>
        <w:jc w:val="center"/>
      </w:pPr>
    </w:p>
    <w:p>
      <w:pPr>
        <w:pStyle w:val="56"/>
        <w:jc w:val="center"/>
      </w:pPr>
    </w:p>
    <w:p>
      <w:pPr>
        <w:pStyle w:val="56"/>
        <w:jc w:val="center"/>
      </w:pPr>
    </w:p>
    <w:p>
      <w:pPr>
        <w:pStyle w:val="56"/>
      </w:pPr>
    </w:p>
    <w:p>
      <w:pPr>
        <w:pStyle w:val="56"/>
      </w:pPr>
    </w:p>
    <w:p>
      <w:pPr>
        <w:pStyle w:val="56"/>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6"/>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56"/>
      </w:pPr>
    </w:p>
    <w:p>
      <w:pPr>
        <w:pStyle w:val="56"/>
      </w:pPr>
    </w:p>
    <w:p>
      <w:pPr>
        <w:pStyle w:val="56"/>
      </w:pPr>
    </w:p>
    <w:p>
      <w:pPr>
        <w:pStyle w:val="56"/>
      </w:pPr>
    </w:p>
    <w:p>
      <w:pPr>
        <w:spacing w:line="500" w:lineRule="exact"/>
        <w:jc w:val="center"/>
        <w:rPr>
          <w:b/>
          <w:bCs/>
          <w:sz w:val="36"/>
          <w:szCs w:val="36"/>
          <w:lang w:eastAsia="zh-CN"/>
        </w:rPr>
      </w:pPr>
      <w:r>
        <w:rPr>
          <w:rFonts w:hint="eastAsia"/>
          <w:b/>
          <w:bCs/>
          <w:sz w:val="36"/>
          <w:szCs w:val="36"/>
          <w:lang w:eastAsia="zh-CN"/>
        </w:rPr>
        <w:t>营业执照复印件</w:t>
      </w: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eastAsia="宋体" w:cs="宋体"/>
          <w:sz w:val="28"/>
          <w:szCs w:val="28"/>
          <w:lang w:eastAsia="zh-CN"/>
        </w:rPr>
        <w:t>12英寸钛球阀</w:t>
      </w:r>
      <w:r>
        <w:rPr>
          <w:rFonts w:hint="eastAsia" w:ascii="Times New Roman" w:hAnsi="ˎ̥" w:cs="宋体"/>
          <w:sz w:val="28"/>
          <w:szCs w:val="28"/>
          <w:lang w:val="en-US" w:eastAsia="zh-CN"/>
        </w:rPr>
        <w:t>采购项目</w:t>
      </w:r>
      <w:r>
        <w:rPr>
          <w:rFonts w:hint="eastAsia" w:ascii="Times New Roman" w:hAnsi="ˎ̥" w:eastAsia="宋体" w:cs="宋体"/>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12英寸钛球阀</w:t>
      </w:r>
      <w:r>
        <w:rPr>
          <w:rFonts w:hint="eastAsia"/>
          <w:b/>
          <w:bCs/>
          <w:sz w:val="24"/>
          <w:szCs w:val="24"/>
          <w:lang w:val="en-US" w:eastAsia="zh-CN"/>
        </w:rPr>
        <w:t>采购</w:t>
      </w:r>
      <w:r>
        <w:rPr>
          <w:rFonts w:hint="eastAsia"/>
          <w:b/>
          <w:bCs/>
          <w:sz w:val="24"/>
          <w:szCs w:val="24"/>
          <w:lang w:eastAsia="zh-CN"/>
        </w:rPr>
        <w:t>项目价格清单</w:t>
      </w:r>
    </w:p>
    <w:tbl>
      <w:tblPr>
        <w:tblStyle w:val="47"/>
        <w:tblpPr w:leftFromText="180" w:rightFromText="180" w:vertAnchor="text" w:horzAnchor="page" w:tblpXSpec="center" w:tblpY="287"/>
        <w:tblOverlap w:val="never"/>
        <w:tblW w:w="10169" w:type="dxa"/>
        <w:tblInd w:w="-383" w:type="dxa"/>
        <w:tblLayout w:type="fixed"/>
        <w:tblCellMar>
          <w:top w:w="15" w:type="dxa"/>
          <w:left w:w="15" w:type="dxa"/>
          <w:bottom w:w="15" w:type="dxa"/>
          <w:right w:w="15" w:type="dxa"/>
        </w:tblCellMar>
      </w:tblPr>
      <w:tblGrid>
        <w:gridCol w:w="1335"/>
        <w:gridCol w:w="983"/>
        <w:gridCol w:w="1134"/>
        <w:gridCol w:w="3581"/>
        <w:gridCol w:w="404"/>
        <w:gridCol w:w="668"/>
        <w:gridCol w:w="1033"/>
        <w:gridCol w:w="1031"/>
      </w:tblGrid>
      <w:tr>
        <w:tblPrEx>
          <w:tblCellMar>
            <w:top w:w="15" w:type="dxa"/>
            <w:left w:w="15" w:type="dxa"/>
            <w:bottom w:w="15" w:type="dxa"/>
            <w:right w:w="15" w:type="dxa"/>
          </w:tblCellMar>
        </w:tblPrEx>
        <w:trPr>
          <w:trHeight w:val="645"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3581"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4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2388" w:hRule="atLeast"/>
        </w:trPr>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QG2304170025</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2723060141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气动球阀</w:t>
            </w:r>
          </w:p>
        </w:tc>
        <w:tc>
          <w:tcPr>
            <w:tcW w:w="3581" w:type="dxa"/>
            <w:tcBorders>
              <w:top w:val="single" w:color="000000" w:sz="4" w:space="0"/>
              <w:left w:val="single" w:color="000000" w:sz="4" w:space="0"/>
              <w:bottom w:val="single" w:color="000000" w:sz="4" w:space="0"/>
              <w:right w:val="single" w:color="auto" w:sz="4" w:space="0"/>
            </w:tcBorders>
            <w:shd w:val="clear" w:color="auto" w:fill="auto"/>
            <w:vAlign w:val="center"/>
          </w:tcPr>
          <w:p>
            <w:pPr>
              <w:rPr>
                <w:rFonts w:hint="default" w:ascii="宋体" w:hAnsi="宋体" w:eastAsia="宋体" w:cs="宋体"/>
                <w:color w:val="000000"/>
                <w:kern w:val="0"/>
                <w:sz w:val="18"/>
                <w:szCs w:val="18"/>
                <w:lang w:val="en-US" w:eastAsia="zh-CN" w:bidi="ar"/>
              </w:rPr>
            </w:pPr>
            <w:r>
              <w:rPr>
                <w:rFonts w:hint="eastAsia"/>
                <w:sz w:val="18"/>
                <w:szCs w:val="18"/>
              </w:rPr>
              <w:t>钛球阀/12寸300磅/气动双作用/故障关/详见规格书</w:t>
            </w:r>
            <w:r>
              <w:rPr>
                <w:rFonts w:hint="eastAsia"/>
                <w:sz w:val="18"/>
                <w:szCs w:val="18"/>
                <w:lang w:eastAsia="zh-CN"/>
              </w:rPr>
              <w:t>，</w:t>
            </w:r>
            <w:r>
              <w:rPr>
                <w:rFonts w:hint="eastAsia"/>
                <w:sz w:val="18"/>
                <w:szCs w:val="18"/>
                <w:lang w:val="en-US" w:eastAsia="zh-CN"/>
              </w:rPr>
              <w:t>具体以双方签定的技术协议为准。</w:t>
            </w:r>
          </w:p>
        </w:tc>
        <w:tc>
          <w:tcPr>
            <w:tcW w:w="4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cs="宋体"/>
                <w:color w:val="000000"/>
                <w:kern w:val="0"/>
                <w:sz w:val="18"/>
                <w:szCs w:val="18"/>
                <w:lang w:val="en-US" w:eastAsia="zh-CN" w:bidi="ar"/>
              </w:rPr>
              <w:t>台</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3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8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56"/>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交货地点：漳州市古雷经济开发区福海创翔鹭石化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16FC4D"/>
    <w:multiLevelType w:val="singleLevel"/>
    <w:tmpl w:val="B416FC4D"/>
    <w:lvl w:ilvl="0" w:tentative="0">
      <w:start w:val="3"/>
      <w:numFmt w:val="decimal"/>
      <w:lvlText w:val="%1."/>
      <w:lvlJc w:val="left"/>
      <w:pPr>
        <w:tabs>
          <w:tab w:val="left" w:pos="312"/>
        </w:tabs>
        <w:ind w:left="-40"/>
      </w:pPr>
    </w:lvl>
  </w:abstractNum>
  <w:abstractNum w:abstractNumId="1">
    <w:nsid w:val="CE881D03"/>
    <w:multiLevelType w:val="singleLevel"/>
    <w:tmpl w:val="CE881D03"/>
    <w:lvl w:ilvl="0" w:tentative="0">
      <w:start w:val="3"/>
      <w:numFmt w:val="decimal"/>
      <w:lvlText w:val="%1."/>
      <w:lvlJc w:val="left"/>
      <w:pPr>
        <w:tabs>
          <w:tab w:val="left" w:pos="312"/>
        </w:tabs>
      </w:pPr>
    </w:lvl>
  </w:abstractNum>
  <w:abstractNum w:abstractNumId="2">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2"/>
  </w:num>
  <w:num w:numId="3">
    <w:abstractNumId w:val="3"/>
  </w:num>
  <w:num w:numId="4">
    <w:abstractNumId w:val="4"/>
  </w:num>
  <w:num w:numId="5">
    <w:abstractNumId w:val="5"/>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7E71B3"/>
    <w:rsid w:val="01B74444"/>
    <w:rsid w:val="02E828A9"/>
    <w:rsid w:val="0367315B"/>
    <w:rsid w:val="039452D6"/>
    <w:rsid w:val="061139E5"/>
    <w:rsid w:val="06F50B00"/>
    <w:rsid w:val="076A1B96"/>
    <w:rsid w:val="076E1278"/>
    <w:rsid w:val="081A08AE"/>
    <w:rsid w:val="081D6F74"/>
    <w:rsid w:val="087D5A4F"/>
    <w:rsid w:val="08D1141D"/>
    <w:rsid w:val="09130765"/>
    <w:rsid w:val="0B296DE2"/>
    <w:rsid w:val="0B721453"/>
    <w:rsid w:val="0D0126E0"/>
    <w:rsid w:val="0D2B3FF7"/>
    <w:rsid w:val="0D6E4A21"/>
    <w:rsid w:val="0EFD592E"/>
    <w:rsid w:val="0FB5725B"/>
    <w:rsid w:val="0FB7670E"/>
    <w:rsid w:val="10294AA3"/>
    <w:rsid w:val="10823482"/>
    <w:rsid w:val="10E40CA0"/>
    <w:rsid w:val="12584C20"/>
    <w:rsid w:val="136130D9"/>
    <w:rsid w:val="13805E8A"/>
    <w:rsid w:val="143C77FA"/>
    <w:rsid w:val="14762538"/>
    <w:rsid w:val="14D568B5"/>
    <w:rsid w:val="153A3533"/>
    <w:rsid w:val="15800409"/>
    <w:rsid w:val="15AD01BA"/>
    <w:rsid w:val="169D7EC1"/>
    <w:rsid w:val="16AE1C29"/>
    <w:rsid w:val="16B72867"/>
    <w:rsid w:val="16F33791"/>
    <w:rsid w:val="173600E6"/>
    <w:rsid w:val="18297794"/>
    <w:rsid w:val="186655E7"/>
    <w:rsid w:val="18DD4F7E"/>
    <w:rsid w:val="19544509"/>
    <w:rsid w:val="195B58A2"/>
    <w:rsid w:val="1989465C"/>
    <w:rsid w:val="19CC44B4"/>
    <w:rsid w:val="1A2360C8"/>
    <w:rsid w:val="1B6947A7"/>
    <w:rsid w:val="1CC40373"/>
    <w:rsid w:val="1E085A14"/>
    <w:rsid w:val="1E657D90"/>
    <w:rsid w:val="1ED93E25"/>
    <w:rsid w:val="1FF43DDB"/>
    <w:rsid w:val="20625E24"/>
    <w:rsid w:val="21933AA2"/>
    <w:rsid w:val="22B76993"/>
    <w:rsid w:val="22E07B9F"/>
    <w:rsid w:val="23105A61"/>
    <w:rsid w:val="231F5346"/>
    <w:rsid w:val="2333574E"/>
    <w:rsid w:val="25BF356F"/>
    <w:rsid w:val="25DB0C2D"/>
    <w:rsid w:val="26173D8C"/>
    <w:rsid w:val="267F6210"/>
    <w:rsid w:val="269469E7"/>
    <w:rsid w:val="26EF5299"/>
    <w:rsid w:val="27981585"/>
    <w:rsid w:val="27E149AB"/>
    <w:rsid w:val="27EE0826"/>
    <w:rsid w:val="280E42B1"/>
    <w:rsid w:val="280F47C0"/>
    <w:rsid w:val="2998140D"/>
    <w:rsid w:val="29FC3B14"/>
    <w:rsid w:val="2A056A4F"/>
    <w:rsid w:val="2B11792E"/>
    <w:rsid w:val="2E666BF4"/>
    <w:rsid w:val="2F724BD0"/>
    <w:rsid w:val="2FC5779A"/>
    <w:rsid w:val="306A51FE"/>
    <w:rsid w:val="31C54755"/>
    <w:rsid w:val="31D23053"/>
    <w:rsid w:val="3216608C"/>
    <w:rsid w:val="328F13DA"/>
    <w:rsid w:val="34CE14C6"/>
    <w:rsid w:val="34D84CEC"/>
    <w:rsid w:val="35345793"/>
    <w:rsid w:val="35DC515B"/>
    <w:rsid w:val="36332128"/>
    <w:rsid w:val="37AF5AB7"/>
    <w:rsid w:val="39E568DF"/>
    <w:rsid w:val="3A387F18"/>
    <w:rsid w:val="3A614714"/>
    <w:rsid w:val="3B1C3371"/>
    <w:rsid w:val="3CAE3A33"/>
    <w:rsid w:val="3CC23198"/>
    <w:rsid w:val="3DDF4815"/>
    <w:rsid w:val="3FB53B9D"/>
    <w:rsid w:val="3FE669E5"/>
    <w:rsid w:val="401A1419"/>
    <w:rsid w:val="42C84A21"/>
    <w:rsid w:val="44B33DBE"/>
    <w:rsid w:val="44B70186"/>
    <w:rsid w:val="459C39D0"/>
    <w:rsid w:val="462A54F2"/>
    <w:rsid w:val="486C4718"/>
    <w:rsid w:val="48BC1E8C"/>
    <w:rsid w:val="4A286FFC"/>
    <w:rsid w:val="4A344C53"/>
    <w:rsid w:val="4A6A5207"/>
    <w:rsid w:val="4B3B68BB"/>
    <w:rsid w:val="4B410375"/>
    <w:rsid w:val="4B876203"/>
    <w:rsid w:val="4D6C542D"/>
    <w:rsid w:val="4E9D335D"/>
    <w:rsid w:val="50F63E28"/>
    <w:rsid w:val="51C55ED2"/>
    <w:rsid w:val="5221007F"/>
    <w:rsid w:val="52250502"/>
    <w:rsid w:val="52926B5A"/>
    <w:rsid w:val="52B7258B"/>
    <w:rsid w:val="52F74B88"/>
    <w:rsid w:val="545C5E51"/>
    <w:rsid w:val="5486175B"/>
    <w:rsid w:val="56A70955"/>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D57404"/>
    <w:rsid w:val="66CC0AF0"/>
    <w:rsid w:val="67CE38BB"/>
    <w:rsid w:val="67DC2403"/>
    <w:rsid w:val="68246BFD"/>
    <w:rsid w:val="693C3D94"/>
    <w:rsid w:val="69962A8F"/>
    <w:rsid w:val="6A3E5143"/>
    <w:rsid w:val="6A54112D"/>
    <w:rsid w:val="6A701C86"/>
    <w:rsid w:val="6A9109B8"/>
    <w:rsid w:val="6AA035AE"/>
    <w:rsid w:val="6BCB034D"/>
    <w:rsid w:val="6C0E1756"/>
    <w:rsid w:val="6C2B2406"/>
    <w:rsid w:val="6D1B5A5A"/>
    <w:rsid w:val="6E0F2E14"/>
    <w:rsid w:val="6E3B6A4F"/>
    <w:rsid w:val="6E71313D"/>
    <w:rsid w:val="6F1E141D"/>
    <w:rsid w:val="6F5354F8"/>
    <w:rsid w:val="6F774298"/>
    <w:rsid w:val="71D648EC"/>
    <w:rsid w:val="727810B8"/>
    <w:rsid w:val="7293546A"/>
    <w:rsid w:val="72E05B2C"/>
    <w:rsid w:val="73A5660F"/>
    <w:rsid w:val="740A2BDE"/>
    <w:rsid w:val="74C27582"/>
    <w:rsid w:val="751839E0"/>
    <w:rsid w:val="756178E9"/>
    <w:rsid w:val="75A1093B"/>
    <w:rsid w:val="75BE7C69"/>
    <w:rsid w:val="76274F93"/>
    <w:rsid w:val="76742AFE"/>
    <w:rsid w:val="771E2411"/>
    <w:rsid w:val="78B64168"/>
    <w:rsid w:val="79670CA0"/>
    <w:rsid w:val="79EB3F2F"/>
    <w:rsid w:val="79FD3C4B"/>
    <w:rsid w:val="7A1D7427"/>
    <w:rsid w:val="7B11789E"/>
    <w:rsid w:val="7D250FF6"/>
    <w:rsid w:val="7D602708"/>
    <w:rsid w:val="7DC94A0A"/>
    <w:rsid w:val="7E604868"/>
    <w:rsid w:val="7E703836"/>
    <w:rsid w:val="7F226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57"/>
    <w:qFormat/>
    <w:uiPriority w:val="0"/>
    <w:pPr>
      <w:ind w:left="538"/>
      <w:outlineLvl w:val="0"/>
    </w:pPr>
    <w:rPr>
      <w:b/>
      <w:bCs/>
      <w:sz w:val="28"/>
      <w:szCs w:val="28"/>
    </w:rPr>
  </w:style>
  <w:style w:type="paragraph" w:styleId="5">
    <w:name w:val="heading 2"/>
    <w:basedOn w:val="1"/>
    <w:next w:val="1"/>
    <w:link w:val="58"/>
    <w:qFormat/>
    <w:uiPriority w:val="0"/>
    <w:pPr>
      <w:ind w:left="629"/>
      <w:outlineLvl w:val="1"/>
    </w:pPr>
    <w:rPr>
      <w:b/>
      <w:bCs/>
      <w:sz w:val="24"/>
      <w:szCs w:val="24"/>
    </w:rPr>
  </w:style>
  <w:style w:type="paragraph" w:styleId="6">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7"/>
    <w:qFormat/>
    <w:uiPriority w:val="1"/>
    <w:rPr>
      <w:sz w:val="24"/>
      <w:szCs w:val="24"/>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100"/>
    <w:qFormat/>
    <w:uiPriority w:val="0"/>
    <w:pPr>
      <w:widowControl/>
    </w:pPr>
    <w:rPr>
      <w:b/>
      <w:bCs/>
      <w:sz w:val="24"/>
      <w:szCs w:val="24"/>
    </w:rPr>
  </w:style>
  <w:style w:type="paragraph" w:styleId="46">
    <w:name w:val="Body Text First Indent"/>
    <w:basedOn w:val="21"/>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4"/>
    <w:qFormat/>
    <w:uiPriority w:val="0"/>
    <w:rPr>
      <w:rFonts w:ascii="宋体" w:hAnsi="宋体" w:cs="宋体"/>
      <w:b/>
      <w:bCs/>
      <w:sz w:val="28"/>
      <w:szCs w:val="28"/>
      <w:lang w:eastAsia="en-US"/>
    </w:rPr>
  </w:style>
  <w:style w:type="character" w:customStyle="1" w:styleId="58">
    <w:name w:val="标题 2 Char"/>
    <w:basedOn w:val="49"/>
    <w:link w:val="5"/>
    <w:qFormat/>
    <w:uiPriority w:val="0"/>
    <w:rPr>
      <w:rFonts w:ascii="宋体" w:hAnsi="宋体" w:cs="宋体"/>
      <w:b/>
      <w:bCs/>
      <w:sz w:val="24"/>
      <w:szCs w:val="24"/>
      <w:lang w:eastAsia="en-US"/>
    </w:rPr>
  </w:style>
  <w:style w:type="character" w:customStyle="1" w:styleId="59">
    <w:name w:val="标题 3 Char"/>
    <w:basedOn w:val="49"/>
    <w:link w:val="6"/>
    <w:qFormat/>
    <w:uiPriority w:val="0"/>
    <w:rPr>
      <w:b/>
      <w:bCs/>
      <w:kern w:val="2"/>
      <w:sz w:val="32"/>
      <w:szCs w:val="32"/>
    </w:rPr>
  </w:style>
  <w:style w:type="character" w:customStyle="1" w:styleId="60">
    <w:name w:val="标题 4 Char"/>
    <w:basedOn w:val="49"/>
    <w:link w:val="7"/>
    <w:qFormat/>
    <w:uiPriority w:val="0"/>
    <w:rPr>
      <w:b/>
      <w:kern w:val="2"/>
      <w:sz w:val="24"/>
      <w:szCs w:val="24"/>
    </w:rPr>
  </w:style>
  <w:style w:type="character" w:customStyle="1" w:styleId="61">
    <w:name w:val="标题 5 Char"/>
    <w:basedOn w:val="49"/>
    <w:link w:val="8"/>
    <w:qFormat/>
    <w:uiPriority w:val="0"/>
    <w:rPr>
      <w:b/>
      <w:bCs/>
      <w:kern w:val="2"/>
      <w:sz w:val="28"/>
      <w:szCs w:val="28"/>
    </w:rPr>
  </w:style>
  <w:style w:type="character" w:customStyle="1" w:styleId="62">
    <w:name w:val="标题 6 Char"/>
    <w:basedOn w:val="49"/>
    <w:link w:val="9"/>
    <w:qFormat/>
    <w:uiPriority w:val="0"/>
    <w:rPr>
      <w:b/>
      <w:sz w:val="24"/>
    </w:rPr>
  </w:style>
  <w:style w:type="character" w:customStyle="1" w:styleId="63">
    <w:name w:val="正文缩进 Char"/>
    <w:basedOn w:val="49"/>
    <w:link w:val="11"/>
    <w:qFormat/>
    <w:uiPriority w:val="0"/>
    <w:rPr>
      <w:sz w:val="24"/>
    </w:rPr>
  </w:style>
  <w:style w:type="character" w:customStyle="1" w:styleId="64">
    <w:name w:val="标题 7 Char"/>
    <w:basedOn w:val="49"/>
    <w:link w:val="10"/>
    <w:qFormat/>
    <w:uiPriority w:val="0"/>
    <w:rPr>
      <w:b/>
      <w:kern w:val="2"/>
      <w:sz w:val="24"/>
    </w:rPr>
  </w:style>
  <w:style w:type="character" w:customStyle="1" w:styleId="65">
    <w:name w:val="标题 8 Char"/>
    <w:basedOn w:val="49"/>
    <w:link w:val="12"/>
    <w:qFormat/>
    <w:uiPriority w:val="0"/>
    <w:rPr>
      <w:rFonts w:ascii="Arial" w:hAnsi="Arial" w:eastAsia="黑体"/>
      <w:kern w:val="2"/>
      <w:sz w:val="24"/>
    </w:rPr>
  </w:style>
  <w:style w:type="character" w:customStyle="1" w:styleId="66">
    <w:name w:val="标题 9 Char"/>
    <w:basedOn w:val="49"/>
    <w:link w:val="13"/>
    <w:qFormat/>
    <w:uiPriority w:val="0"/>
    <w:rPr>
      <w:rFonts w:ascii="Arial" w:hAnsi="Arial" w:eastAsia="黑体"/>
      <w:kern w:val="2"/>
      <w:sz w:val="21"/>
    </w:rPr>
  </w:style>
  <w:style w:type="character" w:customStyle="1" w:styleId="67">
    <w:name w:val="正文文本 Char1"/>
    <w:basedOn w:val="49"/>
    <w:link w:val="21"/>
    <w:qFormat/>
    <w:uiPriority w:val="1"/>
    <w:rPr>
      <w:rFonts w:ascii="宋体" w:hAnsi="宋体" w:cs="宋体"/>
      <w:sz w:val="24"/>
      <w:szCs w:val="24"/>
      <w:lang w:eastAsia="en-US"/>
    </w:rPr>
  </w:style>
  <w:style w:type="character" w:customStyle="1" w:styleId="68">
    <w:name w:val="纯文本 Char"/>
    <w:basedOn w:val="49"/>
    <w:link w:val="25"/>
    <w:qFormat/>
    <w:uiPriority w:val="0"/>
    <w:rPr>
      <w:rFonts w:ascii="宋体" w:hAnsi="Courier New" w:cs="Courier New"/>
      <w:sz w:val="22"/>
      <w:szCs w:val="21"/>
      <w:lang w:eastAsia="en-US"/>
    </w:rPr>
  </w:style>
  <w:style w:type="character" w:customStyle="1" w:styleId="69">
    <w:name w:val="页脚 Char"/>
    <w:basedOn w:val="49"/>
    <w:link w:val="30"/>
    <w:qFormat/>
    <w:uiPriority w:val="99"/>
    <w:rPr>
      <w:rFonts w:ascii="宋体" w:hAnsi="宋体" w:cs="宋体"/>
      <w:sz w:val="18"/>
      <w:szCs w:val="18"/>
      <w:lang w:eastAsia="en-US"/>
    </w:rPr>
  </w:style>
  <w:style w:type="character" w:customStyle="1" w:styleId="70">
    <w:name w:val="页眉 Char"/>
    <w:basedOn w:val="49"/>
    <w:link w:val="31"/>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20"/>
    <w:qFormat/>
    <w:uiPriority w:val="0"/>
    <w:rPr>
      <w:b/>
      <w:kern w:val="2"/>
      <w:sz w:val="21"/>
    </w:rPr>
  </w:style>
  <w:style w:type="character" w:customStyle="1" w:styleId="78">
    <w:name w:val="普通(网站) Char"/>
    <w:basedOn w:val="49"/>
    <w:link w:val="42"/>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8"/>
    <w:qFormat/>
    <w:uiPriority w:val="0"/>
    <w:rPr>
      <w:kern w:val="2"/>
      <w:sz w:val="21"/>
    </w:rPr>
  </w:style>
  <w:style w:type="character" w:customStyle="1" w:styleId="84">
    <w:name w:val="批注框文本 Char"/>
    <w:basedOn w:val="49"/>
    <w:link w:val="29"/>
    <w:qFormat/>
    <w:uiPriority w:val="0"/>
    <w:rPr>
      <w:kern w:val="2"/>
      <w:sz w:val="18"/>
      <w:szCs w:val="18"/>
    </w:rPr>
  </w:style>
  <w:style w:type="character" w:customStyle="1" w:styleId="85">
    <w:name w:val="正文文本缩进 3 Char"/>
    <w:basedOn w:val="49"/>
    <w:link w:val="36"/>
    <w:qFormat/>
    <w:uiPriority w:val="0"/>
    <w:rPr>
      <w:kern w:val="2"/>
      <w:sz w:val="28"/>
    </w:rPr>
  </w:style>
  <w:style w:type="character" w:customStyle="1" w:styleId="86">
    <w:name w:val="正文文本缩进 2 Char"/>
    <w:basedOn w:val="49"/>
    <w:link w:val="28"/>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4"/>
    <w:qFormat/>
    <w:uiPriority w:val="0"/>
    <w:rPr>
      <w:rFonts w:ascii="Arial" w:hAnsi="Arial" w:cs="Arial"/>
      <w:b/>
      <w:bCs/>
      <w:sz w:val="44"/>
      <w:szCs w:val="32"/>
    </w:rPr>
  </w:style>
  <w:style w:type="character" w:customStyle="1" w:styleId="91">
    <w:name w:val="正文文本缩进 Char"/>
    <w:basedOn w:val="49"/>
    <w:link w:val="3"/>
    <w:qFormat/>
    <w:uiPriority w:val="0"/>
    <w:rPr>
      <w:i/>
      <w:iCs/>
      <w:kern w:val="2"/>
      <w:sz w:val="21"/>
    </w:rPr>
  </w:style>
  <w:style w:type="character" w:customStyle="1" w:styleId="92">
    <w:name w:val="正文文本 3 Char"/>
    <w:basedOn w:val="49"/>
    <w:link w:val="19"/>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1"/>
    <w:qFormat/>
    <w:uiPriority w:val="0"/>
    <w:rPr>
      <w:rFonts w:ascii="Arial Unicode MS" w:hAnsi="Arial Unicode MS" w:eastAsia="Courier New" w:cs="Courier New"/>
    </w:rPr>
  </w:style>
  <w:style w:type="character" w:customStyle="1" w:styleId="96">
    <w:name w:val="文档结构图 Char"/>
    <w:basedOn w:val="49"/>
    <w:link w:val="17"/>
    <w:qFormat/>
    <w:uiPriority w:val="0"/>
    <w:rPr>
      <w:rFonts w:ascii="宋体"/>
      <w:sz w:val="28"/>
      <w:shd w:val="clear" w:color="auto" w:fill="000080"/>
    </w:rPr>
  </w:style>
  <w:style w:type="character" w:customStyle="1" w:styleId="97">
    <w:name w:val="日期 Char"/>
    <w:basedOn w:val="49"/>
    <w:link w:val="27"/>
    <w:qFormat/>
    <w:uiPriority w:val="0"/>
    <w:rPr>
      <w:kern w:val="2"/>
      <w:sz w:val="21"/>
      <w:szCs w:val="24"/>
    </w:rPr>
  </w:style>
  <w:style w:type="character" w:customStyle="1" w:styleId="98">
    <w:name w:val="正文文本 2 Char"/>
    <w:basedOn w:val="49"/>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6"/>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40"/>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6"/>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5"/>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4"/>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6"/>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5"/>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6"/>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6"/>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5"/>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4"/>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5"/>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4"/>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4"/>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4"/>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5"/>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5"/>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4"/>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4"/>
    <w:qFormat/>
    <w:uiPriority w:val="0"/>
    <w:rPr>
      <w:rFonts w:ascii="Cambria" w:hAnsi="Cambria"/>
      <w:b/>
      <w:bCs/>
      <w:kern w:val="28"/>
      <w:sz w:val="24"/>
      <w:szCs w:val="32"/>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cdropright"/>
    <w:basedOn w:val="49"/>
    <w:qFormat/>
    <w:uiPriority w:val="0"/>
  </w:style>
  <w:style w:type="character" w:customStyle="1" w:styleId="217">
    <w:name w:val="drapbtn"/>
    <w:basedOn w:val="49"/>
    <w:qFormat/>
    <w:uiPriority w:val="0"/>
  </w:style>
  <w:style w:type="character" w:customStyle="1" w:styleId="218">
    <w:name w:val="cdropleft"/>
    <w:basedOn w:val="49"/>
    <w:qFormat/>
    <w:uiPriority w:val="0"/>
  </w:style>
  <w:style w:type="character" w:customStyle="1" w:styleId="219">
    <w:name w:val="tmpztreemove_arrow"/>
    <w:basedOn w:val="49"/>
    <w:qFormat/>
    <w:uiPriority w:val="0"/>
  </w:style>
  <w:style w:type="character" w:customStyle="1" w:styleId="220">
    <w:name w:val="layui-layer-tabnow"/>
    <w:basedOn w:val="49"/>
    <w:qFormat/>
    <w:uiPriority w:val="0"/>
    <w:rPr>
      <w:bdr w:val="single" w:color="CCCCCC" w:sz="6" w:space="0"/>
      <w:shd w:val="clear" w:fill="FFFFFF"/>
    </w:rPr>
  </w:style>
  <w:style w:type="character" w:customStyle="1" w:styleId="221">
    <w:name w:val="button"/>
    <w:basedOn w:val="49"/>
    <w:qFormat/>
    <w:uiPriority w:val="0"/>
  </w:style>
  <w:style w:type="character" w:customStyle="1" w:styleId="222">
    <w:name w:val="first-child"/>
    <w:basedOn w:val="49"/>
    <w:qFormat/>
    <w:uiPriority w:val="0"/>
  </w:style>
  <w:style w:type="character" w:customStyle="1" w:styleId="223">
    <w:name w:val="icontext1"/>
    <w:basedOn w:val="49"/>
    <w:qFormat/>
    <w:uiPriority w:val="0"/>
  </w:style>
  <w:style w:type="character" w:customStyle="1" w:styleId="224">
    <w:name w:val="icontext11"/>
    <w:basedOn w:val="49"/>
    <w:qFormat/>
    <w:uiPriority w:val="0"/>
  </w:style>
  <w:style w:type="character" w:customStyle="1" w:styleId="225">
    <w:name w:val="icontext12"/>
    <w:basedOn w:val="49"/>
    <w:qFormat/>
    <w:uiPriority w:val="0"/>
  </w:style>
  <w:style w:type="character" w:customStyle="1" w:styleId="226">
    <w:name w:val="design_class"/>
    <w:basedOn w:val="49"/>
    <w:qFormat/>
    <w:uiPriority w:val="0"/>
  </w:style>
  <w:style w:type="character" w:customStyle="1" w:styleId="227">
    <w:name w:val="active5"/>
    <w:basedOn w:val="49"/>
    <w:qFormat/>
    <w:uiPriority w:val="0"/>
    <w:rPr>
      <w:color w:val="00FF00"/>
      <w:shd w:val="clear" w:fill="111111"/>
    </w:rPr>
  </w:style>
  <w:style w:type="character" w:customStyle="1" w:styleId="228">
    <w:name w:val="active6"/>
    <w:basedOn w:val="49"/>
    <w:qFormat/>
    <w:uiPriority w:val="0"/>
    <w:rPr>
      <w:shd w:val="clear" w:fill="EC3535"/>
    </w:rPr>
  </w:style>
  <w:style w:type="character" w:customStyle="1" w:styleId="229">
    <w:name w:val="hilite"/>
    <w:basedOn w:val="49"/>
    <w:qFormat/>
    <w:uiPriority w:val="0"/>
    <w:rPr>
      <w:color w:val="FFFFFF"/>
      <w:shd w:val="clear" w:fill="666666"/>
    </w:rPr>
  </w:style>
  <w:style w:type="character" w:customStyle="1" w:styleId="230">
    <w:name w:val="pagechatarealistclose_box"/>
    <w:basedOn w:val="49"/>
    <w:qFormat/>
    <w:uiPriority w:val="0"/>
  </w:style>
  <w:style w:type="character" w:customStyle="1" w:styleId="231">
    <w:name w:val="pagechatarealistclose_box1"/>
    <w:basedOn w:val="49"/>
    <w:qFormat/>
    <w:uiPriority w:val="0"/>
  </w:style>
  <w:style w:type="character" w:customStyle="1" w:styleId="232">
    <w:name w:val="hover40"/>
    <w:basedOn w:val="49"/>
    <w:qFormat/>
    <w:uiPriority w:val="0"/>
    <w:rPr>
      <w:color w:val="FFFFFF"/>
    </w:rPr>
  </w:style>
  <w:style w:type="character" w:customStyle="1" w:styleId="233">
    <w:name w:val="associateddata"/>
    <w:basedOn w:val="49"/>
    <w:qFormat/>
    <w:uiPriority w:val="0"/>
    <w:rPr>
      <w:shd w:val="clear" w:fill="50A6F9"/>
    </w:rPr>
  </w:style>
  <w:style w:type="character" w:customStyle="1" w:styleId="234">
    <w:name w:val="choosename"/>
    <w:basedOn w:val="49"/>
    <w:qFormat/>
    <w:uiPriority w:val="0"/>
  </w:style>
  <w:style w:type="character" w:customStyle="1" w:styleId="235">
    <w:name w:val="iconline2"/>
    <w:basedOn w:val="49"/>
    <w:qFormat/>
    <w:uiPriority w:val="0"/>
  </w:style>
  <w:style w:type="character" w:customStyle="1" w:styleId="236">
    <w:name w:val="iconline21"/>
    <w:basedOn w:val="49"/>
    <w:qFormat/>
    <w:uiPriority w:val="0"/>
  </w:style>
  <w:style w:type="character" w:customStyle="1" w:styleId="237">
    <w:name w:val="icontext2"/>
    <w:basedOn w:val="49"/>
    <w:qFormat/>
    <w:uiPriority w:val="0"/>
  </w:style>
  <w:style w:type="character" w:customStyle="1" w:styleId="238">
    <w:name w:val="icontext3"/>
    <w:basedOn w:val="49"/>
    <w:qFormat/>
    <w:uiPriority w:val="0"/>
  </w:style>
  <w:style w:type="character" w:customStyle="1" w:styleId="239">
    <w:name w:val="ico1652"/>
    <w:basedOn w:val="49"/>
    <w:qFormat/>
    <w:uiPriority w:val="0"/>
  </w:style>
  <w:style w:type="character" w:customStyle="1" w:styleId="240">
    <w:name w:val="ico1653"/>
    <w:basedOn w:val="49"/>
    <w:qFormat/>
    <w:uiPriority w:val="0"/>
  </w:style>
  <w:style w:type="character" w:customStyle="1" w:styleId="241">
    <w:name w:val="cy"/>
    <w:basedOn w:val="49"/>
    <w:qFormat/>
    <w:uiPriority w:val="0"/>
  </w:style>
  <w:style w:type="character" w:customStyle="1" w:styleId="242">
    <w:name w:val="after"/>
    <w:basedOn w:val="49"/>
    <w:qFormat/>
    <w:uiPriority w:val="0"/>
    <w:rPr>
      <w:sz w:val="0"/>
      <w:szCs w:val="0"/>
    </w:rPr>
  </w:style>
  <w:style w:type="character" w:customStyle="1" w:styleId="243">
    <w:name w:val="biggerthanmax"/>
    <w:basedOn w:val="49"/>
    <w:qFormat/>
    <w:uiPriority w:val="0"/>
    <w:rPr>
      <w:shd w:val="clear" w:fill="FFFF00"/>
    </w:rPr>
  </w:style>
  <w:style w:type="character" w:customStyle="1" w:styleId="244">
    <w:name w:val="w32"/>
    <w:basedOn w:val="49"/>
    <w:qFormat/>
    <w:uiPriority w:val="0"/>
  </w:style>
  <w:style w:type="character" w:customStyle="1" w:styleId="245">
    <w:name w:val="xdrichtextbox"/>
    <w:basedOn w:val="49"/>
    <w:qFormat/>
    <w:uiPriority w:val="0"/>
    <w:rPr>
      <w:color w:val="auto"/>
      <w:u w:val="none"/>
      <w:bdr w:val="single" w:color="DCDCDC" w:sz="8" w:space="0"/>
      <w:shd w:val="clear" w:fill="auto"/>
    </w:rPr>
  </w:style>
  <w:style w:type="character" w:customStyle="1" w:styleId="246">
    <w:name w:val="edit_class"/>
    <w:basedOn w:val="4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9771</Words>
  <Characters>10278</Characters>
  <Lines>79</Lines>
  <Paragraphs>22</Paragraphs>
  <TotalTime>0</TotalTime>
  <ScaleCrop>false</ScaleCrop>
  <LinksUpToDate>false</LinksUpToDate>
  <CharactersWithSpaces>11242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2023-07-06T05:46:43Z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