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在线硫比值分析仪</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QG2305180040</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附件三：技术规格书</w:t>
      </w:r>
    </w:p>
    <w:p>
      <w:pPr>
        <w:pStyle w:val="2"/>
        <w:rPr>
          <w:lang w:eastAsia="zh-CN"/>
        </w:rPr>
      </w:pP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福建福海创石油化工有限公司在线硫比值</w:t>
      </w:r>
      <w:r>
        <w:rPr>
          <w:rFonts w:hint="eastAsia"/>
          <w:b/>
          <w:bCs/>
          <w:sz w:val="32"/>
          <w:lang w:val="en-US" w:eastAsia="zh-CN"/>
        </w:rPr>
        <w:t>分析仪</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福建福海创石油化工有限公司在线硫比值</w:t>
      </w:r>
      <w:r>
        <w:rPr>
          <w:rFonts w:hint="eastAsia"/>
          <w:color w:val="000000" w:themeColor="text1"/>
          <w:u w:val="single"/>
          <w:lang w:val="en-US" w:eastAsia="zh-CN"/>
        </w:rPr>
        <w:t>分析仪</w:t>
      </w:r>
      <w:r>
        <w:rPr>
          <w:rFonts w:hint="eastAsia"/>
          <w:color w:val="000000" w:themeColor="text1"/>
          <w:u w:val="single"/>
          <w:lang w:eastAsia="zh-CN"/>
        </w:rPr>
        <w:t>采购项目（项目编号：</w:t>
      </w:r>
      <w:r>
        <w:rPr>
          <w:rFonts w:hint="eastAsia"/>
          <w:color w:val="000000" w:themeColor="text1"/>
          <w:u w:val="single"/>
          <w:lang w:val="en-US" w:eastAsia="zh-CN"/>
        </w:rPr>
        <w:t>QG2305180040</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项目名称：福建福海创石油化工有限公司在线硫比值</w:t>
      </w:r>
      <w:r>
        <w:rPr>
          <w:rFonts w:hint="eastAsia"/>
          <w:sz w:val="24"/>
          <w:szCs w:val="24"/>
          <w:lang w:val="en-US" w:eastAsia="zh-CN"/>
        </w:rPr>
        <w:t>分析仪</w:t>
      </w:r>
      <w:r>
        <w:rPr>
          <w:rFonts w:hint="eastAsia"/>
          <w:sz w:val="24"/>
          <w:szCs w:val="24"/>
          <w:lang w:eastAsia="zh-CN"/>
        </w:rPr>
        <w:t>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default"/>
          <w:lang w:val="en-US" w:eastAsia="zh-CN"/>
        </w:rPr>
      </w:pPr>
      <w:r>
        <w:rPr>
          <w:sz w:val="24"/>
          <w:szCs w:val="24"/>
          <w:lang w:eastAsia="zh-CN"/>
        </w:rPr>
        <w:t>2.</w:t>
      </w:r>
      <w:r>
        <w:rPr>
          <w:rFonts w:hint="eastAsia"/>
          <w:sz w:val="24"/>
          <w:szCs w:val="24"/>
          <w:lang w:eastAsia="zh-CN"/>
        </w:rPr>
        <w:t>比选项目说明：</w:t>
      </w:r>
    </w:p>
    <w:p>
      <w:pPr>
        <w:tabs>
          <w:tab w:val="left" w:pos="709"/>
        </w:tabs>
        <w:spacing w:line="360" w:lineRule="auto"/>
        <w:rPr>
          <w:rFonts w:hint="default"/>
          <w:lang w:val="en-US" w:eastAsia="zh-CN"/>
        </w:rPr>
      </w:pPr>
      <w:r>
        <w:rPr>
          <w:rFonts w:hint="eastAsia"/>
          <w:sz w:val="24"/>
          <w:szCs w:val="24"/>
          <w:lang w:eastAsia="zh-CN"/>
        </w:rPr>
        <w:t>在线硫比值</w:t>
      </w:r>
      <w:r>
        <w:rPr>
          <w:rFonts w:hint="eastAsia"/>
          <w:sz w:val="24"/>
          <w:szCs w:val="24"/>
          <w:lang w:val="en-US" w:eastAsia="zh-CN"/>
        </w:rPr>
        <w:t xml:space="preserve">分析仪 </w:t>
      </w:r>
      <w:r>
        <w:rPr>
          <w:rFonts w:hint="eastAsia"/>
          <w:sz w:val="24"/>
          <w:szCs w:val="24"/>
          <w:lang w:eastAsia="zh-CN"/>
        </w:rPr>
        <w:t>，</w:t>
      </w:r>
      <w:r>
        <w:rPr>
          <w:rFonts w:hint="eastAsia"/>
          <w:sz w:val="24"/>
          <w:szCs w:val="24"/>
          <w:lang w:val="en-US" w:eastAsia="zh-CN"/>
        </w:rPr>
        <w:t>详见技术规格书</w:t>
      </w:r>
    </w:p>
    <w:p>
      <w:pPr>
        <w:numPr>
          <w:ilvl w:val="0"/>
          <w:numId w:val="0"/>
        </w:numPr>
        <w:tabs>
          <w:tab w:val="left" w:pos="709"/>
        </w:tabs>
        <w:spacing w:line="360" w:lineRule="auto"/>
        <w:ind w:firstLine="480" w:firstLineChars="200"/>
        <w:rPr>
          <w:rFonts w:hint="eastAsia"/>
          <w:sz w:val="24"/>
          <w:szCs w:val="24"/>
          <w:lang w:val="en-US" w:eastAsia="zh-CN"/>
        </w:rPr>
      </w:pPr>
      <w:r>
        <w:rPr>
          <w:rFonts w:hint="eastAsia"/>
          <w:sz w:val="24"/>
          <w:szCs w:val="24"/>
          <w:lang w:val="en-US" w:eastAsia="zh-CN"/>
        </w:rPr>
        <w:t>3.比选控制价：60万（不含税）。</w:t>
      </w:r>
    </w:p>
    <w:p>
      <w:pPr>
        <w:numPr>
          <w:ilvl w:val="0"/>
          <w:numId w:val="0"/>
        </w:numPr>
        <w:tabs>
          <w:tab w:val="left" w:pos="709"/>
        </w:tabs>
        <w:spacing w:line="360" w:lineRule="auto"/>
        <w:ind w:firstLine="480" w:firstLineChars="200"/>
        <w:rPr>
          <w:rFonts w:hint="default"/>
          <w:lang w:val="en-US" w:eastAsia="zh-CN"/>
        </w:rPr>
      </w:pPr>
      <w:r>
        <w:rPr>
          <w:rFonts w:hint="eastAsia"/>
          <w:sz w:val="24"/>
          <w:szCs w:val="24"/>
          <w:lang w:val="en-US" w:eastAsia="zh-CN"/>
        </w:rPr>
        <w:t>4.合同付款方式：无预付款，投标保证金自动转为履约保证金，货到安装验收合格付90%，10%质保金，质保期满后付清。</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rPr>
          <w:rFonts w:hint="eastAsia"/>
          <w:b w:val="0"/>
          <w:bCs w:val="0"/>
          <w:sz w:val="24"/>
          <w:szCs w:val="24"/>
          <w:lang w:val="en-US" w:eastAsia="zh-CN"/>
        </w:rPr>
      </w:pPr>
      <w:r>
        <w:rPr>
          <w:rFonts w:hint="eastAsia"/>
          <w:b w:val="0"/>
          <w:bCs w:val="0"/>
          <w:sz w:val="24"/>
          <w:szCs w:val="24"/>
          <w:lang w:val="en-US" w:eastAsia="zh-CN"/>
        </w:rPr>
        <w:t>2.若参选人为供应商的，所提供本批仪表是符合技术标准要求、制造精良、经过实际应用考验并能满足石油化工企业生产过程测量的产品。提供的本批仪表安全、可靠，</w:t>
      </w:r>
      <w:r>
        <w:rPr>
          <w:rFonts w:hint="eastAsia"/>
          <w:sz w:val="24"/>
          <w:szCs w:val="24"/>
          <w:lang w:val="en-US" w:eastAsia="zh-CN"/>
        </w:rPr>
        <w:t>并提供产品质量及售后服务承诺；</w:t>
      </w:r>
    </w:p>
    <w:p>
      <w:pPr>
        <w:tabs>
          <w:tab w:val="left" w:pos="709"/>
        </w:tabs>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3.发包说明提供本批仪表最近3年内在国内大型石化、炼油装置中的应用业绩。</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4.没有失信黑名单记录（以最高院失信被执行人系统发布信息为准）；</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5.与比选人无诉讼纠纷；</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6.本标不接受联合体投标；</w:t>
      </w:r>
    </w:p>
    <w:p>
      <w:pPr>
        <w:tabs>
          <w:tab w:val="left" w:pos="709"/>
        </w:tabs>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7.供应商限定为：Ametek/AAI/Gaivanic。</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27</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7</w:t>
      </w:r>
      <w:r>
        <w:rPr>
          <w:rFonts w:hint="eastAsia"/>
          <w:color w:val="000000" w:themeColor="text1"/>
          <w:sz w:val="24"/>
          <w:szCs w:val="24"/>
          <w:lang w:eastAsia="zh-CN"/>
        </w:rPr>
        <w:t>月</w:t>
      </w:r>
      <w:r>
        <w:rPr>
          <w:rFonts w:hint="eastAsia"/>
          <w:color w:val="000000" w:themeColor="text1"/>
          <w:sz w:val="24"/>
          <w:szCs w:val="24"/>
          <w:lang w:val="en-US" w:eastAsia="zh-CN"/>
        </w:rPr>
        <w:t>8</w:t>
      </w:r>
      <w:bookmarkStart w:id="16" w:name="_GoBack"/>
      <w:bookmarkEnd w:id="16"/>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zyhe</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参选文件递交地点：漳州市漳浦县杜浔镇杜昌路9号，福海创办公楼三楼设备及服务团队，收件人：何震洋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15259232765</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widowControl/>
        <w:autoSpaceDE/>
        <w:autoSpaceDN/>
        <w:spacing w:line="360" w:lineRule="auto"/>
        <w:ind w:firstLine="480" w:firstLineChars="20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w:t>
      </w:r>
      <w:r>
        <w:rPr>
          <w:rFonts w:hint="eastAsia" w:cs="Arial" w:asciiTheme="majorEastAsia" w:hAnsiTheme="majorEastAsia" w:eastAsiaTheme="majorEastAsia"/>
          <w:color w:val="333333"/>
          <w:sz w:val="24"/>
          <w:szCs w:val="24"/>
          <w:lang w:eastAsia="zh-CN"/>
        </w:rPr>
        <w:t>万</w:t>
      </w:r>
      <w:r>
        <w:rPr>
          <w:rFonts w:hint="eastAsia" w:cs="Arial" w:asciiTheme="majorEastAsia" w:hAnsiTheme="majorEastAsia" w:eastAsiaTheme="majorEastAsia"/>
          <w:color w:val="333333"/>
          <w:sz w:val="24"/>
          <w:szCs w:val="24"/>
          <w:lang w:val="en-US" w:eastAsia="zh-CN"/>
        </w:rPr>
        <w:t>贰仟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12000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cs="Arial" w:asciiTheme="majorEastAsia" w:hAnsiTheme="majorEastAsia" w:eastAsiaTheme="majorEastAsia"/>
          <w:b/>
          <w:bCs/>
          <w:color w:val="333333"/>
          <w:sz w:val="24"/>
          <w:szCs w:val="24"/>
          <w:lang w:eastAsia="zh-CN"/>
        </w:rPr>
        <w:t>在线硫比值</w:t>
      </w:r>
      <w:r>
        <w:rPr>
          <w:rFonts w:hint="eastAsia" w:cs="Arial" w:asciiTheme="majorEastAsia" w:hAnsiTheme="majorEastAsia" w:eastAsiaTheme="majorEastAsia"/>
          <w:b/>
          <w:bCs/>
          <w:color w:val="333333"/>
          <w:sz w:val="24"/>
          <w:szCs w:val="24"/>
          <w:lang w:val="en-US" w:eastAsia="zh-CN"/>
        </w:rPr>
        <w:t>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7.中选者的参选保证金（无息），将在合同签订后自动转为履约保证金，将于合同周期完成后1</w:t>
      </w:r>
      <w:r>
        <w:rPr>
          <w:rFonts w:asciiTheme="majorEastAsia" w:hAnsiTheme="majorEastAsia" w:eastAsiaTheme="majorEastAsia"/>
          <w:lang w:eastAsia="zh-CN"/>
        </w:rPr>
        <w:t>5</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何震洋</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15259232765</w:t>
      </w:r>
      <w:r>
        <w:rPr>
          <w:rFonts w:hint="eastAsia"/>
          <w:color w:val="000000" w:themeColor="text1"/>
          <w:sz w:val="24"/>
          <w:szCs w:val="24"/>
          <w:lang w:eastAsia="zh-CN"/>
        </w:rPr>
        <w:t xml:space="preserve"> 邮箱：</w:t>
      </w:r>
      <w:r>
        <w:rPr>
          <w:rFonts w:hint="eastAsia"/>
          <w:color w:val="000000" w:themeColor="text1"/>
          <w:sz w:val="24"/>
          <w:szCs w:val="24"/>
          <w:lang w:val="en-US" w:eastAsia="zh-CN"/>
        </w:rPr>
        <w:t>zyhe</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2</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福建福海创石油化工有限公司在线硫比值</w:t>
      </w:r>
      <w:r>
        <w:rPr>
          <w:rFonts w:hint="eastAsia"/>
          <w:sz w:val="24"/>
          <w:szCs w:val="24"/>
          <w:lang w:val="en-US" w:eastAsia="zh-CN"/>
        </w:rPr>
        <w:t>分析仪采购项目</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t>梁晓锋 17750164319, 32746130@qq.com</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何震洋</w:t>
      </w:r>
      <w:r>
        <w:rPr>
          <w:rFonts w:hint="eastAsia"/>
          <w:lang w:eastAsia="zh-CN"/>
        </w:rPr>
        <w:t xml:space="preserve"> </w:t>
      </w:r>
      <w:r>
        <w:rPr>
          <w:rFonts w:hint="eastAsia"/>
          <w:lang w:val="en-US" w:eastAsia="zh-CN"/>
        </w:rPr>
        <w:t>15259232765</w:t>
      </w:r>
      <w:r>
        <w:rPr>
          <w:rFonts w:hint="eastAsia"/>
          <w:lang w:eastAsia="zh-CN"/>
        </w:rPr>
        <w:t>，</w:t>
      </w:r>
      <w:r>
        <w:rPr>
          <w:rFonts w:hint="eastAsia"/>
          <w:lang w:val="en-US" w:eastAsia="zh-CN"/>
        </w:rPr>
        <w:t>zyhe</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1.参选人必须具备有效的企业法人营业执照，参选单位应是具备独立法人资格且有能力按我司需求提供货物及服务的制造商；</w:t>
      </w:r>
    </w:p>
    <w:p>
      <w:pPr>
        <w:tabs>
          <w:tab w:val="left" w:pos="709"/>
        </w:tabs>
        <w:spacing w:line="360" w:lineRule="auto"/>
        <w:ind w:firstLine="480"/>
        <w:rPr>
          <w:rFonts w:hint="eastAsia"/>
          <w:b w:val="0"/>
          <w:bCs w:val="0"/>
          <w:sz w:val="24"/>
          <w:szCs w:val="24"/>
          <w:lang w:val="en-US" w:eastAsia="zh-CN"/>
        </w:rPr>
      </w:pPr>
      <w:r>
        <w:rPr>
          <w:rFonts w:hint="eastAsia"/>
          <w:b w:val="0"/>
          <w:bCs w:val="0"/>
          <w:sz w:val="24"/>
          <w:szCs w:val="24"/>
          <w:lang w:val="en-US" w:eastAsia="zh-CN"/>
        </w:rPr>
        <w:t>2.若参选人为供应商的，所提供本批仪表是符合技术标准要求、制造精良、经过实际应用考验并能满足石油化工企业生产过程测量的产品。提供的本批仪表安全、可靠，</w:t>
      </w:r>
      <w:r>
        <w:rPr>
          <w:rFonts w:hint="eastAsia"/>
          <w:sz w:val="24"/>
          <w:szCs w:val="24"/>
          <w:lang w:val="en-US" w:eastAsia="zh-CN"/>
        </w:rPr>
        <w:t>并提供产品质量及售后服务承诺；</w:t>
      </w:r>
    </w:p>
    <w:p>
      <w:pPr>
        <w:tabs>
          <w:tab w:val="left" w:pos="709"/>
        </w:tabs>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3.发包说明提供本批仪表最近3年内在国内大型石化、炼油装置中的应用业绩。</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4.没有失信黑名单记录（以最高院失信被执行人系统发布信息为准）；</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5.与比选人无诉讼纠纷；</w:t>
      </w:r>
    </w:p>
    <w:p>
      <w:pPr>
        <w:tabs>
          <w:tab w:val="left" w:pos="709"/>
        </w:tabs>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6.本标不接受联合体投标；</w:t>
      </w:r>
    </w:p>
    <w:p>
      <w:pPr>
        <w:tabs>
          <w:tab w:val="left" w:pos="709"/>
        </w:tabs>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7.供应商限定为：Ametek/AAI/Gaivanic。</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壹</w:t>
      </w:r>
      <w:r>
        <w:rPr>
          <w:rFonts w:hint="eastAsia" w:cs="Arial" w:asciiTheme="majorEastAsia" w:hAnsiTheme="majorEastAsia" w:eastAsiaTheme="majorEastAsia"/>
          <w:color w:val="333333"/>
          <w:sz w:val="24"/>
          <w:szCs w:val="24"/>
          <w:lang w:eastAsia="zh-CN"/>
        </w:rPr>
        <w:t>万</w:t>
      </w:r>
      <w:r>
        <w:rPr>
          <w:rFonts w:hint="eastAsia" w:cs="Arial" w:asciiTheme="majorEastAsia" w:hAnsiTheme="majorEastAsia" w:eastAsiaTheme="majorEastAsia"/>
          <w:color w:val="333333"/>
          <w:sz w:val="24"/>
          <w:szCs w:val="24"/>
          <w:lang w:val="en-US" w:eastAsia="zh-CN"/>
        </w:rPr>
        <w:t>贰仟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12000</w:t>
      </w:r>
      <w:r>
        <w:rPr>
          <w:rFonts w:hint="eastAsia" w:cs="Arial" w:asciiTheme="majorEastAsia" w:hAnsiTheme="majorEastAsia" w:eastAsiaTheme="majorEastAsia"/>
          <w:color w:val="333333"/>
          <w:sz w:val="24"/>
          <w:szCs w:val="24"/>
          <w:lang w:eastAsia="zh-CN"/>
        </w:rPr>
        <w:t>.00元）；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应从参选人基本账户以电汇或银行转账方式提交（以款项到达时间为准），并应在电汇或银行转账单上注明为本项目的参选保证金；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w:t>
      </w:r>
      <w:r>
        <w:rPr>
          <w:rFonts w:hint="eastAsia"/>
          <w:sz w:val="24"/>
          <w:szCs w:val="24"/>
          <w:lang w:eastAsia="zh-CN"/>
        </w:rPr>
        <w:t>中国银行漳州古雷经济开发区支行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406574816628</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注明用途：</w:t>
      </w:r>
      <w:r>
        <w:rPr>
          <w:rFonts w:hint="eastAsia"/>
          <w:b/>
          <w:bCs/>
          <w:i w:val="0"/>
          <w:iCs w:val="0"/>
          <w:sz w:val="24"/>
          <w:szCs w:val="24"/>
          <w:lang w:eastAsia="zh-CN"/>
        </w:rPr>
        <w:t>在线硫比值</w:t>
      </w:r>
      <w:r>
        <w:rPr>
          <w:rFonts w:hint="eastAsia" w:cs="Arial" w:asciiTheme="majorEastAsia" w:hAnsiTheme="majorEastAsia" w:eastAsiaTheme="majorEastAsia"/>
          <w:b/>
          <w:bCs/>
          <w:color w:val="333333"/>
          <w:sz w:val="24"/>
          <w:szCs w:val="24"/>
          <w:lang w:val="en-US" w:eastAsia="zh-CN"/>
        </w:rPr>
        <w:t>分析仪</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本项目比选结束后，未中选的参选人其所递交的参选保证金将于本项目合同签订后退回至参选人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20"/>
        <w:spacing w:line="360" w:lineRule="auto"/>
        <w:ind w:right="121" w:firstLine="480" w:firstLineChars="200"/>
        <w:jc w:val="both"/>
        <w:rPr>
          <w:rFonts w:asciiTheme="majorEastAsia" w:hAnsiTheme="majorEastAsia" w:eastAsiaTheme="majorEastAsia"/>
          <w:color w:val="000000" w:themeColor="text1"/>
          <w:lang w:eastAsia="zh-CN"/>
        </w:rPr>
      </w:pPr>
      <w:r>
        <w:rPr>
          <w:rFonts w:hint="eastAsia" w:asciiTheme="majorEastAsia" w:hAnsiTheme="majorEastAsia" w:eastAsiaTheme="majorEastAsia"/>
          <w:lang w:eastAsia="zh-CN"/>
        </w:rPr>
        <w:t>7.中选者的参选保证金（无息）</w:t>
      </w:r>
      <w:r>
        <w:rPr>
          <w:rFonts w:hint="eastAsia" w:asciiTheme="majorEastAsia" w:hAnsiTheme="majorEastAsia" w:eastAsiaTheme="majorEastAsia"/>
          <w:lang w:val="en-US" w:eastAsia="zh-CN"/>
        </w:rPr>
        <w:t>12</w:t>
      </w:r>
      <w:r>
        <w:rPr>
          <w:rFonts w:hint="default" w:asciiTheme="majorEastAsia" w:hAnsiTheme="majorEastAsia" w:eastAsiaTheme="majorEastAsia"/>
          <w:lang w:val="en-US" w:eastAsia="zh-CN"/>
        </w:rPr>
        <w:t>000</w:t>
      </w:r>
      <w:r>
        <w:rPr>
          <w:rFonts w:hint="eastAsia" w:asciiTheme="majorEastAsia" w:hAnsiTheme="majorEastAsia" w:eastAsiaTheme="majorEastAsia"/>
          <w:lang w:val="en-US" w:eastAsia="zh-CN"/>
        </w:rPr>
        <w:t>元</w:t>
      </w:r>
      <w:r>
        <w:rPr>
          <w:rFonts w:hint="eastAsia" w:asciiTheme="majorEastAsia" w:hAnsiTheme="majorEastAsia" w:eastAsiaTheme="majorEastAsia"/>
          <w:lang w:eastAsia="zh-CN"/>
        </w:rPr>
        <w:t>，将在合同签订后自动转为履约保证金，将于合同周期完成后</w:t>
      </w:r>
      <w:r>
        <w:rPr>
          <w:rFonts w:hint="eastAsia" w:asciiTheme="majorEastAsia" w:hAnsiTheme="majorEastAsia" w:eastAsiaTheme="majorEastAsia"/>
          <w:lang w:val="en-US" w:eastAsia="zh-CN"/>
        </w:rPr>
        <w:t>30</w:t>
      </w:r>
      <w:r>
        <w:rPr>
          <w:rFonts w:hint="eastAsia" w:asciiTheme="majorEastAsia" w:hAnsiTheme="majorEastAsia" w:eastAsiaTheme="majorEastAsia"/>
          <w:lang w:eastAsia="zh-CN"/>
        </w:rPr>
        <w:t>个工作日内，甲方无息退还履约保证金；</w:t>
      </w:r>
    </w:p>
    <w:p>
      <w:pPr>
        <w:pStyle w:val="20"/>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8.如有下列情况发生，将被没收参选保证金：</w:t>
      </w:r>
    </w:p>
    <w:p>
      <w:pPr>
        <w:pStyle w:val="20"/>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20"/>
        <w:spacing w:line="360" w:lineRule="auto"/>
        <w:ind w:right="121"/>
        <w:jc w:val="both"/>
        <w:rPr>
          <w:lang w:eastAsia="zh-CN"/>
        </w:rPr>
      </w:pP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何震洋</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15259232765</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r>
        <w:rPr>
          <w:rFonts w:hint="eastAsia"/>
          <w:sz w:val="24"/>
          <w:szCs w:val="24"/>
          <w:lang w:val="en-US" w:eastAsia="zh-CN"/>
        </w:rPr>
        <w:t>承包方近5年已交付使用的与本项目相似业绩履行情况的说明，提供合同复印件并填写上发包方技术人员的姓名、电话及发票复印件等证明资料。</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60</w:t>
      </w:r>
      <w:r>
        <w:rPr>
          <w:rFonts w:hint="eastAsia"/>
          <w:b/>
          <w:color w:val="FF0000"/>
          <w:lang w:eastAsia="zh-CN"/>
        </w:rPr>
        <w:t>万元整（</w:t>
      </w:r>
      <w:r>
        <w:rPr>
          <w:rFonts w:hint="eastAsia"/>
          <w:b/>
          <w:color w:val="FF0000"/>
          <w:lang w:val="en-US" w:eastAsia="zh-CN"/>
        </w:rPr>
        <w:t>不含增值</w:t>
      </w:r>
      <w:r>
        <w:rPr>
          <w:rFonts w:hint="eastAsia"/>
          <w:b/>
          <w:color w:val="FF0000"/>
          <w:lang w:eastAsia="zh-CN"/>
        </w:rPr>
        <w:t>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5"/>
        <w:gridCol w:w="3640"/>
        <w:gridCol w:w="1271"/>
        <w:gridCol w:w="29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 xml:space="preserve">                                                                                      </w:t>
            </w:r>
          </w:p>
        </w:tc>
        <w:tc>
          <w:tcPr>
            <w:tcW w:w="4394" w:type="dxa"/>
          </w:tcPr>
          <w:p>
            <w:pPr>
              <w:spacing w:line="120" w:lineRule="auto"/>
              <w:rPr>
                <w:sz w:val="24"/>
              </w:rPr>
            </w:pPr>
          </w:p>
        </w:tc>
        <w:tc>
          <w:tcPr>
            <w:tcW w:w="1418" w:type="dxa"/>
          </w:tcPr>
          <w:p>
            <w:pPr>
              <w:spacing w:line="120" w:lineRule="auto"/>
              <w:rPr>
                <w:sz w:val="24"/>
              </w:rPr>
            </w:pPr>
            <w:r>
              <w:rPr>
                <w:rFonts w:hint="eastAsia"/>
                <w:sz w:val="24"/>
              </w:rPr>
              <w:t>合同编号：</w:t>
            </w:r>
          </w:p>
        </w:tc>
        <w:tc>
          <w:tcPr>
            <w:tcW w:w="364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甲方：</w:t>
            </w:r>
          </w:p>
        </w:tc>
        <w:tc>
          <w:tcPr>
            <w:tcW w:w="4394" w:type="dxa"/>
          </w:tcPr>
          <w:p>
            <w:pPr>
              <w:spacing w:line="120" w:lineRule="auto"/>
              <w:rPr>
                <w:sz w:val="24"/>
              </w:rPr>
            </w:pPr>
            <w:r>
              <w:rPr>
                <w:rFonts w:hint="eastAsia"/>
                <w:sz w:val="24"/>
                <w:lang w:val="en-US" w:eastAsia="zh-CN"/>
              </w:rPr>
              <w:t>腾龙芳烃</w:t>
            </w:r>
            <w:r>
              <w:rPr>
                <w:rFonts w:hint="eastAsia"/>
                <w:sz w:val="24"/>
                <w:lang w:eastAsia="zh-CN"/>
              </w:rPr>
              <w:t>（漳州）有限公司</w:t>
            </w:r>
            <w:r>
              <w:rPr>
                <w:rFonts w:hint="eastAsia"/>
                <w:sz w:val="24"/>
              </w:rPr>
              <w:t xml:space="preserve">                                     </w:t>
            </w:r>
          </w:p>
        </w:tc>
        <w:tc>
          <w:tcPr>
            <w:tcW w:w="1418" w:type="dxa"/>
          </w:tcPr>
          <w:p>
            <w:pPr>
              <w:spacing w:line="120" w:lineRule="auto"/>
              <w:rPr>
                <w:sz w:val="24"/>
              </w:rPr>
            </w:pPr>
            <w:r>
              <w:rPr>
                <w:rFonts w:hint="eastAsia"/>
                <w:sz w:val="24"/>
              </w:rPr>
              <w:t>签订地点：</w:t>
            </w:r>
          </w:p>
        </w:tc>
        <w:tc>
          <w:tcPr>
            <w:tcW w:w="364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9" w:type="dxa"/>
          </w:tcPr>
          <w:p>
            <w:pPr>
              <w:spacing w:line="120" w:lineRule="auto"/>
              <w:rPr>
                <w:sz w:val="24"/>
              </w:rPr>
            </w:pPr>
            <w:r>
              <w:rPr>
                <w:rFonts w:hint="eastAsia"/>
                <w:sz w:val="24"/>
              </w:rPr>
              <w:t>乙方：</w:t>
            </w:r>
          </w:p>
        </w:tc>
        <w:tc>
          <w:tcPr>
            <w:tcW w:w="4394" w:type="dxa"/>
          </w:tcPr>
          <w:p>
            <w:pPr>
              <w:spacing w:line="120" w:lineRule="auto"/>
              <w:rPr>
                <w:sz w:val="24"/>
              </w:rPr>
            </w:pPr>
          </w:p>
        </w:tc>
        <w:tc>
          <w:tcPr>
            <w:tcW w:w="1418" w:type="dxa"/>
          </w:tcPr>
          <w:p>
            <w:pPr>
              <w:spacing w:line="120" w:lineRule="auto"/>
              <w:rPr>
                <w:sz w:val="24"/>
              </w:rPr>
            </w:pPr>
            <w:r>
              <w:rPr>
                <w:rFonts w:hint="eastAsia"/>
                <w:sz w:val="24"/>
              </w:rPr>
              <w:t>签订日期：</w:t>
            </w:r>
          </w:p>
        </w:tc>
        <w:tc>
          <w:tcPr>
            <w:tcW w:w="364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102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5950"/>
        <w:gridCol w:w="813"/>
        <w:gridCol w:w="1125"/>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1314" w:type="dxa"/>
            <w:vAlign w:val="center"/>
          </w:tcPr>
          <w:p>
            <w:pPr>
              <w:spacing w:line="120" w:lineRule="auto"/>
              <w:jc w:val="center"/>
              <w:rPr>
                <w:b/>
                <w:sz w:val="24"/>
              </w:rPr>
            </w:pPr>
            <w:r>
              <w:rPr>
                <w:rFonts w:hint="eastAsia"/>
                <w:b/>
                <w:sz w:val="24"/>
              </w:rPr>
              <w:t>产品名称</w:t>
            </w:r>
          </w:p>
        </w:tc>
        <w:tc>
          <w:tcPr>
            <w:tcW w:w="5950" w:type="dxa"/>
            <w:vAlign w:val="center"/>
          </w:tcPr>
          <w:p>
            <w:pPr>
              <w:spacing w:line="120" w:lineRule="auto"/>
              <w:jc w:val="center"/>
              <w:rPr>
                <w:b/>
                <w:sz w:val="24"/>
              </w:rPr>
            </w:pPr>
            <w:r>
              <w:rPr>
                <w:rFonts w:hint="eastAsia"/>
                <w:b/>
                <w:sz w:val="24"/>
              </w:rPr>
              <w:t>规格型号</w:t>
            </w:r>
          </w:p>
        </w:tc>
        <w:tc>
          <w:tcPr>
            <w:tcW w:w="813" w:type="dxa"/>
            <w:vAlign w:val="center"/>
          </w:tcPr>
          <w:p>
            <w:pPr>
              <w:spacing w:line="120" w:lineRule="auto"/>
              <w:jc w:val="center"/>
              <w:rPr>
                <w:b/>
                <w:sz w:val="24"/>
              </w:rPr>
            </w:pPr>
            <w:r>
              <w:rPr>
                <w:rFonts w:hint="eastAsia"/>
                <w:b/>
                <w:sz w:val="24"/>
              </w:rPr>
              <w:t>数量</w:t>
            </w:r>
          </w:p>
        </w:tc>
        <w:tc>
          <w:tcPr>
            <w:tcW w:w="1125" w:type="dxa"/>
            <w:vAlign w:val="center"/>
          </w:tcPr>
          <w:p>
            <w:pPr>
              <w:spacing w:line="120" w:lineRule="auto"/>
              <w:jc w:val="center"/>
              <w:rPr>
                <w:b/>
                <w:sz w:val="24"/>
              </w:rPr>
            </w:pPr>
            <w:r>
              <w:rPr>
                <w:rFonts w:hint="eastAsia"/>
                <w:b/>
                <w:sz w:val="24"/>
              </w:rPr>
              <w:t>单价/元</w:t>
            </w:r>
          </w:p>
        </w:tc>
        <w:tc>
          <w:tcPr>
            <w:tcW w:w="1096"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1314" w:type="dxa"/>
            <w:vAlign w:val="center"/>
          </w:tcPr>
          <w:p>
            <w:pPr>
              <w:spacing w:line="120" w:lineRule="auto"/>
              <w:jc w:val="center"/>
              <w:rPr>
                <w:rFonts w:hint="eastAsia"/>
                <w:sz w:val="24"/>
                <w:lang w:val="en-US" w:eastAsia="zh-CN"/>
              </w:rPr>
            </w:pPr>
            <w:permStart w:id="0" w:edGrp="everyone"/>
            <w:r>
              <w:rPr>
                <w:rFonts w:hint="eastAsia"/>
                <w:sz w:val="24"/>
                <w:lang w:val="en-US" w:eastAsia="zh-CN"/>
              </w:rPr>
              <w:t>在线硫比值分析仪</w:t>
            </w:r>
          </w:p>
        </w:tc>
        <w:tc>
          <w:tcPr>
            <w:tcW w:w="5950" w:type="dxa"/>
            <w:vAlign w:val="center"/>
          </w:tcPr>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原理：紫外光法\220V/防爆等级ExdⅡCT4/IP65/见规格书</w:t>
            </w:r>
          </w:p>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测量范围：H2S:0-3%（可调）精度：满量程的±1%</w:t>
            </w:r>
          </w:p>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SO2:0-1.5%VOL(可调）精度：满量程的±1%</w:t>
            </w:r>
          </w:p>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H2S-2S02:-5~5%VOL(可调）精度：满量程的±0.2%</w:t>
            </w:r>
          </w:p>
          <w:p>
            <w:pPr>
              <w:keepNext w:val="0"/>
              <w:keepLines w:val="0"/>
              <w:widowControl/>
              <w:suppressLineNumbers w:val="0"/>
              <w:jc w:val="both"/>
              <w:textAlignment w:val="top"/>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 xml:space="preserve">          H2S/SO2:0~5(可调)</w:t>
            </w:r>
          </w:p>
          <w:p>
            <w:pPr>
              <w:keepNext w:val="0"/>
              <w:keepLines w:val="0"/>
              <w:widowControl/>
              <w:suppressLineNumbers w:val="0"/>
              <w:jc w:val="both"/>
              <w:textAlignment w:val="top"/>
              <w:rPr>
                <w:rFonts w:hint="default" w:ascii="宋体" w:hAnsi="宋体" w:eastAsia="宋体" w:cs="宋体"/>
                <w:i w:val="0"/>
                <w:iCs w:val="0"/>
                <w:color w:val="000000"/>
                <w:kern w:val="0"/>
                <w:sz w:val="18"/>
                <w:szCs w:val="18"/>
                <w:u w:val="none"/>
                <w:lang w:val="en-US" w:eastAsia="zh-CN" w:bidi="ar"/>
              </w:rPr>
            </w:pPr>
          </w:p>
        </w:tc>
        <w:tc>
          <w:tcPr>
            <w:tcW w:w="813" w:type="dxa"/>
            <w:vAlign w:val="center"/>
          </w:tcPr>
          <w:p>
            <w:pPr>
              <w:spacing w:line="120" w:lineRule="auto"/>
              <w:jc w:val="center"/>
              <w:rPr>
                <w:rFonts w:hint="default"/>
                <w:sz w:val="24"/>
                <w:lang w:val="en-US" w:eastAsia="zh-CN"/>
              </w:rPr>
            </w:pPr>
            <w:r>
              <w:rPr>
                <w:rFonts w:hint="eastAsia"/>
                <w:sz w:val="24"/>
                <w:lang w:val="en-US" w:eastAsia="zh-CN"/>
              </w:rPr>
              <w:t>1</w:t>
            </w:r>
          </w:p>
        </w:tc>
        <w:tc>
          <w:tcPr>
            <w:tcW w:w="1125" w:type="dxa"/>
            <w:vAlign w:val="center"/>
          </w:tcPr>
          <w:p>
            <w:pPr>
              <w:spacing w:line="120" w:lineRule="auto"/>
              <w:jc w:val="center"/>
              <w:rPr>
                <w:sz w:val="24"/>
              </w:rPr>
            </w:pPr>
          </w:p>
        </w:tc>
        <w:tc>
          <w:tcPr>
            <w:tcW w:w="1096" w:type="dxa"/>
            <w:vAlign w:val="center"/>
          </w:tcPr>
          <w:p>
            <w:pPr>
              <w:spacing w:line="120" w:lineRule="auto"/>
              <w:jc w:val="center"/>
              <w:rPr>
                <w:sz w:val="24"/>
              </w:rPr>
            </w:pPr>
          </w:p>
        </w:tc>
      </w:tr>
      <w:perm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1314" w:type="dxa"/>
            <w:vAlign w:val="center"/>
          </w:tcPr>
          <w:p>
            <w:pPr>
              <w:spacing w:line="120" w:lineRule="auto"/>
              <w:jc w:val="center"/>
              <w:rPr>
                <w:sz w:val="24"/>
              </w:rPr>
            </w:pPr>
            <w:r>
              <w:rPr>
                <w:rFonts w:hint="eastAsia"/>
                <w:sz w:val="24"/>
              </w:rPr>
              <w:t>合同金额合计</w:t>
            </w:r>
          </w:p>
        </w:tc>
        <w:tc>
          <w:tcPr>
            <w:tcW w:w="8984" w:type="dxa"/>
            <w:gridSpan w:val="4"/>
            <w:vAlign w:val="center"/>
          </w:tcPr>
          <w:p>
            <w:pPr>
              <w:spacing w:line="120" w:lineRule="auto"/>
              <w:jc w:val="center"/>
              <w:rPr>
                <w:sz w:val="24"/>
              </w:rPr>
            </w:pPr>
            <w:permStart w:id="1" w:edGrp="everyone"/>
            <w:r>
              <w:rPr>
                <w:rFonts w:hint="eastAsia"/>
                <w:sz w:val="24"/>
              </w:rPr>
              <w:t xml:space="preserve">    </w:t>
            </w:r>
            <w:permEnd w:id="1"/>
            <w:r>
              <w:rPr>
                <w:rFonts w:hint="eastAsia"/>
                <w:sz w:val="24"/>
              </w:rPr>
              <w:t xml:space="preserve">（大写） </w:t>
            </w:r>
            <w:permStart w:id="2" w:edGrp="everyone"/>
            <w:r>
              <w:rPr>
                <w:rFonts w:hint="eastAsia"/>
                <w:sz w:val="24"/>
              </w:rPr>
              <w:t xml:space="preserve">  </w:t>
            </w:r>
            <w:permEnd w:id="2"/>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ind w:firstLine="480" w:firstLineChars="200"/>
        <w:rPr>
          <w:sz w:val="24"/>
        </w:rPr>
      </w:pP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 xml:space="preserve">联系地址：福建省漳州市漳州古雷经济开发区腾龙路84号 </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电话：0596-6311083</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10991"/>
      <w:bookmarkStart w:id="2" w:name="_Toc18049"/>
      <w:bookmarkStart w:id="3" w:name="_Toc8520"/>
      <w:bookmarkStart w:id="4" w:name="_Toc17959"/>
      <w:bookmarkStart w:id="5" w:name="_Toc31173"/>
      <w:bookmarkStart w:id="6" w:name="_Toc27787"/>
      <w:bookmarkStart w:id="7" w:name="_Toc4114"/>
      <w:bookmarkStart w:id="8" w:name="_Toc20180"/>
      <w:bookmarkStart w:id="9" w:name="_Toc23434"/>
      <w:bookmarkStart w:id="10" w:name="_Toc352146655"/>
      <w:bookmarkStart w:id="11" w:name="_Toc31402"/>
      <w:bookmarkStart w:id="12" w:name="_Toc14171"/>
      <w:bookmarkStart w:id="13" w:name="_Toc385779252"/>
      <w:bookmarkStart w:id="14" w:name="_Toc20273"/>
      <w:bookmarkStart w:id="15" w:name="_Toc2239"/>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val="en-US" w:eastAsia="zh-CN"/>
        </w:rPr>
        <w:t>在线硫比值分析仪</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default"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在线硫比值分析仪</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在线硫比值分析仪</w:t>
      </w:r>
      <w:r>
        <w:rPr>
          <w:rFonts w:hint="eastAsia"/>
          <w:b/>
          <w:bCs/>
          <w:sz w:val="24"/>
          <w:szCs w:val="24"/>
          <w:lang w:eastAsia="zh-CN"/>
        </w:rPr>
        <w:t>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QG2305180040</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2709990085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在线硫比值分析仪</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"电源：220VAC,50Hz 防爆等级：Ex dIICT4 防护等级：IP65 输出信号： 4-20m 1拖5，需带6个AO卡 其他见规格书"</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r>
              <w:rPr>
                <w:rFonts w:hint="eastAsia" w:ascii="宋体" w:hAnsi="宋体" w:cs="宋体"/>
                <w:color w:val="000000"/>
                <w:kern w:val="0"/>
                <w:sz w:val="18"/>
                <w:szCs w:val="18"/>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18"/>
                <w:szCs w:val="18"/>
                <w:lang w:val="en-US" w:eastAsia="zh-CN" w:bidi="ar"/>
              </w:rPr>
            </w:pPr>
            <w:r>
              <w:rPr>
                <w:rFonts w:hint="eastAsia" w:cs="宋体"/>
                <w:color w:val="000000"/>
                <w:kern w:val="0"/>
                <w:sz w:val="18"/>
                <w:szCs w:val="18"/>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价格说明：</w:t>
            </w:r>
          </w:p>
          <w:p>
            <w:pPr>
              <w:numPr>
                <w:ilvl w:val="255"/>
                <w:numId w:val="0"/>
              </w:numPr>
              <w:spacing w:line="500" w:lineRule="exact"/>
              <w:rPr>
                <w:rFonts w:hint="eastAsia"/>
                <w:b w:val="0"/>
                <w:bCs w:val="0"/>
                <w:sz w:val="24"/>
                <w:lang w:val="en-US" w:eastAsia="zh-CN"/>
              </w:rPr>
            </w:pPr>
            <w:r>
              <w:rPr>
                <w:rFonts w:hint="eastAsia"/>
                <w:b w:val="0"/>
                <w:bCs w:val="0"/>
                <w:sz w:val="24"/>
                <w:lang w:val="en-US" w:eastAsia="zh-CN"/>
              </w:rPr>
              <w:t>1、报价单随附“在线硫比值分析仪”询价说明：</w:t>
            </w:r>
          </w:p>
          <w:p>
            <w:pPr>
              <w:numPr>
                <w:ilvl w:val="0"/>
                <w:numId w:val="0"/>
              </w:numPr>
              <w:spacing w:line="500" w:lineRule="exact"/>
              <w:ind w:leftChars="0"/>
              <w:rPr>
                <w:rFonts w:hint="eastAsia"/>
                <w:lang w:val="en-US" w:eastAsia="zh-CN"/>
              </w:rPr>
            </w:pPr>
            <w:r>
              <w:rPr>
                <w:rFonts w:hint="eastAsia"/>
                <w:b w:val="0"/>
                <w:bCs w:val="0"/>
                <w:sz w:val="24"/>
                <w:lang w:val="en-US" w:eastAsia="zh-CN"/>
              </w:rPr>
              <w:t>1.1具体事宜以请购规格型号和技术协议为准。</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b w:val="0"/>
                <w:bCs w:val="0"/>
                <w:sz w:val="24"/>
                <w:shd w:val="clear" w:color="FFFFFF" w:fill="D9D9D9"/>
                <w:lang w:val="en-US" w:eastAsia="zh-CN"/>
              </w:rPr>
              <w:t xml:space="preserve">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ZWQ5NmYxMTZjZGRhOGE2MTg0YTI3ZTU4MDg0ZGNhYTE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81A08AE"/>
    <w:rsid w:val="081D6F74"/>
    <w:rsid w:val="087D5A4F"/>
    <w:rsid w:val="08D1141D"/>
    <w:rsid w:val="09130765"/>
    <w:rsid w:val="099F6EFF"/>
    <w:rsid w:val="09CF6571"/>
    <w:rsid w:val="0A0E3912"/>
    <w:rsid w:val="0B296DE2"/>
    <w:rsid w:val="0B721453"/>
    <w:rsid w:val="0CD8087F"/>
    <w:rsid w:val="0D0126E0"/>
    <w:rsid w:val="0EAE2D72"/>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A9C22EF"/>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5BF356F"/>
    <w:rsid w:val="25C95B03"/>
    <w:rsid w:val="25DB0C2D"/>
    <w:rsid w:val="267F6210"/>
    <w:rsid w:val="269469E7"/>
    <w:rsid w:val="26EF5299"/>
    <w:rsid w:val="27981585"/>
    <w:rsid w:val="27E149AB"/>
    <w:rsid w:val="27EE0826"/>
    <w:rsid w:val="280F47C0"/>
    <w:rsid w:val="2998140D"/>
    <w:rsid w:val="29FC3B14"/>
    <w:rsid w:val="2A056A4F"/>
    <w:rsid w:val="2B11792E"/>
    <w:rsid w:val="2CD63F14"/>
    <w:rsid w:val="2E666BF4"/>
    <w:rsid w:val="2F724BD0"/>
    <w:rsid w:val="2FC5779A"/>
    <w:rsid w:val="306A51FE"/>
    <w:rsid w:val="308C67A6"/>
    <w:rsid w:val="31C54755"/>
    <w:rsid w:val="31D23053"/>
    <w:rsid w:val="3216608C"/>
    <w:rsid w:val="322152B0"/>
    <w:rsid w:val="328F13DA"/>
    <w:rsid w:val="34CE14C6"/>
    <w:rsid w:val="34D84CEC"/>
    <w:rsid w:val="35DC515B"/>
    <w:rsid w:val="37AF5AB7"/>
    <w:rsid w:val="38B844F1"/>
    <w:rsid w:val="399C3DF7"/>
    <w:rsid w:val="39E568DF"/>
    <w:rsid w:val="3A387F18"/>
    <w:rsid w:val="3AC225C0"/>
    <w:rsid w:val="3B1C3371"/>
    <w:rsid w:val="3CAE3A33"/>
    <w:rsid w:val="3CC23198"/>
    <w:rsid w:val="3DDF4815"/>
    <w:rsid w:val="3FE669E5"/>
    <w:rsid w:val="42C84A21"/>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601675AC"/>
    <w:rsid w:val="60342B61"/>
    <w:rsid w:val="627A792A"/>
    <w:rsid w:val="628D3982"/>
    <w:rsid w:val="62C51434"/>
    <w:rsid w:val="62E96122"/>
    <w:rsid w:val="645771F8"/>
    <w:rsid w:val="651F585B"/>
    <w:rsid w:val="65D57404"/>
    <w:rsid w:val="66CC0AF0"/>
    <w:rsid w:val="677B0314"/>
    <w:rsid w:val="67CE38BB"/>
    <w:rsid w:val="68196BB6"/>
    <w:rsid w:val="68246BFD"/>
    <w:rsid w:val="693C3D94"/>
    <w:rsid w:val="69962A8F"/>
    <w:rsid w:val="6A3E5143"/>
    <w:rsid w:val="6A54112D"/>
    <w:rsid w:val="6A701C86"/>
    <w:rsid w:val="6A9109B8"/>
    <w:rsid w:val="6AA035AE"/>
    <w:rsid w:val="6BAB675C"/>
    <w:rsid w:val="6BCB034D"/>
    <w:rsid w:val="6C0E1756"/>
    <w:rsid w:val="6C2B2406"/>
    <w:rsid w:val="6D1B5A5A"/>
    <w:rsid w:val="6E0F2E14"/>
    <w:rsid w:val="6E71313D"/>
    <w:rsid w:val="6F1E141D"/>
    <w:rsid w:val="6F5354F8"/>
    <w:rsid w:val="7053719B"/>
    <w:rsid w:val="707F0E75"/>
    <w:rsid w:val="71D648EC"/>
    <w:rsid w:val="727810B8"/>
    <w:rsid w:val="7293546A"/>
    <w:rsid w:val="72E05B2C"/>
    <w:rsid w:val="73F81307"/>
    <w:rsid w:val="740A2BDE"/>
    <w:rsid w:val="751839E0"/>
    <w:rsid w:val="756178E9"/>
    <w:rsid w:val="75A1093B"/>
    <w:rsid w:val="75BE7C69"/>
    <w:rsid w:val="76274F93"/>
    <w:rsid w:val="78632A79"/>
    <w:rsid w:val="79670CA0"/>
    <w:rsid w:val="79EB3F2F"/>
    <w:rsid w:val="79FD3C4B"/>
    <w:rsid w:val="7A1D7427"/>
    <w:rsid w:val="7B11789E"/>
    <w:rsid w:val="7CEE7A95"/>
    <w:rsid w:val="7D250FF6"/>
    <w:rsid w:val="7D602708"/>
    <w:rsid w:val="7DC94A0A"/>
    <w:rsid w:val="7DFA3729"/>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24</Pages>
  <Words>10420</Words>
  <Characters>11032</Characters>
  <Lines>79</Lines>
  <Paragraphs>22</Paragraphs>
  <TotalTime>4</TotalTime>
  <ScaleCrop>false</ScaleCrop>
  <LinksUpToDate>false</LinksUpToDate>
  <CharactersWithSpaces>12004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Hot &amp;&amp; Cold</cp:lastModifiedBy>
  <dcterms:modified xsi:type="dcterms:W3CDTF">2023-06-27T07:08:35Z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2052-11.1.0.14309</vt:lpwstr>
  </property>
  <property fmtid="{D5CDD505-2E9C-101B-9397-08002B2CF9AE}" pid="6" name="ICV">
    <vt:lpwstr>7EFD1898B78A4345BC21372367C648C1</vt:lpwstr>
  </property>
</Properties>
</file>