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比选项目：加氢裂化装置水溶性中和缓蚀剂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w:t>
      </w:r>
      <w:r>
        <w:rPr>
          <w:rFonts w:hint="eastAsia" w:ascii="宋体" w:hAnsi="宋体" w:cs="宋体"/>
          <w:kern w:val="0"/>
          <w:sz w:val="36"/>
          <w:szCs w:val="36"/>
          <w:shd w:val="clear" w:color="auto" w:fill="FFFFFF"/>
        </w:rPr>
        <w:t>水溶性中和缓蚀剂</w:t>
      </w:r>
      <w:r>
        <w:rPr>
          <w:rFonts w:hint="eastAsia" w:ascii="宋体" w:hAnsi="宋体" w:cs="宋体"/>
          <w:kern w:val="0"/>
          <w:sz w:val="36"/>
          <w:szCs w:val="36"/>
          <w:shd w:val="clear" w:color="auto" w:fill="FFFFFF"/>
          <w:lang w:eastAsia="zh-CN"/>
        </w:rPr>
        <w:t>-0</w:t>
      </w:r>
      <w:r>
        <w:rPr>
          <w:rFonts w:hint="eastAsia" w:ascii="宋体" w:hAnsi="宋体" w:cs="宋体"/>
          <w:kern w:val="0"/>
          <w:sz w:val="36"/>
          <w:szCs w:val="36"/>
          <w:shd w:val="clear" w:color="auto" w:fill="FFFFFF"/>
          <w:lang w:val="en-US" w:eastAsia="zh-CN"/>
        </w:rPr>
        <w:t>510</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bookmarkStart w:id="2" w:name="_GoBack"/>
      <w:bookmarkEnd w:id="2"/>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5</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15</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rPr>
      </w:pPr>
      <w:r>
        <w:rPr>
          <w:rFonts w:hint="eastAsia"/>
          <w:b/>
          <w:bCs/>
          <w:sz w:val="32"/>
        </w:rPr>
        <w:t>加氢裂化装置水溶性中和缓蚀剂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“加氢裂化装置水溶性中和缓蚀剂（项目编号：</w:t>
      </w:r>
      <w:r>
        <w:rPr>
          <w:rFonts w:hint="eastAsia" w:asciiTheme="minorEastAsia" w:hAnsiTheme="minorEastAsia" w:eastAsiaTheme="minorEastAsia"/>
          <w:bCs/>
          <w:sz w:val="24"/>
          <w:u w:val="single"/>
          <w:lang w:eastAsia="zh-CN"/>
        </w:rPr>
        <w:t>2023-FHC-</w:t>
      </w:r>
      <w:r>
        <w:rPr>
          <w:rFonts w:hint="eastAsia" w:asciiTheme="minorEastAsia" w:hAnsiTheme="minorEastAsia" w:eastAsiaTheme="minorEastAsia"/>
          <w:bCs/>
          <w:sz w:val="24"/>
          <w:u w:val="single"/>
          <w:lang w:val="en-US" w:eastAsia="zh-CN"/>
        </w:rPr>
        <w:t>水溶性中和缓蚀剂</w:t>
      </w:r>
      <w:r>
        <w:rPr>
          <w:rFonts w:hint="eastAsia" w:asciiTheme="minorEastAsia" w:hAnsiTheme="minorEastAsia" w:eastAsiaTheme="minorEastAsia"/>
          <w:bCs/>
          <w:sz w:val="24"/>
          <w:u w:val="single"/>
          <w:lang w:eastAsia="zh-CN"/>
        </w:rPr>
        <w:t>-0</w:t>
      </w:r>
      <w:r>
        <w:rPr>
          <w:rFonts w:hint="eastAsia" w:asciiTheme="minorEastAsia" w:hAnsiTheme="minorEastAsia" w:eastAsiaTheme="minorEastAsia"/>
          <w:bCs/>
          <w:sz w:val="24"/>
          <w:u w:val="single"/>
          <w:lang w:val="en-US" w:eastAsia="zh-CN"/>
        </w:rPr>
        <w:t>510</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6"/>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加氢裂化装置水溶性中和缓蚀剂</w:t>
      </w:r>
      <w:r>
        <w:rPr>
          <w:rFonts w:hint="eastAsia" w:ascii="宋体" w:hAnsi="宋体" w:cs="宋体" w:eastAsiaTheme="minorEastAsia"/>
          <w:sz w:val="24"/>
        </w:rPr>
        <w:t>。</w:t>
      </w:r>
    </w:p>
    <w:p>
      <w:pPr>
        <w:pStyle w:val="16"/>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加氢裂化装置水溶性中和缓蚀剂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及技术要求</w:t>
      </w:r>
      <w:r>
        <w:rPr>
          <w:rFonts w:hint="eastAsia" w:asciiTheme="minorEastAsia" w:hAnsiTheme="minorEastAsia" w:eastAsiaTheme="minorEastAsia"/>
          <w:bCs/>
          <w:sz w:val="24"/>
        </w:rPr>
        <w:t>。</w:t>
      </w:r>
    </w:p>
    <w:p>
      <w:pPr>
        <w:pStyle w:val="16"/>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6"/>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6"/>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6"/>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6"/>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6"/>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w:t>
      </w:r>
      <w:r>
        <w:rPr>
          <w:rFonts w:hint="eastAsia" w:asciiTheme="minorEastAsia" w:hAnsiTheme="minorEastAsia" w:eastAsiaTheme="minorEastAsia"/>
          <w:sz w:val="24"/>
          <w:lang w:val="en-US" w:eastAsia="zh-CN"/>
        </w:rPr>
        <w:t>有自2021年1月1日以来有同类装置的销售业绩至少3处以上</w:t>
      </w:r>
      <w:r>
        <w:rPr>
          <w:rFonts w:hint="eastAsia" w:asciiTheme="minorEastAsia" w:hAnsiTheme="minorEastAsia" w:eastAsiaTheme="minorEastAsia"/>
          <w:sz w:val="24"/>
          <w:lang w:eastAsia="zh-CN"/>
        </w:rPr>
        <w:t>。</w:t>
      </w:r>
    </w:p>
    <w:p>
      <w:pPr>
        <w:pStyle w:val="16"/>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属于福建福海创石油化工有限公司合格供应商或中国石油化工集团有限公司或</w:t>
      </w:r>
      <w:r>
        <w:rPr>
          <w:rFonts w:hint="eastAsia" w:asciiTheme="minorEastAsia" w:hAnsiTheme="minorEastAsia" w:eastAsiaTheme="minorEastAsia"/>
          <w:sz w:val="24"/>
        </w:rPr>
        <w:fldChar w:fldCharType="begin"/>
      </w:r>
      <w:r>
        <w:rPr>
          <w:rFonts w:hint="eastAsia" w:asciiTheme="minorEastAsia" w:hAnsiTheme="minorEastAsia" w:eastAsiaTheme="minorEastAsia"/>
          <w:sz w:val="24"/>
        </w:rPr>
        <w:instrText xml:space="preserve"> HYPERLINK "http://www.baidu.com/link?url=ZYA2ANSxRzGwTSAnMQmFtVicINMq9OUNpKTJ21r1pCxY1Pg-bo-kGdl88GpXkxvjkQiNS5EBki5bPS0gC-oOIK" \t "_blank" </w:instrText>
      </w:r>
      <w:r>
        <w:rPr>
          <w:rFonts w:hint="eastAsia" w:asciiTheme="minorEastAsia" w:hAnsiTheme="minorEastAsia" w:eastAsiaTheme="minorEastAsia"/>
          <w:sz w:val="24"/>
        </w:rPr>
        <w:fldChar w:fldCharType="separate"/>
      </w:r>
      <w:r>
        <w:rPr>
          <w:rFonts w:hint="eastAsia" w:asciiTheme="minorEastAsia" w:hAnsiTheme="minorEastAsia" w:eastAsiaTheme="minorEastAsia"/>
          <w:sz w:val="24"/>
        </w:rPr>
        <w:t>中国石油天然气集团有限公司</w:t>
      </w:r>
      <w:r>
        <w:rPr>
          <w:rFonts w:hint="eastAsia" w:asciiTheme="minorEastAsia" w:hAnsiTheme="minorEastAsia" w:eastAsiaTheme="minorEastAsia"/>
          <w:sz w:val="24"/>
        </w:rPr>
        <w:fldChar w:fldCharType="end"/>
      </w:r>
      <w:r>
        <w:rPr>
          <w:rFonts w:hint="eastAsia" w:asciiTheme="minorEastAsia" w:hAnsiTheme="minorEastAsia" w:eastAsiaTheme="minorEastAsia"/>
          <w:sz w:val="24"/>
        </w:rPr>
        <w:t>合格供应商。</w:t>
      </w:r>
    </w:p>
    <w:p>
      <w:pPr>
        <w:pStyle w:val="16"/>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p>
    <w:p>
      <w:pPr>
        <w:pStyle w:val="16"/>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6"/>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24</w:t>
      </w:r>
      <w:r>
        <w:rPr>
          <w:rFonts w:hint="eastAsia" w:asciiTheme="majorEastAsia" w:hAnsiTheme="majorEastAsia" w:eastAsiaTheme="majorEastAsia"/>
          <w:sz w:val="24"/>
        </w:rPr>
        <w:t>日（含当日）</w:t>
      </w:r>
    </w:p>
    <w:p>
      <w:pPr>
        <w:pStyle w:val="16"/>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6"/>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）需提供</w:t>
      </w:r>
      <w:r>
        <w:rPr>
          <w:rFonts w:hint="eastAsia" w:asciiTheme="minorEastAsia" w:hAnsiTheme="minorEastAsia" w:eastAsiaTheme="minorEastAsia"/>
          <w:sz w:val="24"/>
          <w:lang w:val="en-US" w:eastAsia="zh-CN"/>
        </w:rPr>
        <w:t>自2021年1月1日以来</w:t>
      </w:r>
      <w:r>
        <w:rPr>
          <w:rFonts w:hint="eastAsia" w:asciiTheme="minorEastAsia" w:hAnsiTheme="minorEastAsia" w:eastAsiaTheme="minorEastAsia"/>
          <w:sz w:val="24"/>
          <w:lang w:eastAsia="zh-CN"/>
        </w:rPr>
        <w:t>同类装置的销售业绩（</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3份（含）以上</w:t>
      </w:r>
      <w:r>
        <w:rPr>
          <w:rFonts w:hint="eastAsia" w:asciiTheme="minorEastAsia" w:hAnsiTheme="minorEastAsia" w:eastAsiaTheme="minorEastAsia"/>
          <w:sz w:val="24"/>
          <w:lang w:eastAsia="zh-CN"/>
        </w:rPr>
        <w:t>；</w:t>
      </w:r>
    </w:p>
    <w:p>
      <w:pPr>
        <w:pStyle w:val="16"/>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6"/>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6"/>
        <w:numPr>
          <w:ilvl w:val="0"/>
          <w:numId w:val="0"/>
        </w:numPr>
        <w:spacing w:before="0"/>
        <w:ind w:left="832" w:leftChars="0" w:firstLine="240" w:firstLineChars="100"/>
        <w:rPr>
          <w:rFonts w:asciiTheme="minorEastAsia" w:hAnsiTheme="minorEastAsia" w:eastAsiaTheme="minorEastAsia"/>
          <w:bCs/>
          <w:sz w:val="24"/>
        </w:rPr>
      </w:pPr>
      <w:r>
        <w:rPr>
          <w:rFonts w:hint="eastAsia" w:asciiTheme="minorEastAsia" w:hAnsiTheme="minorEastAsia" w:eastAsiaTheme="minorEastAsia"/>
          <w:bCs/>
          <w:sz w:val="24"/>
          <w:lang w:val="en-US" w:eastAsia="zh-CN"/>
        </w:rPr>
        <w:t>请在报名后联系商务联系人获取“技术要求”文件。</w:t>
      </w:r>
    </w:p>
    <w:p>
      <w:pPr>
        <w:pStyle w:val="16"/>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6"/>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6"/>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6"/>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6"/>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6"/>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960" w:firstLineChars="400"/>
        <w:textAlignment w:val="auto"/>
        <w:outlineLvl w:val="9"/>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960" w:firstLineChars="400"/>
        <w:jc w:val="left"/>
        <w:textAlignment w:val="auto"/>
        <w:outlineLvl w:val="9"/>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技</w:t>
      </w:r>
      <w:r>
        <w:rPr>
          <w:rFonts w:hint="eastAsia" w:asciiTheme="minorEastAsia" w:hAnsiTheme="minorEastAsia" w:eastAsiaTheme="minorEastAsia"/>
          <w:bCs/>
          <w:sz w:val="24"/>
        </w:rPr>
        <w:t>术联系人</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 xml:space="preserve"> 王清云 </w:t>
      </w:r>
      <w:r>
        <w:rPr>
          <w:rFonts w:hint="eastAsia" w:asciiTheme="minorEastAsia" w:hAnsiTheme="minorEastAsia" w:eastAsiaTheme="minorEastAsia"/>
          <w:bCs/>
          <w:sz w:val="24"/>
        </w:rPr>
        <w:t>电话：13850425357</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邮</w:t>
      </w:r>
      <w:r>
        <w:rPr>
          <w:rFonts w:hint="eastAsia" w:asciiTheme="minorEastAsia" w:hAnsiTheme="minorEastAsia" w:eastAsiaTheme="minorEastAsia"/>
          <w:bCs/>
          <w:sz w:val="24"/>
          <w:lang w:val="en-US" w:eastAsia="zh-CN"/>
        </w:rPr>
        <w:t>箱：qywang</w:t>
      </w:r>
      <w:r>
        <w:rPr>
          <w:rFonts w:hint="eastAsia" w:asciiTheme="minorEastAsia" w:hAnsiTheme="minorEastAsia" w:eastAsiaTheme="minorEastAsia"/>
          <w:bCs/>
          <w:sz w:val="24"/>
        </w:rPr>
        <w:t>@fhcpec.com</w:t>
      </w:r>
      <w:r>
        <w:rPr>
          <w:rFonts w:hint="eastAsia" w:asciiTheme="minorEastAsia" w:hAnsiTheme="minorEastAsia" w:eastAsiaTheme="minorEastAsia"/>
          <w:bCs/>
          <w:sz w:val="24"/>
          <w:lang w:val="en-US" w:eastAsia="zh-CN"/>
        </w:rPr>
        <w:t>.cn</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960" w:firstLineChars="400"/>
        <w:textAlignment w:val="auto"/>
        <w:outlineLvl w:val="9"/>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15</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加氢裂化装置水溶性中和缓蚀剂</w:t>
      </w:r>
      <w:r>
        <w:rPr>
          <w:rFonts w:hint="eastAsia" w:ascii="宋体" w:hAnsi="宋体"/>
          <w:sz w:val="18"/>
          <w:szCs w:val="18"/>
          <w:u w:val="single"/>
        </w:rPr>
        <w:t>。</w:t>
      </w:r>
    </w:p>
    <w:p>
      <w:pPr>
        <w:pStyle w:val="19"/>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w:t>
      </w:r>
      <w:r>
        <w:rPr>
          <w:rFonts w:hint="eastAsia" w:ascii="宋体"/>
          <w:sz w:val="18"/>
          <w:szCs w:val="18"/>
        </w:rPr>
        <w:t>需</w:t>
      </w:r>
      <w:r>
        <w:rPr>
          <w:rFonts w:hint="eastAsia" w:ascii="宋体"/>
          <w:sz w:val="18"/>
          <w:szCs w:val="18"/>
          <w:lang w:val="en-US" w:eastAsia="zh-CN"/>
        </w:rPr>
        <w:t>有自2021年1月1日以来有同类装置的销售业绩至少3处以上</w:t>
      </w:r>
      <w:r>
        <w:rPr>
          <w:rFonts w:hint="eastAsia" w:ascii="宋体"/>
          <w:sz w:val="18"/>
          <w:szCs w:val="18"/>
          <w:lang w:eastAsia="zh-CN"/>
        </w:rPr>
        <w:t>。</w:t>
      </w:r>
    </w:p>
    <w:p>
      <w:pPr>
        <w:spacing w:line="320" w:lineRule="exact"/>
        <w:rPr>
          <w:rFonts w:hint="eastAsia" w:ascii="宋体"/>
          <w:sz w:val="18"/>
          <w:szCs w:val="18"/>
          <w:lang w:eastAsia="zh-CN"/>
        </w:rPr>
      </w:pPr>
      <w:r>
        <w:rPr>
          <w:rFonts w:hint="eastAsia" w:ascii="宋体"/>
          <w:sz w:val="18"/>
          <w:szCs w:val="18"/>
          <w:lang w:eastAsia="zh-CN"/>
        </w:rPr>
        <w:t>（</w:t>
      </w:r>
      <w:r>
        <w:rPr>
          <w:rFonts w:hint="eastAsia" w:ascii="宋体"/>
          <w:sz w:val="18"/>
          <w:szCs w:val="18"/>
          <w:lang w:val="en-US" w:eastAsia="zh-CN"/>
        </w:rPr>
        <w:t>6</w:t>
      </w:r>
      <w:r>
        <w:rPr>
          <w:rFonts w:hint="eastAsia" w:ascii="宋体"/>
          <w:sz w:val="18"/>
          <w:szCs w:val="18"/>
          <w:lang w:eastAsia="zh-CN"/>
        </w:rPr>
        <w:t>）</w:t>
      </w:r>
      <w:r>
        <w:rPr>
          <w:rFonts w:hint="eastAsia" w:ascii="宋体"/>
          <w:sz w:val="18"/>
          <w:szCs w:val="18"/>
          <w:lang w:val="en-US" w:eastAsia="zh-CN"/>
        </w:rPr>
        <w:t xml:space="preserve"> </w:t>
      </w:r>
      <w:r>
        <w:rPr>
          <w:rFonts w:hint="eastAsia" w:ascii="宋体"/>
          <w:sz w:val="18"/>
          <w:szCs w:val="18"/>
          <w:lang w:eastAsia="zh-CN"/>
        </w:rPr>
        <w:t>属于福建福海创石油化工有限公司合格供应商或中国石油化工集团有限公司或</w:t>
      </w:r>
      <w:r>
        <w:rPr>
          <w:rFonts w:hint="eastAsia" w:ascii="宋体"/>
          <w:sz w:val="18"/>
          <w:szCs w:val="18"/>
          <w:lang w:eastAsia="zh-CN"/>
        </w:rPr>
        <w:fldChar w:fldCharType="begin"/>
      </w:r>
      <w:r>
        <w:rPr>
          <w:rFonts w:hint="eastAsia" w:ascii="宋体"/>
          <w:sz w:val="18"/>
          <w:szCs w:val="18"/>
          <w:lang w:eastAsia="zh-CN"/>
        </w:rPr>
        <w:instrText xml:space="preserve"> HYPERLINK "http://www.baidu.com/link?url=ZYA2ANSxRzGwTSAnMQmFtVicINMq9OUNpKTJ21r1pCxY1Pg-bo-kGdl88GpXkxvjkQiNS5EBki5bPS0gC-oOIK" \t "_blank" </w:instrText>
      </w:r>
      <w:r>
        <w:rPr>
          <w:rFonts w:hint="eastAsia" w:ascii="宋体"/>
          <w:sz w:val="18"/>
          <w:szCs w:val="18"/>
          <w:lang w:eastAsia="zh-CN"/>
        </w:rPr>
        <w:fldChar w:fldCharType="separate"/>
      </w:r>
      <w:r>
        <w:rPr>
          <w:rFonts w:hint="eastAsia" w:ascii="宋体"/>
          <w:sz w:val="18"/>
          <w:szCs w:val="18"/>
          <w:lang w:eastAsia="zh-CN"/>
        </w:rPr>
        <w:t>中国石油天然气集团有限公司</w:t>
      </w:r>
      <w:r>
        <w:rPr>
          <w:rFonts w:hint="eastAsia" w:ascii="宋体"/>
          <w:sz w:val="18"/>
          <w:szCs w:val="18"/>
          <w:lang w:eastAsia="zh-CN"/>
        </w:rPr>
        <w:fldChar w:fldCharType="end"/>
      </w:r>
      <w:r>
        <w:rPr>
          <w:rFonts w:hint="eastAsia" w:ascii="宋体"/>
          <w:sz w:val="18"/>
          <w:szCs w:val="18"/>
          <w:lang w:eastAsia="zh-CN"/>
        </w:rPr>
        <w:t>合格供应商。</w:t>
      </w:r>
    </w:p>
    <w:p>
      <w:pPr>
        <w:spacing w:line="320" w:lineRule="exact"/>
        <w:rPr>
          <w:rFonts w:ascii="宋体"/>
          <w:sz w:val="18"/>
          <w:szCs w:val="18"/>
          <w:highlight w:val="none"/>
        </w:rPr>
      </w:pPr>
      <w:r>
        <w:rPr>
          <w:rFonts w:hint="eastAsia" w:ascii="宋体"/>
          <w:sz w:val="18"/>
          <w:szCs w:val="18"/>
        </w:rPr>
        <w:t>（</w:t>
      </w:r>
      <w:r>
        <w:rPr>
          <w:rFonts w:hint="eastAsia" w:ascii="宋体"/>
          <w:sz w:val="18"/>
          <w:szCs w:val="18"/>
          <w:lang w:val="en-US" w:eastAsia="zh-CN"/>
        </w:rPr>
        <w:t>7</w:t>
      </w:r>
      <w:r>
        <w:rPr>
          <w:rFonts w:hint="eastAsia" w:ascii="宋体"/>
          <w:sz w:val="18"/>
          <w:szCs w:val="18"/>
        </w:rPr>
        <w:t>）</w:t>
      </w:r>
      <w:r>
        <w:rPr>
          <w:rFonts w:hint="eastAsia" w:ascii="宋体"/>
          <w:sz w:val="18"/>
          <w:szCs w:val="18"/>
          <w:highlight w:val="none"/>
        </w:rPr>
        <w:t>参选保证金：</w:t>
      </w:r>
      <w:r>
        <w:rPr>
          <w:rFonts w:hint="eastAsia" w:ascii="宋体"/>
          <w:sz w:val="18"/>
          <w:szCs w:val="18"/>
          <w:highlight w:val="none"/>
          <w:lang w:val="en-US" w:eastAsia="zh-CN"/>
        </w:rPr>
        <w:t>壹万元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加氢裂化装置水溶性中和缓蚀剂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2023-FHC-水溶性中和缓蚀剂-0</w:t>
      </w:r>
      <w:r>
        <w:rPr>
          <w:rFonts w:hint="eastAsia" w:asciiTheme="minorEastAsia" w:hAnsiTheme="minorEastAsia" w:eastAsiaTheme="minorEastAsia"/>
          <w:bCs/>
          <w:sz w:val="24"/>
          <w:u w:val="single"/>
          <w:lang w:val="en-US" w:eastAsia="zh-CN"/>
        </w:rPr>
        <w:t>510</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加氢裂化装置水溶性中和缓蚀剂</w:t>
      </w:r>
      <w:r>
        <w:rPr>
          <w:rFonts w:hint="eastAsia" w:ascii="宋体" w:hAnsi="宋体"/>
          <w:sz w:val="24"/>
          <w:szCs w:val="24"/>
        </w:rPr>
        <w:t>，具体要求如下</w:t>
      </w:r>
      <w:r>
        <w:rPr>
          <w:rFonts w:hint="eastAsia" w:ascii="宋体" w:hAnsi="宋体"/>
          <w:sz w:val="24"/>
          <w:szCs w:val="24"/>
          <w:lang w:eastAsia="zh-CN"/>
        </w:rPr>
        <w:t>：</w:t>
      </w:r>
      <w:r>
        <w:rPr>
          <w:rFonts w:ascii="宋体"/>
          <w:sz w:val="24"/>
          <w:szCs w:val="24"/>
        </w:rPr>
        <w:tab/>
      </w:r>
    </w:p>
    <w:p>
      <w:pPr>
        <w:tabs>
          <w:tab w:val="left" w:pos="6846"/>
        </w:tabs>
        <w:spacing w:line="360" w:lineRule="exact"/>
        <w:jc w:val="left"/>
        <w:rPr>
          <w:rFonts w:hint="eastAsia" w:ascii="宋体" w:eastAsia="宋体"/>
          <w:sz w:val="24"/>
          <w:szCs w:val="24"/>
          <w:lang w:val="en-US" w:eastAsia="zh-CN"/>
        </w:rPr>
      </w:pPr>
      <w:r>
        <w:rPr>
          <w:rFonts w:hint="eastAsia" w:ascii="宋体"/>
          <w:sz w:val="24"/>
          <w:szCs w:val="24"/>
          <w:lang w:val="en-US" w:eastAsia="zh-CN"/>
        </w:rPr>
        <w:t>1.数量：约1.5年使用量，合约期限为2023年7月31日-2024年12月31日。</w:t>
      </w:r>
    </w:p>
    <w:p>
      <w:pPr>
        <w:numPr>
          <w:ilvl w:val="0"/>
          <w:numId w:val="0"/>
        </w:numPr>
        <w:spacing w:line="360" w:lineRule="exact"/>
        <w:jc w:val="left"/>
        <w:rPr>
          <w:rFonts w:ascii="宋体" w:hAnsi="宋体" w:cs="宋体"/>
          <w:sz w:val="24"/>
          <w:highlight w:val="none"/>
        </w:rPr>
      </w:pPr>
      <w:r>
        <w:rPr>
          <w:rFonts w:hint="eastAsia" w:ascii="宋体" w:hAnsi="宋体" w:cs="宋体"/>
          <w:sz w:val="24"/>
          <w:highlight w:val="none"/>
          <w:lang w:val="en-US" w:eastAsia="zh-CN"/>
        </w:rPr>
        <w:t>2.质量指标：</w:t>
      </w:r>
    </w:p>
    <w:tbl>
      <w:tblPr>
        <w:tblStyle w:val="15"/>
        <w:tblW w:w="70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8"/>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3478" w:type="dxa"/>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型号</w:t>
            </w:r>
          </w:p>
        </w:tc>
        <w:tc>
          <w:tcPr>
            <w:tcW w:w="3562" w:type="dxa"/>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3478" w:type="dxa"/>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外观</w:t>
            </w:r>
          </w:p>
        </w:tc>
        <w:tc>
          <w:tcPr>
            <w:tcW w:w="3562"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ascii="宋体" w:hAnsi="宋体" w:cs="宋体"/>
                <w:sz w:val="24"/>
                <w:highlight w:val="none"/>
              </w:rPr>
            </w:pPr>
            <w:r>
              <w:rPr>
                <w:rFonts w:hint="eastAsia" w:ascii="宋体" w:hAnsi="宋体" w:cs="宋体"/>
                <w:sz w:val="24"/>
                <w:highlight w:val="none"/>
              </w:rPr>
              <w:t>均匀液体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3478" w:type="dxa"/>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密度（20℃），g/cm3</w:t>
            </w:r>
          </w:p>
        </w:tc>
        <w:tc>
          <w:tcPr>
            <w:tcW w:w="3562"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0.85</w:t>
            </w:r>
            <w:r>
              <w:rPr>
                <w:rFonts w:hint="eastAsia" w:ascii="宋体" w:hAnsi="宋体" w:cs="宋体"/>
                <w:sz w:val="24"/>
                <w:highlight w:val="none"/>
              </w:rPr>
              <w:t>~</w:t>
            </w:r>
            <w:r>
              <w:rPr>
                <w:rFonts w:ascii="宋体" w:hAnsi="宋体" w:cs="宋体"/>
                <w:sz w:val="24"/>
                <w:highlight w:val="none"/>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3478" w:type="dxa"/>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pH值（25℃）</w:t>
            </w:r>
          </w:p>
        </w:tc>
        <w:tc>
          <w:tcPr>
            <w:tcW w:w="3562"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3478" w:type="dxa"/>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凝点，℃</w:t>
            </w:r>
          </w:p>
        </w:tc>
        <w:tc>
          <w:tcPr>
            <w:tcW w:w="3562"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478" w:type="dxa"/>
            <w:vAlign w:val="center"/>
          </w:tcPr>
          <w:p>
            <w:pPr>
              <w:numPr>
                <w:ilvl w:val="0"/>
                <w:numId w:val="0"/>
              </w:numPr>
              <w:spacing w:line="360" w:lineRule="exact"/>
              <w:jc w:val="center"/>
              <w:rPr>
                <w:rFonts w:ascii="宋体" w:hAnsi="宋体" w:cs="宋体"/>
                <w:sz w:val="24"/>
                <w:highlight w:val="none"/>
              </w:rPr>
            </w:pPr>
            <w:r>
              <w:rPr>
                <w:rFonts w:ascii="宋体" w:hAnsi="宋体" w:cs="宋体"/>
                <w:sz w:val="24"/>
                <w:highlight w:val="none"/>
              </w:rPr>
              <w:t>溶解性</w:t>
            </w:r>
          </w:p>
        </w:tc>
        <w:tc>
          <w:tcPr>
            <w:tcW w:w="3562"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exact"/>
              <w:jc w:val="center"/>
              <w:rPr>
                <w:rFonts w:ascii="宋体" w:hAnsi="宋体" w:cs="宋体"/>
                <w:sz w:val="24"/>
                <w:highlight w:val="none"/>
              </w:rPr>
            </w:pPr>
            <w:r>
              <w:rPr>
                <w:rFonts w:hint="eastAsia" w:ascii="宋体" w:hAnsi="宋体" w:cs="宋体"/>
                <w:sz w:val="24"/>
                <w:highlight w:val="none"/>
              </w:rPr>
              <w:t>易溶入水</w:t>
            </w:r>
          </w:p>
        </w:tc>
      </w:tr>
    </w:tbl>
    <w:p>
      <w:pPr>
        <w:numPr>
          <w:ilvl w:val="0"/>
          <w:numId w:val="0"/>
        </w:numPr>
        <w:spacing w:line="360" w:lineRule="exact"/>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Times New Roman" w:hAnsi="Times New Roman" w:eastAsia="宋体" w:cs="Times New Roman"/>
          <w:sz w:val="24"/>
        </w:rPr>
        <w:t>加氢裂化装置中和缓蚀剂技术保证值</w:t>
      </w:r>
      <w:r>
        <w:rPr>
          <w:rFonts w:hint="eastAsia" w:cs="Times New Roman"/>
          <w:sz w:val="24"/>
          <w:lang w:eastAsia="zh-CN"/>
        </w:rPr>
        <w:t>：</w:t>
      </w:r>
    </w:p>
    <w:p>
      <w:pPr>
        <w:numPr>
          <w:ilvl w:val="0"/>
          <w:numId w:val="0"/>
        </w:numPr>
        <w:spacing w:line="360" w:lineRule="exact"/>
        <w:ind w:firstLine="240" w:firstLineChars="100"/>
        <w:jc w:val="left"/>
        <w:rPr>
          <w:rFonts w:hint="eastAsia" w:ascii="宋体" w:hAnsi="宋体" w:cs="宋体"/>
          <w:sz w:val="24"/>
          <w:highlight w:val="none"/>
          <w:lang w:eastAsia="zh-CN"/>
        </w:rPr>
      </w:pPr>
      <w:r>
        <w:rPr>
          <w:rFonts w:hint="eastAsia" w:ascii="宋体" w:hAnsi="宋体" w:cs="宋体"/>
          <w:sz w:val="24"/>
          <w:highlight w:val="none"/>
          <w:lang w:val="en-US" w:eastAsia="zh-CN"/>
        </w:rPr>
        <w:t>a.</w:t>
      </w:r>
      <w:r>
        <w:rPr>
          <w:rFonts w:hint="eastAsia" w:ascii="宋体" w:hAnsi="宋体" w:cs="宋体"/>
          <w:sz w:val="24"/>
          <w:highlight w:val="none"/>
          <w:lang w:eastAsia="zh-CN"/>
        </w:rPr>
        <w:t>液态水溶性，产品水溶性好，无乳化现象。</w:t>
      </w:r>
    </w:p>
    <w:p>
      <w:pPr>
        <w:numPr>
          <w:ilvl w:val="0"/>
          <w:numId w:val="0"/>
        </w:numPr>
        <w:spacing w:line="360" w:lineRule="exact"/>
        <w:ind w:firstLine="240" w:firstLineChars="100"/>
        <w:jc w:val="left"/>
        <w:rPr>
          <w:rFonts w:hint="eastAsia" w:ascii="宋体" w:hAnsi="宋体" w:cs="宋体"/>
          <w:sz w:val="24"/>
          <w:highlight w:val="none"/>
          <w:lang w:eastAsia="zh-CN"/>
        </w:rPr>
      </w:pPr>
      <w:r>
        <w:rPr>
          <w:rFonts w:hint="eastAsia" w:ascii="宋体" w:hAnsi="宋体" w:cs="宋体"/>
          <w:sz w:val="24"/>
          <w:highlight w:val="none"/>
          <w:lang w:val="en-US" w:eastAsia="zh-CN"/>
        </w:rPr>
        <w:t>b.</w:t>
      </w:r>
      <w:r>
        <w:rPr>
          <w:rFonts w:hint="eastAsia" w:ascii="宋体" w:hAnsi="宋体" w:cs="宋体"/>
          <w:sz w:val="24"/>
          <w:highlight w:val="none"/>
          <w:lang w:eastAsia="zh-CN"/>
        </w:rPr>
        <w:t>塔顶酸性水总铁含量≤3mg/L，pH值6~9。</w:t>
      </w:r>
    </w:p>
    <w:p>
      <w:pPr>
        <w:numPr>
          <w:ilvl w:val="0"/>
          <w:numId w:val="0"/>
        </w:numPr>
        <w:spacing w:line="360" w:lineRule="exact"/>
        <w:ind w:firstLine="240" w:firstLineChars="100"/>
        <w:jc w:val="left"/>
        <w:rPr>
          <w:rFonts w:hint="eastAsia" w:ascii="宋体" w:hAnsi="宋体" w:cs="宋体"/>
          <w:sz w:val="24"/>
          <w:highlight w:val="none"/>
          <w:lang w:eastAsia="zh-CN"/>
        </w:rPr>
      </w:pPr>
      <w:r>
        <w:rPr>
          <w:rFonts w:hint="eastAsia" w:ascii="宋体" w:hAnsi="宋体" w:cs="宋体"/>
          <w:sz w:val="24"/>
          <w:highlight w:val="none"/>
          <w:lang w:val="en-US" w:eastAsia="zh-CN"/>
        </w:rPr>
        <w:t>c.</w:t>
      </w:r>
      <w:r>
        <w:rPr>
          <w:rFonts w:hint="eastAsia" w:ascii="宋体" w:hAnsi="宋体" w:cs="宋体"/>
          <w:sz w:val="24"/>
          <w:highlight w:val="none"/>
          <w:lang w:eastAsia="zh-CN"/>
        </w:rPr>
        <w:t>保证所提供产品在正确使用下对设备、装置无任何损坏，对下游催化剂、下游产品、终端产品无任何性质和质量的不良改变。</w:t>
      </w:r>
    </w:p>
    <w:p>
      <w:pPr>
        <w:numPr>
          <w:ilvl w:val="0"/>
          <w:numId w:val="0"/>
        </w:numPr>
        <w:spacing w:line="360" w:lineRule="exact"/>
        <w:ind w:firstLine="240" w:firstLineChars="100"/>
        <w:jc w:val="left"/>
        <w:rPr>
          <w:rFonts w:hint="eastAsia" w:ascii="宋体" w:hAnsi="宋体" w:cs="宋体"/>
          <w:sz w:val="24"/>
          <w:highlight w:val="none"/>
          <w:lang w:eastAsia="zh-CN"/>
        </w:rPr>
      </w:pPr>
      <w:r>
        <w:rPr>
          <w:rFonts w:hint="eastAsia" w:ascii="宋体" w:hAnsi="宋体" w:cs="宋体"/>
          <w:sz w:val="24"/>
          <w:highlight w:val="none"/>
          <w:lang w:val="en-US" w:eastAsia="zh-CN"/>
        </w:rPr>
        <w:t>d.</w:t>
      </w:r>
      <w:r>
        <w:rPr>
          <w:rFonts w:hint="eastAsia" w:ascii="宋体" w:hAnsi="宋体" w:cs="宋体"/>
          <w:sz w:val="24"/>
          <w:highlight w:val="none"/>
          <w:lang w:eastAsia="zh-CN"/>
        </w:rPr>
        <w:t>中和缓蚀剂产品预调配好，现场除盐水稀释后即可注入。</w:t>
      </w:r>
    </w:p>
    <w:p>
      <w:pPr>
        <w:numPr>
          <w:ilvl w:val="0"/>
          <w:numId w:val="0"/>
        </w:numPr>
        <w:spacing w:line="360" w:lineRule="exact"/>
        <w:jc w:val="left"/>
        <w:rPr>
          <w:rFonts w:hint="eastAsia" w:ascii="宋体" w:hAnsi="宋体" w:cs="宋体"/>
          <w:sz w:val="24"/>
          <w:highlight w:val="none"/>
          <w:lang w:val="en-US" w:eastAsia="zh-CN"/>
        </w:rPr>
      </w:pPr>
      <w:r>
        <w:rPr>
          <w:rFonts w:hint="eastAsia" w:ascii="宋体" w:hAnsi="宋体" w:cs="宋体"/>
          <w:sz w:val="24"/>
          <w:highlight w:val="none"/>
          <w:lang w:val="en-US" w:eastAsia="zh-CN"/>
        </w:rPr>
        <w:t>4.加氢裂化装置中和缓蚀剂注入量的要求；</w:t>
      </w:r>
    </w:p>
    <w:tbl>
      <w:tblPr>
        <w:tblStyle w:val="15"/>
        <w:tblW w:w="71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0"/>
        <w:gridCol w:w="3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注入点</w:t>
            </w:r>
          </w:p>
        </w:tc>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注入量（mg/kg）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产品汽提塔顶</w:t>
            </w:r>
          </w:p>
        </w:tc>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贫油吸收塔顶</w:t>
            </w:r>
          </w:p>
        </w:tc>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脱乙烷塔顶</w:t>
            </w:r>
          </w:p>
        </w:tc>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脱丁烷塔顶</w:t>
            </w:r>
          </w:p>
        </w:tc>
        <w:tc>
          <w:tcPr>
            <w:tcW w:w="3550" w:type="dxa"/>
          </w:tcPr>
          <w:p>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r>
    </w:tbl>
    <w:p>
      <w:pPr>
        <w:numPr>
          <w:ilvl w:val="0"/>
          <w:numId w:val="0"/>
        </w:numPr>
        <w:spacing w:line="360" w:lineRule="exact"/>
        <w:jc w:val="left"/>
        <w:rPr>
          <w:rFonts w:ascii="宋体" w:hAnsi="宋体" w:cs="宋体"/>
          <w:sz w:val="24"/>
        </w:rPr>
      </w:pPr>
      <w:r>
        <w:rPr>
          <w:rFonts w:hint="eastAsia" w:ascii="宋体" w:hAnsi="宋体" w:cs="宋体"/>
          <w:sz w:val="24"/>
          <w:lang w:val="en-US" w:eastAsia="zh-CN"/>
        </w:rPr>
        <w:t>5.</w:t>
      </w:r>
      <w:r>
        <w:rPr>
          <w:rFonts w:hint="eastAsia" w:ascii="宋体" w:hAnsi="宋体" w:cs="宋体"/>
          <w:sz w:val="24"/>
        </w:rPr>
        <w:t>包装方式：</w:t>
      </w:r>
      <w:r>
        <w:rPr>
          <w:rFonts w:hint="eastAsia" w:ascii="宋体" w:hAnsi="宋体"/>
          <w:color w:val="auto"/>
          <w:sz w:val="24"/>
          <w:lang w:val="en-US" w:eastAsia="zh-CN"/>
        </w:rPr>
        <w:t>采用桶包装，使用后的空桶由供方进行回收处理。</w:t>
      </w:r>
    </w:p>
    <w:p>
      <w:pPr>
        <w:spacing w:line="360" w:lineRule="exact"/>
        <w:jc w:val="left"/>
        <w:rPr>
          <w:rFonts w:ascii="宋体" w:cs="宋体"/>
          <w:sz w:val="24"/>
        </w:rPr>
      </w:pPr>
      <w:r>
        <w:rPr>
          <w:rFonts w:hint="eastAsia" w:ascii="宋体" w:hAnsi="宋体" w:cs="宋体"/>
          <w:sz w:val="24"/>
          <w:lang w:val="en-US" w:eastAsia="zh-CN"/>
        </w:rPr>
        <w:t>6</w:t>
      </w:r>
      <w:r>
        <w:rPr>
          <w:rFonts w:hint="eastAsia" w:ascii="宋体" w:hAnsi="宋体" w:cs="宋体"/>
          <w:sz w:val="24"/>
        </w:rPr>
        <w:t>.</w:t>
      </w:r>
      <w:r>
        <w:rPr>
          <w:rFonts w:hint="eastAsia" w:ascii="宋体" w:hAnsi="宋体"/>
          <w:sz w:val="24"/>
        </w:rPr>
        <w:t>到货时间：</w:t>
      </w:r>
      <w:r>
        <w:rPr>
          <w:rFonts w:hint="eastAsia" w:ascii="宋体" w:hAnsi="宋体"/>
          <w:sz w:val="24"/>
          <w:lang w:val="en-US" w:eastAsia="zh-CN"/>
        </w:rPr>
        <w:t>分批</w:t>
      </w:r>
      <w:r>
        <w:rPr>
          <w:rFonts w:hint="eastAsia" w:ascii="宋体" w:hAnsi="宋体"/>
          <w:color w:val="auto"/>
          <w:sz w:val="24"/>
          <w:lang w:val="en-US" w:eastAsia="zh-CN"/>
        </w:rPr>
        <w:t>到货，要求于</w:t>
      </w:r>
      <w:r>
        <w:rPr>
          <w:rFonts w:hint="eastAsia" w:ascii="宋体" w:hAnsi="宋体"/>
          <w:sz w:val="24"/>
          <w:lang w:val="en-US" w:eastAsia="zh-CN"/>
        </w:rPr>
        <w:t>2023年6月底前具备到货条件，具体到货时间以需方通知为准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lang w:val="en-US" w:eastAsia="zh-CN"/>
        </w:rPr>
        <w:t>7</w:t>
      </w:r>
      <w:r>
        <w:rPr>
          <w:rFonts w:hint="eastAsia" w:asciiTheme="minorEastAsia" w:hAnsiTheme="minorEastAsia" w:eastAsiaTheme="minorEastAsia"/>
          <w:bCs/>
          <w:kern w:val="0"/>
          <w:sz w:val="24"/>
        </w:rPr>
        <w:t>.报价须知：</w:t>
      </w:r>
      <w:r>
        <w:rPr>
          <w:rFonts w:hint="eastAsia" w:asciiTheme="minorEastAsia" w:hAnsiTheme="minorEastAsia" w:eastAsiaTheme="minorEastAsia"/>
          <w:bCs/>
          <w:kern w:val="0"/>
          <w:sz w:val="24"/>
          <w:lang w:val="en-US" w:eastAsia="zh-CN"/>
        </w:rPr>
        <w:t>加氢裂化装置水溶性中和缓蚀剂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lang w:val="en-US" w:eastAsia="zh-CN"/>
        </w:rPr>
        <w:t>8</w:t>
      </w:r>
      <w:r>
        <w:rPr>
          <w:rFonts w:hint="eastAsia" w:ascii="宋体" w:hAnsi="宋体" w:cs="宋体"/>
          <w:sz w:val="24"/>
        </w:rPr>
        <w:t>.1付款方式：现汇支付</w:t>
      </w:r>
      <w:r>
        <w:rPr>
          <w:rFonts w:hint="eastAsia" w:ascii="宋体" w:hAnsi="宋体" w:cs="宋体"/>
          <w:sz w:val="24"/>
          <w:lang w:eastAsia="zh-CN"/>
        </w:rPr>
        <w:t>，</w:t>
      </w:r>
      <w:r>
        <w:rPr>
          <w:rFonts w:hint="eastAsia" w:ascii="宋体" w:hAnsi="宋体" w:cs="宋体"/>
          <w:sz w:val="24"/>
          <w:lang w:val="en-US" w:eastAsia="zh-CN"/>
        </w:rPr>
        <w:t>按季度考核付款</w:t>
      </w:r>
      <w:r>
        <w:rPr>
          <w:rFonts w:hint="eastAsia" w:ascii="宋体" w:hAnsi="宋体" w:cs="宋体"/>
          <w:sz w:val="24"/>
        </w:rPr>
        <w:t>。</w:t>
      </w:r>
      <w:r>
        <w:rPr>
          <w:rFonts w:hint="eastAsia" w:ascii="宋体" w:hAnsi="宋体" w:cs="宋体"/>
          <w:sz w:val="24"/>
          <w:lang w:val="en-US" w:eastAsia="zh-CN"/>
        </w:rPr>
        <w:t>分批季度到货、分批付款。</w:t>
      </w:r>
      <w:r>
        <w:rPr>
          <w:rFonts w:hint="eastAsia" w:ascii="宋体" w:hAnsi="宋体" w:cs="宋体"/>
          <w:sz w:val="24"/>
        </w:rPr>
        <w:t>每批产品到货</w:t>
      </w:r>
      <w:r>
        <w:rPr>
          <w:rFonts w:hint="eastAsia" w:ascii="宋体" w:hAnsi="宋体" w:cs="宋体"/>
          <w:sz w:val="24"/>
          <w:lang w:val="en-US" w:eastAsia="zh-CN"/>
        </w:rPr>
        <w:t>后</w:t>
      </w:r>
      <w:r>
        <w:rPr>
          <w:rFonts w:hint="eastAsia" w:ascii="宋体" w:hAnsi="宋体" w:cs="宋体"/>
          <w:sz w:val="24"/>
        </w:rPr>
        <w:t>，</w:t>
      </w:r>
      <w:r>
        <w:rPr>
          <w:rFonts w:hint="eastAsia" w:ascii="宋体" w:hAnsi="宋体" w:cs="宋体"/>
          <w:sz w:val="24"/>
          <w:lang w:val="en-US" w:eastAsia="zh-CN"/>
        </w:rPr>
        <w:t>根据季度考核结果付款</w:t>
      </w:r>
      <w:r>
        <w:rPr>
          <w:rFonts w:hint="eastAsia" w:ascii="宋体" w:hAnsi="宋体" w:cs="宋体"/>
          <w:sz w:val="24"/>
          <w:lang w:eastAsia="zh-CN"/>
        </w:rPr>
        <w:t>。</w:t>
      </w:r>
    </w:p>
    <w:p>
      <w:pPr>
        <w:spacing w:line="35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lang w:val="en-US" w:eastAsia="zh-CN"/>
        </w:rPr>
        <w:t>9</w:t>
      </w:r>
      <w:r>
        <w:rPr>
          <w:rFonts w:hint="eastAsia" w:ascii="宋体" w:hAnsi="宋体"/>
          <w:sz w:val="24"/>
        </w:rPr>
        <w:t>.运输条款：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lang w:val="en-US" w:eastAsia="zh-CN"/>
        </w:rPr>
        <w:t>10</w:t>
      </w:r>
      <w:r>
        <w:rPr>
          <w:rFonts w:hint="eastAsia" w:ascii="宋体" w:hAnsi="宋体" w:cs="宋体"/>
          <w:sz w:val="24"/>
        </w:rPr>
        <w:t>.参选文件的递交</w:t>
      </w:r>
    </w:p>
    <w:p>
      <w:pPr>
        <w:spacing w:line="360" w:lineRule="exact"/>
        <w:jc w:val="left"/>
        <w:rPr>
          <w:rFonts w:ascii="宋体" w:hAnsi="宋体" w:cs="宋体"/>
          <w:sz w:val="24"/>
        </w:rPr>
      </w:pPr>
      <w:r>
        <w:rPr>
          <w:rFonts w:hint="eastAsia" w:ascii="宋体" w:hAnsi="宋体" w:cs="宋体"/>
          <w:sz w:val="24"/>
          <w:lang w:val="en-US" w:eastAsia="zh-CN"/>
        </w:rPr>
        <w:t>10</w:t>
      </w:r>
      <w:r>
        <w:rPr>
          <w:rFonts w:hint="eastAsia" w:ascii="宋体" w:hAnsi="宋体" w:cs="宋体"/>
          <w:sz w:val="24"/>
        </w:rPr>
        <w:t>.1参选文件递交截止时间：见比选公告。</w:t>
      </w:r>
    </w:p>
    <w:p>
      <w:pPr>
        <w:spacing w:line="360" w:lineRule="exact"/>
        <w:jc w:val="left"/>
        <w:rPr>
          <w:rFonts w:ascii="宋体" w:hAnsi="宋体" w:cs="宋体"/>
          <w:sz w:val="24"/>
        </w:rPr>
      </w:pPr>
      <w:r>
        <w:rPr>
          <w:rFonts w:hint="eastAsia" w:ascii="宋体" w:hAnsi="宋体" w:cs="宋体"/>
          <w:sz w:val="24"/>
          <w:lang w:val="en-US" w:eastAsia="zh-CN"/>
        </w:rPr>
        <w:t>10</w:t>
      </w:r>
      <w:r>
        <w:rPr>
          <w:rFonts w:hint="eastAsia" w:ascii="宋体" w:hAnsi="宋体" w:cs="宋体"/>
          <w:sz w:val="24"/>
        </w:rPr>
        <w:t>.2参选文件应密封，包含比选公告、参选规定及说明、公开比选文件、参选书、法定代表人授权书、报价单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lang w:val="en-US" w:eastAsia="zh-CN"/>
        </w:rPr>
        <w:t>10</w:t>
      </w:r>
      <w:r>
        <w:rPr>
          <w:rFonts w:hint="eastAsia" w:ascii="宋体" w:hAnsi="宋体" w:cs="宋体"/>
          <w:sz w:val="24"/>
        </w:rPr>
        <w:t>.3我公司快递联系方式：公司名称：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2023-FHC-水溶性中和缓蚀剂-0</w:t>
      </w:r>
      <w:r>
        <w:rPr>
          <w:rFonts w:hint="eastAsia" w:asciiTheme="minorEastAsia" w:hAnsiTheme="minorEastAsia" w:eastAsiaTheme="minorEastAsia"/>
          <w:bCs/>
          <w:sz w:val="24"/>
          <w:u w:val="single"/>
          <w:lang w:val="en-US" w:eastAsia="zh-CN"/>
        </w:rPr>
        <w:t>510</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5"/>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5"/>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5"/>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2023-FHC-水溶性中和缓蚀剂-0</w:t>
      </w:r>
      <w:r>
        <w:rPr>
          <w:rFonts w:hint="eastAsia" w:asciiTheme="minorEastAsia" w:hAnsiTheme="minorEastAsia" w:eastAsiaTheme="minorEastAsia"/>
          <w:bCs/>
          <w:sz w:val="24"/>
          <w:u w:val="single"/>
          <w:lang w:val="en-US" w:eastAsia="zh-CN"/>
        </w:rPr>
        <w:t>510</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2023-FHC-水溶性中和缓蚀剂-0</w:t>
      </w:r>
      <w:r>
        <w:rPr>
          <w:rFonts w:hint="eastAsia" w:asciiTheme="minorEastAsia" w:hAnsiTheme="minorEastAsia" w:eastAsiaTheme="minorEastAsia"/>
          <w:bCs/>
          <w:sz w:val="24"/>
          <w:u w:val="single"/>
          <w:lang w:val="en-US" w:eastAsia="zh-CN"/>
        </w:rPr>
        <w:t>510</w:t>
      </w:r>
      <w:r>
        <w:rPr>
          <w:rFonts w:hint="eastAsia" w:ascii="宋体" w:hAnsi="宋体"/>
          <w:sz w:val="24"/>
        </w:rPr>
        <w:t>），报价如下：</w:t>
      </w:r>
    </w:p>
    <w:p>
      <w:pPr>
        <w:spacing w:line="500" w:lineRule="exact"/>
        <w:rPr>
          <w:rFonts w:hint="eastAsia" w:ascii="宋体" w:hAnsi="宋体"/>
          <w:color w:val="auto"/>
          <w:sz w:val="24"/>
        </w:rPr>
      </w:pPr>
      <w:r>
        <w:rPr>
          <w:rFonts w:hint="eastAsia" w:ascii="宋体" w:hAnsi="宋体"/>
          <w:color w:val="auto"/>
          <w:sz w:val="24"/>
          <w:lang w:val="en-US" w:eastAsia="zh-CN"/>
        </w:rPr>
        <w:t>1、</w:t>
      </w:r>
      <w:r>
        <w:rPr>
          <w:rFonts w:hint="eastAsia" w:ascii="宋体" w:hAnsi="宋体"/>
          <w:color w:val="auto"/>
          <w:sz w:val="24"/>
        </w:rPr>
        <w:t>我公司可按贵司要求供应</w:t>
      </w:r>
      <w:r>
        <w:rPr>
          <w:rFonts w:hint="eastAsia" w:ascii="宋体" w:hAnsi="宋体"/>
          <w:color w:val="auto"/>
          <w:sz w:val="24"/>
          <w:lang w:val="en-US" w:eastAsia="zh-CN"/>
        </w:rPr>
        <w:t>加氢裂化装置水溶性中和缓蚀剂</w:t>
      </w:r>
      <w:r>
        <w:rPr>
          <w:rFonts w:hint="eastAsia" w:ascii="宋体" w:hAnsi="宋体"/>
          <w:color w:val="auto"/>
          <w:sz w:val="24"/>
        </w:rPr>
        <w:t>：</w:t>
      </w:r>
    </w:p>
    <w:p>
      <w:pPr>
        <w:spacing w:line="500" w:lineRule="exact"/>
        <w:rPr>
          <w:rFonts w:hint="eastAsia" w:ascii="宋体" w:hAnsi="宋体"/>
          <w:color w:val="auto"/>
          <w:sz w:val="24"/>
          <w:lang w:val="en-US" w:eastAsia="zh-CN"/>
        </w:rPr>
      </w:pPr>
      <w:r>
        <w:rPr>
          <w:rFonts w:hint="eastAsia" w:ascii="宋体" w:hAnsi="宋体"/>
          <w:color w:val="auto"/>
          <w:sz w:val="24"/>
          <w:lang w:val="en-US" w:eastAsia="zh-CN"/>
        </w:rPr>
        <w:t>2、数量（约1.5年使用量）：______吨； 规格型号：_____________</w:t>
      </w:r>
    </w:p>
    <w:p>
      <w:pPr>
        <w:spacing w:line="500" w:lineRule="exact"/>
        <w:ind w:firstLine="240" w:firstLineChars="100"/>
        <w:rPr>
          <w:rFonts w:hint="eastAsia" w:cs="Times New Roman"/>
          <w:sz w:val="24"/>
          <w:lang w:eastAsia="zh-CN"/>
        </w:rPr>
      </w:pPr>
      <w:r>
        <w:rPr>
          <w:rFonts w:hint="eastAsia" w:ascii="宋体" w:hAnsi="宋体"/>
          <w:color w:val="auto"/>
          <w:sz w:val="24"/>
          <w:lang w:val="en-US" w:eastAsia="zh-CN"/>
        </w:rPr>
        <w:t xml:space="preserve"> </w:t>
      </w:r>
      <w:r>
        <w:rPr>
          <w:rFonts w:hint="eastAsia" w:ascii="Times New Roman" w:hAnsi="Times New Roman" w:eastAsia="宋体" w:cs="Times New Roman"/>
          <w:sz w:val="24"/>
          <w:lang w:val="en-US" w:eastAsia="zh-CN"/>
        </w:rPr>
        <w:t>说明：</w:t>
      </w:r>
      <w:r>
        <w:rPr>
          <w:rFonts w:hint="eastAsia" w:cs="Times New Roman"/>
          <w:sz w:val="24"/>
          <w:lang w:val="en-US" w:eastAsia="zh-CN"/>
        </w:rPr>
        <w:t>（1）</w:t>
      </w:r>
      <w:r>
        <w:rPr>
          <w:rFonts w:hint="eastAsia" w:ascii="Times New Roman" w:hAnsi="Times New Roman" w:eastAsia="宋体" w:cs="Times New Roman"/>
          <w:sz w:val="24"/>
          <w:lang w:val="en-US" w:eastAsia="zh-CN"/>
        </w:rPr>
        <w:t>本次采购量为装置</w:t>
      </w:r>
      <w:r>
        <w:rPr>
          <w:rFonts w:hint="eastAsia" w:cs="Times New Roman"/>
          <w:sz w:val="24"/>
          <w:lang w:val="en-US" w:eastAsia="zh-CN"/>
        </w:rPr>
        <w:t>约1.5</w:t>
      </w:r>
      <w:r>
        <w:rPr>
          <w:rFonts w:hint="eastAsia" w:ascii="Times New Roman" w:hAnsi="Times New Roman" w:eastAsia="宋体" w:cs="Times New Roman"/>
          <w:sz w:val="24"/>
          <w:lang w:val="en-US" w:eastAsia="zh-CN"/>
        </w:rPr>
        <w:t>年使用量</w:t>
      </w:r>
      <w:r>
        <w:rPr>
          <w:rFonts w:hint="eastAsia" w:cs="Times New Roman"/>
          <w:sz w:val="24"/>
          <w:lang w:val="en-US" w:eastAsia="zh-CN"/>
        </w:rPr>
        <w:t>，供方提报的数量为2023年7月31日至2024年12月31日封顶数量</w:t>
      </w:r>
      <w:r>
        <w:rPr>
          <w:rFonts w:hint="eastAsia" w:cs="Times New Roman"/>
          <w:sz w:val="24"/>
          <w:highlight w:val="none"/>
          <w:lang w:val="en-US" w:eastAsia="zh-CN"/>
        </w:rPr>
        <w:t>。</w:t>
      </w:r>
      <w:r>
        <w:rPr>
          <w:rFonts w:hint="eastAsia" w:ascii="Times New Roman" w:hAnsi="Times New Roman" w:eastAsia="宋体" w:cs="Times New Roman"/>
          <w:sz w:val="24"/>
        </w:rPr>
        <w:t>加氢裂化装置中和缓蚀剂注入量</w:t>
      </w:r>
      <w:r>
        <w:rPr>
          <w:rFonts w:hint="eastAsia" w:cs="Times New Roman"/>
          <w:sz w:val="24"/>
          <w:lang w:val="en-US" w:eastAsia="zh-CN"/>
        </w:rPr>
        <w:t>按照技术</w:t>
      </w:r>
      <w:r>
        <w:rPr>
          <w:rFonts w:ascii="Times New Roman" w:hAnsi="Times New Roman" w:eastAsia="宋体" w:cs="Times New Roman"/>
          <w:sz w:val="24"/>
        </w:rPr>
        <w:t>要求</w:t>
      </w:r>
      <w:r>
        <w:rPr>
          <w:rFonts w:hint="eastAsia" w:cs="Times New Roman"/>
          <w:sz w:val="24"/>
          <w:lang w:val="en-US" w:eastAsia="zh-CN"/>
        </w:rPr>
        <w:t>执行</w:t>
      </w:r>
      <w:r>
        <w:rPr>
          <w:rFonts w:hint="eastAsia" w:cs="Times New Roman"/>
          <w:sz w:val="24"/>
          <w:lang w:eastAsia="zh-CN"/>
        </w:rPr>
        <w:t>：</w:t>
      </w:r>
    </w:p>
    <w:tbl>
      <w:tblPr>
        <w:tblStyle w:val="15"/>
        <w:tblW w:w="64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0"/>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jc w:val="center"/>
        </w:trPr>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注入点</w:t>
            </w:r>
          </w:p>
        </w:tc>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注入量（mg/kg）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jc w:val="center"/>
        </w:trPr>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产品汽提塔顶</w:t>
            </w:r>
          </w:p>
        </w:tc>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jc w:val="center"/>
        </w:trPr>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贫油吸收塔顶</w:t>
            </w:r>
          </w:p>
        </w:tc>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jc w:val="center"/>
        </w:trPr>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脱乙烷塔顶</w:t>
            </w:r>
          </w:p>
        </w:tc>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jc w:val="center"/>
        </w:trPr>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脱丁烷塔顶</w:t>
            </w:r>
          </w:p>
        </w:tc>
        <w:tc>
          <w:tcPr>
            <w:tcW w:w="3220" w:type="dxa"/>
          </w:tcPr>
          <w:p>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≤10</w:t>
            </w:r>
          </w:p>
        </w:tc>
      </w:tr>
    </w:tbl>
    <w:p>
      <w:pPr>
        <w:numPr>
          <w:ilvl w:val="0"/>
          <w:numId w:val="6"/>
        </w:numPr>
        <w:spacing w:line="500" w:lineRule="exact"/>
        <w:ind w:firstLine="480" w:firstLineChars="200"/>
        <w:rPr>
          <w:rFonts w:hint="eastAsia" w:ascii="宋体" w:hAnsi="宋体"/>
          <w:color w:val="auto"/>
          <w:sz w:val="24"/>
          <w:lang w:val="en-US" w:eastAsia="zh-CN"/>
        </w:rPr>
      </w:pPr>
      <w:r>
        <w:rPr>
          <w:rFonts w:hint="eastAsia" w:ascii="宋体" w:hAnsi="宋体"/>
          <w:color w:val="auto"/>
          <w:sz w:val="24"/>
          <w:lang w:val="en-US" w:eastAsia="zh-CN"/>
        </w:rPr>
        <w:t>福建福海创石油化工有限公司316万吨/年加氢裂化装置，各注入点缓蚀剂加注量不得高于上表中注入量，2套缓蚀剂注入点按注入量单独结算，最大预估季度消耗缓蚀剂：塔顶气相流量*季度注剂时长*注入量/1000000。实际供货量以装置实际消耗量为准，若需方各塔顶气相流量未超技术要求中条款3.3中所列流量，</w:t>
      </w:r>
      <w:r>
        <w:rPr>
          <w:rFonts w:hint="eastAsia" w:ascii="宋体" w:hAnsi="宋体"/>
          <w:color w:val="auto"/>
          <w:sz w:val="24"/>
          <w:highlight w:val="yellow"/>
          <w:lang w:val="en-US" w:eastAsia="zh-CN"/>
        </w:rPr>
        <w:t>为了达到缓蚀效果，实际缓蚀剂用量超出最大预估季度消耗缓蚀量部分视同赠送。</w:t>
      </w:r>
    </w:p>
    <w:p>
      <w:pPr>
        <w:numPr>
          <w:ilvl w:val="0"/>
          <w:numId w:val="0"/>
        </w:numPr>
        <w:spacing w:line="312" w:lineRule="auto"/>
        <w:rPr>
          <w:rFonts w:hint="eastAsia" w:ascii="宋体" w:hAnsi="宋体"/>
          <w:color w:val="auto"/>
          <w:sz w:val="24"/>
          <w:u w:val="single"/>
        </w:rPr>
      </w:pPr>
      <w:r>
        <w:rPr>
          <w:rFonts w:hint="eastAsia" w:ascii="宋体" w:hAnsi="宋体"/>
          <w:color w:val="auto"/>
          <w:sz w:val="24"/>
          <w:lang w:val="en-US" w:eastAsia="zh-CN"/>
        </w:rPr>
        <w:t>3、</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p>
    <w:p>
      <w:pPr>
        <w:numPr>
          <w:ilvl w:val="0"/>
          <w:numId w:val="7"/>
        </w:numPr>
        <w:spacing w:line="312" w:lineRule="auto"/>
        <w:rPr>
          <w:rFonts w:hint="eastAsia" w:ascii="宋体" w:hAnsi="宋体"/>
          <w:color w:val="auto"/>
          <w:sz w:val="24"/>
        </w:rPr>
      </w:pPr>
      <w:r>
        <w:rPr>
          <w:rFonts w:hint="eastAsia" w:ascii="宋体" w:hAnsi="宋体"/>
          <w:color w:val="auto"/>
          <w:sz w:val="24"/>
        </w:rPr>
        <w:t>产品的包装</w:t>
      </w:r>
      <w:r>
        <w:rPr>
          <w:rFonts w:hint="eastAsia" w:ascii="宋体" w:hAnsi="宋体"/>
          <w:color w:val="auto"/>
          <w:sz w:val="24"/>
          <w:lang w:eastAsia="zh-CN"/>
        </w:rPr>
        <w:t>：</w:t>
      </w:r>
      <w:r>
        <w:rPr>
          <w:rFonts w:hint="eastAsia" w:ascii="宋体" w:hAnsi="宋体"/>
          <w:color w:val="auto"/>
          <w:sz w:val="24"/>
          <w:lang w:val="en-US" w:eastAsia="zh-CN"/>
        </w:rPr>
        <w:t>采用桶包装，使用后的空桶由供方进行回收处理。</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技术要求</w:t>
      </w:r>
      <w:r>
        <w:rPr>
          <w:rFonts w:hint="eastAsia" w:ascii="宋体" w:hAnsi="宋体"/>
          <w:color w:val="auto"/>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壹万元</w:t>
      </w:r>
      <w:r>
        <w:rPr>
          <w:rFonts w:hint="eastAsia" w:ascii="宋体" w:hAnsi="宋体"/>
          <w:sz w:val="24"/>
        </w:rPr>
        <w:t>整，若我司中选，我司同意按照要求</w:t>
      </w:r>
      <w:r>
        <w:rPr>
          <w:rFonts w:hint="eastAsia" w:ascii="宋体" w:hAnsi="宋体"/>
          <w:sz w:val="24"/>
          <w:lang w:val="en-US" w:eastAsia="zh-CN"/>
        </w:rPr>
        <w:t>转为履约保证金，</w:t>
      </w:r>
      <w:r>
        <w:rPr>
          <w:rFonts w:hint="eastAsia" w:ascii="宋体" w:hAnsi="宋体"/>
          <w:color w:val="auto"/>
          <w:sz w:val="24"/>
          <w:highlight w:val="none"/>
          <w:lang w:val="en-US" w:eastAsia="zh-CN"/>
        </w:rPr>
        <w:t>待履约后申请无息返还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分批季度</w:t>
      </w:r>
      <w:r>
        <w:rPr>
          <w:rFonts w:hint="eastAsia" w:ascii="宋体" w:hAnsi="宋体"/>
          <w:sz w:val="24"/>
        </w:rPr>
        <w:t>到货，</w:t>
      </w:r>
      <w:r>
        <w:rPr>
          <w:rFonts w:hint="eastAsia" w:ascii="宋体" w:hAnsi="宋体"/>
          <w:sz w:val="24"/>
          <w:lang w:val="en-US" w:eastAsia="zh-CN"/>
        </w:rPr>
        <w:t>货物需于2023年6月底前具备到货条件，具体到货时间以需方通知为准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50" w:lineRule="exact"/>
        <w:jc w:val="left"/>
        <w:rPr>
          <w:rFonts w:hint="eastAsia" w:ascii="宋体" w:hAnsi="宋体"/>
          <w:sz w:val="24"/>
          <w:lang w:eastAsia="zh-CN"/>
        </w:rPr>
      </w:pPr>
      <w:r>
        <w:rPr>
          <w:rFonts w:hint="eastAsia" w:ascii="宋体" w:hAnsi="宋体"/>
          <w:sz w:val="24"/>
        </w:rPr>
        <w:t>1、</w:t>
      </w:r>
      <w:r>
        <w:rPr>
          <w:rFonts w:hint="eastAsia" w:ascii="宋体" w:hAnsi="宋体"/>
          <w:sz w:val="24"/>
          <w:lang w:val="en-US" w:eastAsia="zh-CN"/>
        </w:rPr>
        <w:t>付款方式：</w:t>
      </w:r>
      <w:r>
        <w:rPr>
          <w:rFonts w:hint="eastAsia" w:ascii="宋体" w:hAnsi="宋体" w:cs="宋体"/>
          <w:sz w:val="24"/>
        </w:rPr>
        <w:t>现汇支付</w:t>
      </w:r>
      <w:r>
        <w:rPr>
          <w:rFonts w:hint="eastAsia" w:ascii="宋体" w:hAnsi="宋体" w:cs="宋体"/>
          <w:sz w:val="24"/>
          <w:lang w:eastAsia="zh-CN"/>
        </w:rPr>
        <w:t>，</w:t>
      </w:r>
      <w:r>
        <w:rPr>
          <w:rFonts w:hint="eastAsia" w:ascii="宋体" w:hAnsi="宋体" w:cs="宋体"/>
          <w:sz w:val="24"/>
          <w:lang w:val="en-US" w:eastAsia="zh-CN"/>
        </w:rPr>
        <w:t>按季度考核付款</w:t>
      </w:r>
      <w:r>
        <w:rPr>
          <w:rFonts w:hint="eastAsia" w:ascii="宋体" w:hAnsi="宋体" w:cs="宋体"/>
          <w:sz w:val="24"/>
        </w:rPr>
        <w:t>。</w:t>
      </w:r>
      <w:r>
        <w:rPr>
          <w:rFonts w:hint="eastAsia" w:ascii="宋体" w:hAnsi="宋体" w:cs="宋体"/>
          <w:sz w:val="24"/>
          <w:lang w:val="en-US" w:eastAsia="zh-CN"/>
        </w:rPr>
        <w:t>分批季度到货、分批付款。</w:t>
      </w:r>
      <w:r>
        <w:rPr>
          <w:rFonts w:hint="eastAsia" w:ascii="宋体" w:hAnsi="宋体" w:cs="宋体"/>
          <w:sz w:val="24"/>
        </w:rPr>
        <w:t>每批产品到货</w:t>
      </w:r>
      <w:r>
        <w:rPr>
          <w:rFonts w:hint="eastAsia" w:ascii="宋体" w:hAnsi="宋体" w:cs="宋体"/>
          <w:sz w:val="24"/>
          <w:lang w:val="en-US" w:eastAsia="zh-CN"/>
        </w:rPr>
        <w:t>后</w:t>
      </w:r>
      <w:r>
        <w:rPr>
          <w:rFonts w:hint="eastAsia" w:ascii="宋体" w:hAnsi="宋体" w:cs="宋体"/>
          <w:sz w:val="24"/>
        </w:rPr>
        <w:t>，</w:t>
      </w:r>
      <w:r>
        <w:rPr>
          <w:rFonts w:hint="eastAsia" w:ascii="宋体" w:hAnsi="宋体" w:cs="宋体"/>
          <w:sz w:val="24"/>
          <w:lang w:val="en-US" w:eastAsia="zh-CN"/>
        </w:rPr>
        <w:t>根据季度考核结果付款</w:t>
      </w:r>
      <w:r>
        <w:rPr>
          <w:rFonts w:hint="eastAsia" w:ascii="宋体" w:hAnsi="宋体" w:cs="宋体"/>
          <w:sz w:val="24"/>
          <w:lang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2、结算方式：</w:t>
      </w:r>
    </w:p>
    <w:p>
      <w:pPr>
        <w:numPr>
          <w:ilvl w:val="0"/>
          <w:numId w:val="0"/>
        </w:numPr>
        <w:spacing w:line="312" w:lineRule="auto"/>
        <w:ind w:firstLine="480" w:firstLineChars="200"/>
        <w:rPr>
          <w:rFonts w:hint="eastAsia" w:ascii="宋体" w:hAnsi="宋体"/>
          <w:sz w:val="24"/>
          <w:lang w:val="en-US" w:eastAsia="zh-CN"/>
        </w:rPr>
      </w:pPr>
      <w:r>
        <w:rPr>
          <w:rFonts w:hint="eastAsia" w:ascii="宋体" w:hAnsi="宋体"/>
          <w:sz w:val="24"/>
          <w:lang w:val="en-US" w:eastAsia="zh-CN"/>
        </w:rPr>
        <w:t>结算总价=中和缓蚀剂单价×季度消耗缓蚀剂量</w:t>
      </w:r>
    </w:p>
    <w:p>
      <w:pPr>
        <w:numPr>
          <w:ilvl w:val="0"/>
          <w:numId w:val="0"/>
        </w:numPr>
        <w:spacing w:line="312" w:lineRule="auto"/>
        <w:ind w:firstLine="480" w:firstLineChars="200"/>
        <w:rPr>
          <w:rFonts w:hint="eastAsia" w:ascii="宋体" w:hAnsi="宋体"/>
          <w:sz w:val="24"/>
          <w:lang w:val="en-US" w:eastAsia="zh-CN"/>
        </w:rPr>
      </w:pPr>
      <w:r>
        <w:rPr>
          <w:rFonts w:hint="eastAsia" w:ascii="宋体" w:hAnsi="宋体"/>
          <w:sz w:val="24"/>
          <w:lang w:val="en-US" w:eastAsia="zh-CN"/>
        </w:rPr>
        <w:t>以上述表格各注入点缓蚀剂用量作为付款基础，酸性水合格率≥90%，需方支付供方当批次该部分货款全款；80%≤合格率＜90%，按当批次该部分货款全款9折付款；70%≤合格率＜80%，按当批次该部分货款全款8折付款；60%≤合格率＜70%，按当批次该部分货款全款7折付款；50%≤合格率＜60%，按当批次该部分货款全款6折付款；合格率＜50%，不支付货款。</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2023-FHC-水溶性中和缓蚀剂-0</w:t>
      </w:r>
      <w:r>
        <w:rPr>
          <w:rFonts w:hint="eastAsia" w:asciiTheme="minorEastAsia" w:hAnsiTheme="minorEastAsia" w:eastAsiaTheme="minorEastAsia"/>
          <w:bCs/>
          <w:sz w:val="28"/>
          <w:szCs w:val="28"/>
          <w:u w:val="single"/>
          <w:lang w:val="en-US" w:eastAsia="zh-CN"/>
        </w:rPr>
        <w:t>510</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4"/>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szCs w:val="21"/>
        </w:rPr>
      </w:pPr>
      <w:r>
        <w:rPr>
          <w:rFonts w:hint="eastAsia" w:ascii="宋体" w:hAnsi="宋体"/>
          <w:b w:val="0"/>
          <w:bCs/>
          <w:color w:val="000000"/>
          <w:szCs w:val="21"/>
        </w:rPr>
        <w:t>上述数量及总金额均为暂定，</w:t>
      </w:r>
      <w:r>
        <w:rPr>
          <w:rFonts w:hint="eastAsia" w:ascii="宋体" w:hAnsi="宋体"/>
          <w:b w:val="0"/>
          <w:bCs/>
          <w:color w:val="000000"/>
          <w:szCs w:val="21"/>
          <w:lang w:val="en-US" w:eastAsia="zh-CN"/>
        </w:rPr>
        <w:t>上述数量</w:t>
      </w:r>
      <w:r>
        <w:rPr>
          <w:rFonts w:hint="eastAsia" w:ascii="宋体" w:hAnsi="宋体"/>
          <w:b w:val="0"/>
          <w:bCs/>
          <w:color w:val="000000"/>
          <w:szCs w:val="21"/>
        </w:rPr>
        <w:t>为</w:t>
      </w:r>
      <w:r>
        <w:rPr>
          <w:rFonts w:hint="eastAsia" w:ascii="宋体" w:hAnsi="宋体"/>
          <w:b w:val="0"/>
          <w:bCs/>
          <w:color w:val="000000"/>
          <w:szCs w:val="21"/>
          <w:lang w:val="en-US" w:eastAsia="zh-CN"/>
        </w:rPr>
        <w:t>2023年7月31日</w:t>
      </w:r>
      <w:r>
        <w:rPr>
          <w:rFonts w:hint="eastAsia" w:ascii="宋体" w:hAnsi="宋体"/>
          <w:b w:val="0"/>
          <w:bCs/>
          <w:color w:val="000000"/>
          <w:szCs w:val="21"/>
        </w:rPr>
        <w:t>至20</w:t>
      </w:r>
      <w:r>
        <w:rPr>
          <w:rFonts w:hint="eastAsia" w:ascii="宋体" w:hAnsi="宋体"/>
          <w:b w:val="0"/>
          <w:bCs/>
          <w:color w:val="000000"/>
          <w:szCs w:val="21"/>
          <w:lang w:val="en-US" w:eastAsia="zh-CN"/>
        </w:rPr>
        <w:t>24</w:t>
      </w:r>
      <w:r>
        <w:rPr>
          <w:rFonts w:hint="eastAsia" w:ascii="宋体" w:hAnsi="宋体"/>
          <w:b w:val="0"/>
          <w:bCs/>
          <w:color w:val="000000"/>
          <w:szCs w:val="21"/>
        </w:rPr>
        <w:t>年</w:t>
      </w:r>
      <w:r>
        <w:rPr>
          <w:rFonts w:hint="eastAsia" w:ascii="宋体" w:hAnsi="宋体"/>
          <w:b w:val="0"/>
          <w:bCs/>
          <w:color w:val="000000"/>
          <w:szCs w:val="21"/>
          <w:lang w:val="en-US" w:eastAsia="zh-CN"/>
        </w:rPr>
        <w:t>12</w:t>
      </w:r>
      <w:r>
        <w:rPr>
          <w:rFonts w:hint="eastAsia" w:ascii="宋体" w:hAnsi="宋体"/>
          <w:b w:val="0"/>
          <w:bCs/>
          <w:color w:val="000000"/>
          <w:szCs w:val="21"/>
        </w:rPr>
        <w:t>月</w:t>
      </w:r>
      <w:r>
        <w:rPr>
          <w:rFonts w:hint="eastAsia" w:ascii="宋体" w:hAnsi="宋体"/>
          <w:b w:val="0"/>
          <w:bCs/>
          <w:color w:val="000000"/>
          <w:szCs w:val="21"/>
          <w:lang w:val="en-US" w:eastAsia="zh-CN"/>
        </w:rPr>
        <w:t>31日</w:t>
      </w:r>
      <w:r>
        <w:rPr>
          <w:rFonts w:hint="eastAsia" w:ascii="宋体" w:hAnsi="宋体"/>
          <w:b w:val="0"/>
          <w:bCs/>
          <w:color w:val="000000"/>
          <w:szCs w:val="21"/>
        </w:rPr>
        <w:t>封顶数量：如果合约期内实际用药数量超过</w:t>
      </w:r>
      <w:r>
        <w:rPr>
          <w:rFonts w:hint="eastAsia" w:ascii="宋体" w:hAnsi="宋体"/>
          <w:b w:val="0"/>
          <w:bCs/>
          <w:color w:val="000000"/>
          <w:szCs w:val="21"/>
          <w:lang w:val="en-US" w:eastAsia="zh-CN"/>
        </w:rPr>
        <w:t>上述数量</w:t>
      </w:r>
      <w:r>
        <w:rPr>
          <w:rFonts w:hint="eastAsia" w:ascii="宋体" w:hAnsi="宋体"/>
          <w:b w:val="0"/>
          <w:bCs/>
          <w:color w:val="000000"/>
          <w:szCs w:val="21"/>
        </w:rPr>
        <w:t>，供方无条件补足；如果合约期内实际用药数量少于</w:t>
      </w:r>
      <w:r>
        <w:rPr>
          <w:rFonts w:hint="eastAsia" w:ascii="宋体" w:hAnsi="宋体"/>
          <w:b w:val="0"/>
          <w:bCs/>
          <w:color w:val="000000"/>
          <w:szCs w:val="21"/>
          <w:lang w:val="en-US" w:eastAsia="zh-CN"/>
        </w:rPr>
        <w:t>上述数量</w:t>
      </w:r>
      <w:r>
        <w:rPr>
          <w:rFonts w:hint="eastAsia" w:ascii="宋体" w:hAnsi="宋体"/>
          <w:b w:val="0"/>
          <w:bCs/>
          <w:color w:val="000000"/>
          <w:szCs w:val="21"/>
        </w:rPr>
        <w:t>，则按照实际用药数量进行结算。</w:t>
      </w:r>
    </w:p>
    <w:p>
      <w:pPr>
        <w:spacing w:line="280" w:lineRule="exact"/>
        <w:rPr>
          <w:rFonts w:ascii="宋体" w:hAnsi="宋体"/>
          <w:b/>
          <w:color w:val="000000"/>
          <w:szCs w:val="21"/>
        </w:rPr>
      </w:pPr>
      <w:r>
        <w:rPr>
          <w:rFonts w:hint="eastAsia" w:ascii="宋体" w:hAnsi="宋体"/>
          <w:b/>
          <w:szCs w:val="21"/>
        </w:rPr>
        <w:t>二、</w:t>
      </w:r>
      <w:r>
        <w:rPr>
          <w:rFonts w:hint="eastAsia" w:ascii="宋体" w:hAnsi="宋体"/>
          <w:b/>
          <w:color w:val="000000"/>
          <w:szCs w:val="21"/>
        </w:rPr>
        <w:t>供货有效期：</w:t>
      </w:r>
    </w:p>
    <w:p>
      <w:pPr>
        <w:numPr>
          <w:ilvl w:val="0"/>
          <w:numId w:val="0"/>
        </w:numPr>
        <w:spacing w:line="280" w:lineRule="exact"/>
        <w:ind w:leftChars="0" w:firstLine="420" w:firstLineChars="200"/>
        <w:rPr>
          <w:rFonts w:hint="eastAsia" w:ascii="宋体" w:hAnsi="宋体"/>
          <w:b/>
          <w:szCs w:val="21"/>
        </w:rPr>
      </w:pPr>
      <w:r>
        <w:rPr>
          <w:rFonts w:hint="eastAsia" w:ascii="宋体" w:hAnsi="宋体"/>
          <w:color w:val="000000"/>
          <w:szCs w:val="21"/>
          <w:lang w:val="en-US" w:eastAsia="zh-CN"/>
        </w:rPr>
        <w:t xml:space="preserve">本合同供货有效期：从 </w:t>
      </w:r>
      <w:r>
        <w:rPr>
          <w:rFonts w:hint="eastAsia" w:ascii="宋体" w:hAnsi="宋体"/>
          <w:color w:val="000000"/>
          <w:szCs w:val="21"/>
          <w:u w:val="single"/>
          <w:lang w:val="en-US" w:eastAsia="zh-CN"/>
        </w:rPr>
        <w:t>2023</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7</w:t>
      </w:r>
      <w:r>
        <w:rPr>
          <w:rFonts w:hint="eastAsia" w:ascii="宋体" w:hAnsi="宋体"/>
          <w:color w:val="000000" w:themeColor="text1"/>
          <w:szCs w:val="21"/>
          <w:u w:val="single"/>
          <w:lang w:val="en-US" w:eastAsia="zh-CN"/>
        </w:rPr>
        <w:t xml:space="preserve"> </w:t>
      </w:r>
      <w:r>
        <w:rPr>
          <w:rFonts w:hint="eastAsia" w:ascii="宋体" w:hAnsi="宋体"/>
          <w:color w:val="000000" w:themeColor="text1"/>
          <w:szCs w:val="21"/>
          <w:lang w:val="en-US" w:eastAsia="zh-CN"/>
        </w:rPr>
        <w:t>月</w:t>
      </w:r>
      <w:r>
        <w:rPr>
          <w:rFonts w:hint="eastAsia" w:ascii="宋体" w:hAnsi="宋体"/>
          <w:color w:val="000000" w:themeColor="text1"/>
          <w:szCs w:val="21"/>
          <w:u w:val="single"/>
          <w:lang w:val="en-US" w:eastAsia="zh-CN"/>
        </w:rPr>
        <w:t xml:space="preserve"> 31 </w:t>
      </w:r>
      <w:r>
        <w:rPr>
          <w:rFonts w:hint="eastAsia" w:ascii="宋体" w:hAnsi="宋体"/>
          <w:color w:val="000000" w:themeColor="text1"/>
          <w:szCs w:val="21"/>
          <w:lang w:val="en-US" w:eastAsia="zh-CN"/>
        </w:rPr>
        <w:t>日</w:t>
      </w:r>
      <w:r>
        <w:rPr>
          <w:rFonts w:hint="eastAsia" w:ascii="宋体" w:hAnsi="宋体"/>
          <w:color w:val="000000"/>
          <w:szCs w:val="21"/>
          <w:lang w:val="en-US" w:eastAsia="zh-CN"/>
        </w:rPr>
        <w:t xml:space="preserve">至 </w:t>
      </w:r>
      <w:r>
        <w:rPr>
          <w:rFonts w:hint="eastAsia" w:ascii="宋体" w:hAnsi="宋体"/>
          <w:color w:val="000000"/>
          <w:szCs w:val="21"/>
          <w:u w:val="single"/>
          <w:lang w:val="en-US" w:eastAsia="zh-CN"/>
        </w:rPr>
        <w:t>2024</w:t>
      </w:r>
      <w:r>
        <w:rPr>
          <w:rFonts w:hint="eastAsia" w:ascii="宋体" w:hAnsi="宋体"/>
          <w:color w:val="000000"/>
          <w:szCs w:val="21"/>
          <w:lang w:val="en-US" w:eastAsia="zh-CN"/>
        </w:rPr>
        <w:t>年</w:t>
      </w:r>
      <w:r>
        <w:rPr>
          <w:rFonts w:hint="eastAsia" w:ascii="宋体" w:hAnsi="宋体"/>
          <w:color w:val="000000"/>
          <w:szCs w:val="21"/>
          <w:u w:val="single"/>
          <w:lang w:val="en-US" w:eastAsia="zh-CN"/>
        </w:rPr>
        <w:t xml:space="preserve"> 12 </w:t>
      </w:r>
      <w:r>
        <w:rPr>
          <w:rFonts w:hint="eastAsia" w:ascii="宋体" w:hAnsi="宋体"/>
          <w:color w:val="000000"/>
          <w:szCs w:val="21"/>
          <w:lang w:val="en-US" w:eastAsia="zh-CN"/>
        </w:rPr>
        <w:t xml:space="preserve">月 </w:t>
      </w:r>
      <w:r>
        <w:rPr>
          <w:rFonts w:hint="eastAsia" w:ascii="宋体" w:hAnsi="宋体"/>
          <w:color w:val="000000"/>
          <w:szCs w:val="21"/>
          <w:u w:val="single"/>
          <w:lang w:val="en-US" w:eastAsia="zh-CN"/>
        </w:rPr>
        <w:t xml:space="preserve">31 </w:t>
      </w:r>
      <w:r>
        <w:rPr>
          <w:rFonts w:hint="eastAsia" w:ascii="宋体" w:hAnsi="宋体"/>
          <w:color w:val="000000"/>
          <w:szCs w:val="21"/>
          <w:lang w:val="en-US" w:eastAsia="zh-CN"/>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见附件</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cs="Arial"/>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 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桶包装，使用后的空桶由供方进行回收处理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eastAsia="宋体"/>
          <w:b/>
          <w:szCs w:val="21"/>
          <w:lang w:val="en-US" w:eastAsia="zh-CN"/>
        </w:rPr>
      </w:pPr>
      <w:r>
        <w:rPr>
          <w:rFonts w:hint="eastAsia" w:ascii="宋体" w:hAnsi="宋体"/>
          <w:b w:val="0"/>
          <w:bCs/>
          <w:szCs w:val="21"/>
        </w:rPr>
        <w:t>现汇支付</w:t>
      </w:r>
      <w:r>
        <w:rPr>
          <w:rFonts w:hint="eastAsia" w:ascii="宋体" w:hAnsi="宋体"/>
          <w:b w:val="0"/>
          <w:bCs/>
          <w:szCs w:val="21"/>
          <w:lang w:eastAsia="zh-CN"/>
        </w:rPr>
        <w:t>，</w:t>
      </w:r>
      <w:r>
        <w:rPr>
          <w:rFonts w:hint="eastAsia" w:ascii="宋体" w:hAnsi="宋体"/>
          <w:b w:val="0"/>
          <w:bCs/>
          <w:szCs w:val="21"/>
          <w:lang w:val="en-US" w:eastAsia="zh-CN"/>
        </w:rPr>
        <w:t>按季度考核付款</w:t>
      </w:r>
      <w:r>
        <w:rPr>
          <w:rFonts w:hint="eastAsia" w:ascii="宋体" w:hAnsi="宋体"/>
          <w:b w:val="0"/>
          <w:bCs/>
          <w:szCs w:val="21"/>
        </w:rPr>
        <w:t>。</w:t>
      </w:r>
      <w:r>
        <w:rPr>
          <w:rFonts w:hint="eastAsia" w:ascii="宋体" w:hAnsi="宋体"/>
          <w:b w:val="0"/>
          <w:bCs/>
          <w:szCs w:val="21"/>
          <w:lang w:val="en-US" w:eastAsia="zh-CN"/>
        </w:rPr>
        <w:t>分批季度到货、分批付款。</w:t>
      </w:r>
      <w:r>
        <w:rPr>
          <w:rFonts w:hint="eastAsia" w:ascii="宋体" w:hAnsi="宋体"/>
          <w:b w:val="0"/>
          <w:bCs/>
          <w:szCs w:val="21"/>
        </w:rPr>
        <w:t>每批产品到货</w:t>
      </w:r>
      <w:r>
        <w:rPr>
          <w:rFonts w:hint="eastAsia" w:ascii="宋体" w:hAnsi="宋体"/>
          <w:b w:val="0"/>
          <w:bCs/>
          <w:szCs w:val="21"/>
          <w:lang w:val="en-US" w:eastAsia="zh-CN"/>
        </w:rPr>
        <w:t>后</w:t>
      </w:r>
      <w:r>
        <w:rPr>
          <w:rFonts w:hint="eastAsia" w:ascii="宋体" w:hAnsi="宋体"/>
          <w:b w:val="0"/>
          <w:bCs/>
          <w:szCs w:val="21"/>
        </w:rPr>
        <w:t>，经需方或需方指定单位</w:t>
      </w:r>
      <w:r>
        <w:rPr>
          <w:rFonts w:hint="eastAsia" w:ascii="宋体" w:hAnsi="宋体"/>
          <w:b w:val="0"/>
          <w:bCs/>
          <w:color w:val="000000"/>
          <w:szCs w:val="21"/>
          <w:lang w:val="en-US" w:eastAsia="zh-CN"/>
        </w:rPr>
        <w:t>（福建福海创石油化工有限公司）</w:t>
      </w:r>
      <w:r>
        <w:rPr>
          <w:rFonts w:hint="eastAsia" w:ascii="宋体" w:hAnsi="宋体"/>
          <w:b w:val="0"/>
          <w:bCs/>
          <w:szCs w:val="21"/>
        </w:rPr>
        <w:t>根据双方签订的合同及技术</w:t>
      </w:r>
      <w:r>
        <w:rPr>
          <w:rFonts w:hint="eastAsia" w:ascii="宋体" w:hAnsi="宋体"/>
          <w:b w:val="0"/>
          <w:bCs/>
          <w:szCs w:val="21"/>
          <w:lang w:val="en-US" w:eastAsia="zh-CN"/>
        </w:rPr>
        <w:t>要求约定</w:t>
      </w:r>
      <w:r>
        <w:rPr>
          <w:rFonts w:hint="eastAsia" w:ascii="宋体" w:hAnsi="宋体"/>
          <w:b w:val="0"/>
          <w:bCs/>
          <w:szCs w:val="21"/>
        </w:rPr>
        <w:t>的</w:t>
      </w:r>
      <w:r>
        <w:rPr>
          <w:rFonts w:hint="eastAsia" w:ascii="宋体" w:hAnsi="宋体"/>
          <w:b w:val="0"/>
          <w:bCs/>
          <w:szCs w:val="21"/>
          <w:lang w:val="en-US" w:eastAsia="zh-CN"/>
        </w:rPr>
        <w:t>季度考核周期、</w:t>
      </w:r>
      <w:r>
        <w:rPr>
          <w:rFonts w:hint="eastAsia" w:ascii="宋体" w:hAnsi="宋体"/>
          <w:b w:val="0"/>
          <w:bCs/>
          <w:szCs w:val="21"/>
        </w:rPr>
        <w:t>质量、数量</w:t>
      </w:r>
      <w:r>
        <w:rPr>
          <w:rFonts w:hint="eastAsia" w:ascii="宋体" w:hAnsi="宋体"/>
          <w:b w:val="0"/>
          <w:bCs/>
          <w:szCs w:val="21"/>
          <w:lang w:val="en-US" w:eastAsia="zh-CN"/>
        </w:rPr>
        <w:t>及产品使用考核结果</w:t>
      </w:r>
      <w:r>
        <w:rPr>
          <w:rFonts w:hint="eastAsia" w:ascii="宋体" w:hAnsi="宋体"/>
          <w:b w:val="0"/>
          <w:bCs/>
          <w:szCs w:val="21"/>
        </w:rPr>
        <w:t>，供方提供相应金额的13%增值税专用发票以及结算所需的各类清单，需方收到并确认无误后</w:t>
      </w:r>
      <w:r>
        <w:rPr>
          <w:rFonts w:hint="eastAsia" w:ascii="宋体" w:hAnsi="宋体"/>
          <w:b w:val="0"/>
          <w:bCs/>
          <w:szCs w:val="21"/>
          <w:lang w:val="en-US" w:eastAsia="zh-CN"/>
        </w:rPr>
        <w:t>支付</w:t>
      </w:r>
      <w:r>
        <w:rPr>
          <w:rFonts w:hint="eastAsia" w:ascii="宋体" w:hAnsi="宋体"/>
          <w:b w:val="0"/>
          <w:bCs/>
          <w:szCs w:val="21"/>
        </w:rPr>
        <w:t>货款</w:t>
      </w:r>
      <w:r>
        <w:rPr>
          <w:rFonts w:hint="eastAsia" w:ascii="宋体" w:hAnsi="宋体"/>
          <w:b w:val="0"/>
          <w:bCs/>
          <w:szCs w:val="21"/>
          <w:lang w:eastAsia="zh-CN"/>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rPr>
        <w:t>分批到货，货物于202</w:t>
      </w:r>
      <w:r>
        <w:rPr>
          <w:rFonts w:hint="eastAsia" w:ascii="宋体" w:hAnsi="宋体"/>
          <w:b w:val="0"/>
          <w:bCs/>
          <w:szCs w:val="21"/>
          <w:lang w:val="en-US" w:eastAsia="zh-CN"/>
        </w:rPr>
        <w:t>3年6月底具备</w:t>
      </w:r>
      <w:r>
        <w:rPr>
          <w:rFonts w:hint="eastAsia" w:ascii="宋体" w:hAnsi="宋体"/>
          <w:b w:val="0"/>
          <w:bCs/>
          <w:szCs w:val="21"/>
        </w:rPr>
        <w:t>到货</w:t>
      </w:r>
      <w:r>
        <w:rPr>
          <w:rFonts w:hint="eastAsia" w:ascii="宋体" w:hAnsi="宋体"/>
          <w:b w:val="0"/>
          <w:bCs/>
          <w:szCs w:val="21"/>
          <w:lang w:val="en-US" w:eastAsia="zh-CN"/>
        </w:rPr>
        <w:t>条件</w:t>
      </w:r>
      <w:r>
        <w:rPr>
          <w:rFonts w:hint="eastAsia" w:ascii="宋体" w:hAnsi="宋体"/>
          <w:b w:val="0"/>
          <w:bCs/>
          <w:szCs w:val="21"/>
        </w:rPr>
        <w:t>，</w:t>
      </w:r>
      <w:r>
        <w:rPr>
          <w:rFonts w:hint="eastAsia" w:ascii="宋体" w:hAnsi="宋体"/>
          <w:b w:val="0"/>
          <w:bCs/>
          <w:szCs w:val="21"/>
          <w:lang w:val="en-US" w:eastAsia="zh-CN"/>
        </w:rPr>
        <w:t>具体到货时间</w:t>
      </w:r>
      <w:r>
        <w:rPr>
          <w:rFonts w:hint="eastAsia" w:ascii="宋体" w:hAnsi="宋体"/>
          <w:b w:val="0"/>
          <w:bCs/>
          <w:szCs w:val="21"/>
        </w:rPr>
        <w:t>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4"/>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5.1供方根据需方要求缴纳履约保证金，金额为人民币壹万元整。合同履约期届满，供方按合同约定履约的情况下，需方于供方提交返还履约保证金申请后30天内无息返还。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质量指标要求：</w:t>
      </w:r>
    </w:p>
    <w:tbl>
      <w:tblPr>
        <w:tblStyle w:val="15"/>
        <w:tblW w:w="70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8"/>
        <w:gridCol w:w="3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3478" w:type="dxa"/>
            <w:vAlign w:val="center"/>
          </w:tcPr>
          <w:p>
            <w:pPr>
              <w:spacing w:line="300" w:lineRule="exact"/>
              <w:ind w:firstLine="420" w:firstLineChars="200"/>
              <w:rPr>
                <w:rFonts w:hint="eastAsia"/>
                <w:szCs w:val="21"/>
                <w:lang w:val="en-US" w:eastAsia="zh-CN"/>
              </w:rPr>
            </w:pPr>
            <w:r>
              <w:rPr>
                <w:rFonts w:hint="eastAsia"/>
                <w:szCs w:val="21"/>
                <w:lang w:val="en-US" w:eastAsia="zh-CN"/>
              </w:rPr>
              <w:t>型号</w:t>
            </w:r>
          </w:p>
        </w:tc>
        <w:tc>
          <w:tcPr>
            <w:tcW w:w="3562" w:type="dxa"/>
            <w:vAlign w:val="center"/>
          </w:tcPr>
          <w:p>
            <w:pPr>
              <w:spacing w:line="300" w:lineRule="exact"/>
              <w:ind w:firstLine="420" w:firstLineChars="200"/>
              <w:rPr>
                <w:rFonts w:hint="eastAsia"/>
                <w:szCs w:val="21"/>
                <w:lang w:val="en-US" w:eastAsia="zh-CN"/>
              </w:rPr>
            </w:pPr>
            <w:r>
              <w:rPr>
                <w:rFonts w:hint="eastAsia"/>
                <w:szCs w:val="21"/>
                <w:lang w:val="en-US" w:eastAsia="zh-CN"/>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3478" w:type="dxa"/>
            <w:vAlign w:val="center"/>
          </w:tcPr>
          <w:p>
            <w:pPr>
              <w:spacing w:line="300" w:lineRule="exact"/>
              <w:ind w:firstLine="420" w:firstLineChars="200"/>
              <w:rPr>
                <w:rFonts w:hint="eastAsia"/>
                <w:szCs w:val="21"/>
                <w:lang w:val="en-US" w:eastAsia="zh-CN"/>
              </w:rPr>
            </w:pPr>
            <w:r>
              <w:rPr>
                <w:rFonts w:hint="eastAsia"/>
                <w:szCs w:val="21"/>
                <w:lang w:val="en-US" w:eastAsia="zh-CN"/>
              </w:rPr>
              <w:t>外观</w:t>
            </w:r>
          </w:p>
        </w:tc>
        <w:tc>
          <w:tcPr>
            <w:tcW w:w="356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均匀液体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3478" w:type="dxa"/>
            <w:vAlign w:val="center"/>
          </w:tcPr>
          <w:p>
            <w:pPr>
              <w:spacing w:line="300" w:lineRule="exact"/>
              <w:ind w:firstLine="420" w:firstLineChars="200"/>
              <w:rPr>
                <w:rFonts w:hint="eastAsia"/>
                <w:szCs w:val="21"/>
                <w:lang w:val="en-US" w:eastAsia="zh-CN"/>
              </w:rPr>
            </w:pPr>
            <w:r>
              <w:rPr>
                <w:rFonts w:hint="eastAsia"/>
                <w:szCs w:val="21"/>
                <w:lang w:val="en-US" w:eastAsia="zh-CN"/>
              </w:rPr>
              <w:t>密度（20℃），g/cm3</w:t>
            </w:r>
          </w:p>
        </w:tc>
        <w:tc>
          <w:tcPr>
            <w:tcW w:w="356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0.85~1.15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3478" w:type="dxa"/>
            <w:vAlign w:val="center"/>
          </w:tcPr>
          <w:p>
            <w:pPr>
              <w:spacing w:line="300" w:lineRule="exact"/>
              <w:ind w:firstLine="420" w:firstLineChars="200"/>
              <w:rPr>
                <w:rFonts w:hint="eastAsia"/>
                <w:szCs w:val="21"/>
                <w:lang w:val="en-US" w:eastAsia="zh-CN"/>
              </w:rPr>
            </w:pPr>
            <w:r>
              <w:rPr>
                <w:rFonts w:hint="eastAsia"/>
                <w:szCs w:val="21"/>
                <w:lang w:val="en-US" w:eastAsia="zh-CN"/>
              </w:rPr>
              <w:t>pH值（25℃）</w:t>
            </w:r>
          </w:p>
        </w:tc>
        <w:tc>
          <w:tcPr>
            <w:tcW w:w="356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3478" w:type="dxa"/>
            <w:vAlign w:val="center"/>
          </w:tcPr>
          <w:p>
            <w:pPr>
              <w:spacing w:line="300" w:lineRule="exact"/>
              <w:ind w:firstLine="420" w:firstLineChars="200"/>
              <w:rPr>
                <w:rFonts w:hint="eastAsia"/>
                <w:szCs w:val="21"/>
                <w:lang w:val="en-US" w:eastAsia="zh-CN"/>
              </w:rPr>
            </w:pPr>
            <w:r>
              <w:rPr>
                <w:rFonts w:hint="eastAsia"/>
                <w:szCs w:val="21"/>
                <w:lang w:val="en-US" w:eastAsia="zh-CN"/>
              </w:rPr>
              <w:t>凝点，℃</w:t>
            </w:r>
          </w:p>
        </w:tc>
        <w:tc>
          <w:tcPr>
            <w:tcW w:w="356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478" w:type="dxa"/>
            <w:vAlign w:val="center"/>
          </w:tcPr>
          <w:p>
            <w:pPr>
              <w:spacing w:line="300" w:lineRule="exact"/>
              <w:ind w:firstLine="420" w:firstLineChars="200"/>
              <w:rPr>
                <w:rFonts w:hint="eastAsia"/>
                <w:szCs w:val="21"/>
                <w:lang w:val="en-US" w:eastAsia="zh-CN"/>
              </w:rPr>
            </w:pPr>
            <w:r>
              <w:rPr>
                <w:rFonts w:hint="eastAsia"/>
                <w:szCs w:val="21"/>
                <w:lang w:val="en-US" w:eastAsia="zh-CN"/>
              </w:rPr>
              <w:t>溶解性</w:t>
            </w:r>
          </w:p>
        </w:tc>
        <w:tc>
          <w:tcPr>
            <w:tcW w:w="3562"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szCs w:val="21"/>
                <w:lang w:val="en-US" w:eastAsia="zh-CN"/>
              </w:rPr>
            </w:pPr>
            <w:r>
              <w:rPr>
                <w:rFonts w:hint="eastAsia"/>
                <w:szCs w:val="21"/>
                <w:lang w:val="en-US" w:eastAsia="zh-CN"/>
              </w:rPr>
              <w:t>易溶入水</w:t>
            </w:r>
          </w:p>
        </w:tc>
      </w:tr>
    </w:tbl>
    <w:p>
      <w:pPr>
        <w:spacing w:line="300" w:lineRule="exact"/>
        <w:ind w:firstLine="420" w:firstLineChars="200"/>
        <w:rPr>
          <w:rFonts w:hint="eastAsia"/>
          <w:szCs w:val="21"/>
          <w:lang w:val="en-US" w:eastAsia="zh-CN"/>
        </w:rPr>
      </w:pPr>
      <w:r>
        <w:rPr>
          <w:rFonts w:hint="eastAsia"/>
          <w:szCs w:val="21"/>
          <w:lang w:val="en-US" w:eastAsia="zh-CN"/>
        </w:rPr>
        <w:t>5.3 加氢裂化装置中和缓蚀剂技术保证值：</w:t>
      </w:r>
    </w:p>
    <w:p>
      <w:pPr>
        <w:spacing w:line="300" w:lineRule="exact"/>
        <w:ind w:firstLine="420" w:firstLineChars="200"/>
        <w:rPr>
          <w:rFonts w:hint="eastAsia"/>
          <w:szCs w:val="21"/>
          <w:lang w:val="en-US" w:eastAsia="zh-CN"/>
        </w:rPr>
      </w:pPr>
      <w:r>
        <w:rPr>
          <w:rFonts w:hint="eastAsia"/>
          <w:szCs w:val="21"/>
          <w:lang w:val="en-US" w:eastAsia="zh-CN"/>
        </w:rPr>
        <w:t>a.液态水溶性，产品水溶性好，无乳化现象。</w:t>
      </w:r>
    </w:p>
    <w:p>
      <w:pPr>
        <w:spacing w:line="300" w:lineRule="exact"/>
        <w:ind w:firstLine="420" w:firstLineChars="200"/>
        <w:rPr>
          <w:rFonts w:hint="eastAsia"/>
          <w:szCs w:val="21"/>
          <w:lang w:val="en-US" w:eastAsia="zh-CN"/>
        </w:rPr>
      </w:pPr>
      <w:r>
        <w:rPr>
          <w:rFonts w:hint="eastAsia"/>
          <w:szCs w:val="21"/>
          <w:lang w:val="en-US" w:eastAsia="zh-CN"/>
        </w:rPr>
        <w:t>b.塔顶酸性水总铁含量≤3mg/L，pH值6~9。</w:t>
      </w:r>
    </w:p>
    <w:p>
      <w:pPr>
        <w:spacing w:line="300" w:lineRule="exact"/>
        <w:ind w:firstLine="420" w:firstLineChars="200"/>
        <w:rPr>
          <w:rFonts w:hint="eastAsia"/>
          <w:szCs w:val="21"/>
          <w:lang w:val="en-US" w:eastAsia="zh-CN"/>
        </w:rPr>
      </w:pPr>
      <w:r>
        <w:rPr>
          <w:rFonts w:hint="eastAsia"/>
          <w:szCs w:val="21"/>
          <w:lang w:val="en-US" w:eastAsia="zh-CN"/>
        </w:rPr>
        <w:t>c.保证所提供产品在正确使用下对设备、装置无任何损坏，对下游催化剂、下游产品、终端产品无任何性质和质量的不良改变。</w:t>
      </w:r>
    </w:p>
    <w:p>
      <w:pPr>
        <w:spacing w:line="300" w:lineRule="exact"/>
        <w:ind w:firstLine="420" w:firstLineChars="200"/>
        <w:rPr>
          <w:rFonts w:hint="eastAsia"/>
          <w:szCs w:val="21"/>
          <w:lang w:val="en-US" w:eastAsia="zh-CN"/>
        </w:rPr>
      </w:pPr>
      <w:r>
        <w:rPr>
          <w:rFonts w:hint="eastAsia"/>
          <w:szCs w:val="21"/>
          <w:lang w:val="en-US" w:eastAsia="zh-CN"/>
        </w:rPr>
        <w:t>d.中和缓蚀剂产品预调配好，现场除盐水稀释后即可注入。</w:t>
      </w:r>
    </w:p>
    <w:p>
      <w:pPr>
        <w:spacing w:line="300" w:lineRule="exact"/>
        <w:ind w:firstLine="420" w:firstLineChars="200"/>
        <w:rPr>
          <w:rFonts w:hint="eastAsia"/>
          <w:szCs w:val="21"/>
          <w:lang w:val="en-US" w:eastAsia="zh-CN"/>
        </w:rPr>
      </w:pPr>
      <w:r>
        <w:rPr>
          <w:rFonts w:hint="eastAsia"/>
          <w:szCs w:val="21"/>
          <w:lang w:val="en-US" w:eastAsia="zh-CN"/>
        </w:rPr>
        <w:t>5.4 加氢裂化装置中和缓蚀剂注入量的要求；</w:t>
      </w:r>
    </w:p>
    <w:tbl>
      <w:tblPr>
        <w:tblStyle w:val="15"/>
        <w:tblW w:w="71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0"/>
        <w:gridCol w:w="3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00" w:lineRule="exact"/>
              <w:ind w:firstLine="420" w:firstLineChars="200"/>
              <w:rPr>
                <w:rFonts w:hint="eastAsia"/>
                <w:szCs w:val="21"/>
                <w:lang w:val="en-US" w:eastAsia="zh-CN"/>
              </w:rPr>
            </w:pPr>
            <w:r>
              <w:rPr>
                <w:rFonts w:hint="eastAsia"/>
                <w:szCs w:val="21"/>
                <w:lang w:val="en-US" w:eastAsia="zh-CN"/>
              </w:rPr>
              <w:t>注入点</w:t>
            </w:r>
          </w:p>
        </w:tc>
        <w:tc>
          <w:tcPr>
            <w:tcW w:w="3550" w:type="dxa"/>
          </w:tcPr>
          <w:p>
            <w:pPr>
              <w:spacing w:line="300" w:lineRule="exact"/>
              <w:ind w:firstLine="420" w:firstLineChars="200"/>
              <w:rPr>
                <w:rFonts w:hint="eastAsia"/>
                <w:szCs w:val="21"/>
                <w:lang w:val="en-US" w:eastAsia="zh-CN"/>
              </w:rPr>
            </w:pPr>
            <w:r>
              <w:rPr>
                <w:rFonts w:hint="eastAsia"/>
                <w:szCs w:val="21"/>
                <w:lang w:val="en-US" w:eastAsia="zh-CN"/>
              </w:rPr>
              <w:t>注入量（mg/kg）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00" w:lineRule="exact"/>
              <w:ind w:firstLine="420" w:firstLineChars="200"/>
              <w:rPr>
                <w:rFonts w:hint="eastAsia"/>
                <w:szCs w:val="21"/>
                <w:lang w:val="en-US" w:eastAsia="zh-CN"/>
              </w:rPr>
            </w:pPr>
            <w:r>
              <w:rPr>
                <w:rFonts w:hint="eastAsia"/>
                <w:szCs w:val="21"/>
                <w:lang w:val="en-US" w:eastAsia="zh-CN"/>
              </w:rPr>
              <w:t>产品汽提塔顶</w:t>
            </w:r>
          </w:p>
        </w:tc>
        <w:tc>
          <w:tcPr>
            <w:tcW w:w="3550" w:type="dxa"/>
          </w:tcPr>
          <w:p>
            <w:pPr>
              <w:spacing w:line="300" w:lineRule="exact"/>
              <w:ind w:firstLine="420" w:firstLineChars="200"/>
              <w:rPr>
                <w:rFonts w:hint="eastAsia"/>
                <w:szCs w:val="21"/>
                <w:lang w:val="en-US" w:eastAsia="zh-CN"/>
              </w:rPr>
            </w:pPr>
            <w:r>
              <w:rPr>
                <w:rFonts w:hint="eastAsia"/>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00" w:lineRule="exact"/>
              <w:ind w:firstLine="420" w:firstLineChars="200"/>
              <w:rPr>
                <w:rFonts w:hint="eastAsia"/>
                <w:szCs w:val="21"/>
                <w:lang w:val="en-US" w:eastAsia="zh-CN"/>
              </w:rPr>
            </w:pPr>
            <w:r>
              <w:rPr>
                <w:rFonts w:hint="eastAsia"/>
                <w:szCs w:val="21"/>
                <w:lang w:val="en-US" w:eastAsia="zh-CN"/>
              </w:rPr>
              <w:t>贫油吸收塔顶</w:t>
            </w:r>
          </w:p>
        </w:tc>
        <w:tc>
          <w:tcPr>
            <w:tcW w:w="3550" w:type="dxa"/>
          </w:tcPr>
          <w:p>
            <w:pPr>
              <w:spacing w:line="300" w:lineRule="exact"/>
              <w:ind w:firstLine="420" w:firstLineChars="200"/>
              <w:rPr>
                <w:rFonts w:hint="eastAsia"/>
                <w:szCs w:val="21"/>
                <w:lang w:val="en-US" w:eastAsia="zh-CN"/>
              </w:rPr>
            </w:pPr>
            <w:r>
              <w:rPr>
                <w:rFonts w:hint="eastAsia"/>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3550" w:type="dxa"/>
          </w:tcPr>
          <w:p>
            <w:pPr>
              <w:spacing w:line="300" w:lineRule="exact"/>
              <w:ind w:firstLine="420" w:firstLineChars="200"/>
              <w:rPr>
                <w:rFonts w:hint="eastAsia"/>
                <w:szCs w:val="21"/>
                <w:lang w:val="en-US" w:eastAsia="zh-CN"/>
              </w:rPr>
            </w:pPr>
            <w:r>
              <w:rPr>
                <w:rFonts w:hint="eastAsia"/>
                <w:szCs w:val="21"/>
                <w:lang w:val="en-US" w:eastAsia="zh-CN"/>
              </w:rPr>
              <w:t>脱乙烷塔顶</w:t>
            </w:r>
          </w:p>
        </w:tc>
        <w:tc>
          <w:tcPr>
            <w:tcW w:w="3550" w:type="dxa"/>
          </w:tcPr>
          <w:p>
            <w:pPr>
              <w:spacing w:line="300" w:lineRule="exact"/>
              <w:ind w:firstLine="420" w:firstLineChars="200"/>
              <w:rPr>
                <w:rFonts w:hint="eastAsia"/>
                <w:szCs w:val="21"/>
                <w:lang w:val="en-US" w:eastAsia="zh-CN"/>
              </w:rPr>
            </w:pPr>
            <w:r>
              <w:rPr>
                <w:rFonts w:hint="eastAsia"/>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jc w:val="center"/>
        </w:trPr>
        <w:tc>
          <w:tcPr>
            <w:tcW w:w="3550" w:type="dxa"/>
          </w:tcPr>
          <w:p>
            <w:pPr>
              <w:spacing w:line="300" w:lineRule="exact"/>
              <w:ind w:firstLine="420" w:firstLineChars="200"/>
              <w:rPr>
                <w:rFonts w:hint="eastAsia"/>
                <w:szCs w:val="21"/>
                <w:lang w:val="en-US" w:eastAsia="zh-CN"/>
              </w:rPr>
            </w:pPr>
            <w:r>
              <w:rPr>
                <w:rFonts w:hint="eastAsia"/>
                <w:szCs w:val="21"/>
                <w:lang w:val="en-US" w:eastAsia="zh-CN"/>
              </w:rPr>
              <w:t>脱丁烷塔顶</w:t>
            </w:r>
          </w:p>
        </w:tc>
        <w:tc>
          <w:tcPr>
            <w:tcW w:w="3550" w:type="dxa"/>
          </w:tcPr>
          <w:p>
            <w:pPr>
              <w:spacing w:line="300" w:lineRule="exact"/>
              <w:ind w:firstLine="420" w:firstLineChars="200"/>
              <w:rPr>
                <w:rFonts w:hint="eastAsia"/>
                <w:szCs w:val="21"/>
                <w:lang w:val="en-US" w:eastAsia="zh-CN"/>
              </w:rPr>
            </w:pPr>
            <w:r>
              <w:rPr>
                <w:rFonts w:hint="eastAsia"/>
                <w:szCs w:val="21"/>
                <w:lang w:val="en-US" w:eastAsia="zh-CN"/>
              </w:rPr>
              <w:t>≤10</w:t>
            </w:r>
          </w:p>
        </w:tc>
      </w:tr>
    </w:tbl>
    <w:p>
      <w:pPr>
        <w:spacing w:line="300" w:lineRule="exact"/>
        <w:ind w:firstLine="420" w:firstLineChars="200"/>
        <w:rPr>
          <w:rFonts w:hint="eastAsia"/>
          <w:szCs w:val="21"/>
          <w:lang w:val="en-US" w:eastAsia="zh-CN"/>
        </w:rPr>
      </w:pPr>
      <w:r>
        <w:rPr>
          <w:rFonts w:hint="eastAsia"/>
          <w:szCs w:val="21"/>
          <w:lang w:val="en-US" w:eastAsia="zh-CN"/>
        </w:rPr>
        <w:t>5.5 结算说明：费用结算以中和缓蚀剂单价×实际使用量的方式进行。药剂现场试用合格后，每三个月进行一次结算。根据考核结果合格率≥90%，需方支付供方当批次该部分货款全款；80%≤合格率＜90%，按当批次该部分货款全款9折付款；70%≤合格率＜80%，按当批次该部分货款全款8折付款；60%≤合格率＜70%，按当批次该部分货款全款7折付款；50%≤合格率＜60%，按当批次该部分货款全款6折付款；合格率＜50%，不支付货款。</w:t>
      </w:r>
    </w:p>
    <w:p>
      <w:pPr>
        <w:spacing w:line="300" w:lineRule="exact"/>
        <w:ind w:firstLine="420" w:firstLineChars="200"/>
        <w:rPr>
          <w:rFonts w:hint="eastAsia"/>
          <w:szCs w:val="21"/>
        </w:rPr>
      </w:pPr>
      <w:r>
        <w:rPr>
          <w:rFonts w:hint="eastAsia"/>
          <w:szCs w:val="21"/>
          <w:lang w:val="en-US" w:eastAsia="zh-CN"/>
        </w:rPr>
        <w:t>5.6 交货期限、质量保证、质量验收方法及随货提交资料等完全满足技术要求，每次交货数量按需方实际需求送货。</w:t>
      </w:r>
    </w:p>
    <w:p>
      <w:pPr>
        <w:spacing w:line="300" w:lineRule="exact"/>
        <w:ind w:firstLine="420" w:firstLineChars="200"/>
        <w:rPr>
          <w:rFonts w:hint="eastAsia"/>
          <w:lang w:val="en-US" w:eastAsia="zh-CN"/>
        </w:rPr>
      </w:pPr>
      <w:r>
        <w:rPr>
          <w:rFonts w:hint="eastAsia"/>
          <w:szCs w:val="21"/>
          <w:lang w:val="en-US" w:eastAsia="zh-CN"/>
        </w:rPr>
        <w:t>5.7 具体性能保证、验收结算方式及赔偿和技术服务范围详见附件技术要求</w:t>
      </w:r>
      <w:r>
        <w:rPr>
          <w:rFonts w:hint="eastAsia"/>
          <w:szCs w:val="21"/>
        </w:rPr>
        <w:t>。</w:t>
      </w:r>
    </w:p>
    <w:p>
      <w:pPr>
        <w:spacing w:line="300" w:lineRule="exact"/>
        <w:rPr>
          <w:rFonts w:hint="eastAsia"/>
          <w:szCs w:val="21"/>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MGDT">
    <w:altName w:val="Segoe Print"/>
    <w:panose1 w:val="00000400000000000000"/>
    <w:charset w:val="00"/>
    <w:family w:val="auto"/>
    <w:pitch w:val="default"/>
    <w:sig w:usb0="00000000" w:usb1="00000000" w:usb2="00000000" w:usb3="00000000" w:csb0="00000001" w:csb1="00000000"/>
  </w:font>
  <w:font w:name="Microsoft JhengHei">
    <w:panose1 w:val="020B0604030504040204"/>
    <w:charset w:val="88"/>
    <w:family w:val="auto"/>
    <w:pitch w:val="default"/>
    <w:sig w:usb0="000002A7" w:usb1="28CF4400" w:usb2="00000016" w:usb3="00000000" w:csb0="00100009" w:csb1="00000000"/>
  </w:font>
  <w:font w:name="Arabic Typesetting">
    <w:altName w:val="Ink Free"/>
    <w:panose1 w:val="03020402040406030203"/>
    <w:charset w:val="00"/>
    <w:family w:val="auto"/>
    <w:pitch w:val="default"/>
    <w:sig w:usb0="00000000" w:usb1="00000000" w:usb2="00000008" w:usb3="00000000" w:csb0="200000D3" w:csb1="00000000"/>
  </w:font>
  <w:font w:name="Aparajita">
    <w:altName w:val="Segoe Print"/>
    <w:panose1 w:val="020B0604020202020204"/>
    <w:charset w:val="00"/>
    <w:family w:val="auto"/>
    <w:pitch w:val="default"/>
    <w:sig w:usb0="00000000" w:usb1="00000000" w:usb2="00000000" w:usb3="00000000" w:csb0="00000001" w:csb1="00000000"/>
  </w:font>
  <w:font w:name="Ink Free">
    <w:panose1 w:val="03080402000500000000"/>
    <w:charset w:val="00"/>
    <w:family w:val="auto"/>
    <w:pitch w:val="default"/>
    <w:sig w:usb0="8000000F" w:usb1="00000000" w:usb2="00000000" w:usb3="00000000" w:csb0="00000093" w:csb1="00000000"/>
  </w:font>
  <w:font w:name="Courier New">
    <w:panose1 w:val="02070309020205020404"/>
    <w:charset w:val="00"/>
    <w:family w:val="modern"/>
    <w:pitch w:val="default"/>
    <w:sig w:usb0="E0002EFF" w:usb1="C0007843" w:usb2="00000009" w:usb3="00000000" w:csb0="400001FF" w:csb1="FFFF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font-weight : 400">
    <w:altName w:val="Segoe Print"/>
    <w:panose1 w:val="00000000000000000000"/>
    <w:charset w:val="00"/>
    <w:family w:val="auto"/>
    <w:pitch w:val="default"/>
    <w:sig w:usb0="00000000" w:usb1="00000000" w:usb2="00000000" w:usb3="00000000" w:csb0="00040001" w:csb1="00000000"/>
  </w:font>
  <w:font w:name="ArialMT">
    <w:altName w:val="新宋体"/>
    <w:panose1 w:val="00000000000000000000"/>
    <w:charset w:val="00"/>
    <w:family w:val="swiss"/>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FE2B234"/>
    <w:multiLevelType w:val="singleLevel"/>
    <w:tmpl w:val="5FE2B234"/>
    <w:lvl w:ilvl="0" w:tentative="0">
      <w:start w:val="2"/>
      <w:numFmt w:val="decimal"/>
      <w:suff w:val="nothing"/>
      <w:lvlText w:val="%1、"/>
      <w:lvlJc w:val="left"/>
    </w:lvl>
  </w:abstractNum>
  <w:abstractNum w:abstractNumId="5">
    <w:nsid w:val="645CADC0"/>
    <w:multiLevelType w:val="singleLevel"/>
    <w:tmpl w:val="645CADC0"/>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00A85"/>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055E4"/>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1BC32FB"/>
    <w:rsid w:val="02003C03"/>
    <w:rsid w:val="021D391B"/>
    <w:rsid w:val="024C0384"/>
    <w:rsid w:val="02773EF6"/>
    <w:rsid w:val="02CC4E1D"/>
    <w:rsid w:val="02D53A40"/>
    <w:rsid w:val="03033536"/>
    <w:rsid w:val="03261A08"/>
    <w:rsid w:val="032857C7"/>
    <w:rsid w:val="032D15FD"/>
    <w:rsid w:val="032F04D8"/>
    <w:rsid w:val="03E270E3"/>
    <w:rsid w:val="03E5328D"/>
    <w:rsid w:val="03FC64DE"/>
    <w:rsid w:val="042207A6"/>
    <w:rsid w:val="04444FBA"/>
    <w:rsid w:val="04675C1C"/>
    <w:rsid w:val="046B7835"/>
    <w:rsid w:val="046E24C0"/>
    <w:rsid w:val="046F7ACF"/>
    <w:rsid w:val="0546217C"/>
    <w:rsid w:val="057373C3"/>
    <w:rsid w:val="058B56E8"/>
    <w:rsid w:val="059A34DA"/>
    <w:rsid w:val="059B734C"/>
    <w:rsid w:val="05C112E8"/>
    <w:rsid w:val="05CE4353"/>
    <w:rsid w:val="05CF5BDF"/>
    <w:rsid w:val="061013A0"/>
    <w:rsid w:val="064416AA"/>
    <w:rsid w:val="064F4D05"/>
    <w:rsid w:val="06A3708D"/>
    <w:rsid w:val="06AB00B1"/>
    <w:rsid w:val="06BE6A75"/>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CC3EB5"/>
    <w:rsid w:val="0ADD75BB"/>
    <w:rsid w:val="0AE35D05"/>
    <w:rsid w:val="0B0D38CD"/>
    <w:rsid w:val="0B35169E"/>
    <w:rsid w:val="0B4A13AC"/>
    <w:rsid w:val="0B5504B4"/>
    <w:rsid w:val="0B8E420A"/>
    <w:rsid w:val="0BF30F66"/>
    <w:rsid w:val="0C3D7481"/>
    <w:rsid w:val="0CF127D7"/>
    <w:rsid w:val="0CFA5163"/>
    <w:rsid w:val="0DA163F9"/>
    <w:rsid w:val="0DAD56B9"/>
    <w:rsid w:val="0DD566C4"/>
    <w:rsid w:val="0E02486F"/>
    <w:rsid w:val="0E3D2F5D"/>
    <w:rsid w:val="0E3F22A2"/>
    <w:rsid w:val="0E8B20AA"/>
    <w:rsid w:val="0E9503CA"/>
    <w:rsid w:val="0EAF658B"/>
    <w:rsid w:val="0EE26DF9"/>
    <w:rsid w:val="0EE30943"/>
    <w:rsid w:val="0F3141ED"/>
    <w:rsid w:val="0F4E62EA"/>
    <w:rsid w:val="0F5C3CF6"/>
    <w:rsid w:val="0F6C3BB2"/>
    <w:rsid w:val="0F821B8F"/>
    <w:rsid w:val="0F8C0A60"/>
    <w:rsid w:val="0FA364D6"/>
    <w:rsid w:val="0FCE6C96"/>
    <w:rsid w:val="0FE34343"/>
    <w:rsid w:val="0FF86012"/>
    <w:rsid w:val="10167D42"/>
    <w:rsid w:val="10253B92"/>
    <w:rsid w:val="105A2ADD"/>
    <w:rsid w:val="105B6F62"/>
    <w:rsid w:val="108E2EA4"/>
    <w:rsid w:val="10C613A6"/>
    <w:rsid w:val="10F1561E"/>
    <w:rsid w:val="111E4EA7"/>
    <w:rsid w:val="11267F50"/>
    <w:rsid w:val="11715093"/>
    <w:rsid w:val="11782B5D"/>
    <w:rsid w:val="118A38B5"/>
    <w:rsid w:val="122E4A94"/>
    <w:rsid w:val="125F61EF"/>
    <w:rsid w:val="12737A03"/>
    <w:rsid w:val="12837C22"/>
    <w:rsid w:val="12CF31F9"/>
    <w:rsid w:val="12EA195B"/>
    <w:rsid w:val="12F479DF"/>
    <w:rsid w:val="132E735B"/>
    <w:rsid w:val="1363320F"/>
    <w:rsid w:val="1387789C"/>
    <w:rsid w:val="13B74194"/>
    <w:rsid w:val="142F7DC3"/>
    <w:rsid w:val="14806388"/>
    <w:rsid w:val="14937361"/>
    <w:rsid w:val="149868E6"/>
    <w:rsid w:val="14FC5116"/>
    <w:rsid w:val="15033088"/>
    <w:rsid w:val="150647E6"/>
    <w:rsid w:val="15101A52"/>
    <w:rsid w:val="15125849"/>
    <w:rsid w:val="15B51A48"/>
    <w:rsid w:val="15BF2E22"/>
    <w:rsid w:val="15C23309"/>
    <w:rsid w:val="15C31A47"/>
    <w:rsid w:val="15F16D9A"/>
    <w:rsid w:val="15FE1378"/>
    <w:rsid w:val="15FE1EB4"/>
    <w:rsid w:val="16172661"/>
    <w:rsid w:val="16270A04"/>
    <w:rsid w:val="165069FC"/>
    <w:rsid w:val="16FE1604"/>
    <w:rsid w:val="17132E4B"/>
    <w:rsid w:val="173B43BC"/>
    <w:rsid w:val="178C691A"/>
    <w:rsid w:val="179453BC"/>
    <w:rsid w:val="17D4431F"/>
    <w:rsid w:val="18163378"/>
    <w:rsid w:val="183256DA"/>
    <w:rsid w:val="183B0D71"/>
    <w:rsid w:val="184968FC"/>
    <w:rsid w:val="184B75EE"/>
    <w:rsid w:val="185D1C5F"/>
    <w:rsid w:val="188C5585"/>
    <w:rsid w:val="18C27F65"/>
    <w:rsid w:val="18FA6BBD"/>
    <w:rsid w:val="191A3D61"/>
    <w:rsid w:val="192A2CC6"/>
    <w:rsid w:val="197B4977"/>
    <w:rsid w:val="19DA3B6D"/>
    <w:rsid w:val="19F04AD4"/>
    <w:rsid w:val="1A247E7E"/>
    <w:rsid w:val="1A2F6DF9"/>
    <w:rsid w:val="1A3168AB"/>
    <w:rsid w:val="1A4C05AB"/>
    <w:rsid w:val="1A4F0A64"/>
    <w:rsid w:val="1A747000"/>
    <w:rsid w:val="1AD70553"/>
    <w:rsid w:val="1AF22A1C"/>
    <w:rsid w:val="1AFD66F4"/>
    <w:rsid w:val="1B233A0E"/>
    <w:rsid w:val="1B657395"/>
    <w:rsid w:val="1B7C1123"/>
    <w:rsid w:val="1B8F7883"/>
    <w:rsid w:val="1B927AE6"/>
    <w:rsid w:val="1BC93515"/>
    <w:rsid w:val="1BDB7427"/>
    <w:rsid w:val="1C034BA9"/>
    <w:rsid w:val="1C1B3FE4"/>
    <w:rsid w:val="1C513BF0"/>
    <w:rsid w:val="1C8261A0"/>
    <w:rsid w:val="1CD6666F"/>
    <w:rsid w:val="1CF31038"/>
    <w:rsid w:val="1D0113C9"/>
    <w:rsid w:val="1D05782C"/>
    <w:rsid w:val="1D7757F1"/>
    <w:rsid w:val="1DB72E7F"/>
    <w:rsid w:val="1DDB74E0"/>
    <w:rsid w:val="1E2F61EF"/>
    <w:rsid w:val="1E3264F3"/>
    <w:rsid w:val="1E600A9D"/>
    <w:rsid w:val="1E750E13"/>
    <w:rsid w:val="1EB505E6"/>
    <w:rsid w:val="1EBD3B62"/>
    <w:rsid w:val="1EF431C2"/>
    <w:rsid w:val="1F02429F"/>
    <w:rsid w:val="1F133081"/>
    <w:rsid w:val="1F590291"/>
    <w:rsid w:val="200516E1"/>
    <w:rsid w:val="207E3421"/>
    <w:rsid w:val="208A175C"/>
    <w:rsid w:val="2090579A"/>
    <w:rsid w:val="20996330"/>
    <w:rsid w:val="20AF45AF"/>
    <w:rsid w:val="20CB1C87"/>
    <w:rsid w:val="211A719D"/>
    <w:rsid w:val="215846DF"/>
    <w:rsid w:val="21BD6DBB"/>
    <w:rsid w:val="22345BE0"/>
    <w:rsid w:val="22500F52"/>
    <w:rsid w:val="22521DD3"/>
    <w:rsid w:val="227B0690"/>
    <w:rsid w:val="228E5A58"/>
    <w:rsid w:val="22A35795"/>
    <w:rsid w:val="22A62B30"/>
    <w:rsid w:val="22ED3ED6"/>
    <w:rsid w:val="23464916"/>
    <w:rsid w:val="23496B54"/>
    <w:rsid w:val="23532FBD"/>
    <w:rsid w:val="237B661E"/>
    <w:rsid w:val="238B4E5F"/>
    <w:rsid w:val="23AF5F4E"/>
    <w:rsid w:val="23B1083B"/>
    <w:rsid w:val="23BF50C8"/>
    <w:rsid w:val="23CC07DA"/>
    <w:rsid w:val="23F24C55"/>
    <w:rsid w:val="241D1936"/>
    <w:rsid w:val="24525B6A"/>
    <w:rsid w:val="247C7073"/>
    <w:rsid w:val="249358FA"/>
    <w:rsid w:val="2496308D"/>
    <w:rsid w:val="24A9374C"/>
    <w:rsid w:val="258777C9"/>
    <w:rsid w:val="2589209A"/>
    <w:rsid w:val="25B40CD0"/>
    <w:rsid w:val="25CB1E8B"/>
    <w:rsid w:val="25D9170E"/>
    <w:rsid w:val="25E0040C"/>
    <w:rsid w:val="25F3676D"/>
    <w:rsid w:val="26035576"/>
    <w:rsid w:val="263C16E1"/>
    <w:rsid w:val="2665006F"/>
    <w:rsid w:val="26AA092A"/>
    <w:rsid w:val="26C65BC6"/>
    <w:rsid w:val="270778B3"/>
    <w:rsid w:val="27311B05"/>
    <w:rsid w:val="273A5487"/>
    <w:rsid w:val="274761A1"/>
    <w:rsid w:val="27937EDA"/>
    <w:rsid w:val="27CF60B0"/>
    <w:rsid w:val="27E234BC"/>
    <w:rsid w:val="28012C6B"/>
    <w:rsid w:val="280475E2"/>
    <w:rsid w:val="282C18E9"/>
    <w:rsid w:val="28566230"/>
    <w:rsid w:val="285B7C69"/>
    <w:rsid w:val="28B0150E"/>
    <w:rsid w:val="28D51D40"/>
    <w:rsid w:val="29043F70"/>
    <w:rsid w:val="293555E2"/>
    <w:rsid w:val="299A1AD2"/>
    <w:rsid w:val="29AC4DAC"/>
    <w:rsid w:val="29B80978"/>
    <w:rsid w:val="29CE07E6"/>
    <w:rsid w:val="29D17C38"/>
    <w:rsid w:val="29DA1C97"/>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A705F6"/>
    <w:rsid w:val="2BD2550B"/>
    <w:rsid w:val="2BD36FC0"/>
    <w:rsid w:val="2BE04E2E"/>
    <w:rsid w:val="2C0B2A13"/>
    <w:rsid w:val="2C1E74F2"/>
    <w:rsid w:val="2C201604"/>
    <w:rsid w:val="2C31119D"/>
    <w:rsid w:val="2C3328C4"/>
    <w:rsid w:val="2C5548F9"/>
    <w:rsid w:val="2CC66116"/>
    <w:rsid w:val="2D2B1461"/>
    <w:rsid w:val="2D3E42A5"/>
    <w:rsid w:val="2DA319DC"/>
    <w:rsid w:val="2DF06759"/>
    <w:rsid w:val="2E12514F"/>
    <w:rsid w:val="2E351771"/>
    <w:rsid w:val="2E370E54"/>
    <w:rsid w:val="2EAD2321"/>
    <w:rsid w:val="2EC9577C"/>
    <w:rsid w:val="2EDC494F"/>
    <w:rsid w:val="2EF7551C"/>
    <w:rsid w:val="2F1F4355"/>
    <w:rsid w:val="2F210D6D"/>
    <w:rsid w:val="2F7C2C25"/>
    <w:rsid w:val="2F8E0962"/>
    <w:rsid w:val="2FA30B14"/>
    <w:rsid w:val="2FBC4452"/>
    <w:rsid w:val="2FBD5AB0"/>
    <w:rsid w:val="2FFE7C5C"/>
    <w:rsid w:val="30071591"/>
    <w:rsid w:val="30213AD6"/>
    <w:rsid w:val="30243F4A"/>
    <w:rsid w:val="303240F6"/>
    <w:rsid w:val="30725A8E"/>
    <w:rsid w:val="30985912"/>
    <w:rsid w:val="30E60CDF"/>
    <w:rsid w:val="31183D8E"/>
    <w:rsid w:val="312B136C"/>
    <w:rsid w:val="31506AAB"/>
    <w:rsid w:val="3165141F"/>
    <w:rsid w:val="31771119"/>
    <w:rsid w:val="31934494"/>
    <w:rsid w:val="319D55BA"/>
    <w:rsid w:val="31CE1FAB"/>
    <w:rsid w:val="31F21635"/>
    <w:rsid w:val="31F46862"/>
    <w:rsid w:val="321859D2"/>
    <w:rsid w:val="322E5C7B"/>
    <w:rsid w:val="323D28AC"/>
    <w:rsid w:val="32492609"/>
    <w:rsid w:val="328F6057"/>
    <w:rsid w:val="32A75EF3"/>
    <w:rsid w:val="32A92310"/>
    <w:rsid w:val="32AE7831"/>
    <w:rsid w:val="33413E8A"/>
    <w:rsid w:val="335E264F"/>
    <w:rsid w:val="337530C8"/>
    <w:rsid w:val="338059AD"/>
    <w:rsid w:val="33EA7F3E"/>
    <w:rsid w:val="33F1490B"/>
    <w:rsid w:val="340F4394"/>
    <w:rsid w:val="345B10E7"/>
    <w:rsid w:val="346720B7"/>
    <w:rsid w:val="347C5E46"/>
    <w:rsid w:val="34DA13EF"/>
    <w:rsid w:val="352C0C5B"/>
    <w:rsid w:val="35490544"/>
    <w:rsid w:val="355665E1"/>
    <w:rsid w:val="3595504A"/>
    <w:rsid w:val="35B058C7"/>
    <w:rsid w:val="35DC46C2"/>
    <w:rsid w:val="35DE34F2"/>
    <w:rsid w:val="35F871FB"/>
    <w:rsid w:val="35FC498E"/>
    <w:rsid w:val="36417C8D"/>
    <w:rsid w:val="366436B8"/>
    <w:rsid w:val="36886515"/>
    <w:rsid w:val="368A2F91"/>
    <w:rsid w:val="368B1D4A"/>
    <w:rsid w:val="369F3C73"/>
    <w:rsid w:val="36AA3A8A"/>
    <w:rsid w:val="36AC3A23"/>
    <w:rsid w:val="36E954BF"/>
    <w:rsid w:val="36FA78CD"/>
    <w:rsid w:val="37417CA5"/>
    <w:rsid w:val="3768338E"/>
    <w:rsid w:val="37945B49"/>
    <w:rsid w:val="379D3B99"/>
    <w:rsid w:val="37ED7F2D"/>
    <w:rsid w:val="381C0BFA"/>
    <w:rsid w:val="38227768"/>
    <w:rsid w:val="387939C8"/>
    <w:rsid w:val="38814998"/>
    <w:rsid w:val="38A94FE7"/>
    <w:rsid w:val="38BA64A1"/>
    <w:rsid w:val="38F04E1B"/>
    <w:rsid w:val="39057ED7"/>
    <w:rsid w:val="39137A71"/>
    <w:rsid w:val="39306C04"/>
    <w:rsid w:val="3955569C"/>
    <w:rsid w:val="39657C8F"/>
    <w:rsid w:val="3969383E"/>
    <w:rsid w:val="39882841"/>
    <w:rsid w:val="39ED2847"/>
    <w:rsid w:val="3A4967DD"/>
    <w:rsid w:val="3A500A72"/>
    <w:rsid w:val="3A5116BA"/>
    <w:rsid w:val="3A5B7748"/>
    <w:rsid w:val="3A87079F"/>
    <w:rsid w:val="3A8C3BAF"/>
    <w:rsid w:val="3ABA691E"/>
    <w:rsid w:val="3AD63889"/>
    <w:rsid w:val="3ADE5E05"/>
    <w:rsid w:val="3B053E48"/>
    <w:rsid w:val="3B106478"/>
    <w:rsid w:val="3B293E28"/>
    <w:rsid w:val="3B2F7891"/>
    <w:rsid w:val="3B573FA4"/>
    <w:rsid w:val="3BD4036B"/>
    <w:rsid w:val="3C1D4BEF"/>
    <w:rsid w:val="3C1E5B01"/>
    <w:rsid w:val="3C211860"/>
    <w:rsid w:val="3C333506"/>
    <w:rsid w:val="3C656913"/>
    <w:rsid w:val="3C94066E"/>
    <w:rsid w:val="3CFE624A"/>
    <w:rsid w:val="3D1251D3"/>
    <w:rsid w:val="3D173430"/>
    <w:rsid w:val="3D470E27"/>
    <w:rsid w:val="3D475A63"/>
    <w:rsid w:val="3D6D3B73"/>
    <w:rsid w:val="3DB71B39"/>
    <w:rsid w:val="3E032F87"/>
    <w:rsid w:val="3E287885"/>
    <w:rsid w:val="3E447FF5"/>
    <w:rsid w:val="3E536639"/>
    <w:rsid w:val="3E565DBA"/>
    <w:rsid w:val="3EEE28F9"/>
    <w:rsid w:val="3F1539A0"/>
    <w:rsid w:val="3F1E4982"/>
    <w:rsid w:val="3F516B77"/>
    <w:rsid w:val="3F756AB3"/>
    <w:rsid w:val="3FE93D8F"/>
    <w:rsid w:val="3FEE6A4A"/>
    <w:rsid w:val="401F30A7"/>
    <w:rsid w:val="40303FE1"/>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757300"/>
    <w:rsid w:val="428E4E02"/>
    <w:rsid w:val="42AB04B4"/>
    <w:rsid w:val="42BF0693"/>
    <w:rsid w:val="42D46CD2"/>
    <w:rsid w:val="42DA60A9"/>
    <w:rsid w:val="42DC0DDB"/>
    <w:rsid w:val="43396FCF"/>
    <w:rsid w:val="43434628"/>
    <w:rsid w:val="43482915"/>
    <w:rsid w:val="4351032C"/>
    <w:rsid w:val="4355293C"/>
    <w:rsid w:val="439439C5"/>
    <w:rsid w:val="4395062C"/>
    <w:rsid w:val="439E7A84"/>
    <w:rsid w:val="43CE62FE"/>
    <w:rsid w:val="43D46D19"/>
    <w:rsid w:val="44026924"/>
    <w:rsid w:val="44236751"/>
    <w:rsid w:val="448C78B8"/>
    <w:rsid w:val="44B2410D"/>
    <w:rsid w:val="44CB1108"/>
    <w:rsid w:val="44E4129A"/>
    <w:rsid w:val="453F611C"/>
    <w:rsid w:val="454D6E39"/>
    <w:rsid w:val="45C94E39"/>
    <w:rsid w:val="45CD5D18"/>
    <w:rsid w:val="45D568DB"/>
    <w:rsid w:val="45E64357"/>
    <w:rsid w:val="46051FED"/>
    <w:rsid w:val="46320679"/>
    <w:rsid w:val="46495A0E"/>
    <w:rsid w:val="464B079B"/>
    <w:rsid w:val="468077A8"/>
    <w:rsid w:val="468E6ECD"/>
    <w:rsid w:val="46AB53AC"/>
    <w:rsid w:val="46EA56DB"/>
    <w:rsid w:val="46FF03D4"/>
    <w:rsid w:val="47010586"/>
    <w:rsid w:val="470A5C85"/>
    <w:rsid w:val="473621E0"/>
    <w:rsid w:val="476C6251"/>
    <w:rsid w:val="479C322F"/>
    <w:rsid w:val="47A06F4B"/>
    <w:rsid w:val="47A8704F"/>
    <w:rsid w:val="47A978DA"/>
    <w:rsid w:val="47C12864"/>
    <w:rsid w:val="48037F6C"/>
    <w:rsid w:val="480C6C1B"/>
    <w:rsid w:val="48295411"/>
    <w:rsid w:val="48B268BC"/>
    <w:rsid w:val="48DF13FB"/>
    <w:rsid w:val="48F83E27"/>
    <w:rsid w:val="493B7D23"/>
    <w:rsid w:val="49545F4C"/>
    <w:rsid w:val="497038CD"/>
    <w:rsid w:val="497205C6"/>
    <w:rsid w:val="49730A66"/>
    <w:rsid w:val="499A66C3"/>
    <w:rsid w:val="49AC538B"/>
    <w:rsid w:val="4A2609F3"/>
    <w:rsid w:val="4A532137"/>
    <w:rsid w:val="4A784075"/>
    <w:rsid w:val="4A9E208F"/>
    <w:rsid w:val="4AEC33B6"/>
    <w:rsid w:val="4B2451E8"/>
    <w:rsid w:val="4B3D4012"/>
    <w:rsid w:val="4B4A24A6"/>
    <w:rsid w:val="4B6D039E"/>
    <w:rsid w:val="4B945212"/>
    <w:rsid w:val="4B9666FA"/>
    <w:rsid w:val="4BC2454D"/>
    <w:rsid w:val="4BC442C6"/>
    <w:rsid w:val="4BF27690"/>
    <w:rsid w:val="4C204881"/>
    <w:rsid w:val="4C775DE6"/>
    <w:rsid w:val="4C82133E"/>
    <w:rsid w:val="4CA3109F"/>
    <w:rsid w:val="4CE95EFF"/>
    <w:rsid w:val="4CF91653"/>
    <w:rsid w:val="4D13604C"/>
    <w:rsid w:val="4D845D59"/>
    <w:rsid w:val="4DA80E22"/>
    <w:rsid w:val="4DB81F38"/>
    <w:rsid w:val="4DD15AB5"/>
    <w:rsid w:val="4DE92DD7"/>
    <w:rsid w:val="4DFE7BC4"/>
    <w:rsid w:val="4E0062C6"/>
    <w:rsid w:val="4E0D5475"/>
    <w:rsid w:val="4E6B6CEB"/>
    <w:rsid w:val="4EAD5D22"/>
    <w:rsid w:val="4F7714C8"/>
    <w:rsid w:val="4F7B6890"/>
    <w:rsid w:val="4F8D5360"/>
    <w:rsid w:val="4FA265C1"/>
    <w:rsid w:val="4FAF2ACB"/>
    <w:rsid w:val="4FB17D65"/>
    <w:rsid w:val="4FB216F8"/>
    <w:rsid w:val="4FF14958"/>
    <w:rsid w:val="503B5A8A"/>
    <w:rsid w:val="505852F6"/>
    <w:rsid w:val="507E72C1"/>
    <w:rsid w:val="508235A6"/>
    <w:rsid w:val="50BB3ACD"/>
    <w:rsid w:val="50DE33C7"/>
    <w:rsid w:val="51264CC2"/>
    <w:rsid w:val="512F6EC2"/>
    <w:rsid w:val="513242BC"/>
    <w:rsid w:val="513403C7"/>
    <w:rsid w:val="518B38CB"/>
    <w:rsid w:val="518B4FD1"/>
    <w:rsid w:val="51E145FD"/>
    <w:rsid w:val="51E51CC3"/>
    <w:rsid w:val="522775F4"/>
    <w:rsid w:val="52350240"/>
    <w:rsid w:val="52670AC3"/>
    <w:rsid w:val="529A77A5"/>
    <w:rsid w:val="53396CC8"/>
    <w:rsid w:val="53523F58"/>
    <w:rsid w:val="536C4A8A"/>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0F5D54"/>
    <w:rsid w:val="5733660F"/>
    <w:rsid w:val="573834F1"/>
    <w:rsid w:val="57463334"/>
    <w:rsid w:val="574B6739"/>
    <w:rsid w:val="574D21DE"/>
    <w:rsid w:val="575A4891"/>
    <w:rsid w:val="578B6597"/>
    <w:rsid w:val="57942C39"/>
    <w:rsid w:val="57A13BBC"/>
    <w:rsid w:val="57C82901"/>
    <w:rsid w:val="57EB2081"/>
    <w:rsid w:val="583F04BE"/>
    <w:rsid w:val="5845276D"/>
    <w:rsid w:val="58BD4EAA"/>
    <w:rsid w:val="58C534B8"/>
    <w:rsid w:val="58DA20C8"/>
    <w:rsid w:val="58FE6BB9"/>
    <w:rsid w:val="592521E5"/>
    <w:rsid w:val="592E0C31"/>
    <w:rsid w:val="5930567C"/>
    <w:rsid w:val="593259F3"/>
    <w:rsid w:val="594531C0"/>
    <w:rsid w:val="59B64E5B"/>
    <w:rsid w:val="59C41AA5"/>
    <w:rsid w:val="59EB4793"/>
    <w:rsid w:val="5A196198"/>
    <w:rsid w:val="5A36290A"/>
    <w:rsid w:val="5AC454CC"/>
    <w:rsid w:val="5B004781"/>
    <w:rsid w:val="5B416702"/>
    <w:rsid w:val="5B510FBA"/>
    <w:rsid w:val="5B5E370D"/>
    <w:rsid w:val="5B713427"/>
    <w:rsid w:val="5B8152A6"/>
    <w:rsid w:val="5B964C3B"/>
    <w:rsid w:val="5BF847A4"/>
    <w:rsid w:val="5C1F20CC"/>
    <w:rsid w:val="5C4F430C"/>
    <w:rsid w:val="5C514191"/>
    <w:rsid w:val="5C8B0489"/>
    <w:rsid w:val="5D3038FF"/>
    <w:rsid w:val="5D9B5BF8"/>
    <w:rsid w:val="5DCB432F"/>
    <w:rsid w:val="5DD6127D"/>
    <w:rsid w:val="5DD956B5"/>
    <w:rsid w:val="5DE04163"/>
    <w:rsid w:val="5DEC7C19"/>
    <w:rsid w:val="5DFC0EB0"/>
    <w:rsid w:val="5E086E60"/>
    <w:rsid w:val="5E5B4B1E"/>
    <w:rsid w:val="5E806603"/>
    <w:rsid w:val="5EDC2437"/>
    <w:rsid w:val="5F042824"/>
    <w:rsid w:val="5F0D17C2"/>
    <w:rsid w:val="5F3C0936"/>
    <w:rsid w:val="5F5A2BA2"/>
    <w:rsid w:val="5F683B20"/>
    <w:rsid w:val="5F6A1B70"/>
    <w:rsid w:val="5F715923"/>
    <w:rsid w:val="5F74528F"/>
    <w:rsid w:val="5F7455D6"/>
    <w:rsid w:val="5F905960"/>
    <w:rsid w:val="5FAD0C82"/>
    <w:rsid w:val="600E16AB"/>
    <w:rsid w:val="603C6B90"/>
    <w:rsid w:val="608B4D11"/>
    <w:rsid w:val="60B146AA"/>
    <w:rsid w:val="60E930B4"/>
    <w:rsid w:val="61034DA8"/>
    <w:rsid w:val="612D5C44"/>
    <w:rsid w:val="61391E0A"/>
    <w:rsid w:val="61667B17"/>
    <w:rsid w:val="61716ECA"/>
    <w:rsid w:val="61A00D6C"/>
    <w:rsid w:val="61EC3C39"/>
    <w:rsid w:val="62093EA3"/>
    <w:rsid w:val="620B0745"/>
    <w:rsid w:val="6214098F"/>
    <w:rsid w:val="6229181C"/>
    <w:rsid w:val="62293292"/>
    <w:rsid w:val="624E0DE1"/>
    <w:rsid w:val="625B2CD4"/>
    <w:rsid w:val="62772330"/>
    <w:rsid w:val="629851A9"/>
    <w:rsid w:val="62B657FF"/>
    <w:rsid w:val="62C03657"/>
    <w:rsid w:val="62F96812"/>
    <w:rsid w:val="63412459"/>
    <w:rsid w:val="634B6B7B"/>
    <w:rsid w:val="635348B6"/>
    <w:rsid w:val="63733E6F"/>
    <w:rsid w:val="63E76134"/>
    <w:rsid w:val="64383FFB"/>
    <w:rsid w:val="6457654C"/>
    <w:rsid w:val="64834708"/>
    <w:rsid w:val="64AC0A38"/>
    <w:rsid w:val="64D43A06"/>
    <w:rsid w:val="64D45316"/>
    <w:rsid w:val="651A5C4B"/>
    <w:rsid w:val="653116C9"/>
    <w:rsid w:val="653A164C"/>
    <w:rsid w:val="65B31BCC"/>
    <w:rsid w:val="65B87A10"/>
    <w:rsid w:val="65D35C16"/>
    <w:rsid w:val="6606215B"/>
    <w:rsid w:val="663337E4"/>
    <w:rsid w:val="66374A14"/>
    <w:rsid w:val="666879C6"/>
    <w:rsid w:val="66EA1E3B"/>
    <w:rsid w:val="670230DF"/>
    <w:rsid w:val="671B3499"/>
    <w:rsid w:val="671F48AF"/>
    <w:rsid w:val="6774663E"/>
    <w:rsid w:val="67956067"/>
    <w:rsid w:val="67B71CB2"/>
    <w:rsid w:val="68031777"/>
    <w:rsid w:val="68353249"/>
    <w:rsid w:val="684A06CB"/>
    <w:rsid w:val="685272E2"/>
    <w:rsid w:val="68675050"/>
    <w:rsid w:val="6876522E"/>
    <w:rsid w:val="68767A40"/>
    <w:rsid w:val="68B03C37"/>
    <w:rsid w:val="68C11D22"/>
    <w:rsid w:val="68D575AA"/>
    <w:rsid w:val="68EB7C0C"/>
    <w:rsid w:val="68F0116E"/>
    <w:rsid w:val="68F73295"/>
    <w:rsid w:val="69085BD7"/>
    <w:rsid w:val="69154FCB"/>
    <w:rsid w:val="69680059"/>
    <w:rsid w:val="699879F8"/>
    <w:rsid w:val="69B456CB"/>
    <w:rsid w:val="69B92963"/>
    <w:rsid w:val="6A052704"/>
    <w:rsid w:val="6A544FCD"/>
    <w:rsid w:val="6AC26EA2"/>
    <w:rsid w:val="6AC44695"/>
    <w:rsid w:val="6B477EF6"/>
    <w:rsid w:val="6B513865"/>
    <w:rsid w:val="6B9A256C"/>
    <w:rsid w:val="6BA373FF"/>
    <w:rsid w:val="6BEB1E5F"/>
    <w:rsid w:val="6BFC109F"/>
    <w:rsid w:val="6C17574D"/>
    <w:rsid w:val="6C4957FC"/>
    <w:rsid w:val="6C53730E"/>
    <w:rsid w:val="6C5534FB"/>
    <w:rsid w:val="6C61176F"/>
    <w:rsid w:val="6C666306"/>
    <w:rsid w:val="6CCD3B26"/>
    <w:rsid w:val="6D16024D"/>
    <w:rsid w:val="6D365754"/>
    <w:rsid w:val="6D387925"/>
    <w:rsid w:val="6D3E0CE6"/>
    <w:rsid w:val="6D6654AD"/>
    <w:rsid w:val="6D6E3F95"/>
    <w:rsid w:val="6DB151E2"/>
    <w:rsid w:val="6DBF39F3"/>
    <w:rsid w:val="6DC0644E"/>
    <w:rsid w:val="6E137528"/>
    <w:rsid w:val="6E185854"/>
    <w:rsid w:val="6E80463B"/>
    <w:rsid w:val="6E895A0C"/>
    <w:rsid w:val="6EC56FAA"/>
    <w:rsid w:val="6F22793F"/>
    <w:rsid w:val="6F3D6F83"/>
    <w:rsid w:val="6F457884"/>
    <w:rsid w:val="6F570F4E"/>
    <w:rsid w:val="6F7C1012"/>
    <w:rsid w:val="6F883155"/>
    <w:rsid w:val="6F8C7070"/>
    <w:rsid w:val="6FA2085B"/>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612BC7"/>
    <w:rsid w:val="7299264D"/>
    <w:rsid w:val="72BA2638"/>
    <w:rsid w:val="72E24278"/>
    <w:rsid w:val="72F247EE"/>
    <w:rsid w:val="73046E24"/>
    <w:rsid w:val="73117CBC"/>
    <w:rsid w:val="731D3DC6"/>
    <w:rsid w:val="73202BD3"/>
    <w:rsid w:val="73785811"/>
    <w:rsid w:val="73843B37"/>
    <w:rsid w:val="73AA2AB8"/>
    <w:rsid w:val="73D8014A"/>
    <w:rsid w:val="73F076FD"/>
    <w:rsid w:val="7448595E"/>
    <w:rsid w:val="74490D87"/>
    <w:rsid w:val="746E1E39"/>
    <w:rsid w:val="74A25915"/>
    <w:rsid w:val="74B1011E"/>
    <w:rsid w:val="74D0444D"/>
    <w:rsid w:val="750000AA"/>
    <w:rsid w:val="750A7ABF"/>
    <w:rsid w:val="75420196"/>
    <w:rsid w:val="754931B4"/>
    <w:rsid w:val="75706FDE"/>
    <w:rsid w:val="759077E6"/>
    <w:rsid w:val="75940C8C"/>
    <w:rsid w:val="75BB2BFD"/>
    <w:rsid w:val="75C624A0"/>
    <w:rsid w:val="75C940ED"/>
    <w:rsid w:val="75CE763E"/>
    <w:rsid w:val="765748C8"/>
    <w:rsid w:val="76AC7129"/>
    <w:rsid w:val="76D15FF3"/>
    <w:rsid w:val="773C2D8E"/>
    <w:rsid w:val="77550A67"/>
    <w:rsid w:val="77B83BB6"/>
    <w:rsid w:val="77BA2D12"/>
    <w:rsid w:val="7856695F"/>
    <w:rsid w:val="7866427B"/>
    <w:rsid w:val="78E84852"/>
    <w:rsid w:val="78F732D8"/>
    <w:rsid w:val="790F1791"/>
    <w:rsid w:val="791F3849"/>
    <w:rsid w:val="79701BCE"/>
    <w:rsid w:val="797350BA"/>
    <w:rsid w:val="79775EC9"/>
    <w:rsid w:val="79D00415"/>
    <w:rsid w:val="79EE2754"/>
    <w:rsid w:val="7A1A7F37"/>
    <w:rsid w:val="7A1C7B11"/>
    <w:rsid w:val="7A37206F"/>
    <w:rsid w:val="7A6466F3"/>
    <w:rsid w:val="7A741385"/>
    <w:rsid w:val="7A774A92"/>
    <w:rsid w:val="7A7E5483"/>
    <w:rsid w:val="7AAF231C"/>
    <w:rsid w:val="7ABD1167"/>
    <w:rsid w:val="7AC84743"/>
    <w:rsid w:val="7AEC20F3"/>
    <w:rsid w:val="7B2F1AD6"/>
    <w:rsid w:val="7B7027FC"/>
    <w:rsid w:val="7B740622"/>
    <w:rsid w:val="7B7848C7"/>
    <w:rsid w:val="7B8D786E"/>
    <w:rsid w:val="7B994BC5"/>
    <w:rsid w:val="7BA850D6"/>
    <w:rsid w:val="7BDC7402"/>
    <w:rsid w:val="7BE145C1"/>
    <w:rsid w:val="7C124642"/>
    <w:rsid w:val="7C152DD9"/>
    <w:rsid w:val="7C520931"/>
    <w:rsid w:val="7CD535CF"/>
    <w:rsid w:val="7D3032A4"/>
    <w:rsid w:val="7D34076E"/>
    <w:rsid w:val="7D350A55"/>
    <w:rsid w:val="7D4C75A5"/>
    <w:rsid w:val="7D4D1625"/>
    <w:rsid w:val="7D53381A"/>
    <w:rsid w:val="7D624404"/>
    <w:rsid w:val="7DD1184B"/>
    <w:rsid w:val="7DF25444"/>
    <w:rsid w:val="7DF27933"/>
    <w:rsid w:val="7E1A21B9"/>
    <w:rsid w:val="7E267F07"/>
    <w:rsid w:val="7E2C708B"/>
    <w:rsid w:val="7E4507BC"/>
    <w:rsid w:val="7E6B4778"/>
    <w:rsid w:val="7E9B2B28"/>
    <w:rsid w:val="7EB910BD"/>
    <w:rsid w:val="7EC126C1"/>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spacing w:line="360" w:lineRule="auto"/>
      <w:jc w:val="left"/>
      <w:outlineLvl w:val="1"/>
    </w:pPr>
    <w:rPr>
      <w:rFonts w:ascii="Times New Roman" w:hAnsi="Times New Roman" w:eastAsia="宋体" w:cs="Times New Roman"/>
      <w:color w:val="000000" w:themeColor="text1"/>
      <w:sz w:val="24"/>
      <w:szCs w:val="24"/>
    </w:rPr>
  </w:style>
  <w:style w:type="character" w:default="1" w:styleId="8">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styleId="10">
    <w:name w:val="page number"/>
    <w:basedOn w:val="8"/>
    <w:unhideWhenUsed/>
    <w:qFormat/>
    <w:uiPriority w:val="0"/>
  </w:style>
  <w:style w:type="character" w:styleId="11">
    <w:name w:val="FollowedHyperlink"/>
    <w:basedOn w:val="8"/>
    <w:unhideWhenUsed/>
    <w:qFormat/>
    <w:uiPriority w:val="0"/>
    <w:rPr>
      <w:color w:val="0091F2"/>
      <w:sz w:val="18"/>
      <w:szCs w:val="18"/>
      <w:u w:val="none"/>
    </w:rPr>
  </w:style>
  <w:style w:type="character" w:styleId="12">
    <w:name w:val="Hyperlink"/>
    <w:basedOn w:val="8"/>
    <w:unhideWhenUsed/>
    <w:qFormat/>
    <w:uiPriority w:val="0"/>
    <w:rPr>
      <w:color w:val="0091F2"/>
      <w:sz w:val="18"/>
      <w:szCs w:val="18"/>
      <w:u w:val="none"/>
    </w:rPr>
  </w:style>
  <w:style w:type="character" w:styleId="13">
    <w:name w:val="HTML Code"/>
    <w:basedOn w:val="8"/>
    <w:unhideWhenUsed/>
    <w:qFormat/>
    <w:uiPriority w:val="0"/>
    <w:rPr>
      <w:rFonts w:ascii="Courier New" w:hAnsi="Courier New"/>
      <w:sz w:val="20"/>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Char"/>
    <w:basedOn w:val="8"/>
    <w:link w:val="7"/>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customStyle="1" w:styleId="24">
    <w:name w:val="List Paragraph"/>
    <w:basedOn w:val="1"/>
    <w:qFormat/>
    <w:uiPriority w:val="34"/>
    <w:pPr>
      <w:ind w:firstLine="420" w:firstLineChars="200"/>
    </w:p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3</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2023-05-15T06:38:52Z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