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1套故障信息子站工作站采购项目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（文件编号：QG2304130047）</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1套故障信息子站工作站</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keepNext w:val="0"/>
        <w:keepLines w:val="0"/>
        <w:pageBreakBefore w:val="0"/>
        <w:kinsoku/>
        <w:wordWrap/>
        <w:overflowPunct/>
        <w:topLinePunct w:val="0"/>
        <w:bidi w:val="0"/>
        <w:snapToGrid/>
        <w:spacing w:before="26" w:line="600" w:lineRule="exact"/>
        <w:ind w:right="121"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1套故障信息子站工作站</w:t>
      </w:r>
      <w:r>
        <w:rPr>
          <w:rFonts w:hint="eastAsia"/>
          <w:color w:val="000000" w:themeColor="text1"/>
          <w:u w:val="single"/>
          <w:lang w:eastAsia="zh-CN"/>
        </w:rPr>
        <w:t>采购项目（项目编号：QG2304130047）</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1套故障信息子站工作站</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8"/>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2237060055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故障信息子站工作站</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1U机架式\高度43mm\宽度：434.6mm\深度：497.8mm，详见附件《故障信息管理子站工作站设备更新技术规范书》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1</w:t>
            </w:r>
          </w:p>
        </w:tc>
      </w:tr>
    </w:tbl>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snapToGrid/>
        <w:spacing w:line="600" w:lineRule="exact"/>
        <w:ind w:firstLine="480" w:firstLineChars="200"/>
        <w:rPr>
          <w:lang w:eastAsia="zh-CN"/>
        </w:rPr>
      </w:pPr>
      <w:r>
        <w:rPr>
          <w:rFonts w:hint="eastAsia"/>
          <w:sz w:val="24"/>
          <w:szCs w:val="24"/>
          <w:lang w:val="en-US" w:eastAsia="zh-CN"/>
        </w:rPr>
        <w:t>4</w:t>
      </w:r>
      <w:r>
        <w:rPr>
          <w:sz w:val="24"/>
          <w:szCs w:val="24"/>
          <w:lang w:eastAsia="zh-CN"/>
        </w:rPr>
        <w:t>.</w:t>
      </w:r>
      <w:r>
        <w:rPr>
          <w:rFonts w:hint="eastAsia"/>
          <w:sz w:val="24"/>
          <w:szCs w:val="24"/>
          <w:lang w:eastAsia="zh-CN"/>
        </w:rPr>
        <w:t>比选控制价：</w:t>
      </w:r>
      <w:r>
        <w:rPr>
          <w:rFonts w:hint="eastAsia"/>
          <w:sz w:val="24"/>
          <w:szCs w:val="24"/>
          <w:lang w:val="en-US" w:eastAsia="zh-CN"/>
        </w:rPr>
        <w:t>16.28</w:t>
      </w:r>
      <w:r>
        <w:rPr>
          <w:sz w:val="24"/>
          <w:szCs w:val="24"/>
          <w:lang w:eastAsia="zh-CN"/>
        </w:rPr>
        <w:t>万元</w:t>
      </w:r>
      <w:r>
        <w:rPr>
          <w:rFonts w:hint="eastAsia"/>
          <w:sz w:val="24"/>
          <w:szCs w:val="24"/>
          <w:lang w:eastAsia="zh-CN"/>
        </w:rPr>
        <w:t>（含税）。</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snapToGrid/>
        <w:spacing w:line="600" w:lineRule="exact"/>
        <w:ind w:firstLine="480" w:firstLineChars="20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snapToGrid/>
        <w:spacing w:line="600" w:lineRule="exact"/>
        <w:ind w:firstLine="480" w:firstLineChars="200"/>
        <w:rPr>
          <w:rFonts w:hint="eastAsia"/>
          <w:sz w:val="24"/>
          <w:szCs w:val="24"/>
        </w:rPr>
      </w:pPr>
      <w:r>
        <w:rPr>
          <w:rFonts w:hint="eastAsia"/>
          <w:sz w:val="24"/>
          <w:szCs w:val="24"/>
          <w:lang w:val="en-US" w:eastAsia="zh-CN"/>
        </w:rPr>
        <w:t>3.</w:t>
      </w:r>
      <w:r>
        <w:rPr>
          <w:sz w:val="24"/>
          <w:szCs w:val="24"/>
        </w:rPr>
        <w:t xml:space="preserve"> </w:t>
      </w:r>
      <w:r>
        <w:rPr>
          <w:rFonts w:hint="eastAsia"/>
          <w:sz w:val="24"/>
          <w:szCs w:val="24"/>
          <w:lang w:eastAsia="zh-CN"/>
        </w:rPr>
        <w:t>参选人</w:t>
      </w:r>
      <w:r>
        <w:rPr>
          <w:rFonts w:hint="eastAsia"/>
          <w:sz w:val="24"/>
          <w:szCs w:val="24"/>
        </w:rPr>
        <w:t>应提供所投标产品的型式试验报告或产品鉴定证书。</w:t>
      </w:r>
    </w:p>
    <w:p>
      <w:pPr>
        <w:pStyle w:val="203"/>
        <w:keepNext w:val="0"/>
        <w:keepLines w:val="0"/>
        <w:pageBreakBefore w:val="0"/>
        <w:kinsoku/>
        <w:wordWrap/>
        <w:overflowPunct/>
        <w:topLinePunct w:val="0"/>
        <w:bidi w:val="0"/>
        <w:snapToGrid/>
        <w:spacing w:line="600" w:lineRule="exact"/>
        <w:ind w:firstLine="480" w:firstLineChars="200"/>
        <w:rPr>
          <w:rFonts w:hint="eastAsia"/>
          <w:sz w:val="24"/>
          <w:szCs w:val="24"/>
        </w:rPr>
      </w:pPr>
      <w:r>
        <w:rPr>
          <w:rFonts w:hint="eastAsia"/>
          <w:sz w:val="24"/>
          <w:szCs w:val="24"/>
          <w:lang w:val="en-US" w:eastAsia="zh-CN"/>
        </w:rPr>
        <w:t>4</w:t>
      </w:r>
      <w:r>
        <w:rPr>
          <w:rFonts w:hint="eastAsia"/>
          <w:sz w:val="24"/>
          <w:szCs w:val="24"/>
        </w:rPr>
        <w:t>.</w:t>
      </w:r>
      <w:r>
        <w:rPr>
          <w:rFonts w:hint="eastAsia"/>
          <w:sz w:val="24"/>
          <w:szCs w:val="24"/>
          <w:lang w:eastAsia="zh-CN"/>
        </w:rPr>
        <w:t>参选人</w:t>
      </w:r>
      <w:r>
        <w:rPr>
          <w:rFonts w:hint="eastAsia"/>
          <w:sz w:val="24"/>
          <w:szCs w:val="24"/>
        </w:rPr>
        <w:t>提供的同类设备必须在同电压等级(220kV及以上电压等级)中具有三年及以上的成功运行经验。投标文件所附的业绩报告内容应包括设备型号</w:t>
      </w:r>
      <w:r>
        <w:rPr>
          <w:sz w:val="24"/>
          <w:szCs w:val="24"/>
        </w:rPr>
        <w:t>、</w:t>
      </w:r>
      <w:r>
        <w:rPr>
          <w:rFonts w:hint="eastAsia"/>
          <w:sz w:val="24"/>
          <w:szCs w:val="24"/>
        </w:rPr>
        <w:t>电压等级</w:t>
      </w:r>
      <w:r>
        <w:rPr>
          <w:sz w:val="24"/>
          <w:szCs w:val="24"/>
        </w:rPr>
        <w:t>、</w:t>
      </w:r>
      <w:r>
        <w:rPr>
          <w:rFonts w:hint="eastAsia"/>
          <w:sz w:val="24"/>
          <w:szCs w:val="24"/>
        </w:rPr>
        <w:t>投运年限和安装地点等详细信息，如发现有不真实的情况，招标人有权取消其投标资格。</w:t>
      </w:r>
    </w:p>
    <w:p>
      <w:pPr>
        <w:pStyle w:val="203"/>
        <w:keepNext w:val="0"/>
        <w:keepLines w:val="0"/>
        <w:pageBreakBefore w:val="0"/>
        <w:kinsoku/>
        <w:wordWrap/>
        <w:overflowPunct/>
        <w:topLinePunct w:val="0"/>
        <w:bidi w:val="0"/>
        <w:snapToGrid/>
        <w:spacing w:line="600" w:lineRule="exact"/>
        <w:ind w:firstLine="480" w:firstLineChars="200"/>
        <w:rPr>
          <w:rFonts w:hint="eastAsia"/>
          <w:sz w:val="24"/>
          <w:szCs w:val="24"/>
        </w:rPr>
      </w:pPr>
      <w:r>
        <w:rPr>
          <w:rFonts w:hint="eastAsia"/>
          <w:sz w:val="24"/>
          <w:szCs w:val="24"/>
          <w:lang w:val="en-US" w:eastAsia="zh-CN"/>
        </w:rPr>
        <w:t>5.</w:t>
      </w:r>
      <w:r>
        <w:rPr>
          <w:rFonts w:hint="eastAsia"/>
          <w:sz w:val="24"/>
          <w:szCs w:val="24"/>
          <w:lang w:eastAsia="zh-CN"/>
        </w:rPr>
        <w:t>参选人</w:t>
      </w:r>
      <w:r>
        <w:rPr>
          <w:rFonts w:hint="eastAsia"/>
          <w:sz w:val="24"/>
          <w:szCs w:val="24"/>
        </w:rPr>
        <w:t>应有软件版本规定制度,提供的商业软件应为正版，并随产品提供正版软件证明或授权证明。</w:t>
      </w:r>
    </w:p>
    <w:p>
      <w:pPr>
        <w:pStyle w:val="203"/>
        <w:keepNext w:val="0"/>
        <w:keepLines w:val="0"/>
        <w:pageBreakBefore w:val="0"/>
        <w:kinsoku/>
        <w:wordWrap/>
        <w:overflowPunct/>
        <w:topLinePunct w:val="0"/>
        <w:bidi w:val="0"/>
        <w:snapToGrid/>
        <w:spacing w:line="600" w:lineRule="exact"/>
        <w:ind w:firstLine="480" w:firstLineChars="200"/>
        <w:rPr>
          <w:rFonts w:hint="eastAsia"/>
          <w:sz w:val="24"/>
          <w:szCs w:val="24"/>
        </w:rPr>
      </w:pPr>
      <w:r>
        <w:rPr>
          <w:rFonts w:hint="eastAsia"/>
          <w:sz w:val="24"/>
          <w:szCs w:val="24"/>
          <w:lang w:val="en-US" w:eastAsia="zh-CN"/>
        </w:rPr>
        <w:t>6</w:t>
      </w:r>
      <w:r>
        <w:rPr>
          <w:rFonts w:hint="eastAsia"/>
          <w:sz w:val="24"/>
          <w:szCs w:val="24"/>
        </w:rPr>
        <w:t>.</w:t>
      </w:r>
      <w:r>
        <w:rPr>
          <w:rFonts w:hint="eastAsia"/>
          <w:sz w:val="24"/>
          <w:szCs w:val="24"/>
          <w:lang w:eastAsia="zh-CN"/>
        </w:rPr>
        <w:t>参选人</w:t>
      </w:r>
      <w:r>
        <w:rPr>
          <w:rFonts w:hint="eastAsia"/>
          <w:sz w:val="24"/>
          <w:szCs w:val="24"/>
        </w:rPr>
        <w:t>提供的同类设备必须在国内电力系统同电压等级(220kV及以上电压等级)中具有三年及以上的成功运行经验。投标文件所附的业绩报告内容应包括设备型号、电压等级、投运年限和安装地点等详细信息，如发现有不真实的情况，</w:t>
      </w:r>
      <w:r>
        <w:rPr>
          <w:rFonts w:hint="eastAsia"/>
          <w:color w:val="000000" w:themeColor="text1"/>
          <w:sz w:val="24"/>
          <w:szCs w:val="24"/>
        </w:rPr>
        <w:t>比选人</w:t>
      </w:r>
      <w:r>
        <w:rPr>
          <w:rFonts w:hint="eastAsia"/>
          <w:sz w:val="24"/>
          <w:szCs w:val="24"/>
        </w:rPr>
        <w:t>有权取消其投标资格。</w:t>
      </w:r>
    </w:p>
    <w:p>
      <w:pPr>
        <w:keepNext w:val="0"/>
        <w:keepLines w:val="0"/>
        <w:pageBreakBefore w:val="0"/>
        <w:kinsoku/>
        <w:wordWrap/>
        <w:overflowPunct/>
        <w:topLinePunct w:val="0"/>
        <w:bidi w:val="0"/>
        <w:snapToGrid/>
        <w:spacing w:before="15" w:line="600" w:lineRule="exact"/>
        <w:ind w:firstLine="534" w:firstLineChars="200"/>
        <w:rPr>
          <w:b/>
          <w:w w:val="95"/>
          <w:sz w:val="28"/>
          <w:lang w:eastAsia="zh-CN"/>
        </w:rPr>
      </w:pPr>
      <w:r>
        <w:rPr>
          <w:b/>
          <w:w w:val="95"/>
          <w:sz w:val="28"/>
          <w:lang w:eastAsia="zh-CN"/>
        </w:rPr>
        <w:t>三、评选办法</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获取比选文件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w:t>
      </w:r>
      <w:r>
        <w:rPr>
          <w:rFonts w:hint="eastAsia"/>
          <w:color w:val="000000" w:themeColor="text1"/>
          <w:sz w:val="24"/>
          <w:szCs w:val="24"/>
          <w:lang w:val="en-US" w:eastAsia="zh-CN"/>
        </w:rPr>
        <w:t>待比选人确认合格的参选人后</w:t>
      </w:r>
      <w:r>
        <w:rPr>
          <w:rFonts w:hint="eastAsia"/>
          <w:color w:val="000000" w:themeColor="text1"/>
          <w:sz w:val="24"/>
          <w:szCs w:val="24"/>
          <w:lang w:eastAsia="zh-CN"/>
        </w:rPr>
        <w:t>统一</w:t>
      </w:r>
      <w:r>
        <w:rPr>
          <w:rFonts w:hint="eastAsia"/>
          <w:color w:val="000000" w:themeColor="text1"/>
          <w:sz w:val="24"/>
          <w:szCs w:val="24"/>
          <w:lang w:val="en-US" w:eastAsia="zh-CN"/>
        </w:rPr>
        <w:t>邮件发送，不合格的参选人不予发送。</w:t>
      </w:r>
    </w:p>
    <w:p>
      <w:pPr>
        <w:keepNext w:val="0"/>
        <w:keepLines w:val="0"/>
        <w:pageBreakBefore w:val="0"/>
        <w:tabs>
          <w:tab w:val="left" w:pos="709"/>
        </w:tabs>
        <w:kinsoku/>
        <w:wordWrap/>
        <w:overflowPunct/>
        <w:topLinePunct w:val="0"/>
        <w:bidi w:val="0"/>
        <w:snapToGrid/>
        <w:spacing w:line="600" w:lineRule="exact"/>
        <w:ind w:firstLine="474" w:firstLineChars="200"/>
        <w:rPr>
          <w:b/>
          <w:snapToGrid w:val="0"/>
          <w:color w:val="000000" w:themeColor="text1"/>
          <w:spacing w:val="8"/>
          <w:sz w:val="24"/>
          <w:szCs w:val="24"/>
          <w:lang w:eastAsia="zh-CN"/>
        </w:rPr>
      </w:pPr>
      <w:r>
        <w:rPr>
          <w:rFonts w:hint="eastAsia"/>
          <w:b/>
          <w:bCs/>
          <w:snapToGrid w:val="0"/>
          <w:color w:val="000000" w:themeColor="text1"/>
          <w:spacing w:val="8"/>
          <w:lang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snapToGrid/>
        <w:spacing w:line="600" w:lineRule="exact"/>
        <w:ind w:right="121" w:firstLine="514" w:firstLineChars="200"/>
        <w:jc w:val="both"/>
        <w:rPr>
          <w:b/>
          <w:w w:val="95"/>
          <w:sz w:val="28"/>
          <w:lang w:eastAsia="zh-CN"/>
        </w:rPr>
      </w:pPr>
      <w:bookmarkStart w:id="16" w:name="_GoBack"/>
      <w:bookmarkEnd w:id="16"/>
      <w:r>
        <w:rPr>
          <w:rFonts w:hint="eastAsia"/>
          <w:b/>
          <w:bCs/>
          <w:snapToGrid w:val="0"/>
          <w:color w:val="000000" w:themeColor="text1"/>
          <w:spacing w:val="8"/>
          <w:sz w:val="24"/>
          <w:szCs w:val="24"/>
          <w:lang w:eastAsia="zh-CN"/>
        </w:rPr>
        <w:t>六</w:t>
      </w:r>
      <w:r>
        <w:rPr>
          <w:b/>
          <w:w w:val="95"/>
          <w:sz w:val="28"/>
          <w:lang w:eastAsia="zh-CN"/>
        </w:rPr>
        <w:t>、参选保证金</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rFonts w:hint="eastAsia"/>
          <w:color w:val="000000" w:themeColor="text1"/>
          <w:sz w:val="24"/>
          <w:szCs w:val="24"/>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Fonts w:hint="eastAsia"/>
          <w:color w:val="000000" w:themeColor="text1"/>
          <w:sz w:val="24"/>
          <w:szCs w:val="24"/>
          <w:lang w:val="en-US" w:eastAsia="zh-CN"/>
        </w:rPr>
        <w:t>xumx</w:t>
      </w:r>
      <w:r>
        <w:rPr>
          <w:rFonts w:hint="eastAsia"/>
          <w:color w:val="000000" w:themeColor="text1"/>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技术联系人</w:t>
      </w:r>
      <w:r>
        <w:rPr>
          <w:rFonts w:hint="default"/>
          <w:color w:val="000000" w:themeColor="text1"/>
          <w:sz w:val="24"/>
          <w:szCs w:val="24"/>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1套故障信息子站工作站</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p>
      <w:pPr>
        <w:pStyle w:val="20"/>
        <w:spacing w:line="360" w:lineRule="auto"/>
        <w:ind w:right="121"/>
        <w:jc w:val="both"/>
        <w:rPr>
          <w:rFonts w:hint="eastAsia"/>
          <w:color w:val="000000" w:themeColor="text1"/>
          <w:sz w:val="24"/>
          <w:szCs w:val="24"/>
          <w:lang w:val="en-US"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360" w:lineRule="auto"/>
        <w:ind w:firstLine="480"/>
        <w:rPr>
          <w:rFonts w:hint="eastAsia"/>
          <w:sz w:val="24"/>
          <w:szCs w:val="24"/>
        </w:rPr>
      </w:pPr>
      <w:r>
        <w:rPr>
          <w:rFonts w:hint="eastAsia"/>
          <w:sz w:val="24"/>
          <w:szCs w:val="24"/>
          <w:lang w:val="en-US" w:eastAsia="zh-CN"/>
        </w:rPr>
        <w:t>3.</w:t>
      </w:r>
      <w:r>
        <w:rPr>
          <w:sz w:val="24"/>
          <w:szCs w:val="24"/>
        </w:rPr>
        <w:t xml:space="preserve"> </w:t>
      </w:r>
      <w:r>
        <w:rPr>
          <w:rFonts w:hint="eastAsia"/>
          <w:sz w:val="24"/>
          <w:szCs w:val="24"/>
          <w:lang w:eastAsia="zh-CN"/>
        </w:rPr>
        <w:t>参选人</w:t>
      </w:r>
      <w:r>
        <w:rPr>
          <w:rFonts w:hint="eastAsia"/>
          <w:sz w:val="24"/>
          <w:szCs w:val="24"/>
        </w:rPr>
        <w:t>应提供所投标产品的型式试验报告或产品鉴定证书。</w:t>
      </w:r>
    </w:p>
    <w:p>
      <w:pPr>
        <w:pStyle w:val="203"/>
        <w:spacing w:line="360" w:lineRule="auto"/>
        <w:ind w:firstLine="480"/>
        <w:rPr>
          <w:rFonts w:hint="eastAsia"/>
          <w:sz w:val="24"/>
          <w:szCs w:val="24"/>
        </w:rPr>
      </w:pPr>
      <w:r>
        <w:rPr>
          <w:rFonts w:hint="eastAsia"/>
          <w:sz w:val="24"/>
          <w:szCs w:val="24"/>
          <w:lang w:val="en-US" w:eastAsia="zh-CN"/>
        </w:rPr>
        <w:t>4</w:t>
      </w:r>
      <w:r>
        <w:rPr>
          <w:rFonts w:hint="eastAsia"/>
          <w:sz w:val="24"/>
          <w:szCs w:val="24"/>
        </w:rPr>
        <w:t>.</w:t>
      </w:r>
      <w:r>
        <w:rPr>
          <w:rFonts w:hint="eastAsia"/>
          <w:sz w:val="24"/>
          <w:szCs w:val="24"/>
          <w:lang w:eastAsia="zh-CN"/>
        </w:rPr>
        <w:t>参选人</w:t>
      </w:r>
      <w:r>
        <w:rPr>
          <w:rFonts w:hint="eastAsia"/>
          <w:sz w:val="24"/>
          <w:szCs w:val="24"/>
        </w:rPr>
        <w:t>提供的同类设备必须在同电压等级(220kV及以上电压等级)中具有三年及以上的成功运行经验。投标文件所附的业绩报告内容应包括设备型号</w:t>
      </w:r>
      <w:r>
        <w:rPr>
          <w:sz w:val="24"/>
          <w:szCs w:val="24"/>
        </w:rPr>
        <w:t>、</w:t>
      </w:r>
      <w:r>
        <w:rPr>
          <w:rFonts w:hint="eastAsia"/>
          <w:sz w:val="24"/>
          <w:szCs w:val="24"/>
        </w:rPr>
        <w:t>电压等级</w:t>
      </w:r>
      <w:r>
        <w:rPr>
          <w:sz w:val="24"/>
          <w:szCs w:val="24"/>
        </w:rPr>
        <w:t>、</w:t>
      </w:r>
      <w:r>
        <w:rPr>
          <w:rFonts w:hint="eastAsia"/>
          <w:sz w:val="24"/>
          <w:szCs w:val="24"/>
        </w:rPr>
        <w:t>投运年限和安装地点等详细信息，如发现有不真实的情况，招标人有权取消其投标资格。</w:t>
      </w:r>
    </w:p>
    <w:p>
      <w:pPr>
        <w:pStyle w:val="203"/>
        <w:spacing w:line="360" w:lineRule="auto"/>
        <w:ind w:firstLine="480"/>
        <w:rPr>
          <w:rFonts w:hint="eastAsia"/>
          <w:sz w:val="24"/>
          <w:szCs w:val="24"/>
        </w:rPr>
      </w:pPr>
      <w:r>
        <w:rPr>
          <w:rFonts w:hint="eastAsia"/>
          <w:sz w:val="24"/>
          <w:szCs w:val="24"/>
          <w:lang w:val="en-US" w:eastAsia="zh-CN"/>
        </w:rPr>
        <w:t>5.</w:t>
      </w:r>
      <w:r>
        <w:rPr>
          <w:rFonts w:hint="eastAsia"/>
          <w:sz w:val="24"/>
          <w:szCs w:val="24"/>
          <w:lang w:eastAsia="zh-CN"/>
        </w:rPr>
        <w:t>参选人</w:t>
      </w:r>
      <w:r>
        <w:rPr>
          <w:rFonts w:hint="eastAsia"/>
          <w:sz w:val="24"/>
          <w:szCs w:val="24"/>
        </w:rPr>
        <w:t>应有软件版本规定制度,提供的商业软件应为正版，并随产品提供正版软件证明或授权证明。</w:t>
      </w:r>
    </w:p>
    <w:p>
      <w:pPr>
        <w:pStyle w:val="203"/>
        <w:spacing w:line="360" w:lineRule="auto"/>
        <w:ind w:firstLine="480"/>
        <w:rPr>
          <w:rFonts w:hint="eastAsia"/>
          <w:color w:val="000000" w:themeColor="text1"/>
          <w:sz w:val="24"/>
          <w:szCs w:val="24"/>
        </w:rPr>
      </w:pPr>
      <w:r>
        <w:rPr>
          <w:rFonts w:hint="eastAsia"/>
          <w:sz w:val="24"/>
          <w:szCs w:val="24"/>
          <w:lang w:val="en-US" w:eastAsia="zh-CN"/>
        </w:rPr>
        <w:t>6</w:t>
      </w:r>
      <w:r>
        <w:rPr>
          <w:rFonts w:hint="eastAsia"/>
          <w:sz w:val="24"/>
          <w:szCs w:val="24"/>
        </w:rPr>
        <w:t>.</w:t>
      </w:r>
      <w:r>
        <w:rPr>
          <w:rFonts w:hint="eastAsia"/>
          <w:sz w:val="24"/>
          <w:szCs w:val="24"/>
          <w:lang w:eastAsia="zh-CN"/>
        </w:rPr>
        <w:t>参选人</w:t>
      </w:r>
      <w:r>
        <w:rPr>
          <w:rFonts w:hint="eastAsia"/>
          <w:sz w:val="24"/>
          <w:szCs w:val="24"/>
        </w:rPr>
        <w:t>提供的同类设备必须在国内电力系统同电压等级(220kV及以上电压等级)中具有三年及以上的成功运行经验。投标文件所附的业绩报告内容应包括设备型号、电压等级、投运年限和安装地点等详细信息，如发现有不真实的情况，</w:t>
      </w:r>
      <w:r>
        <w:rPr>
          <w:rFonts w:hint="eastAsia"/>
          <w:color w:val="000000" w:themeColor="text1"/>
          <w:sz w:val="24"/>
          <w:szCs w:val="24"/>
        </w:rPr>
        <w:t>比选人</w:t>
      </w:r>
      <w:r>
        <w:rPr>
          <w:rFonts w:hint="eastAsia"/>
          <w:sz w:val="24"/>
          <w:szCs w:val="24"/>
        </w:rPr>
        <w:t>有权取消其投标资格。</w:t>
      </w:r>
    </w:p>
    <w:p>
      <w:pPr>
        <w:pStyle w:val="20"/>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360" w:firstLineChars="150"/>
        <w:jc w:val="both"/>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16.28</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w:t>
      </w:r>
      <w:r>
        <w:rPr>
          <w:rStyle w:val="55"/>
          <w:rFonts w:hint="eastAsia"/>
          <w:lang w:val="en-US" w:eastAsia="zh-CN"/>
        </w:rPr>
        <w:t>zyhe</w:t>
      </w:r>
      <w:r>
        <w:rPr>
          <w:rStyle w:val="55"/>
          <w:rFonts w:hint="eastAsia"/>
          <w:lang w:eastAsia="zh-CN"/>
        </w:rPr>
        <w:t>@fhcpec.com.cn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val="en-US" w:eastAsia="zh-CN"/>
        </w:rPr>
        <w:t>腾龙芳烃</w:t>
      </w:r>
      <w:r>
        <w:rPr>
          <w:rStyle w:val="51"/>
          <w:rFonts w:hint="eastAsia" w:ascii="Times New Roman" w:hAnsi="Times New Roman" w:cs="Times New Roman"/>
          <w:color w:val="FF0000"/>
          <w:lang w:eastAsia="zh-CN"/>
        </w:rPr>
        <w:t>（漳州）有限公司”</w:t>
      </w:r>
      <w:r>
        <w:rPr>
          <w:rStyle w:val="51"/>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9"/>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8"/>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7787"/>
      <w:bookmarkStart w:id="2" w:name="_Toc10991"/>
      <w:bookmarkStart w:id="3" w:name="_Toc20273"/>
      <w:bookmarkStart w:id="4" w:name="_Toc385779252"/>
      <w:bookmarkStart w:id="5" w:name="_Toc352146655"/>
      <w:bookmarkStart w:id="6" w:name="_Toc18049"/>
      <w:bookmarkStart w:id="7" w:name="_Toc17959"/>
      <w:bookmarkStart w:id="8" w:name="_Toc2239"/>
      <w:bookmarkStart w:id="9" w:name="_Toc31173"/>
      <w:bookmarkStart w:id="10" w:name="_Toc14171"/>
      <w:bookmarkStart w:id="11" w:name="_Toc23434"/>
      <w:bookmarkStart w:id="12" w:name="_Toc20180"/>
      <w:bookmarkStart w:id="13" w:name="_Toc8520"/>
      <w:bookmarkStart w:id="14" w:name="_Toc4114"/>
      <w:bookmarkStart w:id="15" w:name="_Toc3140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eastAsia="宋体"/>
          <w:b/>
          <w:bCs/>
          <w:sz w:val="24"/>
          <w:szCs w:val="24"/>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1套故障信息子站工作站</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1套故障信息子站工作站</w:t>
      </w:r>
      <w:r>
        <w:rPr>
          <w:rFonts w:hint="eastAsia"/>
          <w:b/>
          <w:bCs/>
          <w:sz w:val="24"/>
          <w:szCs w:val="24"/>
          <w:lang w:eastAsia="zh-CN"/>
        </w:rPr>
        <w:t>采购项目价格清单</w:t>
      </w:r>
    </w:p>
    <w:tbl>
      <w:tblPr>
        <w:tblStyle w:val="48"/>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QG2304130047</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2237060055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故障信息子站工作站</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1U机架式\高度43mm\宽度：434.6mm\深度：497.8mm；最终以双方签定的技术协议为准。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8"/>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330803"/>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7F358E"/>
    <w:rsid w:val="34CE14C6"/>
    <w:rsid w:val="34D84CEC"/>
    <w:rsid w:val="35DC515B"/>
    <w:rsid w:val="36353880"/>
    <w:rsid w:val="372733E1"/>
    <w:rsid w:val="37AF5AB7"/>
    <w:rsid w:val="37FA01D9"/>
    <w:rsid w:val="38B844F1"/>
    <w:rsid w:val="399C3DF7"/>
    <w:rsid w:val="39E568DF"/>
    <w:rsid w:val="3A3526B3"/>
    <w:rsid w:val="3A387F18"/>
    <w:rsid w:val="3AC225C0"/>
    <w:rsid w:val="3B1C3371"/>
    <w:rsid w:val="3CAE3A33"/>
    <w:rsid w:val="3CC23198"/>
    <w:rsid w:val="3DDF4815"/>
    <w:rsid w:val="3F447AD9"/>
    <w:rsid w:val="3FE669E5"/>
    <w:rsid w:val="42C84A21"/>
    <w:rsid w:val="43375D4C"/>
    <w:rsid w:val="43CA6D32"/>
    <w:rsid w:val="44B33DBE"/>
    <w:rsid w:val="44B70186"/>
    <w:rsid w:val="459C39D0"/>
    <w:rsid w:val="462A54F2"/>
    <w:rsid w:val="475F0097"/>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572206"/>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A8045D"/>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7"/>
    <w:qFormat/>
    <w:uiPriority w:val="1"/>
    <w:rPr>
      <w:sz w:val="24"/>
      <w:szCs w:val="24"/>
    </w:rPr>
  </w:style>
  <w:style w:type="paragraph" w:styleId="21">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0"/>
    <w:qFormat/>
    <w:uiPriority w:val="0"/>
    <w:pPr>
      <w:widowControl/>
    </w:pPr>
    <w:rPr>
      <w:b/>
      <w:bCs/>
      <w:sz w:val="24"/>
      <w:szCs w:val="24"/>
    </w:rPr>
  </w:style>
  <w:style w:type="paragraph" w:styleId="46">
    <w:name w:val="Body Text First Indent"/>
    <w:basedOn w:val="20"/>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1"/>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basedOn w:val="50"/>
    <w:qFormat/>
    <w:uiPriority w:val="0"/>
  </w:style>
  <w:style w:type="character" w:styleId="55">
    <w:name w:val="Hyperlink"/>
    <w:basedOn w:val="50"/>
    <w:qFormat/>
    <w:uiPriority w:val="0"/>
    <w:rPr>
      <w:color w:val="0000FF" w:themeColor="hyperlink"/>
      <w:u w:val="single"/>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正文文本 Char1"/>
    <w:basedOn w:val="50"/>
    <w:link w:val="20"/>
    <w:qFormat/>
    <w:uiPriority w:val="1"/>
    <w:rPr>
      <w:rFonts w:ascii="宋体" w:hAnsi="宋体" w:cs="宋体"/>
      <w:sz w:val="24"/>
      <w:szCs w:val="24"/>
      <w:lang w:eastAsia="en-US"/>
    </w:rPr>
  </w:style>
  <w:style w:type="character" w:customStyle="1" w:styleId="68">
    <w:name w:val="纯文本 Char"/>
    <w:basedOn w:val="50"/>
    <w:link w:val="25"/>
    <w:qFormat/>
    <w:uiPriority w:val="0"/>
    <w:rPr>
      <w:rFonts w:ascii="宋体" w:hAnsi="Courier New" w:cs="Courier New"/>
      <w:sz w:val="22"/>
      <w:szCs w:val="21"/>
      <w:lang w:eastAsia="en-US"/>
    </w:rPr>
  </w:style>
  <w:style w:type="character" w:customStyle="1" w:styleId="69">
    <w:name w:val="页脚 Char"/>
    <w:basedOn w:val="50"/>
    <w:link w:val="30"/>
    <w:qFormat/>
    <w:uiPriority w:val="99"/>
    <w:rPr>
      <w:rFonts w:ascii="宋体" w:hAnsi="宋体" w:cs="宋体"/>
      <w:sz w:val="18"/>
      <w:szCs w:val="18"/>
      <w:lang w:eastAsia="en-US"/>
    </w:rPr>
  </w:style>
  <w:style w:type="character" w:customStyle="1" w:styleId="70">
    <w:name w:val="页眉 Char"/>
    <w:basedOn w:val="50"/>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50"/>
    <w:link w:val="19"/>
    <w:qFormat/>
    <w:uiPriority w:val="0"/>
    <w:rPr>
      <w:b/>
      <w:kern w:val="2"/>
      <w:sz w:val="21"/>
    </w:rPr>
  </w:style>
  <w:style w:type="character" w:customStyle="1" w:styleId="78">
    <w:name w:val="普通(网站) Char"/>
    <w:basedOn w:val="50"/>
    <w:link w:val="42"/>
    <w:qFormat/>
    <w:locked/>
    <w:uiPriority w:val="0"/>
    <w:rPr>
      <w:rFonts w:ascii="宋体" w:hAnsi="宋体" w:cs="宋体"/>
      <w:sz w:val="24"/>
      <w:szCs w:val="24"/>
    </w:rPr>
  </w:style>
  <w:style w:type="character" w:customStyle="1" w:styleId="79">
    <w:name w:val="xdrichtextbox2"/>
    <w:basedOn w:val="50"/>
    <w:qFormat/>
    <w:uiPriority w:val="0"/>
    <w:rPr>
      <w:color w:val="0000FF"/>
      <w:sz w:val="18"/>
      <w:szCs w:val="18"/>
      <w:u w:val="none"/>
      <w:bdr w:val="single" w:color="DCDCDC" w:sz="8" w:space="0"/>
      <w:shd w:val="clear" w:color="auto" w:fill="FFFFFF"/>
    </w:rPr>
  </w:style>
  <w:style w:type="character" w:customStyle="1" w:styleId="80">
    <w:name w:val="apple-converted-space"/>
    <w:basedOn w:val="50"/>
    <w:qFormat/>
    <w:uiPriority w:val="0"/>
  </w:style>
  <w:style w:type="character" w:customStyle="1" w:styleId="81">
    <w:name w:val="无间隔 Char"/>
    <w:basedOn w:val="50"/>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50"/>
    <w:link w:val="17"/>
    <w:qFormat/>
    <w:uiPriority w:val="0"/>
    <w:rPr>
      <w:kern w:val="2"/>
      <w:sz w:val="21"/>
    </w:rPr>
  </w:style>
  <w:style w:type="character" w:customStyle="1" w:styleId="84">
    <w:name w:val="批注框文本 Char"/>
    <w:basedOn w:val="50"/>
    <w:link w:val="29"/>
    <w:qFormat/>
    <w:uiPriority w:val="0"/>
    <w:rPr>
      <w:kern w:val="2"/>
      <w:sz w:val="18"/>
      <w:szCs w:val="18"/>
    </w:rPr>
  </w:style>
  <w:style w:type="character" w:customStyle="1" w:styleId="85">
    <w:name w:val="正文文本缩进 3 Char"/>
    <w:basedOn w:val="50"/>
    <w:link w:val="36"/>
    <w:qFormat/>
    <w:uiPriority w:val="0"/>
    <w:rPr>
      <w:kern w:val="2"/>
      <w:sz w:val="28"/>
    </w:rPr>
  </w:style>
  <w:style w:type="character" w:customStyle="1" w:styleId="86">
    <w:name w:val="正文文本缩进 2 Char"/>
    <w:basedOn w:val="50"/>
    <w:link w:val="28"/>
    <w:qFormat/>
    <w:uiPriority w:val="0"/>
    <w:rPr>
      <w:rFonts w:ascii="宋体" w:hAnsi="宋体"/>
      <w:iCs/>
      <w:kern w:val="2"/>
      <w:sz w:val="24"/>
      <w:szCs w:val="24"/>
    </w:rPr>
  </w:style>
  <w:style w:type="character" w:customStyle="1" w:styleId="87">
    <w:name w:val="正文文本 Char"/>
    <w:basedOn w:val="50"/>
    <w:qFormat/>
    <w:uiPriority w:val="0"/>
    <w:rPr>
      <w:rFonts w:eastAsia="宋体"/>
      <w:sz w:val="24"/>
      <w:szCs w:val="24"/>
      <w:lang w:val="en-US" w:eastAsia="zh-CN" w:bidi="ar-SA"/>
    </w:rPr>
  </w:style>
  <w:style w:type="character" w:customStyle="1" w:styleId="88">
    <w:name w:val="en1"/>
    <w:basedOn w:val="50"/>
    <w:qFormat/>
    <w:uiPriority w:val="0"/>
    <w:rPr>
      <w:b/>
      <w:bCs/>
      <w:color w:val="154C7F"/>
      <w:sz w:val="24"/>
      <w:szCs w:val="24"/>
    </w:rPr>
  </w:style>
  <w:style w:type="character" w:customStyle="1" w:styleId="89">
    <w:name w:val="font01"/>
    <w:basedOn w:val="50"/>
    <w:qFormat/>
    <w:uiPriority w:val="0"/>
    <w:rPr>
      <w:rFonts w:hint="eastAsia" w:ascii="宋体" w:hAnsi="宋体" w:eastAsia="宋体" w:cs="宋体"/>
      <w:color w:val="000000"/>
      <w:sz w:val="20"/>
      <w:szCs w:val="20"/>
      <w:u w:val="none"/>
    </w:rPr>
  </w:style>
  <w:style w:type="character" w:customStyle="1" w:styleId="90">
    <w:name w:val="标题 Char"/>
    <w:basedOn w:val="50"/>
    <w:link w:val="44"/>
    <w:qFormat/>
    <w:uiPriority w:val="0"/>
    <w:rPr>
      <w:rFonts w:ascii="Arial" w:hAnsi="Arial" w:cs="Arial"/>
      <w:b/>
      <w:bCs/>
      <w:sz w:val="44"/>
      <w:szCs w:val="32"/>
    </w:rPr>
  </w:style>
  <w:style w:type="character" w:customStyle="1" w:styleId="91">
    <w:name w:val="正文文本缩进 Char"/>
    <w:basedOn w:val="50"/>
    <w:link w:val="21"/>
    <w:qFormat/>
    <w:uiPriority w:val="0"/>
    <w:rPr>
      <w:i/>
      <w:iCs/>
      <w:kern w:val="2"/>
      <w:sz w:val="21"/>
    </w:rPr>
  </w:style>
  <w:style w:type="character" w:customStyle="1" w:styleId="92">
    <w:name w:val="正文文本 3 Char"/>
    <w:basedOn w:val="50"/>
    <w:link w:val="18"/>
    <w:qFormat/>
    <w:uiPriority w:val="0"/>
    <w:rPr>
      <w:color w:val="0000FF"/>
      <w:kern w:val="2"/>
      <w:sz w:val="24"/>
      <w:szCs w:val="24"/>
    </w:rPr>
  </w:style>
  <w:style w:type="character" w:customStyle="1" w:styleId="93">
    <w:name w:val="font11"/>
    <w:basedOn w:val="50"/>
    <w:qFormat/>
    <w:uiPriority w:val="0"/>
    <w:rPr>
      <w:rFonts w:hint="default" w:ascii="Times New Roman" w:hAnsi="Times New Roman" w:cs="Times New Roman"/>
      <w:color w:val="000000"/>
      <w:sz w:val="20"/>
      <w:szCs w:val="20"/>
      <w:u w:val="none"/>
    </w:rPr>
  </w:style>
  <w:style w:type="character" w:customStyle="1" w:styleId="94">
    <w:name w:val="glossaryitem"/>
    <w:basedOn w:val="50"/>
    <w:qFormat/>
    <w:uiPriority w:val="0"/>
    <w:rPr>
      <w:u w:val="none"/>
    </w:rPr>
  </w:style>
  <w:style w:type="character" w:customStyle="1" w:styleId="95">
    <w:name w:val="HTML 预设格式 Char"/>
    <w:basedOn w:val="50"/>
    <w:link w:val="41"/>
    <w:qFormat/>
    <w:uiPriority w:val="0"/>
    <w:rPr>
      <w:rFonts w:ascii="Arial Unicode MS" w:hAnsi="Arial Unicode MS" w:eastAsia="Courier New" w:cs="Courier New"/>
    </w:rPr>
  </w:style>
  <w:style w:type="character" w:customStyle="1" w:styleId="96">
    <w:name w:val="文档结构图 Char"/>
    <w:basedOn w:val="50"/>
    <w:link w:val="16"/>
    <w:qFormat/>
    <w:uiPriority w:val="0"/>
    <w:rPr>
      <w:rFonts w:ascii="宋体"/>
      <w:sz w:val="28"/>
      <w:shd w:val="clear" w:color="auto" w:fill="000080"/>
    </w:rPr>
  </w:style>
  <w:style w:type="character" w:customStyle="1" w:styleId="97">
    <w:name w:val="日期 Char"/>
    <w:basedOn w:val="50"/>
    <w:link w:val="27"/>
    <w:qFormat/>
    <w:uiPriority w:val="0"/>
    <w:rPr>
      <w:kern w:val="2"/>
      <w:sz w:val="21"/>
      <w:szCs w:val="24"/>
    </w:rPr>
  </w:style>
  <w:style w:type="character" w:customStyle="1" w:styleId="98">
    <w:name w:val="正文文本 2 Char"/>
    <w:basedOn w:val="50"/>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50"/>
    <w:link w:val="40"/>
    <w:qFormat/>
    <w:uiPriority w:val="0"/>
    <w:rPr>
      <w:rFonts w:ascii="Arial" w:hAnsi="Arial" w:cs="Arial"/>
      <w:kern w:val="2"/>
      <w:sz w:val="24"/>
      <w:szCs w:val="24"/>
      <w:shd w:val="pct20" w:color="auto" w:fill="auto"/>
    </w:rPr>
  </w:style>
  <w:style w:type="character" w:customStyle="1" w:styleId="105">
    <w:name w:val="正文文本 3 Char1"/>
    <w:basedOn w:val="50"/>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50"/>
    <w:qFormat/>
    <w:uiPriority w:val="0"/>
    <w:rPr>
      <w:rFonts w:ascii="宋体" w:hAnsi="宋体" w:cs="宋体"/>
      <w:sz w:val="22"/>
      <w:szCs w:val="22"/>
      <w:lang w:eastAsia="en-US"/>
    </w:rPr>
  </w:style>
  <w:style w:type="character" w:customStyle="1" w:styleId="109">
    <w:name w:val="批注文字 Char1"/>
    <w:basedOn w:val="50"/>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50"/>
    <w:qFormat/>
    <w:uiPriority w:val="0"/>
    <w:rPr>
      <w:rFonts w:ascii="宋体" w:hAnsi="宋体" w:cs="宋体"/>
      <w:sz w:val="18"/>
      <w:szCs w:val="18"/>
      <w:lang w:eastAsia="en-US"/>
    </w:rPr>
  </w:style>
  <w:style w:type="character" w:customStyle="1" w:styleId="114">
    <w:name w:val="日期 Char1"/>
    <w:basedOn w:val="50"/>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50"/>
    <w:qFormat/>
    <w:uiPriority w:val="0"/>
    <w:rPr>
      <w:rFonts w:ascii="Courier New" w:hAnsi="Courier New" w:cs="Courier New"/>
      <w:lang w:eastAsia="en-US"/>
    </w:rPr>
  </w:style>
  <w:style w:type="character" w:customStyle="1" w:styleId="119">
    <w:name w:val="正文文本缩进 Char1"/>
    <w:basedOn w:val="50"/>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50"/>
    <w:qFormat/>
    <w:uiPriority w:val="0"/>
    <w:rPr>
      <w:rFonts w:ascii="宋体" w:hAnsi="宋体" w:cs="宋体"/>
      <w:sz w:val="22"/>
      <w:szCs w:val="22"/>
      <w:lang w:eastAsia="en-US"/>
    </w:rPr>
  </w:style>
  <w:style w:type="character" w:customStyle="1" w:styleId="127">
    <w:name w:val="标题 Char1"/>
    <w:basedOn w:val="50"/>
    <w:qFormat/>
    <w:uiPriority w:val="0"/>
    <w:rPr>
      <w:rFonts w:asciiTheme="majorHAnsi" w:hAnsiTheme="majorHAnsi" w:cstheme="majorBidi"/>
      <w:b/>
      <w:bCs/>
      <w:sz w:val="32"/>
      <w:szCs w:val="32"/>
      <w:lang w:eastAsia="en-US"/>
    </w:rPr>
  </w:style>
  <w:style w:type="character" w:customStyle="1" w:styleId="128">
    <w:name w:val="正文文本缩进 3 Char1"/>
    <w:basedOn w:val="50"/>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50"/>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50"/>
    <w:qFormat/>
    <w:uiPriority w:val="0"/>
  </w:style>
  <w:style w:type="character" w:customStyle="1" w:styleId="205">
    <w:name w:val="xdrichtextbox3"/>
    <w:basedOn w:val="50"/>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17</Pages>
  <Words>9158</Words>
  <Characters>9684</Characters>
  <Lines>79</Lines>
  <Paragraphs>22</Paragraphs>
  <TotalTime>2</TotalTime>
  <ScaleCrop>false</ScaleCrop>
  <LinksUpToDate>false</LinksUpToDate>
  <CharactersWithSpaces>10528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2023-05-06T04:34:03Z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