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cs="宋体"/>
          <w:color w:val="auto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：次氯酸钠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2023-FHC-次氯酸钠-0516</w:t>
      </w:r>
    </w:p>
    <w:p>
      <w:pPr>
        <w:widowControl/>
        <w:shd w:val="clear" w:color="auto" w:fill="FFFFFF"/>
        <w:rPr>
          <w:color w:val="auto"/>
          <w:szCs w:val="21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  <w:lang w:val="en-US" w:eastAsia="zh-CN"/>
        </w:rPr>
        <w:t>腾龙芳烃（漳州）有限公司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2023年05月16日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一、</w:t>
      </w:r>
      <w:r>
        <w:rPr>
          <w:rFonts w:hint="eastAsia" w:ascii="宋体" w:hAnsi="宋体"/>
          <w:b/>
          <w:bCs/>
          <w:color w:val="auto"/>
          <w:sz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00" w:lineRule="auto"/>
        <w:jc w:val="center"/>
        <w:rPr>
          <w:rFonts w:hint="eastAsia"/>
          <w:b/>
          <w:bCs/>
          <w:color w:val="auto"/>
          <w:sz w:val="32"/>
          <w:lang w:val="en-US" w:eastAsia="zh-CN"/>
        </w:rPr>
      </w:pPr>
      <w:r>
        <w:rPr>
          <w:rFonts w:hint="eastAsia"/>
          <w:b/>
          <w:bCs/>
          <w:color w:val="auto"/>
          <w:sz w:val="32"/>
          <w:lang w:val="en-US" w:eastAsia="zh-CN"/>
        </w:rPr>
        <w:t>腾龙芳烃（漳州）有限公司</w:t>
      </w:r>
    </w:p>
    <w:p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  <w:lang w:eastAsia="zh-CN"/>
        </w:rPr>
        <w:t>次氯酸钠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2023-FHC-次氯酸钠-0516）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  <w:lang w:val="en-US" w:eastAsia="zh-CN"/>
        </w:rPr>
        <w:t>国内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迎符合条件的供应商积极参选。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次氯酸钠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具备危化品经营许可、相关业绩</w:t>
      </w:r>
      <w:r>
        <w:rPr>
          <w:rFonts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60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05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31</w:t>
      </w:r>
      <w:r>
        <w:rPr>
          <w:rFonts w:hint="eastAsia" w:asciiTheme="majorEastAsia" w:hAnsiTheme="majorEastAsia" w:eastAsiaTheme="majorEastAsia"/>
          <w:color w:val="auto"/>
          <w:sz w:val="24"/>
        </w:rPr>
        <w:t>日（含当日）</w:t>
      </w:r>
      <w:r>
        <w:rPr>
          <w:rFonts w:hint="eastAsia" w:asciiTheme="majorEastAsia" w:hAnsiTheme="majorEastAsia" w:eastAsiaTheme="majorEastAsia"/>
          <w:color w:val="auto"/>
          <w:sz w:val="24"/>
          <w:lang w:eastAsia="zh-CN"/>
        </w:rPr>
        <w:t>。</w:t>
      </w:r>
    </w:p>
    <w:p>
      <w:pPr>
        <w:pStyle w:val="11"/>
        <w:numPr>
          <w:ilvl w:val="255"/>
          <w:numId w:val="0"/>
        </w:numPr>
        <w:spacing w:before="0" w:line="360" w:lineRule="auto"/>
        <w:ind w:left="832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参选人在报名时间内将报名文件发送至邮箱wzcgb@fjpec.com.cn，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危化品经营许可证、相关业绩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汇款银行水单：投标单位需缴纳投标保证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转为履约保证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金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pStyle w:val="11"/>
        <w:spacing w:line="336" w:lineRule="auto"/>
        <w:ind w:left="0" w:firstLine="1200" w:firstLineChars="5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2023年06月06日15：00之前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10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color w:val="auto"/>
          <w:sz w:val="24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2023年05月16日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</w:t>
      </w:r>
      <w:r>
        <w:rPr>
          <w:rFonts w:hint="eastAsia" w:ascii="宋体"/>
          <w:color w:val="auto"/>
          <w:sz w:val="18"/>
          <w:szCs w:val="18"/>
          <w:lang w:eastAsia="zh-CN"/>
        </w:rPr>
        <w:t>、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具备危化品经营许可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eastAsia="宋体"/>
          <w:color w:val="auto"/>
          <w:sz w:val="18"/>
          <w:szCs w:val="18"/>
          <w:lang w:eastAsia="zh-CN"/>
        </w:rPr>
      </w:pPr>
      <w:r>
        <w:rPr>
          <w:rFonts w:hint="eastAsia" w:ascii="宋体"/>
          <w:color w:val="auto"/>
          <w:sz w:val="18"/>
          <w:szCs w:val="18"/>
          <w:lang w:eastAsia="zh-CN"/>
        </w:rPr>
        <w:t>（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/>
          <w:color w:val="auto"/>
          <w:sz w:val="18"/>
          <w:szCs w:val="18"/>
          <w:lang w:eastAsia="zh-CN"/>
        </w:rPr>
        <w:t>）</w:t>
      </w:r>
      <w:r>
        <w:rPr>
          <w:rFonts w:hint="eastAsia" w:ascii="宋体"/>
          <w:color w:val="auto"/>
          <w:sz w:val="18"/>
          <w:szCs w:val="18"/>
        </w:rPr>
        <w:t>参选保证</w:t>
      </w:r>
      <w:r>
        <w:rPr>
          <w:rFonts w:hint="eastAsia" w:ascii="宋体"/>
          <w:color w:val="auto"/>
          <w:sz w:val="18"/>
          <w:szCs w:val="18"/>
          <w:lang w:eastAsia="zh-CN"/>
        </w:rPr>
        <w:t>金</w:t>
      </w:r>
      <w:r>
        <w:rPr>
          <w:rFonts w:hint="eastAsia" w:ascii="宋体"/>
          <w:color w:val="auto"/>
          <w:sz w:val="18"/>
          <w:szCs w:val="18"/>
        </w:rPr>
        <w:t>：</w:t>
      </w:r>
      <w:r>
        <w:rPr>
          <w:rFonts w:hint="eastAsia" w:ascii="宋体"/>
          <w:color w:val="auto"/>
          <w:sz w:val="18"/>
          <w:szCs w:val="18"/>
          <w:lang w:val="en-US" w:eastAsia="zh-CN"/>
        </w:rPr>
        <w:t>壹万元整</w:t>
      </w:r>
      <w:r>
        <w:rPr>
          <w:rFonts w:hint="eastAsia" w:asci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5.</w:t>
      </w:r>
      <w:r>
        <w:rPr>
          <w:rFonts w:hint="eastAsia" w:ascii="宋体" w:hAnsi="宋体"/>
          <w:color w:val="auto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color w:val="auto"/>
          <w:sz w:val="18"/>
          <w:szCs w:val="18"/>
        </w:rPr>
        <w:t>24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 w:cs="宋体"/>
          <w:b/>
          <w:color w:val="auto"/>
          <w:kern w:val="0"/>
          <w:sz w:val="24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eastAsia="zh-CN"/>
        </w:rPr>
        <w:t>腾龙芳烃（漳州）有限公司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2023-FHC-次氯酸钠-0516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次氯酸钠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  <w:lang w:eastAsia="zh-CN"/>
        </w:rPr>
        <w:t>次氯酸钠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360吨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估量，以实际发生量为准）。</w:t>
      </w:r>
    </w:p>
    <w:p>
      <w:pPr>
        <w:pStyle w:val="6"/>
        <w:widowControl/>
        <w:spacing w:line="360" w:lineRule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cs="宋体"/>
          <w:color w:val="auto"/>
          <w:sz w:val="24"/>
        </w:rPr>
        <w:t>2.技术参数指标：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spacing w:line="360" w:lineRule="exact"/>
        <w:jc w:val="left"/>
        <w:rPr>
          <w:rFonts w:hint="eastAsia" w:asci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2023年07月01日-2023年12月31日，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50" w:lineRule="exact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5</w:t>
      </w:r>
      <w:r>
        <w:rPr>
          <w:rFonts w:ascii="宋体" w:hAnsi="宋体"/>
          <w:color w:val="auto"/>
          <w:sz w:val="24"/>
        </w:rPr>
        <w:t>.2</w:t>
      </w:r>
      <w:r>
        <w:rPr>
          <w:rFonts w:hint="eastAsia" w:ascii="宋体" w:hAnsi="宋体"/>
          <w:color w:val="auto"/>
          <w:sz w:val="24"/>
        </w:rPr>
        <w:t>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至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指定仓库</w:t>
      </w:r>
      <w:r>
        <w:rPr>
          <w:rFonts w:hint="eastAsia" w:asciiTheme="minorEastAsia" w:hAnsiTheme="minorEastAsia" w:eastAsiaTheme="minorEastAsia"/>
          <w:color w:val="auto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7.1参选文件递交截止时间：见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7.2参选文件应密封，包含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7.3我公司快递联系方式：</w:t>
      </w:r>
    </w:p>
    <w:p>
      <w:pPr>
        <w:spacing w:line="360" w:lineRule="exact"/>
        <w:jc w:val="left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公司名称：</w:t>
      </w:r>
      <w:r>
        <w:rPr>
          <w:rFonts w:hint="eastAsia" w:ascii="宋体" w:hAnsi="宋体" w:cs="宋体"/>
          <w:color w:val="auto"/>
          <w:sz w:val="24"/>
          <w:lang w:eastAsia="zh-CN"/>
        </w:rPr>
        <w:t>腾龙芳烃（漳州）有限公司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="宋体" w:hAnsi="宋体" w:cs="宋体"/>
          <w:color w:val="auto"/>
          <w:sz w:val="24"/>
        </w:rPr>
        <w:t xml:space="preserve"> </w:t>
      </w:r>
    </w:p>
    <w:p>
      <w:pPr>
        <w:spacing w:line="360" w:lineRule="exact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360" w:lineRule="exact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8.签约公司：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本次采购将以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（漳州）有限公司抬头进行签约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2023-FHC-次氯酸钠-0516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2023-FHC-次氯酸钠-0516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eastAsia="zh-CN"/>
        </w:rPr>
        <w:t>腾龙芳烃（漳州）有限公司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2023-FHC-次氯酸钠-0516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eastAsia="zh-CN"/>
        </w:rPr>
        <w:t>次氯酸钠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lang w:val="en-US" w:eastAsia="zh-CN"/>
        </w:rPr>
        <w:t>360吨</w:t>
      </w:r>
      <w:r>
        <w:rPr>
          <w:rFonts w:hint="eastAsia" w:ascii="宋体" w:cs="宋体"/>
          <w:color w:val="auto"/>
          <w:sz w:val="24"/>
        </w:rPr>
        <w:t>（数量</w:t>
      </w:r>
      <w:r>
        <w:rPr>
          <w:rFonts w:hint="eastAsia" w:ascii="宋体" w:cs="宋体"/>
          <w:color w:val="auto"/>
          <w:sz w:val="24"/>
          <w:lang w:val="en-US" w:eastAsia="zh-CN"/>
        </w:rPr>
        <w:t>为</w:t>
      </w:r>
      <w:r>
        <w:rPr>
          <w:rFonts w:hint="eastAsia" w:ascii="宋体" w:cs="宋体"/>
          <w:color w:val="auto"/>
          <w:sz w:val="24"/>
        </w:rPr>
        <w:t>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</w:rPr>
        <w:t>元/吨，税率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2.</w:t>
      </w:r>
      <w:r>
        <w:rPr>
          <w:rFonts w:hint="eastAsia" w:ascii="宋体" w:hAnsi="宋体"/>
          <w:color w:val="auto"/>
          <w:sz w:val="24"/>
        </w:rPr>
        <w:t>质量验收标准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lang w:val="en-US" w:eastAsia="zh-CN"/>
        </w:rPr>
        <w:t>有效氯（以Cl计）w/%≥10，详见附件质量规范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3.</w:t>
      </w: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4.</w:t>
      </w:r>
      <w:r>
        <w:rPr>
          <w:rFonts w:hint="eastAsia" w:ascii="宋体" w:hAnsi="宋体"/>
          <w:color w:val="auto"/>
          <w:sz w:val="24"/>
        </w:rPr>
        <w:t>我司同意在投标前缴纳保证</w:t>
      </w:r>
      <w:r>
        <w:rPr>
          <w:rFonts w:hint="eastAsia" w:ascii="宋体" w:hAnsi="宋体"/>
          <w:color w:val="auto"/>
          <w:sz w:val="24"/>
          <w:lang w:eastAsia="zh-CN"/>
        </w:rPr>
        <w:t>金</w:t>
      </w:r>
      <w:r>
        <w:rPr>
          <w:rFonts w:hint="eastAsia" w:ascii="宋体" w:hAnsi="宋体"/>
          <w:color w:val="auto"/>
          <w:sz w:val="24"/>
          <w:lang w:val="en-US" w:eastAsia="zh-CN"/>
        </w:rPr>
        <w:t>壹万元整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/>
          <w:color w:val="auto"/>
          <w:sz w:val="24"/>
          <w:lang w:val="en-US" w:eastAsia="zh-CN"/>
        </w:rPr>
        <w:t>2023年07月01日-2023年12月31日，</w:t>
      </w:r>
      <w:r>
        <w:rPr>
          <w:rFonts w:hint="eastAsia" w:ascii="宋体" w:hAnsi="宋体"/>
          <w:color w:val="auto"/>
          <w:sz w:val="24"/>
        </w:rPr>
        <w:t>具体以需方通知为准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>
      <w:pPr>
        <w:spacing w:line="312" w:lineRule="auto"/>
        <w:rPr>
          <w:rFonts w:hint="eastAsia" w:ascii="宋体" w:hAnsi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三、报价及结算方式：</w:t>
      </w:r>
      <w:r>
        <w:rPr>
          <w:rFonts w:hint="eastAsia" w:ascii="宋体" w:hAnsi="宋体" w:cs="宋体"/>
          <w:color w:val="auto"/>
          <w:sz w:val="24"/>
        </w:rPr>
        <w:t>现汇支付。产品到货后，需方依据合同约定的质量、数量标准验收合格后，供方提供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13%</w:t>
      </w:r>
      <w:r>
        <w:rPr>
          <w:rFonts w:hint="eastAsia" w:ascii="宋体" w:hAnsi="宋体" w:cs="宋体"/>
          <w:color w:val="auto"/>
          <w:sz w:val="24"/>
        </w:rPr>
        <w:t>增值税专用发票以及结算所需的各类清单，需方收到并确认无误后支付货款供方。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分批到货、分批付款。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四、质量验收标准：以需方质量规范验收为准。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rFonts w:hint="eastAsia" w:ascii="宋体" w:hAnsi="宋体"/>
          <w:color w:val="auto"/>
          <w:szCs w:val="21"/>
        </w:rPr>
      </w:pPr>
    </w:p>
    <w:p>
      <w:pPr>
        <w:widowControl/>
        <w:jc w:val="lef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pStyle w:val="6"/>
        <w:widowControl/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bCs/>
          <w:color w:val="auto"/>
          <w:sz w:val="28"/>
          <w:szCs w:val="28"/>
          <w:u w:val="single"/>
          <w:lang w:eastAsia="zh-CN"/>
        </w:rPr>
        <w:t>2023-FHC-次氯酸钠-0516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bookmarkEnd w:id="1"/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360吨</w:t>
      </w:r>
      <w:r>
        <w:rPr>
          <w:rFonts w:hint="eastAsia" w:ascii="宋体" w:hAnsi="宋体" w:eastAsia="宋体" w:cs="Times New Roman"/>
          <w:color w:val="auto"/>
          <w:kern w:val="2"/>
          <w:sz w:val="28"/>
          <w:szCs w:val="28"/>
          <w:lang w:val="en-US" w:eastAsia="zh-CN" w:bidi="ar-SA"/>
        </w:rPr>
        <w:t>（数量为估量，以实际发生量为准），</w:t>
      </w:r>
      <w:r>
        <w:rPr>
          <w:rFonts w:hint="eastAsia" w:ascii="宋体" w:hAnsi="宋体"/>
          <w:color w:val="auto"/>
          <w:sz w:val="28"/>
          <w:szCs w:val="28"/>
        </w:rPr>
        <w:t>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</w:rPr>
        <w:t>元,以汽运方式送到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8"/>
          <w:szCs w:val="28"/>
        </w:rPr>
        <w:t>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有效氯（以Cl计）w/%≥10，详见附件质量规范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36</w:t>
      </w:r>
      <w:bookmarkStart w:id="2" w:name="_GoBack"/>
      <w:bookmarkEnd w:id="2"/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0吨</w:t>
      </w:r>
      <w:r>
        <w:rPr>
          <w:rFonts w:hint="eastAsia" w:ascii="宋体" w:hAnsi="宋体"/>
          <w:color w:val="auto"/>
          <w:sz w:val="28"/>
          <w:szCs w:val="28"/>
        </w:rPr>
        <w:t>（数量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为</w:t>
      </w:r>
      <w:r>
        <w:rPr>
          <w:rFonts w:hint="eastAsia" w:ascii="宋体" w:hAnsi="宋体"/>
          <w:color w:val="auto"/>
          <w:sz w:val="28"/>
          <w:szCs w:val="28"/>
        </w:rPr>
        <w:t>估量，以实际发生量为准），含税送到单价：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color w:val="auto"/>
          <w:sz w:val="28"/>
          <w:szCs w:val="28"/>
        </w:rPr>
        <w:t>元/吨；合计总价：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</w:rPr>
        <w:t>元,以汽运方式送到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rPr>
          <w:rFonts w:ascii="宋体"/>
          <w:color w:val="auto"/>
          <w:sz w:val="28"/>
          <w:szCs w:val="28"/>
        </w:rPr>
      </w:pP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wordWrap w:val="0"/>
        <w:jc w:val="left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附件1</w:t>
      </w: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460" w:lineRule="exact"/>
        <w:ind w:right="4023"/>
        <w:jc w:val="right"/>
        <w:rPr>
          <w:rFonts w:hint="default" w:ascii="宋体" w:hAnsi="宋体" w:eastAsia="宋体" w:cs="宋体"/>
          <w:sz w:val="36"/>
          <w:szCs w:val="36"/>
          <w:lang w:val="en-US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次氯酸钠</w:t>
      </w:r>
    </w:p>
    <w:p>
      <w:pPr>
        <w:pStyle w:val="3"/>
        <w:spacing w:before="323" w:line="288" w:lineRule="auto"/>
        <w:ind w:right="0"/>
        <w:jc w:val="left"/>
        <w:rPr>
          <w:w w:val="99"/>
        </w:rPr>
      </w:pPr>
      <w:r>
        <w:t>执行标准：</w:t>
      </w:r>
      <w:r>
        <w:rPr>
          <w:rFonts w:ascii="宋体" w:hAnsi="宋体" w:eastAsia="宋体" w:cs="宋体"/>
        </w:rPr>
        <w:t xml:space="preserve">GB/T 19106-2013 </w:t>
      </w:r>
      <w:r>
        <w:t xml:space="preserve">次氯酸钠溶液（型号 </w:t>
      </w:r>
      <w:r>
        <w:rPr>
          <w:rFonts w:ascii="宋体" w:hAnsi="宋体" w:eastAsia="宋体" w:cs="宋体"/>
        </w:rPr>
        <w:t>A</w:t>
      </w:r>
      <w:r>
        <w:rPr>
          <w:rFonts w:ascii="宋体" w:hAnsi="宋体" w:eastAsia="宋体" w:cs="宋体"/>
          <w:spacing w:val="-81"/>
        </w:rPr>
        <w:t xml:space="preserve"> </w:t>
      </w:r>
      <w:r>
        <w:t>规格Ⅱ项）</w:t>
      </w:r>
      <w:r>
        <w:rPr>
          <w:w w:val="99"/>
        </w:rPr>
        <w:t xml:space="preserve"> </w:t>
      </w:r>
    </w:p>
    <w:p>
      <w:pPr>
        <w:pStyle w:val="3"/>
        <w:spacing w:before="323" w:line="288" w:lineRule="auto"/>
        <w:ind w:right="0"/>
        <w:jc w:val="left"/>
        <w:rPr>
          <w:b w:val="0"/>
          <w:bCs w:val="0"/>
        </w:rPr>
      </w:pPr>
      <w:r>
        <w:t>说明：</w:t>
      </w:r>
      <w:r>
        <w:rPr>
          <w:rFonts w:ascii="宋体" w:hAnsi="宋体" w:eastAsia="宋体" w:cs="宋体"/>
        </w:rPr>
        <w:t>1</w:t>
      </w:r>
      <w:r>
        <w:t>、次氯酸钠采购指标。用于水气团队（</w:t>
      </w:r>
      <w:r>
        <w:rPr>
          <w:rFonts w:ascii="宋体" w:hAnsi="宋体" w:eastAsia="宋体" w:cs="宋体"/>
        </w:rPr>
        <w:t>PX/PTA</w:t>
      </w:r>
      <w:r>
        <w:rPr>
          <w:rFonts w:ascii="宋体" w:hAnsi="宋体" w:eastAsia="宋体" w:cs="宋体"/>
          <w:spacing w:val="-71"/>
        </w:rPr>
        <w:t xml:space="preserve"> </w:t>
      </w:r>
      <w:r>
        <w:rPr>
          <w:spacing w:val="-29"/>
        </w:rPr>
        <w:t>杀菌剂）。</w:t>
      </w:r>
    </w:p>
    <w:p>
      <w:pPr>
        <w:pStyle w:val="3"/>
        <w:spacing w:line="290" w:lineRule="auto"/>
        <w:ind w:right="0" w:firstLine="842"/>
        <w:jc w:val="left"/>
        <w:rPr>
          <w:b w:val="0"/>
          <w:bCs w:val="0"/>
        </w:rPr>
      </w:pPr>
      <w:r>
        <w:rPr>
          <w:rFonts w:ascii="宋体" w:hAnsi="宋体" w:eastAsia="宋体" w:cs="宋体"/>
          <w:spacing w:val="-5"/>
        </w:rPr>
        <w:t>2</w:t>
      </w:r>
      <w:r>
        <w:rPr>
          <w:spacing w:val="-5"/>
        </w:rPr>
        <w:t>、</w:t>
      </w:r>
      <w:r>
        <w:rPr>
          <w:rFonts w:ascii="宋体" w:hAnsi="宋体" w:eastAsia="宋体" w:cs="宋体"/>
          <w:spacing w:val="-5"/>
        </w:rPr>
        <w:t>PX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厂验收时检测有效氯项。</w:t>
      </w:r>
      <w:r>
        <w:rPr>
          <w:rFonts w:ascii="宋体" w:hAnsi="宋体" w:eastAsia="宋体" w:cs="宋体"/>
        </w:rPr>
        <w:t>PTA</w:t>
      </w:r>
      <w:r>
        <w:rPr>
          <w:rFonts w:ascii="宋体" w:hAnsi="宋体" w:eastAsia="宋体" w:cs="宋体"/>
          <w:spacing w:val="-95"/>
        </w:rPr>
        <w:t xml:space="preserve"> </w:t>
      </w:r>
      <w:r>
        <w:t>厂验收时检测外观、有效氯项和</w:t>
      </w:r>
      <w:r>
        <w:rPr>
          <w:w w:val="99"/>
        </w:rPr>
        <w:t xml:space="preserve"> </w:t>
      </w:r>
      <w:r>
        <w:t>游离碱项。</w:t>
      </w:r>
    </w:p>
    <w:tbl>
      <w:tblPr>
        <w:tblStyle w:val="7"/>
        <w:tblW w:w="9311" w:type="dxa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99"/>
        <w:gridCol w:w="896"/>
        <w:gridCol w:w="2450"/>
        <w:gridCol w:w="266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1202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分析项目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736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质量指标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1C1C1"/>
          </w:tcPr>
          <w:p>
            <w:pPr>
              <w:pStyle w:val="16"/>
              <w:spacing w:before="77" w:line="240" w:lineRule="auto"/>
              <w:ind w:left="844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试验方法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外观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浅黄色液体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目测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有效氯（以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Cl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548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≥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10.0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5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游离碱（以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NaOH</w:t>
            </w:r>
            <w:r>
              <w:rPr>
                <w:rFonts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sz w:val="24"/>
                <w:szCs w:val="24"/>
              </w:rPr>
              <w:t>/%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0.1～1.0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77" w:line="240" w:lineRule="auto"/>
              <w:ind w:left="103" w:right="0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/>
                <w:sz w:val="24"/>
              </w:rPr>
              <w:t>GB/T 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▲铁（Fe）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0.005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▲重金属（以 Pb</w:t>
            </w:r>
            <w:r>
              <w:rPr>
                <w:rFonts w:ascii="宋体" w:hAnsi="宋体" w:eastAsia="宋体" w:cs="宋体"/>
                <w:i/>
                <w:color w:val="818181"/>
                <w:spacing w:val="-88"/>
                <w:w w:val="9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计）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w w:val="95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6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6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▲砷（As）</w:t>
            </w:r>
            <w:r>
              <w:rPr>
                <w:rFonts w:ascii="Californian FB" w:hAnsi="Californian FB" w:eastAsia="Californian FB" w:cs="Californian FB"/>
                <w:i/>
                <w:color w:val="818181"/>
                <w:sz w:val="21"/>
                <w:szCs w:val="21"/>
              </w:rPr>
              <w:t>w</w:t>
            </w:r>
            <w:r>
              <w:rPr>
                <w:rFonts w:ascii="宋体" w:hAnsi="宋体" w:eastAsia="宋体" w:cs="宋体"/>
                <w:i/>
                <w:color w:val="818181"/>
                <w:sz w:val="25"/>
                <w:szCs w:val="25"/>
              </w:rPr>
              <w:t>/%</w:t>
            </w:r>
          </w:p>
        </w:tc>
        <w:tc>
          <w:tcPr>
            <w:tcW w:w="8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548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i/>
                <w:color w:val="818181"/>
                <w:w w:val="95"/>
                <w:sz w:val="25"/>
                <w:szCs w:val="25"/>
              </w:rPr>
              <w:t>≤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0.0001</w:t>
            </w:r>
          </w:p>
        </w:tc>
        <w:tc>
          <w:tcPr>
            <w:tcW w:w="2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63" w:line="240" w:lineRule="auto"/>
              <w:ind w:left="103" w:right="0"/>
              <w:jc w:val="lef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/>
                <w:i/>
                <w:color w:val="818181"/>
                <w:sz w:val="25"/>
              </w:rPr>
              <w:t>GB/T</w:t>
            </w:r>
            <w:r>
              <w:rPr>
                <w:rFonts w:ascii="宋体"/>
                <w:i/>
                <w:color w:val="818181"/>
                <w:spacing w:val="-50"/>
                <w:sz w:val="25"/>
              </w:rPr>
              <w:t xml:space="preserve"> </w:t>
            </w:r>
            <w:r>
              <w:rPr>
                <w:rFonts w:ascii="宋体"/>
                <w:i/>
                <w:color w:val="818181"/>
                <w:sz w:val="25"/>
              </w:rPr>
              <w:t>19106</w:t>
            </w:r>
          </w:p>
        </w:tc>
      </w:tr>
    </w:tbl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right="4020"/>
        <w:jc w:val="both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before="0"/>
        <w:ind w:left="280" w:right="4020" w:hanging="240" w:hangingChars="100"/>
        <w:jc w:val="left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宋体" w:hAnsi="宋体"/>
          <w:b w:val="0"/>
          <w:bCs w:val="0"/>
          <w:color w:val="auto"/>
          <w:sz w:val="24"/>
          <w:szCs w:val="24"/>
          <w:lang w:val="en-US" w:eastAsia="zh-CN"/>
        </w:rPr>
        <w:t>中选供应商签订合同模版详见附件2</w:t>
      </w:r>
    </w:p>
    <w:p>
      <w:pPr>
        <w:spacing w:before="0"/>
        <w:ind w:right="4020"/>
        <w:jc w:val="left"/>
        <w:rPr>
          <w:rFonts w:hint="default" w:ascii="宋体" w:hAnsi="宋体"/>
          <w:b w:val="0"/>
          <w:bCs w:val="0"/>
          <w:color w:val="auto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fornian FB">
    <w:panose1 w:val="0207040306080B0302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8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36AD9"/>
    <w:rsid w:val="000656EF"/>
    <w:rsid w:val="000754C9"/>
    <w:rsid w:val="000F736E"/>
    <w:rsid w:val="00101CDF"/>
    <w:rsid w:val="00120905"/>
    <w:rsid w:val="00135D9F"/>
    <w:rsid w:val="00192C72"/>
    <w:rsid w:val="001C0D58"/>
    <w:rsid w:val="00211FD4"/>
    <w:rsid w:val="00222F26"/>
    <w:rsid w:val="002243D8"/>
    <w:rsid w:val="002509CE"/>
    <w:rsid w:val="00255FEE"/>
    <w:rsid w:val="002D350C"/>
    <w:rsid w:val="002D4525"/>
    <w:rsid w:val="00313BE4"/>
    <w:rsid w:val="00346315"/>
    <w:rsid w:val="003F15BE"/>
    <w:rsid w:val="00467E34"/>
    <w:rsid w:val="004E674A"/>
    <w:rsid w:val="004F11C6"/>
    <w:rsid w:val="005F34E4"/>
    <w:rsid w:val="00631BC7"/>
    <w:rsid w:val="00696213"/>
    <w:rsid w:val="006B0586"/>
    <w:rsid w:val="00734235"/>
    <w:rsid w:val="007534C8"/>
    <w:rsid w:val="0075355B"/>
    <w:rsid w:val="007730F9"/>
    <w:rsid w:val="007765BF"/>
    <w:rsid w:val="007C2890"/>
    <w:rsid w:val="007C38E6"/>
    <w:rsid w:val="007D2656"/>
    <w:rsid w:val="0087235C"/>
    <w:rsid w:val="008A20B6"/>
    <w:rsid w:val="00976A7D"/>
    <w:rsid w:val="009A1584"/>
    <w:rsid w:val="009B1FFF"/>
    <w:rsid w:val="009D0428"/>
    <w:rsid w:val="00A13872"/>
    <w:rsid w:val="00A52ED3"/>
    <w:rsid w:val="00A7220C"/>
    <w:rsid w:val="00AD799E"/>
    <w:rsid w:val="00AF520D"/>
    <w:rsid w:val="00B46103"/>
    <w:rsid w:val="00B5040B"/>
    <w:rsid w:val="00B7777F"/>
    <w:rsid w:val="00C055C7"/>
    <w:rsid w:val="00C16757"/>
    <w:rsid w:val="00C62ADD"/>
    <w:rsid w:val="00C87717"/>
    <w:rsid w:val="00D679C0"/>
    <w:rsid w:val="00D7685B"/>
    <w:rsid w:val="00DC6865"/>
    <w:rsid w:val="00DD0E9C"/>
    <w:rsid w:val="00E25B0E"/>
    <w:rsid w:val="00EB32DE"/>
    <w:rsid w:val="00EC5BC5"/>
    <w:rsid w:val="00EF050E"/>
    <w:rsid w:val="00EF5988"/>
    <w:rsid w:val="00F564F6"/>
    <w:rsid w:val="00F7626A"/>
    <w:rsid w:val="019E4ED3"/>
    <w:rsid w:val="022C497D"/>
    <w:rsid w:val="023A2E4D"/>
    <w:rsid w:val="02892727"/>
    <w:rsid w:val="02C260F7"/>
    <w:rsid w:val="02D1709B"/>
    <w:rsid w:val="038054CF"/>
    <w:rsid w:val="03A33B5B"/>
    <w:rsid w:val="03F7264F"/>
    <w:rsid w:val="04695C6C"/>
    <w:rsid w:val="046E24C0"/>
    <w:rsid w:val="04B74C29"/>
    <w:rsid w:val="04FC44A3"/>
    <w:rsid w:val="055F3224"/>
    <w:rsid w:val="058F45E8"/>
    <w:rsid w:val="05EA07C5"/>
    <w:rsid w:val="068C79F0"/>
    <w:rsid w:val="06BC3D08"/>
    <w:rsid w:val="07405B06"/>
    <w:rsid w:val="07500389"/>
    <w:rsid w:val="078D61C9"/>
    <w:rsid w:val="07FF3F1D"/>
    <w:rsid w:val="08D12DD6"/>
    <w:rsid w:val="08EA4662"/>
    <w:rsid w:val="094B1F65"/>
    <w:rsid w:val="09774E16"/>
    <w:rsid w:val="09BB12EC"/>
    <w:rsid w:val="0A4710C8"/>
    <w:rsid w:val="0AAB4A45"/>
    <w:rsid w:val="0AFE6CE0"/>
    <w:rsid w:val="0B9331E7"/>
    <w:rsid w:val="0C2C4C30"/>
    <w:rsid w:val="0C424338"/>
    <w:rsid w:val="0C861BE9"/>
    <w:rsid w:val="0CEE0809"/>
    <w:rsid w:val="0D351048"/>
    <w:rsid w:val="0DAC4BAD"/>
    <w:rsid w:val="0E29205D"/>
    <w:rsid w:val="0ED879FC"/>
    <w:rsid w:val="0F7D5F98"/>
    <w:rsid w:val="109D40E1"/>
    <w:rsid w:val="10E852E7"/>
    <w:rsid w:val="110F36F7"/>
    <w:rsid w:val="112360E8"/>
    <w:rsid w:val="12000C58"/>
    <w:rsid w:val="1348216D"/>
    <w:rsid w:val="137E5D88"/>
    <w:rsid w:val="13FE3E6C"/>
    <w:rsid w:val="14717E92"/>
    <w:rsid w:val="15144996"/>
    <w:rsid w:val="156B36C3"/>
    <w:rsid w:val="15EB255B"/>
    <w:rsid w:val="162A6369"/>
    <w:rsid w:val="16CC3C4B"/>
    <w:rsid w:val="17255A3E"/>
    <w:rsid w:val="17355807"/>
    <w:rsid w:val="1827330B"/>
    <w:rsid w:val="18A70A90"/>
    <w:rsid w:val="1947532F"/>
    <w:rsid w:val="1BBE6D5D"/>
    <w:rsid w:val="1BE14A1A"/>
    <w:rsid w:val="1CB92AA7"/>
    <w:rsid w:val="1D4D3C25"/>
    <w:rsid w:val="1D7204DB"/>
    <w:rsid w:val="1DB80B45"/>
    <w:rsid w:val="1E8A0861"/>
    <w:rsid w:val="1F542870"/>
    <w:rsid w:val="1F60519A"/>
    <w:rsid w:val="1FAF6528"/>
    <w:rsid w:val="20A53AAB"/>
    <w:rsid w:val="2203671C"/>
    <w:rsid w:val="24470D26"/>
    <w:rsid w:val="2466767A"/>
    <w:rsid w:val="2496308D"/>
    <w:rsid w:val="26906587"/>
    <w:rsid w:val="2705426B"/>
    <w:rsid w:val="274737FA"/>
    <w:rsid w:val="281D5F13"/>
    <w:rsid w:val="28213457"/>
    <w:rsid w:val="293B29CE"/>
    <w:rsid w:val="297216A5"/>
    <w:rsid w:val="2BED450E"/>
    <w:rsid w:val="2C9E3ADE"/>
    <w:rsid w:val="2EFB2454"/>
    <w:rsid w:val="2F84170C"/>
    <w:rsid w:val="30071591"/>
    <w:rsid w:val="308A6926"/>
    <w:rsid w:val="30DE275A"/>
    <w:rsid w:val="312D54CE"/>
    <w:rsid w:val="31F34AFF"/>
    <w:rsid w:val="32CD6714"/>
    <w:rsid w:val="32DC15E2"/>
    <w:rsid w:val="33E83EB7"/>
    <w:rsid w:val="34CB7F77"/>
    <w:rsid w:val="34D06FBC"/>
    <w:rsid w:val="34D427E0"/>
    <w:rsid w:val="35365FF1"/>
    <w:rsid w:val="357F2005"/>
    <w:rsid w:val="360068E8"/>
    <w:rsid w:val="364F130A"/>
    <w:rsid w:val="370C2303"/>
    <w:rsid w:val="374B6C62"/>
    <w:rsid w:val="381027C6"/>
    <w:rsid w:val="38581E88"/>
    <w:rsid w:val="390F42B9"/>
    <w:rsid w:val="39381001"/>
    <w:rsid w:val="39437561"/>
    <w:rsid w:val="39FD6155"/>
    <w:rsid w:val="3A197276"/>
    <w:rsid w:val="3B202C79"/>
    <w:rsid w:val="3B2E3F1C"/>
    <w:rsid w:val="3C1E125A"/>
    <w:rsid w:val="3D23018E"/>
    <w:rsid w:val="3ED74FA5"/>
    <w:rsid w:val="3EF5147E"/>
    <w:rsid w:val="3F84697E"/>
    <w:rsid w:val="3FA53AE5"/>
    <w:rsid w:val="3FF27E13"/>
    <w:rsid w:val="3FF757AE"/>
    <w:rsid w:val="4079674B"/>
    <w:rsid w:val="415215C9"/>
    <w:rsid w:val="429D5569"/>
    <w:rsid w:val="42B570F5"/>
    <w:rsid w:val="43071864"/>
    <w:rsid w:val="43324E83"/>
    <w:rsid w:val="434515C1"/>
    <w:rsid w:val="43E14692"/>
    <w:rsid w:val="44A40B8C"/>
    <w:rsid w:val="44BD78E8"/>
    <w:rsid w:val="465A6F43"/>
    <w:rsid w:val="46FA5CD4"/>
    <w:rsid w:val="47BB6757"/>
    <w:rsid w:val="47EF63A0"/>
    <w:rsid w:val="49137D2C"/>
    <w:rsid w:val="49456A20"/>
    <w:rsid w:val="497038CD"/>
    <w:rsid w:val="499A66C3"/>
    <w:rsid w:val="4A816630"/>
    <w:rsid w:val="4AB3161E"/>
    <w:rsid w:val="4AF66252"/>
    <w:rsid w:val="4BB016BF"/>
    <w:rsid w:val="4CB875D3"/>
    <w:rsid w:val="4CCA0D79"/>
    <w:rsid w:val="4E8841B2"/>
    <w:rsid w:val="4F900B6C"/>
    <w:rsid w:val="50F972F7"/>
    <w:rsid w:val="51F4464E"/>
    <w:rsid w:val="5241764D"/>
    <w:rsid w:val="53E9321B"/>
    <w:rsid w:val="542A50A2"/>
    <w:rsid w:val="546A517C"/>
    <w:rsid w:val="555262C2"/>
    <w:rsid w:val="55EB1097"/>
    <w:rsid w:val="56732B47"/>
    <w:rsid w:val="56DE1CF7"/>
    <w:rsid w:val="56EF4FC6"/>
    <w:rsid w:val="573838FA"/>
    <w:rsid w:val="58DA20C8"/>
    <w:rsid w:val="593E565E"/>
    <w:rsid w:val="59A10799"/>
    <w:rsid w:val="59C41AA5"/>
    <w:rsid w:val="59E80423"/>
    <w:rsid w:val="5A6B0796"/>
    <w:rsid w:val="5ACA71B3"/>
    <w:rsid w:val="5B4026A7"/>
    <w:rsid w:val="5B755EAD"/>
    <w:rsid w:val="5C8B0489"/>
    <w:rsid w:val="5C8F3C65"/>
    <w:rsid w:val="5D451D1A"/>
    <w:rsid w:val="5DDE7148"/>
    <w:rsid w:val="5E4541F8"/>
    <w:rsid w:val="5E82799A"/>
    <w:rsid w:val="5F542429"/>
    <w:rsid w:val="5FEC11EA"/>
    <w:rsid w:val="5FFC16EB"/>
    <w:rsid w:val="615239D8"/>
    <w:rsid w:val="624A629A"/>
    <w:rsid w:val="628D5074"/>
    <w:rsid w:val="62965A6B"/>
    <w:rsid w:val="63126166"/>
    <w:rsid w:val="639D203B"/>
    <w:rsid w:val="63A0423C"/>
    <w:rsid w:val="6446790D"/>
    <w:rsid w:val="651A5C4B"/>
    <w:rsid w:val="659953ED"/>
    <w:rsid w:val="65B31BCC"/>
    <w:rsid w:val="65E84085"/>
    <w:rsid w:val="665925BF"/>
    <w:rsid w:val="67D04E02"/>
    <w:rsid w:val="67F91C55"/>
    <w:rsid w:val="689B349A"/>
    <w:rsid w:val="68A5764F"/>
    <w:rsid w:val="6A3D062B"/>
    <w:rsid w:val="6A666D12"/>
    <w:rsid w:val="6B286A04"/>
    <w:rsid w:val="6C54385C"/>
    <w:rsid w:val="6C6D0B4A"/>
    <w:rsid w:val="6C75163B"/>
    <w:rsid w:val="6DE13474"/>
    <w:rsid w:val="6F12237A"/>
    <w:rsid w:val="6F457884"/>
    <w:rsid w:val="70DF5DB7"/>
    <w:rsid w:val="71155335"/>
    <w:rsid w:val="714825EF"/>
    <w:rsid w:val="724F1F27"/>
    <w:rsid w:val="72A8130B"/>
    <w:rsid w:val="72B74068"/>
    <w:rsid w:val="72C1290D"/>
    <w:rsid w:val="72E24278"/>
    <w:rsid w:val="734E0312"/>
    <w:rsid w:val="738D2254"/>
    <w:rsid w:val="741C6AC9"/>
    <w:rsid w:val="74A25915"/>
    <w:rsid w:val="75940C8C"/>
    <w:rsid w:val="7627784A"/>
    <w:rsid w:val="76BD49F2"/>
    <w:rsid w:val="76F37A06"/>
    <w:rsid w:val="771D0ED8"/>
    <w:rsid w:val="791E4907"/>
    <w:rsid w:val="79BC0732"/>
    <w:rsid w:val="7A012FE1"/>
    <w:rsid w:val="7CCA6946"/>
    <w:rsid w:val="7D483738"/>
    <w:rsid w:val="7D5A50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8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8"/>
    <w:link w:val="5"/>
    <w:qFormat/>
    <w:uiPriority w:val="0"/>
    <w:rPr>
      <w:kern w:val="2"/>
      <w:sz w:val="18"/>
      <w:szCs w:val="18"/>
    </w:rPr>
  </w:style>
  <w:style w:type="paragraph" w:customStyle="1" w:styleId="16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3840</Words>
  <Characters>4257</Characters>
  <Lines>37</Lines>
  <Paragraphs>10</Paragraphs>
  <TotalTime>1</TotalTime>
  <ScaleCrop>false</ScaleCrop>
  <LinksUpToDate>false</LinksUpToDate>
  <CharactersWithSpaces>4547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2023-05-16T09:10:24Z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