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hint="default" w:ascii="Times New Roman" w:eastAsia="宋体"/>
          <w:sz w:val="20"/>
          <w:lang w:val="en-US"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微量水分析仪</w:t>
      </w:r>
      <w:r>
        <w:rPr>
          <w:rFonts w:hint="eastAsia" w:ascii="微软雅黑" w:eastAsia="微软雅黑"/>
          <w:b/>
          <w:sz w:val="52"/>
          <w:szCs w:val="22"/>
          <w:u w:val="single"/>
          <w:lang w:eastAsia="zh-CN"/>
        </w:rPr>
        <w:t>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eastAsia="zh-CN"/>
        </w:rPr>
        <w:t>QG2</w:t>
      </w:r>
      <w:r>
        <w:rPr>
          <w:rFonts w:hint="eastAsia"/>
          <w:color w:val="000000" w:themeColor="text1"/>
          <w:sz w:val="28"/>
          <w:szCs w:val="28"/>
          <w:lang w:val="en-US" w:eastAsia="zh-CN"/>
        </w:rPr>
        <w:t>3</w:t>
      </w:r>
      <w:r>
        <w:rPr>
          <w:rFonts w:hint="eastAsia"/>
          <w:color w:val="000000" w:themeColor="text1"/>
          <w:sz w:val="28"/>
          <w:szCs w:val="28"/>
          <w:lang w:eastAsia="zh-CN"/>
        </w:rPr>
        <w:t>0</w:t>
      </w:r>
      <w:r>
        <w:rPr>
          <w:rFonts w:hint="eastAsia"/>
          <w:color w:val="000000" w:themeColor="text1"/>
          <w:sz w:val="28"/>
          <w:szCs w:val="28"/>
          <w:lang w:val="en-US" w:eastAsia="zh-CN"/>
        </w:rPr>
        <w:t>4170062</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w:t>
      </w:r>
      <w:r>
        <w:rPr>
          <w:rFonts w:hint="eastAsia" w:ascii="微软雅黑" w:eastAsia="微软雅黑"/>
          <w:b/>
          <w:color w:val="000000" w:themeColor="text1"/>
          <w:w w:val="95"/>
          <w:sz w:val="32"/>
          <w:lang w:val="en-US" w:eastAsia="zh-CN"/>
        </w:rPr>
        <w:t>五</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附件三：技术规格书</w:t>
      </w:r>
    </w:p>
    <w:p>
      <w:pPr>
        <w:pStyle w:val="2"/>
        <w:rPr>
          <w:lang w:eastAsia="zh-CN"/>
        </w:rPr>
      </w:pP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微量水分析仪</w:t>
      </w:r>
      <w:r>
        <w:rPr>
          <w:rFonts w:hint="eastAsia"/>
          <w:b/>
          <w:bCs/>
          <w:sz w:val="32"/>
          <w:lang w:eastAsia="zh-CN"/>
        </w:rPr>
        <w:t>采购项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w:t>
      </w:r>
      <w:r>
        <w:rPr>
          <w:rFonts w:hint="eastAsia"/>
          <w:color w:val="000000" w:themeColor="text1"/>
          <w:u w:val="single"/>
          <w:lang w:val="en-US" w:eastAsia="zh-CN"/>
        </w:rPr>
        <w:t>微量水分析仪</w:t>
      </w:r>
      <w:r>
        <w:rPr>
          <w:rFonts w:hint="eastAsia"/>
          <w:color w:val="000000" w:themeColor="text1"/>
          <w:u w:val="single"/>
          <w:lang w:eastAsia="zh-CN"/>
        </w:rPr>
        <w:t>采购项目（项目编号：QG2</w:t>
      </w:r>
      <w:r>
        <w:rPr>
          <w:rFonts w:hint="eastAsia"/>
          <w:color w:val="000000" w:themeColor="text1"/>
          <w:u w:val="single"/>
          <w:lang w:val="en-US" w:eastAsia="zh-CN"/>
        </w:rPr>
        <w:t>3</w:t>
      </w:r>
      <w:r>
        <w:rPr>
          <w:rFonts w:hint="eastAsia"/>
          <w:color w:val="000000" w:themeColor="text1"/>
          <w:u w:val="single"/>
          <w:lang w:eastAsia="zh-CN"/>
        </w:rPr>
        <w:t>0</w:t>
      </w:r>
      <w:r>
        <w:rPr>
          <w:rFonts w:hint="eastAsia"/>
          <w:color w:val="000000" w:themeColor="text1"/>
          <w:u w:val="single"/>
          <w:lang w:val="en-US" w:eastAsia="zh-CN"/>
        </w:rPr>
        <w:t>4170062</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微量水分析仪</w:t>
      </w:r>
      <w:r>
        <w:rPr>
          <w:rFonts w:hint="eastAsia"/>
          <w:sz w:val="24"/>
          <w:szCs w:val="24"/>
          <w:lang w:eastAsia="zh-CN"/>
        </w:rPr>
        <w:t>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default"/>
          <w:lang w:val="en-US" w:eastAsia="zh-CN"/>
        </w:rPr>
      </w:pPr>
      <w:r>
        <w:rPr>
          <w:sz w:val="24"/>
          <w:szCs w:val="24"/>
          <w:lang w:eastAsia="zh-CN"/>
        </w:rPr>
        <w:t>2.</w:t>
      </w:r>
      <w:r>
        <w:rPr>
          <w:rFonts w:hint="eastAsia"/>
          <w:sz w:val="24"/>
          <w:szCs w:val="24"/>
          <w:lang w:eastAsia="zh-CN"/>
        </w:rPr>
        <w:t>比选项目说明：</w:t>
      </w:r>
    </w:p>
    <w:p>
      <w:pPr>
        <w:tabs>
          <w:tab w:val="left" w:pos="709"/>
        </w:tabs>
        <w:spacing w:line="360" w:lineRule="auto"/>
        <w:rPr>
          <w:rFonts w:hint="default"/>
          <w:lang w:val="en-US" w:eastAsia="zh-CN"/>
        </w:rPr>
      </w:pPr>
      <w:r>
        <w:rPr>
          <w:rFonts w:hint="eastAsia"/>
          <w:sz w:val="24"/>
          <w:szCs w:val="24"/>
          <w:lang w:val="en-US" w:eastAsia="zh-CN"/>
        </w:rPr>
        <w:t xml:space="preserve">微量水分析仪 </w:t>
      </w:r>
      <w:r>
        <w:rPr>
          <w:rFonts w:hint="eastAsia"/>
          <w:sz w:val="24"/>
          <w:szCs w:val="24"/>
          <w:lang w:eastAsia="zh-CN"/>
        </w:rPr>
        <w:t>，</w:t>
      </w:r>
      <w:r>
        <w:rPr>
          <w:rFonts w:hint="eastAsia"/>
          <w:sz w:val="24"/>
          <w:szCs w:val="24"/>
          <w:lang w:val="en-US" w:eastAsia="zh-CN"/>
        </w:rPr>
        <w:t>详见技术规格书</w:t>
      </w:r>
    </w:p>
    <w:p>
      <w:pPr>
        <w:numPr>
          <w:numId w:val="0"/>
        </w:num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3.比选控制价：48万（不含税）。</w:t>
      </w:r>
    </w:p>
    <w:p>
      <w:pPr>
        <w:numPr>
          <w:numId w:val="0"/>
        </w:numPr>
        <w:tabs>
          <w:tab w:val="left" w:pos="709"/>
        </w:tabs>
        <w:spacing w:line="360" w:lineRule="auto"/>
        <w:ind w:firstLine="480" w:firstLineChars="200"/>
        <w:rPr>
          <w:rFonts w:hint="default"/>
          <w:lang w:val="en-US" w:eastAsia="zh-CN"/>
        </w:rPr>
      </w:pPr>
      <w:r>
        <w:rPr>
          <w:rFonts w:hint="eastAsia"/>
          <w:sz w:val="24"/>
          <w:szCs w:val="24"/>
          <w:lang w:val="en-US" w:eastAsia="zh-CN"/>
        </w:rPr>
        <w:t>4.合同付款方式：无预付款，投标保证金自动转为履约保证金，货到安装验收合格付90%，10%质保金，质保期满后付清。</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1.参选人必须具备有效的企业法人营业执照，参选单位应是具备独立法人资格且有能力按我司需求提供货物及服务的制造商；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2.若参选人为供应商的，所提供的产品（品牌）须满足资质需求，并取得生产厂商的产品授权，并提供产品质量承诺函及售后服务承诺函；</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3.没有失信黑名单记录（以最高院失信被执行人系统发布信息为准）；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4.与比选人无诉讼纠纷；</w:t>
      </w:r>
    </w:p>
    <w:p>
      <w:pPr>
        <w:tabs>
          <w:tab w:val="left" w:pos="709"/>
        </w:tabs>
        <w:spacing w:line="360" w:lineRule="auto"/>
        <w:ind w:firstLine="480" w:firstLineChars="200"/>
        <w:rPr>
          <w:rFonts w:hint="default"/>
          <w:lang w:val="en-US" w:eastAsia="zh-CN"/>
        </w:rPr>
      </w:pPr>
      <w:r>
        <w:rPr>
          <w:rFonts w:hint="eastAsia"/>
          <w:sz w:val="24"/>
          <w:szCs w:val="24"/>
          <w:lang w:val="en-US" w:eastAsia="zh-CN"/>
        </w:rPr>
        <w:t>5.本标不接受联合体投标；</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  月  日至202</w:t>
      </w:r>
      <w:r>
        <w:rPr>
          <w:rFonts w:hint="eastAsia"/>
          <w:color w:val="000000" w:themeColor="text1"/>
          <w:sz w:val="24"/>
          <w:szCs w:val="24"/>
          <w:lang w:val="en-US" w:eastAsia="zh-CN"/>
        </w:rPr>
        <w:t>3</w:t>
      </w:r>
      <w:r>
        <w:rPr>
          <w:rFonts w:hint="eastAsia"/>
          <w:color w:val="000000" w:themeColor="text1"/>
          <w:sz w:val="24"/>
          <w:szCs w:val="24"/>
          <w:lang w:eastAsia="zh-CN"/>
        </w:rPr>
        <w:t>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zyhe</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参选文件递交地点：漳州市漳浦县杜浔镇杜昌路9号，福海创办公楼三楼设备及服务团队，收件人：何震洋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15259232765</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widowControl/>
        <w:autoSpaceDE/>
        <w:autoSpaceDN/>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壹</w:t>
      </w:r>
      <w:r>
        <w:rPr>
          <w:rFonts w:hint="eastAsia" w:cs="Arial" w:asciiTheme="majorEastAsia" w:hAnsiTheme="majorEastAsia" w:eastAsiaTheme="majorEastAsia"/>
          <w:color w:val="333333"/>
          <w:sz w:val="24"/>
          <w:szCs w:val="24"/>
          <w:lang w:eastAsia="zh-CN"/>
        </w:rPr>
        <w:t>万元整（￥</w:t>
      </w:r>
      <w:r>
        <w:rPr>
          <w:rFonts w:hint="eastAsia" w:cs="Arial" w:asciiTheme="majorEastAsia" w:hAnsiTheme="majorEastAsia" w:eastAsiaTheme="majorEastAsia"/>
          <w:color w:val="333333"/>
          <w:sz w:val="24"/>
          <w:szCs w:val="24"/>
          <w:lang w:val="en-US" w:eastAsia="zh-CN"/>
        </w:rPr>
        <w:t>10000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微量水分析仪</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0"/>
        <w:spacing w:line="360" w:lineRule="auto"/>
        <w:ind w:right="121" w:firstLine="480" w:firstLineChars="200"/>
        <w:jc w:val="both"/>
        <w:rPr>
          <w:rFonts w:asciiTheme="majorEastAsia" w:hAnsiTheme="majorEastAsia" w:eastAsiaTheme="majorEastAsia"/>
          <w:color w:val="000000" w:themeColor="text1"/>
          <w:lang w:eastAsia="zh-CN"/>
        </w:rPr>
      </w:pPr>
      <w:r>
        <w:rPr>
          <w:rFonts w:hint="eastAsia" w:asciiTheme="majorEastAsia" w:hAnsiTheme="majorEastAsia" w:eastAsiaTheme="majorEastAsia"/>
          <w:lang w:eastAsia="zh-CN"/>
        </w:rPr>
        <w:t>7.中选者的参选保证金（无息），将在合同签订后自动转为履约保证金，将于合同周期完成后1</w:t>
      </w:r>
      <w:r>
        <w:rPr>
          <w:rFonts w:asciiTheme="majorEastAsia" w:hAnsiTheme="majorEastAsia" w:eastAsiaTheme="majorEastAsia"/>
          <w:lang w:eastAsia="zh-CN"/>
        </w:rPr>
        <w:t>5</w:t>
      </w:r>
      <w:r>
        <w:rPr>
          <w:rFonts w:hint="eastAsia" w:asciiTheme="majorEastAsia" w:hAnsiTheme="majorEastAsia" w:eastAsiaTheme="majorEastAsia"/>
          <w:lang w:eastAsia="zh-CN"/>
        </w:rPr>
        <w:t>个工作日内，甲方无息退还履约保证金；</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20"/>
        <w:spacing w:line="360" w:lineRule="auto"/>
        <w:ind w:right="121"/>
        <w:jc w:val="both"/>
        <w:rPr>
          <w:lang w:eastAsia="zh-CN"/>
        </w:rPr>
      </w:pP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何震洋</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15259232765</w:t>
      </w:r>
      <w:r>
        <w:rPr>
          <w:rFonts w:hint="eastAsia"/>
          <w:color w:val="000000" w:themeColor="text1"/>
          <w:sz w:val="24"/>
          <w:szCs w:val="24"/>
          <w:lang w:eastAsia="zh-CN"/>
        </w:rPr>
        <w:t xml:space="preserve"> 邮箱：</w:t>
      </w:r>
      <w:r>
        <w:rPr>
          <w:rFonts w:hint="eastAsia"/>
          <w:color w:val="000000" w:themeColor="text1"/>
          <w:sz w:val="24"/>
          <w:szCs w:val="24"/>
          <w:lang w:val="en-US" w:eastAsia="zh-CN"/>
        </w:rPr>
        <w:t>zyhe</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5</w:t>
      </w:r>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微量水分析仪采购项目</w:t>
      </w:r>
      <w:r>
        <w:rPr>
          <w:rFonts w:hint="eastAsia"/>
          <w:sz w:val="24"/>
          <w:szCs w:val="24"/>
          <w:lang w:eastAsia="zh-CN"/>
        </w:rPr>
        <w:t>。</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firstLine="480" w:firstLineChars="200"/>
        <w:jc w:val="both"/>
        <w:rPr>
          <w:rFonts w:hint="eastAsia"/>
          <w:color w:val="000000" w:themeColor="text1"/>
          <w:sz w:val="24"/>
          <w:szCs w:val="24"/>
          <w:lang w:val="en-US" w:eastAsia="zh-CN"/>
        </w:rPr>
      </w:pPr>
      <w:r>
        <w:rPr>
          <w:rFonts w:hint="eastAsia"/>
          <w:lang w:eastAsia="zh-CN"/>
        </w:rPr>
        <w:t>技术联系人</w:t>
      </w:r>
      <w:r>
        <w:rPr>
          <w:rFonts w:hint="default"/>
          <w:lang w:val="en-US" w:eastAsia="zh-CN"/>
        </w:rPr>
        <w:t xml:space="preserve">: </w:t>
      </w:r>
      <w:r>
        <w:rPr>
          <w:rFonts w:hint="eastAsia"/>
          <w:color w:val="000000" w:themeColor="text1"/>
          <w:sz w:val="24"/>
          <w:szCs w:val="24"/>
          <w:lang w:val="en-US" w:eastAsia="zh-CN"/>
        </w:rPr>
        <w:t>梁晓锋 17750164319, 32746130@qq.com</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何震洋</w:t>
      </w:r>
      <w:r>
        <w:rPr>
          <w:rFonts w:hint="eastAsia"/>
          <w:lang w:eastAsia="zh-CN"/>
        </w:rPr>
        <w:t xml:space="preserve"> </w:t>
      </w:r>
      <w:r>
        <w:rPr>
          <w:rFonts w:hint="eastAsia"/>
          <w:lang w:val="en-US" w:eastAsia="zh-CN"/>
        </w:rPr>
        <w:t>15259232765</w:t>
      </w:r>
      <w:r>
        <w:rPr>
          <w:rFonts w:hint="eastAsia"/>
          <w:lang w:eastAsia="zh-CN"/>
        </w:rPr>
        <w:t>，</w:t>
      </w:r>
      <w:r>
        <w:rPr>
          <w:rFonts w:hint="eastAsia"/>
          <w:lang w:val="en-US" w:eastAsia="zh-CN"/>
        </w:rPr>
        <w:t>zyhe</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1.参选人必须具备有效的企业法人营业执照，参选单位应是具备独立法人资格且有能力按我司需求提供货物及服务的制造商；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2.若参选人为供应商的，所提供的产品（品牌）须满足资质需求，并取得生产厂商的产品授权，并提供产品质量承诺函及售后服务承诺函；</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3.没有失信黑名单记录（以最高院失信被执行人系统发布信息为准）；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4.与比选人无诉讼纠纷；</w:t>
      </w:r>
    </w:p>
    <w:p>
      <w:pPr>
        <w:tabs>
          <w:tab w:val="left" w:pos="709"/>
        </w:tabs>
        <w:spacing w:line="360" w:lineRule="auto"/>
        <w:ind w:firstLine="480" w:firstLineChars="200"/>
        <w:rPr>
          <w:rFonts w:hint="default"/>
          <w:lang w:val="en-US" w:eastAsia="zh-CN"/>
        </w:rPr>
      </w:pPr>
      <w:r>
        <w:rPr>
          <w:rFonts w:hint="eastAsia"/>
          <w:sz w:val="24"/>
          <w:szCs w:val="24"/>
          <w:lang w:val="en-US" w:eastAsia="zh-CN"/>
        </w:rPr>
        <w:t>5.本标不接受联合体投标。</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壹</w:t>
      </w:r>
      <w:r>
        <w:rPr>
          <w:rFonts w:hint="eastAsia" w:cs="Arial" w:asciiTheme="majorEastAsia" w:hAnsiTheme="majorEastAsia" w:eastAsiaTheme="majorEastAsia"/>
          <w:color w:val="333333"/>
          <w:sz w:val="24"/>
          <w:szCs w:val="24"/>
          <w:lang w:eastAsia="zh-CN"/>
        </w:rPr>
        <w:t>万元整（￥</w:t>
      </w:r>
      <w:r>
        <w:rPr>
          <w:rFonts w:hint="eastAsia" w:cs="Arial" w:asciiTheme="majorEastAsia" w:hAnsiTheme="majorEastAsia" w:eastAsiaTheme="majorEastAsia"/>
          <w:color w:val="333333"/>
          <w:sz w:val="24"/>
          <w:szCs w:val="24"/>
          <w:lang w:val="en-US" w:eastAsia="zh-CN"/>
        </w:rPr>
        <w:t>10000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微量水分析仪</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0"/>
        <w:spacing w:line="360" w:lineRule="auto"/>
        <w:ind w:right="121" w:firstLine="480" w:firstLineChars="200"/>
        <w:jc w:val="both"/>
        <w:rPr>
          <w:rFonts w:asciiTheme="majorEastAsia" w:hAnsiTheme="majorEastAsia" w:eastAsiaTheme="majorEastAsia"/>
          <w:color w:val="000000" w:themeColor="text1"/>
          <w:lang w:eastAsia="zh-CN"/>
        </w:rPr>
      </w:pPr>
      <w:r>
        <w:rPr>
          <w:rFonts w:hint="eastAsia" w:asciiTheme="majorEastAsia" w:hAnsiTheme="majorEastAsia" w:eastAsiaTheme="majorEastAsia"/>
          <w:lang w:eastAsia="zh-CN"/>
        </w:rPr>
        <w:t>7.中选者的参选保证金（无息）</w:t>
      </w:r>
      <w:r>
        <w:rPr>
          <w:rFonts w:hint="eastAsia" w:asciiTheme="majorEastAsia" w:hAnsiTheme="majorEastAsia" w:eastAsiaTheme="majorEastAsia"/>
          <w:lang w:val="en-US" w:eastAsia="zh-CN"/>
        </w:rPr>
        <w:t>1</w:t>
      </w:r>
      <w:r>
        <w:rPr>
          <w:rFonts w:hint="default" w:asciiTheme="majorEastAsia" w:hAnsiTheme="majorEastAsia" w:eastAsiaTheme="majorEastAsia"/>
          <w:lang w:val="en-US" w:eastAsia="zh-CN"/>
        </w:rPr>
        <w:t>0000</w:t>
      </w:r>
      <w:r>
        <w:rPr>
          <w:rFonts w:hint="eastAsia" w:asciiTheme="majorEastAsia" w:hAnsiTheme="majorEastAsia" w:eastAsiaTheme="majorEastAsia"/>
          <w:lang w:val="en-US" w:eastAsia="zh-CN"/>
        </w:rPr>
        <w:t>元</w:t>
      </w:r>
      <w:r>
        <w:rPr>
          <w:rFonts w:hint="eastAsia" w:asciiTheme="majorEastAsia" w:hAnsiTheme="majorEastAsia" w:eastAsiaTheme="majorEastAsia"/>
          <w:lang w:eastAsia="zh-CN"/>
        </w:rPr>
        <w:t>，将在合同签订后自动转为履约保证金，将于合同周期完成后</w:t>
      </w:r>
      <w:r>
        <w:rPr>
          <w:rFonts w:hint="eastAsia" w:asciiTheme="majorEastAsia" w:hAnsiTheme="majorEastAsia" w:eastAsiaTheme="majorEastAsia"/>
          <w:lang w:val="en-US" w:eastAsia="zh-CN"/>
        </w:rPr>
        <w:t>30</w:t>
      </w:r>
      <w:r>
        <w:rPr>
          <w:rFonts w:hint="eastAsia" w:asciiTheme="majorEastAsia" w:hAnsiTheme="majorEastAsia" w:eastAsiaTheme="majorEastAsia"/>
          <w:lang w:eastAsia="zh-CN"/>
        </w:rPr>
        <w:t>个工作日内，甲方无息退还履约保证金；</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20"/>
        <w:spacing w:line="360" w:lineRule="auto"/>
        <w:ind w:right="121"/>
        <w:jc w:val="both"/>
        <w:rPr>
          <w:lang w:eastAsia="zh-CN"/>
        </w:rPr>
      </w:pP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何震洋</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15259232765</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r>
        <w:rPr>
          <w:rFonts w:hint="eastAsia"/>
          <w:sz w:val="24"/>
          <w:szCs w:val="24"/>
          <w:lang w:val="en-US" w:eastAsia="zh-CN"/>
        </w:rPr>
        <w:t>承包方近5年已交付使用的与本项目相似业绩履行情况的说明，提供合同复印件并填写上发包方技术人员的姓名、电话及发票复印件等证明资料。</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48</w:t>
      </w:r>
      <w:r>
        <w:rPr>
          <w:rFonts w:hint="eastAsia"/>
          <w:b/>
          <w:color w:val="FF0000"/>
          <w:lang w:eastAsia="zh-CN"/>
        </w:rPr>
        <w:t>万元整（</w:t>
      </w:r>
      <w:r>
        <w:rPr>
          <w:rFonts w:hint="eastAsia"/>
          <w:b/>
          <w:color w:val="FF0000"/>
          <w:lang w:val="en-US" w:eastAsia="zh-CN"/>
        </w:rPr>
        <w:t>不含增值</w:t>
      </w:r>
      <w:r>
        <w:rPr>
          <w:rFonts w:hint="eastAsia"/>
          <w:b/>
          <w:color w:val="FF0000"/>
          <w:lang w:eastAsia="zh-CN"/>
        </w:rPr>
        <w:t>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zyhe</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val="en-US" w:eastAsia="zh-CN"/>
        </w:rPr>
        <w:t>腾龙芳烃</w:t>
      </w:r>
      <w:r>
        <w:rPr>
          <w:rStyle w:val="50"/>
          <w:rFonts w:hint="eastAsia" w:ascii="Times New Roman" w:hAnsi="Times New Roman" w:cs="Times New Roman"/>
          <w:color w:val="FF0000"/>
          <w:lang w:eastAsia="zh-CN"/>
        </w:rPr>
        <w:t>（漳州）有限公司”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20"/>
        <w:spacing w:line="360" w:lineRule="auto"/>
        <w:ind w:right="121" w:firstLine="480" w:firstLineChars="200"/>
        <w:jc w:val="both"/>
        <w:rPr>
          <w:rFonts w:hint="default"/>
          <w:lang w:eastAsia="zh-CN"/>
        </w:rPr>
      </w:pPr>
      <w:r>
        <w:rPr>
          <w:rFonts w:hint="eastAsia"/>
          <w:lang w:val="en-US" w:eastAsia="zh-CN"/>
        </w:rPr>
        <w:t>4</w:t>
      </w:r>
      <w:r>
        <w:rPr>
          <w:rFonts w:hint="default"/>
          <w:lang w:eastAsia="zh-CN"/>
        </w:rPr>
        <w:t>. 双方都有义务尊重对方知识产权和资料信息的保密性，双方均应约束其参与项目的雇员遵守保密义务、尊重商业道德。任何第三方要获得该项目的任何信息，均需获得双方的书面授权。（若有必要双方签订保密协议）</w:t>
      </w:r>
    </w:p>
    <w:p>
      <w:pPr>
        <w:pStyle w:val="20"/>
        <w:spacing w:line="360" w:lineRule="auto"/>
        <w:ind w:right="121" w:firstLine="480" w:firstLineChars="200"/>
        <w:jc w:val="both"/>
        <w:rPr>
          <w:rFonts w:hint="default"/>
          <w:lang w:eastAsia="zh-CN"/>
        </w:rPr>
      </w:pPr>
      <w:r>
        <w:rPr>
          <w:rFonts w:hint="eastAsia"/>
          <w:lang w:val="en-US" w:eastAsia="zh-CN"/>
        </w:rPr>
        <w:t>5</w:t>
      </w:r>
      <w:r>
        <w:rPr>
          <w:rFonts w:hint="default"/>
          <w:lang w:eastAsia="zh-CN"/>
        </w:rPr>
        <w:t>. 双方对本方案内容及执行过程中涉及的合作方式、工作思路、服务报价、合同金额以及其它技术或商业信息负有保密的责任，任何一方未经对方书面许可不得将上述内容泄露给任何第三方。</w:t>
      </w:r>
    </w:p>
    <w:p>
      <w:pPr>
        <w:pStyle w:val="20"/>
        <w:spacing w:line="360" w:lineRule="auto"/>
        <w:ind w:right="121" w:firstLine="480" w:firstLineChars="200"/>
        <w:jc w:val="both"/>
        <w:rPr>
          <w:rFonts w:hint="default"/>
          <w:lang w:eastAsia="zh-CN"/>
        </w:rPr>
      </w:pPr>
      <w:r>
        <w:rPr>
          <w:rFonts w:hint="eastAsia"/>
          <w:lang w:val="en-US" w:eastAsia="zh-CN"/>
        </w:rPr>
        <w:t>6</w:t>
      </w:r>
      <w:r>
        <w:rPr>
          <w:rFonts w:hint="default"/>
          <w:lang w:eastAsia="zh-CN"/>
        </w:rPr>
        <w:t>. 泄密责任：按本合同约定及国家有关保密法的规定执行 。</w:t>
      </w:r>
    </w:p>
    <w:p>
      <w:pPr>
        <w:pStyle w:val="20"/>
        <w:spacing w:line="360" w:lineRule="auto"/>
        <w:ind w:right="121" w:firstLine="480" w:firstLineChars="200"/>
        <w:jc w:val="both"/>
        <w:rPr>
          <w:lang w:eastAsia="zh-CN"/>
        </w:rPr>
      </w:pP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spacing w:line="120" w:lineRule="auto"/>
        <w:ind w:firstLine="4357" w:firstLineChars="1550"/>
        <w:rPr>
          <w:b/>
          <w:sz w:val="28"/>
          <w:szCs w:val="28"/>
        </w:rPr>
      </w:pPr>
      <w:r>
        <w:rPr>
          <w:rFonts w:hint="eastAsia"/>
          <w:b/>
          <w:sz w:val="28"/>
          <w:szCs w:val="28"/>
        </w:rPr>
        <w:t>采购合同</w:t>
      </w:r>
    </w:p>
    <w:tbl>
      <w:tblPr>
        <w:tblStyle w:val="4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5"/>
        <w:gridCol w:w="3640"/>
        <w:gridCol w:w="1271"/>
        <w:gridCol w:w="29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59" w:type="dxa"/>
          </w:tcPr>
          <w:p>
            <w:pPr>
              <w:spacing w:line="120" w:lineRule="auto"/>
              <w:rPr>
                <w:sz w:val="24"/>
              </w:rPr>
            </w:pPr>
            <w:r>
              <w:rPr>
                <w:rFonts w:hint="eastAsia"/>
                <w:sz w:val="24"/>
              </w:rPr>
              <w:t xml:space="preserve">                                                                                      </w:t>
            </w:r>
          </w:p>
        </w:tc>
        <w:tc>
          <w:tcPr>
            <w:tcW w:w="4394" w:type="dxa"/>
          </w:tcPr>
          <w:p>
            <w:pPr>
              <w:spacing w:line="120" w:lineRule="auto"/>
              <w:rPr>
                <w:sz w:val="24"/>
              </w:rPr>
            </w:pPr>
          </w:p>
        </w:tc>
        <w:tc>
          <w:tcPr>
            <w:tcW w:w="1418" w:type="dxa"/>
          </w:tcPr>
          <w:p>
            <w:pPr>
              <w:spacing w:line="120" w:lineRule="auto"/>
              <w:rPr>
                <w:sz w:val="24"/>
              </w:rPr>
            </w:pPr>
            <w:r>
              <w:rPr>
                <w:rFonts w:hint="eastAsia"/>
                <w:sz w:val="24"/>
              </w:rPr>
              <w:t>合同编号：</w:t>
            </w:r>
          </w:p>
        </w:tc>
        <w:tc>
          <w:tcPr>
            <w:tcW w:w="364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甲方：</w:t>
            </w:r>
          </w:p>
        </w:tc>
        <w:tc>
          <w:tcPr>
            <w:tcW w:w="4394" w:type="dxa"/>
          </w:tcPr>
          <w:p>
            <w:pPr>
              <w:spacing w:line="120" w:lineRule="auto"/>
              <w:rPr>
                <w:sz w:val="24"/>
              </w:rPr>
            </w:pPr>
            <w:r>
              <w:rPr>
                <w:rFonts w:hint="eastAsia"/>
                <w:sz w:val="24"/>
                <w:lang w:val="en-US" w:eastAsia="zh-CN"/>
              </w:rPr>
              <w:t>腾龙芳烃</w:t>
            </w:r>
            <w:r>
              <w:rPr>
                <w:rFonts w:hint="eastAsia"/>
                <w:sz w:val="24"/>
                <w:lang w:eastAsia="zh-CN"/>
              </w:rPr>
              <w:t>（漳州）有限公司</w:t>
            </w:r>
            <w:r>
              <w:rPr>
                <w:rFonts w:hint="eastAsia"/>
                <w:sz w:val="24"/>
              </w:rPr>
              <w:t xml:space="preserve">                                     </w:t>
            </w:r>
          </w:p>
        </w:tc>
        <w:tc>
          <w:tcPr>
            <w:tcW w:w="1418" w:type="dxa"/>
          </w:tcPr>
          <w:p>
            <w:pPr>
              <w:spacing w:line="120" w:lineRule="auto"/>
              <w:rPr>
                <w:sz w:val="24"/>
              </w:rPr>
            </w:pPr>
            <w:r>
              <w:rPr>
                <w:rFonts w:hint="eastAsia"/>
                <w:sz w:val="24"/>
              </w:rPr>
              <w:t>签订地点：</w:t>
            </w:r>
          </w:p>
        </w:tc>
        <w:tc>
          <w:tcPr>
            <w:tcW w:w="364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乙方：</w:t>
            </w:r>
          </w:p>
        </w:tc>
        <w:tc>
          <w:tcPr>
            <w:tcW w:w="4394" w:type="dxa"/>
          </w:tcPr>
          <w:p>
            <w:pPr>
              <w:spacing w:line="120" w:lineRule="auto"/>
              <w:rPr>
                <w:sz w:val="24"/>
              </w:rPr>
            </w:pPr>
          </w:p>
        </w:tc>
        <w:tc>
          <w:tcPr>
            <w:tcW w:w="1418" w:type="dxa"/>
          </w:tcPr>
          <w:p>
            <w:pPr>
              <w:spacing w:line="120" w:lineRule="auto"/>
              <w:rPr>
                <w:sz w:val="24"/>
              </w:rPr>
            </w:pPr>
            <w:r>
              <w:rPr>
                <w:rFonts w:hint="eastAsia"/>
                <w:sz w:val="24"/>
              </w:rPr>
              <w:t>签订日期：</w:t>
            </w:r>
          </w:p>
        </w:tc>
        <w:tc>
          <w:tcPr>
            <w:tcW w:w="364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7"/>
        <w:tblW w:w="102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4"/>
        <w:gridCol w:w="5950"/>
        <w:gridCol w:w="813"/>
        <w:gridCol w:w="1125"/>
        <w:gridCol w:w="1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314" w:type="dxa"/>
            <w:vAlign w:val="center"/>
          </w:tcPr>
          <w:p>
            <w:pPr>
              <w:spacing w:line="120" w:lineRule="auto"/>
              <w:jc w:val="center"/>
              <w:rPr>
                <w:b/>
                <w:sz w:val="24"/>
              </w:rPr>
            </w:pPr>
            <w:r>
              <w:rPr>
                <w:rFonts w:hint="eastAsia"/>
                <w:b/>
                <w:sz w:val="24"/>
              </w:rPr>
              <w:t>产品名称</w:t>
            </w:r>
          </w:p>
        </w:tc>
        <w:tc>
          <w:tcPr>
            <w:tcW w:w="5950" w:type="dxa"/>
            <w:vAlign w:val="center"/>
          </w:tcPr>
          <w:p>
            <w:pPr>
              <w:spacing w:line="120" w:lineRule="auto"/>
              <w:jc w:val="center"/>
              <w:rPr>
                <w:b/>
                <w:sz w:val="24"/>
              </w:rPr>
            </w:pPr>
            <w:r>
              <w:rPr>
                <w:rFonts w:hint="eastAsia"/>
                <w:b/>
                <w:sz w:val="24"/>
              </w:rPr>
              <w:t>规格型号</w:t>
            </w:r>
          </w:p>
        </w:tc>
        <w:tc>
          <w:tcPr>
            <w:tcW w:w="813" w:type="dxa"/>
            <w:vAlign w:val="center"/>
          </w:tcPr>
          <w:p>
            <w:pPr>
              <w:spacing w:line="120" w:lineRule="auto"/>
              <w:jc w:val="center"/>
              <w:rPr>
                <w:b/>
                <w:sz w:val="24"/>
              </w:rPr>
            </w:pPr>
            <w:r>
              <w:rPr>
                <w:rFonts w:hint="eastAsia"/>
                <w:b/>
                <w:sz w:val="24"/>
              </w:rPr>
              <w:t>数量</w:t>
            </w:r>
          </w:p>
        </w:tc>
        <w:tc>
          <w:tcPr>
            <w:tcW w:w="1125" w:type="dxa"/>
            <w:vAlign w:val="center"/>
          </w:tcPr>
          <w:p>
            <w:pPr>
              <w:spacing w:line="120" w:lineRule="auto"/>
              <w:jc w:val="center"/>
              <w:rPr>
                <w:b/>
                <w:sz w:val="24"/>
              </w:rPr>
            </w:pPr>
            <w:r>
              <w:rPr>
                <w:rFonts w:hint="eastAsia"/>
                <w:b/>
                <w:sz w:val="24"/>
              </w:rPr>
              <w:t>单价/元</w:t>
            </w:r>
          </w:p>
        </w:tc>
        <w:tc>
          <w:tcPr>
            <w:tcW w:w="109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1314" w:type="dxa"/>
            <w:vAlign w:val="center"/>
          </w:tcPr>
          <w:p>
            <w:pPr>
              <w:spacing w:line="120" w:lineRule="auto"/>
              <w:jc w:val="center"/>
              <w:rPr>
                <w:rFonts w:hint="eastAsia"/>
                <w:sz w:val="24"/>
                <w:lang w:val="en-US" w:eastAsia="zh-CN"/>
              </w:rPr>
            </w:pPr>
            <w:permStart w:id="0" w:edGrp="everyone"/>
            <w:r>
              <w:rPr>
                <w:rFonts w:hint="eastAsia"/>
                <w:sz w:val="24"/>
                <w:lang w:val="en-US" w:eastAsia="zh-CN"/>
              </w:rPr>
              <w:t>微量水分析仪</w:t>
            </w:r>
          </w:p>
        </w:tc>
        <w:tc>
          <w:tcPr>
            <w:tcW w:w="5950" w:type="dxa"/>
            <w:vAlign w:val="center"/>
          </w:tcPr>
          <w:p>
            <w:pPr>
              <w:keepNext w:val="0"/>
              <w:keepLines w:val="0"/>
              <w:widowControl/>
              <w:suppressLineNumbers w:val="0"/>
              <w:jc w:val="both"/>
              <w:textAlignment w:val="top"/>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kern w:val="0"/>
                <w:sz w:val="24"/>
                <w:szCs w:val="24"/>
                <w:lang w:val="en-US" w:eastAsia="zh-CN" w:bidi="ar"/>
              </w:rPr>
              <w:t>"电源：220VAC,50Hz 防爆等级：Ex dIICT4 防护等级：IP65 输出信号： 4-20m 1拖5，需带6个AO卡 其他见规格书"</w:t>
            </w:r>
          </w:p>
        </w:tc>
        <w:tc>
          <w:tcPr>
            <w:tcW w:w="813" w:type="dxa"/>
            <w:vAlign w:val="center"/>
          </w:tcPr>
          <w:p>
            <w:pPr>
              <w:spacing w:line="120" w:lineRule="auto"/>
              <w:jc w:val="center"/>
              <w:rPr>
                <w:rFonts w:hint="default"/>
                <w:sz w:val="24"/>
                <w:lang w:val="en-US" w:eastAsia="zh-CN"/>
              </w:rPr>
            </w:pPr>
            <w:r>
              <w:rPr>
                <w:rFonts w:hint="eastAsia"/>
                <w:sz w:val="24"/>
                <w:lang w:val="en-US" w:eastAsia="zh-CN"/>
              </w:rPr>
              <w:t>1</w:t>
            </w:r>
          </w:p>
        </w:tc>
        <w:tc>
          <w:tcPr>
            <w:tcW w:w="1125" w:type="dxa"/>
            <w:vAlign w:val="center"/>
          </w:tcPr>
          <w:p>
            <w:pPr>
              <w:spacing w:line="120" w:lineRule="auto"/>
              <w:jc w:val="center"/>
              <w:rPr>
                <w:sz w:val="24"/>
              </w:rPr>
            </w:pPr>
          </w:p>
        </w:tc>
        <w:tc>
          <w:tcPr>
            <w:tcW w:w="1096" w:type="dxa"/>
            <w:vAlign w:val="center"/>
          </w:tcPr>
          <w:p>
            <w:pPr>
              <w:spacing w:line="120" w:lineRule="auto"/>
              <w:jc w:val="center"/>
              <w:rPr>
                <w:sz w:val="24"/>
              </w:rPr>
            </w:pPr>
          </w:p>
        </w:tc>
      </w:tr>
      <w:perm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1314" w:type="dxa"/>
            <w:vAlign w:val="center"/>
          </w:tcPr>
          <w:p>
            <w:pPr>
              <w:spacing w:line="120" w:lineRule="auto"/>
              <w:jc w:val="center"/>
              <w:rPr>
                <w:sz w:val="24"/>
              </w:rPr>
            </w:pPr>
            <w:r>
              <w:rPr>
                <w:rFonts w:hint="eastAsia"/>
                <w:sz w:val="24"/>
              </w:rPr>
              <w:t>合同金额合计</w:t>
            </w:r>
          </w:p>
        </w:tc>
        <w:tc>
          <w:tcPr>
            <w:tcW w:w="8984" w:type="dxa"/>
            <w:gridSpan w:val="4"/>
            <w:vAlign w:val="center"/>
          </w:tcPr>
          <w:p>
            <w:pPr>
              <w:spacing w:line="120" w:lineRule="auto"/>
              <w:jc w:val="center"/>
              <w:rPr>
                <w:sz w:val="24"/>
              </w:rPr>
            </w:pPr>
            <w:permStart w:id="1" w:edGrp="everyone"/>
            <w:r>
              <w:rPr>
                <w:rFonts w:hint="eastAsia"/>
                <w:sz w:val="24"/>
              </w:rPr>
              <w:t xml:space="preserve">    </w:t>
            </w:r>
            <w:permEnd w:id="1"/>
            <w:r>
              <w:rPr>
                <w:rFonts w:hint="eastAsia"/>
                <w:sz w:val="24"/>
              </w:rPr>
              <w:t xml:space="preserve">（大写） </w:t>
            </w:r>
            <w:permStart w:id="2" w:edGrp="everyone"/>
            <w:r>
              <w:rPr>
                <w:rFonts w:hint="eastAsia"/>
                <w:sz w:val="24"/>
              </w:rPr>
              <w:t xml:space="preserve">  </w:t>
            </w:r>
            <w:permEnd w:id="2"/>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eastAsia="zh-CN"/>
        </w:rPr>
        <w:t>乙方送货上门</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eastAsia="zh-CN"/>
        </w:rPr>
        <w:t>甲方</w:t>
      </w:r>
      <w:r>
        <w:rPr>
          <w:sz w:val="24"/>
          <w:u w:val="single"/>
          <w:lang w:eastAsia="zh-CN"/>
        </w:rPr>
        <w:t>现场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w:t>
      </w:r>
      <w:r>
        <w:rPr>
          <w:rFonts w:hint="eastAsia"/>
          <w:sz w:val="24"/>
          <w:lang w:eastAsia="zh-CN"/>
        </w:rPr>
        <w:t>参选保证金自动转为履约保证金，</w:t>
      </w:r>
      <w:r>
        <w:rPr>
          <w:rFonts w:hint="eastAsia" w:ascii="宋体" w:hAnsi="宋体"/>
          <w:sz w:val="24"/>
          <w:szCs w:val="22"/>
          <w:lang w:eastAsia="zh-CN"/>
        </w:rPr>
        <w:t>该履约保证金在乙方全面履行完毕本合同义务后30天内无息退还。但履约保证金退还后发现任何应由乙方承担责任的行为或事件，乙方仍应承担责任。</w:t>
      </w:r>
    </w:p>
    <w:p>
      <w:pPr>
        <w:spacing w:line="360" w:lineRule="auto"/>
        <w:ind w:firstLine="480" w:firstLineChars="200"/>
        <w:rPr>
          <w:sz w:val="24"/>
        </w:rPr>
      </w:pPr>
      <w:r>
        <w:rPr>
          <w:rFonts w:hint="eastAsia"/>
          <w:sz w:val="24"/>
          <w:lang w:val="en-US" w:eastAsia="zh-CN"/>
        </w:rPr>
        <w:t>3.2</w:t>
      </w:r>
      <w:r>
        <w:rPr>
          <w:rFonts w:hint="eastAsia"/>
          <w:sz w:val="24"/>
        </w:rPr>
        <w:t>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u w:val="single"/>
          <w:lang w:val="en-US" w:eastAsia="zh-CN"/>
        </w:rPr>
        <w:t>90</w:t>
      </w:r>
      <w:r>
        <w:rPr>
          <w:sz w:val="24"/>
          <w:u w:val="single"/>
        </w:rPr>
        <w:t xml:space="preserve"> </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3.</w:t>
      </w:r>
      <w:r>
        <w:rPr>
          <w:rFonts w:hint="eastAsia"/>
          <w:sz w:val="24"/>
          <w:lang w:val="en-US" w:eastAsia="zh-CN"/>
        </w:rPr>
        <w:t>3</w:t>
      </w:r>
      <w:r>
        <w:rPr>
          <w:rFonts w:hint="eastAsia"/>
          <w:sz w:val="24"/>
        </w:rPr>
        <w:t xml:space="preserve">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w:t>
      </w:r>
      <w:r>
        <w:rPr>
          <w:rFonts w:hint="eastAsia"/>
          <w:sz w:val="24"/>
          <w:lang w:val="en-US" w:eastAsia="zh-CN"/>
        </w:rPr>
        <w:t>4</w:t>
      </w:r>
      <w:r>
        <w:rPr>
          <w:rFonts w:hint="eastAsia"/>
          <w:sz w:val="24"/>
        </w:rPr>
        <w:t>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w:t>
      </w:r>
      <w:r>
        <w:rPr>
          <w:rFonts w:hint="eastAsia"/>
          <w:sz w:val="24"/>
          <w:lang w:val="en-US" w:eastAsia="zh-CN"/>
        </w:rPr>
        <w:t>5</w:t>
      </w:r>
      <w:r>
        <w:rPr>
          <w:rFonts w:hint="eastAsia"/>
          <w:sz w:val="24"/>
        </w:rPr>
        <w:t>甲方有权从应付乙方的款项中抵扣乙方按本合同应支付给甲方的费用，包括但不限于违约金、赔偿金、乙方造成的一切损失、债务。</w:t>
      </w:r>
    </w:p>
    <w:p>
      <w:pPr>
        <w:spacing w:line="360" w:lineRule="auto"/>
        <w:ind w:firstLine="480" w:firstLineChars="200"/>
        <w:rPr>
          <w:sz w:val="24"/>
        </w:rPr>
      </w:pP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甲方：腾龙芳烃（漳州）有限公司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 xml:space="preserve">联系地址：福建省漳州市漳州古雷经济开发区腾龙路84号 </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val="en-US" w:eastAsia="zh-CN"/>
              </w:rPr>
              <w:t>zyhe</w:t>
            </w:r>
            <w:r>
              <w:rPr>
                <w:rFonts w:hint="eastAsia" w:asciiTheme="majorEastAsia" w:hAnsiTheme="majorEastAsia" w:eastAsiaTheme="majorEastAsia"/>
                <w:sz w:val="21"/>
                <w:szCs w:val="21"/>
                <w:lang w:eastAsia="zh-CN"/>
              </w:rPr>
              <w:t>@fhcpec.com.cn</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eastAsia" w:eastAsia="宋体"/>
                <w:sz w:val="24"/>
                <w:lang w:eastAsia="zh-CN"/>
              </w:rPr>
            </w:pPr>
            <w:r>
              <w:rPr>
                <w:rFonts w:hint="eastAsia"/>
                <w:sz w:val="24"/>
              </w:rPr>
              <w:t>委托代理人：</w:t>
            </w:r>
            <w:r>
              <w:rPr>
                <w:rFonts w:hint="eastAsia"/>
                <w:sz w:val="24"/>
                <w:lang w:eastAsia="zh-CN"/>
              </w:rPr>
              <w:t>何震洋</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default" w:eastAsia="宋体"/>
                <w:sz w:val="24"/>
                <w:lang w:val="en-US" w:eastAsia="zh-CN"/>
              </w:rPr>
            </w:pPr>
            <w:r>
              <w:rPr>
                <w:rFonts w:hint="eastAsia"/>
                <w:sz w:val="24"/>
              </w:rPr>
              <w:t>电话：0596-6311083</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开户银行：兴业银行漳州古雷支行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账号：162070100100021071</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default" w:ascii="Times New Roman"/>
          <w:b/>
          <w:bCs/>
          <w:lang w:val="en-US" w:eastAsia="zh-CN"/>
        </w:rPr>
      </w:pPr>
    </w:p>
    <w:p>
      <w:pPr>
        <w:pStyle w:val="2"/>
        <w:rPr>
          <w:b/>
          <w:bCs/>
          <w:sz w:val="24"/>
          <w:szCs w:val="24"/>
        </w:rPr>
      </w:pPr>
      <w:bookmarkStart w:id="1" w:name="_Toc27787"/>
      <w:bookmarkStart w:id="2" w:name="_Toc14171"/>
      <w:bookmarkStart w:id="3" w:name="_Toc8520"/>
      <w:bookmarkStart w:id="4" w:name="_Toc17959"/>
      <w:bookmarkStart w:id="5" w:name="_Toc31173"/>
      <w:bookmarkStart w:id="6" w:name="_Toc18049"/>
      <w:bookmarkStart w:id="7" w:name="_Toc23434"/>
      <w:bookmarkStart w:id="8" w:name="_Toc4114"/>
      <w:bookmarkStart w:id="9" w:name="_Toc10991"/>
      <w:bookmarkStart w:id="10" w:name="_Toc385779252"/>
      <w:bookmarkStart w:id="11" w:name="_Toc20273"/>
      <w:bookmarkStart w:id="12" w:name="_Toc20180"/>
      <w:bookmarkStart w:id="13" w:name="_Toc352146655"/>
      <w:bookmarkStart w:id="14" w:name="_Toc2239"/>
      <w:bookmarkStart w:id="15" w:name="_Toc31402"/>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val="en-US" w:eastAsia="zh-CN"/>
        </w:rPr>
        <w:t>微量水分析仪</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default"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lang w:val="en-US" w:eastAsia="zh-CN"/>
        </w:rPr>
        <w:t>微量水分析仪</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val="en-US" w:eastAsia="zh-CN"/>
        </w:rPr>
        <w:t>微量水分析仪</w:t>
      </w:r>
      <w:r>
        <w:rPr>
          <w:rFonts w:hint="eastAsia"/>
          <w:b/>
          <w:bCs/>
          <w:sz w:val="24"/>
          <w:szCs w:val="24"/>
          <w:lang w:eastAsia="zh-CN"/>
        </w:rPr>
        <w:t>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120"/>
        <w:gridCol w:w="1215"/>
        <w:gridCol w:w="2505"/>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54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QG2</w:t>
            </w:r>
            <w:r>
              <w:rPr>
                <w:rFonts w:hint="default" w:cs="宋体"/>
                <w:color w:val="000000"/>
                <w:kern w:val="0"/>
                <w:sz w:val="18"/>
                <w:szCs w:val="18"/>
                <w:lang w:val="en-US" w:eastAsia="zh-CN" w:bidi="ar"/>
              </w:rPr>
              <w:t>30</w:t>
            </w:r>
            <w:r>
              <w:rPr>
                <w:rFonts w:hint="eastAsia" w:cs="宋体"/>
                <w:color w:val="000000"/>
                <w:kern w:val="0"/>
                <w:sz w:val="18"/>
                <w:szCs w:val="18"/>
                <w:lang w:val="en-US" w:eastAsia="zh-CN" w:bidi="ar"/>
              </w:rPr>
              <w:t>4170062</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27</w:t>
            </w:r>
            <w:r>
              <w:rPr>
                <w:rFonts w:hint="eastAsia" w:cs="宋体"/>
                <w:color w:val="000000"/>
                <w:kern w:val="0"/>
                <w:sz w:val="18"/>
                <w:szCs w:val="18"/>
                <w:lang w:val="en-US" w:eastAsia="zh-CN" w:bidi="ar"/>
              </w:rPr>
              <w:t>09990084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微量水分析仪</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default" w:ascii="宋体" w:hAnsi="宋体" w:cs="宋体"/>
                <w:color w:val="000000"/>
                <w:kern w:val="0"/>
                <w:sz w:val="18"/>
                <w:szCs w:val="18"/>
                <w:lang w:val="en-US" w:eastAsia="zh-CN" w:bidi="ar"/>
              </w:rPr>
              <w:t>"电源：220VAC,50Hz 防爆等级：Ex dIICT4 防护等级：IP65 输出信号： 4-20m 1拖5，需带6个AO卡 其他见规格书"</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cs="宋体"/>
                <w:color w:val="000000"/>
                <w:kern w:val="0"/>
                <w:sz w:val="18"/>
                <w:szCs w:val="18"/>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600" w:hRule="atLeast"/>
        </w:trPr>
        <w:tc>
          <w:tcPr>
            <w:tcW w:w="24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0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价格说明：</w:t>
            </w:r>
          </w:p>
          <w:p>
            <w:pPr>
              <w:numPr>
                <w:ilvl w:val="255"/>
                <w:numId w:val="0"/>
              </w:numPr>
              <w:spacing w:line="500" w:lineRule="exact"/>
              <w:rPr>
                <w:rFonts w:hint="eastAsia"/>
                <w:b w:val="0"/>
                <w:bCs w:val="0"/>
                <w:sz w:val="24"/>
                <w:lang w:val="en-US" w:eastAsia="zh-CN"/>
              </w:rPr>
            </w:pPr>
            <w:r>
              <w:rPr>
                <w:rFonts w:hint="eastAsia"/>
                <w:b w:val="0"/>
                <w:bCs w:val="0"/>
                <w:sz w:val="24"/>
                <w:lang w:val="en-US" w:eastAsia="zh-CN"/>
              </w:rPr>
              <w:t>1、报价单随附“电导率分析仪”询价说明：</w:t>
            </w:r>
          </w:p>
          <w:p>
            <w:pPr>
              <w:numPr>
                <w:numId w:val="0"/>
              </w:numPr>
              <w:spacing w:line="500" w:lineRule="exact"/>
              <w:ind w:leftChars="0"/>
              <w:rPr>
                <w:rFonts w:hint="eastAsia"/>
                <w:lang w:val="en-US" w:eastAsia="zh-CN"/>
              </w:rPr>
            </w:pPr>
            <w:bookmarkStart w:id="16" w:name="_GoBack"/>
            <w:bookmarkEnd w:id="16"/>
            <w:r>
              <w:rPr>
                <w:rFonts w:hint="eastAsia"/>
                <w:b w:val="0"/>
                <w:bCs w:val="0"/>
                <w:sz w:val="24"/>
                <w:lang w:val="en-US" w:eastAsia="zh-CN"/>
              </w:rPr>
              <w:t>1.1具体事宜以请购规格型号和技术协议为准。</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w:t>
            </w:r>
            <w:r>
              <w:rPr>
                <w:rFonts w:hint="eastAsia"/>
                <w:b w:val="0"/>
                <w:bCs w:val="0"/>
                <w:sz w:val="24"/>
                <w:u w:val="single"/>
                <w:shd w:val="clear" w:color="FFFFFF" w:fill="D9D9D9"/>
                <w:lang w:val="en-US" w:eastAsia="zh-CN"/>
              </w:rPr>
              <w:t xml:space="preserve">  </w:t>
            </w:r>
            <w:r>
              <w:rPr>
                <w:rFonts w:hint="eastAsia" w:ascii="宋体" w:hAnsi="宋体"/>
                <w:b w:val="0"/>
                <w:bCs w:val="0"/>
                <w:sz w:val="24"/>
                <w:u w:val="single"/>
                <w:shd w:val="clear" w:color="FFFFFF" w:fill="D9D9D9"/>
              </w:rPr>
              <w:t xml:space="preserve">%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WQ5NmYxMTZjZGRhOGE2MTg0YTI3ZTU4MDg0ZGNhYTE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61139E5"/>
    <w:rsid w:val="06F50B00"/>
    <w:rsid w:val="076E1278"/>
    <w:rsid w:val="07BB058C"/>
    <w:rsid w:val="081A08AE"/>
    <w:rsid w:val="081D6F74"/>
    <w:rsid w:val="087D5A4F"/>
    <w:rsid w:val="08D1141D"/>
    <w:rsid w:val="09130765"/>
    <w:rsid w:val="09CF6571"/>
    <w:rsid w:val="0B296DE2"/>
    <w:rsid w:val="0B721453"/>
    <w:rsid w:val="0D0126E0"/>
    <w:rsid w:val="0EAE2D72"/>
    <w:rsid w:val="0EFD592E"/>
    <w:rsid w:val="0FB5725B"/>
    <w:rsid w:val="0FB7670E"/>
    <w:rsid w:val="10294AA3"/>
    <w:rsid w:val="10E40CA0"/>
    <w:rsid w:val="12584C20"/>
    <w:rsid w:val="136130D9"/>
    <w:rsid w:val="13805E8A"/>
    <w:rsid w:val="144A1892"/>
    <w:rsid w:val="14762538"/>
    <w:rsid w:val="14D568B5"/>
    <w:rsid w:val="15800409"/>
    <w:rsid w:val="15AD01BA"/>
    <w:rsid w:val="16AE1C29"/>
    <w:rsid w:val="16B72867"/>
    <w:rsid w:val="173600E6"/>
    <w:rsid w:val="18DD4F7E"/>
    <w:rsid w:val="19544509"/>
    <w:rsid w:val="195B58A2"/>
    <w:rsid w:val="1989465C"/>
    <w:rsid w:val="1A2360C8"/>
    <w:rsid w:val="1A9C22EF"/>
    <w:rsid w:val="1B6947A7"/>
    <w:rsid w:val="1CC40373"/>
    <w:rsid w:val="1E085A14"/>
    <w:rsid w:val="1E657D90"/>
    <w:rsid w:val="1ED93E25"/>
    <w:rsid w:val="1F351ED7"/>
    <w:rsid w:val="1FF43DDB"/>
    <w:rsid w:val="20625E24"/>
    <w:rsid w:val="21156B08"/>
    <w:rsid w:val="21933AA2"/>
    <w:rsid w:val="21BE0F4D"/>
    <w:rsid w:val="22B76993"/>
    <w:rsid w:val="22E07B9F"/>
    <w:rsid w:val="231F5346"/>
    <w:rsid w:val="2333574E"/>
    <w:rsid w:val="25BF356F"/>
    <w:rsid w:val="25C95B03"/>
    <w:rsid w:val="25DB0C2D"/>
    <w:rsid w:val="267F6210"/>
    <w:rsid w:val="269469E7"/>
    <w:rsid w:val="26EF5299"/>
    <w:rsid w:val="27981585"/>
    <w:rsid w:val="27E149AB"/>
    <w:rsid w:val="27EE0826"/>
    <w:rsid w:val="280F47C0"/>
    <w:rsid w:val="2998140D"/>
    <w:rsid w:val="29FC3B14"/>
    <w:rsid w:val="2A056A4F"/>
    <w:rsid w:val="2B11792E"/>
    <w:rsid w:val="2CD63F14"/>
    <w:rsid w:val="2E666BF4"/>
    <w:rsid w:val="2F724BD0"/>
    <w:rsid w:val="2FC5779A"/>
    <w:rsid w:val="306A51FE"/>
    <w:rsid w:val="308C67A6"/>
    <w:rsid w:val="31C54755"/>
    <w:rsid w:val="31D23053"/>
    <w:rsid w:val="3216608C"/>
    <w:rsid w:val="322152B0"/>
    <w:rsid w:val="328F13DA"/>
    <w:rsid w:val="34CE14C6"/>
    <w:rsid w:val="34D84CEC"/>
    <w:rsid w:val="35DC515B"/>
    <w:rsid w:val="37AF5AB7"/>
    <w:rsid w:val="38B844F1"/>
    <w:rsid w:val="399C3DF7"/>
    <w:rsid w:val="39E568DF"/>
    <w:rsid w:val="3A387F18"/>
    <w:rsid w:val="3AC225C0"/>
    <w:rsid w:val="3B1C3371"/>
    <w:rsid w:val="3CAE3A33"/>
    <w:rsid w:val="3CC23198"/>
    <w:rsid w:val="3DDF4815"/>
    <w:rsid w:val="3FE669E5"/>
    <w:rsid w:val="42C84A21"/>
    <w:rsid w:val="44B33DBE"/>
    <w:rsid w:val="44B70186"/>
    <w:rsid w:val="459C39D0"/>
    <w:rsid w:val="462A54F2"/>
    <w:rsid w:val="486C4718"/>
    <w:rsid w:val="48BC1E8C"/>
    <w:rsid w:val="4A286FFC"/>
    <w:rsid w:val="4A344C53"/>
    <w:rsid w:val="4A6A5207"/>
    <w:rsid w:val="4B3B68BB"/>
    <w:rsid w:val="4B410375"/>
    <w:rsid w:val="4B876203"/>
    <w:rsid w:val="50F63E28"/>
    <w:rsid w:val="5221007F"/>
    <w:rsid w:val="52926B5A"/>
    <w:rsid w:val="52B7258B"/>
    <w:rsid w:val="52F74B88"/>
    <w:rsid w:val="545C5E51"/>
    <w:rsid w:val="5486175B"/>
    <w:rsid w:val="56A70955"/>
    <w:rsid w:val="57667D24"/>
    <w:rsid w:val="57C67347"/>
    <w:rsid w:val="57CE5BC3"/>
    <w:rsid w:val="57FB365A"/>
    <w:rsid w:val="5998493F"/>
    <w:rsid w:val="59B9557B"/>
    <w:rsid w:val="59C5385A"/>
    <w:rsid w:val="5A2D3E44"/>
    <w:rsid w:val="5A3260D4"/>
    <w:rsid w:val="5A8E6A07"/>
    <w:rsid w:val="5AD75FB8"/>
    <w:rsid w:val="5AE1516A"/>
    <w:rsid w:val="5B3226FA"/>
    <w:rsid w:val="5B6A3A79"/>
    <w:rsid w:val="5C1A5F7B"/>
    <w:rsid w:val="5D7A3273"/>
    <w:rsid w:val="5E2B4120"/>
    <w:rsid w:val="601675AC"/>
    <w:rsid w:val="60342B61"/>
    <w:rsid w:val="627A792A"/>
    <w:rsid w:val="628D3982"/>
    <w:rsid w:val="62C51434"/>
    <w:rsid w:val="62E96122"/>
    <w:rsid w:val="645771F8"/>
    <w:rsid w:val="65D57404"/>
    <w:rsid w:val="66CC0AF0"/>
    <w:rsid w:val="677B0314"/>
    <w:rsid w:val="67CE38BB"/>
    <w:rsid w:val="68196BB6"/>
    <w:rsid w:val="68246BFD"/>
    <w:rsid w:val="693C3D94"/>
    <w:rsid w:val="69962A8F"/>
    <w:rsid w:val="6A3E5143"/>
    <w:rsid w:val="6A54112D"/>
    <w:rsid w:val="6A701C86"/>
    <w:rsid w:val="6A9109B8"/>
    <w:rsid w:val="6AA035AE"/>
    <w:rsid w:val="6BAB675C"/>
    <w:rsid w:val="6BCB034D"/>
    <w:rsid w:val="6C0E1756"/>
    <w:rsid w:val="6C2B2406"/>
    <w:rsid w:val="6D1B5A5A"/>
    <w:rsid w:val="6E0F2E14"/>
    <w:rsid w:val="6E71313D"/>
    <w:rsid w:val="6F1E141D"/>
    <w:rsid w:val="6F5354F8"/>
    <w:rsid w:val="7053719B"/>
    <w:rsid w:val="707F0E75"/>
    <w:rsid w:val="71D648EC"/>
    <w:rsid w:val="727810B8"/>
    <w:rsid w:val="7293546A"/>
    <w:rsid w:val="72E05B2C"/>
    <w:rsid w:val="73F81307"/>
    <w:rsid w:val="740A2BDE"/>
    <w:rsid w:val="751839E0"/>
    <w:rsid w:val="756178E9"/>
    <w:rsid w:val="75A1093B"/>
    <w:rsid w:val="75BE7C69"/>
    <w:rsid w:val="76274F93"/>
    <w:rsid w:val="78632A79"/>
    <w:rsid w:val="79670CA0"/>
    <w:rsid w:val="79EB3F2F"/>
    <w:rsid w:val="79FD3C4B"/>
    <w:rsid w:val="7A1D7427"/>
    <w:rsid w:val="7B11789E"/>
    <w:rsid w:val="7CEE7A95"/>
    <w:rsid w:val="7D250FF6"/>
    <w:rsid w:val="7D602708"/>
    <w:rsid w:val="7DC94A0A"/>
    <w:rsid w:val="7DFA3729"/>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10268</Words>
  <Characters>10793</Characters>
  <Lines>79</Lines>
  <Paragraphs>22</Paragraphs>
  <TotalTime>1</TotalTime>
  <ScaleCrop>false</ScaleCrop>
  <LinksUpToDate>false</LinksUpToDate>
  <CharactersWithSpaces>11744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2023-05-05T06:14:45Z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2052-11.1.0.14036</vt:lpwstr>
  </property>
  <property fmtid="{D5CDD505-2E9C-101B-9397-08002B2CF9AE}" pid="6" name="ICV">
    <vt:lpwstr>7EFD1898B78A4345BC21372367C648C1</vt:lpwstr>
  </property>
</Properties>
</file>