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80" w:lineRule="exact"/>
        <w:jc w:val="center"/>
        <w:rPr>
          <w:rFonts w:hint="eastAsia" w:ascii="宋体" w:hAnsi="宋体" w:eastAsia="宋体"/>
          <w:b/>
          <w:color w:val="000000"/>
          <w:sz w:val="24"/>
          <w:lang w:eastAsia="zh-CN"/>
        </w:rPr>
      </w:pPr>
      <w:r>
        <w:rPr>
          <w:rFonts w:hint="eastAsia" w:ascii="宋体" w:hAnsi="宋体"/>
          <w:b/>
          <w:color w:val="000000"/>
          <w:sz w:val="24"/>
        </w:rPr>
        <w:t xml:space="preserve"> 一般货物（产品）采购合同</w:t>
      </w:r>
      <w:r>
        <w:rPr>
          <w:rFonts w:hint="eastAsia" w:ascii="宋体" w:hAnsi="宋体"/>
          <w:b/>
          <w:color w:val="000000"/>
          <w:sz w:val="24"/>
          <w:lang w:eastAsia="zh-CN"/>
        </w:rPr>
        <w:t>（</w:t>
      </w:r>
      <w:r>
        <w:rPr>
          <w:rFonts w:hint="eastAsia" w:ascii="宋体" w:hAnsi="宋体"/>
          <w:b/>
          <w:color w:val="000000"/>
          <w:sz w:val="24"/>
          <w:lang w:val="en-US" w:eastAsia="zh-CN"/>
        </w:rPr>
        <w:t>模版</w:t>
      </w:r>
      <w:r>
        <w:rPr>
          <w:rFonts w:hint="eastAsia" w:ascii="宋体" w:hAnsi="宋体"/>
          <w:b/>
          <w:color w:val="000000"/>
          <w:sz w:val="24"/>
          <w:lang w:eastAsia="zh-CN"/>
        </w:rPr>
        <w:t>）</w:t>
      </w:r>
    </w:p>
    <w:p>
      <w:pPr>
        <w:spacing w:line="280" w:lineRule="exact"/>
        <w:rPr>
          <w:rFonts w:hint="default"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合同编号：FHC-TLFT-202</w:t>
      </w:r>
      <w:r>
        <w:rPr>
          <w:rFonts w:hint="eastAsia" w:ascii="宋体" w:hAnsi="宋体"/>
          <w:color w:val="000000"/>
          <w:sz w:val="18"/>
          <w:szCs w:val="18"/>
          <w:lang w:val="en-US" w:eastAsia="zh-CN"/>
        </w:rPr>
        <w:t>3</w:t>
      </w:r>
      <w:r>
        <w:rPr>
          <w:rFonts w:hint="eastAsia" w:ascii="宋体" w:hAnsi="宋体"/>
          <w:color w:val="000000"/>
          <w:sz w:val="18"/>
          <w:szCs w:val="18"/>
        </w:rPr>
        <w:t>-CG-CLSN-</w:t>
      </w:r>
      <w:r>
        <w:rPr>
          <w:rFonts w:hint="eastAsia" w:ascii="宋体" w:hAnsi="宋体"/>
          <w:color w:val="000000"/>
          <w:sz w:val="18"/>
          <w:szCs w:val="18"/>
          <w:lang w:val="en-US" w:eastAsia="zh-CN"/>
        </w:rPr>
        <w:t>***</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供方：</w:t>
      </w:r>
      <w:r>
        <w:rPr>
          <w:rFonts w:hint="eastAsia" w:ascii="宋体" w:hAnsi="宋体"/>
          <w:b/>
          <w:color w:val="000000"/>
          <w:szCs w:val="21"/>
          <w:lang w:val="en-US" w:eastAsia="zh-CN"/>
        </w:rPr>
        <w:t>***</w:t>
      </w:r>
      <w:r>
        <w:rPr>
          <w:rFonts w:hint="eastAsia" w:ascii="宋体" w:hAnsi="宋体"/>
          <w:b/>
          <w:color w:val="000000"/>
          <w:szCs w:val="21"/>
        </w:rPr>
        <w:t>有限公司</w:t>
      </w:r>
      <w:r>
        <w:rPr>
          <w:rFonts w:hint="eastAsia" w:ascii="宋体" w:hAnsi="宋体" w:cs="宋体"/>
          <w:b/>
          <w:bCs/>
        </w:rPr>
        <w:t xml:space="preserve"> </w:t>
      </w:r>
      <w:r>
        <w:rPr>
          <w:rFonts w:hint="eastAsia" w:ascii="宋体" w:hAnsi="宋体"/>
          <w:b/>
          <w:color w:val="000000"/>
          <w:szCs w:val="21"/>
        </w:rPr>
        <w:t xml:space="preserve">                        </w:t>
      </w:r>
    </w:p>
    <w:p>
      <w:pPr>
        <w:spacing w:line="280" w:lineRule="exact"/>
        <w:rPr>
          <w:rFonts w:ascii="宋体" w:hAnsi="宋体"/>
          <w:b/>
          <w:color w:val="000000"/>
          <w:szCs w:val="21"/>
        </w:rPr>
      </w:pPr>
      <w:r>
        <w:rPr>
          <w:rFonts w:hint="eastAsia" w:ascii="宋体" w:hAnsi="宋体"/>
          <w:b/>
          <w:color w:val="000000"/>
          <w:szCs w:val="21"/>
        </w:rPr>
        <w:t>需方：</w:t>
      </w:r>
      <w:r>
        <w:rPr>
          <w:b/>
          <w:color w:val="000000"/>
          <w:szCs w:val="21"/>
        </w:rPr>
        <w:t>腾龙芳烃（漳州）有限公司</w:t>
      </w:r>
      <w:r>
        <w:rPr>
          <w:rFonts w:hint="eastAsia" w:ascii="宋体" w:hAnsi="宋体"/>
          <w:b/>
          <w:szCs w:val="21"/>
        </w:rPr>
        <w:t xml:space="preserve"> </w:t>
      </w:r>
    </w:p>
    <w:p>
      <w:pPr>
        <w:spacing w:line="280" w:lineRule="exact"/>
        <w:ind w:firstLine="420" w:firstLineChars="200"/>
        <w:rPr>
          <w:rFonts w:ascii="宋体" w:hAnsi="宋体"/>
          <w:szCs w:val="21"/>
        </w:rPr>
      </w:pPr>
      <w:r>
        <w:rPr>
          <w:rFonts w:hint="eastAsia" w:ascii="宋体" w:hAnsi="宋体"/>
          <w:szCs w:val="21"/>
        </w:rPr>
        <w:t>鉴于：供、需双方有权利及能力依法签署并履行本合同约定的事项，供、需双方经过充分协商，根据</w:t>
      </w:r>
      <w:r>
        <w:rPr>
          <w:rFonts w:hint="eastAsia" w:ascii="宋体" w:hAnsi="宋体"/>
          <w:color w:val="000000"/>
          <w:szCs w:val="21"/>
        </w:rPr>
        <w:t>《中华人民共和国民法典》</w:t>
      </w:r>
      <w:r>
        <w:rPr>
          <w:rFonts w:hint="eastAsia" w:ascii="宋体" w:hAnsi="宋体"/>
          <w:szCs w:val="21"/>
        </w:rPr>
        <w:t>及相关法律法规，本着平等互利、诚信合作的原则，于</w:t>
      </w:r>
      <w:r>
        <w:rPr>
          <w:rFonts w:hint="eastAsia" w:ascii="宋体" w:hAnsi="宋体"/>
          <w:szCs w:val="21"/>
          <w:u w:val="single"/>
        </w:rPr>
        <w:t xml:space="preserve"> 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06</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漳州   </w:t>
      </w:r>
      <w:r>
        <w:rPr>
          <w:rFonts w:hint="eastAsia" w:ascii="宋体" w:hAnsi="宋体"/>
          <w:szCs w:val="21"/>
        </w:rPr>
        <w:t>签订本合同。供、需双方在协议上的签字人是供、需双方的法定代表人或委托代理人。</w:t>
      </w:r>
    </w:p>
    <w:p>
      <w:pPr>
        <w:spacing w:line="280" w:lineRule="exact"/>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6"/>
        <w:tblW w:w="110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1626"/>
        <w:gridCol w:w="1432"/>
        <w:gridCol w:w="1091"/>
        <w:gridCol w:w="657"/>
        <w:gridCol w:w="1848"/>
        <w:gridCol w:w="1306"/>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393" w:type="dxa"/>
            <w:vAlign w:val="center"/>
          </w:tcPr>
          <w:p>
            <w:pPr>
              <w:spacing w:line="280" w:lineRule="exact"/>
              <w:jc w:val="center"/>
              <w:rPr>
                <w:rFonts w:ascii="宋体" w:hAnsi="宋体"/>
                <w:color w:val="000000"/>
                <w:szCs w:val="21"/>
              </w:rPr>
            </w:pPr>
            <w:r>
              <w:rPr>
                <w:rFonts w:hint="eastAsia" w:ascii="宋体" w:hAnsi="宋体"/>
                <w:color w:val="000000"/>
                <w:szCs w:val="21"/>
              </w:rPr>
              <w:t>产品</w:t>
            </w:r>
          </w:p>
          <w:p>
            <w:pPr>
              <w:spacing w:line="280" w:lineRule="exact"/>
              <w:jc w:val="center"/>
              <w:rPr>
                <w:rFonts w:ascii="宋体" w:hAnsi="宋体"/>
                <w:color w:val="000000"/>
                <w:szCs w:val="21"/>
              </w:rPr>
            </w:pPr>
            <w:r>
              <w:rPr>
                <w:rFonts w:hint="eastAsia" w:ascii="宋体" w:hAnsi="宋体"/>
                <w:color w:val="000000"/>
                <w:szCs w:val="21"/>
              </w:rPr>
              <w:t>名称</w:t>
            </w:r>
          </w:p>
        </w:tc>
        <w:tc>
          <w:tcPr>
            <w:tcW w:w="1626" w:type="dxa"/>
            <w:vAlign w:val="center"/>
          </w:tcPr>
          <w:p>
            <w:pPr>
              <w:spacing w:line="280" w:lineRule="exact"/>
              <w:jc w:val="center"/>
              <w:rPr>
                <w:rFonts w:ascii="宋体" w:hAnsi="宋体"/>
                <w:color w:val="000000"/>
                <w:szCs w:val="21"/>
              </w:rPr>
            </w:pPr>
            <w:r>
              <w:rPr>
                <w:rFonts w:hint="eastAsia" w:ascii="宋体" w:hAnsi="宋体"/>
                <w:color w:val="000000"/>
                <w:szCs w:val="21"/>
              </w:rPr>
              <w:t>生产</w:t>
            </w:r>
          </w:p>
          <w:p>
            <w:pPr>
              <w:spacing w:line="280" w:lineRule="exact"/>
              <w:jc w:val="center"/>
              <w:rPr>
                <w:rFonts w:ascii="宋体" w:hAnsi="宋体"/>
                <w:color w:val="000000"/>
                <w:szCs w:val="21"/>
              </w:rPr>
            </w:pPr>
            <w:r>
              <w:rPr>
                <w:rFonts w:hint="eastAsia" w:ascii="宋体" w:hAnsi="宋体"/>
                <w:color w:val="000000"/>
                <w:szCs w:val="21"/>
              </w:rPr>
              <w:t>厂家</w:t>
            </w:r>
          </w:p>
        </w:tc>
        <w:tc>
          <w:tcPr>
            <w:tcW w:w="1432" w:type="dxa"/>
            <w:vAlign w:val="center"/>
          </w:tcPr>
          <w:p>
            <w:pPr>
              <w:spacing w:line="280" w:lineRule="exact"/>
              <w:jc w:val="center"/>
              <w:rPr>
                <w:rFonts w:ascii="宋体" w:hAnsi="宋体"/>
                <w:color w:val="000000"/>
                <w:szCs w:val="21"/>
              </w:rPr>
            </w:pPr>
            <w:r>
              <w:rPr>
                <w:rFonts w:hint="eastAsia" w:ascii="宋体" w:hAnsi="宋体"/>
                <w:color w:val="000000"/>
                <w:szCs w:val="21"/>
              </w:rPr>
              <w:t>型号规格</w:t>
            </w:r>
          </w:p>
        </w:tc>
        <w:tc>
          <w:tcPr>
            <w:tcW w:w="1091" w:type="dxa"/>
            <w:vAlign w:val="center"/>
          </w:tcPr>
          <w:p>
            <w:pPr>
              <w:spacing w:line="280" w:lineRule="exact"/>
              <w:jc w:val="center"/>
              <w:rPr>
                <w:rFonts w:ascii="宋体" w:hAnsi="宋体"/>
                <w:color w:val="000000"/>
                <w:szCs w:val="21"/>
              </w:rPr>
            </w:pPr>
            <w:r>
              <w:rPr>
                <w:rFonts w:hint="eastAsia" w:ascii="宋体" w:hAnsi="宋体"/>
                <w:color w:val="000000"/>
                <w:szCs w:val="21"/>
              </w:rPr>
              <w:t>计量单位</w:t>
            </w:r>
          </w:p>
        </w:tc>
        <w:tc>
          <w:tcPr>
            <w:tcW w:w="657" w:type="dxa"/>
            <w:vAlign w:val="center"/>
          </w:tcPr>
          <w:p>
            <w:pPr>
              <w:spacing w:line="280" w:lineRule="exact"/>
              <w:jc w:val="center"/>
              <w:rPr>
                <w:rFonts w:ascii="宋体" w:hAnsi="宋体"/>
                <w:color w:val="000000"/>
                <w:szCs w:val="21"/>
              </w:rPr>
            </w:pPr>
            <w:r>
              <w:rPr>
                <w:rFonts w:hint="eastAsia" w:ascii="宋体" w:hAnsi="宋体"/>
                <w:color w:val="000000"/>
                <w:szCs w:val="21"/>
              </w:rPr>
              <w:t>数量</w:t>
            </w:r>
          </w:p>
        </w:tc>
        <w:tc>
          <w:tcPr>
            <w:tcW w:w="1848" w:type="dxa"/>
            <w:tcBorders>
              <w:bottom w:val="single" w:color="auto" w:sz="4" w:space="0"/>
            </w:tcBorders>
            <w:vAlign w:val="center"/>
          </w:tcPr>
          <w:p>
            <w:pPr>
              <w:spacing w:line="280" w:lineRule="exact"/>
              <w:jc w:val="center"/>
              <w:rPr>
                <w:rFonts w:ascii="宋体" w:hAnsi="宋体"/>
                <w:color w:val="000000"/>
                <w:szCs w:val="21"/>
              </w:rPr>
            </w:pPr>
            <w:r>
              <w:rPr>
                <w:rFonts w:hint="eastAsia" w:ascii="宋体" w:hAnsi="宋体"/>
                <w:color w:val="000000"/>
                <w:szCs w:val="21"/>
              </w:rPr>
              <w:t>含税单价（13%）</w:t>
            </w:r>
          </w:p>
          <w:p>
            <w:pPr>
              <w:spacing w:line="280" w:lineRule="exact"/>
              <w:jc w:val="center"/>
              <w:rPr>
                <w:rFonts w:ascii="宋体" w:hAnsi="宋体"/>
                <w:color w:val="000000"/>
                <w:szCs w:val="21"/>
              </w:rPr>
            </w:pPr>
            <w:r>
              <w:rPr>
                <w:rFonts w:hint="eastAsia" w:ascii="宋体" w:hAnsi="宋体"/>
                <w:color w:val="000000"/>
                <w:szCs w:val="21"/>
              </w:rPr>
              <w:t>（元/吨）</w:t>
            </w:r>
          </w:p>
        </w:tc>
        <w:tc>
          <w:tcPr>
            <w:tcW w:w="1306" w:type="dxa"/>
            <w:vAlign w:val="center"/>
          </w:tcPr>
          <w:p>
            <w:pPr>
              <w:spacing w:line="280" w:lineRule="exact"/>
              <w:jc w:val="center"/>
              <w:rPr>
                <w:rFonts w:ascii="宋体" w:hAnsi="宋体"/>
                <w:color w:val="000000"/>
                <w:szCs w:val="21"/>
              </w:rPr>
            </w:pPr>
            <w:r>
              <w:rPr>
                <w:rFonts w:hint="eastAsia" w:ascii="宋体" w:hAnsi="宋体"/>
                <w:color w:val="000000"/>
                <w:szCs w:val="21"/>
              </w:rPr>
              <w:t>含税总金额</w:t>
            </w:r>
          </w:p>
          <w:p>
            <w:pPr>
              <w:spacing w:line="280" w:lineRule="exact"/>
              <w:jc w:val="center"/>
              <w:rPr>
                <w:rFonts w:ascii="宋体" w:hAnsi="宋体"/>
                <w:color w:val="000000"/>
                <w:szCs w:val="21"/>
              </w:rPr>
            </w:pPr>
            <w:r>
              <w:rPr>
                <w:rFonts w:hint="eastAsia" w:ascii="宋体" w:hAnsi="宋体"/>
                <w:color w:val="000000"/>
                <w:szCs w:val="21"/>
              </w:rPr>
              <w:t>13%（元）</w:t>
            </w:r>
          </w:p>
        </w:tc>
        <w:tc>
          <w:tcPr>
            <w:tcW w:w="661" w:type="dxa"/>
            <w:vAlign w:val="center"/>
          </w:tcPr>
          <w:p>
            <w:pPr>
              <w:spacing w:line="280" w:lineRule="exact"/>
              <w:jc w:val="center"/>
              <w:rPr>
                <w:rFonts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2393"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次氯酸钠</w:t>
            </w:r>
          </w:p>
        </w:tc>
        <w:tc>
          <w:tcPr>
            <w:tcW w:w="1626" w:type="dxa"/>
            <w:vAlign w:val="center"/>
          </w:tcPr>
          <w:p>
            <w:pPr>
              <w:spacing w:line="280" w:lineRule="exact"/>
              <w:jc w:val="center"/>
              <w:rPr>
                <w:rFonts w:ascii="宋体" w:hAnsi="宋体"/>
                <w:color w:val="000000"/>
                <w:sz w:val="18"/>
                <w:szCs w:val="18"/>
              </w:rPr>
            </w:pPr>
            <w:r>
              <w:rPr>
                <w:rFonts w:ascii="宋体" w:hAnsi="宋体" w:cs="宋体"/>
                <w:color w:val="000000"/>
                <w:szCs w:val="21"/>
              </w:rPr>
              <w:t>/</w:t>
            </w:r>
          </w:p>
        </w:tc>
        <w:tc>
          <w:tcPr>
            <w:tcW w:w="1432"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10%，详见附件</w:t>
            </w:r>
          </w:p>
        </w:tc>
        <w:tc>
          <w:tcPr>
            <w:tcW w:w="1091" w:type="dxa"/>
            <w:vAlign w:val="center"/>
          </w:tcPr>
          <w:p>
            <w:pPr>
              <w:spacing w:line="280" w:lineRule="exact"/>
              <w:jc w:val="center"/>
              <w:rPr>
                <w:rFonts w:ascii="宋体" w:hAnsi="宋体"/>
                <w:color w:val="000000"/>
                <w:sz w:val="18"/>
                <w:szCs w:val="18"/>
              </w:rPr>
            </w:pPr>
            <w:r>
              <w:rPr>
                <w:rFonts w:hint="eastAsia" w:ascii="宋体" w:hAnsi="宋体" w:cs="宋体"/>
                <w:color w:val="000000"/>
                <w:szCs w:val="21"/>
              </w:rPr>
              <w:t>吨</w:t>
            </w:r>
          </w:p>
        </w:tc>
        <w:tc>
          <w:tcPr>
            <w:tcW w:w="657"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lang w:val="en-US" w:eastAsia="zh-CN"/>
              </w:rPr>
              <w:t>36</w:t>
            </w:r>
            <w:r>
              <w:rPr>
                <w:rFonts w:hint="eastAsia" w:ascii="宋体" w:hAnsi="宋体"/>
                <w:color w:val="000000"/>
                <w:sz w:val="18"/>
                <w:szCs w:val="18"/>
              </w:rPr>
              <w:t>0</w:t>
            </w:r>
          </w:p>
        </w:tc>
        <w:tc>
          <w:tcPr>
            <w:tcW w:w="1848"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lang w:val="en-US" w:eastAsia="zh-CN"/>
              </w:rPr>
              <w:t>***</w:t>
            </w:r>
          </w:p>
        </w:tc>
        <w:tc>
          <w:tcPr>
            <w:tcW w:w="1306"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lang w:val="en-US" w:eastAsia="zh-CN"/>
              </w:rPr>
              <w:t>***</w:t>
            </w:r>
          </w:p>
        </w:tc>
        <w:tc>
          <w:tcPr>
            <w:tcW w:w="661" w:type="dxa"/>
            <w:vAlign w:val="center"/>
          </w:tcPr>
          <w:p>
            <w:pPr>
              <w:spacing w:line="280" w:lineRule="exact"/>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trPr>
        <w:tc>
          <w:tcPr>
            <w:tcW w:w="4019" w:type="dxa"/>
            <w:gridSpan w:val="2"/>
            <w:vAlign w:val="center"/>
          </w:tcPr>
          <w:p>
            <w:pPr>
              <w:spacing w:line="280" w:lineRule="exact"/>
              <w:rPr>
                <w:rFonts w:ascii="宋体" w:hAnsi="宋体"/>
                <w:color w:val="000000"/>
                <w:szCs w:val="21"/>
              </w:rPr>
            </w:pPr>
            <w:r>
              <w:rPr>
                <w:rFonts w:hint="eastAsia" w:ascii="宋体" w:hAnsi="宋体"/>
                <w:color w:val="000000"/>
                <w:szCs w:val="21"/>
              </w:rPr>
              <w:t xml:space="preserve">合计人民币含税（13%）金额（大写）：                   </w:t>
            </w:r>
          </w:p>
        </w:tc>
        <w:tc>
          <w:tcPr>
            <w:tcW w:w="6995" w:type="dxa"/>
            <w:gridSpan w:val="6"/>
            <w:shd w:val="clear" w:color="auto" w:fill="auto"/>
            <w:vAlign w:val="center"/>
          </w:tcPr>
          <w:p>
            <w:pPr>
              <w:widowControl/>
            </w:pPr>
            <w:r>
              <w:rPr>
                <w:rFonts w:hint="eastAsia" w:ascii="宋体" w:hAnsi="宋体"/>
                <w:color w:val="000000"/>
                <w:sz w:val="18"/>
                <w:szCs w:val="18"/>
                <w:lang w:val="en-US" w:eastAsia="zh-CN"/>
              </w:rPr>
              <w:t>***</w:t>
            </w:r>
            <w:r>
              <w:rPr>
                <w:rFonts w:hint="eastAsia"/>
              </w:rPr>
              <w:t>元整</w:t>
            </w:r>
          </w:p>
        </w:tc>
      </w:tr>
    </w:tbl>
    <w:p>
      <w:pPr>
        <w:spacing w:line="280" w:lineRule="exact"/>
        <w:ind w:firstLine="420" w:firstLineChars="200"/>
        <w:rPr>
          <w:rFonts w:ascii="宋体" w:hAnsi="宋体"/>
          <w:b/>
          <w:color w:val="000000"/>
          <w:szCs w:val="21"/>
        </w:rPr>
      </w:pPr>
      <w:r>
        <w:rPr>
          <w:rFonts w:hint="eastAsia" w:ascii="宋体" w:hAnsi="宋体"/>
          <w:color w:val="000000"/>
          <w:szCs w:val="21"/>
        </w:rPr>
        <w:t>上述数量为暂定量，需方可根据需要进行调整，双方按每月订单约定之实际交货数量结算。</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07</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0</w:t>
      </w:r>
      <w:r>
        <w:rPr>
          <w:rFonts w:hint="eastAsia" w:ascii="宋体" w:hAnsi="宋体"/>
          <w:color w:val="000000"/>
          <w:szCs w:val="21"/>
          <w:u w:val="single"/>
        </w:rPr>
        <w:t xml:space="preserve">1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12</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3</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color="000000"/>
        </w:rPr>
        <w:t>供方需提供所供产品质量检验证明，以需方指定单位验收为准，如化验不合格，需方有权</w:t>
      </w:r>
      <w:r>
        <w:rPr>
          <w:rFonts w:hint="eastAsia" w:ascii="宋体" w:hAnsi="宋体"/>
          <w:color w:val="000000"/>
          <w:szCs w:val="21"/>
          <w:u w:val="single"/>
        </w:rPr>
        <w:t xml:space="preserve">退换货，退换货所需的各项费用由供方承担。 </w:t>
      </w:r>
    </w:p>
    <w:p>
      <w:pPr>
        <w:spacing w:line="280" w:lineRule="exact"/>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3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 xml:space="preserve"> 3、散装：</w:t>
      </w:r>
      <w:r>
        <w:rPr>
          <w:rFonts w:hint="eastAsia" w:ascii="宋体" w:hAnsi="宋体"/>
          <w:color w:val="000000"/>
          <w:szCs w:val="21"/>
          <w:u w:val="single"/>
        </w:rPr>
        <w:t xml:space="preserve">  槽车   </w:t>
      </w:r>
      <w:r>
        <w:rPr>
          <w:rFonts w:hint="eastAsia" w:ascii="宋体" w:hAnsi="宋体"/>
          <w:color w:val="000000"/>
          <w:szCs w:val="21"/>
        </w:rPr>
        <w:t xml:space="preserve">   4、其他：</w:t>
      </w:r>
      <w:r>
        <w:rPr>
          <w:rFonts w:hint="eastAsia" w:ascii="宋体" w:hAnsi="宋体"/>
          <w:color w:val="000000"/>
          <w:szCs w:val="21"/>
          <w:u w:val="single"/>
        </w:rPr>
        <w:t xml:space="preserve">  /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产品全部到货后，经需方或需方指定单位根据本合同约定的质量、数量标准验收合格后，供方提供相应金额的13%增值税专用发票以及结算所需的各类清单，需方收到并确认无误后向供方支付货款（分批验收，分批付款）。实际结算数量范围为订单约定数量的±5%。</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需方有权在本合同供货有效期内，分批向供方通过指定邮箱提出交货数量需求，供方应在收到需方提出的交货数量需求之日起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福建省漳州市古雷经济开发区腾龙路</w:t>
      </w:r>
      <w:r>
        <w:rPr>
          <w:rFonts w:hint="eastAsia" w:ascii="宋体" w:hAnsi="宋体"/>
          <w:color w:val="000000"/>
          <w:szCs w:val="21"/>
          <w:u w:val="single"/>
        </w:rPr>
        <w:t>福建福海创石油化工有限公司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bCs/>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szCs w:val="21"/>
          <w:u w:val="single"/>
        </w:rPr>
        <w:t xml:space="preserve">肆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szCs w:val="21"/>
          <w:u w:val="single"/>
        </w:rPr>
        <w:t>叁</w:t>
      </w:r>
      <w:r>
        <w:rPr>
          <w:rFonts w:hint="eastAsia" w:ascii="宋体" w:hAnsi="宋体"/>
          <w:color w:val="000000"/>
          <w:szCs w:val="21"/>
          <w:u w:val="single"/>
        </w:rPr>
        <w:t xml:space="preserve">  </w:t>
      </w:r>
      <w:r>
        <w:rPr>
          <w:rFonts w:hint="eastAsia" w:ascii="宋体" w:hAnsi="宋体"/>
          <w:color w:val="000000"/>
          <w:szCs w:val="21"/>
        </w:rPr>
        <w:t>份。</w:t>
      </w:r>
    </w:p>
    <w:p>
      <w:pPr>
        <w:spacing w:line="280" w:lineRule="exact"/>
        <w:rPr>
          <w:rFonts w:ascii="宋体" w:hAnsi="宋体"/>
          <w:color w:val="000000"/>
          <w:szCs w:val="21"/>
        </w:rPr>
      </w:pPr>
    </w:p>
    <w:tbl>
      <w:tblPr>
        <w:tblStyle w:val="6"/>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rFonts w:ascii="宋体" w:hAnsi="宋体"/>
                <w:b/>
                <w:color w:val="000000"/>
                <w:szCs w:val="21"/>
              </w:rPr>
            </w:pPr>
            <w:r>
              <w:rPr>
                <w:rFonts w:hint="eastAsia" w:ascii="宋体" w:hAnsi="宋体" w:cs="宋体"/>
                <w:b/>
                <w:bCs/>
                <w:color w:val="000000"/>
              </w:rPr>
              <w:t>供方（章）</w:t>
            </w:r>
            <w:r>
              <w:rPr>
                <w:rFonts w:ascii="宋体" w:hAnsi="宋体" w:cs="宋体"/>
                <w:b/>
                <w:bCs/>
                <w:color w:val="000000"/>
              </w:rPr>
              <w:t>:</w:t>
            </w:r>
          </w:p>
        </w:tc>
        <w:tc>
          <w:tcPr>
            <w:tcW w:w="3883" w:type="dxa"/>
            <w:gridSpan w:val="2"/>
            <w:shd w:val="clear" w:color="auto" w:fill="auto"/>
            <w:vAlign w:val="center"/>
          </w:tcPr>
          <w:p>
            <w:pPr>
              <w:spacing w:line="280" w:lineRule="exact"/>
              <w:rPr>
                <w:b/>
                <w:color w:val="000000"/>
                <w:szCs w:val="21"/>
              </w:rPr>
            </w:pPr>
            <w:r>
              <w:rPr>
                <w:rFonts w:hint="eastAsia" w:ascii="宋体" w:hAnsi="宋体"/>
                <w:color w:val="000000"/>
                <w:sz w:val="18"/>
                <w:szCs w:val="18"/>
                <w:lang w:val="en-US" w:eastAsia="zh-CN"/>
              </w:rPr>
              <w:t>***</w:t>
            </w:r>
            <w:r>
              <w:rPr>
                <w:rFonts w:hint="eastAsia" w:ascii="宋体" w:hAnsi="宋体"/>
                <w:b/>
                <w:color w:val="000000"/>
                <w:szCs w:val="21"/>
              </w:rPr>
              <w:t>有限公司</w:t>
            </w: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shd w:val="clear" w:color="auto" w:fill="auto"/>
            <w:vAlign w:val="center"/>
          </w:tcPr>
          <w:p>
            <w:pPr>
              <w:spacing w:line="280" w:lineRule="exact"/>
              <w:rPr>
                <w:b/>
                <w:color w:val="000000"/>
                <w:szCs w:val="21"/>
              </w:rPr>
            </w:pPr>
            <w:r>
              <w:rPr>
                <w:b/>
                <w:color w:val="000000"/>
                <w:szCs w:val="21"/>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color w:val="000000"/>
                <w:szCs w:val="21"/>
              </w:rPr>
            </w:pPr>
            <w:r>
              <w:rPr>
                <w:rFonts w:hint="eastAsia" w:ascii="宋体" w:hAnsi="宋体"/>
                <w:color w:val="000000"/>
              </w:rPr>
              <w:t>工商注册号：</w:t>
            </w:r>
          </w:p>
        </w:tc>
        <w:tc>
          <w:tcPr>
            <w:tcW w:w="3883" w:type="dxa"/>
            <w:gridSpan w:val="2"/>
            <w:shd w:val="clear" w:color="auto" w:fill="auto"/>
            <w:vAlign w:val="center"/>
          </w:tcPr>
          <w:p>
            <w:pPr>
              <w:spacing w:line="280" w:lineRule="exact"/>
              <w:rPr>
                <w:color w:val="000000"/>
                <w:szCs w:val="21"/>
              </w:rPr>
            </w:pPr>
          </w:p>
        </w:tc>
        <w:tc>
          <w:tcPr>
            <w:tcW w:w="1377" w:type="dxa"/>
            <w:gridSpan w:val="4"/>
            <w:shd w:val="clear" w:color="auto" w:fill="auto"/>
            <w:vAlign w:val="center"/>
          </w:tcPr>
          <w:p>
            <w:pPr>
              <w:spacing w:line="280" w:lineRule="exact"/>
              <w:rPr>
                <w:color w:val="000000"/>
                <w:szCs w:val="21"/>
              </w:rPr>
            </w:pPr>
            <w:r>
              <w:rPr>
                <w:rFonts w:hint="eastAsia" w:ascii="宋体" w:hAnsi="宋体"/>
                <w:color w:val="000000"/>
                <w:szCs w:val="21"/>
              </w:rPr>
              <w:t>工商注册号：</w:t>
            </w:r>
          </w:p>
        </w:tc>
        <w:tc>
          <w:tcPr>
            <w:tcW w:w="3975" w:type="dxa"/>
            <w:gridSpan w:val="2"/>
            <w:shd w:val="clear" w:color="auto" w:fill="auto"/>
            <w:vAlign w:val="center"/>
          </w:tcPr>
          <w:p>
            <w:pPr>
              <w:spacing w:line="280" w:lineRule="exact"/>
              <w:rPr>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地址：</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地址：</w:t>
            </w:r>
          </w:p>
        </w:tc>
        <w:tc>
          <w:tcPr>
            <w:tcW w:w="4510" w:type="dxa"/>
            <w:gridSpan w:val="5"/>
            <w:shd w:val="clear" w:color="auto" w:fill="auto"/>
            <w:vAlign w:val="center"/>
          </w:tcPr>
          <w:p>
            <w:pPr>
              <w:spacing w:line="280" w:lineRule="exact"/>
              <w:rPr>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color w:val="000000"/>
                <w:szCs w:val="21"/>
              </w:rPr>
            </w:pPr>
            <w:r>
              <w:rPr>
                <w:rFonts w:hint="eastAsia" w:ascii="宋体" w:hAnsi="宋体" w:cs="宋体"/>
                <w:color w:val="000000"/>
              </w:rPr>
              <w:t>邮政编码：</w:t>
            </w:r>
          </w:p>
        </w:tc>
        <w:tc>
          <w:tcPr>
            <w:tcW w:w="4093" w:type="dxa"/>
            <w:gridSpan w:val="3"/>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邮政编码：</w:t>
            </w:r>
          </w:p>
        </w:tc>
        <w:tc>
          <w:tcPr>
            <w:tcW w:w="4092" w:type="dxa"/>
            <w:gridSpan w:val="3"/>
            <w:shd w:val="clear" w:color="auto" w:fill="auto"/>
            <w:vAlign w:val="center"/>
          </w:tcPr>
          <w:p>
            <w:pPr>
              <w:spacing w:line="280" w:lineRule="exact"/>
              <w:rPr>
                <w:color w:val="000000"/>
                <w:szCs w:val="21"/>
              </w:rPr>
            </w:pPr>
          </w:p>
        </w:tc>
      </w:tr>
      <w:tr>
        <w:tblPrEx>
          <w:tblLayout w:type="fixed"/>
          <w:tblCellMar>
            <w:top w:w="0" w:type="dxa"/>
            <w:left w:w="108" w:type="dxa"/>
            <w:bottom w:w="0" w:type="dxa"/>
            <w:right w:w="108" w:type="dxa"/>
          </w:tblCellMar>
        </w:tblPrEx>
        <w:trPr>
          <w:jc w:val="center"/>
        </w:trPr>
        <w:tc>
          <w:tcPr>
            <w:tcW w:w="2733" w:type="dxa"/>
            <w:gridSpan w:val="5"/>
            <w:shd w:val="clear" w:color="auto" w:fill="auto"/>
            <w:vAlign w:val="center"/>
          </w:tcPr>
          <w:p>
            <w:pPr>
              <w:spacing w:line="280" w:lineRule="exact"/>
              <w:rPr>
                <w:color w:val="000000"/>
                <w:szCs w:val="21"/>
              </w:rPr>
            </w:pPr>
            <w:r>
              <w:rPr>
                <w:rFonts w:hint="eastAsia" w:ascii="宋体" w:hAnsi="宋体" w:cs="宋体"/>
                <w:color w:val="000000"/>
              </w:rPr>
              <w:t>法定代表人或委托代理人：</w:t>
            </w:r>
          </w:p>
        </w:tc>
        <w:tc>
          <w:tcPr>
            <w:tcW w:w="2623" w:type="dxa"/>
            <w:shd w:val="clear" w:color="auto" w:fill="auto"/>
            <w:vAlign w:val="center"/>
          </w:tcPr>
          <w:p>
            <w:pPr>
              <w:spacing w:line="280" w:lineRule="exact"/>
              <w:rPr>
                <w:color w:val="000000"/>
                <w:szCs w:val="21"/>
              </w:rPr>
            </w:pPr>
          </w:p>
        </w:tc>
        <w:tc>
          <w:tcPr>
            <w:tcW w:w="2732" w:type="dxa"/>
            <w:gridSpan w:val="5"/>
            <w:shd w:val="clear" w:color="auto" w:fill="auto"/>
            <w:vAlign w:val="center"/>
          </w:tcPr>
          <w:p>
            <w:pPr>
              <w:spacing w:line="280" w:lineRule="exact"/>
              <w:rPr>
                <w:color w:val="000000"/>
                <w:szCs w:val="21"/>
              </w:rPr>
            </w:pPr>
            <w:r>
              <w:rPr>
                <w:rFonts w:hint="eastAsia" w:ascii="宋体" w:hAnsi="宋体"/>
                <w:color w:val="000000"/>
                <w:szCs w:val="21"/>
              </w:rPr>
              <w:t>法定代表人或委托代理人：</w:t>
            </w:r>
          </w:p>
        </w:tc>
        <w:tc>
          <w:tcPr>
            <w:tcW w:w="2620" w:type="dxa"/>
            <w:shd w:val="clear" w:color="auto" w:fill="auto"/>
            <w:vAlign w:val="center"/>
          </w:tcPr>
          <w:p>
            <w:pPr>
              <w:spacing w:line="280" w:lineRule="exact"/>
              <w:rPr>
                <w:color w:val="000000"/>
                <w:szCs w:val="21"/>
              </w:rPr>
            </w:pPr>
          </w:p>
        </w:tc>
      </w:tr>
      <w:tr>
        <w:tblPrEx>
          <w:tblLayout w:type="fixed"/>
          <w:tblCellMar>
            <w:top w:w="0" w:type="dxa"/>
            <w:left w:w="108" w:type="dxa"/>
            <w:bottom w:w="0" w:type="dxa"/>
            <w:right w:w="108" w:type="dxa"/>
          </w:tblCellMar>
        </w:tblPrEx>
        <w:trPr>
          <w:jc w:val="center"/>
        </w:trPr>
        <w:tc>
          <w:tcPr>
            <w:tcW w:w="1050" w:type="dxa"/>
            <w:gridSpan w:val="2"/>
            <w:shd w:val="clear" w:color="auto" w:fill="auto"/>
            <w:vAlign w:val="center"/>
          </w:tcPr>
          <w:p>
            <w:pPr>
              <w:spacing w:line="280" w:lineRule="exact"/>
              <w:rPr>
                <w:color w:val="000000"/>
                <w:szCs w:val="21"/>
              </w:rPr>
            </w:pPr>
            <w:r>
              <w:rPr>
                <w:rFonts w:hint="eastAsia" w:ascii="宋体" w:hAnsi="宋体" w:cs="宋体"/>
                <w:color w:val="000000"/>
              </w:rPr>
              <w:t>经办人：</w:t>
            </w:r>
          </w:p>
        </w:tc>
        <w:tc>
          <w:tcPr>
            <w:tcW w:w="4306" w:type="dxa"/>
            <w:gridSpan w:val="4"/>
            <w:shd w:val="clear" w:color="auto" w:fill="auto"/>
            <w:vAlign w:val="center"/>
          </w:tcPr>
          <w:p>
            <w:pPr>
              <w:spacing w:line="280" w:lineRule="exact"/>
              <w:rPr>
                <w:color w:val="000000"/>
                <w:szCs w:val="21"/>
              </w:rPr>
            </w:pPr>
          </w:p>
        </w:tc>
        <w:tc>
          <w:tcPr>
            <w:tcW w:w="1052" w:type="dxa"/>
            <w:gridSpan w:val="2"/>
            <w:shd w:val="clear" w:color="auto" w:fill="auto"/>
            <w:vAlign w:val="center"/>
          </w:tcPr>
          <w:p>
            <w:pPr>
              <w:spacing w:line="280" w:lineRule="exact"/>
              <w:rPr>
                <w:color w:val="000000"/>
                <w:szCs w:val="21"/>
              </w:rPr>
            </w:pPr>
            <w:r>
              <w:rPr>
                <w:rFonts w:hint="eastAsia" w:ascii="宋体" w:hAnsi="宋体"/>
                <w:color w:val="000000"/>
                <w:szCs w:val="21"/>
              </w:rPr>
              <w:t>经办人：</w:t>
            </w:r>
          </w:p>
        </w:tc>
        <w:tc>
          <w:tcPr>
            <w:tcW w:w="4300" w:type="dxa"/>
            <w:gridSpan w:val="4"/>
            <w:shd w:val="clear" w:color="auto" w:fill="auto"/>
            <w:vAlign w:val="center"/>
          </w:tcPr>
          <w:p>
            <w:pPr>
              <w:spacing w:line="280" w:lineRule="exact"/>
              <w:rPr>
                <w:rFonts w:hint="default" w:eastAsia="宋体"/>
                <w:color w:val="000000"/>
                <w:szCs w:val="21"/>
                <w:lang w:val="en-US" w:eastAsia="zh-CN"/>
              </w:rPr>
            </w:pPr>
            <w:r>
              <w:rPr>
                <w:rFonts w:hint="eastAsia"/>
                <w:color w:val="000000"/>
                <w:szCs w:val="21"/>
                <w:lang w:val="en-US" w:eastAsia="zh-CN"/>
              </w:rPr>
              <w:t>许智敏</w:t>
            </w:r>
          </w:p>
        </w:tc>
      </w:tr>
      <w:tr>
        <w:tblPrEx>
          <w:tblLayout w:type="fixed"/>
          <w:tblCellMar>
            <w:top w:w="0" w:type="dxa"/>
            <w:left w:w="108" w:type="dxa"/>
            <w:bottom w:w="0" w:type="dxa"/>
            <w:right w:w="108" w:type="dxa"/>
          </w:tblCellMar>
        </w:tblPrEx>
        <w:trPr>
          <w:trHeight w:val="111" w:hRule="atLeast"/>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电话：</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电话：</w:t>
            </w:r>
          </w:p>
        </w:tc>
        <w:tc>
          <w:tcPr>
            <w:tcW w:w="4510" w:type="dxa"/>
            <w:gridSpan w:val="5"/>
            <w:shd w:val="clear" w:color="auto" w:fill="auto"/>
            <w:vAlign w:val="center"/>
          </w:tcPr>
          <w:p>
            <w:pPr>
              <w:spacing w:line="280" w:lineRule="exact"/>
              <w:rPr>
                <w:color w:val="000000"/>
                <w:szCs w:val="21"/>
              </w:rPr>
            </w:pPr>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传真：</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传真：</w:t>
            </w:r>
          </w:p>
        </w:tc>
        <w:tc>
          <w:tcPr>
            <w:tcW w:w="4510" w:type="dxa"/>
            <w:gridSpan w:val="5"/>
            <w:shd w:val="clear" w:color="auto" w:fill="auto"/>
            <w:vAlign w:val="center"/>
          </w:tcPr>
          <w:p>
            <w:pPr>
              <w:spacing w:line="280" w:lineRule="exact"/>
              <w:rPr>
                <w:color w:val="000000"/>
                <w:szCs w:val="21"/>
              </w:rPr>
            </w:pPr>
          </w:p>
        </w:tc>
      </w:tr>
      <w:tr>
        <w:tblPrEx>
          <w:tblLayout w:type="fixed"/>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color w:val="000000"/>
                <w:szCs w:val="21"/>
              </w:rPr>
            </w:pPr>
            <w:r>
              <w:rPr>
                <w:rFonts w:hint="eastAsia" w:ascii="宋体" w:hAnsi="宋体" w:cs="宋体"/>
                <w:color w:val="000000"/>
              </w:rPr>
              <w:t>电子邮箱：</w:t>
            </w:r>
          </w:p>
        </w:tc>
        <w:tc>
          <w:tcPr>
            <w:tcW w:w="4093" w:type="dxa"/>
            <w:gridSpan w:val="3"/>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电子邮箱：</w:t>
            </w:r>
          </w:p>
        </w:tc>
        <w:tc>
          <w:tcPr>
            <w:tcW w:w="4092" w:type="dxa"/>
            <w:gridSpan w:val="3"/>
            <w:shd w:val="clear" w:color="auto" w:fill="auto"/>
            <w:vAlign w:val="center"/>
          </w:tcPr>
          <w:p>
            <w:pPr>
              <w:spacing w:line="280" w:lineRule="exact"/>
              <w:rPr>
                <w:color w:val="000000"/>
                <w:szCs w:val="21"/>
              </w:rPr>
            </w:pPr>
            <w:r>
              <w:rPr>
                <w:rFonts w:hint="eastAsia"/>
                <w:color w:val="000000"/>
                <w:szCs w:val="21"/>
              </w:rPr>
              <w:t>wzcgb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color w:val="000000"/>
                <w:szCs w:val="21"/>
              </w:rPr>
            </w:pPr>
            <w:r>
              <w:rPr>
                <w:rFonts w:hint="eastAsia" w:ascii="宋体" w:hAnsi="宋体" w:cs="宋体"/>
                <w:color w:val="000000"/>
              </w:rPr>
              <w:t>开户银行：</w:t>
            </w:r>
          </w:p>
        </w:tc>
        <w:tc>
          <w:tcPr>
            <w:tcW w:w="4093" w:type="dxa"/>
            <w:gridSpan w:val="3"/>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开户银行：</w:t>
            </w:r>
          </w:p>
        </w:tc>
        <w:tc>
          <w:tcPr>
            <w:tcW w:w="4092" w:type="dxa"/>
            <w:gridSpan w:val="3"/>
            <w:shd w:val="clear" w:color="auto" w:fill="auto"/>
            <w:vAlign w:val="center"/>
          </w:tcPr>
          <w:p>
            <w:pPr>
              <w:spacing w:line="280" w:lineRule="exact"/>
              <w:rPr>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帐号：</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帐号：</w:t>
            </w:r>
          </w:p>
        </w:tc>
        <w:tc>
          <w:tcPr>
            <w:tcW w:w="4510" w:type="dxa"/>
            <w:gridSpan w:val="5"/>
            <w:shd w:val="clear" w:color="auto" w:fill="auto"/>
            <w:vAlign w:val="center"/>
          </w:tcPr>
          <w:p>
            <w:pPr>
              <w:spacing w:line="280" w:lineRule="exact"/>
              <w:rPr>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税号：</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税号：</w:t>
            </w:r>
          </w:p>
        </w:tc>
        <w:tc>
          <w:tcPr>
            <w:tcW w:w="4510" w:type="dxa"/>
            <w:gridSpan w:val="5"/>
            <w:shd w:val="clear" w:color="auto" w:fill="auto"/>
            <w:vAlign w:val="center"/>
          </w:tcPr>
          <w:p>
            <w:pPr>
              <w:spacing w:line="280" w:lineRule="exact"/>
              <w:rPr>
                <w:color w:val="000000"/>
                <w:szCs w:val="21"/>
              </w:rPr>
            </w:pPr>
            <w:r>
              <w:rPr>
                <w:rFonts w:hint="eastAsia"/>
                <w:color w:val="000000"/>
                <w:szCs w:val="21"/>
              </w:rPr>
              <w:t>91350600717866709A</w:t>
            </w:r>
          </w:p>
        </w:tc>
      </w:tr>
    </w:tbl>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300" w:lineRule="exact"/>
        <w:jc w:val="center"/>
        <w:rPr>
          <w:rFonts w:ascii="宋体" w:hAnsi="宋体"/>
          <w:b/>
          <w:color w:val="000000"/>
          <w:szCs w:val="21"/>
          <w:u w:val="single"/>
        </w:rPr>
      </w:pPr>
    </w:p>
    <w:p>
      <w:pPr>
        <w:spacing w:line="300" w:lineRule="exact"/>
        <w:jc w:val="center"/>
        <w:rPr>
          <w:rFonts w:ascii="宋体" w:hAnsi="宋体"/>
          <w:b/>
          <w:color w:val="000000"/>
          <w:szCs w:val="21"/>
        </w:rPr>
      </w:pPr>
      <w:r>
        <w:rPr>
          <w:rFonts w:hint="eastAsia" w:ascii="宋体" w:hAnsi="宋体"/>
          <w:b/>
          <w:color w:val="000000"/>
          <w:szCs w:val="21"/>
          <w:u w:val="single"/>
        </w:rPr>
        <w:t>第二部分  合同条款及规则</w:t>
      </w:r>
    </w:p>
    <w:p>
      <w:pPr>
        <w:spacing w:line="300" w:lineRule="exact"/>
        <w:rPr>
          <w:rFonts w:ascii="宋体" w:hAnsi="宋体"/>
          <w:color w:val="000000"/>
          <w:szCs w:val="21"/>
        </w:rPr>
      </w:pPr>
      <w:r>
        <w:rPr>
          <w:rFonts w:hint="eastAsia" w:ascii="宋体" w:hAnsi="宋体"/>
          <w:b/>
          <w:color w:val="000000"/>
          <w:szCs w:val="21"/>
        </w:rPr>
        <w:t>第一条　数量交接、误差标准及处理方式：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ascii="宋体" w:hAnsi="宋体"/>
          <w:color w:val="000000"/>
          <w:szCs w:val="21"/>
        </w:rPr>
      </w:pPr>
      <w:r>
        <w:rPr>
          <w:rFonts w:hint="eastAsia" w:ascii="宋体" w:hAnsi="宋体"/>
          <w:color w:val="000000"/>
          <w:szCs w:val="21"/>
        </w:rPr>
        <w:t>2.以需方接收时的检验确认的重量作为数量结算标准。</w:t>
      </w:r>
    </w:p>
    <w:p>
      <w:pPr>
        <w:spacing w:line="300" w:lineRule="exact"/>
        <w:ind w:firstLine="420" w:firstLineChars="200"/>
        <w:rPr>
          <w:rFonts w:ascii="宋体" w:hAnsi="宋体"/>
          <w:color w:val="000000"/>
          <w:szCs w:val="21"/>
        </w:rPr>
      </w:pPr>
      <w:r>
        <w:rPr>
          <w:rFonts w:hint="eastAsia" w:ascii="宋体" w:hAnsi="宋体"/>
          <w:color w:val="000000"/>
          <w:szCs w:val="21"/>
        </w:rPr>
        <w:t>3.以供方发运地的过磅重量或流量计（体积或质量）作为结算标准，需方接收时过磅或流量计（如有）复核，误差率在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ind w:firstLine="420" w:firstLineChars="200"/>
        <w:rPr>
          <w:rFonts w:ascii="宋体" w:hAnsi="宋体"/>
          <w:color w:val="000000"/>
          <w:szCs w:val="21"/>
          <w:u w:val="single"/>
        </w:rPr>
      </w:pPr>
      <w:r>
        <w:rPr>
          <w:rFonts w:hint="eastAsia" w:ascii="宋体" w:hAnsi="宋体"/>
          <w:color w:val="000000"/>
          <w:szCs w:val="21"/>
        </w:rPr>
        <w:t>4.以供方发运地具有资质的第三方检验机构出具的数量证书的数量作为结算标准，需方接收时有权请具有资质的第三方检验机构进行复检，误差率在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rPr>
          <w:rFonts w:ascii="宋体" w:hAnsi="宋体"/>
          <w:b/>
          <w:color w:val="000000"/>
          <w:szCs w:val="21"/>
        </w:rPr>
      </w:pPr>
      <w:r>
        <w:rPr>
          <w:rFonts w:hint="eastAsia" w:ascii="宋体" w:hAnsi="宋体"/>
          <w:b/>
          <w:color w:val="000000"/>
          <w:szCs w:val="21"/>
        </w:rPr>
        <w:t>第二条 产品包装标准</w:t>
      </w:r>
    </w:p>
    <w:p>
      <w:pPr>
        <w:spacing w:line="300" w:lineRule="exact"/>
        <w:ind w:firstLine="420" w:firstLineChars="200"/>
        <w:rPr>
          <w:rFonts w:ascii="宋体" w:hAnsi="宋体"/>
          <w:b/>
          <w:color w:val="000000"/>
          <w:szCs w:val="21"/>
        </w:rPr>
      </w:pPr>
      <w:r>
        <w:rPr>
          <w:rFonts w:hint="eastAsia" w:ascii="宋体" w:hAnsi="宋体"/>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ascii="宋体" w:hAnsi="宋体"/>
          <w:b/>
          <w:color w:val="000000"/>
          <w:szCs w:val="21"/>
        </w:rPr>
      </w:pPr>
      <w:r>
        <w:rPr>
          <w:rFonts w:hint="eastAsia" w:ascii="宋体" w:hAnsi="宋体"/>
          <w:b/>
          <w:color w:val="000000"/>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1.供</w:t>
      </w:r>
      <w:r>
        <w:rPr>
          <w:rFonts w:ascii="宋体" w:hAnsi="宋体" w:cs="Arial"/>
          <w:color w:val="000000"/>
          <w:szCs w:val="21"/>
        </w:rPr>
        <w:t>方产品均</w:t>
      </w:r>
      <w:r>
        <w:rPr>
          <w:rFonts w:hint="eastAsia" w:ascii="宋体" w:hAnsi="宋体" w:cs="Arial"/>
          <w:color w:val="000000"/>
          <w:szCs w:val="21"/>
        </w:rPr>
        <w:t>需</w:t>
      </w:r>
      <w:r>
        <w:rPr>
          <w:rFonts w:ascii="宋体" w:hAnsi="宋体" w:cs="Arial"/>
          <w:color w:val="000000"/>
          <w:szCs w:val="21"/>
        </w:rPr>
        <w:t>附质检报告单</w:t>
      </w:r>
      <w:r>
        <w:rPr>
          <w:rFonts w:hint="eastAsia" w:ascii="宋体" w:hAnsi="宋体" w:cs="Arial"/>
          <w:color w:val="000000"/>
          <w:szCs w:val="21"/>
        </w:rPr>
        <w:t>或</w:t>
      </w:r>
      <w:r>
        <w:rPr>
          <w:rFonts w:ascii="宋体" w:hAnsi="宋体" w:cs="Arial"/>
          <w:color w:val="000000"/>
          <w:szCs w:val="21"/>
        </w:rPr>
        <w:t>质量保证书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协议书第三条约定的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ascii="宋体" w:hAnsi="宋体" w:cs="Arial"/>
          <w:color w:val="000000"/>
          <w:szCs w:val="21"/>
        </w:rPr>
      </w:pPr>
      <w:r>
        <w:rPr>
          <w:rFonts w:hint="eastAsia" w:ascii="宋体" w:hAnsi="宋体"/>
          <w:color w:val="000000"/>
          <w:szCs w:val="21"/>
        </w:rPr>
        <w:t>2.如果</w:t>
      </w:r>
      <w:r>
        <w:rPr>
          <w:rFonts w:hint="eastAsia" w:ascii="宋体" w:hAnsi="宋体" w:cs="Arial"/>
          <w:color w:val="000000"/>
          <w:szCs w:val="21"/>
        </w:rPr>
        <w:t>供</w:t>
      </w:r>
      <w:r>
        <w:rPr>
          <w:rFonts w:ascii="宋体" w:hAnsi="宋体" w:cs="Arial"/>
          <w:color w:val="000000"/>
          <w:szCs w:val="21"/>
        </w:rPr>
        <w:t>方知道或者应当知道所出卖产品存在质量缺陷，所承担的质量保证期限不受</w:t>
      </w:r>
      <w:r>
        <w:rPr>
          <w:rFonts w:hint="eastAsia" w:ascii="宋体" w:hAnsi="宋体" w:cs="Arial"/>
          <w:color w:val="000000"/>
          <w:szCs w:val="21"/>
        </w:rPr>
        <w:t>本条第一款</w:t>
      </w:r>
      <w:r>
        <w:rPr>
          <w:rFonts w:ascii="宋体" w:hAnsi="宋体" w:cs="Arial"/>
          <w:color w:val="000000"/>
          <w:szCs w:val="21"/>
        </w:rPr>
        <w:t>质量</w:t>
      </w:r>
      <w:r>
        <w:rPr>
          <w:rFonts w:hint="eastAsia" w:ascii="宋体" w:hAnsi="宋体" w:cs="Arial"/>
          <w:color w:val="000000"/>
          <w:szCs w:val="21"/>
        </w:rPr>
        <w:t>保证</w:t>
      </w:r>
      <w:r>
        <w:rPr>
          <w:rFonts w:ascii="宋体" w:hAnsi="宋体" w:cs="Arial"/>
          <w:color w:val="000000"/>
          <w:szCs w:val="21"/>
        </w:rPr>
        <w:t>期限的约束</w:t>
      </w:r>
      <w:r>
        <w:rPr>
          <w:rFonts w:hint="eastAsia" w:ascii="宋体" w:hAnsi="宋体" w:cs="Arial"/>
          <w:color w:val="000000"/>
          <w:szCs w:val="21"/>
        </w:rPr>
        <w:t>，供方</w:t>
      </w:r>
      <w:r>
        <w:rPr>
          <w:rFonts w:hint="eastAsia" w:ascii="宋体" w:hAnsi="宋体"/>
          <w:color w:val="000000"/>
          <w:szCs w:val="21"/>
        </w:rPr>
        <w:t>应依法承担相应责任。</w:t>
      </w:r>
    </w:p>
    <w:p>
      <w:pPr>
        <w:spacing w:line="300" w:lineRule="exact"/>
        <w:rPr>
          <w:rFonts w:ascii="宋体" w:hAnsi="宋体"/>
          <w:b/>
          <w:color w:val="000000"/>
          <w:szCs w:val="21"/>
        </w:rPr>
      </w:pPr>
      <w:r>
        <w:rPr>
          <w:rFonts w:hint="eastAsia" w:ascii="宋体" w:hAnsi="宋体"/>
          <w:b/>
          <w:color w:val="000000"/>
          <w:szCs w:val="21"/>
        </w:rPr>
        <w:t>第四条 货物所有权、风险的转移</w:t>
      </w:r>
    </w:p>
    <w:p>
      <w:pPr>
        <w:spacing w:line="300" w:lineRule="exact"/>
        <w:ind w:firstLine="420" w:firstLineChars="200"/>
        <w:rPr>
          <w:rFonts w:ascii="宋体" w:hAnsi="宋体"/>
          <w:color w:val="000000"/>
          <w:szCs w:val="21"/>
        </w:rPr>
      </w:pPr>
      <w:r>
        <w:rPr>
          <w:rFonts w:hint="eastAsia" w:ascii="宋体" w:hAnsi="宋体"/>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ascii="宋体" w:hAnsi="宋体"/>
          <w:color w:val="000000"/>
          <w:szCs w:val="21"/>
        </w:rPr>
      </w:pPr>
      <w:r>
        <w:rPr>
          <w:rFonts w:hint="eastAsia" w:ascii="宋体" w:hAnsi="宋体"/>
          <w:b/>
          <w:color w:val="000000"/>
          <w:szCs w:val="21"/>
        </w:rPr>
        <w:t>第五条 运输方式、费用负担、交货地点：</w:t>
      </w:r>
      <w:r>
        <w:rPr>
          <w:rFonts w:hint="eastAsia" w:ascii="宋体" w:hAnsi="宋体"/>
          <w:color w:val="000000"/>
          <w:szCs w:val="21"/>
        </w:rPr>
        <w:t>供方送货或代办托运方式下，双方商定按下列第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1.火车运输，供方负责运输及负担运费，运至需方指定的单位或仓库。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2.汽车运输，供方负责运输及负担运费，运至需方指定的单位或仓库。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3.车船联运，供方负责运输及负担运费，船运至</w:t>
      </w:r>
      <w:r>
        <w:rPr>
          <w:rFonts w:hint="eastAsia" w:ascii="宋体" w:hAnsi="宋体"/>
          <w:color w:val="000000"/>
          <w:szCs w:val="21"/>
          <w:u w:val="single"/>
        </w:rPr>
        <w:t xml:space="preserve">       </w:t>
      </w:r>
      <w:r>
        <w:rPr>
          <w:rFonts w:hint="eastAsia" w:ascii="宋体" w:hAnsi="宋体"/>
          <w:color w:val="000000"/>
          <w:szCs w:val="21"/>
        </w:rPr>
        <w:t xml:space="preserve">，再以汽车运输方式运至需方指定的单位或仓库。         </w:t>
      </w:r>
    </w:p>
    <w:p>
      <w:pPr>
        <w:spacing w:line="300" w:lineRule="exact"/>
        <w:rPr>
          <w:rFonts w:ascii="宋体" w:hAnsi="宋体"/>
          <w:b/>
          <w:color w:val="000000"/>
          <w:szCs w:val="21"/>
        </w:rPr>
      </w:pPr>
      <w:r>
        <w:rPr>
          <w:rFonts w:hint="eastAsia" w:ascii="宋体" w:hAnsi="宋体"/>
          <w:b/>
          <w:color w:val="000000"/>
          <w:szCs w:val="21"/>
        </w:rPr>
        <w:t>第六条 质量</w:t>
      </w:r>
      <w:r>
        <w:rPr>
          <w:rFonts w:hint="eastAsia" w:ascii="宋体" w:hAnsi="宋体" w:cs="宋体"/>
          <w:b/>
          <w:color w:val="000000"/>
          <w:kern w:val="0"/>
          <w:szCs w:val="21"/>
        </w:rPr>
        <w:t>验收标准、方法及提出异议的期限</w:t>
      </w:r>
    </w:p>
    <w:p>
      <w:pPr>
        <w:spacing w:line="300" w:lineRule="exact"/>
        <w:ind w:firstLine="420" w:firstLineChars="200"/>
        <w:rPr>
          <w:rFonts w:ascii="宋体" w:hAnsi="宋体"/>
          <w:color w:val="000000"/>
          <w:szCs w:val="21"/>
        </w:rPr>
      </w:pPr>
      <w:r>
        <w:rPr>
          <w:rFonts w:hint="eastAsia" w:ascii="宋体" w:hAnsi="宋体"/>
          <w:color w:val="000000"/>
          <w:szCs w:val="21"/>
        </w:rPr>
        <w:t>1.检验标准：按本合同产品质量要求及技术标准</w:t>
      </w:r>
      <w:r>
        <w:rPr>
          <w:rFonts w:ascii="宋体" w:hAnsi="宋体" w:cs="Arial"/>
          <w:color w:val="000000"/>
          <w:szCs w:val="21"/>
        </w:rPr>
        <w:t>规定的</w:t>
      </w:r>
      <w:r>
        <w:rPr>
          <w:rFonts w:hint="eastAsia" w:ascii="宋体" w:hAnsi="宋体"/>
          <w:color w:val="000000"/>
          <w:szCs w:val="21"/>
        </w:rPr>
        <w:t>质量标准进行检验。货物交付时，供方与需方共同提取货物样品</w:t>
      </w:r>
      <w:r>
        <w:rPr>
          <w:rFonts w:hint="eastAsia" w:ascii="宋体" w:hAnsi="宋体"/>
          <w:color w:val="000000"/>
          <w:szCs w:val="21"/>
          <w:u w:val="single"/>
        </w:rPr>
        <w:t xml:space="preserve">  1  </w:t>
      </w:r>
      <w:r>
        <w:rPr>
          <w:rFonts w:hint="eastAsia" w:ascii="宋体" w:hAnsi="宋体"/>
          <w:color w:val="000000"/>
          <w:szCs w:val="21"/>
        </w:rPr>
        <w:t>件并进行封存，以备检验，如供方不参与取样，视同默认需方的取样。封样应作为双方发生质量争议时裁决的依据，封样保留时间为</w:t>
      </w:r>
      <w:r>
        <w:rPr>
          <w:rFonts w:hint="eastAsia" w:ascii="宋体" w:hAnsi="宋体"/>
          <w:color w:val="000000"/>
          <w:szCs w:val="21"/>
          <w:u w:val="single"/>
        </w:rPr>
        <w:t xml:space="preserve">   30    </w:t>
      </w:r>
      <w:r>
        <w:rPr>
          <w:rFonts w:hint="eastAsia" w:ascii="宋体" w:hAnsi="宋体"/>
          <w:color w:val="000000"/>
          <w:szCs w:val="21"/>
        </w:rPr>
        <w:t>天。</w:t>
      </w:r>
    </w:p>
    <w:p>
      <w:pPr>
        <w:spacing w:line="300" w:lineRule="exact"/>
        <w:ind w:firstLine="420" w:firstLineChars="200"/>
        <w:rPr>
          <w:rFonts w:ascii="宋体" w:hAnsi="宋体"/>
          <w:color w:val="000000"/>
          <w:szCs w:val="21"/>
        </w:rPr>
      </w:pPr>
      <w:r>
        <w:rPr>
          <w:rFonts w:hint="eastAsia" w:ascii="宋体" w:hAnsi="宋体"/>
          <w:color w:val="000000"/>
          <w:szCs w:val="21"/>
        </w:rPr>
        <w:t>2.需方在接收供方货物后，如发现与合同约定质量不符，在</w:t>
      </w:r>
      <w:r>
        <w:rPr>
          <w:rFonts w:hint="eastAsia" w:ascii="宋体" w:hAnsi="宋体"/>
          <w:color w:val="000000"/>
          <w:szCs w:val="21"/>
          <w:u w:val="single"/>
        </w:rPr>
        <w:t xml:space="preserve">  7  </w:t>
      </w:r>
      <w:r>
        <w:rPr>
          <w:rFonts w:hint="eastAsia" w:ascii="宋体" w:hAnsi="宋体"/>
          <w:color w:val="000000"/>
          <w:szCs w:val="21"/>
        </w:rPr>
        <w:t>天内向供方提出异议。</w:t>
      </w:r>
    </w:p>
    <w:p>
      <w:pPr>
        <w:spacing w:line="300" w:lineRule="exact"/>
        <w:ind w:firstLine="420" w:firstLineChars="200"/>
        <w:rPr>
          <w:rFonts w:ascii="宋体" w:hAnsi="宋体"/>
          <w:color w:val="000000"/>
          <w:szCs w:val="21"/>
        </w:rPr>
      </w:pPr>
      <w:r>
        <w:rPr>
          <w:rFonts w:hint="eastAsia" w:ascii="宋体" w:hAnsi="宋体"/>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Cs w:val="21"/>
          <w:u w:val="single"/>
        </w:rPr>
        <w:t xml:space="preserve">  5   </w:t>
      </w:r>
      <w:r>
        <w:rPr>
          <w:rFonts w:hint="eastAsia" w:ascii="宋体" w:hAnsi="宋体"/>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ascii="宋体" w:hAnsi="宋体"/>
          <w:b/>
          <w:color w:val="000000"/>
          <w:szCs w:val="21"/>
        </w:rPr>
      </w:pPr>
      <w:r>
        <w:rPr>
          <w:rFonts w:hint="eastAsia" w:ascii="宋体" w:hAnsi="宋体"/>
          <w:b/>
          <w:color w:val="000000"/>
          <w:szCs w:val="21"/>
        </w:rPr>
        <w:t>第七条  保密条款</w:t>
      </w:r>
    </w:p>
    <w:p>
      <w:pPr>
        <w:spacing w:line="300" w:lineRule="exact"/>
        <w:ind w:firstLine="420" w:firstLineChars="200"/>
        <w:rPr>
          <w:rFonts w:ascii="宋体" w:hAnsi="宋体"/>
          <w:color w:val="000000"/>
          <w:szCs w:val="21"/>
        </w:rPr>
      </w:pPr>
      <w:r>
        <w:rPr>
          <w:rFonts w:hint="eastAsia" w:ascii="宋体" w:hAnsi="宋体"/>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ascii="宋体" w:hAnsi="宋体"/>
          <w:b/>
          <w:color w:val="000000"/>
          <w:szCs w:val="21"/>
        </w:rPr>
      </w:pPr>
      <w:r>
        <w:rPr>
          <w:rFonts w:hint="eastAsia" w:ascii="宋体" w:hAnsi="宋体"/>
          <w:b/>
          <w:color w:val="000000"/>
          <w:szCs w:val="21"/>
        </w:rPr>
        <w:t>第八条  健康、安全和环境保护及现场HSE要求</w:t>
      </w:r>
      <w:r>
        <w:rPr>
          <w:rFonts w:ascii="宋体" w:hAnsi="宋体"/>
          <w:b/>
          <w:color w:val="000000"/>
          <w:szCs w:val="21"/>
        </w:rPr>
        <w:tab/>
      </w:r>
    </w:p>
    <w:p>
      <w:pPr>
        <w:spacing w:line="300" w:lineRule="exact"/>
        <w:ind w:firstLine="420" w:firstLineChars="200"/>
        <w:rPr>
          <w:rFonts w:ascii="宋体" w:hAnsi="宋体"/>
          <w:color w:val="000000"/>
          <w:szCs w:val="21"/>
        </w:rPr>
      </w:pPr>
      <w:r>
        <w:rPr>
          <w:rFonts w:hint="eastAsia" w:ascii="宋体" w:hAnsi="宋体"/>
          <w:color w:val="000000"/>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ascii="宋体" w:hAnsi="宋体"/>
          <w:color w:val="000000"/>
          <w:szCs w:val="21"/>
        </w:rPr>
      </w:pPr>
      <w:r>
        <w:rPr>
          <w:rFonts w:hint="eastAsia" w:ascii="宋体" w:hAnsi="宋体"/>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ascii="宋体" w:hAnsi="宋体"/>
          <w:color w:val="000000"/>
          <w:szCs w:val="21"/>
        </w:rPr>
      </w:pPr>
      <w:r>
        <w:rPr>
          <w:rFonts w:hint="eastAsia" w:ascii="宋体" w:hAnsi="宋体"/>
          <w:color w:val="000000"/>
          <w:szCs w:val="21"/>
        </w:rPr>
        <w:t>3.供方销售的货物</w:t>
      </w:r>
      <w:r>
        <w:rPr>
          <w:rFonts w:hint="eastAsia" w:ascii="宋体" w:hAnsi="宋体"/>
          <w:color w:val="000000"/>
          <w:szCs w:val="21"/>
          <w:u w:val="single"/>
        </w:rPr>
        <w:t xml:space="preserve">   需   </w:t>
      </w:r>
      <w:r>
        <w:rPr>
          <w:rFonts w:hint="eastAsia" w:ascii="宋体" w:hAnsi="宋体"/>
          <w:color w:val="000000"/>
          <w:szCs w:val="21"/>
        </w:rPr>
        <w:t>（ 填：需或不需）附产品安全环境技术说明书。</w:t>
      </w:r>
    </w:p>
    <w:p>
      <w:pPr>
        <w:spacing w:line="300" w:lineRule="exact"/>
        <w:rPr>
          <w:rFonts w:ascii="宋体" w:hAnsi="宋体"/>
          <w:b/>
          <w:color w:val="000000"/>
          <w:szCs w:val="21"/>
        </w:rPr>
      </w:pPr>
      <w:r>
        <w:rPr>
          <w:rFonts w:hint="eastAsia" w:ascii="宋体" w:hAnsi="宋体"/>
          <w:b/>
          <w:color w:val="000000"/>
          <w:szCs w:val="21"/>
        </w:rPr>
        <w:t>第九条  不可抗力</w:t>
      </w:r>
    </w:p>
    <w:p>
      <w:pPr>
        <w:spacing w:line="300" w:lineRule="exact"/>
        <w:ind w:firstLine="420" w:firstLineChars="200"/>
        <w:rPr>
          <w:rFonts w:ascii="宋体" w:hAnsi="宋体" w:cs="Arial"/>
          <w:color w:val="000000"/>
          <w:szCs w:val="21"/>
        </w:rPr>
      </w:pPr>
      <w:r>
        <w:rPr>
          <w:rFonts w:hint="eastAsia" w:ascii="宋体" w:hAnsi="宋体" w:cs="Arial"/>
          <w:color w:val="000000"/>
          <w:kern w:val="0"/>
          <w:szCs w:val="21"/>
        </w:rPr>
        <w:t>1.</w:t>
      </w:r>
      <w:r>
        <w:rPr>
          <w:rFonts w:hint="eastAsia" w:ascii="宋体" w:hAnsi="宋体" w:cs="Arial"/>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ascii="宋体" w:hAnsi="宋体"/>
          <w:b/>
          <w:color w:val="000000"/>
          <w:szCs w:val="21"/>
        </w:rPr>
      </w:pPr>
      <w:r>
        <w:rPr>
          <w:rFonts w:hint="eastAsia" w:ascii="宋体" w:hAnsi="宋体"/>
          <w:b/>
          <w:color w:val="000000"/>
          <w:szCs w:val="21"/>
        </w:rPr>
        <w:t xml:space="preserve">第十条 合同变更与解除： </w:t>
      </w:r>
    </w:p>
    <w:p>
      <w:pPr>
        <w:spacing w:line="300" w:lineRule="exact"/>
        <w:ind w:firstLine="420" w:firstLineChars="200"/>
        <w:rPr>
          <w:rFonts w:ascii="宋体" w:hAnsi="宋体"/>
          <w:color w:val="000000"/>
          <w:szCs w:val="21"/>
        </w:rPr>
      </w:pPr>
      <w:r>
        <w:rPr>
          <w:rFonts w:hint="eastAsia" w:ascii="宋体" w:hAnsi="宋体"/>
          <w:color w:val="000000"/>
          <w:szCs w:val="21"/>
        </w:rPr>
        <w:t>除本合同另有约定或法律规定外，非经双方协商一致，任何一方均不得擅自变更或解除合同。</w:t>
      </w:r>
      <w:r>
        <w:rPr>
          <w:rFonts w:hint="eastAsia" w:ascii="宋体" w:hAnsi="宋体"/>
          <w:bCs/>
          <w:color w:val="000000"/>
          <w:szCs w:val="21"/>
        </w:rPr>
        <w:t>合同变更或解除须采取书面形式。</w:t>
      </w:r>
    </w:p>
    <w:p>
      <w:pPr>
        <w:spacing w:line="300" w:lineRule="exact"/>
        <w:rPr>
          <w:rFonts w:ascii="宋体" w:hAnsi="宋体"/>
          <w:b/>
          <w:color w:val="000000"/>
          <w:szCs w:val="21"/>
        </w:rPr>
      </w:pPr>
      <w:r>
        <w:rPr>
          <w:rFonts w:hint="eastAsia" w:ascii="宋体" w:hAnsi="宋体"/>
          <w:b/>
          <w:color w:val="000000"/>
          <w:szCs w:val="21"/>
        </w:rPr>
        <w:t>第十一条 违约责任</w:t>
      </w:r>
    </w:p>
    <w:p>
      <w:pPr>
        <w:spacing w:line="300" w:lineRule="exact"/>
        <w:ind w:firstLine="420" w:firstLineChars="200"/>
        <w:rPr>
          <w:rFonts w:ascii="宋体" w:hAnsi="宋体"/>
          <w:color w:val="000000"/>
          <w:szCs w:val="21"/>
        </w:rPr>
      </w:pPr>
      <w:r>
        <w:rPr>
          <w:rFonts w:hint="eastAsia" w:ascii="宋体" w:hAnsi="宋体"/>
          <w:color w:val="000000"/>
          <w:szCs w:val="21"/>
        </w:rPr>
        <w:t>1.供方未按期如数交付符合合同约定质量的货物，每逾期</w:t>
      </w:r>
      <w:r>
        <w:rPr>
          <w:rFonts w:hint="eastAsia" w:ascii="宋体" w:hAnsi="宋体"/>
          <w:color w:val="000000"/>
          <w:szCs w:val="21"/>
          <w:u w:val="single"/>
        </w:rPr>
        <w:t xml:space="preserve"> 壹  </w:t>
      </w:r>
      <w:r>
        <w:rPr>
          <w:rFonts w:hint="eastAsia" w:ascii="宋体" w:hAnsi="宋体"/>
          <w:color w:val="000000"/>
          <w:szCs w:val="21"/>
        </w:rPr>
        <w:t>日，应向需方支付延迟交付货物货款金额</w:t>
      </w:r>
      <w:r>
        <w:rPr>
          <w:rFonts w:hint="eastAsia" w:ascii="宋体" w:hAnsi="宋体"/>
          <w:color w:val="000000"/>
          <w:szCs w:val="21"/>
          <w:u w:val="single"/>
        </w:rPr>
        <w:t xml:space="preserve"> 0.1  </w:t>
      </w:r>
      <w:r>
        <w:rPr>
          <w:rFonts w:hint="eastAsia" w:ascii="宋体" w:hAnsi="宋体"/>
          <w:color w:val="000000"/>
          <w:szCs w:val="21"/>
        </w:rPr>
        <w:t>％的违约金；如供方逾期交货超过</w:t>
      </w:r>
      <w:r>
        <w:rPr>
          <w:rFonts w:hint="eastAsia" w:ascii="宋体" w:hAnsi="宋体"/>
          <w:color w:val="000000"/>
          <w:szCs w:val="21"/>
          <w:u w:val="single"/>
        </w:rPr>
        <w:t xml:space="preserve">  三十  </w:t>
      </w:r>
      <w:r>
        <w:rPr>
          <w:rFonts w:hint="eastAsia" w:ascii="宋体" w:hAnsi="宋体"/>
          <w:color w:val="000000"/>
          <w:szCs w:val="21"/>
        </w:rPr>
        <w:t>日的或供方逾期交货次数累计超过</w:t>
      </w:r>
      <w:r>
        <w:rPr>
          <w:rFonts w:hint="eastAsia" w:ascii="宋体" w:hAnsi="宋体"/>
          <w:color w:val="000000"/>
          <w:szCs w:val="21"/>
          <w:u w:val="single"/>
        </w:rPr>
        <w:t xml:space="preserve"> 壹 </w:t>
      </w:r>
      <w:r>
        <w:rPr>
          <w:rFonts w:hint="eastAsia" w:ascii="宋体" w:hAnsi="宋体"/>
          <w:color w:val="000000"/>
          <w:szCs w:val="21"/>
        </w:rPr>
        <w:t>笔订单，除应向需方支付违约金外，需方还有权解除逾期交货的单笔订单及该份合同，并要求供方赔偿因逾期交货而造成的损失。</w:t>
      </w:r>
    </w:p>
    <w:p>
      <w:pPr>
        <w:spacing w:line="300" w:lineRule="exact"/>
        <w:ind w:firstLine="420" w:firstLineChars="200"/>
        <w:rPr>
          <w:rFonts w:ascii="宋体" w:hAnsi="宋体"/>
          <w:color w:val="000000"/>
          <w:szCs w:val="21"/>
        </w:rPr>
      </w:pPr>
      <w:r>
        <w:rPr>
          <w:rFonts w:hint="eastAsia" w:ascii="宋体" w:hAnsi="宋体"/>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Cs w:val="21"/>
          <w:u w:val="single"/>
        </w:rPr>
        <w:t xml:space="preserve">  壹  </w:t>
      </w:r>
      <w:r>
        <w:rPr>
          <w:rFonts w:hint="eastAsia" w:ascii="宋体" w:hAnsi="宋体"/>
          <w:color w:val="000000"/>
          <w:szCs w:val="21"/>
        </w:rPr>
        <w:t>笔订单，需方有权解除合同。</w:t>
      </w:r>
    </w:p>
    <w:p>
      <w:pPr>
        <w:spacing w:line="300" w:lineRule="exact"/>
        <w:ind w:firstLine="420" w:firstLineChars="200"/>
        <w:rPr>
          <w:rFonts w:ascii="宋体" w:hAnsi="宋体"/>
          <w:color w:val="000000"/>
          <w:szCs w:val="21"/>
        </w:rPr>
      </w:pPr>
      <w:r>
        <w:rPr>
          <w:rFonts w:hint="eastAsia" w:ascii="宋体" w:hAnsi="宋体"/>
          <w:color w:val="000000"/>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ind w:firstLine="420" w:firstLineChars="200"/>
        <w:rPr>
          <w:rFonts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ascii="宋体" w:hAnsi="宋体"/>
          <w:b/>
          <w:color w:val="000000"/>
          <w:szCs w:val="21"/>
        </w:rPr>
      </w:pPr>
      <w:r>
        <w:rPr>
          <w:rFonts w:hint="eastAsia" w:ascii="宋体" w:hAnsi="宋体"/>
          <w:b/>
          <w:color w:val="000000"/>
          <w:szCs w:val="21"/>
        </w:rPr>
        <w:t>第十三条 廉政条款</w:t>
      </w:r>
    </w:p>
    <w:p>
      <w:pPr>
        <w:ind w:firstLine="420" w:firstLineChars="200"/>
        <w:rPr>
          <w:rFonts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ind w:firstLine="420" w:firstLineChars="200"/>
        <w:rPr>
          <w:rFonts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20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ascii="宋体" w:hAnsi="宋体"/>
          <w:color w:val="000000"/>
          <w:szCs w:val="21"/>
        </w:rPr>
      </w:pPr>
      <w:r>
        <w:rPr>
          <w:rFonts w:hint="eastAsia" w:ascii="宋体" w:hAnsi="宋体"/>
          <w:color w:val="000000"/>
          <w:szCs w:val="21"/>
        </w:rPr>
        <w:t>5.其他约定事项：</w:t>
      </w:r>
    </w:p>
    <w:p>
      <w:pPr>
        <w:spacing w:line="300" w:lineRule="exact"/>
        <w:ind w:firstLine="420" w:firstLineChars="200"/>
        <w:rPr>
          <w:rFonts w:ascii="宋体" w:hAnsi="宋体" w:cs="宋体"/>
          <w:b/>
          <w:bCs/>
          <w:sz w:val="36"/>
          <w:szCs w:val="36"/>
        </w:rPr>
      </w:pPr>
      <w:r>
        <w:rPr>
          <w:rFonts w:hint="eastAsia" w:ascii="宋体" w:hAnsi="宋体"/>
          <w:color w:val="000000"/>
          <w:szCs w:val="21"/>
        </w:rPr>
        <w:t>①履约保证金：供方的</w:t>
      </w:r>
      <w:r>
        <w:rPr>
          <w:rFonts w:hint="eastAsia" w:ascii="宋体" w:hAnsi="宋体"/>
          <w:color w:val="000000"/>
          <w:szCs w:val="21"/>
          <w:lang w:val="en-US" w:eastAsia="zh-CN"/>
        </w:rPr>
        <w:t>壹</w:t>
      </w:r>
      <w:r>
        <w:rPr>
          <w:rFonts w:hint="eastAsia" w:ascii="宋体" w:hAnsi="宋体"/>
          <w:color w:val="000000"/>
          <w:szCs w:val="21"/>
        </w:rPr>
        <w:t>万元整参选保证金转为履约</w:t>
      </w:r>
      <w:bookmarkStart w:id="0" w:name="_GoBack"/>
      <w:bookmarkEnd w:id="0"/>
      <w:r>
        <w:rPr>
          <w:rFonts w:hint="eastAsia" w:ascii="宋体" w:hAnsi="宋体"/>
          <w:color w:val="000000"/>
          <w:szCs w:val="21"/>
        </w:rPr>
        <w:t>保证金，待本合同执行完后30天内需方无息返还该笔履约保证金至供方指定账户。</w:t>
      </w:r>
    </w:p>
    <w:p>
      <w:pPr>
        <w:spacing w:line="300" w:lineRule="exact"/>
        <w:ind w:firstLine="420" w:firstLineChars="200"/>
        <w:rPr>
          <w:rFonts w:ascii="宋体" w:hAnsi="宋体"/>
          <w:color w:val="000000"/>
          <w:szCs w:val="21"/>
        </w:rPr>
      </w:pPr>
    </w:p>
    <w:p>
      <w:pPr>
        <w:spacing w:line="220" w:lineRule="exact"/>
        <w:ind w:firstLine="360" w:firstLineChars="200"/>
        <w:rPr>
          <w:rFonts w:cs="宋体"/>
          <w:sz w:val="18"/>
          <w:szCs w:val="18"/>
        </w:rPr>
      </w:pPr>
    </w:p>
    <w:p>
      <w:pPr>
        <w:jc w:val="left"/>
        <w:rPr>
          <w:rFonts w:cs="宋体"/>
          <w:sz w:val="18"/>
          <w:szCs w:val="18"/>
        </w:rPr>
      </w:pPr>
      <w:r>
        <w:rPr>
          <w:rFonts w:hint="eastAsia" w:cs="宋体"/>
          <w:sz w:val="18"/>
          <w:szCs w:val="18"/>
        </w:rPr>
        <w:t>附件</w:t>
      </w:r>
    </w:p>
    <w:p>
      <w:pPr>
        <w:spacing w:line="460" w:lineRule="exact"/>
        <w:ind w:right="4023"/>
        <w:jc w:val="center"/>
        <w:rPr>
          <w:rFonts w:ascii="宋体" w:hAnsi="宋体" w:cs="宋体"/>
          <w:b/>
          <w:bCs/>
          <w:sz w:val="36"/>
          <w:szCs w:val="36"/>
        </w:rPr>
      </w:pPr>
      <w:r>
        <w:rPr>
          <w:rFonts w:hint="eastAsia" w:ascii="宋体" w:hAnsi="宋体" w:cs="宋体"/>
          <w:b/>
          <w:bCs/>
          <w:sz w:val="36"/>
          <w:szCs w:val="36"/>
        </w:rPr>
        <w:t xml:space="preserve">                    </w:t>
      </w:r>
    </w:p>
    <w:p>
      <w:pPr>
        <w:spacing w:line="460" w:lineRule="exact"/>
        <w:ind w:right="4023"/>
        <w:jc w:val="center"/>
        <w:rPr>
          <w:rFonts w:ascii="宋体" w:hAnsi="宋体" w:cs="宋体"/>
          <w:sz w:val="36"/>
          <w:szCs w:val="36"/>
        </w:rPr>
      </w:pPr>
      <w:r>
        <w:rPr>
          <w:rFonts w:hint="eastAsia" w:ascii="宋体" w:hAnsi="宋体" w:cs="宋体"/>
          <w:b/>
          <w:bCs/>
          <w:sz w:val="36"/>
          <w:szCs w:val="36"/>
        </w:rPr>
        <w:t xml:space="preserve">                  次氯酸钠</w:t>
      </w:r>
    </w:p>
    <w:p>
      <w:pPr>
        <w:pStyle w:val="2"/>
        <w:spacing w:before="323" w:line="288" w:lineRule="auto"/>
      </w:pPr>
      <w:r>
        <w:t>执行标准：</w:t>
      </w:r>
      <w:r>
        <w:rPr>
          <w:rFonts w:ascii="宋体" w:hAnsi="宋体" w:cs="宋体"/>
        </w:rPr>
        <w:t xml:space="preserve">GB/T 19106-2013 </w:t>
      </w:r>
      <w:r>
        <w:t xml:space="preserve">次氯酸钠溶液（型号 </w:t>
      </w:r>
      <w:r>
        <w:rPr>
          <w:rFonts w:ascii="宋体" w:hAnsi="宋体" w:cs="宋体"/>
        </w:rPr>
        <w:t>A</w:t>
      </w:r>
      <w:r>
        <w:rPr>
          <w:rFonts w:ascii="宋体" w:hAnsi="宋体" w:cs="宋体"/>
          <w:spacing w:val="-81"/>
        </w:rPr>
        <w:t xml:space="preserve"> </w:t>
      </w:r>
      <w:r>
        <w:t>规格Ⅱ项）</w:t>
      </w:r>
    </w:p>
    <w:p>
      <w:pPr>
        <w:pStyle w:val="2"/>
        <w:spacing w:before="323" w:line="288" w:lineRule="auto"/>
        <w:rPr>
          <w:spacing w:val="-29"/>
        </w:rPr>
      </w:pPr>
      <w:r>
        <w:t>说明：</w:t>
      </w:r>
      <w:r>
        <w:rPr>
          <w:rFonts w:ascii="宋体" w:hAnsi="宋体" w:cs="宋体"/>
        </w:rPr>
        <w:t>1</w:t>
      </w:r>
      <w:r>
        <w:t>、次氯酸钠采购指标。用于水气团队（</w:t>
      </w:r>
      <w:r>
        <w:rPr>
          <w:rFonts w:ascii="宋体" w:hAnsi="宋体" w:cs="宋体"/>
        </w:rPr>
        <w:t>PX/PTA</w:t>
      </w:r>
      <w:r>
        <w:rPr>
          <w:rFonts w:ascii="宋体" w:hAnsi="宋体" w:cs="宋体"/>
          <w:spacing w:val="-71"/>
        </w:rPr>
        <w:t xml:space="preserve"> </w:t>
      </w:r>
      <w:r>
        <w:rPr>
          <w:spacing w:val="-29"/>
        </w:rPr>
        <w:t>杀菌剂）。</w:t>
      </w:r>
    </w:p>
    <w:p>
      <w:pPr>
        <w:pStyle w:val="2"/>
        <w:spacing w:before="323" w:line="288" w:lineRule="auto"/>
        <w:ind w:firstLine="460" w:firstLineChars="200"/>
      </w:pPr>
      <w:r>
        <w:rPr>
          <w:rFonts w:ascii="宋体" w:hAnsi="宋体" w:cs="宋体"/>
          <w:spacing w:val="-5"/>
        </w:rPr>
        <w:t>2</w:t>
      </w:r>
      <w:r>
        <w:rPr>
          <w:spacing w:val="-5"/>
        </w:rPr>
        <w:t>、</w:t>
      </w:r>
      <w:r>
        <w:rPr>
          <w:rFonts w:ascii="宋体" w:hAnsi="宋体" w:cs="宋体"/>
          <w:spacing w:val="-5"/>
        </w:rPr>
        <w:t>PX</w:t>
      </w:r>
      <w:r>
        <w:rPr>
          <w:rFonts w:ascii="宋体" w:hAnsi="宋体" w:cs="宋体"/>
          <w:spacing w:val="-95"/>
        </w:rPr>
        <w:t xml:space="preserve"> </w:t>
      </w:r>
      <w:r>
        <w:t>厂验收时检测有效氯项。</w:t>
      </w:r>
      <w:r>
        <w:rPr>
          <w:rFonts w:ascii="宋体" w:hAnsi="宋体" w:cs="宋体"/>
        </w:rPr>
        <w:t>PTA</w:t>
      </w:r>
      <w:r>
        <w:rPr>
          <w:rFonts w:ascii="宋体" w:hAnsi="宋体" w:cs="宋体"/>
          <w:spacing w:val="-95"/>
        </w:rPr>
        <w:t xml:space="preserve"> </w:t>
      </w:r>
      <w:r>
        <w:t>厂验收时检测外观、有效氯项和</w:t>
      </w:r>
      <w:r>
        <w:rPr>
          <w:w w:val="99"/>
        </w:rPr>
        <w:t xml:space="preserve"> </w:t>
      </w:r>
      <w:r>
        <w:t>游离碱项。</w:t>
      </w:r>
    </w:p>
    <w:p>
      <w:pPr>
        <w:ind w:right="4020"/>
        <w:rPr>
          <w:rFonts w:ascii="宋体" w:hAnsi="宋体"/>
          <w:sz w:val="28"/>
          <w:szCs w:val="28"/>
        </w:rPr>
      </w:pPr>
    </w:p>
    <w:tbl>
      <w:tblPr>
        <w:tblStyle w:val="6"/>
        <w:tblpPr w:leftFromText="180" w:rightFromText="180" w:vertAnchor="text" w:horzAnchor="page" w:tblpX="1209" w:tblpY="285"/>
        <w:tblOverlap w:val="never"/>
        <w:tblW w:w="9311" w:type="dxa"/>
        <w:tblInd w:w="0" w:type="dxa"/>
        <w:tblLayout w:type="fixed"/>
        <w:tblCellMar>
          <w:top w:w="0" w:type="dxa"/>
          <w:left w:w="0" w:type="dxa"/>
          <w:bottom w:w="0" w:type="dxa"/>
          <w:right w:w="0" w:type="dxa"/>
        </w:tblCellMar>
      </w:tblPr>
      <w:tblGrid>
        <w:gridCol w:w="3299"/>
        <w:gridCol w:w="896"/>
        <w:gridCol w:w="2450"/>
        <w:gridCol w:w="2666"/>
      </w:tblGrid>
      <w:tr>
        <w:tblPrEx>
          <w:tblLayout w:type="fixed"/>
          <w:tblCellMar>
            <w:top w:w="0" w:type="dxa"/>
            <w:left w:w="0" w:type="dxa"/>
            <w:bottom w:w="0" w:type="dxa"/>
            <w:right w:w="0" w:type="dxa"/>
          </w:tblCellMar>
        </w:tblPrEx>
        <w:trPr>
          <w:trHeight w:val="576" w:hRule="exact"/>
        </w:trPr>
        <w:tc>
          <w:tcPr>
            <w:tcW w:w="4195" w:type="dxa"/>
            <w:gridSpan w:val="2"/>
            <w:tcBorders>
              <w:top w:val="single" w:color="000000" w:sz="4" w:space="0"/>
              <w:left w:val="single" w:color="000000" w:sz="4" w:space="0"/>
              <w:bottom w:val="single" w:color="000000" w:sz="4" w:space="0"/>
              <w:right w:val="single" w:color="000000" w:sz="4" w:space="0"/>
            </w:tcBorders>
            <w:shd w:val="clear" w:color="auto" w:fill="C1C1C1"/>
          </w:tcPr>
          <w:p>
            <w:pPr>
              <w:pStyle w:val="11"/>
              <w:spacing w:before="77"/>
              <w:ind w:left="1202"/>
              <w:jc w:val="center"/>
              <w:rPr>
                <w:rFonts w:ascii="宋体" w:hAnsi="宋体" w:cs="宋体"/>
              </w:rPr>
            </w:pPr>
            <w:r>
              <w:rPr>
                <w:rFonts w:ascii="宋体" w:hAnsi="宋体" w:cs="宋体"/>
                <w:b/>
                <w:bCs/>
              </w:rPr>
              <w:t>分析项目</w:t>
            </w:r>
          </w:p>
        </w:tc>
        <w:tc>
          <w:tcPr>
            <w:tcW w:w="2450" w:type="dxa"/>
            <w:tcBorders>
              <w:top w:val="single" w:color="000000" w:sz="4" w:space="0"/>
              <w:left w:val="single" w:color="000000" w:sz="4" w:space="0"/>
              <w:bottom w:val="single" w:color="000000" w:sz="4" w:space="0"/>
              <w:right w:val="single" w:color="000000" w:sz="4" w:space="0"/>
            </w:tcBorders>
            <w:shd w:val="clear" w:color="auto" w:fill="C1C1C1"/>
          </w:tcPr>
          <w:p>
            <w:pPr>
              <w:pStyle w:val="11"/>
              <w:spacing w:before="77"/>
              <w:ind w:left="736"/>
              <w:jc w:val="center"/>
              <w:rPr>
                <w:rFonts w:ascii="宋体" w:hAnsi="宋体" w:cs="宋体"/>
              </w:rPr>
            </w:pPr>
            <w:r>
              <w:rPr>
                <w:rFonts w:ascii="宋体" w:hAnsi="宋体" w:cs="宋体"/>
                <w:b/>
                <w:bCs/>
              </w:rPr>
              <w:t>质量指标</w:t>
            </w:r>
          </w:p>
        </w:tc>
        <w:tc>
          <w:tcPr>
            <w:tcW w:w="2666" w:type="dxa"/>
            <w:tcBorders>
              <w:top w:val="single" w:color="000000" w:sz="4" w:space="0"/>
              <w:left w:val="single" w:color="000000" w:sz="4" w:space="0"/>
              <w:bottom w:val="single" w:color="000000" w:sz="4" w:space="0"/>
              <w:right w:val="single" w:color="000000" w:sz="4" w:space="0"/>
            </w:tcBorders>
            <w:shd w:val="clear" w:color="auto" w:fill="C1C1C1"/>
          </w:tcPr>
          <w:p>
            <w:pPr>
              <w:pStyle w:val="11"/>
              <w:spacing w:before="77"/>
              <w:ind w:left="844"/>
              <w:jc w:val="center"/>
              <w:rPr>
                <w:rFonts w:ascii="宋体" w:hAnsi="宋体" w:cs="宋体"/>
              </w:rPr>
            </w:pPr>
            <w:r>
              <w:rPr>
                <w:rFonts w:ascii="宋体" w:hAnsi="宋体" w:cs="宋体"/>
                <w:b/>
                <w:bCs/>
              </w:rPr>
              <w:t>试验方法</w:t>
            </w:r>
          </w:p>
        </w:tc>
      </w:tr>
      <w:tr>
        <w:tblPrEx>
          <w:tblLayout w:type="fixed"/>
          <w:tblCellMar>
            <w:top w:w="0" w:type="dxa"/>
            <w:left w:w="0" w:type="dxa"/>
            <w:bottom w:w="0" w:type="dxa"/>
            <w:right w:w="0" w:type="dxa"/>
          </w:tblCellMar>
        </w:tblPrEx>
        <w:trPr>
          <w:trHeight w:val="578" w:hRule="exact"/>
        </w:trPr>
        <w:tc>
          <w:tcPr>
            <w:tcW w:w="4195" w:type="dxa"/>
            <w:gridSpan w:val="2"/>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hAnsi="宋体" w:cs="宋体"/>
              </w:rPr>
              <w:t>外观</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hAnsi="宋体" w:cs="宋体"/>
              </w:rPr>
              <w:t>浅黄色液体</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hAnsi="宋体" w:cs="宋体"/>
              </w:rPr>
              <w:t>目测</w:t>
            </w:r>
          </w:p>
        </w:tc>
      </w:tr>
      <w:tr>
        <w:tblPrEx>
          <w:tblLayout w:type="fixed"/>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1"/>
              <w:spacing w:before="75"/>
              <w:ind w:left="103"/>
              <w:jc w:val="center"/>
              <w:rPr>
                <w:rFonts w:ascii="宋体" w:hAnsi="宋体" w:cs="宋体"/>
              </w:rPr>
            </w:pPr>
            <w:r>
              <w:rPr>
                <w:rFonts w:ascii="宋体" w:hAnsi="宋体" w:cs="宋体"/>
              </w:rPr>
              <w:t>有效氯（以</w:t>
            </w:r>
            <w:r>
              <w:rPr>
                <w:rFonts w:ascii="宋体" w:hAnsi="宋体" w:cs="宋体"/>
                <w:spacing w:val="-61"/>
              </w:rPr>
              <w:t xml:space="preserve"> </w:t>
            </w:r>
            <w:r>
              <w:rPr>
                <w:rFonts w:ascii="宋体" w:hAnsi="宋体" w:cs="宋体"/>
              </w:rPr>
              <w:t>Cl</w:t>
            </w:r>
            <w:r>
              <w:rPr>
                <w:rFonts w:ascii="宋体" w:hAnsi="宋体" w:cs="宋体"/>
                <w:spacing w:val="-61"/>
              </w:rPr>
              <w:t xml:space="preserve"> </w:t>
            </w:r>
            <w:r>
              <w:rPr>
                <w:rFonts w:ascii="宋体" w:hAnsi="宋体" w:cs="宋体"/>
              </w:rPr>
              <w:t>计）</w:t>
            </w:r>
            <w:r>
              <w:rPr>
                <w:rFonts w:ascii="Californian FB" w:hAnsi="Californian FB" w:eastAsia="Californian FB" w:cs="Californian FB"/>
                <w:i/>
                <w:sz w:val="21"/>
                <w:szCs w:val="21"/>
              </w:rPr>
              <w:t>w</w:t>
            </w:r>
            <w:r>
              <w:rPr>
                <w:rFonts w:ascii="宋体" w:hAnsi="宋体" w:cs="宋体"/>
              </w:rPr>
              <w:t>/%</w:t>
            </w:r>
          </w:p>
        </w:tc>
        <w:tc>
          <w:tcPr>
            <w:tcW w:w="896" w:type="dxa"/>
            <w:tcBorders>
              <w:top w:val="single" w:color="000000" w:sz="4" w:space="0"/>
              <w:left w:val="nil"/>
              <w:bottom w:val="single" w:color="000000" w:sz="4" w:space="0"/>
              <w:right w:val="single" w:color="000000" w:sz="4" w:space="0"/>
            </w:tcBorders>
          </w:tcPr>
          <w:p>
            <w:pPr>
              <w:pStyle w:val="11"/>
              <w:spacing w:before="75"/>
              <w:ind w:left="548"/>
              <w:jc w:val="center"/>
              <w:rPr>
                <w:rFonts w:ascii="宋体" w:hAnsi="宋体" w:cs="宋体"/>
              </w:rPr>
            </w:pPr>
            <w:r>
              <w:rPr>
                <w:rFonts w:ascii="宋体" w:hAnsi="宋体" w:cs="宋体"/>
              </w:rPr>
              <w:t>≥</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75"/>
              <w:ind w:left="103"/>
              <w:jc w:val="center"/>
              <w:rPr>
                <w:rFonts w:ascii="宋体" w:hAnsi="宋体" w:cs="宋体"/>
              </w:rPr>
            </w:pPr>
            <w:r>
              <w:rPr>
                <w:rFonts w:ascii="宋体"/>
              </w:rPr>
              <w:t>10.0</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75"/>
              <w:ind w:left="103"/>
              <w:jc w:val="center"/>
              <w:rPr>
                <w:rFonts w:ascii="宋体" w:hAnsi="宋体" w:cs="宋体"/>
              </w:rPr>
            </w:pPr>
            <w:r>
              <w:rPr>
                <w:rFonts w:ascii="宋体"/>
              </w:rPr>
              <w:t>GB/T 19106</w:t>
            </w:r>
          </w:p>
        </w:tc>
      </w:tr>
      <w:tr>
        <w:tblPrEx>
          <w:tblLayout w:type="fixed"/>
          <w:tblCellMar>
            <w:top w:w="0" w:type="dxa"/>
            <w:left w:w="0" w:type="dxa"/>
            <w:bottom w:w="0" w:type="dxa"/>
            <w:right w:w="0" w:type="dxa"/>
          </w:tblCellMar>
        </w:tblPrEx>
        <w:trPr>
          <w:trHeight w:val="578" w:hRule="exact"/>
        </w:trPr>
        <w:tc>
          <w:tcPr>
            <w:tcW w:w="4195" w:type="dxa"/>
            <w:gridSpan w:val="2"/>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hAnsi="宋体" w:cs="宋体"/>
              </w:rPr>
              <w:t>游离碱（以</w:t>
            </w:r>
            <w:r>
              <w:rPr>
                <w:rFonts w:ascii="宋体" w:hAnsi="宋体" w:cs="宋体"/>
                <w:spacing w:val="-61"/>
              </w:rPr>
              <w:t xml:space="preserve"> </w:t>
            </w:r>
            <w:r>
              <w:rPr>
                <w:rFonts w:ascii="宋体" w:hAnsi="宋体" w:cs="宋体"/>
              </w:rPr>
              <w:t>NaOH</w:t>
            </w:r>
            <w:r>
              <w:rPr>
                <w:rFonts w:ascii="宋体" w:hAnsi="宋体" w:cs="宋体"/>
                <w:spacing w:val="-61"/>
              </w:rPr>
              <w:t xml:space="preserve"> </w:t>
            </w:r>
            <w:r>
              <w:rPr>
                <w:rFonts w:ascii="宋体" w:hAnsi="宋体" w:cs="宋体"/>
              </w:rPr>
              <w:t>计）</w:t>
            </w:r>
            <w:r>
              <w:rPr>
                <w:rFonts w:ascii="Californian FB" w:hAnsi="Californian FB" w:eastAsia="Californian FB" w:cs="Californian FB"/>
                <w:i/>
                <w:sz w:val="21"/>
                <w:szCs w:val="21"/>
              </w:rPr>
              <w:t>w</w:t>
            </w:r>
            <w:r>
              <w:rPr>
                <w:rFonts w:ascii="宋体" w:hAnsi="宋体" w:cs="宋体"/>
              </w:rPr>
              <w:t>/%</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hAnsi="宋体" w:cs="宋体"/>
              </w:rPr>
              <w:t>0.1～1.0</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rPr>
              <w:t>GB/T 19106</w:t>
            </w:r>
          </w:p>
        </w:tc>
      </w:tr>
      <w:tr>
        <w:tblPrEx>
          <w:tblLayout w:type="fixed"/>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1"/>
              <w:spacing w:before="63"/>
              <w:ind w:left="103"/>
              <w:jc w:val="center"/>
              <w:rPr>
                <w:rFonts w:ascii="宋体" w:hAnsi="宋体" w:cs="宋体"/>
                <w:sz w:val="25"/>
                <w:szCs w:val="25"/>
              </w:rPr>
            </w:pPr>
            <w:r>
              <w:rPr>
                <w:rFonts w:ascii="宋体" w:hAnsi="宋体" w:cs="宋体"/>
                <w:i/>
                <w:color w:val="818181"/>
                <w:sz w:val="25"/>
                <w:szCs w:val="25"/>
              </w:rPr>
              <w:t>▲铁（Fe）</w:t>
            </w:r>
            <w:r>
              <w:rPr>
                <w:rFonts w:ascii="Californian FB" w:hAnsi="Californian FB" w:eastAsia="Californian FB" w:cs="Californian FB"/>
                <w:i/>
                <w:color w:val="818181"/>
                <w:sz w:val="21"/>
                <w:szCs w:val="21"/>
              </w:rPr>
              <w:t>w</w:t>
            </w:r>
            <w:r>
              <w:rPr>
                <w:rFonts w:ascii="宋体" w:hAnsi="宋体" w:cs="宋体"/>
                <w:i/>
                <w:color w:val="818181"/>
                <w:sz w:val="25"/>
                <w:szCs w:val="25"/>
              </w:rPr>
              <w:t>/%</w:t>
            </w:r>
          </w:p>
        </w:tc>
        <w:tc>
          <w:tcPr>
            <w:tcW w:w="896" w:type="dxa"/>
            <w:tcBorders>
              <w:top w:val="single" w:color="000000" w:sz="4" w:space="0"/>
              <w:left w:val="nil"/>
              <w:bottom w:val="single" w:color="000000" w:sz="4" w:space="0"/>
              <w:right w:val="single" w:color="000000" w:sz="4" w:space="0"/>
            </w:tcBorders>
          </w:tcPr>
          <w:p>
            <w:pPr>
              <w:pStyle w:val="11"/>
              <w:spacing w:before="63"/>
              <w:ind w:left="548"/>
              <w:jc w:val="center"/>
              <w:rPr>
                <w:rFonts w:ascii="宋体" w:hAnsi="宋体" w:cs="宋体"/>
                <w:sz w:val="25"/>
                <w:szCs w:val="25"/>
              </w:rPr>
            </w:pPr>
            <w:r>
              <w:rPr>
                <w:rFonts w:ascii="宋体" w:hAnsi="宋体" w:cs="宋体"/>
                <w:i/>
                <w:color w:val="818181"/>
                <w:w w:val="95"/>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63"/>
              <w:ind w:left="103"/>
              <w:jc w:val="center"/>
              <w:rPr>
                <w:rFonts w:ascii="宋体" w:hAnsi="宋体" w:cs="宋体"/>
                <w:sz w:val="25"/>
                <w:szCs w:val="25"/>
              </w:rPr>
            </w:pPr>
            <w:r>
              <w:rPr>
                <w:rFonts w:ascii="宋体"/>
                <w:i/>
                <w:color w:val="818181"/>
                <w:sz w:val="25"/>
              </w:rPr>
              <w:t>0.005</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63"/>
              <w:ind w:left="103"/>
              <w:jc w:val="center"/>
              <w:rPr>
                <w:rFonts w:ascii="宋体" w:hAnsi="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r>
        <w:tblPrEx>
          <w:tblLayout w:type="fixed"/>
          <w:tblCellMar>
            <w:top w:w="0" w:type="dxa"/>
            <w:left w:w="0" w:type="dxa"/>
            <w:bottom w:w="0" w:type="dxa"/>
            <w:right w:w="0" w:type="dxa"/>
          </w:tblCellMar>
        </w:tblPrEx>
        <w:trPr>
          <w:trHeight w:val="578" w:hRule="exact"/>
        </w:trPr>
        <w:tc>
          <w:tcPr>
            <w:tcW w:w="3299" w:type="dxa"/>
            <w:tcBorders>
              <w:top w:val="single" w:color="000000" w:sz="4" w:space="0"/>
              <w:left w:val="single" w:color="000000" w:sz="4" w:space="0"/>
              <w:bottom w:val="single" w:color="000000" w:sz="4" w:space="0"/>
              <w:right w:val="nil"/>
            </w:tcBorders>
          </w:tcPr>
          <w:p>
            <w:pPr>
              <w:pStyle w:val="11"/>
              <w:spacing w:before="66"/>
              <w:ind w:left="103"/>
              <w:jc w:val="center"/>
              <w:rPr>
                <w:rFonts w:ascii="宋体" w:hAnsi="宋体" w:cs="宋体"/>
                <w:sz w:val="25"/>
                <w:szCs w:val="25"/>
              </w:rPr>
            </w:pPr>
            <w:r>
              <w:rPr>
                <w:rFonts w:ascii="宋体" w:hAnsi="宋体" w:cs="宋体"/>
                <w:i/>
                <w:color w:val="818181"/>
                <w:w w:val="95"/>
                <w:sz w:val="25"/>
                <w:szCs w:val="25"/>
              </w:rPr>
              <w:t>▲重金属（以 Pb</w:t>
            </w:r>
            <w:r>
              <w:rPr>
                <w:rFonts w:ascii="宋体" w:hAnsi="宋体" w:cs="宋体"/>
                <w:i/>
                <w:color w:val="818181"/>
                <w:spacing w:val="-88"/>
                <w:w w:val="95"/>
                <w:sz w:val="25"/>
                <w:szCs w:val="25"/>
              </w:rPr>
              <w:t xml:space="preserve"> </w:t>
            </w:r>
            <w:r>
              <w:rPr>
                <w:rFonts w:ascii="宋体" w:hAnsi="宋体" w:cs="宋体"/>
                <w:i/>
                <w:color w:val="818181"/>
                <w:w w:val="95"/>
                <w:sz w:val="25"/>
                <w:szCs w:val="25"/>
              </w:rPr>
              <w:t>计）</w:t>
            </w:r>
            <w:r>
              <w:rPr>
                <w:rFonts w:ascii="Californian FB" w:hAnsi="Californian FB" w:eastAsia="Californian FB" w:cs="Californian FB"/>
                <w:i/>
                <w:color w:val="818181"/>
                <w:w w:val="95"/>
                <w:sz w:val="21"/>
                <w:szCs w:val="21"/>
              </w:rPr>
              <w:t>w</w:t>
            </w:r>
            <w:r>
              <w:rPr>
                <w:rFonts w:ascii="宋体" w:hAnsi="宋体" w:cs="宋体"/>
                <w:i/>
                <w:color w:val="818181"/>
                <w:w w:val="95"/>
                <w:sz w:val="25"/>
                <w:szCs w:val="25"/>
              </w:rPr>
              <w:t>/%</w:t>
            </w:r>
          </w:p>
        </w:tc>
        <w:tc>
          <w:tcPr>
            <w:tcW w:w="896" w:type="dxa"/>
            <w:tcBorders>
              <w:top w:val="single" w:color="000000" w:sz="4" w:space="0"/>
              <w:left w:val="nil"/>
              <w:bottom w:val="single" w:color="000000" w:sz="4" w:space="0"/>
              <w:right w:val="single" w:color="000000" w:sz="4" w:space="0"/>
            </w:tcBorders>
          </w:tcPr>
          <w:p>
            <w:pPr>
              <w:pStyle w:val="11"/>
              <w:spacing w:before="66"/>
              <w:ind w:left="548"/>
              <w:jc w:val="center"/>
              <w:rPr>
                <w:rFonts w:ascii="宋体" w:hAnsi="宋体" w:cs="宋体"/>
                <w:sz w:val="25"/>
                <w:szCs w:val="25"/>
              </w:rPr>
            </w:pPr>
            <w:r>
              <w:rPr>
                <w:rFonts w:ascii="宋体" w:hAnsi="宋体" w:cs="宋体"/>
                <w:i/>
                <w:color w:val="818181"/>
                <w:w w:val="96"/>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66"/>
              <w:ind w:left="103"/>
              <w:jc w:val="center"/>
              <w:rPr>
                <w:rFonts w:ascii="宋体" w:hAnsi="宋体" w:cs="宋体"/>
                <w:sz w:val="25"/>
                <w:szCs w:val="25"/>
              </w:rPr>
            </w:pPr>
            <w:r>
              <w:rPr>
                <w:rFonts w:ascii="宋体"/>
                <w:i/>
                <w:color w:val="818181"/>
                <w:sz w:val="25"/>
              </w:rPr>
              <w:t>0.001</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66"/>
              <w:ind w:left="103"/>
              <w:jc w:val="center"/>
              <w:rPr>
                <w:rFonts w:ascii="宋体" w:hAnsi="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r>
        <w:tblPrEx>
          <w:tblLayout w:type="fixed"/>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1"/>
              <w:spacing w:before="63"/>
              <w:ind w:left="103"/>
              <w:jc w:val="center"/>
              <w:rPr>
                <w:rFonts w:ascii="宋体" w:hAnsi="宋体" w:cs="宋体"/>
                <w:sz w:val="25"/>
                <w:szCs w:val="25"/>
              </w:rPr>
            </w:pPr>
            <w:r>
              <w:rPr>
                <w:rFonts w:ascii="宋体" w:hAnsi="宋体" w:cs="宋体"/>
                <w:i/>
                <w:color w:val="818181"/>
                <w:sz w:val="25"/>
                <w:szCs w:val="25"/>
              </w:rPr>
              <w:t>▲砷（As）</w:t>
            </w:r>
            <w:r>
              <w:rPr>
                <w:rFonts w:ascii="Californian FB" w:hAnsi="Californian FB" w:eastAsia="Californian FB" w:cs="Californian FB"/>
                <w:i/>
                <w:color w:val="818181"/>
                <w:sz w:val="21"/>
                <w:szCs w:val="21"/>
              </w:rPr>
              <w:t>w</w:t>
            </w:r>
            <w:r>
              <w:rPr>
                <w:rFonts w:ascii="宋体" w:hAnsi="宋体" w:cs="宋体"/>
                <w:i/>
                <w:color w:val="818181"/>
                <w:sz w:val="25"/>
                <w:szCs w:val="25"/>
              </w:rPr>
              <w:t>/%</w:t>
            </w:r>
          </w:p>
        </w:tc>
        <w:tc>
          <w:tcPr>
            <w:tcW w:w="896" w:type="dxa"/>
            <w:tcBorders>
              <w:top w:val="single" w:color="000000" w:sz="4" w:space="0"/>
              <w:left w:val="nil"/>
              <w:bottom w:val="single" w:color="000000" w:sz="4" w:space="0"/>
              <w:right w:val="single" w:color="000000" w:sz="4" w:space="0"/>
            </w:tcBorders>
          </w:tcPr>
          <w:p>
            <w:pPr>
              <w:pStyle w:val="11"/>
              <w:spacing w:before="63"/>
              <w:ind w:left="548"/>
              <w:jc w:val="center"/>
              <w:rPr>
                <w:rFonts w:ascii="宋体" w:hAnsi="宋体" w:cs="宋体"/>
                <w:sz w:val="25"/>
                <w:szCs w:val="25"/>
              </w:rPr>
            </w:pPr>
            <w:r>
              <w:rPr>
                <w:rFonts w:ascii="宋体" w:hAnsi="宋体" w:cs="宋体"/>
                <w:i/>
                <w:color w:val="818181"/>
                <w:w w:val="95"/>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63"/>
              <w:ind w:left="103"/>
              <w:jc w:val="center"/>
              <w:rPr>
                <w:rFonts w:ascii="宋体" w:hAnsi="宋体" w:cs="宋体"/>
                <w:sz w:val="25"/>
                <w:szCs w:val="25"/>
              </w:rPr>
            </w:pPr>
            <w:r>
              <w:rPr>
                <w:rFonts w:ascii="宋体"/>
                <w:i/>
                <w:color w:val="818181"/>
                <w:sz w:val="25"/>
              </w:rPr>
              <w:t>0.0001</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63"/>
              <w:ind w:left="103"/>
              <w:jc w:val="center"/>
              <w:rPr>
                <w:rFonts w:ascii="宋体" w:hAnsi="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bl>
    <w:p>
      <w:pPr>
        <w:ind w:right="4020"/>
        <w:rPr>
          <w:rFonts w:ascii="宋体" w:hAnsi="宋体"/>
          <w:sz w:val="28"/>
          <w:szCs w:val="28"/>
        </w:rPr>
      </w:pPr>
    </w:p>
    <w:p>
      <w:pPr>
        <w:ind w:right="4020"/>
        <w:rPr>
          <w:rFonts w:ascii="宋体" w:hAnsi="宋体"/>
          <w:sz w:val="28"/>
          <w:szCs w:val="28"/>
        </w:rPr>
      </w:pPr>
    </w:p>
    <w:p>
      <w:pPr>
        <w:jc w:val="left"/>
        <w:rPr>
          <w:rFonts w:cs="宋体"/>
          <w:sz w:val="18"/>
          <w:szCs w:val="18"/>
        </w:rPr>
      </w:pPr>
    </w:p>
    <w:sectPr>
      <w:footerReference r:id="rId3" w:type="default"/>
      <w:footerReference r:id="rId4" w:type="even"/>
      <w:pgSz w:w="11906" w:h="16838"/>
      <w:pgMar w:top="623" w:right="566" w:bottom="779" w:left="540" w:header="283" w:footer="28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fornian FB">
    <w:panose1 w:val="0207040306080B0302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2</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NzJjMmVhZGZkNWMwMjZlNWQ5MGIxMWNhYjlhNTcifQ=="/>
  </w:docVars>
  <w:rsids>
    <w:rsidRoot w:val="00796C9D"/>
    <w:rsid w:val="00096363"/>
    <w:rsid w:val="00110764"/>
    <w:rsid w:val="00130D5B"/>
    <w:rsid w:val="0014007C"/>
    <w:rsid w:val="00154576"/>
    <w:rsid w:val="00192920"/>
    <w:rsid w:val="001A6F2D"/>
    <w:rsid w:val="002238CC"/>
    <w:rsid w:val="002A28AC"/>
    <w:rsid w:val="002B1898"/>
    <w:rsid w:val="00310939"/>
    <w:rsid w:val="003213B8"/>
    <w:rsid w:val="00400C5A"/>
    <w:rsid w:val="0048031F"/>
    <w:rsid w:val="00493136"/>
    <w:rsid w:val="004A53F9"/>
    <w:rsid w:val="0056504C"/>
    <w:rsid w:val="00572A25"/>
    <w:rsid w:val="005B2A69"/>
    <w:rsid w:val="005C257E"/>
    <w:rsid w:val="006A26C5"/>
    <w:rsid w:val="0071084E"/>
    <w:rsid w:val="00775BB9"/>
    <w:rsid w:val="00796C9D"/>
    <w:rsid w:val="007A411F"/>
    <w:rsid w:val="007C1D6E"/>
    <w:rsid w:val="008661C6"/>
    <w:rsid w:val="008832C1"/>
    <w:rsid w:val="008A0DCB"/>
    <w:rsid w:val="008B47F6"/>
    <w:rsid w:val="00936EB5"/>
    <w:rsid w:val="00994097"/>
    <w:rsid w:val="009D690D"/>
    <w:rsid w:val="009E1950"/>
    <w:rsid w:val="00A06C60"/>
    <w:rsid w:val="00A15833"/>
    <w:rsid w:val="00A50A9A"/>
    <w:rsid w:val="00A602BA"/>
    <w:rsid w:val="00AA49AA"/>
    <w:rsid w:val="00BA4858"/>
    <w:rsid w:val="00BB3994"/>
    <w:rsid w:val="00BF60BA"/>
    <w:rsid w:val="00C03D44"/>
    <w:rsid w:val="00C113CA"/>
    <w:rsid w:val="00C40A2D"/>
    <w:rsid w:val="00C85270"/>
    <w:rsid w:val="00CA1202"/>
    <w:rsid w:val="00CD4B37"/>
    <w:rsid w:val="00D118C2"/>
    <w:rsid w:val="00D12B25"/>
    <w:rsid w:val="00D31485"/>
    <w:rsid w:val="00D54CEA"/>
    <w:rsid w:val="00D67EB2"/>
    <w:rsid w:val="00DC2165"/>
    <w:rsid w:val="00DD67C0"/>
    <w:rsid w:val="00E95225"/>
    <w:rsid w:val="00EA3B66"/>
    <w:rsid w:val="00EA704A"/>
    <w:rsid w:val="00EB1EFA"/>
    <w:rsid w:val="00F457BD"/>
    <w:rsid w:val="012F5984"/>
    <w:rsid w:val="02850B62"/>
    <w:rsid w:val="030A00C2"/>
    <w:rsid w:val="039E6A42"/>
    <w:rsid w:val="03AE4A2E"/>
    <w:rsid w:val="052D0C2A"/>
    <w:rsid w:val="05C01F5C"/>
    <w:rsid w:val="05ED7A2F"/>
    <w:rsid w:val="071E5F49"/>
    <w:rsid w:val="07A07F75"/>
    <w:rsid w:val="08AB5E4A"/>
    <w:rsid w:val="0A78281A"/>
    <w:rsid w:val="0B145F1A"/>
    <w:rsid w:val="0DCC04B6"/>
    <w:rsid w:val="0EE31D7B"/>
    <w:rsid w:val="0EE72FE9"/>
    <w:rsid w:val="0F58075E"/>
    <w:rsid w:val="0FFA56F9"/>
    <w:rsid w:val="10F9022B"/>
    <w:rsid w:val="11946126"/>
    <w:rsid w:val="128630C3"/>
    <w:rsid w:val="12A07BFD"/>
    <w:rsid w:val="13C94CE3"/>
    <w:rsid w:val="14D53C06"/>
    <w:rsid w:val="16AE23A5"/>
    <w:rsid w:val="1A465F50"/>
    <w:rsid w:val="1C0F5BA7"/>
    <w:rsid w:val="1C7032A3"/>
    <w:rsid w:val="1CC66D8E"/>
    <w:rsid w:val="1E1B5B71"/>
    <w:rsid w:val="1E9472A8"/>
    <w:rsid w:val="1F3750F3"/>
    <w:rsid w:val="21083C96"/>
    <w:rsid w:val="221B6A0F"/>
    <w:rsid w:val="230F7F81"/>
    <w:rsid w:val="25744FE5"/>
    <w:rsid w:val="259E2146"/>
    <w:rsid w:val="2725381D"/>
    <w:rsid w:val="275D540C"/>
    <w:rsid w:val="28467FB7"/>
    <w:rsid w:val="29FB64B5"/>
    <w:rsid w:val="2CF44F4E"/>
    <w:rsid w:val="304B1EB1"/>
    <w:rsid w:val="305C004A"/>
    <w:rsid w:val="315056E6"/>
    <w:rsid w:val="3190735D"/>
    <w:rsid w:val="31935E01"/>
    <w:rsid w:val="31A069A4"/>
    <w:rsid w:val="321777AF"/>
    <w:rsid w:val="33110A8B"/>
    <w:rsid w:val="33AD2B12"/>
    <w:rsid w:val="348301C3"/>
    <w:rsid w:val="34B51837"/>
    <w:rsid w:val="37842252"/>
    <w:rsid w:val="37895744"/>
    <w:rsid w:val="37E42F03"/>
    <w:rsid w:val="390F4CE0"/>
    <w:rsid w:val="3A410571"/>
    <w:rsid w:val="3B0D1FA3"/>
    <w:rsid w:val="3B337E5E"/>
    <w:rsid w:val="3B7A2271"/>
    <w:rsid w:val="3BAC1269"/>
    <w:rsid w:val="3BF533DA"/>
    <w:rsid w:val="3C6B1750"/>
    <w:rsid w:val="41B93C3E"/>
    <w:rsid w:val="422B4196"/>
    <w:rsid w:val="42945BE9"/>
    <w:rsid w:val="42FA4880"/>
    <w:rsid w:val="43BD769E"/>
    <w:rsid w:val="4524062D"/>
    <w:rsid w:val="45F21028"/>
    <w:rsid w:val="47684EA4"/>
    <w:rsid w:val="48730504"/>
    <w:rsid w:val="48D308E2"/>
    <w:rsid w:val="496B3AEB"/>
    <w:rsid w:val="49732CB4"/>
    <w:rsid w:val="4C635974"/>
    <w:rsid w:val="4C987581"/>
    <w:rsid w:val="4D4835EB"/>
    <w:rsid w:val="4D872D46"/>
    <w:rsid w:val="4DBA657C"/>
    <w:rsid w:val="4EE16295"/>
    <w:rsid w:val="504D76C9"/>
    <w:rsid w:val="511B7199"/>
    <w:rsid w:val="520806F5"/>
    <w:rsid w:val="52546793"/>
    <w:rsid w:val="531A4B1B"/>
    <w:rsid w:val="53BC4B0E"/>
    <w:rsid w:val="5449041D"/>
    <w:rsid w:val="55887855"/>
    <w:rsid w:val="55AB01E6"/>
    <w:rsid w:val="56822835"/>
    <w:rsid w:val="576B0711"/>
    <w:rsid w:val="58D9361F"/>
    <w:rsid w:val="58F3787D"/>
    <w:rsid w:val="59102BB0"/>
    <w:rsid w:val="5A040CB7"/>
    <w:rsid w:val="5C1475A8"/>
    <w:rsid w:val="5C785C05"/>
    <w:rsid w:val="5DCB0934"/>
    <w:rsid w:val="5F2D2736"/>
    <w:rsid w:val="5F505B7A"/>
    <w:rsid w:val="5F9562D4"/>
    <w:rsid w:val="620E1A37"/>
    <w:rsid w:val="63865209"/>
    <w:rsid w:val="64060ECF"/>
    <w:rsid w:val="64A5340D"/>
    <w:rsid w:val="65D17064"/>
    <w:rsid w:val="6639313E"/>
    <w:rsid w:val="668E63C0"/>
    <w:rsid w:val="688345E5"/>
    <w:rsid w:val="69AC14C8"/>
    <w:rsid w:val="6ABE3FFA"/>
    <w:rsid w:val="6BBE1DBB"/>
    <w:rsid w:val="6CCD436F"/>
    <w:rsid w:val="6DF71B92"/>
    <w:rsid w:val="6EA82FD7"/>
    <w:rsid w:val="6FBA2F7F"/>
    <w:rsid w:val="700F7EB5"/>
    <w:rsid w:val="70235CED"/>
    <w:rsid w:val="71773B60"/>
    <w:rsid w:val="719C4C23"/>
    <w:rsid w:val="721B2E1F"/>
    <w:rsid w:val="72304A50"/>
    <w:rsid w:val="732365F9"/>
    <w:rsid w:val="74741EA4"/>
    <w:rsid w:val="74977AC0"/>
    <w:rsid w:val="74FE5C82"/>
    <w:rsid w:val="75B274AF"/>
    <w:rsid w:val="76904F43"/>
    <w:rsid w:val="774365CD"/>
    <w:rsid w:val="77620DBB"/>
    <w:rsid w:val="77E57CEF"/>
    <w:rsid w:val="77EE5940"/>
    <w:rsid w:val="780D4938"/>
    <w:rsid w:val="791954AD"/>
    <w:rsid w:val="7A4256E7"/>
    <w:rsid w:val="7A783CD3"/>
    <w:rsid w:val="7B2F07F1"/>
    <w:rsid w:val="7C181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sz w:val="24"/>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眉 字符"/>
    <w:basedOn w:val="7"/>
    <w:link w:val="5"/>
    <w:qFormat/>
    <w:uiPriority w:val="0"/>
    <w:rPr>
      <w:kern w:val="2"/>
      <w:sz w:val="18"/>
      <w:szCs w:val="18"/>
    </w:rPr>
  </w:style>
  <w:style w:type="character" w:customStyle="1" w:styleId="10">
    <w:name w:val="批注框文本 字符"/>
    <w:basedOn w:val="7"/>
    <w:link w:val="3"/>
    <w:qFormat/>
    <w:uiPriority w:val="0"/>
    <w:rPr>
      <w:kern w:val="2"/>
      <w:sz w:val="18"/>
      <w:szCs w:val="18"/>
    </w:rPr>
  </w:style>
  <w:style w:type="paragraph" w:customStyle="1" w:styleId="11">
    <w:name w:val="Table Paragraph"/>
    <w:basedOn w:val="1"/>
    <w:unhideWhenUsed/>
    <w:qFormat/>
    <w:uiPriority w:val="1"/>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902</Words>
  <Characters>5145</Characters>
  <Lines>42</Lines>
  <Paragraphs>12</Paragraphs>
  <TotalTime>4</TotalTime>
  <ScaleCrop>false</ScaleCrop>
  <LinksUpToDate>false</LinksUpToDate>
  <CharactersWithSpaces>6035</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2022-07-20T01:35:00Z</dcterms:created>
  <dc:creator>Administrator</dc:creator>
  <cp:lastModifiedBy>lenmo</cp:lastModifiedBy>
  <dcterms:modified xsi:type="dcterms:W3CDTF">2023-05-16T03:42:02Z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y fmtid="{D5CDD505-2E9C-101B-9397-08002B2CF9AE}" pid="3" name="ICV">
    <vt:lpwstr>E6E9D85809614EC4ACE90B2F16CEFDD7</vt:lpwstr>
  </property>
</Properties>
</file>