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rPr>
          <w:rFonts w:hint="default" w:ascii="Times New Roman" w:eastAsia="宋体"/>
          <w:sz w:val="20"/>
          <w:lang w:val="en-US" w:eastAsia="zh-CN"/>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rPr>
          <w:rFonts w:ascii="Times New Roman"/>
          <w:sz w:val="20"/>
        </w:rPr>
      </w:pPr>
    </w:p>
    <w:p>
      <w:pPr>
        <w:pStyle w:val="19"/>
        <w:spacing w:before="5"/>
        <w:rPr>
          <w:rFonts w:ascii="Times New Roman"/>
          <w:sz w:val="20"/>
        </w:rPr>
      </w:pP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19"/>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高压加氢固定床评价装置试验装置采购项目</w:t>
      </w:r>
    </w:p>
    <w:p>
      <w:pPr>
        <w:pStyle w:val="19"/>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56"/>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val="en-US" w:eastAsia="zh-CN"/>
        </w:rPr>
        <w:t>FHC-PTCG20230330004</w:t>
      </w:r>
      <w:r>
        <w:rPr>
          <w:rFonts w:hint="eastAsia"/>
          <w:color w:val="000000" w:themeColor="text1"/>
          <w:sz w:val="28"/>
          <w:szCs w:val="28"/>
        </w:rPr>
        <w:t>）</w:t>
      </w:r>
    </w:p>
    <w:p>
      <w:pPr>
        <w:pStyle w:val="19"/>
        <w:rPr>
          <w:rFonts w:ascii="微软雅黑"/>
          <w:b/>
          <w:sz w:val="94"/>
          <w:lang w:eastAsia="zh-CN"/>
        </w:rPr>
      </w:pPr>
    </w:p>
    <w:p>
      <w:pPr>
        <w:pStyle w:val="19"/>
        <w:rPr>
          <w:rFonts w:ascii="微软雅黑"/>
          <w:b/>
          <w:sz w:val="94"/>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19"/>
        <w:rPr>
          <w:rFonts w:ascii="微软雅黑"/>
          <w:b/>
          <w:sz w:val="32"/>
          <w:szCs w:val="32"/>
          <w:lang w:eastAsia="zh-CN"/>
        </w:rPr>
      </w:pPr>
    </w:p>
    <w:p>
      <w:pPr>
        <w:pStyle w:val="56"/>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9"/>
        <w:rPr>
          <w:rFonts w:ascii="黑体"/>
          <w:sz w:val="20"/>
          <w:lang w:eastAsia="zh-CN"/>
        </w:rPr>
      </w:pPr>
    </w:p>
    <w:p>
      <w:pPr>
        <w:pStyle w:val="19"/>
        <w:rPr>
          <w:rFonts w:ascii="黑体"/>
          <w:sz w:val="20"/>
          <w:lang w:eastAsia="zh-CN"/>
        </w:rPr>
      </w:pPr>
    </w:p>
    <w:p>
      <w:pPr>
        <w:pStyle w:val="19"/>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spacing w:line="408" w:lineRule="auto"/>
        <w:rPr>
          <w:sz w:val="28"/>
          <w:lang w:eastAsia="zh-CN"/>
        </w:rPr>
      </w:pPr>
    </w:p>
    <w:p>
      <w:pPr>
        <w:pStyle w:val="56"/>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56"/>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高压加氢固定床评价装置试验装置</w:t>
      </w:r>
      <w:r>
        <w:rPr>
          <w:rFonts w:hint="eastAsia"/>
          <w:b/>
          <w:bCs/>
          <w:sz w:val="32"/>
          <w:lang w:eastAsia="zh-CN"/>
        </w:rPr>
        <w:t>采购项</w:t>
      </w:r>
      <w:r>
        <w:rPr>
          <w:b/>
          <w:bCs/>
          <w:sz w:val="32"/>
          <w:lang w:eastAsia="zh-CN"/>
        </w:rPr>
        <w:t>目</w:t>
      </w:r>
      <w:r>
        <w:rPr>
          <w:rFonts w:hint="eastAsia"/>
          <w:b/>
          <w:bCs/>
          <w:sz w:val="32"/>
          <w:lang w:eastAsia="zh-CN"/>
        </w:rPr>
        <w:t>比选公告</w:t>
      </w:r>
    </w:p>
    <w:p>
      <w:pPr>
        <w:pStyle w:val="19"/>
        <w:rPr>
          <w:b/>
          <w:sz w:val="28"/>
          <w:lang w:eastAsia="zh-CN"/>
        </w:rPr>
      </w:pPr>
    </w:p>
    <w:p>
      <w:pPr>
        <w:pStyle w:val="19"/>
        <w:keepNext w:val="0"/>
        <w:keepLines w:val="0"/>
        <w:pageBreakBefore w:val="0"/>
        <w:widowControl w:val="0"/>
        <w:kinsoku/>
        <w:wordWrap/>
        <w:overflowPunct/>
        <w:topLinePunct w:val="0"/>
        <w:bidi w:val="0"/>
        <w:adjustRightInd/>
        <w:snapToGrid/>
        <w:spacing w:before="26" w:line="600" w:lineRule="exact"/>
        <w:ind w:right="121" w:firstLine="480" w:firstLineChars="200"/>
        <w:jc w:val="both"/>
        <w:textAlignment w:val="auto"/>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高压加氢固定床评价装置试验装置</w:t>
      </w:r>
      <w:r>
        <w:rPr>
          <w:rFonts w:hint="eastAsia"/>
          <w:color w:val="000000" w:themeColor="text1"/>
          <w:u w:val="single"/>
          <w:lang w:eastAsia="zh-CN"/>
        </w:rPr>
        <w:t>采购项目（项目编号：</w:t>
      </w:r>
      <w:r>
        <w:rPr>
          <w:rFonts w:hint="eastAsia"/>
          <w:color w:val="000000" w:themeColor="text1"/>
          <w:u w:val="single"/>
          <w:lang w:val="en-US" w:eastAsia="zh-CN"/>
        </w:rPr>
        <w:t>FHC-PTCG20230330004</w:t>
      </w:r>
      <w:r>
        <w:rPr>
          <w:rFonts w:hint="eastAsia"/>
          <w:color w:val="000000" w:themeColor="text1"/>
          <w:u w:val="single"/>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bidi w:val="0"/>
        <w:adjustRightInd/>
        <w:snapToGrid/>
        <w:spacing w:line="600" w:lineRule="exact"/>
        <w:ind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高压加氢固定床评价装置试验装置</w:t>
      </w:r>
      <w:r>
        <w:rPr>
          <w:rFonts w:hint="eastAsia"/>
          <w:sz w:val="24"/>
          <w:szCs w:val="24"/>
          <w:lang w:eastAsia="zh-CN"/>
        </w:rPr>
        <w:t>采购项</w:t>
      </w:r>
      <w:r>
        <w:rPr>
          <w:sz w:val="24"/>
          <w:szCs w:val="24"/>
          <w:lang w:eastAsia="zh-CN"/>
        </w:rPr>
        <w:t>目</w:t>
      </w:r>
      <w:r>
        <w:rPr>
          <w:rFonts w:hint="eastAsia"/>
          <w:sz w:val="24"/>
          <w:szCs w:val="24"/>
          <w:lang w:eastAsia="zh-CN"/>
        </w:rPr>
        <w:t>。</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default"/>
          <w:lang w:val="en-US"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详见附件《福海创“高压加氢固定床评价装置试验装置”请购说明》。</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eastAsia" w:ascii="宋体" w:hAnsi="宋体"/>
          <w:b w:val="0"/>
          <w:bCs w:val="0"/>
          <w:sz w:val="24"/>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lang w:eastAsia="zh-CN"/>
        </w:rPr>
      </w:pPr>
      <w:r>
        <w:rPr>
          <w:rFonts w:hint="eastAsia"/>
          <w:sz w:val="24"/>
          <w:szCs w:val="24"/>
          <w:lang w:val="en-US" w:eastAsia="zh-CN"/>
        </w:rPr>
        <w:t>4</w:t>
      </w:r>
      <w:r>
        <w:rPr>
          <w:sz w:val="24"/>
          <w:szCs w:val="24"/>
          <w:lang w:eastAsia="zh-CN"/>
        </w:rPr>
        <w:t>.</w:t>
      </w:r>
      <w:r>
        <w:rPr>
          <w:rFonts w:hint="eastAsia"/>
          <w:sz w:val="24"/>
          <w:szCs w:val="24"/>
          <w:lang w:eastAsia="zh-CN"/>
        </w:rPr>
        <w:t>比选控制价：</w:t>
      </w:r>
      <w:r>
        <w:rPr>
          <w:rFonts w:hint="eastAsia"/>
          <w:sz w:val="24"/>
          <w:szCs w:val="24"/>
          <w:lang w:val="en-US" w:eastAsia="zh-CN"/>
        </w:rPr>
        <w:t>120</w:t>
      </w:r>
      <w:r>
        <w:rPr>
          <w:sz w:val="24"/>
          <w:szCs w:val="24"/>
          <w:lang w:eastAsia="zh-CN"/>
        </w:rPr>
        <w:t>万元</w:t>
      </w:r>
      <w:r>
        <w:rPr>
          <w:rFonts w:hint="eastAsia"/>
          <w:sz w:val="24"/>
          <w:szCs w:val="24"/>
          <w:lang w:eastAsia="zh-CN"/>
        </w:rPr>
        <w:t>（含税）。</w:t>
      </w:r>
    </w:p>
    <w:p>
      <w:pPr>
        <w:keepNext w:val="0"/>
        <w:keepLines w:val="0"/>
        <w:pageBreakBefore w:val="0"/>
        <w:widowControl w:val="0"/>
        <w:tabs>
          <w:tab w:val="left" w:pos="709"/>
        </w:tabs>
        <w:kinsoku/>
        <w:wordWrap/>
        <w:overflowPunct/>
        <w:topLinePunct w:val="0"/>
        <w:bidi w:val="0"/>
        <w:adjustRightInd/>
        <w:snapToGrid/>
        <w:spacing w:line="600" w:lineRule="exact"/>
        <w:ind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widowControl w:val="0"/>
        <w:kinsoku/>
        <w:wordWrap/>
        <w:overflowPunct/>
        <w:topLinePunct w:val="0"/>
        <w:bidi w:val="0"/>
        <w:adjustRightInd/>
        <w:snapToGrid/>
        <w:spacing w:line="600" w:lineRule="exact"/>
        <w:ind w:firstLine="480" w:firstLineChars="200"/>
        <w:textAlignment w:val="auto"/>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keepNext w:val="0"/>
        <w:keepLines w:val="0"/>
        <w:pageBreakBefore w:val="0"/>
        <w:widowControl w:val="0"/>
        <w:kinsoku/>
        <w:wordWrap/>
        <w:overflowPunct/>
        <w:topLinePunct w:val="0"/>
        <w:bidi w:val="0"/>
        <w:adjustRightInd/>
        <w:snapToGrid/>
        <w:spacing w:line="600" w:lineRule="exact"/>
        <w:ind w:firstLine="480" w:firstLineChars="200"/>
        <w:textAlignment w:val="auto"/>
        <w:rPr>
          <w:sz w:val="24"/>
          <w:szCs w:val="24"/>
        </w:rPr>
      </w:pPr>
      <w:r>
        <w:rPr>
          <w:rFonts w:hint="eastAsia"/>
          <w:sz w:val="24"/>
          <w:szCs w:val="24"/>
          <w:lang w:val="en-US" w:eastAsia="zh-CN"/>
        </w:rPr>
        <w:t>3.</w:t>
      </w:r>
      <w:r>
        <w:rPr>
          <w:rFonts w:hint="eastAsia"/>
          <w:sz w:val="24"/>
          <w:szCs w:val="24"/>
          <w:lang w:eastAsia="zh-CN"/>
        </w:rPr>
        <w:t>参选人</w:t>
      </w:r>
      <w:r>
        <w:rPr>
          <w:rFonts w:hint="eastAsia"/>
          <w:sz w:val="24"/>
          <w:szCs w:val="24"/>
          <w:lang w:val="en-US" w:eastAsia="zh-CN"/>
        </w:rPr>
        <w:t>需具备</w:t>
      </w:r>
      <w:r>
        <w:rPr>
          <w:rFonts w:hint="eastAsia"/>
          <w:sz w:val="24"/>
          <w:szCs w:val="24"/>
        </w:rPr>
        <w:t>近</w:t>
      </w:r>
      <w:r>
        <w:rPr>
          <w:sz w:val="24"/>
          <w:szCs w:val="24"/>
        </w:rPr>
        <w:t>5</w:t>
      </w:r>
      <w:r>
        <w:rPr>
          <w:rFonts w:hint="eastAsia"/>
          <w:sz w:val="24"/>
          <w:szCs w:val="24"/>
        </w:rPr>
        <w:t>年内同类试验装置的相关经验与业绩。</w:t>
      </w:r>
    </w:p>
    <w:p>
      <w:pPr>
        <w:pStyle w:val="203"/>
        <w:keepNext w:val="0"/>
        <w:keepLines w:val="0"/>
        <w:pageBreakBefore w:val="0"/>
        <w:widowControl w:val="0"/>
        <w:kinsoku/>
        <w:wordWrap/>
        <w:overflowPunct/>
        <w:topLinePunct w:val="0"/>
        <w:bidi w:val="0"/>
        <w:adjustRightInd/>
        <w:snapToGrid/>
        <w:spacing w:line="600" w:lineRule="exact"/>
        <w:ind w:firstLine="480" w:firstLineChars="200"/>
        <w:textAlignment w:val="auto"/>
        <w:rPr>
          <w:rFonts w:hint="eastAsia"/>
          <w:sz w:val="24"/>
          <w:szCs w:val="24"/>
        </w:rPr>
      </w:pPr>
      <w:r>
        <w:rPr>
          <w:rFonts w:hint="eastAsia"/>
          <w:sz w:val="24"/>
          <w:szCs w:val="24"/>
          <w:lang w:val="en-US" w:eastAsia="zh-CN"/>
        </w:rPr>
        <w:t>4.</w:t>
      </w:r>
      <w:r>
        <w:rPr>
          <w:rFonts w:hint="eastAsia"/>
          <w:sz w:val="24"/>
          <w:szCs w:val="24"/>
          <w:lang w:eastAsia="zh-CN"/>
        </w:rPr>
        <w:t>参选人</w:t>
      </w:r>
      <w:r>
        <w:rPr>
          <w:rFonts w:hint="eastAsia"/>
          <w:sz w:val="24"/>
          <w:szCs w:val="24"/>
        </w:rPr>
        <w:t>技术人员应具有丰富的加氢生产工艺经验，熟悉加氢生产工艺过程的控制，对试验过程中出现的问题能及时进行原因查找及提出解决方案。</w:t>
      </w:r>
    </w:p>
    <w:p>
      <w:pPr>
        <w:keepNext w:val="0"/>
        <w:keepLines w:val="0"/>
        <w:pageBreakBefore w:val="0"/>
        <w:widowControl w:val="0"/>
        <w:tabs>
          <w:tab w:val="left" w:pos="709"/>
        </w:tabs>
        <w:kinsoku/>
        <w:wordWrap/>
        <w:overflowPunct/>
        <w:topLinePunct w:val="0"/>
        <w:bidi w:val="0"/>
        <w:adjustRightInd/>
        <w:snapToGrid/>
        <w:spacing w:line="600" w:lineRule="exact"/>
        <w:ind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bidi w:val="0"/>
        <w:adjustRightInd/>
        <w:snapToGrid/>
        <w:spacing w:line="600" w:lineRule="exact"/>
        <w:ind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电话：13779967252</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19"/>
        <w:keepNext w:val="0"/>
        <w:keepLines w:val="0"/>
        <w:pageBreakBefore w:val="0"/>
        <w:widowControl w:val="0"/>
        <w:kinsoku/>
        <w:wordWrap/>
        <w:overflowPunct/>
        <w:topLinePunct w:val="0"/>
        <w:bidi w:val="0"/>
        <w:adjustRightInd/>
        <w:snapToGrid/>
        <w:spacing w:line="600" w:lineRule="exact"/>
        <w:ind w:right="121" w:firstLine="514" w:firstLineChars="200"/>
        <w:jc w:val="both"/>
        <w:textAlignment w:val="auto"/>
        <w:rPr>
          <w:b/>
          <w:w w:val="95"/>
          <w:sz w:val="28"/>
          <w:lang w:eastAsia="zh-CN"/>
        </w:rPr>
      </w:pPr>
      <w:bookmarkStart w:id="16" w:name="_GoBack"/>
      <w:bookmarkEnd w:id="16"/>
      <w:r>
        <w:rPr>
          <w:rFonts w:hint="eastAsia"/>
          <w:b/>
          <w:bCs/>
          <w:snapToGrid w:val="0"/>
          <w:color w:val="000000" w:themeColor="text1"/>
          <w:spacing w:val="8"/>
          <w:lang w:eastAsia="zh-CN"/>
        </w:rPr>
        <w:t>五</w:t>
      </w:r>
      <w:r>
        <w:rPr>
          <w:b/>
          <w:w w:val="95"/>
          <w:sz w:val="28"/>
          <w:lang w:eastAsia="zh-CN"/>
        </w:rPr>
        <w:t>、参选保证金</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1、本项目参选保证金的金额为：人民币</w:t>
      </w:r>
      <w:r>
        <w:rPr>
          <w:rFonts w:hint="eastAsia"/>
          <w:color w:val="000000" w:themeColor="text1"/>
          <w:sz w:val="24"/>
          <w:szCs w:val="24"/>
          <w:lang w:val="en-US" w:eastAsia="zh-CN"/>
        </w:rPr>
        <w:t>贰</w:t>
      </w:r>
      <w:r>
        <w:rPr>
          <w:rFonts w:hint="eastAsia"/>
          <w:color w:val="000000" w:themeColor="text1"/>
          <w:sz w:val="24"/>
          <w:szCs w:val="24"/>
          <w:lang w:eastAsia="zh-CN"/>
        </w:rPr>
        <w:t>万</w:t>
      </w:r>
      <w:r>
        <w:rPr>
          <w:rFonts w:hint="eastAsia"/>
          <w:color w:val="000000" w:themeColor="text1"/>
          <w:sz w:val="24"/>
          <w:szCs w:val="24"/>
          <w:lang w:val="en-US" w:eastAsia="zh-CN"/>
        </w:rPr>
        <w:t>肆仟</w:t>
      </w:r>
      <w:r>
        <w:rPr>
          <w:rFonts w:hint="eastAsia"/>
          <w:color w:val="000000" w:themeColor="text1"/>
          <w:sz w:val="24"/>
          <w:szCs w:val="24"/>
          <w:lang w:eastAsia="zh-CN"/>
        </w:rPr>
        <w:t>元整（￥</w:t>
      </w:r>
      <w:r>
        <w:rPr>
          <w:rFonts w:hint="eastAsia"/>
          <w:color w:val="000000" w:themeColor="text1"/>
          <w:sz w:val="24"/>
          <w:szCs w:val="24"/>
          <w:lang w:val="en-US" w:eastAsia="zh-CN"/>
        </w:rPr>
        <w:t>24,000</w:t>
      </w:r>
      <w:r>
        <w:rPr>
          <w:rFonts w:hint="eastAsia"/>
          <w:color w:val="000000" w:themeColor="text1"/>
          <w:sz w:val="24"/>
          <w:szCs w:val="24"/>
          <w:lang w:eastAsia="zh-CN"/>
        </w:rPr>
        <w:t>.00元）；</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2、参选保证金提交的时间：应在提交参选文件之前汇达参选保证金指定账户；</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3、参选保证金提交的方式：应从参选人基本账户以电汇或银行转账方式提交，并应在电汇或银行转账单上注明为本项目的参选保证金；</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4、参选保证金指定账户：</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 xml:space="preserve">开户名称：福建福海创石油化工有限公司 </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开户银行：中国银行股份有限公司漳州古雷经济开发区支行</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帐    号：406574816628</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高压加氢固定床评价装置试验装置</w:t>
      </w:r>
      <w:r>
        <w:rPr>
          <w:rFonts w:hint="eastAsia"/>
          <w:color w:val="000000" w:themeColor="text1"/>
          <w:sz w:val="24"/>
          <w:szCs w:val="24"/>
          <w:lang w:eastAsia="zh-CN"/>
        </w:rPr>
        <w:t>采购项目参选保证金</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pStyle w:val="72"/>
        <w:keepNext w:val="0"/>
        <w:keepLines w:val="0"/>
        <w:pageBreakBefore w:val="0"/>
        <w:widowControl w:val="0"/>
        <w:kinsoku/>
        <w:wordWrap/>
        <w:overflowPunct/>
        <w:topLinePunct w:val="0"/>
        <w:bidi w:val="0"/>
        <w:adjustRightInd/>
        <w:snapToGrid/>
        <w:spacing w:before="0" w:line="600" w:lineRule="exact"/>
        <w:ind w:left="440" w:leftChars="200" w:firstLine="480" w:firstLineChars="200"/>
        <w:jc w:val="both"/>
        <w:textAlignment w:val="auto"/>
        <w:rPr>
          <w:rFonts w:asciiTheme="minorEastAsia" w:hAnsiTheme="minorEastAsia" w:eastAsiaTheme="minorEastAsia"/>
          <w:bCs/>
          <w:sz w:val="24"/>
          <w:szCs w:val="24"/>
          <w:u w:val="double"/>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keepNext w:val="0"/>
        <w:keepLines w:val="0"/>
        <w:pageBreakBefore w:val="0"/>
        <w:widowControl w:val="0"/>
        <w:tabs>
          <w:tab w:val="left" w:pos="709"/>
        </w:tabs>
        <w:kinsoku/>
        <w:wordWrap/>
        <w:overflowPunct/>
        <w:topLinePunct w:val="0"/>
        <w:bidi w:val="0"/>
        <w:adjustRightInd/>
        <w:snapToGrid/>
        <w:spacing w:line="600" w:lineRule="exact"/>
        <w:ind w:firstLine="440" w:firstLineChars="200"/>
        <w:textAlignment w:val="auto"/>
        <w:rPr>
          <w:rFonts w:hint="default"/>
          <w:lang w:val="en-US" w:eastAsia="zh-CN"/>
        </w:rPr>
      </w:pPr>
    </w:p>
    <w:p>
      <w:pPr>
        <w:keepNext w:val="0"/>
        <w:keepLines w:val="0"/>
        <w:pageBreakBefore w:val="0"/>
        <w:widowControl w:val="0"/>
        <w:kinsoku/>
        <w:wordWrap/>
        <w:overflowPunct/>
        <w:topLinePunct w:val="0"/>
        <w:bidi w:val="0"/>
        <w:adjustRightInd/>
        <w:snapToGrid/>
        <w:spacing w:line="600" w:lineRule="exact"/>
        <w:ind w:firstLine="514" w:firstLineChars="200"/>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Style w:val="54"/>
          <w:rFonts w:hint="eastAsia"/>
          <w:sz w:val="24"/>
          <w:szCs w:val="24"/>
          <w:lang w:val="en-US" w:eastAsia="zh-CN"/>
        </w:rPr>
        <w:t>xumx</w:t>
      </w:r>
      <w:r>
        <w:rPr>
          <w:rStyle w:val="54"/>
          <w:rFonts w:hint="eastAsia"/>
          <w:sz w:val="24"/>
          <w:szCs w:val="24"/>
          <w:lang w:eastAsia="zh-CN"/>
        </w:rPr>
        <w:t>@fhcpec.com.cn</w:t>
      </w:r>
      <w:r>
        <w:rPr>
          <w:rFonts w:hint="eastAsia"/>
          <w:color w:val="000000" w:themeColor="text1"/>
          <w:sz w:val="24"/>
          <w:szCs w:val="24"/>
          <w:lang w:val="en-US" w:eastAsia="zh-CN"/>
        </w:rPr>
        <w:fldChar w:fldCharType="end"/>
      </w:r>
    </w:p>
    <w:p>
      <w:pPr>
        <w:pStyle w:val="19"/>
        <w:keepNext w:val="0"/>
        <w:keepLines w:val="0"/>
        <w:pageBreakBefore w:val="0"/>
        <w:widowControl w:val="0"/>
        <w:kinsoku/>
        <w:wordWrap/>
        <w:overflowPunct/>
        <w:topLinePunct w:val="0"/>
        <w:bidi w:val="0"/>
        <w:adjustRightInd/>
        <w:snapToGrid/>
        <w:spacing w:line="600" w:lineRule="exact"/>
        <w:ind w:right="121" w:firstLine="480" w:firstLineChars="200"/>
        <w:jc w:val="both"/>
        <w:textAlignment w:val="auto"/>
        <w:rPr>
          <w:lang w:eastAsia="zh-CN"/>
        </w:rPr>
      </w:pPr>
      <w:r>
        <w:rPr>
          <w:rFonts w:hint="eastAsia"/>
          <w:lang w:eastAsia="zh-CN"/>
        </w:rPr>
        <w:t>技术联系人</w:t>
      </w:r>
      <w:r>
        <w:rPr>
          <w:rFonts w:hint="default"/>
          <w:lang w:val="en-US" w:eastAsia="zh-CN"/>
        </w:rPr>
        <w:t>:</w:t>
      </w:r>
      <w:r>
        <w:rPr>
          <w:rFonts w:hint="eastAsia"/>
          <w:lang w:val="en-US" w:eastAsia="zh-CN"/>
        </w:rPr>
        <w:t xml:space="preserve"> </w:t>
      </w:r>
      <w:r>
        <w:rPr>
          <w:rFonts w:hint="eastAsia"/>
          <w:lang w:eastAsia="zh-CN"/>
        </w:rPr>
        <w:t>卢毅</w:t>
      </w:r>
      <w:r>
        <w:rPr>
          <w:rFonts w:hint="eastAsia"/>
          <w:lang w:val="en-US" w:eastAsia="zh-CN"/>
        </w:rPr>
        <w:t xml:space="preserve">  </w:t>
      </w:r>
      <w:r>
        <w:rPr>
          <w:rFonts w:hint="eastAsia"/>
          <w:lang w:eastAsia="zh-CN"/>
        </w:rPr>
        <w:t>15260621719</w:t>
      </w:r>
      <w:r>
        <w:rPr>
          <w:rFonts w:hint="eastAsia"/>
          <w:lang w:val="en-US" w:eastAsia="zh-CN"/>
        </w:rPr>
        <w:t xml:space="preserve"> ，</w:t>
      </w:r>
      <w:r>
        <w:rPr>
          <w:rFonts w:hint="eastAsia"/>
          <w:lang w:eastAsia="zh-CN"/>
        </w:rPr>
        <w:t>ylu@fhc.com.cn</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bidi w:val="0"/>
        <w:adjustRightInd/>
        <w:snapToGrid/>
        <w:spacing w:line="600" w:lineRule="exact"/>
        <w:ind w:firstLine="480" w:firstLineChars="200"/>
        <w:textAlignment w:val="auto"/>
        <w:rPr>
          <w:sz w:val="24"/>
          <w:szCs w:val="24"/>
          <w:lang w:eastAsia="zh-CN"/>
        </w:rPr>
      </w:pPr>
      <w:r>
        <w:rPr>
          <w:rFonts w:hint="eastAsia"/>
          <w:color w:val="000000" w:themeColor="text1"/>
          <w:sz w:val="24"/>
          <w:szCs w:val="24"/>
          <w:lang w:eastAsia="zh-CN"/>
        </w:rPr>
        <w:t>邮    编：363216</w:t>
      </w:r>
    </w:p>
    <w:p>
      <w:pPr>
        <w:keepNext w:val="0"/>
        <w:keepLines w:val="0"/>
        <w:pageBreakBefore w:val="0"/>
        <w:widowControl w:val="0"/>
        <w:kinsoku/>
        <w:wordWrap/>
        <w:overflowPunct/>
        <w:topLinePunct w:val="0"/>
        <w:bidi w:val="0"/>
        <w:adjustRightInd/>
        <w:snapToGrid/>
        <w:spacing w:line="600" w:lineRule="exact"/>
        <w:ind w:firstLine="480" w:firstLineChars="200"/>
        <w:textAlignment w:val="auto"/>
        <w:rPr>
          <w:sz w:val="24"/>
          <w:szCs w:val="24"/>
          <w:lang w:eastAsia="zh-CN"/>
        </w:rPr>
      </w:pPr>
      <w:r>
        <w:rPr>
          <w:rFonts w:hint="eastAsia"/>
          <w:sz w:val="24"/>
          <w:szCs w:val="24"/>
          <w:lang w:eastAsia="zh-CN"/>
        </w:rPr>
        <w:t xml:space="preserve">                                           福建福海创石油化工有限公司 </w:t>
      </w:r>
    </w:p>
    <w:p>
      <w:pPr>
        <w:keepNext w:val="0"/>
        <w:keepLines w:val="0"/>
        <w:pageBreakBefore w:val="0"/>
        <w:widowControl w:val="0"/>
        <w:kinsoku/>
        <w:wordWrap/>
        <w:overflowPunct/>
        <w:topLinePunct w:val="0"/>
        <w:bidi w:val="0"/>
        <w:adjustRightInd/>
        <w:snapToGrid/>
        <w:spacing w:line="600" w:lineRule="exact"/>
        <w:ind w:firstLine="480" w:firstLineChars="200"/>
        <w:textAlignment w:val="auto"/>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56"/>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19"/>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高压加氢固定床评价装置试验装置</w:t>
      </w:r>
      <w:r>
        <w:rPr>
          <w:rFonts w:hint="eastAsia"/>
          <w:sz w:val="24"/>
          <w:szCs w:val="24"/>
          <w:lang w:eastAsia="zh-CN"/>
        </w:rPr>
        <w:t>。</w:t>
      </w:r>
    </w:p>
    <w:p>
      <w:pPr>
        <w:pStyle w:val="19"/>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19"/>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19"/>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19"/>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19"/>
        <w:spacing w:line="360" w:lineRule="auto"/>
        <w:ind w:right="121"/>
        <w:jc w:val="both"/>
        <w:rPr>
          <w:lang w:eastAsia="zh-CN"/>
        </w:rPr>
      </w:pPr>
      <w:r>
        <w:rPr>
          <w:rFonts w:hint="eastAsia"/>
          <w:lang w:eastAsia="zh-CN"/>
        </w:rPr>
        <w:t xml:space="preserve">    6.项目联系人</w:t>
      </w:r>
    </w:p>
    <w:p>
      <w:pPr>
        <w:pStyle w:val="19"/>
        <w:spacing w:line="360" w:lineRule="auto"/>
        <w:ind w:right="121" w:firstLine="480" w:firstLineChars="200"/>
        <w:jc w:val="both"/>
        <w:rPr>
          <w:rFonts w:hint="eastAsia"/>
          <w:lang w:val="en-US" w:eastAsia="zh-CN"/>
        </w:rPr>
      </w:pPr>
      <w:r>
        <w:rPr>
          <w:rFonts w:hint="eastAsia"/>
          <w:lang w:eastAsia="zh-CN"/>
        </w:rPr>
        <w:t>技术联系人</w:t>
      </w:r>
      <w:r>
        <w:rPr>
          <w:rFonts w:hint="default"/>
          <w:lang w:val="en-US" w:eastAsia="zh-CN"/>
        </w:rPr>
        <w:t>:</w:t>
      </w:r>
      <w:r>
        <w:rPr>
          <w:rFonts w:hint="eastAsia"/>
          <w:lang w:val="en-US" w:eastAsia="zh-CN"/>
        </w:rPr>
        <w:t xml:space="preserve"> </w:t>
      </w:r>
      <w:r>
        <w:rPr>
          <w:rFonts w:hint="eastAsia"/>
          <w:lang w:eastAsia="zh-CN"/>
        </w:rPr>
        <w:t>卢毅</w:t>
      </w:r>
      <w:r>
        <w:rPr>
          <w:rFonts w:hint="eastAsia"/>
          <w:lang w:val="en-US" w:eastAsia="zh-CN"/>
        </w:rPr>
        <w:t xml:space="preserve">  </w:t>
      </w:r>
      <w:r>
        <w:rPr>
          <w:rFonts w:hint="eastAsia"/>
          <w:lang w:eastAsia="zh-CN"/>
        </w:rPr>
        <w:t>15260621719</w:t>
      </w:r>
      <w:r>
        <w:rPr>
          <w:rFonts w:hint="eastAsia"/>
          <w:lang w:val="en-US" w:eastAsia="zh-CN"/>
        </w:rPr>
        <w:t xml:space="preserve"> ，</w:t>
      </w:r>
      <w:r>
        <w:rPr>
          <w:rFonts w:hint="eastAsia"/>
          <w:lang w:eastAsia="zh-CN"/>
        </w:rPr>
        <w:t>ylu@fhc.com.cn</w:t>
      </w:r>
    </w:p>
    <w:p>
      <w:pPr>
        <w:pStyle w:val="19"/>
        <w:spacing w:line="360" w:lineRule="auto"/>
        <w:ind w:right="121"/>
        <w:jc w:val="both"/>
        <w:rPr>
          <w:rFonts w:hint="eastAsia"/>
          <w:color w:val="000000" w:themeColor="text1"/>
          <w:sz w:val="24"/>
          <w:szCs w:val="24"/>
          <w:lang w:val="en-US"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 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19"/>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19"/>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19"/>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19"/>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w:t>
      </w:r>
      <w:r>
        <w:rPr>
          <w:rFonts w:hint="eastAsia"/>
          <w:lang w:eastAsia="zh-CN"/>
        </w:rPr>
        <w:t>商务报价函</w:t>
      </w:r>
      <w:r>
        <w:rPr>
          <w:lang w:eastAsia="zh-CN"/>
        </w:rPr>
        <w:t>、承诺函等。</w:t>
      </w:r>
    </w:p>
    <w:p>
      <w:pPr>
        <w:pStyle w:val="19"/>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19"/>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19"/>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19"/>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19"/>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19"/>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spacing w:line="360" w:lineRule="auto"/>
        <w:ind w:firstLine="48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3"/>
        <w:spacing w:line="360" w:lineRule="auto"/>
        <w:ind w:firstLine="480"/>
        <w:rPr>
          <w:sz w:val="24"/>
          <w:szCs w:val="24"/>
        </w:rPr>
      </w:pPr>
      <w:r>
        <w:rPr>
          <w:rFonts w:hint="eastAsia"/>
          <w:sz w:val="24"/>
          <w:szCs w:val="24"/>
          <w:lang w:val="en-US" w:eastAsia="zh-CN"/>
        </w:rPr>
        <w:t>3.</w:t>
      </w:r>
      <w:r>
        <w:rPr>
          <w:sz w:val="24"/>
          <w:szCs w:val="24"/>
        </w:rPr>
        <w:t xml:space="preserve"> </w:t>
      </w:r>
      <w:r>
        <w:rPr>
          <w:rFonts w:hint="eastAsia"/>
          <w:sz w:val="24"/>
          <w:szCs w:val="24"/>
          <w:lang w:eastAsia="zh-CN"/>
        </w:rPr>
        <w:t>参选人</w:t>
      </w:r>
      <w:r>
        <w:rPr>
          <w:rFonts w:hint="eastAsia"/>
          <w:sz w:val="24"/>
          <w:szCs w:val="24"/>
          <w:lang w:val="en-US" w:eastAsia="zh-CN"/>
        </w:rPr>
        <w:t>需具备</w:t>
      </w:r>
      <w:r>
        <w:rPr>
          <w:rFonts w:hint="eastAsia"/>
          <w:sz w:val="24"/>
          <w:szCs w:val="24"/>
        </w:rPr>
        <w:t>近</w:t>
      </w:r>
      <w:r>
        <w:rPr>
          <w:sz w:val="24"/>
          <w:szCs w:val="24"/>
        </w:rPr>
        <w:t>5</w:t>
      </w:r>
      <w:r>
        <w:rPr>
          <w:rFonts w:hint="eastAsia"/>
          <w:sz w:val="24"/>
          <w:szCs w:val="24"/>
        </w:rPr>
        <w:t>年内同类试验装置的相关经验与业绩。</w:t>
      </w:r>
    </w:p>
    <w:p>
      <w:pPr>
        <w:pStyle w:val="203"/>
        <w:spacing w:line="360" w:lineRule="auto"/>
        <w:ind w:firstLine="480"/>
        <w:rPr>
          <w:rFonts w:hint="eastAsia"/>
          <w:sz w:val="24"/>
          <w:szCs w:val="24"/>
        </w:rPr>
      </w:pPr>
      <w:r>
        <w:rPr>
          <w:rFonts w:hint="eastAsia"/>
          <w:sz w:val="24"/>
          <w:szCs w:val="24"/>
          <w:lang w:val="en-US" w:eastAsia="zh-CN"/>
        </w:rPr>
        <w:t>4.</w:t>
      </w:r>
      <w:r>
        <w:rPr>
          <w:sz w:val="24"/>
          <w:szCs w:val="24"/>
        </w:rPr>
        <w:t xml:space="preserve"> </w:t>
      </w:r>
      <w:r>
        <w:rPr>
          <w:rFonts w:hint="eastAsia"/>
          <w:sz w:val="24"/>
          <w:szCs w:val="24"/>
          <w:lang w:eastAsia="zh-CN"/>
        </w:rPr>
        <w:t>参选人</w:t>
      </w:r>
      <w:r>
        <w:rPr>
          <w:rFonts w:hint="eastAsia"/>
          <w:sz w:val="24"/>
          <w:szCs w:val="24"/>
        </w:rPr>
        <w:t>技术人员应具有丰富的加氢生产工艺经验，熟悉加氢生产工艺过程的控制，对试验过程中出现的问题能及时进行原因查找及提出解决方案。</w:t>
      </w:r>
    </w:p>
    <w:p>
      <w:pPr>
        <w:pStyle w:val="19"/>
        <w:spacing w:line="360" w:lineRule="auto"/>
        <w:ind w:right="121" w:firstLine="480" w:firstLineChars="200"/>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1、本项目参选保证金的金额为：人民币</w:t>
      </w:r>
      <w:r>
        <w:rPr>
          <w:rFonts w:hint="eastAsia"/>
          <w:color w:val="000000" w:themeColor="text1"/>
          <w:sz w:val="24"/>
          <w:szCs w:val="24"/>
          <w:lang w:val="en-US" w:eastAsia="zh-CN"/>
        </w:rPr>
        <w:t>贰</w:t>
      </w:r>
      <w:r>
        <w:rPr>
          <w:rFonts w:hint="eastAsia"/>
          <w:color w:val="000000" w:themeColor="text1"/>
          <w:sz w:val="24"/>
          <w:szCs w:val="24"/>
          <w:lang w:eastAsia="zh-CN"/>
        </w:rPr>
        <w:t>万</w:t>
      </w:r>
      <w:r>
        <w:rPr>
          <w:rFonts w:hint="eastAsia"/>
          <w:color w:val="000000" w:themeColor="text1"/>
          <w:sz w:val="24"/>
          <w:szCs w:val="24"/>
          <w:lang w:val="en-US" w:eastAsia="zh-CN"/>
        </w:rPr>
        <w:t>肆仟</w:t>
      </w:r>
      <w:r>
        <w:rPr>
          <w:rFonts w:hint="eastAsia"/>
          <w:color w:val="000000" w:themeColor="text1"/>
          <w:sz w:val="24"/>
          <w:szCs w:val="24"/>
          <w:lang w:eastAsia="zh-CN"/>
        </w:rPr>
        <w:t>元整（￥</w:t>
      </w:r>
      <w:r>
        <w:rPr>
          <w:rFonts w:hint="eastAsia"/>
          <w:color w:val="000000" w:themeColor="text1"/>
          <w:sz w:val="24"/>
          <w:szCs w:val="24"/>
          <w:lang w:val="en-US" w:eastAsia="zh-CN"/>
        </w:rPr>
        <w:t>24,000</w:t>
      </w:r>
      <w:r>
        <w:rPr>
          <w:rFonts w:hint="eastAsia"/>
          <w:color w:val="000000" w:themeColor="text1"/>
          <w:sz w:val="24"/>
          <w:szCs w:val="24"/>
          <w:lang w:eastAsia="zh-CN"/>
        </w:rPr>
        <w:t>.00元）；</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2、参选保证金提交的时间：应在提交参选文件之前汇达参选保证金指定账户；</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3、参选保证金提交的方式：应从参选人基本账户以电汇或银行转账方式提交，并应在电汇或银行转账单上注明为本项目的参选保证金；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4、参选保证金指定账户：</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开户名称：福建福海创石油化工有限公司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开户银行：中国银行股份有限公司漳州古雷经济开发区支行</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帐    号：406574816628</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注明用途：</w:t>
      </w:r>
      <w:r>
        <w:rPr>
          <w:rFonts w:hint="eastAsia"/>
          <w:color w:val="000000" w:themeColor="text1"/>
          <w:sz w:val="24"/>
          <w:szCs w:val="24"/>
          <w:lang w:val="en-US" w:eastAsia="zh-CN"/>
        </w:rPr>
        <w:t>高压加氢固定床评价装置试验装置</w:t>
      </w:r>
      <w:r>
        <w:rPr>
          <w:rFonts w:hint="eastAsia"/>
          <w:color w:val="000000" w:themeColor="text1"/>
          <w:sz w:val="24"/>
          <w:szCs w:val="24"/>
          <w:lang w:eastAsia="zh-CN"/>
        </w:rPr>
        <w:t>采购项目参选保证金</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参选保证金有效期：90日历天。</w:t>
      </w:r>
    </w:p>
    <w:p>
      <w:pPr>
        <w:pStyle w:val="72"/>
        <w:spacing w:before="0" w:line="600" w:lineRule="exact"/>
        <w:ind w:left="440" w:leftChars="200" w:firstLine="480" w:firstLineChars="200"/>
        <w:jc w:val="both"/>
        <w:rPr>
          <w:rFonts w:hint="eastAsia" w:asciiTheme="minorEastAsia" w:hAnsiTheme="minorEastAsia" w:eastAsiaTheme="minorEastAsia"/>
          <w:bCs/>
          <w:sz w:val="24"/>
          <w:szCs w:val="24"/>
          <w:u w:val="double"/>
          <w:lang w:eastAsia="zh-CN"/>
        </w:rPr>
      </w:pPr>
      <w:r>
        <w:rPr>
          <w:rFonts w:hint="eastAsia" w:asciiTheme="minorEastAsia" w:hAnsiTheme="minorEastAsia" w:eastAsiaTheme="minorEastAsia"/>
          <w:sz w:val="24"/>
          <w:szCs w:val="24"/>
          <w:lang w:eastAsia="zh-CN"/>
        </w:rPr>
        <w:t>注：</w:t>
      </w:r>
      <w:r>
        <w:rPr>
          <w:rFonts w:hint="eastAsia" w:asciiTheme="minorEastAsia" w:hAnsiTheme="minorEastAsia" w:eastAsiaTheme="minorEastAsia"/>
          <w:bCs/>
          <w:sz w:val="24"/>
          <w:szCs w:val="24"/>
          <w:u w:val="double"/>
          <w:lang w:eastAsia="zh-CN"/>
        </w:rPr>
        <w:t>开户许可证上账号应与参选保证金转账回单上账号一致，否则视为未按规定提交参选保证金,所造成的一切后果由参选人自行负责。</w:t>
      </w:r>
    </w:p>
    <w:p>
      <w:pPr>
        <w:pStyle w:val="3"/>
        <w:tabs>
          <w:tab w:val="left" w:pos="6879"/>
        </w:tabs>
        <w:spacing w:before="107" w:line="321" w:lineRule="auto"/>
        <w:ind w:left="0" w:right="106" w:firstLine="480" w:firstLineChars="200"/>
        <w:rPr>
          <w:b w:val="0"/>
          <w:color w:val="000000" w:themeColor="text1"/>
          <w:lang w:eastAsia="zh-CN"/>
        </w:rPr>
      </w:pPr>
      <w:r>
        <w:rPr>
          <w:rFonts w:hint="eastAsia"/>
          <w:b w:val="0"/>
          <w:color w:val="000000" w:themeColor="text1"/>
          <w:lang w:eastAsia="zh-CN"/>
        </w:rPr>
        <w:t>5、参选保证金的退回</w:t>
      </w:r>
    </w:p>
    <w:p>
      <w:pPr>
        <w:pStyle w:val="3"/>
        <w:tabs>
          <w:tab w:val="left" w:pos="6879"/>
        </w:tabs>
        <w:spacing w:before="107" w:line="321" w:lineRule="auto"/>
        <w:ind w:left="0" w:right="106" w:firstLine="480" w:firstLineChars="200"/>
        <w:rPr>
          <w:b w:val="0"/>
          <w:color w:val="000000" w:themeColor="text1"/>
          <w:lang w:eastAsia="zh-CN"/>
        </w:rPr>
      </w:pPr>
      <w:r>
        <w:rPr>
          <w:rFonts w:hint="eastAsia"/>
          <w:b w:val="0"/>
          <w:color w:val="000000" w:themeColor="text1"/>
          <w:lang w:eastAsia="zh-CN"/>
        </w:rPr>
        <w:t>本项目比选结束后，未中选的参选人其所递交的参选保证金将于本项目合同签订后退回至参选人基本账户。</w:t>
      </w:r>
    </w:p>
    <w:p>
      <w:pPr>
        <w:pStyle w:val="3"/>
        <w:tabs>
          <w:tab w:val="left" w:pos="6879"/>
        </w:tabs>
        <w:spacing w:before="107" w:line="321" w:lineRule="auto"/>
        <w:ind w:left="0" w:right="106" w:firstLine="480" w:firstLineChars="200"/>
        <w:rPr>
          <w:b w:val="0"/>
          <w:color w:val="000000" w:themeColor="text1"/>
          <w:lang w:eastAsia="zh-CN"/>
        </w:rPr>
      </w:pPr>
      <w:r>
        <w:rPr>
          <w:rFonts w:hint="eastAsia"/>
          <w:b w:val="0"/>
          <w:color w:val="000000" w:themeColor="text1"/>
          <w:lang w:eastAsia="zh-CN"/>
        </w:rPr>
        <w:t>6、履约保证金</w:t>
      </w:r>
    </w:p>
    <w:p>
      <w:pPr>
        <w:pStyle w:val="3"/>
        <w:tabs>
          <w:tab w:val="left" w:pos="6879"/>
        </w:tabs>
        <w:spacing w:before="107" w:line="321" w:lineRule="auto"/>
        <w:ind w:left="0" w:right="106" w:firstLine="480" w:firstLineChars="200"/>
        <w:rPr>
          <w:rFonts w:hint="eastAsia" w:asciiTheme="minorEastAsia" w:hAnsiTheme="minorEastAsia" w:eastAsiaTheme="minorEastAsia"/>
          <w:bCs/>
          <w:sz w:val="24"/>
          <w:szCs w:val="24"/>
          <w:u w:val="double"/>
          <w:lang w:eastAsia="zh-CN"/>
        </w:rPr>
      </w:pPr>
      <w:r>
        <w:rPr>
          <w:rFonts w:hint="eastAsia"/>
          <w:b w:val="0"/>
          <w:color w:val="000000" w:themeColor="text1"/>
          <w:lang w:eastAsia="zh-CN"/>
        </w:rPr>
        <w:t>中选参选人的参选保证金将转为履约保证金。</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3"/>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3"/>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spacing w:val="-56"/>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3"/>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19"/>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19"/>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19"/>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19"/>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19"/>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19"/>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rFonts w:hint="eastAsia"/>
          <w:b/>
          <w:w w:val="95"/>
          <w:sz w:val="28"/>
          <w:lang w:val="en-US" w:eastAsia="zh-CN"/>
        </w:rPr>
        <w:t>二</w:t>
      </w:r>
      <w:r>
        <w:rPr>
          <w:b/>
          <w:w w:val="95"/>
          <w:sz w:val="28"/>
          <w:lang w:eastAsia="zh-CN"/>
        </w:rPr>
        <w:t>、参选报价</w:t>
      </w:r>
    </w:p>
    <w:p>
      <w:pPr>
        <w:pStyle w:val="19"/>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rFonts w:hint="eastAsia"/>
          <w:b/>
          <w:w w:val="95"/>
          <w:sz w:val="28"/>
          <w:lang w:val="en-US" w:eastAsia="zh-CN"/>
        </w:rPr>
        <w:t>三</w:t>
      </w:r>
      <w:r>
        <w:rPr>
          <w:b/>
          <w:w w:val="95"/>
          <w:sz w:val="28"/>
          <w:lang w:eastAsia="zh-CN"/>
        </w:rPr>
        <w:t>、特别说明</w:t>
      </w:r>
    </w:p>
    <w:p>
      <w:pPr>
        <w:pStyle w:val="19"/>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19"/>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19"/>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19"/>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1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9"/>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1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19"/>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120</w:t>
      </w:r>
      <w:r>
        <w:rPr>
          <w:rFonts w:hint="eastAsia"/>
          <w:b/>
          <w:color w:val="FF0000"/>
          <w:lang w:eastAsia="zh-CN"/>
        </w:rPr>
        <w:t>万元整（含税）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zyhe</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1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9"/>
        <w:spacing w:line="360" w:lineRule="auto"/>
        <w:ind w:right="121" w:firstLine="480" w:firstLineChars="200"/>
        <w:jc w:val="both"/>
        <w:rPr>
          <w:lang w:eastAsia="zh-CN"/>
        </w:rPr>
      </w:pPr>
      <w:r>
        <w:rPr>
          <w:lang w:eastAsia="zh-CN"/>
        </w:rPr>
        <w:t>2.参选文件存在重大偏差的。</w:t>
      </w:r>
    </w:p>
    <w:p>
      <w:pPr>
        <w:pStyle w:val="1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19"/>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19"/>
        <w:spacing w:line="360" w:lineRule="auto"/>
        <w:ind w:right="121" w:firstLine="480" w:firstLineChars="200"/>
        <w:jc w:val="both"/>
        <w:rPr>
          <w:lang w:eastAsia="zh-CN"/>
        </w:rPr>
      </w:pPr>
      <w:r>
        <w:rPr>
          <w:lang w:eastAsia="zh-CN"/>
        </w:rPr>
        <w:t>2.在开选时没有启封和读出的参选文件，在评选时将不予考虑。</w:t>
      </w:r>
    </w:p>
    <w:p>
      <w:pPr>
        <w:pStyle w:val="19"/>
        <w:spacing w:line="360" w:lineRule="auto"/>
        <w:ind w:right="121" w:firstLine="480" w:firstLineChars="200"/>
        <w:jc w:val="both"/>
        <w:rPr>
          <w:lang w:eastAsia="zh-CN"/>
        </w:rPr>
      </w:pPr>
      <w:r>
        <w:rPr>
          <w:lang w:eastAsia="zh-CN"/>
        </w:rPr>
        <w:t>3.比选人将做开选记录。</w:t>
      </w:r>
    </w:p>
    <w:p>
      <w:pPr>
        <w:pStyle w:val="19"/>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19"/>
        <w:spacing w:line="360" w:lineRule="auto"/>
        <w:ind w:right="121" w:firstLine="480" w:firstLineChars="200"/>
        <w:jc w:val="both"/>
        <w:rPr>
          <w:lang w:eastAsia="zh-CN"/>
        </w:rPr>
      </w:pPr>
      <w:r>
        <w:rPr>
          <w:lang w:eastAsia="zh-CN"/>
        </w:rPr>
        <w:t>1.比选人将把合同授予中选人；在授予前，仍需进行资格审查。</w:t>
      </w:r>
    </w:p>
    <w:p>
      <w:pPr>
        <w:pStyle w:val="19"/>
        <w:spacing w:line="360" w:lineRule="auto"/>
        <w:ind w:right="121" w:firstLine="480" w:firstLineChars="200"/>
        <w:jc w:val="both"/>
        <w:rPr>
          <w:lang w:eastAsia="zh-CN"/>
        </w:rPr>
      </w:pPr>
      <w:r>
        <w:rPr>
          <w:lang w:eastAsia="zh-CN"/>
        </w:rPr>
        <w:t>2.中选人确定后，比选将通知中选人，并将中选结果公示在比选人官网。</w:t>
      </w:r>
    </w:p>
    <w:p>
      <w:pPr>
        <w:pStyle w:val="19"/>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val="en-US" w:eastAsia="zh-CN"/>
        </w:rPr>
        <w:t>腾龙芳烃</w:t>
      </w:r>
      <w:r>
        <w:rPr>
          <w:rStyle w:val="50"/>
          <w:rFonts w:hint="eastAsia" w:ascii="Times New Roman" w:hAnsi="Times New Roman" w:cs="Times New Roman"/>
          <w:color w:val="FF0000"/>
          <w:lang w:eastAsia="zh-CN"/>
        </w:rPr>
        <w:t>（漳州）有限公司”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19"/>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19"/>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19"/>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19"/>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19"/>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19"/>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19"/>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19"/>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19"/>
        <w:spacing w:line="360" w:lineRule="auto"/>
        <w:ind w:right="121" w:firstLine="480" w:firstLineChars="200"/>
        <w:jc w:val="both"/>
        <w:rPr>
          <w:lang w:eastAsia="zh-CN"/>
        </w:rPr>
      </w:pPr>
    </w:p>
    <w:p>
      <w:pPr>
        <w:pStyle w:val="19"/>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19"/>
        <w:spacing w:line="360" w:lineRule="auto"/>
        <w:ind w:right="121" w:firstLine="480" w:firstLineChars="200"/>
        <w:jc w:val="both"/>
        <w:rPr>
          <w:lang w:eastAsia="zh-CN"/>
        </w:rPr>
      </w:pPr>
      <w:r>
        <w:rPr>
          <w:lang w:eastAsia="zh-CN"/>
        </w:rPr>
        <w:t>1.参选人的参选文件无论其是否中选，均不退回。</w:t>
      </w:r>
    </w:p>
    <w:p>
      <w:pPr>
        <w:pStyle w:val="19"/>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19"/>
        <w:spacing w:line="360" w:lineRule="auto"/>
        <w:ind w:right="121" w:firstLine="480" w:firstLineChars="200"/>
        <w:jc w:val="both"/>
        <w:rPr>
          <w:lang w:eastAsia="zh-CN"/>
        </w:rPr>
      </w:pPr>
      <w:r>
        <w:rPr>
          <w:lang w:eastAsia="zh-CN"/>
        </w:rPr>
        <w:t>3.本比选文件的解释权归福建福海创石油化工有限公司。</w:t>
      </w:r>
    </w:p>
    <w:p>
      <w:pPr>
        <w:pStyle w:val="19"/>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19"/>
        <w:spacing w:line="360" w:lineRule="auto"/>
        <w:rPr>
          <w:lang w:eastAsia="zh-CN"/>
        </w:rPr>
      </w:pPr>
    </w:p>
    <w:p>
      <w:pPr>
        <w:pStyle w:val="19"/>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8"/>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7"/>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19"/>
        <w:rPr>
          <w:rFonts w:hint="eastAsia" w:ascii="Times New Roman"/>
          <w:b/>
          <w:bCs/>
          <w:lang w:val="en-US" w:eastAsia="zh-CN"/>
        </w:rPr>
      </w:pPr>
    </w:p>
    <w:p>
      <w:pPr>
        <w:pStyle w:val="19"/>
        <w:rPr>
          <w:rFonts w:hint="eastAsia" w:ascii="Times New Roman"/>
          <w:b/>
          <w:bCs/>
          <w:lang w:val="en-US" w:eastAsia="zh-CN"/>
        </w:rPr>
      </w:pPr>
    </w:p>
    <w:p>
      <w:pPr>
        <w:pStyle w:val="19"/>
        <w:rPr>
          <w:rFonts w:hint="eastAsia" w:ascii="Times New Roman"/>
          <w:b/>
          <w:bCs/>
          <w:lang w:val="en-US" w:eastAsia="zh-CN"/>
        </w:rPr>
      </w:pPr>
    </w:p>
    <w:p>
      <w:pPr>
        <w:pStyle w:val="19"/>
        <w:rPr>
          <w:rFonts w:hint="default" w:ascii="Times New Roman"/>
          <w:b/>
          <w:bCs/>
          <w:lang w:val="en-US" w:eastAsia="zh-CN"/>
        </w:rPr>
      </w:pPr>
    </w:p>
    <w:p>
      <w:pPr>
        <w:pStyle w:val="56"/>
        <w:rPr>
          <w:b/>
          <w:bCs/>
          <w:sz w:val="24"/>
          <w:szCs w:val="24"/>
        </w:rPr>
      </w:pPr>
      <w:bookmarkStart w:id="1" w:name="_Toc31173"/>
      <w:bookmarkStart w:id="2" w:name="_Toc10991"/>
      <w:bookmarkStart w:id="3" w:name="_Toc2239"/>
      <w:bookmarkStart w:id="4" w:name="_Toc17959"/>
      <w:bookmarkStart w:id="5" w:name="_Toc18049"/>
      <w:bookmarkStart w:id="6" w:name="_Toc385779252"/>
      <w:bookmarkStart w:id="7" w:name="_Toc8520"/>
      <w:bookmarkStart w:id="8" w:name="_Toc20273"/>
      <w:bookmarkStart w:id="9" w:name="_Toc4114"/>
      <w:bookmarkStart w:id="10" w:name="_Toc23434"/>
      <w:bookmarkStart w:id="11" w:name="_Toc20180"/>
      <w:bookmarkStart w:id="12" w:name="_Toc31402"/>
      <w:bookmarkStart w:id="13" w:name="_Toc27787"/>
      <w:bookmarkStart w:id="14" w:name="_Toc352146655"/>
      <w:bookmarkStart w:id="15" w:name="_Toc14171"/>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rFonts w:hint="eastAsia" w:eastAsia="宋体"/>
          <w:b/>
          <w:bCs/>
          <w:sz w:val="24"/>
          <w:szCs w:val="24"/>
          <w:lang w:val="en-US" w:eastAsia="zh-CN"/>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p>
      <w:pPr>
        <w:pStyle w:val="56"/>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56"/>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高压加氢固定床评价装置试验装置</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numPr>
          <w:ilvl w:val="255"/>
          <w:numId w:val="0"/>
        </w:numPr>
        <w:spacing w:line="500" w:lineRule="exact"/>
        <w:rPr>
          <w:rFonts w:hint="eastAsia"/>
          <w:b/>
          <w:bCs/>
          <w:sz w:val="28"/>
          <w:szCs w:val="28"/>
          <w:lang w:eastAsia="zh-CN"/>
        </w:rPr>
      </w:pPr>
    </w:p>
    <w:p>
      <w:pPr>
        <w:numPr>
          <w:ilvl w:val="255"/>
          <w:numId w:val="0"/>
        </w:numPr>
        <w:spacing w:line="500" w:lineRule="exact"/>
        <w:rPr>
          <w:rFonts w:hint="eastAsia"/>
          <w:b/>
          <w:bCs/>
          <w:sz w:val="24"/>
          <w:lang w:val="en-US" w:eastAsia="zh-CN"/>
        </w:rPr>
      </w:pPr>
      <w:r>
        <w:rPr>
          <w:rFonts w:hint="eastAsia"/>
          <w:b/>
          <w:bCs/>
          <w:sz w:val="28"/>
          <w:szCs w:val="28"/>
          <w:lang w:eastAsia="zh-CN"/>
        </w:rPr>
        <w:t>含税包干总价：</w:t>
      </w:r>
      <w:r>
        <w:rPr>
          <w:rFonts w:hint="eastAsia"/>
          <w:b/>
          <w:bCs/>
          <w:sz w:val="28"/>
          <w:szCs w:val="28"/>
          <w:u w:val="single"/>
          <w:lang w:eastAsia="zh-CN"/>
        </w:rPr>
        <w:t xml:space="preserve">                    </w:t>
      </w:r>
      <w:r>
        <w:rPr>
          <w:rFonts w:hint="eastAsia"/>
          <w:b/>
          <w:bCs/>
          <w:sz w:val="28"/>
          <w:szCs w:val="28"/>
          <w:lang w:eastAsia="zh-CN"/>
        </w:rPr>
        <w:t>元。</w:t>
      </w:r>
    </w:p>
    <w:p>
      <w:pPr>
        <w:numPr>
          <w:ilvl w:val="255"/>
          <w:numId w:val="0"/>
        </w:numPr>
        <w:spacing w:line="500" w:lineRule="exact"/>
        <w:rPr>
          <w:rFonts w:hint="eastAsia"/>
          <w:b/>
          <w:bCs/>
          <w:sz w:val="24"/>
          <w:lang w:val="en-US" w:eastAsia="zh-CN"/>
        </w:rPr>
      </w:pPr>
    </w:p>
    <w:p>
      <w:pPr>
        <w:pStyle w:val="56"/>
        <w:rPr>
          <w:rFonts w:hint="eastAsia" w:ascii="宋体" w:hAnsi="宋体"/>
          <w:b w:val="0"/>
          <w:bCs w:val="0"/>
          <w:sz w:val="24"/>
          <w:lang w:val="en-US" w:eastAsia="zh-CN"/>
        </w:rPr>
      </w:pPr>
      <w:r>
        <w:rPr>
          <w:rFonts w:hint="eastAsia" w:ascii="宋体" w:hAnsi="宋体"/>
          <w:b w:val="0"/>
          <w:bCs w:val="0"/>
          <w:sz w:val="24"/>
          <w:lang w:val="en-US" w:eastAsia="zh-CN"/>
        </w:rPr>
        <w:t>说明：</w:t>
      </w:r>
    </w:p>
    <w:p>
      <w:pPr>
        <w:pStyle w:val="56"/>
        <w:rPr>
          <w:rFonts w:hint="default"/>
          <w:b w:val="0"/>
          <w:bCs w:val="0"/>
          <w:lang w:val="en-US" w:eastAsia="zh-CN"/>
        </w:rPr>
      </w:pPr>
      <w:r>
        <w:rPr>
          <w:rFonts w:hint="eastAsia"/>
          <w:b w:val="0"/>
          <w:bCs w:val="0"/>
          <w:sz w:val="24"/>
          <w:lang w:val="en-US" w:eastAsia="zh-CN"/>
        </w:rPr>
        <w:t>1、</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numPr>
          <w:ilvl w:val="255"/>
          <w:numId w:val="0"/>
        </w:numPr>
        <w:spacing w:line="500" w:lineRule="exact"/>
        <w:rPr>
          <w:rFonts w:hint="eastAsia" w:ascii="宋体" w:hAnsi="宋体" w:eastAsia="宋体"/>
          <w:b/>
          <w:bCs/>
          <w:sz w:val="24"/>
          <w:lang w:eastAsia="zh-CN"/>
        </w:rPr>
      </w:pPr>
      <w:r>
        <w:rPr>
          <w:rFonts w:hint="eastAsia"/>
          <w:b w:val="0"/>
          <w:bCs w:val="0"/>
          <w:sz w:val="24"/>
          <w:lang w:val="en-US" w:eastAsia="zh-CN"/>
        </w:rPr>
        <w:t>2</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bCs/>
          <w:sz w:val="24"/>
          <w:u w:val="single"/>
        </w:rPr>
        <w:t>货到验收合格付9</w:t>
      </w:r>
      <w:r>
        <w:rPr>
          <w:rFonts w:hint="eastAsia" w:ascii="宋体" w:hAnsi="宋体"/>
          <w:b/>
          <w:bCs/>
          <w:sz w:val="24"/>
          <w:u w:val="single"/>
          <w:lang w:val="en-US" w:eastAsia="zh-CN"/>
        </w:rPr>
        <w:t>0</w:t>
      </w:r>
      <w:r>
        <w:rPr>
          <w:rFonts w:hint="eastAsia" w:ascii="宋体" w:hAnsi="宋体"/>
          <w:b/>
          <w:bCs/>
          <w:sz w:val="24"/>
          <w:u w:val="single"/>
        </w:rPr>
        <w:t>%，质保金</w:t>
      </w:r>
      <w:r>
        <w:rPr>
          <w:rFonts w:hint="eastAsia" w:ascii="宋体" w:hAnsi="宋体"/>
          <w:b/>
          <w:bCs/>
          <w:sz w:val="24"/>
          <w:u w:val="single"/>
          <w:lang w:val="en-US" w:eastAsia="zh-CN"/>
        </w:rPr>
        <w:t>10</w:t>
      </w:r>
      <w:r>
        <w:rPr>
          <w:rFonts w:hint="eastAsia" w:ascii="宋体" w:hAnsi="宋体"/>
          <w:b/>
          <w:bCs/>
          <w:sz w:val="24"/>
          <w:u w:val="single"/>
        </w:rPr>
        <w:t>%</w:t>
      </w:r>
      <w:r>
        <w:rPr>
          <w:rFonts w:hint="eastAsia" w:ascii="宋体" w:hAnsi="宋体"/>
          <w:b/>
          <w:bCs/>
          <w:sz w:val="24"/>
        </w:rPr>
        <w:t>（质保期以</w:t>
      </w:r>
      <w:r>
        <w:rPr>
          <w:rFonts w:hint="eastAsia"/>
          <w:b/>
          <w:bCs/>
          <w:sz w:val="24"/>
          <w:lang w:val="en-US" w:eastAsia="zh-CN"/>
        </w:rPr>
        <w:t>双方签定的技术协议为准</w:t>
      </w:r>
      <w:r>
        <w:rPr>
          <w:rFonts w:hint="eastAsia" w:ascii="宋体" w:hAnsi="宋体"/>
          <w:b/>
          <w:bCs/>
          <w:sz w:val="24"/>
        </w:rPr>
        <w:t>）。</w:t>
      </w:r>
    </w:p>
    <w:p>
      <w:pPr>
        <w:spacing w:line="320" w:lineRule="exact"/>
        <w:rPr>
          <w:rFonts w:ascii="宋体" w:hAnsi="宋体"/>
          <w:b w:val="0"/>
          <w:bCs w:val="0"/>
          <w:color w:val="000000"/>
          <w:sz w:val="24"/>
        </w:rPr>
      </w:pPr>
      <w:r>
        <w:rPr>
          <w:rFonts w:hint="eastAsia"/>
          <w:b w:val="0"/>
          <w:bCs w:val="0"/>
          <w:sz w:val="24"/>
          <w:lang w:val="en-US" w:eastAsia="zh-CN"/>
        </w:rPr>
        <w:t>3</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460" w:lineRule="exact"/>
        <w:rPr>
          <w:rFonts w:hint="eastAsia"/>
          <w:sz w:val="28"/>
          <w:lang w:eastAsia="zh-CN"/>
        </w:rPr>
      </w:pPr>
      <w:r>
        <w:rPr>
          <w:rFonts w:hint="eastAsia"/>
          <w:b w:val="0"/>
          <w:bCs w:val="0"/>
          <w:sz w:val="24"/>
          <w:lang w:val="en-US" w:eastAsia="zh-CN"/>
        </w:rPr>
        <w:t>4</w:t>
      </w:r>
      <w:r>
        <w:rPr>
          <w:rFonts w:hint="eastAsia" w:ascii="宋体" w:hAnsi="宋体"/>
          <w:b w:val="0"/>
          <w:bCs w:val="0"/>
          <w:sz w:val="24"/>
        </w:rPr>
        <w:t>、其它约定以双方签订合同为准。</w:t>
      </w: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29"/>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19"/>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29"/>
          <w:jc w:val="center"/>
        </w:pPr>
        <w:r>
          <w:fldChar w:fldCharType="begin"/>
        </w:r>
        <w:r>
          <w:instrText xml:space="preserve">PAGE   \* MERGEFORMAT</w:instrText>
        </w:r>
        <w:r>
          <w:fldChar w:fldCharType="separate"/>
        </w:r>
        <w:r>
          <w:rPr>
            <w:lang w:val="zh-CN" w:eastAsia="zh-CN"/>
          </w:rPr>
          <w:t>26</w:t>
        </w:r>
        <w:r>
          <w:fldChar w:fldCharType="end"/>
        </w:r>
      </w:p>
    </w:sdtContent>
  </w:sdt>
  <w:p>
    <w:pPr>
      <w:pStyle w:val="19"/>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4"/>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7DF5FB5"/>
    <w:rsid w:val="081A08AE"/>
    <w:rsid w:val="081D6F74"/>
    <w:rsid w:val="087D5A4F"/>
    <w:rsid w:val="08D1141D"/>
    <w:rsid w:val="09130765"/>
    <w:rsid w:val="09CF6571"/>
    <w:rsid w:val="0A5F4C49"/>
    <w:rsid w:val="0B296DE2"/>
    <w:rsid w:val="0B721453"/>
    <w:rsid w:val="0D0126E0"/>
    <w:rsid w:val="0D044784"/>
    <w:rsid w:val="0D3547C9"/>
    <w:rsid w:val="0EFD592E"/>
    <w:rsid w:val="0FB5725B"/>
    <w:rsid w:val="0FB7670E"/>
    <w:rsid w:val="10294AA3"/>
    <w:rsid w:val="10E40CA0"/>
    <w:rsid w:val="11A57A3C"/>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3940057"/>
    <w:rsid w:val="255C7E5F"/>
    <w:rsid w:val="25BF356F"/>
    <w:rsid w:val="25C95B03"/>
    <w:rsid w:val="25DB0C2D"/>
    <w:rsid w:val="267F6210"/>
    <w:rsid w:val="269469E7"/>
    <w:rsid w:val="26EF5299"/>
    <w:rsid w:val="27981585"/>
    <w:rsid w:val="27E149AB"/>
    <w:rsid w:val="27EE0826"/>
    <w:rsid w:val="280F47C0"/>
    <w:rsid w:val="2998140D"/>
    <w:rsid w:val="29FC3B14"/>
    <w:rsid w:val="2A056A4F"/>
    <w:rsid w:val="2B11792E"/>
    <w:rsid w:val="2BCC4D8A"/>
    <w:rsid w:val="2D3639F2"/>
    <w:rsid w:val="2E666BF4"/>
    <w:rsid w:val="2F724BD0"/>
    <w:rsid w:val="2FC5779A"/>
    <w:rsid w:val="306A51FE"/>
    <w:rsid w:val="308C67A6"/>
    <w:rsid w:val="318B24CE"/>
    <w:rsid w:val="31C54755"/>
    <w:rsid w:val="31D23053"/>
    <w:rsid w:val="3216608C"/>
    <w:rsid w:val="322152B0"/>
    <w:rsid w:val="328F13DA"/>
    <w:rsid w:val="347F358E"/>
    <w:rsid w:val="34CE14C6"/>
    <w:rsid w:val="34D84CEC"/>
    <w:rsid w:val="35DC515B"/>
    <w:rsid w:val="372733E1"/>
    <w:rsid w:val="37AF5AB7"/>
    <w:rsid w:val="38B844F1"/>
    <w:rsid w:val="399C3DF7"/>
    <w:rsid w:val="39E568DF"/>
    <w:rsid w:val="3A387F18"/>
    <w:rsid w:val="3AC225C0"/>
    <w:rsid w:val="3B1C3371"/>
    <w:rsid w:val="3CAE3A33"/>
    <w:rsid w:val="3CC23198"/>
    <w:rsid w:val="3DDF4815"/>
    <w:rsid w:val="3F447AD9"/>
    <w:rsid w:val="3FE669E5"/>
    <w:rsid w:val="42C84A21"/>
    <w:rsid w:val="43375D4C"/>
    <w:rsid w:val="43CA6D32"/>
    <w:rsid w:val="447C37FD"/>
    <w:rsid w:val="44B33DBE"/>
    <w:rsid w:val="44B70186"/>
    <w:rsid w:val="459C39D0"/>
    <w:rsid w:val="462A54F2"/>
    <w:rsid w:val="486C4718"/>
    <w:rsid w:val="48BC1E8C"/>
    <w:rsid w:val="4A286FFC"/>
    <w:rsid w:val="4A344C53"/>
    <w:rsid w:val="4A6A5207"/>
    <w:rsid w:val="4B3B68BB"/>
    <w:rsid w:val="4B410375"/>
    <w:rsid w:val="4B876203"/>
    <w:rsid w:val="50F63E28"/>
    <w:rsid w:val="5221007F"/>
    <w:rsid w:val="52926B5A"/>
    <w:rsid w:val="52B7258B"/>
    <w:rsid w:val="52F74B88"/>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126967"/>
    <w:rsid w:val="5D7A3273"/>
    <w:rsid w:val="5E2B4120"/>
    <w:rsid w:val="5E543886"/>
    <w:rsid w:val="601675AC"/>
    <w:rsid w:val="60342B61"/>
    <w:rsid w:val="62572206"/>
    <w:rsid w:val="627A792A"/>
    <w:rsid w:val="628D3982"/>
    <w:rsid w:val="62C51434"/>
    <w:rsid w:val="62E96122"/>
    <w:rsid w:val="645771F8"/>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0A8045D"/>
    <w:rsid w:val="71D648EC"/>
    <w:rsid w:val="71E85B35"/>
    <w:rsid w:val="727810B8"/>
    <w:rsid w:val="7293546A"/>
    <w:rsid w:val="72E05B2C"/>
    <w:rsid w:val="73F81307"/>
    <w:rsid w:val="740A2BDE"/>
    <w:rsid w:val="751839E0"/>
    <w:rsid w:val="756178E9"/>
    <w:rsid w:val="75A1093B"/>
    <w:rsid w:val="75BE7C69"/>
    <w:rsid w:val="76274F93"/>
    <w:rsid w:val="78632A79"/>
    <w:rsid w:val="78F732D8"/>
    <w:rsid w:val="79670CA0"/>
    <w:rsid w:val="79EB3F2F"/>
    <w:rsid w:val="79FD3C4B"/>
    <w:rsid w:val="7A1D7427"/>
    <w:rsid w:val="7B11789E"/>
    <w:rsid w:val="7CEE7A95"/>
    <w:rsid w:val="7D250FF6"/>
    <w:rsid w:val="7D602708"/>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0"/>
    <w:pPr>
      <w:ind w:left="538"/>
      <w:outlineLvl w:val="0"/>
    </w:pPr>
    <w:rPr>
      <w:b/>
      <w:bCs/>
      <w:sz w:val="28"/>
      <w:szCs w:val="28"/>
    </w:rPr>
  </w:style>
  <w:style w:type="paragraph" w:styleId="3">
    <w:name w:val="heading 2"/>
    <w:basedOn w:val="1"/>
    <w:next w:val="1"/>
    <w:link w:val="58"/>
    <w:qFormat/>
    <w:uiPriority w:val="0"/>
    <w:pPr>
      <w:ind w:left="629"/>
      <w:outlineLvl w:val="1"/>
    </w:pPr>
    <w:rPr>
      <w:b/>
      <w:bCs/>
      <w:sz w:val="24"/>
      <w:szCs w:val="24"/>
    </w:rPr>
  </w:style>
  <w:style w:type="paragraph" w:styleId="4">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0">
    <w:name w:val="heading 8"/>
    <w:basedOn w:val="1"/>
    <w:next w:val="9"/>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1">
    <w:name w:val="heading 9"/>
    <w:basedOn w:val="1"/>
    <w:next w:val="9"/>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2">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3">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4">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5">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6">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7">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8">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19">
    <w:name w:val="Body Text"/>
    <w:basedOn w:val="1"/>
    <w:link w:val="67"/>
    <w:qFormat/>
    <w:uiPriority w:val="1"/>
    <w:rPr>
      <w:sz w:val="24"/>
      <w:szCs w:val="24"/>
    </w:rPr>
  </w:style>
  <w:style w:type="paragraph" w:styleId="20">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1">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2">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3">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4">
    <w:name w:val="Plain Text"/>
    <w:basedOn w:val="1"/>
    <w:link w:val="68"/>
    <w:qFormat/>
    <w:uiPriority w:val="0"/>
    <w:rPr>
      <w:rFonts w:hAnsi="Courier New" w:cs="Courier New"/>
      <w:szCs w:val="21"/>
    </w:rPr>
  </w:style>
  <w:style w:type="paragraph" w:styleId="25">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6">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7">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8">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29">
    <w:name w:val="footer"/>
    <w:basedOn w:val="1"/>
    <w:link w:val="69"/>
    <w:qFormat/>
    <w:uiPriority w:val="99"/>
    <w:pPr>
      <w:tabs>
        <w:tab w:val="center" w:pos="4153"/>
        <w:tab w:val="right" w:pos="8306"/>
      </w:tabs>
      <w:snapToGrid w:val="0"/>
    </w:pPr>
    <w:rPr>
      <w:sz w:val="18"/>
      <w:szCs w:val="18"/>
    </w:rPr>
  </w:style>
  <w:style w:type="paragraph" w:styleId="30">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6"/>
    <w:next w:val="16"/>
    <w:link w:val="100"/>
    <w:qFormat/>
    <w:uiPriority w:val="0"/>
    <w:pPr>
      <w:widowControl/>
    </w:pPr>
    <w:rPr>
      <w:b/>
      <w:bCs/>
      <w:sz w:val="24"/>
      <w:szCs w:val="24"/>
    </w:rPr>
  </w:style>
  <w:style w:type="paragraph" w:styleId="45">
    <w:name w:val="Body Text First Indent"/>
    <w:basedOn w:val="19"/>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6">
    <w:name w:val="Body Text First Indent 2"/>
    <w:basedOn w:val="20"/>
    <w:next w:val="1"/>
    <w:qFormat/>
    <w:uiPriority w:val="0"/>
    <w:pPr>
      <w:ind w:firstLine="420" w:firstLineChars="200"/>
    </w:p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Char"/>
    <w:basedOn w:val="49"/>
    <w:link w:val="2"/>
    <w:qFormat/>
    <w:uiPriority w:val="0"/>
    <w:rPr>
      <w:rFonts w:ascii="宋体" w:hAnsi="宋体" w:cs="宋体"/>
      <w:b/>
      <w:bCs/>
      <w:sz w:val="28"/>
      <w:szCs w:val="28"/>
      <w:lang w:eastAsia="en-US"/>
    </w:rPr>
  </w:style>
  <w:style w:type="character" w:customStyle="1" w:styleId="58">
    <w:name w:val="标题 2 Char"/>
    <w:basedOn w:val="49"/>
    <w:link w:val="3"/>
    <w:qFormat/>
    <w:uiPriority w:val="0"/>
    <w:rPr>
      <w:rFonts w:ascii="宋体" w:hAnsi="宋体" w:cs="宋体"/>
      <w:b/>
      <w:bCs/>
      <w:sz w:val="24"/>
      <w:szCs w:val="24"/>
      <w:lang w:eastAsia="en-US"/>
    </w:rPr>
  </w:style>
  <w:style w:type="character" w:customStyle="1" w:styleId="59">
    <w:name w:val="标题 3 Char"/>
    <w:basedOn w:val="49"/>
    <w:link w:val="4"/>
    <w:qFormat/>
    <w:uiPriority w:val="0"/>
    <w:rPr>
      <w:b/>
      <w:bCs/>
      <w:kern w:val="2"/>
      <w:sz w:val="32"/>
      <w:szCs w:val="32"/>
    </w:rPr>
  </w:style>
  <w:style w:type="character" w:customStyle="1" w:styleId="60">
    <w:name w:val="标题 4 Char"/>
    <w:basedOn w:val="49"/>
    <w:link w:val="5"/>
    <w:qFormat/>
    <w:uiPriority w:val="0"/>
    <w:rPr>
      <w:b/>
      <w:kern w:val="2"/>
      <w:sz w:val="24"/>
      <w:szCs w:val="24"/>
    </w:rPr>
  </w:style>
  <w:style w:type="character" w:customStyle="1" w:styleId="61">
    <w:name w:val="标题 5 Char"/>
    <w:basedOn w:val="49"/>
    <w:link w:val="6"/>
    <w:qFormat/>
    <w:uiPriority w:val="0"/>
    <w:rPr>
      <w:b/>
      <w:bCs/>
      <w:kern w:val="2"/>
      <w:sz w:val="28"/>
      <w:szCs w:val="28"/>
    </w:rPr>
  </w:style>
  <w:style w:type="character" w:customStyle="1" w:styleId="62">
    <w:name w:val="标题 6 Char"/>
    <w:basedOn w:val="49"/>
    <w:link w:val="7"/>
    <w:qFormat/>
    <w:uiPriority w:val="0"/>
    <w:rPr>
      <w:b/>
      <w:sz w:val="24"/>
    </w:rPr>
  </w:style>
  <w:style w:type="character" w:customStyle="1" w:styleId="63">
    <w:name w:val="正文缩进 Char"/>
    <w:basedOn w:val="49"/>
    <w:link w:val="9"/>
    <w:qFormat/>
    <w:uiPriority w:val="0"/>
    <w:rPr>
      <w:sz w:val="24"/>
    </w:rPr>
  </w:style>
  <w:style w:type="character" w:customStyle="1" w:styleId="64">
    <w:name w:val="标题 7 Char"/>
    <w:basedOn w:val="49"/>
    <w:link w:val="8"/>
    <w:qFormat/>
    <w:uiPriority w:val="0"/>
    <w:rPr>
      <w:b/>
      <w:kern w:val="2"/>
      <w:sz w:val="24"/>
    </w:rPr>
  </w:style>
  <w:style w:type="character" w:customStyle="1" w:styleId="65">
    <w:name w:val="标题 8 Char"/>
    <w:basedOn w:val="49"/>
    <w:link w:val="10"/>
    <w:qFormat/>
    <w:uiPriority w:val="0"/>
    <w:rPr>
      <w:rFonts w:ascii="Arial" w:hAnsi="Arial" w:eastAsia="黑体"/>
      <w:kern w:val="2"/>
      <w:sz w:val="24"/>
    </w:rPr>
  </w:style>
  <w:style w:type="character" w:customStyle="1" w:styleId="66">
    <w:name w:val="标题 9 Char"/>
    <w:basedOn w:val="49"/>
    <w:link w:val="11"/>
    <w:qFormat/>
    <w:uiPriority w:val="0"/>
    <w:rPr>
      <w:rFonts w:ascii="Arial" w:hAnsi="Arial" w:eastAsia="黑体"/>
      <w:kern w:val="2"/>
      <w:sz w:val="21"/>
    </w:rPr>
  </w:style>
  <w:style w:type="character" w:customStyle="1" w:styleId="67">
    <w:name w:val="正文文本 Char1"/>
    <w:basedOn w:val="49"/>
    <w:link w:val="19"/>
    <w:qFormat/>
    <w:uiPriority w:val="1"/>
    <w:rPr>
      <w:rFonts w:ascii="宋体" w:hAnsi="宋体" w:cs="宋体"/>
      <w:sz w:val="24"/>
      <w:szCs w:val="24"/>
      <w:lang w:eastAsia="en-US"/>
    </w:rPr>
  </w:style>
  <w:style w:type="character" w:customStyle="1" w:styleId="68">
    <w:name w:val="纯文本 Char"/>
    <w:basedOn w:val="49"/>
    <w:link w:val="24"/>
    <w:qFormat/>
    <w:uiPriority w:val="0"/>
    <w:rPr>
      <w:rFonts w:ascii="宋体" w:hAnsi="Courier New" w:cs="Courier New"/>
      <w:sz w:val="22"/>
      <w:szCs w:val="21"/>
      <w:lang w:eastAsia="en-US"/>
    </w:rPr>
  </w:style>
  <w:style w:type="character" w:customStyle="1" w:styleId="69">
    <w:name w:val="页脚 Char"/>
    <w:basedOn w:val="49"/>
    <w:link w:val="29"/>
    <w:qFormat/>
    <w:uiPriority w:val="99"/>
    <w:rPr>
      <w:rFonts w:ascii="宋体" w:hAnsi="宋体" w:cs="宋体"/>
      <w:sz w:val="18"/>
      <w:szCs w:val="18"/>
      <w:lang w:eastAsia="en-US"/>
    </w:rPr>
  </w:style>
  <w:style w:type="character" w:customStyle="1" w:styleId="70">
    <w:name w:val="页眉 Char"/>
    <w:basedOn w:val="49"/>
    <w:link w:val="30"/>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49"/>
    <w:link w:val="18"/>
    <w:qFormat/>
    <w:uiPriority w:val="0"/>
    <w:rPr>
      <w:b/>
      <w:kern w:val="2"/>
      <w:sz w:val="21"/>
    </w:rPr>
  </w:style>
  <w:style w:type="character" w:customStyle="1" w:styleId="78">
    <w:name w:val="普通(网站) Char"/>
    <w:basedOn w:val="49"/>
    <w:link w:val="41"/>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49"/>
    <w:link w:val="16"/>
    <w:qFormat/>
    <w:uiPriority w:val="0"/>
    <w:rPr>
      <w:kern w:val="2"/>
      <w:sz w:val="21"/>
    </w:rPr>
  </w:style>
  <w:style w:type="character" w:customStyle="1" w:styleId="84">
    <w:name w:val="批注框文本 Char"/>
    <w:basedOn w:val="49"/>
    <w:link w:val="28"/>
    <w:qFormat/>
    <w:uiPriority w:val="0"/>
    <w:rPr>
      <w:kern w:val="2"/>
      <w:sz w:val="18"/>
      <w:szCs w:val="18"/>
    </w:rPr>
  </w:style>
  <w:style w:type="character" w:customStyle="1" w:styleId="85">
    <w:name w:val="正文文本缩进 3 Char"/>
    <w:basedOn w:val="49"/>
    <w:link w:val="35"/>
    <w:qFormat/>
    <w:uiPriority w:val="0"/>
    <w:rPr>
      <w:kern w:val="2"/>
      <w:sz w:val="28"/>
    </w:rPr>
  </w:style>
  <w:style w:type="character" w:customStyle="1" w:styleId="86">
    <w:name w:val="正文文本缩进 2 Char"/>
    <w:basedOn w:val="49"/>
    <w:link w:val="27"/>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Char"/>
    <w:basedOn w:val="49"/>
    <w:link w:val="43"/>
    <w:qFormat/>
    <w:uiPriority w:val="0"/>
    <w:rPr>
      <w:rFonts w:ascii="Arial" w:hAnsi="Arial" w:cs="Arial"/>
      <w:b/>
      <w:bCs/>
      <w:sz w:val="44"/>
      <w:szCs w:val="32"/>
    </w:rPr>
  </w:style>
  <w:style w:type="character" w:customStyle="1" w:styleId="91">
    <w:name w:val="正文文本缩进 Char"/>
    <w:basedOn w:val="49"/>
    <w:link w:val="20"/>
    <w:qFormat/>
    <w:uiPriority w:val="0"/>
    <w:rPr>
      <w:i/>
      <w:iCs/>
      <w:kern w:val="2"/>
      <w:sz w:val="21"/>
    </w:rPr>
  </w:style>
  <w:style w:type="character" w:customStyle="1" w:styleId="92">
    <w:name w:val="正文文本 3 Char"/>
    <w:basedOn w:val="49"/>
    <w:link w:val="17"/>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Char"/>
    <w:basedOn w:val="49"/>
    <w:link w:val="40"/>
    <w:qFormat/>
    <w:uiPriority w:val="0"/>
    <w:rPr>
      <w:rFonts w:ascii="Arial Unicode MS" w:hAnsi="Arial Unicode MS" w:eastAsia="Courier New" w:cs="Courier New"/>
    </w:rPr>
  </w:style>
  <w:style w:type="character" w:customStyle="1" w:styleId="96">
    <w:name w:val="文档结构图 Char"/>
    <w:basedOn w:val="49"/>
    <w:link w:val="15"/>
    <w:qFormat/>
    <w:uiPriority w:val="0"/>
    <w:rPr>
      <w:rFonts w:ascii="宋体"/>
      <w:sz w:val="28"/>
      <w:shd w:val="clear" w:color="auto" w:fill="000080"/>
    </w:rPr>
  </w:style>
  <w:style w:type="character" w:customStyle="1" w:styleId="97">
    <w:name w:val="日期 Char"/>
    <w:basedOn w:val="49"/>
    <w:link w:val="26"/>
    <w:qFormat/>
    <w:uiPriority w:val="0"/>
    <w:rPr>
      <w:kern w:val="2"/>
      <w:sz w:val="21"/>
      <w:szCs w:val="24"/>
    </w:rPr>
  </w:style>
  <w:style w:type="character" w:customStyle="1" w:styleId="98">
    <w:name w:val="正文文本 2 Char"/>
    <w:basedOn w:val="49"/>
    <w:link w:val="38"/>
    <w:qFormat/>
    <w:uiPriority w:val="0"/>
    <w:rPr>
      <w:kern w:val="2"/>
      <w:sz w:val="21"/>
      <w:szCs w:val="24"/>
    </w:rPr>
  </w:style>
  <w:style w:type="character" w:customStyle="1" w:styleId="99">
    <w:name w:val="正文首行缩进 Char"/>
    <w:basedOn w:val="87"/>
    <w:link w:val="45"/>
    <w:qFormat/>
    <w:uiPriority w:val="0"/>
    <w:rPr>
      <w:rFonts w:eastAsia="宋体"/>
      <w:sz w:val="21"/>
      <w:szCs w:val="21"/>
      <w:lang w:val="en-US" w:eastAsia="zh-CN" w:bidi="ar-SA"/>
    </w:rPr>
  </w:style>
  <w:style w:type="character" w:customStyle="1" w:styleId="100">
    <w:name w:val="批注主题 Char"/>
    <w:basedOn w:val="83"/>
    <w:link w:val="44"/>
    <w:qFormat/>
    <w:uiPriority w:val="0"/>
    <w:rPr>
      <w:b/>
      <w:bCs/>
      <w:kern w:val="2"/>
      <w:sz w:val="24"/>
      <w:szCs w:val="24"/>
    </w:rPr>
  </w:style>
  <w:style w:type="paragraph" w:customStyle="1" w:styleId="101">
    <w:name w:val="标题3(小3号)"/>
    <w:basedOn w:val="4"/>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49"/>
    <w:link w:val="39"/>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4"/>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3"/>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2"/>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29"/>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4"/>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4"/>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4"/>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3"/>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2"/>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3"/>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2"/>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2"/>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2"/>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3"/>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2"/>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3"/>
    <w:qFormat/>
    <w:uiPriority w:val="0"/>
    <w:rPr>
      <w:rFonts w:ascii="Cambria" w:hAnsi="Cambria"/>
      <w:b/>
      <w:bCs/>
      <w:kern w:val="28"/>
      <w:sz w:val="24"/>
      <w:szCs w:val="32"/>
    </w:rPr>
  </w:style>
  <w:style w:type="character" w:customStyle="1" w:styleId="209">
    <w:name w:val="副标题 Char1"/>
    <w:basedOn w:val="49"/>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17</Pages>
  <Words>8991</Words>
  <Characters>9439</Characters>
  <Lines>79</Lines>
  <Paragraphs>22</Paragraphs>
  <TotalTime>1</TotalTime>
  <ScaleCrop>false</ScaleCrop>
  <LinksUpToDate>false</LinksUpToDate>
  <CharactersWithSpaces>10314</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2023-05-05T00:46:00Z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2052-11.1.0.14036</vt:lpwstr>
  </property>
  <property fmtid="{D5CDD505-2E9C-101B-9397-08002B2CF9AE}" pid="6" name="ICV">
    <vt:lpwstr>7EFD1898B78A4345BC21372367C648C1</vt:lpwstr>
  </property>
</Properties>
</file>