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r>
        <w:rPr>
          <w:rFonts w:hint="eastAsia" w:ascii="微软雅黑" w:eastAsia="微软雅黑"/>
          <w:b/>
          <w:sz w:val="52"/>
          <w:szCs w:val="22"/>
          <w:u w:val="single"/>
          <w:lang w:val="en-US" w:eastAsia="zh-CN"/>
        </w:rPr>
        <w:t>热电厂磨煤机磨辊堆焊维修年约</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hint="eastAsia"/>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FHC-PTCG20230414004</w:t>
      </w:r>
      <w:r>
        <w:rPr>
          <w:rFonts w:hint="eastAsia"/>
          <w:color w:val="000000" w:themeColor="text1"/>
          <w:sz w:val="28"/>
          <w:szCs w:val="28"/>
          <w:lang w:eastAsia="zh-CN"/>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center"/>
        <w:textAlignment w:val="auto"/>
        <w:rPr>
          <w:b/>
          <w:bCs/>
          <w:sz w:val="32"/>
          <w:lang w:eastAsia="zh-CN"/>
        </w:rPr>
      </w:pPr>
      <w:r>
        <w:rPr>
          <w:rFonts w:hint="eastAsia"/>
          <w:b/>
          <w:bCs/>
          <w:sz w:val="32"/>
          <w:lang w:eastAsia="zh-CN"/>
        </w:rPr>
        <w:t>福建福海创石油化工有限公司磨煤机磨辊堆焊维修年约项目比选公告</w:t>
      </w:r>
    </w:p>
    <w:p>
      <w:pPr>
        <w:pStyle w:val="20"/>
        <w:keepNext w:val="0"/>
        <w:keepLines w:val="0"/>
        <w:pageBreakBefore w:val="0"/>
        <w:widowControl w:val="0"/>
        <w:kinsoku/>
        <w:wordWrap/>
        <w:overflowPunct/>
        <w:topLinePunct w:val="0"/>
        <w:autoSpaceDE w:val="0"/>
        <w:autoSpaceDN w:val="0"/>
        <w:bidi w:val="0"/>
        <w:adjustRightInd/>
        <w:snapToGrid/>
        <w:spacing w:line="600" w:lineRule="exact"/>
        <w:ind w:firstLine="562" w:firstLineChars="200"/>
        <w:jc w:val="both"/>
        <w:textAlignment w:val="auto"/>
        <w:rPr>
          <w:b/>
          <w:sz w:val="28"/>
          <w:lang w:eastAsia="zh-CN"/>
        </w:rPr>
      </w:pPr>
    </w:p>
    <w:p>
      <w:pPr>
        <w:pStyle w:val="20"/>
        <w:keepNext w:val="0"/>
        <w:keepLines w:val="0"/>
        <w:pageBreakBefore w:val="0"/>
        <w:widowControl w:val="0"/>
        <w:kinsoku/>
        <w:wordWrap/>
        <w:overflowPunct/>
        <w:topLinePunct w:val="0"/>
        <w:autoSpaceDE w:val="0"/>
        <w:autoSpaceDN w:val="0"/>
        <w:bidi w:val="0"/>
        <w:adjustRightInd/>
        <w:snapToGrid/>
        <w:spacing w:before="26" w:line="600" w:lineRule="exact"/>
        <w:ind w:right="121" w:firstLine="480" w:firstLineChars="200"/>
        <w:jc w:val="both"/>
        <w:textAlignment w:val="auto"/>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福建福海创石油化工有限公司磨煤机磨辊堆焊维修年约项目</w:t>
      </w:r>
      <w:r>
        <w:rPr>
          <w:color w:val="000000" w:themeColor="text1"/>
          <w:u w:val="single"/>
          <w:lang w:eastAsia="zh-CN"/>
        </w:rPr>
        <w:t>采购</w:t>
      </w:r>
      <w:r>
        <w:rPr>
          <w:rFonts w:hint="eastAsia"/>
          <w:color w:val="000000" w:themeColor="text1"/>
          <w:u w:val="single"/>
          <w:lang w:eastAsia="zh-CN"/>
        </w:rPr>
        <w:t>（项目编号：</w:t>
      </w:r>
      <w:r>
        <w:rPr>
          <w:rFonts w:hint="eastAsia"/>
          <w:color w:val="000000" w:themeColor="text1"/>
          <w:u w:val="single"/>
          <w:lang w:val="en-US" w:eastAsia="zh-CN"/>
        </w:rPr>
        <w:t>FHC-PTCG20230414004</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项目名称：福建福海创石油化工有限公司磨煤机磨辊堆焊维修年约项目</w:t>
      </w:r>
      <w:r>
        <w:rPr>
          <w:sz w:val="24"/>
          <w:szCs w:val="24"/>
          <w:lang w:eastAsia="zh-CN"/>
        </w:rPr>
        <w:t>采购</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附件1、《腾龙芳烃（漳州）有限公司供热中心磨辊堆焊技术规范》。</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未税30</w:t>
      </w:r>
      <w:r>
        <w:rPr>
          <w:sz w:val="24"/>
          <w:szCs w:val="24"/>
          <w:lang w:eastAsia="zh-CN"/>
        </w:rPr>
        <w:t>万元</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1.参选人必须具备有效的企业法人营业执照，参选单位应是具备独立法人资格且有能力按我司需求提供货物及服务的厂商。</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投标方必须具有独立法人资格、并具有电站锅炉中速磨煤机磨辊套堆焊能力及相应的加工设备及场所。</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sz w:val="24"/>
          <w:szCs w:val="24"/>
          <w:lang w:eastAsia="zh-CN"/>
        </w:rPr>
      </w:pPr>
      <w:r>
        <w:rPr>
          <w:rFonts w:hint="eastAsia" w:cs="宋体"/>
          <w:sz w:val="24"/>
          <w:szCs w:val="24"/>
          <w:lang w:val="en-US" w:eastAsia="zh-CN"/>
        </w:rPr>
        <w:t>4.</w:t>
      </w:r>
      <w:r>
        <w:rPr>
          <w:rFonts w:hint="eastAsia" w:ascii="宋体" w:hAnsi="宋体" w:eastAsia="宋体" w:cs="宋体"/>
          <w:sz w:val="24"/>
          <w:szCs w:val="24"/>
        </w:rPr>
        <w:t>投标方须提供磨辊堆焊业绩，相类似辊套堆焊不少于100台。</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报名成功后，参选人须与现场技术人员进行前期技术交流，需详细阅读比选项目说明，并按照相关要求提供相关方案。技术交流后经比选人技术人员确认合格</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签订技术协议书后，参选人方可参与后续比选，未进行报名和技术交流确认</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未签订技术协议书的参选人不能参加比选。技术交流及技术协议签订时间暂定为报名截止后15天内完成。</w:t>
      </w:r>
    </w:p>
    <w:p>
      <w:pPr>
        <w:keepNext w:val="0"/>
        <w:keepLines w:val="0"/>
        <w:pageBreakBefore w:val="0"/>
        <w:widowControl w:val="0"/>
        <w:numPr>
          <w:ilvl w:val="0"/>
          <w:numId w:val="7"/>
        </w:numPr>
        <w:tabs>
          <w:tab w:val="left" w:pos="709"/>
          <w:tab w:val="clear" w:pos="312"/>
        </w:tabs>
        <w:kinsoku/>
        <w:wordWrap/>
        <w:overflowPunct/>
        <w:topLinePunct w:val="0"/>
        <w:autoSpaceDE w:val="0"/>
        <w:autoSpaceDN w:val="0"/>
        <w:bidi w:val="0"/>
        <w:adjustRightInd/>
        <w:snapToGrid/>
        <w:spacing w:line="600" w:lineRule="exact"/>
        <w:ind w:left="-40" w:leftChars="0" w:firstLine="480" w:firstLineChars="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获取比选文件：本项目比选文件待比选人确认合格的参选人后统一邮件发送，不合格的参选人不予发送。</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257" w:firstLineChars="100"/>
        <w:jc w:val="both"/>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评选方法：</w:t>
      </w:r>
    </w:p>
    <w:p>
      <w:pPr>
        <w:pStyle w:val="20"/>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119" w:rightChars="0" w:firstLine="240" w:firstLineChars="100"/>
        <w:jc w:val="both"/>
        <w:textAlignment w:val="auto"/>
        <w:rPr>
          <w:rFonts w:hint="default"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采用商务报价决标评选的方式，从价格和付款方式两方面进行评选，满足</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（1）付款条件：货到验收合格付90%，留10%质保；</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（2）未税总价最低者作为第一中选人，以此类推。</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257" w:firstLineChars="1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534" w:firstLineChars="200"/>
        <w:jc w:val="both"/>
        <w:textAlignment w:val="auto"/>
        <w:rPr>
          <w:b/>
          <w:w w:val="95"/>
          <w:sz w:val="28"/>
          <w:lang w:eastAsia="zh-CN"/>
        </w:rPr>
      </w:pPr>
      <w:r>
        <w:rPr>
          <w:rFonts w:hint="eastAsia"/>
          <w:b/>
          <w:w w:val="95"/>
          <w:sz w:val="28"/>
          <w:lang w:val="en-US" w:eastAsia="zh-CN"/>
        </w:rPr>
        <w:t>六</w:t>
      </w:r>
      <w:r>
        <w:rPr>
          <w:b/>
          <w:w w:val="95"/>
          <w:sz w:val="28"/>
          <w:lang w:eastAsia="zh-CN"/>
        </w:rPr>
        <w:t>、参选保证金</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jc w:val="both"/>
        <w:textAlignment w:val="auto"/>
        <w:rPr>
          <w:color w:val="000000" w:themeColor="text1"/>
          <w:lang w:eastAsia="zh-CN"/>
        </w:rPr>
      </w:pPr>
      <w:r>
        <w:rPr>
          <w:rFonts w:hint="eastAsia"/>
          <w:lang w:eastAsia="zh-CN"/>
        </w:rPr>
        <w:t xml:space="preserve">     1.确认技术合格单位后，</w:t>
      </w:r>
      <w:bookmarkStart w:id="1" w:name="_GoBack"/>
      <w:bookmarkEnd w:id="1"/>
      <w:r>
        <w:rPr>
          <w:rFonts w:hint="eastAsia"/>
          <w:lang w:eastAsia="zh-CN"/>
        </w:rPr>
        <w:t>参选单位应缴纳参选保证金，保证金</w:t>
      </w:r>
      <w:r>
        <w:rPr>
          <w:rFonts w:hint="eastAsia"/>
          <w:color w:val="000000" w:themeColor="text1"/>
          <w:lang w:eastAsia="zh-CN"/>
        </w:rPr>
        <w:t>金额</w:t>
      </w:r>
      <w:r>
        <w:rPr>
          <w:rFonts w:hint="eastAsia"/>
          <w:color w:val="000000" w:themeColor="text1"/>
          <w:lang w:val="en-US" w:eastAsia="zh-CN"/>
        </w:rPr>
        <w:t>1</w:t>
      </w:r>
      <w:r>
        <w:rPr>
          <w:rFonts w:hint="eastAsia"/>
          <w:color w:val="000000" w:themeColor="text1"/>
          <w:lang w:eastAsia="zh-CN"/>
        </w:rPr>
        <w:t>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jc w:val="both"/>
        <w:textAlignment w:val="auto"/>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开户银行</w:t>
      </w:r>
      <w:r>
        <w:rPr>
          <w:rFonts w:hint="eastAsia" w:ascii="宋体" w:hAnsi="宋体" w:eastAsia="宋体" w:cs="宋体"/>
          <w:color w:val="000000" w:themeColor="text1"/>
          <w:lang w:val="en-US" w:eastAsia="zh-CN"/>
        </w:rPr>
        <w:t>：中国银行股份有限公司漳州古雷经济开发区支行</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jc w:val="both"/>
        <w:textAlignment w:val="auto"/>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 xml:space="preserve">    帐  号：406574816628</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jc w:val="both"/>
        <w:textAlignment w:val="auto"/>
        <w:rPr>
          <w:color w:val="000000" w:themeColor="text1"/>
          <w:lang w:eastAsia="zh-CN"/>
        </w:rPr>
      </w:pPr>
      <w:r>
        <w:rPr>
          <w:rFonts w:hint="eastAsia"/>
          <w:color w:val="000000" w:themeColor="text1"/>
          <w:lang w:eastAsia="zh-CN"/>
        </w:rPr>
        <w:t xml:space="preserve">    注明用途：</w:t>
      </w:r>
      <w:r>
        <w:rPr>
          <w:rFonts w:hint="eastAsia" w:ascii="宋体" w:hAnsi="宋体" w:eastAsia="宋体" w:cs="宋体"/>
          <w:color w:val="000000" w:themeColor="text1"/>
          <w:lang w:eastAsia="zh-CN"/>
        </w:rPr>
        <w:t>福建福海创石油化工有限公司磨煤机磨辊堆焊维修年约项目</w:t>
      </w:r>
      <w:r>
        <w:rPr>
          <w:rFonts w:hint="eastAsia"/>
          <w:color w:val="000000" w:themeColor="text1"/>
          <w:lang w:eastAsia="zh-CN"/>
        </w:rPr>
        <w:t>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jc w:val="both"/>
        <w:textAlignment w:val="auto"/>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lang w:eastAsia="zh-CN"/>
        </w:rPr>
      </w:pPr>
      <w:r>
        <w:rPr>
          <w:rFonts w:hint="eastAsia"/>
          <w:lang w:eastAsia="zh-CN"/>
        </w:rPr>
        <w:t>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jc w:val="both"/>
        <w:textAlignment w:val="auto"/>
        <w:rPr>
          <w:lang w:eastAsia="zh-CN"/>
        </w:rPr>
      </w:pPr>
      <w:r>
        <w:rPr>
          <w:rFonts w:hint="eastAsia"/>
          <w:lang w:eastAsia="zh-CN"/>
        </w:rPr>
        <w:t>3.比选结束退还未中选者的比选保证金（无息），最迟不超过规定的比选有效期满后的20天；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2" w:firstLineChars="200"/>
        <w:jc w:val="both"/>
        <w:textAlignment w:val="auto"/>
        <w:rPr>
          <w:color w:val="000000" w:themeColor="text1"/>
          <w:lang w:eastAsia="zh-CN"/>
        </w:rPr>
      </w:pPr>
      <w:r>
        <w:rPr>
          <w:rFonts w:hint="eastAsia"/>
          <w:b/>
          <w:lang w:eastAsia="zh-CN"/>
        </w:rPr>
        <w:t>4.中选者的参选保证金将直接转为履约保证金；</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jc w:val="both"/>
        <w:textAlignment w:val="auto"/>
        <w:rPr>
          <w:lang w:eastAsia="zh-CN"/>
        </w:rPr>
      </w:pPr>
      <w:r>
        <w:rPr>
          <w:rFonts w:hint="eastAsia"/>
          <w:lang w:eastAsia="zh-CN"/>
        </w:rPr>
        <w:t xml:space="preserve">    5.如有下列情况发生，将被没收参选保证金：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jc w:val="both"/>
        <w:textAlignment w:val="auto"/>
        <w:rPr>
          <w:lang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600" w:lineRule="exact"/>
        <w:ind w:firstLine="514" w:firstLineChars="200"/>
        <w:jc w:val="both"/>
        <w:textAlignment w:val="auto"/>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7"/>
          <w:rFonts w:hint="eastAsia"/>
          <w:sz w:val="24"/>
          <w:szCs w:val="24"/>
          <w:lang w:val="en-US" w:eastAsia="zh-CN"/>
        </w:rPr>
        <w:t>xumx</w:t>
      </w:r>
      <w:r>
        <w:rPr>
          <w:rStyle w:val="57"/>
          <w:rFonts w:hint="eastAsia"/>
          <w:sz w:val="24"/>
          <w:szCs w:val="24"/>
          <w:lang w:eastAsia="zh-CN"/>
        </w:rPr>
        <w:t>@fhcpec.com.cn</w:t>
      </w:r>
      <w:r>
        <w:rPr>
          <w:rFonts w:hint="eastAsia"/>
          <w:color w:val="000000" w:themeColor="text1"/>
          <w:sz w:val="24"/>
          <w:szCs w:val="24"/>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rFonts w:hint="eastAsia"/>
          <w:lang w:eastAsia="zh-CN"/>
        </w:rPr>
      </w:pP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lang w:eastAsia="zh-CN"/>
        </w:rPr>
      </w:pPr>
      <w:r>
        <w:rPr>
          <w:rFonts w:hint="eastAsia"/>
          <w:lang w:eastAsia="zh-CN"/>
        </w:rPr>
        <w:t>技术联系人</w:t>
      </w:r>
      <w:r>
        <w:rPr>
          <w:rFonts w:hint="eastAsia" w:ascii="宋体" w:hAnsi="宋体" w:eastAsia="宋体" w:cs="宋体"/>
          <w:color w:val="000000" w:themeColor="text1"/>
          <w:sz w:val="24"/>
          <w:szCs w:val="24"/>
          <w:lang w:val="en-US" w:eastAsia="zh-CN"/>
        </w:rPr>
        <w:t>：</w:t>
      </w:r>
      <w:r>
        <w:rPr>
          <w:rFonts w:hint="eastAsia" w:ascii="宋体" w:hAnsi="宋体" w:eastAsia="宋体" w:cs="宋体"/>
          <w:color w:val="000000" w:themeColor="text1"/>
          <w:sz w:val="24"/>
          <w:szCs w:val="24"/>
          <w:lang w:val="en-US" w:eastAsia="zh-CN"/>
        </w:rPr>
        <w:fldChar w:fldCharType="begin"/>
      </w:r>
      <w:r>
        <w:rPr>
          <w:rFonts w:hint="eastAsia" w:ascii="宋体" w:hAnsi="宋体" w:eastAsia="宋体" w:cs="宋体"/>
          <w:color w:val="000000" w:themeColor="text1"/>
          <w:sz w:val="24"/>
          <w:szCs w:val="24"/>
          <w:lang w:val="en-US" w:eastAsia="zh-CN"/>
        </w:rPr>
        <w:instrText xml:space="preserve"> HYPERLINK "javascript:showV3XMemberCard('5864762661374609370',window)" \o "郑金明" </w:instrText>
      </w:r>
      <w:r>
        <w:rPr>
          <w:rFonts w:hint="eastAsia" w:ascii="宋体" w:hAnsi="宋体" w:eastAsia="宋体" w:cs="宋体"/>
          <w:color w:val="000000" w:themeColor="text1"/>
          <w:sz w:val="24"/>
          <w:szCs w:val="24"/>
          <w:lang w:val="en-US" w:eastAsia="zh-CN"/>
        </w:rPr>
        <w:fldChar w:fldCharType="separate"/>
      </w:r>
      <w:r>
        <w:rPr>
          <w:rFonts w:hint="default" w:ascii="宋体" w:hAnsi="宋体" w:eastAsia="宋体" w:cs="宋体"/>
          <w:color w:val="000000" w:themeColor="text1"/>
          <w:sz w:val="24"/>
          <w:szCs w:val="24"/>
          <w:lang w:val="en-US" w:eastAsia="zh-CN"/>
        </w:rPr>
        <w:t>郑金明</w:t>
      </w:r>
      <w:r>
        <w:rPr>
          <w:rFonts w:hint="default" w:ascii="宋体" w:hAnsi="宋体" w:eastAsia="宋体" w:cs="宋体"/>
          <w:color w:val="000000" w:themeColor="text1"/>
          <w:sz w:val="24"/>
          <w:szCs w:val="24"/>
          <w:lang w:val="en-US" w:eastAsia="zh-CN"/>
        </w:rPr>
        <w:fldChar w:fldCharType="end"/>
      </w:r>
      <w:r>
        <w:rPr>
          <w:rFonts w:hint="eastAsia" w:ascii="宋体" w:hAnsi="宋体" w:eastAsia="宋体" w:cs="宋体"/>
          <w:color w:val="000000" w:themeColor="text1"/>
          <w:sz w:val="24"/>
          <w:szCs w:val="24"/>
          <w:lang w:val="en-US" w:eastAsia="zh-CN"/>
        </w:rPr>
        <w:t xml:space="preserve"> 15059601595，zhengjm@fhcpec.com.cn</w:t>
      </w:r>
      <w:r>
        <w:rPr>
          <w:rFonts w:hint="default" w:ascii="宋体" w:hAnsi="宋体" w:eastAsia="宋体" w:cs="宋体"/>
          <w:color w:val="000000" w:themeColor="text1"/>
          <w:sz w:val="24"/>
          <w:szCs w:val="24"/>
          <w:lang w:val="en-US" w:eastAsia="zh-CN"/>
        </w:rPr>
        <w:t>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rFonts w:hint="eastAsia"/>
          <w:color w:val="000000" w:themeColor="text1"/>
          <w:sz w:val="24"/>
          <w:szCs w:val="24"/>
          <w:lang w:eastAsia="zh-CN"/>
        </w:rPr>
        <w:t>邮    编：363216</w:t>
      </w:r>
    </w:p>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3"/>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福建福海创石油化工有限公司磨煤机磨辊堆焊维修年约项目</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w:t>
      </w:r>
      <w:r>
        <w:rPr>
          <w:rFonts w:hint="eastAsia" w:asciiTheme="minorEastAsia" w:hAnsiTheme="minorEastAsia" w:eastAsiaTheme="minorEastAsia"/>
          <w:lang w:eastAsia="zh-CN"/>
        </w:rPr>
        <w:t>暂定总价固定单价据实结算。</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附件1、《腾龙芳烃（漳州）有限公司供热中心磨辊堆焊技术规范》。</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rFonts w:hint="eastAsia" w:ascii="宋体" w:hAnsi="宋体" w:eastAsia="宋体" w:cs="宋体"/>
          <w:color w:val="000000" w:themeColor="text1"/>
          <w:sz w:val="24"/>
          <w:szCs w:val="24"/>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ascii="宋体" w:hAnsi="宋体" w:eastAsia="宋体" w:cs="宋体"/>
          <w:color w:val="000000" w:themeColor="text1"/>
          <w:sz w:val="24"/>
          <w:szCs w:val="24"/>
          <w:lang w:val="en-US" w:eastAsia="zh-CN"/>
        </w:rPr>
        <w:t>：</w:t>
      </w:r>
      <w:r>
        <w:rPr>
          <w:rFonts w:hint="eastAsia" w:ascii="宋体" w:hAnsi="宋体" w:eastAsia="宋体" w:cs="宋体"/>
          <w:color w:val="000000" w:themeColor="text1"/>
          <w:sz w:val="24"/>
          <w:szCs w:val="24"/>
          <w:lang w:val="en-US" w:eastAsia="zh-CN"/>
        </w:rPr>
        <w:fldChar w:fldCharType="begin"/>
      </w:r>
      <w:r>
        <w:rPr>
          <w:rFonts w:hint="eastAsia" w:ascii="宋体" w:hAnsi="宋体" w:eastAsia="宋体" w:cs="宋体"/>
          <w:color w:val="000000" w:themeColor="text1"/>
          <w:sz w:val="24"/>
          <w:szCs w:val="24"/>
          <w:lang w:val="en-US" w:eastAsia="zh-CN"/>
        </w:rPr>
        <w:instrText xml:space="preserve"> HYPERLINK "javascript:showV3XMemberCard('5864762661374609370',window)" \o "郑金明" </w:instrText>
      </w:r>
      <w:r>
        <w:rPr>
          <w:rFonts w:hint="eastAsia" w:ascii="宋体" w:hAnsi="宋体" w:eastAsia="宋体" w:cs="宋体"/>
          <w:color w:val="000000" w:themeColor="text1"/>
          <w:sz w:val="24"/>
          <w:szCs w:val="24"/>
          <w:lang w:val="en-US" w:eastAsia="zh-CN"/>
        </w:rPr>
        <w:fldChar w:fldCharType="separate"/>
      </w:r>
      <w:r>
        <w:rPr>
          <w:rFonts w:hint="default" w:ascii="宋体" w:hAnsi="宋体" w:eastAsia="宋体" w:cs="宋体"/>
          <w:color w:val="000000" w:themeColor="text1"/>
          <w:sz w:val="24"/>
          <w:szCs w:val="24"/>
          <w:lang w:val="en-US" w:eastAsia="zh-CN"/>
        </w:rPr>
        <w:t>郑金明</w:t>
      </w:r>
      <w:r>
        <w:rPr>
          <w:rFonts w:hint="default" w:ascii="宋体" w:hAnsi="宋体" w:eastAsia="宋体" w:cs="宋体"/>
          <w:color w:val="000000" w:themeColor="text1"/>
          <w:sz w:val="24"/>
          <w:szCs w:val="24"/>
          <w:lang w:val="en-US" w:eastAsia="zh-CN"/>
        </w:rPr>
        <w:fldChar w:fldCharType="end"/>
      </w:r>
      <w:r>
        <w:rPr>
          <w:rFonts w:hint="eastAsia" w:ascii="宋体" w:hAnsi="宋体" w:eastAsia="宋体" w:cs="宋体"/>
          <w:color w:val="000000" w:themeColor="text1"/>
          <w:sz w:val="24"/>
          <w:szCs w:val="24"/>
          <w:lang w:val="en-US" w:eastAsia="zh-CN"/>
        </w:rPr>
        <w:t xml:space="preserve"> 15059601595，zhengjm@fhcpec.com.cn</w:t>
      </w:r>
      <w:r>
        <w:rPr>
          <w:rFonts w:hint="default" w:ascii="宋体" w:hAnsi="宋体" w:eastAsia="宋体" w:cs="宋体"/>
          <w:color w:val="000000" w:themeColor="text1"/>
          <w:sz w:val="24"/>
          <w:szCs w:val="24"/>
          <w:lang w:val="en-US"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500" w:lineRule="exact"/>
        <w:ind w:firstLine="480" w:firstLineChars="20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1.参选人必须具备有效的企业法人营业执照，参选单位应是具备独立法人资格且有能力按我司需求提供货物及服务的厂商。</w:t>
      </w:r>
      <w:r>
        <w:rPr>
          <w:rFonts w:hint="eastAsia" w:ascii="宋体" w:hAnsi="宋体" w:eastAsia="宋体" w:cs="宋体"/>
          <w:sz w:val="24"/>
          <w:szCs w:val="24"/>
          <w:lang w:val="en-US" w:eastAsia="zh-CN" w:bidi="ar-SA"/>
        </w:rPr>
        <w:br w:type="textWrapping"/>
      </w:r>
      <w:r>
        <w:rPr>
          <w:rFonts w:hint="eastAsia" w:ascii="宋体" w:hAnsi="宋体" w:eastAsia="宋体" w:cs="宋体"/>
          <w:sz w:val="24"/>
          <w:szCs w:val="24"/>
          <w:lang w:val="en-US" w:eastAsia="zh-CN" w:bidi="ar-SA"/>
        </w:rPr>
        <w:t xml:space="preserve">    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500" w:lineRule="exact"/>
        <w:ind w:firstLine="480" w:firstLineChars="20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3.投标方必须具有独立法人资格、并具有电站锅炉中速磨煤机磨辊套堆焊能力及相应的加工设备及场所。</w:t>
      </w:r>
    </w:p>
    <w:p>
      <w:pPr>
        <w:keepNext w:val="0"/>
        <w:keepLines w:val="0"/>
        <w:pageBreakBefore w:val="0"/>
        <w:widowControl w:val="0"/>
        <w:tabs>
          <w:tab w:val="left" w:pos="709"/>
        </w:tabs>
        <w:kinsoku/>
        <w:wordWrap/>
        <w:overflowPunct/>
        <w:topLinePunct w:val="0"/>
        <w:autoSpaceDE w:val="0"/>
        <w:autoSpaceDN w:val="0"/>
        <w:bidi w:val="0"/>
        <w:adjustRightInd/>
        <w:snapToGrid/>
        <w:spacing w:line="500" w:lineRule="exact"/>
        <w:ind w:firstLine="480" w:firstLineChars="20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4.投标方须提供磨辊堆焊业绩，相类似辊套堆焊不少于100台。</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w:t>
      </w:r>
      <w:r>
        <w:rPr>
          <w:rFonts w:hint="eastAsia"/>
          <w:color w:val="000000" w:themeColor="text1"/>
          <w:lang w:eastAsia="zh-CN"/>
        </w:rPr>
        <w:t>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360" w:lineRule="auto"/>
        <w:ind w:right="121" w:firstLine="480" w:firstLineChars="2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开户银行</w:t>
      </w:r>
      <w:r>
        <w:rPr>
          <w:rFonts w:hint="eastAsia" w:ascii="宋体" w:hAnsi="宋体" w:eastAsia="宋体" w:cs="宋体"/>
          <w:color w:val="000000" w:themeColor="text1"/>
          <w:lang w:val="en-US" w:eastAsia="zh-CN"/>
        </w:rPr>
        <w:t>：中国银行股份有限公司漳州古雷经济开发区支行</w:t>
      </w:r>
    </w:p>
    <w:p>
      <w:pPr>
        <w:pStyle w:val="20"/>
        <w:spacing w:line="360" w:lineRule="auto"/>
        <w:ind w:right="121"/>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 xml:space="preserve">    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ascii="宋体" w:hAnsi="宋体" w:eastAsia="宋体" w:cs="宋体"/>
          <w:color w:val="000000" w:themeColor="text1"/>
          <w:lang w:eastAsia="zh-CN"/>
        </w:rPr>
        <w:t>福建福海创石油化工有限公司磨煤机磨辊堆焊维修年约项目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3"/>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未税30</w:t>
      </w:r>
      <w:r>
        <w:rPr>
          <w:rFonts w:hint="eastAsia"/>
          <w:b/>
          <w:color w:val="FF0000"/>
          <w:lang w:eastAsia="zh-CN"/>
        </w:rPr>
        <w:t>万元整（</w:t>
      </w:r>
      <w:r>
        <w:rPr>
          <w:rFonts w:hint="eastAsia"/>
          <w:b/>
          <w:color w:val="FF0000"/>
          <w:lang w:val="en-US" w:eastAsia="zh-CN"/>
        </w:rPr>
        <w:t>暂估</w:t>
      </w:r>
      <w:r>
        <w:rPr>
          <w:rFonts w:hint="eastAsia"/>
          <w:b/>
          <w:color w:val="FF0000"/>
          <w:lang w:eastAsia="zh-CN"/>
        </w:rPr>
        <w:t>总价）</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xumx</w:t>
      </w:r>
      <w:r>
        <w:rPr>
          <w:rFonts w:hint="eastAsia"/>
          <w:lang w:eastAsia="zh-CN"/>
        </w:rPr>
        <w:t>@fhcpec.com.cn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eastAsia="宋体" w:cs="Times New Roman"/>
          <w:color w:val="FF0000"/>
          <w:lang w:eastAsia="zh-CN"/>
        </w:rPr>
        <w:t>“腾龙芳烃（漳州）有限公司”</w:t>
      </w:r>
      <w:r>
        <w:rPr>
          <w:rStyle w:val="51"/>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bookmarkStart w:id="0" w:name="_Toc251742852"/>
      <w:r>
        <w:rPr>
          <w:rFonts w:hint="eastAsia" w:ascii="Times New Roman"/>
          <w:b/>
          <w:bCs/>
          <w:lang w:eastAsia="zh-CN"/>
        </w:rPr>
        <w:t>附件一：</w:t>
      </w:r>
    </w:p>
    <w:p>
      <w:pPr>
        <w:spacing w:line="400" w:lineRule="exact"/>
        <w:jc w:val="center"/>
        <w:rPr>
          <w:rFonts w:ascii="Arial" w:hAnsi="Arial" w:cs="Arial"/>
          <w:b/>
          <w:sz w:val="32"/>
          <w:szCs w:val="32"/>
          <w:lang w:eastAsia="zh-CN"/>
        </w:rPr>
      </w:pPr>
      <w:r>
        <w:rPr>
          <w:rFonts w:hint="eastAsia" w:ascii="Arial" w:hAnsi="Arial" w:cs="Arial"/>
          <w:b/>
          <w:sz w:val="32"/>
          <w:szCs w:val="32"/>
          <w:lang w:eastAsia="zh-CN"/>
        </w:rPr>
        <w:t>腾龙芳烃（漳州）有限公司</w:t>
      </w:r>
    </w:p>
    <w:p>
      <w:pPr>
        <w:spacing w:line="400" w:lineRule="exact"/>
        <w:jc w:val="center"/>
        <w:rPr>
          <w:rFonts w:ascii="Arial" w:hAnsi="Arial" w:cs="Arial"/>
          <w:b/>
          <w:sz w:val="32"/>
          <w:szCs w:val="32"/>
          <w:lang w:eastAsia="zh-CN"/>
        </w:rPr>
      </w:pPr>
      <w:r>
        <w:rPr>
          <w:rFonts w:hint="eastAsia" w:ascii="Arial" w:hAnsi="Arial" w:cs="Arial"/>
          <w:b/>
          <w:sz w:val="32"/>
          <w:szCs w:val="32"/>
          <w:lang w:eastAsia="zh-CN"/>
        </w:rPr>
        <w:t>热电厂磨煤机磨辊堆焊维修年约</w:t>
      </w:r>
      <w:r>
        <w:rPr>
          <w:rFonts w:ascii="Arial" w:hAnsi="Arial" w:cs="Arial"/>
          <w:b/>
          <w:sz w:val="32"/>
          <w:szCs w:val="32"/>
          <w:lang w:eastAsia="zh-CN"/>
        </w:rPr>
        <w:t>合同</w:t>
      </w:r>
    </w:p>
    <w:p>
      <w:pPr>
        <w:spacing w:line="360" w:lineRule="auto"/>
        <w:jc w:val="center"/>
        <w:rPr>
          <w:rFonts w:cs="Arial"/>
          <w:sz w:val="24"/>
          <w:lang w:eastAsia="zh-CN"/>
        </w:rPr>
      </w:pPr>
      <w:r>
        <w:rPr>
          <w:rFonts w:hint="eastAsia" w:cs="Arial"/>
          <w:sz w:val="24"/>
          <w:lang w:eastAsia="zh-CN"/>
        </w:rPr>
        <w:t xml:space="preserve">               合同编号：</w:t>
      </w:r>
      <w:r>
        <w:rPr>
          <w:rFonts w:cs="Arial"/>
          <w:sz w:val="24"/>
          <w:lang w:eastAsia="zh-CN"/>
        </w:rPr>
        <w:t xml:space="preserve"> </w:t>
      </w:r>
    </w:p>
    <w:p>
      <w:pPr>
        <w:spacing w:line="360" w:lineRule="auto"/>
        <w:jc w:val="center"/>
        <w:rPr>
          <w:rFonts w:cs="Arial"/>
          <w:sz w:val="24"/>
          <w:lang w:eastAsia="zh-CN"/>
        </w:rPr>
      </w:pPr>
      <w:r>
        <w:rPr>
          <w:rFonts w:hint="eastAsia" w:cs="Arial"/>
          <w:sz w:val="24"/>
          <w:lang w:eastAsia="zh-CN"/>
        </w:rPr>
        <w:t xml:space="preserve">                                 签订日期：</w:t>
      </w:r>
      <w:r>
        <w:rPr>
          <w:rFonts w:hint="eastAsia" w:cs="Arial"/>
          <w:sz w:val="24"/>
          <w:lang w:val="en-US" w:eastAsia="zh-CN"/>
        </w:rPr>
        <w:t>2023</w:t>
      </w:r>
      <w:r>
        <w:rPr>
          <w:rFonts w:hint="eastAsia" w:cs="Arial"/>
          <w:sz w:val="24"/>
          <w:lang w:eastAsia="zh-CN"/>
        </w:rPr>
        <w:t>年</w:t>
      </w:r>
      <w:r>
        <w:rPr>
          <w:rFonts w:hint="eastAsia" w:cs="Arial"/>
          <w:sz w:val="24"/>
          <w:lang w:val="en-US" w:eastAsia="zh-CN"/>
        </w:rPr>
        <w:t xml:space="preserve">  </w:t>
      </w:r>
      <w:r>
        <w:rPr>
          <w:rFonts w:hint="eastAsia" w:cs="Arial"/>
          <w:sz w:val="24"/>
          <w:lang w:eastAsia="zh-CN"/>
        </w:rPr>
        <w:t xml:space="preserve"> 月    日 </w:t>
      </w:r>
    </w:p>
    <w:p>
      <w:pPr>
        <w:pStyle w:val="42"/>
        <w:spacing w:before="0" w:beforeAutospacing="0" w:after="0" w:afterAutospacing="0" w:line="360" w:lineRule="auto"/>
        <w:rPr>
          <w:rFonts w:asciiTheme="majorEastAsia" w:hAnsiTheme="majorEastAsia" w:eastAsiaTheme="majorEastAsia"/>
          <w:color w:val="3C3C3C"/>
        </w:rPr>
      </w:pPr>
      <w:r>
        <w:rPr>
          <w:rFonts w:hint="eastAsia" w:asciiTheme="majorEastAsia" w:hAnsiTheme="majorEastAsia" w:eastAsiaTheme="majorEastAsia"/>
          <w:color w:val="3C3C3C"/>
        </w:rPr>
        <w:t>发包人(甲方)：腾龙芳烃（漳州）有限公司</w:t>
      </w:r>
    </w:p>
    <w:p>
      <w:pPr>
        <w:pStyle w:val="42"/>
        <w:spacing w:before="0" w:beforeAutospacing="0" w:after="0" w:afterAutospacing="0" w:line="360" w:lineRule="auto"/>
        <w:rPr>
          <w:rFonts w:asciiTheme="majorEastAsia" w:hAnsiTheme="majorEastAsia" w:eastAsiaTheme="majorEastAsia"/>
          <w:color w:val="3C3C3C"/>
        </w:rPr>
      </w:pPr>
      <w:r>
        <w:rPr>
          <w:rFonts w:hint="eastAsia" w:asciiTheme="majorEastAsia" w:hAnsiTheme="majorEastAsia" w:eastAsiaTheme="majorEastAsia"/>
          <w:color w:val="3C3C3C"/>
        </w:rPr>
        <w:t>承包人(乙方)：</w:t>
      </w:r>
      <w:r>
        <w:rPr>
          <w:rFonts w:asciiTheme="majorEastAsia" w:hAnsiTheme="majorEastAsia" w:eastAsiaTheme="majorEastAsia"/>
          <w:color w:val="3C3C3C"/>
        </w:rPr>
        <w:t xml:space="preserve"> </w:t>
      </w:r>
    </w:p>
    <w:p>
      <w:pPr>
        <w:spacing w:line="360" w:lineRule="auto"/>
        <w:ind w:firstLine="480" w:firstLineChars="200"/>
        <w:rPr>
          <w:sz w:val="24"/>
          <w:u w:val="single"/>
          <w:lang w:eastAsia="zh-CN"/>
        </w:rPr>
      </w:pPr>
      <w:r>
        <w:rPr>
          <w:rFonts w:hint="eastAsia" w:asciiTheme="majorEastAsia" w:hAnsiTheme="majorEastAsia" w:eastAsiaTheme="majorEastAsia"/>
          <w:color w:val="3C3C3C"/>
          <w:sz w:val="24"/>
          <w:szCs w:val="24"/>
          <w:lang w:eastAsia="zh-CN"/>
        </w:rPr>
        <w:t>根据《中华人民共和国民典法》规定，及其他有关法律、行政法规，遵循平等、自愿、公平和诚实信用的原则，结合本项目具体情况，针对磨煤机磨辊堆焊维修项目协商一致，订立本合同</w:t>
      </w:r>
      <w:r>
        <w:rPr>
          <w:rFonts w:hint="eastAsia"/>
          <w:sz w:val="24"/>
          <w:lang w:eastAsia="zh-CN"/>
        </w:rPr>
        <w:t>，共同遵照执行。</w:t>
      </w:r>
    </w:p>
    <w:p>
      <w:pPr>
        <w:spacing w:line="360" w:lineRule="auto"/>
        <w:rPr>
          <w:b/>
          <w:sz w:val="24"/>
          <w:szCs w:val="24"/>
          <w:lang w:eastAsia="zh-CN"/>
        </w:rPr>
      </w:pPr>
      <w:r>
        <w:rPr>
          <w:rFonts w:hint="eastAsia"/>
          <w:b/>
          <w:sz w:val="24"/>
          <w:szCs w:val="24"/>
          <w:lang w:eastAsia="zh-CN"/>
        </w:rPr>
        <w:t>第一条 一般条款</w:t>
      </w:r>
    </w:p>
    <w:p>
      <w:pPr>
        <w:spacing w:line="360" w:lineRule="auto"/>
        <w:ind w:firstLine="240" w:firstLineChars="100"/>
        <w:rPr>
          <w:sz w:val="24"/>
          <w:lang w:eastAsia="zh-CN"/>
        </w:rPr>
      </w:pPr>
      <w:r>
        <w:rPr>
          <w:rFonts w:hint="eastAsia"/>
          <w:sz w:val="24"/>
          <w:lang w:eastAsia="zh-CN"/>
        </w:rPr>
        <w:t>1、工程概况</w:t>
      </w:r>
    </w:p>
    <w:p>
      <w:pPr>
        <w:spacing w:line="360" w:lineRule="auto"/>
        <w:ind w:firstLine="240" w:firstLineChars="100"/>
        <w:rPr>
          <w:sz w:val="24"/>
          <w:u w:val="single"/>
          <w:lang w:eastAsia="zh-CN"/>
        </w:rPr>
      </w:pPr>
      <w:r>
        <w:rPr>
          <w:rFonts w:hint="eastAsia"/>
          <w:sz w:val="24"/>
          <w:lang w:eastAsia="zh-CN"/>
        </w:rPr>
        <w:t>1.1 工程名称：</w:t>
      </w:r>
      <w:r>
        <w:rPr>
          <w:rFonts w:hint="eastAsia"/>
          <w:sz w:val="24"/>
          <w:u w:val="single"/>
          <w:lang w:eastAsia="zh-CN"/>
        </w:rPr>
        <w:t>磨煤机磨辊堆焊维修 。</w:t>
      </w:r>
    </w:p>
    <w:p>
      <w:pPr>
        <w:spacing w:line="360" w:lineRule="auto"/>
        <w:ind w:firstLine="240" w:firstLineChars="100"/>
        <w:rPr>
          <w:sz w:val="24"/>
          <w:u w:val="single"/>
          <w:lang w:eastAsia="zh-CN"/>
        </w:rPr>
      </w:pPr>
      <w:r>
        <w:rPr>
          <w:rFonts w:hint="eastAsia"/>
          <w:sz w:val="24"/>
          <w:lang w:eastAsia="zh-CN"/>
        </w:rPr>
        <w:t>1.2 工程地点：</w:t>
      </w:r>
      <w:r>
        <w:rPr>
          <w:rFonts w:hint="eastAsia"/>
          <w:sz w:val="24"/>
          <w:u w:val="single"/>
          <w:lang w:eastAsia="zh-CN"/>
        </w:rPr>
        <w:t>甲方公司厂区指定地点。</w:t>
      </w:r>
    </w:p>
    <w:p>
      <w:pPr>
        <w:pStyle w:val="2"/>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rPr>
        <w:t xml:space="preserve">  1.3 工程内容：详见合同附件</w:t>
      </w:r>
      <w:r>
        <w:rPr>
          <w:rFonts w:hint="eastAsia" w:asciiTheme="majorEastAsia" w:hAnsiTheme="majorEastAsia" w:eastAsiaTheme="majorEastAsia"/>
          <w:sz w:val="24"/>
          <w:szCs w:val="24"/>
          <w:lang w:val="en-US" w:eastAsia="zh-CN"/>
        </w:rPr>
        <w:t>1、《</w:t>
      </w:r>
      <w:r>
        <w:rPr>
          <w:rFonts w:hint="eastAsia" w:asciiTheme="majorEastAsia" w:hAnsiTheme="majorEastAsia" w:eastAsiaTheme="majorEastAsia"/>
          <w:sz w:val="24"/>
          <w:szCs w:val="24"/>
        </w:rPr>
        <w:t>腾龙芳烃（漳州）有限公司供热中心磨辊堆焊技术规范</w:t>
      </w:r>
      <w:r>
        <w:rPr>
          <w:rFonts w:hint="eastAsia" w:asciiTheme="majorEastAsia" w:hAnsiTheme="majorEastAsia" w:eastAsiaTheme="majorEastAsia"/>
          <w:sz w:val="24"/>
          <w:szCs w:val="24"/>
          <w:lang w:eastAsia="zh-CN"/>
        </w:rPr>
        <w:t>》。</w:t>
      </w:r>
    </w:p>
    <w:p>
      <w:pPr>
        <w:tabs>
          <w:tab w:val="left" w:pos="7241"/>
        </w:tabs>
        <w:spacing w:line="360" w:lineRule="auto"/>
        <w:ind w:firstLine="240" w:firstLineChars="100"/>
        <w:rPr>
          <w:sz w:val="24"/>
          <w:szCs w:val="24"/>
          <w:u w:val="single"/>
          <w:lang w:eastAsia="zh-CN"/>
        </w:rPr>
      </w:pPr>
      <w:r>
        <w:rPr>
          <w:rFonts w:hint="eastAsia"/>
          <w:sz w:val="24"/>
          <w:lang w:eastAsia="zh-CN"/>
        </w:rPr>
        <w:t>1.4 合同期限：合同生效后12个月，合同到期后，双方同意在原合同基础上继续执行的，甲方提前20个工作日通知乙方并得到乙方承诺，本合同可继续执行至新合同签订为止。</w:t>
      </w:r>
    </w:p>
    <w:p>
      <w:pPr>
        <w:spacing w:line="360" w:lineRule="auto"/>
        <w:ind w:firstLine="240" w:firstLineChars="100"/>
        <w:rPr>
          <w:rFonts w:hint="eastAsia"/>
          <w:sz w:val="24"/>
          <w:lang w:eastAsia="zh-CN"/>
        </w:rPr>
      </w:pPr>
      <w:r>
        <w:rPr>
          <w:rFonts w:hint="eastAsia"/>
          <w:sz w:val="24"/>
          <w:lang w:eastAsia="zh-CN"/>
        </w:rPr>
        <w:t>2、主要标准、规程及规范</w:t>
      </w:r>
    </w:p>
    <w:p>
      <w:pPr>
        <w:spacing w:line="360" w:lineRule="auto"/>
        <w:ind w:firstLine="240" w:firstLineChars="100"/>
        <w:rPr>
          <w:lang w:eastAsia="zh-CN"/>
        </w:rPr>
      </w:pPr>
      <w:r>
        <w:rPr>
          <w:rFonts w:hint="eastAsia" w:ascii="宋体" w:hAnsi="宋体" w:eastAsia="宋体" w:cs="宋体"/>
          <w:sz w:val="24"/>
          <w:szCs w:val="22"/>
          <w:lang w:val="en-US" w:eastAsia="zh-CN" w:bidi="ar-SA"/>
        </w:rPr>
        <w:t>符合现行国家、地方及行业相关设计要求及技术协议书要求，并通过有关部门验收合格，详见附件1、《腾龙芳烃（漳州）有限公司供热中心磨辊堆焊技术规范》。</w:t>
      </w:r>
    </w:p>
    <w:p>
      <w:pPr>
        <w:spacing w:line="360" w:lineRule="auto"/>
        <w:ind w:firstLine="240" w:firstLineChars="100"/>
        <w:rPr>
          <w:sz w:val="24"/>
          <w:lang w:eastAsia="zh-CN"/>
        </w:rPr>
      </w:pPr>
      <w:r>
        <w:rPr>
          <w:rFonts w:hint="eastAsia"/>
          <w:sz w:val="24"/>
          <w:lang w:eastAsia="zh-CN"/>
        </w:rPr>
        <w:t>3、资料</w:t>
      </w:r>
    </w:p>
    <w:p>
      <w:pPr>
        <w:spacing w:line="360" w:lineRule="auto"/>
        <w:ind w:left="731" w:leftChars="114" w:hanging="480" w:hangingChars="200"/>
        <w:rPr>
          <w:sz w:val="24"/>
          <w:lang w:eastAsia="zh-CN"/>
        </w:rPr>
      </w:pPr>
      <w:r>
        <w:rPr>
          <w:rFonts w:hint="eastAsia"/>
          <w:sz w:val="24"/>
          <w:lang w:eastAsia="zh-CN"/>
        </w:rPr>
        <w:t>3.1 维修工作开工前甲方向乙方提供资料一份，並根据现场实际情况进行技术交底。</w:t>
      </w:r>
    </w:p>
    <w:p>
      <w:pPr>
        <w:spacing w:line="360" w:lineRule="auto"/>
        <w:ind w:left="611" w:leftChars="114" w:hanging="360" w:hangingChars="150"/>
        <w:rPr>
          <w:sz w:val="24"/>
          <w:lang w:eastAsia="zh-CN"/>
        </w:rPr>
      </w:pPr>
      <w:r>
        <w:rPr>
          <w:rFonts w:hint="eastAsia"/>
          <w:sz w:val="24"/>
          <w:lang w:eastAsia="zh-CN"/>
        </w:rPr>
        <w:t>3.2 乙方未经甲方同意不得将本工程资料转给第三方，维修工作竣工验收之日起十天内将资料退还给甲方。</w:t>
      </w:r>
    </w:p>
    <w:p>
      <w:pPr>
        <w:spacing w:line="360" w:lineRule="auto"/>
        <w:rPr>
          <w:b/>
          <w:sz w:val="24"/>
          <w:szCs w:val="24"/>
          <w:lang w:eastAsia="zh-CN"/>
        </w:rPr>
      </w:pPr>
      <w:r>
        <w:rPr>
          <w:rFonts w:hint="eastAsia"/>
          <w:b/>
          <w:sz w:val="24"/>
          <w:szCs w:val="24"/>
          <w:lang w:eastAsia="zh-CN"/>
        </w:rPr>
        <w:t>第二条   承包方式及结算办法：</w:t>
      </w:r>
    </w:p>
    <w:p>
      <w:pPr>
        <w:spacing w:line="360" w:lineRule="auto"/>
        <w:ind w:left="1" w:firstLine="480" w:firstLineChars="200"/>
        <w:rPr>
          <w:sz w:val="24"/>
          <w:lang w:eastAsia="zh-CN"/>
        </w:rPr>
      </w:pPr>
      <w:r>
        <w:rPr>
          <w:rFonts w:hint="eastAsia"/>
          <w:sz w:val="24"/>
          <w:lang w:eastAsia="zh-CN"/>
        </w:rPr>
        <w:t>本合同乙方采用承包项目范围内包工、包质量、包工期、包安全文明施工、包维修风险和包运输的承包方式。</w:t>
      </w:r>
      <w:r>
        <w:rPr>
          <w:rFonts w:hint="eastAsia"/>
          <w:bCs/>
          <w:sz w:val="24"/>
          <w:szCs w:val="24"/>
          <w:lang w:eastAsia="zh-CN"/>
        </w:rPr>
        <w:t>采用固定单价，据实结算方式执行。</w:t>
      </w:r>
    </w:p>
    <w:p>
      <w:pPr>
        <w:spacing w:line="360" w:lineRule="auto"/>
        <w:rPr>
          <w:b/>
          <w:sz w:val="24"/>
          <w:szCs w:val="24"/>
          <w:lang w:eastAsia="zh-CN"/>
        </w:rPr>
      </w:pPr>
      <w:r>
        <w:rPr>
          <w:rFonts w:hint="eastAsia"/>
          <w:b/>
          <w:sz w:val="24"/>
          <w:szCs w:val="24"/>
          <w:lang w:eastAsia="zh-CN"/>
        </w:rPr>
        <w:t>第三条   合同价款及支付</w:t>
      </w:r>
    </w:p>
    <w:p>
      <w:pPr>
        <w:spacing w:line="360" w:lineRule="auto"/>
        <w:ind w:firstLine="240" w:firstLineChars="100"/>
        <w:rPr>
          <w:sz w:val="24"/>
          <w:lang w:eastAsia="zh-CN"/>
        </w:rPr>
      </w:pPr>
      <w:r>
        <w:rPr>
          <w:rFonts w:hint="eastAsia"/>
          <w:sz w:val="24"/>
          <w:lang w:eastAsia="zh-CN"/>
        </w:rPr>
        <w:t>1、合同价款</w:t>
      </w:r>
    </w:p>
    <w:p>
      <w:pPr>
        <w:spacing w:line="360" w:lineRule="auto"/>
        <w:ind w:firstLine="360" w:firstLineChars="150"/>
        <w:rPr>
          <w:rFonts w:asciiTheme="majorEastAsia" w:hAnsiTheme="majorEastAsia" w:eastAsiaTheme="majorEastAsia"/>
          <w:color w:val="3C3C3C"/>
          <w:sz w:val="24"/>
          <w:szCs w:val="24"/>
          <w:lang w:eastAsia="zh-CN"/>
        </w:rPr>
      </w:pPr>
      <w:r>
        <w:rPr>
          <w:rFonts w:hint="eastAsia"/>
          <w:sz w:val="24"/>
          <w:szCs w:val="24"/>
          <w:lang w:eastAsia="zh-CN"/>
        </w:rPr>
        <w:t xml:space="preserve">1.1 </w:t>
      </w:r>
      <w:r>
        <w:rPr>
          <w:rFonts w:hint="eastAsia" w:asciiTheme="majorEastAsia" w:hAnsiTheme="majorEastAsia" w:eastAsiaTheme="majorEastAsia"/>
          <w:color w:val="3C3C3C"/>
          <w:sz w:val="24"/>
          <w:szCs w:val="24"/>
          <w:lang w:eastAsia="zh-CN"/>
        </w:rPr>
        <w:t>本合同价款按以下方式执行：</w:t>
      </w:r>
    </w:p>
    <w:p>
      <w:pPr>
        <w:pStyle w:val="2"/>
        <w:spacing w:line="360" w:lineRule="auto"/>
        <w:rPr>
          <w:rFonts w:hint="eastAsia"/>
          <w:sz w:val="24"/>
          <w:szCs w:val="24"/>
        </w:rPr>
      </w:pPr>
      <w:r>
        <w:rPr>
          <w:rFonts w:hint="eastAsia"/>
          <w:sz w:val="24"/>
          <w:szCs w:val="24"/>
        </w:rPr>
        <w:t xml:space="preserve">   1.1.1 </w:t>
      </w:r>
      <w:r>
        <w:rPr>
          <w:rFonts w:hint="eastAsia"/>
          <w:sz w:val="24"/>
          <w:szCs w:val="24"/>
          <w:lang w:val="en-US" w:eastAsia="zh-CN"/>
        </w:rPr>
        <w:t>本合同暂定总价：元，</w:t>
      </w:r>
      <w:r>
        <w:rPr>
          <w:rFonts w:hint="eastAsia"/>
          <w:sz w:val="24"/>
          <w:szCs w:val="24"/>
        </w:rPr>
        <w:t>采用固定综合单价的承包方式，</w:t>
      </w:r>
      <w:r>
        <w:rPr>
          <w:rFonts w:hint="eastAsia"/>
          <w:sz w:val="24"/>
          <w:szCs w:val="24"/>
          <w:lang w:val="en-US" w:eastAsia="zh-CN"/>
        </w:rPr>
        <w:t>预估工作量为4620KG,最终</w:t>
      </w:r>
      <w:r>
        <w:rPr>
          <w:rFonts w:hint="eastAsia"/>
          <w:sz w:val="24"/>
          <w:szCs w:val="24"/>
        </w:rPr>
        <w:t>依据实际发生的工作量结算，单价￥    元/kg；</w:t>
      </w:r>
    </w:p>
    <w:p>
      <w:pPr>
        <w:pStyle w:val="2"/>
        <w:spacing w:line="360" w:lineRule="auto"/>
        <w:rPr>
          <w:rFonts w:hAnsi="宋体" w:cs="宋体"/>
          <w:sz w:val="24"/>
          <w:szCs w:val="24"/>
        </w:rPr>
      </w:pPr>
      <w:r>
        <w:rPr>
          <w:rFonts w:hint="eastAsia" w:hAnsi="宋体" w:cs="Arial"/>
          <w:sz w:val="24"/>
          <w:szCs w:val="24"/>
        </w:rPr>
        <w:t xml:space="preserve">   1.1.2</w:t>
      </w:r>
      <w:r>
        <w:rPr>
          <w:rFonts w:hAnsi="宋体" w:cs="宋体"/>
          <w:snapToGrid w:val="0"/>
          <w:sz w:val="24"/>
          <w:szCs w:val="24"/>
        </w:rPr>
        <w:t>合同价款：</w:t>
      </w:r>
      <w:r>
        <w:rPr>
          <w:rFonts w:hint="eastAsia" w:hAnsi="宋体" w:cs="宋体"/>
          <w:sz w:val="24"/>
          <w:szCs w:val="24"/>
          <w:u w:val="single"/>
        </w:rPr>
        <w:t>指乙方按合同约定完成了包括缺陷责任期内的全部承包工作后，甲方应付给乙方的金额，包括在履行合同过程中按合同约定进行的变更和调整。中标后，除甲方要求变更以及招标文件另有规定外，乙方在磨辊维修及维修直至验收合格所发生的一切费用均由乙方承担；</w:t>
      </w:r>
    </w:p>
    <w:p>
      <w:pPr>
        <w:pStyle w:val="2"/>
        <w:spacing w:line="360" w:lineRule="auto"/>
        <w:rPr>
          <w:sz w:val="24"/>
          <w:szCs w:val="24"/>
        </w:rPr>
      </w:pPr>
      <w:r>
        <w:rPr>
          <w:rFonts w:hint="eastAsia" w:hAnsi="宋体" w:cs="宋体"/>
          <w:sz w:val="24"/>
          <w:szCs w:val="24"/>
        </w:rPr>
        <w:t xml:space="preserve">   1.1.3 </w:t>
      </w:r>
      <w:r>
        <w:rPr>
          <w:rFonts w:hint="eastAsia" w:hAnsi="宋体" w:cs="宋体"/>
          <w:snapToGrid w:val="0"/>
          <w:sz w:val="24"/>
          <w:szCs w:val="24"/>
        </w:rPr>
        <w:t>合同价款最终以甲方审定的工程结算为准。甲方对乙方的维修结算，按审核后（扣除甲供材料、设备）的结算额作为实际维修造价，不做任何优惠。</w:t>
      </w:r>
    </w:p>
    <w:p>
      <w:pPr>
        <w:spacing w:line="360" w:lineRule="auto"/>
        <w:ind w:firstLine="360" w:firstLineChars="150"/>
        <w:rPr>
          <w:sz w:val="24"/>
          <w:lang w:eastAsia="zh-CN"/>
        </w:rPr>
      </w:pPr>
      <w:r>
        <w:rPr>
          <w:rFonts w:hint="eastAsia"/>
          <w:sz w:val="24"/>
          <w:lang w:eastAsia="zh-CN"/>
        </w:rPr>
        <w:t>1.2 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劳务费、管理费、工具费、劳保费、所有税费、各种保险、安全费用、利润、加班费、运输费、耗材费及合同涉及到的所有风险、责任、义务等费用，同时还包含了相关的配合政府部门的政策收费所需的全部费用（如果有）</w:t>
      </w:r>
      <w:r>
        <w:rPr>
          <w:rFonts w:hint="eastAsia"/>
          <w:color w:val="000000"/>
          <w:sz w:val="24"/>
          <w:lang w:eastAsia="zh-CN"/>
        </w:rPr>
        <w:t>。</w:t>
      </w:r>
      <w:r>
        <w:rPr>
          <w:rFonts w:hint="eastAsia"/>
          <w:sz w:val="24"/>
          <w:lang w:eastAsia="zh-CN"/>
        </w:rPr>
        <w:t>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line="460" w:lineRule="exact"/>
        <w:ind w:firstLine="360" w:firstLineChars="150"/>
        <w:rPr>
          <w:sz w:val="24"/>
          <w:szCs w:val="24"/>
          <w:lang w:eastAsia="zh-CN"/>
        </w:rPr>
      </w:pPr>
      <w:r>
        <w:rPr>
          <w:rFonts w:hint="eastAsia"/>
          <w:sz w:val="24"/>
          <w:lang w:eastAsia="zh-CN"/>
        </w:rPr>
        <w:t xml:space="preserve">2.1 </w:t>
      </w:r>
      <w:r>
        <w:rPr>
          <w:rFonts w:hint="eastAsia"/>
          <w:snapToGrid w:val="0"/>
          <w:sz w:val="24"/>
          <w:szCs w:val="24"/>
          <w:lang w:val="en-US" w:eastAsia="zh-CN"/>
        </w:rPr>
        <w:t>维修</w:t>
      </w:r>
      <w:r>
        <w:rPr>
          <w:rFonts w:hint="eastAsia"/>
          <w:snapToGrid w:val="0"/>
          <w:sz w:val="24"/>
          <w:szCs w:val="24"/>
          <w:lang w:eastAsia="zh-CN"/>
        </w:rPr>
        <w:t>款按季度结算支付：由乙方开具增值税专用发票（税率</w:t>
      </w:r>
      <w:r>
        <w:rPr>
          <w:rFonts w:hint="eastAsia"/>
          <w:b/>
          <w:snapToGrid w:val="0"/>
          <w:sz w:val="24"/>
          <w:szCs w:val="24"/>
          <w:u w:val="single"/>
          <w:lang w:eastAsia="zh-CN"/>
        </w:rPr>
        <w:t xml:space="preserve">  </w:t>
      </w:r>
      <w:r>
        <w:rPr>
          <w:rFonts w:hint="eastAsia"/>
          <w:b/>
          <w:snapToGrid w:val="0"/>
          <w:sz w:val="24"/>
          <w:szCs w:val="24"/>
          <w:lang w:eastAsia="zh-CN"/>
        </w:rPr>
        <w:t>%</w:t>
      </w:r>
      <w:r>
        <w:rPr>
          <w:rFonts w:hint="eastAsia"/>
          <w:snapToGrid w:val="0"/>
          <w:sz w:val="24"/>
          <w:szCs w:val="24"/>
          <w:lang w:eastAsia="zh-CN"/>
        </w:rPr>
        <w:t>），按甲方结算程序办理，并支付至当季度结算金额的90%。维修工作量必须经甲方确认方可结算</w:t>
      </w:r>
      <w:r>
        <w:rPr>
          <w:rFonts w:hint="eastAsia"/>
          <w:sz w:val="24"/>
          <w:szCs w:val="24"/>
          <w:lang w:eastAsia="zh-CN"/>
        </w:rPr>
        <w:t>。</w:t>
      </w:r>
    </w:p>
    <w:p>
      <w:pPr>
        <w:spacing w:line="360" w:lineRule="auto"/>
        <w:ind w:firstLine="360" w:firstLineChars="150"/>
        <w:rPr>
          <w:spacing w:val="20"/>
          <w:sz w:val="24"/>
          <w:lang w:eastAsia="zh-CN"/>
        </w:rPr>
      </w:pPr>
      <w:r>
        <w:rPr>
          <w:rFonts w:hint="eastAsia"/>
          <w:sz w:val="24"/>
          <w:szCs w:val="24"/>
          <w:lang w:eastAsia="zh-CN"/>
        </w:rPr>
        <w:t>2.2 质量保证金：</w:t>
      </w:r>
      <w:r>
        <w:rPr>
          <w:rFonts w:hint="eastAsia"/>
          <w:sz w:val="24"/>
          <w:szCs w:val="24"/>
          <w:u w:val="single"/>
          <w:lang w:eastAsia="zh-CN"/>
        </w:rPr>
        <w:t>质量保证金为维修项目合同结算价款的10%；保修金不计利息。质保期12个月， 乙方向甲方申请到期应返还乙方的质量保证金，甲方会同乙方按照合同约定的内容核实乙方是否完成缺陷责任。如无异议，甲方应当在核实后将应返还的质量保证金无息返还乙方。 乙方没有完成缺陷责任的，甲方有权扣留全部质量保证金，并有权要求延长缺陷责任期，直至完成剩余工作为止</w:t>
      </w:r>
      <w:r>
        <w:rPr>
          <w:rFonts w:hint="eastAsia"/>
          <w:sz w:val="24"/>
          <w:szCs w:val="24"/>
          <w:lang w:eastAsia="zh-CN"/>
        </w:rPr>
        <w:t>。</w:t>
      </w:r>
    </w:p>
    <w:p>
      <w:pPr>
        <w:pStyle w:val="42"/>
        <w:spacing w:before="0" w:beforeAutospacing="0" w:after="0" w:afterAutospacing="0" w:line="360" w:lineRule="auto"/>
        <w:ind w:firstLine="360" w:firstLineChars="150"/>
        <w:rPr>
          <w:rFonts w:asciiTheme="minorEastAsia" w:hAnsiTheme="minorEastAsia" w:eastAsiaTheme="minorEastAsia"/>
        </w:rPr>
      </w:pPr>
      <w:r>
        <w:rPr>
          <w:rFonts w:hint="eastAsia"/>
        </w:rPr>
        <w:t>2.3 所有支付的款项均以人民币支付, 付款方式为电汇或银行转账。</w:t>
      </w:r>
      <w:r>
        <w:rPr>
          <w:rFonts w:hint="eastAsia" w:asciiTheme="minorEastAsia" w:hAnsiTheme="minorEastAsia" w:eastAsiaTheme="minorEastAsia"/>
        </w:rPr>
        <w:t>乙方应在甲方付款期限届满</w:t>
      </w:r>
      <w:r>
        <w:rPr>
          <w:rFonts w:hint="eastAsia" w:asciiTheme="minorEastAsia" w:hAnsiTheme="minorEastAsia" w:eastAsiaTheme="minorEastAsia"/>
          <w:u w:val="single"/>
        </w:rPr>
        <w:t xml:space="preserve"> 15</w:t>
      </w:r>
      <w:r>
        <w:rPr>
          <w:rFonts w:asciiTheme="minorEastAsia" w:hAnsiTheme="minorEastAsia" w:eastAsiaTheme="minorEastAsia"/>
          <w:u w:val="single"/>
        </w:rPr>
        <w:t xml:space="preserve"> </w:t>
      </w:r>
      <w:r>
        <w:rPr>
          <w:rFonts w:hint="eastAsia" w:asciiTheme="minorEastAsia" w:hAnsiTheme="minorEastAsia" w:eastAsiaTheme="minorEastAsia"/>
        </w:rPr>
        <w:t>日前提供相应的增值税专用发票，否则甲方有权顺延付款。上述技术服务及咨询报酬直接支付至乙方指定的下列账号：</w:t>
      </w:r>
    </w:p>
    <w:p>
      <w:pPr>
        <w:tabs>
          <w:tab w:val="left" w:pos="1080"/>
        </w:tabs>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户名：</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                   </w:t>
      </w:r>
      <w:r>
        <w:rPr>
          <w:rFonts w:asciiTheme="majorEastAsia" w:hAnsiTheme="majorEastAsia" w:eastAsiaTheme="majorEastAsia"/>
          <w:sz w:val="24"/>
          <w:u w:val="single"/>
          <w:lang w:eastAsia="zh-CN"/>
        </w:rPr>
        <w:t xml:space="preserve"> </w:t>
      </w:r>
    </w:p>
    <w:p>
      <w:pPr>
        <w:tabs>
          <w:tab w:val="left" w:pos="1080"/>
        </w:tabs>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开户行：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                </w:t>
      </w:r>
      <w:r>
        <w:rPr>
          <w:rFonts w:asciiTheme="majorEastAsia" w:hAnsiTheme="majorEastAsia" w:eastAsiaTheme="majorEastAsia"/>
          <w:sz w:val="24"/>
          <w:u w:val="single"/>
          <w:lang w:eastAsia="zh-CN"/>
        </w:rPr>
        <w:t xml:space="preserve"> </w:t>
      </w:r>
    </w:p>
    <w:p>
      <w:pPr>
        <w:tabs>
          <w:tab w:val="left" w:pos="1080"/>
        </w:tabs>
        <w:spacing w:line="360" w:lineRule="auto"/>
        <w:ind w:left="982" w:leftChars="228" w:hanging="480" w:hanging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账号：</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                   </w:t>
      </w:r>
      <w:r>
        <w:rPr>
          <w:rFonts w:asciiTheme="majorEastAsia" w:hAnsiTheme="majorEastAsia" w:eastAsiaTheme="majorEastAsia"/>
          <w:sz w:val="24"/>
          <w:u w:val="single"/>
          <w:lang w:eastAsia="zh-CN"/>
        </w:rPr>
        <w:t xml:space="preserve"> </w:t>
      </w:r>
    </w:p>
    <w:p>
      <w:pPr>
        <w:tabs>
          <w:tab w:val="left" w:pos="2010"/>
        </w:tabs>
        <w:spacing w:line="360" w:lineRule="auto"/>
        <w:rPr>
          <w:b/>
          <w:sz w:val="24"/>
          <w:szCs w:val="24"/>
          <w:lang w:eastAsia="zh-CN"/>
        </w:rPr>
      </w:pPr>
      <w:r>
        <w:rPr>
          <w:rFonts w:hint="eastAsia"/>
          <w:b/>
          <w:sz w:val="24"/>
          <w:szCs w:val="24"/>
          <w:lang w:eastAsia="zh-CN"/>
        </w:rPr>
        <w:t>第四条 双方责任</w:t>
      </w:r>
    </w:p>
    <w:p>
      <w:pPr>
        <w:tabs>
          <w:tab w:val="left" w:pos="2010"/>
        </w:tabs>
        <w:spacing w:line="360" w:lineRule="auto"/>
        <w:ind w:firstLine="240" w:firstLineChars="100"/>
        <w:rPr>
          <w:sz w:val="24"/>
          <w:lang w:eastAsia="zh-CN"/>
        </w:rPr>
      </w:pPr>
      <w:r>
        <w:rPr>
          <w:rFonts w:hint="eastAsia"/>
          <w:sz w:val="24"/>
          <w:lang w:eastAsia="zh-CN"/>
        </w:rPr>
        <w:t>1、甲方工作</w:t>
      </w:r>
    </w:p>
    <w:p>
      <w:pPr>
        <w:tabs>
          <w:tab w:val="left" w:pos="2010"/>
        </w:tabs>
        <w:spacing w:line="360" w:lineRule="auto"/>
        <w:ind w:firstLine="240" w:firstLineChars="100"/>
        <w:rPr>
          <w:sz w:val="24"/>
          <w:lang w:eastAsia="zh-CN"/>
        </w:rPr>
      </w:pPr>
      <w:r>
        <w:rPr>
          <w:rFonts w:hint="eastAsia"/>
          <w:sz w:val="24"/>
          <w:lang w:eastAsia="zh-CN"/>
        </w:rPr>
        <w:t>1.1 甲方有权对维修项目的质量、进度、安全等进行监督检查，协调维修中的有关事项，并有权对乙方维修进行全过程跟踪监督和管理。乙方履行协调义务或行使监督管理权利，均不代表甲方承诺对乙方的行为承担任何责任，更不因此构成对乙方所应承担的各项责任和义务的减轻或豁免。</w:t>
      </w:r>
    </w:p>
    <w:p>
      <w:pPr>
        <w:tabs>
          <w:tab w:val="left" w:pos="2010"/>
        </w:tabs>
        <w:spacing w:line="360" w:lineRule="auto"/>
        <w:ind w:firstLine="240" w:firstLineChars="100"/>
        <w:rPr>
          <w:sz w:val="24"/>
          <w:lang w:eastAsia="zh-CN"/>
        </w:rPr>
      </w:pPr>
      <w:r>
        <w:rPr>
          <w:rFonts w:hint="eastAsia"/>
          <w:sz w:val="24"/>
          <w:lang w:eastAsia="zh-CN"/>
        </w:rPr>
        <w:t>1.2 现场维修用水、电暂由甲方提供，甲方为乙方的维修服务提供配合。</w:t>
      </w:r>
    </w:p>
    <w:p>
      <w:pPr>
        <w:tabs>
          <w:tab w:val="left" w:pos="2010"/>
        </w:tabs>
        <w:spacing w:line="360" w:lineRule="auto"/>
        <w:ind w:firstLine="240" w:firstLineChars="100"/>
        <w:rPr>
          <w:sz w:val="24"/>
          <w:lang w:eastAsia="zh-CN"/>
        </w:rPr>
      </w:pPr>
      <w:r>
        <w:rPr>
          <w:rFonts w:hint="eastAsia"/>
          <w:sz w:val="24"/>
          <w:lang w:eastAsia="zh-CN"/>
        </w:rPr>
        <w:t>2、乙方工作</w:t>
      </w:r>
    </w:p>
    <w:p>
      <w:pPr>
        <w:tabs>
          <w:tab w:val="left" w:pos="2010"/>
        </w:tabs>
        <w:spacing w:line="360" w:lineRule="auto"/>
        <w:ind w:firstLine="240" w:firstLineChars="100"/>
        <w:rPr>
          <w:sz w:val="24"/>
          <w:lang w:eastAsia="zh-CN"/>
        </w:rPr>
      </w:pPr>
      <w:r>
        <w:rPr>
          <w:rFonts w:hint="eastAsia"/>
          <w:sz w:val="24"/>
          <w:lang w:eastAsia="zh-CN"/>
        </w:rPr>
        <w:t>2.1 严格按本合同约定、技术协议书要求及甲方要求的质量、进度进行维修。</w:t>
      </w:r>
    </w:p>
    <w:p>
      <w:pPr>
        <w:tabs>
          <w:tab w:val="left" w:pos="2010"/>
        </w:tabs>
        <w:spacing w:line="360" w:lineRule="auto"/>
        <w:ind w:firstLine="240" w:firstLineChars="100"/>
        <w:rPr>
          <w:sz w:val="24"/>
          <w:lang w:eastAsia="zh-CN"/>
        </w:rPr>
      </w:pPr>
      <w:r>
        <w:rPr>
          <w:rFonts w:hint="eastAsia"/>
          <w:sz w:val="24"/>
          <w:lang w:eastAsia="zh-CN"/>
        </w:rPr>
        <w:t>2.2 必须服从甲方或甲方所委托的第三方的管理。</w:t>
      </w:r>
    </w:p>
    <w:p>
      <w:pPr>
        <w:tabs>
          <w:tab w:val="left" w:pos="2010"/>
        </w:tabs>
        <w:spacing w:line="360" w:lineRule="auto"/>
        <w:ind w:firstLine="240" w:firstLineChars="100"/>
        <w:rPr>
          <w:sz w:val="24"/>
          <w:lang w:eastAsia="zh-CN"/>
        </w:rPr>
      </w:pPr>
      <w:r>
        <w:rPr>
          <w:rFonts w:hint="eastAsia"/>
          <w:sz w:val="24"/>
          <w:lang w:eastAsia="zh-CN"/>
        </w:rPr>
        <w:t>2.3 制定和优化质量保证体系，有效控制维修质量。</w:t>
      </w:r>
    </w:p>
    <w:p>
      <w:pPr>
        <w:tabs>
          <w:tab w:val="left" w:pos="2010"/>
        </w:tabs>
        <w:spacing w:line="360" w:lineRule="auto"/>
        <w:ind w:firstLine="240" w:firstLineChars="100"/>
        <w:rPr>
          <w:sz w:val="24"/>
          <w:lang w:eastAsia="zh-CN"/>
        </w:rPr>
      </w:pPr>
      <w:r>
        <w:rPr>
          <w:rFonts w:hint="eastAsia"/>
          <w:sz w:val="24"/>
          <w:lang w:eastAsia="zh-CN"/>
        </w:rPr>
        <w:t>2.4 乙方负责维修服务所需设备、材料及维修配件（包括领用甲方提供的配件，如果有）的卸车和保管。</w:t>
      </w:r>
    </w:p>
    <w:p>
      <w:pPr>
        <w:tabs>
          <w:tab w:val="left" w:pos="2010"/>
        </w:tabs>
        <w:spacing w:line="360" w:lineRule="auto"/>
        <w:ind w:firstLine="240" w:firstLineChars="100"/>
        <w:rPr>
          <w:sz w:val="24"/>
          <w:lang w:eastAsia="zh-CN"/>
        </w:rPr>
      </w:pPr>
      <w:r>
        <w:rPr>
          <w:rFonts w:hint="eastAsia"/>
          <w:sz w:val="24"/>
          <w:lang w:eastAsia="zh-CN"/>
        </w:rPr>
        <w:t xml:space="preserve">2.5 </w:t>
      </w:r>
      <w:r>
        <w:rPr>
          <w:rFonts w:hint="eastAsia" w:asciiTheme="minorEastAsia" w:hAnsiTheme="minorEastAsia" w:eastAsiaTheme="minorEastAsia"/>
          <w:sz w:val="24"/>
          <w:szCs w:val="24"/>
          <w:lang w:eastAsia="zh-CN"/>
        </w:rPr>
        <w:t>包装要求及包装费用承担：本合同出厂检维修的磨辊，乙方应当按照足以固定、保护好磨辊的措施包装，费用由乙方承担（已包含在合同单价中）。若因乙方包装不善，造成磨辊损坏的，乙方应当照价赔偿。</w:t>
      </w:r>
    </w:p>
    <w:p>
      <w:pPr>
        <w:tabs>
          <w:tab w:val="left" w:pos="2010"/>
        </w:tabs>
        <w:spacing w:line="360" w:lineRule="auto"/>
        <w:ind w:firstLine="240" w:firstLineChars="100"/>
        <w:rPr>
          <w:sz w:val="24"/>
          <w:lang w:eastAsia="zh-CN"/>
        </w:rPr>
      </w:pPr>
      <w:r>
        <w:rPr>
          <w:rFonts w:hint="eastAsia"/>
          <w:sz w:val="24"/>
          <w:lang w:eastAsia="zh-CN"/>
        </w:rPr>
        <w:t>2.6 维修安全责任由乙方承担，发生各类安全事故，乙方应及时报告甲方，不得隐瞒。甲方有权根据有关规定组织、参与事故的调查处理。</w:t>
      </w:r>
    </w:p>
    <w:p>
      <w:pPr>
        <w:tabs>
          <w:tab w:val="left" w:pos="2010"/>
        </w:tabs>
        <w:spacing w:line="360" w:lineRule="auto"/>
        <w:ind w:firstLine="240" w:firstLineChars="100"/>
        <w:rPr>
          <w:sz w:val="24"/>
          <w:szCs w:val="24"/>
          <w:lang w:eastAsia="zh-CN"/>
        </w:rPr>
      </w:pPr>
      <w:r>
        <w:rPr>
          <w:rFonts w:hint="eastAsia"/>
          <w:sz w:val="24"/>
          <w:lang w:eastAsia="zh-CN"/>
        </w:rPr>
        <w:t>2.7 磨</w:t>
      </w:r>
      <w:r>
        <w:rPr>
          <w:rFonts w:hint="eastAsia" w:asciiTheme="minorEastAsia" w:hAnsiTheme="minorEastAsia" w:eastAsiaTheme="minorEastAsia"/>
          <w:sz w:val="24"/>
          <w:szCs w:val="24"/>
          <w:lang w:eastAsia="zh-CN"/>
        </w:rPr>
        <w:t>辊从离甲方至修复送达甲方现场期间，磨辊的损坏灭失风险由乙方承担，并向甲方承担相关的赔偿责任。</w:t>
      </w:r>
    </w:p>
    <w:p>
      <w:pPr>
        <w:spacing w:line="360" w:lineRule="auto"/>
        <w:ind w:firstLine="240" w:firstLineChars="100"/>
        <w:rPr>
          <w:sz w:val="24"/>
          <w:lang w:eastAsia="zh-CN"/>
        </w:rPr>
      </w:pPr>
      <w:r>
        <w:rPr>
          <w:rFonts w:hint="eastAsia"/>
          <w:sz w:val="24"/>
          <w:lang w:eastAsia="zh-CN"/>
        </w:rPr>
        <w:t>3、乙方应遵守以下安全条件：</w:t>
      </w:r>
    </w:p>
    <w:p>
      <w:pPr>
        <w:spacing w:line="360" w:lineRule="auto"/>
        <w:ind w:firstLine="240" w:firstLineChars="100"/>
        <w:rPr>
          <w:sz w:val="24"/>
          <w:lang w:eastAsia="zh-CN"/>
        </w:rPr>
      </w:pPr>
      <w:r>
        <w:rPr>
          <w:rFonts w:hint="eastAsia"/>
          <w:sz w:val="24"/>
          <w:lang w:eastAsia="zh-CN"/>
        </w:rPr>
        <w:t>3.</w:t>
      </w:r>
      <w:r>
        <w:rPr>
          <w:sz w:val="24"/>
          <w:lang w:eastAsia="zh-CN"/>
        </w:rPr>
        <w:t>1</w:t>
      </w:r>
      <w:r>
        <w:rPr>
          <w:rFonts w:hint="eastAsia"/>
          <w:sz w:val="24"/>
          <w:lang w:eastAsia="zh-CN"/>
        </w:rPr>
        <w:t>认真贯彻执行国家《安全生产法》、《安全生产条例》、《消防法》、《环境保护法》、《劳动法》和《职业卫生防治法》等法律法规，及遵守“甲方”的各项安全管理制度。</w:t>
      </w:r>
    </w:p>
    <w:p>
      <w:pPr>
        <w:spacing w:line="360" w:lineRule="auto"/>
        <w:ind w:firstLine="240" w:firstLineChars="100"/>
        <w:rPr>
          <w:sz w:val="24"/>
          <w:lang w:eastAsia="zh-CN"/>
        </w:rPr>
      </w:pPr>
      <w:r>
        <w:rPr>
          <w:rFonts w:hint="eastAsia"/>
          <w:sz w:val="24"/>
          <w:lang w:eastAsia="zh-CN"/>
        </w:rPr>
        <w:t>3.2操作人员未经装置现场人员同意，不得随意动用装置现场的设备、管路、阀门。</w:t>
      </w:r>
    </w:p>
    <w:p>
      <w:pPr>
        <w:tabs>
          <w:tab w:val="left" w:pos="2010"/>
        </w:tabs>
        <w:spacing w:line="360" w:lineRule="auto"/>
        <w:rPr>
          <w:b/>
          <w:sz w:val="24"/>
          <w:szCs w:val="24"/>
          <w:lang w:eastAsia="zh-CN"/>
        </w:rPr>
      </w:pPr>
      <w:r>
        <w:rPr>
          <w:rFonts w:hint="eastAsia"/>
          <w:b/>
          <w:sz w:val="24"/>
          <w:szCs w:val="24"/>
          <w:lang w:eastAsia="zh-CN"/>
        </w:rPr>
        <w:t>第五条 服务质量与验收</w:t>
      </w:r>
    </w:p>
    <w:p>
      <w:pPr>
        <w:tabs>
          <w:tab w:val="left" w:pos="2010"/>
        </w:tabs>
        <w:spacing w:line="360" w:lineRule="auto"/>
        <w:ind w:firstLine="240" w:firstLineChars="100"/>
        <w:rPr>
          <w:sz w:val="24"/>
          <w:lang w:eastAsia="zh-CN"/>
        </w:rPr>
      </w:pPr>
      <w:r>
        <w:rPr>
          <w:rFonts w:hint="eastAsia"/>
          <w:sz w:val="24"/>
          <w:lang w:eastAsia="zh-CN"/>
        </w:rPr>
        <w:t>1. 乙方严格按本合同约定和技术协议书要求提供维修服务、组织维修及验收，维修质量达到约定标准。验收合格以甲方书面确认为准。</w:t>
      </w:r>
    </w:p>
    <w:p>
      <w:pPr>
        <w:tabs>
          <w:tab w:val="left" w:pos="2010"/>
        </w:tabs>
        <w:spacing w:line="360" w:lineRule="auto"/>
        <w:ind w:firstLine="240" w:firstLineChars="100"/>
        <w:rPr>
          <w:sz w:val="24"/>
          <w:lang w:eastAsia="zh-CN"/>
        </w:rPr>
      </w:pPr>
      <w:r>
        <w:rPr>
          <w:rFonts w:hint="eastAsia"/>
          <w:sz w:val="24"/>
          <w:lang w:eastAsia="zh-CN"/>
        </w:rPr>
        <w:t>2. 维修质量达不到约定标准和技术规范书要求的部分，乙方应返工直至达到约定标准为止，乙方应承担因返工所发生的一切施工费用，包含配件费用和人工费用等。</w:t>
      </w:r>
    </w:p>
    <w:p>
      <w:pPr>
        <w:tabs>
          <w:tab w:val="left" w:pos="2010"/>
        </w:tabs>
        <w:spacing w:line="360" w:lineRule="auto"/>
        <w:ind w:firstLine="240" w:firstLineChars="100"/>
        <w:rPr>
          <w:sz w:val="24"/>
          <w:lang w:eastAsia="zh-CN"/>
        </w:rPr>
      </w:pPr>
      <w:r>
        <w:rPr>
          <w:rFonts w:hint="eastAsia"/>
          <w:sz w:val="24"/>
          <w:lang w:eastAsia="zh-CN"/>
        </w:rPr>
        <w:t>3. 乙方应为甲方的检查、检验的提供便利条件。</w:t>
      </w:r>
    </w:p>
    <w:p>
      <w:pPr>
        <w:tabs>
          <w:tab w:val="left" w:pos="2010"/>
        </w:tabs>
        <w:spacing w:line="360" w:lineRule="auto"/>
        <w:ind w:firstLine="240" w:firstLineChars="100"/>
        <w:rPr>
          <w:sz w:val="24"/>
          <w:lang w:eastAsia="zh-CN"/>
        </w:rPr>
      </w:pPr>
      <w:r>
        <w:rPr>
          <w:rFonts w:hint="eastAsia"/>
          <w:sz w:val="24"/>
          <w:lang w:eastAsia="zh-CN"/>
        </w:rPr>
        <w:t>4. 因乙方未按合同约定标准提供检维修服务造成设备事故或设备无法正常使用的，甲方有权视情节轻重对乙方进行扣罚，扣罚幅度由甲方掌握；扣罚的金额从支付给乙方的应付款项及履约保证金中扣除，应付款项和履约保证金不足扣除的，乙方仍需赔偿。</w:t>
      </w:r>
    </w:p>
    <w:p>
      <w:pPr>
        <w:tabs>
          <w:tab w:val="left" w:pos="2010"/>
        </w:tabs>
        <w:spacing w:line="360" w:lineRule="auto"/>
        <w:ind w:firstLine="240" w:firstLineChars="100"/>
        <w:rPr>
          <w:sz w:val="24"/>
          <w:szCs w:val="24"/>
          <w:lang w:eastAsia="zh-CN"/>
        </w:rPr>
      </w:pPr>
      <w:r>
        <w:rPr>
          <w:rFonts w:hint="eastAsia"/>
          <w:sz w:val="24"/>
          <w:szCs w:val="24"/>
          <w:lang w:eastAsia="zh-CN"/>
        </w:rPr>
        <w:t>5.</w:t>
      </w:r>
      <w:r>
        <w:rPr>
          <w:rFonts w:hint="eastAsia"/>
          <w:sz w:val="24"/>
          <w:lang w:eastAsia="zh-CN"/>
        </w:rPr>
        <w:t xml:space="preserve"> </w:t>
      </w:r>
      <w:r>
        <w:rPr>
          <w:rFonts w:hint="eastAsia"/>
          <w:sz w:val="24"/>
          <w:szCs w:val="24"/>
          <w:lang w:eastAsia="zh-CN"/>
        </w:rPr>
        <w:t>双方确定，甲方指定</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sz w:val="24"/>
          <w:szCs w:val="24"/>
          <w:lang w:eastAsia="zh-CN"/>
        </w:rPr>
        <w:t>为项目联系人，乙方指定</w:t>
      </w:r>
      <w:r>
        <w:rPr>
          <w:rFonts w:hint="eastAsia"/>
          <w:sz w:val="24"/>
          <w:szCs w:val="24"/>
          <w:u w:val="single"/>
          <w:lang w:eastAsia="zh-CN"/>
        </w:rPr>
        <w:t xml:space="preserve">     </w:t>
      </w:r>
      <w:r>
        <w:rPr>
          <w:rFonts w:hint="eastAsia"/>
          <w:sz w:val="24"/>
          <w:szCs w:val="24"/>
          <w:lang w:eastAsia="zh-CN"/>
        </w:rPr>
        <w:t>为乙方项目联系人。项目联系人承担以下责任：</w:t>
      </w:r>
    </w:p>
    <w:p>
      <w:pPr>
        <w:pStyle w:val="2"/>
        <w:spacing w:line="360" w:lineRule="auto"/>
        <w:ind w:firstLine="360" w:firstLineChars="150"/>
        <w:rPr>
          <w:sz w:val="24"/>
          <w:szCs w:val="24"/>
        </w:rPr>
      </w:pPr>
      <w:r>
        <w:rPr>
          <w:rFonts w:hint="eastAsia" w:hAnsi="宋体"/>
          <w:sz w:val="24"/>
          <w:szCs w:val="24"/>
          <w:u w:val="single"/>
        </w:rPr>
        <w:t xml:space="preserve">  </w:t>
      </w:r>
      <w:r>
        <w:rPr>
          <w:rFonts w:hint="eastAsia" w:cs="宋体" w:asciiTheme="majorEastAsia" w:hAnsiTheme="majorEastAsia" w:eastAsiaTheme="majorEastAsia"/>
          <w:sz w:val="24"/>
          <w:szCs w:val="24"/>
          <w:u w:val="single"/>
        </w:rPr>
        <w:t>联系具体项目进度并实施</w:t>
      </w:r>
      <w:r>
        <w:rPr>
          <w:rFonts w:hAnsi="宋体"/>
          <w:sz w:val="24"/>
          <w:szCs w:val="24"/>
          <w:u w:val="single"/>
        </w:rPr>
        <w:t xml:space="preserve">  </w:t>
      </w:r>
    </w:p>
    <w:p>
      <w:pPr>
        <w:tabs>
          <w:tab w:val="left" w:pos="2010"/>
        </w:tabs>
        <w:spacing w:line="360" w:lineRule="auto"/>
        <w:rPr>
          <w:b/>
          <w:sz w:val="24"/>
          <w:lang w:eastAsia="zh-CN"/>
        </w:rPr>
      </w:pPr>
      <w:r>
        <w:rPr>
          <w:rFonts w:hint="eastAsia"/>
          <w:b/>
          <w:sz w:val="24"/>
          <w:lang w:eastAsia="zh-CN"/>
        </w:rPr>
        <w:t>第六条  保修</w:t>
      </w:r>
    </w:p>
    <w:p>
      <w:pPr>
        <w:tabs>
          <w:tab w:val="left" w:pos="2010"/>
        </w:tabs>
        <w:spacing w:line="360" w:lineRule="auto"/>
        <w:ind w:firstLine="240" w:firstLineChars="100"/>
        <w:rPr>
          <w:sz w:val="24"/>
          <w:lang w:eastAsia="zh-CN"/>
        </w:rPr>
      </w:pPr>
      <w:r>
        <w:rPr>
          <w:rFonts w:hint="eastAsia"/>
          <w:sz w:val="24"/>
          <w:lang w:eastAsia="zh-CN"/>
        </w:rPr>
        <w:t>1. 乙方就其维修工作，提供</w:t>
      </w:r>
      <w:r>
        <w:rPr>
          <w:rFonts w:hint="eastAsia"/>
          <w:sz w:val="24"/>
          <w:u w:val="single"/>
          <w:lang w:eastAsia="zh-CN"/>
        </w:rPr>
        <w:t xml:space="preserve"> 1 </w:t>
      </w:r>
      <w:r>
        <w:rPr>
          <w:rFonts w:hint="eastAsia"/>
          <w:sz w:val="24"/>
          <w:lang w:eastAsia="zh-CN"/>
        </w:rPr>
        <w:t>年的保修服务，</w:t>
      </w:r>
      <w:r>
        <w:rPr>
          <w:rFonts w:hint="eastAsia"/>
          <w:snapToGrid w:val="0"/>
          <w:sz w:val="24"/>
          <w:szCs w:val="24"/>
          <w:lang w:eastAsia="zh-CN"/>
        </w:rPr>
        <w:t>自验收合格之日起算，质保期内出现质量问题，维修单位应负责免费返修。</w:t>
      </w:r>
      <w:r>
        <w:rPr>
          <w:rFonts w:hint="eastAsia"/>
          <w:sz w:val="24"/>
          <w:lang w:eastAsia="zh-CN"/>
        </w:rPr>
        <w:t>保修期自单项维修工作验收合格之日起计算。</w:t>
      </w:r>
    </w:p>
    <w:p>
      <w:pPr>
        <w:tabs>
          <w:tab w:val="left" w:pos="2010"/>
        </w:tabs>
        <w:spacing w:line="360" w:lineRule="auto"/>
        <w:ind w:firstLine="240" w:firstLineChars="100"/>
        <w:rPr>
          <w:sz w:val="24"/>
          <w:lang w:eastAsia="zh-CN"/>
        </w:rPr>
      </w:pPr>
      <w:r>
        <w:rPr>
          <w:rFonts w:hint="eastAsia"/>
          <w:sz w:val="24"/>
          <w:lang w:eastAsia="zh-CN"/>
        </w:rPr>
        <w:t>2. 乙方应在保修期内按照甲方要求提供免费保修服务，确保维修设备的正常运行。乙方拒绝提供保修服务的，每次应向甲方支付违约金</w:t>
      </w:r>
      <w:r>
        <w:rPr>
          <w:rFonts w:hint="eastAsia"/>
          <w:sz w:val="24"/>
          <w:u w:val="single"/>
          <w:lang w:eastAsia="zh-CN"/>
        </w:rPr>
        <w:t xml:space="preserve"> 壹万 </w:t>
      </w:r>
      <w:r>
        <w:rPr>
          <w:rFonts w:hint="eastAsia"/>
          <w:sz w:val="24"/>
          <w:lang w:eastAsia="zh-CN"/>
        </w:rPr>
        <w:t>元；甲方亦有权委托第三方提供保修服务，费用由乙方承担。</w:t>
      </w:r>
    </w:p>
    <w:p>
      <w:pPr>
        <w:tabs>
          <w:tab w:val="left" w:pos="2010"/>
        </w:tabs>
        <w:spacing w:line="360" w:lineRule="auto"/>
        <w:rPr>
          <w:b/>
          <w:sz w:val="24"/>
          <w:szCs w:val="24"/>
          <w:lang w:eastAsia="zh-CN"/>
        </w:rPr>
      </w:pPr>
      <w:r>
        <w:rPr>
          <w:rFonts w:hint="eastAsia"/>
          <w:b/>
          <w:sz w:val="24"/>
          <w:szCs w:val="24"/>
          <w:lang w:eastAsia="zh-CN"/>
        </w:rPr>
        <w:t>第七条 争议、违约和索赔</w:t>
      </w:r>
    </w:p>
    <w:p>
      <w:pPr>
        <w:tabs>
          <w:tab w:val="left" w:pos="2010"/>
        </w:tabs>
        <w:spacing w:line="360" w:lineRule="auto"/>
        <w:ind w:firstLine="240" w:firstLineChars="100"/>
        <w:rPr>
          <w:sz w:val="24"/>
          <w:lang w:eastAsia="zh-CN"/>
        </w:rPr>
      </w:pPr>
      <w:r>
        <w:rPr>
          <w:rFonts w:hint="eastAsia"/>
          <w:sz w:val="24"/>
          <w:lang w:eastAsia="zh-CN"/>
        </w:rPr>
        <w:t>1. 争议：</w:t>
      </w:r>
      <w:r>
        <w:rPr>
          <w:rFonts w:hint="eastAsia"/>
          <w:sz w:val="24"/>
          <w:szCs w:val="24"/>
          <w:lang w:eastAsia="zh-CN"/>
        </w:rPr>
        <w:t>甲乙双方在履行合同过程中，发生争议和纠纷时，双方应友好协商解决，经协商无法解决时，向甲方所在地的人民法院提起诉讼。</w:t>
      </w:r>
    </w:p>
    <w:p>
      <w:pPr>
        <w:tabs>
          <w:tab w:val="left" w:pos="2010"/>
        </w:tabs>
        <w:spacing w:line="360" w:lineRule="auto"/>
        <w:ind w:firstLine="240" w:firstLineChars="100"/>
        <w:rPr>
          <w:sz w:val="24"/>
          <w:lang w:eastAsia="zh-CN"/>
        </w:rPr>
      </w:pPr>
      <w:r>
        <w:rPr>
          <w:rFonts w:hint="eastAsia"/>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360" w:lineRule="auto"/>
        <w:ind w:firstLine="240" w:firstLineChars="100"/>
        <w:rPr>
          <w:sz w:val="24"/>
          <w:lang w:eastAsia="zh-CN"/>
        </w:rPr>
      </w:pPr>
      <w:r>
        <w:rPr>
          <w:rFonts w:hint="eastAsia"/>
          <w:sz w:val="24"/>
          <w:lang w:eastAsia="zh-CN"/>
        </w:rPr>
        <w:t xml:space="preserve">2.1 </w:t>
      </w:r>
      <w:r>
        <w:rPr>
          <w:rFonts w:hint="eastAsia"/>
          <w:sz w:val="24"/>
          <w:szCs w:val="24"/>
          <w:lang w:eastAsia="zh-CN"/>
        </w:rPr>
        <w:t>如甲方逾期付款，应按全国银行间同业拆借中心公布的贷款市场报价利率向乙方支付利息</w:t>
      </w:r>
      <w:r>
        <w:rPr>
          <w:rFonts w:hint="eastAsia"/>
          <w:sz w:val="24"/>
          <w:lang w:eastAsia="zh-CN"/>
        </w:rPr>
        <w:t>。</w:t>
      </w:r>
    </w:p>
    <w:p>
      <w:pPr>
        <w:tabs>
          <w:tab w:val="left" w:pos="2010"/>
        </w:tabs>
        <w:spacing w:line="360" w:lineRule="auto"/>
        <w:ind w:firstLine="240" w:firstLineChars="100"/>
        <w:rPr>
          <w:sz w:val="24"/>
          <w:lang w:eastAsia="zh-CN"/>
        </w:rPr>
      </w:pPr>
      <w:r>
        <w:rPr>
          <w:rFonts w:hint="eastAsia"/>
          <w:sz w:val="24"/>
          <w:lang w:eastAsia="zh-CN"/>
        </w:rPr>
        <w:t>2.2 乙方提供的检修服务达不到合同约定的质量标准，乙方应无偿返修或返工，并承担由此给甲方造成的损失。</w:t>
      </w:r>
    </w:p>
    <w:p>
      <w:pPr>
        <w:tabs>
          <w:tab w:val="left" w:pos="2010"/>
        </w:tabs>
        <w:spacing w:line="360" w:lineRule="auto"/>
        <w:ind w:firstLine="240" w:firstLineChars="100"/>
        <w:rPr>
          <w:sz w:val="24"/>
          <w:lang w:eastAsia="zh-CN"/>
        </w:rPr>
      </w:pPr>
      <w:r>
        <w:rPr>
          <w:rFonts w:hint="eastAsia"/>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经甲方催办仍不履行/采取补救措施的，应承担违约责任并向甲方支付本合同总金额20%的违约金</w:t>
      </w:r>
      <w:r>
        <w:rPr>
          <w:rFonts w:hint="eastAsia" w:asciiTheme="majorEastAsia" w:hAnsiTheme="majorEastAsia" w:eastAsiaTheme="majorEastAsia"/>
          <w:color w:val="3C3C3C"/>
          <w:sz w:val="24"/>
          <w:szCs w:val="24"/>
          <w:lang w:eastAsia="zh-CN"/>
        </w:rPr>
        <w:t>。</w:t>
      </w:r>
    </w:p>
    <w:p>
      <w:pPr>
        <w:tabs>
          <w:tab w:val="left" w:pos="2010"/>
        </w:tabs>
        <w:spacing w:line="360" w:lineRule="auto"/>
        <w:ind w:firstLine="240" w:firstLineChars="100"/>
        <w:rPr>
          <w:sz w:val="24"/>
          <w:szCs w:val="24"/>
          <w:lang w:eastAsia="zh-CN"/>
        </w:rPr>
      </w:pPr>
      <w:r>
        <w:rPr>
          <w:rFonts w:hint="eastAsia"/>
          <w:sz w:val="24"/>
          <w:lang w:eastAsia="zh-CN"/>
        </w:rPr>
        <w:t>2.4 乙方未在甲方规定的工期期限内完成检维修工作的，每逾期一日，甲方有权扣减检维修费用</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日的，甲方还有权解除本合同、拒绝结算，并要求乙方赔偿损失。</w:t>
      </w:r>
      <w:r>
        <w:rPr>
          <w:rFonts w:hint="eastAsia"/>
          <w:sz w:val="24"/>
          <w:szCs w:val="24"/>
          <w:lang w:eastAsia="zh-CN"/>
        </w:rPr>
        <w:t>甲方有权要求乙方支付合同总金额</w:t>
      </w:r>
      <w:r>
        <w:rPr>
          <w:rFonts w:hint="eastAsia"/>
          <w:sz w:val="24"/>
          <w:szCs w:val="24"/>
          <w:u w:val="single"/>
          <w:lang w:eastAsia="zh-CN"/>
        </w:rPr>
        <w:t>20%</w:t>
      </w:r>
      <w:r>
        <w:rPr>
          <w:rFonts w:hint="eastAsia"/>
          <w:sz w:val="24"/>
          <w:szCs w:val="24"/>
          <w:lang w:eastAsia="zh-CN"/>
        </w:rPr>
        <w:t>的违约金，并要求乙方赔偿损失。</w:t>
      </w:r>
    </w:p>
    <w:p>
      <w:pPr>
        <w:tabs>
          <w:tab w:val="left" w:pos="2010"/>
        </w:tabs>
        <w:spacing w:line="360" w:lineRule="auto"/>
        <w:ind w:firstLine="240" w:firstLineChars="100"/>
        <w:rPr>
          <w:sz w:val="24"/>
          <w:lang w:eastAsia="zh-CN"/>
        </w:rPr>
      </w:pPr>
      <w:r>
        <w:rPr>
          <w:rFonts w:hint="eastAsia"/>
          <w:sz w:val="24"/>
          <w:lang w:eastAsia="zh-CN"/>
        </w:rPr>
        <w:t>2.5 乙方检维修施工期间，因不可归责于甲方的原因造成甲方、乙方或第三方人身、财产损失的，乙方承担赔偿责任，不可抗力等法律另有规定的除外。</w:t>
      </w:r>
    </w:p>
    <w:p>
      <w:pPr>
        <w:tabs>
          <w:tab w:val="left" w:pos="2010"/>
        </w:tabs>
        <w:spacing w:line="360" w:lineRule="auto"/>
        <w:ind w:firstLine="240" w:firstLineChars="100"/>
        <w:rPr>
          <w:sz w:val="24"/>
          <w:lang w:eastAsia="zh-CN"/>
        </w:rPr>
      </w:pPr>
      <w:r>
        <w:rPr>
          <w:rFonts w:hint="eastAsia"/>
          <w:sz w:val="24"/>
          <w:lang w:eastAsia="zh-CN"/>
        </w:rPr>
        <w:t>2.6 乙方违反本合同约定，经甲方指出后未在甲方规定期限更正的，甲方视情况提前解除本合同并拒绝支付应付款项。</w:t>
      </w:r>
    </w:p>
    <w:p>
      <w:pPr>
        <w:tabs>
          <w:tab w:val="left" w:pos="2010"/>
        </w:tabs>
        <w:spacing w:line="360" w:lineRule="auto"/>
        <w:rPr>
          <w:b/>
          <w:sz w:val="24"/>
          <w:szCs w:val="24"/>
          <w:lang w:eastAsia="zh-CN"/>
        </w:rPr>
      </w:pPr>
      <w:r>
        <w:rPr>
          <w:rFonts w:hint="eastAsia"/>
          <w:b/>
          <w:sz w:val="24"/>
          <w:szCs w:val="24"/>
          <w:lang w:eastAsia="zh-CN"/>
        </w:rPr>
        <w:t>第八条 通知</w:t>
      </w:r>
    </w:p>
    <w:p>
      <w:pPr>
        <w:spacing w:line="360" w:lineRule="auto"/>
        <w:ind w:firstLine="360" w:firstLineChars="150"/>
        <w:rPr>
          <w:sz w:val="24"/>
          <w:lang w:eastAsia="zh-CN"/>
        </w:rPr>
      </w:pPr>
      <w:r>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42"/>
        <w:spacing w:before="0" w:beforeAutospacing="0" w:after="0" w:afterAutospacing="0" w:line="360" w:lineRule="auto"/>
        <w:rPr>
          <w:rFonts w:asciiTheme="majorEastAsia" w:hAnsiTheme="majorEastAsia" w:eastAsiaTheme="majorEastAsia"/>
          <w:color w:val="3C3C3C"/>
        </w:rPr>
      </w:pPr>
      <w:r>
        <w:rPr>
          <w:rFonts w:hint="eastAsia"/>
          <w:b/>
        </w:rPr>
        <w:t>第九条  合同份数及生效和终止</w:t>
      </w:r>
    </w:p>
    <w:p>
      <w:pPr>
        <w:pStyle w:val="42"/>
        <w:spacing w:before="0" w:beforeAutospacing="0" w:after="0" w:afterAutospacing="0" w:line="360" w:lineRule="auto"/>
        <w:ind w:firstLine="360" w:firstLineChars="150"/>
        <w:rPr>
          <w:rFonts w:asciiTheme="majorEastAsia" w:hAnsiTheme="majorEastAsia" w:eastAsiaTheme="majorEastAsia"/>
          <w:color w:val="3C3C3C"/>
        </w:rPr>
      </w:pPr>
      <w:r>
        <w:rPr>
          <w:rFonts w:hint="eastAsia" w:asciiTheme="majorEastAsia" w:hAnsiTheme="majorEastAsia" w:eastAsiaTheme="majorEastAsia"/>
          <w:color w:val="3C3C3C"/>
        </w:rPr>
        <w:t>1. 本合同经双方盖章后立即生效，</w:t>
      </w:r>
      <w:r>
        <w:rPr>
          <w:rFonts w:hint="eastAsia"/>
        </w:rPr>
        <w:t>本合同未尽事宜，如需更改经双方协商后可另签补充协议。</w:t>
      </w:r>
    </w:p>
    <w:p>
      <w:pPr>
        <w:pStyle w:val="42"/>
        <w:spacing w:before="0" w:beforeAutospacing="0" w:after="0" w:afterAutospacing="0" w:line="360" w:lineRule="auto"/>
        <w:ind w:firstLine="360" w:firstLineChars="150"/>
        <w:rPr>
          <w:rFonts w:asciiTheme="majorEastAsia" w:hAnsiTheme="majorEastAsia" w:eastAsiaTheme="majorEastAsia"/>
          <w:color w:val="3C3C3C"/>
        </w:rPr>
      </w:pPr>
      <w:r>
        <w:rPr>
          <w:rFonts w:hint="eastAsia" w:asciiTheme="majorEastAsia" w:hAnsiTheme="majorEastAsia" w:eastAsiaTheme="majorEastAsia"/>
          <w:color w:val="3C3C3C"/>
        </w:rPr>
        <w:t xml:space="preserve">2. </w:t>
      </w:r>
      <w:r>
        <w:rPr>
          <w:rFonts w:hint="eastAsia"/>
        </w:rPr>
        <w:t>合同正本陆份，甲方执肆份，乙方执贰份，具有同等法律效力。</w:t>
      </w:r>
    </w:p>
    <w:p>
      <w:pPr>
        <w:tabs>
          <w:tab w:val="left" w:pos="2010"/>
        </w:tabs>
        <w:spacing w:line="360" w:lineRule="auto"/>
        <w:ind w:firstLine="360" w:firstLineChars="150"/>
        <w:rPr>
          <w:sz w:val="24"/>
          <w:lang w:eastAsia="zh-CN"/>
        </w:rPr>
      </w:pPr>
      <w:r>
        <w:rPr>
          <w:rFonts w:hint="eastAsia"/>
          <w:sz w:val="24"/>
          <w:lang w:eastAsia="zh-CN"/>
        </w:rPr>
        <w:t>3.</w:t>
      </w:r>
      <w:r>
        <w:rPr>
          <w:sz w:val="24"/>
          <w:lang w:eastAsia="zh-CN"/>
        </w:rPr>
        <w:t xml:space="preserve"> </w:t>
      </w:r>
      <w:r>
        <w:rPr>
          <w:rFonts w:hint="eastAsia"/>
          <w:sz w:val="24"/>
          <w:lang w:eastAsia="zh-CN"/>
        </w:rPr>
        <w:t>附件及双方往来的有效书面文件与合同共同具备法律效力。</w:t>
      </w:r>
    </w:p>
    <w:p>
      <w:pPr>
        <w:tabs>
          <w:tab w:val="left" w:pos="2010"/>
        </w:tabs>
        <w:spacing w:line="360" w:lineRule="auto"/>
        <w:ind w:firstLine="360" w:firstLineChars="150"/>
        <w:rPr>
          <w:sz w:val="24"/>
          <w:lang w:eastAsia="zh-CN"/>
        </w:rPr>
      </w:pPr>
      <w:r>
        <w:rPr>
          <w:rFonts w:hint="eastAsia"/>
          <w:sz w:val="24"/>
          <w:lang w:eastAsia="zh-CN"/>
        </w:rPr>
        <w:t>4.</w:t>
      </w:r>
      <w:r>
        <w:rPr>
          <w:sz w:val="24"/>
          <w:lang w:eastAsia="zh-CN"/>
        </w:rPr>
        <w:t xml:space="preserve"> </w:t>
      </w:r>
      <w:r>
        <w:rPr>
          <w:rFonts w:hint="eastAsia"/>
          <w:sz w:val="24"/>
          <w:lang w:eastAsia="zh-CN"/>
        </w:rPr>
        <w:t>本合同未尽事宜，如需更改经双方协商后可另签补充协议。</w:t>
      </w:r>
    </w:p>
    <w:p>
      <w:pPr>
        <w:tabs>
          <w:tab w:val="left" w:pos="2010"/>
        </w:tabs>
        <w:spacing w:line="360" w:lineRule="auto"/>
        <w:rPr>
          <w:snapToGrid w:val="0"/>
          <w:sz w:val="24"/>
          <w:szCs w:val="24"/>
          <w:lang w:eastAsia="zh-CN"/>
        </w:rPr>
      </w:pPr>
    </w:p>
    <w:p>
      <w:pPr>
        <w:tabs>
          <w:tab w:val="left" w:pos="2010"/>
        </w:tabs>
        <w:spacing w:line="360" w:lineRule="auto"/>
        <w:ind w:firstLine="964" w:firstLineChars="400"/>
        <w:rPr>
          <w:sz w:val="24"/>
          <w:lang w:eastAsia="zh-CN"/>
        </w:rPr>
      </w:pPr>
      <w:r>
        <w:rPr>
          <w:rFonts w:hint="eastAsia" w:cs="Arial"/>
          <w:b/>
          <w:sz w:val="24"/>
          <w:lang w:eastAsia="zh-CN"/>
        </w:rPr>
        <w:t>（以下为签署栏，无正文）</w:t>
      </w: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600" w:lineRule="exact"/>
        <w:ind w:right="-147" w:rightChars="-67"/>
        <w:textAlignment w:val="auto"/>
        <w:rPr>
          <w:b/>
          <w:sz w:val="24"/>
          <w:lang w:eastAsia="zh-CN"/>
        </w:rPr>
      </w:pPr>
      <w:r>
        <w:rPr>
          <w:rFonts w:hint="eastAsia"/>
          <w:b/>
          <w:spacing w:val="20"/>
          <w:sz w:val="24"/>
          <w:lang w:eastAsia="zh-CN"/>
        </w:rPr>
        <w:t xml:space="preserve">腾龙芳烃（漳州）有限公司          </w:t>
      </w:r>
      <w:r>
        <w:rPr>
          <w:rFonts w:cs="Arial"/>
          <w:b/>
          <w:sz w:val="24"/>
          <w:lang w:eastAsia="zh-CN"/>
        </w:rPr>
        <w:br w:type="textWrapping"/>
      </w: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福建省漳州市古雷港经济开发区</w:t>
      </w:r>
      <w:r>
        <w:rPr>
          <w:rFonts w:hint="eastAsia"/>
          <w:szCs w:val="21"/>
          <w:lang w:eastAsia="zh-CN"/>
        </w:rPr>
        <w:t xml:space="preserve">          地</w:t>
      </w:r>
      <w:r>
        <w:rPr>
          <w:szCs w:val="21"/>
          <w:lang w:eastAsia="zh-CN"/>
        </w:rPr>
        <w:t xml:space="preserve"> </w:t>
      </w:r>
      <w:r>
        <w:rPr>
          <w:rFonts w:hint="eastAsia"/>
          <w:szCs w:val="21"/>
          <w:lang w:eastAsia="zh-CN"/>
        </w:rPr>
        <w:t xml:space="preserve"> 址：</w:t>
      </w:r>
    </w:p>
    <w:p>
      <w:pPr>
        <w:keepNext w:val="0"/>
        <w:keepLines w:val="0"/>
        <w:pageBreakBefore w:val="0"/>
        <w:widowControl w:val="0"/>
        <w:kinsoku/>
        <w:wordWrap/>
        <w:overflowPunct/>
        <w:topLinePunct w:val="0"/>
        <w:autoSpaceDE w:val="0"/>
        <w:autoSpaceDN w:val="0"/>
        <w:bidi w:val="0"/>
        <w:adjustRightInd/>
        <w:snapToGrid/>
        <w:spacing w:line="600" w:lineRule="exact"/>
        <w:ind w:right="-147" w:rightChars="-67"/>
        <w:textAlignment w:val="auto"/>
        <w:rPr>
          <w:szCs w:val="21"/>
          <w:lang w:eastAsia="zh-CN"/>
        </w:rPr>
      </w:pPr>
      <w:r>
        <w:rPr>
          <w:rFonts w:hint="eastAsia"/>
          <w:szCs w:val="21"/>
          <w:lang w:eastAsia="zh-CN"/>
        </w:rPr>
        <w:t xml:space="preserve">          </w:t>
      </w:r>
      <w:r>
        <w:rPr>
          <w:szCs w:val="21"/>
          <w:lang w:eastAsia="zh-CN"/>
        </w:rPr>
        <w:t xml:space="preserve"> </w:t>
      </w:r>
      <w:r>
        <w:rPr>
          <w:rFonts w:hint="eastAsia" w:hAnsi="Courier New" w:cs="Courier New"/>
          <w:szCs w:val="21"/>
          <w:lang w:eastAsia="zh-CN"/>
        </w:rPr>
        <w:t>腾龙路84号</w:t>
      </w:r>
    </w:p>
    <w:p>
      <w:pPr>
        <w:keepNext w:val="0"/>
        <w:keepLines w:val="0"/>
        <w:pageBreakBefore w:val="0"/>
        <w:widowControl w:val="0"/>
        <w:kinsoku/>
        <w:wordWrap/>
        <w:overflowPunct/>
        <w:topLinePunct w:val="0"/>
        <w:autoSpaceDE w:val="0"/>
        <w:autoSpaceDN w:val="0"/>
        <w:bidi w:val="0"/>
        <w:adjustRightInd/>
        <w:snapToGrid/>
        <w:spacing w:line="600" w:lineRule="exact"/>
        <w:ind w:left="1038" w:right="-147" w:rightChars="-67" w:hanging="1038" w:hangingChars="472"/>
        <w:textAlignment w:val="auto"/>
        <w:rPr>
          <w:szCs w:val="21"/>
          <w:lang w:eastAsia="zh-CN"/>
        </w:rPr>
      </w:pPr>
      <w:r>
        <w:rPr>
          <w:rFonts w:hint="eastAsia"/>
          <w:szCs w:val="21"/>
          <w:lang w:eastAsia="zh-CN"/>
        </w:rPr>
        <w:t xml:space="preserve">开户行：兴业银行漳州古雷支行                 开户行：                                </w:t>
      </w:r>
    </w:p>
    <w:p>
      <w:pPr>
        <w:keepNext w:val="0"/>
        <w:keepLines w:val="0"/>
        <w:pageBreakBefore w:val="0"/>
        <w:widowControl w:val="0"/>
        <w:kinsoku/>
        <w:wordWrap/>
        <w:overflowPunct/>
        <w:topLinePunct w:val="0"/>
        <w:autoSpaceDE w:val="0"/>
        <w:autoSpaceDN w:val="0"/>
        <w:bidi w:val="0"/>
        <w:adjustRightInd/>
        <w:snapToGrid/>
        <w:spacing w:line="600" w:lineRule="exact"/>
        <w:ind w:right="-147" w:rightChars="-67"/>
        <w:textAlignment w:val="auto"/>
        <w:rPr>
          <w:szCs w:val="21"/>
          <w:lang w:eastAsia="zh-CN"/>
        </w:rPr>
      </w:pPr>
      <w:r>
        <w:rPr>
          <w:rFonts w:hint="eastAsia"/>
          <w:szCs w:val="21"/>
          <w:lang w:eastAsia="zh-CN"/>
        </w:rPr>
        <w:t>帐</w:t>
      </w:r>
      <w:r>
        <w:rPr>
          <w:szCs w:val="21"/>
          <w:lang w:eastAsia="zh-CN"/>
        </w:rPr>
        <w:t xml:space="preserve">  </w:t>
      </w:r>
      <w:r>
        <w:rPr>
          <w:rFonts w:hint="eastAsia"/>
          <w:szCs w:val="21"/>
          <w:lang w:eastAsia="zh-CN"/>
        </w:rPr>
        <w:t>号： 162070100100021071                    帐</w:t>
      </w:r>
      <w:r>
        <w:rPr>
          <w:szCs w:val="21"/>
          <w:lang w:eastAsia="zh-CN"/>
        </w:rPr>
        <w:t xml:space="preserve">  </w:t>
      </w:r>
      <w:r>
        <w:rPr>
          <w:rFonts w:hint="eastAsia"/>
          <w:szCs w:val="21"/>
          <w:lang w:eastAsia="zh-CN"/>
        </w:rPr>
        <w:t xml:space="preserve">号： </w:t>
      </w:r>
    </w:p>
    <w:p>
      <w:pPr>
        <w:keepNext w:val="0"/>
        <w:keepLines w:val="0"/>
        <w:pageBreakBefore w:val="0"/>
        <w:widowControl w:val="0"/>
        <w:kinsoku/>
        <w:wordWrap/>
        <w:overflowPunct/>
        <w:topLinePunct w:val="0"/>
        <w:autoSpaceDE w:val="0"/>
        <w:autoSpaceDN w:val="0"/>
        <w:bidi w:val="0"/>
        <w:adjustRightInd/>
        <w:snapToGrid/>
        <w:spacing w:line="600" w:lineRule="exact"/>
        <w:ind w:right="-147" w:rightChars="-67"/>
        <w:textAlignment w:val="auto"/>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keepNext w:val="0"/>
        <w:keepLines w:val="0"/>
        <w:pageBreakBefore w:val="0"/>
        <w:widowControl w:val="0"/>
        <w:kinsoku/>
        <w:wordWrap/>
        <w:overflowPunct/>
        <w:topLinePunct w:val="0"/>
        <w:autoSpaceDE w:val="0"/>
        <w:autoSpaceDN w:val="0"/>
        <w:bidi w:val="0"/>
        <w:adjustRightInd/>
        <w:snapToGrid/>
        <w:spacing w:line="600" w:lineRule="exact"/>
        <w:ind w:right="-147" w:rightChars="-67"/>
        <w:textAlignment w:val="auto"/>
        <w:rPr>
          <w:szCs w:val="21"/>
          <w:lang w:eastAsia="zh-CN"/>
        </w:rPr>
      </w:pPr>
      <w:r>
        <w:rPr>
          <w:rFonts w:hint="eastAsia"/>
          <w:szCs w:val="21"/>
          <w:lang w:eastAsia="zh-CN"/>
        </w:rPr>
        <w:t>电</w:t>
      </w:r>
      <w:r>
        <w:rPr>
          <w:szCs w:val="21"/>
          <w:lang w:eastAsia="zh-CN"/>
        </w:rPr>
        <w:t xml:space="preserve">  </w:t>
      </w:r>
      <w:r>
        <w:rPr>
          <w:rFonts w:hint="eastAsia"/>
          <w:szCs w:val="21"/>
          <w:lang w:eastAsia="zh-CN"/>
        </w:rPr>
        <w:t>话：  0596-6311083                        电</w:t>
      </w:r>
      <w:r>
        <w:rPr>
          <w:szCs w:val="21"/>
          <w:lang w:eastAsia="zh-CN"/>
        </w:rPr>
        <w:t xml:space="preserve">  </w:t>
      </w:r>
      <w:r>
        <w:rPr>
          <w:rFonts w:hint="eastAsia"/>
          <w:szCs w:val="21"/>
          <w:lang w:eastAsia="zh-CN"/>
        </w:rPr>
        <w:t>话：</w:t>
      </w:r>
      <w:r>
        <w:rPr>
          <w:rFonts w:hint="eastAsia"/>
          <w:bCs/>
          <w:szCs w:val="21"/>
          <w:lang w:eastAsia="zh-CN"/>
        </w:rPr>
        <w:t xml:space="preserve"> </w:t>
      </w:r>
    </w:p>
    <w:p>
      <w:pPr>
        <w:spacing w:line="400" w:lineRule="exact"/>
        <w:rPr>
          <w:rFonts w:hint="eastAsia" w:ascii="Arial" w:hAnsi="Arial" w:cs="Arial"/>
          <w:sz w:val="24"/>
          <w:lang w:val="en-US" w:eastAsia="zh-CN"/>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磨煤机磨辊堆焊维修年约项目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5</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磨煤机磨辊堆焊维修年约项目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8"/>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2464"/>
        <w:gridCol w:w="3720"/>
        <w:gridCol w:w="555"/>
        <w:gridCol w:w="615"/>
        <w:gridCol w:w="1065"/>
        <w:gridCol w:w="1112"/>
      </w:tblGrid>
      <w:tr>
        <w:tblPrEx>
          <w:tblCellMar>
            <w:top w:w="15" w:type="dxa"/>
            <w:left w:w="15" w:type="dxa"/>
            <w:bottom w:w="15" w:type="dxa"/>
            <w:right w:w="15" w:type="dxa"/>
          </w:tblCellMar>
        </w:tblPrEx>
        <w:trPr>
          <w:trHeight w:val="645" w:hRule="atLeast"/>
        </w:trPr>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372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p>
          <w:p>
            <w:pPr>
              <w:widowControl/>
              <w:jc w:val="center"/>
              <w:textAlignment w:val="center"/>
              <w:rPr>
                <w:color w:val="000000"/>
                <w:sz w:val="18"/>
                <w:szCs w:val="18"/>
              </w:rPr>
            </w:pPr>
            <w:r>
              <w:rPr>
                <w:rFonts w:hint="eastAsia"/>
                <w:color w:val="000000"/>
                <w:sz w:val="18"/>
                <w:szCs w:val="18"/>
              </w:rPr>
              <w:t>规格/型号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lang w:val="en-US" w:eastAsia="zh-CN"/>
              </w:rPr>
              <w:t>年预估</w:t>
            </w:r>
            <w:r>
              <w:rPr>
                <w:rFonts w:hint="eastAsia"/>
                <w:color w:val="000000"/>
                <w:sz w:val="18"/>
                <w:szCs w:val="18"/>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val="en-US" w:eastAsia="zh-CN"/>
              </w:rPr>
              <w:t>预估</w:t>
            </w:r>
            <w:r>
              <w:rPr>
                <w:rFonts w:hint="eastAsia"/>
                <w:color w:val="000000"/>
                <w:sz w:val="18"/>
                <w:szCs w:val="18"/>
              </w:rPr>
              <w:t>含税</w:t>
            </w:r>
            <w:r>
              <w:rPr>
                <w:rFonts w:hint="eastAsia"/>
                <w:color w:val="000000"/>
                <w:sz w:val="18"/>
                <w:szCs w:val="18"/>
                <w:lang w:eastAsia="zh-CN"/>
              </w:rPr>
              <w:t>小计</w:t>
            </w:r>
          </w:p>
        </w:tc>
      </w:tr>
      <w:tr>
        <w:tblPrEx>
          <w:tblCellMar>
            <w:top w:w="15" w:type="dxa"/>
            <w:left w:w="15" w:type="dxa"/>
            <w:bottom w:w="15" w:type="dxa"/>
            <w:right w:w="15" w:type="dxa"/>
          </w:tblCellMar>
        </w:tblPrEx>
        <w:trPr>
          <w:trHeight w:val="1880" w:hRule="atLeast"/>
        </w:trPr>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磨煤机磨辊堆焊维修年约项目</w:t>
            </w:r>
          </w:p>
        </w:tc>
        <w:tc>
          <w:tcPr>
            <w:tcW w:w="372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val="en-US" w:eastAsia="zh-CN"/>
              </w:rPr>
              <w:t>详</w:t>
            </w:r>
            <w:r>
              <w:rPr>
                <w:rFonts w:hint="eastAsia" w:ascii="宋体" w:hAnsi="宋体" w:eastAsia="宋体" w:cs="宋体"/>
                <w:color w:val="000000"/>
                <w:sz w:val="18"/>
                <w:szCs w:val="18"/>
                <w:lang w:eastAsia="zh-CN"/>
              </w:rPr>
              <w:t>见</w:t>
            </w:r>
            <w:r>
              <w:rPr>
                <w:rFonts w:hint="eastAsia" w:ascii="宋体" w:hAnsi="宋体" w:eastAsia="宋体" w:cs="宋体"/>
                <w:color w:val="000000"/>
                <w:sz w:val="18"/>
                <w:szCs w:val="18"/>
                <w:lang w:val="en-US" w:eastAsia="zh-CN"/>
              </w:rPr>
              <w:t>附件1、《腾龙芳烃（漳州）有限公司供热中心磨辊堆焊技术规范》</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eastAsia="宋体"/>
                <w:color w:val="000000"/>
                <w:sz w:val="18"/>
                <w:szCs w:val="18"/>
                <w:lang w:val="en-US" w:eastAsia="zh-CN"/>
              </w:rPr>
            </w:pPr>
            <w:r>
              <w:rPr>
                <w:rFonts w:hint="eastAsia"/>
                <w:color w:val="000000"/>
                <w:sz w:val="18"/>
                <w:szCs w:val="18"/>
                <w:lang w:val="en-US" w:eastAsia="zh-CN"/>
              </w:rPr>
              <w:t>KG</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rPr>
            </w:pPr>
            <w:r>
              <w:rPr>
                <w:rFonts w:hint="eastAsia"/>
                <w:color w:val="000000"/>
                <w:sz w:val="18"/>
                <w:szCs w:val="18"/>
                <w:u w:val="none"/>
                <w:lang w:val="en-US" w:eastAsia="zh-CN" w:bidi="ar"/>
              </w:rPr>
              <w:t>4620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18"/>
                <w:szCs w:val="18"/>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18"/>
                <w:szCs w:val="18"/>
              </w:rPr>
            </w:pPr>
          </w:p>
        </w:tc>
      </w:tr>
      <w:tr>
        <w:tblPrEx>
          <w:tblCellMar>
            <w:top w:w="15" w:type="dxa"/>
            <w:left w:w="15" w:type="dxa"/>
            <w:bottom w:w="15" w:type="dxa"/>
            <w:right w:w="15" w:type="dxa"/>
          </w:tblCellMar>
        </w:tblPrEx>
        <w:trPr>
          <w:trHeight w:val="600" w:hRule="atLeast"/>
        </w:trPr>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ascii="宋体" w:hAnsi="宋体" w:eastAsia="宋体" w:cs="宋体"/>
                <w:b/>
                <w:color w:val="000000"/>
                <w:szCs w:val="21"/>
                <w:lang w:val="en-US" w:eastAsia="zh-CN"/>
              </w:rPr>
              <w:t>预估</w:t>
            </w:r>
            <w:r>
              <w:rPr>
                <w:rFonts w:hint="eastAsia"/>
                <w:b/>
                <w:color w:val="000000"/>
                <w:szCs w:val="21"/>
                <w:lang w:eastAsia="zh-CN"/>
              </w:rPr>
              <w:t>含税总计 小写（大写）</w:t>
            </w:r>
          </w:p>
        </w:tc>
        <w:tc>
          <w:tcPr>
            <w:tcW w:w="70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p>
      <w:pPr>
        <w:snapToGrid w:val="0"/>
        <w:spacing w:line="360" w:lineRule="auto"/>
        <w:rPr>
          <w:rFonts w:hint="eastAsia"/>
          <w:sz w:val="24"/>
          <w:szCs w:val="24"/>
          <w:lang w:eastAsia="zh-CN"/>
        </w:rPr>
      </w:pPr>
    </w:p>
    <w:p>
      <w:pPr>
        <w:snapToGrid w:val="0"/>
        <w:spacing w:line="360" w:lineRule="auto"/>
        <w:rPr>
          <w:rFonts w:hint="eastAsia"/>
          <w:sz w:val="24"/>
          <w:szCs w:val="24"/>
        </w:rPr>
      </w:pPr>
      <w:r>
        <w:rPr>
          <w:rFonts w:hint="eastAsia" w:ascii="Times New Roman" w:hAnsi="ˎ̥" w:eastAsia="宋体" w:cs="宋体"/>
          <w:sz w:val="28"/>
          <w:szCs w:val="28"/>
          <w:lang w:val="en-US" w:eastAsia="zh-CN" w:bidi="ar-SA"/>
        </w:rPr>
        <w:t>1、价格为含税价，税率：</w:t>
      </w:r>
      <w:r>
        <w:rPr>
          <w:rFonts w:hint="eastAsia" w:ascii="Times New Roman" w:hAnsi="ˎ̥" w:eastAsia="宋体" w:cs="宋体"/>
          <w:sz w:val="28"/>
          <w:szCs w:val="28"/>
          <w:u w:val="single"/>
          <w:lang w:val="en-US" w:eastAsia="zh-CN" w:bidi="ar-SA"/>
        </w:rPr>
        <w:t xml:space="preserve">      </w:t>
      </w:r>
      <w:r>
        <w:rPr>
          <w:rFonts w:hint="eastAsia" w:ascii="Times New Roman" w:hAnsi="ˎ̥" w:eastAsia="宋体" w:cs="宋体"/>
          <w:sz w:val="28"/>
          <w:szCs w:val="28"/>
          <w:lang w:val="en-US" w:eastAsia="zh-CN" w:bidi="ar-SA"/>
        </w:rPr>
        <w:t xml:space="preserve">% </w:t>
      </w:r>
      <w:r>
        <w:rPr>
          <w:rFonts w:hint="eastAsia"/>
          <w:sz w:val="24"/>
          <w:szCs w:val="24"/>
          <w:lang w:eastAsia="zh-CN"/>
        </w:rPr>
        <w:t xml:space="preserve"> </w:t>
      </w:r>
    </w:p>
    <w:p>
      <w:pPr>
        <w:snapToGrid w:val="0"/>
        <w:spacing w:line="360" w:lineRule="auto"/>
        <w:rPr>
          <w:rFonts w:hint="eastAsia" w:ascii="Times New Roman" w:hAnsi="ˎ̥" w:eastAsia="宋体" w:cs="宋体"/>
          <w:sz w:val="28"/>
          <w:szCs w:val="28"/>
          <w:lang w:val="en-US" w:eastAsia="zh-CN" w:bidi="ar-SA"/>
        </w:rPr>
      </w:pPr>
      <w:r>
        <w:rPr>
          <w:rFonts w:hint="eastAsia" w:ascii="Times New Roman" w:hAnsi="ˎ̥" w:eastAsia="宋体" w:cs="宋体"/>
          <w:sz w:val="28"/>
          <w:szCs w:val="28"/>
          <w:lang w:val="en-US" w:eastAsia="zh-CN" w:bidi="ar-SA"/>
        </w:rPr>
        <w:t>2、付款方式：全部货款以现汇支付。采用暂定总价，固定单价，据实结算的承包方式，维修款按季度结算支付，验收合格付90%，质保金10%（质保期一年）。</w:t>
      </w:r>
    </w:p>
    <w:p>
      <w:pPr>
        <w:spacing w:line="460" w:lineRule="exact"/>
        <w:ind w:firstLine="560" w:firstLineChars="200"/>
        <w:rPr>
          <w:rFonts w:hint="eastAsia"/>
          <w:sz w:val="28"/>
          <w:lang w:eastAsia="zh-CN"/>
        </w:rPr>
      </w:pPr>
    </w:p>
    <w:p>
      <w:pPr>
        <w:spacing w:line="460" w:lineRule="exact"/>
        <w:ind w:firstLine="560" w:firstLineChars="200"/>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w:t>
      </w:r>
      <w:r>
        <w:rPr>
          <w:rFonts w:hint="eastAsia"/>
          <w:sz w:val="28"/>
          <w:u w:val="single"/>
          <w:lang w:val="en-US" w:eastAsia="zh-CN"/>
        </w:rPr>
        <w:t xml:space="preserve">    </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6FC4D"/>
    <w:multiLevelType w:val="singleLevel"/>
    <w:tmpl w:val="B416FC4D"/>
    <w:lvl w:ilvl="0" w:tentative="0">
      <w:start w:val="3"/>
      <w:numFmt w:val="decimal"/>
      <w:lvlText w:val="%1."/>
      <w:lvlJc w:val="left"/>
      <w:pPr>
        <w:tabs>
          <w:tab w:val="left" w:pos="312"/>
        </w:tabs>
        <w:ind w:left="-40"/>
      </w:p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A481A10"/>
    <w:rsid w:val="0B296DE2"/>
    <w:rsid w:val="0CE72D11"/>
    <w:rsid w:val="10294AA3"/>
    <w:rsid w:val="10E40CA0"/>
    <w:rsid w:val="13513209"/>
    <w:rsid w:val="136130D9"/>
    <w:rsid w:val="13805E8A"/>
    <w:rsid w:val="13854D45"/>
    <w:rsid w:val="14762538"/>
    <w:rsid w:val="15800409"/>
    <w:rsid w:val="17F13C7F"/>
    <w:rsid w:val="18DD4F7E"/>
    <w:rsid w:val="195B58A2"/>
    <w:rsid w:val="1989465C"/>
    <w:rsid w:val="1E085A14"/>
    <w:rsid w:val="1FF43DDB"/>
    <w:rsid w:val="21933AA2"/>
    <w:rsid w:val="23F03E46"/>
    <w:rsid w:val="23FE4910"/>
    <w:rsid w:val="24A24A9D"/>
    <w:rsid w:val="25BF356F"/>
    <w:rsid w:val="25DB0C2D"/>
    <w:rsid w:val="269469E7"/>
    <w:rsid w:val="27EE0826"/>
    <w:rsid w:val="2998140D"/>
    <w:rsid w:val="29FC3B14"/>
    <w:rsid w:val="2B11792E"/>
    <w:rsid w:val="2D7B4196"/>
    <w:rsid w:val="2D9667D6"/>
    <w:rsid w:val="2ECB74EC"/>
    <w:rsid w:val="2F724BD0"/>
    <w:rsid w:val="2F976020"/>
    <w:rsid w:val="3050099D"/>
    <w:rsid w:val="30C260F9"/>
    <w:rsid w:val="31C54755"/>
    <w:rsid w:val="3216608C"/>
    <w:rsid w:val="33F77BEB"/>
    <w:rsid w:val="34CE14C6"/>
    <w:rsid w:val="34D84CEC"/>
    <w:rsid w:val="3619384F"/>
    <w:rsid w:val="361C403D"/>
    <w:rsid w:val="37AF5AB7"/>
    <w:rsid w:val="384D1667"/>
    <w:rsid w:val="394F6359"/>
    <w:rsid w:val="39E41149"/>
    <w:rsid w:val="3B1C3371"/>
    <w:rsid w:val="3CC23198"/>
    <w:rsid w:val="3DDF4815"/>
    <w:rsid w:val="3FE669E5"/>
    <w:rsid w:val="446948F1"/>
    <w:rsid w:val="462A54F2"/>
    <w:rsid w:val="479C64A7"/>
    <w:rsid w:val="49B31EFB"/>
    <w:rsid w:val="4A6A5207"/>
    <w:rsid w:val="4A9D4A92"/>
    <w:rsid w:val="4C797628"/>
    <w:rsid w:val="4D967E9A"/>
    <w:rsid w:val="4E777585"/>
    <w:rsid w:val="50F63E28"/>
    <w:rsid w:val="5221007F"/>
    <w:rsid w:val="52926B5A"/>
    <w:rsid w:val="52F74B88"/>
    <w:rsid w:val="545C5E51"/>
    <w:rsid w:val="5486175B"/>
    <w:rsid w:val="56BA5480"/>
    <w:rsid w:val="57667D24"/>
    <w:rsid w:val="57CE5BC3"/>
    <w:rsid w:val="5A2D3E44"/>
    <w:rsid w:val="5A3260D4"/>
    <w:rsid w:val="5AE1516A"/>
    <w:rsid w:val="5B6A3A79"/>
    <w:rsid w:val="5C1A5F7B"/>
    <w:rsid w:val="5D7A3273"/>
    <w:rsid w:val="5E2B4120"/>
    <w:rsid w:val="628D3982"/>
    <w:rsid w:val="645771F8"/>
    <w:rsid w:val="6A54112D"/>
    <w:rsid w:val="6A701C86"/>
    <w:rsid w:val="6AA035AE"/>
    <w:rsid w:val="6BCB034D"/>
    <w:rsid w:val="6BD85D34"/>
    <w:rsid w:val="6C0E1756"/>
    <w:rsid w:val="6DFD1A82"/>
    <w:rsid w:val="6E0F2E14"/>
    <w:rsid w:val="6E9D0D08"/>
    <w:rsid w:val="6F1E141D"/>
    <w:rsid w:val="6F5354F8"/>
    <w:rsid w:val="727810B8"/>
    <w:rsid w:val="72E4103F"/>
    <w:rsid w:val="73AF7CC3"/>
    <w:rsid w:val="740A2BDE"/>
    <w:rsid w:val="751839E0"/>
    <w:rsid w:val="76274F93"/>
    <w:rsid w:val="79EB3F2F"/>
    <w:rsid w:val="79FD3C4B"/>
    <w:rsid w:val="7B11789E"/>
    <w:rsid w:val="7D250FF6"/>
    <w:rsid w:val="7DC94A0A"/>
    <w:rsid w:val="7E582D05"/>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1"/>
    <w:qFormat/>
    <w:uiPriority w:val="0"/>
    <w:pPr>
      <w:ind w:left="538"/>
      <w:outlineLvl w:val="0"/>
    </w:pPr>
    <w:rPr>
      <w:b/>
      <w:bCs/>
      <w:sz w:val="28"/>
      <w:szCs w:val="28"/>
    </w:rPr>
  </w:style>
  <w:style w:type="paragraph" w:styleId="4">
    <w:name w:val="heading 2"/>
    <w:basedOn w:val="1"/>
    <w:next w:val="1"/>
    <w:link w:val="62"/>
    <w:qFormat/>
    <w:uiPriority w:val="0"/>
    <w:pPr>
      <w:ind w:left="629"/>
      <w:outlineLvl w:val="1"/>
    </w:pPr>
    <w:rPr>
      <w:b/>
      <w:bCs/>
      <w:sz w:val="24"/>
      <w:szCs w:val="24"/>
    </w:rPr>
  </w:style>
  <w:style w:type="paragraph" w:styleId="5">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1"/>
    <w:qFormat/>
    <w:uiPriority w:val="1"/>
    <w:rPr>
      <w:sz w:val="24"/>
      <w:szCs w:val="24"/>
    </w:rPr>
  </w:style>
  <w:style w:type="paragraph" w:styleId="21">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2"/>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3"/>
    <w:qFormat/>
    <w:uiPriority w:val="99"/>
    <w:pPr>
      <w:tabs>
        <w:tab w:val="center" w:pos="4153"/>
        <w:tab w:val="right" w:pos="8306"/>
      </w:tabs>
      <w:snapToGrid w:val="0"/>
    </w:pPr>
    <w:rPr>
      <w:sz w:val="18"/>
      <w:szCs w:val="18"/>
    </w:rPr>
  </w:style>
  <w:style w:type="paragraph" w:styleId="31">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2"/>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4"/>
    <w:qFormat/>
    <w:uiPriority w:val="0"/>
    <w:pPr>
      <w:widowControl/>
    </w:pPr>
    <w:rPr>
      <w:b/>
      <w:bCs/>
      <w:sz w:val="24"/>
      <w:szCs w:val="24"/>
    </w:rPr>
  </w:style>
  <w:style w:type="paragraph" w:styleId="46">
    <w:name w:val="Body Text First Indent"/>
    <w:basedOn w:val="20"/>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7">
    <w:name w:val="Body Text First Indent 2"/>
    <w:basedOn w:val="21"/>
    <w:next w:val="1"/>
    <w:qFormat/>
    <w:uiPriority w:val="0"/>
    <w:pPr>
      <w:ind w:firstLine="420" w:firstLineChars="200"/>
    </w:p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0"/>
    <w:rPr>
      <w:color w:val="2490F8"/>
      <w:u w:val="none"/>
    </w:rPr>
  </w:style>
  <w:style w:type="character" w:styleId="54">
    <w:name w:val="Emphasis"/>
    <w:basedOn w:val="50"/>
    <w:qFormat/>
    <w:uiPriority w:val="0"/>
  </w:style>
  <w:style w:type="character" w:styleId="55">
    <w:name w:val="HTML Definition"/>
    <w:basedOn w:val="50"/>
    <w:semiHidden/>
    <w:unhideWhenUsed/>
    <w:uiPriority w:val="0"/>
  </w:style>
  <w:style w:type="character" w:styleId="56">
    <w:name w:val="HTML Variable"/>
    <w:basedOn w:val="50"/>
    <w:semiHidden/>
    <w:unhideWhenUsed/>
    <w:uiPriority w:val="0"/>
  </w:style>
  <w:style w:type="character" w:styleId="57">
    <w:name w:val="Hyperlink"/>
    <w:basedOn w:val="50"/>
    <w:qFormat/>
    <w:uiPriority w:val="0"/>
    <w:rPr>
      <w:color w:val="0000FF" w:themeColor="hyperlink"/>
      <w:u w:val="single"/>
    </w:rPr>
  </w:style>
  <w:style w:type="character" w:styleId="58">
    <w:name w:val="HTML Code"/>
    <w:basedOn w:val="50"/>
    <w:semiHidden/>
    <w:unhideWhenUsed/>
    <w:qFormat/>
    <w:uiPriority w:val="0"/>
    <w:rPr>
      <w:rFonts w:ascii="Courier New" w:hAnsi="Courier New"/>
      <w:sz w:val="20"/>
    </w:rPr>
  </w:style>
  <w:style w:type="character" w:styleId="59">
    <w:name w:val="annotation reference"/>
    <w:basedOn w:val="50"/>
    <w:qFormat/>
    <w:uiPriority w:val="0"/>
    <w:rPr>
      <w:sz w:val="21"/>
      <w:szCs w:val="21"/>
    </w:rPr>
  </w:style>
  <w:style w:type="character" w:styleId="60">
    <w:name w:val="HTML Cite"/>
    <w:basedOn w:val="50"/>
    <w:semiHidden/>
    <w:unhideWhenUsed/>
    <w:uiPriority w:val="0"/>
  </w:style>
  <w:style w:type="character" w:customStyle="1" w:styleId="61">
    <w:name w:val="标题 1 Char"/>
    <w:basedOn w:val="50"/>
    <w:link w:val="3"/>
    <w:qFormat/>
    <w:uiPriority w:val="0"/>
    <w:rPr>
      <w:rFonts w:ascii="宋体" w:hAnsi="宋体" w:cs="宋体"/>
      <w:b/>
      <w:bCs/>
      <w:sz w:val="28"/>
      <w:szCs w:val="28"/>
      <w:lang w:eastAsia="en-US"/>
    </w:rPr>
  </w:style>
  <w:style w:type="character" w:customStyle="1" w:styleId="62">
    <w:name w:val="标题 2 Char"/>
    <w:basedOn w:val="50"/>
    <w:link w:val="4"/>
    <w:qFormat/>
    <w:uiPriority w:val="0"/>
    <w:rPr>
      <w:rFonts w:ascii="宋体" w:hAnsi="宋体" w:cs="宋体"/>
      <w:b/>
      <w:bCs/>
      <w:sz w:val="24"/>
      <w:szCs w:val="24"/>
      <w:lang w:eastAsia="en-US"/>
    </w:rPr>
  </w:style>
  <w:style w:type="character" w:customStyle="1" w:styleId="63">
    <w:name w:val="标题 3 Char"/>
    <w:basedOn w:val="50"/>
    <w:link w:val="5"/>
    <w:qFormat/>
    <w:uiPriority w:val="0"/>
    <w:rPr>
      <w:b/>
      <w:bCs/>
      <w:kern w:val="2"/>
      <w:sz w:val="32"/>
      <w:szCs w:val="32"/>
    </w:rPr>
  </w:style>
  <w:style w:type="character" w:customStyle="1" w:styleId="64">
    <w:name w:val="标题 4 Char"/>
    <w:basedOn w:val="50"/>
    <w:link w:val="6"/>
    <w:qFormat/>
    <w:uiPriority w:val="0"/>
    <w:rPr>
      <w:b/>
      <w:kern w:val="2"/>
      <w:sz w:val="24"/>
      <w:szCs w:val="24"/>
    </w:rPr>
  </w:style>
  <w:style w:type="character" w:customStyle="1" w:styleId="65">
    <w:name w:val="标题 5 Char"/>
    <w:basedOn w:val="50"/>
    <w:link w:val="7"/>
    <w:qFormat/>
    <w:uiPriority w:val="0"/>
    <w:rPr>
      <w:b/>
      <w:bCs/>
      <w:kern w:val="2"/>
      <w:sz w:val="28"/>
      <w:szCs w:val="28"/>
    </w:rPr>
  </w:style>
  <w:style w:type="character" w:customStyle="1" w:styleId="66">
    <w:name w:val="标题 6 Char"/>
    <w:basedOn w:val="50"/>
    <w:link w:val="8"/>
    <w:qFormat/>
    <w:uiPriority w:val="0"/>
    <w:rPr>
      <w:b/>
      <w:sz w:val="24"/>
    </w:rPr>
  </w:style>
  <w:style w:type="character" w:customStyle="1" w:styleId="67">
    <w:name w:val="正文缩进 Char"/>
    <w:basedOn w:val="50"/>
    <w:link w:val="10"/>
    <w:qFormat/>
    <w:uiPriority w:val="0"/>
    <w:rPr>
      <w:sz w:val="24"/>
    </w:rPr>
  </w:style>
  <w:style w:type="character" w:customStyle="1" w:styleId="68">
    <w:name w:val="标题 7 Char"/>
    <w:basedOn w:val="50"/>
    <w:link w:val="9"/>
    <w:qFormat/>
    <w:uiPriority w:val="0"/>
    <w:rPr>
      <w:b/>
      <w:kern w:val="2"/>
      <w:sz w:val="24"/>
    </w:rPr>
  </w:style>
  <w:style w:type="character" w:customStyle="1" w:styleId="69">
    <w:name w:val="标题 8 Char"/>
    <w:basedOn w:val="50"/>
    <w:link w:val="11"/>
    <w:qFormat/>
    <w:uiPriority w:val="0"/>
    <w:rPr>
      <w:rFonts w:ascii="Arial" w:hAnsi="Arial" w:eastAsia="黑体"/>
      <w:kern w:val="2"/>
      <w:sz w:val="24"/>
    </w:rPr>
  </w:style>
  <w:style w:type="character" w:customStyle="1" w:styleId="70">
    <w:name w:val="标题 9 Char"/>
    <w:basedOn w:val="50"/>
    <w:link w:val="12"/>
    <w:qFormat/>
    <w:uiPriority w:val="0"/>
    <w:rPr>
      <w:rFonts w:ascii="Arial" w:hAnsi="Arial" w:eastAsia="黑体"/>
      <w:kern w:val="2"/>
      <w:sz w:val="21"/>
    </w:rPr>
  </w:style>
  <w:style w:type="character" w:customStyle="1" w:styleId="71">
    <w:name w:val="正文文本 Char1"/>
    <w:basedOn w:val="50"/>
    <w:link w:val="20"/>
    <w:qFormat/>
    <w:uiPriority w:val="1"/>
    <w:rPr>
      <w:rFonts w:ascii="宋体" w:hAnsi="宋体" w:cs="宋体"/>
      <w:sz w:val="24"/>
      <w:szCs w:val="24"/>
      <w:lang w:eastAsia="en-US"/>
    </w:rPr>
  </w:style>
  <w:style w:type="character" w:customStyle="1" w:styleId="72">
    <w:name w:val="纯文本 Char"/>
    <w:basedOn w:val="50"/>
    <w:link w:val="25"/>
    <w:qFormat/>
    <w:uiPriority w:val="0"/>
    <w:rPr>
      <w:rFonts w:ascii="宋体" w:hAnsi="Courier New" w:cs="Courier New"/>
      <w:sz w:val="22"/>
      <w:szCs w:val="21"/>
      <w:lang w:eastAsia="en-US"/>
    </w:rPr>
  </w:style>
  <w:style w:type="character" w:customStyle="1" w:styleId="73">
    <w:name w:val="页脚 Char"/>
    <w:basedOn w:val="50"/>
    <w:link w:val="30"/>
    <w:qFormat/>
    <w:uiPriority w:val="99"/>
    <w:rPr>
      <w:rFonts w:ascii="宋体" w:hAnsi="宋体" w:cs="宋体"/>
      <w:sz w:val="18"/>
      <w:szCs w:val="18"/>
      <w:lang w:eastAsia="en-US"/>
    </w:rPr>
  </w:style>
  <w:style w:type="character" w:customStyle="1" w:styleId="74">
    <w:name w:val="页眉 Char"/>
    <w:basedOn w:val="50"/>
    <w:link w:val="31"/>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0"/>
    <w:link w:val="19"/>
    <w:qFormat/>
    <w:uiPriority w:val="0"/>
    <w:rPr>
      <w:b/>
      <w:kern w:val="2"/>
      <w:sz w:val="21"/>
    </w:rPr>
  </w:style>
  <w:style w:type="character" w:customStyle="1" w:styleId="82">
    <w:name w:val="普通(网站) Char"/>
    <w:basedOn w:val="50"/>
    <w:link w:val="42"/>
    <w:qFormat/>
    <w:locked/>
    <w:uiPriority w:val="0"/>
    <w:rPr>
      <w:rFonts w:ascii="宋体" w:hAnsi="宋体" w:cs="宋体"/>
      <w:sz w:val="24"/>
      <w:szCs w:val="24"/>
    </w:rPr>
  </w:style>
  <w:style w:type="character" w:customStyle="1" w:styleId="83">
    <w:name w:val="xdrichtextbox2"/>
    <w:basedOn w:val="50"/>
    <w:qFormat/>
    <w:uiPriority w:val="0"/>
    <w:rPr>
      <w:color w:val="0000FF"/>
      <w:sz w:val="18"/>
      <w:szCs w:val="18"/>
      <w:u w:val="none"/>
      <w:bdr w:val="single" w:color="DCDCDC" w:sz="8" w:space="0"/>
      <w:shd w:val="clear" w:color="auto" w:fill="FFFFFF"/>
    </w:rPr>
  </w:style>
  <w:style w:type="character" w:customStyle="1" w:styleId="84">
    <w:name w:val="apple-converted-space"/>
    <w:basedOn w:val="50"/>
    <w:qFormat/>
    <w:uiPriority w:val="0"/>
  </w:style>
  <w:style w:type="character" w:customStyle="1" w:styleId="85">
    <w:name w:val="无间隔 Char"/>
    <w:basedOn w:val="50"/>
    <w:link w:val="86"/>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0"/>
    <w:link w:val="17"/>
    <w:qFormat/>
    <w:uiPriority w:val="0"/>
    <w:rPr>
      <w:kern w:val="2"/>
      <w:sz w:val="21"/>
    </w:rPr>
  </w:style>
  <w:style w:type="character" w:customStyle="1" w:styleId="88">
    <w:name w:val="批注框文本 Char"/>
    <w:basedOn w:val="50"/>
    <w:link w:val="29"/>
    <w:qFormat/>
    <w:uiPriority w:val="0"/>
    <w:rPr>
      <w:kern w:val="2"/>
      <w:sz w:val="18"/>
      <w:szCs w:val="18"/>
    </w:rPr>
  </w:style>
  <w:style w:type="character" w:customStyle="1" w:styleId="89">
    <w:name w:val="正文文本缩进 3 Char"/>
    <w:basedOn w:val="50"/>
    <w:link w:val="36"/>
    <w:qFormat/>
    <w:uiPriority w:val="0"/>
    <w:rPr>
      <w:kern w:val="2"/>
      <w:sz w:val="28"/>
    </w:rPr>
  </w:style>
  <w:style w:type="character" w:customStyle="1" w:styleId="90">
    <w:name w:val="正文文本缩进 2 Char"/>
    <w:basedOn w:val="50"/>
    <w:link w:val="28"/>
    <w:qFormat/>
    <w:uiPriority w:val="0"/>
    <w:rPr>
      <w:rFonts w:ascii="宋体" w:hAnsi="宋体"/>
      <w:iCs/>
      <w:kern w:val="2"/>
      <w:sz w:val="24"/>
      <w:szCs w:val="24"/>
    </w:rPr>
  </w:style>
  <w:style w:type="character" w:customStyle="1" w:styleId="91">
    <w:name w:val="正文文本 Char"/>
    <w:basedOn w:val="50"/>
    <w:uiPriority w:val="0"/>
    <w:rPr>
      <w:rFonts w:eastAsia="宋体"/>
      <w:sz w:val="24"/>
      <w:szCs w:val="24"/>
      <w:lang w:val="en-US" w:eastAsia="zh-CN" w:bidi="ar-SA"/>
    </w:rPr>
  </w:style>
  <w:style w:type="character" w:customStyle="1" w:styleId="92">
    <w:name w:val="en1"/>
    <w:basedOn w:val="50"/>
    <w:qFormat/>
    <w:uiPriority w:val="0"/>
    <w:rPr>
      <w:b/>
      <w:bCs/>
      <w:color w:val="154C7F"/>
      <w:sz w:val="24"/>
      <w:szCs w:val="24"/>
    </w:rPr>
  </w:style>
  <w:style w:type="character" w:customStyle="1" w:styleId="93">
    <w:name w:val="font01"/>
    <w:basedOn w:val="50"/>
    <w:qFormat/>
    <w:uiPriority w:val="0"/>
    <w:rPr>
      <w:rFonts w:hint="eastAsia" w:ascii="宋体" w:hAnsi="宋体" w:eastAsia="宋体" w:cs="宋体"/>
      <w:color w:val="000000"/>
      <w:sz w:val="20"/>
      <w:szCs w:val="20"/>
      <w:u w:val="none"/>
    </w:rPr>
  </w:style>
  <w:style w:type="character" w:customStyle="1" w:styleId="94">
    <w:name w:val="标题 Char"/>
    <w:basedOn w:val="50"/>
    <w:link w:val="44"/>
    <w:qFormat/>
    <w:uiPriority w:val="0"/>
    <w:rPr>
      <w:rFonts w:ascii="Arial" w:hAnsi="Arial" w:cs="Arial"/>
      <w:b/>
      <w:bCs/>
      <w:sz w:val="44"/>
      <w:szCs w:val="32"/>
    </w:rPr>
  </w:style>
  <w:style w:type="character" w:customStyle="1" w:styleId="95">
    <w:name w:val="正文文本缩进 Char"/>
    <w:basedOn w:val="50"/>
    <w:link w:val="21"/>
    <w:qFormat/>
    <w:uiPriority w:val="0"/>
    <w:rPr>
      <w:i/>
      <w:iCs/>
      <w:kern w:val="2"/>
      <w:sz w:val="21"/>
    </w:rPr>
  </w:style>
  <w:style w:type="character" w:customStyle="1" w:styleId="96">
    <w:name w:val="正文文本 3 Char"/>
    <w:basedOn w:val="50"/>
    <w:link w:val="18"/>
    <w:qFormat/>
    <w:uiPriority w:val="0"/>
    <w:rPr>
      <w:color w:val="0000FF"/>
      <w:kern w:val="2"/>
      <w:sz w:val="24"/>
      <w:szCs w:val="24"/>
    </w:rPr>
  </w:style>
  <w:style w:type="character" w:customStyle="1" w:styleId="97">
    <w:name w:val="font11"/>
    <w:basedOn w:val="50"/>
    <w:qFormat/>
    <w:uiPriority w:val="0"/>
    <w:rPr>
      <w:rFonts w:hint="default" w:ascii="Times New Roman" w:hAnsi="Times New Roman" w:cs="Times New Roman"/>
      <w:color w:val="000000"/>
      <w:sz w:val="20"/>
      <w:szCs w:val="20"/>
      <w:u w:val="none"/>
    </w:rPr>
  </w:style>
  <w:style w:type="character" w:customStyle="1" w:styleId="98">
    <w:name w:val="glossaryitem"/>
    <w:basedOn w:val="50"/>
    <w:qFormat/>
    <w:uiPriority w:val="0"/>
    <w:rPr>
      <w:u w:val="none"/>
    </w:rPr>
  </w:style>
  <w:style w:type="character" w:customStyle="1" w:styleId="99">
    <w:name w:val="HTML 预设格式 Char"/>
    <w:basedOn w:val="50"/>
    <w:link w:val="41"/>
    <w:qFormat/>
    <w:uiPriority w:val="0"/>
    <w:rPr>
      <w:rFonts w:ascii="Arial Unicode MS" w:hAnsi="Arial Unicode MS" w:eastAsia="Courier New" w:cs="Courier New"/>
    </w:rPr>
  </w:style>
  <w:style w:type="character" w:customStyle="1" w:styleId="100">
    <w:name w:val="文档结构图 Char"/>
    <w:basedOn w:val="50"/>
    <w:link w:val="16"/>
    <w:qFormat/>
    <w:uiPriority w:val="0"/>
    <w:rPr>
      <w:rFonts w:ascii="宋体"/>
      <w:sz w:val="28"/>
      <w:shd w:val="clear" w:color="auto" w:fill="000080"/>
    </w:rPr>
  </w:style>
  <w:style w:type="character" w:customStyle="1" w:styleId="101">
    <w:name w:val="日期 Char"/>
    <w:basedOn w:val="50"/>
    <w:link w:val="27"/>
    <w:qFormat/>
    <w:uiPriority w:val="0"/>
    <w:rPr>
      <w:kern w:val="2"/>
      <w:sz w:val="21"/>
      <w:szCs w:val="24"/>
    </w:rPr>
  </w:style>
  <w:style w:type="character" w:customStyle="1" w:styleId="102">
    <w:name w:val="正文文本 2 Char"/>
    <w:basedOn w:val="50"/>
    <w:link w:val="39"/>
    <w:qFormat/>
    <w:uiPriority w:val="0"/>
    <w:rPr>
      <w:kern w:val="2"/>
      <w:sz w:val="21"/>
      <w:szCs w:val="24"/>
    </w:rPr>
  </w:style>
  <w:style w:type="character" w:customStyle="1" w:styleId="103">
    <w:name w:val="正文首行缩进 Char"/>
    <w:basedOn w:val="91"/>
    <w:link w:val="46"/>
    <w:qFormat/>
    <w:uiPriority w:val="0"/>
    <w:rPr>
      <w:rFonts w:eastAsia="宋体"/>
      <w:sz w:val="21"/>
      <w:szCs w:val="21"/>
      <w:lang w:val="en-US" w:eastAsia="zh-CN" w:bidi="ar-SA"/>
    </w:rPr>
  </w:style>
  <w:style w:type="character" w:customStyle="1" w:styleId="104">
    <w:name w:val="批注主题 Char"/>
    <w:basedOn w:val="87"/>
    <w:link w:val="45"/>
    <w:qFormat/>
    <w:uiPriority w:val="0"/>
    <w:rPr>
      <w:b/>
      <w:bCs/>
      <w:kern w:val="2"/>
      <w:sz w:val="24"/>
      <w:szCs w:val="24"/>
    </w:rPr>
  </w:style>
  <w:style w:type="paragraph" w:customStyle="1" w:styleId="105">
    <w:name w:val="标题3(小3号)"/>
    <w:basedOn w:val="5"/>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uiPriority w:val="0"/>
    <w:rPr>
      <w:rFonts w:ascii="宋体" w:hAnsi="宋体" w:cs="宋体"/>
      <w:sz w:val="24"/>
      <w:szCs w:val="24"/>
      <w:lang w:eastAsia="en-US"/>
    </w:rPr>
  </w:style>
  <w:style w:type="character" w:customStyle="1" w:styleId="108">
    <w:name w:val="信息标题 Char"/>
    <w:basedOn w:val="50"/>
    <w:link w:val="40"/>
    <w:qFormat/>
    <w:uiPriority w:val="0"/>
    <w:rPr>
      <w:rFonts w:ascii="Arial" w:hAnsi="Arial" w:cs="Arial"/>
      <w:kern w:val="2"/>
      <w:sz w:val="24"/>
      <w:szCs w:val="24"/>
      <w:shd w:val="pct20" w:color="auto" w:fill="auto"/>
    </w:rPr>
  </w:style>
  <w:style w:type="character" w:customStyle="1" w:styleId="109">
    <w:name w:val="正文文本 3 Char1"/>
    <w:basedOn w:val="50"/>
    <w:uiPriority w:val="0"/>
    <w:rPr>
      <w:rFonts w:ascii="宋体" w:hAnsi="宋体" w:cs="宋体"/>
      <w:sz w:val="16"/>
      <w:szCs w:val="16"/>
      <w:lang w:eastAsia="en-US"/>
    </w:rPr>
  </w:style>
  <w:style w:type="paragraph" w:customStyle="1" w:styleId="110">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0"/>
    <w:qFormat/>
    <w:uiPriority w:val="0"/>
    <w:rPr>
      <w:rFonts w:ascii="宋体" w:hAnsi="宋体" w:cs="宋体"/>
      <w:sz w:val="22"/>
      <w:szCs w:val="22"/>
      <w:lang w:eastAsia="en-US"/>
    </w:rPr>
  </w:style>
  <w:style w:type="character" w:customStyle="1" w:styleId="113">
    <w:name w:val="批注文字 Char1"/>
    <w:basedOn w:val="50"/>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0"/>
    <w:qFormat/>
    <w:uiPriority w:val="0"/>
    <w:rPr>
      <w:rFonts w:ascii="宋体" w:hAnsi="宋体" w:cs="宋体"/>
      <w:sz w:val="18"/>
      <w:szCs w:val="18"/>
      <w:lang w:eastAsia="en-US"/>
    </w:rPr>
  </w:style>
  <w:style w:type="character" w:customStyle="1" w:styleId="118">
    <w:name w:val="日期 Char1"/>
    <w:basedOn w:val="50"/>
    <w:qFormat/>
    <w:uiPriority w:val="0"/>
    <w:rPr>
      <w:rFonts w:ascii="宋体" w:hAnsi="宋体" w:cs="宋体"/>
      <w:sz w:val="22"/>
      <w:szCs w:val="22"/>
      <w:lang w:eastAsia="en-US"/>
    </w:rPr>
  </w:style>
  <w:style w:type="paragraph" w:customStyle="1" w:styleId="119">
    <w:name w:val="标题3(3号)"/>
    <w:basedOn w:val="5"/>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0"/>
    <w:qFormat/>
    <w:uiPriority w:val="0"/>
    <w:rPr>
      <w:rFonts w:ascii="Courier New" w:hAnsi="Courier New" w:cs="Courier New"/>
      <w:lang w:eastAsia="en-US"/>
    </w:rPr>
  </w:style>
  <w:style w:type="character" w:customStyle="1" w:styleId="123">
    <w:name w:val="正文文本缩进 Char1"/>
    <w:basedOn w:val="50"/>
    <w:qFormat/>
    <w:uiPriority w:val="0"/>
    <w:rPr>
      <w:rFonts w:ascii="宋体" w:hAnsi="宋体" w:cs="宋体"/>
      <w:sz w:val="22"/>
      <w:szCs w:val="22"/>
      <w:lang w:eastAsia="en-US"/>
    </w:rPr>
  </w:style>
  <w:style w:type="paragraph" w:customStyle="1" w:styleId="124">
    <w:name w:val="标题2(小3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3"/>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0"/>
    <w:uiPriority w:val="0"/>
    <w:rPr>
      <w:rFonts w:ascii="宋体" w:hAnsi="宋体" w:cs="宋体"/>
      <w:sz w:val="22"/>
      <w:szCs w:val="22"/>
      <w:lang w:eastAsia="en-US"/>
    </w:rPr>
  </w:style>
  <w:style w:type="character" w:customStyle="1" w:styleId="131">
    <w:name w:val="标题 Char1"/>
    <w:basedOn w:val="50"/>
    <w:uiPriority w:val="0"/>
    <w:rPr>
      <w:rFonts w:asciiTheme="majorHAnsi" w:hAnsiTheme="majorHAnsi" w:cstheme="majorBidi"/>
      <w:b/>
      <w:bCs/>
      <w:sz w:val="32"/>
      <w:szCs w:val="32"/>
      <w:lang w:eastAsia="en-US"/>
    </w:rPr>
  </w:style>
  <w:style w:type="character" w:customStyle="1" w:styleId="132">
    <w:name w:val="正文文本缩进 3 Char1"/>
    <w:basedOn w:val="50"/>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0"/>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5"/>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0"/>
    <w:next w:val="40"/>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0">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5"/>
    <w:next w:val="156"/>
    <w:uiPriority w:val="0"/>
    <w:pPr>
      <w:widowControl/>
      <w:spacing w:before="0" w:after="0" w:line="420" w:lineRule="exact"/>
    </w:pPr>
    <w:rPr>
      <w:b w:val="0"/>
      <w:bCs w:val="0"/>
      <w:color w:val="000000"/>
      <w:kern w:val="0"/>
      <w:sz w:val="24"/>
      <w:szCs w:val="21"/>
    </w:rPr>
  </w:style>
  <w:style w:type="paragraph" w:customStyle="1" w:styleId="156">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5"/>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4"/>
    <w:next w:val="120"/>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3"/>
    <w:next w:val="129"/>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4"/>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uiPriority w:val="0"/>
    <w:pPr>
      <w:widowControl/>
      <w:autoSpaceDE/>
      <w:autoSpaceDN/>
    </w:pPr>
    <w:rPr>
      <w:sz w:val="24"/>
      <w:szCs w:val="24"/>
      <w:lang w:eastAsia="zh-CN"/>
    </w:rPr>
  </w:style>
  <w:style w:type="paragraph" w:customStyle="1" w:styleId="171">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3"/>
    <w:next w:val="125"/>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3"/>
    <w:next w:val="156"/>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3"/>
    <w:next w:val="106"/>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uiPriority w:val="0"/>
    <w:pPr>
      <w:autoSpaceDE/>
      <w:autoSpaceDN/>
      <w:jc w:val="both"/>
    </w:pPr>
    <w:rPr>
      <w:rFonts w:cs="Times New Roman"/>
      <w:b/>
      <w:bCs/>
      <w:kern w:val="2"/>
      <w:sz w:val="28"/>
      <w:szCs w:val="20"/>
      <w:lang w:eastAsia="zh-CN"/>
    </w:rPr>
  </w:style>
  <w:style w:type="paragraph" w:customStyle="1" w:styleId="181">
    <w:name w:val="标题2(3号)"/>
    <w:basedOn w:val="4"/>
    <w:next w:val="106"/>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4"/>
    <w:next w:val="129"/>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uiPriority w:val="0"/>
    <w:pPr>
      <w:numPr>
        <w:ilvl w:val="3"/>
      </w:numPr>
      <w:outlineLvl w:val="3"/>
    </w:pPr>
  </w:style>
  <w:style w:type="paragraph" w:customStyle="1" w:styleId="190">
    <w:name w:val="大纲5"/>
    <w:basedOn w:val="189"/>
    <w:uiPriority w:val="0"/>
    <w:pPr>
      <w:numPr>
        <w:ilvl w:val="4"/>
      </w:numPr>
      <w:tabs>
        <w:tab w:val="left" w:pos="360"/>
      </w:tabs>
      <w:outlineLvl w:val="4"/>
    </w:pPr>
    <w:rPr>
      <w:b w:val="0"/>
      <w:szCs w:val="36"/>
    </w:rPr>
  </w:style>
  <w:style w:type="paragraph" w:customStyle="1" w:styleId="191">
    <w:name w:val="大纲6"/>
    <w:basedOn w:val="190"/>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7">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12"/>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0"/>
    <w:uiPriority w:val="0"/>
  </w:style>
  <w:style w:type="character" w:customStyle="1" w:styleId="209">
    <w:name w:val="xdrichtextbox3"/>
    <w:basedOn w:val="50"/>
    <w:uiPriority w:val="0"/>
    <w:rPr>
      <w:color w:val="auto"/>
      <w:u w:val="none"/>
      <w:bdr w:val="single" w:color="DCDCDC" w:sz="8" w:space="0"/>
      <w:shd w:val="clear" w:color="auto" w:fill="FFFFFF"/>
    </w:rPr>
  </w:style>
  <w:style w:type="character" w:customStyle="1" w:styleId="210">
    <w:name w:val="列出段落 Char"/>
    <w:link w:val="76"/>
    <w:uiPriority w:val="34"/>
    <w:rPr>
      <w:rFonts w:ascii="宋体" w:hAnsi="宋体" w:cs="宋体"/>
      <w:sz w:val="22"/>
      <w:szCs w:val="22"/>
      <w:lang w:eastAsia="en-US"/>
    </w:rPr>
  </w:style>
  <w:style w:type="paragraph" w:customStyle="1" w:styleId="211">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34"/>
    <w:uiPriority w:val="0"/>
    <w:rPr>
      <w:rFonts w:ascii="Cambria" w:hAnsi="Cambria"/>
      <w:b/>
      <w:bCs/>
      <w:kern w:val="28"/>
      <w:sz w:val="24"/>
      <w:szCs w:val="32"/>
    </w:rPr>
  </w:style>
  <w:style w:type="character" w:customStyle="1" w:styleId="213">
    <w:name w:val="副标题 Char1"/>
    <w:basedOn w:val="50"/>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kern w:val="0"/>
      <w:sz w:val="20"/>
      <w:szCs w:val="20"/>
      <w:lang w:val="en-US" w:eastAsia="zh-CN" w:bidi="ar-SA"/>
    </w:rPr>
  </w:style>
  <w:style w:type="character" w:customStyle="1" w:styleId="216">
    <w:name w:val="first-child"/>
    <w:basedOn w:val="50"/>
    <w:uiPriority w:val="0"/>
  </w:style>
  <w:style w:type="character" w:customStyle="1" w:styleId="217">
    <w:name w:val="button4"/>
    <w:basedOn w:val="50"/>
    <w:uiPriority w:val="0"/>
  </w:style>
  <w:style w:type="character" w:customStyle="1" w:styleId="218">
    <w:name w:val="tmpztreemove_arrow"/>
    <w:basedOn w:val="50"/>
    <w:uiPriority w:val="0"/>
  </w:style>
  <w:style w:type="character" w:customStyle="1" w:styleId="219">
    <w:name w:val="hilite"/>
    <w:basedOn w:val="50"/>
    <w:uiPriority w:val="0"/>
    <w:rPr>
      <w:color w:val="FFFFFF"/>
      <w:shd w:val="clear" w:fill="666666"/>
    </w:rPr>
  </w:style>
  <w:style w:type="character" w:customStyle="1" w:styleId="220">
    <w:name w:val="choosename"/>
    <w:basedOn w:val="50"/>
    <w:uiPriority w:val="0"/>
  </w:style>
  <w:style w:type="character" w:customStyle="1" w:styleId="221">
    <w:name w:val="associateddata"/>
    <w:basedOn w:val="50"/>
    <w:uiPriority w:val="0"/>
    <w:rPr>
      <w:shd w:val="clear" w:fill="50A6F9"/>
    </w:rPr>
  </w:style>
  <w:style w:type="character" w:customStyle="1" w:styleId="222">
    <w:name w:val="pagechatarealistclose_box"/>
    <w:basedOn w:val="50"/>
    <w:uiPriority w:val="0"/>
  </w:style>
  <w:style w:type="character" w:customStyle="1" w:styleId="223">
    <w:name w:val="pagechatarealistclose_box1"/>
    <w:basedOn w:val="50"/>
    <w:uiPriority w:val="0"/>
  </w:style>
  <w:style w:type="character" w:customStyle="1" w:styleId="224">
    <w:name w:val="ico1654"/>
    <w:basedOn w:val="50"/>
    <w:qFormat/>
    <w:uiPriority w:val="0"/>
  </w:style>
  <w:style w:type="character" w:customStyle="1" w:styleId="225">
    <w:name w:val="ico1655"/>
    <w:basedOn w:val="50"/>
    <w:uiPriority w:val="0"/>
  </w:style>
  <w:style w:type="character" w:customStyle="1" w:styleId="226">
    <w:name w:val="w32"/>
    <w:basedOn w:val="50"/>
    <w:uiPriority w:val="0"/>
  </w:style>
  <w:style w:type="character" w:customStyle="1" w:styleId="227">
    <w:name w:val="active3"/>
    <w:basedOn w:val="50"/>
    <w:uiPriority w:val="0"/>
    <w:rPr>
      <w:color w:val="00FF00"/>
      <w:shd w:val="clear" w:fill="111111"/>
    </w:rPr>
  </w:style>
  <w:style w:type="character" w:customStyle="1" w:styleId="228">
    <w:name w:val="iconline2"/>
    <w:basedOn w:val="50"/>
    <w:qFormat/>
    <w:uiPriority w:val="0"/>
  </w:style>
  <w:style w:type="character" w:customStyle="1" w:styleId="229">
    <w:name w:val="icontext1"/>
    <w:basedOn w:val="50"/>
    <w:uiPriority w:val="0"/>
  </w:style>
  <w:style w:type="character" w:customStyle="1" w:styleId="230">
    <w:name w:val="icontext11"/>
    <w:basedOn w:val="50"/>
    <w:uiPriority w:val="0"/>
  </w:style>
  <w:style w:type="character" w:customStyle="1" w:styleId="231">
    <w:name w:val="icontext12"/>
    <w:basedOn w:val="50"/>
    <w:uiPriority w:val="0"/>
  </w:style>
  <w:style w:type="character" w:customStyle="1" w:styleId="232">
    <w:name w:val="icontext2"/>
    <w:basedOn w:val="50"/>
    <w:uiPriority w:val="0"/>
  </w:style>
  <w:style w:type="character" w:customStyle="1" w:styleId="233">
    <w:name w:val="layui-layer-tabnow"/>
    <w:basedOn w:val="50"/>
    <w:uiPriority w:val="0"/>
    <w:rPr>
      <w:bdr w:val="single" w:color="CCCCCC" w:sz="6" w:space="0"/>
      <w:shd w:val="clear" w:fill="FFFFFF"/>
    </w:rPr>
  </w:style>
  <w:style w:type="character" w:customStyle="1" w:styleId="234">
    <w:name w:val="edit_class"/>
    <w:basedOn w:val="50"/>
    <w:uiPriority w:val="0"/>
  </w:style>
  <w:style w:type="character" w:customStyle="1" w:styleId="235">
    <w:name w:val="after"/>
    <w:basedOn w:val="50"/>
    <w:uiPriority w:val="0"/>
    <w:rPr>
      <w:sz w:val="0"/>
      <w:szCs w:val="0"/>
    </w:rPr>
  </w:style>
  <w:style w:type="character" w:customStyle="1" w:styleId="236">
    <w:name w:val="drapbtn"/>
    <w:basedOn w:val="50"/>
    <w:qFormat/>
    <w:uiPriority w:val="0"/>
  </w:style>
  <w:style w:type="character" w:customStyle="1" w:styleId="237">
    <w:name w:val="cdropright"/>
    <w:basedOn w:val="50"/>
    <w:uiPriority w:val="0"/>
  </w:style>
  <w:style w:type="character" w:customStyle="1" w:styleId="238">
    <w:name w:val="cdropleft"/>
    <w:basedOn w:val="50"/>
    <w:uiPriority w:val="0"/>
  </w:style>
  <w:style w:type="character" w:customStyle="1" w:styleId="239">
    <w:name w:val="xdrichtextbox"/>
    <w:basedOn w:val="50"/>
    <w:uiPriority w:val="0"/>
    <w:rPr>
      <w:color w:val="auto"/>
      <w:u w:val="none"/>
      <w:bdr w:val="single" w:color="DCDCDC" w:sz="8" w:space="0"/>
      <w:shd w:val="clear" w:fill="auto"/>
    </w:rPr>
  </w:style>
  <w:style w:type="character" w:customStyle="1" w:styleId="240">
    <w:name w:val="biggerthanmax"/>
    <w:basedOn w:val="50"/>
    <w:uiPriority w:val="0"/>
    <w:rPr>
      <w:shd w:val="clear" w:fill="FFFF00"/>
    </w:rPr>
  </w:style>
  <w:style w:type="character" w:customStyle="1" w:styleId="241">
    <w:name w:val="icontext3"/>
    <w:basedOn w:val="50"/>
    <w:uiPriority w:val="0"/>
  </w:style>
  <w:style w:type="character" w:customStyle="1" w:styleId="242">
    <w:name w:val="cy"/>
    <w:basedOn w:val="50"/>
    <w:uiPriority w:val="0"/>
  </w:style>
  <w:style w:type="character" w:customStyle="1" w:styleId="243">
    <w:name w:val="design_class"/>
    <w:basedOn w:val="50"/>
    <w:uiPriority w:val="0"/>
  </w:style>
  <w:style w:type="character" w:customStyle="1" w:styleId="244">
    <w:name w:val="hilite6"/>
    <w:basedOn w:val="50"/>
    <w:uiPriority w:val="0"/>
    <w:rPr>
      <w:color w:val="FFFFFF"/>
      <w:shd w:val="clear" w:fill="666666"/>
    </w:rPr>
  </w:style>
  <w:style w:type="character" w:customStyle="1" w:styleId="245">
    <w:name w:val="hover"/>
    <w:basedOn w:val="50"/>
    <w:uiPriority w:val="0"/>
    <w:rPr>
      <w:color w:val="FFFFFF"/>
    </w:rPr>
  </w:style>
  <w:style w:type="character" w:customStyle="1" w:styleId="246">
    <w:name w:val="iconline21"/>
    <w:basedOn w:val="50"/>
    <w:uiPriority w:val="0"/>
  </w:style>
  <w:style w:type="character" w:customStyle="1" w:styleId="247">
    <w:name w:val="active4"/>
    <w:basedOn w:val="50"/>
    <w:uiPriority w:val="0"/>
    <w:rPr>
      <w:color w:val="00FF00"/>
      <w:shd w:val="clear" w:fill="111111"/>
    </w:rPr>
  </w:style>
  <w:style w:type="character" w:customStyle="1" w:styleId="248">
    <w:name w:val="xdrichtextbox4"/>
    <w:basedOn w:val="50"/>
    <w:uiPriority w:val="0"/>
  </w:style>
  <w:style w:type="character" w:customStyle="1" w:styleId="249">
    <w:name w:val="ico1653"/>
    <w:basedOn w:val="50"/>
    <w:uiPriority w:val="0"/>
  </w:style>
  <w:style w:type="character" w:customStyle="1" w:styleId="250">
    <w:name w:val="active5"/>
    <w:basedOn w:val="50"/>
    <w:uiPriority w:val="0"/>
    <w:rPr>
      <w:shd w:val="clear" w:fill="EC3535"/>
    </w:rPr>
  </w:style>
  <w:style w:type="character" w:customStyle="1" w:styleId="251">
    <w:name w:val="active6"/>
    <w:basedOn w:val="50"/>
    <w:uiPriority w:val="0"/>
    <w:rPr>
      <w:color w:val="00FF00"/>
      <w:shd w:val="clear" w:fill="111111"/>
    </w:rPr>
  </w:style>
  <w:style w:type="character" w:customStyle="1" w:styleId="252">
    <w:name w:val="hover41"/>
    <w:basedOn w:val="50"/>
    <w:uiPriority w:val="0"/>
    <w:rPr>
      <w:color w:val="FFFFFF"/>
    </w:rPr>
  </w:style>
  <w:style w:type="character" w:customStyle="1" w:styleId="253">
    <w:name w:val="active"/>
    <w:basedOn w:val="50"/>
    <w:uiPriority w:val="0"/>
    <w:rPr>
      <w:color w:val="00FF00"/>
      <w:shd w:val="clear" w:fill="111111"/>
    </w:rPr>
  </w:style>
  <w:style w:type="character" w:customStyle="1" w:styleId="254">
    <w:name w:val="active1"/>
    <w:basedOn w:val="50"/>
    <w:uiPriority w:val="0"/>
    <w:rPr>
      <w:shd w:val="clear" w:fill="EC3535"/>
    </w:rPr>
  </w:style>
  <w:style w:type="character" w:customStyle="1" w:styleId="255">
    <w:name w:val="active2"/>
    <w:basedOn w:val="50"/>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9899</Words>
  <Characters>10423</Characters>
  <Lines>115</Lines>
  <Paragraphs>32</Paragraphs>
  <TotalTime>6</TotalTime>
  <ScaleCrop>false</ScaleCrop>
  <LinksUpToDate>false</LinksUpToDate>
  <CharactersWithSpaces>11403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2023-05-12T03:35:18Z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