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280" w:lineRule="exact"/>
        <w:jc w:val="center"/>
        <w:rPr>
          <w:rFonts w:ascii="宋体" w:hAnsi="宋体"/>
          <w:b/>
          <w:color w:val="000000"/>
          <w:sz w:val="24"/>
        </w:rPr>
      </w:pPr>
      <w:r>
        <w:rPr>
          <w:rFonts w:hint="eastAsia" w:ascii="宋体" w:hAnsi="宋体"/>
          <w:b/>
          <w:color w:val="000000"/>
          <w:sz w:val="24"/>
        </w:rPr>
        <w:t xml:space="preserve"> 一般货物（产品）采购合同</w:t>
      </w:r>
    </w:p>
    <w:p>
      <w:pPr>
        <w:spacing w:line="280" w:lineRule="exact"/>
        <w:rPr>
          <w:rFonts w:hint="eastAsia" w:ascii="宋体" w:hAnsi="宋体" w:eastAsia="宋体"/>
          <w:color w:val="000000"/>
          <w:sz w:val="18"/>
          <w:szCs w:val="18"/>
          <w:lang w:val="en-US" w:eastAsia="zh-CN"/>
        </w:rPr>
      </w:pP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t xml:space="preserve">需月）              </w:t>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color w:val="000000"/>
          <w:sz w:val="18"/>
          <w:szCs w:val="18"/>
        </w:rPr>
        <w:t>合同编号：</w:t>
      </w:r>
      <w:r>
        <w:rPr>
          <w:rFonts w:hint="eastAsia" w:ascii="宋体" w:hAnsi="宋体"/>
          <w:b w:val="0"/>
          <w:bCs/>
          <w:sz w:val="18"/>
          <w:szCs w:val="18"/>
        </w:rPr>
        <w:t>FH-XLSH-2023-CG-</w:t>
      </w:r>
      <w:r>
        <w:rPr>
          <w:rFonts w:hint="eastAsia" w:ascii="宋体" w:hAnsi="宋体"/>
          <w:b w:val="0"/>
          <w:bCs/>
          <w:sz w:val="18"/>
          <w:szCs w:val="18"/>
          <w:lang w:val="en-US" w:eastAsia="zh-CN"/>
        </w:rPr>
        <w:t>LS</w:t>
      </w:r>
      <w:r>
        <w:rPr>
          <w:rFonts w:hint="eastAsia" w:ascii="宋体" w:hAnsi="宋体"/>
          <w:b w:val="0"/>
          <w:bCs/>
          <w:sz w:val="18"/>
          <w:szCs w:val="18"/>
        </w:rPr>
        <w:t>-XUZM-</w:t>
      </w:r>
      <w:r>
        <w:rPr>
          <w:rFonts w:hint="eastAsia" w:ascii="Verdana" w:hAnsi="Verdana"/>
          <w:b/>
          <w:bCs/>
          <w:color w:val="000000"/>
          <w:szCs w:val="21"/>
          <w:shd w:val="clear" w:color="auto" w:fill="FFFFFF"/>
          <w:lang w:val="en-US" w:eastAsia="zh-CN"/>
        </w:rPr>
        <w:t>***</w:t>
      </w:r>
    </w:p>
    <w:p>
      <w:pPr>
        <w:spacing w:line="280" w:lineRule="exact"/>
        <w:jc w:val="center"/>
        <w:rPr>
          <w:rFonts w:ascii="宋体" w:hAnsi="宋体"/>
          <w:b/>
          <w:color w:val="000000"/>
          <w:szCs w:val="21"/>
          <w:u w:val="single"/>
        </w:rPr>
      </w:pPr>
      <w:r>
        <w:rPr>
          <w:rFonts w:hint="eastAsia" w:ascii="宋体" w:hAnsi="宋体"/>
          <w:b/>
          <w:color w:val="000000"/>
          <w:szCs w:val="21"/>
          <w:u w:val="single"/>
        </w:rPr>
        <w:t>第一部分  协议书</w:t>
      </w:r>
    </w:p>
    <w:p>
      <w:pPr>
        <w:spacing w:line="280" w:lineRule="exact"/>
        <w:rPr>
          <w:rFonts w:ascii="宋体" w:hAnsi="宋体"/>
          <w:b/>
          <w:color w:val="000000"/>
          <w:szCs w:val="21"/>
        </w:rPr>
      </w:pPr>
      <w:r>
        <w:rPr>
          <w:rFonts w:hint="eastAsia" w:ascii="宋体" w:hAnsi="宋体"/>
          <w:b/>
          <w:color w:val="000000"/>
          <w:szCs w:val="21"/>
        </w:rPr>
        <w:t>供方：</w:t>
      </w:r>
      <w:r>
        <w:rPr>
          <w:rFonts w:hint="eastAsia" w:ascii="Verdana" w:hAnsi="Verdana"/>
          <w:b/>
          <w:bCs/>
          <w:color w:val="000000"/>
          <w:szCs w:val="21"/>
          <w:shd w:val="clear" w:color="auto" w:fill="FFFFFF"/>
          <w:lang w:val="en-US" w:eastAsia="zh-CN"/>
        </w:rPr>
        <w:t>***有限公司</w:t>
      </w:r>
      <w:r>
        <w:rPr>
          <w:rFonts w:hint="eastAsia" w:ascii="宋体" w:hAnsi="宋体"/>
          <w:b/>
          <w:color w:val="000000"/>
          <w:szCs w:val="21"/>
        </w:rPr>
        <w:t xml:space="preserve">                        </w:t>
      </w:r>
    </w:p>
    <w:p>
      <w:pPr>
        <w:spacing w:line="280" w:lineRule="exact"/>
        <w:rPr>
          <w:rFonts w:ascii="宋体" w:hAnsi="宋体"/>
          <w:b/>
          <w:color w:val="000000"/>
          <w:szCs w:val="21"/>
        </w:rPr>
      </w:pPr>
      <w:r>
        <w:rPr>
          <w:rFonts w:hint="eastAsia" w:ascii="宋体" w:hAnsi="宋体"/>
          <w:b/>
          <w:color w:val="000000"/>
          <w:szCs w:val="21"/>
        </w:rPr>
        <w:t>需方：</w:t>
      </w:r>
      <w:r>
        <w:rPr>
          <w:rFonts w:hint="eastAsia" w:ascii="宋体" w:hAnsi="宋体"/>
          <w:b/>
          <w:color w:val="000000"/>
          <w:szCs w:val="21"/>
          <w:lang w:val="en-US" w:eastAsia="zh-CN"/>
        </w:rPr>
        <w:t>翔鹭石化</w:t>
      </w:r>
      <w:r>
        <w:rPr>
          <w:rFonts w:hint="eastAsia" w:ascii="宋体" w:hAnsi="宋体"/>
          <w:b/>
          <w:color w:val="000000"/>
          <w:szCs w:val="21"/>
        </w:rPr>
        <w:t>（漳州）有限公司</w:t>
      </w:r>
    </w:p>
    <w:p>
      <w:pPr>
        <w:spacing w:line="280" w:lineRule="exact"/>
        <w:ind w:firstLine="420" w:firstLineChars="200"/>
        <w:rPr>
          <w:rFonts w:ascii="宋体" w:hAnsi="宋体"/>
          <w:szCs w:val="21"/>
        </w:rPr>
      </w:pPr>
      <w:r>
        <w:rPr>
          <w:rFonts w:hint="eastAsia" w:ascii="宋体" w:hAnsi="宋体"/>
          <w:szCs w:val="21"/>
        </w:rPr>
        <w:t>鉴于：供、需双方有权利及能力依法签署并履行本合同约定的事项，供、需双方经过充分协商，根据</w:t>
      </w:r>
      <w:r>
        <w:rPr>
          <w:rFonts w:hint="eastAsia" w:ascii="宋体" w:hAnsi="宋体"/>
          <w:color w:val="000000"/>
          <w:szCs w:val="21"/>
        </w:rPr>
        <w:t>《中华人民共和国</w:t>
      </w:r>
      <w:r>
        <w:rPr>
          <w:rFonts w:hint="eastAsia" w:ascii="宋体" w:hAnsi="宋体"/>
          <w:color w:val="000000"/>
          <w:szCs w:val="21"/>
          <w:lang w:val="en-US" w:eastAsia="zh-CN"/>
        </w:rPr>
        <w:t>民法典</w:t>
      </w:r>
      <w:r>
        <w:rPr>
          <w:rFonts w:hint="eastAsia" w:ascii="宋体" w:hAnsi="宋体"/>
          <w:color w:val="000000"/>
          <w:szCs w:val="21"/>
        </w:rPr>
        <w:t>》</w:t>
      </w:r>
      <w:r>
        <w:rPr>
          <w:rFonts w:hint="eastAsia" w:ascii="宋体" w:hAnsi="宋体"/>
          <w:szCs w:val="21"/>
        </w:rPr>
        <w:t>及相关法律法规，本着平等互利、诚信合作的原则，于</w:t>
      </w:r>
      <w:r>
        <w:rPr>
          <w:rFonts w:hint="eastAsia" w:ascii="宋体" w:hAnsi="宋体"/>
          <w:szCs w:val="21"/>
          <w:u w:val="single"/>
        </w:rPr>
        <w:t xml:space="preserve"> </w:t>
      </w:r>
      <w:r>
        <w:rPr>
          <w:rFonts w:hint="eastAsia" w:ascii="宋体" w:hAnsi="宋体"/>
          <w:szCs w:val="21"/>
          <w:u w:val="single"/>
          <w:lang w:val="en-US" w:eastAsia="zh-CN"/>
        </w:rPr>
        <w:t>2023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u w:val="single"/>
          <w:lang w:val="en-US" w:eastAsia="zh-CN"/>
        </w:rPr>
        <w:t>06</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ascii="宋体" w:hAnsi="宋体"/>
          <w:b/>
          <w:color w:val="000000"/>
          <w:szCs w:val="21"/>
        </w:rPr>
      </w:pPr>
      <w:r>
        <w:rPr>
          <w:rFonts w:hint="eastAsia" w:ascii="宋体" w:hAnsi="宋体"/>
          <w:b/>
          <w:color w:val="000000"/>
          <w:szCs w:val="21"/>
        </w:rPr>
        <w:t>一、 产品名称</w:t>
      </w:r>
      <w:r>
        <w:rPr>
          <w:rFonts w:hint="eastAsia" w:ascii="宋体" w:hAnsi="宋体" w:cs="宋体"/>
          <w:b/>
          <w:color w:val="000000"/>
          <w:kern w:val="0"/>
          <w:szCs w:val="21"/>
        </w:rPr>
        <w:t>、生产厂家、型号规格、计量单位、数量、单价、金额、备注:</w:t>
      </w:r>
    </w:p>
    <w:tbl>
      <w:tblPr>
        <w:tblStyle w:val="6"/>
        <w:tblW w:w="109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3"/>
        <w:gridCol w:w="766"/>
        <w:gridCol w:w="1830"/>
        <w:gridCol w:w="783"/>
        <w:gridCol w:w="689"/>
        <w:gridCol w:w="1333"/>
        <w:gridCol w:w="1215"/>
        <w:gridCol w:w="1575"/>
        <w:gridCol w:w="1190"/>
        <w:gridCol w:w="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55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w:t>
            </w:r>
          </w:p>
          <w:p>
            <w:pPr>
              <w:spacing w:line="280" w:lineRule="exact"/>
              <w:jc w:val="center"/>
              <w:rPr>
                <w:rFonts w:ascii="宋体" w:hAnsi="宋体"/>
                <w:color w:val="000000"/>
                <w:szCs w:val="21"/>
              </w:rPr>
            </w:pPr>
            <w:r>
              <w:rPr>
                <w:rFonts w:hint="eastAsia" w:ascii="宋体" w:hAnsi="宋体"/>
                <w:color w:val="000000"/>
                <w:szCs w:val="21"/>
              </w:rPr>
              <w:t>名称</w:t>
            </w:r>
          </w:p>
        </w:tc>
        <w:tc>
          <w:tcPr>
            <w:tcW w:w="76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w:t>
            </w:r>
          </w:p>
          <w:p>
            <w:pPr>
              <w:spacing w:line="280" w:lineRule="exact"/>
              <w:jc w:val="center"/>
              <w:rPr>
                <w:rFonts w:ascii="宋体" w:hAnsi="宋体"/>
                <w:color w:val="000000"/>
                <w:szCs w:val="21"/>
              </w:rPr>
            </w:pPr>
            <w:r>
              <w:rPr>
                <w:rFonts w:hint="eastAsia" w:ascii="宋体" w:hAnsi="宋体"/>
                <w:color w:val="000000"/>
                <w:szCs w:val="21"/>
              </w:rPr>
              <w:t>厂家</w:t>
            </w:r>
          </w:p>
        </w:tc>
        <w:tc>
          <w:tcPr>
            <w:tcW w:w="1830" w:type="dxa"/>
            <w:vAlign w:val="center"/>
          </w:tcPr>
          <w:p>
            <w:pPr>
              <w:spacing w:line="280" w:lineRule="exact"/>
              <w:jc w:val="center"/>
              <w:rPr>
                <w:rFonts w:ascii="宋体" w:hAnsi="宋体"/>
                <w:color w:val="000000"/>
                <w:szCs w:val="21"/>
              </w:rPr>
            </w:pPr>
            <w:r>
              <w:rPr>
                <w:rFonts w:hint="eastAsia" w:ascii="宋体" w:hAnsi="宋体"/>
                <w:color w:val="000000"/>
                <w:szCs w:val="21"/>
              </w:rPr>
              <w:t>型号规格</w:t>
            </w:r>
          </w:p>
        </w:tc>
        <w:tc>
          <w:tcPr>
            <w:tcW w:w="783" w:type="dxa"/>
            <w:vAlign w:val="center"/>
          </w:tcPr>
          <w:p>
            <w:pPr>
              <w:spacing w:line="280" w:lineRule="exact"/>
              <w:jc w:val="center"/>
              <w:rPr>
                <w:rFonts w:ascii="宋体" w:hAnsi="宋体"/>
                <w:color w:val="000000"/>
                <w:szCs w:val="21"/>
              </w:rPr>
            </w:pPr>
            <w:r>
              <w:rPr>
                <w:rFonts w:hint="eastAsia" w:ascii="宋体" w:hAnsi="宋体"/>
                <w:color w:val="000000"/>
                <w:szCs w:val="21"/>
              </w:rPr>
              <w:t>计量单位</w:t>
            </w:r>
          </w:p>
        </w:tc>
        <w:tc>
          <w:tcPr>
            <w:tcW w:w="689" w:type="dxa"/>
            <w:vAlign w:val="center"/>
          </w:tcPr>
          <w:p>
            <w:pPr>
              <w:spacing w:line="280" w:lineRule="exact"/>
              <w:jc w:val="center"/>
              <w:rPr>
                <w:rFonts w:ascii="宋体" w:hAnsi="宋体"/>
                <w:color w:val="000000"/>
                <w:szCs w:val="21"/>
              </w:rPr>
            </w:pPr>
            <w:r>
              <w:rPr>
                <w:rFonts w:hint="eastAsia" w:ascii="宋体" w:hAnsi="宋体"/>
                <w:color w:val="000000"/>
                <w:szCs w:val="21"/>
              </w:rPr>
              <w:t>数量</w:t>
            </w:r>
          </w:p>
        </w:tc>
        <w:tc>
          <w:tcPr>
            <w:tcW w:w="1333" w:type="dxa"/>
            <w:tcBorders>
              <w:bottom w:val="single" w:color="auto" w:sz="4" w:space="0"/>
            </w:tcBorders>
            <w:vAlign w:val="center"/>
          </w:tcPr>
          <w:p>
            <w:pPr>
              <w:spacing w:line="280" w:lineRule="exact"/>
              <w:jc w:val="center"/>
              <w:rPr>
                <w:rFonts w:hint="eastAsia" w:ascii="宋体" w:hAnsi="宋体"/>
                <w:color w:val="FF0000"/>
                <w:szCs w:val="21"/>
                <w:lang w:val="en-US" w:eastAsia="zh-CN"/>
              </w:rPr>
            </w:pPr>
            <w:r>
              <w:rPr>
                <w:rFonts w:hint="eastAsia" w:ascii="宋体" w:hAnsi="宋体"/>
                <w:color w:val="FF0000"/>
                <w:szCs w:val="21"/>
                <w:lang w:val="en-US" w:eastAsia="zh-CN"/>
              </w:rPr>
              <w:t>未税总金额</w:t>
            </w:r>
          </w:p>
          <w:p>
            <w:pPr>
              <w:spacing w:line="280" w:lineRule="exact"/>
              <w:jc w:val="center"/>
              <w:rPr>
                <w:rFonts w:hint="eastAsia" w:ascii="宋体" w:hAnsi="宋体" w:eastAsia="宋体"/>
                <w:color w:val="000000"/>
                <w:szCs w:val="21"/>
                <w:lang w:val="en-US" w:eastAsia="zh-CN"/>
              </w:rPr>
            </w:pPr>
            <w:r>
              <w:rPr>
                <w:rFonts w:hint="eastAsia" w:ascii="宋体" w:hAnsi="宋体"/>
                <w:color w:val="FF0000"/>
                <w:szCs w:val="21"/>
                <w:lang w:val="en-US" w:eastAsia="zh-CN"/>
              </w:rPr>
              <w:t>（元）</w:t>
            </w:r>
          </w:p>
        </w:tc>
        <w:tc>
          <w:tcPr>
            <w:tcW w:w="1215" w:type="dxa"/>
            <w:vAlign w:val="center"/>
          </w:tcPr>
          <w:p>
            <w:pPr>
              <w:spacing w:line="280" w:lineRule="exact"/>
              <w:jc w:val="center"/>
              <w:rPr>
                <w:rFonts w:ascii="宋体" w:hAnsi="宋体"/>
                <w:color w:val="000000"/>
                <w:szCs w:val="21"/>
              </w:rPr>
            </w:pPr>
            <w:r>
              <w:rPr>
                <w:rFonts w:hint="eastAsia" w:ascii="宋体" w:hAnsi="宋体"/>
                <w:color w:val="FF0000"/>
                <w:szCs w:val="21"/>
                <w:lang w:val="en-US" w:eastAsia="zh-CN"/>
              </w:rPr>
              <w:t>税额  （元）</w:t>
            </w:r>
          </w:p>
        </w:tc>
        <w:tc>
          <w:tcPr>
            <w:tcW w:w="1575" w:type="dxa"/>
            <w:vAlign w:val="center"/>
          </w:tcPr>
          <w:p>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rPr>
              <w:t>含税总金额（元）</w:t>
            </w:r>
          </w:p>
        </w:tc>
        <w:tc>
          <w:tcPr>
            <w:tcW w:w="1191" w:type="dxa"/>
            <w:gridSpan w:val="2"/>
            <w:vAlign w:val="center"/>
          </w:tcPr>
          <w:p>
            <w:pPr>
              <w:spacing w:line="280" w:lineRule="exact"/>
              <w:jc w:val="center"/>
              <w:rPr>
                <w:rFonts w:hint="eastAsia" w:ascii="宋体" w:hAnsi="宋体"/>
                <w:color w:val="000000"/>
                <w:szCs w:val="21"/>
                <w:lang w:val="en-US" w:eastAsia="zh-CN"/>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553" w:type="dxa"/>
            <w:vAlign w:val="center"/>
          </w:tcPr>
          <w:p>
            <w:pPr>
              <w:spacing w:line="280" w:lineRule="exact"/>
              <w:jc w:val="center"/>
              <w:rPr>
                <w:rFonts w:ascii="宋体" w:hAnsi="宋体"/>
                <w:color w:val="000000"/>
                <w:sz w:val="18"/>
                <w:szCs w:val="18"/>
              </w:rPr>
            </w:pPr>
            <w:r>
              <w:rPr>
                <w:rFonts w:hint="eastAsia" w:ascii="宋体" w:hAnsi="宋体" w:cs="宋体"/>
                <w:sz w:val="21"/>
                <w:szCs w:val="21"/>
              </w:rPr>
              <w:t>磷酸</w:t>
            </w:r>
          </w:p>
        </w:tc>
        <w:tc>
          <w:tcPr>
            <w:tcW w:w="766" w:type="dxa"/>
            <w:vAlign w:val="center"/>
          </w:tcPr>
          <w:p>
            <w:pPr>
              <w:spacing w:line="280" w:lineRule="exact"/>
              <w:jc w:val="center"/>
              <w:rPr>
                <w:rFonts w:ascii="宋体" w:hAnsi="宋体"/>
                <w:color w:val="000000"/>
                <w:sz w:val="18"/>
                <w:szCs w:val="18"/>
              </w:rPr>
            </w:pPr>
            <w:r>
              <w:rPr>
                <w:rFonts w:ascii="宋体" w:hAnsi="宋体" w:cs="宋体"/>
                <w:color w:val="000000"/>
                <w:sz w:val="21"/>
                <w:szCs w:val="21"/>
              </w:rPr>
              <w:t>/</w:t>
            </w:r>
          </w:p>
        </w:tc>
        <w:tc>
          <w:tcPr>
            <w:tcW w:w="1830" w:type="dxa"/>
            <w:vAlign w:val="center"/>
          </w:tcPr>
          <w:p>
            <w:pPr>
              <w:spacing w:line="280" w:lineRule="exact"/>
              <w:jc w:val="both"/>
              <w:rPr>
                <w:rFonts w:hint="default" w:ascii="宋体" w:hAnsi="宋体" w:eastAsia="宋体"/>
                <w:color w:val="000000"/>
                <w:sz w:val="18"/>
                <w:szCs w:val="18"/>
                <w:lang w:val="en-US" w:eastAsia="zh-CN"/>
              </w:rPr>
            </w:pPr>
            <w:r>
              <w:rPr>
                <w:rFonts w:hint="eastAsia" w:ascii="宋体"/>
                <w:color w:val="000000"/>
                <w:lang w:val="en-US" w:eastAsia="zh-CN"/>
              </w:rPr>
              <w:t>85%，具体详见附件</w:t>
            </w:r>
          </w:p>
        </w:tc>
        <w:tc>
          <w:tcPr>
            <w:tcW w:w="783" w:type="dxa"/>
            <w:vAlign w:val="center"/>
          </w:tcPr>
          <w:p>
            <w:pPr>
              <w:spacing w:line="280" w:lineRule="exact"/>
              <w:jc w:val="center"/>
              <w:rPr>
                <w:rFonts w:hint="eastAsia" w:ascii="宋体" w:hAnsi="宋体" w:eastAsia="宋体"/>
                <w:color w:val="000000"/>
                <w:sz w:val="18"/>
                <w:szCs w:val="18"/>
                <w:lang w:val="en-US" w:eastAsia="zh-CN"/>
              </w:rPr>
            </w:pPr>
            <w:r>
              <w:rPr>
                <w:rFonts w:hint="eastAsia" w:ascii="宋体" w:hAnsi="宋体" w:cs="宋体"/>
                <w:color w:val="000000"/>
                <w:sz w:val="21"/>
                <w:szCs w:val="21"/>
                <w:lang w:val="en-US" w:eastAsia="zh-CN"/>
              </w:rPr>
              <w:t>吨</w:t>
            </w:r>
          </w:p>
        </w:tc>
        <w:tc>
          <w:tcPr>
            <w:tcW w:w="689"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70</w:t>
            </w:r>
          </w:p>
        </w:tc>
        <w:tc>
          <w:tcPr>
            <w:tcW w:w="1333" w:type="dxa"/>
            <w:vAlign w:val="center"/>
          </w:tcPr>
          <w:p>
            <w:pPr>
              <w:spacing w:line="280" w:lineRule="exact"/>
              <w:jc w:val="center"/>
              <w:rPr>
                <w:rFonts w:hint="default" w:ascii="宋体" w:hAnsi="宋体" w:eastAsia="宋体"/>
                <w:color w:val="000000"/>
                <w:sz w:val="18"/>
                <w:szCs w:val="18"/>
                <w:lang w:val="en-US" w:eastAsia="zh-CN"/>
              </w:rPr>
            </w:pPr>
            <w:r>
              <w:rPr>
                <w:rFonts w:hint="eastAsia" w:ascii="Verdana" w:hAnsi="Verdana"/>
                <w:b/>
                <w:bCs/>
                <w:color w:val="000000"/>
                <w:szCs w:val="21"/>
                <w:shd w:val="clear" w:color="auto" w:fill="FFFFFF"/>
                <w:lang w:val="en-US" w:eastAsia="zh-CN"/>
              </w:rPr>
              <w:t>***</w:t>
            </w:r>
          </w:p>
        </w:tc>
        <w:tc>
          <w:tcPr>
            <w:tcW w:w="1215" w:type="dxa"/>
            <w:vAlign w:val="center"/>
          </w:tcPr>
          <w:p>
            <w:pPr>
              <w:spacing w:line="280" w:lineRule="exact"/>
              <w:jc w:val="center"/>
              <w:rPr>
                <w:rFonts w:hint="default" w:ascii="宋体" w:hAnsi="宋体" w:eastAsia="宋体"/>
                <w:color w:val="000000"/>
                <w:sz w:val="18"/>
                <w:szCs w:val="18"/>
                <w:lang w:val="en-US" w:eastAsia="zh-CN"/>
              </w:rPr>
            </w:pPr>
            <w:r>
              <w:rPr>
                <w:rFonts w:hint="eastAsia" w:ascii="Verdana" w:hAnsi="Verdana"/>
                <w:b/>
                <w:bCs/>
                <w:color w:val="000000"/>
                <w:szCs w:val="21"/>
                <w:shd w:val="clear" w:color="auto" w:fill="FFFFFF"/>
                <w:lang w:val="en-US" w:eastAsia="zh-CN"/>
              </w:rPr>
              <w:t>***</w:t>
            </w:r>
          </w:p>
        </w:tc>
        <w:tc>
          <w:tcPr>
            <w:tcW w:w="1575" w:type="dxa"/>
            <w:vAlign w:val="center"/>
          </w:tcPr>
          <w:p>
            <w:pPr>
              <w:spacing w:line="280" w:lineRule="exact"/>
              <w:jc w:val="both"/>
              <w:rPr>
                <w:rFonts w:hint="eastAsia" w:ascii="宋体" w:hAnsi="宋体"/>
                <w:color w:val="000000"/>
                <w:sz w:val="18"/>
                <w:szCs w:val="18"/>
                <w:lang w:val="en-US" w:eastAsia="zh-CN"/>
              </w:rPr>
            </w:pPr>
            <w:r>
              <w:rPr>
                <w:rFonts w:hint="eastAsia" w:ascii="Verdana" w:hAnsi="Verdana"/>
                <w:b/>
                <w:bCs/>
                <w:color w:val="000000"/>
                <w:szCs w:val="21"/>
                <w:shd w:val="clear" w:color="auto" w:fill="FFFFFF"/>
                <w:lang w:val="en-US" w:eastAsia="zh-CN"/>
              </w:rPr>
              <w:t>***</w:t>
            </w:r>
            <w:bookmarkStart w:id="0" w:name="_GoBack"/>
            <w:bookmarkEnd w:id="0"/>
          </w:p>
        </w:tc>
        <w:tc>
          <w:tcPr>
            <w:tcW w:w="1191" w:type="dxa"/>
            <w:gridSpan w:val="2"/>
            <w:vAlign w:val="center"/>
          </w:tcPr>
          <w:p>
            <w:pPr>
              <w:spacing w:line="280" w:lineRule="exact"/>
              <w:jc w:val="both"/>
              <w:rPr>
                <w:rFonts w:hint="eastAsia" w:ascii="宋体" w:hAnsi="宋体"/>
                <w:color w:val="00000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426" w:hRule="atLeast"/>
        </w:trPr>
        <w:tc>
          <w:tcPr>
            <w:tcW w:w="2319" w:type="dxa"/>
            <w:gridSpan w:val="2"/>
            <w:vAlign w:val="center"/>
          </w:tcPr>
          <w:p>
            <w:pPr>
              <w:spacing w:line="280" w:lineRule="exact"/>
              <w:rPr>
                <w:rFonts w:ascii="宋体" w:hAnsi="宋体"/>
                <w:color w:val="000000"/>
                <w:szCs w:val="21"/>
              </w:rPr>
            </w:pPr>
            <w:r>
              <w:rPr>
                <w:rFonts w:hint="eastAsia" w:ascii="宋体" w:hAnsi="宋体"/>
                <w:color w:val="000000"/>
                <w:szCs w:val="21"/>
              </w:rPr>
              <w:t>合计人民币含税</w:t>
            </w:r>
            <w:r>
              <w:rPr>
                <w:rFonts w:hint="eastAsia" w:ascii="宋体" w:hAnsi="宋体"/>
                <w:color w:val="000000"/>
                <w:szCs w:val="21"/>
                <w:lang w:eastAsia="zh-CN"/>
              </w:rPr>
              <w:t>（</w:t>
            </w:r>
            <w:r>
              <w:rPr>
                <w:rFonts w:hint="eastAsia" w:ascii="宋体" w:hAnsi="宋体"/>
                <w:color w:val="000000"/>
                <w:szCs w:val="21"/>
                <w:lang w:val="en-US" w:eastAsia="zh-CN"/>
              </w:rPr>
              <w:t>13%</w:t>
            </w:r>
            <w:r>
              <w:rPr>
                <w:rFonts w:hint="eastAsia" w:ascii="宋体" w:hAnsi="宋体"/>
                <w:color w:val="000000"/>
                <w:szCs w:val="21"/>
                <w:lang w:eastAsia="zh-CN"/>
              </w:rPr>
              <w:t>）</w:t>
            </w:r>
            <w:r>
              <w:rPr>
                <w:rFonts w:hint="eastAsia" w:ascii="宋体" w:hAnsi="宋体"/>
                <w:color w:val="000000"/>
                <w:szCs w:val="21"/>
              </w:rPr>
              <w:t xml:space="preserve">金额（大写）：                   </w:t>
            </w:r>
          </w:p>
        </w:tc>
        <w:tc>
          <w:tcPr>
            <w:tcW w:w="7425" w:type="dxa"/>
            <w:gridSpan w:val="6"/>
            <w:shd w:val="clear" w:color="auto" w:fill="auto"/>
            <w:vAlign w:val="center"/>
          </w:tcPr>
          <w:p>
            <w:pPr>
              <w:widowControl/>
              <w:jc w:val="both"/>
              <w:rPr>
                <w:rFonts w:hint="default" w:eastAsia="宋体"/>
                <w:lang w:val="en-US" w:eastAsia="zh-CN"/>
              </w:rPr>
            </w:pPr>
            <w:r>
              <w:rPr>
                <w:rFonts w:hint="eastAsia" w:ascii="Verdana" w:hAnsi="Verdana"/>
                <w:b/>
                <w:bCs/>
                <w:color w:val="000000"/>
                <w:szCs w:val="21"/>
                <w:shd w:val="clear" w:color="auto" w:fill="FFFFFF"/>
                <w:lang w:val="en-US" w:eastAsia="zh-CN"/>
              </w:rPr>
              <w:t>***</w:t>
            </w:r>
            <w:r>
              <w:rPr>
                <w:rFonts w:hint="eastAsia"/>
                <w:lang w:val="en-US" w:eastAsia="zh-CN"/>
              </w:rPr>
              <w:t>元整</w:t>
            </w:r>
          </w:p>
        </w:tc>
        <w:tc>
          <w:tcPr>
            <w:tcW w:w="1190" w:type="dxa"/>
            <w:shd w:val="clear" w:color="auto" w:fill="auto"/>
            <w:vAlign w:val="center"/>
          </w:tcPr>
          <w:p>
            <w:pPr>
              <w:widowControl/>
              <w:jc w:val="both"/>
              <w:rPr>
                <w:rFonts w:hint="eastAsia" w:ascii="Verdana" w:hAnsi="Verdana"/>
                <w:b/>
                <w:bCs/>
                <w:color w:val="000000"/>
                <w:szCs w:val="21"/>
                <w:shd w:val="clear" w:color="auto" w:fill="FFFFFF"/>
                <w:lang w:val="en-US" w:eastAsia="zh-CN"/>
              </w:rPr>
            </w:pPr>
          </w:p>
        </w:tc>
      </w:tr>
    </w:tbl>
    <w:p>
      <w:pPr>
        <w:spacing w:line="280" w:lineRule="exact"/>
        <w:ind w:firstLine="420" w:firstLineChars="200"/>
        <w:rPr>
          <w:rFonts w:ascii="宋体" w:hAnsi="宋体"/>
          <w:b/>
          <w:color w:val="000000"/>
          <w:szCs w:val="21"/>
        </w:rPr>
      </w:pPr>
      <w:r>
        <w:rPr>
          <w:rFonts w:hint="eastAsia" w:ascii="宋体" w:hAnsi="宋体"/>
          <w:color w:val="000000"/>
          <w:szCs w:val="21"/>
        </w:rPr>
        <w:t>上述数量为暂定量，需方可根据需要进行调整，双方按每月订单约定之实际交货数量结算。实际结算数量范围为订单约定数量的±5%。</w:t>
      </w:r>
    </w:p>
    <w:p>
      <w:pPr>
        <w:spacing w:line="280" w:lineRule="exact"/>
        <w:rPr>
          <w:rFonts w:ascii="宋体" w:hAnsi="宋体"/>
          <w:b/>
          <w:color w:val="000000"/>
          <w:szCs w:val="21"/>
        </w:rPr>
      </w:pPr>
      <w:r>
        <w:rPr>
          <w:rFonts w:hint="eastAsia" w:ascii="宋体" w:hAnsi="宋体"/>
          <w:b/>
          <w:color w:val="000000"/>
          <w:szCs w:val="21"/>
        </w:rPr>
        <w:t>二、供货有效期：</w:t>
      </w:r>
    </w:p>
    <w:p>
      <w:pPr>
        <w:spacing w:line="280" w:lineRule="exact"/>
        <w:ind w:firstLine="420" w:firstLineChars="200"/>
        <w:rPr>
          <w:rFonts w:ascii="宋体" w:hAnsi="宋体"/>
          <w:color w:val="000000"/>
          <w:szCs w:val="21"/>
        </w:rPr>
      </w:pPr>
      <w:r>
        <w:rPr>
          <w:rFonts w:hint="eastAsia" w:ascii="宋体" w:hAnsi="宋体"/>
          <w:color w:val="000000"/>
          <w:szCs w:val="21"/>
        </w:rPr>
        <w:t>本合同供货有效期从</w:t>
      </w:r>
      <w:r>
        <w:rPr>
          <w:rFonts w:hint="eastAsia" w:ascii="宋体" w:hAnsi="宋体"/>
          <w:color w:val="000000"/>
          <w:szCs w:val="21"/>
          <w:u w:val="single"/>
        </w:rPr>
        <w:t xml:space="preserve"> 202</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07</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01</w:t>
      </w:r>
      <w:r>
        <w:rPr>
          <w:rFonts w:hint="eastAsia" w:ascii="宋体" w:hAnsi="宋体"/>
          <w:color w:val="000000"/>
          <w:szCs w:val="21"/>
          <w:u w:val="single"/>
        </w:rPr>
        <w:t xml:space="preserve">  </w:t>
      </w:r>
      <w:r>
        <w:rPr>
          <w:rFonts w:hint="eastAsia" w:ascii="宋体" w:hAnsi="宋体"/>
          <w:color w:val="000000"/>
          <w:szCs w:val="21"/>
        </w:rPr>
        <w:t>日至</w:t>
      </w:r>
      <w:r>
        <w:rPr>
          <w:rFonts w:hint="eastAsia" w:ascii="宋体" w:hAnsi="宋体"/>
          <w:color w:val="000000"/>
          <w:szCs w:val="21"/>
          <w:u w:val="single"/>
        </w:rPr>
        <w:t xml:space="preserve"> 202</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12</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31</w:t>
      </w:r>
      <w:r>
        <w:rPr>
          <w:rFonts w:hint="eastAsia" w:ascii="宋体" w:hAnsi="宋体"/>
          <w:color w:val="000000"/>
          <w:szCs w:val="21"/>
          <w:u w:val="single"/>
        </w:rPr>
        <w:t xml:space="preserve">  </w:t>
      </w:r>
      <w:r>
        <w:rPr>
          <w:rFonts w:hint="eastAsia" w:ascii="宋体" w:hAnsi="宋体"/>
          <w:color w:val="000000"/>
          <w:szCs w:val="21"/>
        </w:rPr>
        <w:t>日。本合同供货有效期届满与否，不影响本合同其他条款和组成部分的效力。</w:t>
      </w:r>
    </w:p>
    <w:p>
      <w:pPr>
        <w:numPr>
          <w:ilvl w:val="0"/>
          <w:numId w:val="1"/>
        </w:numPr>
        <w:spacing w:line="280" w:lineRule="exact"/>
        <w:rPr>
          <w:rFonts w:ascii="宋体" w:hAnsi="宋体"/>
          <w:color w:val="000000"/>
          <w:szCs w:val="21"/>
          <w:u w:val="single"/>
        </w:rPr>
      </w:pPr>
      <w:r>
        <w:rPr>
          <w:rFonts w:hint="eastAsia" w:ascii="宋体" w:hAnsi="宋体"/>
          <w:b/>
          <w:color w:val="000000"/>
          <w:szCs w:val="21"/>
        </w:rPr>
        <w:t>三、产品质量要求及技术标准：</w:t>
      </w:r>
      <w:r>
        <w:rPr>
          <w:rFonts w:hint="eastAsia" w:ascii="宋体" w:hAnsi="宋体"/>
          <w:color w:val="000000"/>
          <w:szCs w:val="21"/>
        </w:rPr>
        <w:t>双方商定按下列第</w:t>
      </w:r>
      <w:r>
        <w:rPr>
          <w:rFonts w:hint="eastAsia" w:ascii="宋体" w:hAnsi="宋体"/>
          <w:color w:val="000000"/>
          <w:szCs w:val="21"/>
          <w:u w:val="single"/>
        </w:rPr>
        <w:t xml:space="preserve">  4  </w:t>
      </w:r>
      <w:r>
        <w:rPr>
          <w:rFonts w:hint="eastAsia" w:ascii="宋体" w:hAnsi="宋体"/>
          <w:color w:val="000000"/>
          <w:szCs w:val="21"/>
        </w:rPr>
        <w:t>款执行，其中主要的技术指标包含：</w:t>
      </w:r>
      <w:r>
        <w:rPr>
          <w:rFonts w:hint="eastAsia" w:ascii="宋体" w:hAnsi="宋体"/>
          <w:color w:val="auto"/>
          <w:szCs w:val="21"/>
          <w:u w:val="single" w:color="000000"/>
        </w:rPr>
        <w:t>供方需提供所供产品质量检验证明，以需方指定单位验收为准，如化验不合格，需方有权</w:t>
      </w:r>
      <w:r>
        <w:rPr>
          <w:rFonts w:hint="eastAsia" w:ascii="宋体" w:hAnsi="宋体"/>
          <w:color w:val="auto"/>
          <w:szCs w:val="21"/>
          <w:u w:val="single"/>
        </w:rPr>
        <w:t>退换货，退换货所需的各项费用由供方承担。</w:t>
      </w:r>
      <w:r>
        <w:rPr>
          <w:rFonts w:hint="eastAsia" w:ascii="宋体" w:hAnsi="宋体"/>
          <w:color w:val="auto"/>
          <w:szCs w:val="21"/>
          <w:u w:val="single"/>
          <w:lang w:val="en-US" w:eastAsia="zh-CN"/>
        </w:rPr>
        <w:t>同时为不影响我司生产使用，须在24小时之内重新到货合格产品，无法交货合格产品，我司将严肃处理。</w:t>
      </w:r>
    </w:p>
    <w:p>
      <w:pPr>
        <w:spacing w:line="280" w:lineRule="exact"/>
        <w:ind w:firstLine="420" w:firstLineChars="200"/>
        <w:rPr>
          <w:rFonts w:ascii="宋体" w:hAnsi="宋体"/>
          <w:color w:val="000000"/>
          <w:szCs w:val="21"/>
          <w:u w:val="single"/>
        </w:rPr>
      </w:pPr>
      <w:r>
        <w:rPr>
          <w:rFonts w:ascii="宋体" w:hAnsi="宋体"/>
          <w:color w:val="000000"/>
          <w:szCs w:val="21"/>
        </w:rPr>
        <w:t>1、国家标准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olor w:val="000000"/>
          <w:szCs w:val="21"/>
        </w:rPr>
        <w:t>2、行业标准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hint="eastAsia" w:ascii="宋体" w:hAnsi="宋体"/>
          <w:color w:val="000000"/>
          <w:szCs w:val="21"/>
        </w:rPr>
        <w:t xml:space="preserve"> </w:t>
      </w:r>
      <w:r>
        <w:rPr>
          <w:rFonts w:ascii="宋体" w:hAnsi="宋体"/>
          <w:color w:val="000000"/>
          <w:szCs w:val="21"/>
        </w:rPr>
        <w:t>3、企业标</w:t>
      </w:r>
      <w:r>
        <w:rPr>
          <w:rFonts w:hint="eastAsia" w:ascii="宋体" w:hAnsi="宋体"/>
          <w:color w:val="000000"/>
          <w:szCs w:val="21"/>
        </w:rPr>
        <w:t>准及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s="Arial"/>
          <w:color w:val="000000"/>
          <w:szCs w:val="21"/>
        </w:rPr>
        <w:t>4、其他标准</w:t>
      </w:r>
      <w:r>
        <w:rPr>
          <w:rFonts w:hint="eastAsia" w:ascii="宋体" w:hAnsi="宋体" w:cs="Arial"/>
          <w:color w:val="000000"/>
          <w:szCs w:val="21"/>
          <w:u w:val="single"/>
        </w:rPr>
        <w:t xml:space="preserve"> </w:t>
      </w:r>
      <w:r>
        <w:rPr>
          <w:rFonts w:hint="eastAsia" w:ascii="宋体"/>
          <w:color w:val="000000"/>
          <w:u w:val="single"/>
          <w:lang w:val="en-US" w:eastAsia="zh-CN"/>
        </w:rPr>
        <w:t>85%，具体</w:t>
      </w:r>
      <w:r>
        <w:rPr>
          <w:rFonts w:hint="eastAsia" w:ascii="宋体" w:hAnsi="宋体"/>
          <w:color w:val="auto"/>
          <w:szCs w:val="21"/>
          <w:u w:val="single"/>
          <w:lang w:val="en-US" w:eastAsia="zh-CN"/>
        </w:rPr>
        <w:t>详见附件</w:t>
      </w:r>
      <w:r>
        <w:rPr>
          <w:rFonts w:hint="eastAsia" w:ascii="宋体" w:hAnsi="宋体" w:cs="Arial"/>
          <w:color w:val="000000"/>
          <w:szCs w:val="21"/>
          <w:u w:val="single"/>
        </w:rPr>
        <w:t xml:space="preserve">  </w:t>
      </w:r>
      <w:r>
        <w:rPr>
          <w:rFonts w:hint="eastAsia" w:ascii="宋体" w:hAnsi="宋体" w:cs="Arial"/>
          <w:color w:val="000000"/>
          <w:szCs w:val="21"/>
        </w:rPr>
        <w:t>。</w:t>
      </w:r>
    </w:p>
    <w:p>
      <w:pPr>
        <w:spacing w:line="280" w:lineRule="exact"/>
        <w:rPr>
          <w:rFonts w:ascii="宋体" w:hAnsi="宋体"/>
          <w:color w:val="000000"/>
          <w:szCs w:val="21"/>
        </w:rPr>
      </w:pPr>
      <w:r>
        <w:rPr>
          <w:rFonts w:hint="eastAsia" w:ascii="宋体" w:hAnsi="宋体"/>
          <w:b/>
          <w:color w:val="000000"/>
          <w:szCs w:val="21"/>
        </w:rPr>
        <w:t>四、包装方式：</w:t>
      </w: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款执行。</w:t>
      </w:r>
    </w:p>
    <w:p>
      <w:pPr>
        <w:spacing w:line="280" w:lineRule="exact"/>
        <w:ind w:firstLine="420" w:firstLineChars="200"/>
        <w:rPr>
          <w:rFonts w:ascii="宋体" w:hAnsi="宋体"/>
          <w:color w:val="000000"/>
          <w:szCs w:val="21"/>
          <w:u w:val="single"/>
        </w:rPr>
      </w:pPr>
      <w:r>
        <w:rPr>
          <w:rFonts w:hint="eastAsia" w:ascii="宋体" w:hAnsi="宋体"/>
          <w:color w:val="000000" w:themeColor="text1"/>
          <w:szCs w:val="21"/>
          <w14:textFill>
            <w14:solidFill>
              <w14:schemeClr w14:val="tx1"/>
            </w14:solidFill>
          </w14:textFill>
        </w:rPr>
        <w:t>1、袋装：</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FF0000"/>
          <w:szCs w:val="21"/>
        </w:rPr>
        <w:t xml:space="preserve">  </w:t>
      </w:r>
      <w:r>
        <w:rPr>
          <w:rFonts w:hint="eastAsia" w:ascii="宋体" w:hAnsi="宋体"/>
          <w:color w:val="000000"/>
          <w:szCs w:val="21"/>
        </w:rPr>
        <w:t>2、桶装：</w:t>
      </w:r>
      <w:r>
        <w:rPr>
          <w:rFonts w:hint="eastAsia" w:ascii="宋体" w:hAnsi="宋体"/>
          <w:color w:val="000000"/>
          <w:szCs w:val="21"/>
          <w:u w:val="single"/>
        </w:rPr>
        <w:t xml:space="preserve"> / </w:t>
      </w:r>
      <w:r>
        <w:rPr>
          <w:rFonts w:hint="eastAsia" w:ascii="宋体" w:hAnsi="宋体"/>
          <w:color w:val="000000"/>
          <w:szCs w:val="21"/>
        </w:rPr>
        <w:t>3、散装：</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槽车</w:t>
      </w:r>
      <w:r>
        <w:rPr>
          <w:rFonts w:hint="eastAsia" w:ascii="宋体" w:hAnsi="宋体"/>
          <w:color w:val="000000"/>
          <w:szCs w:val="21"/>
          <w:u w:val="single"/>
        </w:rPr>
        <w:t xml:space="preserve">  </w:t>
      </w:r>
      <w:r>
        <w:rPr>
          <w:rFonts w:hint="eastAsia" w:ascii="宋体" w:hAnsi="宋体"/>
          <w:color w:val="000000"/>
          <w:szCs w:val="21"/>
        </w:rPr>
        <w:t xml:space="preserve">   4、其他：</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p>
    <w:p>
      <w:pPr>
        <w:spacing w:line="280" w:lineRule="exact"/>
        <w:rPr>
          <w:rFonts w:ascii="宋体" w:hAnsi="宋体"/>
          <w:b/>
          <w:color w:val="000000"/>
          <w:szCs w:val="21"/>
        </w:rPr>
      </w:pPr>
      <w:r>
        <w:rPr>
          <w:rFonts w:hint="eastAsia" w:ascii="宋体" w:hAnsi="宋体"/>
          <w:b/>
          <w:color w:val="000000"/>
          <w:szCs w:val="21"/>
        </w:rPr>
        <w:t>五、货款结算与支付方式：</w:t>
      </w:r>
    </w:p>
    <w:p>
      <w:pPr>
        <w:spacing w:line="280" w:lineRule="exact"/>
        <w:ind w:firstLine="411" w:firstLineChars="196"/>
        <w:rPr>
          <w:rFonts w:ascii="宋体" w:hAnsi="宋体"/>
          <w:color w:val="000000"/>
          <w:szCs w:val="21"/>
        </w:rPr>
      </w:pPr>
      <w:r>
        <w:rPr>
          <w:rFonts w:hint="eastAsia" w:ascii="宋体" w:hAnsi="宋体"/>
          <w:color w:val="000000"/>
          <w:szCs w:val="21"/>
        </w:rPr>
        <w:t>每批产品全部到货后，经需方或需方指定单位：福建福海创石油化工有限公司（本合同中统称“需方”）根据本合同约定的质量、数量标准验收合格后，供方提供相应金额的13%增值税专用发票以及结算所需的各类清单，需方收到并确认无误后向供方支付货款</w:t>
      </w:r>
      <w:r>
        <w:rPr>
          <w:rFonts w:hint="eastAsia" w:ascii="宋体" w:hAnsi="宋体"/>
          <w:color w:val="000000"/>
          <w:szCs w:val="21"/>
          <w:lang w:eastAsia="zh-CN"/>
        </w:rPr>
        <w:t>（</w:t>
      </w:r>
      <w:r>
        <w:rPr>
          <w:rFonts w:hint="eastAsia" w:ascii="宋体" w:hAnsi="宋体"/>
          <w:color w:val="000000"/>
          <w:szCs w:val="21"/>
          <w:lang w:val="en-US" w:eastAsia="zh-CN"/>
        </w:rPr>
        <w:t>分批验收，分批付款</w:t>
      </w:r>
      <w:r>
        <w:rPr>
          <w:rFonts w:hint="eastAsia" w:ascii="宋体" w:hAnsi="宋体"/>
          <w:color w:val="000000"/>
          <w:szCs w:val="21"/>
          <w:lang w:eastAsia="zh-CN"/>
        </w:rPr>
        <w:t>）</w:t>
      </w:r>
      <w:r>
        <w:rPr>
          <w:rFonts w:hint="eastAsia" w:ascii="宋体" w:hAnsi="宋体"/>
          <w:color w:val="000000"/>
          <w:szCs w:val="21"/>
        </w:rPr>
        <w:t>。</w:t>
      </w:r>
    </w:p>
    <w:p>
      <w:pPr>
        <w:spacing w:line="280" w:lineRule="exact"/>
        <w:rPr>
          <w:rFonts w:ascii="宋体" w:hAnsi="宋体"/>
          <w:color w:val="000000"/>
          <w:szCs w:val="21"/>
        </w:rPr>
      </w:pPr>
      <w:r>
        <w:rPr>
          <w:rFonts w:hint="eastAsia" w:ascii="宋体" w:hAnsi="宋体"/>
          <w:b/>
          <w:color w:val="000000"/>
          <w:szCs w:val="21"/>
        </w:rPr>
        <w:t>六、交付期限：</w:t>
      </w:r>
    </w:p>
    <w:p>
      <w:pPr>
        <w:spacing w:line="280" w:lineRule="exact"/>
        <w:ind w:firstLine="420" w:firstLineChars="200"/>
        <w:rPr>
          <w:rFonts w:ascii="宋体" w:hAnsi="宋体"/>
          <w:b/>
          <w:color w:val="000000"/>
          <w:szCs w:val="21"/>
        </w:rPr>
      </w:pPr>
      <w:r>
        <w:rPr>
          <w:rFonts w:hint="eastAsia" w:ascii="宋体" w:hAnsi="宋体"/>
          <w:color w:val="000000"/>
          <w:szCs w:val="21"/>
        </w:rPr>
        <w:t>需方有权在本合同供货有效期内，分批向供方通过指定邮箱提出交货数量需求，供方应在收到需方提出的交货数量需求之日起</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3</w:t>
      </w:r>
      <w:r>
        <w:rPr>
          <w:rFonts w:hint="eastAsia" w:ascii="宋体" w:hAnsi="宋体"/>
          <w:color w:val="000000"/>
          <w:szCs w:val="21"/>
          <w:u w:val="single"/>
        </w:rPr>
        <w:t xml:space="preserve">  </w:t>
      </w:r>
      <w:r>
        <w:rPr>
          <w:rFonts w:hint="eastAsia" w:ascii="宋体" w:hAnsi="宋体"/>
          <w:color w:val="000000"/>
          <w:szCs w:val="21"/>
        </w:rPr>
        <w:t>日内将货物交付需方。</w:t>
      </w:r>
    </w:p>
    <w:p>
      <w:pPr>
        <w:spacing w:line="280" w:lineRule="exact"/>
        <w:rPr>
          <w:rFonts w:ascii="宋体" w:hAnsi="宋体"/>
          <w:color w:val="000000"/>
          <w:sz w:val="24"/>
        </w:rPr>
      </w:pPr>
      <w:r>
        <w:rPr>
          <w:rFonts w:hint="eastAsia" w:ascii="宋体" w:hAnsi="宋体"/>
          <w:b/>
          <w:color w:val="000000"/>
          <w:szCs w:val="21"/>
        </w:rPr>
        <w:t>七、交付方式：</w:t>
      </w:r>
      <w:r>
        <w:rPr>
          <w:rFonts w:hint="eastAsia" w:ascii="宋体" w:hAnsi="宋体"/>
          <w:color w:val="000000"/>
          <w:szCs w:val="21"/>
        </w:rPr>
        <w:t>双方商定按下列第</w:t>
      </w:r>
      <w:r>
        <w:rPr>
          <w:rFonts w:hint="eastAsia" w:ascii="宋体" w:hAnsi="宋体"/>
          <w:color w:val="000000"/>
          <w:szCs w:val="21"/>
          <w:u w:val="single"/>
        </w:rPr>
        <w:t xml:space="preserve">   2  </w:t>
      </w:r>
      <w:r>
        <w:rPr>
          <w:rFonts w:hint="eastAsia" w:ascii="宋体" w:hAnsi="宋体"/>
          <w:color w:val="000000"/>
          <w:szCs w:val="21"/>
        </w:rPr>
        <w:t>款执行。</w:t>
      </w:r>
      <w:r>
        <w:rPr>
          <w:rFonts w:ascii="宋体" w:hAnsi="宋体"/>
          <w:color w:val="000000"/>
          <w:sz w:val="24"/>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1、需方自提，自提所需的所有费用由需方自理，提货地点为</w:t>
      </w:r>
      <w:r>
        <w:rPr>
          <w:rFonts w:hint="eastAsia" w:ascii="宋体" w:hAnsi="宋体"/>
          <w:color w:val="000000"/>
          <w:sz w:val="18"/>
          <w:szCs w:val="18"/>
          <w:u w:val="single"/>
        </w:rPr>
        <w:t xml:space="preserve">    /      </w:t>
      </w:r>
      <w:r>
        <w:rPr>
          <w:rFonts w:hint="eastAsia" w:ascii="宋体" w:hAnsi="宋体"/>
          <w:color w:val="000000"/>
          <w:szCs w:val="21"/>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2、供方送货，运费、保险费由供方承担，到货地点为</w:t>
      </w:r>
      <w:r>
        <w:rPr>
          <w:rFonts w:hint="eastAsia" w:ascii="宋体" w:hAnsi="宋体"/>
          <w:color w:val="000000"/>
          <w:sz w:val="18"/>
          <w:szCs w:val="18"/>
          <w:u w:val="single"/>
        </w:rPr>
        <w:t>　</w:t>
      </w:r>
      <w:r>
        <w:rPr>
          <w:rFonts w:hint="eastAsia"/>
          <w:color w:val="000000"/>
          <w:szCs w:val="21"/>
          <w:u w:val="single"/>
        </w:rPr>
        <w:t>福建省漳州市古雷经济开发区</w:t>
      </w:r>
      <w:r>
        <w:rPr>
          <w:rFonts w:hint="eastAsia"/>
          <w:color w:val="000000"/>
          <w:szCs w:val="21"/>
          <w:u w:val="single"/>
          <w:lang w:val="en-US" w:eastAsia="zh-CN"/>
        </w:rPr>
        <w:t>翔鹭石化</w:t>
      </w:r>
      <w:r>
        <w:rPr>
          <w:rFonts w:hint="eastAsia" w:ascii="宋体" w:hAnsi="宋体"/>
          <w:b w:val="0"/>
          <w:bCs/>
          <w:color w:val="000000"/>
          <w:szCs w:val="21"/>
          <w:u w:val="single"/>
        </w:rPr>
        <w:t>（漳州）有限公司</w:t>
      </w:r>
      <w:r>
        <w:rPr>
          <w:rFonts w:hint="eastAsia"/>
          <w:color w:val="000000"/>
          <w:szCs w:val="21"/>
          <w:u w:val="single"/>
        </w:rPr>
        <w:t>（需方指定仓库）</w:t>
      </w:r>
      <w:r>
        <w:rPr>
          <w:rFonts w:hint="eastAsia" w:ascii="宋体" w:hAnsi="宋体"/>
          <w:color w:val="000000"/>
          <w:sz w:val="18"/>
          <w:szCs w:val="18"/>
          <w:u w:val="single"/>
        </w:rPr>
        <w:t>　</w:t>
      </w:r>
      <w:r>
        <w:rPr>
          <w:rFonts w:hint="eastAsia" w:ascii="宋体" w:hAnsi="宋体"/>
          <w:color w:val="000000"/>
          <w:szCs w:val="21"/>
        </w:rPr>
        <w:t>；</w:t>
      </w:r>
    </w:p>
    <w:p>
      <w:pPr>
        <w:spacing w:line="280" w:lineRule="exact"/>
        <w:ind w:firstLine="420" w:firstLineChars="200"/>
        <w:rPr>
          <w:rFonts w:ascii="宋体" w:hAnsi="宋体"/>
          <w:color w:val="000000"/>
          <w:szCs w:val="21"/>
        </w:rPr>
      </w:pPr>
      <w:r>
        <w:rPr>
          <w:rFonts w:hint="eastAsia" w:ascii="宋体" w:hAnsi="宋体"/>
          <w:color w:val="000000"/>
          <w:szCs w:val="21"/>
        </w:rPr>
        <w:t>3、供方代办托运，运费、保险费由供方承担，由供方与承运人据实结算，到货地点为</w:t>
      </w:r>
      <w:r>
        <w:rPr>
          <w:rFonts w:hint="eastAsia" w:ascii="宋体" w:hAnsi="宋体"/>
          <w:color w:val="000000"/>
          <w:sz w:val="18"/>
          <w:szCs w:val="18"/>
          <w:u w:val="single"/>
        </w:rPr>
        <w:t>　/　</w:t>
      </w:r>
      <w:r>
        <w:rPr>
          <w:rFonts w:hint="eastAsia" w:ascii="宋体" w:hAnsi="宋体"/>
          <w:color w:val="000000"/>
          <w:szCs w:val="21"/>
        </w:rPr>
        <w:t>。</w:t>
      </w:r>
    </w:p>
    <w:p>
      <w:pPr>
        <w:spacing w:line="280" w:lineRule="exact"/>
        <w:rPr>
          <w:rFonts w:ascii="宋体" w:hAnsi="宋体"/>
          <w:color w:val="000000"/>
          <w:szCs w:val="21"/>
        </w:rPr>
      </w:pPr>
      <w:r>
        <w:rPr>
          <w:rFonts w:hint="eastAsia" w:ascii="宋体" w:hAnsi="宋体"/>
          <w:b/>
          <w:bCs/>
          <w:color w:val="000000"/>
          <w:szCs w:val="21"/>
        </w:rPr>
        <w:t>八、</w:t>
      </w: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szCs w:val="21"/>
          <w:u w:val="single"/>
        </w:rPr>
        <w:t xml:space="preserve">肆 </w:t>
      </w:r>
      <w:r>
        <w:rPr>
          <w:rFonts w:hint="eastAsia" w:ascii="宋体" w:hAnsi="宋体"/>
          <w:color w:val="000000"/>
          <w:szCs w:val="21"/>
          <w:u w:val="single"/>
        </w:rPr>
        <w:t xml:space="preserve">  </w:t>
      </w:r>
      <w:r>
        <w:rPr>
          <w:rFonts w:hint="eastAsia" w:ascii="宋体" w:hAnsi="宋体"/>
          <w:color w:val="000000"/>
          <w:szCs w:val="21"/>
        </w:rPr>
        <w:t>份， 供方执</w:t>
      </w:r>
      <w:r>
        <w:rPr>
          <w:rFonts w:hint="eastAsia" w:ascii="宋体" w:hAnsi="宋体"/>
          <w:color w:val="000000"/>
          <w:szCs w:val="21"/>
          <w:u w:val="single"/>
        </w:rPr>
        <w:t xml:space="preserve">  </w:t>
      </w:r>
      <w:r>
        <w:rPr>
          <w:rFonts w:hint="eastAsia" w:ascii="宋体" w:hAnsi="宋体"/>
          <w:szCs w:val="21"/>
          <w:u w:val="single"/>
        </w:rPr>
        <w:t>壹</w:t>
      </w:r>
      <w:r>
        <w:rPr>
          <w:rFonts w:hint="eastAsia" w:ascii="宋体" w:hAnsi="宋体"/>
          <w:color w:val="000000"/>
          <w:szCs w:val="21"/>
          <w:u w:val="single"/>
        </w:rPr>
        <w:t xml:space="preserve">  </w:t>
      </w:r>
      <w:r>
        <w:rPr>
          <w:rFonts w:hint="eastAsia" w:ascii="宋体" w:hAnsi="宋体"/>
          <w:color w:val="000000"/>
          <w:szCs w:val="21"/>
        </w:rPr>
        <w:t>份，需方执</w:t>
      </w:r>
      <w:r>
        <w:rPr>
          <w:rFonts w:hint="eastAsia" w:ascii="宋体" w:hAnsi="宋体"/>
          <w:color w:val="000000"/>
          <w:szCs w:val="21"/>
          <w:u w:val="single"/>
        </w:rPr>
        <w:t xml:space="preserve">  </w:t>
      </w:r>
      <w:r>
        <w:rPr>
          <w:rFonts w:hint="eastAsia" w:ascii="宋体" w:hAnsi="宋体"/>
          <w:szCs w:val="21"/>
          <w:u w:val="single"/>
        </w:rPr>
        <w:t>叁</w:t>
      </w:r>
      <w:r>
        <w:rPr>
          <w:rFonts w:hint="eastAsia" w:ascii="宋体" w:hAnsi="宋体"/>
          <w:color w:val="000000"/>
          <w:szCs w:val="21"/>
          <w:u w:val="single"/>
        </w:rPr>
        <w:t xml:space="preserve">  </w:t>
      </w:r>
      <w:r>
        <w:rPr>
          <w:rFonts w:hint="eastAsia" w:ascii="宋体" w:hAnsi="宋体"/>
          <w:color w:val="000000"/>
          <w:szCs w:val="21"/>
        </w:rPr>
        <w:t>份。</w:t>
      </w:r>
    </w:p>
    <w:p>
      <w:pPr>
        <w:spacing w:line="280" w:lineRule="exact"/>
        <w:rPr>
          <w:rFonts w:ascii="宋体" w:hAnsi="宋体"/>
          <w:color w:val="000000"/>
          <w:szCs w:val="21"/>
        </w:rPr>
      </w:pPr>
    </w:p>
    <w:tbl>
      <w:tblPr>
        <w:tblStyle w:val="6"/>
        <w:tblW w:w="11014" w:type="dxa"/>
        <w:jc w:val="center"/>
        <w:tblInd w:w="0" w:type="dxa"/>
        <w:tblLayout w:type="fixed"/>
        <w:tblCellMar>
          <w:top w:w="0" w:type="dxa"/>
          <w:left w:w="108" w:type="dxa"/>
          <w:bottom w:w="0" w:type="dxa"/>
          <w:right w:w="108" w:type="dxa"/>
        </w:tblCellMar>
      </w:tblPr>
      <w:tblGrid>
        <w:gridCol w:w="865"/>
        <w:gridCol w:w="212"/>
        <w:gridCol w:w="220"/>
        <w:gridCol w:w="216"/>
        <w:gridCol w:w="1296"/>
        <w:gridCol w:w="2700"/>
        <w:gridCol w:w="866"/>
        <w:gridCol w:w="216"/>
        <w:gridCol w:w="214"/>
        <w:gridCol w:w="119"/>
        <w:gridCol w:w="1395"/>
        <w:gridCol w:w="2695"/>
      </w:tblGrid>
      <w:tr>
        <w:tblPrEx>
          <w:tblLayout w:type="fixed"/>
        </w:tblPrEx>
        <w:trPr>
          <w:jc w:val="center"/>
        </w:trPr>
        <w:tc>
          <w:tcPr>
            <w:tcW w:w="1513" w:type="dxa"/>
            <w:gridSpan w:val="4"/>
            <w:shd w:val="clear" w:color="auto" w:fill="auto"/>
            <w:vAlign w:val="center"/>
          </w:tcPr>
          <w:p>
            <w:pPr>
              <w:spacing w:line="280" w:lineRule="exact"/>
              <w:rPr>
                <w:rFonts w:hint="eastAsia" w:ascii="宋体" w:hAnsi="宋体" w:eastAsia="宋体" w:cs="宋体"/>
                <w:b/>
                <w:color w:val="000000"/>
                <w:sz w:val="21"/>
                <w:szCs w:val="21"/>
              </w:rPr>
            </w:pPr>
            <w:r>
              <w:rPr>
                <w:rFonts w:hint="eastAsia" w:ascii="宋体" w:hAnsi="宋体" w:cs="宋体"/>
                <w:b/>
                <w:bCs/>
                <w:color w:val="000000"/>
              </w:rPr>
              <w:t>供方（章）</w:t>
            </w:r>
            <w:r>
              <w:rPr>
                <w:rFonts w:ascii="宋体" w:hAnsi="宋体" w:cs="宋体"/>
                <w:b/>
                <w:bCs/>
                <w:color w:val="000000"/>
              </w:rPr>
              <w:t>:</w:t>
            </w:r>
          </w:p>
        </w:tc>
        <w:tc>
          <w:tcPr>
            <w:tcW w:w="3996" w:type="dxa"/>
            <w:gridSpan w:val="2"/>
            <w:shd w:val="clear" w:color="auto" w:fill="auto"/>
            <w:vAlign w:val="center"/>
          </w:tcPr>
          <w:p>
            <w:pPr>
              <w:spacing w:line="280" w:lineRule="exact"/>
              <w:rPr>
                <w:rFonts w:hint="eastAsia" w:ascii="宋体" w:hAnsi="宋体" w:eastAsia="宋体" w:cs="宋体"/>
                <w:b/>
                <w:color w:val="000000"/>
                <w:sz w:val="21"/>
                <w:szCs w:val="21"/>
              </w:rPr>
            </w:pPr>
            <w:r>
              <w:rPr>
                <w:rFonts w:hint="eastAsia" w:ascii="Verdana" w:hAnsi="Verdana"/>
                <w:b/>
                <w:bCs/>
                <w:color w:val="000000"/>
                <w:szCs w:val="21"/>
                <w:shd w:val="clear" w:color="auto" w:fill="FFFFFF"/>
                <w:lang w:val="en-US" w:eastAsia="zh-CN"/>
              </w:rPr>
              <w:t>***有限公司</w:t>
            </w:r>
          </w:p>
        </w:tc>
        <w:tc>
          <w:tcPr>
            <w:tcW w:w="1415" w:type="dxa"/>
            <w:gridSpan w:val="4"/>
            <w:shd w:val="clear" w:color="auto" w:fill="auto"/>
            <w:vAlign w:val="center"/>
          </w:tcPr>
          <w:p>
            <w:pPr>
              <w:spacing w:line="280" w:lineRule="exact"/>
              <w:rPr>
                <w:rFonts w:hint="eastAsia" w:ascii="宋体" w:hAnsi="宋体" w:eastAsia="宋体" w:cs="宋体"/>
                <w:b/>
                <w:color w:val="000000"/>
                <w:sz w:val="21"/>
                <w:szCs w:val="21"/>
              </w:rPr>
            </w:pPr>
            <w:r>
              <w:rPr>
                <w:rFonts w:hint="eastAsia" w:ascii="宋体" w:hAnsi="宋体" w:eastAsia="宋体" w:cs="宋体"/>
                <w:b/>
                <w:color w:val="000000"/>
                <w:sz w:val="21"/>
                <w:szCs w:val="21"/>
              </w:rPr>
              <w:t>需方（章）:</w:t>
            </w:r>
          </w:p>
        </w:tc>
        <w:tc>
          <w:tcPr>
            <w:tcW w:w="4090" w:type="dxa"/>
            <w:gridSpan w:val="2"/>
            <w:shd w:val="clear" w:color="auto" w:fill="auto"/>
            <w:vAlign w:val="center"/>
          </w:tcPr>
          <w:p>
            <w:pPr>
              <w:spacing w:line="280" w:lineRule="exact"/>
              <w:rPr>
                <w:rFonts w:hint="eastAsia" w:ascii="宋体" w:hAnsi="宋体" w:eastAsia="宋体" w:cs="宋体"/>
                <w:b/>
                <w:color w:val="000000"/>
                <w:sz w:val="21"/>
                <w:szCs w:val="21"/>
              </w:rPr>
            </w:pPr>
            <w:r>
              <w:rPr>
                <w:rFonts w:hint="eastAsia" w:ascii="宋体" w:hAnsi="宋体"/>
                <w:b/>
                <w:color w:val="000000"/>
                <w:szCs w:val="21"/>
                <w:lang w:val="en-US" w:eastAsia="zh-CN"/>
              </w:rPr>
              <w:t>翔鹭石化</w:t>
            </w:r>
            <w:r>
              <w:rPr>
                <w:rFonts w:hint="eastAsia" w:ascii="宋体" w:hAnsi="宋体"/>
                <w:b/>
                <w:color w:val="000000"/>
                <w:szCs w:val="21"/>
              </w:rPr>
              <w:t>（漳州）有限公司</w:t>
            </w:r>
          </w:p>
        </w:tc>
      </w:tr>
      <w:tr>
        <w:tblPrEx>
          <w:tblLayout w:type="fixed"/>
          <w:tblCellMar>
            <w:top w:w="0" w:type="dxa"/>
            <w:left w:w="108" w:type="dxa"/>
            <w:bottom w:w="0" w:type="dxa"/>
            <w:right w:w="108" w:type="dxa"/>
          </w:tblCellMar>
        </w:tblPrEx>
        <w:trPr>
          <w:jc w:val="center"/>
        </w:trPr>
        <w:tc>
          <w:tcPr>
            <w:tcW w:w="1513" w:type="dxa"/>
            <w:gridSpan w:val="4"/>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olor w:val="000000"/>
              </w:rPr>
              <w:t>工商注册号：</w:t>
            </w:r>
          </w:p>
        </w:tc>
        <w:tc>
          <w:tcPr>
            <w:tcW w:w="3996" w:type="dxa"/>
            <w:gridSpan w:val="2"/>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ascii="宋体" w:hAnsi="宋体" w:cs="宋体"/>
                <w:color w:val="FF0000"/>
                <w:sz w:val="21"/>
                <w:szCs w:val="21"/>
                <w:lang w:val="en-US" w:eastAsia="zh-CN"/>
              </w:rPr>
              <w:t>资料填齐</w:t>
            </w:r>
          </w:p>
        </w:tc>
        <w:tc>
          <w:tcPr>
            <w:tcW w:w="1415" w:type="dxa"/>
            <w:gridSpan w:val="4"/>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工商注册号：</w:t>
            </w:r>
          </w:p>
        </w:tc>
        <w:tc>
          <w:tcPr>
            <w:tcW w:w="4090" w:type="dxa"/>
            <w:gridSpan w:val="2"/>
            <w:shd w:val="clear" w:color="auto" w:fill="auto"/>
            <w:vAlign w:val="center"/>
          </w:tcPr>
          <w:p>
            <w:pPr>
              <w:spacing w:line="280" w:lineRule="exact"/>
              <w:rPr>
                <w:rFonts w:hint="eastAsia" w:ascii="宋体" w:hAnsi="宋体" w:eastAsia="宋体" w:cs="宋体"/>
                <w:color w:val="000000"/>
                <w:sz w:val="21"/>
                <w:szCs w:val="21"/>
              </w:rPr>
            </w:pPr>
            <w:r>
              <w:rPr>
                <w:rFonts w:hint="default" w:eastAsia="宋体"/>
                <w:b w:val="0"/>
                <w:bCs/>
                <w:color w:val="000000"/>
                <w:szCs w:val="21"/>
                <w:lang w:val="en-US" w:eastAsia="zh-CN"/>
              </w:rPr>
              <w:t>913506006765392255</w:t>
            </w:r>
          </w:p>
        </w:tc>
      </w:tr>
      <w:tr>
        <w:tblPrEx>
          <w:tblLayout w:type="fixed"/>
          <w:tblCellMar>
            <w:top w:w="0" w:type="dxa"/>
            <w:left w:w="108" w:type="dxa"/>
            <w:bottom w:w="0" w:type="dxa"/>
            <w:right w:w="108" w:type="dxa"/>
          </w:tblCellMar>
        </w:tblPrEx>
        <w:trPr>
          <w:jc w:val="center"/>
        </w:trPr>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地址：</w:t>
            </w:r>
          </w:p>
        </w:tc>
        <w:tc>
          <w:tcPr>
            <w:tcW w:w="4644"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地址：</w:t>
            </w:r>
          </w:p>
        </w:tc>
        <w:tc>
          <w:tcPr>
            <w:tcW w:w="4639"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b w:val="0"/>
                <w:bCs/>
                <w:color w:val="000000"/>
                <w:sz w:val="18"/>
                <w:szCs w:val="18"/>
                <w:lang w:val="en-US" w:eastAsia="zh-CN"/>
              </w:rPr>
              <w:t>漳州市古雷港经济开发区腾龙路86号</w:t>
            </w:r>
          </w:p>
        </w:tc>
      </w:tr>
      <w:tr>
        <w:tblPrEx>
          <w:tblLayout w:type="fixed"/>
          <w:tblCellMar>
            <w:top w:w="0" w:type="dxa"/>
            <w:left w:w="108" w:type="dxa"/>
            <w:bottom w:w="0" w:type="dxa"/>
            <w:right w:w="108" w:type="dxa"/>
          </w:tblCellMar>
        </w:tblPrEx>
        <w:trPr>
          <w:jc w:val="center"/>
        </w:trPr>
        <w:tc>
          <w:tcPr>
            <w:tcW w:w="1297"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邮政编码：</w:t>
            </w:r>
          </w:p>
        </w:tc>
        <w:tc>
          <w:tcPr>
            <w:tcW w:w="4212" w:type="dxa"/>
            <w:gridSpan w:val="3"/>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1296"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邮政编码：</w:t>
            </w:r>
          </w:p>
        </w:tc>
        <w:tc>
          <w:tcPr>
            <w:tcW w:w="4209" w:type="dxa"/>
            <w:gridSpan w:val="3"/>
            <w:shd w:val="clear" w:color="auto" w:fill="auto"/>
            <w:vAlign w:val="center"/>
          </w:tcPr>
          <w:p>
            <w:pPr>
              <w:spacing w:line="280" w:lineRule="exact"/>
              <w:rPr>
                <w:rFonts w:hint="eastAsia" w:ascii="宋体" w:hAnsi="宋体" w:eastAsia="宋体" w:cs="宋体"/>
                <w:color w:val="000000"/>
                <w:sz w:val="21"/>
                <w:szCs w:val="21"/>
                <w:lang w:val="en-US" w:eastAsia="zh-CN"/>
              </w:rPr>
            </w:pPr>
          </w:p>
        </w:tc>
      </w:tr>
      <w:tr>
        <w:tblPrEx>
          <w:tblLayout w:type="fixed"/>
          <w:tblCellMar>
            <w:top w:w="0" w:type="dxa"/>
            <w:left w:w="108" w:type="dxa"/>
            <w:bottom w:w="0" w:type="dxa"/>
            <w:right w:w="108" w:type="dxa"/>
          </w:tblCellMar>
        </w:tblPrEx>
        <w:trPr>
          <w:jc w:val="center"/>
        </w:trPr>
        <w:tc>
          <w:tcPr>
            <w:tcW w:w="2809" w:type="dxa"/>
            <w:gridSpan w:val="5"/>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法定代表人或委托代理人：</w:t>
            </w:r>
          </w:p>
        </w:tc>
        <w:tc>
          <w:tcPr>
            <w:tcW w:w="2700" w:type="dxa"/>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ascii="宋体" w:hAnsi="宋体" w:cs="宋体"/>
                <w:color w:val="000000"/>
              </w:rPr>
              <w:t xml:space="preserve"> </w:t>
            </w:r>
          </w:p>
        </w:tc>
        <w:tc>
          <w:tcPr>
            <w:tcW w:w="2810" w:type="dxa"/>
            <w:gridSpan w:val="5"/>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法定代表人或委托代理人：</w:t>
            </w:r>
          </w:p>
        </w:tc>
        <w:tc>
          <w:tcPr>
            <w:tcW w:w="2695" w:type="dxa"/>
            <w:shd w:val="clear" w:color="auto" w:fill="auto"/>
            <w:vAlign w:val="center"/>
          </w:tcPr>
          <w:p>
            <w:pPr>
              <w:spacing w:line="280" w:lineRule="exact"/>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1077" w:type="dxa"/>
            <w:gridSpan w:val="2"/>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经办人：</w:t>
            </w:r>
          </w:p>
        </w:tc>
        <w:tc>
          <w:tcPr>
            <w:tcW w:w="4432" w:type="dxa"/>
            <w:gridSpan w:val="4"/>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1082" w:type="dxa"/>
            <w:gridSpan w:val="2"/>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经办人：</w:t>
            </w:r>
          </w:p>
        </w:tc>
        <w:tc>
          <w:tcPr>
            <w:tcW w:w="4423" w:type="dxa"/>
            <w:gridSpan w:val="4"/>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许智敏</w:t>
            </w:r>
          </w:p>
        </w:tc>
      </w:tr>
      <w:tr>
        <w:tblPrEx>
          <w:tblLayout w:type="fixed"/>
          <w:tblCellMar>
            <w:top w:w="0" w:type="dxa"/>
            <w:left w:w="108" w:type="dxa"/>
            <w:bottom w:w="0" w:type="dxa"/>
            <w:right w:w="108" w:type="dxa"/>
          </w:tblCellMar>
        </w:tblPrEx>
        <w:trPr>
          <w:trHeight w:val="111" w:hRule="atLeast"/>
          <w:jc w:val="center"/>
        </w:trPr>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电话：</w:t>
            </w:r>
          </w:p>
        </w:tc>
        <w:tc>
          <w:tcPr>
            <w:tcW w:w="4644"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ascii="宋体" w:hAnsi="宋体" w:cs="宋体"/>
                <w:color w:val="000000"/>
              </w:rPr>
              <w:t xml:space="preserve">  </w:t>
            </w: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电话：</w:t>
            </w:r>
          </w:p>
        </w:tc>
        <w:tc>
          <w:tcPr>
            <w:tcW w:w="4639"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13655990097</w:t>
            </w:r>
          </w:p>
        </w:tc>
      </w:tr>
      <w:tr>
        <w:tblPrEx>
          <w:tblLayout w:type="fixed"/>
          <w:tblCellMar>
            <w:top w:w="0" w:type="dxa"/>
            <w:left w:w="108" w:type="dxa"/>
            <w:bottom w:w="0" w:type="dxa"/>
            <w:right w:w="108" w:type="dxa"/>
          </w:tblCellMar>
        </w:tblPrEx>
        <w:trPr>
          <w:jc w:val="center"/>
        </w:trPr>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传真：</w:t>
            </w:r>
          </w:p>
        </w:tc>
        <w:tc>
          <w:tcPr>
            <w:tcW w:w="4644" w:type="dxa"/>
            <w:gridSpan w:val="5"/>
            <w:shd w:val="clear" w:color="auto" w:fill="auto"/>
            <w:vAlign w:val="center"/>
          </w:tcPr>
          <w:p>
            <w:pPr>
              <w:spacing w:line="280" w:lineRule="exact"/>
              <w:rPr>
                <w:rFonts w:hint="eastAsia" w:ascii="宋体" w:hAnsi="宋体" w:eastAsia="宋体" w:cs="宋体"/>
                <w:color w:val="000000"/>
                <w:sz w:val="21"/>
                <w:szCs w:val="21"/>
                <w:lang w:val="en-US" w:eastAsia="zh-CN"/>
              </w:rPr>
            </w:pPr>
            <w:r>
              <w:rPr>
                <w:rFonts w:hint="eastAsia" w:ascii="宋体" w:hAnsi="宋体" w:cs="宋体"/>
                <w:color w:val="000000"/>
              </w:rPr>
              <w:t xml:space="preserve">  </w:t>
            </w: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传真：</w:t>
            </w:r>
          </w:p>
        </w:tc>
        <w:tc>
          <w:tcPr>
            <w:tcW w:w="4639" w:type="dxa"/>
            <w:gridSpan w:val="5"/>
            <w:shd w:val="clear" w:color="auto" w:fill="auto"/>
            <w:vAlign w:val="center"/>
          </w:tcPr>
          <w:p>
            <w:pPr>
              <w:spacing w:line="280" w:lineRule="exact"/>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1297"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电子邮箱：</w:t>
            </w:r>
          </w:p>
        </w:tc>
        <w:tc>
          <w:tcPr>
            <w:tcW w:w="4212" w:type="dxa"/>
            <w:gridSpan w:val="3"/>
            <w:shd w:val="clear" w:color="auto" w:fill="auto"/>
            <w:vAlign w:val="center"/>
          </w:tcPr>
          <w:p>
            <w:pPr>
              <w:spacing w:line="280" w:lineRule="exact"/>
              <w:rPr>
                <w:rFonts w:hint="eastAsia" w:ascii="宋体" w:hAnsi="宋体" w:eastAsia="宋体" w:cs="宋体"/>
                <w:color w:val="000000"/>
                <w:sz w:val="21"/>
                <w:szCs w:val="21"/>
              </w:rPr>
            </w:pPr>
          </w:p>
        </w:tc>
        <w:tc>
          <w:tcPr>
            <w:tcW w:w="1296"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电子邮箱：</w:t>
            </w:r>
          </w:p>
        </w:tc>
        <w:tc>
          <w:tcPr>
            <w:tcW w:w="4209"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b w:val="0"/>
                <w:bCs/>
                <w:kern w:val="0"/>
                <w:sz w:val="22"/>
                <w:szCs w:val="22"/>
                <w:lang w:val="en-US" w:eastAsia="zh-CN"/>
              </w:rPr>
              <w:t>wz</w:t>
            </w:r>
            <w:r>
              <w:rPr>
                <w:rFonts w:hint="eastAsia"/>
                <w:b w:val="0"/>
                <w:bCs/>
                <w:kern w:val="0"/>
                <w:sz w:val="22"/>
                <w:szCs w:val="22"/>
              </w:rPr>
              <w:t>cgb</w:t>
            </w:r>
            <w:r>
              <w:rPr>
                <w:b w:val="0"/>
                <w:bCs/>
                <w:kern w:val="0"/>
                <w:sz w:val="22"/>
                <w:szCs w:val="22"/>
              </w:rPr>
              <w:t xml:space="preserve">@fjpec.com.cn </w:t>
            </w:r>
          </w:p>
        </w:tc>
      </w:tr>
      <w:tr>
        <w:tblPrEx>
          <w:tblLayout w:type="fixed"/>
          <w:tblCellMar>
            <w:top w:w="0" w:type="dxa"/>
            <w:left w:w="108" w:type="dxa"/>
            <w:bottom w:w="0" w:type="dxa"/>
            <w:right w:w="108" w:type="dxa"/>
          </w:tblCellMar>
        </w:tblPrEx>
        <w:trPr>
          <w:jc w:val="center"/>
        </w:trPr>
        <w:tc>
          <w:tcPr>
            <w:tcW w:w="1297"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开户银行：</w:t>
            </w:r>
          </w:p>
        </w:tc>
        <w:tc>
          <w:tcPr>
            <w:tcW w:w="4212" w:type="dxa"/>
            <w:gridSpan w:val="3"/>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1296"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开户银行：</w:t>
            </w:r>
          </w:p>
        </w:tc>
        <w:tc>
          <w:tcPr>
            <w:tcW w:w="4209" w:type="dxa"/>
            <w:gridSpan w:val="3"/>
            <w:shd w:val="clear" w:color="auto" w:fill="auto"/>
            <w:vAlign w:val="center"/>
          </w:tcPr>
          <w:p>
            <w:pPr>
              <w:spacing w:line="280" w:lineRule="exact"/>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帐号：</w:t>
            </w:r>
          </w:p>
        </w:tc>
        <w:tc>
          <w:tcPr>
            <w:tcW w:w="4644"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帐号：</w:t>
            </w:r>
          </w:p>
        </w:tc>
        <w:tc>
          <w:tcPr>
            <w:tcW w:w="4639" w:type="dxa"/>
            <w:gridSpan w:val="5"/>
            <w:shd w:val="clear" w:color="auto" w:fill="auto"/>
            <w:vAlign w:val="center"/>
          </w:tcPr>
          <w:p>
            <w:pPr>
              <w:spacing w:line="280" w:lineRule="exact"/>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税号：</w:t>
            </w:r>
          </w:p>
        </w:tc>
        <w:tc>
          <w:tcPr>
            <w:tcW w:w="4644" w:type="dxa"/>
            <w:gridSpan w:val="5"/>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 xml:space="preserve"> </w:t>
            </w: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税号：</w:t>
            </w:r>
          </w:p>
        </w:tc>
        <w:tc>
          <w:tcPr>
            <w:tcW w:w="4639" w:type="dxa"/>
            <w:gridSpan w:val="5"/>
            <w:shd w:val="clear" w:color="auto" w:fill="auto"/>
            <w:vAlign w:val="center"/>
          </w:tcPr>
          <w:p>
            <w:pPr>
              <w:spacing w:line="280" w:lineRule="exact"/>
              <w:rPr>
                <w:rFonts w:hint="eastAsia" w:ascii="宋体" w:hAnsi="宋体" w:eastAsia="宋体" w:cs="宋体"/>
                <w:color w:val="000000"/>
                <w:sz w:val="21"/>
                <w:szCs w:val="21"/>
              </w:rPr>
            </w:pPr>
            <w:r>
              <w:rPr>
                <w:rFonts w:hint="default" w:eastAsia="宋体"/>
                <w:b w:val="0"/>
                <w:bCs/>
                <w:color w:val="000000"/>
                <w:szCs w:val="21"/>
                <w:lang w:val="en-US" w:eastAsia="zh-CN"/>
              </w:rPr>
              <w:t>913506006765392255</w:t>
            </w:r>
          </w:p>
        </w:tc>
      </w:tr>
    </w:tbl>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beforeLines="0" w:afterLines="0" w:line="300" w:lineRule="exact"/>
        <w:jc w:val="center"/>
        <w:rPr>
          <w:rFonts w:hint="eastAsia" w:ascii="宋体" w:hAnsi="宋体"/>
          <w:b/>
          <w:color w:val="000000"/>
          <w:sz w:val="21"/>
          <w:szCs w:val="21"/>
          <w:u w:val="single"/>
        </w:rPr>
      </w:pPr>
    </w:p>
    <w:p>
      <w:pPr>
        <w:spacing w:beforeLines="0" w:afterLines="0" w:line="300" w:lineRule="exact"/>
        <w:jc w:val="center"/>
        <w:rPr>
          <w:rFonts w:hint="eastAsia" w:ascii="宋体" w:hAnsi="宋体"/>
          <w:b/>
          <w:color w:val="000000"/>
          <w:sz w:val="21"/>
          <w:szCs w:val="21"/>
          <w:u w:val="single"/>
        </w:rPr>
      </w:pPr>
    </w:p>
    <w:p>
      <w:pPr>
        <w:spacing w:beforeLines="0" w:afterLines="0" w:line="300" w:lineRule="exact"/>
        <w:jc w:val="center"/>
        <w:rPr>
          <w:rFonts w:hint="eastAsia" w:ascii="宋体" w:hAnsi="宋体"/>
          <w:b/>
          <w:color w:val="000000"/>
          <w:sz w:val="21"/>
          <w:szCs w:val="21"/>
        </w:rPr>
      </w:pPr>
      <w:r>
        <w:rPr>
          <w:rFonts w:hint="eastAsia" w:ascii="宋体" w:hAnsi="宋体"/>
          <w:b/>
          <w:color w:val="000000"/>
          <w:sz w:val="21"/>
          <w:szCs w:val="21"/>
          <w:u w:val="single"/>
        </w:rPr>
        <w:t>第二部分  合同条款及规则</w:t>
      </w:r>
    </w:p>
    <w:p>
      <w:pPr>
        <w:spacing w:beforeLines="0" w:afterLines="0" w:line="300" w:lineRule="exact"/>
        <w:rPr>
          <w:rFonts w:hint="eastAsia" w:ascii="宋体" w:hAnsi="宋体"/>
          <w:color w:val="000000"/>
          <w:sz w:val="21"/>
          <w:szCs w:val="21"/>
        </w:rPr>
      </w:pPr>
      <w:r>
        <w:rPr>
          <w:rFonts w:hint="eastAsia" w:ascii="宋体" w:hAnsi="宋体"/>
          <w:b/>
          <w:color w:val="000000"/>
          <w:sz w:val="21"/>
          <w:szCs w:val="21"/>
        </w:rPr>
        <w:t>第一条　数量交接、误差标准及处理方式：</w:t>
      </w:r>
      <w:r>
        <w:rPr>
          <w:rFonts w:hint="eastAsia" w:ascii="宋体" w:hAnsi="宋体"/>
          <w:color w:val="000000"/>
          <w:sz w:val="21"/>
          <w:szCs w:val="21"/>
        </w:rPr>
        <w:t>双方商定按下列第</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2</w:t>
      </w:r>
      <w:r>
        <w:rPr>
          <w:rFonts w:hint="eastAsia" w:ascii="宋体" w:hAnsi="宋体"/>
          <w:color w:val="000000"/>
          <w:sz w:val="21"/>
          <w:szCs w:val="21"/>
          <w:u w:val="single"/>
        </w:rPr>
        <w:t xml:space="preserve">    </w:t>
      </w:r>
      <w:r>
        <w:rPr>
          <w:rFonts w:hint="eastAsia" w:ascii="宋体" w:hAnsi="宋体"/>
          <w:color w:val="000000"/>
          <w:sz w:val="21"/>
          <w:szCs w:val="21"/>
        </w:rPr>
        <w:t>款执行。</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以桶装、袋装方式包装的，按单位重量及包装数量作为结算依据。需方有权抽检或点包，如发现单位重量或包装数量不足，经供需双方确认后，应以需方实际接收重量及数量为准。</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以需方接收时的检验确认的重量作为数量结算标准。</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以供方发运地的过磅重量或流量计（体积或质量）作为结算标准，需方接收时过磅或流量计（如有）复核，误差率在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%以内的，由需方承担；误差率超过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%部分，由供方承担。</w:t>
      </w:r>
    </w:p>
    <w:p>
      <w:pPr>
        <w:spacing w:beforeLines="0" w:afterLines="0" w:line="300" w:lineRule="exact"/>
        <w:ind w:firstLine="420" w:firstLineChars="200"/>
        <w:rPr>
          <w:rFonts w:hint="eastAsia" w:ascii="宋体" w:hAnsi="宋体"/>
          <w:color w:val="000000"/>
          <w:sz w:val="21"/>
          <w:szCs w:val="21"/>
          <w:u w:val="single"/>
        </w:rPr>
      </w:pPr>
      <w:r>
        <w:rPr>
          <w:rFonts w:hint="eastAsia" w:ascii="宋体" w:hAnsi="宋体"/>
          <w:color w:val="000000"/>
          <w:sz w:val="21"/>
          <w:szCs w:val="21"/>
        </w:rPr>
        <w:t>4</w:t>
      </w:r>
      <w:r>
        <w:rPr>
          <w:rFonts w:hint="eastAsia" w:ascii="宋体" w:hAnsi="宋体"/>
          <w:color w:val="000000"/>
          <w:sz w:val="21"/>
          <w:szCs w:val="21"/>
          <w:lang w:val="en-US" w:eastAsia="zh-CN"/>
        </w:rPr>
        <w:t>.</w:t>
      </w:r>
      <w:r>
        <w:rPr>
          <w:rFonts w:hint="eastAsia" w:ascii="宋体" w:hAnsi="宋体"/>
          <w:color w:val="000000"/>
          <w:sz w:val="21"/>
          <w:szCs w:val="21"/>
        </w:rPr>
        <w:t>以供方发运地具有资质的第三方检验机构出具的数量证书的数量作为结算标准，需方接收时有权请具有资质的第三方检验机构进行复检，误差率在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%以内的，由需方承担；误差率超过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%部分，由供方承担。</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第二条 产品包装标准</w:t>
      </w:r>
    </w:p>
    <w:p>
      <w:pPr>
        <w:spacing w:beforeLines="0" w:afterLines="0" w:line="300" w:lineRule="exact"/>
        <w:ind w:firstLine="420" w:firstLineChars="200"/>
        <w:rPr>
          <w:rFonts w:hint="eastAsia" w:ascii="宋体" w:hAnsi="宋体"/>
          <w:b/>
          <w:color w:val="000000"/>
          <w:sz w:val="21"/>
          <w:szCs w:val="21"/>
        </w:rPr>
      </w:pPr>
      <w:r>
        <w:rPr>
          <w:rFonts w:hint="eastAsia" w:ascii="宋体" w:hAnsi="宋体"/>
          <w:color w:val="000000"/>
          <w:sz w:val="21"/>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第三条 对产品质量负责的条件及期限</w:t>
      </w:r>
    </w:p>
    <w:p>
      <w:pPr>
        <w:spacing w:beforeLines="0" w:afterLines="0" w:line="300" w:lineRule="exact"/>
        <w:ind w:firstLine="420" w:firstLineChars="200"/>
        <w:rPr>
          <w:rFonts w:ascii="宋体" w:hAnsi="宋体" w:cs="Arial"/>
          <w:color w:val="000000"/>
          <w:sz w:val="21"/>
          <w:szCs w:val="21"/>
        </w:rPr>
      </w:pPr>
      <w:r>
        <w:rPr>
          <w:rFonts w:hint="eastAsia" w:ascii="宋体" w:hAnsi="宋体" w:cs="Arial"/>
          <w:color w:val="000000"/>
          <w:sz w:val="21"/>
          <w:szCs w:val="21"/>
        </w:rPr>
        <w:t>1</w:t>
      </w:r>
      <w:r>
        <w:rPr>
          <w:rFonts w:hint="eastAsia" w:ascii="宋体" w:hAnsi="宋体" w:cs="Arial"/>
          <w:color w:val="000000"/>
          <w:sz w:val="21"/>
          <w:szCs w:val="21"/>
          <w:lang w:val="en-US" w:eastAsia="zh-CN"/>
        </w:rPr>
        <w:t>.</w:t>
      </w:r>
      <w:r>
        <w:rPr>
          <w:rFonts w:hint="eastAsia" w:ascii="宋体" w:hAnsi="宋体" w:cs="Arial"/>
          <w:color w:val="000000"/>
          <w:sz w:val="21"/>
          <w:szCs w:val="21"/>
        </w:rPr>
        <w:t>供</w:t>
      </w:r>
      <w:r>
        <w:rPr>
          <w:rFonts w:ascii="宋体" w:hAnsi="宋体" w:cs="Arial"/>
          <w:color w:val="000000"/>
          <w:sz w:val="21"/>
          <w:szCs w:val="21"/>
        </w:rPr>
        <w:t>方产品均</w:t>
      </w:r>
      <w:r>
        <w:rPr>
          <w:rFonts w:hint="eastAsia" w:ascii="宋体" w:hAnsi="宋体" w:cs="Arial"/>
          <w:color w:val="000000"/>
          <w:sz w:val="21"/>
          <w:szCs w:val="21"/>
        </w:rPr>
        <w:t>需</w:t>
      </w:r>
      <w:r>
        <w:rPr>
          <w:rFonts w:ascii="宋体" w:hAnsi="宋体" w:cs="Arial"/>
          <w:color w:val="000000"/>
          <w:sz w:val="21"/>
          <w:szCs w:val="21"/>
        </w:rPr>
        <w:t>附质检报告单</w:t>
      </w:r>
      <w:r>
        <w:rPr>
          <w:rFonts w:hint="eastAsia" w:ascii="宋体" w:hAnsi="宋体" w:cs="Arial"/>
          <w:color w:val="000000"/>
          <w:sz w:val="21"/>
          <w:szCs w:val="21"/>
        </w:rPr>
        <w:t>或</w:t>
      </w:r>
      <w:r>
        <w:rPr>
          <w:rFonts w:ascii="宋体" w:hAnsi="宋体" w:cs="Arial"/>
          <w:color w:val="000000"/>
          <w:sz w:val="21"/>
          <w:szCs w:val="21"/>
        </w:rPr>
        <w:t>质量保证书</w:t>
      </w:r>
      <w:r>
        <w:rPr>
          <w:rFonts w:hint="eastAsia" w:ascii="宋体" w:hAnsi="宋体" w:cs="Arial"/>
          <w:color w:val="000000"/>
          <w:sz w:val="21"/>
          <w:szCs w:val="21"/>
        </w:rPr>
        <w:t>。</w:t>
      </w:r>
      <w:r>
        <w:rPr>
          <w:rFonts w:ascii="宋体" w:hAnsi="宋体" w:cs="Arial"/>
          <w:color w:val="000000"/>
          <w:sz w:val="21"/>
          <w:szCs w:val="21"/>
        </w:rPr>
        <w:t>在</w:t>
      </w:r>
      <w:r>
        <w:rPr>
          <w:rFonts w:hint="eastAsia" w:ascii="宋体" w:hAnsi="宋体" w:cs="Arial"/>
          <w:color w:val="000000"/>
          <w:sz w:val="21"/>
          <w:szCs w:val="21"/>
        </w:rPr>
        <w:t>交货之日起</w:t>
      </w:r>
      <w:r>
        <w:rPr>
          <w:rFonts w:hint="eastAsia" w:ascii="宋体" w:hAnsi="宋体" w:cs="Arial"/>
          <w:color w:val="000000"/>
          <w:sz w:val="21"/>
          <w:szCs w:val="21"/>
          <w:u w:val="single"/>
        </w:rPr>
        <w:t xml:space="preserve"> </w:t>
      </w:r>
      <w:r>
        <w:rPr>
          <w:rFonts w:hint="eastAsia" w:ascii="宋体" w:hAnsi="宋体" w:cs="Arial"/>
          <w:color w:val="000000"/>
          <w:sz w:val="21"/>
          <w:szCs w:val="21"/>
          <w:u w:val="single"/>
          <w:lang w:val="en-US" w:eastAsia="zh-CN"/>
        </w:rPr>
        <w:t>12</w:t>
      </w:r>
      <w:r>
        <w:rPr>
          <w:rFonts w:hint="eastAsia" w:ascii="宋体" w:hAnsi="宋体" w:cs="Arial"/>
          <w:color w:val="000000"/>
          <w:sz w:val="21"/>
          <w:szCs w:val="21"/>
          <w:u w:val="single"/>
        </w:rPr>
        <w:t xml:space="preserve"> </w:t>
      </w:r>
      <w:r>
        <w:rPr>
          <w:rFonts w:ascii="宋体" w:hAnsi="宋体" w:cs="Arial"/>
          <w:color w:val="000000"/>
          <w:sz w:val="21"/>
          <w:szCs w:val="21"/>
        </w:rPr>
        <w:t>个月</w:t>
      </w:r>
      <w:r>
        <w:rPr>
          <w:rFonts w:hint="eastAsia" w:ascii="宋体" w:hAnsi="宋体" w:cs="Arial"/>
          <w:color w:val="000000"/>
          <w:sz w:val="21"/>
          <w:szCs w:val="21"/>
        </w:rPr>
        <w:t>的质量保证</w:t>
      </w:r>
      <w:r>
        <w:rPr>
          <w:rFonts w:ascii="宋体" w:hAnsi="宋体" w:cs="Arial"/>
          <w:color w:val="000000"/>
          <w:sz w:val="21"/>
          <w:szCs w:val="21"/>
        </w:rPr>
        <w:t>期内，</w:t>
      </w:r>
      <w:r>
        <w:rPr>
          <w:rFonts w:hint="eastAsia" w:ascii="宋体" w:hAnsi="宋体" w:cs="Arial"/>
          <w:color w:val="000000"/>
          <w:sz w:val="21"/>
          <w:szCs w:val="21"/>
        </w:rPr>
        <w:t>供</w:t>
      </w:r>
      <w:r>
        <w:rPr>
          <w:rFonts w:ascii="宋体" w:hAnsi="宋体" w:cs="Arial"/>
          <w:color w:val="000000"/>
          <w:sz w:val="21"/>
          <w:szCs w:val="21"/>
        </w:rPr>
        <w:t>方按</w:t>
      </w:r>
      <w:r>
        <w:rPr>
          <w:rFonts w:hint="eastAsia" w:ascii="宋体" w:hAnsi="宋体" w:cs="Arial"/>
          <w:color w:val="000000"/>
          <w:sz w:val="21"/>
          <w:szCs w:val="21"/>
        </w:rPr>
        <w:t>协议书第三条约定的</w:t>
      </w:r>
      <w:r>
        <w:rPr>
          <w:rFonts w:hint="eastAsia" w:ascii="宋体" w:hAnsi="宋体"/>
          <w:color w:val="000000"/>
          <w:sz w:val="21"/>
          <w:szCs w:val="21"/>
        </w:rPr>
        <w:t>产品质量要求及技术标准</w:t>
      </w:r>
      <w:r>
        <w:rPr>
          <w:rFonts w:ascii="宋体" w:hAnsi="宋体" w:cs="Arial"/>
          <w:color w:val="000000"/>
          <w:sz w:val="21"/>
          <w:szCs w:val="21"/>
        </w:rPr>
        <w:t>规定的质量标准对</w:t>
      </w:r>
      <w:r>
        <w:rPr>
          <w:rFonts w:hint="eastAsia" w:ascii="宋体" w:hAnsi="宋体" w:cs="Arial"/>
          <w:color w:val="000000"/>
          <w:sz w:val="21"/>
          <w:szCs w:val="21"/>
        </w:rPr>
        <w:t>交付的</w:t>
      </w:r>
      <w:r>
        <w:rPr>
          <w:rFonts w:ascii="宋体" w:hAnsi="宋体" w:cs="Arial"/>
          <w:color w:val="000000"/>
          <w:sz w:val="21"/>
          <w:szCs w:val="21"/>
        </w:rPr>
        <w:t>产品负责。</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如果</w:t>
      </w:r>
      <w:r>
        <w:rPr>
          <w:rFonts w:hint="eastAsia" w:ascii="宋体" w:hAnsi="宋体" w:cs="Arial"/>
          <w:color w:val="000000"/>
          <w:sz w:val="21"/>
          <w:szCs w:val="21"/>
        </w:rPr>
        <w:t>供</w:t>
      </w:r>
      <w:r>
        <w:rPr>
          <w:rFonts w:ascii="宋体" w:hAnsi="宋体" w:cs="Arial"/>
          <w:color w:val="000000"/>
          <w:sz w:val="21"/>
          <w:szCs w:val="21"/>
        </w:rPr>
        <w:t>方知道或者应当知道所出卖产品存在质量缺陷，所承担的质量保证期限不受</w:t>
      </w:r>
      <w:r>
        <w:rPr>
          <w:rFonts w:hint="eastAsia" w:ascii="宋体" w:hAnsi="宋体" w:cs="Arial"/>
          <w:color w:val="000000"/>
          <w:sz w:val="21"/>
          <w:szCs w:val="21"/>
        </w:rPr>
        <w:t>本条第一款</w:t>
      </w:r>
      <w:r>
        <w:rPr>
          <w:rFonts w:ascii="宋体" w:hAnsi="宋体" w:cs="Arial"/>
          <w:color w:val="000000"/>
          <w:sz w:val="21"/>
          <w:szCs w:val="21"/>
        </w:rPr>
        <w:t>质量</w:t>
      </w:r>
      <w:r>
        <w:rPr>
          <w:rFonts w:hint="eastAsia" w:ascii="宋体" w:hAnsi="宋体" w:cs="Arial"/>
          <w:color w:val="000000"/>
          <w:sz w:val="21"/>
          <w:szCs w:val="21"/>
        </w:rPr>
        <w:t>保证</w:t>
      </w:r>
      <w:r>
        <w:rPr>
          <w:rFonts w:ascii="宋体" w:hAnsi="宋体" w:cs="Arial"/>
          <w:color w:val="000000"/>
          <w:sz w:val="21"/>
          <w:szCs w:val="21"/>
        </w:rPr>
        <w:t>期限的约束</w:t>
      </w:r>
      <w:r>
        <w:rPr>
          <w:rFonts w:hint="eastAsia" w:ascii="宋体" w:hAnsi="宋体" w:cs="Arial"/>
          <w:color w:val="000000"/>
          <w:sz w:val="21"/>
          <w:szCs w:val="21"/>
          <w:lang w:eastAsia="zh-CN"/>
        </w:rPr>
        <w:t>，</w:t>
      </w:r>
      <w:r>
        <w:rPr>
          <w:rFonts w:hint="eastAsia" w:ascii="宋体" w:hAnsi="宋体" w:cs="Arial"/>
          <w:color w:val="000000"/>
          <w:sz w:val="21"/>
          <w:szCs w:val="21"/>
        </w:rPr>
        <w:t>供方</w:t>
      </w:r>
      <w:r>
        <w:rPr>
          <w:rFonts w:hint="eastAsia" w:ascii="宋体" w:hAnsi="宋体"/>
          <w:color w:val="000000"/>
          <w:sz w:val="21"/>
          <w:szCs w:val="21"/>
        </w:rPr>
        <w:t>应依法承担相应责任。</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第四条 货物所有权、风险的转移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供方送货或代办托运方式下，货物的所有权和风险于供方将货物送至需方指定地点并经需方验收合格时转移至需方。货物迟延交付的，由造成迟延交付的一方承担迟延期间货物的风险责任。</w:t>
      </w:r>
    </w:p>
    <w:p>
      <w:pPr>
        <w:spacing w:beforeLines="0" w:afterLines="0" w:line="300" w:lineRule="exact"/>
        <w:rPr>
          <w:rFonts w:hint="eastAsia" w:ascii="宋体" w:hAnsi="宋体"/>
          <w:color w:val="000000"/>
          <w:sz w:val="21"/>
          <w:szCs w:val="21"/>
        </w:rPr>
      </w:pPr>
      <w:r>
        <w:rPr>
          <w:rFonts w:hint="eastAsia" w:ascii="宋体" w:hAnsi="宋体"/>
          <w:b/>
          <w:color w:val="000000"/>
          <w:sz w:val="21"/>
          <w:szCs w:val="21"/>
        </w:rPr>
        <w:t>第五条 运输方式、费用负担、交货地点：</w:t>
      </w:r>
      <w:r>
        <w:rPr>
          <w:rFonts w:hint="eastAsia" w:ascii="宋体" w:hAnsi="宋体"/>
          <w:color w:val="000000"/>
          <w:sz w:val="21"/>
          <w:szCs w:val="21"/>
        </w:rPr>
        <w:t>供方送货或代办托运方式下，双方商定按下列第</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2</w:t>
      </w:r>
      <w:r>
        <w:rPr>
          <w:rFonts w:hint="eastAsia" w:ascii="宋体" w:hAnsi="宋体"/>
          <w:color w:val="000000"/>
          <w:sz w:val="21"/>
          <w:szCs w:val="21"/>
          <w:u w:val="single"/>
        </w:rPr>
        <w:t xml:space="preserve">    </w:t>
      </w:r>
      <w:r>
        <w:rPr>
          <w:rFonts w:hint="eastAsia" w:ascii="宋体" w:hAnsi="宋体"/>
          <w:color w:val="000000"/>
          <w:sz w:val="21"/>
          <w:szCs w:val="21"/>
        </w:rPr>
        <w:t>款执行。</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火车运输，供方负责运输及负担运费，运至需方指定的单位或仓库。</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汽车运输，供方负责运输及负担运费，运至需方指定的单位或仓库。</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车船联运，供方负责运输及负担运费，船运至</w:t>
      </w:r>
      <w:r>
        <w:rPr>
          <w:rFonts w:hint="eastAsia" w:ascii="宋体" w:hAnsi="宋体"/>
          <w:color w:val="000000"/>
          <w:sz w:val="21"/>
          <w:szCs w:val="21"/>
          <w:u w:val="single"/>
        </w:rPr>
        <w:t xml:space="preserve">       </w:t>
      </w:r>
      <w:r>
        <w:rPr>
          <w:rFonts w:hint="eastAsia" w:ascii="宋体" w:hAnsi="宋体"/>
          <w:color w:val="000000"/>
          <w:sz w:val="21"/>
          <w:szCs w:val="21"/>
        </w:rPr>
        <w:t xml:space="preserve">，再以汽车运输方式运至需方指定的单位或仓库。         </w:t>
      </w:r>
    </w:p>
    <w:p>
      <w:pPr>
        <w:spacing w:beforeLines="0" w:afterLines="0" w:line="300" w:lineRule="exact"/>
        <w:rPr>
          <w:rFonts w:ascii="宋体" w:hAnsi="宋体"/>
          <w:b/>
          <w:color w:val="000000"/>
          <w:sz w:val="21"/>
          <w:szCs w:val="21"/>
        </w:rPr>
      </w:pPr>
      <w:r>
        <w:rPr>
          <w:rFonts w:hint="eastAsia" w:ascii="宋体" w:hAnsi="宋体"/>
          <w:b/>
          <w:color w:val="000000"/>
          <w:sz w:val="21"/>
          <w:szCs w:val="21"/>
        </w:rPr>
        <w:t>第六条 质量</w:t>
      </w:r>
      <w:r>
        <w:rPr>
          <w:rFonts w:hint="eastAsia" w:ascii="宋体" w:hAnsi="宋体" w:cs="宋体"/>
          <w:b/>
          <w:color w:val="000000"/>
          <w:kern w:val="0"/>
          <w:sz w:val="21"/>
          <w:szCs w:val="21"/>
        </w:rPr>
        <w:t>验收标准、方法及提出异议的期限</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检验标准：按本合同产品质量要求及技术标准</w:t>
      </w:r>
      <w:r>
        <w:rPr>
          <w:rFonts w:ascii="宋体" w:hAnsi="宋体" w:cs="Arial"/>
          <w:color w:val="000000"/>
          <w:sz w:val="21"/>
          <w:szCs w:val="21"/>
        </w:rPr>
        <w:t>规定的</w:t>
      </w:r>
      <w:r>
        <w:rPr>
          <w:rFonts w:hint="eastAsia" w:ascii="宋体" w:hAnsi="宋体"/>
          <w:color w:val="000000"/>
          <w:sz w:val="21"/>
          <w:szCs w:val="21"/>
        </w:rPr>
        <w:t>质量标准进行检验。货物交付时，供方与需方共同提取货物样品</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1</w:t>
      </w:r>
      <w:r>
        <w:rPr>
          <w:rFonts w:hint="eastAsia" w:ascii="宋体" w:hAnsi="宋体"/>
          <w:color w:val="000000"/>
          <w:sz w:val="21"/>
          <w:szCs w:val="21"/>
          <w:u w:val="single"/>
        </w:rPr>
        <w:t xml:space="preserve">  </w:t>
      </w:r>
      <w:r>
        <w:rPr>
          <w:rFonts w:hint="eastAsia" w:ascii="宋体" w:hAnsi="宋体"/>
          <w:color w:val="000000"/>
          <w:sz w:val="21"/>
          <w:szCs w:val="21"/>
        </w:rPr>
        <w:t>件并进行封存，以备检验，如供方不参与取样，视同默认需方的取样。封样应作为双方发生质量争议时裁决的依据，封样保留时间为</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30</w:t>
      </w:r>
      <w:r>
        <w:rPr>
          <w:rFonts w:hint="eastAsia" w:ascii="宋体" w:hAnsi="宋体"/>
          <w:color w:val="000000"/>
          <w:sz w:val="21"/>
          <w:szCs w:val="21"/>
          <w:u w:val="single"/>
        </w:rPr>
        <w:t xml:space="preserve">    </w:t>
      </w:r>
      <w:r>
        <w:rPr>
          <w:rFonts w:hint="eastAsia" w:ascii="宋体" w:hAnsi="宋体"/>
          <w:color w:val="000000"/>
          <w:sz w:val="21"/>
          <w:szCs w:val="21"/>
        </w:rPr>
        <w:t>天。</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需方在接收供方货物后，如发现与合同约定质量不符，在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7</w:t>
      </w:r>
      <w:r>
        <w:rPr>
          <w:rFonts w:hint="eastAsia" w:ascii="宋体" w:hAnsi="宋体"/>
          <w:color w:val="000000"/>
          <w:sz w:val="21"/>
          <w:szCs w:val="21"/>
          <w:u w:val="single"/>
        </w:rPr>
        <w:t xml:space="preserve">  </w:t>
      </w:r>
      <w:r>
        <w:rPr>
          <w:rFonts w:hint="eastAsia" w:ascii="宋体" w:hAnsi="宋体"/>
          <w:color w:val="000000"/>
          <w:sz w:val="21"/>
          <w:szCs w:val="21"/>
        </w:rPr>
        <w:t>天内向供方提出异议。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5</w:t>
      </w:r>
      <w:r>
        <w:rPr>
          <w:rFonts w:hint="eastAsia" w:ascii="宋体" w:hAnsi="宋体"/>
          <w:color w:val="000000"/>
          <w:sz w:val="21"/>
          <w:szCs w:val="21"/>
          <w:u w:val="single"/>
        </w:rPr>
        <w:t xml:space="preserve">   </w:t>
      </w:r>
      <w:r>
        <w:rPr>
          <w:rFonts w:hint="eastAsia" w:ascii="宋体" w:hAnsi="宋体"/>
          <w:color w:val="000000"/>
          <w:sz w:val="21"/>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第七条  保密条款</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第八条  健康、安全和环境保护及现场HSE要求</w:t>
      </w:r>
      <w:r>
        <w:rPr>
          <w:rFonts w:ascii="宋体" w:hAnsi="宋体"/>
          <w:b/>
          <w:color w:val="000000"/>
          <w:sz w:val="21"/>
          <w:szCs w:val="21"/>
        </w:rPr>
        <w:tab/>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供需双方须确保在购销、运输、存储、加工、使用产品等过程中，对各自负责的环节，遵守质量、安全、环境与健康等法律法规的有关要求，并承担质量、安全、环境与健康责任。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供方销售的货物</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需</w:t>
      </w:r>
      <w:r>
        <w:rPr>
          <w:rFonts w:hint="eastAsia" w:ascii="宋体" w:hAnsi="宋体"/>
          <w:color w:val="000000"/>
          <w:sz w:val="21"/>
          <w:szCs w:val="21"/>
          <w:u w:val="single"/>
        </w:rPr>
        <w:t xml:space="preserve">   </w:t>
      </w:r>
      <w:r>
        <w:rPr>
          <w:rFonts w:hint="eastAsia" w:ascii="宋体" w:hAnsi="宋体"/>
          <w:color w:val="000000"/>
          <w:sz w:val="21"/>
          <w:szCs w:val="21"/>
        </w:rPr>
        <w:t>（ 填：需或不需）附产品安全环境技术说明书。</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第九条  不可抗力</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kern w:val="0"/>
          <w:sz w:val="21"/>
          <w:szCs w:val="21"/>
        </w:rPr>
        <w:t>1</w:t>
      </w:r>
      <w:r>
        <w:rPr>
          <w:rFonts w:hint="eastAsia" w:ascii="宋体" w:hAnsi="宋体" w:cs="Arial"/>
          <w:color w:val="000000"/>
          <w:kern w:val="0"/>
          <w:sz w:val="21"/>
          <w:szCs w:val="21"/>
          <w:lang w:val="en-US" w:eastAsia="zh-CN"/>
        </w:rPr>
        <w:t>.</w:t>
      </w:r>
      <w:r>
        <w:rPr>
          <w:rFonts w:hint="eastAsia" w:ascii="宋体" w:hAnsi="宋体" w:cs="Arial"/>
          <w:color w:val="000000"/>
          <w:sz w:val="21"/>
          <w:szCs w:val="21"/>
        </w:rPr>
        <w:t>如遇不可抗力，即不能预见、不能避免并不能克服的客观情况，例如：火灾、水灾、雪灾、海啸、台风、地震、雷击、风灾、罢工</w:t>
      </w:r>
      <w:r>
        <w:rPr>
          <w:rFonts w:hint="eastAsia" w:ascii="宋体" w:hAnsi="宋体" w:cs="Arial"/>
          <w:color w:val="000000"/>
          <w:sz w:val="21"/>
          <w:szCs w:val="21"/>
          <w:lang w:eastAsia="zh-CN"/>
        </w:rPr>
        <w:t>，</w:t>
      </w:r>
      <w:r>
        <w:rPr>
          <w:rFonts w:hint="eastAsia" w:ascii="宋体" w:hAnsi="宋体" w:cs="Arial"/>
          <w:color w:val="000000"/>
          <w:sz w:val="21"/>
          <w:szCs w:val="21"/>
        </w:rPr>
        <w:t xml:space="preserve">和军事上的敌对行动或政府禁令等致使受不可抗力直接影响的一方延迟履行或无法履行本合同的全部或部分条款时，受不可抗力影响的一方不承担违约责任。 </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sz w:val="21"/>
          <w:szCs w:val="21"/>
        </w:rPr>
        <w:t>2</w:t>
      </w:r>
      <w:r>
        <w:rPr>
          <w:rFonts w:hint="eastAsia" w:ascii="宋体" w:hAnsi="宋体" w:cs="Arial"/>
          <w:color w:val="000000"/>
          <w:sz w:val="21"/>
          <w:szCs w:val="21"/>
          <w:lang w:val="en-US" w:eastAsia="zh-CN"/>
        </w:rPr>
        <w:t>.</w:t>
      </w:r>
      <w:r>
        <w:rPr>
          <w:rFonts w:hint="eastAsia" w:ascii="宋体" w:hAnsi="宋体" w:cs="Arial"/>
          <w:color w:val="000000"/>
          <w:sz w:val="21"/>
          <w:szCs w:val="21"/>
        </w:rPr>
        <w:t>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sz w:val="21"/>
          <w:szCs w:val="21"/>
        </w:rPr>
        <w:t>3</w:t>
      </w:r>
      <w:r>
        <w:rPr>
          <w:rFonts w:hint="eastAsia" w:ascii="宋体" w:hAnsi="宋体" w:cs="Arial"/>
          <w:color w:val="000000"/>
          <w:sz w:val="21"/>
          <w:szCs w:val="21"/>
          <w:lang w:val="en-US" w:eastAsia="zh-CN"/>
        </w:rPr>
        <w:t>.</w:t>
      </w:r>
      <w:r>
        <w:rPr>
          <w:rFonts w:hint="eastAsia" w:ascii="宋体" w:hAnsi="宋体" w:cs="Arial"/>
          <w:color w:val="000000"/>
          <w:sz w:val="21"/>
          <w:szCs w:val="21"/>
        </w:rPr>
        <w:t>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 xml:space="preserve">第十条 合同变更与解除： </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除本合同另有约定或法律规定外，非经双方协商一致，任何一方均不得擅自变更或解除合同。</w:t>
      </w:r>
      <w:r>
        <w:rPr>
          <w:rFonts w:hint="eastAsia" w:ascii="宋体" w:hAnsi="宋体"/>
          <w:bCs/>
          <w:color w:val="000000"/>
          <w:sz w:val="21"/>
          <w:szCs w:val="21"/>
        </w:rPr>
        <w:t>合同变更或解除须采取书面形式。</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第十一条 违约责任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供方未按期如数交付符合合同约定质量的货物，每逾期</w:t>
      </w:r>
      <w:r>
        <w:rPr>
          <w:rFonts w:hint="eastAsia" w:ascii="宋体" w:hAnsi="宋体"/>
          <w:color w:val="000000"/>
          <w:sz w:val="21"/>
          <w:szCs w:val="21"/>
          <w:u w:val="single"/>
        </w:rPr>
        <w:t xml:space="preserve"> 壹  </w:t>
      </w:r>
      <w:r>
        <w:rPr>
          <w:rFonts w:hint="eastAsia" w:ascii="宋体" w:hAnsi="宋体"/>
          <w:color w:val="000000"/>
          <w:sz w:val="21"/>
          <w:szCs w:val="21"/>
        </w:rPr>
        <w:t>日，应向需方支付延迟交付货物货款金额</w:t>
      </w:r>
      <w:r>
        <w:rPr>
          <w:rFonts w:hint="eastAsia" w:ascii="宋体" w:hAnsi="宋体"/>
          <w:color w:val="000000"/>
          <w:sz w:val="21"/>
          <w:szCs w:val="21"/>
          <w:u w:val="single"/>
        </w:rPr>
        <w:t xml:space="preserve"> 0.1  </w:t>
      </w:r>
      <w:r>
        <w:rPr>
          <w:rFonts w:hint="eastAsia" w:ascii="宋体" w:hAnsi="宋体"/>
          <w:color w:val="000000"/>
          <w:sz w:val="21"/>
          <w:szCs w:val="21"/>
        </w:rPr>
        <w:t>％的违约金；如供方逾期交货超过</w:t>
      </w:r>
      <w:r>
        <w:rPr>
          <w:rFonts w:hint="eastAsia" w:ascii="宋体" w:hAnsi="宋体"/>
          <w:color w:val="000000"/>
          <w:sz w:val="21"/>
          <w:szCs w:val="21"/>
          <w:u w:val="single"/>
        </w:rPr>
        <w:t xml:space="preserve">  三十  </w:t>
      </w:r>
      <w:r>
        <w:rPr>
          <w:rFonts w:hint="eastAsia" w:ascii="宋体" w:hAnsi="宋体"/>
          <w:color w:val="000000"/>
          <w:sz w:val="21"/>
          <w:szCs w:val="21"/>
        </w:rPr>
        <w:t>日的或供方逾期交货次数累计超过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壹</w:t>
      </w:r>
      <w:r>
        <w:rPr>
          <w:rFonts w:hint="eastAsia" w:ascii="宋体" w:hAnsi="宋体"/>
          <w:color w:val="000000"/>
          <w:sz w:val="21"/>
          <w:szCs w:val="21"/>
          <w:u w:val="single"/>
        </w:rPr>
        <w:t xml:space="preserve"> </w:t>
      </w:r>
      <w:r>
        <w:rPr>
          <w:rFonts w:hint="eastAsia" w:ascii="宋体" w:hAnsi="宋体"/>
          <w:color w:val="000000"/>
          <w:sz w:val="21"/>
          <w:szCs w:val="21"/>
        </w:rPr>
        <w:t>笔订单，除应向需方支付违约金外，需方还有权解除逾期交货的单笔订单及该份合同，并要求供方赔偿因逾期交货而造成的损失。</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壹</w:t>
      </w:r>
      <w:r>
        <w:rPr>
          <w:rFonts w:hint="eastAsia" w:ascii="宋体" w:hAnsi="宋体"/>
          <w:color w:val="000000"/>
          <w:sz w:val="21"/>
          <w:szCs w:val="21"/>
          <w:u w:val="single"/>
        </w:rPr>
        <w:t xml:space="preserve">  </w:t>
      </w:r>
      <w:r>
        <w:rPr>
          <w:rFonts w:hint="eastAsia" w:ascii="宋体" w:hAnsi="宋体"/>
          <w:color w:val="000000"/>
          <w:sz w:val="21"/>
          <w:szCs w:val="21"/>
        </w:rPr>
        <w:t>笔订单，需方有权解除合同。</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发生其他违约情形，违约方应赔偿由此给对方造成的损失。如属双方过错，应各自承担相应责任。</w:t>
      </w:r>
    </w:p>
    <w:p>
      <w:pPr>
        <w:spacing w:beforeLines="0" w:afterLines="0" w:line="300" w:lineRule="exact"/>
        <w:rPr>
          <w:rFonts w:ascii="宋体" w:hAnsi="宋体"/>
          <w:b/>
          <w:color w:val="000000"/>
          <w:sz w:val="21"/>
          <w:szCs w:val="21"/>
        </w:rPr>
      </w:pPr>
      <w:r>
        <w:rPr>
          <w:rFonts w:hint="eastAsia" w:ascii="宋体" w:hAnsi="宋体"/>
          <w:b/>
          <w:color w:val="000000"/>
          <w:sz w:val="21"/>
          <w:szCs w:val="21"/>
        </w:rPr>
        <w:t>第十二条　法律的适用及争议解决方式</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本合同的效力、解释及履行均适用中华人民共和国法律。</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因本合同履行过程中引起的任何争议，双方应及时友好协商解决。协商不成的，向需方所在地的人民法院提起诉讼。</w:t>
      </w:r>
    </w:p>
    <w:p>
      <w:pPr>
        <w:ind w:firstLine="420" w:firstLineChars="200"/>
        <w:rPr>
          <w:rFonts w:hint="eastAsia" w:ascii="宋体" w:hAnsi="宋体"/>
          <w:color w:val="000000"/>
          <w:szCs w:val="21"/>
          <w:lang w:val="en-US" w:eastAsia="zh-CN"/>
        </w:rPr>
      </w:pPr>
      <w:r>
        <w:rPr>
          <w:rFonts w:hint="eastAsia" w:ascii="宋体" w:hAnsi="宋体"/>
          <w:color w:val="000000"/>
          <w:szCs w:val="21"/>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rPr>
          <w:rFonts w:hint="eastAsia" w:ascii="宋体" w:hAnsi="宋体"/>
          <w:b/>
          <w:color w:val="000000"/>
          <w:szCs w:val="21"/>
          <w:lang w:val="en-US" w:eastAsia="zh-CN"/>
        </w:rPr>
      </w:pPr>
      <w:r>
        <w:rPr>
          <w:rFonts w:hint="eastAsia" w:ascii="宋体" w:hAnsi="宋体"/>
          <w:b/>
          <w:color w:val="000000"/>
          <w:szCs w:val="21"/>
        </w:rPr>
        <w:t>第十</w:t>
      </w:r>
      <w:r>
        <w:rPr>
          <w:rFonts w:hint="eastAsia" w:ascii="宋体" w:hAnsi="宋体"/>
          <w:b/>
          <w:color w:val="000000"/>
          <w:szCs w:val="21"/>
          <w:lang w:val="en-US" w:eastAsia="zh-CN"/>
        </w:rPr>
        <w:t>三</w:t>
      </w:r>
      <w:r>
        <w:rPr>
          <w:rFonts w:hint="eastAsia" w:ascii="宋体" w:hAnsi="宋体"/>
          <w:b/>
          <w:color w:val="000000"/>
          <w:szCs w:val="21"/>
        </w:rPr>
        <w:t>条</w:t>
      </w:r>
      <w:r>
        <w:rPr>
          <w:rFonts w:hint="eastAsia" w:ascii="宋体" w:hAnsi="宋体"/>
          <w:b/>
          <w:color w:val="000000"/>
          <w:szCs w:val="21"/>
          <w:lang w:val="en-US" w:eastAsia="zh-CN"/>
        </w:rPr>
        <w:t xml:space="preserve"> 廉政条款</w:t>
      </w:r>
    </w:p>
    <w:p>
      <w:pPr>
        <w:ind w:firstLine="420" w:firstLineChars="200"/>
        <w:rPr>
          <w:rFonts w:hint="eastAsia" w:ascii="宋体" w:hAnsi="宋体"/>
          <w:b w:val="0"/>
          <w:color w:val="000000"/>
          <w:szCs w:val="21"/>
          <w:lang w:val="en-US" w:eastAsia="zh-CN"/>
        </w:rPr>
      </w:pPr>
      <w:r>
        <w:rPr>
          <w:rFonts w:hint="eastAsia" w:ascii="宋体" w:hAnsi="宋体"/>
          <w:b w:val="0"/>
          <w:color w:val="000000"/>
          <w:szCs w:val="21"/>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240" w:lineRule="auto"/>
        <w:ind w:firstLine="420" w:firstLineChars="200"/>
        <w:rPr>
          <w:rFonts w:hint="eastAsia" w:ascii="宋体" w:hAnsi="宋体"/>
          <w:color w:val="000000"/>
          <w:sz w:val="21"/>
          <w:szCs w:val="21"/>
        </w:rPr>
      </w:pPr>
      <w:r>
        <w:rPr>
          <w:rFonts w:hint="eastAsia" w:ascii="宋体" w:hAnsi="宋体"/>
          <w:b w:val="0"/>
          <w:color w:val="000000"/>
          <w:szCs w:val="21"/>
          <w:lang w:val="en-US" w:eastAsia="zh-CN"/>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hint="eastAsia" w:ascii="宋体" w:hAnsi="宋体"/>
          <w:color w:val="000000"/>
          <w:szCs w:val="21"/>
          <w:u w:val="single"/>
          <w:lang w:val="en-US" w:eastAsia="zh-CN"/>
        </w:rPr>
        <w:t>20</w:t>
      </w:r>
      <w:r>
        <w:rPr>
          <w:rFonts w:hint="eastAsia" w:ascii="宋体" w:hAnsi="宋体"/>
          <w:color w:val="000000"/>
          <w:szCs w:val="21"/>
          <w:u w:val="single"/>
        </w:rPr>
        <w:t xml:space="preserve"> </w:t>
      </w:r>
      <w:r>
        <w:rPr>
          <w:rFonts w:hint="eastAsia" w:ascii="宋体" w:hAnsi="宋体"/>
          <w:b w:val="0"/>
          <w:color w:val="000000"/>
          <w:szCs w:val="21"/>
          <w:lang w:val="en-US" w:eastAsia="zh-CN"/>
        </w:rPr>
        <w:t>%，如给守约方造成的损失超过本条约定的违约金金额，超出部分的损失，违约方还应予以赔偿。并且，守约方有权视违约方违约情节的严重程度，解除本合同和/或将违约方纳入限制或禁止交易的对象。</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第十</w:t>
      </w:r>
      <w:r>
        <w:rPr>
          <w:rFonts w:hint="eastAsia" w:ascii="宋体" w:hAnsi="宋体"/>
          <w:b/>
          <w:color w:val="000000"/>
          <w:sz w:val="21"/>
          <w:szCs w:val="21"/>
          <w:lang w:val="en-US" w:eastAsia="zh-CN"/>
        </w:rPr>
        <w:t>四</w:t>
      </w:r>
      <w:r>
        <w:rPr>
          <w:rFonts w:hint="eastAsia" w:ascii="宋体" w:hAnsi="宋体"/>
          <w:b/>
          <w:color w:val="000000"/>
          <w:sz w:val="21"/>
          <w:szCs w:val="21"/>
        </w:rPr>
        <w:t>条　合同的效力及其他</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本合同自签订之日起生效。本合同传真件同样有效。合同以传真件形式生效后，双方应及时以纸质盖章原件的文本形式予以固定。</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本合同未尽事宜，双方协商签订补充协议。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本合同的组成部分：协议书、《合同条款及规则》、相关标准及附件、订单、补充协议。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4</w:t>
      </w:r>
      <w:r>
        <w:rPr>
          <w:rFonts w:hint="eastAsia" w:ascii="宋体" w:hAnsi="宋体"/>
          <w:color w:val="000000"/>
          <w:sz w:val="21"/>
          <w:szCs w:val="21"/>
          <w:lang w:val="en-US" w:eastAsia="zh-CN"/>
        </w:rPr>
        <w:t>.</w:t>
      </w:r>
      <w:r>
        <w:rPr>
          <w:rFonts w:hint="eastAsia" w:ascii="宋体" w:hAnsi="宋体"/>
          <w:color w:val="000000"/>
          <w:sz w:val="21"/>
          <w:szCs w:val="21"/>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5</w:t>
      </w:r>
      <w:r>
        <w:rPr>
          <w:rFonts w:hint="eastAsia" w:ascii="宋体" w:hAnsi="宋体"/>
          <w:color w:val="000000"/>
          <w:sz w:val="21"/>
          <w:szCs w:val="21"/>
          <w:lang w:val="en-US" w:eastAsia="zh-CN"/>
        </w:rPr>
        <w:t>.</w:t>
      </w:r>
      <w:r>
        <w:rPr>
          <w:rFonts w:hint="eastAsia" w:ascii="宋体" w:hAnsi="宋体"/>
          <w:color w:val="000000"/>
          <w:sz w:val="21"/>
          <w:szCs w:val="21"/>
        </w:rPr>
        <w:t>其他约定事项：</w:t>
      </w:r>
    </w:p>
    <w:p>
      <w:pPr>
        <w:spacing w:beforeLines="0" w:afterLines="0" w:line="300" w:lineRule="exact"/>
        <w:rPr>
          <w:rFonts w:hint="eastAsia" w:ascii="宋体" w:hAnsi="宋体"/>
          <w:color w:val="000000"/>
          <w:sz w:val="21"/>
          <w:szCs w:val="21"/>
        </w:rPr>
      </w:pPr>
      <w:r>
        <w:rPr>
          <w:rFonts w:hint="eastAsia" w:ascii="宋体" w:hAnsi="宋体"/>
          <w:color w:val="000000"/>
          <w:sz w:val="21"/>
          <w:szCs w:val="21"/>
          <w:lang w:val="en-US" w:eastAsia="zh-CN"/>
        </w:rPr>
        <w:t>①</w:t>
      </w:r>
      <w:r>
        <w:rPr>
          <w:rFonts w:hint="eastAsia" w:ascii="宋体" w:hAnsi="宋体"/>
          <w:color w:val="000000"/>
          <w:sz w:val="21"/>
          <w:szCs w:val="21"/>
        </w:rPr>
        <w:t>履约保证金：</w:t>
      </w:r>
      <w:r>
        <w:rPr>
          <w:rFonts w:hint="eastAsia" w:ascii="宋体" w:hAnsi="宋体"/>
          <w:color w:val="000000"/>
          <w:sz w:val="21"/>
          <w:szCs w:val="21"/>
          <w:lang w:val="en-US" w:eastAsia="zh-CN"/>
        </w:rPr>
        <w:t>供方的叁万元整参选保证金（收款账户为福建福海创石油化工有限公司账户）转为履约保证金</w:t>
      </w:r>
      <w:r>
        <w:rPr>
          <w:rFonts w:hint="eastAsia" w:ascii="宋体" w:hAnsi="宋体"/>
          <w:color w:val="000000"/>
          <w:sz w:val="21"/>
          <w:szCs w:val="21"/>
        </w:rPr>
        <w:t>，待本合同执行完后30天内需方无息返还该笔履约保证金至供方指定账户。</w:t>
      </w:r>
    </w:p>
    <w:p>
      <w:pPr>
        <w:spacing w:beforeLines="0" w:afterLines="0" w:line="300" w:lineRule="exact"/>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质量指标附件：</w:t>
      </w:r>
    </w:p>
    <w:p>
      <w:pPr>
        <w:spacing w:beforeLines="0" w:afterLines="0" w:line="240" w:lineRule="auto"/>
        <w:rPr>
          <w:rFonts w:hint="eastAsia" w:eastAsia="宋体"/>
          <w:lang w:eastAsia="zh-CN"/>
        </w:rPr>
      </w:pPr>
      <w:r>
        <w:rPr>
          <w:rFonts w:hint="eastAsia" w:eastAsia="宋体"/>
          <w:lang w:eastAsia="zh-CN"/>
        </w:rPr>
        <w:drawing>
          <wp:inline distT="0" distB="0" distL="114300" distR="114300">
            <wp:extent cx="6591300" cy="2952750"/>
            <wp:effectExtent l="0" t="0" r="0" b="0"/>
            <wp:docPr id="1" name="图片 1" descr="1671435252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71435252187"/>
                    <pic:cNvPicPr>
                      <a:picLocks noChangeAspect="1"/>
                    </pic:cNvPicPr>
                  </pic:nvPicPr>
                  <pic:blipFill>
                    <a:blip r:embed="rId6"/>
                    <a:stretch>
                      <a:fillRect/>
                    </a:stretch>
                  </pic:blipFill>
                  <pic:spPr>
                    <a:xfrm>
                      <a:off x="0" y="0"/>
                      <a:ext cx="6591300" cy="2952750"/>
                    </a:xfrm>
                    <a:prstGeom prst="rect">
                      <a:avLst/>
                    </a:prstGeom>
                  </pic:spPr>
                </pic:pic>
              </a:graphicData>
            </a:graphic>
          </wp:inline>
        </w:drawing>
      </w:r>
    </w:p>
    <w:sectPr>
      <w:footerReference r:id="rId3" w:type="default"/>
      <w:footerReference r:id="rId4" w:type="even"/>
      <w:pgSz w:w="11906" w:h="16838"/>
      <w:pgMar w:top="623" w:right="566" w:bottom="779" w:left="540" w:header="283" w:footer="283"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1</w:t>
    </w:r>
    <w:r>
      <w:rPr>
        <w:rStyle w:val="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B9CE5"/>
    <w:multiLevelType w:val="singleLevel"/>
    <w:tmpl w:val="1E4B9CE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9D"/>
    <w:rsid w:val="00096363"/>
    <w:rsid w:val="00110764"/>
    <w:rsid w:val="00130D5B"/>
    <w:rsid w:val="0014007C"/>
    <w:rsid w:val="00154576"/>
    <w:rsid w:val="00192920"/>
    <w:rsid w:val="001A6F2D"/>
    <w:rsid w:val="002238CC"/>
    <w:rsid w:val="002A28AC"/>
    <w:rsid w:val="002B1898"/>
    <w:rsid w:val="00310939"/>
    <w:rsid w:val="003213B8"/>
    <w:rsid w:val="00400C5A"/>
    <w:rsid w:val="0048031F"/>
    <w:rsid w:val="00493136"/>
    <w:rsid w:val="004A53F9"/>
    <w:rsid w:val="0056504C"/>
    <w:rsid w:val="00572A25"/>
    <w:rsid w:val="005B2A69"/>
    <w:rsid w:val="006A26C5"/>
    <w:rsid w:val="0071084E"/>
    <w:rsid w:val="00775BB9"/>
    <w:rsid w:val="00796C9D"/>
    <w:rsid w:val="007A411F"/>
    <w:rsid w:val="007C1D6E"/>
    <w:rsid w:val="008661C6"/>
    <w:rsid w:val="008832C1"/>
    <w:rsid w:val="008A0DCB"/>
    <w:rsid w:val="008B47F6"/>
    <w:rsid w:val="00936EB5"/>
    <w:rsid w:val="00994097"/>
    <w:rsid w:val="009D690D"/>
    <w:rsid w:val="009E1950"/>
    <w:rsid w:val="00A06C60"/>
    <w:rsid w:val="00A15833"/>
    <w:rsid w:val="00A602BA"/>
    <w:rsid w:val="00AA49AA"/>
    <w:rsid w:val="00BA4858"/>
    <w:rsid w:val="00BB3994"/>
    <w:rsid w:val="00BF60BA"/>
    <w:rsid w:val="00C03D44"/>
    <w:rsid w:val="00C113CA"/>
    <w:rsid w:val="00C40A2D"/>
    <w:rsid w:val="00C85270"/>
    <w:rsid w:val="00CA1202"/>
    <w:rsid w:val="00CD4B37"/>
    <w:rsid w:val="00D118C2"/>
    <w:rsid w:val="00D12B25"/>
    <w:rsid w:val="00D31485"/>
    <w:rsid w:val="00DC2165"/>
    <w:rsid w:val="00DD67C0"/>
    <w:rsid w:val="00E95225"/>
    <w:rsid w:val="00EA3B66"/>
    <w:rsid w:val="00EA704A"/>
    <w:rsid w:val="00EB1EFA"/>
    <w:rsid w:val="00F457BD"/>
    <w:rsid w:val="02E004BB"/>
    <w:rsid w:val="03222EC1"/>
    <w:rsid w:val="039E6A42"/>
    <w:rsid w:val="03AE4A2E"/>
    <w:rsid w:val="052277F1"/>
    <w:rsid w:val="06497438"/>
    <w:rsid w:val="06585F98"/>
    <w:rsid w:val="06AE3E0A"/>
    <w:rsid w:val="07BC16EB"/>
    <w:rsid w:val="07DB2111"/>
    <w:rsid w:val="09275C98"/>
    <w:rsid w:val="09896FAA"/>
    <w:rsid w:val="0B2C4C25"/>
    <w:rsid w:val="0B72197B"/>
    <w:rsid w:val="0E6802FB"/>
    <w:rsid w:val="0EA24222"/>
    <w:rsid w:val="0EE72FE9"/>
    <w:rsid w:val="0F2067C7"/>
    <w:rsid w:val="11946126"/>
    <w:rsid w:val="11EB07F7"/>
    <w:rsid w:val="128630C3"/>
    <w:rsid w:val="13304CA7"/>
    <w:rsid w:val="13C94CE3"/>
    <w:rsid w:val="141B5A33"/>
    <w:rsid w:val="14D53C06"/>
    <w:rsid w:val="14D556DC"/>
    <w:rsid w:val="151A4078"/>
    <w:rsid w:val="16BB2286"/>
    <w:rsid w:val="174773A9"/>
    <w:rsid w:val="178D2F8E"/>
    <w:rsid w:val="17A65AD7"/>
    <w:rsid w:val="19897784"/>
    <w:rsid w:val="199B7EA2"/>
    <w:rsid w:val="1A347C79"/>
    <w:rsid w:val="1A36784A"/>
    <w:rsid w:val="1A465F50"/>
    <w:rsid w:val="1AF5427D"/>
    <w:rsid w:val="1B06444C"/>
    <w:rsid w:val="1C7032A3"/>
    <w:rsid w:val="1CBF1B6B"/>
    <w:rsid w:val="1CC66D8E"/>
    <w:rsid w:val="1CD143BE"/>
    <w:rsid w:val="1D265138"/>
    <w:rsid w:val="1DDB32DF"/>
    <w:rsid w:val="1E1B5B71"/>
    <w:rsid w:val="1E9472A8"/>
    <w:rsid w:val="1FDB73CE"/>
    <w:rsid w:val="20B02DBE"/>
    <w:rsid w:val="20BD3FB9"/>
    <w:rsid w:val="230F7F81"/>
    <w:rsid w:val="256F06EA"/>
    <w:rsid w:val="259E2146"/>
    <w:rsid w:val="25A70262"/>
    <w:rsid w:val="26FF0A4E"/>
    <w:rsid w:val="274612B7"/>
    <w:rsid w:val="28165FC0"/>
    <w:rsid w:val="28467FB7"/>
    <w:rsid w:val="28DD22E9"/>
    <w:rsid w:val="29FB64B5"/>
    <w:rsid w:val="2EEC4E59"/>
    <w:rsid w:val="308711F8"/>
    <w:rsid w:val="30E636A3"/>
    <w:rsid w:val="3190735D"/>
    <w:rsid w:val="31935E01"/>
    <w:rsid w:val="31A069A4"/>
    <w:rsid w:val="32C969B4"/>
    <w:rsid w:val="3356384F"/>
    <w:rsid w:val="335F2F0A"/>
    <w:rsid w:val="348301C3"/>
    <w:rsid w:val="34B51837"/>
    <w:rsid w:val="35311149"/>
    <w:rsid w:val="36EB413B"/>
    <w:rsid w:val="37842252"/>
    <w:rsid w:val="378628D1"/>
    <w:rsid w:val="3919057C"/>
    <w:rsid w:val="39B07817"/>
    <w:rsid w:val="39EF33FE"/>
    <w:rsid w:val="3A410571"/>
    <w:rsid w:val="3BA701C3"/>
    <w:rsid w:val="3BEB6C08"/>
    <w:rsid w:val="3BF533DA"/>
    <w:rsid w:val="3C2F45DF"/>
    <w:rsid w:val="3E3177AE"/>
    <w:rsid w:val="3E8413AD"/>
    <w:rsid w:val="3E913D5F"/>
    <w:rsid w:val="40196700"/>
    <w:rsid w:val="401F500B"/>
    <w:rsid w:val="403614ED"/>
    <w:rsid w:val="41245E39"/>
    <w:rsid w:val="41930E66"/>
    <w:rsid w:val="41B62CD6"/>
    <w:rsid w:val="4272038F"/>
    <w:rsid w:val="42C618D8"/>
    <w:rsid w:val="42FA4880"/>
    <w:rsid w:val="43B563D0"/>
    <w:rsid w:val="4412729B"/>
    <w:rsid w:val="44883B79"/>
    <w:rsid w:val="4524062D"/>
    <w:rsid w:val="456D6169"/>
    <w:rsid w:val="457F0822"/>
    <w:rsid w:val="45965013"/>
    <w:rsid w:val="46902F4F"/>
    <w:rsid w:val="475D6866"/>
    <w:rsid w:val="4767584D"/>
    <w:rsid w:val="47684EA4"/>
    <w:rsid w:val="486677BF"/>
    <w:rsid w:val="48D308E2"/>
    <w:rsid w:val="496B3AEB"/>
    <w:rsid w:val="4A82107C"/>
    <w:rsid w:val="4AEA090C"/>
    <w:rsid w:val="4C643D80"/>
    <w:rsid w:val="4D4835EB"/>
    <w:rsid w:val="4D8C56D1"/>
    <w:rsid w:val="4DBA657C"/>
    <w:rsid w:val="4E086F29"/>
    <w:rsid w:val="4E7B0CE8"/>
    <w:rsid w:val="4F6C7C7D"/>
    <w:rsid w:val="511B7199"/>
    <w:rsid w:val="51BB529B"/>
    <w:rsid w:val="51F3687D"/>
    <w:rsid w:val="51FB0755"/>
    <w:rsid w:val="52EA7771"/>
    <w:rsid w:val="531A4B1B"/>
    <w:rsid w:val="5385691A"/>
    <w:rsid w:val="53BC4B0E"/>
    <w:rsid w:val="53CB242D"/>
    <w:rsid w:val="5449041D"/>
    <w:rsid w:val="5450093F"/>
    <w:rsid w:val="5469669B"/>
    <w:rsid w:val="56822835"/>
    <w:rsid w:val="56E528BE"/>
    <w:rsid w:val="576E3691"/>
    <w:rsid w:val="578F6A0D"/>
    <w:rsid w:val="57E961DF"/>
    <w:rsid w:val="57FB6A1F"/>
    <w:rsid w:val="589A7AF6"/>
    <w:rsid w:val="58D9361F"/>
    <w:rsid w:val="58F3787D"/>
    <w:rsid w:val="58FA45CC"/>
    <w:rsid w:val="59102BB0"/>
    <w:rsid w:val="59F4086D"/>
    <w:rsid w:val="5B060860"/>
    <w:rsid w:val="5B9444F1"/>
    <w:rsid w:val="5C0C5203"/>
    <w:rsid w:val="5C6F7E92"/>
    <w:rsid w:val="5C785C05"/>
    <w:rsid w:val="5CA72002"/>
    <w:rsid w:val="5CD55774"/>
    <w:rsid w:val="5E3B2AB7"/>
    <w:rsid w:val="5E4915C3"/>
    <w:rsid w:val="5E87201D"/>
    <w:rsid w:val="5EC743B5"/>
    <w:rsid w:val="5F505B7A"/>
    <w:rsid w:val="5F686E32"/>
    <w:rsid w:val="5F9560A9"/>
    <w:rsid w:val="5F9562D4"/>
    <w:rsid w:val="60746981"/>
    <w:rsid w:val="612122BD"/>
    <w:rsid w:val="620E1A37"/>
    <w:rsid w:val="64A5340D"/>
    <w:rsid w:val="64FE517C"/>
    <w:rsid w:val="65255C37"/>
    <w:rsid w:val="6639313E"/>
    <w:rsid w:val="668E63C0"/>
    <w:rsid w:val="68FC7602"/>
    <w:rsid w:val="69AC14C8"/>
    <w:rsid w:val="6A1F02B5"/>
    <w:rsid w:val="6A82138D"/>
    <w:rsid w:val="6ABE3FFA"/>
    <w:rsid w:val="6C803D4B"/>
    <w:rsid w:val="6DF71B92"/>
    <w:rsid w:val="6E113A64"/>
    <w:rsid w:val="6EA82FD7"/>
    <w:rsid w:val="6F7A0CAE"/>
    <w:rsid w:val="70235CED"/>
    <w:rsid w:val="70371CD9"/>
    <w:rsid w:val="71687B5B"/>
    <w:rsid w:val="71773B60"/>
    <w:rsid w:val="71946BA2"/>
    <w:rsid w:val="719C4C23"/>
    <w:rsid w:val="72304A50"/>
    <w:rsid w:val="72E45623"/>
    <w:rsid w:val="732365F9"/>
    <w:rsid w:val="74741EA4"/>
    <w:rsid w:val="747A374A"/>
    <w:rsid w:val="74977AC0"/>
    <w:rsid w:val="761B3686"/>
    <w:rsid w:val="77620DBB"/>
    <w:rsid w:val="77EE5940"/>
    <w:rsid w:val="780D4938"/>
    <w:rsid w:val="78EF4119"/>
    <w:rsid w:val="7A4256E7"/>
    <w:rsid w:val="7ADC690F"/>
    <w:rsid w:val="7B2F07F1"/>
    <w:rsid w:val="7C0442F2"/>
    <w:rsid w:val="7D6A6721"/>
    <w:rsid w:val="7EA829B0"/>
    <w:rsid w:val="7F7B627F"/>
    <w:rsid w:val="7FE47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1"/>
    <w:rPr>
      <w:sz w:val="24"/>
    </w:r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customStyle="1" w:styleId="9">
    <w:name w:val="页眉 字符"/>
    <w:basedOn w:val="7"/>
    <w:link w:val="5"/>
    <w:qFormat/>
    <w:uiPriority w:val="0"/>
    <w:rPr>
      <w:kern w:val="2"/>
      <w:sz w:val="18"/>
      <w:szCs w:val="18"/>
    </w:rPr>
  </w:style>
  <w:style w:type="character" w:customStyle="1" w:styleId="10">
    <w:name w:val="批注框文本 字符"/>
    <w:basedOn w:val="7"/>
    <w:link w:val="3"/>
    <w:qFormat/>
    <w:uiPriority w:val="0"/>
    <w:rPr>
      <w:kern w:val="2"/>
      <w:sz w:val="18"/>
      <w:szCs w:val="18"/>
    </w:rPr>
  </w:style>
  <w:style w:type="paragraph" w:customStyle="1" w:styleId="11">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4929</Words>
  <Characters>5282</Characters>
  <Lines>38</Lines>
  <Paragraphs>10</Paragraphs>
  <TotalTime>1</TotalTime>
  <ScaleCrop>false</ScaleCrop>
  <LinksUpToDate>false</LinksUpToDate>
  <CharactersWithSpaces>5632</CharactersWithSpaces>
  <Application>WPS Office_11.1.0.8500_F1E327BC-269C-435d-A152-05C5408002CA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2020-02-06T06:26:00Z</dcterms:created>
  <dc:creator>Administrator</dc:creator>
  <cp:lastModifiedBy>lenmo</cp:lastModifiedBy>
  <dcterms:modified xsi:type="dcterms:W3CDTF">2023-05-17T06:57:29Z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y fmtid="{D5CDD505-2E9C-101B-9397-08002B2CF9AE}" pid="3" name="ICV">
    <vt:lpwstr>E6E9D85809614EC4ACE90B2F16CEFDD7</vt:lpwstr>
  </property>
</Properties>
</file>