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5"/>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val="en-US" w:eastAsia="zh-CN"/>
        </w:rPr>
        <w:t>电子车底检查镜</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5"/>
        <w:jc w:val="center"/>
        <w:rPr>
          <w:sz w:val="28"/>
          <w:szCs w:val="28"/>
        </w:rPr>
      </w:pPr>
      <w:r>
        <w:rPr>
          <w:rFonts w:hint="eastAsia"/>
          <w:sz w:val="28"/>
          <w:szCs w:val="28"/>
        </w:rPr>
        <w:t>（文件编号：</w:t>
      </w:r>
      <w:r>
        <w:rPr>
          <w:rFonts w:hint="eastAsia"/>
          <w:sz w:val="28"/>
          <w:szCs w:val="28"/>
          <w:u w:val="single"/>
        </w:rPr>
        <w:t>FHC-PTCG20230329004</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三</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5"/>
      </w:pPr>
    </w:p>
    <w:p>
      <w:pPr>
        <w:pStyle w:val="35"/>
      </w:pPr>
    </w:p>
    <w:p>
      <w:pPr>
        <w:pStyle w:val="35"/>
      </w:pPr>
    </w:p>
    <w:p>
      <w:pPr>
        <w:pStyle w:val="35"/>
      </w:pPr>
    </w:p>
    <w:p>
      <w:pPr>
        <w:pStyle w:val="35"/>
      </w:pPr>
    </w:p>
    <w:p>
      <w:pPr>
        <w:pStyle w:val="35"/>
      </w:pPr>
    </w:p>
    <w:p>
      <w:pPr>
        <w:pStyle w:val="35"/>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288"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b/>
          <w:bCs/>
          <w:u w:val="single"/>
          <w:lang w:eastAsia="zh-CN"/>
        </w:rPr>
        <w:t>电子车底检查镜</w:t>
      </w:r>
      <w:r>
        <w:rPr>
          <w:rFonts w:hint="eastAsia" w:asciiTheme="majorEastAsia" w:hAnsiTheme="majorEastAsia" w:eastAsiaTheme="majorEastAsia"/>
          <w:u w:val="single"/>
          <w:lang w:eastAsia="zh-CN"/>
        </w:rPr>
        <w:t>采购项目（项目编号： FHC-PTCG20230329004）</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firstLine="480" w:firstLineChars="200"/>
        <w:jc w:val="both"/>
        <w:rPr>
          <w:rFonts w:hint="eastAsia" w:asciiTheme="majorEastAsia" w:hAnsiTheme="majorEastAsia" w:eastAsiaTheme="majorEastAsia"/>
          <w:b/>
          <w:bCs/>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b/>
          <w:bCs/>
          <w:u w:val="single"/>
          <w:lang w:eastAsia="zh-CN"/>
        </w:rPr>
        <w:t>电子车底检查镜</w:t>
      </w:r>
      <w:r>
        <w:rPr>
          <w:rFonts w:hint="eastAsia" w:asciiTheme="majorEastAsia" w:hAnsiTheme="majorEastAsia" w:eastAsiaTheme="majorEastAsia"/>
          <w:b/>
          <w:bCs/>
          <w:u w:val="single"/>
          <w:lang w:val="en-US" w:eastAsia="zh-CN"/>
        </w:rPr>
        <w:t>采购</w:t>
      </w:r>
    </w:p>
    <w:p>
      <w:pPr>
        <w:keepNext w:val="0"/>
        <w:keepLines w:val="0"/>
        <w:pageBreakBefore w:val="0"/>
        <w:kinsoku/>
        <w:wordWrap/>
        <w:overflowPunct/>
        <w:topLinePunct w:val="0"/>
        <w:autoSpaceDE/>
        <w:autoSpaceDN/>
        <w:bidi w:val="0"/>
        <w:spacing w:line="288" w:lineRule="auto"/>
        <w:ind w:firstLine="440" w:firstLineChars="200"/>
        <w:jc w:val="both"/>
        <w:rPr>
          <w:b w:val="0"/>
          <w:bCs w:val="0"/>
          <w:lang w:eastAsia="zh-CN"/>
        </w:rPr>
      </w:pPr>
      <w:r>
        <w:rPr>
          <w:rFonts w:hint="eastAsia" w:asciiTheme="majorEastAsia" w:hAnsiTheme="majorEastAsia" w:eastAsiaTheme="majorEastAsia"/>
          <w:b w:val="0"/>
          <w:lang w:eastAsia="zh-CN"/>
        </w:rPr>
        <w:t>2. 比选项目</w:t>
      </w:r>
      <w:r>
        <w:rPr>
          <w:rFonts w:hint="eastAsia" w:asciiTheme="majorEastAsia" w:hAnsiTheme="majorEastAsia" w:eastAsiaTheme="majorEastAsia"/>
          <w:b w:val="0"/>
          <w:lang w:val="en-US" w:eastAsia="zh-CN"/>
        </w:rPr>
        <w:t>技术要求</w:t>
      </w:r>
      <w:r>
        <w:rPr>
          <w:rFonts w:hint="eastAsia" w:asciiTheme="majorEastAsia" w:hAnsiTheme="majorEastAsia" w:eastAsiaTheme="majorEastAsia"/>
          <w:b w:val="0"/>
          <w:lang w:eastAsia="zh-CN"/>
        </w:rPr>
        <w:t>：</w:t>
      </w:r>
      <w:r>
        <w:rPr>
          <w:rFonts w:hint="eastAsia" w:ascii="宋体" w:hAnsi="宋体" w:eastAsia="宋体" w:cs="宋体"/>
          <w:b w:val="0"/>
          <w:lang w:eastAsia="zh-CN"/>
        </w:rPr>
        <w:t>可录像，16G内存，拉杆最长1.4米，7寸高清显示屏，耐磨万向轮、自动红外线夜视功能，可充电锂电池</w:t>
      </w:r>
      <w:r>
        <w:rPr>
          <w:rFonts w:hint="eastAsia"/>
          <w:b w:val="0"/>
          <w:bCs w:val="0"/>
          <w:lang w:eastAsia="zh-CN"/>
        </w:rPr>
        <w:t>。</w:t>
      </w:r>
    </w:p>
    <w:p>
      <w:pPr>
        <w:pStyle w:val="3"/>
        <w:keepNext w:val="0"/>
        <w:keepLines w:val="0"/>
        <w:pageBreakBefore w:val="0"/>
        <w:kinsoku/>
        <w:wordWrap/>
        <w:overflowPunct/>
        <w:topLinePunct w:val="0"/>
        <w:bidi w:val="0"/>
        <w:spacing w:line="288" w:lineRule="auto"/>
        <w:ind w:left="0" w:firstLine="480" w:firstLineChars="200"/>
        <w:rPr>
          <w:lang w:eastAsia="zh-CN"/>
        </w:rPr>
      </w:pPr>
      <w:r>
        <w:rPr>
          <w:rFonts w:hint="eastAsia" w:asciiTheme="majorEastAsia" w:hAnsiTheme="majorEastAsia" w:eastAsiaTheme="majorEastAsia"/>
          <w:b w:val="0"/>
          <w:lang w:eastAsia="zh-CN"/>
        </w:rPr>
        <w:t xml:space="preserve">3. </w:t>
      </w:r>
      <w:r>
        <w:rPr>
          <w:rFonts w:hint="eastAsia"/>
          <w:lang w:eastAsia="zh-CN"/>
        </w:rPr>
        <w:t>项目控制价格：人民币</w:t>
      </w:r>
      <w:r>
        <w:rPr>
          <w:rFonts w:hint="eastAsia"/>
          <w:lang w:val="en-US" w:eastAsia="zh-CN"/>
        </w:rPr>
        <w:t>3800</w:t>
      </w:r>
      <w:r>
        <w:rPr>
          <w:rFonts w:hint="eastAsia"/>
          <w:lang w:eastAsia="zh-CN"/>
        </w:rPr>
        <w:t>元</w:t>
      </w:r>
      <w:r>
        <w:rPr>
          <w:rFonts w:hint="eastAsia"/>
          <w:b w:val="0"/>
          <w:lang w:eastAsia="zh-CN"/>
        </w:rPr>
        <w:t>（含税价）</w:t>
      </w:r>
    </w:p>
    <w:p>
      <w:pPr>
        <w:pStyle w:val="3"/>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 xml:space="preserve">2. </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5"/>
        <w:spacing w:line="360" w:lineRule="auto"/>
        <w:ind w:firstLine="480" w:firstLineChars="200"/>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firstLine="480" w:firstLineChars="20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37"/>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自公示之日起10天内（即</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04</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07</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16</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0"/>
          <w:rFonts w:hint="eastAsia" w:asciiTheme="majorEastAsia" w:hAnsiTheme="majorEastAsia" w:eastAsiaTheme="majorEastAsia"/>
          <w:sz w:val="24"/>
          <w:szCs w:val="24"/>
          <w:lang w:eastAsia="zh-CN"/>
        </w:rPr>
        <w:t>huangmq@fjpec.com.cn</w:t>
      </w:r>
      <w:r>
        <w:rPr>
          <w:rStyle w:val="30"/>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keepNext w:val="0"/>
        <w:keepLines w:val="0"/>
        <w:pageBreakBefore w:val="0"/>
        <w:kinsoku/>
        <w:wordWrap/>
        <w:overflowPunct/>
        <w:topLinePunct w:val="0"/>
        <w:bidi w:val="0"/>
        <w:spacing w:line="288"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递交截止时间（以送达时间为准）：有意向参选人请于公示期间进行报名，并请在</w:t>
      </w:r>
      <w:r>
        <w:rPr>
          <w:rFonts w:hint="eastAsia" w:asciiTheme="majorEastAsia" w:hAnsiTheme="majorEastAsia" w:eastAsiaTheme="majorEastAsia"/>
          <w:bCs/>
          <w:sz w:val="24"/>
          <w:szCs w:val="24"/>
          <w:lang w:val="en-US" w:eastAsia="zh-CN"/>
        </w:rPr>
        <w:t>公示之日</w:t>
      </w:r>
      <w:r>
        <w:rPr>
          <w:rFonts w:hint="eastAsia" w:asciiTheme="majorEastAsia" w:hAnsiTheme="majorEastAsia" w:eastAsiaTheme="majorEastAsia"/>
          <w:bCs/>
          <w:sz w:val="24"/>
          <w:szCs w:val="24"/>
          <w:lang w:eastAsia="zh-CN"/>
        </w:rPr>
        <w:t>起</w:t>
      </w:r>
      <w:r>
        <w:rPr>
          <w:rFonts w:hint="eastAsia" w:asciiTheme="majorEastAsia" w:hAnsiTheme="majorEastAsia" w:eastAsiaTheme="majorEastAsia"/>
          <w:bCs/>
          <w:sz w:val="24"/>
          <w:szCs w:val="24"/>
          <w:lang w:val="en-US" w:eastAsia="zh-CN"/>
        </w:rPr>
        <w:t>1</w:t>
      </w:r>
      <w:bookmarkStart w:id="9" w:name="_GoBack"/>
      <w:bookmarkEnd w:id="9"/>
      <w:r>
        <w:rPr>
          <w:rFonts w:hint="eastAsia" w:asciiTheme="majorEastAsia" w:hAnsiTheme="majorEastAsia" w:eastAsiaTheme="majorEastAsia"/>
          <w:bCs/>
          <w:sz w:val="24"/>
          <w:szCs w:val="24"/>
          <w:lang w:val="en-US" w:eastAsia="zh-CN"/>
        </w:rPr>
        <w:t>2</w:t>
      </w:r>
      <w:r>
        <w:rPr>
          <w:rFonts w:hint="eastAsia" w:asciiTheme="majorEastAsia" w:hAnsiTheme="majorEastAsia" w:eastAsiaTheme="majorEastAsia"/>
          <w:bCs/>
          <w:sz w:val="24"/>
          <w:szCs w:val="24"/>
          <w:lang w:eastAsia="zh-CN"/>
        </w:rPr>
        <w:t>天内将参选文件纸质原件密封送达比选人指定地点。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无</w:t>
      </w:r>
      <w:r>
        <w:rPr>
          <w:rFonts w:hint="eastAsia"/>
          <w:b/>
          <w:snapToGrid w:val="0"/>
          <w:color w:val="000000" w:themeColor="text1"/>
          <w:spacing w:val="8"/>
          <w:sz w:val="24"/>
          <w:szCs w:val="24"/>
          <w:lang w:eastAsia="zh-CN"/>
          <w14:textFill>
            <w14:solidFill>
              <w14:schemeClr w14:val="tx1"/>
            </w14:solidFill>
          </w14:textFill>
        </w:rPr>
        <w:t>。</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w:t>
      </w:r>
      <w:r>
        <w:rPr>
          <w:rFonts w:hint="eastAsia"/>
          <w:b/>
          <w:bCs/>
          <w:snapToGrid w:val="0"/>
          <w:spacing w:val="8"/>
          <w:sz w:val="24"/>
          <w:szCs w:val="24"/>
          <w:lang w:val="en-US" w:eastAsia="zh-CN"/>
        </w:rPr>
        <w:t>未税总价</w:t>
      </w:r>
      <w:r>
        <w:rPr>
          <w:rFonts w:hint="eastAsia"/>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eastAsia="zh-CN"/>
        </w:rPr>
      </w:pPr>
      <w:r>
        <w:rPr>
          <w:rFonts w:hint="eastAsia"/>
          <w:sz w:val="24"/>
          <w:szCs w:val="24"/>
          <w:lang w:eastAsia="zh-CN"/>
        </w:rPr>
        <w:t>2023.0</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30</w:t>
      </w:r>
    </w:p>
    <w:p>
      <w:pPr>
        <w:pStyle w:val="2"/>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电子车底检查镜</w:t>
      </w:r>
      <w:r>
        <w:rPr>
          <w:rFonts w:asciiTheme="majorEastAsia" w:hAnsiTheme="majorEastAsia" w:eastAsiaTheme="majorEastAsia"/>
          <w:u w:val="single"/>
          <w:lang w:eastAsia="zh-CN"/>
        </w:rPr>
        <w:t>采购</w:t>
      </w:r>
      <w:r>
        <w:rPr>
          <w:rFonts w:hint="eastAsia" w:asciiTheme="majorEastAsia" w:hAnsiTheme="majorEastAsia" w:eastAsiaTheme="majorEastAsia"/>
          <w:u w:val="single"/>
          <w:lang w:eastAsia="zh-CN"/>
        </w:rPr>
        <w:t xml:space="preserve">项目 </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1. 项目概况：</w:t>
      </w:r>
      <w:r>
        <w:rPr>
          <w:rFonts w:hint="eastAsia" w:asciiTheme="majorEastAsia" w:hAnsiTheme="majorEastAsia" w:eastAsiaTheme="majorEastAsia"/>
          <w:sz w:val="24"/>
          <w:szCs w:val="24"/>
          <w:u w:val="single"/>
          <w:lang w:eastAsia="zh-CN"/>
        </w:rPr>
        <w:t>电子车底检查镜（</w:t>
      </w:r>
      <w:r>
        <w:rPr>
          <w:rFonts w:hint="eastAsia" w:asciiTheme="majorEastAsia" w:hAnsiTheme="majorEastAsia" w:eastAsiaTheme="majorEastAsia"/>
          <w:sz w:val="24"/>
          <w:szCs w:val="24"/>
          <w:u w:val="single"/>
          <w:lang w:val="en-US" w:eastAsia="zh-CN"/>
        </w:rPr>
        <w:t>2台）</w:t>
      </w:r>
      <w:r>
        <w:rPr>
          <w:rFonts w:hint="eastAsia" w:asciiTheme="majorEastAsia" w:hAnsiTheme="majorEastAsia" w:eastAsiaTheme="majorEastAsia"/>
          <w:sz w:val="24"/>
          <w:szCs w:val="24"/>
          <w:u w:val="single"/>
          <w:lang w:eastAsia="zh-CN"/>
        </w:rPr>
        <w:t>采购项目</w:t>
      </w:r>
    </w:p>
    <w:p>
      <w:pPr>
        <w:pStyle w:val="3"/>
        <w:keepNext w:val="0"/>
        <w:keepLines w:val="0"/>
        <w:pageBreakBefore w:val="0"/>
        <w:kinsoku/>
        <w:wordWrap/>
        <w:overflowPunct/>
        <w:topLinePunct w:val="0"/>
        <w:bidi w:val="0"/>
        <w:spacing w:line="288" w:lineRule="auto"/>
        <w:ind w:left="795" w:leftChars="216" w:hanging="320" w:hangingChars="133"/>
        <w:rPr>
          <w:b w:val="0"/>
          <w:bCs w:val="0"/>
          <w:lang w:eastAsia="zh-CN"/>
        </w:rPr>
      </w:pPr>
      <w:r>
        <w:rPr>
          <w:rFonts w:hint="eastAsia" w:asciiTheme="majorEastAsia" w:hAnsiTheme="majorEastAsia" w:eastAsiaTheme="majorEastAsia"/>
          <w:lang w:eastAsia="zh-CN"/>
        </w:rPr>
        <w:t>2. 项目范围及</w:t>
      </w:r>
      <w:r>
        <w:rPr>
          <w:rFonts w:hint="eastAsia" w:asciiTheme="majorEastAsia" w:hAnsiTheme="majorEastAsia" w:eastAsiaTheme="majorEastAsia"/>
          <w:lang w:val="en-US" w:eastAsia="zh-CN"/>
        </w:rPr>
        <w:t>技术要求</w:t>
      </w:r>
      <w:r>
        <w:rPr>
          <w:rFonts w:hint="eastAsia" w:asciiTheme="majorEastAsia" w:hAnsiTheme="majorEastAsia" w:eastAsiaTheme="majorEastAsia"/>
          <w:lang w:eastAsia="zh-CN"/>
        </w:rPr>
        <w:t>：</w:t>
      </w:r>
      <w:r>
        <w:rPr>
          <w:rFonts w:hint="eastAsia" w:ascii="宋体" w:hAnsi="宋体" w:eastAsia="宋体" w:cs="宋体"/>
          <w:b w:val="0"/>
          <w:lang w:eastAsia="zh-CN"/>
        </w:rPr>
        <w:t>可录像，16G内存，拉杆最长1.4米，7寸高清显示屏，耐磨万向轮、自动红外线夜视功能，可充电锂电池</w:t>
      </w:r>
      <w:r>
        <w:rPr>
          <w:rFonts w:hint="eastAsia"/>
          <w:b w:val="0"/>
          <w:bCs w:val="0"/>
          <w:lang w:eastAsia="zh-CN"/>
        </w:rPr>
        <w:t>。</w:t>
      </w:r>
    </w:p>
    <w:p>
      <w:pPr>
        <w:spacing w:line="288" w:lineRule="auto"/>
        <w:ind w:left="960" w:leftChars="218" w:hanging="480" w:hangingChars="200"/>
        <w:jc w:val="both"/>
        <w:rPr>
          <w:rFonts w:asciiTheme="majorEastAsia" w:hAnsiTheme="majorEastAsia" w:eastAsiaTheme="majorEastAsia" w:cstheme="minorEastAsia"/>
          <w:kern w:val="59"/>
          <w:sz w:val="24"/>
          <w:szCs w:val="24"/>
          <w:lang w:eastAsia="zh-CN"/>
        </w:rPr>
      </w:pPr>
      <w:r>
        <w:rPr>
          <w:rFonts w:hint="eastAsia" w:asciiTheme="majorEastAsia" w:hAnsiTheme="majorEastAsia" w:eastAsiaTheme="majorEastAsia"/>
          <w:sz w:val="24"/>
          <w:szCs w:val="24"/>
          <w:lang w:eastAsia="zh-CN"/>
        </w:rPr>
        <w:t>3. 相关要求标准、规范及规定：</w:t>
      </w:r>
      <w:r>
        <w:rPr>
          <w:rFonts w:hint="eastAsia" w:asciiTheme="majorEastAsia" w:hAnsiTheme="majorEastAsia" w:eastAsiaTheme="majorEastAsia"/>
          <w:sz w:val="24"/>
          <w:szCs w:val="24"/>
          <w:lang w:val="en-US" w:eastAsia="zh-CN"/>
        </w:rPr>
        <w:t>符合国家标准</w:t>
      </w:r>
      <w:r>
        <w:rPr>
          <w:rFonts w:hint="eastAsia"/>
          <w:sz w:val="24"/>
          <w:szCs w:val="24"/>
          <w:lang w:eastAsia="zh-CN"/>
        </w:rPr>
        <w:t>。</w:t>
      </w:r>
    </w:p>
    <w:p>
      <w:pPr>
        <w:pStyle w:val="76"/>
        <w:ind w:left="960" w:leftChars="218" w:hanging="480" w:hangingChars="200"/>
        <w:rPr>
          <w:rFonts w:ascii="宋体" w:hAnsi="宋体"/>
          <w:color w:val="000000"/>
          <w:sz w:val="28"/>
          <w:szCs w:val="28"/>
        </w:rPr>
      </w:pPr>
      <w:r>
        <w:rPr>
          <w:rFonts w:hint="eastAsia" w:asciiTheme="majorEastAsia" w:hAnsiTheme="majorEastAsia" w:eastAsiaTheme="majorEastAsia" w:cstheme="minorEastAsia"/>
          <w:kern w:val="59"/>
          <w:sz w:val="24"/>
          <w:szCs w:val="24"/>
          <w:lang w:eastAsia="zh-CN"/>
        </w:rPr>
        <w:t>(五)产品质量：</w:t>
      </w:r>
      <w:r>
        <w:rPr>
          <w:rFonts w:hint="eastAsia" w:ascii="宋体" w:hAnsi="宋体" w:eastAsia="宋体" w:cs="宋体"/>
          <w:sz w:val="24"/>
          <w:szCs w:val="24"/>
          <w:lang w:val="en-US" w:eastAsia="zh-CN" w:bidi="ar-SA"/>
        </w:rPr>
        <w:t>承包商需为设备提供质保，质保期内设备出现问题，需提供免费维修。</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 xml:space="preserve">2. </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5"/>
        <w:spacing w:line="360" w:lineRule="auto"/>
        <w:ind w:left="308" w:leftChars="-18" w:hanging="348" w:hangingChars="145"/>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left="308" w:leftChars="-18" w:hanging="348" w:hangingChars="145"/>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r>
        <w:rPr>
          <w:rFonts w:hint="eastAsia"/>
          <w:b/>
          <w:w w:val="95"/>
          <w:sz w:val="28"/>
          <w:lang w:eastAsia="zh-CN"/>
        </w:rPr>
        <w:t>：</w:t>
      </w:r>
      <w:r>
        <w:rPr>
          <w:rFonts w:hint="eastAsia"/>
          <w:b/>
          <w:w w:val="95"/>
          <w:sz w:val="28"/>
          <w:lang w:val="en-US" w:eastAsia="zh-CN"/>
        </w:rPr>
        <w:t>无</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3"/>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4"/>
          <w:lang w:val="en-US" w:eastAsia="zh-CN"/>
        </w:rPr>
        <w:t xml:space="preserve">黄梅钦 </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3"/>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 xml:space="preserve">技术联系人：林娇华    电话：15260012724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3800</w:t>
      </w:r>
      <w:r>
        <w:rPr>
          <w:rFonts w:hint="eastAsia" w:asciiTheme="majorEastAsia" w:hAnsiTheme="majorEastAsia" w:eastAsiaTheme="majorEastAsia"/>
          <w:b/>
          <w:bCs/>
          <w:sz w:val="24"/>
          <w:szCs w:val="24"/>
          <w:lang w:eastAsia="zh-CN"/>
        </w:rPr>
        <w:t>元</w:t>
      </w:r>
      <w:r>
        <w:rPr>
          <w:rFonts w:hint="eastAsia" w:asciiTheme="majorEastAsia" w:hAnsiTheme="majorEastAsia" w:eastAsiaTheme="majorEastAsia"/>
          <w:b/>
          <w:bCs/>
          <w:sz w:val="24"/>
          <w:szCs w:val="24"/>
          <w:lang w:val="en-US" w:eastAsia="zh-CN"/>
        </w:rPr>
        <w:t>（含税价）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5"/>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89126"/>
      <w:bookmarkStart w:id="2" w:name="_Toc430422420"/>
      <w:bookmarkStart w:id="3" w:name="_Toc415567504"/>
      <w:bookmarkStart w:id="4" w:name="_Toc430492133"/>
      <w:bookmarkStart w:id="5" w:name="_Toc430488858"/>
      <w:bookmarkStart w:id="6" w:name="_Toc304357904"/>
      <w:bookmarkStart w:id="7" w:name="_Toc430490619"/>
      <w:bookmarkStart w:id="8" w:name="_Toc430488651"/>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5"/>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lang w:val="en-US" w:eastAsia="zh-CN"/>
        </w:rPr>
        <w:t>3800</w:t>
      </w:r>
      <w:r>
        <w:rPr>
          <w:rFonts w:hint="eastAsia"/>
          <w:b/>
          <w:lang w:eastAsia="zh-CN"/>
        </w:rPr>
        <w:t>元（含税价）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5"/>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5"/>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5"/>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福建福海创石油化工有限公司的权属子公司“腾龙芳烃（漳州）有限公司”作为合同执行主体，将于中选通知书发出之日起20日内与中选人完成合同签订事宜。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pStyle w:val="2"/>
        <w:tabs>
          <w:tab w:val="left" w:pos="4344"/>
        </w:tabs>
        <w:spacing w:line="355" w:lineRule="exact"/>
        <w:ind w:left="3082"/>
        <w:rPr>
          <w:rFonts w:hAnsi="Calibri" w:cs="Times New Roman"/>
          <w:b w:val="0"/>
          <w:bCs w:val="0"/>
          <w:sz w:val="34"/>
          <w:szCs w:val="22"/>
          <w:lang w:eastAsia="zh-CN"/>
        </w:rPr>
      </w:pP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电子车底检查镜采购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4"/>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eastAsia="zh-CN"/>
              </w:rPr>
              <w:t xml:space="preserve"> 腾龙芳烃（漳州）有限公司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33"/>
        <w:tblW w:w="9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rPr>
              <w:t>电子车底检查镜</w:t>
            </w:r>
          </w:p>
        </w:tc>
        <w:tc>
          <w:tcPr>
            <w:tcW w:w="2127" w:type="dxa"/>
            <w:vAlign w:val="center"/>
          </w:tcPr>
          <w:p>
            <w:pPr>
              <w:spacing w:line="120" w:lineRule="auto"/>
              <w:jc w:val="center"/>
              <w:rPr>
                <w:sz w:val="24"/>
              </w:rPr>
            </w:pPr>
          </w:p>
        </w:tc>
        <w:tc>
          <w:tcPr>
            <w:tcW w:w="1701" w:type="dxa"/>
            <w:vAlign w:val="center"/>
          </w:tcPr>
          <w:p>
            <w:pPr>
              <w:spacing w:line="120" w:lineRule="auto"/>
              <w:jc w:val="center"/>
              <w:rPr>
                <w:rFonts w:hint="eastAsia" w:eastAsia="宋体"/>
                <w:sz w:val="24"/>
                <w:lang w:val="en-US" w:eastAsia="zh-CN"/>
              </w:rPr>
            </w:pPr>
            <w:r>
              <w:rPr>
                <w:rFonts w:hint="eastAsia"/>
                <w:sz w:val="24"/>
                <w:lang w:val="en-US" w:eastAsia="zh-CN"/>
              </w:rPr>
              <w:t>2台</w:t>
            </w: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6858"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r>
        <w:rPr>
          <w:rFonts w:hint="eastAsia"/>
          <w:sz w:val="24"/>
          <w:lang w:eastAsia="zh-CN"/>
        </w:rPr>
        <w:t>（以甲方提供的送货清单和地址明细为准）</w:t>
      </w:r>
    </w:p>
    <w:p>
      <w:pPr>
        <w:spacing w:line="288" w:lineRule="auto"/>
        <w:ind w:firstLine="240" w:firstLineChars="100"/>
        <w:jc w:val="both"/>
        <w:rPr>
          <w:sz w:val="24"/>
          <w:lang w:eastAsia="zh-CN"/>
        </w:rPr>
      </w:pPr>
      <w:r>
        <w:rPr>
          <w:rFonts w:hint="eastAsia"/>
          <w:sz w:val="24"/>
          <w:lang w:eastAsia="zh-CN"/>
        </w:rPr>
        <w:t>2.3交货时间：</w:t>
      </w:r>
      <w:r>
        <w:rPr>
          <w:sz w:val="24"/>
          <w:u w:val="single"/>
          <w:lang w:eastAsia="zh-CN"/>
        </w:rPr>
        <w:t xml:space="preserve"> </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sz w:val="24"/>
          <w:u w:val="single"/>
          <w:lang w:eastAsia="zh-CN"/>
        </w:rPr>
        <w:t>个月内货到现场且须</w:t>
      </w:r>
      <w:r>
        <w:rPr>
          <w:rFonts w:hint="eastAsia"/>
          <w:sz w:val="24"/>
          <w:szCs w:val="24"/>
          <w:u w:val="single"/>
          <w:lang w:eastAsia="zh-CN"/>
        </w:rPr>
        <w:t>保证仪器到货时仪器的各个系统完整性。</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val="en-US" w:eastAsia="zh-CN"/>
        </w:rPr>
        <w:t>100</w:t>
      </w:r>
      <w:r>
        <w:rPr>
          <w:sz w:val="24"/>
          <w:u w:val="single"/>
          <w:lang w:eastAsia="zh-CN"/>
        </w:rPr>
        <w:t xml:space="preserve"> </w:t>
      </w:r>
      <w:r>
        <w:rPr>
          <w:rFonts w:hint="eastAsia"/>
          <w:sz w:val="24"/>
          <w:lang w:eastAsia="zh-CN"/>
        </w:rPr>
        <w:t>%，剩余合同价款总额的【0】%作为质量保证金，待质量保证期满且乙方无结欠甲方款项或债务的情况下无息退还。</w:t>
      </w:r>
    </w:p>
    <w:p>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ind w:firstLine="480" w:firstLineChars="200"/>
        <w:rPr>
          <w:sz w:val="24"/>
          <w:lang w:eastAsia="zh-CN"/>
        </w:rPr>
      </w:pPr>
      <w:r>
        <w:rPr>
          <w:rFonts w:hint="eastAsia"/>
          <w:sz w:val="24"/>
          <w:lang w:eastAsia="zh-CN"/>
        </w:rPr>
        <w:t>4、质量要求和技术标准</w:t>
      </w:r>
    </w:p>
    <w:p>
      <w:pPr>
        <w:spacing w:line="360" w:lineRule="auto"/>
        <w:rPr>
          <w:b w:val="0"/>
          <w:bCs w:val="0"/>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firstLine="480"/>
        <w:rPr>
          <w:rFonts w:hint="eastAsia"/>
          <w:sz w:val="24"/>
          <w:lang w:eastAsia="zh-CN"/>
        </w:rPr>
      </w:pPr>
      <w:r>
        <w:rPr>
          <w:rFonts w:hint="eastAsia"/>
          <w:sz w:val="24"/>
          <w:lang w:eastAsia="zh-CN"/>
        </w:rPr>
        <w:t>4.4乙方不按本合同约定交付产品所产生的任何费用由乙方自己承担。</w:t>
      </w:r>
    </w:p>
    <w:p>
      <w:pPr>
        <w:spacing w:line="360" w:lineRule="auto"/>
        <w:ind w:firstLine="480" w:firstLineChars="200"/>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ascii="MS Gothic" w:hAnsi="MS Gothic" w:eastAsia="MS Gothic" w:cs="MS Gothic"/>
            <w:sz w:val="24"/>
          </w:rPr>
          <w:id w:val="-22404436"/>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r>
        <w:rPr>
          <w:rFonts w:hint="eastAsia" w:ascii="宋体" w:hAnsi="宋体" w:eastAsia="宋体" w:cs="宋体"/>
          <w:sz w:val="24"/>
          <w:szCs w:val="22"/>
          <w:u w:val="single"/>
          <w:lang w:val="en-US" w:eastAsia="zh-CN" w:bidi="ar-SA"/>
        </w:rPr>
        <w:t xml:space="preserve"> </w:t>
      </w:r>
      <w:r>
        <w:rPr>
          <w:rFonts w:hint="eastAsia" w:cs="宋体"/>
          <w:sz w:val="24"/>
          <w:szCs w:val="22"/>
          <w:u w:val="single"/>
          <w:lang w:val="en-US" w:eastAsia="zh-CN" w:bidi="ar-SA"/>
        </w:rPr>
        <w:t xml:space="preserve">           </w:t>
      </w:r>
      <w:r>
        <w:rPr>
          <w:rFonts w:hint="eastAsia" w:ascii="宋体" w:hAnsi="宋体" w:eastAsia="宋体" w:cs="宋体"/>
          <w:sz w:val="24"/>
          <w:szCs w:val="22"/>
          <w:u w:val="single"/>
          <w:lang w:val="en-US" w:eastAsia="zh-CN" w:bidi="ar-SA"/>
        </w:rPr>
        <w:t xml:space="preserve">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360" w:lineRule="auto"/>
        <w:ind w:firstLine="480" w:firstLineChars="200"/>
        <w:rPr>
          <w:sz w:val="24"/>
          <w:u w:val="single"/>
          <w:lang w:eastAsia="zh-CN"/>
        </w:rPr>
      </w:pPr>
      <w:sdt>
        <w:sdtPr>
          <w:rPr>
            <w:rFonts w:hint="eastAsia" w:ascii="MS Gothic" w:hAnsi="MS Gothic" w:eastAsia="MS Gothic" w:cs="MS Gothic"/>
            <w:sz w:val="24"/>
          </w:rPr>
          <w:id w:val="142753769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ascii="宋体" w:hAnsi="宋体" w:eastAsia="宋体" w:cs="宋体"/>
          <w:sz w:val="24"/>
          <w:szCs w:val="22"/>
          <w:u w:val="single"/>
          <w:lang w:val="en-US" w:eastAsia="zh-CN" w:bidi="ar-SA"/>
        </w:rPr>
        <w:t xml:space="preserve">     </w:t>
      </w:r>
      <w:r>
        <w:rPr>
          <w:rFonts w:hint="eastAsia" w:cs="宋体"/>
          <w:sz w:val="24"/>
          <w:szCs w:val="22"/>
          <w:u w:val="single"/>
          <w:lang w:val="en-US" w:eastAsia="zh-CN" w:bidi="ar-SA"/>
        </w:rPr>
        <w:t xml:space="preserve">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pStyle w:val="76"/>
        <w:ind w:firstLine="560"/>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合格证、产品说明书、保修卡等相关资料。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ind w:left="0" w:leftChars="0" w:firstLine="360" w:firstLineChars="150"/>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0" w:leftChars="0" w:firstLine="319" w:firstLineChars="133"/>
        <w:rPr>
          <w:b w:val="0"/>
          <w:bCs/>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val="0"/>
          <w:bCs/>
          <w:sz w:val="24"/>
          <w:lang w:eastAsia="zh-CN"/>
        </w:rPr>
        <w:t>；两者要求不一致的，适用对产品更为严格的标准。</w:t>
      </w:r>
    </w:p>
    <w:p>
      <w:pPr>
        <w:spacing w:line="360" w:lineRule="auto"/>
        <w:ind w:left="0" w:leftChars="0" w:firstLine="319" w:firstLineChars="133"/>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left="0" w:leftChars="0" w:firstLine="319" w:firstLineChars="133"/>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val="en-US" w:eastAsia="zh-CN"/>
        </w:rPr>
        <w:t>12</w:t>
      </w:r>
      <w:r>
        <w:rPr>
          <w:rFonts w:hint="eastAsia"/>
          <w:b w:val="0"/>
          <w:bCs w:val="0"/>
          <w:sz w:val="24"/>
          <w:lang w:eastAsia="zh-CN"/>
        </w:rPr>
        <w:t>个月</w:t>
      </w:r>
      <w:r>
        <w:rPr>
          <w:rFonts w:hint="eastAsia"/>
          <w:sz w:val="24"/>
          <w:lang w:eastAsia="zh-CN"/>
        </w:rPr>
        <w:t xml:space="preserve">。  </w:t>
      </w:r>
    </w:p>
    <w:p>
      <w:pPr>
        <w:spacing w:line="360" w:lineRule="auto"/>
        <w:ind w:firstLine="240" w:firstLineChars="100"/>
        <w:rPr>
          <w:b w:val="0"/>
          <w:bCs w:val="0"/>
          <w:sz w:val="24"/>
          <w:lang w:eastAsia="zh-CN"/>
        </w:rPr>
      </w:pPr>
      <w:r>
        <w:rPr>
          <w:rFonts w:hint="eastAsia"/>
          <w:sz w:val="24"/>
          <w:lang w:eastAsia="zh-CN"/>
        </w:rPr>
        <w:t xml:space="preserve"> 7.2质量保证期内，产品因自身原因出现故障、损坏或性能等不满足要求等时，乙方在应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0" w:firstLineChars="100"/>
        <w:rPr>
          <w:b w:val="0"/>
          <w:bCs w:val="0"/>
          <w:sz w:val="24"/>
          <w:lang w:eastAsia="zh-CN"/>
        </w:rPr>
      </w:pPr>
      <w:r>
        <w:rPr>
          <w:rFonts w:hint="eastAsia"/>
          <w:b w:val="0"/>
          <w:bCs w:val="0"/>
          <w:sz w:val="24"/>
          <w:lang w:eastAsia="zh-CN"/>
        </w:rPr>
        <w:t xml:space="preserve"> 7.3</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rPr>
          <w:b w:val="0"/>
          <w:bCs w:val="0"/>
          <w:sz w:val="24"/>
          <w:lang w:eastAsia="zh-CN"/>
        </w:rPr>
      </w:pPr>
      <w:r>
        <w:rPr>
          <w:rFonts w:hint="eastAsia"/>
          <w:b w:val="0"/>
          <w:bCs w:val="0"/>
          <w:sz w:val="24"/>
          <w:lang w:eastAsia="zh-CN"/>
        </w:rPr>
        <w:t xml:space="preserve">   7.4</w:t>
      </w:r>
      <w:r>
        <w:rPr>
          <w:b w:val="0"/>
          <w:bCs w:val="0"/>
          <w:sz w:val="24"/>
          <w:lang w:eastAsia="zh-CN"/>
        </w:rPr>
        <w:t>.</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firstLine="360" w:firstLineChars="150"/>
        <w:rPr>
          <w:b w:val="0"/>
          <w:bCs w:val="0"/>
          <w:sz w:val="24"/>
          <w:lang w:eastAsia="zh-CN"/>
        </w:rPr>
      </w:pPr>
      <w:r>
        <w:rPr>
          <w:rFonts w:hint="eastAsia"/>
          <w:b w:val="0"/>
          <w:bCs w:val="0"/>
          <w:sz w:val="24"/>
          <w:lang w:eastAsia="zh-CN"/>
        </w:rPr>
        <w:t>7.5产品质量缺陷责任：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b w:val="0"/>
          <w:bCs w:val="0"/>
          <w:sz w:val="24"/>
          <w:lang w:eastAsia="zh-CN"/>
        </w:rPr>
      </w:pPr>
      <w:r>
        <w:rPr>
          <w:rFonts w:hint="eastAsia"/>
          <w:sz w:val="24"/>
          <w:lang w:eastAsia="zh-CN"/>
        </w:rPr>
        <w:t xml:space="preserve">   8.1乙方逾期交货的，每日按照合同总额的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rPr>
          <w:b w:val="0"/>
          <w:bCs w:val="0"/>
          <w:sz w:val="24"/>
          <w:lang w:eastAsia="zh-CN"/>
        </w:rPr>
      </w:pPr>
      <w:r>
        <w:rPr>
          <w:rFonts w:hint="eastAsia"/>
          <w:b w:val="0"/>
          <w:bCs w:val="0"/>
          <w:sz w:val="24"/>
          <w:lang w:eastAsia="zh-CN"/>
        </w:rPr>
        <w:t xml:space="preserve">   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rPr>
          <w:sz w:val="24"/>
          <w:lang w:eastAsia="zh-CN"/>
        </w:rPr>
      </w:pPr>
      <w:r>
        <w:rPr>
          <w:rFonts w:hint="eastAsia"/>
          <w:sz w:val="24"/>
          <w:lang w:eastAsia="zh-CN"/>
        </w:rPr>
        <w:t xml:space="preserve">   8.3 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3"/>
        </w:numPr>
        <w:spacing w:line="360" w:lineRule="auto"/>
        <w:ind w:firstLine="480" w:firstLineChars="200"/>
        <w:rPr>
          <w:rFonts w:hint="eastAsia"/>
          <w:sz w:val="24"/>
          <w:lang w:eastAsia="zh-CN"/>
        </w:rPr>
      </w:pPr>
      <w:r>
        <w:rPr>
          <w:rFonts w:hint="eastAsia"/>
          <w:sz w:val="24"/>
          <w:lang w:eastAsia="zh-CN"/>
        </w:rPr>
        <w:t>本合同一式四份，经双方签订后生效，甲方执三份、乙方执一份，具有同等效力。</w:t>
      </w:r>
    </w:p>
    <w:tbl>
      <w:tblPr>
        <w:tblStyle w:val="34"/>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lang w:eastAsia="zh-CN"/>
              </w:rPr>
              <w:t>甲方：腾龙芳烃（漳州）有限公司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5"/>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电子车底检查镜</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5"/>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5"/>
        <w:rPr>
          <w:rFonts w:ascii="Times New Roman" w:hAnsi="Times New Roman"/>
        </w:rPr>
      </w:pPr>
    </w:p>
    <w:p>
      <w:pPr>
        <w:pStyle w:val="35"/>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5"/>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pStyle w:val="35"/>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5"/>
      </w:pPr>
    </w:p>
    <w:p>
      <w:pPr>
        <w:pStyle w:val="35"/>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5"/>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5"/>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电子车底检查镜采购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5"/>
        <w:rPr>
          <w:color w:val="0000FF"/>
          <w:kern w:val="2"/>
        </w:rPr>
      </w:pPr>
    </w:p>
    <w:p>
      <w:pPr>
        <w:pStyle w:val="35"/>
        <w:jc w:val="center"/>
        <w:rPr>
          <w:color w:val="0000FF"/>
          <w:kern w:val="2"/>
        </w:rPr>
      </w:pPr>
    </w:p>
    <w:p>
      <w:pPr>
        <w:pStyle w:val="35"/>
        <w:jc w:val="center"/>
        <w:rPr>
          <w:color w:val="0000FF"/>
          <w:kern w:val="2"/>
        </w:rPr>
      </w:pPr>
    </w:p>
    <w:p>
      <w:pPr>
        <w:pStyle w:val="35"/>
      </w:pPr>
      <w:r>
        <w:rPr>
          <w:rFonts w:hint="eastAsia"/>
          <w:b/>
          <w:sz w:val="28"/>
          <w:szCs w:val="28"/>
        </w:rPr>
        <w:t>附件4</w:t>
      </w:r>
    </w:p>
    <w:p>
      <w:pPr>
        <w:pStyle w:val="35"/>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5"/>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电子车底检查镜采购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5"/>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5"/>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5"/>
        <w:jc w:val="center"/>
        <w:rPr>
          <w:color w:val="4E6127"/>
        </w:rPr>
      </w:pPr>
    </w:p>
    <w:p>
      <w:pPr>
        <w:pStyle w:val="35"/>
        <w:jc w:val="center"/>
      </w:pPr>
    </w:p>
    <w:p>
      <w:pPr>
        <w:pStyle w:val="35"/>
      </w:pPr>
    </w:p>
    <w:p>
      <w:pPr>
        <w:pStyle w:val="35"/>
      </w:pPr>
    </w:p>
    <w:p>
      <w:pPr>
        <w:pStyle w:val="35"/>
      </w:pPr>
    </w:p>
    <w:p>
      <w:pPr>
        <w:pStyle w:val="35"/>
      </w:pPr>
    </w:p>
    <w:p>
      <w:pPr>
        <w:pStyle w:val="35"/>
      </w:pPr>
    </w:p>
    <w:p>
      <w:pPr>
        <w:pStyle w:val="35"/>
      </w:pPr>
    </w:p>
    <w:p>
      <w:pPr>
        <w:pStyle w:val="35"/>
      </w:pPr>
    </w:p>
    <w:p>
      <w:pPr>
        <w:pStyle w:val="35"/>
      </w:pPr>
    </w:p>
    <w:p>
      <w:pPr>
        <w:pStyle w:val="35"/>
      </w:pPr>
    </w:p>
    <w:p>
      <w:pPr>
        <w:pStyle w:val="39"/>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电子车底检查镜</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35"/>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5"/>
        <w:spacing w:line="360" w:lineRule="auto"/>
        <w:rPr>
          <w:sz w:val="24"/>
          <w:szCs w:val="24"/>
        </w:rPr>
      </w:pPr>
      <w:r>
        <w:rPr>
          <w:rFonts w:hint="eastAsia"/>
          <w:sz w:val="24"/>
          <w:szCs w:val="24"/>
        </w:rPr>
        <w:t xml:space="preserve">           2、付款方式：1）无预付款 ；</w:t>
      </w:r>
    </w:p>
    <w:p>
      <w:pPr>
        <w:pStyle w:val="35"/>
        <w:spacing w:line="360" w:lineRule="auto"/>
        <w:rPr>
          <w:sz w:val="24"/>
          <w:szCs w:val="24"/>
        </w:rPr>
      </w:pPr>
      <w:r>
        <w:rPr>
          <w:rFonts w:hint="eastAsia"/>
          <w:sz w:val="24"/>
          <w:szCs w:val="24"/>
        </w:rPr>
        <w:t xml:space="preserve">                        2）货到现场，验收合格后支付合同款的90%；</w:t>
      </w:r>
    </w:p>
    <w:p>
      <w:pPr>
        <w:pStyle w:val="35"/>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24</w:t>
      </w:r>
      <w:r>
        <w:rPr>
          <w:rFonts w:hint="eastAsia"/>
          <w:sz w:val="24"/>
          <w:szCs w:val="24"/>
        </w:rPr>
        <w:t>个月。</w:t>
      </w:r>
    </w:p>
    <w:p>
      <w:pPr>
        <w:pStyle w:val="35"/>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5"/>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35"/>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spacing w:line="360" w:lineRule="auto"/>
        <w:rPr>
          <w:b/>
          <w:bCs/>
          <w:sz w:val="24"/>
          <w:szCs w:val="24"/>
          <w:lang w:eastAsia="zh-CN"/>
        </w:rPr>
      </w:pPr>
      <w:r>
        <w:rPr>
          <w:rFonts w:hint="eastAsia"/>
          <w:b/>
          <w:bCs/>
          <w:sz w:val="24"/>
          <w:szCs w:val="24"/>
          <w:lang w:eastAsia="zh-CN"/>
        </w:rPr>
        <w:t>附表：</w:t>
      </w:r>
    </w:p>
    <w:tbl>
      <w:tblPr>
        <w:tblStyle w:val="33"/>
        <w:tblpPr w:leftFromText="180" w:rightFromText="180" w:vertAnchor="text" w:horzAnchor="margin" w:tblpXSpec="center" w:tblpY="377"/>
        <w:tblW w:w="10140" w:type="dxa"/>
        <w:tblInd w:w="0" w:type="dxa"/>
        <w:tblLayout w:type="fixed"/>
        <w:tblCellMar>
          <w:top w:w="0" w:type="dxa"/>
          <w:left w:w="108" w:type="dxa"/>
          <w:bottom w:w="0" w:type="dxa"/>
          <w:right w:w="108" w:type="dxa"/>
        </w:tblCellMar>
      </w:tblPr>
      <w:tblGrid>
        <w:gridCol w:w="575"/>
        <w:gridCol w:w="2015"/>
        <w:gridCol w:w="3174"/>
        <w:gridCol w:w="724"/>
        <w:gridCol w:w="965"/>
        <w:gridCol w:w="1116"/>
        <w:gridCol w:w="1571"/>
      </w:tblGrid>
      <w:tr>
        <w:tblPrEx>
          <w:tblLayout w:type="fixed"/>
          <w:tblCellMar>
            <w:top w:w="0" w:type="dxa"/>
            <w:left w:w="108" w:type="dxa"/>
            <w:bottom w:w="0" w:type="dxa"/>
            <w:right w:w="108" w:type="dxa"/>
          </w:tblCellMar>
        </w:tblPrEx>
        <w:trPr>
          <w:trHeight w:val="956" w:hRule="atLeast"/>
        </w:trPr>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20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317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型号规格</w:t>
            </w:r>
          </w:p>
        </w:tc>
        <w:tc>
          <w:tcPr>
            <w:tcW w:w="72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35"/>
              <w:jc w:val="center"/>
              <w:rPr>
                <w:rFonts w:hAnsi="宋体" w:cs="宋体"/>
                <w:sz w:val="24"/>
                <w:szCs w:val="24"/>
              </w:rPr>
            </w:pPr>
            <w:r>
              <w:rPr>
                <w:rFonts w:hint="eastAsia" w:hAnsi="宋体" w:cs="宋体"/>
                <w:sz w:val="24"/>
                <w:szCs w:val="24"/>
              </w:rPr>
              <w:t>（元）</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35"/>
              <w:jc w:val="center"/>
              <w:rPr>
                <w:rFonts w:hAnsi="宋体" w:cs="宋体"/>
                <w:sz w:val="24"/>
                <w:szCs w:val="24"/>
              </w:rPr>
            </w:pPr>
            <w:r>
              <w:rPr>
                <w:rFonts w:hint="eastAsia" w:hAnsi="宋体" w:cs="宋体"/>
                <w:sz w:val="24"/>
                <w:szCs w:val="24"/>
              </w:rPr>
              <w:t>（元）</w:t>
            </w:r>
          </w:p>
        </w:tc>
        <w:tc>
          <w:tcPr>
            <w:tcW w:w="1571"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品牌</w:t>
            </w:r>
          </w:p>
        </w:tc>
      </w:tr>
      <w:tr>
        <w:tblPrEx>
          <w:tblLayout w:type="fixed"/>
          <w:tblCellMar>
            <w:top w:w="0" w:type="dxa"/>
            <w:left w:w="108" w:type="dxa"/>
            <w:bottom w:w="0" w:type="dxa"/>
            <w:right w:w="108" w:type="dxa"/>
          </w:tblCellMar>
        </w:tblPrEx>
        <w:trPr>
          <w:trHeight w:val="1607" w:hRule="atLeast"/>
        </w:trPr>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201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电子车底检查镜</w:t>
            </w:r>
          </w:p>
        </w:tc>
        <w:tc>
          <w:tcPr>
            <w:tcW w:w="3174" w:type="dxa"/>
            <w:tcBorders>
              <w:top w:val="single" w:color="auto" w:sz="4" w:space="0"/>
              <w:left w:val="nil"/>
              <w:bottom w:val="single" w:color="auto" w:sz="4" w:space="0"/>
              <w:right w:val="single" w:color="auto" w:sz="4" w:space="0"/>
            </w:tcBorders>
            <w:shd w:val="clear" w:color="auto" w:fill="auto"/>
            <w:vAlign w:val="center"/>
          </w:tcPr>
          <w:p>
            <w:pPr>
              <w:pStyle w:val="76"/>
              <w:ind w:left="0" w:leftChars="0" w:firstLine="0" w:firstLineChars="0"/>
              <w:rPr>
                <w:rFonts w:hAnsi="宋体" w:cs="宋体"/>
                <w:sz w:val="24"/>
                <w:szCs w:val="24"/>
              </w:rPr>
            </w:pPr>
            <w:r>
              <w:rPr>
                <w:rFonts w:hint="eastAsia" w:ascii="宋体" w:hAnsi="宋体" w:eastAsia="宋体" w:cs="宋体"/>
                <w:i w:val="0"/>
                <w:color w:val="000000"/>
                <w:kern w:val="0"/>
                <w:sz w:val="22"/>
                <w:szCs w:val="22"/>
                <w:u w:val="none"/>
                <w:lang w:val="en-US" w:eastAsia="zh-CN" w:bidi="ar"/>
              </w:rPr>
              <w:t>可录像，16G内存，拉杆最长1.4米，7寸高清显示屏，耐磨万向轮、自动红外线夜视功能，</w:t>
            </w:r>
            <w:r>
              <w:rPr>
                <w:rFonts w:hint="eastAsia" w:ascii="宋体" w:hAnsi="宋体" w:cs="宋体"/>
                <w:i w:val="0"/>
                <w:color w:val="000000"/>
                <w:kern w:val="0"/>
                <w:sz w:val="22"/>
                <w:szCs w:val="22"/>
                <w:u w:val="none"/>
                <w:lang w:val="en-US" w:eastAsia="zh-CN" w:bidi="ar"/>
              </w:rPr>
              <w:t>配</w:t>
            </w:r>
            <w:r>
              <w:rPr>
                <w:rFonts w:hint="eastAsia" w:ascii="宋体" w:hAnsi="宋体" w:eastAsia="宋体" w:cs="宋体"/>
                <w:i w:val="0"/>
                <w:color w:val="000000"/>
                <w:kern w:val="0"/>
                <w:sz w:val="22"/>
                <w:szCs w:val="22"/>
                <w:u w:val="none"/>
                <w:lang w:val="en-US" w:eastAsia="zh-CN" w:bidi="ar"/>
              </w:rPr>
              <w:t>可充电锂电池</w:t>
            </w:r>
          </w:p>
        </w:tc>
        <w:tc>
          <w:tcPr>
            <w:tcW w:w="72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val="en-US" w:eastAsia="zh-CN"/>
              </w:rPr>
              <w:t>2</w:t>
            </w:r>
            <w:r>
              <w:rPr>
                <w:rFonts w:hint="eastAsia"/>
                <w:sz w:val="24"/>
                <w:szCs w:val="24"/>
                <w:lang w:eastAsia="zh-CN"/>
              </w:rPr>
              <w:t>台</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71" w:type="dxa"/>
            <w:tcBorders>
              <w:top w:val="single" w:color="auto" w:sz="4" w:space="0"/>
              <w:left w:val="nil"/>
              <w:right w:val="single" w:color="auto" w:sz="4" w:space="0"/>
            </w:tcBorders>
            <w:shd w:val="clear" w:color="auto" w:fill="auto"/>
            <w:vAlign w:val="center"/>
          </w:tcPr>
          <w:p>
            <w:pPr>
              <w:widowControl/>
              <w:autoSpaceDE/>
              <w:autoSpaceDN/>
              <w:jc w:val="center"/>
              <w:rPr>
                <w:sz w:val="24"/>
                <w:szCs w:val="24"/>
                <w:lang w:eastAsia="zh-CN"/>
              </w:rPr>
            </w:pPr>
          </w:p>
        </w:tc>
      </w:tr>
      <w:tr>
        <w:tblPrEx>
          <w:tblLayout w:type="fixed"/>
          <w:tblCellMar>
            <w:top w:w="0" w:type="dxa"/>
            <w:left w:w="108" w:type="dxa"/>
            <w:bottom w:w="0" w:type="dxa"/>
            <w:right w:w="108" w:type="dxa"/>
          </w:tblCellMar>
        </w:tblPrEx>
        <w:trPr>
          <w:trHeight w:val="759" w:hRule="atLeast"/>
        </w:trPr>
        <w:tc>
          <w:tcPr>
            <w:tcW w:w="745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2687"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9"/>
        <w:spacing w:beforeLines="0" w:afterLines="0"/>
        <w:ind w:firstLine="0" w:firstLineChars="0"/>
        <w:rPr>
          <w:rFonts w:ascii="Times New Roman"/>
          <w:bCs w:val="0"/>
          <w:sz w:val="24"/>
          <w:szCs w:val="24"/>
          <w:lang w:eastAsia="zh-CN"/>
        </w:rPr>
      </w:pPr>
    </w:p>
    <w:p>
      <w:pPr>
        <w:rPr>
          <w:rFonts w:hint="eastAsia" w:ascii="黑体" w:eastAsia="黑体"/>
          <w:b/>
          <w:sz w:val="44"/>
          <w:szCs w:val="44"/>
          <w:lang w:eastAsia="zh-CN"/>
        </w:rPr>
      </w:pP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D9F109"/>
    <w:multiLevelType w:val="singleLevel"/>
    <w:tmpl w:val="63D9F109"/>
    <w:lvl w:ilvl="0" w:tentative="0">
      <w:start w:val="1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B7606CD"/>
    <w:rsid w:val="0CEC2637"/>
    <w:rsid w:val="0D704EEE"/>
    <w:rsid w:val="0EEC5213"/>
    <w:rsid w:val="0FBB2AA9"/>
    <w:rsid w:val="10294AA3"/>
    <w:rsid w:val="10E40CA0"/>
    <w:rsid w:val="119B15AF"/>
    <w:rsid w:val="136130D9"/>
    <w:rsid w:val="14530DB8"/>
    <w:rsid w:val="15342061"/>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5A20865"/>
    <w:rsid w:val="25BF356F"/>
    <w:rsid w:val="25DB0C2D"/>
    <w:rsid w:val="269469E7"/>
    <w:rsid w:val="29FC3B14"/>
    <w:rsid w:val="2AB2657F"/>
    <w:rsid w:val="2B11792E"/>
    <w:rsid w:val="2CA57894"/>
    <w:rsid w:val="2EB074DD"/>
    <w:rsid w:val="306C6CAE"/>
    <w:rsid w:val="30D575BA"/>
    <w:rsid w:val="31C54755"/>
    <w:rsid w:val="3216608C"/>
    <w:rsid w:val="3268767C"/>
    <w:rsid w:val="34CE14C6"/>
    <w:rsid w:val="34D84CEC"/>
    <w:rsid w:val="37AF5AB7"/>
    <w:rsid w:val="3B1C3371"/>
    <w:rsid w:val="3BB245ED"/>
    <w:rsid w:val="3CC23198"/>
    <w:rsid w:val="3DDF4815"/>
    <w:rsid w:val="3FE669E5"/>
    <w:rsid w:val="416E4815"/>
    <w:rsid w:val="483E701C"/>
    <w:rsid w:val="492B4BE8"/>
    <w:rsid w:val="49A31EDC"/>
    <w:rsid w:val="4BEC1A5B"/>
    <w:rsid w:val="4DF91097"/>
    <w:rsid w:val="4F6A14CC"/>
    <w:rsid w:val="500F48EF"/>
    <w:rsid w:val="50F63E28"/>
    <w:rsid w:val="51F22D0D"/>
    <w:rsid w:val="52105747"/>
    <w:rsid w:val="5221007F"/>
    <w:rsid w:val="52926B5A"/>
    <w:rsid w:val="532903B4"/>
    <w:rsid w:val="545C5E51"/>
    <w:rsid w:val="5486175B"/>
    <w:rsid w:val="56BD11E9"/>
    <w:rsid w:val="575C4DBC"/>
    <w:rsid w:val="57667D24"/>
    <w:rsid w:val="57CE5BC3"/>
    <w:rsid w:val="59F5351B"/>
    <w:rsid w:val="5A806ED1"/>
    <w:rsid w:val="5A872A61"/>
    <w:rsid w:val="5AE1516A"/>
    <w:rsid w:val="5B6A3A79"/>
    <w:rsid w:val="5C1A5F7B"/>
    <w:rsid w:val="5C8277EA"/>
    <w:rsid w:val="5CC36560"/>
    <w:rsid w:val="5E88034A"/>
    <w:rsid w:val="61AA2B18"/>
    <w:rsid w:val="61AE1852"/>
    <w:rsid w:val="627C4924"/>
    <w:rsid w:val="645771F8"/>
    <w:rsid w:val="68B757AA"/>
    <w:rsid w:val="6A54112D"/>
    <w:rsid w:val="6A5912F3"/>
    <w:rsid w:val="6AA035AE"/>
    <w:rsid w:val="6D2A2CD8"/>
    <w:rsid w:val="6E0F2E14"/>
    <w:rsid w:val="6E1A1323"/>
    <w:rsid w:val="6EAC3A35"/>
    <w:rsid w:val="6F1E141D"/>
    <w:rsid w:val="6F5354F8"/>
    <w:rsid w:val="71DE44CD"/>
    <w:rsid w:val="73AC2FC5"/>
    <w:rsid w:val="740A2BDE"/>
    <w:rsid w:val="749E5291"/>
    <w:rsid w:val="751839E0"/>
    <w:rsid w:val="75647DB0"/>
    <w:rsid w:val="76274F93"/>
    <w:rsid w:val="77092B5C"/>
    <w:rsid w:val="778B1930"/>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99"/>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3">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8"/>
    <w:qFormat/>
    <w:uiPriority w:val="1"/>
    <w:rPr>
      <w:sz w:val="24"/>
      <w:szCs w:val="24"/>
    </w:rPr>
  </w:style>
  <w:style w:type="paragraph" w:styleId="10">
    <w:name w:val="Body Text Indent"/>
    <w:basedOn w:val="1"/>
    <w:link w:val="62"/>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4"/>
    <w:qFormat/>
    <w:uiPriority w:val="99"/>
    <w:rPr>
      <w:rFonts w:hAnsi="Courier New" w:cs="Courier New"/>
      <w:szCs w:val="21"/>
    </w:rPr>
  </w:style>
  <w:style w:type="paragraph" w:styleId="13">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3"/>
    <w:qFormat/>
    <w:uiPriority w:val="0"/>
    <w:pPr>
      <w:spacing w:after="120" w:line="480" w:lineRule="auto"/>
      <w:ind w:left="420" w:leftChars="200"/>
    </w:pPr>
  </w:style>
  <w:style w:type="paragraph" w:styleId="15">
    <w:name w:val="Balloon Text"/>
    <w:basedOn w:val="1"/>
    <w:link w:val="44"/>
    <w:qFormat/>
    <w:uiPriority w:val="99"/>
    <w:rPr>
      <w:sz w:val="18"/>
      <w:szCs w:val="18"/>
    </w:rPr>
  </w:style>
  <w:style w:type="paragraph" w:styleId="16">
    <w:name w:val="footer"/>
    <w:basedOn w:val="1"/>
    <w:link w:val="45"/>
    <w:qFormat/>
    <w:uiPriority w:val="99"/>
    <w:pPr>
      <w:tabs>
        <w:tab w:val="center" w:pos="4153"/>
        <w:tab w:val="right" w:pos="8306"/>
      </w:tabs>
      <w:snapToGrid w:val="0"/>
    </w:pPr>
    <w:rPr>
      <w:sz w:val="18"/>
      <w:szCs w:val="18"/>
    </w:rPr>
  </w:style>
  <w:style w:type="paragraph" w:styleId="17">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2"/>
    <w:qFormat/>
    <w:uiPriority w:val="0"/>
    <w:pPr>
      <w:spacing w:after="120" w:line="480" w:lineRule="auto"/>
    </w:pPr>
  </w:style>
  <w:style w:type="paragraph" w:styleId="22">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TML Definition"/>
    <w:basedOn w:val="23"/>
    <w:uiPriority w:val="0"/>
  </w:style>
  <w:style w:type="character" w:styleId="29">
    <w:name w:val="HTML Variable"/>
    <w:basedOn w:val="23"/>
    <w:qFormat/>
    <w:uiPriority w:val="0"/>
  </w:style>
  <w:style w:type="character" w:styleId="30">
    <w:name w:val="Hyperlink"/>
    <w:basedOn w:val="23"/>
    <w:qFormat/>
    <w:uiPriority w:val="99"/>
    <w:rPr>
      <w:color w:val="0000FF"/>
      <w:u w:val="single"/>
    </w:rPr>
  </w:style>
  <w:style w:type="character" w:styleId="31">
    <w:name w:val="HTML Code"/>
    <w:basedOn w:val="23"/>
    <w:qFormat/>
    <w:uiPriority w:val="0"/>
    <w:rPr>
      <w:rFonts w:ascii="Courier New" w:hAnsi="Courier New"/>
      <w:sz w:val="20"/>
    </w:rPr>
  </w:style>
  <w:style w:type="character" w:styleId="32">
    <w:name w:val="HTML Cite"/>
    <w:basedOn w:val="23"/>
    <w:uiPriority w:val="0"/>
  </w:style>
  <w:style w:type="table" w:styleId="34">
    <w:name w:val="Table Grid"/>
    <w:basedOn w:val="3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5">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列出段落1"/>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3"/>
    <w:link w:val="13"/>
    <w:qFormat/>
    <w:uiPriority w:val="99"/>
    <w:rPr>
      <w:rFonts w:asciiTheme="minorHAnsi" w:hAnsiTheme="minorHAnsi" w:eastAsiaTheme="minorEastAsia" w:cstheme="minorBidi"/>
      <w:kern w:val="2"/>
      <w:sz w:val="21"/>
      <w:szCs w:val="22"/>
    </w:rPr>
  </w:style>
  <w:style w:type="paragraph" w:customStyle="1" w:styleId="41">
    <w:name w:val="样式1"/>
    <w:basedOn w:val="1"/>
    <w:link w:val="79"/>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3"/>
    <w:qFormat/>
    <w:uiPriority w:val="0"/>
    <w:rPr>
      <w:color w:val="0000FF"/>
      <w:sz w:val="18"/>
      <w:szCs w:val="18"/>
      <w:u w:val="none"/>
      <w:bdr w:val="single" w:color="DCDCDC" w:sz="8" w:space="0"/>
      <w:shd w:val="clear" w:color="auto" w:fill="FFFFFF"/>
    </w:rPr>
  </w:style>
  <w:style w:type="character" w:customStyle="1" w:styleId="44">
    <w:name w:val="批注框文本 Char"/>
    <w:basedOn w:val="23"/>
    <w:link w:val="15"/>
    <w:qFormat/>
    <w:uiPriority w:val="99"/>
    <w:rPr>
      <w:rFonts w:ascii="宋体" w:hAnsi="宋体" w:cs="宋体"/>
      <w:sz w:val="18"/>
      <w:szCs w:val="18"/>
      <w:lang w:eastAsia="en-US"/>
    </w:rPr>
  </w:style>
  <w:style w:type="character" w:customStyle="1" w:styleId="45">
    <w:name w:val="页脚 Char"/>
    <w:basedOn w:val="23"/>
    <w:link w:val="16"/>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3"/>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3"/>
    <w:link w:val="4"/>
    <w:qFormat/>
    <w:uiPriority w:val="0"/>
    <w:rPr>
      <w:rFonts w:ascii="宋体" w:hAnsi="宋体" w:cs="宋体"/>
      <w:b/>
      <w:bCs/>
      <w:sz w:val="32"/>
      <w:szCs w:val="32"/>
      <w:lang w:eastAsia="en-US"/>
    </w:rPr>
  </w:style>
  <w:style w:type="character" w:customStyle="1" w:styleId="50">
    <w:name w:val="批注文字 Char"/>
    <w:basedOn w:val="23"/>
    <w:link w:val="8"/>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3"/>
    <w:link w:val="21"/>
    <w:qFormat/>
    <w:uiPriority w:val="0"/>
    <w:rPr>
      <w:rFonts w:ascii="宋体" w:hAnsi="宋体" w:cs="宋体"/>
      <w:sz w:val="22"/>
      <w:szCs w:val="22"/>
      <w:lang w:eastAsia="en-US"/>
    </w:rPr>
  </w:style>
  <w:style w:type="character" w:customStyle="1" w:styleId="53">
    <w:name w:val="正文文本缩进 2 Char"/>
    <w:basedOn w:val="23"/>
    <w:link w:val="14"/>
    <w:qFormat/>
    <w:uiPriority w:val="0"/>
    <w:rPr>
      <w:rFonts w:ascii="宋体" w:hAnsi="宋体" w:cs="宋体"/>
      <w:sz w:val="22"/>
      <w:szCs w:val="22"/>
      <w:lang w:eastAsia="en-US"/>
    </w:rPr>
  </w:style>
  <w:style w:type="character" w:customStyle="1" w:styleId="54">
    <w:name w:val="纯文本 Char"/>
    <w:basedOn w:val="23"/>
    <w:link w:val="12"/>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3"/>
    <w:link w:val="3"/>
    <w:qFormat/>
    <w:uiPriority w:val="0"/>
    <w:rPr>
      <w:rFonts w:ascii="宋体" w:hAnsi="宋体" w:cs="宋体"/>
      <w:b/>
      <w:bCs/>
      <w:sz w:val="24"/>
      <w:szCs w:val="24"/>
      <w:lang w:eastAsia="en-US"/>
    </w:rPr>
  </w:style>
  <w:style w:type="character" w:customStyle="1" w:styleId="57">
    <w:name w:val="正文缩进 Char"/>
    <w:link w:val="6"/>
    <w:qFormat/>
    <w:uiPriority w:val="0"/>
    <w:rPr>
      <w:sz w:val="24"/>
    </w:rPr>
  </w:style>
  <w:style w:type="character" w:customStyle="1" w:styleId="58">
    <w:name w:val="正文文本 Char"/>
    <w:basedOn w:val="23"/>
    <w:link w:val="9"/>
    <w:qFormat/>
    <w:uiPriority w:val="0"/>
    <w:rPr>
      <w:rFonts w:ascii="宋体" w:hAnsi="宋体" w:cs="宋体"/>
      <w:sz w:val="24"/>
      <w:szCs w:val="24"/>
      <w:lang w:eastAsia="en-US"/>
    </w:rPr>
  </w:style>
  <w:style w:type="character" w:customStyle="1" w:styleId="59">
    <w:name w:val="普通文字 Char2"/>
    <w:basedOn w:val="23"/>
    <w:qFormat/>
    <w:uiPriority w:val="0"/>
    <w:rPr>
      <w:rFonts w:ascii="宋体" w:hAnsi="Courier New" w:cs="Courier New"/>
      <w:sz w:val="22"/>
      <w:szCs w:val="21"/>
      <w:lang w:eastAsia="en-US"/>
    </w:rPr>
  </w:style>
  <w:style w:type="character" w:customStyle="1" w:styleId="60">
    <w:name w:val="标题 1 Char"/>
    <w:link w:val="2"/>
    <w:qFormat/>
    <w:uiPriority w:val="99"/>
    <w:rPr>
      <w:rFonts w:ascii="宋体" w:hAnsi="宋体" w:cs="宋体"/>
      <w:b/>
      <w:bCs/>
      <w:sz w:val="28"/>
      <w:szCs w:val="28"/>
      <w:lang w:eastAsia="en-US"/>
    </w:rPr>
  </w:style>
  <w:style w:type="character" w:customStyle="1" w:styleId="61">
    <w:name w:val="正文1 Char"/>
    <w:basedOn w:val="23"/>
    <w:link w:val="35"/>
    <w:qFormat/>
    <w:locked/>
    <w:uiPriority w:val="0"/>
    <w:rPr>
      <w:rFonts w:ascii="宋体" w:hAnsi="Calibri"/>
      <w:sz w:val="34"/>
      <w:szCs w:val="22"/>
    </w:rPr>
  </w:style>
  <w:style w:type="character" w:customStyle="1" w:styleId="62">
    <w:name w:val="正文文本缩进 Char"/>
    <w:basedOn w:val="23"/>
    <w:link w:val="10"/>
    <w:qFormat/>
    <w:uiPriority w:val="0"/>
    <w:rPr>
      <w:rFonts w:ascii="宋体" w:hAnsi="宋体" w:cs="宋体"/>
      <w:sz w:val="22"/>
      <w:szCs w:val="22"/>
      <w:lang w:eastAsia="en-US"/>
    </w:rPr>
  </w:style>
  <w:style w:type="paragraph" w:customStyle="1" w:styleId="63">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3"/>
    <w:link w:val="5"/>
    <w:qFormat/>
    <w:uiPriority w:val="99"/>
    <w:rPr>
      <w:rFonts w:ascii="Arial" w:hAnsi="Arial" w:eastAsia="黑体"/>
      <w:b/>
      <w:bCs/>
      <w:kern w:val="2"/>
      <w:sz w:val="28"/>
      <w:szCs w:val="28"/>
    </w:rPr>
  </w:style>
  <w:style w:type="character" w:customStyle="1" w:styleId="65">
    <w:name w:val="文档结构图 Char"/>
    <w:basedOn w:val="23"/>
    <w:link w:val="7"/>
    <w:qFormat/>
    <w:uiPriority w:val="99"/>
    <w:rPr>
      <w:rFonts w:ascii="宋体"/>
      <w:kern w:val="2"/>
      <w:sz w:val="18"/>
      <w:szCs w:val="18"/>
    </w:rPr>
  </w:style>
  <w:style w:type="character" w:customStyle="1" w:styleId="66">
    <w:name w:val="副标题 Char"/>
    <w:basedOn w:val="23"/>
    <w:link w:val="19"/>
    <w:qFormat/>
    <w:uiPriority w:val="99"/>
    <w:rPr>
      <w:rFonts w:ascii="Cambria" w:hAnsi="Cambria"/>
      <w:b/>
      <w:bCs/>
      <w:kern w:val="28"/>
      <w:sz w:val="32"/>
      <w:szCs w:val="32"/>
    </w:rPr>
  </w:style>
  <w:style w:type="character" w:customStyle="1" w:styleId="67">
    <w:name w:val="标题 Char"/>
    <w:basedOn w:val="23"/>
    <w:link w:val="22"/>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3"/>
    <w:link w:val="17"/>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6">
    <w:name w:val="List Paragraph"/>
    <w:basedOn w:val="1"/>
    <w:qFormat/>
    <w:uiPriority w:val="34"/>
    <w:pPr>
      <w:ind w:firstLine="420" w:firstLineChars="200"/>
    </w:pPr>
    <w:rPr>
      <w:rFonts w:ascii="Calibri" w:hAnsi="Calibri"/>
      <w:szCs w:val="22"/>
    </w:rPr>
  </w:style>
  <w:style w:type="character" w:customStyle="1" w:styleId="77">
    <w:name w:val="common_over_page_btn"/>
    <w:basedOn w:val="23"/>
    <w:qFormat/>
    <w:uiPriority w:val="0"/>
  </w:style>
  <w:style w:type="character" w:customStyle="1" w:styleId="78">
    <w:name w:val="common_over_page_btn1"/>
    <w:basedOn w:val="23"/>
    <w:qFormat/>
    <w:uiPriority w:val="0"/>
    <w:rPr>
      <w:color w:val="999999"/>
      <w:bdr w:val="single" w:color="D4D4D4" w:sz="6" w:space="0"/>
      <w:shd w:val="clear" w:fill="FFFFFF"/>
    </w:rPr>
  </w:style>
  <w:style w:type="character" w:customStyle="1" w:styleId="79">
    <w:name w:val="样式1 Char"/>
    <w:link w:val="41"/>
    <w:qFormat/>
    <w:uiPriority w:val="0"/>
    <w:rPr>
      <w:rFonts w:hAnsi="Times New Roman" w:cs="Times New Roman"/>
      <w:sz w:val="24"/>
      <w:szCs w:val="20"/>
      <w:lang w:eastAsia="zh-CN"/>
    </w:rPr>
  </w:style>
  <w:style w:type="character" w:customStyle="1" w:styleId="80">
    <w:name w:val="first-child"/>
    <w:basedOn w:val="23"/>
    <w:qFormat/>
    <w:uiPriority w:val="0"/>
  </w:style>
  <w:style w:type="character" w:customStyle="1" w:styleId="81">
    <w:name w:val="iconline2"/>
    <w:basedOn w:val="23"/>
    <w:qFormat/>
    <w:uiPriority w:val="0"/>
  </w:style>
  <w:style w:type="character" w:customStyle="1" w:styleId="82">
    <w:name w:val="associateddata"/>
    <w:basedOn w:val="23"/>
    <w:uiPriority w:val="0"/>
    <w:rPr>
      <w:shd w:val="clear" w:fill="50A6F9"/>
    </w:rPr>
  </w:style>
  <w:style w:type="character" w:customStyle="1" w:styleId="83">
    <w:name w:val="xdrichtextbox"/>
    <w:basedOn w:val="23"/>
    <w:uiPriority w:val="0"/>
    <w:rPr>
      <w:color w:val="auto"/>
      <w:sz w:val="18"/>
      <w:szCs w:val="18"/>
      <w:u w:val="none"/>
      <w:bdr w:val="single" w:color="DCDCDC" w:sz="8" w:space="0"/>
      <w:shd w:val="clear" w:fill="auto"/>
    </w:rPr>
  </w:style>
  <w:style w:type="character" w:customStyle="1" w:styleId="84">
    <w:name w:val="hover41"/>
    <w:basedOn w:val="23"/>
    <w:uiPriority w:val="0"/>
    <w:rPr>
      <w:color w:val="FFFFFF"/>
    </w:rPr>
  </w:style>
  <w:style w:type="character" w:customStyle="1" w:styleId="85">
    <w:name w:val="hilite6"/>
    <w:basedOn w:val="23"/>
    <w:uiPriority w:val="0"/>
    <w:rPr>
      <w:color w:val="FFFFFF"/>
      <w:shd w:val="clear" w:fill="666666"/>
    </w:rPr>
  </w:style>
  <w:style w:type="character" w:customStyle="1" w:styleId="86">
    <w:name w:val="design_class"/>
    <w:basedOn w:val="23"/>
    <w:uiPriority w:val="0"/>
  </w:style>
  <w:style w:type="character" w:customStyle="1" w:styleId="87">
    <w:name w:val="choosename"/>
    <w:basedOn w:val="23"/>
    <w:uiPriority w:val="0"/>
  </w:style>
  <w:style w:type="character" w:customStyle="1" w:styleId="88">
    <w:name w:val="cy"/>
    <w:basedOn w:val="23"/>
    <w:uiPriority w:val="0"/>
  </w:style>
  <w:style w:type="character" w:customStyle="1" w:styleId="89">
    <w:name w:val="drapbtn"/>
    <w:basedOn w:val="23"/>
    <w:uiPriority w:val="0"/>
  </w:style>
  <w:style w:type="character" w:customStyle="1" w:styleId="90">
    <w:name w:val="cdropright"/>
    <w:basedOn w:val="23"/>
    <w:qFormat/>
    <w:uiPriority w:val="0"/>
  </w:style>
  <w:style w:type="character" w:customStyle="1" w:styleId="91">
    <w:name w:val="cdropleft"/>
    <w:basedOn w:val="23"/>
    <w:uiPriority w:val="0"/>
  </w:style>
  <w:style w:type="character" w:customStyle="1" w:styleId="92">
    <w:name w:val="button4"/>
    <w:basedOn w:val="23"/>
    <w:uiPriority w:val="0"/>
  </w:style>
  <w:style w:type="character" w:customStyle="1" w:styleId="93">
    <w:name w:val="tmpztreemove_arrow"/>
    <w:basedOn w:val="23"/>
    <w:uiPriority w:val="0"/>
  </w:style>
  <w:style w:type="character" w:customStyle="1" w:styleId="94">
    <w:name w:val="ico1653"/>
    <w:basedOn w:val="23"/>
    <w:uiPriority w:val="0"/>
  </w:style>
  <w:style w:type="character" w:customStyle="1" w:styleId="95">
    <w:name w:val="ico1654"/>
    <w:basedOn w:val="23"/>
    <w:uiPriority w:val="0"/>
  </w:style>
  <w:style w:type="character" w:customStyle="1" w:styleId="96">
    <w:name w:val="icontext3"/>
    <w:basedOn w:val="23"/>
    <w:qFormat/>
    <w:uiPriority w:val="0"/>
  </w:style>
  <w:style w:type="character" w:customStyle="1" w:styleId="97">
    <w:name w:val="icontext1"/>
    <w:basedOn w:val="23"/>
    <w:uiPriority w:val="0"/>
  </w:style>
  <w:style w:type="character" w:customStyle="1" w:styleId="98">
    <w:name w:val="icontext11"/>
    <w:basedOn w:val="23"/>
    <w:uiPriority w:val="0"/>
  </w:style>
  <w:style w:type="character" w:customStyle="1" w:styleId="99">
    <w:name w:val="icontext12"/>
    <w:basedOn w:val="23"/>
    <w:uiPriority w:val="0"/>
  </w:style>
  <w:style w:type="character" w:customStyle="1" w:styleId="100">
    <w:name w:val="edit_class"/>
    <w:basedOn w:val="23"/>
    <w:uiPriority w:val="0"/>
  </w:style>
  <w:style w:type="character" w:customStyle="1" w:styleId="101">
    <w:name w:val="pagechatarealistclose_box"/>
    <w:basedOn w:val="23"/>
    <w:qFormat/>
    <w:uiPriority w:val="0"/>
  </w:style>
  <w:style w:type="character" w:customStyle="1" w:styleId="102">
    <w:name w:val="pagechatarealistclose_box1"/>
    <w:basedOn w:val="23"/>
    <w:uiPriority w:val="0"/>
  </w:style>
  <w:style w:type="character" w:customStyle="1" w:styleId="103">
    <w:name w:val="layui-layer-tabnow"/>
    <w:basedOn w:val="23"/>
    <w:uiPriority w:val="0"/>
    <w:rPr>
      <w:bdr w:val="single" w:color="CCCCCC" w:sz="6" w:space="0"/>
      <w:shd w:val="clear" w:fill="FFFFFF"/>
    </w:rPr>
  </w:style>
  <w:style w:type="character" w:customStyle="1" w:styleId="104">
    <w:name w:val="after"/>
    <w:basedOn w:val="23"/>
    <w:uiPriority w:val="0"/>
    <w:rPr>
      <w:sz w:val="0"/>
      <w:szCs w:val="0"/>
    </w:rPr>
  </w:style>
  <w:style w:type="character" w:customStyle="1" w:styleId="105">
    <w:name w:val="active7"/>
    <w:basedOn w:val="23"/>
    <w:uiPriority w:val="0"/>
    <w:rPr>
      <w:color w:val="00FF00"/>
      <w:shd w:val="clear" w:fill="111111"/>
    </w:rPr>
  </w:style>
  <w:style w:type="character" w:customStyle="1" w:styleId="106">
    <w:name w:val="active8"/>
    <w:basedOn w:val="23"/>
    <w:uiPriority w:val="0"/>
    <w:rPr>
      <w:shd w:val="clear" w:fill="EC3535"/>
    </w:rPr>
  </w:style>
  <w:style w:type="character" w:customStyle="1" w:styleId="107">
    <w:name w:val="icontext2"/>
    <w:basedOn w:val="23"/>
    <w:uiPriority w:val="0"/>
  </w:style>
  <w:style w:type="character" w:customStyle="1" w:styleId="108">
    <w:name w:val="w32"/>
    <w:basedOn w:val="23"/>
    <w:uiPriority w:val="0"/>
  </w:style>
  <w:style w:type="character" w:customStyle="1" w:styleId="109">
    <w:name w:val="biggerthanmax"/>
    <w:basedOn w:val="23"/>
    <w:uiPriority w:val="0"/>
    <w:rPr>
      <w:shd w:val="clear" w:fill="FFFF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18</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2023-04-07T03:01:29Z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