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val="en-US" w:eastAsia="zh-CN"/>
        </w:rPr>
        <w:t>辐射剂量报警仪（1台）</w:t>
      </w:r>
      <w:r>
        <w:rPr>
          <w:rFonts w:hint="eastAsia" w:ascii="微软雅黑" w:eastAsia="微软雅黑"/>
          <w:b/>
          <w:sz w:val="36"/>
          <w:szCs w:val="36"/>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lang w:val="en-US" w:eastAsia="zh-CN"/>
        </w:rPr>
        <w:t>FHC-PTCG20230317002</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三</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辐射剂量报警仪（1台）</w:t>
      </w:r>
      <w:r>
        <w:rPr>
          <w:rFonts w:hint="eastAsia" w:asciiTheme="majorEastAsia" w:hAnsiTheme="majorEastAsia" w:eastAsiaTheme="majorEastAsia"/>
          <w:u w:val="single"/>
          <w:lang w:eastAsia="zh-CN"/>
        </w:rPr>
        <w:t>采购项目（项目编号：</w:t>
      </w:r>
      <w:r>
        <w:rPr>
          <w:rFonts w:hint="eastAsia" w:asciiTheme="majorEastAsia" w:hAnsiTheme="majorEastAsia" w:eastAsiaTheme="majorEastAsia"/>
          <w:u w:val="single"/>
          <w:lang w:val="en-US" w:eastAsia="zh-CN"/>
        </w:rPr>
        <w:t>FHC-PTCG20230317002</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asciiTheme="majorEastAsia" w:hAnsiTheme="majorEastAsia" w:eastAsiaTheme="majorEastAsia"/>
          <w:u w:val="single"/>
          <w:lang w:val="en-US" w:eastAsia="zh-CN"/>
        </w:rPr>
        <w:t>辐射剂量报警仪（1台）</w:t>
      </w:r>
      <w:r>
        <w:rPr>
          <w:rFonts w:hint="eastAsia" w:asciiTheme="majorEastAsia" w:hAnsiTheme="majorEastAsia" w:eastAsiaTheme="majorEastAsia"/>
          <w:bCs/>
          <w:sz w:val="24"/>
          <w:szCs w:val="24"/>
          <w:u w:val="single"/>
          <w:lang w:eastAsia="zh-CN"/>
        </w:rPr>
        <w:t xml:space="preserve">采购 </w:t>
      </w:r>
    </w:p>
    <w:p>
      <w:pPr>
        <w:pStyle w:val="4"/>
        <w:spacing w:line="360" w:lineRule="auto"/>
        <w:ind w:left="720" w:leftChars="218" w:hanging="240" w:hangingChars="1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用途</w:t>
      </w:r>
      <w:r>
        <w:rPr>
          <w:rFonts w:hint="eastAsia" w:asciiTheme="majorEastAsia" w:hAnsiTheme="majorEastAsia" w:eastAsiaTheme="majorEastAsia"/>
          <w:b w:val="0"/>
          <w:lang w:eastAsia="zh-CN"/>
        </w:rPr>
        <w:t>：</w:t>
      </w:r>
      <w:r>
        <w:rPr>
          <w:rFonts w:hint="eastAsia" w:asciiTheme="majorEastAsia" w:hAnsiTheme="majorEastAsia" w:eastAsiaTheme="majorEastAsia"/>
          <w:b w:val="0"/>
          <w:lang w:val="en-US" w:eastAsia="zh-CN"/>
        </w:rPr>
        <w:t>根据海关总署关于印发《海关核辐射监测工作规程》的通知（署监发【2018】234号文件），海关人员进入有辐射的监管场所时，工作人员均需佩带辐射剂量报警仪，我司煤炭进口时，煤炭属于有辐射的货物，海关工作人员必须开展核辐射监测工作，同时海关工作人员进入煤炭监管场所进行核辐射监测工作时至少两个人，目前我司仅配备一台辐射剂量报警仪（型号RG1000（参见附件图片）可符合海关工作要求，海关建议购买同一型号，同时生产日期尽量近期的，至少不要超过半年的），故急需至少再配备一台辐射剂量报警仪，以便满足后续进口煤炭的接卸及通关等相关工作。</w:t>
      </w:r>
    </w:p>
    <w:p>
      <w:pPr>
        <w:pStyle w:val="4"/>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3</w:t>
      </w:r>
      <w:r>
        <w:rPr>
          <w:rFonts w:hint="eastAsia"/>
          <w:sz w:val="24"/>
          <w:szCs w:val="24"/>
          <w:lang w:eastAsia="zh-CN"/>
        </w:rPr>
        <w:t>000元</w:t>
      </w:r>
      <w:r>
        <w:rPr>
          <w:rFonts w:hint="eastAsia"/>
          <w:b w:val="0"/>
          <w:bCs/>
          <w:lang w:eastAsia="zh-CN"/>
        </w:rPr>
        <w:t>（含税价）</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bookmarkStart w:id="9" w:name="_GoBack"/>
      <w:bookmarkEnd w:id="9"/>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 xml:space="preserve">月 </w:t>
      </w:r>
      <w:r>
        <w:rPr>
          <w:rFonts w:hint="eastAsia" w:asciiTheme="majorEastAsia" w:hAnsiTheme="majorEastAsia" w:eastAsiaTheme="majorEastAsia"/>
          <w:sz w:val="24"/>
          <w:szCs w:val="24"/>
          <w:lang w:val="en-US" w:eastAsia="zh-CN"/>
        </w:rPr>
        <w:t>1</w:t>
      </w:r>
      <w:r>
        <w:rPr>
          <w:rFonts w:hint="eastAsia" w:asciiTheme="majorEastAsia" w:hAnsiTheme="majorEastAsia" w:eastAsiaTheme="majorEastAsia"/>
          <w:sz w:val="24"/>
          <w:szCs w:val="24"/>
          <w:lang w:eastAsia="zh-CN"/>
        </w:rPr>
        <w:t xml:space="preserve"> 日至</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4"/>
          <w:rFonts w:hint="eastAsia" w:asciiTheme="majorEastAsia" w:hAnsiTheme="majorEastAsia" w:eastAsiaTheme="majorEastAsia"/>
          <w:sz w:val="24"/>
          <w:szCs w:val="24"/>
          <w:lang w:val="en-US" w:eastAsia="zh-CN"/>
        </w:rPr>
        <w:t>zyhe</w:t>
      </w:r>
      <w:r>
        <w:rPr>
          <w:rStyle w:val="34"/>
          <w:rFonts w:hint="eastAsia" w:asciiTheme="majorEastAsia" w:hAnsiTheme="majorEastAsia" w:eastAsiaTheme="majorEastAsia"/>
          <w:sz w:val="24"/>
          <w:szCs w:val="24"/>
          <w:lang w:eastAsia="zh-CN"/>
        </w:rPr>
        <w:t>@f</w:t>
      </w:r>
      <w:r>
        <w:rPr>
          <w:rStyle w:val="34"/>
          <w:rFonts w:hint="eastAsia" w:asciiTheme="majorEastAsia" w:hAnsiTheme="majorEastAsia" w:eastAsiaTheme="majorEastAsia"/>
          <w:sz w:val="24"/>
          <w:szCs w:val="24"/>
          <w:lang w:val="en-US" w:eastAsia="zh-CN"/>
        </w:rPr>
        <w:t>j</w:t>
      </w:r>
      <w:r>
        <w:rPr>
          <w:rStyle w:val="34"/>
          <w:rFonts w:hint="eastAsia" w:asciiTheme="majorEastAsia" w:hAnsiTheme="majorEastAsia" w:eastAsiaTheme="majorEastAsia"/>
          <w:sz w:val="24"/>
          <w:szCs w:val="24"/>
          <w:lang w:eastAsia="zh-CN"/>
        </w:rPr>
        <w:t>pec.com.cn</w:t>
      </w:r>
      <w:r>
        <w:rPr>
          <w:rStyle w:val="34"/>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1. 参选文件递交地点：福建省漳州市漳浦县杜浔镇杜昌路9号</w:t>
      </w:r>
      <w:r>
        <w:rPr>
          <w:rFonts w:hint="eastAsia" w:asciiTheme="majorEastAsia" w:hAnsiTheme="majorEastAsia" w:eastAsiaTheme="majorEastAsia"/>
          <w:bCs/>
          <w:sz w:val="24"/>
          <w:szCs w:val="24"/>
          <w:lang w:val="en-US" w:eastAsia="zh-CN"/>
        </w:rPr>
        <w:t>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22</w:t>
      </w:r>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u w:val="single"/>
          <w:lang w:val="en-US" w:eastAsia="zh-CN"/>
        </w:rPr>
        <w:t>辐射剂量报警仪（1台）</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hint="eastAsia"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(二）项目数量：</w:t>
      </w:r>
      <w:r>
        <w:rPr>
          <w:rFonts w:hint="eastAsia" w:asciiTheme="majorEastAsia" w:hAnsiTheme="majorEastAsia" w:eastAsiaTheme="majorEastAsia"/>
          <w:u w:val="single"/>
          <w:lang w:val="en-US" w:eastAsia="zh-CN"/>
        </w:rPr>
        <w:t>1台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u w:val="single"/>
          <w:lang w:val="en-US" w:eastAsia="zh-CN"/>
        </w:rPr>
        <w:t>辐射剂量报警仪（1台）</w:t>
      </w:r>
      <w:r>
        <w:rPr>
          <w:rFonts w:hint="eastAsia" w:asciiTheme="majorEastAsia" w:hAnsiTheme="majorEastAsia" w:eastAsiaTheme="majorEastAsia"/>
          <w:snapToGrid w:val="0"/>
          <w:spacing w:val="8"/>
          <w:sz w:val="24"/>
          <w:szCs w:val="24"/>
          <w:u w:val="single"/>
          <w:lang w:eastAsia="zh-CN"/>
        </w:rPr>
        <w:t>采购</w:t>
      </w:r>
    </w:p>
    <w:p>
      <w:pPr>
        <w:pStyle w:val="4"/>
        <w:spacing w:line="360" w:lineRule="auto"/>
        <w:ind w:left="721" w:leftChars="218" w:hanging="241" w:hanging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b w:val="0"/>
          <w:lang w:val="en-US" w:eastAsia="zh-CN"/>
        </w:rPr>
        <w:t>根据海关总署关于印发《海关核辐射监测工作规程》的通知（署监发【2018】234号文件），海关人员进入有辐射的监管场所时，工作人员均需佩带辐射剂量报警仪，我司煤炭进口时，煤炭属于有辐射的货物，海关工作人员必须开展核辐射监测工作，同时海关工作人员进入煤炭监管场所进行核辐射监测工作时至少两个人，目前我司仅配备一台辐射剂量报警仪（型号为RG1000（参见附件图片）可符合海关工作要求，海关建议购买同一型号，同时生产日期尽量近期的，至少不要超过半年的），故急需至少再配备一台辐射剂量报警仪，以便满足后续进口煤炭的接卸及通关等相关工作。</w:t>
      </w:r>
    </w:p>
    <w:p>
      <w:pPr>
        <w:spacing w:line="360" w:lineRule="auto"/>
        <w:ind w:firstLine="480" w:firstLineChars="200"/>
        <w:rPr>
          <w:rFonts w:hint="eastAsia" w:asciiTheme="majorEastAsia" w:hAnsiTheme="majorEastAsia" w:eastAsiaTheme="majorEastAsia" w:cstheme="minorEastAsia"/>
          <w:kern w:val="59"/>
          <w:sz w:val="24"/>
          <w:szCs w:val="24"/>
          <w:lang w:val="en-US" w:eastAsia="zh-CN"/>
        </w:rPr>
      </w:pPr>
      <w:r>
        <w:rPr>
          <w:rFonts w:hint="eastAsia" w:asciiTheme="majorEastAsia" w:hAnsiTheme="majorEastAsia" w:eastAsiaTheme="majorEastAsia"/>
          <w:sz w:val="24"/>
          <w:szCs w:val="24"/>
          <w:lang w:eastAsia="zh-CN"/>
        </w:rPr>
        <w:t>3.相关要求标准、规范及规定：</w:t>
      </w:r>
      <w:r>
        <w:rPr>
          <w:rFonts w:hint="eastAsia" w:asciiTheme="majorEastAsia" w:hAnsiTheme="majorEastAsia" w:eastAsiaTheme="majorEastAsia"/>
          <w:sz w:val="24"/>
          <w:szCs w:val="24"/>
          <w:lang w:val="en-US" w:eastAsia="zh-CN"/>
        </w:rPr>
        <w:t>本</w:t>
      </w:r>
      <w:r>
        <w:rPr>
          <w:rFonts w:hint="eastAsia" w:asciiTheme="majorEastAsia" w:hAnsiTheme="majorEastAsia" w:eastAsiaTheme="majorEastAsia"/>
          <w:sz w:val="24"/>
          <w:szCs w:val="24"/>
          <w:lang w:eastAsia="zh-CN"/>
        </w:rPr>
        <w:t>仪器须符合</w:t>
      </w:r>
      <w:r>
        <w:rPr>
          <w:rFonts w:hint="eastAsia" w:asciiTheme="majorEastAsia" w:hAnsiTheme="majorEastAsia" w:eastAsiaTheme="majorEastAsia" w:cstheme="minorEastAsia"/>
          <w:kern w:val="59"/>
          <w:sz w:val="24"/>
          <w:szCs w:val="24"/>
          <w:lang w:val="en-US" w:eastAsia="zh-CN"/>
        </w:rPr>
        <w:t>国家验收标准。</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10"/>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443" w:leftChars="0" w:right="106" w:hanging="443" w:hangingChars="184"/>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r>
        <w:rPr>
          <w:rFonts w:hint="eastAsia" w:asciiTheme="majorEastAsia" w:hAnsiTheme="majorEastAsia" w:eastAsiaTheme="majorEastAsia"/>
          <w:spacing w:val="4"/>
          <w:lang w:val="en-US" w:eastAsia="zh-CN"/>
        </w:rPr>
        <w:t>3楼设备及服务团队</w:t>
      </w:r>
    </w:p>
    <w:p>
      <w:pPr>
        <w:pStyle w:val="4"/>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4"/>
        <w:tabs>
          <w:tab w:val="left" w:pos="6879"/>
        </w:tabs>
        <w:spacing w:line="360" w:lineRule="auto"/>
        <w:ind w:left="435" w:leftChars="127" w:right="106" w:hanging="156" w:hangingChars="67"/>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陈加成</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电话：18959696678</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left="0" w:leftChars="0" w:firstLine="220" w:firstLineChars="0"/>
        <w:rPr>
          <w:rFonts w:hint="eastAsia"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（1）对比选结果有异议的异议人不是本项目的参与者，或者与本项目无任何利害关系；</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3</w:t>
      </w:r>
      <w:r>
        <w:rPr>
          <w:rFonts w:hint="eastAsia" w:asciiTheme="majorEastAsia" w:hAnsiTheme="majorEastAsia" w:eastAsiaTheme="majorEastAsia"/>
          <w:b/>
          <w:bCs w:val="0"/>
          <w:sz w:val="24"/>
          <w:szCs w:val="24"/>
          <w:lang w:eastAsia="zh-CN"/>
        </w:rPr>
        <w:t>000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rPr>
          <w:lang w:eastAsia="zh-CN"/>
        </w:rPr>
      </w:pPr>
    </w:p>
    <w:p>
      <w:pPr>
        <w:pStyle w:val="2"/>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0" w:leftChars="0" w:right="224" w:firstLine="600" w:firstLineChars="250"/>
        <w:rPr>
          <w:sz w:val="21"/>
          <w:szCs w:val="21"/>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0619"/>
      <w:bookmarkStart w:id="1" w:name="_Toc430489126"/>
      <w:bookmarkStart w:id="2" w:name="_Toc415567504"/>
      <w:bookmarkStart w:id="3" w:name="_Toc430488651"/>
      <w:bookmarkStart w:id="4" w:name="_Toc177186249"/>
      <w:bookmarkStart w:id="5" w:name="_Toc430422420"/>
      <w:bookmarkStart w:id="6" w:name="_Toc430492133"/>
      <w:bookmarkStart w:id="7" w:name="_Toc304357904"/>
      <w:bookmarkStart w:id="8" w:name="_Toc430488858"/>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3</w:t>
      </w:r>
      <w:r>
        <w:rPr>
          <w:rFonts w:hint="eastAsia"/>
          <w:b/>
          <w:bCs/>
          <w:lang w:eastAsia="zh-CN"/>
        </w:rPr>
        <w:t>0</w:t>
      </w:r>
      <w:r>
        <w:rPr>
          <w:rFonts w:hint="eastAsia"/>
          <w:b/>
          <w:lang w:eastAsia="zh-CN"/>
        </w:rPr>
        <w:t>00元（含税价）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8"/>
          <w:rFonts w:hint="eastAsia"/>
          <w:sz w:val="24"/>
          <w:szCs w:val="24"/>
        </w:rPr>
        <w:t>福建福海创石油化工有限公司的权属子公司“</w:t>
      </w:r>
      <w:r>
        <w:rPr>
          <w:rStyle w:val="28"/>
          <w:rFonts w:hint="eastAsia"/>
          <w:sz w:val="24"/>
          <w:szCs w:val="24"/>
          <w:lang w:val="en-US" w:eastAsia="zh-CN"/>
        </w:rPr>
        <w:t>翔鹭码头</w:t>
      </w:r>
      <w:r>
        <w:rPr>
          <w:rStyle w:val="28"/>
          <w:rFonts w:hint="eastAsia"/>
          <w:sz w:val="24"/>
          <w:szCs w:val="24"/>
        </w:rPr>
        <w:t>（漳州）有限公司”作为合同执行主体，将于中选通知书发出之日起20日内与中选人完成合同签订事宜。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b/>
          <w:bCs/>
          <w:u w:val="single"/>
          <w:lang w:val="en-US" w:eastAsia="zh-CN"/>
        </w:rPr>
        <w:t>辐射剂量报警仪（1台）</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rPr>
      </w:pPr>
      <w:r>
        <w:rPr>
          <w:rFonts w:hint="eastAsia"/>
          <w:b/>
          <w:sz w:val="28"/>
          <w:szCs w:val="28"/>
          <w:lang w:val="en-US" w:eastAsia="zh-CN"/>
        </w:rPr>
        <w:t>辐射剂量报警仪（1台）</w:t>
      </w:r>
      <w:r>
        <w:rPr>
          <w:rFonts w:hint="eastAsia"/>
          <w:b/>
          <w:sz w:val="28"/>
          <w:szCs w:val="28"/>
        </w:rPr>
        <w:t>采购合同</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5"/>
        <w:gridCol w:w="3920"/>
        <w:gridCol w:w="1325"/>
        <w:gridCol w:w="32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rPr>
            </w:pPr>
            <w:r>
              <w:rPr>
                <w:rFonts w:hint="eastAsia"/>
                <w:sz w:val="24"/>
              </w:rPr>
              <w:t xml:space="preserve">                                                                                      </w:t>
            </w:r>
          </w:p>
        </w:tc>
        <w:tc>
          <w:tcPr>
            <w:tcW w:w="3920" w:type="dxa"/>
          </w:tcPr>
          <w:p>
            <w:pPr>
              <w:spacing w:line="120" w:lineRule="auto"/>
              <w:jc w:val="both"/>
              <w:rPr>
                <w:sz w:val="24"/>
              </w:rPr>
            </w:pPr>
          </w:p>
        </w:tc>
        <w:tc>
          <w:tcPr>
            <w:tcW w:w="1325" w:type="dxa"/>
          </w:tcPr>
          <w:p>
            <w:pPr>
              <w:spacing w:line="120" w:lineRule="auto"/>
              <w:jc w:val="both"/>
              <w:rPr>
                <w:rFonts w:hint="eastAsia"/>
                <w:sz w:val="24"/>
              </w:rPr>
            </w:pPr>
            <w:r>
              <w:rPr>
                <w:rFonts w:hint="eastAsia"/>
                <w:sz w:val="24"/>
              </w:rPr>
              <w:t>合同编号：</w:t>
            </w:r>
          </w:p>
        </w:tc>
        <w:tc>
          <w:tcPr>
            <w:tcW w:w="3286" w:type="dxa"/>
          </w:tcPr>
          <w:p>
            <w:pPr>
              <w:spacing w:line="120" w:lineRule="auto"/>
              <w:jc w:val="both"/>
              <w:rPr>
                <w:rFonts w:hint="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rPr>
            </w:pPr>
            <w:r>
              <w:rPr>
                <w:rFonts w:hint="eastAsia" w:cs="Times New Roman"/>
                <w:sz w:val="24"/>
                <w:lang w:eastAsia="zh-CN"/>
              </w:rPr>
              <w:t>翔鹭码头</w:t>
            </w:r>
            <w:r>
              <w:rPr>
                <w:rFonts w:hint="eastAsia" w:ascii="Times New Roman" w:hAnsi="Times New Roman" w:cs="Times New Roman"/>
                <w:sz w:val="24"/>
                <w:lang w:eastAsia="zh-CN"/>
              </w:rPr>
              <w:t>（漳州）有限公司</w:t>
            </w:r>
            <w:r>
              <w:rPr>
                <w:rFonts w:hint="eastAsia" w:ascii="Times New Roman" w:hAnsi="Times New Roman" w:cs="Times New Roman"/>
                <w:sz w:val="24"/>
              </w:rPr>
              <w:t xml:space="preserve">    </w:t>
            </w:r>
            <w:r>
              <w:rPr>
                <w:rFonts w:hint="eastAsia"/>
                <w:sz w:val="24"/>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2023年_____ 月____日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rFonts w:hint="eastAsia"/>
          <w:sz w:val="24"/>
        </w:rPr>
      </w:pPr>
      <w:r>
        <w:rPr>
          <w:rFonts w:hint="eastAsia"/>
          <w:sz w:val="24"/>
        </w:rPr>
        <w:t>合同标的和合同价格</w:t>
      </w:r>
    </w:p>
    <w:tbl>
      <w:tblPr>
        <w:tblStyle w:val="25"/>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1591"/>
        <w:gridCol w:w="1150"/>
        <w:gridCol w:w="1050"/>
        <w:gridCol w:w="825"/>
        <w:gridCol w:w="1313"/>
        <w:gridCol w:w="1000"/>
        <w:gridCol w:w="1141"/>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辐射剂量报警仪</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RG1000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699" w:hRule="atLeast"/>
        </w:trPr>
        <w:tc>
          <w:tcPr>
            <w:tcW w:w="2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532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spacing w:line="120" w:lineRule="auto"/>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eastAsia="zh-CN"/>
        </w:rPr>
        <w:t>乙方送货上门</w:t>
      </w:r>
      <w:r>
        <w:rPr>
          <w:sz w:val="24"/>
          <w:u w:val="single"/>
        </w:rPr>
        <w:t xml:space="preserve">    </w:t>
      </w:r>
    </w:p>
    <w:p>
      <w:pPr>
        <w:spacing w:line="360" w:lineRule="auto"/>
        <w:ind w:firstLine="480" w:firstLineChars="200"/>
        <w:rPr>
          <w:rFonts w:hint="eastAsia"/>
          <w:sz w:val="24"/>
          <w:u w:val="single"/>
          <w:lang w:eastAsia="zh-CN"/>
        </w:rPr>
      </w:pPr>
      <w:r>
        <w:rPr>
          <w:rFonts w:hint="eastAsia"/>
          <w:sz w:val="24"/>
        </w:rPr>
        <w:t>2.2交货地点：运送到</w:t>
      </w:r>
      <w:r>
        <w:rPr>
          <w:sz w:val="24"/>
          <w:u w:val="single"/>
        </w:rPr>
        <w:t xml:space="preserve">  </w:t>
      </w:r>
      <w:r>
        <w:rPr>
          <w:rFonts w:hint="eastAsia"/>
          <w:sz w:val="24"/>
          <w:u w:val="single"/>
          <w:lang w:val="en-US" w:eastAsia="zh-CN"/>
        </w:rPr>
        <w:t>福建漳州古雷经济开发区腾龙路86号翔鹭码头；收货单位：福建福海创石油化工有限公司(翔鹭码头）：李木全，158 8095 2839  （厂内）</w:t>
      </w:r>
      <w:r>
        <w:rPr>
          <w:rFonts w:hint="eastAsia"/>
          <w:sz w:val="24"/>
          <w:u w:val="single"/>
          <w:lang w:eastAsia="zh-CN"/>
        </w:rPr>
        <w:t xml:space="preserve">  。</w:t>
      </w:r>
    </w:p>
    <w:p>
      <w:pPr>
        <w:spacing w:line="360" w:lineRule="auto"/>
        <w:ind w:firstLine="480" w:firstLineChars="200"/>
        <w:rPr>
          <w:sz w:val="24"/>
        </w:rPr>
      </w:pPr>
      <w:r>
        <w:rPr>
          <w:rFonts w:hint="eastAsia"/>
          <w:sz w:val="24"/>
        </w:rPr>
        <w:t>2.3交货时间：</w:t>
      </w:r>
      <w:r>
        <w:rPr>
          <w:sz w:val="24"/>
          <w:u w:val="single"/>
        </w:rPr>
        <w:t xml:space="preserve"> </w:t>
      </w:r>
      <w:r>
        <w:rPr>
          <w:rFonts w:hint="eastAsia" w:ascii="Times New Roman" w:hAnsi="Times New Roman" w:cs="Times New Roman"/>
          <w:sz w:val="24"/>
          <w:u w:val="single"/>
        </w:rPr>
        <w:t>乙方应在合同签订生效后</w:t>
      </w:r>
      <w:r>
        <w:rPr>
          <w:rFonts w:hint="eastAsia" w:ascii="Times New Roman" w:hAnsi="Times New Roman" w:cs="Times New Roman"/>
          <w:sz w:val="24"/>
          <w:u w:val="single"/>
          <w:lang w:val="en-US" w:eastAsia="zh-CN"/>
        </w:rPr>
        <w:t xml:space="preserve"> 3</w:t>
      </w:r>
      <w:r>
        <w:rPr>
          <w:rFonts w:hint="eastAsia" w:cs="Times New Roman"/>
          <w:sz w:val="24"/>
          <w:u w:val="single"/>
          <w:lang w:val="en-US" w:eastAsia="zh-CN"/>
        </w:rPr>
        <w:t>0</w:t>
      </w:r>
      <w:r>
        <w:rPr>
          <w:rFonts w:hint="eastAsia" w:ascii="Times New Roman" w:hAnsi="Times New Roman" w:cs="Times New Roman"/>
          <w:sz w:val="24"/>
          <w:u w:val="single"/>
        </w:rPr>
        <w:t>日内将合同全部货物交付至甲方。</w:t>
      </w:r>
      <w:r>
        <w:rPr>
          <w:rFonts w:hint="eastAsia" w:ascii="Times New Roman" w:hAnsi="Times New Roman" w:cs="Times New Roman"/>
          <w:sz w:val="24"/>
          <w:u w:val="single"/>
          <w:lang w:val="en-US" w:eastAsia="zh-CN"/>
        </w:rPr>
        <w:t>厂外对接送货</w:t>
      </w:r>
      <w:r>
        <w:rPr>
          <w:rFonts w:hint="eastAsia" w:ascii="Times New Roman" w:hAnsi="Times New Roman" w:cs="Times New Roman"/>
          <w:sz w:val="24"/>
          <w:u w:val="single"/>
        </w:rPr>
        <w:t>及发票接收联系人</w:t>
      </w:r>
      <w:r>
        <w:rPr>
          <w:rFonts w:hint="eastAsia" w:ascii="Times New Roman" w:hAnsi="Times New Roman" w:cs="Times New Roman"/>
          <w:sz w:val="24"/>
          <w:u w:val="single"/>
          <w:lang w:eastAsia="zh-CN"/>
        </w:rPr>
        <w:t>：</w:t>
      </w:r>
      <w:r>
        <w:rPr>
          <w:rFonts w:hint="eastAsia" w:cs="Times New Roman"/>
          <w:sz w:val="24"/>
          <w:u w:val="single"/>
          <w:lang w:val="en-US" w:eastAsia="zh-CN"/>
        </w:rPr>
        <w:t>何震洋 15259232765</w:t>
      </w:r>
      <w:r>
        <w:rPr>
          <w:rFonts w:hint="eastAsia" w:ascii="Times New Roman" w:hAnsi="Times New Roman" w:cs="Times New Roman"/>
          <w:sz w:val="24"/>
          <w:u w:val="single"/>
          <w:lang w:val="en-US" w:eastAsia="zh-CN"/>
        </w:rPr>
        <w:t>。</w:t>
      </w:r>
      <w:r>
        <w:rPr>
          <w:rFonts w:hint="eastAsia" w:ascii="Times New Roman" w:hAnsi="Times New Roman" w:cs="Times New Roman"/>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lang w:eastAsia="zh-CN"/>
        </w:rPr>
      </w:pPr>
      <w:r>
        <w:rPr>
          <w:rFonts w:hint="eastAsia"/>
          <w:sz w:val="24"/>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收到并确认无误后30个工作日支付</w:t>
      </w:r>
      <w:r>
        <w:rPr>
          <w:rFonts w:hint="eastAsia"/>
          <w:sz w:val="24"/>
          <w:szCs w:val="22"/>
          <w:lang w:val="en-US" w:eastAsia="zh-CN"/>
        </w:rPr>
        <w:t>100</w:t>
      </w:r>
      <w:r>
        <w:rPr>
          <w:rFonts w:hint="eastAsia" w:ascii="宋体" w:hAnsi="宋体"/>
          <w:sz w:val="24"/>
          <w:szCs w:val="22"/>
          <w:lang w:eastAsia="zh-CN"/>
        </w:rPr>
        <w:t>%的货款</w:t>
      </w:r>
      <w:r>
        <w:rPr>
          <w:rFonts w:hint="eastAsia"/>
          <w:sz w:val="24"/>
          <w:lang w:eastAsia="zh-CN"/>
        </w:rPr>
        <w:t>。</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10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ascii="Times New Roman" w:hAnsi="Times New Roman" w:cs="Times New Roman"/>
          <w:sz w:val="24"/>
          <w:lang w:eastAsia="zh-CN"/>
        </w:rPr>
        <w:t>增值税专用发票</w:t>
      </w:r>
      <w:r>
        <w:rPr>
          <w:rFonts w:hint="eastAsia" w:ascii="Times New Roman" w:hAnsi="Times New Roman" w:cs="Times New Roman"/>
          <w:sz w:val="24"/>
        </w:rPr>
        <w:t>发</w:t>
      </w:r>
      <w:r>
        <w:rPr>
          <w:rFonts w:hint="eastAsia"/>
          <w:sz w:val="24"/>
        </w:rPr>
        <w:t>票（税率</w:t>
      </w:r>
      <w:r>
        <w:rPr>
          <w:sz w:val="24"/>
          <w:u w:val="single"/>
        </w:rPr>
        <w:t xml:space="preserve"> </w:t>
      </w:r>
      <w:r>
        <w:rPr>
          <w:rFonts w:hint="eastAsia"/>
          <w:sz w:val="24"/>
          <w:u w:val="single"/>
          <w:lang w:val="en-US" w:eastAsia="zh-CN"/>
        </w:rPr>
        <w:t>13</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4"/>
        <w:widowControl w:val="0"/>
        <w:numPr>
          <w:ilvl w:val="0"/>
          <w:numId w:val="0"/>
        </w:numPr>
        <w:autoSpaceDE/>
        <w:autoSpaceDN/>
        <w:jc w:val="both"/>
      </w:pPr>
    </w:p>
    <w:p/>
    <w:p/>
    <w:p>
      <w:pPr>
        <w:pStyle w:val="24"/>
      </w:pPr>
    </w:p>
    <w:tbl>
      <w:tblPr>
        <w:tblStyle w:val="2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甲方：翔鹭码头投资管理（漳州）有限公司</w:t>
            </w:r>
          </w:p>
        </w:tc>
        <w:tc>
          <w:tcPr>
            <w:tcW w:w="4821" w:type="dxa"/>
            <w:vAlign w:val="center"/>
          </w:tcPr>
          <w:p>
            <w:pPr>
              <w:spacing w:line="360" w:lineRule="auto"/>
              <w:jc w:val="both"/>
              <w:rPr>
                <w:rFonts w:hint="eastAsia"/>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联系地址：福建省漳州古雷经济开发区腾龙路86号</w:t>
            </w:r>
          </w:p>
        </w:tc>
        <w:tc>
          <w:tcPr>
            <w:tcW w:w="4821" w:type="dxa"/>
            <w:vAlign w:val="center"/>
          </w:tcPr>
          <w:p>
            <w:pPr>
              <w:spacing w:line="360" w:lineRule="auto"/>
              <w:jc w:val="both"/>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rFonts w:hint="default"/>
                <w:sz w:val="24"/>
                <w:lang w:val="en-US"/>
              </w:rPr>
            </w:pPr>
            <w:r>
              <w:rPr>
                <w:rFonts w:hint="eastAsia"/>
                <w:sz w:val="24"/>
                <w:lang w:eastAsia="zh-CN"/>
              </w:rPr>
              <w:t>电话：0596-6310074</w:t>
            </w:r>
          </w:p>
        </w:tc>
        <w:tc>
          <w:tcPr>
            <w:tcW w:w="4821" w:type="dxa"/>
            <w:vAlign w:val="center"/>
          </w:tcPr>
          <w:p>
            <w:pPr>
              <w:spacing w:line="360" w:lineRule="auto"/>
              <w:jc w:val="both"/>
              <w:rPr>
                <w:rFonts w:hint="default" w:eastAsia="宋体"/>
                <w:sz w:val="24"/>
                <w:lang w:val="en-US" w:eastAsia="zh-CN"/>
              </w:rPr>
            </w:pPr>
            <w:r>
              <w:rPr>
                <w:rFonts w:hint="eastAsia"/>
                <w:sz w:val="24"/>
                <w:lang w:eastAsia="zh-CN"/>
              </w:rPr>
              <w:t>电话：</w:t>
            </w:r>
            <w:r>
              <w:rPr>
                <w:rFonts w:hint="eastAsia" w:ascii="宋体" w:hAnsi="宋体"/>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开户银行：中国银行漳浦支行</w:t>
            </w:r>
          </w:p>
        </w:tc>
        <w:tc>
          <w:tcPr>
            <w:tcW w:w="4821" w:type="dxa"/>
            <w:vAlign w:val="center"/>
          </w:tcPr>
          <w:p>
            <w:pPr>
              <w:spacing w:line="360" w:lineRule="auto"/>
              <w:jc w:val="both"/>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账号：423467650735</w:t>
            </w:r>
          </w:p>
        </w:tc>
        <w:tc>
          <w:tcPr>
            <w:tcW w:w="4821" w:type="dxa"/>
            <w:vAlign w:val="center"/>
          </w:tcPr>
          <w:p>
            <w:pPr>
              <w:spacing w:line="360" w:lineRule="auto"/>
              <w:jc w:val="both"/>
              <w:rPr>
                <w:rFonts w:hint="eastAsia"/>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rFonts w:hint="eastAsia"/>
                <w:sz w:val="24"/>
                <w:lang w:eastAsia="zh-CN"/>
              </w:rPr>
            </w:pPr>
            <w:r>
              <w:rPr>
                <w:rFonts w:hint="default" w:ascii="Times New Roman" w:hAnsi="Times New Roman" w:eastAsia="宋体" w:cs="Times New Roman"/>
                <w:sz w:val="24"/>
                <w:szCs w:val="24"/>
                <w:lang w:eastAsia="zh-CN"/>
              </w:rPr>
              <w:t>税号： 91350623098275001C</w:t>
            </w:r>
          </w:p>
        </w:tc>
        <w:tc>
          <w:tcPr>
            <w:tcW w:w="4821" w:type="dxa"/>
            <w:vAlign w:val="center"/>
          </w:tcPr>
          <w:p>
            <w:pPr>
              <w:spacing w:line="360" w:lineRule="auto"/>
              <w:jc w:val="both"/>
              <w:rPr>
                <w:rFonts w:hint="eastAsia"/>
                <w:sz w:val="24"/>
                <w:lang w:eastAsia="zh-CN"/>
              </w:rPr>
            </w:pPr>
            <w:r>
              <w:rPr>
                <w:rFonts w:hint="eastAsia"/>
                <w:sz w:val="24"/>
                <w:lang w:eastAsia="zh-CN"/>
              </w:rPr>
              <w:t>税号：</w:t>
            </w:r>
            <w:r>
              <w:rPr>
                <w:rFonts w:hint="eastAsia" w:ascii="宋体" w:hAnsi="宋体"/>
                <w:b/>
                <w:bCs/>
                <w:color w:val="000000"/>
                <w:szCs w:val="21"/>
              </w:rPr>
              <w:t xml:space="preserve"> </w:t>
            </w:r>
          </w:p>
        </w:tc>
      </w:tr>
    </w:tbl>
    <w:p>
      <w:pPr>
        <w:spacing w:line="20" w:lineRule="exact"/>
        <w:rPr>
          <w:sz w:val="24"/>
        </w:rPr>
      </w:pPr>
    </w:p>
    <w:p>
      <w:pPr>
        <w:spacing w:line="20" w:lineRule="exact"/>
        <w:rPr>
          <w:sz w:val="24"/>
        </w:rPr>
      </w:pPr>
    </w:p>
    <w:p>
      <w:pPr>
        <w:pStyle w:val="2"/>
        <w:rPr>
          <w:b/>
          <w:sz w:val="28"/>
          <w:szCs w:val="28"/>
        </w:rPr>
      </w:pPr>
    </w:p>
    <w:p>
      <w:pPr>
        <w:pStyle w:val="2"/>
        <w:rPr>
          <w:rFonts w:hint="eastAsia"/>
          <w:b/>
          <w:sz w:val="28"/>
          <w:szCs w:val="28"/>
        </w:rPr>
      </w:pPr>
      <w:r>
        <w:rPr>
          <w:rFonts w:hint="eastAsia"/>
          <w:b/>
          <w:sz w:val="28"/>
          <w:szCs w:val="28"/>
        </w:rPr>
        <w:t>附件</w:t>
      </w:r>
      <w:r>
        <w:rPr>
          <w:rFonts w:hint="eastAsia"/>
          <w:b/>
          <w:sz w:val="28"/>
          <w:szCs w:val="28"/>
          <w:lang w:val="en-US" w:eastAsia="zh-CN"/>
        </w:rPr>
        <w:t>1</w:t>
      </w:r>
      <w:r>
        <w:rPr>
          <w:rFonts w:hint="eastAsia"/>
          <w:b/>
          <w:sz w:val="28"/>
          <w:szCs w:val="28"/>
        </w:rPr>
        <w:t>：</w:t>
      </w:r>
    </w:p>
    <w:p>
      <w:pPr>
        <w:pStyle w:val="2"/>
        <w:rPr>
          <w:rFonts w:hint="eastAsia"/>
          <w:b/>
          <w:sz w:val="28"/>
          <w:szCs w:val="28"/>
        </w:rPr>
      </w:pPr>
      <w:r>
        <w:rPr>
          <w:rFonts w:hint="eastAsia" w:hAnsi="宋体" w:cs="宋体" w:eastAsiaTheme="minorEastAsia"/>
          <w:kern w:val="2"/>
          <w:sz w:val="24"/>
          <w:szCs w:val="24"/>
          <w:lang w:eastAsia="zh-CN"/>
        </w:rPr>
        <w:drawing>
          <wp:inline distT="0" distB="0" distL="114300" distR="114300">
            <wp:extent cx="2178050" cy="3873500"/>
            <wp:effectExtent l="0" t="0" r="12700" b="12700"/>
            <wp:docPr id="3" name="图片 3" descr="现有辐射剂量报警仪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现有辐射剂量报警仪图片"/>
                    <pic:cNvPicPr>
                      <a:picLocks noChangeAspect="1"/>
                    </pic:cNvPicPr>
                  </pic:nvPicPr>
                  <pic:blipFill>
                    <a:blip r:embed="rId6"/>
                    <a:stretch>
                      <a:fillRect/>
                    </a:stretch>
                  </pic:blipFill>
                  <pic:spPr>
                    <a:xfrm>
                      <a:off x="0" y="0"/>
                      <a:ext cx="2178050" cy="3873500"/>
                    </a:xfrm>
                    <a:prstGeom prst="rect">
                      <a:avLst/>
                    </a:prstGeom>
                  </pic:spPr>
                </pic:pic>
              </a:graphicData>
            </a:graphic>
          </wp:inline>
        </w:drawing>
      </w:r>
    </w:p>
    <w:p>
      <w:pPr>
        <w:pStyle w:val="2"/>
        <w:spacing w:line="360" w:lineRule="auto"/>
        <w:rPr>
          <w:rFonts w:hint="eastAsia" w:hAnsi="宋体" w:cs="宋体" w:eastAsiaTheme="minorEastAsia"/>
          <w:kern w:val="2"/>
          <w:sz w:val="24"/>
          <w:szCs w:val="24"/>
          <w:lang w:eastAsia="zh-CN"/>
        </w:rPr>
      </w:pP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辐射剂量报警仪采购项目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w:t>
      </w:r>
      <w:r>
        <w:rPr>
          <w:rFonts w:hint="eastAsia" w:ascii="Times New Roman" w:hAnsi="Times New Roman" w:cs="Times New Roman"/>
          <w:b/>
          <w:bCs/>
          <w:w w:val="95"/>
          <w:sz w:val="32"/>
          <w:lang w:val="en-US" w:eastAsia="zh-CN"/>
        </w:rPr>
        <w:t>23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辐射剂量报警仪</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辐射剂量报警仪</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b/>
          <w:bCs/>
          <w:sz w:val="24"/>
          <w:szCs w:val="24"/>
          <w:u w:val="single"/>
          <w:lang w:val="en-US" w:eastAsia="zh-CN"/>
        </w:rPr>
        <w:t>辐射剂量报警仪</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/台，数量1台，共计人民币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13</w:t>
      </w:r>
      <w:r>
        <w:rPr>
          <w:rFonts w:hint="eastAsia"/>
          <w:sz w:val="24"/>
          <w:szCs w:val="24"/>
          <w:u w:val="single"/>
          <w:lang w:eastAsia="zh-CN"/>
        </w:rPr>
        <w:t xml:space="preserve">%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5"/>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1591"/>
        <w:gridCol w:w="1150"/>
        <w:gridCol w:w="1050"/>
        <w:gridCol w:w="825"/>
        <w:gridCol w:w="1313"/>
        <w:gridCol w:w="1000"/>
        <w:gridCol w:w="1141"/>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辐射剂量报警仪</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RG1000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699" w:hRule="atLeast"/>
        </w:trPr>
        <w:tc>
          <w:tcPr>
            <w:tcW w:w="2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532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05D2D12"/>
    <w:multiLevelType w:val="singleLevel"/>
    <w:tmpl w:val="605D2D12"/>
    <w:lvl w:ilvl="0" w:tentative="0">
      <w:start w:val="1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F50B00"/>
    <w:rsid w:val="076E1278"/>
    <w:rsid w:val="07D95A22"/>
    <w:rsid w:val="08D1141D"/>
    <w:rsid w:val="0B296DE2"/>
    <w:rsid w:val="0CEC2637"/>
    <w:rsid w:val="0D704EEE"/>
    <w:rsid w:val="0EEC5213"/>
    <w:rsid w:val="0FBB2AA9"/>
    <w:rsid w:val="10294AA3"/>
    <w:rsid w:val="10E40CA0"/>
    <w:rsid w:val="12A4052D"/>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306C6CAE"/>
    <w:rsid w:val="30D07398"/>
    <w:rsid w:val="31C54755"/>
    <w:rsid w:val="3216608C"/>
    <w:rsid w:val="335F5DDA"/>
    <w:rsid w:val="34CE14C6"/>
    <w:rsid w:val="34D84CEC"/>
    <w:rsid w:val="35880579"/>
    <w:rsid w:val="37AF5AB7"/>
    <w:rsid w:val="38581C57"/>
    <w:rsid w:val="3B1C3371"/>
    <w:rsid w:val="3CC23198"/>
    <w:rsid w:val="3DDF4815"/>
    <w:rsid w:val="3FE669E5"/>
    <w:rsid w:val="454347BE"/>
    <w:rsid w:val="49A31EDC"/>
    <w:rsid w:val="500F48EF"/>
    <w:rsid w:val="50F63E28"/>
    <w:rsid w:val="52105747"/>
    <w:rsid w:val="5221007F"/>
    <w:rsid w:val="52926B5A"/>
    <w:rsid w:val="545C5E51"/>
    <w:rsid w:val="5486175B"/>
    <w:rsid w:val="57667D24"/>
    <w:rsid w:val="57CE5BC3"/>
    <w:rsid w:val="58604AE0"/>
    <w:rsid w:val="59F5351B"/>
    <w:rsid w:val="5AE1516A"/>
    <w:rsid w:val="5B6207E4"/>
    <w:rsid w:val="5B6A3A79"/>
    <w:rsid w:val="5C1A5F7B"/>
    <w:rsid w:val="5C8277EA"/>
    <w:rsid w:val="5D887ABE"/>
    <w:rsid w:val="5E88034A"/>
    <w:rsid w:val="627C4924"/>
    <w:rsid w:val="63D2716D"/>
    <w:rsid w:val="645771F8"/>
    <w:rsid w:val="68B757AA"/>
    <w:rsid w:val="6A54112D"/>
    <w:rsid w:val="6AA035AE"/>
    <w:rsid w:val="6CD44A05"/>
    <w:rsid w:val="6DE6205D"/>
    <w:rsid w:val="6E0F2E14"/>
    <w:rsid w:val="6E1A1323"/>
    <w:rsid w:val="6F1E141D"/>
    <w:rsid w:val="6F5354F8"/>
    <w:rsid w:val="6F855916"/>
    <w:rsid w:val="740A2BDE"/>
    <w:rsid w:val="741915E0"/>
    <w:rsid w:val="751839E0"/>
    <w:rsid w:val="76274F93"/>
    <w:rsid w:val="774424D0"/>
    <w:rsid w:val="778B1930"/>
    <w:rsid w:val="78DC4E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1"/>
    <w:qFormat/>
    <w:uiPriority w:val="99"/>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9"/>
    <w:qFormat/>
    <w:uiPriority w:val="1"/>
    <w:rPr>
      <w:sz w:val="24"/>
      <w:szCs w:val="24"/>
    </w:rPr>
  </w:style>
  <w:style w:type="paragraph" w:styleId="11">
    <w:name w:val="Body Text Indent"/>
    <w:basedOn w:val="1"/>
    <w:link w:val="63"/>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5"/>
    <w:qFormat/>
    <w:uiPriority w:val="99"/>
    <w:rPr>
      <w:rFonts w:hAnsi="Courier New" w:cs="Courier New"/>
      <w:szCs w:val="21"/>
    </w:rPr>
  </w:style>
  <w:style w:type="paragraph" w:styleId="14">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4"/>
    <w:qFormat/>
    <w:uiPriority w:val="0"/>
    <w:pPr>
      <w:spacing w:after="120" w:line="480" w:lineRule="auto"/>
      <w:ind w:left="420" w:leftChars="200"/>
    </w:pPr>
  </w:style>
  <w:style w:type="paragraph" w:styleId="16">
    <w:name w:val="Balloon Text"/>
    <w:basedOn w:val="1"/>
    <w:link w:val="45"/>
    <w:qFormat/>
    <w:uiPriority w:val="99"/>
    <w:rPr>
      <w:sz w:val="18"/>
      <w:szCs w:val="18"/>
    </w:rPr>
  </w:style>
  <w:style w:type="paragraph" w:styleId="17">
    <w:name w:val="footer"/>
    <w:basedOn w:val="1"/>
    <w:link w:val="46"/>
    <w:qFormat/>
    <w:uiPriority w:val="99"/>
    <w:pPr>
      <w:tabs>
        <w:tab w:val="center" w:pos="4153"/>
        <w:tab w:val="right" w:pos="8306"/>
      </w:tabs>
      <w:snapToGrid w:val="0"/>
    </w:pPr>
    <w:rPr>
      <w:sz w:val="18"/>
      <w:szCs w:val="18"/>
    </w:rPr>
  </w:style>
  <w:style w:type="paragraph" w:styleId="18">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3"/>
    <w:qFormat/>
    <w:uiPriority w:val="0"/>
    <w:pPr>
      <w:spacing w:after="120" w:line="480" w:lineRule="auto"/>
    </w:pPr>
  </w:style>
  <w:style w:type="paragraph" w:styleId="23">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4">
    <w:name w:val="Body Text First Indent 2"/>
    <w:basedOn w:val="11"/>
    <w:next w:val="1"/>
    <w:qFormat/>
    <w:uiPriority w:val="0"/>
    <w:pPr>
      <w:ind w:firstLine="420" w:firstLineChars="200"/>
    </w:p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99"/>
    <w:rPr>
      <w:b/>
      <w:bCs/>
    </w:rPr>
  </w:style>
  <w:style w:type="character" w:styleId="29">
    <w:name w:val="page number"/>
    <w:basedOn w:val="27"/>
    <w:qFormat/>
    <w:uiPriority w:val="99"/>
    <w:rPr>
      <w:rFonts w:cs="Times New Roman"/>
    </w:rPr>
  </w:style>
  <w:style w:type="character" w:styleId="30">
    <w:name w:val="FollowedHyperlink"/>
    <w:basedOn w:val="27"/>
    <w:qFormat/>
    <w:uiPriority w:val="99"/>
    <w:rPr>
      <w:rFonts w:cs="Times New Roman"/>
      <w:color w:val="800080"/>
      <w:u w:val="single"/>
    </w:rPr>
  </w:style>
  <w:style w:type="character" w:styleId="31">
    <w:name w:val="Emphasis"/>
    <w:basedOn w:val="27"/>
    <w:qFormat/>
    <w:uiPriority w:val="20"/>
    <w:rPr>
      <w:i/>
      <w:iCs/>
    </w:rPr>
  </w:style>
  <w:style w:type="character" w:styleId="32">
    <w:name w:val="HTML Definition"/>
    <w:basedOn w:val="27"/>
    <w:qFormat/>
    <w:uiPriority w:val="0"/>
  </w:style>
  <w:style w:type="character" w:styleId="33">
    <w:name w:val="HTML Variable"/>
    <w:basedOn w:val="27"/>
    <w:qFormat/>
    <w:uiPriority w:val="0"/>
  </w:style>
  <w:style w:type="character" w:styleId="34">
    <w:name w:val="Hyperlink"/>
    <w:basedOn w:val="27"/>
    <w:qFormat/>
    <w:uiPriority w:val="99"/>
    <w:rPr>
      <w:color w:val="0000FF"/>
      <w:u w:val="single"/>
    </w:rPr>
  </w:style>
  <w:style w:type="character" w:styleId="35">
    <w:name w:val="HTML Code"/>
    <w:basedOn w:val="27"/>
    <w:qFormat/>
    <w:uiPriority w:val="0"/>
    <w:rPr>
      <w:rFonts w:ascii="Courier New" w:hAnsi="Courier New"/>
      <w:sz w:val="20"/>
    </w:rPr>
  </w:style>
  <w:style w:type="character" w:styleId="36">
    <w:name w:val="HTML Cite"/>
    <w:basedOn w:val="27"/>
    <w:qFormat/>
    <w:uiPriority w:val="0"/>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7"/>
    <w:link w:val="14"/>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7"/>
    <w:qFormat/>
    <w:uiPriority w:val="0"/>
    <w:rPr>
      <w:color w:val="0000FF"/>
      <w:sz w:val="18"/>
      <w:szCs w:val="18"/>
      <w:u w:val="none"/>
      <w:bdr w:val="single" w:color="DCDCDC" w:sz="8" w:space="0"/>
      <w:shd w:val="clear" w:color="auto" w:fill="FFFFFF"/>
    </w:rPr>
  </w:style>
  <w:style w:type="character" w:customStyle="1" w:styleId="45">
    <w:name w:val="批注框文本 Char"/>
    <w:basedOn w:val="27"/>
    <w:link w:val="16"/>
    <w:qFormat/>
    <w:uiPriority w:val="99"/>
    <w:rPr>
      <w:rFonts w:ascii="宋体" w:hAnsi="宋体" w:cs="宋体"/>
      <w:sz w:val="18"/>
      <w:szCs w:val="18"/>
      <w:lang w:eastAsia="en-US"/>
    </w:rPr>
  </w:style>
  <w:style w:type="character" w:customStyle="1" w:styleId="46">
    <w:name w:val="页脚 Char"/>
    <w:basedOn w:val="27"/>
    <w:link w:val="17"/>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7"/>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7"/>
    <w:link w:val="5"/>
    <w:qFormat/>
    <w:uiPriority w:val="0"/>
    <w:rPr>
      <w:rFonts w:ascii="宋体" w:hAnsi="宋体" w:cs="宋体"/>
      <w:b/>
      <w:bCs/>
      <w:sz w:val="32"/>
      <w:szCs w:val="32"/>
      <w:lang w:eastAsia="en-US"/>
    </w:rPr>
  </w:style>
  <w:style w:type="character" w:customStyle="1" w:styleId="51">
    <w:name w:val="批注文字 Char"/>
    <w:basedOn w:val="27"/>
    <w:link w:val="9"/>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7"/>
    <w:link w:val="22"/>
    <w:qFormat/>
    <w:uiPriority w:val="0"/>
    <w:rPr>
      <w:rFonts w:ascii="宋体" w:hAnsi="宋体" w:cs="宋体"/>
      <w:sz w:val="22"/>
      <w:szCs w:val="22"/>
      <w:lang w:eastAsia="en-US"/>
    </w:rPr>
  </w:style>
  <w:style w:type="character" w:customStyle="1" w:styleId="54">
    <w:name w:val="正文文本缩进 2 Char"/>
    <w:basedOn w:val="27"/>
    <w:link w:val="15"/>
    <w:qFormat/>
    <w:uiPriority w:val="0"/>
    <w:rPr>
      <w:rFonts w:ascii="宋体" w:hAnsi="宋体" w:cs="宋体"/>
      <w:sz w:val="22"/>
      <w:szCs w:val="22"/>
      <w:lang w:eastAsia="en-US"/>
    </w:rPr>
  </w:style>
  <w:style w:type="character" w:customStyle="1" w:styleId="55">
    <w:name w:val="纯文本 Char1"/>
    <w:basedOn w:val="27"/>
    <w:link w:val="13"/>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7"/>
    <w:link w:val="4"/>
    <w:qFormat/>
    <w:uiPriority w:val="0"/>
    <w:rPr>
      <w:rFonts w:ascii="宋体" w:hAnsi="宋体" w:cs="宋体"/>
      <w:b/>
      <w:bCs/>
      <w:sz w:val="24"/>
      <w:szCs w:val="24"/>
      <w:lang w:eastAsia="en-US"/>
    </w:rPr>
  </w:style>
  <w:style w:type="character" w:customStyle="1" w:styleId="58">
    <w:name w:val="正文缩进 Char"/>
    <w:link w:val="7"/>
    <w:qFormat/>
    <w:uiPriority w:val="0"/>
    <w:rPr>
      <w:sz w:val="24"/>
    </w:rPr>
  </w:style>
  <w:style w:type="character" w:customStyle="1" w:styleId="59">
    <w:name w:val="正文文本 Char"/>
    <w:basedOn w:val="27"/>
    <w:link w:val="10"/>
    <w:qFormat/>
    <w:uiPriority w:val="0"/>
    <w:rPr>
      <w:rFonts w:ascii="宋体" w:hAnsi="宋体" w:cs="宋体"/>
      <w:sz w:val="24"/>
      <w:szCs w:val="24"/>
      <w:lang w:eastAsia="en-US"/>
    </w:rPr>
  </w:style>
  <w:style w:type="character" w:customStyle="1" w:styleId="60">
    <w:name w:val="普通文字 Char2"/>
    <w:basedOn w:val="27"/>
    <w:qFormat/>
    <w:uiPriority w:val="0"/>
    <w:rPr>
      <w:rFonts w:ascii="宋体" w:hAnsi="Courier New" w:cs="Courier New"/>
      <w:sz w:val="22"/>
      <w:szCs w:val="21"/>
      <w:lang w:eastAsia="en-US"/>
    </w:rPr>
  </w:style>
  <w:style w:type="character" w:customStyle="1" w:styleId="61">
    <w:name w:val="标题 1 Char"/>
    <w:link w:val="3"/>
    <w:qFormat/>
    <w:uiPriority w:val="99"/>
    <w:rPr>
      <w:rFonts w:ascii="宋体" w:hAnsi="宋体" w:cs="宋体"/>
      <w:b/>
      <w:bCs/>
      <w:sz w:val="28"/>
      <w:szCs w:val="28"/>
      <w:lang w:eastAsia="en-US"/>
    </w:rPr>
  </w:style>
  <w:style w:type="character" w:customStyle="1" w:styleId="62">
    <w:name w:val="正文1 Char"/>
    <w:basedOn w:val="27"/>
    <w:link w:val="2"/>
    <w:qFormat/>
    <w:locked/>
    <w:uiPriority w:val="0"/>
    <w:rPr>
      <w:rFonts w:ascii="宋体" w:hAnsi="Calibri"/>
      <w:sz w:val="34"/>
      <w:szCs w:val="22"/>
    </w:rPr>
  </w:style>
  <w:style w:type="character" w:customStyle="1" w:styleId="63">
    <w:name w:val="正文文本缩进 Char"/>
    <w:basedOn w:val="27"/>
    <w:link w:val="11"/>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7"/>
    <w:link w:val="6"/>
    <w:qFormat/>
    <w:uiPriority w:val="99"/>
    <w:rPr>
      <w:rFonts w:ascii="Arial" w:hAnsi="Arial" w:eastAsia="黑体"/>
      <w:b/>
      <w:bCs/>
      <w:kern w:val="2"/>
      <w:sz w:val="28"/>
      <w:szCs w:val="28"/>
    </w:rPr>
  </w:style>
  <w:style w:type="character" w:customStyle="1" w:styleId="66">
    <w:name w:val="文档结构图 Char"/>
    <w:basedOn w:val="27"/>
    <w:link w:val="8"/>
    <w:qFormat/>
    <w:uiPriority w:val="99"/>
    <w:rPr>
      <w:rFonts w:ascii="宋体"/>
      <w:kern w:val="2"/>
      <w:sz w:val="18"/>
      <w:szCs w:val="18"/>
    </w:rPr>
  </w:style>
  <w:style w:type="character" w:customStyle="1" w:styleId="67">
    <w:name w:val="副标题 Char"/>
    <w:basedOn w:val="27"/>
    <w:link w:val="20"/>
    <w:qFormat/>
    <w:uiPriority w:val="99"/>
    <w:rPr>
      <w:rFonts w:ascii="Cambria" w:hAnsi="Cambria"/>
      <w:b/>
      <w:bCs/>
      <w:kern w:val="28"/>
      <w:sz w:val="32"/>
      <w:szCs w:val="32"/>
    </w:rPr>
  </w:style>
  <w:style w:type="character" w:customStyle="1" w:styleId="68">
    <w:name w:val="标题 Char"/>
    <w:basedOn w:val="27"/>
    <w:link w:val="23"/>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7"/>
    <w:link w:val="18"/>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7"/>
    <w:qFormat/>
    <w:uiPriority w:val="0"/>
    <w:rPr>
      <w:color w:val="FFFFFF"/>
    </w:rPr>
  </w:style>
  <w:style w:type="character" w:customStyle="1" w:styleId="78">
    <w:name w:val="tmpztreemove_arrow"/>
    <w:basedOn w:val="27"/>
    <w:qFormat/>
    <w:uiPriority w:val="0"/>
  </w:style>
  <w:style w:type="character" w:customStyle="1" w:styleId="79">
    <w:name w:val="cy"/>
    <w:basedOn w:val="27"/>
    <w:uiPriority w:val="0"/>
  </w:style>
  <w:style w:type="character" w:customStyle="1" w:styleId="80">
    <w:name w:val="associateddata"/>
    <w:basedOn w:val="27"/>
    <w:uiPriority w:val="0"/>
    <w:rPr>
      <w:shd w:val="clear" w:fill="50A6F9"/>
    </w:rPr>
  </w:style>
  <w:style w:type="character" w:customStyle="1" w:styleId="81">
    <w:name w:val="choosename"/>
    <w:basedOn w:val="27"/>
    <w:uiPriority w:val="0"/>
  </w:style>
  <w:style w:type="character" w:customStyle="1" w:styleId="82">
    <w:name w:val="xdrichtextbox"/>
    <w:basedOn w:val="27"/>
    <w:qFormat/>
    <w:uiPriority w:val="0"/>
    <w:rPr>
      <w:color w:val="auto"/>
      <w:u w:val="none"/>
      <w:bdr w:val="single" w:color="DCDCDC" w:sz="8" w:space="0"/>
      <w:shd w:val="clear" w:fill="auto"/>
    </w:rPr>
  </w:style>
  <w:style w:type="character" w:customStyle="1" w:styleId="83">
    <w:name w:val="iconline2"/>
    <w:basedOn w:val="27"/>
    <w:uiPriority w:val="0"/>
  </w:style>
  <w:style w:type="character" w:customStyle="1" w:styleId="84">
    <w:name w:val="iconline21"/>
    <w:basedOn w:val="27"/>
    <w:qFormat/>
    <w:uiPriority w:val="0"/>
  </w:style>
  <w:style w:type="character" w:customStyle="1" w:styleId="85">
    <w:name w:val="design_class"/>
    <w:basedOn w:val="27"/>
    <w:uiPriority w:val="0"/>
  </w:style>
  <w:style w:type="character" w:customStyle="1" w:styleId="86">
    <w:name w:val="button"/>
    <w:basedOn w:val="27"/>
    <w:qFormat/>
    <w:uiPriority w:val="0"/>
  </w:style>
  <w:style w:type="character" w:customStyle="1" w:styleId="87">
    <w:name w:val="layui-layer-tabnow"/>
    <w:basedOn w:val="27"/>
    <w:uiPriority w:val="0"/>
    <w:rPr>
      <w:bdr w:val="single" w:color="CCCCCC" w:sz="6" w:space="0"/>
      <w:shd w:val="clear" w:fill="FFFFFF"/>
    </w:rPr>
  </w:style>
  <w:style w:type="character" w:customStyle="1" w:styleId="88">
    <w:name w:val="icontext1"/>
    <w:basedOn w:val="27"/>
    <w:qFormat/>
    <w:uiPriority w:val="0"/>
  </w:style>
  <w:style w:type="character" w:customStyle="1" w:styleId="89">
    <w:name w:val="icontext11"/>
    <w:basedOn w:val="27"/>
    <w:qFormat/>
    <w:uiPriority w:val="0"/>
  </w:style>
  <w:style w:type="character" w:customStyle="1" w:styleId="90">
    <w:name w:val="icontext12"/>
    <w:basedOn w:val="27"/>
    <w:qFormat/>
    <w:uiPriority w:val="0"/>
  </w:style>
  <w:style w:type="character" w:customStyle="1" w:styleId="91">
    <w:name w:val="after"/>
    <w:basedOn w:val="27"/>
    <w:qFormat/>
    <w:uiPriority w:val="0"/>
    <w:rPr>
      <w:sz w:val="0"/>
      <w:szCs w:val="0"/>
    </w:rPr>
  </w:style>
  <w:style w:type="character" w:customStyle="1" w:styleId="92">
    <w:name w:val="hilite6"/>
    <w:basedOn w:val="27"/>
    <w:uiPriority w:val="0"/>
    <w:rPr>
      <w:color w:val="FFFFFF"/>
      <w:shd w:val="clear" w:fill="666666"/>
    </w:rPr>
  </w:style>
  <w:style w:type="character" w:customStyle="1" w:styleId="93">
    <w:name w:val="active2"/>
    <w:basedOn w:val="27"/>
    <w:qFormat/>
    <w:uiPriority w:val="0"/>
    <w:rPr>
      <w:color w:val="00FF00"/>
      <w:shd w:val="clear" w:fill="111111"/>
    </w:rPr>
  </w:style>
  <w:style w:type="character" w:customStyle="1" w:styleId="94">
    <w:name w:val="active3"/>
    <w:basedOn w:val="27"/>
    <w:qFormat/>
    <w:uiPriority w:val="0"/>
    <w:rPr>
      <w:shd w:val="clear" w:fill="EC3535"/>
    </w:rPr>
  </w:style>
  <w:style w:type="character" w:customStyle="1" w:styleId="95">
    <w:name w:val="w32"/>
    <w:basedOn w:val="27"/>
    <w:qFormat/>
    <w:uiPriority w:val="0"/>
  </w:style>
  <w:style w:type="character" w:customStyle="1" w:styleId="96">
    <w:name w:val="biggerthanmax"/>
    <w:basedOn w:val="27"/>
    <w:qFormat/>
    <w:uiPriority w:val="0"/>
    <w:rPr>
      <w:shd w:val="clear" w:fill="FFFF00"/>
    </w:rPr>
  </w:style>
  <w:style w:type="character" w:customStyle="1" w:styleId="97">
    <w:name w:val="cdropright"/>
    <w:basedOn w:val="27"/>
    <w:qFormat/>
    <w:uiPriority w:val="0"/>
  </w:style>
  <w:style w:type="character" w:customStyle="1" w:styleId="98">
    <w:name w:val="pagechatarealistclose_box"/>
    <w:basedOn w:val="27"/>
    <w:qFormat/>
    <w:uiPriority w:val="0"/>
  </w:style>
  <w:style w:type="character" w:customStyle="1" w:styleId="99">
    <w:name w:val="pagechatarealistclose_box1"/>
    <w:basedOn w:val="27"/>
    <w:qFormat/>
    <w:uiPriority w:val="0"/>
  </w:style>
  <w:style w:type="character" w:customStyle="1" w:styleId="100">
    <w:name w:val="ico1654"/>
    <w:basedOn w:val="27"/>
    <w:qFormat/>
    <w:uiPriority w:val="0"/>
  </w:style>
  <w:style w:type="character" w:customStyle="1" w:styleId="101">
    <w:name w:val="ico1655"/>
    <w:basedOn w:val="27"/>
    <w:qFormat/>
    <w:uiPriority w:val="0"/>
  </w:style>
  <w:style w:type="character" w:customStyle="1" w:styleId="102">
    <w:name w:val="drapbtn"/>
    <w:basedOn w:val="27"/>
    <w:qFormat/>
    <w:uiPriority w:val="0"/>
  </w:style>
  <w:style w:type="character" w:customStyle="1" w:styleId="103">
    <w:name w:val="cdropleft"/>
    <w:basedOn w:val="27"/>
    <w:qFormat/>
    <w:uiPriority w:val="0"/>
  </w:style>
  <w:style w:type="character" w:customStyle="1" w:styleId="104">
    <w:name w:val="icontext2"/>
    <w:basedOn w:val="27"/>
    <w:qFormat/>
    <w:uiPriority w:val="0"/>
  </w:style>
  <w:style w:type="character" w:customStyle="1" w:styleId="105">
    <w:name w:val="icontext3"/>
    <w:basedOn w:val="27"/>
    <w:qFormat/>
    <w:uiPriority w:val="0"/>
  </w:style>
  <w:style w:type="character" w:customStyle="1" w:styleId="106">
    <w:name w:val="first-child"/>
    <w:basedOn w:val="27"/>
    <w:qFormat/>
    <w:uiPriority w:val="0"/>
  </w:style>
  <w:style w:type="character" w:customStyle="1" w:styleId="107">
    <w:name w:val="edit_class"/>
    <w:basedOn w:val="27"/>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11648</Words>
  <Characters>12108</Characters>
  <Lines>146</Lines>
  <Paragraphs>41</Paragraphs>
  <TotalTime>77</TotalTime>
  <ScaleCrop>false</ScaleCrop>
  <LinksUpToDate>false</LinksUpToDate>
  <CharactersWithSpaces>13148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2023-04-01T02:05:09Z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2052-11.1.0.14036</vt:lpwstr>
  </property>
  <property fmtid="{D5CDD505-2E9C-101B-9397-08002B2CF9AE}" pid="6" name="ICV">
    <vt:lpwstr>202A8A2AED6A4DC9BFB3D7C1F4E3344E_12</vt:lpwstr>
  </property>
</Properties>
</file>