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eastAsia" w:ascii="宋体" w:hAnsi="宋体" w:cs="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val="en-US" w:eastAsia="zh-CN"/>
        </w:rPr>
        <w:t>硫磺回收装置高效脱硫剂</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w:t>
      </w:r>
      <w:r>
        <w:rPr>
          <w:rFonts w:hint="eastAsia" w:ascii="宋体" w:hAnsi="宋体" w:cs="宋体"/>
          <w:kern w:val="0"/>
          <w:sz w:val="36"/>
          <w:szCs w:val="36"/>
          <w:shd w:val="clear" w:color="auto" w:fill="FFFFFF"/>
          <w:lang w:eastAsia="zh-CN"/>
        </w:rPr>
        <w:t>2023-FHC-高效脱硫剂-0419</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腾龙芳烃（漳州）有限公司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w:t>
      </w:r>
      <w:r>
        <w:rPr>
          <w:rFonts w:hint="eastAsia" w:asciiTheme="minorEastAsia" w:hAnsiTheme="minorEastAsia" w:eastAsiaTheme="minorEastAsia" w:cstheme="minorEastAsia"/>
          <w:kern w:val="0"/>
          <w:sz w:val="28"/>
          <w:szCs w:val="28"/>
          <w:shd w:val="clear" w:color="auto" w:fill="FFFFFF"/>
          <w:lang w:val="en-US" w:eastAsia="zh-CN"/>
        </w:rPr>
        <w:t>3</w:t>
      </w:r>
      <w:r>
        <w:rPr>
          <w:rFonts w:hint="eastAsia" w:asciiTheme="minorEastAsia" w:hAnsiTheme="minorEastAsia" w:eastAsiaTheme="minorEastAsia" w:cstheme="minorEastAsia"/>
          <w:kern w:val="0"/>
          <w:sz w:val="28"/>
          <w:szCs w:val="28"/>
          <w:shd w:val="clear" w:color="auto" w:fill="FFFFFF"/>
        </w:rPr>
        <w:t>年</w:t>
      </w:r>
      <w:r>
        <w:rPr>
          <w:rFonts w:hint="eastAsia" w:asciiTheme="minorEastAsia" w:hAnsiTheme="minorEastAsia" w:eastAsiaTheme="minorEastAsia" w:cstheme="minorEastAsia"/>
          <w:kern w:val="0"/>
          <w:sz w:val="28"/>
          <w:szCs w:val="28"/>
          <w:shd w:val="clear" w:color="auto" w:fill="FFFFFF"/>
          <w:lang w:val="en-US" w:eastAsia="zh-CN"/>
        </w:rPr>
        <w:t>4</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21</w:t>
      </w:r>
      <w:bookmarkStart w:id="2" w:name="_GoBack"/>
      <w:bookmarkEnd w:id="2"/>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b/>
          <w:bCs/>
          <w:sz w:val="36"/>
          <w:szCs w:val="36"/>
          <w:lang w:val="en-US" w:eastAsia="zh-CN"/>
        </w:rPr>
      </w:pPr>
      <w:r>
        <w:rPr>
          <w:rFonts w:hint="eastAsia"/>
          <w:b/>
          <w:bCs/>
          <w:sz w:val="36"/>
          <w:szCs w:val="36"/>
          <w:lang w:val="en-US" w:eastAsia="zh-CN"/>
        </w:rPr>
        <w:t>一、比选公告</w:t>
      </w:r>
    </w:p>
    <w:p>
      <w:pPr>
        <w:spacing w:line="300" w:lineRule="auto"/>
        <w:jc w:val="center"/>
        <w:rPr>
          <w:rFonts w:hint="eastAsia" w:eastAsia="宋体"/>
          <w:b/>
          <w:bCs/>
          <w:sz w:val="32"/>
          <w:lang w:eastAsia="zh-CN"/>
        </w:rPr>
      </w:pPr>
      <w:r>
        <w:rPr>
          <w:rFonts w:hint="eastAsia"/>
          <w:b/>
          <w:bCs/>
          <w:sz w:val="32"/>
          <w:lang w:eastAsia="zh-CN"/>
        </w:rPr>
        <w:t>腾龙芳烃（漳州）有限公司</w:t>
      </w:r>
    </w:p>
    <w:p>
      <w:pPr>
        <w:spacing w:line="300" w:lineRule="auto"/>
        <w:jc w:val="center"/>
        <w:rPr>
          <w:rFonts w:hint="eastAsia"/>
          <w:b/>
          <w:bCs/>
          <w:sz w:val="32"/>
          <w:lang w:val="en-US" w:eastAsia="zh-CN"/>
        </w:rPr>
      </w:pPr>
      <w:r>
        <w:rPr>
          <w:rFonts w:hint="eastAsia"/>
          <w:b/>
          <w:bCs/>
          <w:sz w:val="32"/>
          <w:lang w:val="en-US" w:eastAsia="zh-CN"/>
        </w:rPr>
        <w:t>硫磺回收装置高效脱硫剂</w:t>
      </w:r>
    </w:p>
    <w:p>
      <w:pPr>
        <w:spacing w:line="300" w:lineRule="auto"/>
        <w:jc w:val="center"/>
        <w:rPr>
          <w:bCs/>
          <w:szCs w:val="21"/>
        </w:rPr>
      </w:pP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硫磺回收装置高效脱硫剂</w:t>
      </w:r>
      <w:r>
        <w:rPr>
          <w:rFonts w:hint="eastAsia" w:asciiTheme="minorEastAsia" w:hAnsiTheme="minorEastAsia" w:eastAsiaTheme="minorEastAsia"/>
          <w:bCs/>
          <w:sz w:val="24"/>
          <w:u w:val="single"/>
        </w:rPr>
        <w:t>（项目编号：</w:t>
      </w:r>
      <w:r>
        <w:rPr>
          <w:rFonts w:hint="eastAsia" w:asciiTheme="minorEastAsia" w:hAnsiTheme="minorEastAsia" w:eastAsiaTheme="minorEastAsia"/>
          <w:bCs/>
          <w:sz w:val="24"/>
          <w:u w:val="single"/>
          <w:lang w:eastAsia="zh-CN"/>
        </w:rPr>
        <w:t>2023-FHC-高效脱硫剂-0419</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5"/>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eastAsia="zh-CN"/>
        </w:rPr>
        <w:t>硫磺回收装置高效脱硫剂</w:t>
      </w:r>
      <w:r>
        <w:rPr>
          <w:rFonts w:hint="eastAsia" w:ascii="宋体" w:hAnsi="宋体" w:cs="宋体" w:eastAsiaTheme="minorEastAsia"/>
          <w:sz w:val="24"/>
        </w:rPr>
        <w:t>。</w:t>
      </w:r>
    </w:p>
    <w:p>
      <w:pPr>
        <w:pStyle w:val="15"/>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eastAsia="zh-CN"/>
        </w:rPr>
        <w:t>硫磺回收装置高效脱硫剂</w:t>
      </w:r>
      <w:r>
        <w:rPr>
          <w:rFonts w:hint="eastAsia" w:asciiTheme="minorEastAsia" w:hAnsiTheme="minorEastAsia" w:eastAsiaTheme="minorEastAsia"/>
          <w:bCs/>
          <w:sz w:val="24"/>
        </w:rPr>
        <w:t>采购数量、质量、货期、服务等要求详见比选文件</w:t>
      </w:r>
      <w:r>
        <w:rPr>
          <w:rFonts w:hint="eastAsia" w:asciiTheme="minorEastAsia" w:hAnsiTheme="minorEastAsia" w:eastAsiaTheme="minorEastAsia"/>
          <w:bCs/>
          <w:sz w:val="24"/>
          <w:lang w:val="en-US" w:eastAsia="zh-CN"/>
        </w:rPr>
        <w:t>及技术要求</w:t>
      </w:r>
      <w:r>
        <w:rPr>
          <w:rFonts w:hint="eastAsia" w:asciiTheme="minorEastAsia" w:hAnsiTheme="minorEastAsia" w:eastAsiaTheme="minorEastAsia"/>
          <w:bCs/>
          <w:sz w:val="24"/>
        </w:rPr>
        <w:t>。</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5"/>
        <w:numPr>
          <w:ilvl w:val="0"/>
          <w:numId w:val="3"/>
        </w:numPr>
        <w:spacing w:before="100" w:beforeAutospacing="1" w:after="100" w:afterAutospacing="1" w:line="300" w:lineRule="auto"/>
        <w:rPr>
          <w:rFonts w:hint="eastAsia" w:asciiTheme="minorEastAsia" w:hAnsiTheme="minorEastAsia" w:eastAsiaTheme="minorEastAsia"/>
          <w:bCs/>
          <w:sz w:val="24"/>
        </w:rPr>
      </w:pPr>
      <w:r>
        <w:rPr>
          <w:rFonts w:hint="eastAsia" w:asciiTheme="minorEastAsia" w:hAnsiTheme="minorEastAsia" w:eastAsiaTheme="minorEastAsia"/>
          <w:bCs/>
          <w:sz w:val="24"/>
        </w:rPr>
        <w:t>具备独立法人资格、具备有效的企业法人营业执照。</w:t>
      </w:r>
    </w:p>
    <w:p>
      <w:pPr>
        <w:pStyle w:val="15"/>
        <w:numPr>
          <w:ilvl w:val="0"/>
          <w:numId w:val="3"/>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5"/>
        <w:numPr>
          <w:ilvl w:val="0"/>
          <w:numId w:val="3"/>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r>
        <w:rPr>
          <w:rFonts w:hint="eastAsia" w:asciiTheme="minorEastAsia" w:hAnsiTheme="minorEastAsia" w:eastAsiaTheme="minorEastAsia"/>
          <w:bCs/>
          <w:sz w:val="24"/>
          <w:lang w:eastAsia="zh-CN"/>
        </w:rPr>
        <w:t>。</w:t>
      </w:r>
    </w:p>
    <w:p>
      <w:pPr>
        <w:pStyle w:val="15"/>
        <w:numPr>
          <w:ilvl w:val="0"/>
          <w:numId w:val="3"/>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5"/>
        <w:numPr>
          <w:ilvl w:val="0"/>
          <w:numId w:val="3"/>
        </w:numPr>
        <w:spacing w:before="100" w:beforeAutospacing="1" w:after="100" w:afterAutospacing="1" w:line="300" w:lineRule="auto"/>
        <w:rPr>
          <w:rFonts w:hint="eastAsia" w:asciiTheme="minorEastAsia" w:hAnsiTheme="minorEastAsia" w:eastAsiaTheme="minorEastAsia"/>
          <w:bCs/>
          <w:sz w:val="24"/>
          <w:highlight w:val="none"/>
        </w:rPr>
      </w:pPr>
      <w:r>
        <w:rPr>
          <w:rFonts w:hint="eastAsia" w:asciiTheme="minorEastAsia" w:hAnsiTheme="minorEastAsia" w:eastAsiaTheme="minorEastAsia"/>
          <w:bCs/>
          <w:sz w:val="24"/>
          <w:highlight w:val="none"/>
        </w:rPr>
        <w:t>属于福建福海创石油化工有限公司或中国石油化工集团有限公司或</w:t>
      </w:r>
      <w:r>
        <w:rPr>
          <w:rFonts w:hint="eastAsia" w:asciiTheme="minorEastAsia" w:hAnsiTheme="minorEastAsia" w:eastAsiaTheme="minorEastAsia"/>
          <w:bCs/>
          <w:sz w:val="24"/>
          <w:highlight w:val="none"/>
        </w:rPr>
        <w:fldChar w:fldCharType="begin"/>
      </w:r>
      <w:r>
        <w:rPr>
          <w:rFonts w:hint="eastAsia" w:asciiTheme="minorEastAsia" w:hAnsiTheme="minorEastAsia" w:eastAsiaTheme="minorEastAsia"/>
          <w:bCs/>
          <w:sz w:val="24"/>
          <w:highlight w:val="none"/>
        </w:rPr>
        <w:instrText xml:space="preserve"> HYPERLINK "http://www.baidu.com/link?url=ZYA2ANSxRzGwTSAnMQmFtVicINMq9OUNpKTJ21r1pCxY1Pg-bo-kGdl88GpXkxvjkQiNS5EBki5bPS0gC-oOIK" \t "_blank" </w:instrText>
      </w:r>
      <w:r>
        <w:rPr>
          <w:rFonts w:hint="eastAsia" w:asciiTheme="minorEastAsia" w:hAnsiTheme="minorEastAsia" w:eastAsiaTheme="minorEastAsia"/>
          <w:bCs/>
          <w:sz w:val="24"/>
          <w:highlight w:val="none"/>
        </w:rPr>
        <w:fldChar w:fldCharType="separate"/>
      </w:r>
      <w:r>
        <w:rPr>
          <w:rFonts w:hint="eastAsia" w:asciiTheme="minorEastAsia" w:hAnsiTheme="minorEastAsia" w:eastAsiaTheme="minorEastAsia"/>
          <w:bCs/>
          <w:sz w:val="24"/>
          <w:highlight w:val="none"/>
        </w:rPr>
        <w:t>中国石油天然气集团有限公司</w:t>
      </w:r>
      <w:r>
        <w:rPr>
          <w:rFonts w:hint="eastAsia" w:asciiTheme="minorEastAsia" w:hAnsiTheme="minorEastAsia" w:eastAsiaTheme="minorEastAsia"/>
          <w:bCs/>
          <w:sz w:val="24"/>
          <w:highlight w:val="none"/>
        </w:rPr>
        <w:fldChar w:fldCharType="end"/>
      </w:r>
      <w:r>
        <w:rPr>
          <w:rFonts w:hint="eastAsia" w:asciiTheme="minorEastAsia" w:hAnsiTheme="minorEastAsia" w:eastAsiaTheme="minorEastAsia"/>
          <w:bCs/>
          <w:sz w:val="24"/>
          <w:highlight w:val="none"/>
        </w:rPr>
        <w:t>或中国海洋石油集团有限公司合格供应商。</w:t>
      </w:r>
    </w:p>
    <w:p>
      <w:pPr>
        <w:pStyle w:val="15"/>
        <w:numPr>
          <w:ilvl w:val="0"/>
          <w:numId w:val="3"/>
        </w:numPr>
        <w:spacing w:before="100" w:beforeAutospacing="1" w:after="100" w:afterAutospacing="1" w:line="300" w:lineRule="auto"/>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lang w:val="en-US" w:eastAsia="zh-CN"/>
        </w:rPr>
        <w:t>需提供</w:t>
      </w:r>
      <w:r>
        <w:rPr>
          <w:rFonts w:hint="eastAsia" w:asciiTheme="minorEastAsia" w:hAnsiTheme="minorEastAsia" w:eastAsiaTheme="minorEastAsia"/>
          <w:bCs/>
          <w:sz w:val="24"/>
          <w:highlight w:val="none"/>
        </w:rPr>
        <w:t>近三年同类装置的销售业绩</w:t>
      </w:r>
      <w:r>
        <w:rPr>
          <w:rFonts w:hint="eastAsia" w:asciiTheme="minorEastAsia" w:hAnsiTheme="minorEastAsia" w:eastAsiaTheme="minorEastAsia"/>
          <w:bCs/>
          <w:sz w:val="24"/>
          <w:highlight w:val="none"/>
          <w:lang w:val="en-US" w:eastAsia="zh-CN"/>
        </w:rPr>
        <w:t>（合同或发票）。</w:t>
      </w:r>
    </w:p>
    <w:p>
      <w:pPr>
        <w:pStyle w:val="15"/>
        <w:numPr>
          <w:ilvl w:val="0"/>
          <w:numId w:val="3"/>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壹拾万元</w:t>
      </w:r>
      <w:r>
        <w:rPr>
          <w:rFonts w:hint="eastAsia" w:asciiTheme="minorEastAsia" w:hAnsiTheme="minorEastAsia" w:eastAsiaTheme="minorEastAsia"/>
          <w:bCs/>
          <w:sz w:val="24"/>
          <w:highlight w:val="yellow"/>
        </w:rPr>
        <w:t>整。</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5"/>
        <w:numPr>
          <w:ilvl w:val="0"/>
          <w:numId w:val="4"/>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lang w:val="en-US" w:eastAsia="zh-CN"/>
        </w:rPr>
        <w:t>3</w:t>
      </w:r>
      <w:r>
        <w:rPr>
          <w:rFonts w:hint="eastAsia" w:asciiTheme="majorEastAsia" w:hAnsiTheme="majorEastAsia" w:eastAsiaTheme="majorEastAsia"/>
          <w:sz w:val="24"/>
        </w:rPr>
        <w:t>年</w:t>
      </w:r>
      <w:r>
        <w:rPr>
          <w:rFonts w:hint="eastAsia" w:asciiTheme="majorEastAsia" w:hAnsiTheme="majorEastAsia" w:eastAsiaTheme="majorEastAsia"/>
          <w:sz w:val="24"/>
          <w:lang w:val="en-US" w:eastAsia="zh-CN"/>
        </w:rPr>
        <w:t>5</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7</w:t>
      </w:r>
      <w:r>
        <w:rPr>
          <w:rFonts w:hint="eastAsia" w:asciiTheme="majorEastAsia" w:hAnsiTheme="majorEastAsia" w:eastAsiaTheme="majorEastAsia"/>
          <w:sz w:val="24"/>
        </w:rPr>
        <w:t>日（含当日）</w:t>
      </w:r>
    </w:p>
    <w:p>
      <w:pPr>
        <w:pStyle w:val="15"/>
        <w:numPr>
          <w:ilvl w:val="255"/>
          <w:numId w:val="0"/>
        </w:numPr>
        <w:spacing w:before="0" w:line="300" w:lineRule="auto"/>
        <w:ind w:left="832"/>
        <w:rPr>
          <w:rFonts w:hint="eastAsia" w:asciiTheme="minorEastAsia" w:hAnsiTheme="minorEastAsia" w:eastAsiaTheme="minorEastAsia"/>
          <w:sz w:val="24"/>
          <w:lang w:eastAsia="zh-CN"/>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r>
        <w:rPr>
          <w:rFonts w:hint="eastAsia" w:asciiTheme="minorEastAsia" w:hAnsiTheme="minorEastAsia" w:eastAsiaTheme="minorEastAsia"/>
          <w:sz w:val="24"/>
          <w:lang w:eastAsia="zh-CN"/>
        </w:rPr>
        <w:t>；</w:t>
      </w:r>
    </w:p>
    <w:p>
      <w:pPr>
        <w:pStyle w:val="15"/>
        <w:numPr>
          <w:ilvl w:val="255"/>
          <w:numId w:val="0"/>
        </w:numPr>
        <w:spacing w:before="0" w:line="300" w:lineRule="auto"/>
        <w:ind w:left="832"/>
        <w:rPr>
          <w:rFonts w:hint="eastAsia" w:asciiTheme="minorEastAsia" w:hAnsiTheme="minorEastAsia" w:eastAsiaTheme="minorEastAsia"/>
          <w:sz w:val="24"/>
          <w:lang w:val="en-US" w:eastAsia="zh-CN"/>
        </w:rPr>
      </w:pPr>
      <w:r>
        <w:rPr>
          <w:rFonts w:hint="eastAsia" w:asciiTheme="minorEastAsia" w:hAnsiTheme="minorEastAsia" w:eastAsiaTheme="minorEastAsia"/>
          <w:bCs/>
          <w:sz w:val="24"/>
          <w:lang w:val="en-US" w:eastAsia="zh-CN"/>
        </w:rPr>
        <w:t>（3）提供</w:t>
      </w:r>
      <w:r>
        <w:rPr>
          <w:rFonts w:hint="eastAsia" w:asciiTheme="minorEastAsia" w:hAnsiTheme="minorEastAsia" w:eastAsiaTheme="minorEastAsia"/>
          <w:bCs/>
          <w:sz w:val="24"/>
          <w:lang w:eastAsia="zh-CN"/>
        </w:rPr>
        <w:t>三年同类装置的销售业绩</w:t>
      </w:r>
      <w:r>
        <w:rPr>
          <w:rFonts w:hint="eastAsia" w:asciiTheme="minorEastAsia" w:hAnsiTheme="minorEastAsia" w:eastAsiaTheme="minorEastAsia"/>
          <w:bCs/>
          <w:sz w:val="24"/>
          <w:lang w:val="en-US" w:eastAsia="zh-CN"/>
        </w:rPr>
        <w:t>（合同或发票）。</w:t>
      </w:r>
    </w:p>
    <w:p>
      <w:pPr>
        <w:pStyle w:val="15"/>
        <w:numPr>
          <w:ilvl w:val="255"/>
          <w:numId w:val="0"/>
        </w:numPr>
        <w:spacing w:before="0" w:line="300" w:lineRule="auto"/>
        <w:ind w:left="832"/>
        <w:rPr>
          <w:rFonts w:asciiTheme="minorEastAsia" w:hAnsiTheme="minorEastAsia" w:eastAsiaTheme="minorEastAsia"/>
          <w:bCs/>
          <w:sz w:val="24"/>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4）</w:t>
      </w:r>
      <w:r>
        <w:rPr>
          <w:rFonts w:hint="eastAsia" w:asciiTheme="minorEastAsia" w:hAnsiTheme="minorEastAsia" w:eastAsiaTheme="minorEastAsia"/>
          <w:bCs/>
          <w:sz w:val="24"/>
        </w:rPr>
        <w:t>保证金汇款银行水单：</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单位需缴纳</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保证金：</w:t>
      </w:r>
      <w:r>
        <w:rPr>
          <w:rFonts w:hint="eastAsia" w:asciiTheme="minorEastAsia" w:hAnsiTheme="minorEastAsia" w:eastAsiaTheme="minorEastAsia"/>
          <w:bCs/>
          <w:sz w:val="24"/>
          <w:highlight w:val="yellow"/>
          <w:lang w:val="en-US" w:eastAsia="zh-CN"/>
        </w:rPr>
        <w:t>壹拾万元</w:t>
      </w:r>
      <w:r>
        <w:rPr>
          <w:rFonts w:hint="eastAsia" w:asciiTheme="minorEastAsia" w:hAnsiTheme="minorEastAsia" w:eastAsiaTheme="minorEastAsia"/>
          <w:bCs/>
          <w:sz w:val="24"/>
          <w:highlight w:val="yellow"/>
        </w:rPr>
        <w:t>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w:t>
      </w:r>
      <w:r>
        <w:rPr>
          <w:rFonts w:hint="eastAsia" w:asciiTheme="minorEastAsia" w:hAnsiTheme="minorEastAsia" w:eastAsiaTheme="minorEastAsia"/>
          <w:bCs/>
          <w:sz w:val="24"/>
          <w:lang w:val="en-US" w:eastAsia="zh-CN"/>
        </w:rPr>
        <w:t>并作为合同质保金</w:t>
      </w:r>
      <w:r>
        <w:rPr>
          <w:rFonts w:hint="eastAsia" w:asciiTheme="minorEastAsia" w:hAnsiTheme="minorEastAsia" w:eastAsiaTheme="minorEastAsia"/>
          <w:bCs/>
          <w:sz w:val="24"/>
        </w:rPr>
        <w:t>，如不中选，在比选结束后请联系商务联系人办理无息等额退款。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5"/>
        <w:numPr>
          <w:ilvl w:val="0"/>
          <w:numId w:val="4"/>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5"/>
        <w:keepNext w:val="0"/>
        <w:keepLines w:val="0"/>
        <w:pageBreakBefore w:val="0"/>
        <w:widowControl w:val="0"/>
        <w:kinsoku/>
        <w:wordWrap/>
        <w:overflowPunct/>
        <w:topLinePunct w:val="0"/>
        <w:autoSpaceDE/>
        <w:autoSpaceDN/>
        <w:bidi w:val="0"/>
        <w:spacing w:before="0" w:line="300" w:lineRule="auto"/>
        <w:ind w:left="832" w:firstLine="480" w:firstLineChars="200"/>
        <w:rPr>
          <w:rFonts w:asciiTheme="minorEastAsia" w:hAnsiTheme="minorEastAsia" w:eastAsiaTheme="minorEastAsia"/>
          <w:bCs/>
          <w:sz w:val="24"/>
        </w:rPr>
      </w:pPr>
      <w:r>
        <w:rPr>
          <w:rFonts w:hint="eastAsia" w:ascii="宋体" w:hAnsi="宋体" w:eastAsia="宋体"/>
          <w:bCs/>
          <w:color w:val="auto"/>
          <w:sz w:val="24"/>
          <w:lang w:val="en-US" w:eastAsia="zh-CN"/>
        </w:rPr>
        <w:t>请在报名后联系商务联系人获取“技术要求”文件。</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5"/>
        <w:numPr>
          <w:ilvl w:val="0"/>
          <w:numId w:val="5"/>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r>
        <w:rPr>
          <w:rFonts w:hint="eastAsia" w:asciiTheme="minorEastAsia" w:hAnsiTheme="minorEastAsia" w:eastAsiaTheme="minorEastAsia"/>
          <w:bCs/>
          <w:sz w:val="24"/>
          <w:lang w:eastAsia="zh-CN"/>
        </w:rPr>
        <w:t>。</w:t>
      </w:r>
    </w:p>
    <w:p>
      <w:pPr>
        <w:pStyle w:val="15"/>
        <w:numPr>
          <w:ilvl w:val="0"/>
          <w:numId w:val="5"/>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r>
        <w:rPr>
          <w:rFonts w:hint="eastAsia" w:asciiTheme="majorEastAsia" w:hAnsiTheme="majorEastAsia" w:eastAsiaTheme="majorEastAsia"/>
          <w:bCs/>
          <w:sz w:val="24"/>
          <w:lang w:eastAsia="zh-CN"/>
        </w:rPr>
        <w:t>。</w:t>
      </w:r>
    </w:p>
    <w:p>
      <w:pPr>
        <w:pStyle w:val="15"/>
        <w:numPr>
          <w:ilvl w:val="0"/>
          <w:numId w:val="5"/>
        </w:numPr>
        <w:spacing w:before="100" w:beforeAutospacing="1" w:after="100" w:afterAutospacing="1"/>
        <w:rPr>
          <w:rFonts w:asciiTheme="minorEastAsia" w:hAnsiTheme="minorEastAsia" w:eastAsiaTheme="minorEastAsia"/>
          <w:bCs/>
          <w:sz w:val="24"/>
        </w:rPr>
      </w:pPr>
      <w:r>
        <w:rPr>
          <w:rFonts w:asciiTheme="minorEastAsia" w:hAnsiTheme="minorEastAsia" w:eastAsiaTheme="minorEastAsia"/>
          <w:bCs/>
          <w:sz w:val="24"/>
          <w:highlight w:val="yellow"/>
        </w:rPr>
        <w:t>寄送快递时，请在快递件</w:t>
      </w:r>
      <w:r>
        <w:rPr>
          <w:rFonts w:hint="eastAsia" w:asciiTheme="minorEastAsia" w:hAnsiTheme="minorEastAsia" w:eastAsiaTheme="minorEastAsia"/>
          <w:bCs/>
          <w:sz w:val="24"/>
          <w:highlight w:val="yellow"/>
          <w:lang w:val="en-US" w:eastAsia="zh-CN"/>
        </w:rPr>
        <w:t>封面</w:t>
      </w:r>
      <w:r>
        <w:rPr>
          <w:rFonts w:asciiTheme="minorEastAsia" w:hAnsiTheme="minorEastAsia" w:eastAsiaTheme="minorEastAsia"/>
          <w:bCs/>
          <w:sz w:val="24"/>
          <w:highlight w:val="yellow"/>
        </w:rPr>
        <w:t>备注清楚寄件人公司名称及相应标书项目名称</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同时快递内随附标书电子版资料</w:t>
      </w:r>
      <w:r>
        <w:rPr>
          <w:rFonts w:asciiTheme="minorEastAsia" w:hAnsiTheme="minorEastAsia" w:eastAsiaTheme="minorEastAsia"/>
          <w:bCs/>
          <w:sz w:val="24"/>
          <w:highlight w:val="yellow"/>
        </w:rPr>
        <w:t>！</w:t>
      </w:r>
    </w:p>
    <w:p>
      <w:pPr>
        <w:pStyle w:val="15"/>
        <w:numPr>
          <w:ilvl w:val="0"/>
          <w:numId w:val="5"/>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技术联系人：</w:t>
      </w:r>
      <w:r>
        <w:rPr>
          <w:rFonts w:hint="eastAsia" w:asciiTheme="minorEastAsia" w:hAnsiTheme="minorEastAsia" w:eastAsiaTheme="minorEastAsia"/>
          <w:bCs/>
          <w:sz w:val="24"/>
          <w:lang w:val="en-US" w:eastAsia="zh-CN"/>
        </w:rPr>
        <w:t>李华彬</w:t>
      </w:r>
      <w:r>
        <w:rPr>
          <w:rFonts w:hint="eastAsia" w:asciiTheme="minorEastAsia" w:hAnsiTheme="minorEastAsia" w:eastAsiaTheme="minorEastAsia"/>
          <w:bCs/>
          <w:sz w:val="24"/>
        </w:rPr>
        <w:t xml:space="preserve"> 电话：13625904353 邮箱：</w:t>
      </w:r>
      <w:r>
        <w:rPr>
          <w:rFonts w:hint="eastAsia" w:asciiTheme="minorEastAsia" w:hAnsiTheme="minorEastAsia" w:eastAsiaTheme="minorEastAsia"/>
          <w:bCs/>
          <w:sz w:val="24"/>
          <w:lang w:val="en-US" w:eastAsia="zh-CN"/>
        </w:rPr>
        <w:t>hbli</w:t>
      </w:r>
      <w:r>
        <w:rPr>
          <w:rFonts w:hint="eastAsia" w:asciiTheme="minorEastAsia" w:hAnsiTheme="minorEastAsia" w:eastAsiaTheme="minorEastAsia"/>
          <w:bCs/>
          <w:sz w:val="24"/>
        </w:rPr>
        <w:t>@fhcpec.com.cn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hint="eastAsia" w:asciiTheme="minorEastAsia" w:hAnsiTheme="minorEastAsia" w:eastAsiaTheme="minorEastAsia"/>
          <w:bCs/>
          <w:sz w:val="24"/>
          <w:lang w:val="en-US" w:eastAsia="zh-CN"/>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spacing w:line="360" w:lineRule="auto"/>
        <w:ind w:firstLine="960" w:firstLineChars="400"/>
        <w:rPr>
          <w:rFonts w:hint="eastAsia" w:asciiTheme="minorEastAsia" w:hAnsiTheme="minorEastAsia" w:eastAsiaTheme="minorEastAsia"/>
          <w:bCs/>
          <w:sz w:val="24"/>
          <w:lang w:val="en-US" w:eastAsia="zh-CN"/>
        </w:rPr>
      </w:pPr>
    </w:p>
    <w:p>
      <w:pPr>
        <w:spacing w:line="360" w:lineRule="auto"/>
        <w:ind w:firstLine="960" w:firstLineChars="400"/>
        <w:rPr>
          <w:rFonts w:hint="eastAsia" w:asciiTheme="minorEastAsia" w:hAnsiTheme="minorEastAsia" w:eastAsiaTheme="minorEastAsia"/>
          <w:bCs/>
          <w:sz w:val="24"/>
          <w:lang w:val="en-US" w:eastAsia="zh-CN"/>
        </w:rPr>
      </w:pPr>
    </w:p>
    <w:p>
      <w:pPr>
        <w:pStyle w:val="2"/>
        <w:rPr>
          <w:rFonts w:hint="eastAsia"/>
          <w:lang w:val="en-US" w:eastAsia="zh-CN"/>
        </w:rPr>
      </w:pPr>
    </w:p>
    <w:p>
      <w:pPr>
        <w:tabs>
          <w:tab w:val="left" w:pos="3098"/>
        </w:tabs>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lang w:eastAsia="zh-CN"/>
        </w:rPr>
        <w:tab/>
      </w:r>
      <w:r>
        <w:rPr>
          <w:rFonts w:hint="eastAsia" w:asciiTheme="minorEastAsia" w:hAnsiTheme="minorEastAsia" w:eastAsiaTheme="minorEastAsia"/>
          <w:bCs/>
          <w:sz w:val="24"/>
          <w:lang w:eastAsia="zh-CN"/>
        </w:rPr>
        <w:t>腾龙芳烃（漳州）有限公司</w:t>
      </w:r>
    </w:p>
    <w:p>
      <w:pPr>
        <w:spacing w:line="360" w:lineRule="auto"/>
        <w:ind w:firstLine="5520" w:firstLineChars="2300"/>
        <w:rPr>
          <w:rFonts w:hint="eastAsia" w:asciiTheme="minorEastAsia" w:hAnsiTheme="minorEastAsia" w:eastAsiaTheme="minorEastAsia"/>
          <w:bCs/>
          <w:sz w:val="24"/>
        </w:rPr>
      </w:pPr>
      <w:r>
        <w:rPr>
          <w:rFonts w:hint="eastAsia" w:asciiTheme="minorEastAsia" w:hAnsiTheme="minorEastAsia" w:eastAsiaTheme="minorEastAsia"/>
          <w:bCs/>
          <w:sz w:val="24"/>
        </w:rPr>
        <w:t>202</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年</w:t>
      </w:r>
      <w:r>
        <w:rPr>
          <w:rFonts w:hint="eastAsia" w:asciiTheme="minorEastAsia" w:hAnsiTheme="minorEastAsia" w:eastAsiaTheme="minorEastAsia"/>
          <w:bCs/>
          <w:sz w:val="24"/>
          <w:lang w:val="en-US" w:eastAsia="zh-CN"/>
        </w:rPr>
        <w:t>4</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21</w:t>
      </w:r>
      <w:r>
        <w:rPr>
          <w:rFonts w:hint="eastAsia" w:asciiTheme="minorEastAsia" w:hAnsiTheme="minorEastAsia" w:eastAsiaTheme="minorEastAsia"/>
          <w:bCs/>
          <w:sz w:val="24"/>
        </w:rPr>
        <w:t>日</w:t>
      </w:r>
    </w:p>
    <w:p>
      <w:pPr>
        <w:spacing w:line="400" w:lineRule="exact"/>
        <w:jc w:val="both"/>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eastAsia="zh-CN"/>
        </w:rPr>
        <w:t>硫磺回收装置高效脱硫剂</w:t>
      </w:r>
      <w:r>
        <w:rPr>
          <w:rFonts w:hint="eastAsia" w:ascii="宋体" w:hAnsi="宋体"/>
          <w:sz w:val="18"/>
          <w:szCs w:val="18"/>
          <w:u w:val="single"/>
        </w:rPr>
        <w:t>。</w:t>
      </w:r>
    </w:p>
    <w:p>
      <w:pPr>
        <w:pStyle w:val="18"/>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hint="eastAsia"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hint="eastAsia" w:ascii="宋体"/>
          <w:sz w:val="18"/>
          <w:szCs w:val="18"/>
        </w:rPr>
      </w:pPr>
      <w:r>
        <w:rPr>
          <w:rFonts w:hint="eastAsia" w:ascii="宋体"/>
          <w:sz w:val="18"/>
          <w:szCs w:val="18"/>
        </w:rPr>
        <w:t>（4）与比选人无诉讼纠纷。</w:t>
      </w:r>
    </w:p>
    <w:p>
      <w:pPr>
        <w:spacing w:line="320" w:lineRule="exact"/>
        <w:rPr>
          <w:rFonts w:hint="eastAsia" w:ascii="宋体"/>
          <w:sz w:val="18"/>
          <w:szCs w:val="18"/>
          <w:lang w:eastAsia="zh-CN"/>
        </w:rPr>
      </w:pPr>
      <w:r>
        <w:rPr>
          <w:rFonts w:hint="eastAsia" w:ascii="宋体"/>
          <w:sz w:val="18"/>
          <w:szCs w:val="18"/>
          <w:lang w:eastAsia="zh-CN"/>
        </w:rPr>
        <w:t>（</w:t>
      </w:r>
      <w:r>
        <w:rPr>
          <w:rFonts w:hint="eastAsia" w:ascii="宋体"/>
          <w:sz w:val="18"/>
          <w:szCs w:val="18"/>
          <w:lang w:val="en-US" w:eastAsia="zh-CN"/>
        </w:rPr>
        <w:t>5</w:t>
      </w:r>
      <w:r>
        <w:rPr>
          <w:rFonts w:hint="eastAsia" w:ascii="宋体"/>
          <w:sz w:val="18"/>
          <w:szCs w:val="18"/>
          <w:lang w:eastAsia="zh-CN"/>
        </w:rPr>
        <w:t>）属于福建福海创石油化工有限公司或中国石油化工集团有限公司或</w:t>
      </w:r>
      <w:r>
        <w:rPr>
          <w:rFonts w:hint="eastAsia" w:ascii="宋体"/>
          <w:sz w:val="18"/>
          <w:szCs w:val="18"/>
          <w:lang w:eastAsia="zh-CN"/>
        </w:rPr>
        <w:fldChar w:fldCharType="begin"/>
      </w:r>
      <w:r>
        <w:rPr>
          <w:rFonts w:hint="eastAsia" w:ascii="宋体"/>
          <w:sz w:val="18"/>
          <w:szCs w:val="18"/>
          <w:lang w:eastAsia="zh-CN"/>
        </w:rPr>
        <w:instrText xml:space="preserve"> HYPERLINK "http://www.baidu.com/link?url=ZYA2ANSxRzGwTSAnMQmFtVicINMq9OUNpKTJ21r1pCxY1Pg-bo-kGdl88GpXkxvjkQiNS5EBki5bPS0gC-oOIK" \t "_blank" </w:instrText>
      </w:r>
      <w:r>
        <w:rPr>
          <w:rFonts w:hint="eastAsia" w:ascii="宋体"/>
          <w:sz w:val="18"/>
          <w:szCs w:val="18"/>
          <w:lang w:eastAsia="zh-CN"/>
        </w:rPr>
        <w:fldChar w:fldCharType="separate"/>
      </w:r>
      <w:r>
        <w:rPr>
          <w:rFonts w:hint="eastAsia" w:ascii="宋体"/>
          <w:sz w:val="18"/>
          <w:szCs w:val="18"/>
          <w:lang w:eastAsia="zh-CN"/>
        </w:rPr>
        <w:t>中国石油天然气集团有限公司</w:t>
      </w:r>
      <w:r>
        <w:rPr>
          <w:rFonts w:hint="eastAsia" w:ascii="宋体"/>
          <w:sz w:val="18"/>
          <w:szCs w:val="18"/>
          <w:lang w:eastAsia="zh-CN"/>
        </w:rPr>
        <w:fldChar w:fldCharType="end"/>
      </w:r>
      <w:r>
        <w:rPr>
          <w:rFonts w:hint="eastAsia" w:ascii="宋体"/>
          <w:sz w:val="18"/>
          <w:szCs w:val="18"/>
          <w:lang w:eastAsia="zh-CN"/>
        </w:rPr>
        <w:t>或中国海洋石油集团有限公司合格供应商。</w:t>
      </w:r>
    </w:p>
    <w:p>
      <w:pPr>
        <w:spacing w:line="320" w:lineRule="exact"/>
        <w:rPr>
          <w:rFonts w:hint="eastAsia" w:ascii="宋体"/>
          <w:sz w:val="18"/>
          <w:szCs w:val="18"/>
        </w:rPr>
      </w:pPr>
      <w:r>
        <w:rPr>
          <w:rFonts w:hint="eastAsia" w:ascii="宋体"/>
          <w:sz w:val="18"/>
          <w:szCs w:val="18"/>
          <w:lang w:val="en-US" w:eastAsia="zh-CN"/>
        </w:rPr>
        <w:t>（6）需提供</w:t>
      </w:r>
      <w:r>
        <w:rPr>
          <w:rFonts w:hint="eastAsia" w:ascii="宋体"/>
          <w:sz w:val="18"/>
          <w:szCs w:val="18"/>
        </w:rPr>
        <w:t>近三年同类装置的销售业绩</w:t>
      </w:r>
      <w:r>
        <w:rPr>
          <w:rFonts w:hint="eastAsia" w:ascii="宋体"/>
          <w:sz w:val="18"/>
          <w:szCs w:val="18"/>
          <w:lang w:val="en-US" w:eastAsia="zh-CN"/>
        </w:rPr>
        <w:t>（合同或发票）。</w:t>
      </w:r>
    </w:p>
    <w:p>
      <w:pPr>
        <w:spacing w:line="320" w:lineRule="exact"/>
        <w:rPr>
          <w:rFonts w:ascii="宋体"/>
          <w:sz w:val="18"/>
          <w:szCs w:val="18"/>
          <w:highlight w:val="none"/>
        </w:rPr>
      </w:pPr>
      <w:r>
        <w:rPr>
          <w:rFonts w:hint="eastAsia" w:ascii="宋体"/>
          <w:sz w:val="18"/>
          <w:szCs w:val="18"/>
        </w:rPr>
        <w:t>（</w:t>
      </w:r>
      <w:r>
        <w:rPr>
          <w:rFonts w:hint="eastAsia" w:ascii="宋体"/>
          <w:sz w:val="18"/>
          <w:szCs w:val="18"/>
          <w:lang w:val="en-US" w:eastAsia="zh-CN"/>
        </w:rPr>
        <w:t>7</w:t>
      </w:r>
      <w:r>
        <w:rPr>
          <w:rFonts w:hint="eastAsia" w:ascii="宋体"/>
          <w:sz w:val="18"/>
          <w:szCs w:val="18"/>
        </w:rPr>
        <w:t>）</w:t>
      </w:r>
      <w:r>
        <w:rPr>
          <w:rFonts w:hint="eastAsia" w:ascii="宋体"/>
          <w:sz w:val="18"/>
          <w:szCs w:val="18"/>
          <w:highlight w:val="none"/>
        </w:rPr>
        <w:t>参选保证金：</w:t>
      </w:r>
      <w:r>
        <w:rPr>
          <w:rFonts w:hint="eastAsia" w:ascii="宋体"/>
          <w:sz w:val="18"/>
          <w:szCs w:val="18"/>
          <w:highlight w:val="none"/>
          <w:lang w:val="en-US" w:eastAsia="zh-CN"/>
        </w:rPr>
        <w:t>壹拾万元</w:t>
      </w:r>
      <w:r>
        <w:rPr>
          <w:rFonts w:hint="eastAsia" w:ascii="宋体"/>
          <w:sz w:val="18"/>
          <w:szCs w:val="18"/>
          <w:highlight w:val="none"/>
        </w:rPr>
        <w:t>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highlight w:val="yellow"/>
        </w:rPr>
      </w:pPr>
      <w:r>
        <w:rPr>
          <w:rFonts w:ascii="宋体" w:hAnsi="宋体"/>
          <w:sz w:val="18"/>
          <w:szCs w:val="18"/>
          <w:highlight w:val="yellow"/>
        </w:rPr>
        <w:t>4.</w:t>
      </w:r>
      <w:r>
        <w:rPr>
          <w:rFonts w:hint="eastAsia" w:ascii="宋体" w:hAnsi="宋体"/>
          <w:sz w:val="18"/>
          <w:szCs w:val="18"/>
          <w:highlight w:val="yellow"/>
        </w:rPr>
        <w:t>公开比选请按以</w:t>
      </w:r>
      <w:r>
        <w:rPr>
          <w:rFonts w:hint="eastAsia" w:ascii="宋体" w:hAnsi="宋体"/>
          <w:sz w:val="18"/>
          <w:szCs w:val="18"/>
          <w:highlight w:val="yellow"/>
          <w:lang w:val="en-US" w:eastAsia="zh-CN"/>
        </w:rPr>
        <w:t>下</w:t>
      </w:r>
      <w:r>
        <w:rPr>
          <w:rFonts w:hint="eastAsia" w:ascii="宋体" w:hAnsi="宋体"/>
          <w:sz w:val="18"/>
          <w:szCs w:val="18"/>
          <w:highlight w:val="yellow"/>
        </w:rPr>
        <w:t>要求密封报价。</w:t>
      </w:r>
      <w:r>
        <w:rPr>
          <w:rFonts w:hint="eastAsia" w:ascii="宋体" w:hAnsi="宋体"/>
          <w:sz w:val="18"/>
          <w:szCs w:val="18"/>
          <w:highlight w:val="yellow"/>
          <w:lang w:val="en-US" w:eastAsia="zh-CN"/>
        </w:rPr>
        <w:t>参选人递交的参选</w:t>
      </w:r>
      <w:r>
        <w:rPr>
          <w:rFonts w:hint="eastAsia" w:ascii="宋体" w:hAnsi="宋体"/>
          <w:sz w:val="18"/>
          <w:szCs w:val="18"/>
          <w:highlight w:val="yellow"/>
        </w:rPr>
        <w:t>文件分为二册，第一册为</w:t>
      </w:r>
      <w:r>
        <w:rPr>
          <w:rFonts w:hint="eastAsia" w:ascii="宋体" w:hAnsi="宋体"/>
          <w:sz w:val="18"/>
          <w:szCs w:val="18"/>
          <w:highlight w:val="yellow"/>
          <w:lang w:eastAsia="zh-CN"/>
        </w:rPr>
        <w:t>商务</w:t>
      </w:r>
      <w:r>
        <w:rPr>
          <w:rFonts w:hint="eastAsia" w:ascii="宋体" w:hAnsi="宋体"/>
          <w:sz w:val="18"/>
          <w:szCs w:val="18"/>
          <w:highlight w:val="yellow"/>
        </w:rPr>
        <w:t>文件，第二册为技术文件，其内容分别为：</w:t>
      </w:r>
    </w:p>
    <w:p>
      <w:pPr>
        <w:spacing w:line="320" w:lineRule="exact"/>
        <w:rPr>
          <w:rFonts w:hint="eastAsia" w:ascii="宋体" w:hAnsi="宋体"/>
          <w:sz w:val="18"/>
          <w:szCs w:val="18"/>
          <w:highlight w:val="yellow"/>
        </w:rPr>
      </w:pPr>
      <w:r>
        <w:rPr>
          <w:rFonts w:hint="eastAsia" w:ascii="宋体" w:hAnsi="宋体"/>
          <w:sz w:val="18"/>
          <w:szCs w:val="18"/>
          <w:highlight w:val="yellow"/>
          <w:lang w:val="en-US" w:eastAsia="zh-CN"/>
        </w:rPr>
        <w:t>4.1</w:t>
      </w:r>
      <w:r>
        <w:rPr>
          <w:rFonts w:hint="eastAsia" w:ascii="宋体" w:hAnsi="宋体"/>
          <w:sz w:val="18"/>
          <w:szCs w:val="18"/>
          <w:highlight w:val="yellow"/>
        </w:rPr>
        <w:t xml:space="preserve"> 第一册</w:t>
      </w:r>
      <w:r>
        <w:rPr>
          <w:rFonts w:hint="eastAsia" w:ascii="宋体" w:hAnsi="宋体"/>
          <w:sz w:val="18"/>
          <w:szCs w:val="18"/>
          <w:highlight w:val="yellow"/>
          <w:lang w:eastAsia="zh-CN"/>
        </w:rPr>
        <w:t>商务</w:t>
      </w:r>
      <w:r>
        <w:rPr>
          <w:rFonts w:hint="eastAsia" w:ascii="宋体" w:hAnsi="宋体"/>
          <w:sz w:val="18"/>
          <w:szCs w:val="18"/>
          <w:highlight w:val="yellow"/>
        </w:rPr>
        <w:t>文件包含以下内容：</w:t>
      </w:r>
    </w:p>
    <w:p>
      <w:pPr>
        <w:spacing w:line="320" w:lineRule="exact"/>
        <w:rPr>
          <w:rFonts w:ascii="宋体" w:hAnsi="宋体"/>
          <w:sz w:val="18"/>
          <w:szCs w:val="18"/>
          <w:highlight w:val="yellow"/>
        </w:rPr>
      </w:pPr>
      <w:r>
        <w:rPr>
          <w:rFonts w:hint="eastAsia" w:ascii="宋体" w:hAnsi="宋体"/>
          <w:sz w:val="18"/>
          <w:szCs w:val="18"/>
          <w:highlight w:val="yellow"/>
        </w:rPr>
        <w:t>（</w:t>
      </w:r>
      <w:r>
        <w:rPr>
          <w:rFonts w:ascii="宋体" w:hAnsi="宋体"/>
          <w:sz w:val="18"/>
          <w:szCs w:val="18"/>
          <w:highlight w:val="yellow"/>
        </w:rPr>
        <w:t>1</w:t>
      </w:r>
      <w:r>
        <w:rPr>
          <w:rFonts w:hint="eastAsia" w:ascii="宋体" w:hAnsi="宋体"/>
          <w:sz w:val="18"/>
          <w:szCs w:val="18"/>
          <w:highlight w:val="yellow"/>
        </w:rPr>
        <w:t>）比选公告</w:t>
      </w:r>
    </w:p>
    <w:p>
      <w:pPr>
        <w:spacing w:line="320" w:lineRule="exact"/>
        <w:rPr>
          <w:rFonts w:ascii="宋体" w:hAnsi="宋体"/>
          <w:sz w:val="18"/>
          <w:szCs w:val="18"/>
          <w:highlight w:val="yellow"/>
        </w:rPr>
      </w:pPr>
      <w:r>
        <w:rPr>
          <w:rFonts w:hint="eastAsia" w:ascii="宋体" w:hAnsi="宋体"/>
          <w:sz w:val="18"/>
          <w:szCs w:val="18"/>
          <w:highlight w:val="yellow"/>
        </w:rPr>
        <w:t>（2）参选规定及说明</w:t>
      </w:r>
    </w:p>
    <w:p>
      <w:pPr>
        <w:spacing w:line="320" w:lineRule="exact"/>
        <w:rPr>
          <w:rFonts w:ascii="宋体" w:hAnsi="宋体"/>
          <w:sz w:val="18"/>
          <w:szCs w:val="18"/>
          <w:highlight w:val="yellow"/>
        </w:rPr>
      </w:pPr>
      <w:r>
        <w:rPr>
          <w:rFonts w:hint="eastAsia" w:ascii="宋体" w:hAnsi="宋体"/>
          <w:sz w:val="18"/>
          <w:szCs w:val="18"/>
          <w:highlight w:val="yellow"/>
        </w:rPr>
        <w:t>（3）公开比选文件</w:t>
      </w:r>
    </w:p>
    <w:p>
      <w:pPr>
        <w:spacing w:line="320" w:lineRule="exact"/>
        <w:rPr>
          <w:rFonts w:ascii="宋体" w:hAnsi="宋体"/>
          <w:sz w:val="18"/>
          <w:szCs w:val="18"/>
          <w:highlight w:val="yellow"/>
        </w:rPr>
      </w:pPr>
      <w:r>
        <w:rPr>
          <w:rFonts w:hint="eastAsia" w:ascii="宋体" w:hAnsi="宋体"/>
          <w:sz w:val="18"/>
          <w:szCs w:val="18"/>
          <w:highlight w:val="yellow"/>
        </w:rPr>
        <w:t>（4）参选书</w:t>
      </w:r>
    </w:p>
    <w:p>
      <w:pPr>
        <w:spacing w:line="320" w:lineRule="exact"/>
        <w:rPr>
          <w:rFonts w:ascii="宋体" w:hAnsi="宋体"/>
          <w:sz w:val="18"/>
          <w:szCs w:val="18"/>
          <w:highlight w:val="yellow"/>
        </w:rPr>
      </w:pPr>
      <w:r>
        <w:rPr>
          <w:rFonts w:hint="eastAsia" w:ascii="宋体" w:hAnsi="宋体"/>
          <w:sz w:val="18"/>
          <w:szCs w:val="18"/>
          <w:highlight w:val="yellow"/>
        </w:rPr>
        <w:t>（5）法定代表人授权书</w:t>
      </w:r>
    </w:p>
    <w:p>
      <w:pPr>
        <w:spacing w:line="320" w:lineRule="exact"/>
        <w:rPr>
          <w:rFonts w:hint="eastAsia" w:ascii="宋体" w:hAnsi="宋体"/>
          <w:sz w:val="18"/>
          <w:szCs w:val="18"/>
          <w:highlight w:val="yellow"/>
        </w:rPr>
      </w:pPr>
      <w:r>
        <w:rPr>
          <w:rFonts w:hint="eastAsia" w:ascii="宋体" w:hAnsi="宋体"/>
          <w:sz w:val="18"/>
          <w:szCs w:val="18"/>
          <w:highlight w:val="yellow"/>
        </w:rPr>
        <w:t>（6）报价单</w:t>
      </w:r>
    </w:p>
    <w:p>
      <w:pPr>
        <w:spacing w:line="320" w:lineRule="exact"/>
        <w:rPr>
          <w:rFonts w:hint="eastAsia" w:ascii="宋体" w:hAnsi="宋体" w:eastAsia="宋体"/>
          <w:sz w:val="18"/>
          <w:szCs w:val="18"/>
          <w:highlight w:val="yellow"/>
          <w:lang w:eastAsia="zh-CN"/>
        </w:rPr>
      </w:pPr>
      <w:r>
        <w:rPr>
          <w:rFonts w:hint="eastAsia" w:ascii="宋体" w:hAnsi="宋体"/>
          <w:sz w:val="18"/>
          <w:szCs w:val="18"/>
          <w:highlight w:val="yellow"/>
          <w:lang w:eastAsia="zh-CN"/>
        </w:rPr>
        <w:t>（</w:t>
      </w:r>
      <w:r>
        <w:rPr>
          <w:rFonts w:hint="eastAsia" w:ascii="宋体" w:hAnsi="宋体"/>
          <w:sz w:val="18"/>
          <w:szCs w:val="18"/>
          <w:highlight w:val="yellow"/>
          <w:lang w:val="en-US" w:eastAsia="zh-CN"/>
        </w:rPr>
        <w:t>7</w:t>
      </w:r>
      <w:r>
        <w:rPr>
          <w:rFonts w:hint="eastAsia" w:ascii="宋体" w:hAnsi="宋体"/>
          <w:sz w:val="18"/>
          <w:szCs w:val="18"/>
          <w:highlight w:val="yellow"/>
          <w:lang w:eastAsia="zh-CN"/>
        </w:rPr>
        <w:t>）</w:t>
      </w:r>
      <w:r>
        <w:rPr>
          <w:rFonts w:hint="eastAsia" w:ascii="宋体" w:hAnsi="宋体"/>
          <w:sz w:val="18"/>
          <w:szCs w:val="18"/>
          <w:highlight w:val="yellow"/>
          <w:lang w:val="en-US" w:eastAsia="zh-CN"/>
        </w:rPr>
        <w:t>技术要求</w:t>
      </w:r>
    </w:p>
    <w:p>
      <w:pPr>
        <w:spacing w:line="320" w:lineRule="exact"/>
        <w:rPr>
          <w:rFonts w:hint="eastAsia" w:ascii="宋体" w:hAnsi="宋体"/>
          <w:sz w:val="18"/>
          <w:szCs w:val="18"/>
          <w:highlight w:val="yellow"/>
        </w:rPr>
      </w:pPr>
      <w:r>
        <w:rPr>
          <w:rFonts w:hint="eastAsia" w:ascii="宋体" w:hAnsi="宋体"/>
          <w:sz w:val="18"/>
          <w:szCs w:val="18"/>
          <w:highlight w:val="yellow"/>
          <w:lang w:val="en-US" w:eastAsia="zh-CN"/>
        </w:rPr>
        <w:t>4.2</w:t>
      </w:r>
      <w:r>
        <w:rPr>
          <w:rFonts w:hint="eastAsia" w:ascii="宋体" w:hAnsi="宋体"/>
          <w:sz w:val="18"/>
          <w:szCs w:val="18"/>
          <w:highlight w:val="yellow"/>
        </w:rPr>
        <w:t xml:space="preserve"> 第二册技术文件包含以下内容：</w:t>
      </w:r>
    </w:p>
    <w:p>
      <w:pPr>
        <w:spacing w:line="320" w:lineRule="exact"/>
      </w:pPr>
      <w:r>
        <w:rPr>
          <w:rFonts w:hint="eastAsia" w:ascii="宋体" w:hAnsi="宋体"/>
          <w:sz w:val="18"/>
          <w:szCs w:val="18"/>
          <w:highlight w:val="yellow"/>
        </w:rPr>
        <w:t>公司资质</w:t>
      </w:r>
      <w:r>
        <w:rPr>
          <w:rFonts w:hint="eastAsia" w:ascii="宋体" w:hAnsi="宋体"/>
          <w:sz w:val="18"/>
          <w:szCs w:val="18"/>
          <w:highlight w:val="yellow"/>
          <w:lang w:eastAsia="zh-CN"/>
        </w:rPr>
        <w:t>、</w:t>
      </w:r>
      <w:r>
        <w:rPr>
          <w:rFonts w:hint="eastAsia" w:ascii="宋体" w:hAnsi="宋体"/>
          <w:sz w:val="18"/>
          <w:szCs w:val="18"/>
          <w:highlight w:val="yellow"/>
        </w:rPr>
        <w:t>同类业绩</w:t>
      </w:r>
      <w:r>
        <w:rPr>
          <w:rFonts w:hint="eastAsia" w:ascii="宋体" w:hAnsi="宋体"/>
          <w:sz w:val="18"/>
          <w:szCs w:val="18"/>
          <w:highlight w:val="yellow"/>
          <w:lang w:val="en-US" w:eastAsia="zh-CN"/>
        </w:rPr>
        <w:t>资料</w:t>
      </w:r>
      <w:r>
        <w:rPr>
          <w:rFonts w:hint="eastAsia" w:ascii="宋体" w:hAnsi="宋体"/>
          <w:sz w:val="18"/>
          <w:szCs w:val="18"/>
          <w:highlight w:val="yellow"/>
          <w:lang w:eastAsia="zh-CN"/>
        </w:rPr>
        <w:t>、</w:t>
      </w:r>
      <w:r>
        <w:rPr>
          <w:rFonts w:hint="eastAsia" w:ascii="宋体" w:hAnsi="宋体"/>
          <w:sz w:val="18"/>
          <w:szCs w:val="18"/>
          <w:highlight w:val="yellow"/>
          <w:lang w:val="en-US" w:eastAsia="zh-CN"/>
        </w:rPr>
        <w:t>产品</w:t>
      </w:r>
      <w:r>
        <w:rPr>
          <w:rFonts w:hint="eastAsia" w:ascii="宋体" w:hAnsi="宋体"/>
          <w:sz w:val="18"/>
          <w:szCs w:val="18"/>
          <w:highlight w:val="yellow"/>
          <w:lang w:eastAsia="zh-CN"/>
        </w:rPr>
        <w:t>物化性质、</w:t>
      </w:r>
      <w:r>
        <w:rPr>
          <w:rFonts w:hint="eastAsia" w:ascii="宋体" w:hAnsi="宋体"/>
          <w:sz w:val="18"/>
          <w:szCs w:val="18"/>
          <w:highlight w:val="yellow"/>
          <w:lang w:val="en-US" w:eastAsia="zh-CN"/>
        </w:rPr>
        <w:t>产品性能保证、</w:t>
      </w:r>
      <w:r>
        <w:rPr>
          <w:rFonts w:hint="eastAsia" w:ascii="宋体" w:hAnsi="宋体"/>
          <w:sz w:val="18"/>
          <w:szCs w:val="18"/>
          <w:highlight w:val="yellow"/>
          <w:lang w:eastAsia="zh-CN"/>
        </w:rPr>
        <w:t>供货</w:t>
      </w:r>
      <w:r>
        <w:rPr>
          <w:rFonts w:hint="eastAsia" w:ascii="宋体" w:hAnsi="宋体"/>
          <w:sz w:val="18"/>
          <w:szCs w:val="18"/>
          <w:highlight w:val="yellow"/>
          <w:lang w:val="en-US" w:eastAsia="zh-CN"/>
        </w:rPr>
        <w:t>周</w:t>
      </w:r>
      <w:r>
        <w:rPr>
          <w:rFonts w:hint="eastAsia" w:ascii="宋体" w:hAnsi="宋体"/>
          <w:sz w:val="18"/>
          <w:szCs w:val="18"/>
          <w:highlight w:val="yellow"/>
          <w:lang w:eastAsia="zh-CN"/>
        </w:rPr>
        <w:t>期、技术服务、包装运输</w:t>
      </w:r>
      <w:r>
        <w:rPr>
          <w:rFonts w:hint="eastAsia" w:ascii="宋体" w:hAnsi="宋体"/>
          <w:sz w:val="18"/>
          <w:szCs w:val="18"/>
          <w:highlight w:val="yellow"/>
          <w:lang w:val="en-US" w:eastAsia="zh-CN"/>
        </w:rPr>
        <w:t>等内容</w:t>
      </w:r>
      <w:r>
        <w:rPr>
          <w:rFonts w:hint="eastAsia" w:ascii="宋体" w:hAnsi="宋体"/>
          <w:sz w:val="18"/>
          <w:szCs w:val="18"/>
          <w:highlight w:val="yellow"/>
        </w:rPr>
        <w:t>。</w:t>
      </w:r>
    </w:p>
    <w:p>
      <w:pPr>
        <w:spacing w:line="320" w:lineRule="exact"/>
        <w:rPr>
          <w:rFonts w:ascii="宋体" w:hAnsi="宋体"/>
          <w:sz w:val="18"/>
          <w:szCs w:val="18"/>
          <w:highlight w:val="yellow"/>
        </w:rPr>
      </w:pPr>
      <w:r>
        <w:rPr>
          <w:rFonts w:hint="eastAsia" w:ascii="宋体" w:hAnsi="宋体"/>
          <w:b/>
          <w:bCs/>
          <w:sz w:val="18"/>
          <w:szCs w:val="18"/>
          <w:highlight w:val="yellow"/>
          <w:lang w:val="en-US" w:eastAsia="zh-CN"/>
        </w:rPr>
        <w:t>5.参选人密封参选书，</w:t>
      </w:r>
      <w:r>
        <w:rPr>
          <w:rFonts w:hint="eastAsia" w:ascii="宋体" w:hAnsi="宋体"/>
          <w:b/>
          <w:bCs/>
          <w:sz w:val="18"/>
          <w:szCs w:val="18"/>
          <w:highlight w:val="yellow"/>
        </w:rPr>
        <w:t>第一册《</w:t>
      </w:r>
      <w:r>
        <w:rPr>
          <w:rFonts w:hint="eastAsia" w:ascii="宋体" w:hAnsi="宋体"/>
          <w:b/>
          <w:bCs/>
          <w:sz w:val="18"/>
          <w:szCs w:val="18"/>
          <w:highlight w:val="yellow"/>
          <w:lang w:eastAsia="zh-CN"/>
        </w:rPr>
        <w:t>商务</w:t>
      </w:r>
      <w:r>
        <w:rPr>
          <w:rFonts w:hint="eastAsia" w:ascii="宋体" w:hAnsi="宋体"/>
          <w:b/>
          <w:bCs/>
          <w:sz w:val="18"/>
          <w:szCs w:val="18"/>
          <w:highlight w:val="yellow"/>
        </w:rPr>
        <w:t>文件》、第二册《技术文件》必须分别单独装订、分别单独包封</w:t>
      </w:r>
      <w:r>
        <w:rPr>
          <w:rFonts w:hint="eastAsia" w:ascii="宋体" w:hAnsi="宋体"/>
          <w:b/>
          <w:bCs/>
          <w:sz w:val="18"/>
          <w:szCs w:val="18"/>
          <w:highlight w:val="yellow"/>
          <w:lang w:eastAsia="zh-CN"/>
        </w:rPr>
        <w:t>；装订、密封和标识后，需要进行总包封（即密封在同一个封套中），所有电子文档与第一册包封在同一封套内。</w:t>
      </w:r>
      <w:r>
        <w:rPr>
          <w:rFonts w:hint="eastAsia" w:ascii="宋体" w:hAnsi="宋体"/>
          <w:b/>
          <w:bCs/>
          <w:sz w:val="18"/>
          <w:szCs w:val="18"/>
          <w:highlight w:val="yellow"/>
          <w:lang w:val="en-US" w:eastAsia="zh-CN"/>
        </w:rPr>
        <w:t>其中，第一册文件</w:t>
      </w:r>
      <w:r>
        <w:rPr>
          <w:rFonts w:hint="eastAsia" w:ascii="宋体" w:hAnsi="宋体"/>
          <w:b/>
          <w:bCs/>
          <w:sz w:val="18"/>
          <w:szCs w:val="18"/>
          <w:highlight w:val="yellow"/>
        </w:rPr>
        <w:t>一式两份</w:t>
      </w:r>
      <w:r>
        <w:rPr>
          <w:rFonts w:hint="eastAsia" w:ascii="宋体" w:hAnsi="宋体"/>
          <w:b/>
          <w:bCs/>
          <w:sz w:val="18"/>
          <w:szCs w:val="18"/>
          <w:highlight w:val="yellow"/>
          <w:lang w:val="en-US" w:eastAsia="zh-CN"/>
        </w:rPr>
        <w:t>并</w:t>
      </w:r>
      <w:r>
        <w:rPr>
          <w:rFonts w:hint="eastAsia" w:ascii="宋体" w:hAnsi="宋体"/>
          <w:b/>
          <w:bCs/>
          <w:sz w:val="18"/>
          <w:szCs w:val="18"/>
          <w:highlight w:val="yellow"/>
        </w:rPr>
        <w:t>注明“正本”及“副本”</w:t>
      </w:r>
      <w:r>
        <w:rPr>
          <w:rFonts w:hint="eastAsia" w:ascii="宋体" w:hAnsi="宋体"/>
          <w:b/>
          <w:bCs/>
          <w:sz w:val="18"/>
          <w:szCs w:val="18"/>
          <w:highlight w:val="yellow"/>
          <w:lang w:val="en-US" w:eastAsia="zh-CN"/>
        </w:rPr>
        <w:t>并逐页盖公章</w:t>
      </w:r>
      <w:r>
        <w:rPr>
          <w:rFonts w:hint="eastAsia" w:ascii="宋体" w:hAnsi="宋体"/>
          <w:b/>
          <w:bCs/>
          <w:sz w:val="18"/>
          <w:szCs w:val="18"/>
          <w:highlight w:val="yellow"/>
          <w:lang w:eastAsia="zh-CN"/>
        </w:rPr>
        <w:t>，</w:t>
      </w:r>
      <w:r>
        <w:rPr>
          <w:rFonts w:hint="eastAsia" w:ascii="宋体" w:hAnsi="宋体"/>
          <w:b/>
          <w:bCs/>
          <w:sz w:val="18"/>
          <w:szCs w:val="18"/>
          <w:highlight w:val="yellow"/>
          <w:lang w:val="en-US" w:eastAsia="zh-CN"/>
        </w:rPr>
        <w:t>第二册文件一式两份</w:t>
      </w:r>
      <w:r>
        <w:rPr>
          <w:rFonts w:hint="eastAsia" w:ascii="宋体" w:hAnsi="宋体"/>
          <w:b/>
          <w:bCs/>
          <w:sz w:val="18"/>
          <w:szCs w:val="18"/>
          <w:highlight w:val="yellow"/>
        </w:rPr>
        <w:t>，</w:t>
      </w:r>
      <w:r>
        <w:rPr>
          <w:rFonts w:hint="eastAsia" w:ascii="宋体" w:hAnsi="宋体"/>
          <w:b/>
          <w:bCs/>
          <w:sz w:val="18"/>
          <w:szCs w:val="18"/>
          <w:highlight w:val="yellow"/>
          <w:lang w:val="en-US" w:eastAsia="zh-CN"/>
        </w:rPr>
        <w:t>在各封口处加盖公章。</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eastAsia="zh-CN"/>
        </w:rPr>
        <w:t>硫磺回收装置高效脱硫剂</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hint="eastAsia" w:ascii="宋体" w:hAnsi="宋体"/>
          <w:sz w:val="18"/>
          <w:szCs w:val="18"/>
        </w:rPr>
      </w:pPr>
      <w:r>
        <w:rPr>
          <w:rFonts w:hint="eastAsia" w:ascii="宋体" w:hAnsi="宋体"/>
          <w:sz w:val="18"/>
          <w:szCs w:val="18"/>
        </w:rPr>
        <w:t>12.参选文件不退还。</w:t>
      </w:r>
    </w:p>
    <w:p>
      <w:pPr>
        <w:spacing w:line="320" w:lineRule="exact"/>
        <w:rPr>
          <w:rFonts w:hint="eastAsia" w:ascii="宋体" w:hAnsi="宋体"/>
          <w:sz w:val="18"/>
          <w:szCs w:val="18"/>
        </w:rPr>
      </w:pPr>
      <w:r>
        <w:rPr>
          <w:rFonts w:hint="eastAsia" w:ascii="宋体" w:hAnsi="宋体"/>
          <w:sz w:val="18"/>
          <w:szCs w:val="18"/>
          <w:highlight w:val="yellow"/>
        </w:rPr>
        <w:t>13.</w:t>
      </w:r>
      <w:r>
        <w:rPr>
          <w:rFonts w:hint="eastAsia" w:ascii="宋体" w:hAnsi="宋体"/>
          <w:sz w:val="18"/>
          <w:szCs w:val="18"/>
          <w:highlight w:val="yellow"/>
          <w:lang w:val="en-US" w:eastAsia="zh-CN"/>
        </w:rPr>
        <w:t>本次硫磺回收装置高效脱硫剂分为商务标和技术标两部分组成，商务标评分比重为60分，技术标评分为40分，满分为100分，总得分最高的参选人为中选人。</w:t>
      </w:r>
    </w:p>
    <w:p>
      <w:pPr>
        <w:spacing w:line="320" w:lineRule="exact"/>
        <w:rPr>
          <w:rFonts w:hint="eastAsia" w:ascii="宋体" w:hAnsi="宋体"/>
          <w:b/>
          <w:bCs/>
          <w:sz w:val="36"/>
          <w:szCs w:val="36"/>
        </w:rPr>
      </w:pPr>
      <w:r>
        <w:rPr>
          <w:rFonts w:hint="eastAsia" w:ascii="宋体" w:hAnsi="宋体"/>
          <w:sz w:val="18"/>
          <w:szCs w:val="18"/>
          <w:highlight w:val="none"/>
        </w:rPr>
        <w:t>1</w:t>
      </w:r>
      <w:r>
        <w:rPr>
          <w:rFonts w:hint="eastAsia" w:ascii="宋体" w:hAnsi="宋体"/>
          <w:sz w:val="18"/>
          <w:szCs w:val="18"/>
          <w:highlight w:val="none"/>
          <w:lang w:val="en-US" w:eastAsia="zh-CN"/>
        </w:rPr>
        <w:t>4.</w:t>
      </w:r>
      <w:r>
        <w:rPr>
          <w:rFonts w:hint="eastAsia" w:ascii="宋体" w:hAnsi="宋体" w:cs="宋体"/>
          <w:b/>
          <w:kern w:val="0"/>
          <w:sz w:val="24"/>
        </w:rPr>
        <w:t>若报价偏离市场行情，</w:t>
      </w:r>
      <w:r>
        <w:rPr>
          <w:rFonts w:hint="eastAsia" w:ascii="宋体" w:hAnsi="宋体" w:cs="宋体"/>
          <w:b/>
          <w:kern w:val="0"/>
          <w:sz w:val="24"/>
          <w:lang w:eastAsia="zh-CN"/>
        </w:rPr>
        <w:t>腾龙芳烃（漳州）有限公司</w:t>
      </w:r>
      <w:r>
        <w:rPr>
          <w:rFonts w:hint="eastAsia" w:ascii="宋体" w:hAnsi="宋体" w:cs="宋体"/>
          <w:b/>
          <w:kern w:val="0"/>
          <w:sz w:val="24"/>
        </w:rPr>
        <w:t>有权选择废选。</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lang w:eastAsia="zh-CN"/>
        </w:rPr>
        <w:t>2023-FHC-高效脱硫剂-0419</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4"/>
          <w:szCs w:val="24"/>
        </w:rPr>
      </w:pPr>
      <w:r>
        <w:rPr>
          <w:rFonts w:hint="eastAsia" w:ascii="宋体" w:hAnsi="宋体"/>
          <w:sz w:val="24"/>
          <w:szCs w:val="24"/>
        </w:rPr>
        <w:t>我公司计划采购</w:t>
      </w:r>
      <w:r>
        <w:rPr>
          <w:rFonts w:hint="eastAsia" w:ascii="宋体" w:hAnsi="宋体"/>
          <w:sz w:val="24"/>
          <w:szCs w:val="24"/>
          <w:lang w:val="en-US" w:eastAsia="zh-CN"/>
        </w:rPr>
        <w:t>硫磺回收装置高效脱硫剂</w:t>
      </w:r>
      <w:r>
        <w:rPr>
          <w:rFonts w:hint="eastAsia" w:ascii="宋体" w:hAnsi="宋体"/>
          <w:sz w:val="24"/>
          <w:szCs w:val="24"/>
        </w:rPr>
        <w:t>，具体要求如下</w:t>
      </w:r>
      <w:r>
        <w:rPr>
          <w:rFonts w:ascii="宋体"/>
          <w:sz w:val="24"/>
          <w:szCs w:val="24"/>
        </w:rPr>
        <w:tab/>
      </w:r>
    </w:p>
    <w:p>
      <w:pPr>
        <w:numPr>
          <w:ilvl w:val="0"/>
          <w:numId w:val="6"/>
        </w:numPr>
        <w:spacing w:line="360" w:lineRule="exact"/>
        <w:jc w:val="left"/>
        <w:rPr>
          <w:rFonts w:hint="eastAsia" w:ascii="宋体" w:hAnsi="宋体" w:cs="宋体"/>
          <w:sz w:val="24"/>
        </w:rPr>
      </w:pPr>
      <w:r>
        <w:rPr>
          <w:rFonts w:hint="eastAsia" w:ascii="宋体" w:cs="宋体"/>
          <w:sz w:val="24"/>
        </w:rPr>
        <w:t>采购数量：</w:t>
      </w:r>
      <w:r>
        <w:rPr>
          <w:rFonts w:hint="eastAsia" w:ascii="宋体" w:cs="宋体"/>
          <w:sz w:val="24"/>
          <w:lang w:val="en-US" w:eastAsia="zh-CN"/>
        </w:rPr>
        <w:t>145吨。</w:t>
      </w:r>
    </w:p>
    <w:p>
      <w:pPr>
        <w:numPr>
          <w:ilvl w:val="0"/>
          <w:numId w:val="0"/>
        </w:numPr>
        <w:spacing w:line="360" w:lineRule="exact"/>
        <w:jc w:val="left"/>
        <w:rPr>
          <w:rFonts w:hint="eastAsia" w:ascii="宋体" w:hAnsi="宋体" w:cs="宋体"/>
          <w:sz w:val="24"/>
          <w:lang w:val="en-US" w:eastAsia="zh-CN"/>
        </w:rPr>
      </w:pPr>
      <w:r>
        <w:rPr>
          <w:rFonts w:hint="eastAsia" w:ascii="宋体" w:hAnsi="宋体" w:cs="宋体"/>
          <w:sz w:val="24"/>
          <w:lang w:val="en-US" w:eastAsia="zh-CN"/>
        </w:rPr>
        <w:t>1.1质量保证：</w:t>
      </w:r>
    </w:p>
    <w:tbl>
      <w:tblPr>
        <w:tblStyle w:val="13"/>
        <w:tblW w:w="78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0"/>
        <w:gridCol w:w="2767"/>
        <w:gridCol w:w="2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jc w:val="center"/>
        </w:trPr>
        <w:tc>
          <w:tcPr>
            <w:tcW w:w="2910" w:type="dxa"/>
            <w:tcBorders>
              <w:bottom w:val="single" w:color="auto" w:sz="4" w:space="0"/>
            </w:tcBorders>
            <w:vAlign w:val="center"/>
          </w:tcPr>
          <w:p>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项   目</w:t>
            </w:r>
          </w:p>
        </w:tc>
        <w:tc>
          <w:tcPr>
            <w:tcW w:w="2767" w:type="dxa"/>
            <w:tcBorders>
              <w:bottom w:val="single" w:color="auto" w:sz="4" w:space="0"/>
            </w:tcBorders>
            <w:vAlign w:val="center"/>
          </w:tcPr>
          <w:p>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质量指标</w:t>
            </w:r>
          </w:p>
        </w:tc>
        <w:tc>
          <w:tcPr>
            <w:tcW w:w="2143" w:type="dxa"/>
            <w:tcBorders>
              <w:bottom w:val="single" w:color="auto" w:sz="4" w:space="0"/>
            </w:tcBorders>
            <w:vAlign w:val="center"/>
          </w:tcPr>
          <w:p>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分析方法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jc w:val="center"/>
        </w:trPr>
        <w:tc>
          <w:tcPr>
            <w:tcW w:w="2910" w:type="dxa"/>
            <w:vAlign w:val="center"/>
          </w:tcPr>
          <w:p>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外   观</w:t>
            </w:r>
          </w:p>
        </w:tc>
        <w:tc>
          <w:tcPr>
            <w:tcW w:w="2767" w:type="dxa"/>
            <w:vAlign w:val="center"/>
          </w:tcPr>
          <w:p>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无色至浅黄色清澈透明液体</w:t>
            </w:r>
          </w:p>
        </w:tc>
        <w:tc>
          <w:tcPr>
            <w:tcW w:w="2143" w:type="dxa"/>
            <w:vAlign w:val="center"/>
          </w:tcPr>
          <w:p>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目测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0" w:hRule="atLeast"/>
          <w:jc w:val="center"/>
        </w:trPr>
        <w:tc>
          <w:tcPr>
            <w:tcW w:w="2910" w:type="dxa"/>
            <w:vAlign w:val="center"/>
          </w:tcPr>
          <w:p>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运动粘度（20</w:t>
            </w:r>
            <w:r>
              <w:rPr>
                <w:rFonts w:hint="eastAsia" w:ascii="宋体" w:hAnsi="宋体" w:eastAsia="宋体" w:cs="宋体"/>
                <w:color w:val="000000"/>
                <w:szCs w:val="21"/>
              </w:rPr>
              <w:t>℃</w:t>
            </w:r>
            <w:r>
              <w:rPr>
                <w:rFonts w:ascii="Times New Roman" w:hAnsi="Times New Roman" w:eastAsia="宋体" w:cs="Times New Roman"/>
                <w:color w:val="000000"/>
                <w:szCs w:val="21"/>
              </w:rPr>
              <w:t>），m</w:t>
            </w:r>
            <w:r>
              <w:rPr>
                <w:rFonts w:ascii="Times New Roman" w:hAnsi="Times New Roman" w:eastAsia="宋体" w:cs="Times New Roman"/>
                <w:color w:val="000000"/>
                <w:szCs w:val="21"/>
                <w:vertAlign w:val="superscript"/>
              </w:rPr>
              <w:t>2</w:t>
            </w:r>
            <w:r>
              <w:rPr>
                <w:rFonts w:ascii="Times New Roman" w:hAnsi="Times New Roman" w:eastAsia="宋体" w:cs="Times New Roman"/>
                <w:color w:val="000000"/>
                <w:szCs w:val="21"/>
              </w:rPr>
              <w:t>/s</w:t>
            </w:r>
          </w:p>
        </w:tc>
        <w:tc>
          <w:tcPr>
            <w:tcW w:w="2767" w:type="dxa"/>
            <w:vAlign w:val="center"/>
          </w:tcPr>
          <w:p>
            <w:pPr>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6</w:t>
            </w:r>
            <w:r>
              <w:rPr>
                <w:rFonts w:ascii="Times New Roman" w:hAnsi="Times New Roman" w:eastAsia="宋体" w:cs="Times New Roman"/>
                <w:color w:val="000000"/>
                <w:szCs w:val="21"/>
              </w:rPr>
              <w:t>0~110</w:t>
            </w:r>
          </w:p>
        </w:tc>
        <w:tc>
          <w:tcPr>
            <w:tcW w:w="2143" w:type="dxa"/>
            <w:vAlign w:val="center"/>
          </w:tcPr>
          <w:p>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GB/T265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2910" w:type="dxa"/>
            <w:vAlign w:val="center"/>
          </w:tcPr>
          <w:p>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密度（20</w:t>
            </w:r>
            <w:r>
              <w:rPr>
                <w:rFonts w:hint="eastAsia" w:ascii="宋体" w:hAnsi="宋体" w:eastAsia="宋体" w:cs="宋体"/>
                <w:color w:val="000000"/>
                <w:szCs w:val="21"/>
              </w:rPr>
              <w:t>℃</w:t>
            </w:r>
            <w:r>
              <w:rPr>
                <w:rFonts w:ascii="Times New Roman" w:hAnsi="Times New Roman" w:eastAsia="宋体" w:cs="Times New Roman"/>
                <w:color w:val="000000"/>
                <w:szCs w:val="21"/>
              </w:rPr>
              <w:t>），kg/cm</w:t>
            </w:r>
            <w:r>
              <w:rPr>
                <w:rFonts w:ascii="Times New Roman" w:hAnsi="Times New Roman" w:eastAsia="宋体" w:cs="Times New Roman"/>
                <w:color w:val="000000"/>
                <w:szCs w:val="21"/>
                <w:vertAlign w:val="superscript"/>
              </w:rPr>
              <w:t>3</w:t>
            </w:r>
          </w:p>
        </w:tc>
        <w:tc>
          <w:tcPr>
            <w:tcW w:w="2767" w:type="dxa"/>
            <w:vAlign w:val="center"/>
          </w:tcPr>
          <w:p>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1.0</w:t>
            </w:r>
            <w:r>
              <w:rPr>
                <w:rFonts w:hint="eastAsia" w:ascii="Times New Roman" w:hAnsi="Times New Roman" w:eastAsia="宋体" w:cs="Times New Roman"/>
                <w:color w:val="000000"/>
                <w:szCs w:val="21"/>
              </w:rPr>
              <w:t>3</w:t>
            </w:r>
            <w:r>
              <w:rPr>
                <w:rFonts w:ascii="Times New Roman" w:hAnsi="Times New Roman" w:eastAsia="宋体" w:cs="Times New Roman"/>
                <w:color w:val="000000"/>
                <w:szCs w:val="21"/>
              </w:rPr>
              <w:t>0~1.065</w:t>
            </w:r>
          </w:p>
        </w:tc>
        <w:tc>
          <w:tcPr>
            <w:tcW w:w="2143" w:type="dxa"/>
            <w:vAlign w:val="center"/>
          </w:tcPr>
          <w:p>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GB/T4472-1984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2910" w:type="dxa"/>
            <w:vAlign w:val="center"/>
          </w:tcPr>
          <w:p>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有效组分含量（MDEA）</w:t>
            </w:r>
            <w:r>
              <w:rPr>
                <w:rFonts w:hint="eastAsia" w:ascii="Times New Roman" w:hAnsi="Times New Roman" w:eastAsia="宋体" w:cs="Times New Roman"/>
                <w:color w:val="000000"/>
                <w:szCs w:val="21"/>
              </w:rPr>
              <w:t>，</w:t>
            </w:r>
            <w:r>
              <w:rPr>
                <w:rFonts w:hint="eastAsia" w:ascii="Times New Roman" w:hAnsi="Times New Roman" w:eastAsia="宋体"/>
                <w:bCs/>
                <w:spacing w:val="4"/>
              </w:rPr>
              <w:t>wt%</w:t>
            </w:r>
            <w:r>
              <w:rPr>
                <w:rFonts w:ascii="Times New Roman" w:hAnsi="Times New Roman" w:eastAsia="宋体" w:cs="Times New Roman"/>
                <w:color w:val="000000"/>
                <w:szCs w:val="21"/>
              </w:rPr>
              <w:t xml:space="preserve"> </w:t>
            </w:r>
          </w:p>
        </w:tc>
        <w:tc>
          <w:tcPr>
            <w:tcW w:w="2767" w:type="dxa"/>
            <w:vAlign w:val="center"/>
          </w:tcPr>
          <w:p>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≥97</w:t>
            </w:r>
          </w:p>
        </w:tc>
        <w:tc>
          <w:tcPr>
            <w:tcW w:w="2143" w:type="dxa"/>
            <w:vAlign w:val="center"/>
          </w:tcPr>
          <w:p>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GH/T 31589-2015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2910" w:type="dxa"/>
            <w:vAlign w:val="center"/>
          </w:tcPr>
          <w:p>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凝固点</w:t>
            </w:r>
            <w:r>
              <w:rPr>
                <w:rFonts w:hint="eastAsia" w:ascii="Times New Roman" w:hAnsi="Times New Roman" w:eastAsia="宋体" w:cs="Times New Roman"/>
                <w:color w:val="000000"/>
                <w:szCs w:val="21"/>
              </w:rPr>
              <w:t>，</w:t>
            </w:r>
            <w:r>
              <w:rPr>
                <w:rFonts w:hint="eastAsia" w:ascii="宋体" w:hAnsi="宋体" w:eastAsia="宋体" w:cs="宋体"/>
                <w:color w:val="000000"/>
                <w:szCs w:val="21"/>
              </w:rPr>
              <w:t>℃</w:t>
            </w:r>
          </w:p>
        </w:tc>
        <w:tc>
          <w:tcPr>
            <w:tcW w:w="2767" w:type="dxa"/>
            <w:vAlign w:val="center"/>
          </w:tcPr>
          <w:p>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≤-45</w:t>
            </w:r>
          </w:p>
        </w:tc>
        <w:tc>
          <w:tcPr>
            <w:tcW w:w="2143" w:type="dxa"/>
            <w:vAlign w:val="center"/>
          </w:tcPr>
          <w:p>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GB/T 510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jc w:val="center"/>
        </w:trPr>
        <w:tc>
          <w:tcPr>
            <w:tcW w:w="2910" w:type="dxa"/>
            <w:vAlign w:val="center"/>
          </w:tcPr>
          <w:p>
            <w:pPr>
              <w:spacing w:line="36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溶解性</w:t>
            </w:r>
          </w:p>
        </w:tc>
        <w:tc>
          <w:tcPr>
            <w:tcW w:w="2767" w:type="dxa"/>
            <w:vAlign w:val="center"/>
          </w:tcPr>
          <w:p>
            <w:pPr>
              <w:spacing w:line="36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与水互溶</w:t>
            </w:r>
          </w:p>
        </w:tc>
        <w:tc>
          <w:tcPr>
            <w:tcW w:w="2143" w:type="dxa"/>
            <w:vAlign w:val="center"/>
          </w:tcPr>
          <w:p>
            <w:pPr>
              <w:spacing w:line="36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GB/T 6324.1</w:t>
            </w:r>
          </w:p>
        </w:tc>
      </w:tr>
    </w:tbl>
    <w:p>
      <w:pPr>
        <w:numPr>
          <w:ilvl w:val="0"/>
          <w:numId w:val="0"/>
        </w:numPr>
        <w:spacing w:line="360" w:lineRule="exact"/>
        <w:jc w:val="left"/>
        <w:rPr>
          <w:rFonts w:hint="eastAsia" w:ascii="宋体" w:hAnsi="宋体" w:cs="宋体"/>
          <w:sz w:val="24"/>
          <w:lang w:val="en-US" w:eastAsia="zh-CN"/>
        </w:rPr>
      </w:pPr>
      <w:r>
        <w:rPr>
          <w:rFonts w:hint="eastAsia" w:ascii="宋体" w:hAnsi="宋体" w:cs="宋体"/>
          <w:sz w:val="24"/>
          <w:lang w:val="en-US" w:eastAsia="zh-CN"/>
        </w:rPr>
        <w:t>1.2性能保证:</w:t>
      </w:r>
    </w:p>
    <w:p>
      <w:pPr>
        <w:numPr>
          <w:ilvl w:val="0"/>
          <w:numId w:val="0"/>
        </w:numPr>
        <w:spacing w:line="360" w:lineRule="exact"/>
        <w:jc w:val="left"/>
        <w:rPr>
          <w:rFonts w:hint="eastAsia" w:ascii="宋体" w:hAnsi="宋体" w:cs="宋体"/>
          <w:sz w:val="24"/>
          <w:lang w:val="en-US" w:eastAsia="zh-CN"/>
        </w:rPr>
      </w:pPr>
      <w:r>
        <w:rPr>
          <w:rFonts w:hint="eastAsia" w:ascii="宋体" w:hAnsi="宋体" w:cs="宋体"/>
          <w:sz w:val="24"/>
          <w:lang w:val="en-US" w:eastAsia="zh-CN"/>
        </w:rPr>
        <w:t xml:space="preserve">    在需方装置运行稳定，操作正常，满足技术要求第3.3条款工艺操作条件的情况下，使用供方提供的高效脱硫剂产品，保证：</w:t>
      </w:r>
    </w:p>
    <w:p>
      <w:pPr>
        <w:numPr>
          <w:ilvl w:val="0"/>
          <w:numId w:val="0"/>
        </w:numPr>
        <w:spacing w:line="360" w:lineRule="exact"/>
        <w:jc w:val="left"/>
        <w:rPr>
          <w:rFonts w:hint="eastAsia" w:ascii="宋体" w:hAnsi="宋体" w:cs="宋体"/>
          <w:sz w:val="24"/>
          <w:lang w:val="en-US" w:eastAsia="zh-CN"/>
        </w:rPr>
      </w:pPr>
      <w:r>
        <w:rPr>
          <w:rFonts w:hint="eastAsia" w:ascii="宋体" w:hAnsi="宋体" w:cs="宋体"/>
          <w:sz w:val="24"/>
          <w:lang w:val="en-US" w:eastAsia="zh-CN"/>
        </w:rPr>
        <w:t>a)贫液中的硫化氢≤1g/L。</w:t>
      </w:r>
    </w:p>
    <w:p>
      <w:pPr>
        <w:numPr>
          <w:ilvl w:val="0"/>
          <w:numId w:val="0"/>
        </w:numPr>
        <w:spacing w:line="360" w:lineRule="exact"/>
        <w:jc w:val="left"/>
        <w:rPr>
          <w:rFonts w:hint="eastAsia" w:ascii="宋体" w:hAnsi="宋体" w:cs="宋体"/>
          <w:sz w:val="24"/>
          <w:lang w:val="en-US" w:eastAsia="zh-CN"/>
        </w:rPr>
      </w:pPr>
      <w:r>
        <w:rPr>
          <w:rFonts w:hint="eastAsia" w:ascii="宋体" w:hAnsi="宋体" w:cs="宋体"/>
          <w:sz w:val="24"/>
          <w:lang w:val="en-US" w:eastAsia="zh-CN"/>
        </w:rPr>
        <w:t>b)泡沫高度≯10cm，泡沫消失时间≯10s。</w:t>
      </w:r>
    </w:p>
    <w:p>
      <w:pPr>
        <w:numPr>
          <w:ilvl w:val="0"/>
          <w:numId w:val="0"/>
        </w:numPr>
        <w:spacing w:line="360" w:lineRule="exact"/>
        <w:jc w:val="left"/>
        <w:rPr>
          <w:rFonts w:hint="eastAsia" w:ascii="宋体" w:hAnsi="宋体" w:cs="宋体"/>
          <w:sz w:val="24"/>
          <w:lang w:val="en-US" w:eastAsia="zh-CN"/>
        </w:rPr>
      </w:pPr>
      <w:r>
        <w:rPr>
          <w:rFonts w:hint="eastAsia" w:ascii="宋体" w:hAnsi="宋体" w:cs="宋体"/>
          <w:sz w:val="24"/>
          <w:lang w:val="en-US" w:eastAsia="zh-CN"/>
        </w:rPr>
        <w:t>c)塔底0.45MPa蒸汽消耗≤15wt%富胺液进塔量。</w:t>
      </w:r>
    </w:p>
    <w:p>
      <w:pPr>
        <w:numPr>
          <w:ilvl w:val="0"/>
          <w:numId w:val="0"/>
        </w:numPr>
        <w:spacing w:line="360" w:lineRule="exact"/>
        <w:jc w:val="left"/>
        <w:rPr>
          <w:rFonts w:hint="eastAsia" w:ascii="宋体" w:hAnsi="宋体" w:cs="宋体"/>
          <w:sz w:val="24"/>
          <w:lang w:val="en-US" w:eastAsia="zh-CN"/>
        </w:rPr>
      </w:pPr>
      <w:r>
        <w:rPr>
          <w:rFonts w:hint="eastAsia" w:ascii="宋体" w:hAnsi="宋体" w:cs="宋体"/>
          <w:sz w:val="24"/>
          <w:lang w:val="en-US" w:eastAsia="zh-CN"/>
        </w:rPr>
        <w:t>d)加氢干气脱后硫化氢含量≤20mg/Nm3。</w:t>
      </w:r>
    </w:p>
    <w:p>
      <w:pPr>
        <w:numPr>
          <w:ilvl w:val="0"/>
          <w:numId w:val="0"/>
        </w:numPr>
        <w:spacing w:line="360" w:lineRule="exact"/>
        <w:jc w:val="left"/>
        <w:rPr>
          <w:rFonts w:hint="eastAsia" w:ascii="宋体" w:hAnsi="宋体" w:cs="宋体"/>
          <w:sz w:val="24"/>
          <w:lang w:val="en-US" w:eastAsia="zh-CN"/>
        </w:rPr>
      </w:pPr>
      <w:r>
        <w:rPr>
          <w:rFonts w:hint="eastAsia" w:ascii="宋体" w:hAnsi="宋体" w:cs="宋体"/>
          <w:sz w:val="24"/>
          <w:lang w:val="en-US" w:eastAsia="zh-CN"/>
        </w:rPr>
        <w:t>e)溶剂损耗量≤0.2kg/t原料（液化气或干气）。</w:t>
      </w:r>
    </w:p>
    <w:p>
      <w:pPr>
        <w:numPr>
          <w:ilvl w:val="0"/>
          <w:numId w:val="0"/>
        </w:numPr>
        <w:spacing w:line="360" w:lineRule="exact"/>
        <w:jc w:val="left"/>
        <w:rPr>
          <w:rFonts w:hint="eastAsia" w:ascii="宋体" w:hAnsi="宋体" w:cs="宋体"/>
          <w:sz w:val="24"/>
          <w:lang w:val="en-US" w:eastAsia="zh-CN"/>
        </w:rPr>
      </w:pPr>
      <w:r>
        <w:rPr>
          <w:rFonts w:hint="eastAsia" w:ascii="宋体" w:hAnsi="宋体" w:cs="宋体"/>
          <w:sz w:val="24"/>
          <w:lang w:val="en-US" w:eastAsia="zh-CN"/>
        </w:rPr>
        <w:t>f)有机硫脱除率≥30%，无机硫脱除率≥99.5%。</w:t>
      </w:r>
    </w:p>
    <w:p>
      <w:pPr>
        <w:numPr>
          <w:ilvl w:val="0"/>
          <w:numId w:val="0"/>
        </w:numPr>
        <w:spacing w:line="360" w:lineRule="exact"/>
        <w:jc w:val="left"/>
        <w:rPr>
          <w:rFonts w:hint="eastAsia" w:ascii="宋体" w:hAnsi="宋体" w:cs="宋体"/>
          <w:sz w:val="24"/>
          <w:lang w:val="en-US" w:eastAsia="zh-CN"/>
        </w:rPr>
      </w:pPr>
      <w:r>
        <w:rPr>
          <w:rFonts w:hint="eastAsia" w:ascii="宋体" w:hAnsi="宋体" w:cs="宋体"/>
          <w:sz w:val="24"/>
          <w:lang w:val="en-US" w:eastAsia="zh-CN"/>
        </w:rPr>
        <w:t>g)对设备及管线无不良影响。</w:t>
      </w:r>
    </w:p>
    <w:p>
      <w:pPr>
        <w:numPr>
          <w:ilvl w:val="0"/>
          <w:numId w:val="0"/>
        </w:numPr>
        <w:spacing w:line="360" w:lineRule="exact"/>
        <w:jc w:val="left"/>
        <w:rPr>
          <w:rFonts w:hint="eastAsia" w:ascii="宋体" w:hAnsi="宋体" w:eastAsia="宋体" w:cs="宋体"/>
          <w:sz w:val="24"/>
          <w:lang w:val="en-US" w:eastAsia="zh-CN"/>
        </w:rPr>
      </w:pPr>
      <w:r>
        <w:rPr>
          <w:rFonts w:hint="eastAsia" w:ascii="宋体" w:hAnsi="宋体" w:cs="宋体"/>
          <w:sz w:val="24"/>
          <w:lang w:val="en-US" w:eastAsia="zh-CN"/>
        </w:rPr>
        <w:t>h)不会对上游产品及系统内现有的脱硫剂产生不良影响。</w:t>
      </w:r>
    </w:p>
    <w:p>
      <w:pPr>
        <w:numPr>
          <w:ilvl w:val="0"/>
          <w:numId w:val="6"/>
        </w:numPr>
        <w:spacing w:line="360" w:lineRule="exact"/>
        <w:jc w:val="left"/>
        <w:rPr>
          <w:rFonts w:hint="eastAsia" w:ascii="宋体" w:hAnsi="宋体" w:cs="宋体"/>
          <w:sz w:val="24"/>
        </w:rPr>
      </w:pPr>
      <w:r>
        <w:rPr>
          <w:rFonts w:hint="eastAsia" w:ascii="宋体" w:hAnsi="宋体" w:cs="宋体"/>
          <w:sz w:val="24"/>
          <w:lang w:val="en-US" w:eastAsia="zh-CN"/>
        </w:rPr>
        <w:t>技术要求：</w:t>
      </w:r>
      <w:r>
        <w:rPr>
          <w:rFonts w:hint="eastAsia" w:ascii="宋体" w:hAnsi="宋体" w:cs="宋体"/>
          <w:sz w:val="24"/>
        </w:rPr>
        <w:t>详见附件技术要求。</w:t>
      </w:r>
    </w:p>
    <w:p>
      <w:pPr>
        <w:numPr>
          <w:ilvl w:val="0"/>
          <w:numId w:val="6"/>
        </w:numPr>
        <w:spacing w:line="360" w:lineRule="exact"/>
        <w:jc w:val="left"/>
        <w:rPr>
          <w:rFonts w:ascii="宋体" w:hAnsi="宋体" w:cs="宋体"/>
          <w:sz w:val="24"/>
        </w:rPr>
      </w:pPr>
      <w:r>
        <w:rPr>
          <w:rFonts w:hint="eastAsia" w:ascii="宋体" w:hAnsi="宋体" w:cs="宋体"/>
          <w:sz w:val="24"/>
        </w:rPr>
        <w:t>包装方式：</w:t>
      </w:r>
      <w:r>
        <w:rPr>
          <w:rFonts w:hint="eastAsia" w:ascii="宋体" w:hAnsi="宋体" w:cs="宋体"/>
          <w:sz w:val="24"/>
          <w:lang w:val="en-US" w:eastAsia="zh-CN"/>
        </w:rPr>
        <w:t>吨</w:t>
      </w:r>
      <w:r>
        <w:rPr>
          <w:rFonts w:hint="eastAsia" w:ascii="宋体" w:hAnsi="宋体" w:cs="宋体"/>
          <w:sz w:val="24"/>
        </w:rPr>
        <w:t>桶包装，使用后的空桶由</w:t>
      </w:r>
      <w:r>
        <w:rPr>
          <w:rFonts w:hint="eastAsia" w:ascii="宋体" w:hAnsi="宋体" w:cs="宋体"/>
          <w:sz w:val="24"/>
          <w:lang w:val="en-US" w:eastAsia="zh-CN"/>
        </w:rPr>
        <w:t>供</w:t>
      </w:r>
      <w:r>
        <w:rPr>
          <w:rFonts w:hint="eastAsia" w:ascii="宋体" w:hAnsi="宋体" w:cs="宋体"/>
          <w:sz w:val="24"/>
        </w:rPr>
        <w:t>方进行回收处理。</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w:t>
      </w:r>
      <w:r>
        <w:rPr>
          <w:rFonts w:hint="eastAsia" w:ascii="宋体" w:hAnsi="宋体"/>
          <w:color w:val="auto"/>
          <w:sz w:val="24"/>
          <w:lang w:val="en-US" w:eastAsia="zh-CN"/>
        </w:rPr>
        <w:t>分批到货，首批30吨需于</w:t>
      </w:r>
      <w:r>
        <w:rPr>
          <w:rFonts w:hint="eastAsia" w:ascii="宋体" w:hAnsi="宋体"/>
          <w:sz w:val="24"/>
          <w:lang w:val="en-US" w:eastAsia="zh-CN"/>
        </w:rPr>
        <w:t>2023年6月底具备到货条件，具体到货时间以需方通知为准</w:t>
      </w:r>
      <w:r>
        <w:rPr>
          <w:rFonts w:hint="eastAsia" w:ascii="宋体" w:hAnsi="宋体"/>
          <w:sz w:val="24"/>
        </w:rPr>
        <w:t>。</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硫磺回收装置高效脱硫剂</w:t>
      </w:r>
      <w:r>
        <w:rPr>
          <w:rFonts w:hint="eastAsia" w:asciiTheme="minorEastAsia" w:hAnsiTheme="minorEastAsia" w:eastAsiaTheme="minorEastAsia"/>
          <w:bCs/>
          <w:kern w:val="0"/>
          <w:sz w:val="24"/>
        </w:rPr>
        <w:t>为</w:t>
      </w:r>
      <w:r>
        <w:rPr>
          <w:rFonts w:hint="eastAsia" w:ascii="宋体" w:hAnsi="宋体" w:cs="宋体"/>
          <w:sz w:val="24"/>
        </w:rPr>
        <w:t>含税送到价。参选人需对全部比选数量进行报价。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highlight w:val="yellow"/>
        </w:rPr>
      </w:pPr>
      <w:r>
        <w:rPr>
          <w:rFonts w:hint="eastAsia" w:ascii="宋体" w:hAnsi="宋体" w:cs="宋体"/>
          <w:sz w:val="24"/>
        </w:rPr>
        <w:t>6.1付款方式：现汇支付</w:t>
      </w:r>
      <w:r>
        <w:rPr>
          <w:rFonts w:hint="eastAsia" w:ascii="宋体" w:hAnsi="宋体" w:cs="宋体"/>
          <w:sz w:val="24"/>
          <w:lang w:eastAsia="zh-CN"/>
        </w:rPr>
        <w:t>，</w:t>
      </w:r>
      <w:r>
        <w:rPr>
          <w:rFonts w:hint="eastAsia" w:ascii="宋体" w:hAnsi="宋体" w:cs="宋体"/>
          <w:sz w:val="24"/>
          <w:lang w:val="en-US" w:eastAsia="zh-CN"/>
        </w:rPr>
        <w:t>分批到货、分批付款。</w:t>
      </w:r>
      <w:r>
        <w:rPr>
          <w:rFonts w:hint="eastAsia" w:ascii="宋体" w:hAnsi="宋体" w:cs="宋体"/>
          <w:sz w:val="24"/>
        </w:rPr>
        <w:t>每批产品到货</w:t>
      </w:r>
      <w:r>
        <w:rPr>
          <w:rFonts w:hint="eastAsia" w:ascii="宋体" w:hAnsi="宋体" w:cs="宋体"/>
          <w:sz w:val="24"/>
          <w:lang w:val="en-US" w:eastAsia="zh-CN"/>
        </w:rPr>
        <w:t>后</w:t>
      </w:r>
      <w:r>
        <w:rPr>
          <w:rFonts w:hint="eastAsia" w:ascii="宋体" w:hAnsi="宋体" w:cs="宋体"/>
          <w:sz w:val="24"/>
        </w:rPr>
        <w:t>，</w:t>
      </w:r>
      <w:r>
        <w:rPr>
          <w:rFonts w:hint="eastAsia" w:ascii="宋体" w:hAnsi="宋体" w:cs="宋体"/>
          <w:sz w:val="24"/>
          <w:lang w:val="en-US" w:eastAsia="zh-CN"/>
        </w:rPr>
        <w:t>经验收合格后付款</w:t>
      </w:r>
      <w:r>
        <w:rPr>
          <w:rFonts w:hint="eastAsia" w:ascii="宋体" w:hAnsi="宋体" w:cs="宋体"/>
          <w:sz w:val="24"/>
          <w:lang w:eastAsia="zh-CN"/>
        </w:rPr>
        <w:t>。</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8.2参选文件应密封，包含第一册《</w:t>
      </w:r>
      <w:r>
        <w:rPr>
          <w:rFonts w:hint="eastAsia" w:ascii="宋体" w:hAnsi="宋体" w:cs="宋体"/>
          <w:sz w:val="24"/>
          <w:lang w:eastAsia="zh-CN"/>
        </w:rPr>
        <w:t>商务</w:t>
      </w:r>
      <w:r>
        <w:rPr>
          <w:rFonts w:hint="eastAsia" w:ascii="宋体" w:hAnsi="宋体" w:cs="宋体"/>
          <w:sz w:val="24"/>
        </w:rPr>
        <w:t>文件》</w:t>
      </w:r>
      <w:r>
        <w:rPr>
          <w:rFonts w:hint="eastAsia" w:ascii="宋体" w:hAnsi="宋体" w:cs="宋体"/>
          <w:sz w:val="24"/>
          <w:lang w:val="en-US" w:eastAsia="zh-CN"/>
        </w:rPr>
        <w:t>和</w:t>
      </w:r>
      <w:r>
        <w:rPr>
          <w:rFonts w:hint="eastAsia" w:ascii="宋体" w:hAnsi="宋体" w:cs="宋体"/>
          <w:sz w:val="24"/>
        </w:rPr>
        <w:t>第二册《技术文件》</w:t>
      </w:r>
      <w:r>
        <w:rPr>
          <w:rFonts w:hint="eastAsia" w:ascii="宋体" w:hAnsi="宋体" w:cs="宋体"/>
          <w:sz w:val="24"/>
          <w:lang w:val="en-US" w:eastAsia="zh-CN"/>
        </w:rPr>
        <w:t>各一式两份</w:t>
      </w:r>
      <w:r>
        <w:rPr>
          <w:rFonts w:hint="eastAsia" w:ascii="宋体" w:hAnsi="宋体" w:cs="宋体"/>
          <w:sz w:val="24"/>
          <w:lang w:eastAsia="zh-CN"/>
        </w:rPr>
        <w:t>，</w:t>
      </w:r>
      <w:r>
        <w:rPr>
          <w:rFonts w:hint="eastAsia" w:ascii="宋体" w:hAnsi="宋体" w:cs="宋体"/>
          <w:sz w:val="24"/>
          <w:lang w:val="en-US" w:eastAsia="zh-CN"/>
        </w:rPr>
        <w:t>详见参选规定及说明，两册文件</w:t>
      </w:r>
      <w:r>
        <w:rPr>
          <w:rFonts w:hint="eastAsia" w:ascii="宋体" w:hAnsi="宋体"/>
          <w:sz w:val="24"/>
          <w:szCs w:val="24"/>
        </w:rPr>
        <w:t>封套的封口处均</w:t>
      </w:r>
      <w:r>
        <w:rPr>
          <w:rFonts w:hint="eastAsia" w:ascii="宋体" w:hAnsi="宋体"/>
          <w:sz w:val="24"/>
          <w:szCs w:val="24"/>
          <w:lang w:val="en-US" w:eastAsia="zh-CN"/>
        </w:rPr>
        <w:t>需</w:t>
      </w:r>
      <w:r>
        <w:rPr>
          <w:rFonts w:hint="eastAsia" w:ascii="宋体" w:hAnsi="宋体"/>
          <w:sz w:val="24"/>
          <w:szCs w:val="24"/>
        </w:rPr>
        <w:t>密封</w:t>
      </w:r>
      <w:r>
        <w:rPr>
          <w:rFonts w:hint="eastAsia" w:ascii="宋体" w:hAnsi="宋体"/>
          <w:sz w:val="24"/>
          <w:szCs w:val="24"/>
          <w:lang w:val="en-US" w:eastAsia="zh-CN"/>
        </w:rPr>
        <w:t>并加盖公章</w:t>
      </w:r>
      <w:r>
        <w:rPr>
          <w:rFonts w:hint="eastAsia" w:ascii="宋体" w:hAnsi="宋体" w:cs="宋体"/>
          <w:sz w:val="24"/>
        </w:rPr>
        <w:t>。</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eastAsia="zh-CN"/>
        </w:rPr>
        <w:t>腾龙芳烃（漳州）有限公司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hint="eastAsia" w:ascii="宋体" w:hAnsi="宋体"/>
          <w:b/>
          <w:bCs/>
          <w:sz w:val="36"/>
          <w:szCs w:val="36"/>
        </w:rPr>
      </w:pPr>
      <w:r>
        <w:rPr>
          <w:rFonts w:hint="eastAsia" w:ascii="宋体" w:hAnsi="宋体" w:cs="宋体"/>
          <w:sz w:val="24"/>
        </w:rPr>
        <w:t>联系人：卢翠云  手机：13599526303</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lang w:eastAsia="zh-CN"/>
        </w:rPr>
        <w:t>2023-FHC-高效脱硫剂-0419</w:t>
      </w:r>
      <w:r>
        <w:rPr>
          <w:rFonts w:hint="eastAsia" w:ascii="宋体" w:hAnsi="宋体"/>
          <w:sz w:val="24"/>
        </w:rPr>
        <w:t>），被我方正式授权并代表我公司递交下述文件，并对此负责。</w:t>
      </w:r>
    </w:p>
    <w:p>
      <w:pPr>
        <w:spacing w:line="500" w:lineRule="exact"/>
        <w:ind w:firstLine="480" w:firstLineChars="200"/>
        <w:rPr>
          <w:rFonts w:hint="eastAsia" w:ascii="宋体" w:hAnsi="宋体"/>
          <w:sz w:val="24"/>
          <w:highlight w:val="yellow"/>
        </w:rPr>
      </w:pPr>
      <w:r>
        <w:rPr>
          <w:rFonts w:hint="eastAsia" w:ascii="宋体" w:hAnsi="宋体"/>
          <w:sz w:val="24"/>
          <w:highlight w:val="yellow"/>
          <w:lang w:val="en-US" w:eastAsia="zh-CN"/>
        </w:rPr>
        <w:t>1、</w:t>
      </w:r>
      <w:r>
        <w:rPr>
          <w:rFonts w:hint="eastAsia" w:ascii="宋体" w:hAnsi="宋体"/>
          <w:sz w:val="24"/>
          <w:highlight w:val="yellow"/>
        </w:rPr>
        <w:t>第一册</w:t>
      </w:r>
      <w:r>
        <w:rPr>
          <w:rFonts w:hint="eastAsia" w:ascii="宋体" w:hAnsi="宋体"/>
          <w:sz w:val="24"/>
          <w:highlight w:val="yellow"/>
          <w:lang w:eastAsia="zh-CN"/>
        </w:rPr>
        <w:t>商务</w:t>
      </w:r>
      <w:r>
        <w:rPr>
          <w:rFonts w:hint="eastAsia" w:ascii="宋体" w:hAnsi="宋体"/>
          <w:sz w:val="24"/>
          <w:highlight w:val="yellow"/>
        </w:rPr>
        <w:t>文件包含以下内容：</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（1）比选公告</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（2）参选规定及说明</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（3）公开比选文件</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（4）参选书</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（5）法定代表人授权书</w:t>
      </w:r>
    </w:p>
    <w:p>
      <w:pPr>
        <w:spacing w:line="500" w:lineRule="exact"/>
        <w:ind w:firstLine="480" w:firstLineChars="200"/>
        <w:rPr>
          <w:rFonts w:hint="eastAsia" w:ascii="宋体" w:hAnsi="宋体"/>
          <w:sz w:val="24"/>
          <w:highlight w:val="yellow"/>
        </w:rPr>
      </w:pPr>
      <w:r>
        <w:rPr>
          <w:rFonts w:hint="eastAsia" w:ascii="宋体" w:hAnsi="宋体"/>
          <w:sz w:val="24"/>
          <w:highlight w:val="yellow"/>
        </w:rPr>
        <w:t>（6）报价单</w:t>
      </w:r>
    </w:p>
    <w:p>
      <w:pPr>
        <w:spacing w:line="500" w:lineRule="exact"/>
        <w:ind w:firstLine="480" w:firstLineChars="200"/>
        <w:rPr>
          <w:rFonts w:hint="eastAsia" w:ascii="宋体" w:hAnsi="宋体"/>
          <w:sz w:val="24"/>
          <w:highlight w:val="yellow"/>
          <w:lang w:eastAsia="zh-CN"/>
        </w:rPr>
      </w:pPr>
      <w:r>
        <w:rPr>
          <w:rFonts w:hint="eastAsia" w:ascii="宋体" w:hAnsi="宋体"/>
          <w:sz w:val="24"/>
          <w:highlight w:val="yellow"/>
          <w:lang w:eastAsia="zh-CN"/>
        </w:rPr>
        <w:t>（</w:t>
      </w:r>
      <w:r>
        <w:rPr>
          <w:rFonts w:hint="eastAsia" w:ascii="宋体" w:hAnsi="宋体"/>
          <w:sz w:val="24"/>
          <w:highlight w:val="yellow"/>
          <w:lang w:val="en-US" w:eastAsia="zh-CN"/>
        </w:rPr>
        <w:t>7</w:t>
      </w:r>
      <w:r>
        <w:rPr>
          <w:rFonts w:hint="eastAsia" w:ascii="宋体" w:hAnsi="宋体"/>
          <w:sz w:val="24"/>
          <w:highlight w:val="yellow"/>
          <w:lang w:eastAsia="zh-CN"/>
        </w:rPr>
        <w:t>）</w:t>
      </w:r>
      <w:r>
        <w:rPr>
          <w:rFonts w:hint="eastAsia" w:ascii="宋体" w:hAnsi="宋体"/>
          <w:sz w:val="24"/>
          <w:highlight w:val="yellow"/>
          <w:lang w:val="en-US" w:eastAsia="zh-CN"/>
        </w:rPr>
        <w:t>技术要求</w:t>
      </w:r>
    </w:p>
    <w:p>
      <w:pPr>
        <w:spacing w:line="500" w:lineRule="exact"/>
        <w:ind w:firstLine="480" w:firstLineChars="200"/>
        <w:rPr>
          <w:rFonts w:hint="eastAsia" w:ascii="宋体" w:hAnsi="宋体"/>
          <w:sz w:val="24"/>
          <w:highlight w:val="yellow"/>
        </w:rPr>
      </w:pPr>
      <w:r>
        <w:rPr>
          <w:rFonts w:hint="eastAsia" w:ascii="宋体" w:hAnsi="宋体"/>
          <w:sz w:val="24"/>
          <w:highlight w:val="yellow"/>
          <w:lang w:val="en-US" w:eastAsia="zh-CN"/>
        </w:rPr>
        <w:t>2、</w:t>
      </w:r>
      <w:r>
        <w:rPr>
          <w:rFonts w:hint="eastAsia" w:ascii="宋体" w:hAnsi="宋体"/>
          <w:sz w:val="24"/>
          <w:highlight w:val="yellow"/>
        </w:rPr>
        <w:t>第二册技术文件包含以下内容：</w:t>
      </w:r>
    </w:p>
    <w:p>
      <w:pPr>
        <w:spacing w:line="500" w:lineRule="exact"/>
        <w:ind w:firstLine="480" w:firstLineChars="200"/>
        <w:rPr>
          <w:rFonts w:hint="eastAsia" w:ascii="宋体" w:hAnsi="宋体"/>
          <w:sz w:val="24"/>
          <w:highlight w:val="yellow"/>
        </w:rPr>
      </w:pPr>
      <w:r>
        <w:rPr>
          <w:rFonts w:hint="eastAsia" w:ascii="宋体" w:hAnsi="宋体"/>
          <w:sz w:val="24"/>
          <w:highlight w:val="yellow"/>
          <w:lang w:val="en-US" w:eastAsia="zh-CN"/>
        </w:rPr>
        <w:t>公司资质、同类业绩资料、产品物化性质、产品性能保证、供货周期、技术服务、包装运输等内容</w:t>
      </w:r>
      <w:r>
        <w:rPr>
          <w:rFonts w:hint="eastAsia" w:ascii="宋体" w:hAnsi="宋体"/>
          <w:sz w:val="24"/>
          <w:highlight w:val="yellow"/>
        </w:rPr>
        <w:t>。</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7"/>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7"/>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7"/>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lang w:eastAsia="zh-CN"/>
        </w:rPr>
        <w:t>2023-FHC-高效脱硫剂-0419</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lang w:eastAsia="zh-CN"/>
        </w:rPr>
        <w:t>2023-FHC-高效脱硫剂-0419</w:t>
      </w:r>
      <w:r>
        <w:rPr>
          <w:rFonts w:hint="eastAsia" w:ascii="宋体" w:hAnsi="宋体"/>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val="en-US" w:eastAsia="zh-CN"/>
        </w:rPr>
        <w:t>硫磺回收装置高效脱硫剂</w:t>
      </w:r>
      <w:r>
        <w:rPr>
          <w:rFonts w:hint="eastAsia" w:ascii="宋体" w:hAnsi="宋体"/>
          <w:color w:val="auto"/>
          <w:sz w:val="24"/>
        </w:rPr>
        <w:t>：</w:t>
      </w:r>
    </w:p>
    <w:p>
      <w:pPr>
        <w:numPr>
          <w:ilvl w:val="0"/>
          <w:numId w:val="0"/>
        </w:numPr>
        <w:spacing w:line="312" w:lineRule="auto"/>
        <w:rPr>
          <w:rFonts w:hint="eastAsia" w:ascii="宋体" w:hAnsi="宋体"/>
          <w:color w:val="auto"/>
          <w:sz w:val="24"/>
          <w:u w:val="none"/>
          <w:lang w:val="en-US" w:eastAsia="zh-CN"/>
        </w:rPr>
      </w:pPr>
      <w:r>
        <w:rPr>
          <w:rFonts w:hint="eastAsia" w:ascii="宋体" w:hAnsi="宋体"/>
          <w:color w:val="auto"/>
          <w:sz w:val="24"/>
          <w:lang w:val="en-US" w:eastAsia="zh-CN"/>
        </w:rPr>
        <w:t>2、</w:t>
      </w:r>
      <w:r>
        <w:rPr>
          <w:rFonts w:hint="eastAsia" w:ascii="宋体" w:hAnsi="宋体"/>
          <w:color w:val="auto"/>
          <w:sz w:val="24"/>
        </w:rPr>
        <w:t>数量</w:t>
      </w:r>
      <w:r>
        <w:rPr>
          <w:rFonts w:hint="eastAsia" w:ascii="宋体" w:hAnsi="宋体"/>
          <w:sz w:val="24"/>
          <w:lang w:eastAsia="zh-CN"/>
        </w:rPr>
        <w:t>：</w:t>
      </w:r>
      <w:r>
        <w:rPr>
          <w:rFonts w:hint="eastAsia" w:ascii="宋体" w:hAnsi="宋体"/>
          <w:sz w:val="24"/>
          <w:lang w:val="en-US" w:eastAsia="zh-CN"/>
        </w:rPr>
        <w:t>145吨，规格型号：____________。</w:t>
      </w:r>
    </w:p>
    <w:p>
      <w:pPr>
        <w:numPr>
          <w:ilvl w:val="0"/>
          <w:numId w:val="0"/>
        </w:numPr>
        <w:spacing w:line="312" w:lineRule="auto"/>
        <w:rPr>
          <w:rFonts w:hint="eastAsia" w:ascii="宋体" w:hAnsi="宋体"/>
          <w:color w:val="auto"/>
          <w:sz w:val="24"/>
        </w:rPr>
      </w:pPr>
      <w:r>
        <w:rPr>
          <w:rFonts w:hint="eastAsia" w:ascii="宋体" w:hAnsi="宋体"/>
          <w:color w:val="auto"/>
          <w:sz w:val="24"/>
          <w:lang w:val="en-US" w:eastAsia="zh-CN"/>
        </w:rPr>
        <w:t>3、</w:t>
      </w:r>
      <w:r>
        <w:rPr>
          <w:rFonts w:hint="eastAsia" w:ascii="宋体" w:hAnsi="宋体"/>
          <w:color w:val="auto"/>
          <w:sz w:val="24"/>
        </w:rPr>
        <w:t>含税单价：</w:t>
      </w:r>
      <w:r>
        <w:rPr>
          <w:rFonts w:hint="eastAsia" w:ascii="宋体" w:hAnsi="宋体"/>
          <w:color w:val="auto"/>
          <w:sz w:val="24"/>
          <w:u w:val="single"/>
        </w:rPr>
        <w:t xml:space="preserve">       </w:t>
      </w:r>
      <w:r>
        <w:rPr>
          <w:rFonts w:hint="eastAsia" w:ascii="宋体" w:hAnsi="宋体"/>
          <w:color w:val="auto"/>
          <w:sz w:val="24"/>
        </w:rPr>
        <w:t>元/</w:t>
      </w:r>
      <w:r>
        <w:rPr>
          <w:rFonts w:hint="eastAsia" w:ascii="宋体" w:hAnsi="宋体"/>
          <w:color w:val="auto"/>
          <w:sz w:val="24"/>
          <w:lang w:val="en-US" w:eastAsia="zh-CN"/>
        </w:rPr>
        <w:t>吨</w:t>
      </w:r>
      <w:r>
        <w:rPr>
          <w:rFonts w:hint="eastAsia" w:ascii="宋体" w:hAnsi="宋体"/>
          <w:color w:val="auto"/>
          <w:sz w:val="24"/>
        </w:rPr>
        <w:t>，含税总价</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w:t>
      </w:r>
      <w:r>
        <w:rPr>
          <w:rFonts w:hint="eastAsia" w:ascii="宋体" w:hAnsi="宋体"/>
          <w:color w:val="auto"/>
          <w:sz w:val="24"/>
        </w:rPr>
        <w:t>元，税率</w:t>
      </w:r>
      <w:r>
        <w:rPr>
          <w:rFonts w:hint="eastAsia" w:ascii="宋体" w:hAnsi="宋体"/>
          <w:color w:val="auto"/>
          <w:sz w:val="24"/>
          <w:u w:val="single"/>
        </w:rPr>
        <w:t xml:space="preserve">  13%  </w:t>
      </w:r>
      <w:r>
        <w:rPr>
          <w:rFonts w:hint="eastAsia" w:ascii="宋体" w:hAnsi="宋体"/>
          <w:color w:val="auto"/>
          <w:sz w:val="24"/>
        </w:rPr>
        <w:t>。</w:t>
      </w:r>
    </w:p>
    <w:p>
      <w:pPr>
        <w:pStyle w:val="23"/>
        <w:numPr>
          <w:ilvl w:val="0"/>
          <w:numId w:val="0"/>
        </w:numPr>
        <w:spacing w:line="360" w:lineRule="auto"/>
        <w:jc w:val="left"/>
        <w:rPr>
          <w:rFonts w:hint="eastAsia" w:ascii="宋体" w:hAnsi="宋体"/>
          <w:color w:val="auto"/>
          <w:sz w:val="24"/>
          <w:lang w:val="en-US" w:eastAsia="zh-CN"/>
        </w:rPr>
      </w:pPr>
      <w:r>
        <w:rPr>
          <w:rFonts w:hint="eastAsia" w:ascii="宋体" w:hAnsi="宋体"/>
          <w:color w:val="auto"/>
          <w:sz w:val="24"/>
          <w:lang w:val="en-US" w:eastAsia="zh-CN"/>
        </w:rPr>
        <w:t>4、质量保证：</w:t>
      </w:r>
    </w:p>
    <w:tbl>
      <w:tblPr>
        <w:tblStyle w:val="13"/>
        <w:tblW w:w="78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2797"/>
        <w:gridCol w:w="2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2880" w:type="dxa"/>
            <w:tcBorders>
              <w:bottom w:val="single" w:color="auto" w:sz="4" w:space="0"/>
            </w:tcBorders>
            <w:vAlign w:val="center"/>
          </w:tcPr>
          <w:p>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项   目</w:t>
            </w:r>
          </w:p>
        </w:tc>
        <w:tc>
          <w:tcPr>
            <w:tcW w:w="2797" w:type="dxa"/>
            <w:tcBorders>
              <w:bottom w:val="single" w:color="auto" w:sz="4" w:space="0"/>
            </w:tcBorders>
            <w:vAlign w:val="center"/>
          </w:tcPr>
          <w:p>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质量指标</w:t>
            </w:r>
          </w:p>
        </w:tc>
        <w:tc>
          <w:tcPr>
            <w:tcW w:w="2143" w:type="dxa"/>
            <w:tcBorders>
              <w:bottom w:val="single" w:color="auto" w:sz="4" w:space="0"/>
            </w:tcBorders>
            <w:vAlign w:val="center"/>
          </w:tcPr>
          <w:p>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分析方法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jc w:val="center"/>
        </w:trPr>
        <w:tc>
          <w:tcPr>
            <w:tcW w:w="2880" w:type="dxa"/>
            <w:vAlign w:val="center"/>
          </w:tcPr>
          <w:p>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外   观</w:t>
            </w:r>
          </w:p>
        </w:tc>
        <w:tc>
          <w:tcPr>
            <w:tcW w:w="2797" w:type="dxa"/>
            <w:vAlign w:val="center"/>
          </w:tcPr>
          <w:p>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无色至浅黄色清澈透明液体</w:t>
            </w:r>
          </w:p>
        </w:tc>
        <w:tc>
          <w:tcPr>
            <w:tcW w:w="2143" w:type="dxa"/>
            <w:vAlign w:val="center"/>
          </w:tcPr>
          <w:p>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目测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2880" w:type="dxa"/>
            <w:vAlign w:val="center"/>
          </w:tcPr>
          <w:p>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运动粘度（20</w:t>
            </w:r>
            <w:r>
              <w:rPr>
                <w:rFonts w:hint="eastAsia" w:ascii="宋体" w:hAnsi="宋体" w:eastAsia="宋体" w:cs="宋体"/>
                <w:color w:val="000000"/>
                <w:szCs w:val="21"/>
              </w:rPr>
              <w:t>℃</w:t>
            </w:r>
            <w:r>
              <w:rPr>
                <w:rFonts w:ascii="Times New Roman" w:hAnsi="Times New Roman" w:eastAsia="宋体" w:cs="Times New Roman"/>
                <w:color w:val="000000"/>
                <w:szCs w:val="21"/>
              </w:rPr>
              <w:t>），m</w:t>
            </w:r>
            <w:r>
              <w:rPr>
                <w:rFonts w:ascii="Times New Roman" w:hAnsi="Times New Roman" w:eastAsia="宋体" w:cs="Times New Roman"/>
                <w:color w:val="000000"/>
                <w:szCs w:val="21"/>
                <w:vertAlign w:val="superscript"/>
              </w:rPr>
              <w:t>2</w:t>
            </w:r>
            <w:r>
              <w:rPr>
                <w:rFonts w:ascii="Times New Roman" w:hAnsi="Times New Roman" w:eastAsia="宋体" w:cs="Times New Roman"/>
                <w:color w:val="000000"/>
                <w:szCs w:val="21"/>
              </w:rPr>
              <w:t>/s</w:t>
            </w:r>
          </w:p>
        </w:tc>
        <w:tc>
          <w:tcPr>
            <w:tcW w:w="2797" w:type="dxa"/>
            <w:vAlign w:val="center"/>
          </w:tcPr>
          <w:p>
            <w:pPr>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6</w:t>
            </w:r>
            <w:r>
              <w:rPr>
                <w:rFonts w:ascii="Times New Roman" w:hAnsi="Times New Roman" w:eastAsia="宋体" w:cs="Times New Roman"/>
                <w:color w:val="000000"/>
                <w:szCs w:val="21"/>
              </w:rPr>
              <w:t>0~110</w:t>
            </w:r>
          </w:p>
        </w:tc>
        <w:tc>
          <w:tcPr>
            <w:tcW w:w="2143" w:type="dxa"/>
            <w:vAlign w:val="center"/>
          </w:tcPr>
          <w:p>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GB/T265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2880" w:type="dxa"/>
            <w:vAlign w:val="center"/>
          </w:tcPr>
          <w:p>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密度（20</w:t>
            </w:r>
            <w:r>
              <w:rPr>
                <w:rFonts w:hint="eastAsia" w:ascii="宋体" w:hAnsi="宋体" w:eastAsia="宋体" w:cs="宋体"/>
                <w:color w:val="000000"/>
                <w:szCs w:val="21"/>
              </w:rPr>
              <w:t>℃</w:t>
            </w:r>
            <w:r>
              <w:rPr>
                <w:rFonts w:ascii="Times New Roman" w:hAnsi="Times New Roman" w:eastAsia="宋体" w:cs="Times New Roman"/>
                <w:color w:val="000000"/>
                <w:szCs w:val="21"/>
              </w:rPr>
              <w:t>），kg/cm</w:t>
            </w:r>
            <w:r>
              <w:rPr>
                <w:rFonts w:ascii="Times New Roman" w:hAnsi="Times New Roman" w:eastAsia="宋体" w:cs="Times New Roman"/>
                <w:color w:val="000000"/>
                <w:szCs w:val="21"/>
                <w:vertAlign w:val="superscript"/>
              </w:rPr>
              <w:t>3</w:t>
            </w:r>
          </w:p>
        </w:tc>
        <w:tc>
          <w:tcPr>
            <w:tcW w:w="2797" w:type="dxa"/>
            <w:vAlign w:val="center"/>
          </w:tcPr>
          <w:p>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1.0</w:t>
            </w:r>
            <w:r>
              <w:rPr>
                <w:rFonts w:hint="eastAsia" w:ascii="Times New Roman" w:hAnsi="Times New Roman" w:eastAsia="宋体" w:cs="Times New Roman"/>
                <w:color w:val="000000"/>
                <w:szCs w:val="21"/>
              </w:rPr>
              <w:t>3</w:t>
            </w:r>
            <w:r>
              <w:rPr>
                <w:rFonts w:ascii="Times New Roman" w:hAnsi="Times New Roman" w:eastAsia="宋体" w:cs="Times New Roman"/>
                <w:color w:val="000000"/>
                <w:szCs w:val="21"/>
              </w:rPr>
              <w:t>0~1.065</w:t>
            </w:r>
          </w:p>
        </w:tc>
        <w:tc>
          <w:tcPr>
            <w:tcW w:w="2143" w:type="dxa"/>
            <w:vAlign w:val="center"/>
          </w:tcPr>
          <w:p>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GB/T4472-1984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2880" w:type="dxa"/>
            <w:vAlign w:val="center"/>
          </w:tcPr>
          <w:p>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有效组分含量（MDEA）</w:t>
            </w:r>
            <w:r>
              <w:rPr>
                <w:rFonts w:hint="eastAsia" w:ascii="Times New Roman" w:hAnsi="Times New Roman" w:eastAsia="宋体" w:cs="Times New Roman"/>
                <w:color w:val="000000"/>
                <w:szCs w:val="21"/>
              </w:rPr>
              <w:t>，</w:t>
            </w:r>
            <w:r>
              <w:rPr>
                <w:rFonts w:hint="eastAsia" w:ascii="Times New Roman" w:hAnsi="Times New Roman" w:eastAsia="宋体"/>
                <w:bCs/>
                <w:spacing w:val="4"/>
              </w:rPr>
              <w:t>wt%</w:t>
            </w:r>
            <w:r>
              <w:rPr>
                <w:rFonts w:ascii="Times New Roman" w:hAnsi="Times New Roman" w:eastAsia="宋体" w:cs="Times New Roman"/>
                <w:color w:val="000000"/>
                <w:szCs w:val="21"/>
              </w:rPr>
              <w:t xml:space="preserve"> </w:t>
            </w:r>
          </w:p>
        </w:tc>
        <w:tc>
          <w:tcPr>
            <w:tcW w:w="2797" w:type="dxa"/>
            <w:vAlign w:val="center"/>
          </w:tcPr>
          <w:p>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≥97</w:t>
            </w:r>
          </w:p>
        </w:tc>
        <w:tc>
          <w:tcPr>
            <w:tcW w:w="2143" w:type="dxa"/>
            <w:vAlign w:val="center"/>
          </w:tcPr>
          <w:p>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GH/T 31589-2015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2880" w:type="dxa"/>
            <w:vAlign w:val="center"/>
          </w:tcPr>
          <w:p>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凝固点</w:t>
            </w:r>
            <w:r>
              <w:rPr>
                <w:rFonts w:hint="eastAsia" w:ascii="Times New Roman" w:hAnsi="Times New Roman" w:eastAsia="宋体" w:cs="Times New Roman"/>
                <w:color w:val="000000"/>
                <w:szCs w:val="21"/>
              </w:rPr>
              <w:t>，</w:t>
            </w:r>
            <w:r>
              <w:rPr>
                <w:rFonts w:hint="eastAsia" w:ascii="宋体" w:hAnsi="宋体" w:eastAsia="宋体" w:cs="宋体"/>
                <w:color w:val="000000"/>
                <w:szCs w:val="21"/>
              </w:rPr>
              <w:t>℃</w:t>
            </w:r>
          </w:p>
        </w:tc>
        <w:tc>
          <w:tcPr>
            <w:tcW w:w="2797" w:type="dxa"/>
            <w:vAlign w:val="center"/>
          </w:tcPr>
          <w:p>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≤-45</w:t>
            </w:r>
          </w:p>
        </w:tc>
        <w:tc>
          <w:tcPr>
            <w:tcW w:w="2143" w:type="dxa"/>
            <w:vAlign w:val="center"/>
          </w:tcPr>
          <w:p>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GB/T 510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jc w:val="center"/>
        </w:trPr>
        <w:tc>
          <w:tcPr>
            <w:tcW w:w="2880" w:type="dxa"/>
            <w:vAlign w:val="center"/>
          </w:tcPr>
          <w:p>
            <w:pPr>
              <w:spacing w:line="36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溶解性</w:t>
            </w:r>
          </w:p>
        </w:tc>
        <w:tc>
          <w:tcPr>
            <w:tcW w:w="2797" w:type="dxa"/>
            <w:vAlign w:val="center"/>
          </w:tcPr>
          <w:p>
            <w:pPr>
              <w:spacing w:line="36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与水互溶</w:t>
            </w:r>
          </w:p>
        </w:tc>
        <w:tc>
          <w:tcPr>
            <w:tcW w:w="2143" w:type="dxa"/>
            <w:vAlign w:val="center"/>
          </w:tcPr>
          <w:p>
            <w:pPr>
              <w:spacing w:line="36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GB/T 6324.1</w:t>
            </w:r>
          </w:p>
        </w:tc>
      </w:tr>
    </w:tbl>
    <w:p>
      <w:pPr>
        <w:numPr>
          <w:ilvl w:val="0"/>
          <w:numId w:val="0"/>
        </w:numPr>
        <w:spacing w:line="360" w:lineRule="exact"/>
        <w:jc w:val="left"/>
        <w:rPr>
          <w:rFonts w:hint="eastAsia" w:ascii="宋体" w:hAnsi="宋体" w:cs="宋体"/>
          <w:sz w:val="24"/>
          <w:lang w:val="en-US" w:eastAsia="zh-CN"/>
        </w:rPr>
      </w:pPr>
      <w:r>
        <w:rPr>
          <w:rFonts w:hint="eastAsia" w:ascii="宋体" w:hAnsi="宋体"/>
          <w:color w:val="auto"/>
          <w:sz w:val="24"/>
          <w:lang w:val="en-US" w:eastAsia="zh-CN"/>
        </w:rPr>
        <w:t>5、</w:t>
      </w:r>
      <w:r>
        <w:rPr>
          <w:rFonts w:hint="eastAsia" w:ascii="宋体" w:hAnsi="宋体" w:cs="宋体"/>
          <w:sz w:val="24"/>
          <w:lang w:val="en-US" w:eastAsia="zh-CN"/>
        </w:rPr>
        <w:t>性能保证:</w:t>
      </w:r>
    </w:p>
    <w:p>
      <w:pPr>
        <w:numPr>
          <w:ilvl w:val="0"/>
          <w:numId w:val="0"/>
        </w:numPr>
        <w:spacing w:line="360" w:lineRule="exact"/>
        <w:jc w:val="left"/>
        <w:rPr>
          <w:rFonts w:hint="eastAsia" w:ascii="宋体" w:hAnsi="宋体" w:cs="宋体"/>
          <w:sz w:val="24"/>
          <w:lang w:val="en-US" w:eastAsia="zh-CN"/>
        </w:rPr>
      </w:pPr>
      <w:r>
        <w:rPr>
          <w:rFonts w:hint="eastAsia" w:ascii="宋体" w:hAnsi="宋体" w:cs="宋体"/>
          <w:sz w:val="24"/>
          <w:lang w:val="en-US" w:eastAsia="zh-CN"/>
        </w:rPr>
        <w:t xml:space="preserve">    在需方装置运行稳定，操作正常，满足技术要求第3.3条款工艺操作条件的情况下，使用供方提供的高效脱硫剂产品，保证：</w:t>
      </w:r>
    </w:p>
    <w:p>
      <w:pPr>
        <w:numPr>
          <w:ilvl w:val="0"/>
          <w:numId w:val="0"/>
        </w:numPr>
        <w:spacing w:line="360" w:lineRule="exact"/>
        <w:jc w:val="left"/>
        <w:rPr>
          <w:rFonts w:hint="eastAsia" w:ascii="宋体" w:hAnsi="宋体" w:cs="宋体"/>
          <w:sz w:val="24"/>
          <w:lang w:val="en-US" w:eastAsia="zh-CN"/>
        </w:rPr>
      </w:pPr>
      <w:r>
        <w:rPr>
          <w:rFonts w:hint="eastAsia" w:ascii="宋体" w:hAnsi="宋体" w:cs="宋体"/>
          <w:sz w:val="24"/>
          <w:lang w:val="en-US" w:eastAsia="zh-CN"/>
        </w:rPr>
        <w:t>a)贫液中的硫化氢≤1g/L。</w:t>
      </w:r>
    </w:p>
    <w:p>
      <w:pPr>
        <w:numPr>
          <w:ilvl w:val="0"/>
          <w:numId w:val="0"/>
        </w:numPr>
        <w:spacing w:line="360" w:lineRule="exact"/>
        <w:jc w:val="left"/>
        <w:rPr>
          <w:rFonts w:hint="eastAsia" w:ascii="宋体" w:hAnsi="宋体" w:cs="宋体"/>
          <w:sz w:val="24"/>
          <w:lang w:val="en-US" w:eastAsia="zh-CN"/>
        </w:rPr>
      </w:pPr>
      <w:r>
        <w:rPr>
          <w:rFonts w:hint="eastAsia" w:ascii="宋体" w:hAnsi="宋体" w:cs="宋体"/>
          <w:sz w:val="24"/>
          <w:lang w:val="en-US" w:eastAsia="zh-CN"/>
        </w:rPr>
        <w:t>b)泡沫高度≯10cm，泡沫消失时间≯10s。</w:t>
      </w:r>
    </w:p>
    <w:p>
      <w:pPr>
        <w:numPr>
          <w:ilvl w:val="0"/>
          <w:numId w:val="0"/>
        </w:numPr>
        <w:spacing w:line="360" w:lineRule="exact"/>
        <w:jc w:val="left"/>
        <w:rPr>
          <w:rFonts w:hint="eastAsia" w:ascii="宋体" w:hAnsi="宋体" w:cs="宋体"/>
          <w:sz w:val="24"/>
          <w:lang w:val="en-US" w:eastAsia="zh-CN"/>
        </w:rPr>
      </w:pPr>
      <w:r>
        <w:rPr>
          <w:rFonts w:hint="eastAsia" w:ascii="宋体" w:hAnsi="宋体" w:cs="宋体"/>
          <w:sz w:val="24"/>
          <w:lang w:val="en-US" w:eastAsia="zh-CN"/>
        </w:rPr>
        <w:t>c)塔底0.45MPa蒸汽消耗≤15wt%富胺液进塔量。</w:t>
      </w:r>
    </w:p>
    <w:p>
      <w:pPr>
        <w:numPr>
          <w:ilvl w:val="0"/>
          <w:numId w:val="0"/>
        </w:numPr>
        <w:spacing w:line="360" w:lineRule="exact"/>
        <w:jc w:val="left"/>
        <w:rPr>
          <w:rFonts w:hint="eastAsia" w:ascii="宋体" w:hAnsi="宋体" w:cs="宋体"/>
          <w:sz w:val="24"/>
          <w:lang w:val="en-US" w:eastAsia="zh-CN"/>
        </w:rPr>
      </w:pPr>
      <w:r>
        <w:rPr>
          <w:rFonts w:hint="eastAsia" w:ascii="宋体" w:hAnsi="宋体" w:cs="宋体"/>
          <w:sz w:val="24"/>
          <w:lang w:val="en-US" w:eastAsia="zh-CN"/>
        </w:rPr>
        <w:t>d)加氢干气脱后硫化氢含量≤20mg/Nm3。</w:t>
      </w:r>
    </w:p>
    <w:p>
      <w:pPr>
        <w:numPr>
          <w:ilvl w:val="0"/>
          <w:numId w:val="0"/>
        </w:numPr>
        <w:spacing w:line="360" w:lineRule="exact"/>
        <w:jc w:val="left"/>
        <w:rPr>
          <w:rFonts w:hint="eastAsia" w:ascii="宋体" w:hAnsi="宋体" w:cs="宋体"/>
          <w:sz w:val="24"/>
          <w:lang w:val="en-US" w:eastAsia="zh-CN"/>
        </w:rPr>
      </w:pPr>
      <w:r>
        <w:rPr>
          <w:rFonts w:hint="eastAsia" w:ascii="宋体" w:hAnsi="宋体" w:cs="宋体"/>
          <w:sz w:val="24"/>
          <w:lang w:val="en-US" w:eastAsia="zh-CN"/>
        </w:rPr>
        <w:t>e)溶剂损耗量≤0.2kg/t原料（液化气或干气）。</w:t>
      </w:r>
    </w:p>
    <w:p>
      <w:pPr>
        <w:numPr>
          <w:ilvl w:val="0"/>
          <w:numId w:val="0"/>
        </w:numPr>
        <w:spacing w:line="360" w:lineRule="exact"/>
        <w:jc w:val="left"/>
        <w:rPr>
          <w:rFonts w:hint="eastAsia" w:ascii="宋体" w:hAnsi="宋体" w:cs="宋体"/>
          <w:sz w:val="24"/>
          <w:lang w:val="en-US" w:eastAsia="zh-CN"/>
        </w:rPr>
      </w:pPr>
      <w:r>
        <w:rPr>
          <w:rFonts w:hint="eastAsia" w:ascii="宋体" w:hAnsi="宋体" w:cs="宋体"/>
          <w:sz w:val="24"/>
          <w:lang w:val="en-US" w:eastAsia="zh-CN"/>
        </w:rPr>
        <w:t>f)有机硫脱除率≥30%，无机硫脱除率≥99.5%。</w:t>
      </w:r>
    </w:p>
    <w:p>
      <w:pPr>
        <w:numPr>
          <w:ilvl w:val="0"/>
          <w:numId w:val="0"/>
        </w:numPr>
        <w:spacing w:line="360" w:lineRule="exact"/>
        <w:jc w:val="left"/>
        <w:rPr>
          <w:rFonts w:hint="eastAsia" w:ascii="宋体" w:hAnsi="宋体" w:cs="宋体"/>
          <w:sz w:val="24"/>
          <w:lang w:val="en-US" w:eastAsia="zh-CN"/>
        </w:rPr>
      </w:pPr>
      <w:r>
        <w:rPr>
          <w:rFonts w:hint="eastAsia" w:ascii="宋体" w:hAnsi="宋体" w:cs="宋体"/>
          <w:sz w:val="24"/>
          <w:lang w:val="en-US" w:eastAsia="zh-CN"/>
        </w:rPr>
        <w:t>g)对设备及管线无不良影响。</w:t>
      </w:r>
    </w:p>
    <w:p>
      <w:pPr>
        <w:numPr>
          <w:ilvl w:val="0"/>
          <w:numId w:val="0"/>
        </w:numPr>
        <w:spacing w:line="360" w:lineRule="exact"/>
        <w:jc w:val="left"/>
        <w:rPr>
          <w:rFonts w:hint="eastAsia" w:ascii="宋体" w:hAnsi="宋体"/>
          <w:color w:val="auto"/>
          <w:sz w:val="24"/>
          <w:lang w:val="en-US" w:eastAsia="zh-CN"/>
        </w:rPr>
      </w:pPr>
      <w:r>
        <w:rPr>
          <w:rFonts w:hint="eastAsia" w:ascii="宋体" w:hAnsi="宋体" w:cs="宋体"/>
          <w:sz w:val="24"/>
          <w:lang w:val="en-US" w:eastAsia="zh-CN"/>
        </w:rPr>
        <w:t>h)不会对上游产品及系统内现有的脱硫剂产生不良影响。</w:t>
      </w:r>
    </w:p>
    <w:p>
      <w:pPr>
        <w:numPr>
          <w:ilvl w:val="0"/>
          <w:numId w:val="0"/>
        </w:numPr>
        <w:spacing w:line="312" w:lineRule="auto"/>
        <w:rPr>
          <w:rFonts w:ascii="宋体" w:hAnsi="宋体"/>
          <w:color w:val="auto"/>
          <w:sz w:val="24"/>
        </w:rPr>
      </w:pPr>
      <w:r>
        <w:rPr>
          <w:rFonts w:hint="eastAsia" w:ascii="宋体" w:hAnsi="宋体"/>
          <w:color w:val="auto"/>
          <w:sz w:val="24"/>
          <w:lang w:val="en-US" w:eastAsia="zh-CN"/>
        </w:rPr>
        <w:t>6、质量验收标准：详见附件技术要求。</w:t>
      </w:r>
    </w:p>
    <w:p>
      <w:pPr>
        <w:numPr>
          <w:ilvl w:val="0"/>
          <w:numId w:val="0"/>
        </w:numPr>
        <w:spacing w:line="312" w:lineRule="auto"/>
        <w:rPr>
          <w:rFonts w:ascii="宋体" w:hAnsi="宋体"/>
          <w:sz w:val="24"/>
        </w:rPr>
      </w:pPr>
      <w:r>
        <w:rPr>
          <w:rFonts w:hint="eastAsia" w:ascii="宋体" w:hAnsi="宋体"/>
          <w:sz w:val="24"/>
          <w:lang w:val="en-US" w:eastAsia="zh-CN"/>
        </w:rPr>
        <w:t>7、</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sz w:val="24"/>
        </w:rPr>
      </w:pPr>
      <w:r>
        <w:rPr>
          <w:rFonts w:hint="eastAsia" w:ascii="宋体" w:hAnsi="宋体"/>
          <w:sz w:val="24"/>
          <w:lang w:val="en-US" w:eastAsia="zh-CN"/>
        </w:rPr>
        <w:t>8、</w:t>
      </w:r>
      <w:r>
        <w:rPr>
          <w:rFonts w:hint="eastAsia" w:ascii="宋体" w:hAnsi="宋体"/>
          <w:sz w:val="24"/>
        </w:rPr>
        <w:t>我司同意在</w:t>
      </w:r>
      <w:r>
        <w:rPr>
          <w:rFonts w:hint="eastAsia" w:ascii="宋体" w:hAnsi="宋体"/>
          <w:sz w:val="24"/>
          <w:lang w:eastAsia="zh-CN"/>
        </w:rPr>
        <w:t>参选</w:t>
      </w:r>
      <w:r>
        <w:rPr>
          <w:rFonts w:hint="eastAsia" w:ascii="宋体" w:hAnsi="宋体"/>
          <w:sz w:val="24"/>
        </w:rPr>
        <w:t>前缴纳保证金</w:t>
      </w:r>
      <w:r>
        <w:rPr>
          <w:rFonts w:hint="eastAsia" w:ascii="宋体" w:hAnsi="宋体"/>
          <w:sz w:val="24"/>
          <w:lang w:val="en-US" w:eastAsia="zh-CN"/>
        </w:rPr>
        <w:t>壹拾万元</w:t>
      </w:r>
      <w:r>
        <w:rPr>
          <w:rFonts w:hint="eastAsia" w:ascii="宋体" w:hAnsi="宋体"/>
          <w:sz w:val="24"/>
        </w:rPr>
        <w:t>整，若我司中选，我司同意按照要求</w:t>
      </w:r>
      <w:r>
        <w:rPr>
          <w:rFonts w:hint="eastAsia" w:ascii="宋体" w:hAnsi="宋体"/>
          <w:sz w:val="24"/>
          <w:lang w:val="en-US" w:eastAsia="zh-CN"/>
        </w:rPr>
        <w:t>转为履约保证金并作为合同质保金</w:t>
      </w:r>
      <w:r>
        <w:rPr>
          <w:rFonts w:hint="eastAsia" w:ascii="宋体" w:hAnsi="宋体"/>
          <w:color w:val="auto"/>
          <w:sz w:val="24"/>
          <w:highlight w:val="none"/>
          <w:lang w:val="en-US" w:eastAsia="zh-CN"/>
        </w:rPr>
        <w:t>待履约届满后且无质量问题一年后申请无息返还</w:t>
      </w:r>
      <w:r>
        <w:rPr>
          <w:rFonts w:hint="eastAsia" w:ascii="宋体" w:hAnsi="宋体"/>
          <w:color w:val="auto"/>
          <w:sz w:val="24"/>
          <w:highlight w:val="none"/>
        </w:rPr>
        <w:t>。</w:t>
      </w:r>
    </w:p>
    <w:p>
      <w:pPr>
        <w:spacing w:line="360" w:lineRule="exact"/>
        <w:jc w:val="left"/>
        <w:rPr>
          <w:rFonts w:hint="eastAsia" w:ascii="宋体" w:hAnsi="宋体"/>
          <w:sz w:val="24"/>
        </w:rPr>
      </w:pPr>
      <w:r>
        <w:rPr>
          <w:rFonts w:hint="eastAsia" w:ascii="宋体" w:hAnsi="宋体"/>
          <w:sz w:val="24"/>
        </w:rPr>
        <w:t>二、到货期：</w:t>
      </w:r>
      <w:r>
        <w:rPr>
          <w:rFonts w:hint="eastAsia" w:ascii="宋体" w:hAnsi="宋体"/>
          <w:sz w:val="24"/>
          <w:lang w:val="en-US" w:eastAsia="zh-CN"/>
        </w:rPr>
        <w:t>分批</w:t>
      </w:r>
      <w:r>
        <w:rPr>
          <w:rFonts w:hint="eastAsia" w:ascii="宋体" w:hAnsi="宋体"/>
          <w:sz w:val="24"/>
        </w:rPr>
        <w:t>到货，</w:t>
      </w:r>
      <w:r>
        <w:rPr>
          <w:rFonts w:hint="eastAsia" w:ascii="宋体" w:hAnsi="宋体"/>
          <w:sz w:val="24"/>
          <w:lang w:val="en-US" w:eastAsia="zh-CN"/>
        </w:rPr>
        <w:t>首批30吨于2023年6月底具备到货条件，</w:t>
      </w:r>
      <w:r>
        <w:rPr>
          <w:rFonts w:hint="eastAsia" w:ascii="宋体" w:hAnsi="宋体"/>
          <w:color w:val="auto"/>
          <w:sz w:val="24"/>
          <w:lang w:val="en-US" w:eastAsia="zh-CN"/>
        </w:rPr>
        <w:t>具体到货时间</w:t>
      </w:r>
      <w:r>
        <w:rPr>
          <w:rFonts w:hint="eastAsia" w:ascii="宋体" w:hAnsi="宋体"/>
          <w:color w:val="auto"/>
          <w:sz w:val="24"/>
        </w:rPr>
        <w:t>以需方通知为准</w:t>
      </w:r>
      <w:r>
        <w:rPr>
          <w:rFonts w:hint="eastAsia" w:ascii="宋体" w:hAnsi="宋体" w:cs="宋体"/>
          <w:color w:val="auto"/>
          <w:sz w:val="24"/>
        </w:rPr>
        <w:t>。</w:t>
      </w:r>
      <w:r>
        <w:rPr>
          <w:rFonts w:hint="eastAsia" w:ascii="宋体" w:hAnsi="宋体"/>
          <w:sz w:val="24"/>
        </w:rPr>
        <w:t>如因天气、管制、贵公司需求波动等外因影响，双方提前协商到货安排。</w:t>
      </w:r>
    </w:p>
    <w:p>
      <w:pPr>
        <w:spacing w:line="360" w:lineRule="auto"/>
        <w:jc w:val="left"/>
        <w:rPr>
          <w:rFonts w:ascii="宋体" w:hAnsi="宋体"/>
          <w:sz w:val="24"/>
        </w:rPr>
      </w:pPr>
      <w:r>
        <w:rPr>
          <w:rFonts w:hint="eastAsia" w:ascii="宋体" w:hAnsi="宋体"/>
          <w:sz w:val="24"/>
        </w:rPr>
        <w:t>三、报价及结算方式：</w:t>
      </w:r>
    </w:p>
    <w:p>
      <w:pPr>
        <w:spacing w:line="360" w:lineRule="auto"/>
        <w:jc w:val="left"/>
        <w:rPr>
          <w:rFonts w:hint="eastAsia" w:ascii="宋体" w:hAnsi="宋体"/>
          <w:sz w:val="24"/>
          <w:lang w:val="en-US" w:eastAsia="zh-CN"/>
        </w:rPr>
      </w:pPr>
      <w:r>
        <w:rPr>
          <w:rFonts w:hint="eastAsia" w:ascii="宋体" w:hAnsi="宋体"/>
          <w:sz w:val="24"/>
        </w:rPr>
        <w:t>1、</w:t>
      </w:r>
      <w:r>
        <w:rPr>
          <w:rFonts w:hint="eastAsia" w:ascii="宋体" w:hAnsi="宋体"/>
          <w:sz w:val="24"/>
          <w:lang w:val="en-US" w:eastAsia="zh-CN"/>
        </w:rPr>
        <w:t>付款方式：现汇支付，分批到货、分批付款。每批产品到货后经验收合格后付款。</w:t>
      </w:r>
    </w:p>
    <w:p>
      <w:pPr>
        <w:spacing w:line="360" w:lineRule="auto"/>
        <w:jc w:val="left"/>
        <w:rPr>
          <w:rFonts w:hint="eastAsia" w:ascii="宋体" w:hAnsi="宋体"/>
          <w:sz w:val="24"/>
        </w:rPr>
      </w:pPr>
      <w:r>
        <w:rPr>
          <w:rFonts w:hint="eastAsia" w:ascii="宋体" w:hAnsi="宋体"/>
          <w:sz w:val="24"/>
        </w:rPr>
        <w:t>四、相关技术要求，以福建福海创石油化工有限公司要求为准！</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五、执行时间：产品供货期为2023年6月底~2024年12月31日。</w:t>
      </w:r>
    </w:p>
    <w:p>
      <w:pPr>
        <w:pStyle w:val="2"/>
        <w:rPr>
          <w:rFonts w:hint="eastAsia"/>
        </w:rPr>
      </w:pPr>
    </w:p>
    <w:p>
      <w:pPr>
        <w:pStyle w:val="2"/>
        <w:rPr>
          <w:rFonts w:hint="eastAsia"/>
        </w:rPr>
      </w:pPr>
    </w:p>
    <w:p>
      <w:pPr>
        <w:numPr>
          <w:ilvl w:val="0"/>
          <w:numId w:val="0"/>
        </w:numPr>
        <w:spacing w:line="312" w:lineRule="auto"/>
        <w:rPr>
          <w:rFonts w:hint="eastAsia" w:ascii="宋体" w:hAnsi="宋体"/>
          <w:sz w:val="24"/>
          <w:lang w:val="en-US" w:eastAsia="zh-CN"/>
        </w:rPr>
      </w:pPr>
    </w:p>
    <w:p>
      <w:pPr>
        <w:numPr>
          <w:ilvl w:val="0"/>
          <w:numId w:val="0"/>
        </w:numPr>
        <w:spacing w:line="312" w:lineRule="auto"/>
        <w:rPr>
          <w:rFonts w:hint="eastAsia" w:ascii="宋体" w:hAnsi="宋体" w:eastAsia="宋体"/>
          <w:sz w:val="24"/>
          <w:lang w:val="en-US" w:eastAsia="zh-CN"/>
        </w:rPr>
      </w:pP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hint="eastAsia" w:ascii="宋体" w:hAnsi="宋体"/>
          <w:sz w:val="24"/>
        </w:rPr>
      </w:pPr>
      <w:r>
        <w:rPr>
          <w:rFonts w:hint="eastAsia" w:ascii="宋体" w:hAnsi="宋体"/>
          <w:sz w:val="24"/>
        </w:rPr>
        <w:t>时间：</w:t>
      </w:r>
    </w:p>
    <w:p>
      <w:pPr>
        <w:spacing w:line="500" w:lineRule="exact"/>
      </w:pP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腾龙芳烃（漳州）有限公司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lang w:eastAsia="zh-CN"/>
        </w:rPr>
        <w:t>2023-FHC-高效脱硫剂-0419</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w:t>
      </w:r>
      <w:bookmarkEnd w:id="1"/>
      <w:r>
        <w:rPr>
          <w:rFonts w:hint="eastAsia" w:ascii="宋体" w:hAnsi="宋体"/>
          <w:sz w:val="28"/>
          <w:szCs w:val="28"/>
          <w:u w:val="single"/>
          <w:lang w:val="en-US" w:eastAsia="zh-CN"/>
        </w:rPr>
        <w:t>附件技术要求</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w:t>
      </w:r>
      <w:r>
        <w:rPr>
          <w:rFonts w:hint="eastAsia" w:ascii="宋体" w:hAnsi="宋体"/>
          <w:sz w:val="28"/>
          <w:szCs w:val="28"/>
          <w:u w:val="single"/>
          <w:lang w:val="en-US" w:eastAsia="zh-CN"/>
        </w:rPr>
        <w:t>附件技术要求</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b/>
          <w:szCs w:val="21"/>
          <w:lang w:val="en-US" w:eastAsia="zh-CN"/>
        </w:rPr>
      </w:pPr>
      <w:r>
        <w:rPr>
          <w:rFonts w:hint="eastAsia" w:ascii="宋体" w:hAnsi="宋体"/>
          <w:b/>
          <w:szCs w:val="21"/>
          <w:lang w:val="en-US" w:eastAsia="zh-CN"/>
        </w:rPr>
        <w:t xml:space="preserve">                                </w:t>
      </w:r>
    </w:p>
    <w:p>
      <w:pPr>
        <w:spacing w:line="280" w:lineRule="exact"/>
        <w:ind w:firstLine="3373" w:firstLineChars="1600"/>
        <w:rPr>
          <w:rFonts w:hint="eastAsia" w:ascii="宋体" w:hAnsi="宋体" w:eastAsia="宋体"/>
          <w:b/>
          <w:szCs w:val="21"/>
          <w:lang w:val="en-US" w:eastAsia="zh-CN"/>
        </w:rPr>
      </w:pPr>
      <w:r>
        <w:rPr>
          <w:rFonts w:hint="eastAsia" w:ascii="宋体" w:hAnsi="宋体"/>
          <w:b/>
          <w:szCs w:val="21"/>
          <w:lang w:val="en-US" w:eastAsia="zh-CN"/>
        </w:rPr>
        <w:t>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rFonts w:hint="default" w:eastAsia="宋体"/>
          <w:b/>
          <w:color w:val="000000"/>
          <w:szCs w:val="21"/>
          <w:lang w:val="en-US" w:eastAsia="zh-CN"/>
        </w:rPr>
        <w:t>腾龙芳烃（漳州）有限公司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13"/>
        <w:tblW w:w="96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863"/>
        <w:gridCol w:w="989"/>
        <w:gridCol w:w="482"/>
        <w:gridCol w:w="856"/>
        <w:gridCol w:w="684"/>
        <w:gridCol w:w="1094"/>
        <w:gridCol w:w="1093"/>
        <w:gridCol w:w="2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132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86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471" w:type="dxa"/>
            <w:gridSpan w:val="2"/>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85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68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109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109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2227"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rPr>
        <w:tc>
          <w:tcPr>
            <w:tcW w:w="1322" w:type="dxa"/>
            <w:vAlign w:val="center"/>
          </w:tcPr>
          <w:p>
            <w:pPr>
              <w:spacing w:line="280" w:lineRule="exact"/>
              <w:ind w:firstLine="420" w:firstLineChars="200"/>
              <w:jc w:val="both"/>
              <w:rPr>
                <w:rFonts w:hint="default" w:ascii="宋体" w:hAnsi="宋体" w:eastAsia="宋体"/>
                <w:color w:val="000000"/>
                <w:sz w:val="21"/>
                <w:szCs w:val="21"/>
                <w:lang w:val="en-US" w:eastAsia="zh-CN"/>
              </w:rPr>
            </w:pPr>
          </w:p>
        </w:tc>
        <w:tc>
          <w:tcPr>
            <w:tcW w:w="863"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1471" w:type="dxa"/>
            <w:gridSpan w:val="2"/>
            <w:vAlign w:val="center"/>
          </w:tcPr>
          <w:p>
            <w:pPr>
              <w:spacing w:line="280" w:lineRule="exact"/>
              <w:jc w:val="center"/>
              <w:rPr>
                <w:rFonts w:hint="default" w:ascii="宋体" w:hAnsi="宋体" w:cs="Times New Roman"/>
                <w:color w:val="000000"/>
                <w:sz w:val="21"/>
                <w:szCs w:val="21"/>
                <w:lang w:val="en-US" w:eastAsia="zh-CN"/>
              </w:rPr>
            </w:pPr>
          </w:p>
        </w:tc>
        <w:tc>
          <w:tcPr>
            <w:tcW w:w="856" w:type="dxa"/>
            <w:vAlign w:val="center"/>
          </w:tcPr>
          <w:p>
            <w:pPr>
              <w:spacing w:line="280" w:lineRule="exact"/>
              <w:jc w:val="center"/>
              <w:rPr>
                <w:rFonts w:hint="default" w:ascii="宋体" w:hAnsi="宋体" w:cs="Times New Roman"/>
                <w:color w:val="000000"/>
                <w:sz w:val="21"/>
                <w:szCs w:val="21"/>
                <w:lang w:val="en-US" w:eastAsia="zh-CN"/>
              </w:rPr>
            </w:pPr>
          </w:p>
        </w:tc>
        <w:tc>
          <w:tcPr>
            <w:tcW w:w="684" w:type="dxa"/>
            <w:vAlign w:val="center"/>
          </w:tcPr>
          <w:p>
            <w:pPr>
              <w:spacing w:line="280" w:lineRule="exact"/>
              <w:jc w:val="center"/>
              <w:rPr>
                <w:rFonts w:hint="default" w:ascii="宋体" w:hAnsi="宋体" w:cs="Times New Roman"/>
                <w:color w:val="000000"/>
                <w:sz w:val="21"/>
                <w:szCs w:val="21"/>
                <w:lang w:val="en-US" w:eastAsia="zh-CN"/>
              </w:rPr>
            </w:pPr>
          </w:p>
        </w:tc>
        <w:tc>
          <w:tcPr>
            <w:tcW w:w="1094"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2227" w:type="dxa"/>
            <w:vAlign w:val="center"/>
          </w:tcPr>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3174"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436" w:type="dxa"/>
            <w:gridSpan w:val="6"/>
            <w:vAlign w:val="center"/>
          </w:tcPr>
          <w:p>
            <w:pPr>
              <w:spacing w:line="280" w:lineRule="exact"/>
              <w:rPr>
                <w:rFonts w:hint="eastAsia" w:ascii="宋体" w:hAnsi="宋体"/>
                <w:color w:val="000000"/>
                <w:szCs w:val="21"/>
              </w:rPr>
            </w:pPr>
          </w:p>
        </w:tc>
      </w:tr>
    </w:tbl>
    <w:p>
      <w:pPr>
        <w:spacing w:line="280" w:lineRule="exact"/>
        <w:rPr>
          <w:rFonts w:ascii="宋体" w:hAnsi="宋体"/>
          <w:b/>
          <w:color w:val="000000"/>
          <w:szCs w:val="21"/>
        </w:rPr>
      </w:pPr>
      <w:r>
        <w:rPr>
          <w:rFonts w:hint="eastAsia" w:ascii="宋体" w:hAnsi="宋体"/>
          <w:b/>
          <w:szCs w:val="21"/>
          <w:lang w:val="en-US" w:eastAsia="zh-CN"/>
        </w:rPr>
        <w:t>二</w:t>
      </w:r>
      <w:r>
        <w:rPr>
          <w:rFonts w:hint="eastAsia" w:ascii="宋体" w:hAnsi="宋体"/>
          <w:b/>
          <w:szCs w:val="21"/>
        </w:rPr>
        <w:t>、</w:t>
      </w:r>
      <w:r>
        <w:rPr>
          <w:rFonts w:hint="eastAsia" w:ascii="宋体" w:hAnsi="宋体"/>
          <w:b/>
          <w:color w:val="000000"/>
          <w:szCs w:val="21"/>
        </w:rPr>
        <w:t>供货有效期：</w:t>
      </w:r>
    </w:p>
    <w:p>
      <w:pPr>
        <w:spacing w:line="280" w:lineRule="exact"/>
        <w:ind w:firstLine="420" w:firstLineChars="200"/>
        <w:rPr>
          <w:rFonts w:hint="eastAsia" w:ascii="宋体" w:hAnsi="宋体"/>
          <w:b/>
          <w:szCs w:val="21"/>
        </w:rPr>
      </w:pPr>
      <w:r>
        <w:rPr>
          <w:rFonts w:hint="eastAsia" w:ascii="宋体" w:hAnsi="宋体"/>
          <w:color w:val="000000"/>
          <w:szCs w:val="21"/>
        </w:rPr>
        <w:t>本合同供货有效期</w:t>
      </w:r>
      <w:r>
        <w:rPr>
          <w:rFonts w:hint="eastAsia" w:ascii="宋体" w:hAnsi="宋体"/>
          <w:color w:val="000000"/>
          <w:szCs w:val="21"/>
          <w:lang w:val="en-US" w:eastAsia="zh-CN"/>
        </w:rPr>
        <w:t>约两年，</w:t>
      </w:r>
      <w:r>
        <w:rPr>
          <w:rFonts w:hint="eastAsia" w:ascii="宋体" w:hAnsi="宋体"/>
          <w:color w:val="000000"/>
          <w:szCs w:val="21"/>
        </w:rPr>
        <w:t>从</w:t>
      </w:r>
      <w:r>
        <w:rPr>
          <w:rFonts w:hint="eastAsia" w:ascii="宋体" w:hAnsi="宋体"/>
          <w:color w:val="000000"/>
          <w:szCs w:val="21"/>
          <w:u w:val="single"/>
        </w:rPr>
        <w:t xml:space="preserve"> 202</w:t>
      </w:r>
      <w:r>
        <w:rPr>
          <w:rFonts w:hint="eastAsia" w:ascii="宋体" w:hAnsi="宋体"/>
          <w:color w:val="000000"/>
          <w:szCs w:val="21"/>
          <w:u w:val="single"/>
          <w:lang w:val="en-US" w:eastAsia="zh-CN"/>
        </w:rPr>
        <w:t>3</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u w:val="single"/>
          <w:lang w:val="en-US" w:eastAsia="zh-CN"/>
        </w:rPr>
        <w:t>6</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u w:val="single"/>
          <w:lang w:val="en-US" w:eastAsia="zh-CN"/>
        </w:rPr>
        <w:t>30</w:t>
      </w:r>
      <w:r>
        <w:rPr>
          <w:rFonts w:hint="eastAsia" w:ascii="宋体" w:hAnsi="宋体"/>
          <w:color w:val="000000"/>
          <w:szCs w:val="21"/>
          <w:u w:val="single"/>
        </w:rPr>
        <w:t xml:space="preserve"> </w:t>
      </w:r>
      <w:r>
        <w:rPr>
          <w:rFonts w:hint="eastAsia" w:ascii="宋体" w:hAnsi="宋体"/>
          <w:color w:val="000000"/>
          <w:szCs w:val="21"/>
        </w:rPr>
        <w:t>日至</w:t>
      </w:r>
      <w:r>
        <w:rPr>
          <w:rFonts w:hint="eastAsia" w:ascii="宋体" w:hAnsi="宋体"/>
          <w:color w:val="000000"/>
          <w:szCs w:val="21"/>
          <w:u w:val="single"/>
        </w:rPr>
        <w:t xml:space="preserve"> 202</w:t>
      </w:r>
      <w:r>
        <w:rPr>
          <w:rFonts w:hint="eastAsia" w:ascii="宋体" w:hAnsi="宋体"/>
          <w:color w:val="000000"/>
          <w:szCs w:val="21"/>
          <w:u w:val="single"/>
          <w:lang w:val="en-US" w:eastAsia="zh-CN"/>
        </w:rPr>
        <w:t>4</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u w:val="single"/>
          <w:lang w:val="en-US" w:eastAsia="zh-CN"/>
        </w:rPr>
        <w:t>12</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u w:val="single"/>
          <w:lang w:val="en-US" w:eastAsia="zh-CN"/>
        </w:rPr>
        <w:t>31</w:t>
      </w:r>
      <w:r>
        <w:rPr>
          <w:rFonts w:hint="eastAsia" w:ascii="宋体" w:hAnsi="宋体"/>
          <w:color w:val="000000"/>
          <w:szCs w:val="21"/>
          <w:u w:val="single"/>
        </w:rPr>
        <w:t xml:space="preserve"> </w:t>
      </w:r>
      <w:r>
        <w:rPr>
          <w:rFonts w:hint="eastAsia" w:ascii="宋体" w:hAnsi="宋体"/>
          <w:color w:val="000000"/>
          <w:szCs w:val="21"/>
        </w:rPr>
        <w:t>日。本合同供货有效期届满与否，不影响本合同其他条款和组成部分的效力。</w:t>
      </w:r>
    </w:p>
    <w:p>
      <w:pPr>
        <w:spacing w:line="280" w:lineRule="exact"/>
        <w:rPr>
          <w:rFonts w:hint="eastAsia" w:ascii="宋体" w:hAnsi="宋体" w:eastAsia="宋体"/>
          <w:color w:val="000000"/>
          <w:szCs w:val="21"/>
          <w:u w:val="single"/>
          <w:lang w:eastAsia="zh-CN"/>
        </w:rPr>
      </w:pPr>
      <w:r>
        <w:rPr>
          <w:rFonts w:hint="eastAsia" w:ascii="宋体" w:hAnsi="宋体"/>
          <w:b/>
          <w:szCs w:val="21"/>
          <w:lang w:val="en-US" w:eastAsia="zh-CN"/>
        </w:rPr>
        <w:t>三、</w:t>
      </w:r>
      <w:r>
        <w:rPr>
          <w:rFonts w:hint="eastAsia" w:ascii="宋体" w:hAnsi="宋体"/>
          <w:b/>
          <w:szCs w:val="21"/>
        </w:rPr>
        <w:t>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4</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供方需提供所供产品质量检验证明，以需方指定单位验收为准，如化验不合格，需方有权退换货，退换货所需的各项费用由供方承担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lang w:val="en-US" w:eastAsia="zh-CN"/>
        </w:rPr>
        <w:t>_</w:t>
      </w:r>
      <w:r>
        <w:rPr>
          <w:rFonts w:hint="eastAsia" w:ascii="宋体" w:hAnsi="宋体" w:cs="Arial"/>
          <w:szCs w:val="21"/>
          <w:u w:val="single"/>
          <w:lang w:val="en-US" w:eastAsia="zh-CN"/>
        </w:rPr>
        <w:t>见附件技术要求，</w:t>
      </w:r>
      <w:r>
        <w:rPr>
          <w:rFonts w:hint="eastAsia" w:ascii="宋体" w:hAnsi="宋体" w:cs="宋体"/>
          <w:color w:val="000000"/>
          <w:u w:val="single" w:color="000000"/>
        </w:rPr>
        <w:t>供方需提供所供产品质量检验证明，以需方指定单位验收为准</w:t>
      </w:r>
      <w:r>
        <w:rPr>
          <w:rFonts w:hint="eastAsia" w:ascii="宋体" w:hAnsi="宋体" w:cs="宋体"/>
          <w:color w:val="000000"/>
          <w:u w:val="single" w:color="000000"/>
          <w:lang w:eastAsia="zh-CN"/>
        </w:rPr>
        <w:t>。</w:t>
      </w:r>
      <w:r>
        <w:rPr>
          <w:rFonts w:hint="eastAsia" w:ascii="宋体" w:hAnsi="宋体" w:cs="Arial"/>
          <w:szCs w:val="21"/>
          <w:u w:val="single"/>
          <w:lang w:val="en-US" w:eastAsia="zh-CN"/>
        </w:rPr>
        <w:t xml:space="preserve">  </w:t>
      </w:r>
      <w:r>
        <w:rPr>
          <w:rFonts w:hint="eastAsia" w:ascii="宋体" w:hAnsi="宋体" w:cs="Arial"/>
          <w:szCs w:val="21"/>
          <w:lang w:val="en-US" w:eastAsia="zh-CN"/>
        </w:rPr>
        <w:t xml:space="preserve"> </w:t>
      </w:r>
    </w:p>
    <w:p>
      <w:pPr>
        <w:spacing w:line="280" w:lineRule="exact"/>
        <w:rPr>
          <w:rFonts w:hint="eastAsia" w:ascii="宋体" w:hAnsi="宋体"/>
          <w:szCs w:val="21"/>
        </w:rPr>
      </w:pPr>
      <w:r>
        <w:rPr>
          <w:rFonts w:hint="eastAsia" w:ascii="宋体" w:hAnsi="宋体"/>
          <w:b/>
          <w:szCs w:val="21"/>
          <w:lang w:val="en-US" w:eastAsia="zh-CN"/>
        </w:rPr>
        <w:t>四</w:t>
      </w:r>
      <w:r>
        <w:rPr>
          <w:rFonts w:hint="eastAsia" w:ascii="宋体" w:hAnsi="宋体"/>
          <w:b/>
          <w:szCs w:val="21"/>
        </w:rPr>
        <w:t>、包装方式：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 xml:space="preserve">2 </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吨桶包装，使用后的空桶由供方进行回收处理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lang w:eastAsia="zh-CN"/>
        </w:rPr>
        <w:t>：</w:t>
      </w:r>
      <w:r>
        <w:rPr>
          <w:rFonts w:hint="eastAsia" w:ascii="宋体" w:hAnsi="宋体"/>
          <w:szCs w:val="21"/>
          <w:lang w:val="en-US" w:eastAsia="zh-CN"/>
        </w:rPr>
        <w:t>____</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lang w:val="en-US" w:eastAsia="zh-CN"/>
        </w:rPr>
        <w:t>五</w:t>
      </w:r>
      <w:r>
        <w:rPr>
          <w:rFonts w:hint="eastAsia" w:ascii="宋体" w:hAnsi="宋体"/>
          <w:b/>
          <w:szCs w:val="21"/>
        </w:rPr>
        <w:t>、货款结算与支付方式：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rPr>
      </w:pPr>
      <w:r>
        <w:rPr>
          <w:rFonts w:hint="eastAsia" w:ascii="宋体" w:hAnsi="宋体"/>
          <w:b w:val="0"/>
          <w:bCs/>
          <w:szCs w:val="21"/>
        </w:rPr>
        <w:t>现汇支付，分批到货、分批付款。每批产品到货后，经需方或需方指定单位</w:t>
      </w:r>
      <w:r>
        <w:rPr>
          <w:rFonts w:hint="eastAsia" w:ascii="宋体" w:hAnsi="宋体"/>
          <w:szCs w:val="21"/>
        </w:rPr>
        <w:t>：</w:t>
      </w:r>
      <w:r>
        <w:rPr>
          <w:rFonts w:hint="eastAsia" w:ascii="宋体" w:hAnsi="宋体"/>
          <w:szCs w:val="21"/>
          <w:u w:val="single"/>
        </w:rPr>
        <w:t xml:space="preserve"> </w:t>
      </w:r>
      <w:r>
        <w:rPr>
          <w:rFonts w:hint="eastAsia" w:ascii="宋体" w:hAnsi="宋体"/>
          <w:szCs w:val="21"/>
          <w:u w:val="single"/>
          <w:lang w:val="en-US" w:eastAsia="zh-CN"/>
        </w:rPr>
        <w:t>腾龙芳烃（漳州）有限公司</w:t>
      </w:r>
      <w:r>
        <w:rPr>
          <w:rFonts w:hint="eastAsia" w:ascii="宋体" w:hAnsi="宋体"/>
          <w:szCs w:val="21"/>
        </w:rPr>
        <w:t>（本合同中统称“需方”）</w:t>
      </w:r>
      <w:r>
        <w:rPr>
          <w:rFonts w:hint="eastAsia" w:ascii="宋体" w:hAnsi="宋体"/>
          <w:b w:val="0"/>
          <w:bCs/>
          <w:szCs w:val="21"/>
        </w:rPr>
        <w:t>根据</w:t>
      </w:r>
      <w:r>
        <w:rPr>
          <w:rFonts w:hint="eastAsia" w:ascii="宋体" w:hAnsi="宋体"/>
          <w:b w:val="0"/>
          <w:bCs/>
          <w:szCs w:val="21"/>
          <w:lang w:val="en-US" w:eastAsia="zh-CN"/>
        </w:rPr>
        <w:t>本</w:t>
      </w:r>
      <w:r>
        <w:rPr>
          <w:rFonts w:hint="eastAsia" w:ascii="宋体" w:hAnsi="宋体"/>
          <w:b w:val="0"/>
          <w:bCs/>
          <w:szCs w:val="21"/>
        </w:rPr>
        <w:t>签订的合同及技术要求约定的</w:t>
      </w:r>
      <w:r>
        <w:rPr>
          <w:rFonts w:hint="eastAsia" w:ascii="宋体" w:hAnsi="宋体"/>
          <w:b w:val="0"/>
          <w:bCs/>
          <w:szCs w:val="21"/>
          <w:lang w:val="en-US" w:eastAsia="zh-CN"/>
        </w:rPr>
        <w:t>验收合格后</w:t>
      </w:r>
      <w:r>
        <w:rPr>
          <w:rFonts w:hint="eastAsia" w:ascii="宋体" w:hAnsi="宋体"/>
          <w:b w:val="0"/>
          <w:bCs/>
          <w:szCs w:val="21"/>
        </w:rPr>
        <w:t>供方提供相应金额的13%增值税专用发票以及结算所需的各类清单，需方收到并确认无误后支付货款。</w:t>
      </w:r>
    </w:p>
    <w:p>
      <w:pPr>
        <w:spacing w:line="280" w:lineRule="exact"/>
        <w:rPr>
          <w:rFonts w:ascii="宋体" w:hAnsi="宋体"/>
          <w:szCs w:val="21"/>
        </w:rPr>
      </w:pPr>
      <w:r>
        <w:rPr>
          <w:rFonts w:hint="eastAsia" w:ascii="宋体" w:hAnsi="宋体"/>
          <w:b/>
          <w:szCs w:val="21"/>
          <w:lang w:val="en-US" w:eastAsia="zh-CN"/>
        </w:rPr>
        <w:t>六</w:t>
      </w:r>
      <w:r>
        <w:rPr>
          <w:rFonts w:hint="eastAsia" w:ascii="宋体" w:hAnsi="宋体"/>
          <w:b/>
          <w:szCs w:val="21"/>
        </w:rPr>
        <w:t>、交付期限：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分批到货，首批30吨需于2023年6月底具备到货条件，具体到货时间以需方通知为准。</w:t>
      </w:r>
    </w:p>
    <w:p>
      <w:pPr>
        <w:spacing w:line="280" w:lineRule="exact"/>
        <w:rPr>
          <w:rFonts w:ascii="宋体" w:hAnsi="宋体"/>
          <w:sz w:val="24"/>
        </w:rPr>
      </w:pPr>
      <w:r>
        <w:rPr>
          <w:rFonts w:hint="eastAsia" w:ascii="宋体" w:hAnsi="宋体"/>
          <w:b/>
          <w:szCs w:val="21"/>
          <w:lang w:val="en-US" w:eastAsia="zh-CN"/>
        </w:rPr>
        <w:t>七</w:t>
      </w:r>
      <w:r>
        <w:rPr>
          <w:rFonts w:hint="eastAsia" w:ascii="宋体" w:hAnsi="宋体"/>
          <w:b/>
          <w:szCs w:val="21"/>
        </w:rPr>
        <w:t>、交付方式：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w:t>
      </w:r>
      <w:r>
        <w:rPr>
          <w:rFonts w:hint="eastAsia" w:ascii="宋体" w:hAnsi="宋体"/>
          <w:sz w:val="21"/>
          <w:szCs w:val="21"/>
          <w:u w:val="single"/>
          <w:lang w:val="en-US" w:eastAsia="zh-CN"/>
        </w:rPr>
        <w:t>腾龙芳烃（漳州）有限公司</w:t>
      </w:r>
      <w:r>
        <w:rPr>
          <w:rFonts w:hint="eastAsia" w:ascii="宋体" w:hAnsi="宋体"/>
          <w:sz w:val="21"/>
          <w:szCs w:val="21"/>
          <w:u w:val="single"/>
        </w:rPr>
        <w:t>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lang w:val="en-US" w:eastAsia="zh-CN"/>
        </w:rPr>
        <w:t>八</w:t>
      </w:r>
      <w:r>
        <w:rPr>
          <w:rFonts w:hint="eastAsia" w:ascii="宋体" w:hAnsi="宋体"/>
          <w:b/>
          <w:szCs w:val="21"/>
        </w:rPr>
        <w:t>、</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13"/>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default" w:eastAsia="宋体"/>
                <w:b/>
                <w:color w:val="000000"/>
                <w:szCs w:val="21"/>
                <w:lang w:val="en-US" w:eastAsia="zh-CN"/>
              </w:rPr>
              <w:t>腾龙芳烃（漳州）有限公司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r>
              <w:rPr>
                <w:rFonts w:hint="eastAsia"/>
                <w:color w:val="000000"/>
                <w:szCs w:val="21"/>
              </w:rPr>
              <w:t>91350600717866709A</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福建省漳州市古雷港经济开发区腾龙路84号 </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r>
              <w:rPr>
                <w:rFonts w:hint="eastAsia"/>
                <w:color w:val="000000"/>
                <w:szCs w:val="21"/>
                <w:lang w:val="en-US" w:eastAsia="zh-CN"/>
              </w:rPr>
              <w:t>卢翠云</w:t>
            </w: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r>
              <w:rPr>
                <w:rFonts w:hint="eastAsia"/>
                <w:color w:val="000000"/>
                <w:szCs w:val="21"/>
                <w:lang w:val="en-US" w:eastAsia="zh-CN"/>
              </w:rPr>
              <w:t>13599526303</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r>
              <w:rPr>
                <w:rFonts w:hint="eastAsia"/>
                <w:color w:val="000000"/>
                <w:szCs w:val="21"/>
                <w:lang w:val="en-US" w:eastAsia="zh-CN"/>
              </w:rPr>
              <w:t>wzc</w:t>
            </w:r>
            <w:r>
              <w:rPr>
                <w:rFonts w:hint="eastAsia"/>
                <w:color w:val="000000"/>
                <w:szCs w:val="21"/>
              </w:rPr>
              <w:t>gb</w:t>
            </w:r>
            <w:r>
              <w:rPr>
                <w:color w:val="000000"/>
                <w:szCs w:val="21"/>
              </w:rPr>
              <w:t>@fjpec.com.cn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r>
              <w:rPr>
                <w:rFonts w:hint="eastAsia"/>
                <w:color w:val="000000"/>
                <w:szCs w:val="21"/>
              </w:rPr>
              <w:t>兴业银行漳州古雷支行</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r>
              <w:rPr>
                <w:rFonts w:hint="eastAsia"/>
                <w:color w:val="000000"/>
                <w:szCs w:val="21"/>
              </w:rPr>
              <w:t>162070100100021071</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r>
              <w:rPr>
                <w:rFonts w:hint="eastAsia"/>
                <w:color w:val="000000"/>
                <w:szCs w:val="21"/>
              </w:rPr>
              <w:t>91350600717866709A</w:t>
            </w: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w:t>
      </w:r>
      <w:r>
        <w:rPr>
          <w:rFonts w:hint="eastAsia" w:ascii="宋体" w:hAnsi="宋体"/>
          <w:szCs w:val="21"/>
          <w:u w:val="single"/>
          <w:lang w:val="en-US" w:eastAsia="zh-CN"/>
        </w:rPr>
        <w:t>贰</w:t>
      </w:r>
      <w:r>
        <w:rPr>
          <w:rFonts w:hint="eastAsia" w:ascii="宋体" w:hAnsi="宋体"/>
          <w:szCs w:val="21"/>
          <w:u w:val="single"/>
        </w:rPr>
        <w:t xml:space="preserve">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lang w:val="en-US" w:eastAsia="zh-CN"/>
        </w:rPr>
      </w:pPr>
      <w:r>
        <w:rPr>
          <w:rFonts w:hint="eastAsia"/>
          <w:szCs w:val="21"/>
          <w:lang w:val="en-US" w:eastAsia="zh-CN"/>
        </w:rPr>
        <w:t>5.1供方根据需方要求缴纳履约保证金并作为合同质保金，金额为人民币壹拾万元整。合同履约期届满且无质量问题一年后，供方提交返还履约保证金申请后30天内无息返还。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 性能保证、验收结算及赔偿和技术服务范围详见附件技术要求。</w:t>
      </w: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ISOCT3">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Arial Narrow">
    <w:altName w:val="Arial"/>
    <w:panose1 w:val="020B0606020202030204"/>
    <w:charset w:val="00"/>
    <w:family w:val="swiss"/>
    <w:pitch w:val="default"/>
    <w:sig w:usb0="00000000" w:usb1="00000000" w:usb2="00000000" w:usb3="00000000" w:csb0="0000009F" w:csb1="00000000"/>
  </w:font>
  <w:font w:name="Tahoma">
    <w:panose1 w:val="020B0604030504040204"/>
    <w:charset w:val="00"/>
    <w:family w:val="swiss"/>
    <w:pitch w:val="default"/>
    <w:sig w:usb0="E1002EFF" w:usb1="C000605B" w:usb2="00000029" w:usb3="00000000" w:csb0="200101FF" w:csb1="20280000"/>
  </w:font>
  <w:font w:name="font-weight : 400">
    <w:altName w:val="Segoe Print"/>
    <w:panose1 w:val="00000000000000000000"/>
    <w:charset w:val="00"/>
    <w:family w:val="auto"/>
    <w:pitch w:val="default"/>
    <w:sig w:usb0="00000000" w:usb1="00000000" w:usb2="00000000" w:usb3="00000000" w:csb0="00040001" w:csb1="00000000"/>
  </w:font>
  <w:font w:name="ArialMT">
    <w:altName w:val="新宋体"/>
    <w:panose1 w:val="00000000000000000000"/>
    <w:charset w:val="00"/>
    <w:family w:val="swiss"/>
    <w:pitch w:val="default"/>
    <w:sig w:usb0="00000000" w:usb1="00000000" w:usb2="0000001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w:fldChar w:fldCharType="begin"/>
    </w:r>
    <w:r>
      <w:instrText xml:space="preserve">PAGE   \* MERGEFORMAT</w:instrText>
    </w:r>
    <w:r>
      <w:fldChar w:fldCharType="separate"/>
    </w:r>
    <w:r>
      <w:t>6</w: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370500D3"/>
    <w:multiLevelType w:val="multilevel"/>
    <w:tmpl w:val="370500D3"/>
    <w:lvl w:ilvl="0" w:tentative="0">
      <w:start w:val="1"/>
      <w:numFmt w:val="decimal"/>
      <w:pStyle w:val="3"/>
      <w:suff w:val="space"/>
      <w:lvlText w:val="8.1.%1 "/>
      <w:lvlJc w:val="left"/>
      <w:pPr>
        <w:ind w:left="0" w:firstLine="0"/>
      </w:pPr>
      <w:rPr>
        <w:rFonts w:hint="default"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419445F"/>
    <w:multiLevelType w:val="singleLevel"/>
    <w:tmpl w:val="5419445F"/>
    <w:lvl w:ilvl="0" w:tentative="0">
      <w:start w:val="1"/>
      <w:numFmt w:val="decimal"/>
      <w:suff w:val="nothing"/>
      <w:lvlText w:val="%1."/>
      <w:lvlJc w:val="left"/>
      <w:rPr>
        <w:rFonts w:cs="Times New Roman"/>
      </w:rPr>
    </w:lvl>
  </w:abstractNum>
  <w:abstractNum w:abstractNumId="6">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4"/>
  </w:num>
  <w:num w:numId="2">
    <w:abstractNumId w:val="1"/>
  </w:num>
  <w:num w:numId="3">
    <w:abstractNumId w:val="6"/>
  </w:num>
  <w:num w:numId="4">
    <w:abstractNumId w:val="3"/>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87227"/>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06B4"/>
    <w:rsid w:val="00EB32DE"/>
    <w:rsid w:val="00EB6925"/>
    <w:rsid w:val="00EC5BC5"/>
    <w:rsid w:val="00EE4E5B"/>
    <w:rsid w:val="00EF050E"/>
    <w:rsid w:val="00EF5988"/>
    <w:rsid w:val="00F139DE"/>
    <w:rsid w:val="00F27F02"/>
    <w:rsid w:val="00F33EB3"/>
    <w:rsid w:val="00F43CBE"/>
    <w:rsid w:val="00F564F6"/>
    <w:rsid w:val="00F66DB4"/>
    <w:rsid w:val="00F7626A"/>
    <w:rsid w:val="00FE0371"/>
    <w:rsid w:val="010D09A4"/>
    <w:rsid w:val="010E293E"/>
    <w:rsid w:val="01AB4154"/>
    <w:rsid w:val="02003C03"/>
    <w:rsid w:val="02185493"/>
    <w:rsid w:val="021D391B"/>
    <w:rsid w:val="022C6513"/>
    <w:rsid w:val="023F054C"/>
    <w:rsid w:val="024C0384"/>
    <w:rsid w:val="02773EF6"/>
    <w:rsid w:val="02CC4E1D"/>
    <w:rsid w:val="02D53A40"/>
    <w:rsid w:val="03033536"/>
    <w:rsid w:val="03182CF8"/>
    <w:rsid w:val="03261A08"/>
    <w:rsid w:val="032857C7"/>
    <w:rsid w:val="032D15FD"/>
    <w:rsid w:val="032F04D8"/>
    <w:rsid w:val="03A9303F"/>
    <w:rsid w:val="03DC17EA"/>
    <w:rsid w:val="03E270E3"/>
    <w:rsid w:val="03E5328D"/>
    <w:rsid w:val="041A4C52"/>
    <w:rsid w:val="042207A6"/>
    <w:rsid w:val="042D4439"/>
    <w:rsid w:val="04444FBA"/>
    <w:rsid w:val="04675C1C"/>
    <w:rsid w:val="046B7835"/>
    <w:rsid w:val="046E24C0"/>
    <w:rsid w:val="046F7ACF"/>
    <w:rsid w:val="04785792"/>
    <w:rsid w:val="049270F9"/>
    <w:rsid w:val="05264C66"/>
    <w:rsid w:val="053A64CB"/>
    <w:rsid w:val="0546217C"/>
    <w:rsid w:val="055746BC"/>
    <w:rsid w:val="057373C3"/>
    <w:rsid w:val="059A34DA"/>
    <w:rsid w:val="059B734C"/>
    <w:rsid w:val="05C112E8"/>
    <w:rsid w:val="05CE4353"/>
    <w:rsid w:val="05CF5BDF"/>
    <w:rsid w:val="05D81DD9"/>
    <w:rsid w:val="061013A0"/>
    <w:rsid w:val="064416AA"/>
    <w:rsid w:val="06A3708D"/>
    <w:rsid w:val="06AB00B1"/>
    <w:rsid w:val="06CC1CD7"/>
    <w:rsid w:val="06DA70D7"/>
    <w:rsid w:val="070356B5"/>
    <w:rsid w:val="077632ED"/>
    <w:rsid w:val="07811622"/>
    <w:rsid w:val="07817814"/>
    <w:rsid w:val="078A61DF"/>
    <w:rsid w:val="07C04CC8"/>
    <w:rsid w:val="07E878CC"/>
    <w:rsid w:val="07E87C6B"/>
    <w:rsid w:val="07F06C92"/>
    <w:rsid w:val="07FB0E0D"/>
    <w:rsid w:val="080F7CCD"/>
    <w:rsid w:val="083568BD"/>
    <w:rsid w:val="08374DE3"/>
    <w:rsid w:val="08804899"/>
    <w:rsid w:val="08834CC9"/>
    <w:rsid w:val="088B1472"/>
    <w:rsid w:val="090A2F1F"/>
    <w:rsid w:val="09273ADC"/>
    <w:rsid w:val="097036E7"/>
    <w:rsid w:val="098E656B"/>
    <w:rsid w:val="099447D3"/>
    <w:rsid w:val="09D05CBA"/>
    <w:rsid w:val="09D7548C"/>
    <w:rsid w:val="09E63A80"/>
    <w:rsid w:val="0A3A75BC"/>
    <w:rsid w:val="0A4D0638"/>
    <w:rsid w:val="0A58515B"/>
    <w:rsid w:val="0A8B6BF2"/>
    <w:rsid w:val="0A9F5CB5"/>
    <w:rsid w:val="0AA062B1"/>
    <w:rsid w:val="0AB96449"/>
    <w:rsid w:val="0ACC3EB5"/>
    <w:rsid w:val="0ADD75BB"/>
    <w:rsid w:val="0B0D38CD"/>
    <w:rsid w:val="0B1C170E"/>
    <w:rsid w:val="0B35169E"/>
    <w:rsid w:val="0B487285"/>
    <w:rsid w:val="0B4A13AC"/>
    <w:rsid w:val="0B8E420A"/>
    <w:rsid w:val="0C370F69"/>
    <w:rsid w:val="0C3D7481"/>
    <w:rsid w:val="0C7454D4"/>
    <w:rsid w:val="0C8B217D"/>
    <w:rsid w:val="0CB75B53"/>
    <w:rsid w:val="0CF127D7"/>
    <w:rsid w:val="0CFA5163"/>
    <w:rsid w:val="0D097641"/>
    <w:rsid w:val="0D980021"/>
    <w:rsid w:val="0DA163F9"/>
    <w:rsid w:val="0DAD56B9"/>
    <w:rsid w:val="0DD566C4"/>
    <w:rsid w:val="0E02486F"/>
    <w:rsid w:val="0E3D2F5D"/>
    <w:rsid w:val="0E3F22A2"/>
    <w:rsid w:val="0E772EE5"/>
    <w:rsid w:val="0E8B20AA"/>
    <w:rsid w:val="0E9503CA"/>
    <w:rsid w:val="0EE26DF9"/>
    <w:rsid w:val="0EE30943"/>
    <w:rsid w:val="0F3141ED"/>
    <w:rsid w:val="0F4E62EA"/>
    <w:rsid w:val="0F821B8F"/>
    <w:rsid w:val="0F8C0A60"/>
    <w:rsid w:val="0FA07C0F"/>
    <w:rsid w:val="0FA364D6"/>
    <w:rsid w:val="0FCE6C96"/>
    <w:rsid w:val="0FE34343"/>
    <w:rsid w:val="0FF86012"/>
    <w:rsid w:val="10167D42"/>
    <w:rsid w:val="1051101C"/>
    <w:rsid w:val="105A2ADD"/>
    <w:rsid w:val="105B6F62"/>
    <w:rsid w:val="108E2EA4"/>
    <w:rsid w:val="10B3063E"/>
    <w:rsid w:val="10C613A6"/>
    <w:rsid w:val="10F1561E"/>
    <w:rsid w:val="111E4EA7"/>
    <w:rsid w:val="11715093"/>
    <w:rsid w:val="118A38B5"/>
    <w:rsid w:val="122E4A94"/>
    <w:rsid w:val="125F61EF"/>
    <w:rsid w:val="12737A03"/>
    <w:rsid w:val="12837C22"/>
    <w:rsid w:val="12CF31F9"/>
    <w:rsid w:val="12EA195B"/>
    <w:rsid w:val="12F479DF"/>
    <w:rsid w:val="132E735B"/>
    <w:rsid w:val="13331A89"/>
    <w:rsid w:val="1363320F"/>
    <w:rsid w:val="1387789C"/>
    <w:rsid w:val="13B74194"/>
    <w:rsid w:val="13DF42D8"/>
    <w:rsid w:val="142F7DC3"/>
    <w:rsid w:val="14494FEA"/>
    <w:rsid w:val="147B6B42"/>
    <w:rsid w:val="14937361"/>
    <w:rsid w:val="149868E6"/>
    <w:rsid w:val="14C1177D"/>
    <w:rsid w:val="14FC5116"/>
    <w:rsid w:val="15033088"/>
    <w:rsid w:val="150647E6"/>
    <w:rsid w:val="15101A52"/>
    <w:rsid w:val="15125849"/>
    <w:rsid w:val="154E7EC4"/>
    <w:rsid w:val="15BF2E22"/>
    <w:rsid w:val="15C23309"/>
    <w:rsid w:val="15C31A47"/>
    <w:rsid w:val="15F16D9A"/>
    <w:rsid w:val="15F24792"/>
    <w:rsid w:val="15F51CC1"/>
    <w:rsid w:val="15FE1378"/>
    <w:rsid w:val="15FE1EB4"/>
    <w:rsid w:val="16172661"/>
    <w:rsid w:val="16270A04"/>
    <w:rsid w:val="165069FC"/>
    <w:rsid w:val="16A920DF"/>
    <w:rsid w:val="173B43BC"/>
    <w:rsid w:val="178C691A"/>
    <w:rsid w:val="179453BC"/>
    <w:rsid w:val="183256DA"/>
    <w:rsid w:val="183B0D71"/>
    <w:rsid w:val="184968FC"/>
    <w:rsid w:val="185D1C5F"/>
    <w:rsid w:val="188C5585"/>
    <w:rsid w:val="18C27F65"/>
    <w:rsid w:val="18C402D3"/>
    <w:rsid w:val="18FA6BBD"/>
    <w:rsid w:val="191A3D61"/>
    <w:rsid w:val="192A2CC6"/>
    <w:rsid w:val="19332266"/>
    <w:rsid w:val="19B02F2D"/>
    <w:rsid w:val="19DA3B6D"/>
    <w:rsid w:val="19EF4D4D"/>
    <w:rsid w:val="19F04AD4"/>
    <w:rsid w:val="1A247E7E"/>
    <w:rsid w:val="1A2F6DF9"/>
    <w:rsid w:val="1A3168AB"/>
    <w:rsid w:val="1A4C05AB"/>
    <w:rsid w:val="1A4F0A64"/>
    <w:rsid w:val="1A747000"/>
    <w:rsid w:val="1AAD18E5"/>
    <w:rsid w:val="1ABC38F7"/>
    <w:rsid w:val="1AF22A1C"/>
    <w:rsid w:val="1AFD66F4"/>
    <w:rsid w:val="1B233A0E"/>
    <w:rsid w:val="1B657395"/>
    <w:rsid w:val="1B7C1123"/>
    <w:rsid w:val="1B8F7883"/>
    <w:rsid w:val="1B927AE6"/>
    <w:rsid w:val="1BB72DA5"/>
    <w:rsid w:val="1BC93515"/>
    <w:rsid w:val="1C1B3FE4"/>
    <w:rsid w:val="1C1C3DEE"/>
    <w:rsid w:val="1C230F64"/>
    <w:rsid w:val="1C2A6CE8"/>
    <w:rsid w:val="1C513BF0"/>
    <w:rsid w:val="1C8261A0"/>
    <w:rsid w:val="1CF31038"/>
    <w:rsid w:val="1D0113C9"/>
    <w:rsid w:val="1D05782C"/>
    <w:rsid w:val="1D6F78F4"/>
    <w:rsid w:val="1D7757F1"/>
    <w:rsid w:val="1D841F34"/>
    <w:rsid w:val="1DB72E7F"/>
    <w:rsid w:val="1DDB74E0"/>
    <w:rsid w:val="1DF003E7"/>
    <w:rsid w:val="1E2F61EF"/>
    <w:rsid w:val="1E3264F3"/>
    <w:rsid w:val="1E600A9D"/>
    <w:rsid w:val="1E750E13"/>
    <w:rsid w:val="1EB505E6"/>
    <w:rsid w:val="1EBD3B62"/>
    <w:rsid w:val="1F02429F"/>
    <w:rsid w:val="1F133081"/>
    <w:rsid w:val="1F590291"/>
    <w:rsid w:val="1F8046AD"/>
    <w:rsid w:val="1FA12681"/>
    <w:rsid w:val="205A10AE"/>
    <w:rsid w:val="207E3421"/>
    <w:rsid w:val="208A175C"/>
    <w:rsid w:val="2090579A"/>
    <w:rsid w:val="20AF45AF"/>
    <w:rsid w:val="215846DF"/>
    <w:rsid w:val="216412DB"/>
    <w:rsid w:val="21BD6DBB"/>
    <w:rsid w:val="21E14DFB"/>
    <w:rsid w:val="21F04A25"/>
    <w:rsid w:val="220D4E25"/>
    <w:rsid w:val="22345BE0"/>
    <w:rsid w:val="22521DD3"/>
    <w:rsid w:val="227B0690"/>
    <w:rsid w:val="228E5A58"/>
    <w:rsid w:val="22A35795"/>
    <w:rsid w:val="22A62B30"/>
    <w:rsid w:val="22ED3ED6"/>
    <w:rsid w:val="2325120A"/>
    <w:rsid w:val="23464916"/>
    <w:rsid w:val="23496B54"/>
    <w:rsid w:val="23532FBD"/>
    <w:rsid w:val="237B661E"/>
    <w:rsid w:val="238B4E5F"/>
    <w:rsid w:val="239520D3"/>
    <w:rsid w:val="23BF50C8"/>
    <w:rsid w:val="23CC07DA"/>
    <w:rsid w:val="23F24C55"/>
    <w:rsid w:val="241D1936"/>
    <w:rsid w:val="247C7073"/>
    <w:rsid w:val="2496308D"/>
    <w:rsid w:val="24A9374C"/>
    <w:rsid w:val="250E72F9"/>
    <w:rsid w:val="258777C9"/>
    <w:rsid w:val="2589209A"/>
    <w:rsid w:val="25B40CD0"/>
    <w:rsid w:val="25CB1E8B"/>
    <w:rsid w:val="25D9170E"/>
    <w:rsid w:val="25E0040C"/>
    <w:rsid w:val="25F3676D"/>
    <w:rsid w:val="26035576"/>
    <w:rsid w:val="2665006F"/>
    <w:rsid w:val="26A124F9"/>
    <w:rsid w:val="26AA092A"/>
    <w:rsid w:val="271C65E1"/>
    <w:rsid w:val="273A5487"/>
    <w:rsid w:val="274761A1"/>
    <w:rsid w:val="27937EDA"/>
    <w:rsid w:val="27C62288"/>
    <w:rsid w:val="27CF60B0"/>
    <w:rsid w:val="27D36696"/>
    <w:rsid w:val="27E234BC"/>
    <w:rsid w:val="28012C6B"/>
    <w:rsid w:val="280475E2"/>
    <w:rsid w:val="282C18E9"/>
    <w:rsid w:val="2833742E"/>
    <w:rsid w:val="28566230"/>
    <w:rsid w:val="285B7C69"/>
    <w:rsid w:val="289968CF"/>
    <w:rsid w:val="28A837EA"/>
    <w:rsid w:val="28B0150E"/>
    <w:rsid w:val="28D51D40"/>
    <w:rsid w:val="28D92271"/>
    <w:rsid w:val="293555E2"/>
    <w:rsid w:val="299A1AD2"/>
    <w:rsid w:val="299A61C2"/>
    <w:rsid w:val="29AC4DAC"/>
    <w:rsid w:val="29B80978"/>
    <w:rsid w:val="29CE07E6"/>
    <w:rsid w:val="29D17C38"/>
    <w:rsid w:val="29DA1C97"/>
    <w:rsid w:val="29FC37D4"/>
    <w:rsid w:val="2A587284"/>
    <w:rsid w:val="2A7427E2"/>
    <w:rsid w:val="2A893557"/>
    <w:rsid w:val="2A8B1681"/>
    <w:rsid w:val="2A933574"/>
    <w:rsid w:val="2AAB2012"/>
    <w:rsid w:val="2ABC59CB"/>
    <w:rsid w:val="2AC0562D"/>
    <w:rsid w:val="2AC11AAE"/>
    <w:rsid w:val="2ADD2233"/>
    <w:rsid w:val="2AE84D10"/>
    <w:rsid w:val="2B0E039C"/>
    <w:rsid w:val="2B2F6BD9"/>
    <w:rsid w:val="2B4658AA"/>
    <w:rsid w:val="2B4A75F4"/>
    <w:rsid w:val="2B8E1B57"/>
    <w:rsid w:val="2B8E71EA"/>
    <w:rsid w:val="2B957AF1"/>
    <w:rsid w:val="2BA705F6"/>
    <w:rsid w:val="2BD36FC0"/>
    <w:rsid w:val="2BE04E2E"/>
    <w:rsid w:val="2C0B2A13"/>
    <w:rsid w:val="2C201604"/>
    <w:rsid w:val="2C31119D"/>
    <w:rsid w:val="2C3328C4"/>
    <w:rsid w:val="2C5548F9"/>
    <w:rsid w:val="2D2B1461"/>
    <w:rsid w:val="2DA319DC"/>
    <w:rsid w:val="2DF06759"/>
    <w:rsid w:val="2E12514F"/>
    <w:rsid w:val="2E351771"/>
    <w:rsid w:val="2EA23694"/>
    <w:rsid w:val="2EAD2321"/>
    <w:rsid w:val="2EDC494F"/>
    <w:rsid w:val="2EF7551C"/>
    <w:rsid w:val="2F1F4355"/>
    <w:rsid w:val="2F210D6D"/>
    <w:rsid w:val="2F7C2C25"/>
    <w:rsid w:val="2F8E0962"/>
    <w:rsid w:val="2FA30B14"/>
    <w:rsid w:val="2FBC4452"/>
    <w:rsid w:val="2FBD5AB0"/>
    <w:rsid w:val="2FFE7C5C"/>
    <w:rsid w:val="30071591"/>
    <w:rsid w:val="30243F4A"/>
    <w:rsid w:val="303240F6"/>
    <w:rsid w:val="30725A8E"/>
    <w:rsid w:val="30826FF9"/>
    <w:rsid w:val="30985912"/>
    <w:rsid w:val="309A6E65"/>
    <w:rsid w:val="30E60CDF"/>
    <w:rsid w:val="31183D8E"/>
    <w:rsid w:val="312B136C"/>
    <w:rsid w:val="3165141F"/>
    <w:rsid w:val="31771119"/>
    <w:rsid w:val="31934494"/>
    <w:rsid w:val="319D55BA"/>
    <w:rsid w:val="31BD1137"/>
    <w:rsid w:val="31CE1FAB"/>
    <w:rsid w:val="31F1162F"/>
    <w:rsid w:val="31F21635"/>
    <w:rsid w:val="31F46862"/>
    <w:rsid w:val="321859D2"/>
    <w:rsid w:val="322E5C7B"/>
    <w:rsid w:val="323D28AC"/>
    <w:rsid w:val="32492609"/>
    <w:rsid w:val="328F6057"/>
    <w:rsid w:val="32A75EF3"/>
    <w:rsid w:val="32AE7831"/>
    <w:rsid w:val="32B37FA4"/>
    <w:rsid w:val="32C178A8"/>
    <w:rsid w:val="32DB1F0F"/>
    <w:rsid w:val="33413E8A"/>
    <w:rsid w:val="335E264F"/>
    <w:rsid w:val="337530C8"/>
    <w:rsid w:val="338059AD"/>
    <w:rsid w:val="33DB2E5A"/>
    <w:rsid w:val="33EA7F3E"/>
    <w:rsid w:val="33F1490B"/>
    <w:rsid w:val="33FD5E57"/>
    <w:rsid w:val="340C24DE"/>
    <w:rsid w:val="340F4394"/>
    <w:rsid w:val="342D7E99"/>
    <w:rsid w:val="345B10E7"/>
    <w:rsid w:val="346720B7"/>
    <w:rsid w:val="347C5E46"/>
    <w:rsid w:val="35165627"/>
    <w:rsid w:val="352C0C5B"/>
    <w:rsid w:val="35490544"/>
    <w:rsid w:val="35904376"/>
    <w:rsid w:val="35A0166C"/>
    <w:rsid w:val="35B058C7"/>
    <w:rsid w:val="35DE34F2"/>
    <w:rsid w:val="35F871FB"/>
    <w:rsid w:val="35FC498E"/>
    <w:rsid w:val="36417C8D"/>
    <w:rsid w:val="366436B8"/>
    <w:rsid w:val="36886515"/>
    <w:rsid w:val="368A2F91"/>
    <w:rsid w:val="368B1D4A"/>
    <w:rsid w:val="369F3C73"/>
    <w:rsid w:val="36AC3A23"/>
    <w:rsid w:val="36E954BF"/>
    <w:rsid w:val="36FA78CD"/>
    <w:rsid w:val="37370B6E"/>
    <w:rsid w:val="3768338E"/>
    <w:rsid w:val="37836ECB"/>
    <w:rsid w:val="37945B49"/>
    <w:rsid w:val="379D3B99"/>
    <w:rsid w:val="37D45539"/>
    <w:rsid w:val="37ED7F2D"/>
    <w:rsid w:val="381C0BFA"/>
    <w:rsid w:val="38227768"/>
    <w:rsid w:val="387939C8"/>
    <w:rsid w:val="38814998"/>
    <w:rsid w:val="38895880"/>
    <w:rsid w:val="38A94FE7"/>
    <w:rsid w:val="38BA64A1"/>
    <w:rsid w:val="38F04E1B"/>
    <w:rsid w:val="38FE6B47"/>
    <w:rsid w:val="39057ED7"/>
    <w:rsid w:val="39137A71"/>
    <w:rsid w:val="3955569C"/>
    <w:rsid w:val="39657C8F"/>
    <w:rsid w:val="3969383E"/>
    <w:rsid w:val="39882841"/>
    <w:rsid w:val="39ED2847"/>
    <w:rsid w:val="3A4967DD"/>
    <w:rsid w:val="3A500A72"/>
    <w:rsid w:val="3A5116BA"/>
    <w:rsid w:val="3A5B7748"/>
    <w:rsid w:val="3A87079F"/>
    <w:rsid w:val="3A8C3BAF"/>
    <w:rsid w:val="3AD63889"/>
    <w:rsid w:val="3ADE5E05"/>
    <w:rsid w:val="3B053E48"/>
    <w:rsid w:val="3B106478"/>
    <w:rsid w:val="3B293E28"/>
    <w:rsid w:val="3B2F7891"/>
    <w:rsid w:val="3B573FA4"/>
    <w:rsid w:val="3BD4036B"/>
    <w:rsid w:val="3C1D4BEF"/>
    <w:rsid w:val="3C1E5B01"/>
    <w:rsid w:val="3C333506"/>
    <w:rsid w:val="3C3C0E2E"/>
    <w:rsid w:val="3C656913"/>
    <w:rsid w:val="3C8D6D94"/>
    <w:rsid w:val="3C94066E"/>
    <w:rsid w:val="3CFE624A"/>
    <w:rsid w:val="3D1251D3"/>
    <w:rsid w:val="3D173430"/>
    <w:rsid w:val="3D470E27"/>
    <w:rsid w:val="3D475A63"/>
    <w:rsid w:val="3DCB73E0"/>
    <w:rsid w:val="3E032F87"/>
    <w:rsid w:val="3E287885"/>
    <w:rsid w:val="3E447FF5"/>
    <w:rsid w:val="3E536639"/>
    <w:rsid w:val="3E565DBA"/>
    <w:rsid w:val="3EEE28F9"/>
    <w:rsid w:val="3F1539A0"/>
    <w:rsid w:val="3F1E4982"/>
    <w:rsid w:val="3F516B77"/>
    <w:rsid w:val="3FBB3A60"/>
    <w:rsid w:val="3FEE6A4A"/>
    <w:rsid w:val="401F30A7"/>
    <w:rsid w:val="402A4D00"/>
    <w:rsid w:val="40457BFD"/>
    <w:rsid w:val="40705383"/>
    <w:rsid w:val="40831E81"/>
    <w:rsid w:val="40891F67"/>
    <w:rsid w:val="408C76E2"/>
    <w:rsid w:val="409057BD"/>
    <w:rsid w:val="40C10231"/>
    <w:rsid w:val="41186225"/>
    <w:rsid w:val="414E2379"/>
    <w:rsid w:val="416F5968"/>
    <w:rsid w:val="417A6877"/>
    <w:rsid w:val="418324AC"/>
    <w:rsid w:val="41A04200"/>
    <w:rsid w:val="41A32F85"/>
    <w:rsid w:val="41B858E8"/>
    <w:rsid w:val="41DC2AD7"/>
    <w:rsid w:val="420F20F6"/>
    <w:rsid w:val="42203971"/>
    <w:rsid w:val="42257F84"/>
    <w:rsid w:val="422D3D55"/>
    <w:rsid w:val="42526B31"/>
    <w:rsid w:val="42680DF6"/>
    <w:rsid w:val="42757300"/>
    <w:rsid w:val="428E4E02"/>
    <w:rsid w:val="42AB04B4"/>
    <w:rsid w:val="42BF0693"/>
    <w:rsid w:val="42DA60A9"/>
    <w:rsid w:val="42DC0DDB"/>
    <w:rsid w:val="430F46B4"/>
    <w:rsid w:val="43396FCF"/>
    <w:rsid w:val="43434628"/>
    <w:rsid w:val="43482915"/>
    <w:rsid w:val="4351032C"/>
    <w:rsid w:val="4355293C"/>
    <w:rsid w:val="43577058"/>
    <w:rsid w:val="438A19A8"/>
    <w:rsid w:val="439439C5"/>
    <w:rsid w:val="4395062C"/>
    <w:rsid w:val="439E7A84"/>
    <w:rsid w:val="43D46D19"/>
    <w:rsid w:val="44026924"/>
    <w:rsid w:val="44236751"/>
    <w:rsid w:val="448C78B8"/>
    <w:rsid w:val="44B2410D"/>
    <w:rsid w:val="44CB1108"/>
    <w:rsid w:val="44E4129A"/>
    <w:rsid w:val="452C5A2B"/>
    <w:rsid w:val="453F611C"/>
    <w:rsid w:val="454D6E39"/>
    <w:rsid w:val="45C94E39"/>
    <w:rsid w:val="45CD5D18"/>
    <w:rsid w:val="45D568DB"/>
    <w:rsid w:val="45E64357"/>
    <w:rsid w:val="46051FED"/>
    <w:rsid w:val="46125FF1"/>
    <w:rsid w:val="46320679"/>
    <w:rsid w:val="46495A0E"/>
    <w:rsid w:val="464B079B"/>
    <w:rsid w:val="468077A8"/>
    <w:rsid w:val="468E6ECD"/>
    <w:rsid w:val="46AB53AC"/>
    <w:rsid w:val="46E07413"/>
    <w:rsid w:val="46EA56DB"/>
    <w:rsid w:val="4704021F"/>
    <w:rsid w:val="47616CD0"/>
    <w:rsid w:val="476C6251"/>
    <w:rsid w:val="479C322F"/>
    <w:rsid w:val="47A06F4B"/>
    <w:rsid w:val="47A978DA"/>
    <w:rsid w:val="48037F6C"/>
    <w:rsid w:val="480C6C1B"/>
    <w:rsid w:val="48295411"/>
    <w:rsid w:val="48B268BC"/>
    <w:rsid w:val="48B70BA6"/>
    <w:rsid w:val="48DF13FB"/>
    <w:rsid w:val="49157196"/>
    <w:rsid w:val="492D0C09"/>
    <w:rsid w:val="493B7D23"/>
    <w:rsid w:val="494B6BC0"/>
    <w:rsid w:val="49545F4C"/>
    <w:rsid w:val="497038CD"/>
    <w:rsid w:val="497205C6"/>
    <w:rsid w:val="49730A66"/>
    <w:rsid w:val="499A66C3"/>
    <w:rsid w:val="49AC538B"/>
    <w:rsid w:val="49F220F0"/>
    <w:rsid w:val="4A532137"/>
    <w:rsid w:val="4A784075"/>
    <w:rsid w:val="4A9E208F"/>
    <w:rsid w:val="4AEC33B6"/>
    <w:rsid w:val="4B242E77"/>
    <w:rsid w:val="4B2451E8"/>
    <w:rsid w:val="4B320889"/>
    <w:rsid w:val="4B3D4012"/>
    <w:rsid w:val="4B4A24A6"/>
    <w:rsid w:val="4B8F2E5B"/>
    <w:rsid w:val="4B945212"/>
    <w:rsid w:val="4BC2454D"/>
    <w:rsid w:val="4BF27690"/>
    <w:rsid w:val="4C204881"/>
    <w:rsid w:val="4C775DE6"/>
    <w:rsid w:val="4C82133E"/>
    <w:rsid w:val="4CA3109F"/>
    <w:rsid w:val="4CB47B10"/>
    <w:rsid w:val="4CD9455C"/>
    <w:rsid w:val="4CE3486E"/>
    <w:rsid w:val="4CEB5B8E"/>
    <w:rsid w:val="4CF91653"/>
    <w:rsid w:val="4D13604C"/>
    <w:rsid w:val="4D2671DF"/>
    <w:rsid w:val="4D2D6907"/>
    <w:rsid w:val="4D376EA9"/>
    <w:rsid w:val="4D845D59"/>
    <w:rsid w:val="4DA80E22"/>
    <w:rsid w:val="4DB81F38"/>
    <w:rsid w:val="4DDB52DD"/>
    <w:rsid w:val="4DE92DD7"/>
    <w:rsid w:val="4DFE7BC4"/>
    <w:rsid w:val="4E0062C6"/>
    <w:rsid w:val="4E0D5475"/>
    <w:rsid w:val="4E6B6CEB"/>
    <w:rsid w:val="4EA1757E"/>
    <w:rsid w:val="4EA52677"/>
    <w:rsid w:val="4EAD5D22"/>
    <w:rsid w:val="4ECE6225"/>
    <w:rsid w:val="4F7714C8"/>
    <w:rsid w:val="4F796063"/>
    <w:rsid w:val="4F7B6890"/>
    <w:rsid w:val="4F8D5360"/>
    <w:rsid w:val="4FA265C1"/>
    <w:rsid w:val="4FAF2ACB"/>
    <w:rsid w:val="4FE0775F"/>
    <w:rsid w:val="4FE84A65"/>
    <w:rsid w:val="4FF14958"/>
    <w:rsid w:val="503B5A8A"/>
    <w:rsid w:val="505852F6"/>
    <w:rsid w:val="507E72C1"/>
    <w:rsid w:val="508235A6"/>
    <w:rsid w:val="50BB3ACD"/>
    <w:rsid w:val="50DE33C7"/>
    <w:rsid w:val="512F6EC2"/>
    <w:rsid w:val="513242BC"/>
    <w:rsid w:val="513403C7"/>
    <w:rsid w:val="518B38CB"/>
    <w:rsid w:val="518B4FD1"/>
    <w:rsid w:val="518E0C97"/>
    <w:rsid w:val="51E145FD"/>
    <w:rsid w:val="51E51CC3"/>
    <w:rsid w:val="520F62ED"/>
    <w:rsid w:val="52350240"/>
    <w:rsid w:val="52670AC3"/>
    <w:rsid w:val="529A77A5"/>
    <w:rsid w:val="52C5623B"/>
    <w:rsid w:val="53396CC8"/>
    <w:rsid w:val="534D5B9F"/>
    <w:rsid w:val="534E3B27"/>
    <w:rsid w:val="53523F58"/>
    <w:rsid w:val="536C4A8A"/>
    <w:rsid w:val="53B11D35"/>
    <w:rsid w:val="53ED6794"/>
    <w:rsid w:val="53EF1D95"/>
    <w:rsid w:val="542657F3"/>
    <w:rsid w:val="542A50A2"/>
    <w:rsid w:val="542D5399"/>
    <w:rsid w:val="543E14AB"/>
    <w:rsid w:val="54B643C9"/>
    <w:rsid w:val="54CF10E0"/>
    <w:rsid w:val="54DD2BD3"/>
    <w:rsid w:val="553E317D"/>
    <w:rsid w:val="554D2C1E"/>
    <w:rsid w:val="556D7264"/>
    <w:rsid w:val="559230BD"/>
    <w:rsid w:val="55E907A3"/>
    <w:rsid w:val="55E92CB5"/>
    <w:rsid w:val="56325307"/>
    <w:rsid w:val="5659474A"/>
    <w:rsid w:val="56732B47"/>
    <w:rsid w:val="56D504BB"/>
    <w:rsid w:val="570F5D54"/>
    <w:rsid w:val="570F6504"/>
    <w:rsid w:val="5733660F"/>
    <w:rsid w:val="57343CB7"/>
    <w:rsid w:val="573834F1"/>
    <w:rsid w:val="57463334"/>
    <w:rsid w:val="574B6739"/>
    <w:rsid w:val="574D21DE"/>
    <w:rsid w:val="578B6597"/>
    <w:rsid w:val="57942C39"/>
    <w:rsid w:val="57EB2081"/>
    <w:rsid w:val="57FC2F43"/>
    <w:rsid w:val="583F04BE"/>
    <w:rsid w:val="5845276D"/>
    <w:rsid w:val="58641F03"/>
    <w:rsid w:val="58BD4EAA"/>
    <w:rsid w:val="58C534B8"/>
    <w:rsid w:val="58DA20C8"/>
    <w:rsid w:val="58F8378F"/>
    <w:rsid w:val="58FE6BB9"/>
    <w:rsid w:val="592521E5"/>
    <w:rsid w:val="592E0C31"/>
    <w:rsid w:val="5930567C"/>
    <w:rsid w:val="593259F3"/>
    <w:rsid w:val="594531C0"/>
    <w:rsid w:val="59A2106F"/>
    <w:rsid w:val="59A25083"/>
    <w:rsid w:val="59B02771"/>
    <w:rsid w:val="59B64E5B"/>
    <w:rsid w:val="59C41AA5"/>
    <w:rsid w:val="5A196198"/>
    <w:rsid w:val="5A36290A"/>
    <w:rsid w:val="5AAE2321"/>
    <w:rsid w:val="5AB52004"/>
    <w:rsid w:val="5AC454CC"/>
    <w:rsid w:val="5AED7240"/>
    <w:rsid w:val="5B004781"/>
    <w:rsid w:val="5B3C0D3E"/>
    <w:rsid w:val="5B416702"/>
    <w:rsid w:val="5B4E445F"/>
    <w:rsid w:val="5B510FBA"/>
    <w:rsid w:val="5B5E370D"/>
    <w:rsid w:val="5B713427"/>
    <w:rsid w:val="5B733CC7"/>
    <w:rsid w:val="5B8152A6"/>
    <w:rsid w:val="5B964C3B"/>
    <w:rsid w:val="5BF847A4"/>
    <w:rsid w:val="5C1F20CC"/>
    <w:rsid w:val="5C20337F"/>
    <w:rsid w:val="5C4D30E7"/>
    <w:rsid w:val="5C4F430C"/>
    <w:rsid w:val="5C514191"/>
    <w:rsid w:val="5C8B0489"/>
    <w:rsid w:val="5CF73949"/>
    <w:rsid w:val="5D3038FF"/>
    <w:rsid w:val="5D4208CB"/>
    <w:rsid w:val="5DBA71CA"/>
    <w:rsid w:val="5DCB432F"/>
    <w:rsid w:val="5DD6127D"/>
    <w:rsid w:val="5DD956B5"/>
    <w:rsid w:val="5DE04163"/>
    <w:rsid w:val="5DEC7C19"/>
    <w:rsid w:val="5DFC0EB0"/>
    <w:rsid w:val="5E086E60"/>
    <w:rsid w:val="5E5B4B1E"/>
    <w:rsid w:val="5E806603"/>
    <w:rsid w:val="5EDC2437"/>
    <w:rsid w:val="5F0D17C2"/>
    <w:rsid w:val="5F196376"/>
    <w:rsid w:val="5F3C0936"/>
    <w:rsid w:val="5F5A2BA2"/>
    <w:rsid w:val="5F683B20"/>
    <w:rsid w:val="5F6A1B70"/>
    <w:rsid w:val="5F715923"/>
    <w:rsid w:val="5F74528F"/>
    <w:rsid w:val="5F905960"/>
    <w:rsid w:val="5FAD0C82"/>
    <w:rsid w:val="600E16AB"/>
    <w:rsid w:val="603C6B90"/>
    <w:rsid w:val="608B4D11"/>
    <w:rsid w:val="60B146AA"/>
    <w:rsid w:val="60E930B4"/>
    <w:rsid w:val="61034DA8"/>
    <w:rsid w:val="612D5C44"/>
    <w:rsid w:val="61391E0A"/>
    <w:rsid w:val="616A0794"/>
    <w:rsid w:val="61716ECA"/>
    <w:rsid w:val="61984689"/>
    <w:rsid w:val="619B0D95"/>
    <w:rsid w:val="61A00D6C"/>
    <w:rsid w:val="61EC3C39"/>
    <w:rsid w:val="62093EA3"/>
    <w:rsid w:val="620B0745"/>
    <w:rsid w:val="6229181C"/>
    <w:rsid w:val="62293292"/>
    <w:rsid w:val="623C5690"/>
    <w:rsid w:val="624469DA"/>
    <w:rsid w:val="625B2CD4"/>
    <w:rsid w:val="62772330"/>
    <w:rsid w:val="629851A9"/>
    <w:rsid w:val="62B657FF"/>
    <w:rsid w:val="62C03657"/>
    <w:rsid w:val="62DF584D"/>
    <w:rsid w:val="62F96812"/>
    <w:rsid w:val="632D1B08"/>
    <w:rsid w:val="634B6B7B"/>
    <w:rsid w:val="637729C4"/>
    <w:rsid w:val="63813430"/>
    <w:rsid w:val="63A40F54"/>
    <w:rsid w:val="63E76134"/>
    <w:rsid w:val="64383FFB"/>
    <w:rsid w:val="6457654C"/>
    <w:rsid w:val="64834708"/>
    <w:rsid w:val="64A956EF"/>
    <w:rsid w:val="64AC0A38"/>
    <w:rsid w:val="64D43A06"/>
    <w:rsid w:val="64D45316"/>
    <w:rsid w:val="64D7550B"/>
    <w:rsid w:val="651A5C4B"/>
    <w:rsid w:val="653116C9"/>
    <w:rsid w:val="653A164C"/>
    <w:rsid w:val="65B31BCC"/>
    <w:rsid w:val="65B87A10"/>
    <w:rsid w:val="65D35C16"/>
    <w:rsid w:val="6606215B"/>
    <w:rsid w:val="66540648"/>
    <w:rsid w:val="666879C6"/>
    <w:rsid w:val="66B74724"/>
    <w:rsid w:val="66EA1E3B"/>
    <w:rsid w:val="66ED5049"/>
    <w:rsid w:val="671B3499"/>
    <w:rsid w:val="6774663E"/>
    <w:rsid w:val="67956067"/>
    <w:rsid w:val="67B71CB2"/>
    <w:rsid w:val="68031777"/>
    <w:rsid w:val="68353249"/>
    <w:rsid w:val="685272E2"/>
    <w:rsid w:val="68767A40"/>
    <w:rsid w:val="68B03C37"/>
    <w:rsid w:val="68C11D22"/>
    <w:rsid w:val="68D01D60"/>
    <w:rsid w:val="68D575AA"/>
    <w:rsid w:val="68EB7C0C"/>
    <w:rsid w:val="68F0116E"/>
    <w:rsid w:val="68F73295"/>
    <w:rsid w:val="69085BD7"/>
    <w:rsid w:val="69154FCB"/>
    <w:rsid w:val="69680059"/>
    <w:rsid w:val="69882A50"/>
    <w:rsid w:val="69931B97"/>
    <w:rsid w:val="699879F8"/>
    <w:rsid w:val="69C8110F"/>
    <w:rsid w:val="6A287ACE"/>
    <w:rsid w:val="6A544FCD"/>
    <w:rsid w:val="6AC26EA2"/>
    <w:rsid w:val="6AC44695"/>
    <w:rsid w:val="6B477EF6"/>
    <w:rsid w:val="6B513865"/>
    <w:rsid w:val="6B903974"/>
    <w:rsid w:val="6B9A256C"/>
    <w:rsid w:val="6BA373FF"/>
    <w:rsid w:val="6BEB1E5F"/>
    <w:rsid w:val="6C4957FC"/>
    <w:rsid w:val="6C515BF6"/>
    <w:rsid w:val="6C53730E"/>
    <w:rsid w:val="6C5534FB"/>
    <w:rsid w:val="6C61176F"/>
    <w:rsid w:val="6C666306"/>
    <w:rsid w:val="6CCC2D95"/>
    <w:rsid w:val="6D387925"/>
    <w:rsid w:val="6D3E0CE6"/>
    <w:rsid w:val="6D5A7AE3"/>
    <w:rsid w:val="6D6E3F95"/>
    <w:rsid w:val="6DB151E2"/>
    <w:rsid w:val="6DBF39F3"/>
    <w:rsid w:val="6DC0644E"/>
    <w:rsid w:val="6DCF6202"/>
    <w:rsid w:val="6DE71080"/>
    <w:rsid w:val="6E137528"/>
    <w:rsid w:val="6E3E07AD"/>
    <w:rsid w:val="6E80463B"/>
    <w:rsid w:val="6E895A0C"/>
    <w:rsid w:val="6EC56FAA"/>
    <w:rsid w:val="6F22793F"/>
    <w:rsid w:val="6F457884"/>
    <w:rsid w:val="6F531B65"/>
    <w:rsid w:val="6F570F4E"/>
    <w:rsid w:val="6F7C1012"/>
    <w:rsid w:val="6F883155"/>
    <w:rsid w:val="6F8C7070"/>
    <w:rsid w:val="6F9E118C"/>
    <w:rsid w:val="6FA2085B"/>
    <w:rsid w:val="6FE70842"/>
    <w:rsid w:val="6FEA4E60"/>
    <w:rsid w:val="6FF53E70"/>
    <w:rsid w:val="700713B2"/>
    <w:rsid w:val="701A2DBF"/>
    <w:rsid w:val="703D260A"/>
    <w:rsid w:val="70642ED3"/>
    <w:rsid w:val="70763652"/>
    <w:rsid w:val="70A15996"/>
    <w:rsid w:val="70A2792D"/>
    <w:rsid w:val="70C0193D"/>
    <w:rsid w:val="70F43E95"/>
    <w:rsid w:val="713779A1"/>
    <w:rsid w:val="715168D7"/>
    <w:rsid w:val="71806AFE"/>
    <w:rsid w:val="718A55DC"/>
    <w:rsid w:val="71FE5EAA"/>
    <w:rsid w:val="720C6BF9"/>
    <w:rsid w:val="72447793"/>
    <w:rsid w:val="724E26A6"/>
    <w:rsid w:val="727601AB"/>
    <w:rsid w:val="72953F4C"/>
    <w:rsid w:val="72BA2638"/>
    <w:rsid w:val="72E24278"/>
    <w:rsid w:val="72F247EE"/>
    <w:rsid w:val="73046E24"/>
    <w:rsid w:val="73117CBC"/>
    <w:rsid w:val="731D3DC6"/>
    <w:rsid w:val="73501BC3"/>
    <w:rsid w:val="73785811"/>
    <w:rsid w:val="73843B37"/>
    <w:rsid w:val="73AA2AB8"/>
    <w:rsid w:val="73D8014A"/>
    <w:rsid w:val="73F076FD"/>
    <w:rsid w:val="7448595E"/>
    <w:rsid w:val="74490D87"/>
    <w:rsid w:val="746E1E39"/>
    <w:rsid w:val="74A148F5"/>
    <w:rsid w:val="74A25915"/>
    <w:rsid w:val="74D0444D"/>
    <w:rsid w:val="750000AA"/>
    <w:rsid w:val="750A7ABF"/>
    <w:rsid w:val="754931B4"/>
    <w:rsid w:val="75706FDE"/>
    <w:rsid w:val="75775492"/>
    <w:rsid w:val="759077E6"/>
    <w:rsid w:val="75940C8C"/>
    <w:rsid w:val="75BB2BFD"/>
    <w:rsid w:val="75C624A0"/>
    <w:rsid w:val="75C940ED"/>
    <w:rsid w:val="75CE763E"/>
    <w:rsid w:val="75E83013"/>
    <w:rsid w:val="765748C8"/>
    <w:rsid w:val="76680ED5"/>
    <w:rsid w:val="76AC7129"/>
    <w:rsid w:val="76D15FF3"/>
    <w:rsid w:val="76D71D89"/>
    <w:rsid w:val="773C2D8E"/>
    <w:rsid w:val="77550A67"/>
    <w:rsid w:val="77B83BB6"/>
    <w:rsid w:val="77BA2D12"/>
    <w:rsid w:val="7855561B"/>
    <w:rsid w:val="7856695F"/>
    <w:rsid w:val="7866427B"/>
    <w:rsid w:val="78B06E49"/>
    <w:rsid w:val="78F70F79"/>
    <w:rsid w:val="78F732D8"/>
    <w:rsid w:val="790F1791"/>
    <w:rsid w:val="791F3849"/>
    <w:rsid w:val="797350BA"/>
    <w:rsid w:val="79775EC9"/>
    <w:rsid w:val="799464C4"/>
    <w:rsid w:val="79D00415"/>
    <w:rsid w:val="79EE2754"/>
    <w:rsid w:val="7A1A7F37"/>
    <w:rsid w:val="7A1C7B11"/>
    <w:rsid w:val="7A227394"/>
    <w:rsid w:val="7A2F4AE0"/>
    <w:rsid w:val="7A37206F"/>
    <w:rsid w:val="7A741385"/>
    <w:rsid w:val="7A7E5483"/>
    <w:rsid w:val="7A7E56CA"/>
    <w:rsid w:val="7AAF231C"/>
    <w:rsid w:val="7ABD1167"/>
    <w:rsid w:val="7AC84743"/>
    <w:rsid w:val="7AEC20F3"/>
    <w:rsid w:val="7B2F1AD6"/>
    <w:rsid w:val="7B7027FC"/>
    <w:rsid w:val="7B740622"/>
    <w:rsid w:val="7B7848C7"/>
    <w:rsid w:val="7B8D786E"/>
    <w:rsid w:val="7B994BC5"/>
    <w:rsid w:val="7BDC7402"/>
    <w:rsid w:val="7BE145C1"/>
    <w:rsid w:val="7C152DD9"/>
    <w:rsid w:val="7C520931"/>
    <w:rsid w:val="7CD535CF"/>
    <w:rsid w:val="7D34076E"/>
    <w:rsid w:val="7D4C75A5"/>
    <w:rsid w:val="7D53381A"/>
    <w:rsid w:val="7D624404"/>
    <w:rsid w:val="7D7477AD"/>
    <w:rsid w:val="7DBB0FE6"/>
    <w:rsid w:val="7DEB2B99"/>
    <w:rsid w:val="7DF25444"/>
    <w:rsid w:val="7DF27933"/>
    <w:rsid w:val="7E1A21B9"/>
    <w:rsid w:val="7E2C708B"/>
    <w:rsid w:val="7E6B4778"/>
    <w:rsid w:val="7E9B2B28"/>
    <w:rsid w:val="7EB910BD"/>
    <w:rsid w:val="7F476E1E"/>
    <w:rsid w:val="7FA15EE9"/>
    <w:rsid w:val="7FA77E3B"/>
    <w:rsid w:val="7FF10E47"/>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tLeast"/>
      <w:outlineLvl w:val="0"/>
    </w:pPr>
    <w:rPr>
      <w:b/>
      <w:bCs/>
      <w:kern w:val="44"/>
      <w:sz w:val="44"/>
      <w:szCs w:val="44"/>
    </w:rPr>
  </w:style>
  <w:style w:type="paragraph" w:styleId="3">
    <w:name w:val="heading 2"/>
    <w:basedOn w:val="1"/>
    <w:next w:val="1"/>
    <w:unhideWhenUsed/>
    <w:qFormat/>
    <w:uiPriority w:val="0"/>
    <w:pPr>
      <w:numPr>
        <w:ilvl w:val="0"/>
        <w:numId w:val="1"/>
      </w:numPr>
      <w:spacing w:line="360" w:lineRule="auto"/>
      <w:ind w:firstLine="480" w:firstLineChars="200"/>
      <w:jc w:val="left"/>
      <w:outlineLvl w:val="1"/>
    </w:pPr>
    <w:rPr>
      <w:rFonts w:ascii="Arial" w:hAnsi="Arial" w:eastAsia="宋体" w:cs="Times New Roman"/>
      <w:color w:val="000000" w:themeColor="text1"/>
      <w:sz w:val="24"/>
      <w:szCs w:val="24"/>
    </w:rPr>
  </w:style>
  <w:style w:type="character" w:default="1" w:styleId="8">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4">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5">
    <w:name w:val="Body Text"/>
    <w:basedOn w:val="1"/>
    <w:qFormat/>
    <w:uiPriority w:val="1"/>
    <w:rPr>
      <w:sz w:val="24"/>
    </w:rPr>
  </w:style>
  <w:style w:type="paragraph" w:styleId="6">
    <w:name w:val="footer"/>
    <w:basedOn w:val="1"/>
    <w:qFormat/>
    <w:uiPriority w:val="99"/>
    <w:pPr>
      <w:tabs>
        <w:tab w:val="center" w:pos="4153"/>
        <w:tab w:val="right" w:pos="8306"/>
      </w:tabs>
      <w:snapToGrid w:val="0"/>
      <w:jc w:val="left"/>
    </w:pPr>
    <w:rPr>
      <w:kern w:val="0"/>
      <w:sz w:val="18"/>
      <w:szCs w:val="18"/>
    </w:rPr>
  </w:style>
  <w:style w:type="paragraph" w:styleId="7">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character" w:styleId="9">
    <w:name w:val="Strong"/>
    <w:basedOn w:val="8"/>
    <w:qFormat/>
    <w:uiPriority w:val="0"/>
    <w:rPr>
      <w:b/>
    </w:rPr>
  </w:style>
  <w:style w:type="character" w:styleId="10">
    <w:name w:val="FollowedHyperlink"/>
    <w:basedOn w:val="8"/>
    <w:unhideWhenUsed/>
    <w:qFormat/>
    <w:uiPriority w:val="0"/>
    <w:rPr>
      <w:color w:val="0091F2"/>
      <w:sz w:val="18"/>
      <w:szCs w:val="18"/>
      <w:u w:val="none"/>
    </w:rPr>
  </w:style>
  <w:style w:type="character" w:styleId="11">
    <w:name w:val="Hyperlink"/>
    <w:basedOn w:val="8"/>
    <w:unhideWhenUsed/>
    <w:qFormat/>
    <w:uiPriority w:val="0"/>
    <w:rPr>
      <w:color w:val="0091F2"/>
      <w:sz w:val="18"/>
      <w:szCs w:val="18"/>
      <w:u w:val="none"/>
    </w:rPr>
  </w:style>
  <w:style w:type="character" w:styleId="12">
    <w:name w:val="HTML Code"/>
    <w:basedOn w:val="8"/>
    <w:unhideWhenUsed/>
    <w:qFormat/>
    <w:uiPriority w:val="0"/>
    <w:rPr>
      <w:rFonts w:ascii="Courier New" w:hAnsi="Courier New"/>
      <w:sz w:val="20"/>
    </w:rPr>
  </w:style>
  <w:style w:type="table" w:styleId="14">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5">
    <w:name w:val="列表段落1"/>
    <w:basedOn w:val="1"/>
    <w:qFormat/>
    <w:uiPriority w:val="34"/>
    <w:pPr>
      <w:spacing w:before="206"/>
      <w:ind w:left="959" w:hanging="361"/>
    </w:pPr>
  </w:style>
  <w:style w:type="character" w:customStyle="1" w:styleId="16">
    <w:name w:val="cd_message"/>
    <w:basedOn w:val="8"/>
    <w:qFormat/>
    <w:uiPriority w:val="0"/>
  </w:style>
  <w:style w:type="paragraph" w:customStyle="1" w:styleId="17">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8">
    <w:name w:val="列出段落1"/>
    <w:basedOn w:val="1"/>
    <w:qFormat/>
    <w:uiPriority w:val="99"/>
    <w:pPr>
      <w:ind w:firstLine="420" w:firstLineChars="200"/>
    </w:pPr>
  </w:style>
  <w:style w:type="character" w:customStyle="1" w:styleId="19">
    <w:name w:val="页眉 Char"/>
    <w:basedOn w:val="8"/>
    <w:link w:val="7"/>
    <w:qFormat/>
    <w:uiPriority w:val="0"/>
    <w:rPr>
      <w:kern w:val="2"/>
      <w:sz w:val="18"/>
      <w:szCs w:val="18"/>
    </w:rPr>
  </w:style>
  <w:style w:type="character" w:customStyle="1" w:styleId="20">
    <w:name w:val="common_over_page_btn1"/>
    <w:basedOn w:val="8"/>
    <w:qFormat/>
    <w:uiPriority w:val="0"/>
  </w:style>
  <w:style w:type="character" w:customStyle="1" w:styleId="21">
    <w:name w:val="common_over_page_btn2"/>
    <w:basedOn w:val="8"/>
    <w:qFormat/>
    <w:uiPriority w:val="0"/>
    <w:rPr>
      <w:color w:val="999999"/>
      <w:bdr w:val="single" w:color="D4D4D4" w:sz="6" w:space="0"/>
      <w:shd w:val="clear" w:color="auto" w:fill="FFFFFF"/>
    </w:rPr>
  </w:style>
  <w:style w:type="paragraph" w:customStyle="1" w:styleId="22">
    <w:name w:val="Table Paragraph"/>
    <w:basedOn w:val="1"/>
    <w:qFormat/>
    <w:uiPriority w:val="1"/>
  </w:style>
  <w:style w:type="paragraph" w:customStyle="1" w:styleId="23">
    <w:name w:val="List Paragraph"/>
    <w:basedOn w:val="1"/>
    <w:qFormat/>
    <w:uiPriority w:val="34"/>
    <w:pPr>
      <w:ind w:firstLine="420" w:firstLineChars="200"/>
    </w:pPr>
  </w:style>
  <w:style w:type="paragraph" w:customStyle="1" w:styleId="24">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4636</Words>
  <Characters>5005</Characters>
  <Lines>36</Lines>
  <Paragraphs>10</Paragraphs>
  <TotalTime>4</TotalTime>
  <ScaleCrop>false</ScaleCrop>
  <LinksUpToDate>false</LinksUpToDate>
  <CharactersWithSpaces>5171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2023-04-21T06:05:22Z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