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spacing w:before="5"/>
        <w:rPr>
          <w:rFonts w:ascii="Times New Roman"/>
          <w:sz w:val="20"/>
        </w:rPr>
      </w:pP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keepNext w:val="0"/>
        <w:keepLines w:val="0"/>
        <w:pageBreakBefore w:val="0"/>
        <w:kinsoku/>
        <w:wordWrap/>
        <w:overflowPunct/>
        <w:topLinePunct w:val="0"/>
        <w:bidi w:val="0"/>
        <w:snapToGrid/>
        <w:spacing w:line="600" w:lineRule="exact"/>
        <w:ind w:firstLine="680" w:firstLineChars="200"/>
        <w:jc w:val="both"/>
      </w:pPr>
    </w:p>
    <w:p>
      <w:pPr>
        <w:keepNext w:val="0"/>
        <w:keepLines w:val="0"/>
        <w:pageBreakBefore w:val="0"/>
        <w:kinsoku/>
        <w:wordWrap/>
        <w:overflowPunct/>
        <w:topLinePunct w:val="0"/>
        <w:bidi w:val="0"/>
        <w:snapToGrid/>
        <w:spacing w:line="600" w:lineRule="exact"/>
        <w:ind w:firstLine="643" w:firstLineChars="200"/>
        <w:jc w:val="center"/>
        <w:rPr>
          <w:b/>
          <w:bCs/>
          <w:sz w:val="32"/>
          <w:lang w:eastAsia="zh-CN"/>
        </w:rPr>
      </w:pPr>
      <w:r>
        <w:rPr>
          <w:rFonts w:hint="eastAsia"/>
          <w:b/>
          <w:bCs/>
          <w:sz w:val="32"/>
          <w:lang w:eastAsia="zh-CN"/>
        </w:rPr>
        <w:t>福建福海创石油化工有限公司</w:t>
      </w:r>
      <w:r>
        <w:rPr>
          <w:rFonts w:hint="eastAsia"/>
          <w:b/>
          <w:bCs/>
          <w:sz w:val="32"/>
          <w:lang w:val="en-US" w:eastAsia="zh-CN"/>
        </w:rPr>
        <w:t>2台高压气动开关球</w:t>
      </w:r>
      <w:r>
        <w:rPr>
          <w:rFonts w:hint="eastAsia"/>
          <w:b/>
          <w:bCs/>
          <w:sz w:val="32"/>
          <w:lang w:eastAsia="zh-CN"/>
        </w:rPr>
        <w:t>阀采购项</w:t>
      </w:r>
      <w:r>
        <w:rPr>
          <w:b/>
          <w:bCs/>
          <w:sz w:val="32"/>
          <w:lang w:eastAsia="zh-CN"/>
        </w:rPr>
        <w:t>目</w:t>
      </w:r>
      <w:r>
        <w:rPr>
          <w:rFonts w:hint="eastAsia"/>
          <w:b/>
          <w:bCs/>
          <w:sz w:val="32"/>
          <w:lang w:eastAsia="zh-CN"/>
        </w:rPr>
        <w:t>比选公告</w:t>
      </w:r>
    </w:p>
    <w:p>
      <w:pPr>
        <w:pStyle w:val="21"/>
        <w:keepNext w:val="0"/>
        <w:keepLines w:val="0"/>
        <w:pageBreakBefore w:val="0"/>
        <w:kinsoku/>
        <w:wordWrap/>
        <w:overflowPunct/>
        <w:topLinePunct w:val="0"/>
        <w:bidi w:val="0"/>
        <w:snapToGrid/>
        <w:spacing w:line="600" w:lineRule="exact"/>
        <w:ind w:firstLine="562" w:firstLineChars="200"/>
        <w:jc w:val="both"/>
        <w:rPr>
          <w:b/>
          <w:sz w:val="28"/>
          <w:lang w:eastAsia="zh-CN"/>
        </w:rPr>
      </w:pPr>
    </w:p>
    <w:p>
      <w:pPr>
        <w:pStyle w:val="21"/>
        <w:keepNext w:val="0"/>
        <w:keepLines w:val="0"/>
        <w:pageBreakBefore w:val="0"/>
        <w:kinsoku/>
        <w:wordWrap/>
        <w:overflowPunct/>
        <w:topLinePunct w:val="0"/>
        <w:bidi w:val="0"/>
        <w:snapToGrid/>
        <w:spacing w:before="26" w:line="600" w:lineRule="exact"/>
        <w:ind w:right="121" w:firstLine="480" w:firstLineChars="200"/>
        <w:jc w:val="both"/>
        <w:rPr>
          <w:lang w:eastAsia="zh-CN"/>
        </w:rPr>
      </w:pPr>
      <w:bookmarkStart w:id="16" w:name="_GoBack"/>
      <w:bookmarkEnd w:id="16"/>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2台高压气动开关球</w:t>
      </w:r>
      <w:r>
        <w:rPr>
          <w:rFonts w:hint="eastAsia"/>
          <w:color w:val="000000" w:themeColor="text1"/>
          <w:u w:val="single"/>
          <w:lang w:eastAsia="zh-CN"/>
        </w:rPr>
        <w:t>阀采购项目（项目编号：QG2302150031）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2台高压气动开关球</w:t>
      </w:r>
      <w:r>
        <w:rPr>
          <w:rFonts w:hint="eastAsia"/>
          <w:sz w:val="24"/>
          <w:szCs w:val="24"/>
          <w:lang w:eastAsia="zh-CN"/>
        </w:rPr>
        <w:t>阀采购项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both"/>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r>
              <w:rPr>
                <w:rFonts w:hint="eastAsia" w:cs="宋体"/>
                <w:i w:val="0"/>
                <w:iCs w:val="0"/>
                <w:color w:val="000000"/>
                <w:kern w:val="0"/>
                <w:sz w:val="18"/>
                <w:szCs w:val="18"/>
                <w:u w:val="none"/>
                <w:lang w:val="en-US" w:eastAsia="zh-CN" w:bidi="ar"/>
              </w:rPr>
              <w:t>23060119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高压气动开关球阀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12</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CL1500\阀盖：散热型\阀体材质：ASTMA182F11\固定球\Ⅵ泄露\单作用\开关类型\：SPDT*2\带侧装手轮\规格书\需签技术协议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both"/>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2</w:t>
            </w:r>
          </w:p>
        </w:tc>
      </w:tr>
    </w:tbl>
    <w:p>
      <w:pPr>
        <w:keepNext w:val="0"/>
        <w:keepLines w:val="0"/>
        <w:pageBreakBefore w:val="0"/>
        <w:numPr>
          <w:numId w:val="0"/>
        </w:numPr>
        <w:tabs>
          <w:tab w:val="left" w:pos="709"/>
        </w:tabs>
        <w:kinsoku/>
        <w:wordWrap/>
        <w:overflowPunct/>
        <w:topLinePunct w:val="0"/>
        <w:bidi w:val="0"/>
        <w:snapToGrid/>
        <w:spacing w:line="600" w:lineRule="exact"/>
        <w:ind w:firstLine="480" w:firstLineChars="200"/>
        <w:jc w:val="both"/>
        <w:rPr>
          <w:rFonts w:hint="eastAsia" w:ascii="宋体" w:hAnsi="宋体"/>
          <w:b w:val="0"/>
          <w:bCs w:val="0"/>
          <w:sz w:val="24"/>
        </w:rPr>
      </w:pPr>
    </w:p>
    <w:p>
      <w:pPr>
        <w:keepNext w:val="0"/>
        <w:keepLines w:val="0"/>
        <w:pageBreakBefore w:val="0"/>
        <w:numPr>
          <w:numId w:val="0"/>
        </w:numPr>
        <w:tabs>
          <w:tab w:val="left" w:pos="709"/>
        </w:tabs>
        <w:kinsoku/>
        <w:wordWrap/>
        <w:overflowPunct/>
        <w:topLinePunct w:val="0"/>
        <w:bidi w:val="0"/>
        <w:snapToGrid/>
        <w:spacing w:line="600" w:lineRule="exact"/>
        <w:ind w:firstLine="480" w:firstLineChars="200"/>
        <w:jc w:val="both"/>
        <w:rPr>
          <w:rFonts w:hint="eastAsia"/>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numPr>
          <w:ilvl w:val="0"/>
          <w:numId w:val="0"/>
        </w:numPr>
        <w:tabs>
          <w:tab w:val="left" w:pos="709"/>
        </w:tabs>
        <w:kinsoku/>
        <w:wordWrap/>
        <w:overflowPunct/>
        <w:topLinePunct w:val="0"/>
        <w:bidi w:val="0"/>
        <w:snapToGrid/>
        <w:spacing w:line="600" w:lineRule="exact"/>
        <w:ind w:firstLine="480" w:firstLineChars="200"/>
        <w:jc w:val="both"/>
        <w:rPr>
          <w:rFonts w:hint="default" w:ascii="宋体" w:hAnsi="宋体"/>
          <w:b w:val="0"/>
          <w:bCs w:val="0"/>
          <w:sz w:val="24"/>
          <w:lang w:val="en-US" w:eastAsia="zh-CN"/>
        </w:rPr>
      </w:pPr>
      <w:r>
        <w:rPr>
          <w:rFonts w:hint="eastAsia" w:ascii="宋体" w:hAnsi="宋体"/>
          <w:b w:val="0"/>
          <w:bCs w:val="0"/>
          <w:sz w:val="24"/>
          <w:lang w:val="en-US" w:eastAsia="zh-CN"/>
        </w:rPr>
        <w:t>4.</w:t>
      </w:r>
      <w:r>
        <w:rPr>
          <w:rFonts w:hint="eastAsia"/>
          <w:b w:val="0"/>
          <w:bCs w:val="0"/>
          <w:sz w:val="24"/>
          <w:lang w:val="en-US" w:eastAsia="zh-CN"/>
        </w:rPr>
        <w:t>本项目设置最高限价130万元整（含税总价）。</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snapToGrid/>
        <w:spacing w:line="600" w:lineRule="exact"/>
        <w:ind w:firstLine="480" w:firstLineChars="200"/>
        <w:jc w:val="both"/>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pStyle w:val="56"/>
        <w:keepNext w:val="0"/>
        <w:keepLines w:val="0"/>
        <w:pageBreakBefore w:val="0"/>
        <w:kinsoku/>
        <w:wordWrap/>
        <w:overflowPunct/>
        <w:topLinePunct w:val="0"/>
        <w:bidi w:val="0"/>
        <w:snapToGrid/>
        <w:spacing w:line="600" w:lineRule="exact"/>
        <w:ind w:firstLine="480" w:firstLineChars="200"/>
        <w:jc w:val="both"/>
        <w:rPr>
          <w:rFonts w:hint="default"/>
          <w:lang w:val="en-US" w:eastAsia="zh-CN"/>
        </w:rPr>
      </w:pPr>
      <w:r>
        <w:rPr>
          <w:rFonts w:hint="eastAsia"/>
          <w:color w:val="auto"/>
          <w:sz w:val="24"/>
          <w:szCs w:val="24"/>
          <w:lang w:eastAsia="zh-CN"/>
        </w:rPr>
        <w:t>4.参选人提供的阀门应该是成熟可靠、技术先进、在国内石油化工类型、近三年同规模装置至少有1处主装置(且安装投用)，单个合同总价≥50万元，数量≥2台调节阀的合同业绩。</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3月23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numPr>
          <w:numId w:val="0"/>
        </w:numPr>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kinsoku/>
        <w:wordWrap/>
        <w:overflowPunct/>
        <w:topLinePunct w:val="0"/>
        <w:bidi w:val="0"/>
        <w:snapToGrid/>
        <w:spacing w:before="15" w:line="600" w:lineRule="exact"/>
        <w:ind w:firstLine="534" w:firstLineChars="200"/>
        <w:jc w:val="both"/>
        <w:rPr>
          <w:b/>
          <w:w w:val="95"/>
          <w:sz w:val="28"/>
          <w:lang w:eastAsia="zh-CN"/>
        </w:rPr>
      </w:pPr>
      <w:r>
        <w:rPr>
          <w:rFonts w:hint="eastAsia"/>
          <w:b/>
          <w:w w:val="95"/>
          <w:sz w:val="28"/>
          <w:lang w:val="en-US" w:eastAsia="zh-CN"/>
        </w:rPr>
        <w:t>四、</w:t>
      </w:r>
      <w:r>
        <w:rPr>
          <w:b/>
          <w:w w:val="95"/>
          <w:sz w:val="28"/>
          <w:lang w:eastAsia="zh-CN"/>
        </w:rPr>
        <w:t>评选办法</w:t>
      </w:r>
    </w:p>
    <w:p>
      <w:pPr>
        <w:pStyle w:val="2"/>
        <w:keepNext w:val="0"/>
        <w:keepLines w:val="0"/>
        <w:pageBreakBefore w:val="0"/>
        <w:kinsoku/>
        <w:wordWrap/>
        <w:overflowPunct/>
        <w:topLinePunct w:val="0"/>
        <w:bidi w:val="0"/>
        <w:snapToGrid/>
        <w:spacing w:line="600" w:lineRule="exact"/>
        <w:ind w:left="0" w:leftChars="0" w:firstLine="480" w:firstLineChars="200"/>
        <w:jc w:val="both"/>
        <w:rPr>
          <w:color w:val="000000"/>
          <w:sz w:val="24"/>
          <w:szCs w:val="24"/>
          <w:shd w:val="clear" w:color="auto" w:fill="FFFFFF"/>
          <w:lang w:eastAsia="zh-CN"/>
        </w:rPr>
      </w:pPr>
      <w:r>
        <w:rPr>
          <w:rFonts w:hint="eastAsia" w:ascii="宋体" w:hAnsi="宋体" w:cs="宋体"/>
          <w:i w:val="0"/>
          <w:iCs w:val="0"/>
          <w:color w:val="000000" w:themeColor="text1"/>
          <w:sz w:val="24"/>
          <w:szCs w:val="24"/>
          <w:lang w:val="en-US" w:eastAsia="zh-CN" w:bidi="ar-SA"/>
        </w:rPr>
        <w:t>1.</w:t>
      </w:r>
      <w:r>
        <w:rPr>
          <w:rFonts w:hint="eastAsia" w:ascii="宋体" w:hAnsi="宋体" w:eastAsia="宋体" w:cs="宋体"/>
          <w:i w:val="0"/>
          <w:iCs w:val="0"/>
          <w:color w:val="000000" w:themeColor="text1"/>
          <w:sz w:val="24"/>
          <w:szCs w:val="24"/>
          <w:lang w:val="en-US" w:eastAsia="zh-CN" w:bidi="ar-SA"/>
        </w:rPr>
        <w:t>采用商务报价决标评选的方式，从价格和付款方式两方面进行评选，满足</w:t>
      </w:r>
    </w:p>
    <w:p>
      <w:pPr>
        <w:keepNext w:val="0"/>
        <w:keepLines w:val="0"/>
        <w:pageBreakBefore w:val="0"/>
        <w:kinsoku/>
        <w:wordWrap/>
        <w:overflowPunct/>
        <w:topLinePunct w:val="0"/>
        <w:bidi w:val="0"/>
        <w:snapToGrid/>
        <w:spacing w:before="15" w:line="600" w:lineRule="exact"/>
        <w:ind w:firstLine="480" w:firstLineChars="200"/>
        <w:jc w:val="both"/>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kinsoku/>
        <w:wordWrap/>
        <w:overflowPunct/>
        <w:topLinePunct w:val="0"/>
        <w:bidi w:val="0"/>
        <w:snapToGrid/>
        <w:spacing w:before="15" w:line="600" w:lineRule="exact"/>
        <w:ind w:firstLine="480" w:firstLineChars="200"/>
        <w:jc w:val="both"/>
        <w:rPr>
          <w:rFonts w:hint="default"/>
          <w:lang w:val="en-US"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keepNext w:val="0"/>
        <w:keepLines w:val="0"/>
        <w:pageBreakBefore w:val="0"/>
        <w:tabs>
          <w:tab w:val="left" w:pos="709"/>
        </w:tabs>
        <w:kinsoku/>
        <w:wordWrap/>
        <w:overflowPunct/>
        <w:topLinePunct w:val="0"/>
        <w:bidi w:val="0"/>
        <w:snapToGrid/>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keepNext w:val="0"/>
        <w:keepLines w:val="0"/>
        <w:pageBreakBefore w:val="0"/>
        <w:tabs>
          <w:tab w:val="left" w:pos="709"/>
        </w:tabs>
        <w:kinsoku/>
        <w:wordWrap/>
        <w:overflowPunct/>
        <w:topLinePunct w:val="0"/>
        <w:bidi w:val="0"/>
        <w:snapToGrid/>
        <w:spacing w:line="600" w:lineRule="exact"/>
        <w:ind w:firstLine="534" w:firstLineChars="200"/>
        <w:jc w:val="both"/>
        <w:rPr>
          <w:b/>
          <w:w w:val="95"/>
          <w:sz w:val="28"/>
          <w:lang w:eastAsia="zh-CN"/>
        </w:rPr>
      </w:pPr>
      <w:r>
        <w:rPr>
          <w:rFonts w:hint="eastAsia"/>
          <w:b/>
          <w:w w:val="95"/>
          <w:sz w:val="28"/>
          <w:lang w:val="en-US" w:eastAsia="zh-CN"/>
        </w:rPr>
        <w:t>六</w:t>
      </w:r>
      <w:r>
        <w:rPr>
          <w:b/>
          <w:w w:val="95"/>
          <w:sz w:val="28"/>
          <w:lang w:eastAsia="zh-CN"/>
        </w:rPr>
        <w:t>、参选保证金</w:t>
      </w:r>
    </w:p>
    <w:p>
      <w:pPr>
        <w:keepNext w:val="0"/>
        <w:keepLines w:val="0"/>
        <w:pageBreakBefore w:val="0"/>
        <w:widowControl/>
        <w:kinsoku/>
        <w:wordWrap/>
        <w:overflowPunct/>
        <w:topLinePunct w:val="0"/>
        <w:autoSpaceDE/>
        <w:autoSpaceDN/>
        <w:bidi w:val="0"/>
        <w:snapToGrid/>
        <w:spacing w:line="600" w:lineRule="exact"/>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26000</w:t>
      </w:r>
      <w:r>
        <w:rPr>
          <w:rFonts w:hint="eastAsia" w:cs="Arial" w:asciiTheme="majorEastAsia" w:hAnsiTheme="majorEastAsia" w:eastAsiaTheme="majorEastAsia"/>
          <w:color w:val="333333"/>
          <w:sz w:val="24"/>
          <w:szCs w:val="24"/>
          <w:lang w:eastAsia="zh-CN"/>
        </w:rPr>
        <w:t>.00元）；</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2台高压气动开关球</w:t>
      </w:r>
      <w:r>
        <w:rPr>
          <w:rFonts w:hint="eastAsia" w:cs="Arial" w:asciiTheme="majorEastAsia" w:hAnsiTheme="majorEastAsia" w:eastAsiaTheme="majorEastAsia"/>
          <w:b/>
          <w:bCs/>
          <w:color w:val="333333"/>
          <w:sz w:val="24"/>
          <w:szCs w:val="24"/>
          <w:lang w:eastAsia="zh-CN"/>
        </w:rPr>
        <w:t>阀</w:t>
      </w:r>
      <w:r>
        <w:rPr>
          <w:rFonts w:hint="eastAsia" w:cs="Arial" w:asciiTheme="majorEastAsia" w:hAnsiTheme="majorEastAsia" w:eastAsiaTheme="majorEastAsia"/>
          <w:b/>
          <w:color w:val="333333"/>
          <w:sz w:val="24"/>
          <w:szCs w:val="24"/>
          <w:lang w:eastAsia="zh-CN"/>
        </w:rPr>
        <w:t>参选保证金</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1"/>
        <w:keepNext w:val="0"/>
        <w:keepLines w:val="0"/>
        <w:pageBreakBefore w:val="0"/>
        <w:kinsoku/>
        <w:wordWrap/>
        <w:overflowPunct/>
        <w:topLinePunct w:val="0"/>
        <w:bidi w:val="0"/>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1"/>
        <w:keepNext w:val="0"/>
        <w:keepLines w:val="0"/>
        <w:pageBreakBefore w:val="0"/>
        <w:kinsoku/>
        <w:wordWrap/>
        <w:overflowPunct/>
        <w:topLinePunct w:val="0"/>
        <w:bidi w:val="0"/>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1"/>
        <w:keepNext w:val="0"/>
        <w:keepLines w:val="0"/>
        <w:pageBreakBefore w:val="0"/>
        <w:kinsoku/>
        <w:wordWrap/>
        <w:overflowPunct/>
        <w:topLinePunct w:val="0"/>
        <w:bidi w:val="0"/>
        <w:snapToGrid/>
        <w:spacing w:line="600" w:lineRule="exact"/>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w:t>
      </w:r>
      <w:r>
        <w:rPr>
          <w:rFonts w:hint="default"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1"/>
        <w:keepNext w:val="0"/>
        <w:keepLines w:val="0"/>
        <w:pageBreakBefore w:val="0"/>
        <w:kinsoku/>
        <w:wordWrap/>
        <w:overflowPunct/>
        <w:topLinePunct w:val="0"/>
        <w:bidi w:val="0"/>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1"/>
        <w:keepNext w:val="0"/>
        <w:keepLines w:val="0"/>
        <w:pageBreakBefore w:val="0"/>
        <w:kinsoku/>
        <w:wordWrap/>
        <w:overflowPunct/>
        <w:topLinePunct w:val="0"/>
        <w:bidi w:val="0"/>
        <w:snapToGrid/>
        <w:spacing w:line="600" w:lineRule="exact"/>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keepNext w:val="0"/>
        <w:keepLines w:val="0"/>
        <w:pageBreakBefore w:val="0"/>
        <w:widowControl/>
        <w:kinsoku/>
        <w:wordWrap/>
        <w:overflowPunct/>
        <w:topLinePunct w:val="0"/>
        <w:autoSpaceDE/>
        <w:autoSpaceDN/>
        <w:bidi w:val="0"/>
        <w:snapToGrid/>
        <w:spacing w:line="600" w:lineRule="exact"/>
        <w:ind w:firstLine="480" w:firstLineChars="20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1"/>
        <w:keepNext w:val="0"/>
        <w:keepLines w:val="0"/>
        <w:pageBreakBefore w:val="0"/>
        <w:kinsoku/>
        <w:wordWrap/>
        <w:overflowPunct/>
        <w:topLinePunct w:val="0"/>
        <w:bidi w:val="0"/>
        <w:snapToGrid/>
        <w:spacing w:line="600" w:lineRule="exact"/>
        <w:ind w:right="121" w:firstLine="480" w:firstLineChars="200"/>
        <w:jc w:val="both"/>
        <w:rPr>
          <w:lang w:eastAsia="zh-CN"/>
        </w:rPr>
      </w:pPr>
    </w:p>
    <w:p>
      <w:pPr>
        <w:keepNext w:val="0"/>
        <w:keepLines w:val="0"/>
        <w:pageBreakBefore w:val="0"/>
        <w:kinsoku/>
        <w:wordWrap/>
        <w:overflowPunct/>
        <w:topLinePunct w:val="0"/>
        <w:bidi w:val="0"/>
        <w:snapToGrid/>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snapToGrid/>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13</w:t>
      </w:r>
      <w:r>
        <w:rPr>
          <w:rFonts w:hint="eastAsia"/>
          <w:color w:val="000000" w:themeColor="text1"/>
          <w:sz w:val="24"/>
          <w:szCs w:val="24"/>
          <w:lang w:eastAsia="zh-CN"/>
        </w:rPr>
        <w:t>日</w:t>
      </w:r>
    </w:p>
    <w:p>
      <w:pPr>
        <w:pStyle w:val="56"/>
        <w:sectPr>
          <w:footerReference r:id="rId3" w:type="default"/>
          <w:pgSz w:w="11910" w:h="16840"/>
          <w:pgMar w:top="1500" w:right="1020" w:bottom="740" w:left="1300" w:header="0" w:footer="551" w:gutter="0"/>
          <w:cols w:space="720" w:num="1"/>
        </w:sectPr>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2台高压气动开关球</w:t>
      </w:r>
      <w:r>
        <w:rPr>
          <w:rFonts w:hint="eastAsia"/>
          <w:sz w:val="24"/>
          <w:szCs w:val="24"/>
          <w:lang w:eastAsia="zh-CN"/>
        </w:rPr>
        <w:t>阀。</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1"/>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唐凤玉 15059611803, fytang@fhcpec.com.cn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3"/>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.参选人要有特种设备制造许可证 A1、A2、B。</w:t>
      </w:r>
    </w:p>
    <w:p>
      <w:pPr>
        <w:pStyle w:val="21"/>
        <w:spacing w:line="360" w:lineRule="auto"/>
        <w:ind w:right="121" w:firstLine="480" w:firstLineChars="200"/>
        <w:jc w:val="both"/>
        <w:rPr>
          <w:rFonts w:hint="eastAsia"/>
          <w:color w:val="000000" w:themeColor="text1"/>
          <w:lang w:eastAsia="zh-CN"/>
        </w:rPr>
      </w:pPr>
      <w:r>
        <w:rPr>
          <w:rFonts w:hint="eastAsia"/>
          <w:color w:val="000000" w:themeColor="text1"/>
          <w:lang w:eastAsia="zh-CN"/>
        </w:rPr>
        <w:t xml:space="preserve">4.参选人提供的阀门应该是成熟可靠、技术先进、在国内石油化工类型、近三年同规模装置至少有1处主装置(且安装投用)，单个合同总价≥50万元，数量≥2台调节阀的合同业绩。   </w:t>
      </w:r>
    </w:p>
    <w:p>
      <w:pPr>
        <w:pStyle w:val="21"/>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1、参选保证金的金额为：人民币贰万元整（￥</w:t>
      </w:r>
      <w:r>
        <w:rPr>
          <w:rFonts w:hint="eastAsia" w:cs="Arial" w:asciiTheme="majorEastAsia" w:hAnsiTheme="majorEastAsia" w:eastAsiaTheme="majorEastAsia"/>
          <w:color w:val="333333"/>
          <w:sz w:val="24"/>
          <w:szCs w:val="24"/>
          <w:lang w:val="en-US" w:eastAsia="zh-CN"/>
        </w:rPr>
        <w:t>26000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2台高压气动开关球</w:t>
      </w:r>
      <w:r>
        <w:rPr>
          <w:rFonts w:hint="eastAsia" w:cs="Arial" w:asciiTheme="majorEastAsia" w:hAnsiTheme="majorEastAsia" w:eastAsiaTheme="majorEastAsia"/>
          <w:b/>
          <w:bCs/>
          <w:color w:val="333333"/>
          <w:sz w:val="24"/>
          <w:szCs w:val="24"/>
          <w:lang w:eastAsia="zh-CN"/>
        </w:rPr>
        <w:t>阀</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1"/>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26000元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1"/>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1"/>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5"/>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5"/>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5"/>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1"/>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4"/>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130</w:t>
      </w:r>
      <w:r>
        <w:rPr>
          <w:rFonts w:hint="eastAsia"/>
          <w:b/>
          <w:color w:val="FF0000"/>
          <w:lang w:eastAsia="zh-CN"/>
        </w:rPr>
        <w:t>万元整（含税总价）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1"/>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1"/>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1"/>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1"/>
        <w:spacing w:line="360" w:lineRule="auto"/>
        <w:ind w:right="121" w:firstLine="480" w:firstLineChars="200"/>
        <w:jc w:val="both"/>
        <w:rPr>
          <w:lang w:eastAsia="zh-CN"/>
        </w:rPr>
      </w:pPr>
    </w:p>
    <w:p>
      <w:pPr>
        <w:pStyle w:val="21"/>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right="121"/>
        <w:jc w:val="both"/>
        <w:rPr>
          <w:lang w:eastAsia="zh-CN"/>
        </w:rPr>
        <w:sectPr>
          <w:footerReference r:id="rId4" w:type="default"/>
          <w:pgSz w:w="11910" w:h="16840"/>
          <w:pgMar w:top="1500" w:right="1020" w:bottom="740" w:left="1300" w:header="0" w:footer="551" w:gutter="0"/>
          <w:cols w:space="720" w:num="1"/>
        </w:sectPr>
      </w:pPr>
    </w:p>
    <w:p>
      <w:pPr>
        <w:pStyle w:val="21"/>
        <w:spacing w:line="360" w:lineRule="auto"/>
        <w:rPr>
          <w:lang w:eastAsia="zh-CN"/>
        </w:rPr>
      </w:pPr>
    </w:p>
    <w:p>
      <w:pPr>
        <w:pStyle w:val="21"/>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eastAsia" w:ascii="Times New Roman"/>
          <w:b/>
          <w:bCs/>
          <w:lang w:val="en-US" w:eastAsia="zh-CN"/>
        </w:rPr>
      </w:pPr>
    </w:p>
    <w:p>
      <w:pPr>
        <w:pStyle w:val="21"/>
        <w:rPr>
          <w:rFonts w:hint="default" w:ascii="Times New Roman"/>
          <w:b/>
          <w:bCs/>
          <w:lang w:val="en-US" w:eastAsia="zh-CN"/>
        </w:rPr>
      </w:pPr>
    </w:p>
    <w:p>
      <w:pPr>
        <w:pStyle w:val="56"/>
        <w:rPr>
          <w:b/>
          <w:bCs/>
          <w:sz w:val="24"/>
          <w:szCs w:val="24"/>
        </w:rPr>
      </w:pPr>
      <w:bookmarkStart w:id="1" w:name="_Toc4114"/>
      <w:bookmarkStart w:id="2" w:name="_Toc14171"/>
      <w:bookmarkStart w:id="3" w:name="_Toc2239"/>
      <w:bookmarkStart w:id="4" w:name="_Toc27787"/>
      <w:bookmarkStart w:id="5" w:name="_Toc31402"/>
      <w:bookmarkStart w:id="6" w:name="_Toc10991"/>
      <w:bookmarkStart w:id="7" w:name="_Toc23434"/>
      <w:bookmarkStart w:id="8" w:name="_Toc20273"/>
      <w:bookmarkStart w:id="9" w:name="_Toc31173"/>
      <w:bookmarkStart w:id="10" w:name="_Toc18049"/>
      <w:bookmarkStart w:id="11" w:name="_Toc352146655"/>
      <w:bookmarkStart w:id="12" w:name="_Toc20180"/>
      <w:bookmarkStart w:id="13" w:name="_Toc8520"/>
      <w:bookmarkStart w:id="14" w:name="_Toc17959"/>
      <w:bookmarkStart w:id="15" w:name="_Toc385779252"/>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2台高压气动开关球</w:t>
      </w:r>
      <w:r>
        <w:rPr>
          <w:rFonts w:hint="eastAsia" w:ascii="Times New Roman" w:hAnsi="ˎ̥"/>
          <w:sz w:val="28"/>
          <w:szCs w:val="28"/>
          <w:lang w:eastAsia="zh-CN"/>
        </w:rPr>
        <w:t>阀比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2台高压气动开关球</w:t>
      </w:r>
      <w:r>
        <w:rPr>
          <w:rFonts w:hint="eastAsia"/>
          <w:b/>
          <w:bCs/>
          <w:sz w:val="24"/>
          <w:szCs w:val="24"/>
          <w:lang w:eastAsia="zh-CN"/>
        </w:rPr>
        <w:t>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QG2302150031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27</w:t>
            </w:r>
            <w:r>
              <w:rPr>
                <w:rFonts w:hint="eastAsia" w:cs="宋体"/>
                <w:i w:val="0"/>
                <w:iCs w:val="0"/>
                <w:color w:val="000000"/>
                <w:kern w:val="0"/>
                <w:sz w:val="18"/>
                <w:szCs w:val="18"/>
                <w:u w:val="none"/>
                <w:lang w:val="en-US" w:eastAsia="zh-CN" w:bidi="ar"/>
              </w:rPr>
              <w:t>23060119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高压气动开关球阀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12</w:t>
            </w:r>
            <w:r>
              <w:rPr>
                <w:rFonts w:hint="default" w:cs="宋体"/>
                <w:i w:val="0"/>
                <w:iCs w:val="0"/>
                <w:color w:val="000000"/>
                <w:kern w:val="0"/>
                <w:sz w:val="18"/>
                <w:szCs w:val="18"/>
                <w:u w:val="none"/>
                <w:lang w:val="en-US" w:eastAsia="zh-CN" w:bidi="ar"/>
              </w:rPr>
              <w:t>”</w:t>
            </w:r>
            <w:r>
              <w:rPr>
                <w:rFonts w:hint="eastAsia" w:cs="宋体"/>
                <w:i w:val="0"/>
                <w:iCs w:val="0"/>
                <w:color w:val="000000"/>
                <w:kern w:val="0"/>
                <w:sz w:val="18"/>
                <w:szCs w:val="18"/>
                <w:u w:val="none"/>
                <w:lang w:val="en-US" w:eastAsia="zh-CN" w:bidi="ar"/>
              </w:rPr>
              <w:t>CL1500\阀盖：散热型\阀体材质：ASTMA182F11\固定球\Ⅵ泄露\单作用\开关类型\：SPDT*2\带侧装手轮\规格书\需签技术协议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1"/>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7562200"/>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091694F"/>
    <w:rsid w:val="318B24CE"/>
    <w:rsid w:val="31C54755"/>
    <w:rsid w:val="31D23053"/>
    <w:rsid w:val="3216608C"/>
    <w:rsid w:val="322152B0"/>
    <w:rsid w:val="328F13DA"/>
    <w:rsid w:val="34CE14C6"/>
    <w:rsid w:val="34D84CEC"/>
    <w:rsid w:val="35DC515B"/>
    <w:rsid w:val="37AF5AB7"/>
    <w:rsid w:val="38243E90"/>
    <w:rsid w:val="38B844F1"/>
    <w:rsid w:val="399C3DF7"/>
    <w:rsid w:val="39E568DF"/>
    <w:rsid w:val="3A387F18"/>
    <w:rsid w:val="3AC225C0"/>
    <w:rsid w:val="3B1C3371"/>
    <w:rsid w:val="3CAE3A33"/>
    <w:rsid w:val="3CC23198"/>
    <w:rsid w:val="3DDF4815"/>
    <w:rsid w:val="3F447AD9"/>
    <w:rsid w:val="3FE669E5"/>
    <w:rsid w:val="42C84A21"/>
    <w:rsid w:val="43762A97"/>
    <w:rsid w:val="43CA6D32"/>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7"/>
    <w:qFormat/>
    <w:uiPriority w:val="0"/>
    <w:pPr>
      <w:ind w:left="538"/>
      <w:outlineLvl w:val="0"/>
    </w:pPr>
    <w:rPr>
      <w:b/>
      <w:bCs/>
      <w:sz w:val="28"/>
      <w:szCs w:val="28"/>
    </w:rPr>
  </w:style>
  <w:style w:type="paragraph" w:styleId="5">
    <w:name w:val="heading 2"/>
    <w:basedOn w:val="1"/>
    <w:next w:val="1"/>
    <w:link w:val="58"/>
    <w:qFormat/>
    <w:uiPriority w:val="0"/>
    <w:pPr>
      <w:ind w:left="629"/>
      <w:outlineLvl w:val="1"/>
    </w:pPr>
    <w:rPr>
      <w:b/>
      <w:bCs/>
      <w:sz w:val="24"/>
      <w:szCs w:val="24"/>
    </w:rPr>
  </w:style>
  <w:style w:type="paragraph" w:styleId="6">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67"/>
    <w:qFormat/>
    <w:uiPriority w:val="1"/>
    <w:rPr>
      <w:sz w:val="24"/>
      <w:szCs w:val="24"/>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8"/>
    <w:next w:val="18"/>
    <w:link w:val="100"/>
    <w:qFormat/>
    <w:uiPriority w:val="0"/>
    <w:pPr>
      <w:widowControl/>
    </w:pPr>
    <w:rPr>
      <w:b/>
      <w:bCs/>
      <w:sz w:val="24"/>
      <w:szCs w:val="24"/>
    </w:rPr>
  </w:style>
  <w:style w:type="paragraph" w:styleId="46">
    <w:name w:val="Body Text First Indent"/>
    <w:basedOn w:val="21"/>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4"/>
    <w:qFormat/>
    <w:uiPriority w:val="0"/>
    <w:rPr>
      <w:rFonts w:ascii="宋体" w:hAnsi="宋体" w:cs="宋体"/>
      <w:b/>
      <w:bCs/>
      <w:sz w:val="28"/>
      <w:szCs w:val="28"/>
      <w:lang w:eastAsia="en-US"/>
    </w:rPr>
  </w:style>
  <w:style w:type="character" w:customStyle="1" w:styleId="58">
    <w:name w:val="标题 2 Char"/>
    <w:basedOn w:val="49"/>
    <w:link w:val="5"/>
    <w:qFormat/>
    <w:uiPriority w:val="0"/>
    <w:rPr>
      <w:rFonts w:ascii="宋体" w:hAnsi="宋体" w:cs="宋体"/>
      <w:b/>
      <w:bCs/>
      <w:sz w:val="24"/>
      <w:szCs w:val="24"/>
      <w:lang w:eastAsia="en-US"/>
    </w:rPr>
  </w:style>
  <w:style w:type="character" w:customStyle="1" w:styleId="59">
    <w:name w:val="标题 3 Char"/>
    <w:basedOn w:val="49"/>
    <w:link w:val="6"/>
    <w:qFormat/>
    <w:uiPriority w:val="0"/>
    <w:rPr>
      <w:b/>
      <w:bCs/>
      <w:kern w:val="2"/>
      <w:sz w:val="32"/>
      <w:szCs w:val="32"/>
    </w:rPr>
  </w:style>
  <w:style w:type="character" w:customStyle="1" w:styleId="60">
    <w:name w:val="标题 4 Char"/>
    <w:basedOn w:val="49"/>
    <w:link w:val="7"/>
    <w:qFormat/>
    <w:uiPriority w:val="0"/>
    <w:rPr>
      <w:b/>
      <w:kern w:val="2"/>
      <w:sz w:val="24"/>
      <w:szCs w:val="24"/>
    </w:rPr>
  </w:style>
  <w:style w:type="character" w:customStyle="1" w:styleId="61">
    <w:name w:val="标题 5 Char"/>
    <w:basedOn w:val="49"/>
    <w:link w:val="8"/>
    <w:qFormat/>
    <w:uiPriority w:val="0"/>
    <w:rPr>
      <w:b/>
      <w:bCs/>
      <w:kern w:val="2"/>
      <w:sz w:val="28"/>
      <w:szCs w:val="28"/>
    </w:rPr>
  </w:style>
  <w:style w:type="character" w:customStyle="1" w:styleId="62">
    <w:name w:val="标题 6 Char"/>
    <w:basedOn w:val="49"/>
    <w:link w:val="9"/>
    <w:qFormat/>
    <w:uiPriority w:val="0"/>
    <w:rPr>
      <w:b/>
      <w:sz w:val="24"/>
    </w:rPr>
  </w:style>
  <w:style w:type="character" w:customStyle="1" w:styleId="63">
    <w:name w:val="正文缩进 Char"/>
    <w:basedOn w:val="49"/>
    <w:link w:val="11"/>
    <w:qFormat/>
    <w:uiPriority w:val="0"/>
    <w:rPr>
      <w:sz w:val="24"/>
    </w:rPr>
  </w:style>
  <w:style w:type="character" w:customStyle="1" w:styleId="64">
    <w:name w:val="标题 7 Char"/>
    <w:basedOn w:val="49"/>
    <w:link w:val="10"/>
    <w:qFormat/>
    <w:uiPriority w:val="0"/>
    <w:rPr>
      <w:b/>
      <w:kern w:val="2"/>
      <w:sz w:val="24"/>
    </w:rPr>
  </w:style>
  <w:style w:type="character" w:customStyle="1" w:styleId="65">
    <w:name w:val="标题 8 Char"/>
    <w:basedOn w:val="49"/>
    <w:link w:val="12"/>
    <w:qFormat/>
    <w:uiPriority w:val="0"/>
    <w:rPr>
      <w:rFonts w:ascii="Arial" w:hAnsi="Arial" w:eastAsia="黑体"/>
      <w:kern w:val="2"/>
      <w:sz w:val="24"/>
    </w:rPr>
  </w:style>
  <w:style w:type="character" w:customStyle="1" w:styleId="66">
    <w:name w:val="标题 9 Char"/>
    <w:basedOn w:val="49"/>
    <w:link w:val="13"/>
    <w:qFormat/>
    <w:uiPriority w:val="0"/>
    <w:rPr>
      <w:rFonts w:ascii="Arial" w:hAnsi="Arial" w:eastAsia="黑体"/>
      <w:kern w:val="2"/>
      <w:sz w:val="21"/>
    </w:rPr>
  </w:style>
  <w:style w:type="character" w:customStyle="1" w:styleId="67">
    <w:name w:val="正文文本 Char1"/>
    <w:basedOn w:val="49"/>
    <w:link w:val="21"/>
    <w:qFormat/>
    <w:uiPriority w:val="1"/>
    <w:rPr>
      <w:rFonts w:ascii="宋体" w:hAnsi="宋体" w:cs="宋体"/>
      <w:sz w:val="24"/>
      <w:szCs w:val="24"/>
      <w:lang w:eastAsia="en-US"/>
    </w:rPr>
  </w:style>
  <w:style w:type="character" w:customStyle="1" w:styleId="68">
    <w:name w:val="纯文本 Char"/>
    <w:basedOn w:val="49"/>
    <w:link w:val="25"/>
    <w:qFormat/>
    <w:uiPriority w:val="0"/>
    <w:rPr>
      <w:rFonts w:ascii="宋体" w:hAnsi="Courier New" w:cs="Courier New"/>
      <w:sz w:val="22"/>
      <w:szCs w:val="21"/>
      <w:lang w:eastAsia="en-US"/>
    </w:rPr>
  </w:style>
  <w:style w:type="character" w:customStyle="1" w:styleId="69">
    <w:name w:val="页脚 Char"/>
    <w:basedOn w:val="49"/>
    <w:link w:val="30"/>
    <w:qFormat/>
    <w:uiPriority w:val="99"/>
    <w:rPr>
      <w:rFonts w:ascii="宋体" w:hAnsi="宋体" w:cs="宋体"/>
      <w:sz w:val="18"/>
      <w:szCs w:val="18"/>
      <w:lang w:eastAsia="en-US"/>
    </w:rPr>
  </w:style>
  <w:style w:type="character" w:customStyle="1" w:styleId="70">
    <w:name w:val="页眉 Char"/>
    <w:basedOn w:val="49"/>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20"/>
    <w:qFormat/>
    <w:uiPriority w:val="0"/>
    <w:rPr>
      <w:b/>
      <w:kern w:val="2"/>
      <w:sz w:val="21"/>
    </w:rPr>
  </w:style>
  <w:style w:type="character" w:customStyle="1" w:styleId="78">
    <w:name w:val="普通(网站) Char"/>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8"/>
    <w:qFormat/>
    <w:uiPriority w:val="0"/>
    <w:rPr>
      <w:kern w:val="2"/>
      <w:sz w:val="21"/>
    </w:rPr>
  </w:style>
  <w:style w:type="character" w:customStyle="1" w:styleId="84">
    <w:name w:val="批注框文本 Char"/>
    <w:basedOn w:val="49"/>
    <w:link w:val="29"/>
    <w:qFormat/>
    <w:uiPriority w:val="0"/>
    <w:rPr>
      <w:kern w:val="2"/>
      <w:sz w:val="18"/>
      <w:szCs w:val="18"/>
    </w:rPr>
  </w:style>
  <w:style w:type="character" w:customStyle="1" w:styleId="85">
    <w:name w:val="正文文本缩进 3 Char"/>
    <w:basedOn w:val="49"/>
    <w:link w:val="36"/>
    <w:qFormat/>
    <w:uiPriority w:val="0"/>
    <w:rPr>
      <w:kern w:val="2"/>
      <w:sz w:val="28"/>
    </w:rPr>
  </w:style>
  <w:style w:type="character" w:customStyle="1" w:styleId="86">
    <w:name w:val="正文文本缩进 2 Char"/>
    <w:basedOn w:val="49"/>
    <w:link w:val="28"/>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4"/>
    <w:qFormat/>
    <w:uiPriority w:val="0"/>
    <w:rPr>
      <w:rFonts w:ascii="Arial" w:hAnsi="Arial" w:cs="Arial"/>
      <w:b/>
      <w:bCs/>
      <w:sz w:val="44"/>
      <w:szCs w:val="32"/>
    </w:rPr>
  </w:style>
  <w:style w:type="character" w:customStyle="1" w:styleId="91">
    <w:name w:val="正文文本缩进 Char"/>
    <w:basedOn w:val="49"/>
    <w:link w:val="3"/>
    <w:qFormat/>
    <w:uiPriority w:val="0"/>
    <w:rPr>
      <w:i/>
      <w:iCs/>
      <w:kern w:val="2"/>
      <w:sz w:val="21"/>
    </w:rPr>
  </w:style>
  <w:style w:type="character" w:customStyle="1" w:styleId="92">
    <w:name w:val="正文文本 3 Char"/>
    <w:basedOn w:val="49"/>
    <w:link w:val="19"/>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1"/>
    <w:qFormat/>
    <w:uiPriority w:val="0"/>
    <w:rPr>
      <w:rFonts w:ascii="Arial Unicode MS" w:hAnsi="Arial Unicode MS" w:eastAsia="Courier New" w:cs="Courier New"/>
    </w:rPr>
  </w:style>
  <w:style w:type="character" w:customStyle="1" w:styleId="96">
    <w:name w:val="文档结构图 Char"/>
    <w:basedOn w:val="49"/>
    <w:link w:val="17"/>
    <w:qFormat/>
    <w:uiPriority w:val="0"/>
    <w:rPr>
      <w:rFonts w:ascii="宋体"/>
      <w:sz w:val="28"/>
      <w:shd w:val="clear" w:color="auto" w:fill="000080"/>
    </w:rPr>
  </w:style>
  <w:style w:type="character" w:customStyle="1" w:styleId="97">
    <w:name w:val="日期 Char"/>
    <w:basedOn w:val="49"/>
    <w:link w:val="27"/>
    <w:qFormat/>
    <w:uiPriority w:val="0"/>
    <w:rPr>
      <w:kern w:val="2"/>
      <w:sz w:val="21"/>
      <w:szCs w:val="24"/>
    </w:rPr>
  </w:style>
  <w:style w:type="character" w:customStyle="1" w:styleId="98">
    <w:name w:val="正文文本 2 Char"/>
    <w:basedOn w:val="49"/>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6"/>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6"/>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6"/>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5"/>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4"/>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6"/>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5"/>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6"/>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6"/>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5"/>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4"/>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5"/>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4"/>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4"/>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4"/>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5"/>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5"/>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7"/>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4"/>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16</Pages>
  <Words>9534</Words>
  <Characters>10071</Characters>
  <Lines>79</Lines>
  <Paragraphs>22</Paragraphs>
  <TotalTime>5</TotalTime>
  <ScaleCrop>false</ScaleCrop>
  <LinksUpToDate>false</LinksUpToDate>
  <CharactersWithSpaces>10883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2023-03-13T08:53:30Z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2052-11.1.0.13703</vt:lpwstr>
  </property>
  <property fmtid="{D5CDD505-2E9C-101B-9397-08002B2CF9AE}" pid="6" name="ICV">
    <vt:lpwstr>7EFD1898B78A4345BC21372367C648C1</vt:lpwstr>
  </property>
</Properties>
</file>