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eastAsia="zh-CN"/>
        </w:rPr>
        <w:t>重整氢PSA装置吸附剂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2023-FHC-重整氢PSA装置吸附剂-0306</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13</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重整氢PSA装置吸附剂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重整氢PSA装置吸附剂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2023-FHC-重整氢PSA装置吸附剂-0306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重整氢PSA装置吸附剂</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重整氢PSA装置吸附剂</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及技术要求</w:t>
      </w:r>
      <w:r>
        <w:rPr>
          <w:rFonts w:hint="eastAsia" w:asciiTheme="minorEastAsia" w:hAnsiTheme="minorEastAsia" w:eastAsiaTheme="minorEastAsia"/>
          <w:bCs/>
          <w:sz w:val="24"/>
        </w:rPr>
        <w:t>。</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w:t>
      </w:r>
      <w:r>
        <w:rPr>
          <w:rFonts w:hint="eastAsia" w:asciiTheme="minorEastAsia" w:hAnsiTheme="minorEastAsia" w:eastAsiaTheme="minorEastAsia"/>
          <w:sz w:val="24"/>
          <w:lang w:val="en-US" w:eastAsia="zh-CN"/>
        </w:rPr>
        <w:t>有</w:t>
      </w:r>
      <w:r>
        <w:rPr>
          <w:rFonts w:hint="eastAsia" w:asciiTheme="minorEastAsia" w:hAnsiTheme="minorEastAsia" w:eastAsiaTheme="minorEastAsia"/>
          <w:sz w:val="24"/>
        </w:rPr>
        <w:t>同类装置</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重整氢PSA装置</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的销售业绩</w:t>
      </w:r>
      <w:r>
        <w:rPr>
          <w:rFonts w:hint="eastAsia" w:asciiTheme="minorEastAsia" w:hAnsiTheme="minorEastAsia" w:eastAsiaTheme="minorEastAsia"/>
          <w:sz w:val="24"/>
          <w:lang w:eastAsia="zh-CN"/>
        </w:rPr>
        <w:t>。</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w:t>
      </w:r>
      <w:r>
        <w:rPr>
          <w:rFonts w:hint="eastAsia" w:asciiTheme="minorEastAsia" w:hAnsiTheme="minorEastAsia" w:eastAsiaTheme="minorEastAsia"/>
          <w:sz w:val="24"/>
          <w:lang w:val="en-US" w:eastAsia="zh-CN"/>
        </w:rPr>
        <w:t>福建福海创石油化工有限公司合格供应商或</w:t>
      </w:r>
      <w:r>
        <w:rPr>
          <w:rFonts w:hint="eastAsia" w:asciiTheme="minorEastAsia" w:hAnsiTheme="minorEastAsia" w:eastAsiaTheme="minorEastAsia"/>
          <w:sz w:val="24"/>
        </w:rPr>
        <w:t>中国石油化工集团有限公司或中国石油天然气集团有限公司合格供应商</w:t>
      </w:r>
      <w:r>
        <w:rPr>
          <w:rFonts w:hint="eastAsia" w:asciiTheme="minorEastAsia" w:hAnsiTheme="minorEastAsia" w:eastAsiaTheme="minorEastAsia"/>
          <w:sz w:val="24"/>
          <w:lang w:val="en-US" w:eastAsia="zh-CN"/>
        </w:rPr>
        <w:t>或中国海洋石油集团有限公司合格供应商</w:t>
      </w:r>
      <w:r>
        <w:rPr>
          <w:rFonts w:hint="eastAsia" w:asciiTheme="minorEastAsia" w:hAnsiTheme="minorEastAsia" w:eastAsiaTheme="minorEastAsia"/>
          <w:sz w:val="24"/>
        </w:rPr>
        <w:t>。</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肆万元</w:t>
      </w:r>
      <w:r>
        <w:rPr>
          <w:rFonts w:hint="eastAsia" w:asciiTheme="minorEastAsia" w:hAnsiTheme="minorEastAsia" w:eastAsiaTheme="minorEastAsia"/>
          <w:bCs/>
          <w:sz w:val="24"/>
          <w:highlight w:val="yellow"/>
        </w:rPr>
        <w:t>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23</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）需提供同类装置（</w:t>
      </w:r>
      <w:r>
        <w:rPr>
          <w:rFonts w:hint="eastAsia" w:asciiTheme="minorEastAsia" w:hAnsiTheme="minorEastAsia" w:eastAsiaTheme="minorEastAsia"/>
          <w:sz w:val="24"/>
          <w:lang w:val="en-US" w:eastAsia="zh-CN"/>
        </w:rPr>
        <w:t>重整氢PSA装置</w:t>
      </w:r>
      <w:r>
        <w:rPr>
          <w:rFonts w:hint="eastAsia" w:asciiTheme="minorEastAsia" w:hAnsiTheme="minorEastAsia" w:eastAsiaTheme="minorEastAsia"/>
          <w:sz w:val="24"/>
          <w:lang w:eastAsia="zh-CN"/>
        </w:rPr>
        <w:t>）的销售业绩（</w:t>
      </w:r>
      <w:r>
        <w:rPr>
          <w:rFonts w:hint="eastAsia" w:asciiTheme="minorEastAsia" w:hAnsiTheme="minorEastAsia" w:eastAsiaTheme="minorEastAsia"/>
          <w:sz w:val="24"/>
          <w:lang w:val="en-US" w:eastAsia="zh-CN"/>
        </w:rPr>
        <w:t>合同或发票</w:t>
      </w:r>
      <w:r>
        <w:rPr>
          <w:rFonts w:hint="eastAsia" w:asciiTheme="minorEastAsia" w:hAnsiTheme="minorEastAsia" w:eastAsiaTheme="minorEastAsia"/>
          <w:sz w:val="24"/>
          <w:lang w:eastAsia="zh-CN"/>
        </w:rPr>
        <w:t>）；</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肆万元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numPr>
          <w:ilvl w:val="0"/>
          <w:numId w:val="0"/>
        </w:numPr>
        <w:spacing w:before="0"/>
        <w:ind w:left="832" w:leftChars="0" w:firstLine="240" w:firstLineChars="100"/>
        <w:rPr>
          <w:rFonts w:asciiTheme="minorEastAsia" w:hAnsiTheme="minorEastAsia" w:eastAsiaTheme="minorEastAsia"/>
          <w:bCs/>
          <w:sz w:val="24"/>
        </w:rPr>
      </w:pPr>
      <w:r>
        <w:rPr>
          <w:rFonts w:hint="eastAsia" w:asciiTheme="minorEastAsia" w:hAnsiTheme="minorEastAsia" w:eastAsiaTheme="minorEastAsia"/>
          <w:bCs/>
          <w:sz w:val="24"/>
          <w:lang w:val="en-US" w:eastAsia="zh-CN"/>
        </w:rPr>
        <w:t>请在报名后联系商务联系人获取“技术要求”文件。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960" w:firstLineChars="400"/>
        <w:textAlignment w:val="auto"/>
        <w:outlineLvl w:val="9"/>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960" w:firstLineChars="400"/>
        <w:jc w:val="left"/>
        <w:textAlignment w:val="auto"/>
        <w:outlineLvl w:val="9"/>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技</w:t>
      </w:r>
      <w:r>
        <w:rPr>
          <w:rFonts w:hint="eastAsia" w:asciiTheme="minorEastAsia" w:hAnsiTheme="minorEastAsia" w:eastAsiaTheme="minorEastAsia"/>
          <w:bCs/>
          <w:sz w:val="24"/>
        </w:rPr>
        <w:t>术联系人：</w:t>
      </w:r>
      <w:r>
        <w:rPr>
          <w:rFonts w:hint="eastAsia" w:asciiTheme="minorEastAsia" w:hAnsiTheme="minorEastAsia" w:eastAsiaTheme="minorEastAsia"/>
          <w:bCs/>
          <w:sz w:val="24"/>
          <w:lang w:val="en-US" w:eastAsia="zh-CN"/>
        </w:rPr>
        <w:t xml:space="preserve">杨俊阳 </w:t>
      </w:r>
      <w:r>
        <w:rPr>
          <w:rFonts w:hint="eastAsia" w:asciiTheme="minorEastAsia" w:hAnsiTheme="minorEastAsia" w:eastAsiaTheme="minorEastAsia"/>
          <w:bCs/>
          <w:sz w:val="24"/>
        </w:rPr>
        <w:t>电话：18059638251邮</w:t>
      </w:r>
      <w:r>
        <w:rPr>
          <w:rFonts w:hint="eastAsia" w:asciiTheme="minorEastAsia" w:hAnsiTheme="minorEastAsia" w:eastAsiaTheme="minorEastAsia"/>
          <w:bCs/>
          <w:sz w:val="24"/>
          <w:lang w:val="en-US" w:eastAsia="zh-CN"/>
        </w:rPr>
        <w:t>箱：</w:t>
      </w:r>
      <w:r>
        <w:rPr>
          <w:rFonts w:hint="eastAsia" w:asciiTheme="minorEastAsia" w:hAnsiTheme="minorEastAsia" w:eastAsiaTheme="minorEastAsia"/>
          <w:bCs/>
          <w:sz w:val="24"/>
        </w:rPr>
        <w:t>jyyang@fhcpec.com</w:t>
      </w:r>
      <w:r>
        <w:rPr>
          <w:rFonts w:hint="eastAsia" w:asciiTheme="minorEastAsia" w:hAnsiTheme="minorEastAsia" w:eastAsiaTheme="minorEastAsia"/>
          <w:bCs/>
          <w:sz w:val="24"/>
          <w:lang w:val="en-US" w:eastAsia="zh-CN"/>
        </w:rPr>
        <w:t>.cn</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960" w:firstLineChars="400"/>
        <w:textAlignment w:val="auto"/>
        <w:outlineLvl w:val="9"/>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bookmarkStart w:id="5" w:name="_GoBack"/>
      <w:bookmarkEnd w:id="5"/>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hint="eastAsia" w:asciiTheme="minorEastAsia" w:hAnsiTheme="minorEastAsia" w:eastAsiaTheme="minorEastAsia"/>
          <w:bCs/>
          <w:sz w:val="24"/>
          <w:lang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13</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重整氢PSA装置吸附剂</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hint="eastAsia" w:ascii="宋体"/>
          <w:sz w:val="18"/>
          <w:szCs w:val="18"/>
        </w:rPr>
      </w:pPr>
      <w:r>
        <w:rPr>
          <w:rFonts w:hint="eastAsia" w:ascii="宋体"/>
          <w:sz w:val="18"/>
          <w:szCs w:val="18"/>
          <w:lang w:eastAsia="zh-CN"/>
        </w:rPr>
        <w:t>（</w:t>
      </w:r>
      <w:r>
        <w:rPr>
          <w:rFonts w:hint="eastAsia" w:ascii="宋体"/>
          <w:sz w:val="18"/>
          <w:szCs w:val="18"/>
          <w:lang w:val="en-US" w:eastAsia="zh-CN"/>
        </w:rPr>
        <w:t>5</w:t>
      </w:r>
      <w:r>
        <w:rPr>
          <w:rFonts w:hint="eastAsia" w:ascii="宋体"/>
          <w:sz w:val="18"/>
          <w:szCs w:val="18"/>
          <w:lang w:eastAsia="zh-CN"/>
        </w:rPr>
        <w:t>）</w:t>
      </w:r>
      <w:r>
        <w:rPr>
          <w:rFonts w:hint="eastAsia" w:ascii="宋体"/>
          <w:sz w:val="18"/>
          <w:szCs w:val="18"/>
        </w:rPr>
        <w:t>需提供同类装置</w:t>
      </w:r>
      <w:r>
        <w:rPr>
          <w:rFonts w:hint="eastAsia" w:ascii="宋体"/>
          <w:sz w:val="18"/>
          <w:szCs w:val="18"/>
          <w:lang w:eastAsia="zh-CN"/>
        </w:rPr>
        <w:t>（</w:t>
      </w:r>
      <w:r>
        <w:rPr>
          <w:rFonts w:hint="eastAsia" w:ascii="宋体"/>
          <w:sz w:val="18"/>
          <w:szCs w:val="18"/>
          <w:lang w:val="en-US" w:eastAsia="zh-CN"/>
        </w:rPr>
        <w:t>重整氢PSA装置</w:t>
      </w:r>
      <w:r>
        <w:rPr>
          <w:rFonts w:hint="eastAsia" w:ascii="宋体"/>
          <w:sz w:val="18"/>
          <w:szCs w:val="18"/>
          <w:lang w:eastAsia="zh-CN"/>
        </w:rPr>
        <w:t>）</w:t>
      </w:r>
      <w:r>
        <w:rPr>
          <w:rFonts w:hint="eastAsia" w:ascii="宋体"/>
          <w:sz w:val="18"/>
          <w:szCs w:val="18"/>
        </w:rPr>
        <w:t>的销售业绩</w:t>
      </w:r>
      <w:r>
        <w:rPr>
          <w:rFonts w:hint="eastAsia" w:ascii="宋体"/>
          <w:sz w:val="18"/>
          <w:szCs w:val="18"/>
          <w:lang w:eastAsia="zh-CN"/>
        </w:rPr>
        <w:t>。</w:t>
      </w:r>
    </w:p>
    <w:p>
      <w:pPr>
        <w:spacing w:line="320" w:lineRule="exact"/>
        <w:rPr>
          <w:rFonts w:hint="eastAsia" w:ascii="宋体"/>
          <w:sz w:val="18"/>
          <w:szCs w:val="18"/>
          <w:lang w:eastAsia="zh-CN"/>
        </w:rPr>
      </w:pPr>
      <w:r>
        <w:rPr>
          <w:rFonts w:hint="eastAsia" w:ascii="宋体"/>
          <w:sz w:val="18"/>
          <w:szCs w:val="18"/>
          <w:lang w:eastAsia="zh-CN"/>
        </w:rPr>
        <w:t>（</w:t>
      </w:r>
      <w:r>
        <w:rPr>
          <w:rFonts w:hint="eastAsia" w:ascii="宋体"/>
          <w:sz w:val="18"/>
          <w:szCs w:val="18"/>
          <w:lang w:val="en-US" w:eastAsia="zh-CN"/>
        </w:rPr>
        <w:t>6</w:t>
      </w:r>
      <w:r>
        <w:rPr>
          <w:rFonts w:hint="eastAsia" w:ascii="宋体"/>
          <w:sz w:val="18"/>
          <w:szCs w:val="18"/>
          <w:lang w:eastAsia="zh-CN"/>
        </w:rPr>
        <w:t>）属于</w:t>
      </w:r>
      <w:r>
        <w:rPr>
          <w:rFonts w:hint="eastAsia" w:ascii="宋体"/>
          <w:sz w:val="18"/>
          <w:szCs w:val="18"/>
          <w:lang w:val="en-US" w:eastAsia="zh-CN"/>
        </w:rPr>
        <w:t>福建福海创石油化工有限公司合格供应商或</w:t>
      </w:r>
      <w:r>
        <w:rPr>
          <w:rFonts w:hint="eastAsia" w:ascii="宋体"/>
          <w:sz w:val="18"/>
          <w:szCs w:val="18"/>
          <w:lang w:eastAsia="zh-CN"/>
        </w:rPr>
        <w:t>中国石油化工集团有限公司或中国石油天然气集团有限公司合格供应商</w:t>
      </w:r>
      <w:r>
        <w:rPr>
          <w:rFonts w:hint="eastAsia" w:ascii="宋体"/>
          <w:sz w:val="18"/>
          <w:szCs w:val="18"/>
          <w:lang w:val="en-US" w:eastAsia="zh-CN"/>
        </w:rPr>
        <w:t>或中国海洋石油集团有限公司合格供应商</w:t>
      </w:r>
      <w:r>
        <w:rPr>
          <w:rFonts w:hint="eastAsia" w:ascii="宋体"/>
          <w:sz w:val="18"/>
          <w:szCs w:val="18"/>
          <w:lang w:eastAsia="zh-CN"/>
        </w:rPr>
        <w:t>。</w:t>
      </w:r>
    </w:p>
    <w:p>
      <w:pPr>
        <w:spacing w:line="320" w:lineRule="exact"/>
        <w:rPr>
          <w:rFonts w:ascii="宋体"/>
          <w:sz w:val="18"/>
          <w:szCs w:val="18"/>
          <w:highlight w:val="none"/>
        </w:rPr>
      </w:pPr>
      <w:r>
        <w:rPr>
          <w:rFonts w:hint="eastAsia" w:ascii="宋体"/>
          <w:sz w:val="18"/>
          <w:szCs w:val="18"/>
        </w:rPr>
        <w:t>（</w:t>
      </w:r>
      <w:r>
        <w:rPr>
          <w:rFonts w:hint="eastAsia" w:ascii="宋体"/>
          <w:sz w:val="18"/>
          <w:szCs w:val="18"/>
          <w:lang w:val="en-US" w:eastAsia="zh-CN"/>
        </w:rPr>
        <w:t>7</w:t>
      </w:r>
      <w:r>
        <w:rPr>
          <w:rFonts w:hint="eastAsia" w:ascii="宋体"/>
          <w:sz w:val="18"/>
          <w:szCs w:val="18"/>
        </w:rPr>
        <w:t>）</w:t>
      </w:r>
      <w:r>
        <w:rPr>
          <w:rFonts w:hint="eastAsia" w:ascii="宋体"/>
          <w:sz w:val="18"/>
          <w:szCs w:val="18"/>
          <w:highlight w:val="none"/>
        </w:rPr>
        <w:t>参选保证金：</w:t>
      </w:r>
      <w:r>
        <w:rPr>
          <w:rFonts w:hint="eastAsia" w:ascii="宋体"/>
          <w:sz w:val="18"/>
          <w:szCs w:val="18"/>
          <w:highlight w:val="none"/>
          <w:lang w:val="en-US" w:eastAsia="zh-CN"/>
        </w:rPr>
        <w:t>肆万元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重整氢PSA装置吸附剂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2023-FHC-重整氢PSA装置吸附剂-0306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重整氢PSA装置吸附剂</w:t>
      </w:r>
      <w:r>
        <w:rPr>
          <w:rFonts w:hint="eastAsia" w:ascii="宋体" w:hAnsi="宋体"/>
          <w:sz w:val="24"/>
          <w:szCs w:val="24"/>
        </w:rPr>
        <w:t>，具体要求如下</w:t>
      </w:r>
      <w:r>
        <w:rPr>
          <w:rFonts w:hint="eastAsia" w:ascii="宋体" w:hAnsi="宋体"/>
          <w:sz w:val="24"/>
          <w:szCs w:val="24"/>
          <w:lang w:eastAsia="zh-CN"/>
        </w:rPr>
        <w:t>：</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采购数量：</w:t>
      </w:r>
    </w:p>
    <w:tbl>
      <w:tblPr>
        <w:tblStyle w:val="12"/>
        <w:tblW w:w="535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652"/>
        <w:gridCol w:w="1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77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序号</w:t>
            </w:r>
          </w:p>
        </w:tc>
        <w:tc>
          <w:tcPr>
            <w:tcW w:w="265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物资名称</w:t>
            </w:r>
          </w:p>
        </w:tc>
        <w:tc>
          <w:tcPr>
            <w:tcW w:w="1926"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采购数量（吨）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77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1</w:t>
            </w:r>
          </w:p>
        </w:tc>
        <w:tc>
          <w:tcPr>
            <w:tcW w:w="265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活性瓷球吸附剂</w:t>
            </w:r>
          </w:p>
        </w:tc>
        <w:tc>
          <w:tcPr>
            <w:tcW w:w="1926"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77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2</w:t>
            </w:r>
          </w:p>
        </w:tc>
        <w:tc>
          <w:tcPr>
            <w:tcW w:w="265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硅胶吸附剂</w:t>
            </w:r>
          </w:p>
        </w:tc>
        <w:tc>
          <w:tcPr>
            <w:tcW w:w="1926"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77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3</w:t>
            </w:r>
          </w:p>
        </w:tc>
        <w:tc>
          <w:tcPr>
            <w:tcW w:w="265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活性炭吸附剂</w:t>
            </w:r>
          </w:p>
        </w:tc>
        <w:tc>
          <w:tcPr>
            <w:tcW w:w="1926"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77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4</w:t>
            </w:r>
          </w:p>
        </w:tc>
        <w:tc>
          <w:tcPr>
            <w:tcW w:w="2652"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分子筛吸附剂</w:t>
            </w:r>
          </w:p>
        </w:tc>
        <w:tc>
          <w:tcPr>
            <w:tcW w:w="1926"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6</w:t>
            </w:r>
          </w:p>
        </w:tc>
      </w:tr>
    </w:tbl>
    <w:p>
      <w:pPr>
        <w:numPr>
          <w:ilvl w:val="0"/>
          <w:numId w:val="5"/>
        </w:numPr>
        <w:spacing w:line="360" w:lineRule="exact"/>
        <w:jc w:val="left"/>
        <w:rPr>
          <w:rFonts w:ascii="宋体" w:hAnsi="宋体" w:cs="宋体"/>
          <w:sz w:val="24"/>
          <w:highlight w:val="none"/>
        </w:rPr>
      </w:pPr>
      <w:r>
        <w:rPr>
          <w:rFonts w:hint="eastAsia" w:ascii="宋体" w:hAnsi="宋体" w:cs="宋体"/>
          <w:sz w:val="24"/>
          <w:highlight w:val="none"/>
          <w:lang w:val="en-US" w:eastAsia="zh-CN"/>
        </w:rPr>
        <w:t>质量指标要求：</w:t>
      </w:r>
    </w:p>
    <w:tbl>
      <w:tblPr>
        <w:tblStyle w:val="11"/>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701"/>
        <w:gridCol w:w="2157"/>
        <w:gridCol w:w="1776"/>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Align w:val="center"/>
          </w:tcPr>
          <w:p>
            <w:pPr>
              <w:tabs>
                <w:tab w:val="left" w:pos="780"/>
              </w:tabs>
              <w:spacing w:line="360" w:lineRule="auto"/>
              <w:jc w:val="center"/>
              <w:rPr>
                <w:rFonts w:ascii="Times New Roman" w:hAnsi="Times New Roman" w:cs="Times New Roman"/>
                <w:b/>
                <w:bCs/>
                <w:szCs w:val="21"/>
                <w:highlight w:val="none"/>
              </w:rPr>
            </w:pPr>
            <w:r>
              <w:rPr>
                <w:rFonts w:ascii="Times New Roman" w:hAnsi="Times New Roman" w:cs="Times New Roman"/>
                <w:b/>
                <w:bCs/>
                <w:szCs w:val="21"/>
                <w:highlight w:val="none"/>
              </w:rPr>
              <w:t>序号</w:t>
            </w:r>
          </w:p>
        </w:tc>
        <w:tc>
          <w:tcPr>
            <w:tcW w:w="1701" w:type="dxa"/>
            <w:vAlign w:val="center"/>
          </w:tcPr>
          <w:p>
            <w:pPr>
              <w:tabs>
                <w:tab w:val="left" w:pos="780"/>
              </w:tabs>
              <w:spacing w:line="360" w:lineRule="auto"/>
              <w:jc w:val="center"/>
              <w:rPr>
                <w:rFonts w:ascii="Times New Roman" w:hAnsi="Times New Roman" w:cs="Times New Roman"/>
                <w:b/>
                <w:bCs/>
                <w:szCs w:val="21"/>
                <w:highlight w:val="none"/>
              </w:rPr>
            </w:pPr>
            <w:r>
              <w:rPr>
                <w:rFonts w:ascii="Times New Roman" w:hAnsi="Times New Roman" w:cs="Times New Roman"/>
                <w:b/>
                <w:bCs/>
                <w:szCs w:val="21"/>
                <w:highlight w:val="none"/>
              </w:rPr>
              <w:t>吸附剂类型</w:t>
            </w:r>
          </w:p>
        </w:tc>
        <w:tc>
          <w:tcPr>
            <w:tcW w:w="2157" w:type="dxa"/>
            <w:vAlign w:val="center"/>
          </w:tcPr>
          <w:p>
            <w:pPr>
              <w:tabs>
                <w:tab w:val="left" w:pos="780"/>
              </w:tabs>
              <w:spacing w:line="360" w:lineRule="auto"/>
              <w:ind w:firstLine="207" w:firstLineChars="98"/>
              <w:jc w:val="center"/>
              <w:rPr>
                <w:rFonts w:ascii="Times New Roman" w:hAnsi="Times New Roman" w:cs="Times New Roman"/>
                <w:b/>
                <w:bCs/>
                <w:szCs w:val="21"/>
                <w:highlight w:val="none"/>
              </w:rPr>
            </w:pPr>
            <w:r>
              <w:rPr>
                <w:rFonts w:ascii="Times New Roman" w:hAnsi="Times New Roman" w:cs="Times New Roman"/>
                <w:b/>
                <w:bCs/>
                <w:szCs w:val="21"/>
                <w:highlight w:val="none"/>
              </w:rPr>
              <w:t>项目</w:t>
            </w:r>
          </w:p>
        </w:tc>
        <w:tc>
          <w:tcPr>
            <w:tcW w:w="1776" w:type="dxa"/>
            <w:vAlign w:val="center"/>
          </w:tcPr>
          <w:p>
            <w:pPr>
              <w:tabs>
                <w:tab w:val="left" w:pos="780"/>
              </w:tabs>
              <w:spacing w:line="360" w:lineRule="auto"/>
              <w:ind w:firstLine="207" w:firstLineChars="98"/>
              <w:jc w:val="center"/>
              <w:rPr>
                <w:rFonts w:ascii="Times New Roman" w:hAnsi="Times New Roman" w:cs="Times New Roman"/>
                <w:b/>
                <w:bCs/>
                <w:szCs w:val="21"/>
                <w:highlight w:val="none"/>
              </w:rPr>
            </w:pPr>
            <w:r>
              <w:rPr>
                <w:rFonts w:ascii="Times New Roman" w:hAnsi="Times New Roman" w:cs="Times New Roman"/>
                <w:b/>
                <w:bCs/>
                <w:szCs w:val="21"/>
                <w:highlight w:val="none"/>
              </w:rPr>
              <w:t>指标值</w:t>
            </w:r>
          </w:p>
        </w:tc>
        <w:tc>
          <w:tcPr>
            <w:tcW w:w="1816" w:type="dxa"/>
            <w:vAlign w:val="center"/>
          </w:tcPr>
          <w:p>
            <w:pPr>
              <w:tabs>
                <w:tab w:val="left" w:pos="780"/>
              </w:tabs>
              <w:spacing w:line="360" w:lineRule="auto"/>
              <w:ind w:firstLine="207" w:firstLineChars="98"/>
              <w:jc w:val="center"/>
              <w:rPr>
                <w:rFonts w:ascii="Times New Roman" w:hAnsi="Times New Roman" w:cs="Times New Roman"/>
                <w:b/>
                <w:bCs/>
                <w:szCs w:val="21"/>
                <w:highlight w:val="none"/>
              </w:rPr>
            </w:pPr>
            <w:r>
              <w:rPr>
                <w:rFonts w:ascii="Times New Roman" w:hAnsi="Times New Roman" w:cs="Times New Roman"/>
                <w:b/>
                <w:bCs/>
                <w:szCs w:val="21"/>
                <w:highlight w:val="none"/>
              </w:rPr>
              <w:t>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restart"/>
            <w:vAlign w:val="center"/>
          </w:tcPr>
          <w:p>
            <w:pPr>
              <w:ind w:firstLine="210" w:firstLineChars="100"/>
              <w:jc w:val="center"/>
              <w:rPr>
                <w:rFonts w:ascii="Times New Roman" w:hAnsi="Times New Roman" w:cs="Times New Roman"/>
                <w:bCs/>
                <w:szCs w:val="21"/>
                <w:highlight w:val="none"/>
              </w:rPr>
            </w:pPr>
            <w:r>
              <w:rPr>
                <w:rFonts w:hint="eastAsia" w:ascii="Times New Roman" w:hAnsi="Times New Roman" w:cs="Times New Roman"/>
                <w:bCs/>
                <w:szCs w:val="21"/>
                <w:highlight w:val="none"/>
              </w:rPr>
              <w:t>1</w:t>
            </w:r>
          </w:p>
        </w:tc>
        <w:tc>
          <w:tcPr>
            <w:tcW w:w="1701" w:type="dxa"/>
            <w:vMerge w:val="restart"/>
            <w:vAlign w:val="center"/>
          </w:tcPr>
          <w:p>
            <w:pPr>
              <w:ind w:firstLine="210" w:firstLineChars="100"/>
              <w:jc w:val="center"/>
              <w:rPr>
                <w:rFonts w:ascii="Times New Roman" w:hAnsi="Times New Roman" w:cs="Times New Roman"/>
                <w:bCs/>
                <w:szCs w:val="21"/>
                <w:highlight w:val="none"/>
              </w:rPr>
            </w:pPr>
            <w:r>
              <w:rPr>
                <w:rFonts w:ascii="Times New Roman" w:hAnsi="Times New Roman" w:cs="Times New Roman"/>
                <w:bCs/>
                <w:szCs w:val="21"/>
                <w:highlight w:val="none"/>
              </w:rPr>
              <w:t>活性瓷球吸附剂</w:t>
            </w:r>
          </w:p>
        </w:tc>
        <w:tc>
          <w:tcPr>
            <w:tcW w:w="2157"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外观</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完整</w:t>
            </w:r>
            <w:r>
              <w:rPr>
                <w:rFonts w:hint="eastAsia" w:ascii="Times New Roman" w:hAnsi="Times New Roman" w:cs="Times New Roman"/>
                <w:bCs/>
                <w:szCs w:val="21"/>
                <w:highlight w:val="none"/>
              </w:rPr>
              <w:t>、</w:t>
            </w:r>
            <w:r>
              <w:rPr>
                <w:rFonts w:ascii="Times New Roman" w:hAnsi="Times New Roman" w:cs="Times New Roman"/>
                <w:bCs/>
                <w:szCs w:val="21"/>
                <w:highlight w:val="none"/>
              </w:rPr>
              <w:t>无破损</w:t>
            </w:r>
          </w:p>
        </w:tc>
        <w:tc>
          <w:tcPr>
            <w:tcW w:w="181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ind w:firstLine="210" w:firstLineChars="100"/>
              <w:jc w:val="center"/>
              <w:rPr>
                <w:rFonts w:ascii="Times New Roman" w:hAnsi="Times New Roman" w:cs="Times New Roman"/>
                <w:szCs w:val="21"/>
                <w:highlight w:val="none"/>
              </w:rPr>
            </w:pPr>
          </w:p>
        </w:tc>
        <w:tc>
          <w:tcPr>
            <w:tcW w:w="1701" w:type="dxa"/>
            <w:vMerge w:val="continue"/>
            <w:vAlign w:val="center"/>
          </w:tcPr>
          <w:p>
            <w:pPr>
              <w:ind w:firstLine="210" w:firstLineChars="100"/>
              <w:jc w:val="center"/>
              <w:rPr>
                <w:rFonts w:ascii="Times New Roman" w:hAnsi="Times New Roman" w:cs="Times New Roman"/>
                <w:szCs w:val="21"/>
                <w:highlight w:val="none"/>
              </w:rPr>
            </w:pPr>
          </w:p>
        </w:tc>
        <w:tc>
          <w:tcPr>
            <w:tcW w:w="2157"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szCs w:val="21"/>
                <w:highlight w:val="none"/>
              </w:rPr>
              <w:t>抗压碎强度，</w:t>
            </w:r>
            <w:r>
              <w:rPr>
                <w:rFonts w:hint="eastAsia" w:ascii="Times New Roman" w:hAnsi="Times New Roman" w:cs="Times New Roman"/>
                <w:szCs w:val="21"/>
                <w:highlight w:val="none"/>
              </w:rPr>
              <w:t>N</w:t>
            </w:r>
            <w:r>
              <w:rPr>
                <w:rFonts w:ascii="Times New Roman" w:hAnsi="Times New Roman" w:cs="Times New Roman"/>
                <w:szCs w:val="21"/>
                <w:highlight w:val="none"/>
              </w:rPr>
              <w:t>/粒</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≥100</w:t>
            </w:r>
          </w:p>
        </w:tc>
        <w:tc>
          <w:tcPr>
            <w:tcW w:w="1816" w:type="dxa"/>
            <w:vAlign w:val="center"/>
          </w:tcPr>
          <w:p>
            <w:pPr>
              <w:tabs>
                <w:tab w:val="left" w:pos="780"/>
              </w:tabs>
              <w:ind w:firstLine="205" w:firstLineChars="98"/>
              <w:jc w:val="center"/>
              <w:rPr>
                <w:rFonts w:ascii="Times New Roman" w:hAnsi="Times New Roman" w:cs="Times New Roman"/>
                <w:szCs w:val="21"/>
                <w:highlight w:val="none"/>
              </w:rPr>
            </w:pPr>
            <w:r>
              <w:rPr>
                <w:rFonts w:ascii="Times New Roman" w:hAnsi="Times New Roman" w:cs="Times New Roman"/>
                <w:bCs/>
                <w:szCs w:val="21"/>
                <w:highlight w:val="none"/>
              </w:rPr>
              <w:t>HG/T 2783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ind w:firstLine="210" w:firstLineChars="100"/>
              <w:jc w:val="center"/>
              <w:rPr>
                <w:rFonts w:ascii="Times New Roman" w:hAnsi="Times New Roman" w:cs="Times New Roman"/>
                <w:szCs w:val="21"/>
                <w:highlight w:val="none"/>
              </w:rPr>
            </w:pPr>
          </w:p>
        </w:tc>
        <w:tc>
          <w:tcPr>
            <w:tcW w:w="1701" w:type="dxa"/>
            <w:vMerge w:val="continue"/>
            <w:vAlign w:val="center"/>
          </w:tcPr>
          <w:p>
            <w:pPr>
              <w:ind w:firstLine="210" w:firstLineChars="100"/>
              <w:jc w:val="center"/>
              <w:rPr>
                <w:rFonts w:ascii="Times New Roman" w:hAnsi="Times New Roman" w:cs="Times New Roman"/>
                <w:szCs w:val="21"/>
                <w:highlight w:val="none"/>
              </w:rPr>
            </w:pPr>
          </w:p>
        </w:tc>
        <w:tc>
          <w:tcPr>
            <w:tcW w:w="2157" w:type="dxa"/>
            <w:vAlign w:val="center"/>
          </w:tcPr>
          <w:p>
            <w:pPr>
              <w:tabs>
                <w:tab w:val="left" w:pos="780"/>
              </w:tabs>
              <w:ind w:firstLine="205" w:firstLineChars="98"/>
              <w:jc w:val="center"/>
              <w:rPr>
                <w:rFonts w:ascii="Times New Roman" w:hAnsi="Times New Roman" w:cs="Times New Roman"/>
                <w:szCs w:val="21"/>
                <w:highlight w:val="none"/>
              </w:rPr>
            </w:pPr>
            <w:r>
              <w:rPr>
                <w:rFonts w:ascii="Times New Roman" w:hAnsi="Times New Roman" w:cs="Times New Roman"/>
                <w:szCs w:val="21"/>
                <w:highlight w:val="none"/>
              </w:rPr>
              <w:t>净吸水量</w:t>
            </w:r>
            <w:r>
              <w:rPr>
                <w:rFonts w:hint="eastAsia" w:ascii="Times New Roman" w:hAnsi="Times New Roman" w:cs="Times New Roman"/>
                <w:szCs w:val="21"/>
                <w:highlight w:val="none"/>
              </w:rPr>
              <w:t>，%</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bookmarkStart w:id="0" w:name="OLE_LINK1"/>
            <w:bookmarkStart w:id="1" w:name="OLE_LINK3"/>
            <w:bookmarkStart w:id="2" w:name="OLE_LINK2"/>
            <w:r>
              <w:rPr>
                <w:rFonts w:ascii="Times New Roman" w:hAnsi="Times New Roman" w:cs="Times New Roman"/>
                <w:bCs/>
                <w:szCs w:val="21"/>
                <w:highlight w:val="none"/>
              </w:rPr>
              <w:t>≥20</w:t>
            </w:r>
            <w:bookmarkEnd w:id="0"/>
            <w:bookmarkEnd w:id="1"/>
            <w:bookmarkEnd w:id="2"/>
          </w:p>
        </w:tc>
        <w:tc>
          <w:tcPr>
            <w:tcW w:w="1816" w:type="dxa"/>
            <w:vAlign w:val="center"/>
          </w:tcPr>
          <w:p>
            <w:pPr>
              <w:tabs>
                <w:tab w:val="left" w:pos="780"/>
              </w:tabs>
              <w:ind w:firstLine="205" w:firstLineChars="98"/>
              <w:jc w:val="center"/>
              <w:rPr>
                <w:rFonts w:ascii="Times New Roman" w:hAnsi="Times New Roman" w:cs="Times New Roman"/>
                <w:bCs/>
                <w:szCs w:val="21"/>
                <w:highlight w:val="none"/>
              </w:rPr>
            </w:pPr>
            <w:r>
              <w:rPr>
                <w:rFonts w:hint="eastAsia" w:ascii="Times New Roman" w:hAnsi="Times New Roman" w:cs="Times New Roman"/>
                <w:bCs/>
                <w:szCs w:val="21"/>
                <w:highlight w:val="none"/>
              </w:rPr>
              <w:t>G</w:t>
            </w:r>
            <w:r>
              <w:rPr>
                <w:rFonts w:ascii="Times New Roman" w:hAnsi="Times New Roman" w:cs="Times New Roman"/>
                <w:bCs/>
                <w:szCs w:val="21"/>
                <w:highlight w:val="none"/>
              </w:rPr>
              <w:t>B/T 6287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restart"/>
            <w:vAlign w:val="center"/>
          </w:tcPr>
          <w:p>
            <w:pPr>
              <w:ind w:firstLine="210" w:firstLineChars="100"/>
              <w:jc w:val="center"/>
              <w:rPr>
                <w:rFonts w:ascii="Times New Roman" w:hAnsi="Times New Roman" w:cs="Times New Roman"/>
                <w:szCs w:val="21"/>
                <w:highlight w:val="none"/>
              </w:rPr>
            </w:pPr>
            <w:r>
              <w:rPr>
                <w:rFonts w:hint="eastAsia" w:ascii="Times New Roman" w:hAnsi="Times New Roman" w:cs="Times New Roman"/>
                <w:szCs w:val="21"/>
                <w:highlight w:val="none"/>
              </w:rPr>
              <w:t>2</w:t>
            </w:r>
          </w:p>
        </w:tc>
        <w:tc>
          <w:tcPr>
            <w:tcW w:w="1701" w:type="dxa"/>
            <w:vMerge w:val="restart"/>
            <w:vAlign w:val="center"/>
          </w:tcPr>
          <w:p>
            <w:pPr>
              <w:ind w:firstLine="210" w:firstLineChars="100"/>
              <w:jc w:val="center"/>
              <w:rPr>
                <w:rFonts w:ascii="Times New Roman" w:hAnsi="Times New Roman" w:cs="Times New Roman"/>
                <w:szCs w:val="21"/>
                <w:highlight w:val="none"/>
              </w:rPr>
            </w:pPr>
            <w:r>
              <w:rPr>
                <w:rFonts w:ascii="Times New Roman" w:hAnsi="Times New Roman" w:cs="Times New Roman"/>
                <w:szCs w:val="21"/>
                <w:highlight w:val="none"/>
              </w:rPr>
              <w:t>硅胶吸附剂</w:t>
            </w:r>
          </w:p>
        </w:tc>
        <w:tc>
          <w:tcPr>
            <w:tcW w:w="2157" w:type="dxa"/>
            <w:vAlign w:val="center"/>
          </w:tcPr>
          <w:p>
            <w:pPr>
              <w:tabs>
                <w:tab w:val="left" w:pos="780"/>
              </w:tabs>
              <w:ind w:firstLine="205" w:firstLineChars="98"/>
              <w:jc w:val="center"/>
              <w:rPr>
                <w:rFonts w:ascii="Times New Roman" w:hAnsi="Times New Roman" w:cs="Times New Roman"/>
                <w:szCs w:val="21"/>
                <w:highlight w:val="none"/>
              </w:rPr>
            </w:pPr>
            <w:r>
              <w:rPr>
                <w:rFonts w:ascii="Times New Roman" w:hAnsi="Times New Roman" w:cs="Times New Roman"/>
                <w:bCs/>
                <w:szCs w:val="21"/>
                <w:highlight w:val="none"/>
              </w:rPr>
              <w:t>外观</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完整</w:t>
            </w:r>
            <w:r>
              <w:rPr>
                <w:rFonts w:hint="eastAsia" w:ascii="Times New Roman" w:hAnsi="Times New Roman" w:cs="Times New Roman"/>
                <w:bCs/>
                <w:szCs w:val="21"/>
                <w:highlight w:val="none"/>
              </w:rPr>
              <w:t>、</w:t>
            </w:r>
            <w:r>
              <w:rPr>
                <w:rFonts w:ascii="Times New Roman" w:hAnsi="Times New Roman" w:cs="Times New Roman"/>
                <w:bCs/>
                <w:szCs w:val="21"/>
                <w:highlight w:val="none"/>
              </w:rPr>
              <w:t>无破损</w:t>
            </w:r>
          </w:p>
        </w:tc>
        <w:tc>
          <w:tcPr>
            <w:tcW w:w="181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ind w:firstLine="210" w:firstLineChars="100"/>
              <w:jc w:val="center"/>
              <w:rPr>
                <w:rFonts w:ascii="Times New Roman" w:hAnsi="Times New Roman" w:cs="Times New Roman"/>
                <w:szCs w:val="21"/>
                <w:highlight w:val="none"/>
              </w:rPr>
            </w:pPr>
          </w:p>
        </w:tc>
        <w:tc>
          <w:tcPr>
            <w:tcW w:w="1701" w:type="dxa"/>
            <w:vMerge w:val="continue"/>
            <w:vAlign w:val="center"/>
          </w:tcPr>
          <w:p>
            <w:pPr>
              <w:ind w:firstLine="210" w:firstLineChars="100"/>
              <w:jc w:val="center"/>
              <w:rPr>
                <w:rFonts w:ascii="Times New Roman" w:hAnsi="Times New Roman" w:cs="Times New Roman"/>
                <w:szCs w:val="21"/>
                <w:highlight w:val="none"/>
              </w:rPr>
            </w:pPr>
          </w:p>
        </w:tc>
        <w:tc>
          <w:tcPr>
            <w:tcW w:w="2157" w:type="dxa"/>
            <w:vAlign w:val="center"/>
          </w:tcPr>
          <w:p>
            <w:pPr>
              <w:tabs>
                <w:tab w:val="left" w:pos="780"/>
              </w:tabs>
              <w:ind w:firstLine="205" w:firstLineChars="98"/>
              <w:jc w:val="center"/>
              <w:rPr>
                <w:rFonts w:ascii="Times New Roman" w:hAnsi="Times New Roman" w:cs="Times New Roman"/>
                <w:szCs w:val="21"/>
                <w:highlight w:val="none"/>
              </w:rPr>
            </w:pPr>
            <w:r>
              <w:rPr>
                <w:rFonts w:ascii="Times New Roman" w:hAnsi="Times New Roman" w:cs="Times New Roman"/>
                <w:szCs w:val="21"/>
                <w:highlight w:val="none"/>
              </w:rPr>
              <w:t>净吸水量</w:t>
            </w:r>
            <w:r>
              <w:rPr>
                <w:rFonts w:hint="eastAsia" w:ascii="Times New Roman" w:hAnsi="Times New Roman" w:cs="Times New Roman"/>
                <w:szCs w:val="21"/>
                <w:highlight w:val="none"/>
              </w:rPr>
              <w:t>，</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≥20</w:t>
            </w:r>
          </w:p>
        </w:tc>
        <w:tc>
          <w:tcPr>
            <w:tcW w:w="1816" w:type="dxa"/>
            <w:vAlign w:val="center"/>
          </w:tcPr>
          <w:p>
            <w:pPr>
              <w:tabs>
                <w:tab w:val="left" w:pos="780"/>
              </w:tabs>
              <w:ind w:firstLine="205" w:firstLineChars="98"/>
              <w:jc w:val="center"/>
              <w:rPr>
                <w:rFonts w:ascii="Times New Roman" w:hAnsi="Times New Roman" w:cs="Times New Roman"/>
                <w:bCs/>
                <w:szCs w:val="21"/>
                <w:highlight w:val="none"/>
              </w:rPr>
            </w:pPr>
            <w:r>
              <w:rPr>
                <w:rFonts w:hint="eastAsia" w:ascii="Times New Roman" w:hAnsi="Times New Roman" w:cs="Times New Roman"/>
                <w:bCs/>
                <w:szCs w:val="21"/>
                <w:highlight w:val="none"/>
              </w:rPr>
              <w:t>H</w:t>
            </w:r>
            <w:r>
              <w:rPr>
                <w:rFonts w:ascii="Times New Roman" w:hAnsi="Times New Roman" w:cs="Times New Roman"/>
                <w:bCs/>
                <w:szCs w:val="21"/>
                <w:highlight w:val="none"/>
              </w:rPr>
              <w:t>G/T 2765.5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restart"/>
            <w:vAlign w:val="center"/>
          </w:tcPr>
          <w:p>
            <w:pPr>
              <w:ind w:firstLine="210" w:firstLineChars="100"/>
              <w:jc w:val="center"/>
              <w:rPr>
                <w:rFonts w:ascii="Times New Roman" w:hAnsi="Times New Roman" w:cs="Times New Roman"/>
                <w:szCs w:val="21"/>
                <w:highlight w:val="none"/>
              </w:rPr>
            </w:pPr>
            <w:r>
              <w:rPr>
                <w:rFonts w:hint="eastAsia" w:ascii="Times New Roman" w:hAnsi="Times New Roman" w:cs="Times New Roman"/>
                <w:szCs w:val="21"/>
                <w:highlight w:val="none"/>
              </w:rPr>
              <w:t>3</w:t>
            </w:r>
          </w:p>
        </w:tc>
        <w:tc>
          <w:tcPr>
            <w:tcW w:w="1701" w:type="dxa"/>
            <w:vMerge w:val="restart"/>
            <w:vAlign w:val="center"/>
          </w:tcPr>
          <w:p>
            <w:pPr>
              <w:ind w:firstLine="210" w:firstLineChars="100"/>
              <w:jc w:val="center"/>
              <w:rPr>
                <w:rFonts w:ascii="Times New Roman" w:hAnsi="Times New Roman" w:cs="Times New Roman"/>
                <w:szCs w:val="21"/>
                <w:highlight w:val="none"/>
              </w:rPr>
            </w:pPr>
            <w:r>
              <w:rPr>
                <w:rFonts w:ascii="Times New Roman" w:hAnsi="Times New Roman" w:cs="Times New Roman"/>
                <w:szCs w:val="21"/>
                <w:highlight w:val="none"/>
              </w:rPr>
              <w:t>活性碳吸附剂</w:t>
            </w:r>
          </w:p>
        </w:tc>
        <w:tc>
          <w:tcPr>
            <w:tcW w:w="2157" w:type="dxa"/>
            <w:vAlign w:val="center"/>
          </w:tcPr>
          <w:p>
            <w:pPr>
              <w:tabs>
                <w:tab w:val="left" w:pos="780"/>
              </w:tabs>
              <w:ind w:firstLine="205" w:firstLineChars="98"/>
              <w:jc w:val="center"/>
              <w:rPr>
                <w:rFonts w:ascii="Times New Roman" w:hAnsi="Times New Roman" w:cs="Times New Roman"/>
                <w:szCs w:val="21"/>
                <w:highlight w:val="none"/>
              </w:rPr>
            </w:pPr>
            <w:r>
              <w:rPr>
                <w:rFonts w:ascii="Times New Roman" w:hAnsi="Times New Roman" w:cs="Times New Roman"/>
                <w:bCs/>
                <w:szCs w:val="21"/>
                <w:highlight w:val="none"/>
              </w:rPr>
              <w:t>外观</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完整</w:t>
            </w:r>
            <w:r>
              <w:rPr>
                <w:rFonts w:hint="eastAsia" w:ascii="Times New Roman" w:hAnsi="Times New Roman" w:cs="Times New Roman"/>
                <w:bCs/>
                <w:szCs w:val="21"/>
                <w:highlight w:val="none"/>
              </w:rPr>
              <w:t>、</w:t>
            </w:r>
            <w:r>
              <w:rPr>
                <w:rFonts w:ascii="Times New Roman" w:hAnsi="Times New Roman" w:cs="Times New Roman"/>
                <w:bCs/>
                <w:szCs w:val="21"/>
                <w:highlight w:val="none"/>
              </w:rPr>
              <w:t>无破损</w:t>
            </w:r>
          </w:p>
        </w:tc>
        <w:tc>
          <w:tcPr>
            <w:tcW w:w="181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ind w:firstLine="210" w:firstLineChars="100"/>
              <w:jc w:val="center"/>
              <w:rPr>
                <w:rFonts w:ascii="Times New Roman" w:hAnsi="Times New Roman" w:cs="Times New Roman"/>
                <w:szCs w:val="21"/>
                <w:highlight w:val="none"/>
              </w:rPr>
            </w:pPr>
          </w:p>
        </w:tc>
        <w:tc>
          <w:tcPr>
            <w:tcW w:w="1701" w:type="dxa"/>
            <w:vMerge w:val="continue"/>
            <w:vAlign w:val="center"/>
          </w:tcPr>
          <w:p>
            <w:pPr>
              <w:ind w:firstLine="210" w:firstLineChars="100"/>
              <w:jc w:val="center"/>
              <w:rPr>
                <w:rFonts w:ascii="Times New Roman" w:hAnsi="Times New Roman" w:cs="Times New Roman"/>
                <w:szCs w:val="21"/>
                <w:highlight w:val="none"/>
              </w:rPr>
            </w:pPr>
          </w:p>
        </w:tc>
        <w:tc>
          <w:tcPr>
            <w:tcW w:w="2157" w:type="dxa"/>
            <w:vAlign w:val="center"/>
          </w:tcPr>
          <w:p>
            <w:pPr>
              <w:tabs>
                <w:tab w:val="left" w:pos="780"/>
              </w:tabs>
              <w:ind w:firstLine="205" w:firstLineChars="98"/>
              <w:jc w:val="center"/>
              <w:rPr>
                <w:rFonts w:ascii="Times New Roman" w:hAnsi="Times New Roman" w:cs="Times New Roman"/>
                <w:szCs w:val="21"/>
                <w:highlight w:val="none"/>
              </w:rPr>
            </w:pPr>
            <w:r>
              <w:rPr>
                <w:rFonts w:ascii="Times New Roman" w:hAnsi="Times New Roman" w:cs="Times New Roman"/>
                <w:szCs w:val="21"/>
                <w:highlight w:val="none"/>
              </w:rPr>
              <w:t>抗磨强度</w:t>
            </w:r>
            <w:r>
              <w:rPr>
                <w:rFonts w:hint="eastAsia" w:ascii="Times New Roman" w:hAnsi="Times New Roman" w:cs="Times New Roman"/>
                <w:szCs w:val="21"/>
                <w:highlight w:val="none"/>
              </w:rPr>
              <w:t>，%</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≥90</w:t>
            </w:r>
          </w:p>
        </w:tc>
        <w:tc>
          <w:tcPr>
            <w:tcW w:w="1816" w:type="dxa"/>
            <w:vAlign w:val="center"/>
          </w:tcPr>
          <w:p>
            <w:pPr>
              <w:tabs>
                <w:tab w:val="left" w:pos="780"/>
              </w:tabs>
              <w:ind w:firstLine="205" w:firstLineChars="98"/>
              <w:jc w:val="center"/>
              <w:rPr>
                <w:rFonts w:ascii="Times New Roman" w:hAnsi="Times New Roman" w:cs="Times New Roman"/>
                <w:bCs/>
                <w:szCs w:val="21"/>
                <w:highlight w:val="none"/>
              </w:rPr>
            </w:pPr>
            <w:r>
              <w:rPr>
                <w:rFonts w:hint="eastAsia" w:ascii="Times New Roman" w:hAnsi="Times New Roman" w:cs="Times New Roman"/>
                <w:bCs/>
                <w:szCs w:val="21"/>
                <w:highlight w:val="none"/>
              </w:rPr>
              <w:t>G</w:t>
            </w:r>
            <w:r>
              <w:rPr>
                <w:rFonts w:ascii="Times New Roman" w:hAnsi="Times New Roman" w:cs="Times New Roman"/>
                <w:bCs/>
                <w:szCs w:val="21"/>
                <w:highlight w:val="none"/>
              </w:rPr>
              <w:t>B/T 7702.3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ind w:firstLine="210" w:firstLineChars="100"/>
              <w:jc w:val="center"/>
              <w:rPr>
                <w:rFonts w:ascii="Times New Roman" w:hAnsi="Times New Roman" w:cs="Times New Roman"/>
                <w:szCs w:val="21"/>
                <w:highlight w:val="none"/>
              </w:rPr>
            </w:pPr>
          </w:p>
        </w:tc>
        <w:tc>
          <w:tcPr>
            <w:tcW w:w="1701" w:type="dxa"/>
            <w:vMerge w:val="continue"/>
            <w:vAlign w:val="center"/>
          </w:tcPr>
          <w:p>
            <w:pPr>
              <w:ind w:firstLine="210" w:firstLineChars="100"/>
              <w:jc w:val="center"/>
              <w:rPr>
                <w:rFonts w:ascii="Times New Roman" w:hAnsi="Times New Roman" w:cs="Times New Roman"/>
                <w:szCs w:val="21"/>
                <w:highlight w:val="none"/>
              </w:rPr>
            </w:pPr>
          </w:p>
        </w:tc>
        <w:tc>
          <w:tcPr>
            <w:tcW w:w="2157" w:type="dxa"/>
            <w:vAlign w:val="center"/>
          </w:tcPr>
          <w:p>
            <w:pPr>
              <w:tabs>
                <w:tab w:val="left" w:pos="780"/>
              </w:tabs>
              <w:ind w:firstLine="205" w:firstLineChars="98"/>
              <w:jc w:val="center"/>
              <w:rPr>
                <w:rFonts w:ascii="Times New Roman" w:hAnsi="Times New Roman" w:cs="Times New Roman"/>
                <w:szCs w:val="21"/>
                <w:highlight w:val="none"/>
              </w:rPr>
            </w:pPr>
            <w:r>
              <w:rPr>
                <w:rFonts w:hint="eastAsia" w:ascii="Times New Roman" w:hAnsi="Times New Roman" w:cs="Times New Roman"/>
                <w:szCs w:val="21"/>
                <w:highlight w:val="none"/>
              </w:rPr>
              <w:t>含水量</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≤3</w:t>
            </w:r>
          </w:p>
        </w:tc>
        <w:tc>
          <w:tcPr>
            <w:tcW w:w="1816" w:type="dxa"/>
            <w:vAlign w:val="center"/>
          </w:tcPr>
          <w:p>
            <w:pPr>
              <w:tabs>
                <w:tab w:val="left" w:pos="780"/>
              </w:tabs>
              <w:ind w:firstLine="205" w:firstLineChars="98"/>
              <w:jc w:val="center"/>
              <w:rPr>
                <w:rFonts w:ascii="Times New Roman" w:hAnsi="Times New Roman" w:cs="Times New Roman"/>
                <w:bCs/>
                <w:szCs w:val="21"/>
                <w:highlight w:val="none"/>
              </w:rPr>
            </w:pPr>
            <w:r>
              <w:rPr>
                <w:rFonts w:hint="eastAsia" w:ascii="Times New Roman" w:hAnsi="Times New Roman" w:cs="Times New Roman"/>
                <w:bCs/>
                <w:szCs w:val="21"/>
                <w:highlight w:val="none"/>
              </w:rPr>
              <w:t>G</w:t>
            </w:r>
            <w:r>
              <w:rPr>
                <w:rFonts w:ascii="Times New Roman" w:hAnsi="Times New Roman" w:cs="Times New Roman"/>
                <w:bCs/>
                <w:szCs w:val="21"/>
                <w:highlight w:val="none"/>
              </w:rPr>
              <w:t>B/T 7702.1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restart"/>
            <w:vAlign w:val="center"/>
          </w:tcPr>
          <w:p>
            <w:pPr>
              <w:ind w:firstLine="210" w:firstLineChars="100"/>
              <w:jc w:val="center"/>
              <w:rPr>
                <w:rFonts w:ascii="Times New Roman" w:hAnsi="Times New Roman" w:cs="Times New Roman"/>
                <w:szCs w:val="21"/>
                <w:highlight w:val="none"/>
              </w:rPr>
            </w:pPr>
            <w:r>
              <w:rPr>
                <w:rFonts w:hint="eastAsia" w:ascii="Times New Roman" w:hAnsi="Times New Roman" w:cs="Times New Roman"/>
                <w:szCs w:val="21"/>
                <w:highlight w:val="none"/>
              </w:rPr>
              <w:t>4</w:t>
            </w:r>
          </w:p>
        </w:tc>
        <w:tc>
          <w:tcPr>
            <w:tcW w:w="1701" w:type="dxa"/>
            <w:vMerge w:val="restart"/>
            <w:vAlign w:val="center"/>
          </w:tcPr>
          <w:p>
            <w:pPr>
              <w:ind w:firstLine="210" w:firstLineChars="100"/>
              <w:jc w:val="center"/>
              <w:rPr>
                <w:rFonts w:ascii="Times New Roman" w:hAnsi="Times New Roman" w:cs="Times New Roman"/>
                <w:szCs w:val="21"/>
                <w:highlight w:val="none"/>
              </w:rPr>
            </w:pPr>
            <w:r>
              <w:rPr>
                <w:rFonts w:hint="eastAsia" w:ascii="Times New Roman" w:hAnsi="Times New Roman" w:cs="Times New Roman"/>
                <w:szCs w:val="21"/>
                <w:highlight w:val="none"/>
              </w:rPr>
              <w:t>分子筛吸附剂</w:t>
            </w:r>
          </w:p>
        </w:tc>
        <w:tc>
          <w:tcPr>
            <w:tcW w:w="2157" w:type="dxa"/>
            <w:vAlign w:val="center"/>
          </w:tcPr>
          <w:p>
            <w:pPr>
              <w:tabs>
                <w:tab w:val="left" w:pos="780"/>
              </w:tabs>
              <w:ind w:firstLine="205" w:firstLineChars="98"/>
              <w:jc w:val="center"/>
              <w:rPr>
                <w:rFonts w:ascii="Times New Roman" w:hAnsi="Times New Roman" w:cs="Times New Roman"/>
                <w:szCs w:val="21"/>
                <w:highlight w:val="none"/>
              </w:rPr>
            </w:pPr>
            <w:r>
              <w:rPr>
                <w:rFonts w:ascii="Times New Roman" w:hAnsi="Times New Roman" w:cs="Times New Roman"/>
                <w:bCs/>
                <w:szCs w:val="21"/>
                <w:highlight w:val="none"/>
              </w:rPr>
              <w:t>外观</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完整</w:t>
            </w:r>
            <w:r>
              <w:rPr>
                <w:rFonts w:hint="eastAsia" w:ascii="Times New Roman" w:hAnsi="Times New Roman" w:cs="Times New Roman"/>
                <w:bCs/>
                <w:szCs w:val="21"/>
                <w:highlight w:val="none"/>
              </w:rPr>
              <w:t>、</w:t>
            </w:r>
            <w:r>
              <w:rPr>
                <w:rFonts w:ascii="Times New Roman" w:hAnsi="Times New Roman" w:cs="Times New Roman"/>
                <w:bCs/>
                <w:szCs w:val="21"/>
                <w:highlight w:val="none"/>
              </w:rPr>
              <w:t>无破损</w:t>
            </w:r>
          </w:p>
        </w:tc>
        <w:tc>
          <w:tcPr>
            <w:tcW w:w="181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ind w:firstLine="210" w:firstLineChars="100"/>
              <w:jc w:val="center"/>
              <w:rPr>
                <w:rFonts w:ascii="Times New Roman" w:hAnsi="Times New Roman" w:cs="Times New Roman"/>
                <w:szCs w:val="21"/>
                <w:highlight w:val="none"/>
              </w:rPr>
            </w:pPr>
          </w:p>
        </w:tc>
        <w:tc>
          <w:tcPr>
            <w:tcW w:w="1701" w:type="dxa"/>
            <w:vMerge w:val="continue"/>
            <w:vAlign w:val="center"/>
          </w:tcPr>
          <w:p>
            <w:pPr>
              <w:ind w:firstLine="210" w:firstLineChars="100"/>
              <w:jc w:val="center"/>
              <w:rPr>
                <w:rFonts w:ascii="Times New Roman" w:hAnsi="Times New Roman" w:cs="Times New Roman"/>
                <w:szCs w:val="21"/>
                <w:highlight w:val="none"/>
              </w:rPr>
            </w:pPr>
          </w:p>
        </w:tc>
        <w:tc>
          <w:tcPr>
            <w:tcW w:w="2157" w:type="dxa"/>
            <w:vAlign w:val="center"/>
          </w:tcPr>
          <w:p>
            <w:pPr>
              <w:tabs>
                <w:tab w:val="left" w:pos="780"/>
              </w:tabs>
              <w:ind w:firstLine="205" w:firstLineChars="98"/>
              <w:jc w:val="center"/>
              <w:rPr>
                <w:rFonts w:ascii="Times New Roman" w:hAnsi="Times New Roman" w:cs="Times New Roman"/>
                <w:szCs w:val="21"/>
                <w:highlight w:val="none"/>
              </w:rPr>
            </w:pPr>
            <w:r>
              <w:rPr>
                <w:rFonts w:ascii="Times New Roman" w:hAnsi="Times New Roman" w:cs="Times New Roman"/>
                <w:szCs w:val="21"/>
                <w:highlight w:val="none"/>
              </w:rPr>
              <w:t>抗压碎强度，</w:t>
            </w:r>
            <w:r>
              <w:rPr>
                <w:rFonts w:hint="eastAsia" w:ascii="Times New Roman" w:hAnsi="Times New Roman" w:cs="Times New Roman"/>
                <w:szCs w:val="21"/>
                <w:highlight w:val="none"/>
              </w:rPr>
              <w:t>N</w:t>
            </w:r>
            <w:r>
              <w:rPr>
                <w:rFonts w:ascii="Times New Roman" w:hAnsi="Times New Roman" w:cs="Times New Roman"/>
                <w:szCs w:val="21"/>
                <w:highlight w:val="none"/>
              </w:rPr>
              <w:t>/粒</w:t>
            </w:r>
          </w:p>
        </w:tc>
        <w:tc>
          <w:tcPr>
            <w:tcW w:w="177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≥30</w:t>
            </w:r>
          </w:p>
        </w:tc>
        <w:tc>
          <w:tcPr>
            <w:tcW w:w="1816" w:type="dxa"/>
            <w:vAlign w:val="center"/>
          </w:tcPr>
          <w:p>
            <w:pPr>
              <w:tabs>
                <w:tab w:val="left" w:pos="780"/>
              </w:tabs>
              <w:ind w:firstLine="205" w:firstLineChars="98"/>
              <w:jc w:val="center"/>
              <w:rPr>
                <w:rFonts w:ascii="Times New Roman" w:hAnsi="Times New Roman" w:cs="Times New Roman"/>
                <w:bCs/>
                <w:szCs w:val="21"/>
                <w:highlight w:val="none"/>
              </w:rPr>
            </w:pPr>
            <w:r>
              <w:rPr>
                <w:rFonts w:ascii="Times New Roman" w:hAnsi="Times New Roman" w:cs="Times New Roman"/>
                <w:bCs/>
                <w:szCs w:val="21"/>
                <w:highlight w:val="none"/>
              </w:rPr>
              <w:t>HG/T 2783</w:t>
            </w:r>
          </w:p>
        </w:tc>
      </w:tr>
    </w:tbl>
    <w:p>
      <w:pPr>
        <w:numPr>
          <w:ilvl w:val="0"/>
          <w:numId w:val="5"/>
        </w:numPr>
        <w:spacing w:line="360" w:lineRule="exact"/>
        <w:jc w:val="left"/>
        <w:rPr>
          <w:rFonts w:ascii="宋体" w:hAnsi="宋体" w:cs="宋体"/>
          <w:sz w:val="24"/>
          <w:highlight w:val="none"/>
        </w:rPr>
      </w:pPr>
      <w:r>
        <w:rPr>
          <w:rFonts w:hint="eastAsia" w:ascii="宋体" w:hAnsi="宋体" w:cs="宋体"/>
          <w:sz w:val="24"/>
          <w:highlight w:val="none"/>
          <w:lang w:val="en-US" w:eastAsia="zh-CN"/>
        </w:rPr>
        <w:t>技术保证值</w:t>
      </w:r>
    </w:p>
    <w:p>
      <w:pPr>
        <w:numPr>
          <w:ilvl w:val="0"/>
          <w:numId w:val="0"/>
        </w:numPr>
        <w:spacing w:line="360" w:lineRule="exact"/>
        <w:ind w:firstLine="240" w:firstLineChars="100"/>
        <w:jc w:val="left"/>
        <w:rPr>
          <w:rFonts w:ascii="宋体" w:hAnsi="宋体" w:cs="宋体"/>
          <w:sz w:val="24"/>
          <w:highlight w:val="none"/>
        </w:rPr>
      </w:pPr>
      <w:r>
        <w:rPr>
          <w:rFonts w:ascii="宋体" w:hAnsi="宋体" w:cs="宋体"/>
          <w:sz w:val="24"/>
          <w:highlight w:val="none"/>
        </w:rPr>
        <w:t>保证运行周期：在</w:t>
      </w:r>
      <w:r>
        <w:rPr>
          <w:rFonts w:hint="eastAsia" w:ascii="宋体" w:hAnsi="宋体" w:cs="宋体"/>
          <w:sz w:val="24"/>
          <w:highlight w:val="none"/>
          <w:lang w:val="en-US" w:eastAsia="zh-CN"/>
        </w:rPr>
        <w:t>技术要求的</w:t>
      </w:r>
      <w:r>
        <w:rPr>
          <w:rFonts w:ascii="宋体" w:hAnsi="宋体" w:cs="宋体"/>
          <w:sz w:val="24"/>
          <w:highlight w:val="none"/>
        </w:rPr>
        <w:t>工艺条件下，</w:t>
      </w:r>
      <w:r>
        <w:rPr>
          <w:rFonts w:hint="eastAsia" w:ascii="宋体" w:hAnsi="宋体" w:cs="宋体"/>
          <w:sz w:val="24"/>
          <w:highlight w:val="none"/>
        </w:rPr>
        <w:t>吸附剂</w:t>
      </w:r>
      <w:r>
        <w:rPr>
          <w:rFonts w:ascii="宋体" w:hAnsi="宋体" w:cs="宋体"/>
          <w:sz w:val="24"/>
          <w:highlight w:val="none"/>
        </w:rPr>
        <w:t>满足生产要求且</w:t>
      </w:r>
      <w:r>
        <w:rPr>
          <w:rFonts w:hint="eastAsia" w:ascii="宋体" w:hAnsi="宋体" w:cs="宋体"/>
          <w:sz w:val="24"/>
          <w:highlight w:val="none"/>
        </w:rPr>
        <w:t>保证装置氢收率≥8</w:t>
      </w:r>
      <w:r>
        <w:rPr>
          <w:rFonts w:ascii="宋体" w:hAnsi="宋体" w:cs="宋体"/>
          <w:sz w:val="24"/>
          <w:highlight w:val="none"/>
        </w:rPr>
        <w:t>9vol%</w:t>
      </w:r>
      <w:r>
        <w:rPr>
          <w:rFonts w:hint="eastAsia" w:ascii="宋体" w:hAnsi="宋体" w:cs="宋体"/>
          <w:sz w:val="24"/>
          <w:highlight w:val="none"/>
          <w:lang w:eastAsia="zh-CN"/>
        </w:rPr>
        <w:t>。</w:t>
      </w:r>
      <w:r>
        <w:rPr>
          <w:rFonts w:ascii="宋体" w:hAnsi="宋体" w:cs="宋体"/>
          <w:sz w:val="24"/>
          <w:highlight w:val="none"/>
        </w:rPr>
        <w:t>原料分液罐压差≤0.15MPa的情况下</w:t>
      </w:r>
      <w:r>
        <w:rPr>
          <w:rFonts w:hint="eastAsia" w:ascii="宋体" w:hAnsi="宋体" w:cs="宋体"/>
          <w:sz w:val="24"/>
          <w:highlight w:val="none"/>
          <w:lang w:eastAsia="zh-CN"/>
        </w:rPr>
        <w:t>，重整氢</w:t>
      </w:r>
      <w:r>
        <w:rPr>
          <w:rFonts w:hint="eastAsia" w:ascii="宋体" w:hAnsi="宋体" w:cs="宋体"/>
          <w:sz w:val="24"/>
          <w:highlight w:val="none"/>
          <w:lang w:val="en-US" w:eastAsia="zh-CN"/>
        </w:rPr>
        <w:t>PSA</w:t>
      </w:r>
      <w:r>
        <w:rPr>
          <w:rFonts w:hint="eastAsia" w:ascii="宋体" w:hAnsi="宋体" w:cs="宋体"/>
          <w:sz w:val="24"/>
          <w:highlight w:val="none"/>
          <w:lang w:eastAsia="zh-CN"/>
        </w:rPr>
        <w:t>装置在负荷大于</w:t>
      </w:r>
      <w:r>
        <w:rPr>
          <w:rFonts w:hint="eastAsia" w:ascii="宋体" w:hAnsi="宋体" w:cs="宋体"/>
          <w:sz w:val="24"/>
          <w:highlight w:val="none"/>
          <w:lang w:val="en-US" w:eastAsia="zh-CN"/>
        </w:rPr>
        <w:t>50%的情况下</w:t>
      </w:r>
      <w:r>
        <w:rPr>
          <w:rFonts w:ascii="宋体" w:hAnsi="宋体" w:cs="宋体"/>
          <w:sz w:val="24"/>
          <w:highlight w:val="none"/>
        </w:rPr>
        <w:t>连续运行</w:t>
      </w:r>
      <w:r>
        <w:rPr>
          <w:rFonts w:hint="eastAsia" w:ascii="宋体" w:hAnsi="宋体" w:cs="宋体"/>
          <w:sz w:val="24"/>
          <w:highlight w:val="none"/>
          <w:lang w:eastAsia="zh-CN"/>
        </w:rPr>
        <w:t>一年，吸附剂性能满足生产指标要求。</w:t>
      </w:r>
    </w:p>
    <w:p>
      <w:pPr>
        <w:numPr>
          <w:ilvl w:val="0"/>
          <w:numId w:val="5"/>
        </w:numPr>
        <w:spacing w:line="360" w:lineRule="exact"/>
        <w:jc w:val="left"/>
        <w:rPr>
          <w:rFonts w:ascii="宋体" w:hAnsi="宋体" w:cs="宋体"/>
          <w:sz w:val="24"/>
        </w:rPr>
      </w:pPr>
      <w:r>
        <w:rPr>
          <w:rFonts w:hint="eastAsia" w:ascii="宋体" w:hAnsi="宋体" w:cs="宋体"/>
          <w:sz w:val="24"/>
        </w:rPr>
        <w:t>包装方式：包装及运输方式便于</w:t>
      </w:r>
      <w:r>
        <w:rPr>
          <w:rFonts w:hint="eastAsia" w:ascii="宋体" w:hAnsi="宋体" w:cs="宋体"/>
          <w:sz w:val="24"/>
          <w:lang w:val="en-US" w:eastAsia="zh-CN"/>
        </w:rPr>
        <w:t>需</w:t>
      </w:r>
      <w:r>
        <w:rPr>
          <w:rFonts w:hint="eastAsia" w:ascii="宋体" w:hAnsi="宋体" w:cs="宋体"/>
          <w:sz w:val="24"/>
        </w:rPr>
        <w:t>方卸货，若因不便卸货而产生的费用由</w:t>
      </w:r>
      <w:r>
        <w:rPr>
          <w:rFonts w:hint="eastAsia" w:ascii="宋体" w:hAnsi="宋体" w:cs="宋体"/>
          <w:sz w:val="24"/>
          <w:lang w:val="en-US" w:eastAsia="zh-CN"/>
        </w:rPr>
        <w:t>供</w:t>
      </w:r>
      <w:r>
        <w:rPr>
          <w:rFonts w:hint="eastAsia" w:ascii="宋体" w:hAnsi="宋体" w:cs="宋体"/>
          <w:sz w:val="24"/>
        </w:rPr>
        <w:t>方承担。</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w:t>
      </w:r>
      <w:r>
        <w:rPr>
          <w:rFonts w:hint="eastAsia" w:ascii="宋体" w:hAnsi="宋体"/>
          <w:color w:val="auto"/>
          <w:sz w:val="24"/>
          <w:lang w:val="en-US" w:eastAsia="zh-CN"/>
        </w:rPr>
        <w:t>到货，要求于</w:t>
      </w:r>
      <w:r>
        <w:rPr>
          <w:rFonts w:hint="eastAsia" w:ascii="宋体" w:hAnsi="宋体"/>
          <w:sz w:val="24"/>
          <w:lang w:val="en-US" w:eastAsia="zh-CN"/>
        </w:rPr>
        <w:t>2023年4月底前到货需方指定地点</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重整氢PSA装置吸附剂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eastAsia="zh-CN"/>
        </w:rPr>
        <w:t>。</w:t>
      </w:r>
      <w:r>
        <w:rPr>
          <w:rFonts w:hint="eastAsia" w:ascii="宋体" w:hAnsi="宋体" w:cs="宋体"/>
          <w:sz w:val="24"/>
          <w:lang w:val="en-US" w:eastAsia="zh-CN"/>
        </w:rPr>
        <w:t>全部</w:t>
      </w:r>
      <w:r>
        <w:rPr>
          <w:rFonts w:hint="eastAsia" w:ascii="宋体" w:hAnsi="宋体" w:cs="宋体"/>
          <w:sz w:val="24"/>
        </w:rPr>
        <w:t>产品到货</w:t>
      </w:r>
      <w:r>
        <w:rPr>
          <w:rFonts w:hint="eastAsia" w:ascii="宋体" w:hAnsi="宋体" w:cs="宋体"/>
          <w:sz w:val="24"/>
          <w:lang w:val="en-US" w:eastAsia="zh-CN"/>
        </w:rPr>
        <w:t>后</w:t>
      </w:r>
      <w:r>
        <w:rPr>
          <w:rFonts w:hint="eastAsia" w:ascii="宋体" w:hAnsi="宋体" w:cs="宋体"/>
          <w:sz w:val="24"/>
        </w:rPr>
        <w:t>，经需方收到并确认无误后向供方支付该批次货物货款。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w:t>
      </w:r>
      <w:r>
        <w:rPr>
          <w:rFonts w:hint="eastAsia" w:ascii="宋体" w:hAnsi="宋体" w:cs="宋体"/>
          <w:sz w:val="24"/>
          <w:lang w:val="en-US" w:eastAsia="zh-CN"/>
        </w:rPr>
        <w:t>技术要求</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2023-FHC-重整氢PSA装置吸附剂-0306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w:t>
      </w:r>
      <w:r>
        <w:rPr>
          <w:rFonts w:hint="eastAsia" w:ascii="宋体" w:hAnsi="宋体"/>
          <w:sz w:val="24"/>
          <w:lang w:val="en-US" w:eastAsia="zh-CN"/>
        </w:rPr>
        <w:t>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2023-FHC-重整氢PSA装置吸附剂-0306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2023-FHC-重整氢PSA装置吸附剂-0306</w:t>
      </w:r>
      <w:r>
        <w:rPr>
          <w:rFonts w:hint="eastAsia" w:ascii="宋体" w:hAnsi="宋体"/>
          <w:sz w:val="24"/>
        </w:rPr>
        <w:t>），报价如下：</w:t>
      </w:r>
    </w:p>
    <w:p>
      <w:pPr>
        <w:spacing w:line="500" w:lineRule="exact"/>
        <w:rPr>
          <w:rFonts w:hint="eastAsia" w:ascii="宋体" w:hAns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重整氢PSA装置吸附剂</w:t>
      </w:r>
      <w:r>
        <w:rPr>
          <w:rFonts w:hint="eastAsia" w:ascii="宋体" w:hAnsi="宋体"/>
          <w:color w:val="auto"/>
          <w:sz w:val="24"/>
        </w:rPr>
        <w:t>：</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969"/>
        <w:gridCol w:w="1420"/>
        <w:gridCol w:w="1091"/>
        <w:gridCol w:w="175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序号</w:t>
            </w:r>
          </w:p>
        </w:tc>
        <w:tc>
          <w:tcPr>
            <w:tcW w:w="1969"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物资名称</w:t>
            </w:r>
          </w:p>
        </w:tc>
        <w:tc>
          <w:tcPr>
            <w:tcW w:w="1420"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规格型号</w:t>
            </w:r>
          </w:p>
        </w:tc>
        <w:tc>
          <w:tcPr>
            <w:tcW w:w="109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数量（吨）</w:t>
            </w:r>
          </w:p>
        </w:tc>
        <w:tc>
          <w:tcPr>
            <w:tcW w:w="1750"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含税单价(13%)(元/吨）</w:t>
            </w:r>
          </w:p>
        </w:tc>
        <w:tc>
          <w:tcPr>
            <w:tcW w:w="142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trPr>
        <w:tc>
          <w:tcPr>
            <w:tcW w:w="87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1</w:t>
            </w:r>
          </w:p>
        </w:tc>
        <w:tc>
          <w:tcPr>
            <w:tcW w:w="1969"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r>
              <w:rPr>
                <w:rFonts w:hint="eastAsia" w:ascii="宋体" w:hAnsi="宋体" w:eastAsia="宋体"/>
                <w:color w:val="auto"/>
                <w:sz w:val="24"/>
                <w:vertAlign w:val="baseline"/>
                <w:lang w:eastAsia="zh-CN"/>
              </w:rPr>
              <w:t>活性瓷球吸附剂</w:t>
            </w:r>
          </w:p>
        </w:tc>
        <w:tc>
          <w:tcPr>
            <w:tcW w:w="1420"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c>
          <w:tcPr>
            <w:tcW w:w="109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0.6</w:t>
            </w:r>
          </w:p>
        </w:tc>
        <w:tc>
          <w:tcPr>
            <w:tcW w:w="1750"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c>
          <w:tcPr>
            <w:tcW w:w="1421"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2</w:t>
            </w:r>
          </w:p>
        </w:tc>
        <w:tc>
          <w:tcPr>
            <w:tcW w:w="1969"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r>
              <w:rPr>
                <w:rFonts w:hint="eastAsia" w:ascii="宋体" w:hAnsi="宋体" w:eastAsia="宋体"/>
                <w:color w:val="auto"/>
                <w:sz w:val="24"/>
                <w:vertAlign w:val="baseline"/>
                <w:lang w:eastAsia="zh-CN"/>
              </w:rPr>
              <w:t>硅胶吸附剂</w:t>
            </w:r>
          </w:p>
        </w:tc>
        <w:tc>
          <w:tcPr>
            <w:tcW w:w="1420"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c>
          <w:tcPr>
            <w:tcW w:w="109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6</w:t>
            </w:r>
          </w:p>
        </w:tc>
        <w:tc>
          <w:tcPr>
            <w:tcW w:w="1750"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c>
          <w:tcPr>
            <w:tcW w:w="1421"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3</w:t>
            </w:r>
          </w:p>
        </w:tc>
        <w:tc>
          <w:tcPr>
            <w:tcW w:w="1969"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r>
              <w:rPr>
                <w:rFonts w:hint="eastAsia" w:ascii="宋体" w:hAnsi="宋体" w:eastAsia="宋体"/>
                <w:color w:val="auto"/>
                <w:sz w:val="24"/>
                <w:vertAlign w:val="baseline"/>
                <w:lang w:eastAsia="zh-CN"/>
              </w:rPr>
              <w:t>活性碳吸附剂</w:t>
            </w:r>
          </w:p>
        </w:tc>
        <w:tc>
          <w:tcPr>
            <w:tcW w:w="1420"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c>
          <w:tcPr>
            <w:tcW w:w="109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12</w:t>
            </w:r>
          </w:p>
        </w:tc>
        <w:tc>
          <w:tcPr>
            <w:tcW w:w="1750"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c>
          <w:tcPr>
            <w:tcW w:w="1421"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4</w:t>
            </w:r>
          </w:p>
        </w:tc>
        <w:tc>
          <w:tcPr>
            <w:tcW w:w="1969"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r>
              <w:rPr>
                <w:rFonts w:hint="eastAsia" w:ascii="宋体" w:hAnsi="宋体" w:eastAsia="宋体"/>
                <w:color w:val="auto"/>
                <w:sz w:val="24"/>
                <w:vertAlign w:val="baseline"/>
                <w:lang w:eastAsia="zh-CN"/>
              </w:rPr>
              <w:t>分子筛吸附剂</w:t>
            </w:r>
          </w:p>
        </w:tc>
        <w:tc>
          <w:tcPr>
            <w:tcW w:w="1420"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c>
          <w:tcPr>
            <w:tcW w:w="1091" w:type="dxa"/>
            <w:vAlign w:val="center"/>
          </w:tcPr>
          <w:p>
            <w:pPr>
              <w:numPr>
                <w:ilvl w:val="0"/>
                <w:numId w:val="0"/>
              </w:numPr>
              <w:spacing w:line="312" w:lineRule="auto"/>
              <w:jc w:val="center"/>
              <w:rPr>
                <w:rFonts w:hint="eastAsia" w:ascii="宋体" w:hAnsi="宋体" w:eastAsia="宋体"/>
                <w:color w:val="auto"/>
                <w:sz w:val="24"/>
                <w:vertAlign w:val="baseline"/>
                <w:lang w:val="en-US" w:eastAsia="zh-CN"/>
              </w:rPr>
            </w:pPr>
            <w:r>
              <w:rPr>
                <w:rFonts w:hint="eastAsia" w:ascii="宋体" w:hAnsi="宋体"/>
                <w:color w:val="auto"/>
                <w:sz w:val="24"/>
                <w:vertAlign w:val="baseline"/>
                <w:lang w:val="en-US" w:eastAsia="zh-CN"/>
              </w:rPr>
              <w:t>6</w:t>
            </w:r>
          </w:p>
        </w:tc>
        <w:tc>
          <w:tcPr>
            <w:tcW w:w="1750"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c>
          <w:tcPr>
            <w:tcW w:w="1421" w:type="dxa"/>
            <w:vAlign w:val="center"/>
          </w:tcPr>
          <w:p>
            <w:pPr>
              <w:numPr>
                <w:ilvl w:val="0"/>
                <w:numId w:val="0"/>
              </w:numPr>
              <w:spacing w:line="312" w:lineRule="auto"/>
              <w:jc w:val="center"/>
              <w:rPr>
                <w:rFonts w:hint="eastAsia" w:ascii="宋体" w:hAnsi="宋体" w:eastAsia="宋体"/>
                <w:color w:val="auto"/>
                <w:sz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51" w:type="dxa"/>
            <w:gridSpan w:val="4"/>
            <w:vAlign w:val="center"/>
          </w:tcPr>
          <w:p>
            <w:pPr>
              <w:numPr>
                <w:ilvl w:val="0"/>
                <w:numId w:val="0"/>
              </w:numPr>
              <w:spacing w:line="312" w:lineRule="auto"/>
              <w:jc w:val="center"/>
              <w:rPr>
                <w:rFonts w:hint="eastAsia" w:ascii="宋体" w:hAnsi="宋体"/>
                <w:color w:val="auto"/>
                <w:sz w:val="24"/>
                <w:vertAlign w:val="baseline"/>
                <w:lang w:val="en-US" w:eastAsia="zh-CN"/>
              </w:rPr>
            </w:pPr>
            <w:r>
              <w:rPr>
                <w:rFonts w:hint="eastAsia" w:ascii="宋体" w:hAnsi="宋体"/>
                <w:color w:val="auto"/>
                <w:sz w:val="24"/>
                <w:vertAlign w:val="baseline"/>
                <w:lang w:val="en-US" w:eastAsia="zh-CN"/>
              </w:rPr>
              <w:t>含税到厂总价（元）</w:t>
            </w:r>
          </w:p>
        </w:tc>
        <w:tc>
          <w:tcPr>
            <w:tcW w:w="3171" w:type="dxa"/>
            <w:gridSpan w:val="2"/>
            <w:vAlign w:val="center"/>
          </w:tcPr>
          <w:p>
            <w:pPr>
              <w:numPr>
                <w:ilvl w:val="0"/>
                <w:numId w:val="0"/>
              </w:numPr>
              <w:spacing w:line="312" w:lineRule="auto"/>
              <w:jc w:val="center"/>
              <w:rPr>
                <w:rFonts w:hint="eastAsia" w:ascii="宋体" w:hAnsi="宋体" w:eastAsia="宋体"/>
                <w:color w:val="auto"/>
                <w:sz w:val="24"/>
                <w:vertAlign w:val="baseline"/>
                <w:lang w:eastAsia="zh-CN"/>
              </w:rPr>
            </w:pPr>
          </w:p>
        </w:tc>
      </w:tr>
    </w:tbl>
    <w:p>
      <w:pPr>
        <w:numPr>
          <w:ilvl w:val="0"/>
          <w:numId w:val="7"/>
        </w:numPr>
        <w:spacing w:line="312" w:lineRule="auto"/>
        <w:rPr>
          <w:rFonts w:hint="eastAsia" w:ascii="宋体" w:hAnsi="宋体"/>
          <w:color w:val="auto"/>
          <w:sz w:val="24"/>
        </w:rPr>
      </w:pPr>
      <w:r>
        <w:rPr>
          <w:rFonts w:hint="eastAsia" w:ascii="宋体" w:hAnsi="宋体"/>
          <w:color w:val="auto"/>
          <w:sz w:val="24"/>
        </w:rPr>
        <w:t>产品的包装</w:t>
      </w:r>
      <w:r>
        <w:rPr>
          <w:rFonts w:hint="eastAsia" w:ascii="宋体" w:hAnsi="宋体"/>
          <w:color w:val="auto"/>
          <w:sz w:val="24"/>
          <w:lang w:eastAsia="zh-CN"/>
        </w:rPr>
        <w:t>：</w:t>
      </w:r>
      <w:r>
        <w:rPr>
          <w:rFonts w:hint="eastAsia" w:ascii="宋体" w:hAnsi="宋体"/>
          <w:color w:val="auto"/>
          <w:sz w:val="24"/>
          <w:lang w:val="en-US" w:eastAsia="zh-CN"/>
        </w:rPr>
        <w:t>______________________</w:t>
      </w:r>
      <w:r>
        <w:rPr>
          <w:rFonts w:hint="eastAsia" w:ascii="宋体" w:hAnsi="宋体"/>
          <w:color w:val="auto"/>
          <w:sz w:val="24"/>
        </w:rPr>
        <w:t>。</w:t>
      </w:r>
    </w:p>
    <w:p>
      <w:pPr>
        <w:numPr>
          <w:ilvl w:val="0"/>
          <w:numId w:val="7"/>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技术要求</w:t>
      </w:r>
      <w:r>
        <w:rPr>
          <w:rFonts w:hint="eastAsia" w:ascii="宋体" w:hAnsi="宋体"/>
          <w:color w:val="auto"/>
          <w:sz w:val="24"/>
        </w:rPr>
        <w:t>。</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肆万元</w:t>
      </w:r>
      <w:r>
        <w:rPr>
          <w:rFonts w:hint="eastAsia" w:ascii="宋体" w:hAnsi="宋体"/>
          <w:sz w:val="24"/>
        </w:rPr>
        <w:t>整，若我司中选，我司同意按照要求</w:t>
      </w:r>
      <w:r>
        <w:rPr>
          <w:rFonts w:hint="eastAsia" w:ascii="宋体" w:hAnsi="宋体"/>
          <w:sz w:val="24"/>
          <w:lang w:val="en-US" w:eastAsia="zh-CN"/>
        </w:rPr>
        <w:t>转为履约保证金且作为合同质保金，</w:t>
      </w:r>
      <w:r>
        <w:rPr>
          <w:rFonts w:hint="eastAsia" w:ascii="宋体" w:hAnsi="宋体"/>
          <w:color w:val="auto"/>
          <w:sz w:val="24"/>
          <w:highlight w:val="none"/>
          <w:lang w:val="en-US" w:eastAsia="zh-CN"/>
        </w:rPr>
        <w:t>待全面履约后申请无息返还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一次性</w:t>
      </w:r>
      <w:r>
        <w:rPr>
          <w:rFonts w:hint="eastAsia" w:ascii="宋体" w:hAnsi="宋体"/>
          <w:sz w:val="24"/>
        </w:rPr>
        <w:t>到货，</w:t>
      </w:r>
      <w:r>
        <w:rPr>
          <w:rFonts w:hint="eastAsia" w:ascii="宋体" w:hAnsi="宋体"/>
          <w:sz w:val="24"/>
          <w:lang w:val="en-US" w:eastAsia="zh-CN"/>
        </w:rPr>
        <w:t>货物需于2023年4月底前到货需方指定地点</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w:t>
      </w:r>
      <w:r>
        <w:rPr>
          <w:rFonts w:hint="eastAsia" w:ascii="宋体" w:hAnsi="宋体"/>
          <w:sz w:val="24"/>
          <w:lang w:val="en-US" w:eastAsia="zh-CN"/>
        </w:rPr>
        <w:t>付款方式：</w:t>
      </w:r>
      <w:r>
        <w:rPr>
          <w:rFonts w:hint="eastAsia" w:ascii="宋体" w:hAnsi="宋体"/>
          <w:sz w:val="24"/>
        </w:rPr>
        <w:t>现汇支付</w:t>
      </w:r>
      <w:r>
        <w:rPr>
          <w:rFonts w:hint="eastAsia" w:ascii="宋体" w:hAnsi="宋体"/>
          <w:sz w:val="24"/>
          <w:lang w:eastAsia="zh-CN"/>
        </w:rPr>
        <w:t>，</w:t>
      </w:r>
      <w:r>
        <w:rPr>
          <w:rFonts w:hint="eastAsia" w:ascii="宋体" w:hAnsi="宋体"/>
          <w:sz w:val="24"/>
          <w:lang w:val="en-US" w:eastAsia="zh-CN"/>
        </w:rPr>
        <w:t>全部</w:t>
      </w:r>
      <w:r>
        <w:rPr>
          <w:rFonts w:hint="eastAsia" w:ascii="宋体" w:hAnsi="宋体"/>
          <w:sz w:val="24"/>
        </w:rPr>
        <w:t>产品到货</w:t>
      </w:r>
      <w:r>
        <w:rPr>
          <w:rFonts w:hint="eastAsia" w:ascii="宋体" w:hAnsi="宋体"/>
          <w:sz w:val="24"/>
          <w:lang w:val="en-US" w:eastAsia="zh-CN"/>
        </w:rPr>
        <w:t>后</w:t>
      </w:r>
      <w:r>
        <w:rPr>
          <w:rFonts w:hint="eastAsia" w:ascii="宋体" w:hAnsi="宋体"/>
          <w:sz w:val="24"/>
        </w:rPr>
        <w:t>，经需方或需方指定单位根据合同</w:t>
      </w:r>
      <w:r>
        <w:rPr>
          <w:rFonts w:hint="eastAsia" w:ascii="宋体" w:hAnsi="宋体"/>
          <w:sz w:val="24"/>
          <w:lang w:val="en-US" w:eastAsia="zh-CN"/>
        </w:rPr>
        <w:t>及技术要求约定</w:t>
      </w:r>
      <w:r>
        <w:rPr>
          <w:rFonts w:hint="eastAsia" w:ascii="宋体" w:hAnsi="宋体"/>
          <w:sz w:val="24"/>
        </w:rPr>
        <w:t>的质量、数量标准验收合格后，供方提供相应金额的13%增值税专用发票以及结算所需的各类清单，需方收到并确认无误后向供方支付该批次货物货款</w:t>
      </w:r>
      <w:r>
        <w:rPr>
          <w:rFonts w:hint="eastAsia" w:ascii="宋体" w:hAnsi="宋体"/>
          <w:sz w:val="24"/>
          <w:lang w:eastAsia="zh-CN"/>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3" w:name="_Hlk532224866"/>
      <w:r>
        <w:rPr>
          <w:rFonts w:hint="eastAsia" w:ascii="宋体" w:hAnsi="宋体"/>
          <w:sz w:val="24"/>
        </w:rPr>
        <w:t>被授权代表签字：</w:t>
      </w:r>
    </w:p>
    <w:bookmarkEnd w:id="3"/>
    <w:p>
      <w:pPr>
        <w:spacing w:line="500" w:lineRule="exact"/>
        <w:rPr>
          <w:rFonts w:hint="eastAsia" w:ascii="宋体" w:hAnsi="宋体"/>
          <w:sz w:val="24"/>
        </w:rPr>
      </w:pPr>
      <w:r>
        <w:rPr>
          <w:rFonts w:hint="eastAsia" w:ascii="宋体" w:hAnsi="宋体"/>
          <w:sz w:val="24"/>
        </w:rPr>
        <w:t>时间：</w:t>
      </w:r>
    </w:p>
    <w:p>
      <w:pPr>
        <w:spacing w:line="500" w:lineRule="exact"/>
      </w:pP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2023-FHC-重整氢PSA装置吸附剂-0306</w:t>
      </w:r>
      <w:r>
        <w:rPr>
          <w:rFonts w:hint="eastAsia" w:ascii="宋体" w:hAnsi="宋体"/>
          <w:sz w:val="28"/>
          <w:szCs w:val="28"/>
        </w:rPr>
        <w:t>），</w:t>
      </w:r>
      <w:bookmarkStart w:id="4" w:name="_Hlk59783074"/>
      <w:r>
        <w:rPr>
          <w:rFonts w:hint="eastAsia" w:ascii="宋体" w:hAnsi="宋体"/>
          <w:sz w:val="28"/>
          <w:szCs w:val="28"/>
        </w:rPr>
        <w:t>供货质量</w:t>
      </w:r>
      <w:r>
        <w:rPr>
          <w:rFonts w:hint="eastAsia" w:ascii="宋体" w:hAnsi="宋体"/>
          <w:sz w:val="28"/>
          <w:szCs w:val="28"/>
          <w:u w:val="single"/>
        </w:rPr>
        <w:t>详见</w:t>
      </w:r>
      <w:bookmarkEnd w:id="4"/>
      <w:r>
        <w:rPr>
          <w:rFonts w:hint="eastAsia" w:ascii="宋体" w:hAnsi="宋体"/>
          <w:sz w:val="28"/>
          <w:szCs w:val="28"/>
          <w:u w:val="single"/>
          <w:lang w:val="en-US" w:eastAsia="zh-CN"/>
        </w:rPr>
        <w:t>附件技术要求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见附件</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cs="Arial"/>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w:t>
      </w:r>
      <w:r>
        <w:rPr>
          <w:rFonts w:hint="eastAsia" w:ascii="宋体" w:hAnsi="宋体"/>
          <w:b w:val="0"/>
          <w:bCs/>
          <w:szCs w:val="21"/>
          <w:lang w:val="en-US" w:eastAsia="zh-CN"/>
        </w:rPr>
        <w:t>及技术要求</w:t>
      </w:r>
      <w:r>
        <w:rPr>
          <w:rFonts w:hint="eastAsia" w:ascii="宋体" w:hAnsi="宋体"/>
          <w:b w:val="0"/>
          <w:bCs/>
          <w:szCs w:val="21"/>
        </w:rPr>
        <w:t>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一次性到货，货物需于2023年4月底前到货需方指定地点。</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5.1供方根据需方要求缴纳履约保证金，金额为人民币肆万元整。合同履约期届满（质保一年且无产品质量问题），供方按合同约定全面履约的情况下，需方于供方提交返还履约保证金申请后30天内无息返还。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性能保证、验收结算及赔偿和技术服务范围详见附件技术要求。</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MGDT">
    <w:altName w:val="Segoe Print"/>
    <w:panose1 w:val="00000400000000000000"/>
    <w:charset w:val="00"/>
    <w:family w:val="auto"/>
    <w:pitch w:val="default"/>
    <w:sig w:usb0="00000000" w:usb1="00000000" w:usb2="00000000" w:usb3="00000000" w:csb0="00000001" w:csb1="00000000"/>
  </w:font>
  <w:font w:name="Microsoft JhengHei">
    <w:panose1 w:val="020B0604030504040204"/>
    <w:charset w:val="88"/>
    <w:family w:val="auto"/>
    <w:pitch w:val="default"/>
    <w:sig w:usb0="000002A7" w:usb1="28CF4400" w:usb2="00000016" w:usb3="00000000" w:csb0="00100009" w:csb1="00000000"/>
  </w:font>
  <w:font w:name="Arabic Typesetting">
    <w:altName w:val="Ink Free"/>
    <w:panose1 w:val="03020402040406030203"/>
    <w:charset w:val="00"/>
    <w:family w:val="auto"/>
    <w:pitch w:val="default"/>
    <w:sig w:usb0="00000000" w:usb1="00000000" w:usb2="00000008" w:usb3="00000000" w:csb0="200000D3" w:csb1="00000000"/>
  </w:font>
  <w:font w:name="Aparajita">
    <w:altName w:val="Segoe Print"/>
    <w:panose1 w:val="020B0604020202020204"/>
    <w:charset w:val="00"/>
    <w:family w:val="auto"/>
    <w:pitch w:val="default"/>
    <w:sig w:usb0="00000000" w:usb1="00000000" w:usb2="00000000" w:usb3="00000000" w:csb0="00000001" w:csb1="00000000"/>
  </w:font>
  <w:font w:name="Ink Free">
    <w:panose1 w:val="03080402000500000000"/>
    <w:charset w:val="00"/>
    <w:family w:val="auto"/>
    <w:pitch w:val="default"/>
    <w:sig w:usb0="8000000F" w:usb1="00000000" w:usb2="00000000" w:usb3="00000000" w:csb0="00000093"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055E4"/>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1BC32FB"/>
    <w:rsid w:val="02003C03"/>
    <w:rsid w:val="021D391B"/>
    <w:rsid w:val="024C0384"/>
    <w:rsid w:val="02773EF6"/>
    <w:rsid w:val="02CC4E1D"/>
    <w:rsid w:val="02D53A40"/>
    <w:rsid w:val="03033536"/>
    <w:rsid w:val="03261A08"/>
    <w:rsid w:val="032857C7"/>
    <w:rsid w:val="032D15FD"/>
    <w:rsid w:val="032F04D8"/>
    <w:rsid w:val="03E270E3"/>
    <w:rsid w:val="03E5328D"/>
    <w:rsid w:val="042207A6"/>
    <w:rsid w:val="04444FBA"/>
    <w:rsid w:val="04675C1C"/>
    <w:rsid w:val="046B7835"/>
    <w:rsid w:val="046E24C0"/>
    <w:rsid w:val="046F7ACF"/>
    <w:rsid w:val="0546217C"/>
    <w:rsid w:val="057373C3"/>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CC3EB5"/>
    <w:rsid w:val="0ADD75BB"/>
    <w:rsid w:val="0AE35D05"/>
    <w:rsid w:val="0B0D38CD"/>
    <w:rsid w:val="0B35169E"/>
    <w:rsid w:val="0B4A13AC"/>
    <w:rsid w:val="0B5504B4"/>
    <w:rsid w:val="0B8E420A"/>
    <w:rsid w:val="0BF30F66"/>
    <w:rsid w:val="0C3D7481"/>
    <w:rsid w:val="0CF127D7"/>
    <w:rsid w:val="0CFA5163"/>
    <w:rsid w:val="0DA163F9"/>
    <w:rsid w:val="0DAD56B9"/>
    <w:rsid w:val="0DD566C4"/>
    <w:rsid w:val="0E02486F"/>
    <w:rsid w:val="0E3D2F5D"/>
    <w:rsid w:val="0E3F22A2"/>
    <w:rsid w:val="0E8B20AA"/>
    <w:rsid w:val="0E9503CA"/>
    <w:rsid w:val="0EAF658B"/>
    <w:rsid w:val="0EE26DF9"/>
    <w:rsid w:val="0EE30943"/>
    <w:rsid w:val="0F3141ED"/>
    <w:rsid w:val="0F4E62EA"/>
    <w:rsid w:val="0F6C3BB2"/>
    <w:rsid w:val="0F821B8F"/>
    <w:rsid w:val="0F8C0A60"/>
    <w:rsid w:val="0FA364D6"/>
    <w:rsid w:val="0FCE6C96"/>
    <w:rsid w:val="0FE34343"/>
    <w:rsid w:val="0FF86012"/>
    <w:rsid w:val="10167D42"/>
    <w:rsid w:val="105A2ADD"/>
    <w:rsid w:val="105B6F62"/>
    <w:rsid w:val="108E2EA4"/>
    <w:rsid w:val="10C613A6"/>
    <w:rsid w:val="10F1561E"/>
    <w:rsid w:val="111E4EA7"/>
    <w:rsid w:val="11267F50"/>
    <w:rsid w:val="11715093"/>
    <w:rsid w:val="118A38B5"/>
    <w:rsid w:val="122E4A94"/>
    <w:rsid w:val="125F61EF"/>
    <w:rsid w:val="12737A03"/>
    <w:rsid w:val="12837C22"/>
    <w:rsid w:val="12CF31F9"/>
    <w:rsid w:val="12EA195B"/>
    <w:rsid w:val="12F479DF"/>
    <w:rsid w:val="132E735B"/>
    <w:rsid w:val="1363320F"/>
    <w:rsid w:val="1387789C"/>
    <w:rsid w:val="13B74194"/>
    <w:rsid w:val="142F7DC3"/>
    <w:rsid w:val="14937361"/>
    <w:rsid w:val="149868E6"/>
    <w:rsid w:val="14FC5116"/>
    <w:rsid w:val="15033088"/>
    <w:rsid w:val="150647E6"/>
    <w:rsid w:val="15101A52"/>
    <w:rsid w:val="15125849"/>
    <w:rsid w:val="15B51A48"/>
    <w:rsid w:val="15BF2E22"/>
    <w:rsid w:val="15C23309"/>
    <w:rsid w:val="15C31A47"/>
    <w:rsid w:val="15F16D9A"/>
    <w:rsid w:val="15FE1378"/>
    <w:rsid w:val="15FE1EB4"/>
    <w:rsid w:val="16172661"/>
    <w:rsid w:val="16270A04"/>
    <w:rsid w:val="165069FC"/>
    <w:rsid w:val="16FE1604"/>
    <w:rsid w:val="173B43BC"/>
    <w:rsid w:val="178C691A"/>
    <w:rsid w:val="179453BC"/>
    <w:rsid w:val="18163378"/>
    <w:rsid w:val="183256DA"/>
    <w:rsid w:val="183B0D71"/>
    <w:rsid w:val="184968FC"/>
    <w:rsid w:val="185D1C5F"/>
    <w:rsid w:val="188C5585"/>
    <w:rsid w:val="18C27F65"/>
    <w:rsid w:val="18FA6BBD"/>
    <w:rsid w:val="191A3D61"/>
    <w:rsid w:val="192A2CC6"/>
    <w:rsid w:val="197B4977"/>
    <w:rsid w:val="19DA3B6D"/>
    <w:rsid w:val="19F04AD4"/>
    <w:rsid w:val="1A247E7E"/>
    <w:rsid w:val="1A2F6DF9"/>
    <w:rsid w:val="1A3168AB"/>
    <w:rsid w:val="1A4C05AB"/>
    <w:rsid w:val="1A4F0A64"/>
    <w:rsid w:val="1A747000"/>
    <w:rsid w:val="1AD70553"/>
    <w:rsid w:val="1AF22A1C"/>
    <w:rsid w:val="1AFD66F4"/>
    <w:rsid w:val="1B233A0E"/>
    <w:rsid w:val="1B657395"/>
    <w:rsid w:val="1B7C1123"/>
    <w:rsid w:val="1B8F7883"/>
    <w:rsid w:val="1B927AE6"/>
    <w:rsid w:val="1BC93515"/>
    <w:rsid w:val="1BDB7427"/>
    <w:rsid w:val="1C1B3FE4"/>
    <w:rsid w:val="1C513BF0"/>
    <w:rsid w:val="1C8261A0"/>
    <w:rsid w:val="1CD6666F"/>
    <w:rsid w:val="1CF31038"/>
    <w:rsid w:val="1D0113C9"/>
    <w:rsid w:val="1D05782C"/>
    <w:rsid w:val="1D7757F1"/>
    <w:rsid w:val="1DB72E7F"/>
    <w:rsid w:val="1DDB74E0"/>
    <w:rsid w:val="1E2F61EF"/>
    <w:rsid w:val="1E3264F3"/>
    <w:rsid w:val="1E600A9D"/>
    <w:rsid w:val="1E750E13"/>
    <w:rsid w:val="1EB505E6"/>
    <w:rsid w:val="1EBD3B62"/>
    <w:rsid w:val="1F02429F"/>
    <w:rsid w:val="1F133081"/>
    <w:rsid w:val="1F590291"/>
    <w:rsid w:val="200516E1"/>
    <w:rsid w:val="207E3421"/>
    <w:rsid w:val="208A175C"/>
    <w:rsid w:val="2090579A"/>
    <w:rsid w:val="20AF45AF"/>
    <w:rsid w:val="20CB1C87"/>
    <w:rsid w:val="211A719D"/>
    <w:rsid w:val="215846DF"/>
    <w:rsid w:val="21BD6DBB"/>
    <w:rsid w:val="22345BE0"/>
    <w:rsid w:val="22521DD3"/>
    <w:rsid w:val="227B0690"/>
    <w:rsid w:val="228E5A58"/>
    <w:rsid w:val="22A35795"/>
    <w:rsid w:val="22A62B30"/>
    <w:rsid w:val="22ED3ED6"/>
    <w:rsid w:val="23464916"/>
    <w:rsid w:val="23496B54"/>
    <w:rsid w:val="23532FBD"/>
    <w:rsid w:val="237B661E"/>
    <w:rsid w:val="238B4E5F"/>
    <w:rsid w:val="23B1083B"/>
    <w:rsid w:val="23BF50C8"/>
    <w:rsid w:val="23CC07DA"/>
    <w:rsid w:val="23F24C55"/>
    <w:rsid w:val="241D1936"/>
    <w:rsid w:val="247C7073"/>
    <w:rsid w:val="2496308D"/>
    <w:rsid w:val="24A9374C"/>
    <w:rsid w:val="258777C9"/>
    <w:rsid w:val="2589209A"/>
    <w:rsid w:val="25B40CD0"/>
    <w:rsid w:val="25CB1E8B"/>
    <w:rsid w:val="25D9170E"/>
    <w:rsid w:val="25E0040C"/>
    <w:rsid w:val="25F3676D"/>
    <w:rsid w:val="26035576"/>
    <w:rsid w:val="2665006F"/>
    <w:rsid w:val="26AA092A"/>
    <w:rsid w:val="270778B3"/>
    <w:rsid w:val="273A5487"/>
    <w:rsid w:val="274761A1"/>
    <w:rsid w:val="27937EDA"/>
    <w:rsid w:val="27CF60B0"/>
    <w:rsid w:val="27E234BC"/>
    <w:rsid w:val="28012C6B"/>
    <w:rsid w:val="280475E2"/>
    <w:rsid w:val="282C18E9"/>
    <w:rsid w:val="28566230"/>
    <w:rsid w:val="285B7C69"/>
    <w:rsid w:val="28B0150E"/>
    <w:rsid w:val="28D51D40"/>
    <w:rsid w:val="29043F70"/>
    <w:rsid w:val="293555E2"/>
    <w:rsid w:val="299A1AD2"/>
    <w:rsid w:val="29AC4DAC"/>
    <w:rsid w:val="29B80978"/>
    <w:rsid w:val="29CE07E6"/>
    <w:rsid w:val="29D17C38"/>
    <w:rsid w:val="29DA1C97"/>
    <w:rsid w:val="2A587284"/>
    <w:rsid w:val="2A7427E2"/>
    <w:rsid w:val="2A893557"/>
    <w:rsid w:val="2A8B1681"/>
    <w:rsid w:val="2A933574"/>
    <w:rsid w:val="2AAB2012"/>
    <w:rsid w:val="2AC0562D"/>
    <w:rsid w:val="2AC11AAE"/>
    <w:rsid w:val="2ADD2233"/>
    <w:rsid w:val="2AE84D10"/>
    <w:rsid w:val="2B2F6BD9"/>
    <w:rsid w:val="2B4658AA"/>
    <w:rsid w:val="2B4A75F4"/>
    <w:rsid w:val="2B8E1B57"/>
    <w:rsid w:val="2B8E71EA"/>
    <w:rsid w:val="2BA705F6"/>
    <w:rsid w:val="2BD36FC0"/>
    <w:rsid w:val="2BE04E2E"/>
    <w:rsid w:val="2C0B2A13"/>
    <w:rsid w:val="2C1E74F2"/>
    <w:rsid w:val="2C201604"/>
    <w:rsid w:val="2C31119D"/>
    <w:rsid w:val="2C3328C4"/>
    <w:rsid w:val="2C5548F9"/>
    <w:rsid w:val="2CC66116"/>
    <w:rsid w:val="2D2B1461"/>
    <w:rsid w:val="2DA319DC"/>
    <w:rsid w:val="2DF06759"/>
    <w:rsid w:val="2E12514F"/>
    <w:rsid w:val="2E351771"/>
    <w:rsid w:val="2E370E54"/>
    <w:rsid w:val="2EAD2321"/>
    <w:rsid w:val="2EC9577C"/>
    <w:rsid w:val="2EDC494F"/>
    <w:rsid w:val="2EF7551C"/>
    <w:rsid w:val="2F1F4355"/>
    <w:rsid w:val="2F210D6D"/>
    <w:rsid w:val="2F7C2C25"/>
    <w:rsid w:val="2F8E0962"/>
    <w:rsid w:val="2FA30B14"/>
    <w:rsid w:val="2FBC4452"/>
    <w:rsid w:val="2FBD5AB0"/>
    <w:rsid w:val="2FFE7C5C"/>
    <w:rsid w:val="30071591"/>
    <w:rsid w:val="30213AD6"/>
    <w:rsid w:val="30243F4A"/>
    <w:rsid w:val="303240F6"/>
    <w:rsid w:val="30725A8E"/>
    <w:rsid w:val="30985912"/>
    <w:rsid w:val="30E60CDF"/>
    <w:rsid w:val="31183D8E"/>
    <w:rsid w:val="312B136C"/>
    <w:rsid w:val="31506AAB"/>
    <w:rsid w:val="3165141F"/>
    <w:rsid w:val="31771119"/>
    <w:rsid w:val="31934494"/>
    <w:rsid w:val="319D55BA"/>
    <w:rsid w:val="31CE1FAB"/>
    <w:rsid w:val="31F21635"/>
    <w:rsid w:val="31F46862"/>
    <w:rsid w:val="321859D2"/>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4DA13EF"/>
    <w:rsid w:val="352C0C5B"/>
    <w:rsid w:val="35490544"/>
    <w:rsid w:val="355665E1"/>
    <w:rsid w:val="35B058C7"/>
    <w:rsid w:val="35DE34F2"/>
    <w:rsid w:val="35F871FB"/>
    <w:rsid w:val="35FC498E"/>
    <w:rsid w:val="36417C8D"/>
    <w:rsid w:val="366436B8"/>
    <w:rsid w:val="36886515"/>
    <w:rsid w:val="368A2F91"/>
    <w:rsid w:val="368B1D4A"/>
    <w:rsid w:val="369F3C73"/>
    <w:rsid w:val="36AA3A8A"/>
    <w:rsid w:val="36AC3A23"/>
    <w:rsid w:val="36E954BF"/>
    <w:rsid w:val="36FA78CD"/>
    <w:rsid w:val="37417CA5"/>
    <w:rsid w:val="3768338E"/>
    <w:rsid w:val="37945B49"/>
    <w:rsid w:val="379D3B99"/>
    <w:rsid w:val="37ED7F2D"/>
    <w:rsid w:val="381C0BFA"/>
    <w:rsid w:val="38227768"/>
    <w:rsid w:val="387939C8"/>
    <w:rsid w:val="38814998"/>
    <w:rsid w:val="38A94FE7"/>
    <w:rsid w:val="38BA64A1"/>
    <w:rsid w:val="38F04E1B"/>
    <w:rsid w:val="39057ED7"/>
    <w:rsid w:val="39137A71"/>
    <w:rsid w:val="3955569C"/>
    <w:rsid w:val="39657C8F"/>
    <w:rsid w:val="3969383E"/>
    <w:rsid w:val="39882841"/>
    <w:rsid w:val="39ED2847"/>
    <w:rsid w:val="3A4967DD"/>
    <w:rsid w:val="3A500A72"/>
    <w:rsid w:val="3A5116BA"/>
    <w:rsid w:val="3A5B7748"/>
    <w:rsid w:val="3A87079F"/>
    <w:rsid w:val="3A8C3BAF"/>
    <w:rsid w:val="3ABA691E"/>
    <w:rsid w:val="3AD63889"/>
    <w:rsid w:val="3ADE5E05"/>
    <w:rsid w:val="3B053E48"/>
    <w:rsid w:val="3B106478"/>
    <w:rsid w:val="3B293E28"/>
    <w:rsid w:val="3B2F7891"/>
    <w:rsid w:val="3B573FA4"/>
    <w:rsid w:val="3BD4036B"/>
    <w:rsid w:val="3C1D4BEF"/>
    <w:rsid w:val="3C1E5B01"/>
    <w:rsid w:val="3C333506"/>
    <w:rsid w:val="3C656913"/>
    <w:rsid w:val="3C94066E"/>
    <w:rsid w:val="3CFE624A"/>
    <w:rsid w:val="3D1251D3"/>
    <w:rsid w:val="3D173430"/>
    <w:rsid w:val="3D470E27"/>
    <w:rsid w:val="3D475A63"/>
    <w:rsid w:val="3E032F87"/>
    <w:rsid w:val="3E287885"/>
    <w:rsid w:val="3E447FF5"/>
    <w:rsid w:val="3E536639"/>
    <w:rsid w:val="3E565DBA"/>
    <w:rsid w:val="3EEE28F9"/>
    <w:rsid w:val="3F1539A0"/>
    <w:rsid w:val="3F1E4982"/>
    <w:rsid w:val="3F516B77"/>
    <w:rsid w:val="3F756AB3"/>
    <w:rsid w:val="3FE93D8F"/>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757300"/>
    <w:rsid w:val="428E4E02"/>
    <w:rsid w:val="42AB04B4"/>
    <w:rsid w:val="42BF0693"/>
    <w:rsid w:val="42D46CD2"/>
    <w:rsid w:val="42DA60A9"/>
    <w:rsid w:val="42DC0DDB"/>
    <w:rsid w:val="43396FCF"/>
    <w:rsid w:val="43434628"/>
    <w:rsid w:val="43482915"/>
    <w:rsid w:val="4351032C"/>
    <w:rsid w:val="4355293C"/>
    <w:rsid w:val="439439C5"/>
    <w:rsid w:val="4395062C"/>
    <w:rsid w:val="439E7A84"/>
    <w:rsid w:val="43D46D19"/>
    <w:rsid w:val="44026924"/>
    <w:rsid w:val="44236751"/>
    <w:rsid w:val="448C78B8"/>
    <w:rsid w:val="44B2410D"/>
    <w:rsid w:val="44CB1108"/>
    <w:rsid w:val="44E4129A"/>
    <w:rsid w:val="453F611C"/>
    <w:rsid w:val="454D6E39"/>
    <w:rsid w:val="45C94E39"/>
    <w:rsid w:val="45CD5D18"/>
    <w:rsid w:val="45D568DB"/>
    <w:rsid w:val="45E64357"/>
    <w:rsid w:val="46051FED"/>
    <w:rsid w:val="46320679"/>
    <w:rsid w:val="46495A0E"/>
    <w:rsid w:val="464B079B"/>
    <w:rsid w:val="468077A8"/>
    <w:rsid w:val="468E6ECD"/>
    <w:rsid w:val="46AB53AC"/>
    <w:rsid w:val="46EA56DB"/>
    <w:rsid w:val="47010586"/>
    <w:rsid w:val="476C6251"/>
    <w:rsid w:val="479C322F"/>
    <w:rsid w:val="47A06F4B"/>
    <w:rsid w:val="47A8704F"/>
    <w:rsid w:val="47A978DA"/>
    <w:rsid w:val="48037F6C"/>
    <w:rsid w:val="480C6C1B"/>
    <w:rsid w:val="48295411"/>
    <w:rsid w:val="48B268BC"/>
    <w:rsid w:val="48DF13FB"/>
    <w:rsid w:val="493B7D23"/>
    <w:rsid w:val="49545F4C"/>
    <w:rsid w:val="497038CD"/>
    <w:rsid w:val="497205C6"/>
    <w:rsid w:val="49730A66"/>
    <w:rsid w:val="499A66C3"/>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CF91653"/>
    <w:rsid w:val="4D13604C"/>
    <w:rsid w:val="4D845D59"/>
    <w:rsid w:val="4DA80E22"/>
    <w:rsid w:val="4DB81F38"/>
    <w:rsid w:val="4DD15AB5"/>
    <w:rsid w:val="4DE92DD7"/>
    <w:rsid w:val="4DFE7BC4"/>
    <w:rsid w:val="4E0062C6"/>
    <w:rsid w:val="4E0D5475"/>
    <w:rsid w:val="4E6B6CEB"/>
    <w:rsid w:val="4EAD5D22"/>
    <w:rsid w:val="4F7714C8"/>
    <w:rsid w:val="4F7B6890"/>
    <w:rsid w:val="4F8D5360"/>
    <w:rsid w:val="4FA265C1"/>
    <w:rsid w:val="4FAF2ACB"/>
    <w:rsid w:val="4FB216F8"/>
    <w:rsid w:val="4FF14958"/>
    <w:rsid w:val="503B5A8A"/>
    <w:rsid w:val="505852F6"/>
    <w:rsid w:val="507E72C1"/>
    <w:rsid w:val="508235A6"/>
    <w:rsid w:val="50BB3ACD"/>
    <w:rsid w:val="50DE33C7"/>
    <w:rsid w:val="51264CC2"/>
    <w:rsid w:val="512F6EC2"/>
    <w:rsid w:val="513242BC"/>
    <w:rsid w:val="513403C7"/>
    <w:rsid w:val="518B38CB"/>
    <w:rsid w:val="518B4FD1"/>
    <w:rsid w:val="51E145FD"/>
    <w:rsid w:val="51E51CC3"/>
    <w:rsid w:val="52350240"/>
    <w:rsid w:val="52670AC3"/>
    <w:rsid w:val="529A77A5"/>
    <w:rsid w:val="53396CC8"/>
    <w:rsid w:val="53523F58"/>
    <w:rsid w:val="536C4A8A"/>
    <w:rsid w:val="53ED6794"/>
    <w:rsid w:val="542657F3"/>
    <w:rsid w:val="542A50A2"/>
    <w:rsid w:val="542D5399"/>
    <w:rsid w:val="543E14AB"/>
    <w:rsid w:val="54DD2BD3"/>
    <w:rsid w:val="553E317D"/>
    <w:rsid w:val="554D2C1E"/>
    <w:rsid w:val="556D7264"/>
    <w:rsid w:val="559230BD"/>
    <w:rsid w:val="55E907A3"/>
    <w:rsid w:val="55E92CB5"/>
    <w:rsid w:val="56325307"/>
    <w:rsid w:val="5659474A"/>
    <w:rsid w:val="56732B47"/>
    <w:rsid w:val="570F5D54"/>
    <w:rsid w:val="5733660F"/>
    <w:rsid w:val="573834F1"/>
    <w:rsid w:val="57463334"/>
    <w:rsid w:val="574B6739"/>
    <w:rsid w:val="574D21DE"/>
    <w:rsid w:val="578B6597"/>
    <w:rsid w:val="57942C39"/>
    <w:rsid w:val="57C82901"/>
    <w:rsid w:val="57EB2081"/>
    <w:rsid w:val="583F04BE"/>
    <w:rsid w:val="5845276D"/>
    <w:rsid w:val="58BD4EAA"/>
    <w:rsid w:val="58C534B8"/>
    <w:rsid w:val="58DA20C8"/>
    <w:rsid w:val="58FE6BB9"/>
    <w:rsid w:val="592521E5"/>
    <w:rsid w:val="592E0C31"/>
    <w:rsid w:val="5930567C"/>
    <w:rsid w:val="593259F3"/>
    <w:rsid w:val="594531C0"/>
    <w:rsid w:val="59B64E5B"/>
    <w:rsid w:val="59C41AA5"/>
    <w:rsid w:val="5A196198"/>
    <w:rsid w:val="5A36290A"/>
    <w:rsid w:val="5AC454CC"/>
    <w:rsid w:val="5B004781"/>
    <w:rsid w:val="5B416702"/>
    <w:rsid w:val="5B510FBA"/>
    <w:rsid w:val="5B5E370D"/>
    <w:rsid w:val="5B713427"/>
    <w:rsid w:val="5B8152A6"/>
    <w:rsid w:val="5B964C3B"/>
    <w:rsid w:val="5BF847A4"/>
    <w:rsid w:val="5C1F20CC"/>
    <w:rsid w:val="5C4F430C"/>
    <w:rsid w:val="5C514191"/>
    <w:rsid w:val="5C8B0489"/>
    <w:rsid w:val="5D3038FF"/>
    <w:rsid w:val="5D9B5BF8"/>
    <w:rsid w:val="5DCB432F"/>
    <w:rsid w:val="5DD6127D"/>
    <w:rsid w:val="5DD956B5"/>
    <w:rsid w:val="5DE04163"/>
    <w:rsid w:val="5DEC7C19"/>
    <w:rsid w:val="5DFC0EB0"/>
    <w:rsid w:val="5E086E60"/>
    <w:rsid w:val="5E5B4B1E"/>
    <w:rsid w:val="5E806603"/>
    <w:rsid w:val="5EDC2437"/>
    <w:rsid w:val="5F042824"/>
    <w:rsid w:val="5F0D17C2"/>
    <w:rsid w:val="5F3C0936"/>
    <w:rsid w:val="5F5A2BA2"/>
    <w:rsid w:val="5F683B20"/>
    <w:rsid w:val="5F6A1B70"/>
    <w:rsid w:val="5F715923"/>
    <w:rsid w:val="5F74528F"/>
    <w:rsid w:val="5F7455D6"/>
    <w:rsid w:val="5F905960"/>
    <w:rsid w:val="5FAD0C82"/>
    <w:rsid w:val="600E16AB"/>
    <w:rsid w:val="603C6B90"/>
    <w:rsid w:val="608B4D11"/>
    <w:rsid w:val="60B146AA"/>
    <w:rsid w:val="60E930B4"/>
    <w:rsid w:val="61034DA8"/>
    <w:rsid w:val="612D5C44"/>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12459"/>
    <w:rsid w:val="634B6B7B"/>
    <w:rsid w:val="635348B6"/>
    <w:rsid w:val="63E76134"/>
    <w:rsid w:val="64383FFB"/>
    <w:rsid w:val="6457654C"/>
    <w:rsid w:val="64834708"/>
    <w:rsid w:val="64AC0A38"/>
    <w:rsid w:val="64D43A06"/>
    <w:rsid w:val="64D45316"/>
    <w:rsid w:val="651A5C4B"/>
    <w:rsid w:val="653116C9"/>
    <w:rsid w:val="653A164C"/>
    <w:rsid w:val="65B31BCC"/>
    <w:rsid w:val="65B87A10"/>
    <w:rsid w:val="65D35C16"/>
    <w:rsid w:val="6606215B"/>
    <w:rsid w:val="66374A14"/>
    <w:rsid w:val="666879C6"/>
    <w:rsid w:val="66EA1E3B"/>
    <w:rsid w:val="670230DF"/>
    <w:rsid w:val="671B3499"/>
    <w:rsid w:val="671F48AF"/>
    <w:rsid w:val="6774663E"/>
    <w:rsid w:val="67956067"/>
    <w:rsid w:val="67B71CB2"/>
    <w:rsid w:val="68031777"/>
    <w:rsid w:val="68353249"/>
    <w:rsid w:val="685272E2"/>
    <w:rsid w:val="68675050"/>
    <w:rsid w:val="6876522E"/>
    <w:rsid w:val="68767A40"/>
    <w:rsid w:val="68B03C37"/>
    <w:rsid w:val="68C11D22"/>
    <w:rsid w:val="68D575AA"/>
    <w:rsid w:val="68EB7C0C"/>
    <w:rsid w:val="68F0116E"/>
    <w:rsid w:val="68F73295"/>
    <w:rsid w:val="69085BD7"/>
    <w:rsid w:val="69154FCB"/>
    <w:rsid w:val="69680059"/>
    <w:rsid w:val="699879F8"/>
    <w:rsid w:val="69B456CB"/>
    <w:rsid w:val="6A544FCD"/>
    <w:rsid w:val="6AC26EA2"/>
    <w:rsid w:val="6AC44695"/>
    <w:rsid w:val="6B477EF6"/>
    <w:rsid w:val="6B513865"/>
    <w:rsid w:val="6B9A256C"/>
    <w:rsid w:val="6BA373FF"/>
    <w:rsid w:val="6BEB1E5F"/>
    <w:rsid w:val="6BFC109F"/>
    <w:rsid w:val="6C17574D"/>
    <w:rsid w:val="6C4957FC"/>
    <w:rsid w:val="6C53730E"/>
    <w:rsid w:val="6C5534FB"/>
    <w:rsid w:val="6C61176F"/>
    <w:rsid w:val="6C666306"/>
    <w:rsid w:val="6D16024D"/>
    <w:rsid w:val="6D387925"/>
    <w:rsid w:val="6D3E0CE6"/>
    <w:rsid w:val="6D6E3F95"/>
    <w:rsid w:val="6DB151E2"/>
    <w:rsid w:val="6DBF39F3"/>
    <w:rsid w:val="6DC0644E"/>
    <w:rsid w:val="6E137528"/>
    <w:rsid w:val="6E185854"/>
    <w:rsid w:val="6E80463B"/>
    <w:rsid w:val="6E895A0C"/>
    <w:rsid w:val="6EC56FAA"/>
    <w:rsid w:val="6F22793F"/>
    <w:rsid w:val="6F457884"/>
    <w:rsid w:val="6F570F4E"/>
    <w:rsid w:val="6F7C1012"/>
    <w:rsid w:val="6F883155"/>
    <w:rsid w:val="6F8C7070"/>
    <w:rsid w:val="6FA2085B"/>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E26A6"/>
    <w:rsid w:val="72612BC7"/>
    <w:rsid w:val="72BA2638"/>
    <w:rsid w:val="72E24278"/>
    <w:rsid w:val="72F247EE"/>
    <w:rsid w:val="73046E24"/>
    <w:rsid w:val="73117CBC"/>
    <w:rsid w:val="731D3DC6"/>
    <w:rsid w:val="73202BD3"/>
    <w:rsid w:val="73785811"/>
    <w:rsid w:val="73843B37"/>
    <w:rsid w:val="73AA2AB8"/>
    <w:rsid w:val="73D8014A"/>
    <w:rsid w:val="73F076FD"/>
    <w:rsid w:val="7448595E"/>
    <w:rsid w:val="74490D87"/>
    <w:rsid w:val="746E1E39"/>
    <w:rsid w:val="74A25915"/>
    <w:rsid w:val="74D0444D"/>
    <w:rsid w:val="750000AA"/>
    <w:rsid w:val="750A7ABF"/>
    <w:rsid w:val="75420196"/>
    <w:rsid w:val="754931B4"/>
    <w:rsid w:val="75706FDE"/>
    <w:rsid w:val="759077E6"/>
    <w:rsid w:val="75940C8C"/>
    <w:rsid w:val="75BB2BFD"/>
    <w:rsid w:val="75C624A0"/>
    <w:rsid w:val="75C940ED"/>
    <w:rsid w:val="75CE763E"/>
    <w:rsid w:val="765748C8"/>
    <w:rsid w:val="76AC7129"/>
    <w:rsid w:val="76D15FF3"/>
    <w:rsid w:val="773C2D8E"/>
    <w:rsid w:val="77550A67"/>
    <w:rsid w:val="77B83BB6"/>
    <w:rsid w:val="77BA2D12"/>
    <w:rsid w:val="7856695F"/>
    <w:rsid w:val="7866427B"/>
    <w:rsid w:val="78E84852"/>
    <w:rsid w:val="78F732D8"/>
    <w:rsid w:val="790F1791"/>
    <w:rsid w:val="791F3849"/>
    <w:rsid w:val="797350BA"/>
    <w:rsid w:val="79775EC9"/>
    <w:rsid w:val="79D00415"/>
    <w:rsid w:val="79EE2754"/>
    <w:rsid w:val="7A1A7F37"/>
    <w:rsid w:val="7A1C7B11"/>
    <w:rsid w:val="7A37206F"/>
    <w:rsid w:val="7A6466F3"/>
    <w:rsid w:val="7A741385"/>
    <w:rsid w:val="7A7E5483"/>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4D1625"/>
    <w:rsid w:val="7D53381A"/>
    <w:rsid w:val="7D624404"/>
    <w:rsid w:val="7DD1184B"/>
    <w:rsid w:val="7DF25444"/>
    <w:rsid w:val="7DF27933"/>
    <w:rsid w:val="7E1A21B9"/>
    <w:rsid w:val="7E2C708B"/>
    <w:rsid w:val="7E4507BC"/>
    <w:rsid w:val="7E6B4778"/>
    <w:rsid w:val="7E9B2B28"/>
    <w:rsid w:val="7EB910BD"/>
    <w:rsid w:val="7EC126C1"/>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8</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2023-03-13T02:14:20Z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