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ascii="Times New Roman"/>
          <w:sz w:val="20"/>
          <w:lang w:eastAsia="zh-CN"/>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2"/>
      </w:pPr>
    </w:p>
    <w:p>
      <w:pPr>
        <w:spacing w:before="38"/>
        <w:ind w:left="172"/>
        <w:jc w:val="center"/>
        <w:rPr>
          <w:rFonts w:ascii="微软雅黑" w:eastAsia="微软雅黑"/>
          <w:b/>
          <w:sz w:val="36"/>
          <w:szCs w:val="36"/>
          <w:lang w:eastAsia="zh-CN"/>
        </w:rPr>
      </w:pPr>
      <w:r>
        <w:rPr>
          <w:rFonts w:hint="eastAsia" w:ascii="微软雅黑" w:eastAsia="微软雅黑"/>
          <w:b/>
          <w:sz w:val="36"/>
          <w:szCs w:val="36"/>
          <w:u w:val="single"/>
          <w:lang w:eastAsia="zh-CN"/>
        </w:rPr>
        <w:t>沉浸式水中油分析仪</w:t>
      </w:r>
      <w:r>
        <w:rPr>
          <w:rFonts w:hint="eastAsia" w:ascii="微软雅黑" w:eastAsia="微软雅黑"/>
          <w:b/>
          <w:sz w:val="36"/>
          <w:szCs w:val="36"/>
          <w:lang w:eastAsia="zh-CN"/>
        </w:rPr>
        <w:t>采购</w:t>
      </w:r>
    </w:p>
    <w:p>
      <w:pPr>
        <w:pStyle w:val="10"/>
        <w:rPr>
          <w:rFonts w:ascii="微软雅黑"/>
          <w:b/>
          <w:sz w:val="68"/>
          <w:lang w:eastAsia="zh-CN"/>
        </w:rPr>
      </w:pPr>
    </w:p>
    <w:p>
      <w:pPr>
        <w:pStyle w:val="10"/>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rPr>
        <w:t>QG2212010006</w:t>
      </w:r>
      <w:r>
        <w:rPr>
          <w:rFonts w:hint="eastAsia"/>
          <w:sz w:val="28"/>
          <w:szCs w:val="28"/>
        </w:rPr>
        <w:t>）</w:t>
      </w:r>
    </w:p>
    <w:p>
      <w:pPr>
        <w:pStyle w:val="10"/>
        <w:rPr>
          <w:rFonts w:ascii="微软雅黑"/>
          <w:b/>
          <w:sz w:val="94"/>
          <w:lang w:eastAsia="zh-CN"/>
        </w:rPr>
      </w:pPr>
    </w:p>
    <w:p>
      <w:pPr>
        <w:pStyle w:val="10"/>
        <w:rPr>
          <w:rFonts w:ascii="微软雅黑"/>
          <w:b/>
          <w:sz w:val="94"/>
          <w:lang w:eastAsia="zh-CN"/>
        </w:rPr>
      </w:pPr>
    </w:p>
    <w:p>
      <w:pPr>
        <w:pStyle w:val="10"/>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二〇二三年一月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0"/>
        <w:rPr>
          <w:rFonts w:ascii="黑体"/>
          <w:sz w:val="20"/>
          <w:lang w:eastAsia="zh-CN"/>
        </w:rPr>
      </w:pPr>
    </w:p>
    <w:p>
      <w:pPr>
        <w:pStyle w:val="10"/>
        <w:rPr>
          <w:rFonts w:ascii="黑体"/>
          <w:sz w:val="20"/>
          <w:lang w:eastAsia="zh-CN"/>
        </w:rPr>
      </w:pPr>
    </w:p>
    <w:p>
      <w:pPr>
        <w:pStyle w:val="10"/>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10"/>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10"/>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2"/>
      </w:pPr>
    </w:p>
    <w:p>
      <w:pPr>
        <w:pStyle w:val="2"/>
      </w:pPr>
    </w:p>
    <w:p>
      <w:pPr>
        <w:pStyle w:val="2"/>
      </w:pPr>
    </w:p>
    <w:p>
      <w:pPr>
        <w:pStyle w:val="2"/>
      </w:pPr>
    </w:p>
    <w:p>
      <w:pPr>
        <w:pStyle w:val="2"/>
      </w:pPr>
    </w:p>
    <w:p>
      <w:pPr>
        <w:pStyle w:val="2"/>
      </w:pPr>
    </w:p>
    <w:p>
      <w:pPr>
        <w:pStyle w:val="2"/>
      </w:pPr>
    </w:p>
    <w:p>
      <w:pPr>
        <w:pStyle w:val="33"/>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10"/>
        <w:keepNext w:val="0"/>
        <w:keepLines w:val="0"/>
        <w:pageBreakBefore w:val="0"/>
        <w:kinsoku/>
        <w:wordWrap/>
        <w:overflowPunct/>
        <w:topLinePunct w:val="0"/>
        <w:bidi w:val="0"/>
        <w:spacing w:line="288" w:lineRule="auto"/>
        <w:ind w:left="118" w:right="121" w:firstLine="511"/>
        <w:jc w:val="both"/>
        <w:rPr>
          <w:lang w:eastAsia="zh-CN"/>
        </w:rPr>
      </w:pP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有限公司拟对本公司</w:t>
      </w:r>
      <w:r>
        <w:rPr>
          <w:rFonts w:hint="eastAsia" w:asciiTheme="majorEastAsia" w:hAnsiTheme="majorEastAsia" w:eastAsiaTheme="majorEastAsia"/>
          <w:u w:val="single"/>
          <w:lang w:eastAsia="zh-CN"/>
        </w:rPr>
        <w:t>沉浸式水中油分析仪采购项目（项目编号：QG2212010006）</w:t>
      </w:r>
      <w:r>
        <w:rPr>
          <w:lang w:eastAsia="zh-CN"/>
        </w:rPr>
        <w:t>进行</w:t>
      </w:r>
      <w:r>
        <w:rPr>
          <w:rFonts w:hint="eastAsia"/>
          <w:lang w:eastAsia="zh-CN"/>
        </w:rPr>
        <w:t>国内</w:t>
      </w:r>
      <w:r>
        <w:rPr>
          <w:lang w:eastAsia="zh-CN"/>
        </w:rPr>
        <w:t>公开比选。为了“公开、公平、公正、透明”，引导参选人进行正确参选，特制定本规定文件</w:t>
      </w:r>
      <w:r>
        <w:rPr>
          <w:rFonts w:hint="eastAsia"/>
          <w:lang w:eastAsia="zh-CN"/>
        </w:rPr>
        <w:t>，欢迎国内符合条件的供应商积极参选</w:t>
      </w:r>
      <w:r>
        <w:rPr>
          <w:lang w:eastAsia="zh-CN"/>
        </w:rPr>
        <w:t>。</w:t>
      </w:r>
    </w:p>
    <w:p>
      <w:pPr>
        <w:keepNext w:val="0"/>
        <w:keepLines w:val="0"/>
        <w:pageBreakBefore w:val="0"/>
        <w:kinsoku/>
        <w:wordWrap/>
        <w:overflowPunct/>
        <w:topLinePunct w:val="0"/>
        <w:autoSpaceDE/>
        <w:autoSpaceDN/>
        <w:bidi w:val="0"/>
        <w:spacing w:line="288" w:lineRule="auto"/>
        <w:ind w:firstLine="440" w:firstLineChars="200"/>
        <w:jc w:val="both"/>
        <w:rPr>
          <w:rFonts w:asciiTheme="majorEastAsia" w:hAnsiTheme="majorEastAsia" w:eastAsiaTheme="majorEastAsia"/>
          <w:b/>
          <w:bCs/>
          <w:sz w:val="24"/>
          <w:szCs w:val="24"/>
          <w:lang w:eastAsia="zh-CN"/>
        </w:rPr>
      </w:pPr>
      <w:r>
        <w:rPr>
          <w:lang w:eastAsia="zh-CN"/>
        </w:rPr>
        <w:t>一、</w:t>
      </w:r>
      <w:r>
        <w:rPr>
          <w:rFonts w:hint="eastAsia" w:asciiTheme="majorEastAsia" w:hAnsiTheme="majorEastAsia" w:eastAsiaTheme="majorEastAsia"/>
          <w:b/>
          <w:bCs/>
          <w:sz w:val="24"/>
          <w:szCs w:val="24"/>
          <w:lang w:eastAsia="zh-CN"/>
        </w:rPr>
        <w:t>项目概况</w:t>
      </w:r>
    </w:p>
    <w:p>
      <w:pPr>
        <w:keepNext w:val="0"/>
        <w:keepLines w:val="0"/>
        <w:pageBreakBefore w:val="0"/>
        <w:kinsoku/>
        <w:wordWrap/>
        <w:overflowPunct/>
        <w:topLinePunct w:val="0"/>
        <w:autoSpaceDE/>
        <w:autoSpaceDN/>
        <w:bidi w:val="0"/>
        <w:spacing w:line="288" w:lineRule="auto"/>
        <w:ind w:firstLine="480" w:firstLineChars="200"/>
        <w:jc w:val="both"/>
        <w:rPr>
          <w:rFonts w:asciiTheme="majorEastAsia" w:hAnsiTheme="majorEastAsia" w:eastAsiaTheme="majorEastAsia"/>
          <w:bCs/>
          <w:sz w:val="24"/>
          <w:szCs w:val="24"/>
          <w:u w:val="single"/>
          <w:lang w:eastAsia="zh-CN"/>
        </w:rPr>
      </w:pPr>
      <w:r>
        <w:rPr>
          <w:rFonts w:hint="eastAsia" w:asciiTheme="majorEastAsia" w:hAnsiTheme="majorEastAsia" w:eastAsiaTheme="majorEastAsia"/>
          <w:bCs/>
          <w:sz w:val="24"/>
          <w:szCs w:val="24"/>
          <w:lang w:eastAsia="zh-CN"/>
        </w:rPr>
        <w:t>1. 项目名称：</w:t>
      </w:r>
      <w:r>
        <w:rPr>
          <w:rFonts w:hint="eastAsia" w:asciiTheme="majorEastAsia" w:hAnsiTheme="majorEastAsia" w:eastAsiaTheme="majorEastAsia"/>
          <w:bCs/>
          <w:sz w:val="24"/>
          <w:szCs w:val="24"/>
          <w:u w:val="single"/>
          <w:lang w:eastAsia="zh-CN"/>
        </w:rPr>
        <w:t xml:space="preserve"> 沉浸式水中油分析仪（1台）采购 </w:t>
      </w:r>
    </w:p>
    <w:p>
      <w:pPr>
        <w:pStyle w:val="4"/>
        <w:keepNext w:val="0"/>
        <w:keepLines w:val="0"/>
        <w:pageBreakBefore w:val="0"/>
        <w:kinsoku/>
        <w:wordWrap/>
        <w:overflowPunct/>
        <w:topLinePunct w:val="0"/>
        <w:bidi w:val="0"/>
        <w:spacing w:line="288" w:lineRule="auto"/>
        <w:ind w:left="794" w:leftChars="216" w:hanging="319" w:hangingChars="133"/>
        <w:rPr>
          <w:b w:val="0"/>
          <w:bCs w:val="0"/>
          <w:lang w:eastAsia="zh-CN"/>
        </w:rPr>
      </w:pPr>
      <w:r>
        <w:rPr>
          <w:rFonts w:hint="eastAsia" w:asciiTheme="majorEastAsia" w:hAnsiTheme="majorEastAsia" w:eastAsiaTheme="majorEastAsia"/>
          <w:b w:val="0"/>
          <w:lang w:eastAsia="zh-CN"/>
        </w:rPr>
        <w:t>2. 比选项目简要说明：</w:t>
      </w:r>
      <w:r>
        <w:rPr>
          <w:rFonts w:hint="eastAsia"/>
          <w:b w:val="0"/>
          <w:lang w:eastAsia="zh-CN"/>
        </w:rPr>
        <w:t>①型号与规格：</w:t>
      </w:r>
      <w:r>
        <w:rPr>
          <w:rFonts w:hint="eastAsia" w:asciiTheme="majorEastAsia" w:hAnsiTheme="majorEastAsia" w:eastAsiaTheme="majorEastAsia"/>
          <w:b w:val="0"/>
          <w:lang w:eastAsia="zh-CN"/>
        </w:rPr>
        <w:t>220VAC\紫外荧光法\沉浸式测量\0-1mg/L；变送器：</w:t>
      </w:r>
      <w:r>
        <w:rPr>
          <w:rFonts w:hint="eastAsia" w:asciiTheme="majorEastAsia" w:hAnsiTheme="majorEastAsia" w:eastAsiaTheme="majorEastAsia"/>
          <w:b w:val="0"/>
          <w:highlight w:val="none"/>
          <w:lang w:eastAsia="zh-CN"/>
        </w:rPr>
        <w:t>TSTC200AC</w:t>
      </w:r>
      <w:r>
        <w:rPr>
          <w:rFonts w:asciiTheme="majorEastAsia" w:hAnsiTheme="majorEastAsia" w:eastAsiaTheme="majorEastAsia"/>
          <w:b w:val="0"/>
          <w:highlight w:val="none"/>
          <w:lang w:eastAsia="zh-CN"/>
        </w:rPr>
        <w:t>\</w:t>
      </w:r>
      <w:r>
        <w:rPr>
          <w:rFonts w:hint="eastAsia" w:asciiTheme="majorEastAsia" w:hAnsiTheme="majorEastAsia" w:eastAsiaTheme="majorEastAsia"/>
          <w:b w:val="0"/>
          <w:highlight w:val="none"/>
          <w:lang w:eastAsia="zh-CN"/>
        </w:rPr>
        <w:t xml:space="preserve"> SC200（带探头连接组件、流通池） 探头：TSOIW111110</w:t>
      </w:r>
      <w:r>
        <w:rPr>
          <w:rFonts w:asciiTheme="majorEastAsia" w:hAnsiTheme="majorEastAsia" w:eastAsiaTheme="majorEastAsia"/>
          <w:b w:val="0"/>
          <w:highlight w:val="none"/>
          <w:lang w:eastAsia="zh-CN"/>
        </w:rPr>
        <w:t>\ LXV441.99.11102</w:t>
      </w:r>
      <w:r>
        <w:rPr>
          <w:rFonts w:hint="eastAsia" w:asciiTheme="majorEastAsia" w:hAnsiTheme="majorEastAsia" w:eastAsiaTheme="majorEastAsia"/>
          <w:b w:val="0"/>
          <w:highlight w:val="none"/>
          <w:lang w:eastAsia="zh-CN"/>
        </w:rPr>
        <w:t>；</w:t>
      </w:r>
      <w:r>
        <w:rPr>
          <w:rFonts w:hint="eastAsia"/>
          <w:b w:val="0"/>
          <w:highlight w:val="none"/>
          <w:lang w:eastAsia="zh-CN"/>
        </w:rPr>
        <w:t>②</w:t>
      </w:r>
      <w:r>
        <w:rPr>
          <w:rFonts w:hint="eastAsia"/>
          <w:b w:val="0"/>
          <w:bCs w:val="0"/>
          <w:highlight w:val="none"/>
          <w:lang w:eastAsia="zh-CN"/>
        </w:rPr>
        <w:t>品牌要求:赛默飞\哈希</w:t>
      </w:r>
      <w:r>
        <w:rPr>
          <w:rFonts w:hint="eastAsia"/>
          <w:b w:val="0"/>
          <w:bCs w:val="0"/>
          <w:lang w:eastAsia="zh-CN"/>
        </w:rPr>
        <w:t>；③需签署技术协议。</w:t>
      </w:r>
    </w:p>
    <w:p>
      <w:pPr>
        <w:pStyle w:val="4"/>
        <w:keepNext w:val="0"/>
        <w:keepLines w:val="0"/>
        <w:pageBreakBefore w:val="0"/>
        <w:kinsoku/>
        <w:wordWrap/>
        <w:overflowPunct/>
        <w:topLinePunct w:val="0"/>
        <w:bidi w:val="0"/>
        <w:spacing w:line="288" w:lineRule="auto"/>
        <w:ind w:left="0" w:firstLine="480" w:firstLineChars="200"/>
        <w:rPr>
          <w:lang w:eastAsia="zh-CN"/>
        </w:rPr>
      </w:pPr>
      <w:r>
        <w:rPr>
          <w:rFonts w:hint="eastAsia" w:asciiTheme="majorEastAsia" w:hAnsiTheme="majorEastAsia" w:eastAsiaTheme="majorEastAsia"/>
          <w:b w:val="0"/>
          <w:lang w:eastAsia="zh-CN"/>
        </w:rPr>
        <w:t xml:space="preserve">3. </w:t>
      </w:r>
      <w:r>
        <w:rPr>
          <w:rFonts w:hint="eastAsia"/>
          <w:lang w:eastAsia="zh-CN"/>
        </w:rPr>
        <w:t>项目控制价格：人民币180,000元</w:t>
      </w:r>
      <w:r>
        <w:rPr>
          <w:rFonts w:hint="eastAsia"/>
          <w:b w:val="0"/>
          <w:lang w:eastAsia="zh-CN"/>
        </w:rPr>
        <w:t>（不含税价）</w:t>
      </w:r>
    </w:p>
    <w:p>
      <w:pPr>
        <w:pStyle w:val="4"/>
        <w:keepNext w:val="0"/>
        <w:keepLines w:val="0"/>
        <w:pageBreakBefore w:val="0"/>
        <w:kinsoku/>
        <w:wordWrap/>
        <w:overflowPunct/>
        <w:topLinePunct w:val="0"/>
        <w:bidi w:val="0"/>
        <w:spacing w:line="288" w:lineRule="auto"/>
        <w:ind w:left="0" w:firstLine="472" w:firstLineChars="196"/>
        <w:rPr>
          <w:lang w:eastAsia="zh-CN"/>
        </w:rPr>
      </w:pPr>
      <w:r>
        <w:rPr>
          <w:rFonts w:hint="eastAsia"/>
          <w:lang w:eastAsia="zh-CN"/>
        </w:rPr>
        <w:t>二、</w:t>
      </w:r>
      <w:r>
        <w:rPr>
          <w:lang w:eastAsia="zh-CN"/>
        </w:rPr>
        <w:t>参选人资格要求：</w:t>
      </w:r>
    </w:p>
    <w:p>
      <w:pPr>
        <w:keepNext w:val="0"/>
        <w:keepLines w:val="0"/>
        <w:pageBreakBefore w:val="0"/>
        <w:widowControl/>
        <w:kinsoku/>
        <w:wordWrap/>
        <w:overflowPunct/>
        <w:topLinePunct w:val="0"/>
        <w:autoSpaceDE/>
        <w:autoSpaceDN/>
        <w:bidi w:val="0"/>
        <w:spacing w:line="288" w:lineRule="auto"/>
        <w:ind w:left="794" w:leftChars="216" w:hanging="319" w:hangingChars="133"/>
        <w:jc w:val="both"/>
        <w:rPr>
          <w:sz w:val="24"/>
          <w:szCs w:val="24"/>
          <w:lang w:eastAsia="zh-CN"/>
        </w:rPr>
      </w:pPr>
      <w:r>
        <w:rPr>
          <w:rFonts w:hint="eastAsia"/>
          <w:sz w:val="24"/>
          <w:szCs w:val="24"/>
          <w:lang w:eastAsia="zh-CN"/>
        </w:rPr>
        <w:t>1. 参选人必须具备有效的企业法人营业执照，具备独立法人资格且有能力按我司需求提供货物及服务。</w:t>
      </w:r>
    </w:p>
    <w:p>
      <w:pPr>
        <w:keepNext w:val="0"/>
        <w:keepLines w:val="0"/>
        <w:pageBreakBefore w:val="0"/>
        <w:widowControl/>
        <w:kinsoku/>
        <w:wordWrap/>
        <w:overflowPunct/>
        <w:topLinePunct w:val="0"/>
        <w:autoSpaceDE/>
        <w:autoSpaceDN/>
        <w:bidi w:val="0"/>
        <w:spacing w:line="288" w:lineRule="auto"/>
        <w:ind w:left="794" w:leftChars="216" w:hanging="319" w:hangingChars="133"/>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 单位负责人为同一人或者存在控股、管理关系的不同单位不得同时参加本项目的比选；参选人没有失信黑名单记录（以最高院失信被执行人系统发布信息为准）</w:t>
      </w:r>
    </w:p>
    <w:p>
      <w:pPr>
        <w:pStyle w:val="33"/>
        <w:keepNext w:val="0"/>
        <w:keepLines w:val="0"/>
        <w:pageBreakBefore w:val="0"/>
        <w:kinsoku/>
        <w:wordWrap/>
        <w:overflowPunct/>
        <w:topLinePunct w:val="0"/>
        <w:autoSpaceDE/>
        <w:autoSpaceDN/>
        <w:bidi w:val="0"/>
        <w:spacing w:before="0" w:line="288" w:lineRule="auto"/>
        <w:ind w:left="794" w:leftChars="216" w:hanging="319" w:hangingChars="133"/>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3. </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2"/>
        <w:keepNext w:val="0"/>
        <w:keepLines w:val="0"/>
        <w:pageBreakBefore w:val="0"/>
        <w:kinsoku/>
        <w:wordWrap/>
        <w:overflowPunct/>
        <w:topLinePunct w:val="0"/>
        <w:bidi w:val="0"/>
        <w:spacing w:line="288" w:lineRule="auto"/>
        <w:ind w:left="794" w:leftChars="216" w:hanging="319" w:hangingChars="133"/>
        <w:rPr>
          <w:rFonts w:asciiTheme="majorEastAsia" w:hAnsiTheme="majorEastAsia" w:eastAsiaTheme="majorEastAsia"/>
          <w:sz w:val="24"/>
          <w:szCs w:val="24"/>
        </w:rPr>
      </w:pPr>
      <w:r>
        <w:rPr>
          <w:rFonts w:hint="eastAsia"/>
          <w:sz w:val="24"/>
          <w:szCs w:val="24"/>
        </w:rPr>
        <w:t xml:space="preserve">4. </w:t>
      </w:r>
      <w:r>
        <w:rPr>
          <w:rFonts w:hint="eastAsia" w:asciiTheme="majorEastAsia" w:hAnsiTheme="majorEastAsia" w:eastAsiaTheme="majorEastAsia"/>
          <w:sz w:val="24"/>
          <w:szCs w:val="24"/>
        </w:rPr>
        <w:t>供应商提供的水中油分析仪应该是成熟可靠、技术先进、在国内同类型、同规模装置中近5年至少有</w:t>
      </w:r>
      <w:r>
        <w:rPr>
          <w:rFonts w:asciiTheme="majorEastAsia" w:hAnsiTheme="majorEastAsia" w:eastAsiaTheme="majorEastAsia"/>
          <w:sz w:val="24"/>
          <w:szCs w:val="24"/>
        </w:rPr>
        <w:t>10处以上的应用业绩。</w:t>
      </w:r>
    </w:p>
    <w:p>
      <w:pPr>
        <w:pStyle w:val="33"/>
        <w:keepNext w:val="0"/>
        <w:keepLines w:val="0"/>
        <w:pageBreakBefore w:val="0"/>
        <w:kinsoku/>
        <w:wordWrap/>
        <w:overflowPunct/>
        <w:topLinePunct w:val="0"/>
        <w:autoSpaceDE/>
        <w:autoSpaceDN/>
        <w:bidi w:val="0"/>
        <w:spacing w:before="0" w:line="288" w:lineRule="auto"/>
        <w:ind w:left="0" w:firstLine="354" w:firstLineChars="147"/>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三、报名要求</w:t>
      </w:r>
    </w:p>
    <w:p>
      <w:pPr>
        <w:keepNext w:val="0"/>
        <w:keepLines w:val="0"/>
        <w:pageBreakBefore w:val="0"/>
        <w:kinsoku/>
        <w:wordWrap/>
        <w:overflowPunct/>
        <w:topLinePunct w:val="0"/>
        <w:autoSpaceDE/>
        <w:autoSpaceDN/>
        <w:bidi w:val="0"/>
        <w:spacing w:line="288"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报名时间：</w:t>
      </w:r>
      <w:r>
        <w:rPr>
          <w:rFonts w:hint="eastAsia" w:asciiTheme="majorEastAsia" w:hAnsiTheme="majorEastAsia" w:eastAsiaTheme="majorEastAsia"/>
          <w:sz w:val="24"/>
          <w:szCs w:val="24"/>
          <w:lang w:eastAsia="zh-CN"/>
        </w:rPr>
        <w:t>2023年02月</w:t>
      </w:r>
      <w:r>
        <w:rPr>
          <w:rFonts w:hint="eastAsia" w:asciiTheme="majorEastAsia" w:hAnsiTheme="majorEastAsia" w:eastAsiaTheme="majorEastAsia"/>
          <w:sz w:val="24"/>
          <w:szCs w:val="24"/>
          <w:lang w:val="en-US" w:eastAsia="zh-CN"/>
        </w:rPr>
        <w:t>02</w:t>
      </w:r>
      <w:r>
        <w:rPr>
          <w:rFonts w:hint="eastAsia" w:asciiTheme="majorEastAsia" w:hAnsiTheme="majorEastAsia" w:eastAsiaTheme="majorEastAsia"/>
          <w:sz w:val="24"/>
          <w:szCs w:val="24"/>
          <w:lang w:eastAsia="zh-CN"/>
        </w:rPr>
        <w:t>日至</w:t>
      </w:r>
      <w:r>
        <w:rPr>
          <w:rFonts w:hint="eastAsia" w:asciiTheme="majorEastAsia" w:hAnsiTheme="majorEastAsia" w:eastAsiaTheme="majorEastAsia"/>
          <w:sz w:val="24"/>
          <w:szCs w:val="24"/>
          <w:lang w:val="en-US" w:eastAsia="zh-CN"/>
        </w:rPr>
        <w:t>11</w:t>
      </w:r>
      <w:r>
        <w:rPr>
          <w:rFonts w:hint="eastAsia" w:asciiTheme="majorEastAsia" w:hAnsiTheme="majorEastAsia" w:eastAsiaTheme="majorEastAsia"/>
          <w:sz w:val="24"/>
          <w:szCs w:val="24"/>
          <w:lang w:eastAsia="zh-CN"/>
        </w:rPr>
        <w:t>日（共10天）</w:t>
      </w:r>
    </w:p>
    <w:p>
      <w:pPr>
        <w:keepNext w:val="0"/>
        <w:keepLines w:val="0"/>
        <w:pageBreakBefore w:val="0"/>
        <w:kinsoku/>
        <w:wordWrap/>
        <w:overflowPunct/>
        <w:topLinePunct w:val="0"/>
        <w:autoSpaceDE/>
        <w:autoSpaceDN/>
        <w:bidi w:val="0"/>
        <w:spacing w:line="288"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报名方式：邮件报名（须同时提交盖公章的法定代表人授权书及营业执照扫描件），邮件发至：</w:t>
      </w:r>
      <w:r>
        <w:fldChar w:fldCharType="begin"/>
      </w:r>
      <w:r>
        <w:instrText xml:space="preserve"> HYPERLINK "mailto:hzji@fhcpec.com.cn" </w:instrText>
      </w:r>
      <w:r>
        <w:fldChar w:fldCharType="separate"/>
      </w:r>
      <w:r>
        <w:rPr>
          <w:rStyle w:val="29"/>
          <w:rFonts w:hint="eastAsia" w:asciiTheme="majorEastAsia" w:hAnsiTheme="majorEastAsia" w:eastAsiaTheme="majorEastAsia"/>
          <w:sz w:val="24"/>
          <w:szCs w:val="24"/>
          <w:lang w:eastAsia="zh-CN"/>
        </w:rPr>
        <w:t>huangmq@fjpec.com.cn</w:t>
      </w:r>
      <w:r>
        <w:rPr>
          <w:rStyle w:val="29"/>
          <w:rFonts w:hint="eastAsia" w:asciiTheme="majorEastAsia" w:hAnsiTheme="majorEastAsia" w:eastAsiaTheme="majorEastAsia"/>
          <w:sz w:val="24"/>
          <w:szCs w:val="24"/>
          <w:lang w:eastAsia="zh-CN"/>
        </w:rPr>
        <w:fldChar w:fldCharType="end"/>
      </w:r>
      <w:r>
        <w:rPr>
          <w:rFonts w:hint="eastAsia" w:asciiTheme="majorEastAsia" w:hAnsiTheme="majorEastAsia" w:eastAsiaTheme="majorEastAsia"/>
          <w:bCs/>
          <w:sz w:val="24"/>
          <w:szCs w:val="24"/>
          <w:lang w:eastAsia="zh-CN"/>
        </w:rPr>
        <w:t>。未报名的参选人不能参加本项目比选。</w:t>
      </w:r>
    </w:p>
    <w:p>
      <w:pPr>
        <w:keepNext w:val="0"/>
        <w:keepLines w:val="0"/>
        <w:pageBreakBefore w:val="0"/>
        <w:kinsoku/>
        <w:wordWrap/>
        <w:overflowPunct/>
        <w:topLinePunct w:val="0"/>
        <w:bidi w:val="0"/>
        <w:spacing w:line="288" w:lineRule="auto"/>
        <w:ind w:firstLine="480" w:firstLineChars="200"/>
        <w:rPr>
          <w:rFonts w:asciiTheme="majorEastAsia" w:hAnsiTheme="majorEastAsia" w:eastAsiaTheme="majorEastAsia"/>
          <w:sz w:val="24"/>
          <w:szCs w:val="24"/>
          <w:lang w:eastAsia="zh-CN"/>
        </w:rPr>
      </w:pPr>
      <w:r>
        <w:rPr>
          <w:rFonts w:hint="eastAsia"/>
          <w:sz w:val="24"/>
          <w:szCs w:val="24"/>
          <w:lang w:eastAsia="zh-CN"/>
        </w:rPr>
        <w:t xml:space="preserve">3. </w:t>
      </w:r>
      <w:r>
        <w:rPr>
          <w:rFonts w:hint="eastAsia" w:asciiTheme="majorEastAsia" w:hAnsiTheme="majorEastAsia" w:eastAsiaTheme="majorEastAsia"/>
          <w:bCs/>
          <w:sz w:val="24"/>
          <w:szCs w:val="24"/>
          <w:lang w:eastAsia="zh-CN"/>
        </w:rPr>
        <w:t>需进行技术交流并签订技术协议书；如未进行技术交流且未签订技术协议书，其参选资格将被评标委员会予以否决</w:t>
      </w:r>
      <w:r>
        <w:rPr>
          <w:rFonts w:hint="eastAsia" w:asciiTheme="majorEastAsia" w:hAnsiTheme="majorEastAsia" w:eastAsiaTheme="majorEastAsia"/>
          <w:sz w:val="24"/>
          <w:szCs w:val="24"/>
          <w:lang w:eastAsia="zh-CN"/>
        </w:rPr>
        <w:t>。</w:t>
      </w:r>
    </w:p>
    <w:p>
      <w:pPr>
        <w:pStyle w:val="3"/>
        <w:keepNext w:val="0"/>
        <w:keepLines w:val="0"/>
        <w:pageBreakBefore w:val="0"/>
        <w:kinsoku/>
        <w:wordWrap/>
        <w:overflowPunct/>
        <w:topLinePunct w:val="0"/>
        <w:bidi w:val="0"/>
        <w:spacing w:line="288" w:lineRule="auto"/>
        <w:ind w:left="0"/>
        <w:rPr>
          <w:rFonts w:asciiTheme="majorEastAsia" w:hAnsiTheme="majorEastAsia" w:eastAsiaTheme="majorEastAsia"/>
          <w:b w:val="0"/>
          <w:bCs w:val="0"/>
          <w:sz w:val="24"/>
          <w:szCs w:val="24"/>
          <w:lang w:eastAsia="zh-CN"/>
        </w:rPr>
      </w:pPr>
      <w:r>
        <w:rPr>
          <w:rFonts w:hint="eastAsia" w:asciiTheme="majorEastAsia" w:hAnsiTheme="majorEastAsia" w:eastAsiaTheme="majorEastAsia"/>
          <w:w w:val="95"/>
          <w:sz w:val="24"/>
          <w:szCs w:val="24"/>
          <w:lang w:eastAsia="zh-CN"/>
        </w:rPr>
        <w:t>四、</w:t>
      </w:r>
      <w:r>
        <w:rPr>
          <w:rFonts w:hint="eastAsia" w:asciiTheme="majorEastAsia" w:hAnsiTheme="majorEastAsia" w:eastAsiaTheme="majorEastAsia"/>
          <w:sz w:val="24"/>
          <w:szCs w:val="24"/>
          <w:lang w:eastAsia="zh-CN"/>
        </w:rPr>
        <w:t>参选文件递交要求</w:t>
      </w:r>
    </w:p>
    <w:p>
      <w:pPr>
        <w:keepNext w:val="0"/>
        <w:keepLines w:val="0"/>
        <w:pageBreakBefore w:val="0"/>
        <w:kinsoku/>
        <w:wordWrap/>
        <w:overflowPunct/>
        <w:topLinePunct w:val="0"/>
        <w:autoSpaceDE/>
        <w:autoSpaceDN/>
        <w:bidi w:val="0"/>
        <w:spacing w:line="288"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参选文件递交地点：福建省漳州市漳浦县杜浔镇杜昌路9号</w:t>
      </w:r>
    </w:p>
    <w:p>
      <w:pPr>
        <w:keepNext w:val="0"/>
        <w:keepLines w:val="0"/>
        <w:pageBreakBefore w:val="0"/>
        <w:kinsoku/>
        <w:wordWrap/>
        <w:overflowPunct/>
        <w:topLinePunct w:val="0"/>
        <w:autoSpaceDE/>
        <w:autoSpaceDN/>
        <w:bidi w:val="0"/>
        <w:spacing w:line="288"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递交截止时间（以送达时间为准）：有意向参选人请于公示期间进行报名且须与工厂技术交流并签署技术协议的，并请在技术协议签署之日起5天内将参选文件纸质原件密封送达比选人指定地点。</w:t>
      </w:r>
    </w:p>
    <w:p>
      <w:pPr>
        <w:keepNext w:val="0"/>
        <w:keepLines w:val="0"/>
        <w:pageBreakBefore w:val="0"/>
        <w:tabs>
          <w:tab w:val="left" w:pos="709"/>
        </w:tabs>
        <w:kinsoku/>
        <w:wordWrap/>
        <w:overflowPunct/>
        <w:topLinePunct w:val="0"/>
        <w:bidi w:val="0"/>
        <w:spacing w:line="288" w:lineRule="auto"/>
        <w:ind w:firstLine="257" w:firstLineChars="10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五、参选保证金：</w:t>
      </w:r>
      <w:r>
        <w:rPr>
          <w:rFonts w:hint="eastAsia"/>
          <w:b/>
          <w:snapToGrid w:val="0"/>
          <w:color w:val="000000" w:themeColor="text1"/>
          <w:spacing w:val="8"/>
          <w:sz w:val="24"/>
          <w:szCs w:val="24"/>
          <w:lang w:val="en-US" w:eastAsia="zh-CN"/>
          <w14:textFill>
            <w14:solidFill>
              <w14:schemeClr w14:val="tx1"/>
            </w14:solidFill>
          </w14:textFill>
        </w:rPr>
        <w:t>人民币</w:t>
      </w:r>
      <w:r>
        <w:rPr>
          <w:rFonts w:hint="eastAsia"/>
          <w:b/>
          <w:snapToGrid w:val="0"/>
          <w:color w:val="000000" w:themeColor="text1"/>
          <w:spacing w:val="8"/>
          <w:sz w:val="24"/>
          <w:szCs w:val="24"/>
          <w:lang w:eastAsia="zh-CN"/>
          <w14:textFill>
            <w14:solidFill>
              <w14:schemeClr w14:val="tx1"/>
            </w14:solidFill>
          </w14:textFill>
        </w:rPr>
        <w:t>3600元</w:t>
      </w:r>
    </w:p>
    <w:p>
      <w:pPr>
        <w:keepNext w:val="0"/>
        <w:keepLines w:val="0"/>
        <w:pageBreakBefore w:val="0"/>
        <w:tabs>
          <w:tab w:val="left" w:pos="709"/>
        </w:tabs>
        <w:kinsoku/>
        <w:wordWrap/>
        <w:overflowPunct/>
        <w:topLinePunct w:val="0"/>
        <w:bidi w:val="0"/>
        <w:spacing w:line="288" w:lineRule="auto"/>
        <w:ind w:firstLine="257" w:firstLineChars="100"/>
        <w:rPr>
          <w:sz w:val="24"/>
          <w:szCs w:val="24"/>
          <w:lang w:eastAsia="zh-CN"/>
        </w:rPr>
      </w:pPr>
      <w:r>
        <w:rPr>
          <w:rFonts w:hint="eastAsia"/>
          <w:b/>
          <w:snapToGrid w:val="0"/>
          <w:spacing w:val="8"/>
          <w:sz w:val="24"/>
          <w:szCs w:val="24"/>
          <w:lang w:eastAsia="zh-CN"/>
        </w:rPr>
        <w:t>六、</w:t>
      </w:r>
      <w:r>
        <w:rPr>
          <w:rFonts w:hint="eastAsia"/>
          <w:b/>
          <w:bCs/>
          <w:snapToGrid w:val="0"/>
          <w:spacing w:val="8"/>
          <w:sz w:val="24"/>
          <w:szCs w:val="24"/>
          <w:lang w:eastAsia="zh-CN"/>
        </w:rPr>
        <w:t>本公开比选采用参选文件满足要求，商务报价最低者中选的评标办法。</w:t>
      </w:r>
    </w:p>
    <w:p>
      <w:pPr>
        <w:keepNext w:val="0"/>
        <w:keepLines w:val="0"/>
        <w:pageBreakBefore w:val="0"/>
        <w:kinsoku/>
        <w:wordWrap/>
        <w:overflowPunct/>
        <w:topLinePunct w:val="0"/>
        <w:autoSpaceDE/>
        <w:autoSpaceDN/>
        <w:bidi w:val="0"/>
        <w:spacing w:line="288" w:lineRule="auto"/>
        <w:ind w:firstLine="241" w:firstLineChars="100"/>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七、联系方式</w:t>
      </w:r>
    </w:p>
    <w:p>
      <w:pPr>
        <w:pStyle w:val="7"/>
        <w:keepNext w:val="0"/>
        <w:keepLines w:val="0"/>
        <w:pageBreakBefore w:val="0"/>
        <w:kinsoku/>
        <w:wordWrap/>
        <w:overflowPunct/>
        <w:topLinePunct w:val="0"/>
        <w:bidi w:val="0"/>
        <w:snapToGrid w:val="0"/>
        <w:spacing w:line="288"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商务联系人：黄梅钦  电话：0596-6311073  邮箱：huangmq@fjpec.com.cn</w:t>
      </w:r>
    </w:p>
    <w:p>
      <w:pPr>
        <w:pStyle w:val="7"/>
        <w:keepNext w:val="0"/>
        <w:keepLines w:val="0"/>
        <w:pageBreakBefore w:val="0"/>
        <w:kinsoku/>
        <w:wordWrap/>
        <w:overflowPunct/>
        <w:topLinePunct w:val="0"/>
        <w:bidi w:val="0"/>
        <w:snapToGrid w:val="0"/>
        <w:spacing w:line="288"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纪检监察室电话：0596-6311774</w:t>
      </w:r>
    </w:p>
    <w:p>
      <w:pPr>
        <w:pStyle w:val="7"/>
        <w:keepNext w:val="0"/>
        <w:keepLines w:val="0"/>
        <w:pageBreakBefore w:val="0"/>
        <w:kinsoku/>
        <w:wordWrap/>
        <w:overflowPunct/>
        <w:topLinePunct w:val="0"/>
        <w:bidi w:val="0"/>
        <w:snapToGrid w:val="0"/>
        <w:spacing w:line="288" w:lineRule="auto"/>
        <w:ind w:firstLine="480" w:firstLineChars="200"/>
        <w:rPr>
          <w:rFonts w:cs="宋体" w:asciiTheme="majorEastAsia" w:hAnsiTheme="majorEastAsia" w:eastAsiaTheme="majorEastAsia"/>
          <w:b/>
          <w:bCs/>
          <w:szCs w:val="24"/>
        </w:rPr>
      </w:pPr>
      <w:r>
        <w:rPr>
          <w:rFonts w:hint="eastAsia" w:cs="宋体" w:asciiTheme="majorEastAsia" w:hAnsiTheme="majorEastAsia" w:eastAsiaTheme="majorEastAsia"/>
          <w:bCs/>
          <w:szCs w:val="24"/>
        </w:rPr>
        <w:t xml:space="preserve">联系地址：漳州市漳浦县杜浔镇杜昌路9号     </w:t>
      </w:r>
      <w:r>
        <w:rPr>
          <w:bCs/>
          <w:color w:val="000000" w:themeColor="text1"/>
          <w:szCs w:val="24"/>
          <w14:textFill>
            <w14:solidFill>
              <w14:schemeClr w14:val="tx1"/>
            </w14:solidFill>
          </w14:textFill>
        </w:rPr>
        <w:t>邮    编：363216</w:t>
      </w:r>
    </w:p>
    <w:p>
      <w:pPr>
        <w:keepNext w:val="0"/>
        <w:keepLines w:val="0"/>
        <w:pageBreakBefore w:val="0"/>
        <w:tabs>
          <w:tab w:val="left" w:pos="1272"/>
        </w:tabs>
        <w:kinsoku/>
        <w:wordWrap/>
        <w:overflowPunct/>
        <w:topLinePunct w:val="0"/>
        <w:bidi w:val="0"/>
        <w:spacing w:line="288" w:lineRule="auto"/>
        <w:ind w:left="9"/>
        <w:jc w:val="center"/>
        <w:rPr>
          <w:sz w:val="24"/>
          <w:szCs w:val="24"/>
          <w:lang w:eastAsia="zh-CN"/>
        </w:rPr>
      </w:pPr>
      <w:r>
        <w:rPr>
          <w:rFonts w:hint="eastAsia"/>
          <w:sz w:val="24"/>
          <w:szCs w:val="24"/>
          <w:lang w:eastAsia="zh-CN"/>
        </w:rPr>
        <w:t xml:space="preserve">                              福建福海创石油化工有限公司</w:t>
      </w:r>
    </w:p>
    <w:p>
      <w:pPr>
        <w:keepNext w:val="0"/>
        <w:keepLines w:val="0"/>
        <w:pageBreakBefore w:val="0"/>
        <w:kinsoku/>
        <w:wordWrap/>
        <w:overflowPunct/>
        <w:topLinePunct w:val="0"/>
        <w:bidi w:val="0"/>
        <w:spacing w:line="288" w:lineRule="auto"/>
        <w:ind w:firstLine="6240" w:firstLineChars="2600"/>
        <w:rPr>
          <w:sz w:val="24"/>
          <w:szCs w:val="24"/>
          <w:lang w:eastAsia="zh-CN"/>
        </w:rPr>
      </w:pPr>
      <w:r>
        <w:rPr>
          <w:rFonts w:hint="eastAsia"/>
          <w:sz w:val="24"/>
          <w:szCs w:val="24"/>
          <w:lang w:eastAsia="zh-CN"/>
        </w:rPr>
        <w:t>2023.01.</w:t>
      </w:r>
      <w:r>
        <w:rPr>
          <w:rFonts w:hint="eastAsia"/>
          <w:sz w:val="24"/>
          <w:szCs w:val="24"/>
          <w:lang w:val="en-US" w:eastAsia="zh-CN"/>
        </w:rPr>
        <w:t>29</w:t>
      </w:r>
    </w:p>
    <w:p>
      <w:pPr>
        <w:pStyle w:val="3"/>
        <w:tabs>
          <w:tab w:val="left" w:pos="1262"/>
        </w:tabs>
        <w:spacing w:line="324" w:lineRule="auto"/>
        <w:ind w:left="0" w:right="108"/>
        <w:jc w:val="center"/>
        <w:rPr>
          <w:lang w:eastAsia="zh-CN"/>
        </w:rPr>
        <w:sectPr>
          <w:footerReference r:id="rId3" w:type="default"/>
          <w:pgSz w:w="11910" w:h="16840"/>
          <w:pgMar w:top="1500" w:right="1020" w:bottom="740" w:left="86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eastAsia" w:asciiTheme="majorEastAsia" w:hAnsiTheme="majorEastAsia" w:eastAsiaTheme="majorEastAsia"/>
          <w:u w:val="single"/>
          <w:lang w:eastAsia="zh-CN"/>
        </w:rPr>
        <w:t xml:space="preserve"> 沉浸式水中油分析仪</w:t>
      </w:r>
      <w:r>
        <w:rPr>
          <w:rFonts w:hint="eastAsia" w:asciiTheme="majorEastAsia" w:hAnsiTheme="majorEastAsia" w:eastAsiaTheme="majorEastAsia"/>
          <w:bCs/>
          <w:u w:val="single"/>
          <w:lang w:eastAsia="zh-CN"/>
        </w:rPr>
        <w:t>采购</w:t>
      </w:r>
      <w:r>
        <w:rPr>
          <w:rFonts w:hint="eastAsia" w:asciiTheme="majorEastAsia" w:hAnsiTheme="majorEastAsia" w:eastAsiaTheme="majorEastAsia"/>
          <w:u w:val="single"/>
          <w:lang w:eastAsia="zh-CN"/>
        </w:rPr>
        <w:t xml:space="preserve">  </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(二)</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漳州市漳浦县古雷开发区腾龙路84号</w:t>
      </w:r>
    </w:p>
    <w:p>
      <w:pPr>
        <w:pStyle w:val="10"/>
        <w:spacing w:line="360" w:lineRule="auto"/>
        <w:ind w:left="2164" w:leftChars="220" w:hanging="1680" w:hangingChars="700"/>
        <w:rPr>
          <w:rFonts w:asciiTheme="majorEastAsia" w:hAnsiTheme="majorEastAsia" w:eastAsiaTheme="majorEastAsia"/>
          <w:lang w:eastAsia="zh-CN"/>
        </w:rPr>
      </w:pPr>
      <w:r>
        <w:rPr>
          <w:rFonts w:asciiTheme="majorEastAsia" w:hAnsiTheme="majorEastAsia" w:eastAsiaTheme="majorEastAsia"/>
          <w:lang w:eastAsia="zh-CN"/>
        </w:rPr>
        <w:t>(三)</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eastAsia="zh-CN"/>
        </w:rPr>
        <w:t>四</w:t>
      </w:r>
      <w:r>
        <w:rPr>
          <w:rFonts w:asciiTheme="majorEastAsia" w:hAnsiTheme="majorEastAsia" w:eastAsiaTheme="majorEastAsia"/>
          <w:lang w:eastAsia="zh-CN"/>
        </w:rPr>
        <w:t>)比选范围：</w:t>
      </w:r>
    </w:p>
    <w:p>
      <w:pPr>
        <w:spacing w:line="360" w:lineRule="auto"/>
        <w:ind w:firstLine="480" w:firstLineChars="200"/>
        <w:rPr>
          <w:rFonts w:asciiTheme="majorEastAsia" w:hAnsiTheme="majorEastAsia" w:eastAsiaTheme="majorEastAsia"/>
          <w:snapToGrid w:val="0"/>
          <w:spacing w:val="8"/>
          <w:sz w:val="24"/>
          <w:szCs w:val="24"/>
          <w:u w:val="single"/>
          <w:lang w:eastAsia="zh-CN"/>
        </w:rPr>
      </w:pPr>
      <w:r>
        <w:rPr>
          <w:rFonts w:hint="eastAsia" w:asciiTheme="majorEastAsia" w:hAnsiTheme="majorEastAsia" w:eastAsiaTheme="majorEastAsia"/>
          <w:sz w:val="24"/>
          <w:szCs w:val="24"/>
          <w:lang w:eastAsia="zh-CN"/>
        </w:rPr>
        <w:t>1. 项目概况：</w:t>
      </w:r>
      <w:r>
        <w:rPr>
          <w:rFonts w:hint="eastAsia" w:asciiTheme="majorEastAsia" w:hAnsiTheme="majorEastAsia" w:eastAsiaTheme="majorEastAsia"/>
          <w:snapToGrid w:val="0"/>
          <w:spacing w:val="8"/>
          <w:sz w:val="24"/>
          <w:szCs w:val="24"/>
          <w:u w:val="single"/>
          <w:lang w:eastAsia="zh-CN"/>
        </w:rPr>
        <w:t>采购1台沉浸式水中油分析仪</w:t>
      </w:r>
    </w:p>
    <w:p>
      <w:pPr>
        <w:pStyle w:val="4"/>
        <w:spacing w:line="360" w:lineRule="auto"/>
        <w:ind w:left="860" w:leftChars="217" w:hanging="383" w:hangingChars="159"/>
        <w:rPr>
          <w:b w:val="0"/>
          <w:bCs w:val="0"/>
          <w:lang w:eastAsia="zh-CN"/>
        </w:rPr>
      </w:pPr>
      <w:r>
        <w:rPr>
          <w:rFonts w:hint="eastAsia" w:asciiTheme="majorEastAsia" w:hAnsiTheme="majorEastAsia" w:eastAsiaTheme="majorEastAsia"/>
          <w:lang w:eastAsia="zh-CN"/>
        </w:rPr>
        <w:t>2. 项目范围及内容：</w:t>
      </w:r>
      <w:r>
        <w:rPr>
          <w:rFonts w:hint="eastAsia"/>
          <w:b w:val="0"/>
          <w:lang w:eastAsia="zh-CN"/>
        </w:rPr>
        <w:t>①型号与规格：</w:t>
      </w:r>
      <w:r>
        <w:rPr>
          <w:rFonts w:hint="eastAsia" w:asciiTheme="majorEastAsia" w:hAnsiTheme="majorEastAsia" w:eastAsiaTheme="majorEastAsia"/>
          <w:b w:val="0"/>
          <w:lang w:eastAsia="zh-CN"/>
        </w:rPr>
        <w:t>220VAC\紫外荧光法\沉浸式测量\0-1mg/L；变送器：TSTC200AC 探头：TSOIW111110；</w:t>
      </w:r>
      <w:r>
        <w:rPr>
          <w:rFonts w:hint="eastAsia"/>
          <w:b w:val="0"/>
          <w:lang w:eastAsia="zh-CN"/>
        </w:rPr>
        <w:t>②</w:t>
      </w:r>
      <w:r>
        <w:rPr>
          <w:rFonts w:hint="eastAsia"/>
          <w:b w:val="0"/>
          <w:bCs w:val="0"/>
          <w:lang w:eastAsia="zh-CN"/>
        </w:rPr>
        <w:t>品牌要求（原装进口）:赛默飞\哈希；③需签署技术协议。</w:t>
      </w:r>
    </w:p>
    <w:p>
      <w:pPr>
        <w:spacing w:line="288" w:lineRule="auto"/>
        <w:ind w:left="960" w:leftChars="218" w:hanging="480" w:hangingChars="200"/>
        <w:jc w:val="both"/>
        <w:rPr>
          <w:rFonts w:asciiTheme="majorEastAsia" w:hAnsiTheme="majorEastAsia" w:eastAsiaTheme="majorEastAsia" w:cstheme="minorEastAsia"/>
          <w:kern w:val="59"/>
          <w:sz w:val="24"/>
          <w:szCs w:val="24"/>
          <w:lang w:eastAsia="zh-CN"/>
        </w:rPr>
      </w:pPr>
      <w:r>
        <w:rPr>
          <w:rFonts w:hint="eastAsia" w:asciiTheme="majorEastAsia" w:hAnsiTheme="majorEastAsia" w:eastAsiaTheme="majorEastAsia"/>
          <w:sz w:val="24"/>
          <w:szCs w:val="24"/>
          <w:lang w:eastAsia="zh-CN"/>
        </w:rPr>
        <w:t>3. 相关要求标准、规范及规定：本仪器须符合</w:t>
      </w:r>
      <w:r>
        <w:rPr>
          <w:rFonts w:hint="eastAsia" w:asciiTheme="majorEastAsia" w:hAnsiTheme="majorEastAsia" w:eastAsiaTheme="majorEastAsia" w:cstheme="minorEastAsia"/>
          <w:kern w:val="59"/>
          <w:sz w:val="24"/>
          <w:szCs w:val="24"/>
          <w:lang w:eastAsia="zh-CN"/>
        </w:rPr>
        <w:t>试验方法：</w:t>
      </w:r>
      <w:r>
        <w:rPr>
          <w:rFonts w:hint="eastAsia"/>
          <w:sz w:val="24"/>
          <w:szCs w:val="24"/>
          <w:lang w:eastAsia="zh-CN"/>
        </w:rPr>
        <w:t>仪器的各项性能指标必须符合仪器出厂规定的技术性能指标；必须符合本技术协议附件中的技术要求或请购规格书的技术指标。仪器必须能满足用户的要求；必须满足相应方法标准中对设备的要求，必须满足标准和技术协议中规定的测量范围和测量精度。</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cstheme="minorEastAsia"/>
          <w:kern w:val="59"/>
          <w:sz w:val="24"/>
          <w:szCs w:val="24"/>
          <w:lang w:eastAsia="zh-CN"/>
        </w:rPr>
        <w:t>(五)产品质量：以双方签署技术协议要求为准。</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二、定义和解释</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三、比选文件组成</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10"/>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10"/>
        <w:spacing w:line="360" w:lineRule="auto"/>
        <w:ind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3"/>
        <w:spacing w:line="360" w:lineRule="auto"/>
        <w:ind w:left="68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四、比选文件的澄清</w:t>
      </w:r>
    </w:p>
    <w:p>
      <w:pPr>
        <w:pStyle w:val="10"/>
        <w:spacing w:line="360" w:lineRule="auto"/>
        <w:ind w:right="91" w:firstLine="482"/>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3"/>
        <w:spacing w:line="360" w:lineRule="auto"/>
        <w:ind w:left="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五、比选文件的修改、补充</w:t>
      </w:r>
    </w:p>
    <w:p>
      <w:pPr>
        <w:pStyle w:val="10"/>
        <w:spacing w:line="360" w:lineRule="auto"/>
        <w:ind w:left="319" w:right="226" w:hanging="319" w:hangingChars="133"/>
        <w:jc w:val="both"/>
        <w:rPr>
          <w:rFonts w:asciiTheme="majorEastAsia" w:hAnsiTheme="majorEastAsia" w:eastAsiaTheme="majorEastAsia"/>
          <w:lang w:eastAsia="zh-CN"/>
        </w:rPr>
      </w:pPr>
      <w:r>
        <w:rPr>
          <w:rFonts w:asciiTheme="majorEastAsia" w:hAnsiTheme="majorEastAsia" w:eastAsiaTheme="majorEastAsia"/>
          <w:lang w:eastAsia="zh-CN"/>
        </w:rPr>
        <w:t>1.在参选截止日期前，比选人可主动地或依据参选人要求澄清的问题而修改比选文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10"/>
        <w:spacing w:line="360" w:lineRule="auto"/>
        <w:ind w:left="319" w:right="222" w:hanging="319" w:hangingChars="133"/>
        <w:rPr>
          <w:rFonts w:asciiTheme="majorEastAsia" w:hAnsiTheme="majorEastAsia" w:eastAsiaTheme="majorEastAsia"/>
          <w:lang w:eastAsia="zh-CN"/>
        </w:rPr>
      </w:pPr>
      <w:r>
        <w:rPr>
          <w:rFonts w:asciiTheme="majorEastAsia" w:hAnsiTheme="majorEastAsia" w:eastAsiaTheme="majorEastAsia"/>
          <w:lang w:eastAsia="zh-CN"/>
        </w:rPr>
        <w:t>2.</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10"/>
        <w:spacing w:line="360" w:lineRule="auto"/>
        <w:ind w:left="319" w:hanging="319" w:hangingChars="133"/>
        <w:rPr>
          <w:rFonts w:asciiTheme="majorEastAsia" w:hAnsiTheme="majorEastAsia" w:eastAsiaTheme="majorEastAsia"/>
          <w:lang w:eastAsia="zh-CN"/>
        </w:rPr>
      </w:pPr>
      <w:r>
        <w:rPr>
          <w:rFonts w:asciiTheme="majorEastAsia" w:hAnsiTheme="majorEastAsia" w:eastAsiaTheme="majorEastAsia"/>
          <w:lang w:eastAsia="zh-CN"/>
        </w:rPr>
        <w:t>3.比选文件的修改书将构成比选文件的一部分，对参选人具有约束作用。</w:t>
      </w:r>
    </w:p>
    <w:p>
      <w:pPr>
        <w:pStyle w:val="10"/>
        <w:spacing w:line="360" w:lineRule="auto"/>
        <w:ind w:left="319" w:hanging="319" w:hangingChars="133"/>
        <w:rPr>
          <w:rFonts w:asciiTheme="majorEastAsia" w:hAnsiTheme="majorEastAsia" w:eastAsiaTheme="majorEastAsia"/>
          <w:lang w:eastAsia="zh-CN"/>
        </w:rPr>
      </w:pPr>
      <w:r>
        <w:rPr>
          <w:rFonts w:hint="eastAsia" w:asciiTheme="majorEastAsia" w:hAnsiTheme="majorEastAsia" w:eastAsiaTheme="majorEastAsia"/>
          <w:lang w:eastAsia="zh-CN"/>
        </w:rPr>
        <w:t>4.比选人所作的一切有效补充、修改文件，均被视为比选文件不可分割部分。</w:t>
      </w:r>
    </w:p>
    <w:p>
      <w:pPr>
        <w:pStyle w:val="3"/>
        <w:spacing w:line="360" w:lineRule="auto"/>
        <w:ind w:left="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六、参选人资格</w:t>
      </w:r>
    </w:p>
    <w:p>
      <w:pPr>
        <w:widowControl/>
        <w:autoSpaceDE/>
        <w:autoSpaceDN/>
        <w:spacing w:line="324" w:lineRule="auto"/>
        <w:ind w:left="273" w:leftChars="0" w:hanging="273" w:hangingChars="114"/>
        <w:jc w:val="both"/>
        <w:rPr>
          <w:sz w:val="24"/>
          <w:szCs w:val="24"/>
          <w:lang w:eastAsia="zh-CN"/>
        </w:rPr>
      </w:pPr>
      <w:r>
        <w:rPr>
          <w:rFonts w:hint="eastAsia"/>
          <w:sz w:val="24"/>
          <w:szCs w:val="24"/>
          <w:lang w:eastAsia="zh-CN"/>
        </w:rPr>
        <w:t>1.参选人必须具备有效的企业法人营业执照，具备独立法人资格且有能力按我司需求提供货物及服务。</w:t>
      </w:r>
    </w:p>
    <w:p>
      <w:pPr>
        <w:widowControl/>
        <w:autoSpaceDE/>
        <w:autoSpaceDN/>
        <w:spacing w:line="324" w:lineRule="auto"/>
        <w:ind w:left="273" w:leftChars="0" w:hanging="273" w:hangingChars="114"/>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2.单位负责人为同一人或者存在控股、管理关系的不同单位不得同时参加本项目的比选；参选人没有失信黑名单记录（以最高院失信被执行人系统发布信息为准）</w:t>
      </w:r>
    </w:p>
    <w:p>
      <w:pPr>
        <w:pStyle w:val="33"/>
        <w:autoSpaceDE/>
        <w:autoSpaceDN/>
        <w:spacing w:before="0" w:line="324" w:lineRule="auto"/>
        <w:ind w:left="273" w:leftChars="0" w:hanging="273" w:hangingChars="114"/>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2"/>
        <w:spacing w:line="324" w:lineRule="auto"/>
        <w:ind w:left="273" w:leftChars="0" w:hanging="273" w:hangingChars="114"/>
        <w:rPr>
          <w:rFonts w:asciiTheme="majorEastAsia" w:hAnsiTheme="majorEastAsia" w:eastAsiaTheme="majorEastAsia"/>
          <w:sz w:val="24"/>
          <w:szCs w:val="24"/>
        </w:rPr>
      </w:pPr>
      <w:r>
        <w:rPr>
          <w:rFonts w:hint="eastAsia"/>
          <w:sz w:val="24"/>
          <w:szCs w:val="24"/>
        </w:rPr>
        <w:t>4.</w:t>
      </w:r>
      <w:r>
        <w:rPr>
          <w:rFonts w:hint="eastAsia" w:asciiTheme="majorEastAsia" w:hAnsiTheme="majorEastAsia" w:eastAsiaTheme="majorEastAsia"/>
          <w:sz w:val="24"/>
          <w:szCs w:val="24"/>
        </w:rPr>
        <w:t>供应商提供的水中油分析仪应该是成熟可靠、技术先进、在国内同类型、同规模装置中近5年至少有</w:t>
      </w:r>
      <w:r>
        <w:rPr>
          <w:rFonts w:asciiTheme="majorEastAsia" w:hAnsiTheme="majorEastAsia" w:eastAsiaTheme="majorEastAsia"/>
          <w:sz w:val="24"/>
          <w:szCs w:val="24"/>
        </w:rPr>
        <w:t>10处以上的应用业绩。</w:t>
      </w:r>
    </w:p>
    <w:p>
      <w:pPr>
        <w:spacing w:before="15" w:line="360" w:lineRule="auto"/>
        <w:rPr>
          <w:b/>
          <w:w w:val="95"/>
          <w:sz w:val="28"/>
          <w:lang w:eastAsia="zh-CN"/>
        </w:rPr>
      </w:pPr>
      <w:r>
        <w:rPr>
          <w:b/>
          <w:w w:val="95"/>
          <w:sz w:val="28"/>
          <w:lang w:eastAsia="zh-CN"/>
        </w:rPr>
        <w:t>七、参选保证金</w:t>
      </w:r>
    </w:p>
    <w:p>
      <w:pPr>
        <w:pStyle w:val="3"/>
        <w:spacing w:after="156" w:afterLines="50" w:line="360" w:lineRule="auto"/>
        <w:ind w:left="518" w:leftChars="18" w:hanging="478" w:hangingChars="170"/>
        <w:rPr>
          <w:rFonts w:asciiTheme="majorEastAsia" w:hAnsiTheme="majorEastAsia" w:eastAsiaTheme="majorEastAsia"/>
          <w:sz w:val="24"/>
          <w:szCs w:val="24"/>
          <w:lang w:eastAsia="zh-CN"/>
        </w:rPr>
      </w:pPr>
      <w:r>
        <w:rPr>
          <w:rFonts w:hint="eastAsia"/>
          <w:lang w:eastAsia="zh-CN"/>
        </w:rPr>
        <w:t xml:space="preserve"> </w:t>
      </w:r>
      <w:r>
        <w:rPr>
          <w:rFonts w:hint="eastAsia" w:asciiTheme="majorEastAsia" w:hAnsiTheme="majorEastAsia" w:eastAsiaTheme="majorEastAsia"/>
          <w:b w:val="0"/>
          <w:bCs w:val="0"/>
          <w:sz w:val="24"/>
          <w:szCs w:val="24"/>
          <w:lang w:eastAsia="zh-CN"/>
        </w:rPr>
        <w:t>1. 参选单位应缴纳参选保证金，</w:t>
      </w:r>
      <w:r>
        <w:rPr>
          <w:rFonts w:hint="eastAsia" w:asciiTheme="majorEastAsia" w:hAnsiTheme="majorEastAsia" w:eastAsiaTheme="majorEastAsia"/>
          <w:sz w:val="24"/>
          <w:szCs w:val="24"/>
          <w:lang w:eastAsia="zh-CN"/>
        </w:rPr>
        <w:t>保证金金额3600元整</w:t>
      </w:r>
      <w:r>
        <w:rPr>
          <w:rFonts w:hint="eastAsia" w:asciiTheme="majorEastAsia" w:hAnsiTheme="majorEastAsia" w:eastAsiaTheme="majorEastAsia"/>
          <w:b w:val="0"/>
          <w:bCs w:val="0"/>
          <w:sz w:val="24"/>
          <w:szCs w:val="24"/>
          <w:lang w:eastAsia="zh-CN"/>
        </w:rPr>
        <w:t>，参选单位应按照要求从参选单位基本账户转入比选单位的账户，比选单位账户信息如下：</w:t>
      </w:r>
    </w:p>
    <w:p>
      <w:pPr>
        <w:pStyle w:val="10"/>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开户名称：</w:t>
      </w:r>
      <w:r>
        <w:rPr>
          <w:rFonts w:hint="eastAsia" w:asciiTheme="majorEastAsia" w:hAnsiTheme="majorEastAsia" w:eastAsiaTheme="majorEastAsia"/>
          <w:lang w:eastAsia="zh-CN"/>
        </w:rPr>
        <w:t>福建福海创石油化工有限公司</w:t>
      </w:r>
    </w:p>
    <w:p>
      <w:pPr>
        <w:pStyle w:val="10"/>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开户银行：</w:t>
      </w:r>
      <w:r>
        <w:rPr>
          <w:rFonts w:hint="eastAsia" w:asciiTheme="majorEastAsia" w:hAnsiTheme="majorEastAsia" w:eastAsiaTheme="majorEastAsia"/>
          <w:lang w:eastAsia="zh-CN"/>
        </w:rPr>
        <w:t>中国银行股份有限公司漳州古雷经济开发区支行</w:t>
      </w:r>
    </w:p>
    <w:p>
      <w:pPr>
        <w:pStyle w:val="10"/>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帐  号：</w:t>
      </w:r>
      <w:r>
        <w:rPr>
          <w:rFonts w:hint="eastAsia" w:asciiTheme="majorEastAsia" w:hAnsiTheme="majorEastAsia" w:eastAsiaTheme="majorEastAsia"/>
          <w:lang w:eastAsia="zh-CN"/>
        </w:rPr>
        <w:t>406574816628</w:t>
      </w:r>
    </w:p>
    <w:p>
      <w:pPr>
        <w:pStyle w:val="10"/>
        <w:spacing w:line="360" w:lineRule="auto"/>
        <w:ind w:left="448" w:leftChars="18" w:right="121" w:hanging="408" w:hangingChars="170"/>
        <w:jc w:val="both"/>
        <w:rPr>
          <w:rFonts w:asciiTheme="majorEastAsia" w:hAnsiTheme="majorEastAsia" w:eastAsiaTheme="majorEastAsia"/>
          <w:u w:val="single"/>
          <w:lang w:eastAsia="zh-CN"/>
        </w:rPr>
      </w:pPr>
      <w:r>
        <w:rPr>
          <w:rFonts w:hint="eastAsia" w:asciiTheme="majorEastAsia" w:hAnsiTheme="majorEastAsia" w:eastAsiaTheme="majorEastAsia"/>
          <w:lang w:eastAsia="zh-CN"/>
        </w:rPr>
        <w:t xml:space="preserve">    </w:t>
      </w:r>
      <w:r>
        <w:rPr>
          <w:rFonts w:hint="eastAsia" w:asciiTheme="majorEastAsia" w:hAnsiTheme="majorEastAsia" w:eastAsiaTheme="majorEastAsia"/>
          <w:b/>
          <w:bCs/>
          <w:lang w:eastAsia="zh-CN"/>
        </w:rPr>
        <w:t>注明用途</w:t>
      </w:r>
      <w:r>
        <w:rPr>
          <w:rFonts w:hint="eastAsia"/>
          <w:color w:val="000000"/>
          <w:lang w:eastAsia="zh-CN"/>
        </w:rPr>
        <w:t>：</w:t>
      </w:r>
      <w:r>
        <w:rPr>
          <w:rFonts w:hint="eastAsia" w:asciiTheme="minorEastAsia" w:hAnsiTheme="minorEastAsia" w:eastAsiaTheme="minorEastAsia"/>
          <w:bCs/>
          <w:u w:val="single"/>
          <w:lang w:eastAsia="zh-CN"/>
        </w:rPr>
        <w:t>沉浸式水中油分析仪采购</w:t>
      </w:r>
      <w:r>
        <w:rPr>
          <w:rFonts w:hint="eastAsia" w:asciiTheme="majorEastAsia" w:hAnsiTheme="majorEastAsia" w:eastAsiaTheme="majorEastAsia"/>
          <w:u w:val="single"/>
          <w:lang w:eastAsia="zh-CN"/>
        </w:rPr>
        <w:t>参选保证金</w:t>
      </w:r>
    </w:p>
    <w:p>
      <w:pPr>
        <w:pStyle w:val="10"/>
        <w:spacing w:line="360" w:lineRule="auto"/>
        <w:ind w:left="448" w:leftChars="18" w:right="121" w:hanging="408" w:hangingChars="17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参选保证金有效期：90日历天。</w:t>
      </w:r>
    </w:p>
    <w:p>
      <w:pPr>
        <w:pStyle w:val="10"/>
        <w:spacing w:line="360" w:lineRule="auto"/>
        <w:ind w:left="928" w:leftChars="18" w:right="121" w:hanging="888" w:hangingChars="37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0"/>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2.对于未能按要求提交保证金的参选文件，比选单位可以视为不符合上面比选要求而予以拒绝；</w:t>
      </w:r>
    </w:p>
    <w:p>
      <w:pPr>
        <w:pStyle w:val="10"/>
        <w:numPr>
          <w:ilvl w:val="0"/>
          <w:numId w:val="2"/>
        </w:numPr>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比选结束退还未中选者的比选保证金（无息），最迟不超过规定的比选有效期满后的20天；</w:t>
      </w:r>
    </w:p>
    <w:p>
      <w:pPr>
        <w:pStyle w:val="10"/>
        <w:numPr>
          <w:ilvl w:val="0"/>
          <w:numId w:val="2"/>
        </w:numPr>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中选者的参选保证金（无息），将在合同签订后自动转为履约保证金，将于合同周期完成后15个工作日内，甲方无息退还履约保证金；</w:t>
      </w:r>
    </w:p>
    <w:p>
      <w:pPr>
        <w:pStyle w:val="10"/>
        <w:numPr>
          <w:ilvl w:val="0"/>
          <w:numId w:val="2"/>
        </w:numPr>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如有下列情况发生，将被没收参选保证金：</w:t>
      </w:r>
    </w:p>
    <w:p>
      <w:pPr>
        <w:pStyle w:val="10"/>
        <w:spacing w:line="360" w:lineRule="auto"/>
        <w:ind w:left="448" w:leftChars="18" w:right="121" w:hanging="408" w:hangingChars="170"/>
        <w:jc w:val="both"/>
        <w:rPr>
          <w:rFonts w:asciiTheme="majorEastAsia" w:hAnsiTheme="majorEastAsia" w:eastAsiaTheme="majorEastAsia"/>
          <w:lang w:eastAsia="zh-CN"/>
        </w:rPr>
      </w:pPr>
      <w:r>
        <w:rPr>
          <w:rFonts w:hint="eastAsia" w:asciiTheme="majorEastAsia" w:hAnsiTheme="majorEastAsia" w:eastAsiaTheme="majorEastAsia"/>
          <w:lang w:eastAsia="zh-CN"/>
        </w:rPr>
        <w:t>（1）参选单位在参选有效期内撤回参选文件；</w:t>
      </w:r>
    </w:p>
    <w:p>
      <w:pPr>
        <w:pStyle w:val="10"/>
        <w:spacing w:line="360" w:lineRule="auto"/>
        <w:ind w:left="448" w:leftChars="18" w:right="121" w:hanging="408" w:hangingChars="170"/>
        <w:jc w:val="both"/>
        <w:rPr>
          <w:b/>
          <w:u w:val="single"/>
          <w:lang w:eastAsia="zh-CN"/>
        </w:rPr>
      </w:pPr>
      <w:r>
        <w:rPr>
          <w:rFonts w:hint="eastAsia" w:asciiTheme="majorEastAsia" w:hAnsiTheme="majorEastAsia" w:eastAsiaTheme="majorEastAsia"/>
          <w:lang w:eastAsia="zh-CN"/>
        </w:rPr>
        <w:t>（2）参选单位未能按接到中标通知书后规定的时间内签定合同。</w:t>
      </w:r>
    </w:p>
    <w:p>
      <w:pPr>
        <w:pStyle w:val="3"/>
        <w:spacing w:line="360" w:lineRule="auto"/>
        <w:ind w:left="0"/>
        <w:rPr>
          <w:rFonts w:asciiTheme="majorEastAsia" w:hAnsiTheme="majorEastAsia" w:eastAsiaTheme="majorEastAsia"/>
          <w:lang w:eastAsia="zh-CN"/>
        </w:rPr>
      </w:pPr>
      <w:r>
        <w:rPr>
          <w:rFonts w:asciiTheme="majorEastAsia" w:hAnsiTheme="majorEastAsia" w:eastAsiaTheme="majorEastAsia"/>
          <w:w w:val="95"/>
          <w:lang w:eastAsia="zh-CN"/>
        </w:rPr>
        <w:t>八、参选文件的递交</w:t>
      </w:r>
    </w:p>
    <w:p>
      <w:pPr>
        <w:pStyle w:val="4"/>
        <w:tabs>
          <w:tab w:val="left" w:pos="6879"/>
        </w:tabs>
        <w:spacing w:line="360" w:lineRule="auto"/>
        <w:ind w:left="0" w:right="106"/>
        <w:rPr>
          <w:rFonts w:asciiTheme="majorEastAsia" w:hAnsiTheme="majorEastAsia" w:eastAsiaTheme="majorEastAsia"/>
          <w:lang w:eastAsia="zh-CN"/>
        </w:rPr>
      </w:pPr>
      <w:r>
        <w:rPr>
          <w:rFonts w:asciiTheme="majorEastAsia" w:hAnsiTheme="majorEastAsia" w:eastAsiaTheme="majorEastAsia"/>
          <w:lang w:eastAsia="zh-CN"/>
        </w:rPr>
        <w:t>1.参选文件递交的截止时间：</w:t>
      </w:r>
      <w:r>
        <w:rPr>
          <w:rFonts w:hint="eastAsia" w:asciiTheme="majorEastAsia" w:hAnsiTheme="majorEastAsia" w:eastAsiaTheme="majorEastAsia"/>
          <w:lang w:eastAsia="zh-CN"/>
        </w:rPr>
        <w:t>见比选公告</w:t>
      </w:r>
    </w:p>
    <w:p>
      <w:pPr>
        <w:pStyle w:val="4"/>
        <w:tabs>
          <w:tab w:val="left" w:pos="6879"/>
        </w:tabs>
        <w:spacing w:line="360" w:lineRule="auto"/>
        <w:ind w:left="0" w:right="106"/>
        <w:rPr>
          <w:rFonts w:asciiTheme="majorEastAsia" w:hAnsiTheme="majorEastAsia" w:eastAsiaTheme="majorEastAsia"/>
          <w:spacing w:val="-57"/>
          <w:lang w:eastAsia="zh-CN"/>
        </w:rPr>
      </w:pPr>
      <w:r>
        <w:rPr>
          <w:rFonts w:asciiTheme="majorEastAsia" w:hAnsiTheme="majorEastAsia" w:eastAsiaTheme="majorEastAsia"/>
          <w:lang w:eastAsia="zh-CN"/>
        </w:rPr>
        <w:t>2.</w:t>
      </w:r>
      <w:r>
        <w:rPr>
          <w:rFonts w:asciiTheme="majorEastAsia" w:hAnsiTheme="majorEastAsia" w:eastAsiaTheme="majorEastAsia"/>
          <w:spacing w:val="4"/>
          <w:lang w:eastAsia="zh-CN"/>
        </w:rPr>
        <w:t>递交</w:t>
      </w:r>
      <w:r>
        <w:rPr>
          <w:rFonts w:asciiTheme="majorEastAsia" w:hAnsiTheme="majorEastAsia" w:eastAsiaTheme="majorEastAsia"/>
          <w:lang w:eastAsia="zh-CN"/>
        </w:rPr>
        <w:t>参</w:t>
      </w:r>
      <w:r>
        <w:rPr>
          <w:rFonts w:asciiTheme="majorEastAsia" w:hAnsiTheme="majorEastAsia" w:eastAsiaTheme="majorEastAsia"/>
          <w:spacing w:val="4"/>
          <w:lang w:eastAsia="zh-CN"/>
        </w:rPr>
        <w:t>选文件的地</w:t>
      </w:r>
      <w:r>
        <w:rPr>
          <w:rFonts w:asciiTheme="majorEastAsia" w:hAnsiTheme="majorEastAsia" w:eastAsiaTheme="majorEastAsia"/>
          <w:lang w:eastAsia="zh-CN"/>
        </w:rPr>
        <w:t>点</w:t>
      </w:r>
      <w:r>
        <w:rPr>
          <w:rFonts w:asciiTheme="majorEastAsia" w:hAnsiTheme="majorEastAsia" w:eastAsiaTheme="majorEastAsia"/>
          <w:spacing w:val="4"/>
          <w:lang w:eastAsia="zh-CN"/>
        </w:rPr>
        <w:t>为：</w:t>
      </w:r>
      <w:r>
        <w:rPr>
          <w:rFonts w:hint="eastAsia" w:asciiTheme="majorEastAsia" w:hAnsiTheme="majorEastAsia" w:eastAsiaTheme="majorEastAsia"/>
          <w:spacing w:val="4"/>
          <w:lang w:eastAsia="zh-CN"/>
        </w:rPr>
        <w:t>漳州市漳浦县杜浔镇杜昌路9号</w:t>
      </w:r>
    </w:p>
    <w:p>
      <w:pPr>
        <w:pStyle w:val="4"/>
        <w:tabs>
          <w:tab w:val="left" w:pos="6879"/>
        </w:tabs>
        <w:spacing w:line="360" w:lineRule="auto"/>
        <w:ind w:left="0" w:right="106" w:firstLine="482" w:firstLineChars="200"/>
        <w:rPr>
          <w:rFonts w:asciiTheme="majorEastAsia" w:hAnsiTheme="majorEastAsia" w:eastAsiaTheme="majorEastAsia"/>
          <w:spacing w:val="-4"/>
          <w:lang w:eastAsia="zh-CN"/>
        </w:rPr>
      </w:pPr>
      <w:r>
        <w:rPr>
          <w:rFonts w:hint="eastAsia" w:asciiTheme="majorEastAsia" w:hAnsiTheme="majorEastAsia" w:eastAsiaTheme="majorEastAsia"/>
          <w:lang w:eastAsia="zh-CN"/>
        </w:rPr>
        <w:t>商务</w:t>
      </w:r>
      <w:r>
        <w:rPr>
          <w:rFonts w:asciiTheme="majorEastAsia" w:hAnsiTheme="majorEastAsia" w:eastAsiaTheme="majorEastAsia"/>
          <w:lang w:eastAsia="zh-CN"/>
        </w:rPr>
        <w:t>联系人</w:t>
      </w:r>
      <w:r>
        <w:rPr>
          <w:rFonts w:asciiTheme="majorEastAsia" w:hAnsiTheme="majorEastAsia" w:eastAsiaTheme="majorEastAsia"/>
          <w:spacing w:val="-56"/>
          <w:lang w:eastAsia="zh-CN"/>
        </w:rPr>
        <w:t>：</w:t>
      </w:r>
      <w:r>
        <w:rPr>
          <w:rFonts w:hint="eastAsia" w:asciiTheme="majorEastAsia" w:hAnsiTheme="majorEastAsia" w:eastAsiaTheme="majorEastAsia"/>
          <w:spacing w:val="-56"/>
          <w:lang w:eastAsia="zh-CN"/>
        </w:rPr>
        <w:t>黄梅钦</w:t>
      </w:r>
      <w:r>
        <w:rPr>
          <w:rFonts w:hint="eastAsia" w:asciiTheme="majorEastAsia" w:hAnsiTheme="majorEastAsia" w:eastAsiaTheme="majorEastAsia"/>
          <w:lang w:eastAsia="zh-CN"/>
        </w:rPr>
        <w:t xml:space="preserve">    </w:t>
      </w:r>
      <w:r>
        <w:rPr>
          <w:rFonts w:asciiTheme="majorEastAsia" w:hAnsiTheme="majorEastAsia" w:eastAsiaTheme="majorEastAsia"/>
          <w:spacing w:val="-6"/>
          <w:lang w:eastAsia="zh-CN"/>
        </w:rPr>
        <w:t xml:space="preserve"> </w:t>
      </w:r>
      <w:r>
        <w:rPr>
          <w:rFonts w:asciiTheme="majorEastAsia" w:hAnsiTheme="majorEastAsia" w:eastAsiaTheme="majorEastAsia"/>
          <w:lang w:eastAsia="zh-CN"/>
        </w:rPr>
        <w:t>电话</w:t>
      </w:r>
      <w:r>
        <w:rPr>
          <w:rFonts w:asciiTheme="majorEastAsia" w:hAnsiTheme="majorEastAsia" w:eastAsiaTheme="majorEastAsia"/>
          <w:spacing w:val="-4"/>
          <w:lang w:eastAsia="zh-CN"/>
        </w:rPr>
        <w:t>：</w:t>
      </w:r>
      <w:r>
        <w:rPr>
          <w:rFonts w:hint="eastAsia" w:asciiTheme="majorEastAsia" w:hAnsiTheme="majorEastAsia" w:eastAsiaTheme="majorEastAsia"/>
          <w:spacing w:val="-4"/>
          <w:lang w:eastAsia="zh-CN"/>
        </w:rPr>
        <w:t>0596-6311073</w:t>
      </w:r>
    </w:p>
    <w:p>
      <w:pPr>
        <w:pStyle w:val="4"/>
        <w:tabs>
          <w:tab w:val="left" w:pos="6879"/>
        </w:tabs>
        <w:spacing w:line="360" w:lineRule="auto"/>
        <w:ind w:left="0" w:right="106" w:firstLine="466" w:firstLineChars="200"/>
        <w:rPr>
          <w:rFonts w:asciiTheme="majorEastAsia" w:hAnsiTheme="majorEastAsia" w:eastAsiaTheme="majorEastAsia"/>
          <w:spacing w:val="-6"/>
          <w:lang w:eastAsia="zh-CN"/>
        </w:rPr>
      </w:pPr>
      <w:r>
        <w:rPr>
          <w:rFonts w:hint="eastAsia" w:asciiTheme="majorEastAsia" w:hAnsiTheme="majorEastAsia" w:eastAsiaTheme="majorEastAsia"/>
          <w:spacing w:val="-4"/>
          <w:lang w:eastAsia="zh-CN"/>
        </w:rPr>
        <w:t>技术联系人：梁晓锋    电话：0596-6311660</w:t>
      </w:r>
    </w:p>
    <w:p>
      <w:pPr>
        <w:spacing w:line="360" w:lineRule="auto"/>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10"/>
        <w:spacing w:line="360" w:lineRule="auto"/>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10"/>
        <w:spacing w:line="360" w:lineRule="auto"/>
        <w:ind w:right="106"/>
        <w:jc w:val="both"/>
        <w:rPr>
          <w:rFonts w:asciiTheme="majorEastAsia" w:hAnsiTheme="majorEastAsia" w:eastAsiaTheme="majorEastAsia"/>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3"/>
        <w:spacing w:line="360" w:lineRule="auto"/>
        <w:ind w:left="0"/>
        <w:rPr>
          <w:rFonts w:asciiTheme="majorEastAsia" w:hAnsiTheme="majorEastAsia" w:eastAsiaTheme="majorEastAsia"/>
          <w:lang w:eastAsia="zh-CN"/>
        </w:rPr>
      </w:pPr>
      <w:r>
        <w:rPr>
          <w:rFonts w:hint="eastAsia" w:asciiTheme="majorEastAsia" w:hAnsiTheme="majorEastAsia" w:eastAsiaTheme="majorEastAsia"/>
          <w:w w:val="95"/>
          <w:lang w:eastAsia="zh-CN"/>
        </w:rPr>
        <w:t>九</w:t>
      </w:r>
      <w:r>
        <w:rPr>
          <w:rFonts w:asciiTheme="majorEastAsia" w:hAnsiTheme="majorEastAsia" w:eastAsiaTheme="majorEastAsia"/>
          <w:w w:val="95"/>
          <w:lang w:eastAsia="zh-CN"/>
        </w:rPr>
        <w:t>、</w:t>
      </w:r>
      <w:r>
        <w:rPr>
          <w:rFonts w:hint="eastAsia" w:asciiTheme="majorEastAsia" w:hAnsiTheme="majorEastAsia" w:eastAsiaTheme="majorEastAsia"/>
          <w:w w:val="95"/>
          <w:lang w:eastAsia="zh-CN"/>
        </w:rPr>
        <w:t>异议</w:t>
      </w:r>
    </w:p>
    <w:p>
      <w:pPr>
        <w:pStyle w:val="13"/>
        <w:tabs>
          <w:tab w:val="left" w:pos="0"/>
          <w:tab w:val="left" w:pos="567"/>
          <w:tab w:val="left" w:pos="993"/>
          <w:tab w:val="left" w:pos="1135"/>
        </w:tabs>
        <w:spacing w:line="360" w:lineRule="auto"/>
        <w:ind w:firstLine="240" w:firstLineChars="100"/>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3"/>
        <w:tabs>
          <w:tab w:val="left" w:pos="0"/>
          <w:tab w:val="left" w:pos="567"/>
          <w:tab w:val="left" w:pos="993"/>
          <w:tab w:val="left" w:pos="1135"/>
        </w:tabs>
        <w:spacing w:line="360" w:lineRule="auto"/>
        <w:ind w:firstLine="240" w:firstLineChars="100"/>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3"/>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w:t>
      </w:r>
      <w:r>
        <w:rPr>
          <w:rFonts w:hint="eastAsia" w:asciiTheme="majorEastAsia" w:hAnsiTheme="majorEastAsia" w:eastAsiaTheme="majorEastAsia"/>
          <w:b/>
          <w:bCs/>
          <w:sz w:val="24"/>
          <w:szCs w:val="24"/>
          <w:lang w:eastAsia="zh-CN"/>
        </w:rPr>
        <w:t>180,000元</w:t>
      </w:r>
      <w:r>
        <w:rPr>
          <w:rFonts w:hint="eastAsia"/>
          <w:b/>
          <w:lang w:eastAsia="zh-CN"/>
        </w:rPr>
        <w:t>（不含税价）</w:t>
      </w:r>
      <w:r>
        <w:rPr>
          <w:rFonts w:hint="eastAsia" w:asciiTheme="majorEastAsia" w:hAnsiTheme="majorEastAsia" w:eastAsiaTheme="majorEastAsia"/>
          <w:bCs/>
          <w:sz w:val="24"/>
          <w:szCs w:val="24"/>
          <w:lang w:eastAsia="zh-CN"/>
        </w:rPr>
        <w:t>。参选人所填报的参选含税总价高于本项目最高限价的，其参选将被评标委员会予以否决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3"/>
        <w:tabs>
          <w:tab w:val="left" w:pos="4627"/>
        </w:tabs>
        <w:spacing w:line="360" w:lineRule="auto"/>
        <w:ind w:left="0"/>
        <w:jc w:val="center"/>
        <w:rPr>
          <w:lang w:eastAsia="zh-CN"/>
        </w:rPr>
      </w:pPr>
    </w:p>
    <w:p>
      <w:pPr>
        <w:pStyle w:val="3"/>
        <w:tabs>
          <w:tab w:val="left" w:pos="4627"/>
        </w:tabs>
        <w:spacing w:line="360" w:lineRule="auto"/>
        <w:ind w:left="0"/>
        <w:jc w:val="center"/>
        <w:rPr>
          <w:lang w:eastAsia="zh-CN"/>
        </w:rPr>
      </w:pPr>
    </w:p>
    <w:p>
      <w:pPr>
        <w:pStyle w:val="3"/>
        <w:tabs>
          <w:tab w:val="left" w:pos="4627"/>
        </w:tabs>
        <w:spacing w:line="360" w:lineRule="auto"/>
        <w:ind w:left="0"/>
        <w:jc w:val="center"/>
        <w:rPr>
          <w:lang w:eastAsia="zh-CN"/>
        </w:rPr>
      </w:pPr>
    </w:p>
    <w:p>
      <w:pPr>
        <w:pStyle w:val="3"/>
        <w:tabs>
          <w:tab w:val="left" w:pos="4627"/>
        </w:tabs>
        <w:spacing w:line="360" w:lineRule="auto"/>
        <w:ind w:left="0"/>
        <w:jc w:val="center"/>
        <w:rPr>
          <w:lang w:eastAsia="zh-CN"/>
        </w:rPr>
      </w:pPr>
    </w:p>
    <w:p>
      <w:pPr>
        <w:pStyle w:val="3"/>
        <w:tabs>
          <w:tab w:val="left" w:pos="4627"/>
        </w:tabs>
        <w:spacing w:line="360" w:lineRule="auto"/>
        <w:ind w:left="0"/>
        <w:jc w:val="center"/>
        <w:rPr>
          <w:lang w:eastAsia="zh-CN"/>
        </w:rPr>
      </w:pPr>
    </w:p>
    <w:p>
      <w:pPr>
        <w:pStyle w:val="3"/>
        <w:tabs>
          <w:tab w:val="left" w:pos="4627"/>
        </w:tabs>
        <w:spacing w:line="360" w:lineRule="auto"/>
        <w:ind w:left="0"/>
        <w:jc w:val="center"/>
        <w:rPr>
          <w:lang w:eastAsia="zh-CN"/>
        </w:rPr>
      </w:pPr>
    </w:p>
    <w:p>
      <w:pPr>
        <w:pStyle w:val="3"/>
        <w:tabs>
          <w:tab w:val="left" w:pos="4627"/>
        </w:tabs>
        <w:spacing w:line="360" w:lineRule="auto"/>
        <w:ind w:left="0"/>
        <w:jc w:val="center"/>
        <w:rPr>
          <w:lang w:eastAsia="zh-CN"/>
        </w:rPr>
      </w:pPr>
    </w:p>
    <w:p>
      <w:pPr>
        <w:pStyle w:val="3"/>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pPr>
        <w:pStyle w:val="10"/>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3"/>
        <w:numPr>
          <w:ilvl w:val="0"/>
          <w:numId w:val="3"/>
        </w:numPr>
        <w:spacing w:before="0" w:line="360" w:lineRule="auto"/>
        <w:ind w:left="634" w:leftChars="124"/>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33"/>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33"/>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33"/>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33"/>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33"/>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33"/>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6）按本须知规定提供的其它资料</w:t>
      </w:r>
      <w:r>
        <w:rPr>
          <w:rFonts w:hint="eastAsia" w:asciiTheme="majorEastAsia" w:hAnsiTheme="majorEastAsia" w:eastAsiaTheme="majorEastAsia"/>
          <w:kern w:val="59"/>
          <w:sz w:val="24"/>
          <w:szCs w:val="24"/>
          <w:lang w:eastAsia="zh-CN"/>
        </w:rPr>
        <w:t>。</w:t>
      </w:r>
    </w:p>
    <w:p>
      <w:pPr>
        <w:pStyle w:val="10"/>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10"/>
        <w:spacing w:line="360" w:lineRule="auto"/>
        <w:rPr>
          <w:lang w:eastAsia="zh-CN"/>
        </w:rPr>
      </w:pPr>
      <w:r>
        <w:rPr>
          <w:rFonts w:hint="eastAsia"/>
          <w:b/>
          <w:lang w:eastAsia="zh-CN"/>
        </w:rPr>
        <w:t>注：需提供参选文件及报价表电子版U盘一份（盖章PDF版），报价表须独立盖章密封</w:t>
      </w:r>
    </w:p>
    <w:p>
      <w:pPr>
        <w:pStyle w:val="3"/>
        <w:spacing w:line="360" w:lineRule="auto"/>
        <w:ind w:left="0" w:leftChars="0" w:firstLine="0" w:firstLineChars="0"/>
        <w:rPr>
          <w:sz w:val="24"/>
          <w:szCs w:val="24"/>
          <w:lang w:eastAsia="zh-CN"/>
        </w:rPr>
      </w:pPr>
      <w:r>
        <w:rPr>
          <w:w w:val="95"/>
          <w:sz w:val="24"/>
          <w:szCs w:val="24"/>
          <w:lang w:eastAsia="zh-CN"/>
        </w:rPr>
        <w:t>二、参选书格式内容</w:t>
      </w:r>
    </w:p>
    <w:p>
      <w:pPr>
        <w:pStyle w:val="10"/>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10"/>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pPr>
        <w:pStyle w:val="3"/>
        <w:spacing w:line="360" w:lineRule="auto"/>
        <w:ind w:left="0" w:leftChars="0" w:firstLine="0" w:firstLineChars="0"/>
        <w:rPr>
          <w:sz w:val="24"/>
          <w:szCs w:val="24"/>
          <w:lang w:eastAsia="zh-CN"/>
        </w:rPr>
      </w:pPr>
      <w:r>
        <w:rPr>
          <w:w w:val="95"/>
          <w:sz w:val="24"/>
          <w:szCs w:val="24"/>
          <w:lang w:eastAsia="zh-CN"/>
        </w:rPr>
        <w:t>三、参选报价</w:t>
      </w:r>
    </w:p>
    <w:p>
      <w:pPr>
        <w:pStyle w:val="10"/>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line="360" w:lineRule="auto"/>
        <w:ind w:left="0" w:leftChars="0" w:firstLine="0" w:firstLineChars="0"/>
        <w:rPr>
          <w:sz w:val="24"/>
          <w:szCs w:val="24"/>
          <w:lang w:eastAsia="zh-CN"/>
        </w:rPr>
      </w:pPr>
      <w:r>
        <w:rPr>
          <w:w w:val="95"/>
          <w:sz w:val="24"/>
          <w:szCs w:val="24"/>
          <w:lang w:eastAsia="zh-CN"/>
        </w:rPr>
        <w:t>四、特别说明</w:t>
      </w:r>
    </w:p>
    <w:p>
      <w:pPr>
        <w:pStyle w:val="10"/>
        <w:spacing w:line="360" w:lineRule="auto"/>
        <w:ind w:right="222"/>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10"/>
        <w:spacing w:line="360" w:lineRule="auto"/>
        <w:ind w:right="224"/>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10"/>
        <w:spacing w:line="360" w:lineRule="auto"/>
        <w:ind w:right="226"/>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1"/>
        <w:spacing w:after="0" w:line="360" w:lineRule="auto"/>
        <w:ind w:left="222" w:leftChars="0" w:hanging="222" w:hangingChars="100"/>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0"/>
        <w:spacing w:line="360" w:lineRule="auto"/>
        <w:ind w:left="240" w:right="226" w:hanging="240" w:hangingChars="1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0"/>
        <w:spacing w:line="360" w:lineRule="auto"/>
        <w:ind w:left="240" w:right="227" w:hanging="240" w:hangingChars="100"/>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177186249"/>
      <w:bookmarkStart w:id="1" w:name="_Toc430422420"/>
      <w:bookmarkStart w:id="2" w:name="_Toc430488651"/>
      <w:bookmarkStart w:id="3" w:name="_Toc430492133"/>
      <w:bookmarkStart w:id="4" w:name="_Toc430489126"/>
      <w:bookmarkStart w:id="5" w:name="_Toc304357904"/>
      <w:bookmarkStart w:id="6" w:name="_Toc415567504"/>
      <w:bookmarkStart w:id="7" w:name="_Toc430490619"/>
      <w:bookmarkStart w:id="8" w:name="_Toc430488858"/>
    </w:p>
    <w:p>
      <w:pPr>
        <w:pStyle w:val="10"/>
        <w:spacing w:line="360" w:lineRule="auto"/>
        <w:ind w:right="227"/>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参选人应在参选文件所附的参选报价表上写明参选</w:t>
      </w:r>
      <w:r>
        <w:rPr>
          <w:rFonts w:hint="eastAsia"/>
          <w:b/>
          <w:sz w:val="24"/>
          <w:szCs w:val="24"/>
          <w:lang w:eastAsia="zh-CN"/>
        </w:rPr>
        <w:t>价格</w:t>
      </w:r>
      <w:r>
        <w:rPr>
          <w:rFonts w:hint="eastAsia"/>
          <w:sz w:val="24"/>
          <w:szCs w:val="24"/>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10"/>
        <w:spacing w:line="360" w:lineRule="auto"/>
        <w:ind w:right="226" w:firstLine="480"/>
        <w:jc w:val="both"/>
        <w:rPr>
          <w:highlight w:val="yellow"/>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0"/>
        <w:spacing w:line="360" w:lineRule="auto"/>
        <w:ind w:left="240" w:right="226" w:hanging="240" w:hangingChars="10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rPr>
          <w:sz w:val="24"/>
          <w:szCs w:val="24"/>
          <w:lang w:eastAsia="zh-CN"/>
        </w:rPr>
      </w:pPr>
      <w:r>
        <w:rPr>
          <w:rFonts w:hint="eastAsia"/>
          <w:sz w:val="24"/>
          <w:szCs w:val="24"/>
          <w:lang w:eastAsia="zh-CN"/>
        </w:rPr>
        <w:t>9. 参选文件正本应按要求由经正式授权的参选人代表签字并加盖参选人公章。副本可以用复印件。</w:t>
      </w:r>
    </w:p>
    <w:p>
      <w:pPr>
        <w:pStyle w:val="2"/>
        <w:rPr>
          <w:b/>
          <w:sz w:val="28"/>
          <w:szCs w:val="28"/>
        </w:rPr>
      </w:pPr>
    </w:p>
    <w:p>
      <w:pPr>
        <w:pStyle w:val="3"/>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43" w:firstLineChars="150"/>
        <w:rPr>
          <w:b/>
          <w:w w:val="95"/>
          <w:sz w:val="24"/>
          <w:szCs w:val="24"/>
          <w:lang w:eastAsia="zh-CN"/>
        </w:rPr>
      </w:pPr>
      <w:r>
        <w:rPr>
          <w:b/>
          <w:w w:val="95"/>
          <w:sz w:val="24"/>
          <w:szCs w:val="24"/>
          <w:lang w:eastAsia="zh-CN"/>
        </w:rPr>
        <w:t>一、规则</w:t>
      </w:r>
    </w:p>
    <w:p>
      <w:pPr>
        <w:pStyle w:val="10"/>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1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0"/>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二、资格审查</w:t>
      </w:r>
    </w:p>
    <w:p>
      <w:pPr>
        <w:pStyle w:val="1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10"/>
        <w:spacing w:line="360" w:lineRule="auto"/>
        <w:ind w:right="121" w:firstLine="480" w:firstLineChars="200"/>
        <w:jc w:val="both"/>
        <w:rPr>
          <w:lang w:eastAsia="zh-CN"/>
        </w:rPr>
      </w:pPr>
      <w:r>
        <w:rPr>
          <w:rFonts w:hint="eastAsia"/>
          <w:lang w:eastAsia="zh-CN"/>
        </w:rPr>
        <w:t>本项目设置最高控制价</w:t>
      </w:r>
      <w:r>
        <w:rPr>
          <w:rFonts w:hint="eastAsia"/>
          <w:b/>
          <w:lang w:eastAsia="zh-CN"/>
        </w:rPr>
        <w:t>180</w:t>
      </w:r>
      <w:r>
        <w:rPr>
          <w:rFonts w:hint="eastAsia"/>
          <w:b/>
          <w:lang w:val="en-US" w:eastAsia="zh-CN"/>
        </w:rPr>
        <w:t>,</w:t>
      </w:r>
      <w:r>
        <w:rPr>
          <w:rFonts w:hint="eastAsia"/>
          <w:b/>
          <w:lang w:eastAsia="zh-CN"/>
        </w:rPr>
        <w:t>000元（不含税价）</w:t>
      </w:r>
      <w:r>
        <w:rPr>
          <w:rFonts w:hint="eastAsia"/>
          <w:lang w:eastAsia="zh-CN"/>
        </w:rPr>
        <w:t>。参选人所填报的包干含税报价高于本项目最高限价的，其参选将被比选小组予以否决。</w:t>
      </w:r>
    </w:p>
    <w:p>
      <w:pPr>
        <w:pStyle w:val="10"/>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r>
        <w:rPr>
          <w:rFonts w:hint="eastAsia"/>
          <w:b/>
          <w:bCs/>
          <w:lang w:eastAsia="zh-CN"/>
        </w:rPr>
        <w:t>未税总价最低者作为中选单位</w:t>
      </w:r>
      <w:r>
        <w:rPr>
          <w:b/>
          <w:bCs/>
          <w:lang w:eastAsia="zh-CN"/>
        </w:rPr>
        <w:t>。</w:t>
      </w:r>
    </w:p>
    <w:p>
      <w:pPr>
        <w:spacing w:before="15" w:line="360" w:lineRule="auto"/>
        <w:ind w:firstLine="458" w:firstLineChars="200"/>
        <w:rPr>
          <w:b/>
          <w:w w:val="95"/>
          <w:sz w:val="24"/>
          <w:szCs w:val="24"/>
          <w:lang w:eastAsia="zh-CN"/>
        </w:rPr>
      </w:pPr>
      <w:r>
        <w:rPr>
          <w:b/>
          <w:w w:val="95"/>
          <w:sz w:val="24"/>
          <w:szCs w:val="24"/>
          <w:lang w:eastAsia="zh-CN"/>
        </w:rPr>
        <w:t>四、以下情况作废选处理</w:t>
      </w:r>
    </w:p>
    <w:p>
      <w:pPr>
        <w:pStyle w:val="1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0"/>
        <w:spacing w:line="360" w:lineRule="auto"/>
        <w:ind w:right="121" w:firstLine="480" w:firstLineChars="200"/>
        <w:jc w:val="both"/>
        <w:rPr>
          <w:lang w:eastAsia="zh-CN"/>
        </w:rPr>
      </w:pPr>
      <w:r>
        <w:rPr>
          <w:lang w:eastAsia="zh-CN"/>
        </w:rPr>
        <w:t>2.参选文件存在重大偏差的。</w:t>
      </w:r>
    </w:p>
    <w:p>
      <w:pPr>
        <w:pStyle w:val="1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458" w:firstLineChars="200"/>
        <w:rPr>
          <w:b/>
          <w:w w:val="95"/>
          <w:sz w:val="24"/>
          <w:szCs w:val="24"/>
          <w:lang w:eastAsia="zh-CN"/>
        </w:rPr>
      </w:pPr>
      <w:r>
        <w:rPr>
          <w:b/>
          <w:w w:val="95"/>
          <w:sz w:val="24"/>
          <w:szCs w:val="24"/>
          <w:lang w:eastAsia="zh-CN"/>
        </w:rPr>
        <w:t>五、评选</w:t>
      </w:r>
    </w:p>
    <w:p>
      <w:pPr>
        <w:pStyle w:val="10"/>
        <w:spacing w:line="360" w:lineRule="auto"/>
        <w:ind w:right="121" w:firstLine="480" w:firstLineChars="200"/>
        <w:jc w:val="both"/>
        <w:rPr>
          <w:lang w:eastAsia="zh-CN"/>
        </w:rPr>
      </w:pPr>
      <w:r>
        <w:rPr>
          <w:lang w:eastAsia="zh-CN"/>
        </w:rPr>
        <w:t>1.比选人将在参选文件截止日期后组织比选会，参选人选定工作在比选人有关部门监督下，由比选人依法组建的评选委员会负责。</w:t>
      </w:r>
    </w:p>
    <w:p>
      <w:pPr>
        <w:pStyle w:val="10"/>
        <w:spacing w:line="360" w:lineRule="auto"/>
        <w:ind w:right="121" w:firstLine="480" w:firstLineChars="200"/>
        <w:jc w:val="both"/>
        <w:rPr>
          <w:lang w:eastAsia="zh-CN"/>
        </w:rPr>
      </w:pPr>
      <w:r>
        <w:rPr>
          <w:lang w:eastAsia="zh-CN"/>
        </w:rPr>
        <w:t>2.在开选时没有启封和读出的参选文件，在评选时将不予考虑。</w:t>
      </w:r>
    </w:p>
    <w:p>
      <w:pPr>
        <w:pStyle w:val="10"/>
        <w:spacing w:line="360" w:lineRule="auto"/>
        <w:ind w:right="121" w:firstLine="480" w:firstLineChars="200"/>
        <w:jc w:val="both"/>
        <w:rPr>
          <w:lang w:eastAsia="zh-CN"/>
        </w:rPr>
      </w:pPr>
      <w:r>
        <w:rPr>
          <w:lang w:eastAsia="zh-CN"/>
        </w:rPr>
        <w:t>3.比选人将做开选记录。</w:t>
      </w:r>
    </w:p>
    <w:p>
      <w:pPr>
        <w:pStyle w:val="2"/>
        <w:spacing w:line="360" w:lineRule="auto"/>
        <w:ind w:firstLine="480" w:firstLineChars="200"/>
        <w:rPr>
          <w:b/>
          <w:sz w:val="24"/>
          <w:szCs w:val="24"/>
        </w:rPr>
      </w:pPr>
      <w:r>
        <w:rPr>
          <w:rFonts w:hint="eastAsia"/>
          <w:sz w:val="24"/>
          <w:szCs w:val="24"/>
        </w:rPr>
        <w:t>4.业主将根据评选结果与中选人签订合同。</w:t>
      </w:r>
    </w:p>
    <w:p>
      <w:pPr>
        <w:pStyle w:val="3"/>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10"/>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10"/>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10"/>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10"/>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10"/>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10"/>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437"/>
        <w:rPr>
          <w:sz w:val="24"/>
          <w:szCs w:val="24"/>
        </w:rPr>
      </w:pPr>
      <w:r>
        <w:rPr>
          <w:rFonts w:hint="eastAsia"/>
          <w:sz w:val="24"/>
          <w:szCs w:val="24"/>
        </w:rPr>
        <w:t>9.</w:t>
      </w:r>
      <w:r>
        <w:rPr>
          <w:rFonts w:hint="eastAsia"/>
        </w:rPr>
        <w:t xml:space="preserve"> </w:t>
      </w:r>
      <w:r>
        <w:rPr>
          <w:rStyle w:val="25"/>
          <w:rFonts w:hint="eastAsia"/>
          <w:sz w:val="24"/>
          <w:szCs w:val="24"/>
        </w:rPr>
        <w:t>福建福海创石油化工有限公司的权属子公司“腾龙芳烃（漳州）有限公司”作为合同执行主体，将于中选通知书发出之日起20日内与中选人完成合同签订事宜。</w:t>
      </w:r>
    </w:p>
    <w:p>
      <w:pPr>
        <w:pStyle w:val="3"/>
        <w:tabs>
          <w:tab w:val="left" w:pos="4344"/>
        </w:tabs>
        <w:spacing w:line="355" w:lineRule="exact"/>
        <w:ind w:left="3082"/>
        <w:rPr>
          <w:lang w:eastAsia="zh-CN"/>
        </w:rPr>
      </w:pPr>
    </w:p>
    <w:p>
      <w:pPr>
        <w:pStyle w:val="3"/>
        <w:tabs>
          <w:tab w:val="left" w:pos="4344"/>
        </w:tabs>
        <w:spacing w:line="355" w:lineRule="exact"/>
        <w:ind w:left="3082"/>
        <w:rPr>
          <w:rFonts w:hAnsi="Calibri" w:cs="Times New Roman"/>
          <w:b w:val="0"/>
          <w:bCs w:val="0"/>
          <w:sz w:val="34"/>
          <w:szCs w:val="22"/>
          <w:lang w:eastAsia="zh-CN"/>
        </w:rPr>
      </w:pPr>
    </w:p>
    <w:p>
      <w:pPr>
        <w:pStyle w:val="3"/>
        <w:tabs>
          <w:tab w:val="left" w:pos="4344"/>
        </w:tabs>
        <w:spacing w:line="360" w:lineRule="auto"/>
        <w:ind w:left="0"/>
        <w:jc w:val="center"/>
        <w:rPr>
          <w:highlight w:val="yellow"/>
          <w:lang w:eastAsia="zh-CN"/>
        </w:rPr>
      </w:pPr>
    </w:p>
    <w:p>
      <w:pPr>
        <w:rPr>
          <w:highlight w:val="yellow"/>
          <w:lang w:eastAsia="zh-CN"/>
        </w:rPr>
      </w:pPr>
    </w:p>
    <w:p>
      <w:pPr>
        <w:pStyle w:val="2"/>
        <w:rPr>
          <w:lang w:eastAsia="zh-CN"/>
        </w:rPr>
      </w:pPr>
    </w:p>
    <w:p>
      <w:pPr>
        <w:pStyle w:val="3"/>
        <w:tabs>
          <w:tab w:val="left" w:pos="4344"/>
        </w:tabs>
        <w:spacing w:line="360" w:lineRule="auto"/>
        <w:ind w:left="0"/>
        <w:jc w:val="center"/>
        <w:rPr>
          <w:highlight w:val="yellow"/>
          <w:lang w:eastAsia="zh-CN"/>
        </w:rPr>
      </w:pPr>
    </w:p>
    <w:p>
      <w:pPr>
        <w:pStyle w:val="3"/>
        <w:tabs>
          <w:tab w:val="left" w:pos="4344"/>
        </w:tabs>
        <w:spacing w:line="360" w:lineRule="auto"/>
        <w:ind w:left="0"/>
        <w:jc w:val="center"/>
        <w:rPr>
          <w:highlight w:val="none"/>
          <w:lang w:eastAsia="zh-CN"/>
        </w:rPr>
      </w:pPr>
      <w:r>
        <w:rPr>
          <w:highlight w:val="none"/>
          <w:lang w:eastAsia="zh-CN"/>
        </w:rPr>
        <w:t>第六章</w:t>
      </w:r>
      <w:r>
        <w:rPr>
          <w:rFonts w:hint="eastAsia"/>
          <w:highlight w:val="none"/>
          <w:lang w:eastAsia="zh-CN"/>
        </w:rPr>
        <w:t xml:space="preserve">    </w:t>
      </w:r>
      <w:r>
        <w:rPr>
          <w:spacing w:val="-1"/>
          <w:w w:val="95"/>
          <w:highlight w:val="none"/>
          <w:lang w:eastAsia="zh-CN"/>
        </w:rPr>
        <w:t>中选后相关</w:t>
      </w:r>
      <w:r>
        <w:rPr>
          <w:w w:val="95"/>
          <w:highlight w:val="none"/>
          <w:lang w:eastAsia="zh-CN"/>
        </w:rPr>
        <w:t>履约要求</w:t>
      </w:r>
    </w:p>
    <w:p>
      <w:pPr>
        <w:pStyle w:val="10"/>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pStyle w:val="10"/>
        <w:spacing w:line="360" w:lineRule="auto"/>
        <w:ind w:firstLine="480" w:firstLineChars="200"/>
        <w:jc w:val="both"/>
        <w:rPr>
          <w:lang w:eastAsia="zh-CN"/>
        </w:rPr>
      </w:pPr>
      <w:r>
        <w:rPr>
          <w:lang w:eastAsia="zh-CN"/>
        </w:rPr>
        <w:t>2.</w:t>
      </w:r>
      <w:r>
        <w:rPr>
          <w:spacing w:val="-2"/>
          <w:lang w:eastAsia="zh-CN"/>
        </w:rPr>
        <w:t>中选单位必须严格执行</w:t>
      </w:r>
      <w:r>
        <w:rPr>
          <w:rFonts w:hint="eastAsia" w:asciiTheme="majorEastAsia" w:hAnsiTheme="majorEastAsia" w:eastAsiaTheme="majorEastAsia"/>
          <w:kern w:val="59"/>
          <w:u w:val="single"/>
          <w:lang w:eastAsia="zh-CN"/>
        </w:rPr>
        <w:t>沉浸式水中油分析仪采购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10"/>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0"/>
        <w:jc w:val="center"/>
        <w:rPr>
          <w:lang w:eastAsia="zh-CN"/>
        </w:rPr>
      </w:pPr>
      <w:r>
        <w:rPr>
          <w:lang w:eastAsia="zh-CN"/>
        </w:rPr>
        <w:t>第七章</w:t>
      </w:r>
      <w:r>
        <w:rPr>
          <w:lang w:eastAsia="zh-CN"/>
        </w:rPr>
        <w:tab/>
      </w:r>
      <w:r>
        <w:rPr>
          <w:spacing w:val="-1"/>
          <w:w w:val="95"/>
          <w:lang w:eastAsia="zh-CN"/>
        </w:rPr>
        <w:t>其</w:t>
      </w:r>
      <w:r>
        <w:rPr>
          <w:w w:val="95"/>
          <w:lang w:eastAsia="zh-CN"/>
        </w:rPr>
        <w:t>它</w:t>
      </w:r>
    </w:p>
    <w:p>
      <w:pPr>
        <w:pStyle w:val="10"/>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10"/>
        <w:spacing w:before="108" w:line="360" w:lineRule="auto"/>
        <w:ind w:firstLine="480" w:firstLineChars="200"/>
        <w:rPr>
          <w:lang w:eastAsia="zh-CN"/>
        </w:rPr>
      </w:pPr>
      <w:r>
        <w:rPr>
          <w:lang w:eastAsia="zh-CN"/>
        </w:rPr>
        <w:t>2.比选人郑重承诺：参选人所提交的参选文件及相关资料不向第三方泄露。</w:t>
      </w:r>
    </w:p>
    <w:p>
      <w:pPr>
        <w:pStyle w:val="10"/>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r>
        <w:rPr>
          <w:lang w:eastAsia="zh-CN"/>
        </w:rPr>
        <w:br w:type="page"/>
      </w:r>
    </w:p>
    <w:p>
      <w:pPr>
        <w:pStyle w:val="10"/>
        <w:rPr>
          <w:rFonts w:ascii="Times New Roman"/>
          <w:b/>
          <w:bCs/>
          <w:lang w:eastAsia="zh-CN"/>
        </w:rPr>
      </w:pPr>
      <w:r>
        <w:rPr>
          <w:rFonts w:hint="eastAsia" w:ascii="Times New Roman"/>
          <w:b/>
          <w:bCs/>
          <w:lang w:eastAsia="zh-CN"/>
        </w:rPr>
        <w:t>附件一、</w:t>
      </w:r>
    </w:p>
    <w:p>
      <w:pPr>
        <w:spacing w:line="120" w:lineRule="auto"/>
        <w:ind w:firstLine="4357" w:firstLineChars="1550"/>
        <w:rPr>
          <w:b/>
          <w:sz w:val="28"/>
          <w:szCs w:val="28"/>
        </w:rPr>
      </w:pPr>
      <w:r>
        <w:rPr>
          <w:rFonts w:hint="eastAsia"/>
          <w:b/>
          <w:sz w:val="28"/>
          <w:szCs w:val="28"/>
        </w:rPr>
        <w:t>采购合同</w:t>
      </w:r>
    </w:p>
    <w:tbl>
      <w:tblPr>
        <w:tblStyle w:val="31"/>
        <w:tblW w:w="984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9"/>
        <w:gridCol w:w="4394"/>
        <w:gridCol w:w="1418"/>
        <w:gridCol w:w="30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59" w:type="dxa"/>
          </w:tcPr>
          <w:p>
            <w:pPr>
              <w:spacing w:line="120" w:lineRule="auto"/>
              <w:jc w:val="both"/>
              <w:rPr>
                <w:sz w:val="24"/>
              </w:rPr>
            </w:pPr>
            <w:r>
              <w:rPr>
                <w:rFonts w:hint="eastAsia"/>
                <w:sz w:val="24"/>
              </w:rPr>
              <w:t xml:space="preserve">                                                                                      </w:t>
            </w:r>
          </w:p>
        </w:tc>
        <w:tc>
          <w:tcPr>
            <w:tcW w:w="4394" w:type="dxa"/>
          </w:tcPr>
          <w:p>
            <w:pPr>
              <w:spacing w:line="120" w:lineRule="auto"/>
              <w:jc w:val="both"/>
              <w:rPr>
                <w:sz w:val="24"/>
              </w:rPr>
            </w:pPr>
          </w:p>
        </w:tc>
        <w:tc>
          <w:tcPr>
            <w:tcW w:w="1418" w:type="dxa"/>
          </w:tcPr>
          <w:p>
            <w:pPr>
              <w:spacing w:line="120" w:lineRule="auto"/>
              <w:jc w:val="both"/>
              <w:rPr>
                <w:sz w:val="24"/>
              </w:rPr>
            </w:pPr>
            <w:r>
              <w:rPr>
                <w:rFonts w:hint="eastAsia"/>
                <w:sz w:val="24"/>
              </w:rPr>
              <w:t>合同编号：</w:t>
            </w:r>
          </w:p>
        </w:tc>
        <w:tc>
          <w:tcPr>
            <w:tcW w:w="3075" w:type="dxa"/>
          </w:tcPr>
          <w:p>
            <w:pPr>
              <w:spacing w:line="120" w:lineRule="auto"/>
              <w:jc w:val="both"/>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59" w:type="dxa"/>
          </w:tcPr>
          <w:p>
            <w:pPr>
              <w:spacing w:line="120" w:lineRule="auto"/>
              <w:jc w:val="both"/>
              <w:rPr>
                <w:sz w:val="24"/>
              </w:rPr>
            </w:pPr>
            <w:r>
              <w:rPr>
                <w:rFonts w:hint="eastAsia"/>
                <w:sz w:val="24"/>
              </w:rPr>
              <w:t>甲方：</w:t>
            </w:r>
          </w:p>
        </w:tc>
        <w:tc>
          <w:tcPr>
            <w:tcW w:w="4394" w:type="dxa"/>
          </w:tcPr>
          <w:p>
            <w:pPr>
              <w:spacing w:line="120" w:lineRule="auto"/>
              <w:jc w:val="both"/>
              <w:rPr>
                <w:sz w:val="24"/>
                <w:lang w:eastAsia="zh-CN"/>
              </w:rPr>
            </w:pPr>
            <w:r>
              <w:rPr>
                <w:rFonts w:hint="eastAsia"/>
                <w:sz w:val="24"/>
                <w:lang w:eastAsia="zh-CN"/>
              </w:rPr>
              <w:t xml:space="preserve"> 腾龙芳烃（漳州）有限公司                                    </w:t>
            </w:r>
          </w:p>
        </w:tc>
        <w:tc>
          <w:tcPr>
            <w:tcW w:w="1418" w:type="dxa"/>
          </w:tcPr>
          <w:p>
            <w:pPr>
              <w:spacing w:line="120" w:lineRule="auto"/>
              <w:jc w:val="both"/>
              <w:rPr>
                <w:sz w:val="24"/>
              </w:rPr>
            </w:pPr>
            <w:r>
              <w:rPr>
                <w:rFonts w:hint="eastAsia"/>
                <w:sz w:val="24"/>
              </w:rPr>
              <w:t>签订地点：</w:t>
            </w:r>
          </w:p>
        </w:tc>
        <w:tc>
          <w:tcPr>
            <w:tcW w:w="3075" w:type="dxa"/>
          </w:tcPr>
          <w:p>
            <w:pPr>
              <w:spacing w:line="120" w:lineRule="auto"/>
              <w:jc w:val="left"/>
              <w:rPr>
                <w:sz w:val="24"/>
                <w:lang w:eastAsia="zh-CN"/>
              </w:rPr>
            </w:pPr>
            <w:r>
              <w:rPr>
                <w:rFonts w:hint="eastAsia"/>
                <w:sz w:val="24"/>
                <w:lang w:eastAsia="zh-CN"/>
              </w:rPr>
              <w:t>漳州漳浦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59" w:type="dxa"/>
          </w:tcPr>
          <w:p>
            <w:pPr>
              <w:spacing w:line="120" w:lineRule="auto"/>
              <w:jc w:val="both"/>
              <w:rPr>
                <w:sz w:val="24"/>
              </w:rPr>
            </w:pPr>
            <w:r>
              <w:rPr>
                <w:rFonts w:hint="eastAsia"/>
                <w:sz w:val="24"/>
              </w:rPr>
              <w:t>乙方：</w:t>
            </w:r>
          </w:p>
        </w:tc>
        <w:tc>
          <w:tcPr>
            <w:tcW w:w="4394" w:type="dxa"/>
          </w:tcPr>
          <w:p>
            <w:pPr>
              <w:spacing w:line="120" w:lineRule="auto"/>
              <w:jc w:val="both"/>
              <w:rPr>
                <w:sz w:val="24"/>
              </w:rPr>
            </w:pPr>
          </w:p>
        </w:tc>
        <w:tc>
          <w:tcPr>
            <w:tcW w:w="1418" w:type="dxa"/>
          </w:tcPr>
          <w:p>
            <w:pPr>
              <w:spacing w:line="120" w:lineRule="auto"/>
              <w:jc w:val="both"/>
              <w:rPr>
                <w:sz w:val="24"/>
              </w:rPr>
            </w:pPr>
            <w:r>
              <w:rPr>
                <w:rFonts w:hint="eastAsia"/>
                <w:sz w:val="24"/>
              </w:rPr>
              <w:t>签订日期：</w:t>
            </w:r>
          </w:p>
        </w:tc>
        <w:tc>
          <w:tcPr>
            <w:tcW w:w="3075" w:type="dxa"/>
          </w:tcPr>
          <w:p>
            <w:pPr>
              <w:spacing w:line="120" w:lineRule="auto"/>
              <w:jc w:val="both"/>
              <w:rPr>
                <w:sz w:val="24"/>
              </w:rPr>
            </w:pPr>
          </w:p>
        </w:tc>
      </w:tr>
    </w:tbl>
    <w:p>
      <w:pPr>
        <w:spacing w:line="120" w:lineRule="auto"/>
        <w:ind w:firstLine="480" w:firstLineChars="200"/>
        <w:rPr>
          <w:sz w:val="24"/>
        </w:rPr>
      </w:pPr>
    </w:p>
    <w:p>
      <w:pPr>
        <w:spacing w:line="12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lang w:eastAsia="zh-CN"/>
        </w:rPr>
      </w:pPr>
      <w:r>
        <w:rPr>
          <w:rFonts w:hint="eastAsia"/>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30"/>
        <w:tblW w:w="98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2127"/>
        <w:gridCol w:w="1701"/>
        <w:gridCol w:w="1417"/>
        <w:gridCol w:w="1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vAlign w:val="center"/>
          </w:tcPr>
          <w:p>
            <w:pPr>
              <w:spacing w:line="120" w:lineRule="auto"/>
              <w:jc w:val="center"/>
              <w:rPr>
                <w:b/>
                <w:sz w:val="24"/>
              </w:rPr>
            </w:pPr>
            <w:r>
              <w:rPr>
                <w:rFonts w:hint="eastAsia"/>
                <w:b/>
                <w:sz w:val="24"/>
              </w:rPr>
              <w:t>产品名称</w:t>
            </w:r>
          </w:p>
        </w:tc>
        <w:tc>
          <w:tcPr>
            <w:tcW w:w="2127" w:type="dxa"/>
            <w:vAlign w:val="center"/>
          </w:tcPr>
          <w:p>
            <w:pPr>
              <w:spacing w:line="120" w:lineRule="auto"/>
              <w:jc w:val="center"/>
              <w:rPr>
                <w:b/>
                <w:sz w:val="24"/>
              </w:rPr>
            </w:pPr>
            <w:r>
              <w:rPr>
                <w:rFonts w:hint="eastAsia"/>
                <w:b/>
                <w:sz w:val="24"/>
              </w:rPr>
              <w:t>规格型号</w:t>
            </w:r>
          </w:p>
        </w:tc>
        <w:tc>
          <w:tcPr>
            <w:tcW w:w="1701"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1613"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vAlign w:val="center"/>
          </w:tcPr>
          <w:p>
            <w:pPr>
              <w:spacing w:line="120" w:lineRule="auto"/>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1613"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vAlign w:val="center"/>
          </w:tcPr>
          <w:p>
            <w:pPr>
              <w:spacing w:line="120" w:lineRule="auto"/>
              <w:jc w:val="center"/>
              <w:rPr>
                <w:sz w:val="24"/>
              </w:rPr>
            </w:pPr>
            <w:permStart w:id="5" w:edGrp="everyone" w:colFirst="0" w:colLast="0"/>
            <w:permStart w:id="6" w:edGrp="everyone" w:colFirst="1" w:colLast="1"/>
            <w:permStart w:id="7" w:edGrp="everyone" w:colFirst="2" w:colLast="2"/>
            <w:permStart w:id="8" w:edGrp="everyone" w:colFirst="3" w:colLast="3"/>
            <w:permStart w:id="9"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1613" w:type="dxa"/>
            <w:vAlign w:val="center"/>
          </w:tcPr>
          <w:p>
            <w:pPr>
              <w:spacing w:line="120" w:lineRule="auto"/>
              <w:jc w:val="center"/>
              <w:rPr>
                <w:sz w:val="24"/>
              </w:rPr>
            </w:pPr>
          </w:p>
        </w:tc>
      </w:tr>
      <w:permEnd w:id="5"/>
      <w:permEnd w:id="6"/>
      <w:permEnd w:id="7"/>
      <w:permEnd w:id="8"/>
      <w:perm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vAlign w:val="center"/>
          </w:tcPr>
          <w:p>
            <w:pPr>
              <w:spacing w:line="120" w:lineRule="auto"/>
              <w:jc w:val="center"/>
              <w:rPr>
                <w:sz w:val="24"/>
              </w:rPr>
            </w:pPr>
            <w:permStart w:id="10" w:edGrp="everyone" w:colFirst="0" w:colLast="0"/>
            <w:permStart w:id="11" w:edGrp="everyone" w:colFirst="1" w:colLast="1"/>
            <w:permStart w:id="12" w:edGrp="everyone" w:colFirst="2" w:colLast="2"/>
            <w:permStart w:id="13" w:edGrp="everyone" w:colFirst="3" w:colLast="3"/>
            <w:permStart w:id="14"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1613" w:type="dxa"/>
            <w:vAlign w:val="center"/>
          </w:tcPr>
          <w:p>
            <w:pPr>
              <w:spacing w:line="120" w:lineRule="auto"/>
              <w:jc w:val="center"/>
              <w:rPr>
                <w:sz w:val="24"/>
              </w:rPr>
            </w:pPr>
          </w:p>
        </w:tc>
      </w:tr>
      <w:permEnd w:id="10"/>
      <w:permEnd w:id="11"/>
      <w:permEnd w:id="12"/>
      <w:permEnd w:id="13"/>
      <w:permEnd w:id="1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vAlign w:val="center"/>
          </w:tcPr>
          <w:p>
            <w:pPr>
              <w:spacing w:line="120" w:lineRule="auto"/>
              <w:jc w:val="center"/>
              <w:rPr>
                <w:sz w:val="24"/>
              </w:rPr>
            </w:pPr>
            <w:permStart w:id="15" w:edGrp="everyone" w:colFirst="0" w:colLast="0"/>
            <w:permStart w:id="16" w:edGrp="everyone" w:colFirst="1" w:colLast="1"/>
            <w:permStart w:id="17" w:edGrp="everyone" w:colFirst="2" w:colLast="2"/>
            <w:permStart w:id="18" w:edGrp="everyone" w:colFirst="3" w:colLast="3"/>
            <w:permStart w:id="19"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1613" w:type="dxa"/>
            <w:vAlign w:val="center"/>
          </w:tcPr>
          <w:p>
            <w:pPr>
              <w:spacing w:line="120" w:lineRule="auto"/>
              <w:jc w:val="center"/>
              <w:rPr>
                <w:sz w:val="24"/>
              </w:rPr>
            </w:pPr>
          </w:p>
        </w:tc>
      </w:tr>
      <w:permEnd w:id="15"/>
      <w:permEnd w:id="16"/>
      <w:permEnd w:id="17"/>
      <w:permEnd w:id="18"/>
      <w:permEnd w:id="1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vAlign w:val="center"/>
          </w:tcPr>
          <w:p>
            <w:pPr>
              <w:spacing w:line="120" w:lineRule="auto"/>
              <w:jc w:val="center"/>
              <w:rPr>
                <w:sz w:val="24"/>
              </w:rPr>
            </w:pPr>
            <w:permStart w:id="20" w:edGrp="everyone" w:colFirst="0" w:colLast="0"/>
            <w:permStart w:id="21" w:edGrp="everyone" w:colFirst="1" w:colLast="1"/>
            <w:permStart w:id="22" w:edGrp="everyone" w:colFirst="2" w:colLast="2"/>
            <w:permStart w:id="23" w:edGrp="everyone" w:colFirst="3" w:colLast="3"/>
            <w:permStart w:id="24"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1613" w:type="dxa"/>
            <w:vAlign w:val="center"/>
          </w:tcPr>
          <w:p>
            <w:pPr>
              <w:spacing w:line="120" w:lineRule="auto"/>
              <w:jc w:val="center"/>
              <w:rPr>
                <w:sz w:val="24"/>
              </w:rPr>
            </w:pPr>
          </w:p>
        </w:tc>
      </w:tr>
      <w:permEnd w:id="20"/>
      <w:permEnd w:id="21"/>
      <w:permEnd w:id="22"/>
      <w:permEnd w:id="23"/>
      <w:permEnd w:id="2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vAlign w:val="center"/>
          </w:tcPr>
          <w:p>
            <w:pPr>
              <w:spacing w:line="120" w:lineRule="auto"/>
              <w:jc w:val="center"/>
              <w:rPr>
                <w:sz w:val="24"/>
              </w:rPr>
            </w:pPr>
            <w:permStart w:id="25" w:edGrp="everyone" w:colFirst="0" w:colLast="0"/>
            <w:permStart w:id="26" w:edGrp="everyone" w:colFirst="1" w:colLast="1"/>
            <w:permStart w:id="27" w:edGrp="everyone" w:colFirst="2" w:colLast="2"/>
            <w:permStart w:id="28" w:edGrp="everyone" w:colFirst="3" w:colLast="3"/>
            <w:permStart w:id="29"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1613" w:type="dxa"/>
            <w:vAlign w:val="center"/>
          </w:tcPr>
          <w:p>
            <w:pPr>
              <w:spacing w:line="120" w:lineRule="auto"/>
              <w:jc w:val="center"/>
              <w:rPr>
                <w:sz w:val="24"/>
              </w:rPr>
            </w:pPr>
          </w:p>
        </w:tc>
      </w:tr>
      <w:permEnd w:id="25"/>
      <w:permEnd w:id="26"/>
      <w:permEnd w:id="27"/>
      <w:permEnd w:id="28"/>
      <w:permEnd w:id="2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vAlign w:val="center"/>
          </w:tcPr>
          <w:p>
            <w:pPr>
              <w:spacing w:line="120" w:lineRule="auto"/>
              <w:jc w:val="center"/>
              <w:rPr>
                <w:sz w:val="24"/>
              </w:rPr>
            </w:pPr>
            <w:r>
              <w:rPr>
                <w:rFonts w:hint="eastAsia"/>
                <w:sz w:val="24"/>
              </w:rPr>
              <w:t>合同金额合计</w:t>
            </w:r>
          </w:p>
        </w:tc>
        <w:tc>
          <w:tcPr>
            <w:tcW w:w="6858" w:type="dxa"/>
            <w:gridSpan w:val="4"/>
            <w:vAlign w:val="center"/>
          </w:tcPr>
          <w:p>
            <w:pPr>
              <w:spacing w:line="120" w:lineRule="auto"/>
              <w:jc w:val="center"/>
              <w:rPr>
                <w:sz w:val="24"/>
              </w:rPr>
            </w:pPr>
            <w:permStart w:id="30" w:edGrp="everyone"/>
            <w:r>
              <w:rPr>
                <w:rFonts w:hint="eastAsia"/>
                <w:sz w:val="24"/>
              </w:rPr>
              <w:t xml:space="preserve">    </w:t>
            </w:r>
            <w:permEnd w:id="30"/>
            <w:r>
              <w:rPr>
                <w:rFonts w:hint="eastAsia"/>
                <w:sz w:val="24"/>
              </w:rPr>
              <w:t xml:space="preserve">（大写） </w:t>
            </w:r>
            <w:permStart w:id="31" w:edGrp="everyone"/>
            <w:r>
              <w:rPr>
                <w:rFonts w:hint="eastAsia"/>
                <w:sz w:val="24"/>
              </w:rPr>
              <w:t xml:space="preserve">  </w:t>
            </w:r>
            <w:permEnd w:id="31"/>
            <w:r>
              <w:rPr>
                <w:rFonts w:hint="eastAsia"/>
                <w:sz w:val="24"/>
              </w:rPr>
              <w:t>（小写）</w:t>
            </w:r>
          </w:p>
        </w:tc>
      </w:tr>
    </w:tbl>
    <w:p>
      <w:pPr>
        <w:spacing w:line="12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asciiTheme="majorEastAsia" w:hAnsiTheme="majorEastAsia" w:eastAsiaTheme="majorEastAsia"/>
          <w:sz w:val="24"/>
          <w:u w:val="single"/>
          <w:lang w:eastAsia="zh-CN"/>
        </w:rPr>
        <w:t>送货到现场</w:t>
      </w:r>
      <w:r>
        <w:rPr>
          <w:rFonts w:asciiTheme="majorEastAsia" w:hAnsiTheme="majorEastAsia" w:eastAsiaTheme="majorEastAsia"/>
          <w:sz w:val="24"/>
          <w:u w:val="single"/>
          <w:lang w:eastAsia="zh-CN"/>
        </w:rPr>
        <w:t xml:space="preserve"> </w:t>
      </w:r>
    </w:p>
    <w:p>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 xml:space="preserve">腾龙芳烃（漳州）有限公司 </w:t>
      </w:r>
      <w:r>
        <w:rPr>
          <w:rFonts w:hint="eastAsia"/>
          <w:sz w:val="24"/>
          <w:lang w:eastAsia="zh-CN"/>
        </w:rPr>
        <w:t>（以甲方提供的送货清单和地址明细为准）</w:t>
      </w:r>
    </w:p>
    <w:p>
      <w:pPr>
        <w:spacing w:line="288" w:lineRule="auto"/>
        <w:ind w:firstLine="240" w:firstLineChars="100"/>
        <w:jc w:val="both"/>
        <w:rPr>
          <w:sz w:val="24"/>
          <w:lang w:eastAsia="zh-CN"/>
        </w:rPr>
      </w:pPr>
      <w:r>
        <w:rPr>
          <w:rFonts w:hint="eastAsia"/>
          <w:sz w:val="24"/>
          <w:lang w:eastAsia="zh-CN"/>
        </w:rPr>
        <w:t>2.3交货时间：</w:t>
      </w:r>
      <w:r>
        <w:rPr>
          <w:sz w:val="24"/>
          <w:u w:val="single"/>
          <w:lang w:eastAsia="zh-CN"/>
        </w:rPr>
        <w:t xml:space="preserve"> </w:t>
      </w:r>
      <w:r>
        <w:rPr>
          <w:rFonts w:hint="eastAsia" w:asciiTheme="majorEastAsia" w:hAnsiTheme="majorEastAsia" w:eastAsiaTheme="majorEastAsia"/>
          <w:sz w:val="24"/>
          <w:u w:val="single"/>
          <w:lang w:eastAsia="zh-CN"/>
        </w:rPr>
        <w:t>合同生效后6个月内货到现场且须</w:t>
      </w:r>
      <w:r>
        <w:rPr>
          <w:rFonts w:hint="eastAsia"/>
          <w:sz w:val="24"/>
          <w:szCs w:val="24"/>
          <w:u w:val="single"/>
          <w:lang w:eastAsia="zh-CN"/>
        </w:rPr>
        <w:t>保证仪器到货时仪器的各个系统完整性。</w:t>
      </w:r>
      <w:r>
        <w:rPr>
          <w:rFonts w:hint="eastAsia"/>
          <w:sz w:val="24"/>
          <w:u w:val="single"/>
          <w:lang w:eastAsia="zh-CN"/>
        </w:rPr>
        <w:t>（</w:t>
      </w:r>
      <w:r>
        <w:rPr>
          <w:rFonts w:hint="eastAsia"/>
          <w:b/>
          <w:sz w:val="24"/>
          <w:u w:val="single"/>
          <w:lang w:eastAsia="zh-CN"/>
        </w:rPr>
        <w:t>如甲方要求推迟交货，则乙方应无条件同意并保管好货物）</w:t>
      </w:r>
    </w:p>
    <w:p>
      <w:pPr>
        <w:spacing w:line="360" w:lineRule="auto"/>
        <w:ind w:firstLine="480" w:firstLineChars="20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firstLine="480" w:firstLineChars="200"/>
        <w:rPr>
          <w:sz w:val="24"/>
          <w:lang w:eastAsia="zh-CN"/>
        </w:rPr>
      </w:pPr>
      <w:r>
        <w:rPr>
          <w:rFonts w:hint="eastAsia"/>
          <w:sz w:val="24"/>
          <w:lang w:eastAsia="zh-CN"/>
        </w:rPr>
        <w:t>3.1乙方交付的产品按合同约定标准经甲方验收合格后，甲方</w:t>
      </w:r>
      <w:r>
        <w:rPr>
          <w:sz w:val="24"/>
          <w:u w:val="single"/>
          <w:lang w:eastAsia="zh-CN"/>
        </w:rPr>
        <w:t xml:space="preserve">    </w:t>
      </w:r>
      <w:r>
        <w:rPr>
          <w:rFonts w:hint="eastAsia"/>
          <w:sz w:val="24"/>
          <w:lang w:eastAsia="zh-CN"/>
        </w:rPr>
        <w:t>向乙方支付合同价款总额的</w:t>
      </w:r>
      <w:r>
        <w:rPr>
          <w:sz w:val="24"/>
          <w:u w:val="single"/>
          <w:lang w:eastAsia="zh-CN"/>
        </w:rPr>
        <w:t xml:space="preserve"> </w:t>
      </w:r>
      <w:r>
        <w:rPr>
          <w:rFonts w:hint="eastAsia"/>
          <w:sz w:val="24"/>
          <w:u w:val="single"/>
          <w:lang w:eastAsia="zh-CN"/>
        </w:rPr>
        <w:t>90</w:t>
      </w:r>
      <w:r>
        <w:rPr>
          <w:sz w:val="24"/>
          <w:u w:val="single"/>
          <w:lang w:eastAsia="zh-CN"/>
        </w:rPr>
        <w:t xml:space="preserve"> </w:t>
      </w:r>
      <w:r>
        <w:rPr>
          <w:rFonts w:hint="eastAsia"/>
          <w:sz w:val="24"/>
          <w:lang w:eastAsia="zh-CN"/>
        </w:rPr>
        <w:t>%，剩余合同价款总额的【10】%作为质量保证金，待质量保证期满且乙方无结欠甲方款项或债务的情况下无息退还。</w:t>
      </w:r>
    </w:p>
    <w:p>
      <w:pPr>
        <w:spacing w:line="360" w:lineRule="auto"/>
        <w:ind w:firstLine="480" w:firstLineChars="200"/>
        <w:rPr>
          <w:sz w:val="24"/>
          <w:lang w:eastAsia="zh-CN"/>
        </w:rPr>
      </w:pPr>
      <w:r>
        <w:rPr>
          <w:rFonts w:hint="eastAsia"/>
          <w:sz w:val="24"/>
          <w:lang w:eastAsia="zh-CN"/>
        </w:rPr>
        <w:t xml:space="preserve">3.2 </w:t>
      </w:r>
      <w:r>
        <w:rPr>
          <w:sz w:val="24"/>
          <w:lang w:eastAsia="zh-CN"/>
        </w:rPr>
        <w:t>乙方应根据甲方要求在甲方每次付款前</w:t>
      </w:r>
      <w:r>
        <w:rPr>
          <w:sz w:val="24"/>
          <w:u w:val="single"/>
          <w:lang w:eastAsia="zh-CN"/>
        </w:rPr>
        <w:t xml:space="preserve"> </w:t>
      </w:r>
      <w:r>
        <w:rPr>
          <w:rFonts w:hint="eastAsia"/>
          <w:sz w:val="24"/>
          <w:u w:val="single"/>
          <w:lang w:eastAsia="zh-CN"/>
        </w:rPr>
        <w:t xml:space="preserve">60 </w:t>
      </w:r>
      <w:r>
        <w:rPr>
          <w:sz w:val="24"/>
          <w:lang w:eastAsia="zh-CN"/>
        </w:rPr>
        <w:t>日内提供正式税务发票</w:t>
      </w:r>
      <w:r>
        <w:rPr>
          <w:rFonts w:hint="eastAsia"/>
          <w:sz w:val="24"/>
          <w:lang w:eastAsia="zh-CN"/>
        </w:rPr>
        <w:t>，否则甲方有权顺延付款。现场交货条件下，乙方应提交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pPr>
        <w:snapToGrid w:val="0"/>
        <w:spacing w:line="360" w:lineRule="auto"/>
        <w:rPr>
          <w:szCs w:val="21"/>
          <w:lang w:eastAsia="zh-CN"/>
        </w:rPr>
      </w:pPr>
    </w:p>
    <w:p>
      <w:pPr>
        <w:spacing w:line="360" w:lineRule="auto"/>
        <w:ind w:firstLine="480" w:firstLineChars="200"/>
        <w:rPr>
          <w:sz w:val="24"/>
          <w:lang w:eastAsia="zh-CN"/>
        </w:rPr>
      </w:pPr>
      <w:r>
        <w:rPr>
          <w:rFonts w:hint="eastAsia"/>
          <w:sz w:val="24"/>
          <w:lang w:eastAsia="zh-CN"/>
        </w:rPr>
        <w:t>3.3甲方的付款并不限制甲方在随后时间对已开具发票的费用提出争议或对合同中不满意的服务、不符合要求的产品进行索赔的权利。</w:t>
      </w:r>
    </w:p>
    <w:p>
      <w:pPr>
        <w:spacing w:line="360" w:lineRule="auto"/>
        <w:ind w:firstLine="480" w:firstLineChars="200"/>
        <w:rPr>
          <w:sz w:val="24"/>
          <w:lang w:eastAsia="zh-CN"/>
        </w:rPr>
      </w:pPr>
      <w:r>
        <w:rPr>
          <w:rFonts w:hint="eastAsia"/>
          <w:sz w:val="24"/>
          <w:lang w:eastAsia="zh-CN"/>
        </w:rPr>
        <w:t>3.4甲方有权从应付乙方的款项中抵扣乙方按本合同应支付给甲方的费用，包括但不限于违约金、赔偿金、乙方造成的一切损失、债务。</w:t>
      </w:r>
    </w:p>
    <w:p>
      <w:pPr>
        <w:spacing w:line="360" w:lineRule="auto"/>
        <w:ind w:left="653" w:leftChars="200" w:hanging="213" w:hangingChars="89"/>
        <w:rPr>
          <w:sz w:val="24"/>
          <w:szCs w:val="24"/>
          <w:lang w:eastAsia="zh-CN"/>
        </w:rPr>
      </w:pPr>
      <w:r>
        <w:rPr>
          <w:rFonts w:hint="eastAsia"/>
          <w:sz w:val="24"/>
          <w:szCs w:val="24"/>
          <w:lang w:eastAsia="zh-CN"/>
        </w:rPr>
        <w:t>3.5 履约保证金：</w:t>
      </w:r>
    </w:p>
    <w:p>
      <w:pPr>
        <w:spacing w:line="360" w:lineRule="auto"/>
        <w:ind w:firstLine="501" w:firstLineChars="209"/>
        <w:rPr>
          <w:sz w:val="24"/>
          <w:szCs w:val="24"/>
          <w:lang w:eastAsia="zh-CN"/>
        </w:rPr>
      </w:pPr>
      <w:r>
        <w:rPr>
          <w:rFonts w:hint="eastAsia"/>
          <w:sz w:val="24"/>
          <w:szCs w:val="24"/>
          <w:lang w:eastAsia="zh-CN"/>
        </w:rPr>
        <w:t>合同签订后，乙方的参选保证金RMB3600元将直接转为本合同的履约保证金，该履约保证金将于合同执行完毕后30天内，确认乙方无违约行为后甲方从原收取参选保证金账户将保证金全额无息退还。若乙方违约或发生本合同约定的其他事由的，甲方有权从履约保证金中优先扣除乙方违约金及其他应付款项。</w:t>
      </w:r>
    </w:p>
    <w:p>
      <w:pPr>
        <w:spacing w:line="360" w:lineRule="auto"/>
        <w:ind w:firstLine="482" w:firstLineChars="200"/>
        <w:rPr>
          <w:b/>
          <w:bCs/>
          <w:sz w:val="24"/>
          <w:szCs w:val="24"/>
          <w:lang w:eastAsia="zh-CN"/>
        </w:rPr>
      </w:pPr>
      <w:r>
        <w:rPr>
          <w:rFonts w:hint="eastAsia"/>
          <w:b/>
          <w:bCs/>
          <w:sz w:val="24"/>
          <w:szCs w:val="24"/>
          <w:lang w:eastAsia="zh-CN"/>
        </w:rPr>
        <w:t>甲方收取参选保证金的账户信息如下：</w:t>
      </w:r>
    </w:p>
    <w:p>
      <w:pPr>
        <w:spacing w:line="360" w:lineRule="auto"/>
        <w:ind w:left="390" w:leftChars="-7" w:hanging="405" w:hangingChars="169"/>
        <w:rPr>
          <w:sz w:val="24"/>
          <w:szCs w:val="24"/>
          <w:lang w:eastAsia="zh-CN"/>
        </w:rPr>
      </w:pPr>
      <w:r>
        <w:rPr>
          <w:rFonts w:hint="eastAsia"/>
          <w:sz w:val="24"/>
          <w:szCs w:val="24"/>
          <w:lang w:eastAsia="zh-CN"/>
        </w:rPr>
        <w:t xml:space="preserve">        开户名称：福建福海创石油化工有限公司</w:t>
      </w:r>
    </w:p>
    <w:p>
      <w:pPr>
        <w:spacing w:line="360" w:lineRule="auto"/>
        <w:ind w:left="390" w:leftChars="-7" w:hanging="405" w:hangingChars="169"/>
        <w:rPr>
          <w:sz w:val="24"/>
          <w:szCs w:val="24"/>
          <w:lang w:eastAsia="zh-CN"/>
        </w:rPr>
      </w:pPr>
      <w:r>
        <w:rPr>
          <w:rFonts w:hint="eastAsia"/>
          <w:sz w:val="24"/>
          <w:szCs w:val="24"/>
          <w:lang w:eastAsia="zh-CN"/>
        </w:rPr>
        <w:t xml:space="preserve">        开户银行：中国银行漳州古雷支行</w:t>
      </w:r>
    </w:p>
    <w:p>
      <w:pPr>
        <w:spacing w:line="360" w:lineRule="auto"/>
        <w:ind w:left="462" w:leftChars="210" w:firstLine="453" w:firstLineChars="189"/>
        <w:rPr>
          <w:sz w:val="24"/>
          <w:szCs w:val="24"/>
          <w:lang w:eastAsia="zh-CN"/>
        </w:rPr>
      </w:pPr>
      <w:r>
        <w:rPr>
          <w:rFonts w:hint="eastAsia"/>
          <w:sz w:val="24"/>
          <w:szCs w:val="24"/>
          <w:lang w:eastAsia="zh-CN"/>
        </w:rPr>
        <w:t>帐号：406574816628</w:t>
      </w:r>
    </w:p>
    <w:p>
      <w:pPr>
        <w:spacing w:line="360" w:lineRule="auto"/>
        <w:rPr>
          <w:sz w:val="24"/>
          <w:lang w:eastAsia="zh-CN"/>
        </w:rPr>
      </w:pPr>
      <w:r>
        <w:rPr>
          <w:rFonts w:hint="eastAsia" w:asciiTheme="majorEastAsia" w:hAnsiTheme="majorEastAsia" w:eastAsiaTheme="majorEastAsia"/>
          <w:sz w:val="24"/>
          <w:lang w:eastAsia="zh-CN"/>
        </w:rPr>
        <w:t>说明：如未来国家税率变动，应在不含税金额的基础上以新税率调整含税金额后进行付款。</w:t>
      </w:r>
    </w:p>
    <w:p>
      <w:pPr>
        <w:spacing w:line="360" w:lineRule="auto"/>
        <w:rPr>
          <w:sz w:val="24"/>
          <w:lang w:eastAsia="zh-CN"/>
        </w:rPr>
      </w:pPr>
      <w:r>
        <w:rPr>
          <w:rFonts w:hint="eastAsia"/>
          <w:sz w:val="24"/>
          <w:lang w:eastAsia="zh-CN"/>
        </w:rPr>
        <w:t>4、质量要求和技术标准</w:t>
      </w:r>
    </w:p>
    <w:p>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Pr>
          <w:rFonts w:hint="eastAsia"/>
          <w:b/>
          <w:sz w:val="24"/>
          <w:lang w:eastAsia="zh-CN"/>
        </w:rPr>
        <w:t>如产品不符合本合同中约定的要求，甲方有权拒绝接受。</w:t>
      </w:r>
    </w:p>
    <w:p>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lang w:eastAsia="zh-CN"/>
        </w:rPr>
      </w:pPr>
      <w:r>
        <w:rPr>
          <w:rFonts w:hint="eastAsia"/>
          <w:sz w:val="24"/>
          <w:lang w:eastAsia="zh-CN"/>
        </w:rPr>
        <w:t xml:space="preserve">    4.4乙方不按本合同约定交付产品所产生的任何费用由乙方自己承担。</w:t>
      </w:r>
    </w:p>
    <w:p>
      <w:pPr>
        <w:spacing w:line="360" w:lineRule="auto"/>
        <w:rPr>
          <w:sz w:val="24"/>
          <w:lang w:eastAsia="zh-CN"/>
        </w:rPr>
      </w:pPr>
      <w:r>
        <w:rPr>
          <w:rFonts w:hint="eastAsia"/>
          <w:sz w:val="24"/>
          <w:lang w:eastAsia="zh-CN"/>
        </w:rPr>
        <w:t>5、安装调试、技术服务、人员培训及技术资料</w:t>
      </w:r>
    </w:p>
    <w:p>
      <w:pPr>
        <w:spacing w:line="360" w:lineRule="auto"/>
        <w:ind w:firstLine="480" w:firstLineChars="200"/>
        <w:rPr>
          <w:sz w:val="24"/>
          <w:lang w:eastAsia="zh-CN"/>
        </w:rPr>
      </w:pPr>
      <w:r>
        <w:rPr>
          <w:rFonts w:hint="eastAsia"/>
          <w:sz w:val="24"/>
          <w:lang w:eastAsia="zh-CN"/>
        </w:rPr>
        <w:t>5.1乙方为甲方提供下列服务（具体以在□内打“√”为准）</w:t>
      </w:r>
    </w:p>
    <w:p>
      <w:pPr>
        <w:spacing w:line="360" w:lineRule="auto"/>
        <w:ind w:firstLine="480" w:firstLineChars="200"/>
        <w:rPr>
          <w:sz w:val="24"/>
          <w:u w:val="single"/>
          <w:lang w:eastAsia="zh-CN"/>
        </w:rPr>
      </w:pPr>
      <w:sdt>
        <w:sdtPr>
          <w:rPr>
            <w:rFonts w:hint="eastAsia" w:ascii="MS Gothic" w:hAnsi="MS Gothic" w:eastAsia="MS Gothic" w:cs="MS Gothic"/>
            <w:sz w:val="24"/>
          </w:rPr>
          <w:id w:val="-22404436"/>
        </w:sdtPr>
        <w:sdtEndPr>
          <w:rPr>
            <w:rFonts w:hint="eastAsia" w:ascii="MS Gothic" w:hAnsi="MS Gothic" w:eastAsia="MS Gothic" w:cs="MS Gothic"/>
            <w:sz w:val="24"/>
          </w:rPr>
        </w:sdtEndPr>
        <w:sdtContent>
          <w:r>
            <w:rPr>
              <w:rFonts w:hint="eastAsia"/>
              <w:sz w:val="24"/>
              <w:lang w:eastAsia="zh-CN"/>
            </w:rPr>
            <w:t>☑</w:t>
          </w:r>
        </w:sdtContent>
      </w:sdt>
      <w:r>
        <w:rPr>
          <w:rFonts w:hint="eastAsia"/>
          <w:sz w:val="24"/>
          <w:lang w:eastAsia="zh-CN"/>
        </w:rPr>
        <w:t xml:space="preserve"> 安装调试：乙方应在产品到货后</w:t>
      </w:r>
      <w:r>
        <w:rPr>
          <w:rFonts w:hint="eastAsia"/>
          <w:sz w:val="24"/>
          <w:u w:val="single"/>
          <w:lang w:eastAsia="zh-CN"/>
        </w:rPr>
        <w:t xml:space="preserve">  </w:t>
      </w:r>
      <w:r>
        <w:rPr>
          <w:rFonts w:hint="eastAsia"/>
          <w:sz w:val="24"/>
          <w:lang w:eastAsia="zh-CN"/>
        </w:rPr>
        <w:t>日内安装完毕，并提请甲方进行调试验收；</w:t>
      </w:r>
      <w:r>
        <w:rPr>
          <w:sz w:val="24"/>
          <w:u w:val="single"/>
          <w:lang w:eastAsia="zh-CN"/>
        </w:rPr>
        <w:t xml:space="preserve">    </w:t>
      </w:r>
    </w:p>
    <w:p>
      <w:pPr>
        <w:spacing w:line="360" w:lineRule="auto"/>
        <w:ind w:firstLine="480" w:firstLineChars="200"/>
        <w:rPr>
          <w:sz w:val="24"/>
          <w:lang w:eastAsia="zh-CN"/>
        </w:rPr>
      </w:pPr>
      <w:sdt>
        <w:sdtPr>
          <w:rPr>
            <w:rFonts w:hint="eastAsia" w:ascii="MS Gothic" w:hAnsi="MS Gothic" w:eastAsia="MS Gothic" w:cs="MS Gothic"/>
            <w:sz w:val="24"/>
          </w:rPr>
          <w:id w:val="-1019545688"/>
        </w:sdtPr>
        <w:sdtEndPr>
          <w:rPr>
            <w:rFonts w:hint="eastAsia" w:ascii="MS Gothic" w:hAnsi="MS Gothic" w:eastAsia="MS Gothic" w:cs="MS Gothic"/>
            <w:sz w:val="24"/>
          </w:rPr>
        </w:sdtEndPr>
        <w:sdtContent>
          <w:r>
            <w:rPr>
              <w:rFonts w:hint="eastAsia"/>
              <w:sz w:val="24"/>
              <w:lang w:eastAsia="zh-CN"/>
            </w:rPr>
            <w:t>☑</w:t>
          </w:r>
        </w:sdtContent>
      </w:sdt>
      <w:r>
        <w:rPr>
          <w:rFonts w:hint="eastAsia"/>
          <w:sz w:val="24"/>
          <w:lang w:eastAsia="zh-CN"/>
        </w:rPr>
        <w:t xml:space="preserve"> 技术服务：</w:t>
      </w:r>
      <w:r>
        <w:rPr>
          <w:sz w:val="24"/>
          <w:u w:val="single"/>
          <w:lang w:eastAsia="zh-CN"/>
        </w:rPr>
        <w:t xml:space="preserve">                                                                 </w:t>
      </w:r>
    </w:p>
    <w:p>
      <w:pPr>
        <w:spacing w:line="360" w:lineRule="auto"/>
        <w:ind w:firstLine="480" w:firstLineChars="200"/>
        <w:rPr>
          <w:sz w:val="24"/>
          <w:u w:val="single"/>
          <w:lang w:eastAsia="zh-CN"/>
        </w:rPr>
      </w:pPr>
      <w:sdt>
        <w:sdtPr>
          <w:rPr>
            <w:rFonts w:hint="eastAsia" w:ascii="MS Gothic" w:hAnsi="MS Gothic" w:eastAsia="MS Gothic" w:cs="MS Gothic"/>
            <w:sz w:val="24"/>
          </w:rPr>
          <w:id w:val="1427537698"/>
        </w:sdtPr>
        <w:sdtEndPr>
          <w:rPr>
            <w:rFonts w:hint="eastAsia" w:ascii="MS Gothic" w:hAnsi="MS Gothic" w:eastAsia="MS Gothic" w:cs="MS Gothic"/>
            <w:sz w:val="24"/>
          </w:rPr>
        </w:sdtEndPr>
        <w:sdtContent>
          <w:r>
            <w:rPr>
              <w:rFonts w:hint="eastAsia"/>
              <w:sz w:val="24"/>
              <w:lang w:eastAsia="zh-CN"/>
            </w:rPr>
            <w:t>☑</w:t>
          </w:r>
        </w:sdtContent>
      </w:sdt>
      <w:r>
        <w:rPr>
          <w:rFonts w:hint="eastAsia"/>
          <w:sz w:val="24"/>
          <w:lang w:eastAsia="zh-CN"/>
        </w:rPr>
        <w:t xml:space="preserve"> 人员培训：</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252738078"/>
        </w:sdtPr>
        <w:sdtEndPr>
          <w:rPr>
            <w:rFonts w:hint="eastAsia"/>
            <w:sz w:val="24"/>
          </w:rPr>
        </w:sdtEndPr>
        <w:sdtContent>
          <w:sdt>
            <w:sdtPr>
              <w:rPr>
                <w:rFonts w:hint="eastAsia" w:ascii="MS Gothic" w:hAnsi="MS Gothic" w:eastAsia="MS Gothic" w:cs="MS Gothic"/>
                <w:sz w:val="24"/>
              </w:rPr>
              <w:id w:val="1261795763"/>
              <w:showingPlcHdr/>
            </w:sdtPr>
            <w:sdtEndPr>
              <w:rPr>
                <w:rFonts w:hint="eastAsia" w:ascii="MS Gothic" w:hAnsi="MS Gothic" w:eastAsia="MS Gothic" w:cs="MS Gothic"/>
                <w:sz w:val="24"/>
              </w:rPr>
            </w:sdtEndPr>
            <w:sdtContent>
              <w:r>
                <w:rPr>
                  <w:rFonts w:hint="eastAsia"/>
                  <w:sz w:val="24"/>
                  <w:lang w:eastAsia="zh-CN"/>
                </w:rPr>
                <w:t>☑</w:t>
              </w:r>
            </w:sdtContent>
          </w:sdt>
        </w:sdtContent>
      </w:sdt>
      <w:r>
        <w:rPr>
          <w:rFonts w:hint="eastAsia"/>
          <w:sz w:val="24"/>
          <w:lang w:eastAsia="zh-CN"/>
        </w:rPr>
        <w:t xml:space="preserve"> 技术资料：</w:t>
      </w:r>
      <w:r>
        <w:rPr>
          <w:sz w:val="24"/>
          <w:u w:val="single"/>
          <w:lang w:eastAsia="zh-CN"/>
        </w:rPr>
        <w:t xml:space="preserve">                                                                 </w:t>
      </w:r>
    </w:p>
    <w:p>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6、验收</w:t>
      </w:r>
    </w:p>
    <w:p>
      <w:pPr>
        <w:spacing w:line="360" w:lineRule="auto"/>
        <w:rPr>
          <w:sz w:val="24"/>
          <w:lang w:eastAsia="zh-CN"/>
        </w:rPr>
      </w:pPr>
      <w:r>
        <w:rPr>
          <w:rFonts w:hint="eastAsia"/>
          <w:sz w:val="24"/>
          <w:lang w:eastAsia="zh-CN"/>
        </w:rPr>
        <w:t xml:space="preserve">    6.1货物的货到验收包括：型号、规格、数量、外观质量、及货物包装是否完好。</w:t>
      </w:r>
    </w:p>
    <w:p>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6.4对于安装质量，乙方保证标准时、正确安装好设备，保证设备良好运行。产品调试验收的标准：按行业通行标准、厂方出厂标准</w:t>
      </w:r>
      <w:r>
        <w:rPr>
          <w:rFonts w:hint="eastAsia"/>
          <w:b/>
          <w:sz w:val="24"/>
          <w:lang w:eastAsia="zh-CN"/>
        </w:rPr>
        <w:t>；两者要求不一致的，适用对产品更为严格的标准</w:t>
      </w:r>
      <w:r>
        <w:rPr>
          <w:rFonts w:hint="eastAsia"/>
          <w:sz w:val="24"/>
          <w:lang w:eastAsia="zh-CN"/>
        </w:rPr>
        <w:t>。</w:t>
      </w:r>
    </w:p>
    <w:p>
      <w:pPr>
        <w:spacing w:line="360" w:lineRule="auto"/>
        <w:ind w:firstLine="480" w:firstLineChars="200"/>
        <w:rPr>
          <w:sz w:val="24"/>
          <w:lang w:eastAsia="zh-CN"/>
        </w:rPr>
      </w:pPr>
      <w:r>
        <w:rPr>
          <w:rFonts w:hint="eastAsia"/>
          <w:sz w:val="24"/>
          <w:lang w:eastAsia="zh-CN"/>
        </w:rPr>
        <w:t>6.5调试验收结果经甲方确认后，双方代表必须按规定的验收交接单上的项目对照本合同填好验收结果并签名盖章。</w:t>
      </w:r>
    </w:p>
    <w:p>
      <w:pPr>
        <w:spacing w:line="360" w:lineRule="auto"/>
        <w:ind w:firstLine="480" w:firstLineChars="20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lang w:eastAsia="zh-CN"/>
        </w:rPr>
      </w:pPr>
      <w:r>
        <w:rPr>
          <w:rFonts w:hint="eastAsia"/>
          <w:sz w:val="24"/>
          <w:lang w:eastAsia="zh-CN"/>
        </w:rPr>
        <w:t>7、质量保证</w:t>
      </w:r>
    </w:p>
    <w:p>
      <w:pPr>
        <w:spacing w:line="360" w:lineRule="auto"/>
        <w:rPr>
          <w:sz w:val="24"/>
          <w:lang w:eastAsia="zh-CN"/>
        </w:rPr>
      </w:pPr>
      <w:r>
        <w:rPr>
          <w:rFonts w:hint="eastAsia"/>
          <w:sz w:val="24"/>
          <w:lang w:eastAsia="zh-CN"/>
        </w:rPr>
        <w:t xml:space="preserve">   7.1质量保证期：</w:t>
      </w:r>
      <w:r>
        <w:rPr>
          <w:sz w:val="24"/>
          <w:lang w:eastAsia="zh-CN"/>
        </w:rPr>
        <w:t>全部货物到</w:t>
      </w:r>
      <w:r>
        <w:rPr>
          <w:rFonts w:hint="eastAsia"/>
          <w:sz w:val="24"/>
          <w:lang w:eastAsia="zh-CN"/>
        </w:rPr>
        <w:t>甲方</w:t>
      </w:r>
      <w:r>
        <w:rPr>
          <w:sz w:val="24"/>
          <w:lang w:eastAsia="zh-CN"/>
        </w:rPr>
        <w:t>现场且</w:t>
      </w:r>
      <w:r>
        <w:rPr>
          <w:rFonts w:hint="eastAsia"/>
          <w:sz w:val="24"/>
          <w:lang w:eastAsia="zh-CN"/>
        </w:rPr>
        <w:t>经甲方</w:t>
      </w:r>
      <w:r>
        <w:rPr>
          <w:sz w:val="24"/>
          <w:lang w:eastAsia="zh-CN"/>
        </w:rPr>
        <w:t>验收合格后</w:t>
      </w:r>
      <w:r>
        <w:rPr>
          <w:rFonts w:hint="eastAsia"/>
          <w:sz w:val="24"/>
          <w:lang w:eastAsia="zh-CN"/>
        </w:rPr>
        <w:t xml:space="preserve">12个月。  </w:t>
      </w:r>
    </w:p>
    <w:p>
      <w:pPr>
        <w:spacing w:line="360" w:lineRule="auto"/>
        <w:ind w:firstLine="240" w:firstLineChars="100"/>
        <w:rPr>
          <w:sz w:val="24"/>
          <w:lang w:eastAsia="zh-CN"/>
        </w:rPr>
      </w:pPr>
      <w:r>
        <w:rPr>
          <w:rFonts w:hint="eastAsia"/>
          <w:sz w:val="24"/>
          <w:lang w:eastAsia="zh-CN"/>
        </w:rPr>
        <w:t xml:space="preserve"> 7.2质量保证期内，产品因自身原因出现故障、损坏或性能等不满足要求等时，乙方在应在</w:t>
      </w:r>
      <w:r>
        <w:rPr>
          <w:rFonts w:hint="eastAsia"/>
          <w:b/>
          <w:sz w:val="24"/>
          <w:lang w:eastAsia="zh-CN"/>
        </w:rPr>
        <w:t>48小时或者甲方另行指定的时间内无偿修复或更换</w:t>
      </w:r>
      <w:r>
        <w:rPr>
          <w:rFonts w:hint="eastAsia"/>
          <w:sz w:val="24"/>
          <w:lang w:eastAsia="zh-CN"/>
        </w:rPr>
        <w:t>。</w:t>
      </w:r>
      <w:r>
        <w:rPr>
          <w:rFonts w:hint="eastAsia"/>
          <w:b/>
          <w:sz w:val="24"/>
          <w:lang w:eastAsia="zh-CN"/>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lang w:eastAsia="zh-CN"/>
        </w:rPr>
      </w:pPr>
      <w:r>
        <w:rPr>
          <w:rFonts w:hint="eastAsia"/>
          <w:b/>
          <w:sz w:val="24"/>
          <w:lang w:eastAsia="zh-CN"/>
        </w:rPr>
        <w:t xml:space="preserve"> 7.3</w:t>
      </w:r>
      <w:r>
        <w:rPr>
          <w:b/>
          <w:sz w:val="24"/>
          <w:lang w:eastAsia="zh-CN"/>
        </w:rPr>
        <w:t>在产品质量保证期内，如因产品质量问题给</w:t>
      </w:r>
      <w:r>
        <w:rPr>
          <w:rFonts w:hint="eastAsia"/>
          <w:b/>
          <w:sz w:val="24"/>
          <w:lang w:eastAsia="zh-CN"/>
        </w:rPr>
        <w:t>甲方</w:t>
      </w:r>
      <w:r>
        <w:rPr>
          <w:b/>
          <w:sz w:val="24"/>
          <w:lang w:eastAsia="zh-CN"/>
        </w:rPr>
        <w:t>造成损失的，</w:t>
      </w:r>
      <w:r>
        <w:rPr>
          <w:rFonts w:hint="eastAsia"/>
          <w:b/>
          <w:sz w:val="24"/>
          <w:lang w:eastAsia="zh-CN"/>
        </w:rPr>
        <w:t>乙方</w:t>
      </w:r>
      <w:r>
        <w:rPr>
          <w:b/>
          <w:sz w:val="24"/>
          <w:lang w:eastAsia="zh-CN"/>
        </w:rPr>
        <w:t>还应赔偿</w:t>
      </w:r>
      <w:r>
        <w:rPr>
          <w:rFonts w:hint="eastAsia"/>
          <w:b/>
          <w:sz w:val="24"/>
          <w:lang w:eastAsia="zh-CN"/>
        </w:rPr>
        <w:t>甲方由此</w:t>
      </w:r>
      <w:r>
        <w:rPr>
          <w:b/>
          <w:sz w:val="24"/>
          <w:lang w:eastAsia="zh-CN"/>
        </w:rPr>
        <w:t>遭受的损失</w:t>
      </w:r>
      <w:r>
        <w:rPr>
          <w:rFonts w:hint="eastAsia"/>
          <w:b/>
          <w:sz w:val="24"/>
          <w:lang w:eastAsia="zh-CN"/>
        </w:rPr>
        <w:t>及相关费用</w:t>
      </w:r>
      <w:r>
        <w:rPr>
          <w:b/>
          <w:sz w:val="24"/>
          <w:lang w:eastAsia="zh-CN"/>
        </w:rPr>
        <w:t>。</w:t>
      </w:r>
    </w:p>
    <w:p>
      <w:pPr>
        <w:spacing w:line="360" w:lineRule="auto"/>
        <w:rPr>
          <w:sz w:val="24"/>
          <w:lang w:eastAsia="zh-CN"/>
        </w:rPr>
      </w:pPr>
      <w:r>
        <w:rPr>
          <w:rFonts w:hint="eastAsia"/>
          <w:sz w:val="24"/>
          <w:lang w:eastAsia="zh-CN"/>
        </w:rPr>
        <w:t xml:space="preserve">   </w:t>
      </w:r>
      <w:r>
        <w:rPr>
          <w:rFonts w:hint="eastAsia"/>
          <w:b/>
          <w:sz w:val="24"/>
          <w:lang w:eastAsia="zh-CN"/>
        </w:rPr>
        <w:t>7.4</w:t>
      </w:r>
      <w:r>
        <w:rPr>
          <w:b/>
          <w:sz w:val="24"/>
          <w:lang w:eastAsia="zh-CN"/>
        </w:rPr>
        <w:t>.</w:t>
      </w:r>
      <w:r>
        <w:rPr>
          <w:rFonts w:hint="eastAsia"/>
          <w:b/>
          <w:sz w:val="24"/>
          <w:lang w:eastAsia="zh-CN"/>
        </w:rPr>
        <w:t>质量保证期的顺延：</w:t>
      </w:r>
      <w:r>
        <w:rPr>
          <w:b/>
          <w:sz w:val="24"/>
          <w:lang w:eastAsia="zh-CN"/>
        </w:rPr>
        <w:t>在质量保证期内，</w:t>
      </w:r>
      <w:r>
        <w:rPr>
          <w:rFonts w:hint="eastAsia"/>
          <w:b/>
          <w:sz w:val="24"/>
          <w:lang w:eastAsia="zh-CN"/>
        </w:rPr>
        <w:t>因需要修理有缺陷的设备，而使合同设备停运或推迟安装时，则保证期应按实际修理所延误的时间做相应的延长。非因甲方原因</w:t>
      </w:r>
      <w:r>
        <w:rPr>
          <w:b/>
          <w:sz w:val="24"/>
          <w:lang w:eastAsia="zh-CN"/>
        </w:rPr>
        <w:t>导致全部货物或零部件更换时，则所更换部件/货物的质量保证期为自更换并验收合格之日起重新计算</w:t>
      </w:r>
      <w:r>
        <w:rPr>
          <w:sz w:val="24"/>
          <w:lang w:eastAsia="zh-CN"/>
        </w:rPr>
        <w:t>。</w:t>
      </w:r>
    </w:p>
    <w:p>
      <w:pPr>
        <w:spacing w:line="360" w:lineRule="auto"/>
        <w:ind w:firstLine="361" w:firstLineChars="150"/>
        <w:rPr>
          <w:b/>
          <w:sz w:val="24"/>
          <w:lang w:eastAsia="zh-CN"/>
        </w:rPr>
      </w:pPr>
      <w:r>
        <w:rPr>
          <w:rFonts w:hint="eastAsia"/>
          <w:b/>
          <w:sz w:val="24"/>
          <w:lang w:eastAsia="zh-CN"/>
        </w:rPr>
        <w:t>7.5产品质量缺陷责任：</w:t>
      </w:r>
      <w:r>
        <w:rPr>
          <w:b/>
          <w:sz w:val="24"/>
          <w:lang w:eastAsia="zh-CN"/>
        </w:rPr>
        <w:t>在质量保证期过后</w:t>
      </w:r>
      <w:r>
        <w:rPr>
          <w:rFonts w:hint="eastAsia"/>
          <w:b/>
          <w:sz w:val="24"/>
          <w:lang w:eastAsia="zh-CN"/>
        </w:rPr>
        <w:t>甲方</w:t>
      </w:r>
      <w:r>
        <w:rPr>
          <w:b/>
          <w:sz w:val="24"/>
          <w:lang w:eastAsia="zh-CN"/>
        </w:rPr>
        <w:t>发现的比如材质错误等原则性</w:t>
      </w:r>
      <w:r>
        <w:rPr>
          <w:rFonts w:hint="eastAsia"/>
          <w:b/>
          <w:sz w:val="24"/>
          <w:lang w:eastAsia="zh-CN"/>
        </w:rPr>
        <w:t>产品质量缺陷</w:t>
      </w:r>
      <w:r>
        <w:rPr>
          <w:b/>
          <w:sz w:val="24"/>
          <w:lang w:eastAsia="zh-CN"/>
        </w:rPr>
        <w:t>问题，仍属于</w:t>
      </w:r>
      <w:r>
        <w:rPr>
          <w:rFonts w:hint="eastAsia"/>
          <w:b/>
          <w:sz w:val="24"/>
          <w:lang w:eastAsia="zh-CN"/>
        </w:rPr>
        <w:t>乙方</w:t>
      </w:r>
      <w:r>
        <w:rPr>
          <w:b/>
          <w:sz w:val="24"/>
          <w:lang w:eastAsia="zh-CN"/>
        </w:rPr>
        <w:t>的</w:t>
      </w:r>
      <w:r>
        <w:rPr>
          <w:rFonts w:hint="eastAsia"/>
          <w:b/>
          <w:sz w:val="24"/>
          <w:lang w:eastAsia="zh-CN"/>
        </w:rPr>
        <w:t>质量</w:t>
      </w:r>
      <w:r>
        <w:rPr>
          <w:b/>
          <w:sz w:val="24"/>
          <w:lang w:eastAsia="zh-CN"/>
        </w:rPr>
        <w:t>责任，</w:t>
      </w:r>
      <w:r>
        <w:rPr>
          <w:rFonts w:hint="eastAsia"/>
          <w:b/>
          <w:sz w:val="24"/>
          <w:lang w:eastAsia="zh-CN"/>
        </w:rPr>
        <w:t>乙方</w:t>
      </w:r>
      <w:r>
        <w:rPr>
          <w:b/>
          <w:sz w:val="24"/>
          <w:lang w:eastAsia="zh-CN"/>
        </w:rPr>
        <w:t>仍需承担</w:t>
      </w:r>
      <w:r>
        <w:rPr>
          <w:rFonts w:hint="eastAsia"/>
          <w:b/>
          <w:sz w:val="24"/>
          <w:lang w:eastAsia="zh-CN"/>
        </w:rPr>
        <w:t>相应责任</w:t>
      </w:r>
      <w:r>
        <w:rPr>
          <w:b/>
          <w:sz w:val="24"/>
          <w:lang w:eastAsia="zh-CN"/>
        </w:rPr>
        <w:t>，如该货物给</w:t>
      </w:r>
      <w:r>
        <w:rPr>
          <w:rFonts w:hint="eastAsia"/>
          <w:b/>
          <w:sz w:val="24"/>
          <w:lang w:eastAsia="zh-CN"/>
        </w:rPr>
        <w:t>甲方</w:t>
      </w:r>
      <w:r>
        <w:rPr>
          <w:b/>
          <w:sz w:val="24"/>
          <w:lang w:eastAsia="zh-CN"/>
        </w:rPr>
        <w:t>或第三方造成损失的，</w:t>
      </w:r>
      <w:r>
        <w:rPr>
          <w:rFonts w:hint="eastAsia"/>
          <w:b/>
          <w:sz w:val="24"/>
          <w:lang w:eastAsia="zh-CN"/>
        </w:rPr>
        <w:t>乙方</w:t>
      </w:r>
      <w:r>
        <w:rPr>
          <w:b/>
          <w:sz w:val="24"/>
          <w:lang w:eastAsia="zh-CN"/>
        </w:rPr>
        <w:t>还应承担赔偿责任。</w:t>
      </w:r>
    </w:p>
    <w:p>
      <w:pPr>
        <w:spacing w:line="360" w:lineRule="auto"/>
        <w:rPr>
          <w:sz w:val="24"/>
          <w:lang w:eastAsia="zh-CN"/>
        </w:rPr>
      </w:pPr>
      <w:r>
        <w:rPr>
          <w:rFonts w:hint="eastAsia"/>
          <w:sz w:val="24"/>
          <w:lang w:eastAsia="zh-CN"/>
        </w:rPr>
        <w:t>8、违约责任</w:t>
      </w:r>
    </w:p>
    <w:p>
      <w:pPr>
        <w:spacing w:line="360" w:lineRule="auto"/>
        <w:rPr>
          <w:sz w:val="24"/>
          <w:lang w:eastAsia="zh-CN"/>
        </w:rPr>
      </w:pPr>
      <w:r>
        <w:rPr>
          <w:rFonts w:hint="eastAsia"/>
          <w:sz w:val="24"/>
          <w:lang w:eastAsia="zh-CN"/>
        </w:rPr>
        <w:t xml:space="preserve">   8.1乙方逾期交货的，每日按照合同总额的</w:t>
      </w:r>
      <w:r>
        <w:rPr>
          <w:color w:val="FF0000"/>
          <w:sz w:val="24"/>
          <w:u w:val="single"/>
          <w:lang w:eastAsia="zh-CN"/>
        </w:rPr>
        <w:t xml:space="preserve"> </w:t>
      </w:r>
      <w:r>
        <w:rPr>
          <w:rFonts w:hint="eastAsia"/>
          <w:color w:val="FF0000"/>
          <w:sz w:val="24"/>
          <w:u w:val="single"/>
          <w:lang w:eastAsia="zh-CN"/>
        </w:rPr>
        <w:t>1</w:t>
      </w:r>
      <w:r>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日的，甲方有权解除合同，并要求乙方一次性支付合同总额</w:t>
      </w:r>
      <w:r>
        <w:rPr>
          <w:rFonts w:hint="eastAsia"/>
          <w:sz w:val="24"/>
          <w:u w:val="single"/>
          <w:lang w:eastAsia="zh-CN"/>
        </w:rPr>
        <w:t xml:space="preserve"> 20</w:t>
      </w:r>
      <w:r>
        <w:rPr>
          <w:sz w:val="24"/>
          <w:u w:val="single"/>
          <w:lang w:eastAsia="zh-CN"/>
        </w:rPr>
        <w:t xml:space="preserve"> </w:t>
      </w:r>
      <w:r>
        <w:rPr>
          <w:rFonts w:hint="eastAsia"/>
          <w:sz w:val="24"/>
          <w:lang w:eastAsia="zh-CN"/>
        </w:rPr>
        <w:t>%的违约金</w:t>
      </w:r>
      <w:r>
        <w:rPr>
          <w:rFonts w:hint="eastAsia"/>
          <w:szCs w:val="21"/>
          <w:lang w:eastAsia="zh-CN"/>
        </w:rPr>
        <w:t>，</w:t>
      </w:r>
      <w:r>
        <w:rPr>
          <w:rFonts w:hint="eastAsia"/>
          <w:b/>
          <w:sz w:val="24"/>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Pr>
          <w:rFonts w:hint="eastAsia"/>
          <w:b/>
          <w:sz w:val="24"/>
          <w:lang w:eastAsia="zh-CN"/>
        </w:rPr>
        <w:t>如甲方选择退货，即解除或部分解除合同的，乙方应退还所有甲方已付款项，甲方并有权要求乙方支付解除部分对应货值</w:t>
      </w:r>
      <w:r>
        <w:rPr>
          <w:rFonts w:hint="eastAsia"/>
          <w:b/>
          <w:sz w:val="24"/>
          <w:u w:val="single"/>
          <w:lang w:eastAsia="zh-CN"/>
        </w:rPr>
        <w:t xml:space="preserve"> 20 </w:t>
      </w:r>
      <w:r>
        <w:rPr>
          <w:rFonts w:hint="eastAsia"/>
          <w:b/>
          <w:sz w:val="24"/>
          <w:lang w:eastAsia="zh-CN"/>
        </w:rPr>
        <w:t>%的违约金，如违约金不足以弥补甲方损失（包括但不限于甲方重新采购该货物所增加的费用），乙方还应对不足部分承担赔偿责任</w:t>
      </w:r>
      <w:r>
        <w:rPr>
          <w:rFonts w:hint="eastAsia"/>
          <w:sz w:val="24"/>
          <w:lang w:eastAsia="zh-CN"/>
        </w:rPr>
        <w:t>。</w:t>
      </w:r>
    </w:p>
    <w:p>
      <w:pPr>
        <w:spacing w:line="360" w:lineRule="auto"/>
        <w:rPr>
          <w:sz w:val="24"/>
          <w:lang w:eastAsia="zh-CN"/>
        </w:rPr>
      </w:pPr>
      <w:r>
        <w:rPr>
          <w:rFonts w:hint="eastAsia"/>
          <w:sz w:val="24"/>
          <w:lang w:eastAsia="zh-CN"/>
        </w:rPr>
        <w:t xml:space="preserve">   8.3 甲方无故逾期付款的，按照全国银行间同业拆借中心公布的贷款市场报价利率支付利息。</w:t>
      </w:r>
    </w:p>
    <w:p>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pPr>
        <w:spacing w:line="360" w:lineRule="auto"/>
        <w:ind w:firstLine="120" w:firstLineChars="50"/>
        <w:rPr>
          <w:sz w:val="24"/>
          <w:lang w:eastAsia="zh-CN"/>
        </w:rPr>
      </w:pPr>
      <w:r>
        <w:rPr>
          <w:rFonts w:hint="eastAsia"/>
          <w:sz w:val="24"/>
          <w:lang w:eastAsia="zh-CN"/>
        </w:rPr>
        <w:t>9、法律的适用及争议解决方式</w:t>
      </w:r>
    </w:p>
    <w:p>
      <w:pPr>
        <w:spacing w:line="360" w:lineRule="auto"/>
        <w:ind w:firstLine="360" w:firstLineChars="150"/>
        <w:rPr>
          <w:sz w:val="24"/>
          <w:lang w:eastAsia="zh-CN"/>
        </w:rPr>
      </w:pPr>
      <w:r>
        <w:rPr>
          <w:rFonts w:hint="eastAsia"/>
          <w:sz w:val="24"/>
          <w:lang w:eastAsia="zh-CN"/>
        </w:rPr>
        <w:t>9.1、本合同的效力、解释及履行均适用中华人民共和国法律。</w:t>
      </w:r>
    </w:p>
    <w:p>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 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numPr>
          <w:ilvl w:val="0"/>
          <w:numId w:val="4"/>
        </w:numPr>
        <w:spacing w:line="360" w:lineRule="auto"/>
        <w:ind w:firstLine="480" w:firstLineChars="200"/>
        <w:rPr>
          <w:rFonts w:hint="eastAsia"/>
          <w:sz w:val="24"/>
          <w:lang w:eastAsia="zh-CN"/>
        </w:rPr>
      </w:pPr>
      <w:r>
        <w:rPr>
          <w:rFonts w:hint="eastAsia"/>
          <w:sz w:val="24"/>
          <w:lang w:eastAsia="zh-CN"/>
        </w:rPr>
        <w:t>本合同一式四份，经双方签订后生效，甲方执三份、乙方执一份，具有同等效力。</w:t>
      </w:r>
    </w:p>
    <w:p>
      <w:pPr>
        <w:pStyle w:val="2"/>
        <w:widowControl w:val="0"/>
        <w:numPr>
          <w:numId w:val="0"/>
        </w:numPr>
        <w:adjustRightInd w:val="0"/>
        <w:spacing w:line="312" w:lineRule="atLeast"/>
        <w:jc w:val="both"/>
        <w:textAlignment w:val="baseline"/>
        <w:rPr>
          <w:lang w:eastAsia="zh-CN"/>
        </w:rPr>
      </w:pPr>
    </w:p>
    <w:p>
      <w:pPr>
        <w:pStyle w:val="2"/>
        <w:widowControl w:val="0"/>
        <w:numPr>
          <w:numId w:val="0"/>
        </w:numPr>
        <w:adjustRightInd w:val="0"/>
        <w:spacing w:line="312" w:lineRule="atLeast"/>
        <w:jc w:val="both"/>
        <w:textAlignment w:val="baseline"/>
        <w:rPr>
          <w:lang w:eastAsia="zh-CN"/>
        </w:rPr>
      </w:pPr>
    </w:p>
    <w:p>
      <w:pPr>
        <w:pStyle w:val="2"/>
        <w:widowControl w:val="0"/>
        <w:numPr>
          <w:numId w:val="0"/>
        </w:numPr>
        <w:adjustRightInd w:val="0"/>
        <w:spacing w:line="312" w:lineRule="atLeast"/>
        <w:jc w:val="both"/>
        <w:textAlignment w:val="baseline"/>
        <w:rPr>
          <w:lang w:eastAsia="zh-CN"/>
        </w:rPr>
      </w:pPr>
    </w:p>
    <w:tbl>
      <w:tblPr>
        <w:tblStyle w:val="31"/>
        <w:tblW w:w="9781"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lang w:eastAsia="zh-CN"/>
              </w:rPr>
            </w:pPr>
            <w:r>
              <w:rPr>
                <w:rFonts w:hint="eastAsia"/>
                <w:sz w:val="24"/>
                <w:lang w:eastAsia="zh-CN"/>
              </w:rPr>
              <w:t>甲方：腾龙芳烃（漳州）有限公司</w:t>
            </w:r>
          </w:p>
        </w:tc>
        <w:tc>
          <w:tcPr>
            <w:tcW w:w="4821" w:type="dxa"/>
            <w:vAlign w:val="center"/>
          </w:tcPr>
          <w:p>
            <w:pPr>
              <w:spacing w:line="360" w:lineRule="auto"/>
              <w:jc w:val="both"/>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联系地址：</w:t>
            </w:r>
          </w:p>
        </w:tc>
        <w:tc>
          <w:tcPr>
            <w:tcW w:w="4821" w:type="dxa"/>
            <w:vAlign w:val="center"/>
          </w:tcPr>
          <w:p>
            <w:pPr>
              <w:spacing w:line="360" w:lineRule="auto"/>
              <w:jc w:val="both"/>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邮编：</w:t>
            </w:r>
          </w:p>
        </w:tc>
        <w:tc>
          <w:tcPr>
            <w:tcW w:w="4821" w:type="dxa"/>
            <w:vAlign w:val="center"/>
          </w:tcPr>
          <w:p>
            <w:pPr>
              <w:spacing w:line="360" w:lineRule="auto"/>
              <w:jc w:val="both"/>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传真：</w:t>
            </w:r>
          </w:p>
        </w:tc>
        <w:tc>
          <w:tcPr>
            <w:tcW w:w="4821" w:type="dxa"/>
            <w:vAlign w:val="center"/>
          </w:tcPr>
          <w:p>
            <w:pPr>
              <w:spacing w:line="360" w:lineRule="auto"/>
              <w:jc w:val="both"/>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电子邮箱：</w:t>
            </w:r>
          </w:p>
        </w:tc>
        <w:tc>
          <w:tcPr>
            <w:tcW w:w="4821" w:type="dxa"/>
            <w:vAlign w:val="center"/>
          </w:tcPr>
          <w:p>
            <w:pPr>
              <w:spacing w:line="360" w:lineRule="auto"/>
              <w:jc w:val="both"/>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委托代理人：</w:t>
            </w:r>
          </w:p>
        </w:tc>
        <w:tc>
          <w:tcPr>
            <w:tcW w:w="4821" w:type="dxa"/>
            <w:vAlign w:val="center"/>
          </w:tcPr>
          <w:p>
            <w:pPr>
              <w:spacing w:line="360" w:lineRule="auto"/>
              <w:jc w:val="both"/>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电话：</w:t>
            </w:r>
          </w:p>
        </w:tc>
        <w:tc>
          <w:tcPr>
            <w:tcW w:w="4821" w:type="dxa"/>
            <w:vAlign w:val="center"/>
          </w:tcPr>
          <w:p>
            <w:pPr>
              <w:spacing w:line="360" w:lineRule="auto"/>
              <w:jc w:val="both"/>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开户银行：</w:t>
            </w:r>
          </w:p>
        </w:tc>
        <w:tc>
          <w:tcPr>
            <w:tcW w:w="4821" w:type="dxa"/>
            <w:vAlign w:val="center"/>
          </w:tcPr>
          <w:p>
            <w:pPr>
              <w:spacing w:line="360" w:lineRule="auto"/>
              <w:jc w:val="both"/>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账号：</w:t>
            </w:r>
          </w:p>
        </w:tc>
        <w:tc>
          <w:tcPr>
            <w:tcW w:w="4821" w:type="dxa"/>
            <w:vAlign w:val="center"/>
          </w:tcPr>
          <w:p>
            <w:pPr>
              <w:spacing w:line="360" w:lineRule="auto"/>
              <w:jc w:val="both"/>
              <w:rPr>
                <w:sz w:val="24"/>
              </w:rPr>
            </w:pPr>
            <w:r>
              <w:rPr>
                <w:rFonts w:hint="eastAsia"/>
                <w:sz w:val="24"/>
              </w:rPr>
              <w:t>账号：</w:t>
            </w:r>
          </w:p>
        </w:tc>
      </w:tr>
    </w:tbl>
    <w:p>
      <w:pPr>
        <w:pStyle w:val="10"/>
        <w:rPr>
          <w:rFonts w:ascii="Times New Roman"/>
          <w:b/>
          <w:bCs/>
          <w:lang w:eastAsia="zh-CN"/>
        </w:rPr>
      </w:pPr>
    </w:p>
    <w:p>
      <w:pPr>
        <w:pStyle w:val="10"/>
        <w:rPr>
          <w:rFonts w:ascii="Times New Roman"/>
          <w:b/>
          <w:bCs/>
          <w:lang w:eastAsia="zh-CN"/>
        </w:rPr>
      </w:pPr>
    </w:p>
    <w:p>
      <w:pPr>
        <w:pStyle w:val="10"/>
        <w:rPr>
          <w:rFonts w:ascii="Times New Roman"/>
          <w:b/>
          <w:bCs/>
          <w:lang w:eastAsia="zh-CN"/>
        </w:rPr>
      </w:pPr>
    </w:p>
    <w:p>
      <w:pPr>
        <w:pStyle w:val="10"/>
        <w:rPr>
          <w:rFonts w:ascii="Times New Roman"/>
          <w:b/>
          <w:bCs/>
          <w:lang w:eastAsia="zh-CN"/>
        </w:rPr>
      </w:pPr>
    </w:p>
    <w:p>
      <w:pPr>
        <w:pStyle w:val="10"/>
        <w:rPr>
          <w:rFonts w:ascii="Times New Roman"/>
          <w:b/>
          <w:bCs/>
          <w:lang w:eastAsia="zh-CN"/>
        </w:rPr>
      </w:pPr>
    </w:p>
    <w:p>
      <w:pPr>
        <w:pStyle w:val="10"/>
        <w:rPr>
          <w:rFonts w:ascii="Times New Roman"/>
          <w:b/>
          <w:bCs/>
          <w:lang w:eastAsia="zh-CN"/>
        </w:rPr>
      </w:pPr>
    </w:p>
    <w:p>
      <w:pPr>
        <w:pStyle w:val="10"/>
        <w:rPr>
          <w:rFonts w:ascii="Times New Roman"/>
          <w:b/>
          <w:bCs/>
          <w:lang w:eastAsia="zh-CN"/>
        </w:rPr>
      </w:pPr>
    </w:p>
    <w:p>
      <w:pPr>
        <w:pStyle w:val="10"/>
        <w:rPr>
          <w:rFonts w:ascii="Times New Roman"/>
          <w:b/>
          <w:bCs/>
          <w:lang w:eastAsia="zh-CN"/>
        </w:rPr>
      </w:pPr>
    </w:p>
    <w:p>
      <w:pPr>
        <w:pStyle w:val="10"/>
        <w:rPr>
          <w:rFonts w:ascii="Times New Roman"/>
          <w:b/>
          <w:bCs/>
          <w:lang w:eastAsia="zh-CN"/>
        </w:rPr>
      </w:pPr>
    </w:p>
    <w:p>
      <w:pPr>
        <w:pStyle w:val="10"/>
        <w:rPr>
          <w:rFonts w:ascii="Times New Roman"/>
          <w:b/>
          <w:bCs/>
          <w:lang w:eastAsia="zh-CN"/>
        </w:rPr>
      </w:pPr>
    </w:p>
    <w:p>
      <w:pPr>
        <w:pStyle w:val="10"/>
        <w:rPr>
          <w:rFonts w:ascii="Times New Roman"/>
          <w:b/>
          <w:bCs/>
          <w:lang w:eastAsia="zh-CN"/>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bookmarkStart w:id="13" w:name="_GoBack"/>
      <w:bookmarkEnd w:id="13"/>
    </w:p>
    <w:p>
      <w:pPr>
        <w:pStyle w:val="2"/>
        <w:rPr>
          <w:b/>
          <w:sz w:val="28"/>
          <w:szCs w:val="28"/>
        </w:rPr>
      </w:pPr>
    </w:p>
    <w:p>
      <w:pPr>
        <w:tabs>
          <w:tab w:val="left" w:pos="1260"/>
          <w:tab w:val="left" w:pos="1800"/>
        </w:tabs>
        <w:spacing w:line="360" w:lineRule="auto"/>
        <w:ind w:firstLine="723" w:firstLineChars="225"/>
        <w:rPr>
          <w:b/>
          <w:color w:val="000000"/>
          <w:sz w:val="32"/>
          <w:szCs w:val="32"/>
          <w:lang w:eastAsia="zh-CN"/>
        </w:rPr>
      </w:pPr>
      <w:r>
        <w:rPr>
          <w:rFonts w:hint="eastAsia"/>
          <w:b/>
          <w:color w:val="000000"/>
          <w:sz w:val="32"/>
          <w:szCs w:val="32"/>
          <w:lang w:eastAsia="zh-CN"/>
        </w:rPr>
        <w:t>附件二：参选文件格式</w:t>
      </w:r>
    </w:p>
    <w:p>
      <w:pPr>
        <w:pStyle w:val="2"/>
        <w:rPr>
          <w:b/>
          <w:bCs/>
          <w:sz w:val="36"/>
          <w:szCs w:val="36"/>
        </w:rPr>
      </w:pP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36"/>
          <w:szCs w:val="36"/>
          <w:lang w:eastAsia="zh-CN"/>
        </w:rPr>
      </w:pPr>
    </w:p>
    <w:p>
      <w:pPr>
        <w:spacing w:line="1000" w:lineRule="exact"/>
        <w:jc w:val="center"/>
        <w:rPr>
          <w:rFonts w:ascii="Times New Roman" w:hAnsi="Times New Roman" w:cs="Times New Roman"/>
          <w:b/>
          <w:bCs/>
          <w:sz w:val="44"/>
          <w:szCs w:val="44"/>
          <w:lang w:eastAsia="zh-CN"/>
        </w:rPr>
      </w:pPr>
      <w:r>
        <w:rPr>
          <w:rFonts w:hint="eastAsia" w:ascii="Times New Roman" w:hAnsi="Times New Roman" w:cs="Times New Roman"/>
          <w:b/>
          <w:bCs/>
          <w:sz w:val="44"/>
          <w:szCs w:val="44"/>
          <w:u w:val="single"/>
          <w:lang w:eastAsia="zh-CN"/>
        </w:rPr>
        <w:t>沉浸式水中油分析仪</w:t>
      </w:r>
      <w:r>
        <w:rPr>
          <w:rFonts w:hint="eastAsia" w:ascii="Times New Roman" w:hAnsi="Times New Roman" w:cs="Times New Roman"/>
          <w:b/>
          <w:bCs/>
          <w:sz w:val="44"/>
          <w:szCs w:val="44"/>
          <w:lang w:eastAsia="zh-CN"/>
        </w:rPr>
        <w:t>采购项目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2"/>
        <w:rPr>
          <w:rFonts w:ascii="Times New Roman" w:hAnsi="Times New Roman"/>
        </w:rPr>
      </w:pPr>
    </w:p>
    <w:p>
      <w:pPr>
        <w:pStyle w:val="13"/>
        <w:rPr>
          <w:rFonts w:ascii="Times New Roman" w:hAnsi="Times New Roman" w:cs="Times New Roman"/>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6"/>
          <w:lang w:eastAsia="zh-CN"/>
        </w:rPr>
      </w:pPr>
    </w:p>
    <w:p>
      <w:pPr>
        <w:pStyle w:val="13"/>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13"/>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w:t>
      </w:r>
      <w:r>
        <w:rPr>
          <w:rFonts w:hint="eastAsia" w:ascii="Times New Roman" w:hAnsi="Times New Roman" w:cs="Times New Roman"/>
          <w:b/>
          <w:bCs/>
          <w:w w:val="95"/>
          <w:sz w:val="32"/>
          <w:lang w:eastAsia="zh-CN"/>
        </w:rPr>
        <w:t>3</w:t>
      </w:r>
      <w:r>
        <w:rPr>
          <w:rFonts w:ascii="Times New Roman" w:hAnsi="Times New Roman" w:cs="Times New Roman"/>
          <w:b/>
          <w:bCs/>
          <w:w w:val="95"/>
          <w:sz w:val="32"/>
          <w:lang w:eastAsia="zh-CN"/>
        </w:rPr>
        <w:t>年</w:t>
      </w:r>
      <w:r>
        <w:rPr>
          <w:rFonts w:hint="eastAsia" w:ascii="Times New Roman" w:hAnsi="Times New Roman" w:cs="Times New Roman"/>
          <w:b/>
          <w:bCs/>
          <w:w w:val="95"/>
          <w:sz w:val="32"/>
          <w:lang w:eastAsia="zh-CN"/>
        </w:rPr>
        <w:t>01</w:t>
      </w:r>
      <w:r>
        <w:rPr>
          <w:rFonts w:ascii="Times New Roman" w:hAnsi="Times New Roman" w:cs="Times New Roman"/>
          <w:b/>
          <w:bCs/>
          <w:w w:val="95"/>
          <w:sz w:val="32"/>
          <w:lang w:eastAsia="zh-CN"/>
        </w:rPr>
        <w:t>月</w:t>
      </w:r>
    </w:p>
    <w:p>
      <w:pPr>
        <w:rPr>
          <w:rFonts w:ascii="Times New Roman" w:hAnsi="Times New Roman" w:cs="Times New Roman"/>
          <w:lang w:eastAsia="zh-CN"/>
        </w:rPr>
      </w:pPr>
    </w:p>
    <w:p>
      <w:pPr>
        <w:pStyle w:val="2"/>
        <w:rPr>
          <w:rFonts w:ascii="Times New Roman" w:hAnsi="Times New Roman"/>
        </w:rPr>
      </w:pPr>
    </w:p>
    <w:p>
      <w:pPr>
        <w:pStyle w:val="2"/>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1312"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1312;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LsDPNAsAgAASAQAAA4AAAAAAAAAAQAgAAAAJgEAAGRycy9lMm9Eb2MueG1sUEsF&#10;BgAAAAAGAAYAWQEAAMQFA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35"/>
        <w:spacing w:beforeLines="0" w:afterLines="0" w:line="240" w:lineRule="auto"/>
        <w:ind w:firstLine="618" w:firstLineChars="221"/>
        <w:rPr>
          <w:rFonts w:ascii="Times New Roman" w:hAnsi="Times New Roman" w:cs="Times New Roman"/>
          <w:bCs w:val="0"/>
          <w:color w:val="C00000"/>
          <w:lang w:eastAsia="zh-CN"/>
        </w:rPr>
      </w:pPr>
    </w:p>
    <w:p>
      <w:pPr>
        <w:pStyle w:val="35"/>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35"/>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35"/>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2"/>
        <w:rPr>
          <w:rFonts w:ascii="Times New Roman" w:hAnsi="Times New Roman"/>
        </w:rPr>
      </w:pPr>
    </w:p>
    <w:p>
      <w:pPr>
        <w:spacing w:line="1000" w:lineRule="exact"/>
        <w:jc w:val="center"/>
        <w:rPr>
          <w:rFonts w:ascii="Times New Roman" w:hAnsi="Times New Roman" w:cs="Times New Roman"/>
          <w:b/>
          <w:sz w:val="44"/>
          <w:szCs w:val="44"/>
          <w:lang w:eastAsia="zh-CN"/>
        </w:rPr>
      </w:pPr>
    </w:p>
    <w:p>
      <w:pPr>
        <w:spacing w:line="1000" w:lineRule="exact"/>
        <w:rPr>
          <w:rFonts w:ascii="Times New Roman" w:hAnsi="Times New Roman" w:cs="Times New Roman"/>
          <w:b/>
          <w:sz w:val="44"/>
          <w:szCs w:val="44"/>
          <w:lang w:eastAsia="zh-CN"/>
        </w:rPr>
      </w:pPr>
      <w:r>
        <w:rPr>
          <w:rFonts w:hint="eastAsia" w:ascii="Times New Roman" w:hAnsi="Times New Roman" w:cs="Times New Roman"/>
          <w:b/>
          <w:sz w:val="44"/>
          <w:szCs w:val="44"/>
          <w:lang w:eastAsia="zh-CN"/>
        </w:rPr>
        <w:t>附件1</w:t>
      </w: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30"/>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hint="eastAsia" w:ascii="Times New Roman" w:hAnsi="Times New Roman" w:cs="Times New Roman"/>
                <w:sz w:val="24"/>
                <w:lang w:eastAsia="zh-CN"/>
              </w:rPr>
              <w:t>8</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p>
    <w:p>
      <w:pPr>
        <w:spacing w:line="500" w:lineRule="exact"/>
        <w:rPr>
          <w:b/>
          <w:bCs/>
          <w:sz w:val="36"/>
          <w:szCs w:val="36"/>
          <w:lang w:eastAsia="zh-CN"/>
        </w:rPr>
      </w:pPr>
      <w:r>
        <w:rPr>
          <w:rFonts w:hint="eastAsia"/>
          <w:b/>
          <w:bCs/>
          <w:sz w:val="36"/>
          <w:szCs w:val="36"/>
          <w:lang w:eastAsia="zh-CN"/>
        </w:rPr>
        <w:t>附件2</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hAnsi="宋体" w:cs="宋体"/>
          <w:kern w:val="2"/>
          <w:sz w:val="24"/>
          <w:szCs w:val="24"/>
        </w:rPr>
        <w:t xml:space="preserve"> 参  选  人</w:t>
      </w:r>
      <w:r>
        <w:rPr>
          <w:rFonts w:hint="eastAsia" w:ascii="Times New Roman" w:hAnsi="Times New Roman"/>
          <w:kern w:val="2"/>
          <w:sz w:val="24"/>
          <w:szCs w:val="24"/>
        </w:rPr>
        <w:t>：</w:t>
      </w:r>
      <w:r>
        <w:rPr>
          <w:rFonts w:hint="eastAsia" w:hAnsi="宋体"/>
          <w:color w:val="00B050"/>
          <w:kern w:val="2"/>
          <w:sz w:val="28"/>
          <w:szCs w:val="28"/>
        </w:rPr>
        <w:t>（单位名称）</w:t>
      </w:r>
    </w:p>
    <w:p>
      <w:pPr>
        <w:pStyle w:val="2"/>
        <w:ind w:firstLine="3960" w:firstLineChars="1650"/>
        <w:jc w:val="left"/>
        <w:rPr>
          <w:rFonts w:hAnsi="宋体" w:cs="宋体"/>
          <w:sz w:val="24"/>
          <w:szCs w:val="24"/>
        </w:rPr>
      </w:pPr>
      <w:r>
        <w:rPr>
          <w:rFonts w:hint="eastAsia" w:hAnsi="宋体" w:cs="宋体"/>
          <w:sz w:val="24"/>
          <w:szCs w:val="24"/>
        </w:rPr>
        <w:t>法定代表人：</w:t>
      </w:r>
    </w:p>
    <w:p>
      <w:pPr>
        <w:spacing w:line="500" w:lineRule="exact"/>
        <w:jc w:val="both"/>
        <w:rPr>
          <w:b/>
          <w:sz w:val="28"/>
          <w:szCs w:val="28"/>
          <w:lang w:eastAsia="zh-CN"/>
        </w:rPr>
      </w:pPr>
    </w:p>
    <w:p>
      <w:pPr>
        <w:spacing w:line="500" w:lineRule="exact"/>
        <w:jc w:val="both"/>
        <w:rPr>
          <w:b/>
          <w:sz w:val="28"/>
          <w:szCs w:val="28"/>
          <w:lang w:eastAsia="zh-CN"/>
        </w:rPr>
      </w:pPr>
    </w:p>
    <w:p>
      <w:pPr>
        <w:spacing w:line="500" w:lineRule="exact"/>
        <w:jc w:val="both"/>
        <w:rPr>
          <w:b/>
          <w:sz w:val="28"/>
          <w:szCs w:val="28"/>
          <w:lang w:eastAsia="zh-CN"/>
        </w:rPr>
      </w:pPr>
    </w:p>
    <w:p>
      <w:pPr>
        <w:spacing w:line="500" w:lineRule="exact"/>
        <w:jc w:val="both"/>
        <w:rPr>
          <w:b/>
          <w:bCs/>
          <w:sz w:val="28"/>
          <w:szCs w:val="28"/>
          <w:lang w:eastAsia="zh-CN"/>
        </w:rPr>
      </w:pPr>
      <w:r>
        <w:rPr>
          <w:rFonts w:hint="eastAsia"/>
          <w:b/>
          <w:bCs/>
          <w:sz w:val="28"/>
          <w:szCs w:val="28"/>
          <w:lang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sz w:val="24"/>
          <w:szCs w:val="24"/>
          <w:u w:val="single"/>
          <w:lang w:eastAsia="zh-CN"/>
        </w:rPr>
        <w:t>沉浸式水中油分析仪采购</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2023年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31"/>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31"/>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rPr>
          <w:color w:val="0000FF"/>
          <w:kern w:val="2"/>
        </w:rPr>
      </w:pPr>
    </w:p>
    <w:p>
      <w:pPr>
        <w:pStyle w:val="2"/>
        <w:jc w:val="center"/>
        <w:rPr>
          <w:color w:val="0000FF"/>
          <w:kern w:val="2"/>
        </w:rPr>
      </w:pPr>
    </w:p>
    <w:p>
      <w:pPr>
        <w:pStyle w:val="2"/>
        <w:jc w:val="center"/>
        <w:rPr>
          <w:color w:val="0000FF"/>
          <w:kern w:val="2"/>
        </w:rPr>
      </w:pPr>
    </w:p>
    <w:p>
      <w:pPr>
        <w:pStyle w:val="2"/>
      </w:pPr>
      <w:r>
        <w:rPr>
          <w:rFonts w:hint="eastAsia"/>
          <w:b/>
          <w:sz w:val="28"/>
          <w:szCs w:val="28"/>
        </w:rPr>
        <w:t>附件4</w:t>
      </w:r>
    </w:p>
    <w:p>
      <w:pPr>
        <w:pStyle w:val="2"/>
      </w:pPr>
    </w:p>
    <w:p>
      <w:pPr>
        <w:pStyle w:val="35"/>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sz w:val="24"/>
          <w:lang w:eastAsia="zh-CN"/>
        </w:rPr>
      </w:pPr>
      <w:r>
        <w:rPr>
          <w:rFonts w:hint="eastAsia"/>
          <w:sz w:val="24"/>
          <w:lang w:eastAsia="zh-CN"/>
        </w:rPr>
        <w:t>致：福建福海创石油化工有限公司</w:t>
      </w:r>
    </w:p>
    <w:p>
      <w:pPr>
        <w:pStyle w:val="2"/>
      </w:pPr>
    </w:p>
    <w:p>
      <w:pPr>
        <w:spacing w:line="500" w:lineRule="exact"/>
        <w:ind w:firstLine="480" w:firstLineChars="200"/>
        <w:rPr>
          <w:sz w:val="24"/>
          <w:lang w:eastAsia="zh-CN"/>
        </w:rPr>
      </w:pPr>
      <w:r>
        <w:rPr>
          <w:rFonts w:hint="eastAsia"/>
          <w:sz w:val="24"/>
          <w:lang w:eastAsia="zh-CN"/>
        </w:rPr>
        <w:t>我公司对贵司</w:t>
      </w:r>
      <w:r>
        <w:rPr>
          <w:rFonts w:hint="eastAsia" w:asciiTheme="minorEastAsia" w:hAnsiTheme="minorEastAsia" w:eastAsiaTheme="minorEastAsia"/>
          <w:sz w:val="24"/>
          <w:szCs w:val="24"/>
          <w:u w:val="single"/>
          <w:lang w:eastAsia="zh-CN"/>
        </w:rPr>
        <w:t>沉浸式水中油分析仪采购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5"/>
        <w:spacing w:beforeLines="0" w:afterLines="0" w:line="240" w:lineRule="auto"/>
        <w:ind w:firstLine="0" w:firstLineChars="0"/>
        <w:rPr>
          <w:rFonts w:cs="Times New Roman"/>
          <w:b/>
          <w:bCs w:val="0"/>
          <w:lang w:eastAsia="zh-CN"/>
        </w:rPr>
      </w:pPr>
      <w:r>
        <w:rPr>
          <w:rFonts w:hint="eastAsia" w:cs="Times New Roman"/>
          <w:b/>
          <w:bCs w:val="0"/>
          <w:lang w:eastAsia="zh-CN"/>
        </w:rPr>
        <w:t>附件5</w:t>
      </w:r>
    </w:p>
    <w:p>
      <w:pPr>
        <w:pStyle w:val="35"/>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35"/>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35"/>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asciiTheme="minorEastAsia" w:hAnsiTheme="minorEastAsia" w:eastAsiaTheme="minorEastAsia"/>
          <w:sz w:val="24"/>
          <w:szCs w:val="24"/>
          <w:u w:val="single"/>
          <w:lang w:eastAsia="zh-CN"/>
        </w:rPr>
        <w:t>沉浸式水中油分析仪</w:t>
      </w:r>
      <w:r>
        <w:rPr>
          <w:rFonts w:hint="eastAsia" w:asciiTheme="majorEastAsia" w:hAnsiTheme="majorEastAsia" w:eastAsiaTheme="majorEastAsia"/>
          <w:sz w:val="24"/>
          <w:szCs w:val="24"/>
          <w:u w:val="single"/>
          <w:lang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 xml:space="preserve">元 </w:t>
      </w:r>
    </w:p>
    <w:p>
      <w:pPr>
        <w:pStyle w:val="2"/>
        <w:spacing w:line="360" w:lineRule="auto"/>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pPr>
        <w:pStyle w:val="2"/>
        <w:spacing w:line="360" w:lineRule="auto"/>
        <w:rPr>
          <w:sz w:val="24"/>
          <w:szCs w:val="24"/>
        </w:rPr>
      </w:pPr>
      <w:r>
        <w:rPr>
          <w:rFonts w:hint="eastAsia"/>
          <w:sz w:val="24"/>
          <w:szCs w:val="24"/>
        </w:rPr>
        <w:t xml:space="preserve">           2、付款方式：1）无预付款 ；</w:t>
      </w:r>
    </w:p>
    <w:p>
      <w:pPr>
        <w:pStyle w:val="2"/>
        <w:spacing w:line="360" w:lineRule="auto"/>
        <w:rPr>
          <w:sz w:val="24"/>
          <w:szCs w:val="24"/>
        </w:rPr>
      </w:pPr>
      <w:r>
        <w:rPr>
          <w:rFonts w:hint="eastAsia"/>
          <w:sz w:val="24"/>
          <w:szCs w:val="24"/>
        </w:rPr>
        <w:t xml:space="preserve">                        2）货到现场，验收合格后支付合同款的90%；</w:t>
      </w:r>
    </w:p>
    <w:p>
      <w:pPr>
        <w:pStyle w:val="2"/>
        <w:spacing w:line="360" w:lineRule="auto"/>
        <w:ind w:left="3240" w:hanging="3240" w:hangingChars="1350"/>
        <w:rPr>
          <w:sz w:val="24"/>
          <w:szCs w:val="24"/>
        </w:rPr>
      </w:pPr>
      <w:r>
        <w:rPr>
          <w:rFonts w:hint="eastAsia"/>
          <w:sz w:val="24"/>
          <w:szCs w:val="24"/>
        </w:rPr>
        <w:t xml:space="preserve">                        3）合同款的10%为质保金，质保期为12个月。</w:t>
      </w:r>
    </w:p>
    <w:p>
      <w:pPr>
        <w:pStyle w:val="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2"/>
        <w:spacing w:line="360" w:lineRule="auto"/>
        <w:ind w:left="1258" w:leftChars="572"/>
        <w:rPr>
          <w:sz w:val="24"/>
          <w:szCs w:val="24"/>
          <w:u w:val="single"/>
        </w:rPr>
      </w:pPr>
      <w:r>
        <w:rPr>
          <w:rFonts w:hint="eastAsia"/>
          <w:sz w:val="24"/>
          <w:szCs w:val="24"/>
        </w:rPr>
        <w:t>4、仪器品牌：</w:t>
      </w:r>
      <w:r>
        <w:rPr>
          <w:rFonts w:hint="eastAsia"/>
          <w:sz w:val="24"/>
          <w:szCs w:val="24"/>
          <w:u w:val="single"/>
        </w:rPr>
        <w:t xml:space="preserve">                 </w:t>
      </w:r>
    </w:p>
    <w:p>
      <w:pPr>
        <w:pStyle w:val="2"/>
        <w:spacing w:line="360" w:lineRule="auto"/>
        <w:ind w:firstLine="480" w:firstLineChars="200"/>
        <w:rPr>
          <w:sz w:val="24"/>
          <w:szCs w:val="24"/>
        </w:rPr>
      </w:pP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35"/>
        <w:spacing w:beforeLines="0" w:afterLines="0"/>
        <w:ind w:firstLine="0" w:firstLineChars="0"/>
        <w:rPr>
          <w:lang w:eastAsia="zh-CN"/>
        </w:rPr>
      </w:pPr>
    </w:p>
    <w:p>
      <w:pPr>
        <w:spacing w:line="360" w:lineRule="auto"/>
        <w:ind w:firstLine="480" w:firstLineChars="200"/>
        <w:rPr>
          <w:sz w:val="24"/>
          <w:szCs w:val="24"/>
          <w:lang w:eastAsia="zh-CN"/>
        </w:rPr>
      </w:pPr>
      <w:r>
        <w:rPr>
          <w:rFonts w:hint="eastAsia"/>
          <w:sz w:val="24"/>
          <w:szCs w:val="24"/>
          <w:lang w:eastAsia="zh-CN"/>
        </w:rPr>
        <w:t>附表：</w:t>
      </w:r>
    </w:p>
    <w:tbl>
      <w:tblPr>
        <w:tblStyle w:val="30"/>
        <w:tblpPr w:leftFromText="180" w:rightFromText="180" w:vertAnchor="text" w:horzAnchor="margin" w:tblpXSpec="center" w:tblpY="377"/>
        <w:tblW w:w="10084" w:type="dxa"/>
        <w:tblInd w:w="0" w:type="dxa"/>
        <w:tblLayout w:type="fixed"/>
        <w:tblCellMar>
          <w:top w:w="0" w:type="dxa"/>
          <w:left w:w="108" w:type="dxa"/>
          <w:bottom w:w="0" w:type="dxa"/>
          <w:right w:w="108" w:type="dxa"/>
        </w:tblCellMar>
      </w:tblPr>
      <w:tblGrid>
        <w:gridCol w:w="388"/>
        <w:gridCol w:w="1450"/>
        <w:gridCol w:w="3546"/>
        <w:gridCol w:w="700"/>
        <w:gridCol w:w="975"/>
        <w:gridCol w:w="1007"/>
        <w:gridCol w:w="2018"/>
      </w:tblGrid>
      <w:tr>
        <w:tblPrEx>
          <w:tblLayout w:type="fixed"/>
          <w:tblCellMar>
            <w:top w:w="0" w:type="dxa"/>
            <w:left w:w="108" w:type="dxa"/>
            <w:bottom w:w="0" w:type="dxa"/>
            <w:right w:w="108" w:type="dxa"/>
          </w:tblCellMar>
        </w:tblPrEx>
        <w:trPr>
          <w:trHeight w:val="675" w:hRule="atLeast"/>
        </w:trPr>
        <w:tc>
          <w:tcPr>
            <w:tcW w:w="3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序号</w:t>
            </w:r>
          </w:p>
        </w:tc>
        <w:tc>
          <w:tcPr>
            <w:tcW w:w="145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名称</w:t>
            </w:r>
          </w:p>
        </w:tc>
        <w:tc>
          <w:tcPr>
            <w:tcW w:w="3546"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型号规格及品牌</w:t>
            </w:r>
          </w:p>
        </w:tc>
        <w:tc>
          <w:tcPr>
            <w:tcW w:w="70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数量</w:t>
            </w:r>
          </w:p>
        </w:tc>
        <w:tc>
          <w:tcPr>
            <w:tcW w:w="97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单价</w:t>
            </w:r>
          </w:p>
          <w:p>
            <w:pPr>
              <w:pStyle w:val="2"/>
              <w:jc w:val="center"/>
              <w:rPr>
                <w:rFonts w:hAnsi="宋体" w:cs="宋体"/>
                <w:sz w:val="24"/>
                <w:szCs w:val="24"/>
              </w:rPr>
            </w:pPr>
            <w:r>
              <w:rPr>
                <w:rFonts w:hint="eastAsia" w:hAnsi="宋体" w:cs="宋体"/>
                <w:sz w:val="24"/>
                <w:szCs w:val="24"/>
              </w:rPr>
              <w:t>（元）</w:t>
            </w:r>
          </w:p>
        </w:tc>
        <w:tc>
          <w:tcPr>
            <w:tcW w:w="1007"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合计</w:t>
            </w:r>
          </w:p>
          <w:p>
            <w:pPr>
              <w:pStyle w:val="2"/>
              <w:jc w:val="center"/>
              <w:rPr>
                <w:rFonts w:hAnsi="宋体" w:cs="宋体"/>
                <w:sz w:val="24"/>
                <w:szCs w:val="24"/>
              </w:rPr>
            </w:pPr>
            <w:r>
              <w:rPr>
                <w:rFonts w:hint="eastAsia" w:hAnsi="宋体" w:cs="宋体"/>
                <w:sz w:val="24"/>
                <w:szCs w:val="24"/>
              </w:rPr>
              <w:t>（元）</w:t>
            </w:r>
          </w:p>
        </w:tc>
        <w:tc>
          <w:tcPr>
            <w:tcW w:w="2018"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备注</w:t>
            </w:r>
          </w:p>
        </w:tc>
      </w:tr>
      <w:tr>
        <w:tblPrEx>
          <w:tblLayout w:type="fixed"/>
          <w:tblCellMar>
            <w:top w:w="0" w:type="dxa"/>
            <w:left w:w="108" w:type="dxa"/>
            <w:bottom w:w="0" w:type="dxa"/>
            <w:right w:w="108" w:type="dxa"/>
          </w:tblCellMar>
        </w:tblPrEx>
        <w:trPr>
          <w:trHeight w:val="675" w:hRule="atLeast"/>
        </w:trPr>
        <w:tc>
          <w:tcPr>
            <w:tcW w:w="3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1</w:t>
            </w:r>
          </w:p>
        </w:tc>
        <w:tc>
          <w:tcPr>
            <w:tcW w:w="1450" w:type="dxa"/>
            <w:tcBorders>
              <w:top w:val="single" w:color="auto" w:sz="4" w:space="0"/>
              <w:left w:val="nil"/>
              <w:bottom w:val="single" w:color="auto" w:sz="4" w:space="0"/>
              <w:right w:val="single" w:color="auto" w:sz="4" w:space="0"/>
            </w:tcBorders>
            <w:shd w:val="clear" w:color="auto" w:fill="auto"/>
            <w:vAlign w:val="center"/>
          </w:tcPr>
          <w:p>
            <w:pPr>
              <w:pStyle w:val="2"/>
              <w:jc w:val="center"/>
              <w:rPr>
                <w:rFonts w:hAnsi="宋体" w:cs="宋体"/>
                <w:sz w:val="24"/>
                <w:szCs w:val="24"/>
              </w:rPr>
            </w:pPr>
            <w:r>
              <w:rPr>
                <w:rFonts w:hint="eastAsia" w:hAnsi="宋体" w:cs="宋体"/>
                <w:sz w:val="24"/>
                <w:szCs w:val="24"/>
              </w:rPr>
              <w:t>沉浸式水中油分析仪</w:t>
            </w:r>
          </w:p>
        </w:tc>
        <w:tc>
          <w:tcPr>
            <w:tcW w:w="3546"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rPr>
                <w:sz w:val="24"/>
                <w:szCs w:val="24"/>
                <w:lang w:eastAsia="zh-CN"/>
              </w:rPr>
            </w:pPr>
            <w:r>
              <w:rPr>
                <w:rFonts w:hint="eastAsia"/>
                <w:sz w:val="24"/>
                <w:szCs w:val="24"/>
                <w:lang w:eastAsia="zh-CN"/>
              </w:rPr>
              <w:t>①220VAC\紫外荧光法</w:t>
            </w:r>
          </w:p>
          <w:p>
            <w:pPr>
              <w:widowControl/>
              <w:autoSpaceDE/>
              <w:autoSpaceDN/>
              <w:jc w:val="center"/>
              <w:rPr>
                <w:sz w:val="24"/>
                <w:szCs w:val="24"/>
                <w:highlight w:val="none"/>
                <w:lang w:eastAsia="zh-CN"/>
              </w:rPr>
            </w:pPr>
            <w:r>
              <w:rPr>
                <w:rFonts w:hint="eastAsia"/>
                <w:sz w:val="24"/>
                <w:szCs w:val="24"/>
                <w:highlight w:val="none"/>
                <w:lang w:eastAsia="zh-CN"/>
              </w:rPr>
              <w:t>②沉浸式测量\0-1mg/L</w:t>
            </w:r>
          </w:p>
          <w:p>
            <w:pPr>
              <w:pStyle w:val="2"/>
              <w:rPr>
                <w:rFonts w:hAnsi="宋体" w:cs="宋体"/>
                <w:sz w:val="24"/>
                <w:szCs w:val="24"/>
                <w:highlight w:val="none"/>
              </w:rPr>
            </w:pPr>
            <w:r>
              <w:rPr>
                <w:rFonts w:hint="eastAsia" w:hAnsi="宋体" w:cs="宋体"/>
                <w:sz w:val="24"/>
                <w:szCs w:val="24"/>
                <w:highlight w:val="none"/>
              </w:rPr>
              <w:t>③变送器：TSTC200AC</w:t>
            </w:r>
            <w:r>
              <w:rPr>
                <w:rFonts w:hint="eastAsia" w:hAnsi="宋体" w:cs="宋体"/>
                <w:sz w:val="24"/>
                <w:szCs w:val="24"/>
                <w:highlight w:val="none"/>
                <w:lang w:val="en-US" w:eastAsia="zh-CN"/>
              </w:rPr>
              <w:t xml:space="preserve"> </w:t>
            </w:r>
            <w:r>
              <w:rPr>
                <w:rFonts w:hint="eastAsia" w:cs="宋体" w:asciiTheme="majorEastAsia" w:hAnsiTheme="majorEastAsia" w:eastAsiaTheme="majorEastAsia"/>
                <w:b/>
                <w:sz w:val="24"/>
                <w:szCs w:val="24"/>
                <w:highlight w:val="none"/>
              </w:rPr>
              <w:t>SC200</w:t>
            </w:r>
          </w:p>
          <w:p>
            <w:pPr>
              <w:pStyle w:val="2"/>
              <w:rPr>
                <w:rFonts w:hAnsi="宋体" w:cs="宋体"/>
                <w:sz w:val="24"/>
                <w:szCs w:val="24"/>
                <w:highlight w:val="none"/>
              </w:rPr>
            </w:pPr>
            <w:r>
              <w:rPr>
                <w:rFonts w:hint="eastAsia" w:hAnsi="宋体" w:cs="宋体"/>
                <w:sz w:val="24"/>
                <w:szCs w:val="24"/>
                <w:highlight w:val="none"/>
              </w:rPr>
              <w:t>④探头：TSOIW111110</w:t>
            </w:r>
          </w:p>
          <w:p>
            <w:pPr>
              <w:pStyle w:val="2"/>
              <w:ind w:firstLine="964" w:firstLineChars="400"/>
              <w:rPr>
                <w:rFonts w:hAnsi="宋体" w:cs="宋体"/>
                <w:sz w:val="24"/>
                <w:szCs w:val="24"/>
              </w:rPr>
            </w:pPr>
            <w:r>
              <w:rPr>
                <w:rFonts w:cs="宋体" w:asciiTheme="majorEastAsia" w:hAnsiTheme="majorEastAsia" w:eastAsiaTheme="majorEastAsia"/>
                <w:b/>
                <w:sz w:val="24"/>
                <w:szCs w:val="24"/>
                <w:highlight w:val="none"/>
              </w:rPr>
              <w:t>LXV441.99.11102</w:t>
            </w:r>
          </w:p>
        </w:tc>
        <w:tc>
          <w:tcPr>
            <w:tcW w:w="70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1台</w:t>
            </w:r>
          </w:p>
        </w:tc>
        <w:tc>
          <w:tcPr>
            <w:tcW w:w="97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p>
        </w:tc>
        <w:tc>
          <w:tcPr>
            <w:tcW w:w="1007"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p>
        </w:tc>
        <w:tc>
          <w:tcPr>
            <w:tcW w:w="2018"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shd w:val="clear" w:color="auto" w:fill="FFFFFF"/>
                <w:lang w:eastAsia="zh-CN"/>
              </w:rPr>
              <w:t>具体技术及供货要求见双方签署的“技术协议”</w:t>
            </w:r>
          </w:p>
        </w:tc>
      </w:tr>
      <w:tr>
        <w:tblPrEx>
          <w:tblLayout w:type="fixed"/>
          <w:tblCellMar>
            <w:top w:w="0" w:type="dxa"/>
            <w:left w:w="108" w:type="dxa"/>
            <w:bottom w:w="0" w:type="dxa"/>
            <w:right w:w="108" w:type="dxa"/>
          </w:tblCellMar>
        </w:tblPrEx>
        <w:trPr>
          <w:trHeight w:val="720" w:hRule="atLeast"/>
        </w:trPr>
        <w:tc>
          <w:tcPr>
            <w:tcW w:w="7059"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b/>
                <w:bCs/>
                <w:sz w:val="24"/>
                <w:szCs w:val="24"/>
                <w:lang w:eastAsia="zh-CN"/>
              </w:rPr>
              <w:t>合     计：</w:t>
            </w:r>
          </w:p>
        </w:tc>
        <w:tc>
          <w:tcPr>
            <w:tcW w:w="3025" w:type="dxa"/>
            <w:gridSpan w:val="2"/>
            <w:tcBorders>
              <w:top w:val="single" w:color="auto" w:sz="4" w:space="0"/>
              <w:left w:val="nil"/>
              <w:bottom w:val="single" w:color="auto" w:sz="4" w:space="0"/>
              <w:right w:val="single" w:color="auto" w:sz="4" w:space="0"/>
            </w:tcBorders>
            <w:shd w:val="clear" w:color="auto" w:fill="auto"/>
            <w:vAlign w:val="center"/>
          </w:tcPr>
          <w:p>
            <w:pPr>
              <w:widowControl/>
              <w:autoSpaceDE/>
              <w:autoSpaceDN/>
              <w:ind w:right="420"/>
              <w:rPr>
                <w:b/>
                <w:bCs/>
                <w:sz w:val="24"/>
                <w:szCs w:val="24"/>
                <w:lang w:eastAsia="zh-CN"/>
              </w:rPr>
            </w:pPr>
          </w:p>
        </w:tc>
      </w:tr>
    </w:tbl>
    <w:p>
      <w:pPr>
        <w:pStyle w:val="35"/>
        <w:spacing w:beforeLines="0" w:afterLines="0"/>
        <w:ind w:firstLine="0" w:firstLineChars="0"/>
        <w:rPr>
          <w:rFonts w:ascii="Times New Roman"/>
          <w:bCs w:val="0"/>
          <w:sz w:val="24"/>
          <w:szCs w:val="24"/>
          <w:lang w:eastAsia="zh-CN"/>
        </w:rPr>
      </w:pPr>
    </w:p>
    <w:p>
      <w:pPr>
        <w:pStyle w:val="35"/>
        <w:spacing w:beforeLines="0" w:afterLines="0"/>
        <w:ind w:firstLine="0" w:firstLineChars="0"/>
        <w:rPr>
          <w:rFonts w:ascii="Times New Roman"/>
          <w:bCs w:val="0"/>
          <w:sz w:val="24"/>
          <w:szCs w:val="24"/>
          <w:lang w:eastAsia="zh-CN"/>
        </w:rPr>
      </w:pPr>
    </w:p>
    <w:p>
      <w:pPr>
        <w:rPr>
          <w:rFonts w:ascii="黑体" w:eastAsia="黑体"/>
          <w:b/>
          <w:sz w:val="44"/>
          <w:szCs w:val="44"/>
          <w:lang w:eastAsia="zh-CN"/>
        </w:rPr>
      </w:pPr>
      <w:r>
        <w:rPr>
          <w:rFonts w:hint="eastAsia" w:ascii="黑体" w:eastAsia="黑体"/>
          <w:b/>
          <w:sz w:val="44"/>
          <w:szCs w:val="44"/>
          <w:lang w:eastAsia="zh-CN"/>
        </w:rPr>
        <w:t>附件</w:t>
      </w:r>
    </w:p>
    <w:p>
      <w:pPr>
        <w:jc w:val="center"/>
        <w:rPr>
          <w:rFonts w:ascii="黑体" w:eastAsia="黑体"/>
          <w:b/>
          <w:sz w:val="44"/>
          <w:szCs w:val="44"/>
          <w:lang w:eastAsia="zh-CN"/>
        </w:rPr>
      </w:pPr>
    </w:p>
    <w:p>
      <w:pPr>
        <w:jc w:val="center"/>
        <w:rPr>
          <w:rFonts w:ascii="黑体" w:eastAsia="黑体"/>
          <w:b/>
          <w:sz w:val="44"/>
          <w:szCs w:val="44"/>
          <w:lang w:eastAsia="zh-CN"/>
        </w:rPr>
      </w:pPr>
    </w:p>
    <w:p>
      <w:pPr>
        <w:jc w:val="center"/>
        <w:rPr>
          <w:rFonts w:ascii="黑体" w:eastAsia="黑体"/>
          <w:b/>
          <w:sz w:val="44"/>
          <w:szCs w:val="44"/>
          <w:lang w:eastAsia="zh-CN"/>
        </w:rPr>
      </w:pPr>
      <w:r>
        <w:rPr>
          <w:rFonts w:hint="eastAsia" w:ascii="黑体" w:eastAsia="黑体"/>
          <w:b/>
          <w:sz w:val="44"/>
          <w:szCs w:val="44"/>
          <w:lang w:eastAsia="zh-CN"/>
        </w:rPr>
        <w:t>福建福海创石油化工有限公司</w:t>
      </w:r>
    </w:p>
    <w:p>
      <w:pPr>
        <w:jc w:val="center"/>
        <w:rPr>
          <w:rFonts w:ascii="华文楷体" w:hAnsi="华文楷体" w:eastAsia="华文楷体"/>
          <w:sz w:val="24"/>
          <w:szCs w:val="24"/>
          <w:lang w:eastAsia="zh-CN"/>
        </w:rPr>
      </w:pPr>
      <w:r>
        <w:rPr>
          <w:rFonts w:ascii="黑体" w:eastAsia="黑体"/>
          <w:b/>
          <w:sz w:val="24"/>
          <w:szCs w:val="24"/>
          <w:lang w:eastAsia="zh-CN"/>
        </w:rPr>
        <w:t>Fujian</w:t>
      </w:r>
      <w:r>
        <w:rPr>
          <w:rFonts w:hint="eastAsia" w:ascii="黑体" w:eastAsia="黑体"/>
          <w:b/>
          <w:sz w:val="24"/>
          <w:szCs w:val="24"/>
          <w:lang w:eastAsia="zh-CN"/>
        </w:rPr>
        <w:t xml:space="preserve"> FuHaiChuang Petrochemical Co.,Ltd</w:t>
      </w:r>
    </w:p>
    <w:p>
      <w:pPr>
        <w:jc w:val="center"/>
        <w:rPr>
          <w:rFonts w:ascii="华文楷体" w:hAnsi="华文楷体" w:eastAsia="华文楷体"/>
          <w:sz w:val="28"/>
          <w:szCs w:val="28"/>
          <w:lang w:eastAsia="zh-CN"/>
        </w:rPr>
      </w:pPr>
    </w:p>
    <w:p>
      <w:pPr>
        <w:jc w:val="center"/>
        <w:rPr>
          <w:rFonts w:ascii="华文楷体" w:hAnsi="华文楷体" w:eastAsia="华文楷体"/>
          <w:sz w:val="28"/>
          <w:szCs w:val="28"/>
          <w:lang w:eastAsia="zh-CN"/>
        </w:rPr>
      </w:pPr>
    </w:p>
    <w:p>
      <w:pPr>
        <w:jc w:val="center"/>
        <w:rPr>
          <w:rFonts w:ascii="华文楷体" w:hAnsi="华文楷体" w:eastAsia="华文楷体"/>
          <w:caps/>
          <w:lang w:eastAsia="zh-CN"/>
        </w:rPr>
      </w:pPr>
    </w:p>
    <w:p>
      <w:pPr>
        <w:jc w:val="center"/>
        <w:rPr>
          <w:rFonts w:ascii="华文楷体" w:hAnsi="华文楷体" w:eastAsia="华文楷体"/>
          <w:sz w:val="28"/>
          <w:szCs w:val="28"/>
          <w:lang w:eastAsia="zh-CN"/>
        </w:rPr>
      </w:pPr>
    </w:p>
    <w:p>
      <w:pPr>
        <w:spacing w:line="360" w:lineRule="auto"/>
        <w:jc w:val="center"/>
        <w:rPr>
          <w:rFonts w:eastAsia="楷体_GB2312"/>
          <w:lang w:eastAsia="zh-CN"/>
        </w:rPr>
      </w:pPr>
    </w:p>
    <w:p>
      <w:pPr>
        <w:spacing w:line="300" w:lineRule="auto"/>
        <w:jc w:val="center"/>
        <w:rPr>
          <w:rFonts w:ascii="黑体" w:eastAsia="黑体"/>
          <w:b/>
          <w:sz w:val="48"/>
          <w:szCs w:val="48"/>
          <w:lang w:eastAsia="zh-CN"/>
        </w:rPr>
      </w:pPr>
      <w:r>
        <w:rPr>
          <w:rFonts w:hint="eastAsia" w:ascii="黑体" w:eastAsia="黑体"/>
          <w:b/>
          <w:sz w:val="48"/>
          <w:szCs w:val="48"/>
          <w:lang w:eastAsia="zh-CN"/>
        </w:rPr>
        <w:t>水中油在线分析仪</w:t>
      </w:r>
    </w:p>
    <w:p>
      <w:pPr>
        <w:pStyle w:val="2"/>
        <w:rPr>
          <w:rFonts w:ascii="黑体" w:eastAsia="黑体"/>
          <w:b/>
          <w:sz w:val="32"/>
          <w:szCs w:val="32"/>
        </w:rPr>
      </w:pPr>
    </w:p>
    <w:p>
      <w:pPr>
        <w:spacing w:line="300" w:lineRule="auto"/>
        <w:jc w:val="center"/>
        <w:rPr>
          <w:rFonts w:ascii="黑体" w:eastAsia="黑体"/>
          <w:b/>
          <w:sz w:val="48"/>
          <w:szCs w:val="48"/>
          <w:lang w:eastAsia="zh-CN"/>
        </w:rPr>
      </w:pPr>
    </w:p>
    <w:p>
      <w:pPr>
        <w:spacing w:line="300" w:lineRule="auto"/>
        <w:jc w:val="center"/>
        <w:rPr>
          <w:rFonts w:ascii="黑体" w:eastAsia="黑体"/>
          <w:b/>
          <w:sz w:val="48"/>
          <w:szCs w:val="48"/>
          <w:lang w:eastAsia="zh-CN"/>
        </w:rPr>
      </w:pPr>
      <w:r>
        <w:rPr>
          <w:rFonts w:hint="eastAsia" w:ascii="黑体" w:eastAsia="黑体"/>
          <w:b/>
          <w:sz w:val="48"/>
          <w:szCs w:val="48"/>
          <w:lang w:eastAsia="zh-CN"/>
        </w:rPr>
        <w:t>采购技术规格书</w:t>
      </w:r>
    </w:p>
    <w:p>
      <w:pPr>
        <w:spacing w:line="300" w:lineRule="auto"/>
        <w:jc w:val="center"/>
        <w:rPr>
          <w:rFonts w:ascii="黑体" w:eastAsia="黑体"/>
          <w:b/>
          <w:sz w:val="32"/>
          <w:szCs w:val="32"/>
          <w:lang w:eastAsia="zh-CN"/>
        </w:rPr>
      </w:pPr>
    </w:p>
    <w:p>
      <w:pPr>
        <w:jc w:val="center"/>
        <w:rPr>
          <w:rFonts w:ascii="华文楷体" w:hAnsi="华文楷体" w:eastAsia="华文楷体"/>
          <w:sz w:val="24"/>
          <w:szCs w:val="24"/>
          <w:lang w:eastAsia="zh-CN"/>
        </w:rPr>
      </w:pPr>
    </w:p>
    <w:p>
      <w:pPr>
        <w:jc w:val="center"/>
        <w:rPr>
          <w:rFonts w:ascii="黑体" w:hAnsi="华文楷体" w:eastAsia="黑体"/>
          <w:b/>
          <w:sz w:val="36"/>
          <w:szCs w:val="36"/>
          <w:lang w:eastAsia="zh-CN"/>
        </w:rPr>
      </w:pPr>
    </w:p>
    <w:p>
      <w:pPr>
        <w:jc w:val="center"/>
        <w:rPr>
          <w:rFonts w:ascii="华文楷体" w:hAnsi="华文楷体" w:eastAsia="华文楷体"/>
          <w:sz w:val="24"/>
          <w:szCs w:val="24"/>
          <w:lang w:eastAsia="zh-CN"/>
        </w:rPr>
      </w:pPr>
    </w:p>
    <w:p>
      <w:pPr>
        <w:jc w:val="center"/>
        <w:rPr>
          <w:rFonts w:ascii="华文楷体" w:hAnsi="华文楷体" w:eastAsia="华文楷体"/>
          <w:sz w:val="24"/>
          <w:szCs w:val="24"/>
          <w:lang w:eastAsia="zh-CN"/>
        </w:rPr>
      </w:pPr>
    </w:p>
    <w:p>
      <w:pPr>
        <w:jc w:val="center"/>
        <w:rPr>
          <w:rFonts w:ascii="华文楷体" w:hAnsi="华文楷体" w:eastAsia="华文楷体"/>
          <w:sz w:val="24"/>
          <w:szCs w:val="24"/>
          <w:lang w:eastAsia="zh-CN"/>
        </w:rPr>
      </w:pPr>
    </w:p>
    <w:p>
      <w:pPr>
        <w:jc w:val="center"/>
        <w:rPr>
          <w:rFonts w:ascii="黑体" w:hAnsi="华文楷体" w:eastAsia="黑体"/>
          <w:b/>
          <w:sz w:val="36"/>
          <w:szCs w:val="36"/>
          <w:lang w:eastAsia="zh-CN"/>
        </w:rPr>
      </w:pPr>
    </w:p>
    <w:p>
      <w:pPr>
        <w:jc w:val="center"/>
        <w:rPr>
          <w:rFonts w:ascii="黑体" w:hAnsi="华文楷体" w:eastAsia="黑体"/>
          <w:b/>
          <w:sz w:val="36"/>
          <w:szCs w:val="36"/>
          <w:lang w:eastAsia="zh-CN"/>
        </w:rPr>
      </w:pPr>
    </w:p>
    <w:p>
      <w:pPr>
        <w:jc w:val="center"/>
        <w:rPr>
          <w:rFonts w:ascii="黑体" w:hAnsi="华文楷体" w:eastAsia="黑体"/>
          <w:b/>
          <w:sz w:val="36"/>
          <w:szCs w:val="36"/>
          <w:lang w:eastAsia="zh-CN"/>
        </w:rPr>
      </w:pPr>
    </w:p>
    <w:p>
      <w:pPr>
        <w:pStyle w:val="3"/>
        <w:snapToGrid w:val="0"/>
        <w:spacing w:line="288" w:lineRule="auto"/>
        <w:jc w:val="both"/>
        <w:rPr>
          <w:sz w:val="24"/>
          <w:szCs w:val="24"/>
        </w:rPr>
      </w:pPr>
      <w:bookmarkStart w:id="9" w:name="_Toc194850708"/>
      <w:r>
        <w:rPr>
          <w:rFonts w:hint="eastAsia"/>
          <w:sz w:val="24"/>
          <w:szCs w:val="24"/>
          <w:lang w:eastAsia="zh-CN"/>
        </w:rPr>
        <w:t>一、</w:t>
      </w:r>
      <w:r>
        <w:rPr>
          <w:rFonts w:hint="eastAsia"/>
          <w:sz w:val="24"/>
          <w:szCs w:val="24"/>
        </w:rPr>
        <w:t>前言</w:t>
      </w:r>
      <w:bookmarkEnd w:id="9"/>
    </w:p>
    <w:p>
      <w:pPr>
        <w:spacing w:line="300" w:lineRule="auto"/>
        <w:ind w:firstLine="480" w:firstLineChars="200"/>
        <w:rPr>
          <w:snapToGrid w:val="0"/>
          <w:sz w:val="24"/>
          <w:szCs w:val="24"/>
          <w:lang w:eastAsia="zh-CN"/>
        </w:rPr>
      </w:pPr>
      <w:r>
        <w:rPr>
          <w:rFonts w:hint="eastAsia"/>
          <w:snapToGrid w:val="0"/>
          <w:sz w:val="24"/>
          <w:szCs w:val="24"/>
          <w:lang w:eastAsia="zh-CN"/>
        </w:rPr>
        <w:t>买方就购置水中油在线分析仪</w:t>
      </w:r>
      <w:r>
        <w:rPr>
          <w:rFonts w:hint="eastAsia"/>
          <w:snapToGrid w:val="0"/>
          <w:color w:val="000000"/>
          <w:sz w:val="24"/>
          <w:szCs w:val="24"/>
          <w:lang w:eastAsia="zh-CN"/>
        </w:rPr>
        <w:t>（具体清单详见附件一）</w:t>
      </w:r>
      <w:r>
        <w:rPr>
          <w:rFonts w:hint="eastAsia"/>
          <w:snapToGrid w:val="0"/>
          <w:sz w:val="24"/>
          <w:szCs w:val="24"/>
          <w:lang w:eastAsia="zh-CN"/>
        </w:rPr>
        <w:t>一事提出了采购要求，卖方需达成本采购技术规格书要求。采购技术规格书是编写技术协议书的基础文件；技术协议书作为商务合同附件与之同时生效，并具有同等法律效力。</w:t>
      </w:r>
    </w:p>
    <w:p>
      <w:pPr>
        <w:spacing w:line="288" w:lineRule="auto"/>
        <w:ind w:firstLine="480" w:firstLineChars="200"/>
        <w:jc w:val="both"/>
        <w:rPr>
          <w:snapToGrid w:val="0"/>
          <w:color w:val="FF0000"/>
          <w:sz w:val="24"/>
          <w:szCs w:val="24"/>
          <w:lang w:eastAsia="zh-CN"/>
        </w:rPr>
      </w:pPr>
      <w:r>
        <w:rPr>
          <w:rFonts w:hint="eastAsia"/>
          <w:snapToGrid w:val="0"/>
          <w:sz w:val="24"/>
          <w:szCs w:val="24"/>
          <w:lang w:eastAsia="zh-CN"/>
        </w:rPr>
        <w:t>在签订合同之后，买方保留对本协议提出补充要求和修改的权利，买卖双方可举行设计条件会议，如对供货清单、系统配置、仪器规格、服务条款、文件资料、具体的交付时间等方面内容进行再次确认。经双方确认后的文件即成为补充技术协议书，具有订货合同附件的同等效力。</w:t>
      </w:r>
    </w:p>
    <w:p>
      <w:pPr>
        <w:pStyle w:val="3"/>
        <w:snapToGrid w:val="0"/>
        <w:spacing w:line="288" w:lineRule="auto"/>
        <w:jc w:val="both"/>
        <w:rPr>
          <w:sz w:val="24"/>
          <w:szCs w:val="24"/>
          <w:lang w:eastAsia="zh-CN"/>
        </w:rPr>
      </w:pPr>
      <w:bookmarkStart w:id="10" w:name="_Toc194850709"/>
      <w:r>
        <w:rPr>
          <w:rFonts w:hint="eastAsia"/>
          <w:sz w:val="24"/>
          <w:szCs w:val="24"/>
          <w:lang w:eastAsia="zh-CN"/>
        </w:rPr>
        <w:t>二、测试样品及项目</w:t>
      </w:r>
      <w:bookmarkEnd w:id="10"/>
    </w:p>
    <w:p>
      <w:pPr>
        <w:spacing w:line="288" w:lineRule="auto"/>
        <w:jc w:val="both"/>
        <w:rPr>
          <w:lang w:eastAsia="zh-CN"/>
        </w:rPr>
      </w:pPr>
      <w:r>
        <w:rPr>
          <w:rFonts w:hint="eastAsia"/>
          <w:snapToGrid w:val="0"/>
          <w:color w:val="000000"/>
          <w:sz w:val="24"/>
          <w:szCs w:val="24"/>
          <w:lang w:eastAsia="zh-CN"/>
        </w:rPr>
        <w:t>具体清单详见附件一</w:t>
      </w:r>
    </w:p>
    <w:p>
      <w:pPr>
        <w:pStyle w:val="3"/>
        <w:snapToGrid w:val="0"/>
        <w:spacing w:line="288" w:lineRule="auto"/>
        <w:jc w:val="both"/>
        <w:rPr>
          <w:sz w:val="24"/>
          <w:szCs w:val="24"/>
          <w:lang w:eastAsia="zh-CN"/>
        </w:rPr>
      </w:pPr>
      <w:bookmarkStart w:id="11" w:name="_Toc194850710"/>
      <w:r>
        <w:rPr>
          <w:rFonts w:hint="eastAsia"/>
          <w:sz w:val="24"/>
          <w:szCs w:val="24"/>
          <w:lang w:eastAsia="zh-CN"/>
        </w:rPr>
        <w:t>三、技术要求</w:t>
      </w:r>
    </w:p>
    <w:p>
      <w:pPr>
        <w:pStyle w:val="3"/>
        <w:snapToGrid w:val="0"/>
        <w:spacing w:line="288" w:lineRule="auto"/>
        <w:jc w:val="both"/>
        <w:rPr>
          <w:sz w:val="24"/>
          <w:szCs w:val="24"/>
          <w:lang w:eastAsia="zh-CN"/>
        </w:rPr>
      </w:pPr>
      <w:r>
        <w:rPr>
          <w:rFonts w:hint="eastAsia"/>
          <w:sz w:val="24"/>
          <w:szCs w:val="24"/>
          <w:lang w:eastAsia="zh-CN"/>
        </w:rPr>
        <w:t>1、</w:t>
      </w:r>
      <w:bookmarkEnd w:id="11"/>
      <w:r>
        <w:rPr>
          <w:rFonts w:hint="eastAsia"/>
          <w:sz w:val="24"/>
          <w:szCs w:val="24"/>
          <w:lang w:eastAsia="zh-CN"/>
        </w:rPr>
        <w:t>基本要求</w:t>
      </w:r>
    </w:p>
    <w:p>
      <w:pPr>
        <w:pStyle w:val="3"/>
        <w:snapToGrid w:val="0"/>
        <w:spacing w:line="288" w:lineRule="auto"/>
        <w:ind w:left="516" w:hanging="516" w:hangingChars="215"/>
        <w:jc w:val="both"/>
        <w:rPr>
          <w:b w:val="0"/>
          <w:sz w:val="24"/>
          <w:szCs w:val="24"/>
          <w:lang w:eastAsia="zh-CN"/>
        </w:rPr>
      </w:pPr>
      <w:r>
        <w:rPr>
          <w:rFonts w:hint="eastAsia"/>
          <w:b w:val="0"/>
          <w:sz w:val="24"/>
          <w:szCs w:val="24"/>
          <w:lang w:eastAsia="zh-CN"/>
        </w:rPr>
        <w:t xml:space="preserve">1.1 </w:t>
      </w:r>
      <w:r>
        <w:rPr>
          <w:rFonts w:hint="eastAsia"/>
          <w:b w:val="0"/>
          <w:snapToGrid w:val="0"/>
          <w:color w:val="000000"/>
          <w:sz w:val="24"/>
          <w:lang w:eastAsia="zh-CN"/>
        </w:rPr>
        <w:t>仪器配置必须能完成本技术协议中“二、测试样品及项目”要求的分析样品及分析项目，并达到性能保证指标。</w:t>
      </w:r>
    </w:p>
    <w:p>
      <w:pPr>
        <w:spacing w:line="288" w:lineRule="auto"/>
        <w:ind w:left="516" w:hanging="516" w:hangingChars="215"/>
        <w:jc w:val="both"/>
        <w:rPr>
          <w:sz w:val="24"/>
          <w:szCs w:val="24"/>
          <w:lang w:eastAsia="zh-CN"/>
        </w:rPr>
      </w:pPr>
      <w:r>
        <w:rPr>
          <w:rFonts w:hint="eastAsia"/>
          <w:sz w:val="24"/>
          <w:szCs w:val="24"/>
          <w:lang w:eastAsia="zh-CN"/>
        </w:rPr>
        <w:t>1.</w:t>
      </w:r>
      <w:r>
        <w:rPr>
          <w:sz w:val="24"/>
          <w:szCs w:val="24"/>
          <w:lang w:eastAsia="zh-CN"/>
        </w:rPr>
        <w:t>2</w:t>
      </w:r>
      <w:r>
        <w:rPr>
          <w:rFonts w:hint="eastAsia"/>
          <w:sz w:val="24"/>
          <w:szCs w:val="24"/>
          <w:lang w:eastAsia="zh-CN"/>
        </w:rPr>
        <w:t xml:space="preserve"> 必须提供书面中文仪器说明书、电路图及故障诊断说明资料2套；相应的电子版本说明书1套。</w:t>
      </w:r>
    </w:p>
    <w:p>
      <w:pPr>
        <w:spacing w:line="288" w:lineRule="auto"/>
        <w:jc w:val="both"/>
        <w:rPr>
          <w:b/>
          <w:sz w:val="24"/>
          <w:szCs w:val="24"/>
          <w:lang w:eastAsia="zh-CN"/>
        </w:rPr>
      </w:pPr>
      <w:r>
        <w:rPr>
          <w:rFonts w:hint="eastAsia"/>
          <w:b/>
          <w:sz w:val="24"/>
          <w:szCs w:val="24"/>
          <w:lang w:eastAsia="zh-CN"/>
        </w:rPr>
        <w:t>2、供货范围（卖方供货清单明细）</w:t>
      </w:r>
    </w:p>
    <w:p>
      <w:pPr>
        <w:pStyle w:val="71"/>
        <w:adjustRightInd/>
        <w:spacing w:line="288" w:lineRule="auto"/>
        <w:ind w:firstLine="38" w:firstLineChars="16"/>
        <w:jc w:val="both"/>
        <w:rPr>
          <w:rFonts w:ascii="宋体" w:hAnsi="宋体"/>
        </w:rPr>
      </w:pPr>
      <w:r>
        <w:rPr>
          <w:rFonts w:hint="eastAsia" w:ascii="宋体" w:hAnsi="宋体"/>
        </w:rPr>
        <w:t>2.1 此部分为卖方的仪器供货清单。此清单应包括：</w:t>
      </w:r>
    </w:p>
    <w:p>
      <w:pPr>
        <w:pStyle w:val="71"/>
        <w:adjustRightInd/>
        <w:spacing w:line="288" w:lineRule="auto"/>
        <w:ind w:left="-367" w:leftChars="-167" w:firstLine="720" w:firstLineChars="300"/>
        <w:jc w:val="both"/>
        <w:rPr>
          <w:rFonts w:ascii="宋体" w:hAnsi="宋体"/>
        </w:rPr>
      </w:pPr>
      <w:r>
        <w:rPr>
          <w:rFonts w:hint="eastAsia" w:ascii="宋体" w:hAnsi="宋体"/>
        </w:rPr>
        <w:t>（1）仪器名称、规格型号、数量、仪器制造厂商等内容。</w:t>
      </w:r>
    </w:p>
    <w:p>
      <w:pPr>
        <w:pStyle w:val="71"/>
        <w:adjustRightInd/>
        <w:spacing w:line="288" w:lineRule="auto"/>
        <w:ind w:firstLine="338" w:firstLineChars="141"/>
        <w:jc w:val="both"/>
        <w:rPr>
          <w:rFonts w:ascii="宋体" w:hAnsi="宋体"/>
        </w:rPr>
      </w:pPr>
      <w:r>
        <w:rPr>
          <w:rFonts w:hint="eastAsia" w:ascii="宋体" w:hAnsi="宋体"/>
        </w:rPr>
        <w:t>（2）仪器硬件及软件的具体配置，包括仪器的标准配置、选购配置、备品备件及消耗品配置等。</w:t>
      </w:r>
    </w:p>
    <w:p>
      <w:pPr>
        <w:pStyle w:val="71"/>
        <w:adjustRightInd/>
        <w:spacing w:line="288" w:lineRule="auto"/>
        <w:ind w:left="354" w:leftChars="-10" w:hanging="376" w:hangingChars="157"/>
        <w:jc w:val="both"/>
        <w:rPr>
          <w:rFonts w:ascii="宋体" w:hAnsi="宋体"/>
          <w:b/>
          <w:bCs/>
        </w:rPr>
      </w:pPr>
      <w:r>
        <w:rPr>
          <w:rFonts w:hint="eastAsia" w:ascii="宋体" w:hAnsi="宋体"/>
        </w:rPr>
        <w:t>2.2 卖方保证供货的每台仪器均为</w:t>
      </w:r>
      <w:r>
        <w:rPr>
          <w:rFonts w:hint="eastAsia" w:ascii="宋体" w:hAnsi="宋体"/>
          <w:b/>
          <w:bCs/>
        </w:rPr>
        <w:t>原装进口产品。</w:t>
      </w:r>
    </w:p>
    <w:p>
      <w:pPr>
        <w:pStyle w:val="71"/>
        <w:adjustRightInd/>
        <w:spacing w:line="288" w:lineRule="auto"/>
        <w:jc w:val="both"/>
        <w:rPr>
          <w:rFonts w:ascii="宋体" w:hAnsi="宋体"/>
          <w:b/>
          <w:bCs/>
          <w:highlight w:val="cyan"/>
        </w:rPr>
      </w:pPr>
      <w:r>
        <w:rPr>
          <w:rFonts w:hint="eastAsia" w:ascii="宋体" w:hAnsi="宋体"/>
        </w:rPr>
        <w:t>2.3 卖方应保证所提供的系统配置是完整的。</w:t>
      </w:r>
      <w:r>
        <w:rPr>
          <w:rFonts w:hint="eastAsia" w:ascii="宋体" w:hAnsi="宋体" w:cs="宋体"/>
          <w:b/>
          <w:bCs/>
        </w:rPr>
        <w:t>卖方应保证</w:t>
      </w:r>
      <w:r>
        <w:rPr>
          <w:rFonts w:hint="eastAsia" w:ascii="宋体" w:hAnsi="宋体"/>
          <w:b/>
          <w:bCs/>
        </w:rPr>
        <w:t>仪器主机所携带的用于日常维护保养的专用工具齐全。</w:t>
      </w:r>
      <w:r>
        <w:rPr>
          <w:rFonts w:hint="eastAsia" w:ascii="宋体" w:hAnsi="宋体" w:cs="宋体"/>
          <w:b/>
          <w:bCs/>
        </w:rPr>
        <w:t>卖方应保证</w:t>
      </w:r>
      <w:r>
        <w:rPr>
          <w:rFonts w:hint="eastAsia" w:ascii="宋体" w:hAnsi="宋体"/>
          <w:b/>
          <w:bCs/>
        </w:rPr>
        <w:t>仪器主机所携带的标准样品满足仪器现场</w:t>
      </w:r>
      <w:r>
        <w:rPr>
          <w:rFonts w:hint="eastAsia" w:ascii="宋体" w:hAnsi="宋体" w:cs="宋体"/>
          <w:b/>
          <w:bCs/>
        </w:rPr>
        <w:t>调试和验收的要求</w:t>
      </w:r>
      <w:r>
        <w:rPr>
          <w:rFonts w:hint="eastAsia" w:ascii="宋体" w:hAnsi="宋体"/>
          <w:b/>
          <w:bCs/>
        </w:rPr>
        <w:t>。</w:t>
      </w:r>
      <w:r>
        <w:rPr>
          <w:rFonts w:hint="eastAsia" w:ascii="宋体" w:hAnsi="宋体"/>
          <w:b/>
          <w:bCs/>
          <w:highlight w:val="cyan"/>
        </w:rPr>
        <w:t>卖方应保证所提供的备品备件及消耗品的数量满足买方的两年需求。</w:t>
      </w:r>
    </w:p>
    <w:p>
      <w:pPr>
        <w:pStyle w:val="71"/>
        <w:adjustRightInd/>
        <w:spacing w:line="288" w:lineRule="auto"/>
        <w:jc w:val="both"/>
        <w:rPr>
          <w:rFonts w:ascii="宋体" w:hAnsi="宋体"/>
          <w:b/>
        </w:rPr>
      </w:pPr>
      <w:r>
        <w:rPr>
          <w:rFonts w:hint="eastAsia" w:ascii="宋体" w:hAnsi="宋体"/>
          <w:b/>
          <w:bCs/>
        </w:rPr>
        <w:t>（</w:t>
      </w:r>
      <w:r>
        <w:rPr>
          <w:rFonts w:hint="eastAsia" w:ascii="宋体" w:hAnsi="宋体"/>
          <w:b/>
        </w:rPr>
        <w:t>具体内容请见附件一）</w:t>
      </w:r>
    </w:p>
    <w:p>
      <w:pPr>
        <w:spacing w:line="288" w:lineRule="auto"/>
        <w:jc w:val="both"/>
        <w:rPr>
          <w:b/>
          <w:sz w:val="24"/>
          <w:szCs w:val="24"/>
          <w:lang w:eastAsia="zh-CN"/>
        </w:rPr>
      </w:pPr>
      <w:r>
        <w:rPr>
          <w:rFonts w:hint="eastAsia"/>
          <w:b/>
          <w:sz w:val="24"/>
          <w:szCs w:val="24"/>
          <w:lang w:eastAsia="zh-CN"/>
        </w:rPr>
        <w:t>3、仪器技术指标和性能特点</w:t>
      </w:r>
    </w:p>
    <w:p>
      <w:pPr>
        <w:spacing w:line="288" w:lineRule="auto"/>
        <w:ind w:firstLine="480"/>
        <w:jc w:val="both"/>
        <w:rPr>
          <w:sz w:val="24"/>
          <w:szCs w:val="24"/>
          <w:lang w:eastAsia="zh-CN"/>
        </w:rPr>
      </w:pPr>
      <w:r>
        <w:rPr>
          <w:rFonts w:hint="eastAsia"/>
          <w:sz w:val="24"/>
          <w:szCs w:val="24"/>
          <w:lang w:eastAsia="zh-CN"/>
        </w:rPr>
        <w:t>此部分为仪器的技术指标说明部分。</w:t>
      </w:r>
    </w:p>
    <w:p>
      <w:pPr>
        <w:spacing w:line="288" w:lineRule="auto"/>
        <w:ind w:firstLine="480"/>
        <w:jc w:val="both"/>
        <w:rPr>
          <w:sz w:val="24"/>
          <w:szCs w:val="24"/>
          <w:lang w:eastAsia="zh-CN"/>
        </w:rPr>
      </w:pPr>
      <w:r>
        <w:rPr>
          <w:rFonts w:hint="eastAsia"/>
          <w:sz w:val="24"/>
          <w:szCs w:val="24"/>
          <w:lang w:eastAsia="zh-CN"/>
        </w:rPr>
        <w:t>卖方应保证所提供的技术指标真实准确而有效。</w:t>
      </w:r>
    </w:p>
    <w:p>
      <w:pPr>
        <w:spacing w:line="288" w:lineRule="auto"/>
        <w:ind w:firstLine="480"/>
        <w:jc w:val="both"/>
        <w:rPr>
          <w:sz w:val="24"/>
          <w:szCs w:val="24"/>
          <w:lang w:eastAsia="zh-CN"/>
        </w:rPr>
      </w:pPr>
      <w:r>
        <w:rPr>
          <w:rFonts w:hint="eastAsia"/>
          <w:b/>
          <w:sz w:val="24"/>
          <w:szCs w:val="24"/>
          <w:lang w:eastAsia="zh-CN"/>
        </w:rPr>
        <w:t>（具体内容详见附件一）</w:t>
      </w:r>
    </w:p>
    <w:p>
      <w:pPr>
        <w:spacing w:line="288" w:lineRule="auto"/>
        <w:jc w:val="both"/>
        <w:rPr>
          <w:b/>
          <w:sz w:val="24"/>
          <w:szCs w:val="24"/>
          <w:lang w:eastAsia="zh-CN"/>
        </w:rPr>
      </w:pPr>
      <w:r>
        <w:rPr>
          <w:rFonts w:hint="eastAsia"/>
          <w:b/>
          <w:sz w:val="24"/>
          <w:szCs w:val="24"/>
          <w:lang w:eastAsia="zh-CN"/>
        </w:rPr>
        <w:t>4、仪器安装条件</w:t>
      </w:r>
    </w:p>
    <w:p>
      <w:pPr>
        <w:spacing w:line="288" w:lineRule="auto"/>
        <w:ind w:firstLine="480"/>
        <w:jc w:val="both"/>
        <w:rPr>
          <w:sz w:val="24"/>
          <w:szCs w:val="24"/>
          <w:lang w:eastAsia="zh-CN"/>
        </w:rPr>
      </w:pPr>
      <w:r>
        <w:rPr>
          <w:rFonts w:hint="eastAsia"/>
          <w:sz w:val="24"/>
          <w:szCs w:val="24"/>
          <w:lang w:eastAsia="zh-CN"/>
        </w:rPr>
        <w:t>对于仪器安装所需具备的条件(如：供电、接地、环境、水、气路、实验台等)，卖方应在合同生效后一周内书面告知买方，买方根据安装条件做好准备工作。</w:t>
      </w:r>
    </w:p>
    <w:p>
      <w:pPr>
        <w:spacing w:line="288" w:lineRule="auto"/>
        <w:jc w:val="both"/>
        <w:rPr>
          <w:sz w:val="24"/>
          <w:szCs w:val="24"/>
          <w:lang w:eastAsia="zh-CN"/>
        </w:rPr>
      </w:pPr>
      <w:r>
        <w:rPr>
          <w:rFonts w:hint="eastAsia"/>
          <w:b/>
          <w:sz w:val="24"/>
          <w:szCs w:val="24"/>
          <w:lang w:eastAsia="zh-CN"/>
        </w:rPr>
        <w:t>四、技术服务</w:t>
      </w:r>
    </w:p>
    <w:p>
      <w:pPr>
        <w:pStyle w:val="71"/>
        <w:adjustRightInd/>
        <w:spacing w:line="288" w:lineRule="auto"/>
        <w:jc w:val="both"/>
        <w:rPr>
          <w:rFonts w:ascii="宋体" w:hAnsi="宋体" w:cs="宋体"/>
          <w:b/>
        </w:rPr>
      </w:pPr>
      <w:r>
        <w:rPr>
          <w:rFonts w:hint="eastAsia" w:ascii="宋体" w:hAnsi="宋体" w:cs="宋体"/>
          <w:b/>
        </w:rPr>
        <w:t>1 、概述</w:t>
      </w:r>
    </w:p>
    <w:p>
      <w:pPr>
        <w:spacing w:line="288" w:lineRule="auto"/>
        <w:ind w:firstLine="480"/>
        <w:jc w:val="both"/>
        <w:rPr>
          <w:sz w:val="24"/>
          <w:szCs w:val="24"/>
          <w:lang w:eastAsia="zh-CN"/>
        </w:rPr>
      </w:pPr>
      <w:r>
        <w:rPr>
          <w:rFonts w:hint="eastAsia"/>
          <w:sz w:val="24"/>
          <w:szCs w:val="24"/>
          <w:lang w:eastAsia="zh-CN"/>
        </w:rPr>
        <w:t>技术服务应包括工程服务与现场服务。工程服务有项目管理、组态、生成、集成调试、工厂试验与出厂验收、培训服务（操作、维护）等。现场服务包括现场开箱检查、系统通电、联调试运、现场验收、保运服务等。</w:t>
      </w:r>
    </w:p>
    <w:p>
      <w:pPr>
        <w:spacing w:line="288" w:lineRule="auto"/>
        <w:ind w:firstLine="480"/>
        <w:jc w:val="both"/>
        <w:rPr>
          <w:lang w:eastAsia="zh-CN"/>
        </w:rPr>
      </w:pPr>
      <w:r>
        <w:rPr>
          <w:rFonts w:hint="eastAsia"/>
          <w:sz w:val="24"/>
          <w:szCs w:val="24"/>
          <w:lang w:eastAsia="zh-CN"/>
        </w:rPr>
        <w:t>无论是工程服务还是现场服务，</w:t>
      </w:r>
      <w:r>
        <w:rPr>
          <w:rFonts w:hint="eastAsia"/>
          <w:b/>
          <w:bCs/>
          <w:sz w:val="24"/>
          <w:szCs w:val="24"/>
          <w:lang w:eastAsia="zh-CN"/>
        </w:rPr>
        <w:t>卖方都应派遣有经验的技术人员，并应提供完全免费的技术服务。</w:t>
      </w:r>
      <w:r>
        <w:rPr>
          <w:rFonts w:hint="eastAsia"/>
          <w:sz w:val="24"/>
          <w:szCs w:val="24"/>
          <w:lang w:eastAsia="zh-CN"/>
        </w:rPr>
        <w:t>在合同签定后，卖方应立即指派一名有经验的项目经理给买方，并提供其固定通讯方式及通信地址。项目经理应自始至终地负责整个项目的实施，包括文件、信件（传真、网络信件等）等资料的往来，处理双方的有关事宜等。如有人员变更或临时变化，卖方应预先通知买方，并获其批准。</w:t>
      </w:r>
    </w:p>
    <w:p>
      <w:pPr>
        <w:spacing w:line="288" w:lineRule="auto"/>
        <w:jc w:val="both"/>
        <w:rPr>
          <w:b/>
          <w:sz w:val="24"/>
          <w:szCs w:val="24"/>
          <w:lang w:eastAsia="zh-CN"/>
        </w:rPr>
      </w:pPr>
      <w:r>
        <w:rPr>
          <w:rFonts w:hint="eastAsia"/>
          <w:b/>
          <w:sz w:val="24"/>
          <w:szCs w:val="24"/>
          <w:lang w:eastAsia="zh-CN"/>
        </w:rPr>
        <w:t>2、仪器交货期</w:t>
      </w:r>
    </w:p>
    <w:p>
      <w:pPr>
        <w:spacing w:line="288" w:lineRule="auto"/>
        <w:ind w:firstLine="480"/>
        <w:jc w:val="both"/>
        <w:rPr>
          <w:sz w:val="24"/>
          <w:szCs w:val="24"/>
          <w:lang w:eastAsia="zh-CN"/>
        </w:rPr>
      </w:pPr>
      <w:r>
        <w:rPr>
          <w:rFonts w:hint="eastAsia"/>
          <w:sz w:val="24"/>
          <w:szCs w:val="24"/>
          <w:lang w:eastAsia="zh-CN"/>
        </w:rPr>
        <w:t>仪器交货时间：卖方在合同生效后</w:t>
      </w:r>
      <w:r>
        <w:rPr>
          <w:rFonts w:hint="eastAsia"/>
          <w:b/>
          <w:bCs/>
          <w:sz w:val="24"/>
          <w:szCs w:val="24"/>
          <w:lang w:val="en-US" w:eastAsia="zh-CN"/>
        </w:rPr>
        <w:t>6</w:t>
      </w:r>
      <w:r>
        <w:rPr>
          <w:rFonts w:hint="eastAsia"/>
          <w:b/>
          <w:color w:val="000000"/>
          <w:sz w:val="24"/>
          <w:szCs w:val="24"/>
          <w:lang w:eastAsia="zh-CN"/>
        </w:rPr>
        <w:t>个月</w:t>
      </w:r>
      <w:r>
        <w:rPr>
          <w:rFonts w:hint="eastAsia"/>
          <w:sz w:val="24"/>
          <w:szCs w:val="24"/>
          <w:lang w:eastAsia="zh-CN"/>
        </w:rPr>
        <w:t>内交货（或根据商务合同的规定时限交货），卖方保证仪器到货时仪器的各个系统完整性。</w:t>
      </w:r>
    </w:p>
    <w:p>
      <w:pPr>
        <w:spacing w:line="288" w:lineRule="auto"/>
        <w:jc w:val="both"/>
        <w:rPr>
          <w:b/>
          <w:sz w:val="24"/>
          <w:szCs w:val="24"/>
          <w:lang w:eastAsia="zh-CN"/>
        </w:rPr>
      </w:pPr>
      <w:r>
        <w:rPr>
          <w:rFonts w:hint="eastAsia"/>
          <w:b/>
          <w:sz w:val="24"/>
          <w:szCs w:val="24"/>
          <w:lang w:eastAsia="zh-CN"/>
        </w:rPr>
        <w:t>3、验货</w:t>
      </w:r>
    </w:p>
    <w:p>
      <w:pPr>
        <w:pStyle w:val="71"/>
        <w:spacing w:line="288" w:lineRule="auto"/>
        <w:ind w:firstLine="480" w:firstLineChars="200"/>
        <w:jc w:val="both"/>
        <w:rPr>
          <w:rFonts w:ascii="宋体" w:hAnsi="宋体"/>
          <w:color w:val="auto"/>
        </w:rPr>
      </w:pPr>
      <w:r>
        <w:rPr>
          <w:rFonts w:hint="eastAsia" w:ascii="宋体" w:hAnsi="宋体"/>
          <w:color w:val="auto"/>
        </w:rPr>
        <w:t>仪器到现场后，卖方应派人与买方共同开箱验货。确认装箱单和设备完好情况。在买方现场开箱验收时，仪器应达到如下要求：</w:t>
      </w:r>
    </w:p>
    <w:p>
      <w:pPr>
        <w:spacing w:line="288" w:lineRule="auto"/>
        <w:ind w:firstLine="480" w:firstLineChars="200"/>
        <w:jc w:val="both"/>
        <w:rPr>
          <w:sz w:val="24"/>
          <w:szCs w:val="24"/>
          <w:lang w:eastAsia="zh-CN"/>
        </w:rPr>
      </w:pPr>
      <w:r>
        <w:rPr>
          <w:rFonts w:hint="eastAsia"/>
          <w:sz w:val="24"/>
          <w:szCs w:val="24"/>
          <w:lang w:eastAsia="zh-CN"/>
        </w:rPr>
        <w:t>所有仪器的外观、喷漆、电缆的外壳和接头必须完好无缺，铭牌正确。</w:t>
      </w:r>
    </w:p>
    <w:p>
      <w:pPr>
        <w:spacing w:line="288" w:lineRule="auto"/>
        <w:ind w:firstLine="480" w:firstLineChars="200"/>
        <w:jc w:val="both"/>
        <w:rPr>
          <w:sz w:val="24"/>
          <w:szCs w:val="24"/>
          <w:lang w:eastAsia="zh-CN"/>
        </w:rPr>
      </w:pPr>
      <w:r>
        <w:rPr>
          <w:rFonts w:hint="eastAsia"/>
          <w:sz w:val="24"/>
          <w:szCs w:val="24"/>
          <w:lang w:eastAsia="zh-CN"/>
        </w:rPr>
        <w:t>所有仪器的主机、附件、备件必须完整齐全，标识清楚。</w:t>
      </w:r>
    </w:p>
    <w:p>
      <w:pPr>
        <w:spacing w:line="288" w:lineRule="auto"/>
        <w:ind w:firstLine="480" w:firstLineChars="200"/>
        <w:jc w:val="both"/>
        <w:rPr>
          <w:sz w:val="24"/>
          <w:szCs w:val="24"/>
          <w:lang w:eastAsia="zh-CN"/>
        </w:rPr>
      </w:pPr>
      <w:r>
        <w:rPr>
          <w:rFonts w:hint="eastAsia"/>
          <w:sz w:val="24"/>
          <w:szCs w:val="24"/>
          <w:lang w:eastAsia="zh-CN"/>
        </w:rPr>
        <w:t>所有仪器的技术资料必须完整齐全。资料包括现场准备和安装说明书、操作维护手册、电路图、订货单规定的所有供货项目的详细清单、合格证书、安全证书、出厂验收测试程序等。</w:t>
      </w:r>
    </w:p>
    <w:p>
      <w:pPr>
        <w:spacing w:line="288" w:lineRule="auto"/>
        <w:ind w:firstLine="480" w:firstLineChars="200"/>
        <w:jc w:val="both"/>
        <w:rPr>
          <w:sz w:val="24"/>
          <w:szCs w:val="24"/>
          <w:lang w:eastAsia="zh-CN"/>
        </w:rPr>
      </w:pPr>
      <w:r>
        <w:rPr>
          <w:rFonts w:hint="eastAsia"/>
          <w:sz w:val="24"/>
          <w:szCs w:val="24"/>
          <w:lang w:eastAsia="zh-CN"/>
        </w:rPr>
        <w:t>在运输过程中造成的仪器损坏、零部件缺项、资料缺失，卖方确认并负责在</w:t>
      </w:r>
      <w:r>
        <w:rPr>
          <w:rFonts w:hint="eastAsia"/>
          <w:b/>
          <w:bCs/>
          <w:sz w:val="24"/>
          <w:szCs w:val="24"/>
          <w:lang w:eastAsia="zh-CN"/>
        </w:rPr>
        <w:t>7</w:t>
      </w:r>
      <w:r>
        <w:rPr>
          <w:rFonts w:hint="eastAsia"/>
          <w:sz w:val="24"/>
          <w:szCs w:val="24"/>
          <w:lang w:eastAsia="zh-CN"/>
        </w:rPr>
        <w:t>天内补全缺件。卖方对仪器配置（包括辅助设备）的完整性和配套性负责，并保证仪器的正常使用。</w:t>
      </w:r>
    </w:p>
    <w:p>
      <w:pPr>
        <w:spacing w:line="288" w:lineRule="auto"/>
        <w:jc w:val="both"/>
        <w:rPr>
          <w:b/>
          <w:sz w:val="24"/>
          <w:szCs w:val="24"/>
          <w:lang w:eastAsia="zh-CN"/>
        </w:rPr>
      </w:pPr>
      <w:r>
        <w:rPr>
          <w:rFonts w:hint="eastAsia"/>
          <w:b/>
          <w:sz w:val="24"/>
          <w:szCs w:val="24"/>
          <w:lang w:eastAsia="zh-CN"/>
        </w:rPr>
        <w:t>4、仪器现场安装调试</w:t>
      </w:r>
    </w:p>
    <w:p>
      <w:pPr>
        <w:spacing w:line="288" w:lineRule="auto"/>
        <w:ind w:firstLine="480"/>
        <w:jc w:val="both"/>
        <w:rPr>
          <w:sz w:val="24"/>
          <w:szCs w:val="24"/>
          <w:lang w:eastAsia="zh-CN"/>
        </w:rPr>
      </w:pPr>
      <w:r>
        <w:rPr>
          <w:rFonts w:hint="eastAsia" w:cs="Arial"/>
          <w:bCs/>
          <w:sz w:val="24"/>
          <w:szCs w:val="24"/>
          <w:lang w:eastAsia="zh-CN"/>
        </w:rPr>
        <w:t>在收到买方仪器安装调试通知后，由卖方派出工程技术人员，到达买方实验室进行仪器的免费安装调试工作；具体时间由双方协商决定。</w:t>
      </w:r>
      <w:r>
        <w:rPr>
          <w:rFonts w:hint="eastAsia"/>
          <w:sz w:val="24"/>
          <w:szCs w:val="24"/>
          <w:lang w:eastAsia="zh-CN"/>
        </w:rPr>
        <w:t>仪器安装调试时间不应超过1周时间。</w:t>
      </w:r>
    </w:p>
    <w:p>
      <w:pPr>
        <w:spacing w:line="288" w:lineRule="auto"/>
        <w:ind w:firstLine="480"/>
        <w:jc w:val="both"/>
        <w:rPr>
          <w:sz w:val="24"/>
          <w:szCs w:val="24"/>
          <w:lang w:eastAsia="zh-CN"/>
        </w:rPr>
      </w:pPr>
      <w:r>
        <w:rPr>
          <w:rFonts w:hint="eastAsia"/>
          <w:sz w:val="24"/>
          <w:szCs w:val="24"/>
          <w:lang w:eastAsia="zh-CN"/>
        </w:rPr>
        <w:t>卖方负责建立分析样品及分析项目所对应的分析方法及标准曲线，并优化各种参数，使分析达到最佳效果。</w:t>
      </w:r>
    </w:p>
    <w:p>
      <w:pPr>
        <w:spacing w:line="288" w:lineRule="auto"/>
        <w:jc w:val="both"/>
        <w:rPr>
          <w:sz w:val="24"/>
          <w:szCs w:val="24"/>
          <w:lang w:eastAsia="zh-CN"/>
        </w:rPr>
      </w:pPr>
      <w:r>
        <w:rPr>
          <w:rFonts w:hint="eastAsia"/>
          <w:b/>
          <w:sz w:val="24"/>
          <w:szCs w:val="24"/>
          <w:lang w:eastAsia="zh-CN"/>
        </w:rPr>
        <w:t>5、仪器验收</w:t>
      </w:r>
    </w:p>
    <w:p>
      <w:pPr>
        <w:pStyle w:val="71"/>
        <w:adjustRightInd/>
        <w:spacing w:line="288" w:lineRule="auto"/>
        <w:ind w:firstLine="480" w:firstLineChars="200"/>
        <w:jc w:val="both"/>
        <w:rPr>
          <w:rFonts w:ascii="宋体" w:hAnsi="宋体" w:cs="宋体"/>
          <w:color w:val="auto"/>
        </w:rPr>
      </w:pPr>
      <w:r>
        <w:rPr>
          <w:rFonts w:hint="eastAsia" w:ascii="宋体" w:hAnsi="宋体" w:cs="宋体"/>
          <w:color w:val="auto"/>
        </w:rPr>
        <w:t xml:space="preserve">卖方提供测试用的仪器和工具，供买方技术人员在验收时使用。 </w:t>
      </w:r>
    </w:p>
    <w:p>
      <w:pPr>
        <w:pStyle w:val="71"/>
        <w:adjustRightInd/>
        <w:spacing w:line="288" w:lineRule="auto"/>
        <w:ind w:firstLine="480" w:firstLineChars="200"/>
        <w:jc w:val="both"/>
        <w:rPr>
          <w:rFonts w:ascii="宋体" w:hAnsi="宋体" w:cs="宋体"/>
          <w:color w:val="0000FF"/>
        </w:rPr>
      </w:pPr>
      <w:r>
        <w:rPr>
          <w:rFonts w:hint="eastAsia" w:ascii="宋体" w:hAnsi="宋体" w:cs="宋体"/>
          <w:color w:val="auto"/>
        </w:rPr>
        <w:t>卖方提供仪器QA/QC的标准样品，以保证仪器正常的调试和验收。</w:t>
      </w:r>
      <w:r>
        <w:rPr>
          <w:rFonts w:hint="eastAsia" w:ascii="宋体" w:hAnsi="宋体" w:cs="宋体"/>
          <w:color w:val="0000FF"/>
        </w:rPr>
        <w:t xml:space="preserve"> </w:t>
      </w:r>
    </w:p>
    <w:p>
      <w:pPr>
        <w:pStyle w:val="71"/>
        <w:adjustRightInd/>
        <w:spacing w:line="288" w:lineRule="auto"/>
        <w:ind w:firstLine="480" w:firstLineChars="200"/>
        <w:jc w:val="both"/>
        <w:rPr>
          <w:rFonts w:ascii="宋体" w:hAnsi="宋体"/>
          <w:color w:val="auto"/>
        </w:rPr>
      </w:pPr>
      <w:r>
        <w:rPr>
          <w:rFonts w:hint="eastAsia" w:ascii="宋体" w:hAnsi="宋体" w:cs="宋体"/>
          <w:color w:val="auto"/>
        </w:rPr>
        <w:t>卖方</w:t>
      </w:r>
      <w:r>
        <w:rPr>
          <w:rFonts w:hint="eastAsia" w:ascii="宋体" w:hAnsi="宋体" w:cs="宋体"/>
        </w:rPr>
        <w:t>严格按照请购规格书、技术协议书的要求及仪器厂商的产品验收标准等进行验收</w:t>
      </w:r>
      <w:r>
        <w:rPr>
          <w:rFonts w:hint="eastAsia" w:ascii="宋体" w:hAnsi="宋体"/>
        </w:rPr>
        <w:t>，二者之间选用指标较高的标准。</w:t>
      </w:r>
    </w:p>
    <w:p>
      <w:pPr>
        <w:spacing w:line="288" w:lineRule="auto"/>
        <w:ind w:firstLine="480" w:firstLineChars="200"/>
        <w:jc w:val="both"/>
        <w:rPr>
          <w:sz w:val="24"/>
          <w:szCs w:val="24"/>
          <w:lang w:eastAsia="zh-CN"/>
        </w:rPr>
      </w:pPr>
      <w:r>
        <w:rPr>
          <w:rFonts w:hint="eastAsia"/>
          <w:sz w:val="24"/>
          <w:szCs w:val="24"/>
          <w:lang w:eastAsia="zh-CN"/>
        </w:rPr>
        <w:t>仪器的验收必须满足以下条件：仪器的各项性能指标必须符合仪器出厂规定的技术性能指标；必须符合本技术协议附件中的技术要求或请购规格书的技术指标。仪器必须</w:t>
      </w:r>
    </w:p>
    <w:p>
      <w:pPr>
        <w:spacing w:line="288" w:lineRule="auto"/>
        <w:jc w:val="both"/>
        <w:rPr>
          <w:sz w:val="24"/>
          <w:szCs w:val="24"/>
          <w:lang w:eastAsia="zh-CN"/>
        </w:rPr>
      </w:pPr>
      <w:r>
        <w:rPr>
          <w:rFonts w:hint="eastAsia"/>
          <w:sz w:val="24"/>
          <w:szCs w:val="24"/>
          <w:lang w:eastAsia="zh-CN"/>
        </w:rPr>
        <w:t>能满足用户的要求；必须满足相应方法标准中对设备的要求，必须满足标准和技术协议中规定的测量范围和测量精度。如仪器附带标准物质，还需用标准物质进行验收。如仪器有检出限要求，还需对检出限进行验收。</w:t>
      </w:r>
    </w:p>
    <w:p>
      <w:pPr>
        <w:spacing w:line="288" w:lineRule="auto"/>
        <w:jc w:val="both"/>
        <w:rPr>
          <w:b/>
          <w:sz w:val="24"/>
          <w:szCs w:val="24"/>
          <w:lang w:eastAsia="zh-CN"/>
        </w:rPr>
      </w:pPr>
      <w:r>
        <w:rPr>
          <w:rFonts w:hint="eastAsia"/>
          <w:b/>
          <w:sz w:val="24"/>
          <w:szCs w:val="24"/>
          <w:lang w:eastAsia="zh-CN"/>
        </w:rPr>
        <w:t>6、培训</w:t>
      </w:r>
    </w:p>
    <w:p>
      <w:pPr>
        <w:spacing w:line="288" w:lineRule="auto"/>
        <w:ind w:firstLine="480" w:firstLineChars="200"/>
        <w:jc w:val="both"/>
        <w:rPr>
          <w:snapToGrid w:val="0"/>
          <w:color w:val="000000"/>
          <w:sz w:val="24"/>
          <w:szCs w:val="24"/>
          <w:lang w:eastAsia="zh-CN"/>
        </w:rPr>
      </w:pPr>
      <w:r>
        <w:rPr>
          <w:rFonts w:hint="eastAsia"/>
          <w:snapToGrid w:val="0"/>
          <w:color w:val="000000"/>
          <w:sz w:val="24"/>
          <w:szCs w:val="24"/>
          <w:lang w:eastAsia="zh-CN"/>
        </w:rPr>
        <w:t>卖方在仪器安装完成后，对买方人员进行第一期技术培训（</w:t>
      </w:r>
      <w:r>
        <w:rPr>
          <w:snapToGrid w:val="0"/>
          <w:color w:val="000000"/>
          <w:sz w:val="24"/>
          <w:szCs w:val="24"/>
          <w:lang w:eastAsia="zh-CN"/>
        </w:rPr>
        <w:t>2</w:t>
      </w:r>
      <w:r>
        <w:rPr>
          <w:rFonts w:hint="eastAsia"/>
          <w:snapToGrid w:val="0"/>
          <w:color w:val="000000"/>
          <w:sz w:val="24"/>
          <w:szCs w:val="24"/>
          <w:lang w:eastAsia="zh-CN"/>
        </w:rPr>
        <w:t>天以上现场培训），保证买方仪器操作人员能够正常操作仪器、初步判断故障、简单维护保养。培训内容包括：仪器结构原理、操作原理、安装调试、实际操作、软件使用、日常维护、故障排除、注意事项、应用方法、样品处理、用户使用过程中出现的问题等方面。</w:t>
      </w:r>
    </w:p>
    <w:p>
      <w:pPr>
        <w:pStyle w:val="71"/>
        <w:adjustRightInd/>
        <w:spacing w:line="288" w:lineRule="auto"/>
        <w:ind w:firstLine="480" w:firstLineChars="200"/>
        <w:jc w:val="both"/>
        <w:rPr>
          <w:rFonts w:ascii="宋体" w:hAnsi="宋体"/>
          <w:snapToGrid w:val="0"/>
        </w:rPr>
      </w:pPr>
      <w:r>
        <w:rPr>
          <w:rFonts w:hint="eastAsia" w:ascii="宋体" w:hAnsi="宋体" w:cs="宋体"/>
          <w:szCs w:val="21"/>
        </w:rPr>
        <w:t>在保修期内，</w:t>
      </w:r>
      <w:r>
        <w:rPr>
          <w:rFonts w:ascii="宋体" w:hAnsi="宋体" w:cs="宋体"/>
          <w:szCs w:val="21"/>
        </w:rPr>
        <w:t>卖方</w:t>
      </w:r>
      <w:r>
        <w:rPr>
          <w:rFonts w:hint="eastAsia" w:ascii="宋体" w:hAnsi="宋体" w:cs="宋体"/>
          <w:szCs w:val="21"/>
        </w:rPr>
        <w:t>应</w:t>
      </w:r>
      <w:r>
        <w:rPr>
          <w:rFonts w:ascii="宋体" w:hAnsi="宋体" w:cs="宋体"/>
          <w:szCs w:val="21"/>
        </w:rPr>
        <w:t>根据</w:t>
      </w:r>
      <w:r>
        <w:rPr>
          <w:rFonts w:hint="eastAsia" w:ascii="宋体" w:hAnsi="宋体" w:cs="宋体"/>
          <w:szCs w:val="21"/>
        </w:rPr>
        <w:t>买方</w:t>
      </w:r>
      <w:r>
        <w:rPr>
          <w:rFonts w:ascii="宋体" w:hAnsi="宋体" w:cs="宋体"/>
          <w:szCs w:val="21"/>
        </w:rPr>
        <w:t>要求进行定期回访</w:t>
      </w:r>
      <w:r>
        <w:rPr>
          <w:rFonts w:hint="eastAsia" w:ascii="宋体" w:hAnsi="宋体"/>
          <w:snapToGrid w:val="0"/>
        </w:rPr>
        <w:t>，对仪器进行维护保养。并对买方在仪器使用过程中存在的问题进行解答及培训。</w:t>
      </w:r>
    </w:p>
    <w:p>
      <w:pPr>
        <w:spacing w:line="288" w:lineRule="auto"/>
        <w:jc w:val="both"/>
        <w:rPr>
          <w:b/>
          <w:sz w:val="24"/>
          <w:szCs w:val="24"/>
          <w:lang w:eastAsia="zh-CN"/>
        </w:rPr>
      </w:pPr>
      <w:r>
        <w:rPr>
          <w:rFonts w:hint="eastAsia"/>
          <w:b/>
          <w:sz w:val="24"/>
          <w:szCs w:val="24"/>
          <w:lang w:eastAsia="zh-CN"/>
        </w:rPr>
        <w:t>7、</w:t>
      </w:r>
      <w:bookmarkStart w:id="12" w:name="_Toc194850717"/>
      <w:r>
        <w:rPr>
          <w:rFonts w:hint="eastAsia"/>
          <w:b/>
          <w:sz w:val="24"/>
          <w:szCs w:val="24"/>
          <w:lang w:eastAsia="zh-CN"/>
        </w:rPr>
        <w:t>保修</w:t>
      </w:r>
      <w:bookmarkEnd w:id="12"/>
      <w:r>
        <w:rPr>
          <w:rFonts w:hint="eastAsia"/>
          <w:b/>
          <w:sz w:val="24"/>
          <w:szCs w:val="24"/>
          <w:lang w:eastAsia="zh-CN"/>
        </w:rPr>
        <w:t>期及售后服务</w:t>
      </w:r>
    </w:p>
    <w:p>
      <w:pPr>
        <w:spacing w:line="288" w:lineRule="auto"/>
        <w:ind w:firstLine="480" w:firstLineChars="200"/>
        <w:jc w:val="both"/>
        <w:rPr>
          <w:snapToGrid w:val="0"/>
          <w:color w:val="000000"/>
          <w:sz w:val="24"/>
          <w:szCs w:val="24"/>
          <w:lang w:eastAsia="zh-CN"/>
        </w:rPr>
      </w:pPr>
      <w:r>
        <w:rPr>
          <w:rFonts w:hint="eastAsia"/>
          <w:snapToGrid w:val="0"/>
          <w:color w:val="000000"/>
          <w:sz w:val="24"/>
          <w:szCs w:val="24"/>
          <w:lang w:eastAsia="zh-CN"/>
        </w:rPr>
        <w:t>卖方负责仪器自验收合格之日起</w:t>
      </w:r>
      <w:r>
        <w:rPr>
          <w:rFonts w:hint="eastAsia"/>
          <w:b/>
          <w:bCs/>
          <w:snapToGrid w:val="0"/>
          <w:color w:val="000000"/>
          <w:sz w:val="24"/>
          <w:szCs w:val="24"/>
          <w:lang w:eastAsia="zh-CN"/>
        </w:rPr>
        <w:t>一年</w:t>
      </w:r>
      <w:r>
        <w:rPr>
          <w:rFonts w:hint="eastAsia"/>
          <w:snapToGrid w:val="0"/>
          <w:color w:val="000000"/>
          <w:sz w:val="24"/>
          <w:szCs w:val="24"/>
          <w:lang w:eastAsia="zh-CN"/>
        </w:rPr>
        <w:t>的仪器免费保修，免费保修</w:t>
      </w:r>
      <w:r>
        <w:rPr>
          <w:rFonts w:hint="eastAsia" w:cs="Arial"/>
          <w:color w:val="000000"/>
          <w:sz w:val="24"/>
          <w:lang w:eastAsia="zh-CN"/>
        </w:rPr>
        <w:t>期内的设备，均可获得免费维修服务及坏件更换</w:t>
      </w:r>
      <w:r>
        <w:rPr>
          <w:rFonts w:hint="eastAsia"/>
          <w:snapToGrid w:val="0"/>
          <w:color w:val="000000"/>
          <w:sz w:val="24"/>
          <w:szCs w:val="24"/>
          <w:lang w:eastAsia="zh-CN"/>
        </w:rPr>
        <w:t>。用来更换的部件和设备应当是全新的。</w:t>
      </w:r>
    </w:p>
    <w:p>
      <w:pPr>
        <w:pStyle w:val="71"/>
        <w:adjustRightInd/>
        <w:spacing w:line="288" w:lineRule="auto"/>
        <w:ind w:firstLine="480" w:firstLineChars="200"/>
        <w:jc w:val="both"/>
        <w:rPr>
          <w:rFonts w:ascii="宋体" w:hAnsi="宋体" w:cs="宋体"/>
          <w:color w:val="auto"/>
        </w:rPr>
      </w:pPr>
      <w:r>
        <w:rPr>
          <w:rFonts w:hint="eastAsia" w:ascii="宋体" w:hAnsi="宋体" w:cs="Arial"/>
          <w:color w:val="auto"/>
        </w:rPr>
        <w:t>保修期内和</w:t>
      </w:r>
      <w:r>
        <w:rPr>
          <w:rFonts w:hint="eastAsia" w:ascii="宋体" w:hAnsi="宋体" w:cs="宋体"/>
          <w:color w:val="auto"/>
        </w:rPr>
        <w:t>保修期后</w:t>
      </w:r>
      <w:r>
        <w:rPr>
          <w:rFonts w:hint="eastAsia" w:ascii="宋体" w:hAnsi="宋体" w:cs="Arial"/>
          <w:color w:val="auto"/>
        </w:rPr>
        <w:t>，如买方发现仪器有技术问题或仪器故障，卖方接到买方</w:t>
      </w:r>
      <w:r>
        <w:rPr>
          <w:rFonts w:hint="eastAsia" w:ascii="宋体" w:hAnsi="宋体" w:cs="宋体"/>
          <w:color w:val="auto"/>
        </w:rPr>
        <w:t>的Email、电话、传真或</w:t>
      </w:r>
      <w:r>
        <w:rPr>
          <w:rFonts w:hint="eastAsia" w:ascii="宋体" w:hAnsi="宋体" w:cs="Arial"/>
          <w:color w:val="auto"/>
        </w:rPr>
        <w:t>书面通知的服务请求报告后，</w:t>
      </w:r>
      <w:r>
        <w:rPr>
          <w:rFonts w:hint="eastAsia" w:ascii="宋体" w:hAnsi="宋体"/>
          <w:b/>
          <w:color w:val="auto"/>
        </w:rPr>
        <w:t>2</w:t>
      </w:r>
      <w:r>
        <w:rPr>
          <w:rFonts w:hint="eastAsia" w:ascii="宋体" w:hAnsi="宋体"/>
          <w:color w:val="auto"/>
        </w:rPr>
        <w:t>小时之内响应，</w:t>
      </w:r>
      <w:r>
        <w:rPr>
          <w:rFonts w:hint="eastAsia" w:ascii="宋体" w:hAnsi="宋体" w:cs="宋体"/>
          <w:b/>
          <w:color w:val="auto"/>
        </w:rPr>
        <w:t>8</w:t>
      </w:r>
      <w:r>
        <w:rPr>
          <w:rFonts w:hint="eastAsia" w:ascii="宋体" w:hAnsi="宋体" w:cs="宋体"/>
          <w:color w:val="auto"/>
        </w:rPr>
        <w:t>小时内提供解决方案。</w:t>
      </w:r>
      <w:r>
        <w:rPr>
          <w:rFonts w:hint="eastAsia" w:ascii="宋体" w:hAnsi="宋体" w:cs="Arial"/>
          <w:color w:val="auto"/>
        </w:rPr>
        <w:t>如不能解决问题，或</w:t>
      </w:r>
      <w:r>
        <w:rPr>
          <w:rFonts w:hint="eastAsia" w:ascii="宋体" w:hAnsi="宋体" w:cs="宋体"/>
          <w:color w:val="auto"/>
        </w:rPr>
        <w:t>根据买方的要求，</w:t>
      </w:r>
      <w:r>
        <w:rPr>
          <w:rFonts w:hint="eastAsia" w:ascii="宋体" w:hAnsi="宋体" w:cs="Arial"/>
          <w:color w:val="auto"/>
        </w:rPr>
        <w:t>卖方自接到技术服务要求起计，</w:t>
      </w:r>
      <w:r>
        <w:rPr>
          <w:rFonts w:hint="eastAsia" w:ascii="宋体" w:hAnsi="宋体" w:cs="宋体"/>
          <w:b/>
          <w:color w:val="auto"/>
        </w:rPr>
        <w:t>48</w:t>
      </w:r>
      <w:r>
        <w:rPr>
          <w:rFonts w:hint="eastAsia" w:ascii="宋体" w:hAnsi="宋体" w:cs="宋体"/>
          <w:color w:val="auto"/>
        </w:rPr>
        <w:t>小时内无条件提供现场</w:t>
      </w:r>
      <w:r>
        <w:rPr>
          <w:rFonts w:hint="eastAsia" w:ascii="宋体" w:hAnsi="宋体" w:cs="Arial"/>
          <w:color w:val="auto"/>
        </w:rPr>
        <w:t>维修</w:t>
      </w:r>
      <w:r>
        <w:rPr>
          <w:rFonts w:hint="eastAsia" w:ascii="宋体" w:hAnsi="宋体" w:cs="宋体"/>
          <w:color w:val="auto"/>
        </w:rPr>
        <w:t>服务</w:t>
      </w:r>
      <w:r>
        <w:rPr>
          <w:rFonts w:hint="eastAsia" w:ascii="宋体" w:hAnsi="宋体" w:cs="Arial"/>
          <w:color w:val="auto"/>
        </w:rPr>
        <w:t>，并彻底解决仪器之故障。</w:t>
      </w:r>
    </w:p>
    <w:p>
      <w:pPr>
        <w:spacing w:line="288" w:lineRule="auto"/>
        <w:ind w:firstLine="480" w:firstLineChars="200"/>
        <w:jc w:val="both"/>
        <w:rPr>
          <w:rFonts w:cs="Arial"/>
          <w:sz w:val="24"/>
          <w:szCs w:val="24"/>
          <w:lang w:eastAsia="zh-CN"/>
        </w:rPr>
      </w:pPr>
      <w:r>
        <w:rPr>
          <w:rFonts w:hint="eastAsia" w:cs="Arial"/>
          <w:sz w:val="24"/>
          <w:szCs w:val="24"/>
          <w:lang w:eastAsia="zh-CN"/>
        </w:rPr>
        <w:t>保修期内的维修：保修范围内的零部件等不收取费用（消耗品除外）。维修服务不收取服务费用（包括交通费、住宿费、工时费）。</w:t>
      </w:r>
    </w:p>
    <w:p>
      <w:pPr>
        <w:spacing w:line="288" w:lineRule="auto"/>
        <w:jc w:val="both"/>
        <w:rPr>
          <w:b/>
          <w:snapToGrid w:val="0"/>
          <w:color w:val="000000"/>
          <w:sz w:val="24"/>
          <w:szCs w:val="24"/>
          <w:lang w:eastAsia="zh-CN"/>
        </w:rPr>
      </w:pPr>
      <w:r>
        <w:rPr>
          <w:rFonts w:hint="eastAsia"/>
          <w:b/>
          <w:snapToGrid w:val="0"/>
          <w:color w:val="000000"/>
          <w:sz w:val="24"/>
          <w:szCs w:val="24"/>
          <w:lang w:eastAsia="zh-CN"/>
        </w:rPr>
        <w:t>五、其他保证</w:t>
      </w:r>
    </w:p>
    <w:p>
      <w:pPr>
        <w:spacing w:line="288" w:lineRule="auto"/>
        <w:jc w:val="both"/>
        <w:rPr>
          <w:snapToGrid w:val="0"/>
          <w:color w:val="000000"/>
          <w:sz w:val="24"/>
          <w:szCs w:val="24"/>
          <w:lang w:eastAsia="zh-CN"/>
        </w:rPr>
      </w:pPr>
      <w:r>
        <w:rPr>
          <w:rFonts w:hint="eastAsia"/>
          <w:snapToGrid w:val="0"/>
          <w:color w:val="000000"/>
          <w:sz w:val="24"/>
          <w:szCs w:val="24"/>
          <w:lang w:eastAsia="zh-CN"/>
        </w:rPr>
        <w:t>1、备品备件保证</w:t>
      </w:r>
    </w:p>
    <w:p>
      <w:pPr>
        <w:pStyle w:val="71"/>
        <w:adjustRightInd/>
        <w:spacing w:line="288" w:lineRule="auto"/>
        <w:ind w:firstLine="480" w:firstLineChars="200"/>
        <w:jc w:val="both"/>
        <w:rPr>
          <w:rFonts w:ascii="宋体" w:hAnsi="宋体" w:cs="宋体"/>
        </w:rPr>
      </w:pPr>
      <w:r>
        <w:rPr>
          <w:rFonts w:hint="eastAsia" w:ascii="宋体" w:hAnsi="宋体" w:cs="宋体"/>
        </w:rPr>
        <w:t>卖方供货清单中的所有设备、部件应保证</w:t>
      </w:r>
      <w:r>
        <w:rPr>
          <w:rFonts w:hint="eastAsia" w:ascii="宋体" w:hAnsi="宋体" w:cs="宋体"/>
          <w:b/>
        </w:rPr>
        <w:t>1</w:t>
      </w:r>
      <w:r>
        <w:rPr>
          <w:rFonts w:hint="eastAsia" w:ascii="宋体" w:hAnsi="宋体" w:cs="宋体"/>
          <w:b/>
          <w:lang w:val="en-US" w:eastAsia="zh-CN"/>
        </w:rPr>
        <w:t>0</w:t>
      </w:r>
      <w:r>
        <w:rPr>
          <w:rFonts w:hint="eastAsia" w:ascii="宋体" w:hAnsi="宋体" w:cs="宋体"/>
        </w:rPr>
        <w:t>年（或停止生产后</w:t>
      </w:r>
      <w:r>
        <w:rPr>
          <w:rFonts w:hint="eastAsia" w:ascii="宋体" w:hAnsi="宋体" w:cs="宋体"/>
          <w:b/>
          <w:lang w:val="en-US" w:eastAsia="zh-CN"/>
        </w:rPr>
        <w:t>5</w:t>
      </w:r>
      <w:r>
        <w:rPr>
          <w:rFonts w:hint="eastAsia" w:ascii="宋体" w:hAnsi="宋体" w:cs="宋体"/>
        </w:rPr>
        <w:t xml:space="preserve">年）以上的备件供应期。 </w:t>
      </w:r>
    </w:p>
    <w:p>
      <w:pPr>
        <w:spacing w:line="288" w:lineRule="auto"/>
        <w:ind w:firstLine="480" w:firstLineChars="200"/>
        <w:jc w:val="both"/>
        <w:rPr>
          <w:rFonts w:cs="Arial"/>
          <w:sz w:val="24"/>
          <w:szCs w:val="24"/>
          <w:lang w:eastAsia="zh-CN"/>
        </w:rPr>
      </w:pPr>
      <w:r>
        <w:rPr>
          <w:rFonts w:hint="eastAsia" w:cs="Arial"/>
          <w:sz w:val="24"/>
          <w:szCs w:val="24"/>
          <w:lang w:eastAsia="zh-CN"/>
        </w:rPr>
        <w:t>保修期后，</w:t>
      </w:r>
      <w:r>
        <w:rPr>
          <w:rFonts w:hint="eastAsia"/>
          <w:sz w:val="24"/>
          <w:szCs w:val="24"/>
          <w:lang w:eastAsia="zh-CN"/>
        </w:rPr>
        <w:t>卖方</w:t>
      </w:r>
      <w:r>
        <w:rPr>
          <w:rFonts w:hint="eastAsia" w:cs="Arial"/>
          <w:sz w:val="24"/>
          <w:szCs w:val="24"/>
          <w:lang w:eastAsia="zh-CN"/>
        </w:rPr>
        <w:t>继续免费为买方提供仪器技术咨询和支持，有偿提供维修服务，有偿供应备品备件。</w:t>
      </w:r>
    </w:p>
    <w:p>
      <w:pPr>
        <w:spacing w:line="288" w:lineRule="auto"/>
        <w:jc w:val="both"/>
        <w:rPr>
          <w:rFonts w:cs="Arial"/>
          <w:sz w:val="24"/>
          <w:szCs w:val="24"/>
          <w:lang w:eastAsia="zh-CN"/>
        </w:rPr>
      </w:pPr>
      <w:r>
        <w:rPr>
          <w:rFonts w:hint="eastAsia" w:cs="Arial"/>
          <w:sz w:val="24"/>
          <w:szCs w:val="24"/>
          <w:lang w:eastAsia="zh-CN"/>
        </w:rPr>
        <w:t>2、能力保证</w:t>
      </w:r>
    </w:p>
    <w:p>
      <w:pPr>
        <w:spacing w:line="288" w:lineRule="auto"/>
        <w:ind w:firstLine="480"/>
        <w:jc w:val="both"/>
        <w:rPr>
          <w:rFonts w:cs="Arial"/>
          <w:sz w:val="24"/>
          <w:szCs w:val="24"/>
          <w:lang w:eastAsia="zh-CN"/>
        </w:rPr>
      </w:pPr>
      <w:r>
        <w:rPr>
          <w:rFonts w:hint="eastAsia" w:cs="Arial"/>
          <w:sz w:val="24"/>
          <w:szCs w:val="24"/>
          <w:lang w:eastAsia="zh-CN"/>
        </w:rPr>
        <w:t>卖方应提供国内距本项目最近的技术咨询专家、应用专家、维修工程师的联络方式等资料。</w:t>
      </w:r>
    </w:p>
    <w:p>
      <w:pPr>
        <w:spacing w:line="288" w:lineRule="auto"/>
        <w:jc w:val="both"/>
        <w:rPr>
          <w:rFonts w:cs="Arial"/>
          <w:sz w:val="24"/>
          <w:szCs w:val="24"/>
          <w:lang w:eastAsia="zh-CN"/>
        </w:rPr>
      </w:pPr>
      <w:r>
        <w:rPr>
          <w:rFonts w:hint="eastAsia" w:cs="Arial"/>
          <w:sz w:val="24"/>
          <w:szCs w:val="24"/>
          <w:lang w:eastAsia="zh-CN"/>
        </w:rPr>
        <w:t>3、其他服务</w:t>
      </w:r>
    </w:p>
    <w:p>
      <w:pPr>
        <w:spacing w:line="288" w:lineRule="auto"/>
        <w:ind w:firstLine="480"/>
        <w:jc w:val="both"/>
        <w:rPr>
          <w:rFonts w:cs="Arial"/>
          <w:sz w:val="24"/>
          <w:szCs w:val="24"/>
          <w:lang w:eastAsia="zh-CN"/>
        </w:rPr>
      </w:pPr>
      <w:r>
        <w:rPr>
          <w:rFonts w:hint="eastAsia" w:cs="Arial"/>
          <w:sz w:val="24"/>
          <w:szCs w:val="24"/>
          <w:lang w:eastAsia="zh-CN"/>
        </w:rPr>
        <w:t>回访服务：保修期过后，卖方工程师每年对买方进行回访，以便于及时发现和处理问题，保证仪器的各项性能得到最大的发挥。</w:t>
      </w:r>
    </w:p>
    <w:p>
      <w:pPr>
        <w:rPr>
          <w:rFonts w:cs="Arial"/>
          <w:b/>
          <w:sz w:val="24"/>
          <w:szCs w:val="24"/>
          <w:lang w:eastAsia="zh-CN"/>
        </w:rPr>
      </w:pPr>
      <w:r>
        <w:rPr>
          <w:rFonts w:cs="Arial"/>
          <w:b/>
          <w:sz w:val="24"/>
          <w:szCs w:val="24"/>
          <w:lang w:eastAsia="zh-CN"/>
        </w:rPr>
        <w:br w:type="page"/>
      </w:r>
      <w:r>
        <w:rPr>
          <w:rFonts w:hint="eastAsia" w:cs="Arial" w:asciiTheme="minorEastAsia" w:hAnsiTheme="minorEastAsia" w:eastAsiaTheme="minorEastAsia"/>
          <w:b/>
          <w:sz w:val="24"/>
          <w:szCs w:val="24"/>
          <w:lang w:eastAsia="zh-CN"/>
        </w:rPr>
        <w:t>附件一:</w:t>
      </w:r>
    </w:p>
    <w:p>
      <w:pPr>
        <w:spacing w:line="300" w:lineRule="auto"/>
        <w:jc w:val="both"/>
        <w:rPr>
          <w:rFonts w:cs="Arial" w:asciiTheme="minorEastAsia" w:hAnsiTheme="minorEastAsia" w:eastAsiaTheme="minorEastAsia"/>
          <w:b/>
          <w:bCs/>
          <w:color w:val="auto"/>
          <w:sz w:val="24"/>
          <w:szCs w:val="24"/>
          <w:lang w:eastAsia="zh-CN"/>
        </w:rPr>
      </w:pPr>
      <w:r>
        <w:rPr>
          <w:rFonts w:hint="eastAsia" w:cs="Arial" w:asciiTheme="minorEastAsia" w:hAnsiTheme="minorEastAsia" w:eastAsiaTheme="minorEastAsia"/>
          <w:b/>
          <w:bCs/>
          <w:color w:val="auto"/>
          <w:sz w:val="24"/>
          <w:szCs w:val="24"/>
          <w:lang w:eastAsia="zh-CN"/>
        </w:rPr>
        <w:t>一、</w:t>
      </w:r>
      <w:r>
        <w:rPr>
          <w:rFonts w:hint="eastAsia" w:asciiTheme="minorEastAsia" w:hAnsiTheme="minorEastAsia" w:eastAsiaTheme="minorEastAsia"/>
          <w:b/>
          <w:bCs/>
          <w:color w:val="auto"/>
          <w:sz w:val="24"/>
          <w:szCs w:val="24"/>
          <w:lang w:eastAsia="zh-CN"/>
        </w:rPr>
        <w:t>水中油在线分析仪（</w:t>
      </w:r>
      <w:r>
        <w:rPr>
          <w:rFonts w:hint="eastAsia" w:asciiTheme="minorEastAsia" w:hAnsiTheme="minorEastAsia" w:eastAsiaTheme="minorEastAsia"/>
          <w:b/>
          <w:bCs/>
          <w:color w:val="auto"/>
          <w:sz w:val="24"/>
          <w:szCs w:val="24"/>
          <w:lang w:val="en-US" w:eastAsia="zh-CN"/>
        </w:rPr>
        <w:t>原装</w:t>
      </w:r>
      <w:r>
        <w:rPr>
          <w:rFonts w:hint="eastAsia" w:asciiTheme="minorEastAsia" w:hAnsiTheme="minorEastAsia" w:eastAsiaTheme="minorEastAsia"/>
          <w:b/>
          <w:bCs/>
          <w:color w:val="auto"/>
          <w:sz w:val="24"/>
          <w:szCs w:val="24"/>
          <w:lang w:eastAsia="zh-CN"/>
        </w:rPr>
        <w:t>进口1台）</w:t>
      </w:r>
    </w:p>
    <w:p>
      <w:pPr>
        <w:spacing w:line="300" w:lineRule="auto"/>
        <w:jc w:val="both"/>
        <w:rPr>
          <w:rFonts w:cs="Arial" w:asciiTheme="minorEastAsia" w:hAnsiTheme="minorEastAsia" w:eastAsiaTheme="minorEastAsia"/>
          <w:sz w:val="24"/>
          <w:szCs w:val="24"/>
          <w:lang w:eastAsia="zh-CN"/>
        </w:rPr>
      </w:pPr>
      <w:r>
        <w:rPr>
          <w:rFonts w:cs="Arial" w:asciiTheme="minorEastAsia" w:hAnsiTheme="minorEastAsia" w:eastAsiaTheme="minorEastAsia"/>
          <w:b/>
          <w:sz w:val="24"/>
          <w:szCs w:val="24"/>
          <w:lang w:eastAsia="zh-CN"/>
        </w:rPr>
        <w:t>1、</w:t>
      </w:r>
      <w:r>
        <w:rPr>
          <w:rFonts w:hint="eastAsia" w:cs="Arial" w:asciiTheme="minorEastAsia" w:hAnsiTheme="minorEastAsia" w:eastAsiaTheme="minorEastAsia"/>
          <w:b/>
          <w:sz w:val="24"/>
          <w:szCs w:val="24"/>
          <w:lang w:eastAsia="zh-CN"/>
        </w:rPr>
        <w:t>技术要求</w:t>
      </w:r>
    </w:p>
    <w:p>
      <w:pPr>
        <w:pStyle w:val="71"/>
        <w:rPr>
          <w:rFonts w:ascii="微软雅黑" w:eastAsia="微软雅黑" w:cs="微软雅黑"/>
        </w:rPr>
      </w:pPr>
      <w:r>
        <w:rPr>
          <w:rFonts w:ascii="宋体" w:hAnsi="宋体" w:cs="Arial"/>
          <w:bCs/>
        </w:rPr>
        <w:t>1</w:t>
      </w:r>
      <w:r>
        <w:rPr>
          <w:rFonts w:hint="eastAsia" w:ascii="宋体" w:hAnsi="宋体" w:cs="Arial"/>
          <w:bCs/>
        </w:rPr>
        <w:t>.1</w:t>
      </w:r>
      <w:r>
        <w:rPr>
          <w:rFonts w:ascii="宋体" w:hAnsi="宋体" w:cs="Arial"/>
          <w:bCs/>
        </w:rPr>
        <w:t xml:space="preserve"> </w:t>
      </w:r>
      <w:r>
        <w:rPr>
          <w:rFonts w:hint="eastAsia" w:ascii="宋体" w:hAnsi="宋体" w:cs="Arial"/>
          <w:bCs/>
        </w:rPr>
        <w:t>用紫外荧光法原理，测量除盐水中的油含量。</w:t>
      </w:r>
    </w:p>
    <w:p>
      <w:pPr>
        <w:adjustRightInd w:val="0"/>
        <w:spacing w:line="288" w:lineRule="auto"/>
        <w:rPr>
          <w:rFonts w:cs="Arial"/>
          <w:bCs/>
          <w:sz w:val="24"/>
          <w:szCs w:val="24"/>
          <w:lang w:eastAsia="zh-CN"/>
        </w:rPr>
      </w:pPr>
      <w:r>
        <w:rPr>
          <w:rFonts w:hint="eastAsia" w:cs="Arial"/>
          <w:bCs/>
          <w:sz w:val="24"/>
          <w:szCs w:val="24"/>
          <w:lang w:eastAsia="zh-CN"/>
        </w:rPr>
        <w:t>1</w:t>
      </w:r>
      <w:r>
        <w:rPr>
          <w:rFonts w:cs="Arial"/>
          <w:bCs/>
          <w:sz w:val="24"/>
          <w:szCs w:val="24"/>
          <w:lang w:eastAsia="zh-CN"/>
        </w:rPr>
        <w:t>.2 测量</w:t>
      </w:r>
      <w:r>
        <w:rPr>
          <w:rFonts w:hint="eastAsia" w:cs="Arial"/>
          <w:bCs/>
          <w:sz w:val="24"/>
          <w:szCs w:val="24"/>
          <w:lang w:eastAsia="zh-CN"/>
        </w:rPr>
        <w:t>范围： 0.0--</w:t>
      </w:r>
      <w:r>
        <w:rPr>
          <w:rFonts w:cs="Arial"/>
          <w:bCs/>
          <w:sz w:val="24"/>
          <w:szCs w:val="24"/>
          <w:lang w:eastAsia="zh-CN"/>
        </w:rPr>
        <w:t>1</w:t>
      </w:r>
      <w:r>
        <w:rPr>
          <w:rFonts w:hint="eastAsia" w:cs="Arial"/>
          <w:bCs/>
          <w:sz w:val="24"/>
          <w:szCs w:val="24"/>
          <w:lang w:eastAsia="zh-CN"/>
        </w:rPr>
        <w:t xml:space="preserve"> </w:t>
      </w:r>
      <w:r>
        <w:rPr>
          <w:rFonts w:cs="Arial"/>
          <w:bCs/>
          <w:sz w:val="24"/>
          <w:szCs w:val="24"/>
          <w:lang w:eastAsia="zh-CN"/>
        </w:rPr>
        <w:t>m</w:t>
      </w:r>
      <w:r>
        <w:rPr>
          <w:rFonts w:hint="eastAsia" w:cs="Arial"/>
          <w:bCs/>
          <w:sz w:val="24"/>
          <w:szCs w:val="24"/>
          <w:lang w:eastAsia="zh-CN"/>
        </w:rPr>
        <w:t>g/</w:t>
      </w:r>
      <w:r>
        <w:rPr>
          <w:rFonts w:cs="Arial"/>
          <w:bCs/>
          <w:sz w:val="24"/>
          <w:szCs w:val="24"/>
          <w:lang w:eastAsia="zh-CN"/>
        </w:rPr>
        <w:t>L</w:t>
      </w:r>
      <w:r>
        <w:rPr>
          <w:rFonts w:hint="eastAsia" w:cs="Arial"/>
          <w:bCs/>
          <w:sz w:val="24"/>
          <w:szCs w:val="24"/>
          <w:lang w:eastAsia="zh-CN"/>
        </w:rPr>
        <w:t xml:space="preserve"> (分辨率：</w:t>
      </w:r>
      <w:r>
        <w:rPr>
          <w:rFonts w:cs="Arial"/>
          <w:bCs/>
          <w:sz w:val="24"/>
          <w:szCs w:val="24"/>
          <w:lang w:eastAsia="zh-CN"/>
        </w:rPr>
        <w:t>1</w:t>
      </w:r>
      <w:r>
        <w:rPr>
          <w:rFonts w:hint="eastAsia" w:cs="Arial"/>
          <w:bCs/>
          <w:sz w:val="24"/>
          <w:szCs w:val="24"/>
          <w:lang w:eastAsia="zh-CN"/>
        </w:rPr>
        <w:t xml:space="preserve"> ug/</w:t>
      </w:r>
      <w:r>
        <w:rPr>
          <w:rFonts w:cs="Arial"/>
          <w:bCs/>
          <w:sz w:val="24"/>
          <w:szCs w:val="24"/>
          <w:lang w:eastAsia="zh-CN"/>
        </w:rPr>
        <w:t>L</w:t>
      </w:r>
      <w:r>
        <w:rPr>
          <w:rFonts w:hint="eastAsia" w:cs="Arial"/>
          <w:bCs/>
          <w:sz w:val="24"/>
          <w:szCs w:val="24"/>
          <w:lang w:eastAsia="zh-CN"/>
        </w:rPr>
        <w:t>)</w:t>
      </w:r>
    </w:p>
    <w:p>
      <w:pPr>
        <w:spacing w:line="288" w:lineRule="auto"/>
        <w:jc w:val="both"/>
        <w:rPr>
          <w:rFonts w:cs="Arial"/>
          <w:bCs/>
          <w:sz w:val="24"/>
          <w:szCs w:val="24"/>
          <w:lang w:eastAsia="zh-CN"/>
        </w:rPr>
      </w:pPr>
      <w:r>
        <w:rPr>
          <w:rFonts w:hint="eastAsia" w:cs="Arial"/>
          <w:bCs/>
          <w:sz w:val="24"/>
          <w:szCs w:val="24"/>
          <w:lang w:eastAsia="zh-CN"/>
        </w:rPr>
        <w:t>1</w:t>
      </w:r>
      <w:r>
        <w:rPr>
          <w:rFonts w:cs="Arial"/>
          <w:bCs/>
          <w:sz w:val="24"/>
          <w:szCs w:val="24"/>
          <w:lang w:eastAsia="zh-CN"/>
        </w:rPr>
        <w:t>.3</w:t>
      </w:r>
      <w:r>
        <w:rPr>
          <w:rFonts w:hint="eastAsia" w:cs="Arial"/>
          <w:bCs/>
          <w:sz w:val="24"/>
          <w:szCs w:val="24"/>
          <w:lang w:val="en-US" w:eastAsia="zh-CN"/>
        </w:rPr>
        <w:t xml:space="preserve"> </w:t>
      </w:r>
      <w:r>
        <w:rPr>
          <w:rFonts w:hint="eastAsia" w:cs="Arial"/>
          <w:bCs/>
          <w:sz w:val="24"/>
          <w:szCs w:val="24"/>
          <w:lang w:eastAsia="zh-CN"/>
        </w:rPr>
        <w:t>温度范围：</w:t>
      </w:r>
      <w:r>
        <w:rPr>
          <w:rFonts w:cs="Arial"/>
          <w:bCs/>
          <w:sz w:val="24"/>
          <w:szCs w:val="24"/>
          <w:lang w:eastAsia="zh-CN"/>
        </w:rPr>
        <w:t>10º to 50ºC (</w:t>
      </w:r>
      <w:r>
        <w:rPr>
          <w:rFonts w:hint="eastAsia" w:cs="Arial"/>
          <w:bCs/>
          <w:sz w:val="24"/>
          <w:szCs w:val="24"/>
          <w:lang w:eastAsia="zh-CN"/>
        </w:rPr>
        <w:t>分辨率：</w:t>
      </w:r>
      <w:r>
        <w:rPr>
          <w:rFonts w:cs="Arial"/>
          <w:bCs/>
          <w:sz w:val="24"/>
          <w:szCs w:val="24"/>
          <w:lang w:eastAsia="zh-CN"/>
        </w:rPr>
        <w:t>0.1ºC)</w:t>
      </w:r>
    </w:p>
    <w:p>
      <w:pPr>
        <w:spacing w:line="288" w:lineRule="auto"/>
        <w:jc w:val="both"/>
        <w:rPr>
          <w:rFonts w:cs="Arial"/>
          <w:bCs/>
          <w:sz w:val="24"/>
          <w:szCs w:val="24"/>
          <w:lang w:eastAsia="zh-CN"/>
        </w:rPr>
      </w:pPr>
      <w:r>
        <w:rPr>
          <w:rFonts w:cs="Arial"/>
          <w:bCs/>
          <w:sz w:val="24"/>
          <w:szCs w:val="24"/>
          <w:lang w:eastAsia="zh-CN"/>
        </w:rPr>
        <w:t>1.4</w:t>
      </w:r>
      <w:r>
        <w:rPr>
          <w:rFonts w:hint="eastAsia" w:cs="Arial"/>
          <w:bCs/>
          <w:sz w:val="24"/>
          <w:szCs w:val="24"/>
          <w:lang w:val="en-US" w:eastAsia="zh-CN"/>
        </w:rPr>
        <w:t xml:space="preserve"> </w:t>
      </w:r>
      <w:r>
        <w:rPr>
          <w:rFonts w:cs="Arial"/>
          <w:bCs/>
          <w:sz w:val="24"/>
          <w:szCs w:val="24"/>
          <w:lang w:eastAsia="zh-CN"/>
        </w:rPr>
        <w:t>电源： 220V电源 </w:t>
      </w:r>
    </w:p>
    <w:p>
      <w:pPr>
        <w:tabs>
          <w:tab w:val="left" w:pos="6030"/>
        </w:tabs>
        <w:adjustRightInd w:val="0"/>
        <w:snapToGrid w:val="0"/>
        <w:spacing w:line="300" w:lineRule="auto"/>
        <w:jc w:val="both"/>
        <w:rPr>
          <w:rFonts w:cs="宋体-方正超大字符集" w:asciiTheme="minorEastAsia" w:hAnsiTheme="minorEastAsia" w:eastAsiaTheme="minorEastAsia"/>
          <w:b/>
          <w:sz w:val="24"/>
          <w:szCs w:val="24"/>
          <w:lang w:eastAsia="zh-CN"/>
        </w:rPr>
      </w:pPr>
      <w:r>
        <w:rPr>
          <w:rFonts w:cs="宋体-方正超大字符集" w:asciiTheme="minorEastAsia" w:hAnsiTheme="minorEastAsia" w:eastAsiaTheme="minorEastAsia"/>
          <w:b/>
          <w:sz w:val="24"/>
          <w:szCs w:val="24"/>
          <w:lang w:eastAsia="zh-CN"/>
        </w:rPr>
        <w:t>2</w:t>
      </w:r>
      <w:r>
        <w:rPr>
          <w:rFonts w:hint="eastAsia" w:cs="宋体-方正超大字符集" w:asciiTheme="minorEastAsia" w:hAnsiTheme="minorEastAsia" w:eastAsiaTheme="minorEastAsia"/>
          <w:b/>
          <w:sz w:val="24"/>
          <w:szCs w:val="24"/>
          <w:lang w:eastAsia="zh-CN"/>
        </w:rPr>
        <w:t>、供货范围</w:t>
      </w:r>
      <w:r>
        <w:rPr>
          <w:rFonts w:cs="宋体-方正超大字符集" w:asciiTheme="minorEastAsia" w:hAnsiTheme="minorEastAsia" w:eastAsiaTheme="minorEastAsia"/>
          <w:b/>
          <w:sz w:val="24"/>
          <w:szCs w:val="24"/>
          <w:lang w:eastAsia="zh-CN"/>
        </w:rPr>
        <w:tab/>
      </w:r>
    </w:p>
    <w:p>
      <w:pPr>
        <w:adjustRightInd w:val="0"/>
        <w:snapToGrid w:val="0"/>
        <w:spacing w:line="300" w:lineRule="auto"/>
        <w:jc w:val="both"/>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2</w:t>
      </w:r>
      <w:r>
        <w:rPr>
          <w:rFonts w:hint="eastAsia" w:asciiTheme="minorEastAsia" w:hAnsiTheme="minorEastAsia" w:eastAsiaTheme="minorEastAsia"/>
          <w:sz w:val="24"/>
          <w:szCs w:val="24"/>
          <w:lang w:eastAsia="zh-CN"/>
        </w:rPr>
        <w:t>.1</w:t>
      </w:r>
      <w:r>
        <w:rPr>
          <w:rFonts w:asciiTheme="minorEastAsia" w:hAnsiTheme="minorEastAsia" w:eastAsiaTheme="minorEastAsia"/>
          <w:sz w:val="24"/>
          <w:szCs w:val="24"/>
          <w:lang w:eastAsia="zh-CN"/>
        </w:rPr>
        <w:t xml:space="preserve"> 各种浓度级别标准样品</w:t>
      </w:r>
    </w:p>
    <w:p>
      <w:pPr>
        <w:adjustRightInd w:val="0"/>
        <w:snapToGrid w:val="0"/>
        <w:spacing w:line="300" w:lineRule="auto"/>
        <w:jc w:val="both"/>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2.2 </w:t>
      </w:r>
      <w:r>
        <w:rPr>
          <w:rFonts w:hint="eastAsia" w:asciiTheme="minorEastAsia" w:hAnsiTheme="minorEastAsia" w:eastAsiaTheme="minorEastAsia"/>
          <w:sz w:val="24"/>
          <w:szCs w:val="24"/>
          <w:lang w:eastAsia="zh-CN"/>
        </w:rPr>
        <w:t>易损件及耗品满足两年用量，</w:t>
      </w:r>
    </w:p>
    <w:p>
      <w:pPr>
        <w:adjustRightInd w:val="0"/>
        <w:snapToGrid w:val="0"/>
        <w:spacing w:line="300" w:lineRule="auto"/>
        <w:jc w:val="both"/>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2</w:t>
      </w:r>
      <w:r>
        <w:rPr>
          <w:rFonts w:hint="eastAsia" w:asciiTheme="minorEastAsia" w:hAnsiTheme="minorEastAsia" w:eastAsiaTheme="minorEastAsia"/>
          <w:sz w:val="24"/>
          <w:szCs w:val="24"/>
          <w:lang w:eastAsia="zh-CN"/>
        </w:rPr>
        <w:t>.3</w:t>
      </w:r>
      <w:r>
        <w:rPr>
          <w:rFonts w:asciiTheme="minorEastAsia" w:hAnsiTheme="minorEastAsia" w:eastAsiaTheme="minorEastAsia"/>
          <w:sz w:val="24"/>
          <w:szCs w:val="24"/>
          <w:lang w:eastAsia="zh-CN"/>
        </w:rPr>
        <w:t xml:space="preserve"> </w:t>
      </w:r>
      <w:r>
        <w:rPr>
          <w:rFonts w:hint="eastAsia" w:asciiTheme="minorEastAsia" w:hAnsiTheme="minorEastAsia" w:eastAsiaTheme="minorEastAsia"/>
          <w:sz w:val="24"/>
          <w:szCs w:val="24"/>
          <w:lang w:eastAsia="zh-CN"/>
        </w:rPr>
        <w:t>仪器配套的工具包一套。</w:t>
      </w:r>
    </w:p>
    <w:p>
      <w:pPr>
        <w:spacing w:line="300" w:lineRule="auto"/>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w:t>
      </w:r>
      <w:r>
        <w:rPr>
          <w:rFonts w:asciiTheme="minorEastAsia" w:hAnsiTheme="minorEastAsia" w:eastAsiaTheme="minorEastAsia"/>
          <w:sz w:val="24"/>
          <w:szCs w:val="24"/>
          <w:lang w:eastAsia="zh-CN"/>
        </w:rPr>
        <w:t>.4 304以上不锈钢仪表柜，用于安装仪表。</w:t>
      </w:r>
    </w:p>
    <w:p>
      <w:pPr>
        <w:pStyle w:val="35"/>
        <w:spacing w:beforeLines="0" w:afterLines="0"/>
        <w:ind w:firstLine="0" w:firstLineChars="0"/>
        <w:rPr>
          <w:rFonts w:ascii="Times New Roman"/>
          <w:bCs w:val="0"/>
          <w:sz w:val="24"/>
          <w:szCs w:val="24"/>
          <w:lang w:eastAsia="zh-CN"/>
        </w:rPr>
      </w:pPr>
    </w:p>
    <w:p>
      <w:pPr>
        <w:pStyle w:val="35"/>
        <w:spacing w:beforeLines="0" w:afterLines="0"/>
        <w:ind w:firstLine="0" w:firstLineChars="0"/>
        <w:rPr>
          <w:rFonts w:ascii="Times New Roman"/>
          <w:bCs w:val="0"/>
          <w:sz w:val="24"/>
          <w:szCs w:val="24"/>
          <w:lang w:eastAsia="zh-CN"/>
        </w:rPr>
      </w:pPr>
    </w:p>
    <w:sectPr>
      <w:headerReference r:id="rId4" w:type="default"/>
      <w:pgSz w:w="11910" w:h="16840"/>
      <w:pgMar w:top="1500" w:right="770" w:bottom="740" w:left="146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仿宋_GB2312">
    <w:altName w:val="仿宋"/>
    <w:panose1 w:val="02010609030101010101"/>
    <w:charset w:val="86"/>
    <w:family w:val="modern"/>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rPr>
        <w:lang w:eastAsia="zh-CN"/>
      </w:rPr>
      <mc:AlternateContent>
        <mc:Choice Requires="wps">
          <w:drawing>
            <wp:anchor distT="0" distB="0" distL="114300" distR="114300" simplePos="0" relativeHeight="251658240"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8240;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g6cVe2QAAAA0B&#10;AAAPAAAAAAAAAAEAIAAAACIAAABkcnMvZG93bnJldi54bWxQSwECFAAUAAAACACHTuJAu38EwKgB&#10;AAAvAwAADgAAAAAAAAABACAAAAAoAQAAZHJzL2Uyb0RvYy54bWxQSwUGAAAAAAYABgBZAQAAQgUA&#10;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2">
    <w:nsid w:val="632AD4CB"/>
    <w:multiLevelType w:val="singleLevel"/>
    <w:tmpl w:val="632AD4CB"/>
    <w:lvl w:ilvl="0" w:tentative="0">
      <w:start w:val="3"/>
      <w:numFmt w:val="decimal"/>
      <w:suff w:val="nothing"/>
      <w:lvlText w:val="%1."/>
      <w:lvlJc w:val="left"/>
    </w:lvl>
  </w:abstractNum>
  <w:abstractNum w:abstractNumId="3">
    <w:nsid w:val="63D9F109"/>
    <w:multiLevelType w:val="singleLevel"/>
    <w:tmpl w:val="63D9F109"/>
    <w:lvl w:ilvl="0" w:tentative="0">
      <w:start w:val="12"/>
      <w:numFmt w:val="decimal"/>
      <w:suff w:val="nothing"/>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10"/>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371BF"/>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46C6"/>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06C9C"/>
    <w:rsid w:val="00C10120"/>
    <w:rsid w:val="00C13BCC"/>
    <w:rsid w:val="00C14D43"/>
    <w:rsid w:val="00C22115"/>
    <w:rsid w:val="00C236A4"/>
    <w:rsid w:val="00C31793"/>
    <w:rsid w:val="00C32653"/>
    <w:rsid w:val="00C32735"/>
    <w:rsid w:val="00C3555D"/>
    <w:rsid w:val="00C54C86"/>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374B7"/>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286C"/>
    <w:rsid w:val="00FB3167"/>
    <w:rsid w:val="00FC0F19"/>
    <w:rsid w:val="00FD2D2E"/>
    <w:rsid w:val="00FE30FE"/>
    <w:rsid w:val="00FE3FD9"/>
    <w:rsid w:val="00FE63CC"/>
    <w:rsid w:val="00FE775B"/>
    <w:rsid w:val="00FF618B"/>
    <w:rsid w:val="00FF7A44"/>
    <w:rsid w:val="029D7B85"/>
    <w:rsid w:val="0367315B"/>
    <w:rsid w:val="03863E76"/>
    <w:rsid w:val="061139E5"/>
    <w:rsid w:val="06F50B00"/>
    <w:rsid w:val="076E1278"/>
    <w:rsid w:val="08D1141D"/>
    <w:rsid w:val="0B296DE2"/>
    <w:rsid w:val="0CEC2637"/>
    <w:rsid w:val="0D704EEE"/>
    <w:rsid w:val="0EEC5213"/>
    <w:rsid w:val="0FBB2AA9"/>
    <w:rsid w:val="10294AA3"/>
    <w:rsid w:val="10E40CA0"/>
    <w:rsid w:val="136130D9"/>
    <w:rsid w:val="14530DB8"/>
    <w:rsid w:val="15342061"/>
    <w:rsid w:val="1571589E"/>
    <w:rsid w:val="163810E9"/>
    <w:rsid w:val="164500FE"/>
    <w:rsid w:val="18D85DB9"/>
    <w:rsid w:val="18DD4F7E"/>
    <w:rsid w:val="195B58A2"/>
    <w:rsid w:val="1AED4C21"/>
    <w:rsid w:val="1CEC66D6"/>
    <w:rsid w:val="1D9220E3"/>
    <w:rsid w:val="1E085A14"/>
    <w:rsid w:val="1EB71B1C"/>
    <w:rsid w:val="1EE21CAD"/>
    <w:rsid w:val="1F044534"/>
    <w:rsid w:val="1FA4685B"/>
    <w:rsid w:val="1FF43DDB"/>
    <w:rsid w:val="20633EC5"/>
    <w:rsid w:val="20E43EB1"/>
    <w:rsid w:val="21933AA2"/>
    <w:rsid w:val="22AA7317"/>
    <w:rsid w:val="25A20865"/>
    <w:rsid w:val="25BF356F"/>
    <w:rsid w:val="25DB0C2D"/>
    <w:rsid w:val="269469E7"/>
    <w:rsid w:val="29FC3B14"/>
    <w:rsid w:val="2AB2657F"/>
    <w:rsid w:val="2B11792E"/>
    <w:rsid w:val="2CA57894"/>
    <w:rsid w:val="2EB074DD"/>
    <w:rsid w:val="306C6CAE"/>
    <w:rsid w:val="30D575BA"/>
    <w:rsid w:val="31C54755"/>
    <w:rsid w:val="3216608C"/>
    <w:rsid w:val="34CE14C6"/>
    <w:rsid w:val="34D84CEC"/>
    <w:rsid w:val="37AF5AB7"/>
    <w:rsid w:val="3B1C3371"/>
    <w:rsid w:val="3BB245ED"/>
    <w:rsid w:val="3CC23198"/>
    <w:rsid w:val="3DDF4815"/>
    <w:rsid w:val="3FE669E5"/>
    <w:rsid w:val="416E4815"/>
    <w:rsid w:val="492B4BE8"/>
    <w:rsid w:val="49A31EDC"/>
    <w:rsid w:val="4BEC1A5B"/>
    <w:rsid w:val="4DF91097"/>
    <w:rsid w:val="500F48EF"/>
    <w:rsid w:val="50F63E28"/>
    <w:rsid w:val="52105747"/>
    <w:rsid w:val="5221007F"/>
    <w:rsid w:val="52926B5A"/>
    <w:rsid w:val="532903B4"/>
    <w:rsid w:val="545C5E51"/>
    <w:rsid w:val="5486175B"/>
    <w:rsid w:val="56BD11E9"/>
    <w:rsid w:val="57667D24"/>
    <w:rsid w:val="57CE5BC3"/>
    <w:rsid w:val="59F5351B"/>
    <w:rsid w:val="5A872A61"/>
    <w:rsid w:val="5AE1516A"/>
    <w:rsid w:val="5B6A3A79"/>
    <w:rsid w:val="5C1A5F7B"/>
    <w:rsid w:val="5C8277EA"/>
    <w:rsid w:val="5E88034A"/>
    <w:rsid w:val="61AA2B18"/>
    <w:rsid w:val="61AE1852"/>
    <w:rsid w:val="627C4924"/>
    <w:rsid w:val="645771F8"/>
    <w:rsid w:val="68B757AA"/>
    <w:rsid w:val="6A54112D"/>
    <w:rsid w:val="6A5912F3"/>
    <w:rsid w:val="6AA035AE"/>
    <w:rsid w:val="6D2A2CD8"/>
    <w:rsid w:val="6E0F2E14"/>
    <w:rsid w:val="6E1A1323"/>
    <w:rsid w:val="6EAC3A35"/>
    <w:rsid w:val="6F1E141D"/>
    <w:rsid w:val="6F5354F8"/>
    <w:rsid w:val="71DE44CD"/>
    <w:rsid w:val="740A2BDE"/>
    <w:rsid w:val="749E5291"/>
    <w:rsid w:val="751839E0"/>
    <w:rsid w:val="76274F93"/>
    <w:rsid w:val="77092B5C"/>
    <w:rsid w:val="778B1930"/>
    <w:rsid w:val="78D95F9C"/>
    <w:rsid w:val="78DC4EE3"/>
    <w:rsid w:val="79CF13B5"/>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99"/>
    <w:pPr>
      <w:ind w:left="538"/>
      <w:outlineLvl w:val="0"/>
    </w:pPr>
    <w:rPr>
      <w:b/>
      <w:bCs/>
      <w:sz w:val="28"/>
      <w:szCs w:val="28"/>
    </w:rPr>
  </w:style>
  <w:style w:type="paragraph" w:styleId="4">
    <w:name w:val="heading 2"/>
    <w:basedOn w:val="1"/>
    <w:next w:val="1"/>
    <w:link w:val="52"/>
    <w:qFormat/>
    <w:uiPriority w:val="0"/>
    <w:pPr>
      <w:ind w:left="629"/>
      <w:outlineLvl w:val="1"/>
    </w:pPr>
    <w:rPr>
      <w:b/>
      <w:bCs/>
      <w:sz w:val="24"/>
      <w:szCs w:val="24"/>
    </w:rPr>
  </w:style>
  <w:style w:type="paragraph" w:styleId="5">
    <w:name w:val="heading 3"/>
    <w:basedOn w:val="1"/>
    <w:next w:val="1"/>
    <w:link w:val="45"/>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60"/>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4">
    <w:name w:val="Default Paragraph Font"/>
    <w:unhideWhenUsed/>
    <w:qFormat/>
    <w:uiPriority w:val="1"/>
  </w:style>
  <w:style w:type="table" w:default="1" w:styleId="30">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link w:val="57"/>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7">
    <w:name w:val="Normal Indent"/>
    <w:basedOn w:val="1"/>
    <w:link w:val="53"/>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8">
    <w:name w:val="Document Map"/>
    <w:basedOn w:val="1"/>
    <w:link w:val="61"/>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9">
    <w:name w:val="annotation text"/>
    <w:basedOn w:val="1"/>
    <w:link w:val="46"/>
    <w:qFormat/>
    <w:uiPriority w:val="99"/>
    <w:pPr>
      <w:autoSpaceDE/>
      <w:autoSpaceDN/>
      <w:jc w:val="both"/>
    </w:pPr>
    <w:rPr>
      <w:rFonts w:ascii="Times New Roman" w:hAnsi="Times New Roman" w:cs="Times New Roman"/>
      <w:kern w:val="2"/>
      <w:sz w:val="21"/>
      <w:szCs w:val="20"/>
      <w:lang w:eastAsia="zh-CN"/>
    </w:rPr>
  </w:style>
  <w:style w:type="paragraph" w:styleId="10">
    <w:name w:val="Body Text"/>
    <w:basedOn w:val="1"/>
    <w:link w:val="54"/>
    <w:qFormat/>
    <w:uiPriority w:val="1"/>
    <w:rPr>
      <w:sz w:val="24"/>
      <w:szCs w:val="24"/>
    </w:rPr>
  </w:style>
  <w:style w:type="paragraph" w:styleId="11">
    <w:name w:val="Body Text Indent"/>
    <w:basedOn w:val="1"/>
    <w:link w:val="58"/>
    <w:qFormat/>
    <w:uiPriority w:val="0"/>
    <w:pPr>
      <w:spacing w:after="120"/>
      <w:ind w:left="420" w:leftChars="200"/>
    </w:pPr>
  </w:style>
  <w:style w:type="paragraph" w:styleId="12">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3">
    <w:name w:val="Plain Text"/>
    <w:basedOn w:val="1"/>
    <w:link w:val="50"/>
    <w:qFormat/>
    <w:uiPriority w:val="99"/>
    <w:rPr>
      <w:rFonts w:hAnsi="Courier New" w:cs="Courier New"/>
      <w:szCs w:val="21"/>
    </w:rPr>
  </w:style>
  <w:style w:type="paragraph" w:styleId="14">
    <w:name w:val="Date"/>
    <w:basedOn w:val="1"/>
    <w:next w:val="1"/>
    <w:link w:val="36"/>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5">
    <w:name w:val="Body Text Indent 2"/>
    <w:basedOn w:val="1"/>
    <w:link w:val="49"/>
    <w:qFormat/>
    <w:uiPriority w:val="0"/>
    <w:pPr>
      <w:spacing w:after="120" w:line="480" w:lineRule="auto"/>
      <w:ind w:left="420" w:leftChars="200"/>
    </w:pPr>
  </w:style>
  <w:style w:type="paragraph" w:styleId="16">
    <w:name w:val="Balloon Text"/>
    <w:basedOn w:val="1"/>
    <w:link w:val="40"/>
    <w:qFormat/>
    <w:uiPriority w:val="99"/>
    <w:rPr>
      <w:sz w:val="18"/>
      <w:szCs w:val="18"/>
    </w:rPr>
  </w:style>
  <w:style w:type="paragraph" w:styleId="17">
    <w:name w:val="footer"/>
    <w:basedOn w:val="1"/>
    <w:link w:val="41"/>
    <w:qFormat/>
    <w:uiPriority w:val="99"/>
    <w:pPr>
      <w:tabs>
        <w:tab w:val="center" w:pos="4153"/>
        <w:tab w:val="right" w:pos="8306"/>
      </w:tabs>
      <w:snapToGrid w:val="0"/>
    </w:pPr>
    <w:rPr>
      <w:sz w:val="18"/>
      <w:szCs w:val="18"/>
    </w:rPr>
  </w:style>
  <w:style w:type="paragraph" w:styleId="18">
    <w:name w:val="header"/>
    <w:basedOn w:val="1"/>
    <w:link w:val="65"/>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9">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20">
    <w:name w:val="Subtitle"/>
    <w:basedOn w:val="1"/>
    <w:next w:val="1"/>
    <w:link w:val="62"/>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1">
    <w:name w:val="List"/>
    <w:basedOn w:val="1"/>
    <w:qFormat/>
    <w:uiPriority w:val="0"/>
    <w:pPr>
      <w:widowControl/>
      <w:autoSpaceDE/>
      <w:autoSpaceDN/>
      <w:ind w:left="420" w:hanging="420"/>
    </w:pPr>
    <w:rPr>
      <w:rFonts w:hAnsi="Times New Roman" w:cs="Times New Roman"/>
      <w:szCs w:val="20"/>
      <w:lang w:eastAsia="zh-CN"/>
    </w:rPr>
  </w:style>
  <w:style w:type="paragraph" w:styleId="22">
    <w:name w:val="Body Text 2"/>
    <w:basedOn w:val="1"/>
    <w:link w:val="48"/>
    <w:qFormat/>
    <w:uiPriority w:val="0"/>
    <w:pPr>
      <w:spacing w:after="120" w:line="480" w:lineRule="auto"/>
    </w:pPr>
  </w:style>
  <w:style w:type="paragraph" w:styleId="23">
    <w:name w:val="Title"/>
    <w:basedOn w:val="1"/>
    <w:next w:val="1"/>
    <w:link w:val="63"/>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character" w:styleId="25">
    <w:name w:val="Strong"/>
    <w:qFormat/>
    <w:uiPriority w:val="99"/>
    <w:rPr>
      <w:b/>
      <w:bCs/>
    </w:rPr>
  </w:style>
  <w:style w:type="character" w:styleId="26">
    <w:name w:val="page number"/>
    <w:basedOn w:val="24"/>
    <w:qFormat/>
    <w:uiPriority w:val="99"/>
    <w:rPr>
      <w:rFonts w:cs="Times New Roman"/>
    </w:rPr>
  </w:style>
  <w:style w:type="character" w:styleId="27">
    <w:name w:val="FollowedHyperlink"/>
    <w:basedOn w:val="24"/>
    <w:qFormat/>
    <w:uiPriority w:val="99"/>
    <w:rPr>
      <w:rFonts w:cs="Times New Roman"/>
      <w:color w:val="800080"/>
      <w:u w:val="single"/>
    </w:rPr>
  </w:style>
  <w:style w:type="character" w:styleId="28">
    <w:name w:val="Emphasis"/>
    <w:basedOn w:val="24"/>
    <w:qFormat/>
    <w:uiPriority w:val="20"/>
    <w:rPr>
      <w:i/>
      <w:iCs/>
    </w:rPr>
  </w:style>
  <w:style w:type="character" w:styleId="29">
    <w:name w:val="Hyperlink"/>
    <w:basedOn w:val="24"/>
    <w:qFormat/>
    <w:uiPriority w:val="99"/>
    <w:rPr>
      <w:color w:val="0000FF"/>
      <w:u w:val="single"/>
    </w:rPr>
  </w:style>
  <w:style w:type="table" w:styleId="31">
    <w:name w:val="Table Grid"/>
    <w:basedOn w:val="3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32">
    <w:name w:val="Table Normal"/>
    <w:unhideWhenUsed/>
    <w:qFormat/>
    <w:uiPriority w:val="2"/>
    <w:tblPr>
      <w:tblLayout w:type="fixed"/>
      <w:tblCellMar>
        <w:top w:w="0" w:type="dxa"/>
        <w:left w:w="0" w:type="dxa"/>
        <w:bottom w:w="0" w:type="dxa"/>
        <w:right w:w="0" w:type="dxa"/>
      </w:tblCellMar>
    </w:tblPr>
  </w:style>
  <w:style w:type="paragraph" w:customStyle="1" w:styleId="33">
    <w:name w:val="列出段落1"/>
    <w:basedOn w:val="1"/>
    <w:qFormat/>
    <w:uiPriority w:val="99"/>
    <w:pPr>
      <w:spacing w:before="206"/>
      <w:ind w:left="959" w:hanging="361"/>
    </w:pPr>
  </w:style>
  <w:style w:type="paragraph" w:customStyle="1" w:styleId="34">
    <w:name w:val="Table Paragraph"/>
    <w:basedOn w:val="1"/>
    <w:qFormat/>
    <w:uiPriority w:val="1"/>
  </w:style>
  <w:style w:type="paragraph" w:customStyle="1" w:styleId="35">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36">
    <w:name w:val="日期 Char"/>
    <w:basedOn w:val="24"/>
    <w:link w:val="14"/>
    <w:qFormat/>
    <w:uiPriority w:val="99"/>
    <w:rPr>
      <w:rFonts w:asciiTheme="minorHAnsi" w:hAnsiTheme="minorHAnsi" w:eastAsiaTheme="minorEastAsia" w:cstheme="minorBidi"/>
      <w:kern w:val="2"/>
      <w:sz w:val="21"/>
      <w:szCs w:val="22"/>
    </w:rPr>
  </w:style>
  <w:style w:type="paragraph" w:customStyle="1" w:styleId="37">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38">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39">
    <w:name w:val="xdrichtextbox2"/>
    <w:basedOn w:val="24"/>
    <w:qFormat/>
    <w:uiPriority w:val="0"/>
    <w:rPr>
      <w:color w:val="0000FF"/>
      <w:sz w:val="18"/>
      <w:szCs w:val="18"/>
      <w:u w:val="none"/>
      <w:bdr w:val="single" w:color="DCDCDC" w:sz="8" w:space="0"/>
      <w:shd w:val="clear" w:color="auto" w:fill="FFFFFF"/>
    </w:rPr>
  </w:style>
  <w:style w:type="character" w:customStyle="1" w:styleId="40">
    <w:name w:val="批注框文本 Char"/>
    <w:basedOn w:val="24"/>
    <w:link w:val="16"/>
    <w:qFormat/>
    <w:uiPriority w:val="99"/>
    <w:rPr>
      <w:rFonts w:ascii="宋体" w:hAnsi="宋体" w:cs="宋体"/>
      <w:sz w:val="18"/>
      <w:szCs w:val="18"/>
      <w:lang w:eastAsia="en-US"/>
    </w:rPr>
  </w:style>
  <w:style w:type="character" w:customStyle="1" w:styleId="41">
    <w:name w:val="页脚 Char"/>
    <w:basedOn w:val="24"/>
    <w:link w:val="17"/>
    <w:qFormat/>
    <w:uiPriority w:val="99"/>
    <w:rPr>
      <w:rFonts w:ascii="宋体" w:hAnsi="宋体" w:cs="宋体"/>
      <w:sz w:val="18"/>
      <w:szCs w:val="18"/>
      <w:lang w:eastAsia="en-US"/>
    </w:rPr>
  </w:style>
  <w:style w:type="paragraph" w:customStyle="1" w:styleId="42">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3">
    <w:name w:val="apple-converted-space"/>
    <w:basedOn w:val="24"/>
    <w:qFormat/>
    <w:uiPriority w:val="0"/>
  </w:style>
  <w:style w:type="paragraph" w:customStyle="1" w:styleId="44">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45">
    <w:name w:val="标题 3 Char"/>
    <w:basedOn w:val="24"/>
    <w:link w:val="5"/>
    <w:qFormat/>
    <w:uiPriority w:val="0"/>
    <w:rPr>
      <w:rFonts w:ascii="宋体" w:hAnsi="宋体" w:cs="宋体"/>
      <w:b/>
      <w:bCs/>
      <w:sz w:val="32"/>
      <w:szCs w:val="32"/>
      <w:lang w:eastAsia="en-US"/>
    </w:rPr>
  </w:style>
  <w:style w:type="character" w:customStyle="1" w:styleId="46">
    <w:name w:val="批注文字 Char"/>
    <w:basedOn w:val="24"/>
    <w:link w:val="9"/>
    <w:qFormat/>
    <w:uiPriority w:val="99"/>
    <w:rPr>
      <w:kern w:val="2"/>
      <w:sz w:val="21"/>
    </w:rPr>
  </w:style>
  <w:style w:type="paragraph" w:customStyle="1" w:styleId="47">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48">
    <w:name w:val="正文文本 2 Char"/>
    <w:basedOn w:val="24"/>
    <w:link w:val="22"/>
    <w:qFormat/>
    <w:uiPriority w:val="0"/>
    <w:rPr>
      <w:rFonts w:ascii="宋体" w:hAnsi="宋体" w:cs="宋体"/>
      <w:sz w:val="22"/>
      <w:szCs w:val="22"/>
      <w:lang w:eastAsia="en-US"/>
    </w:rPr>
  </w:style>
  <w:style w:type="character" w:customStyle="1" w:styleId="49">
    <w:name w:val="正文文本缩进 2 Char"/>
    <w:basedOn w:val="24"/>
    <w:link w:val="15"/>
    <w:qFormat/>
    <w:uiPriority w:val="0"/>
    <w:rPr>
      <w:rFonts w:ascii="宋体" w:hAnsi="宋体" w:cs="宋体"/>
      <w:sz w:val="22"/>
      <w:szCs w:val="22"/>
      <w:lang w:eastAsia="en-US"/>
    </w:rPr>
  </w:style>
  <w:style w:type="character" w:customStyle="1" w:styleId="50">
    <w:name w:val="纯文本 Char"/>
    <w:basedOn w:val="24"/>
    <w:link w:val="13"/>
    <w:qFormat/>
    <w:uiPriority w:val="0"/>
    <w:rPr>
      <w:rFonts w:ascii="宋体" w:hAnsi="Courier New" w:cs="Courier New"/>
      <w:sz w:val="22"/>
      <w:szCs w:val="21"/>
      <w:lang w:eastAsia="en-US"/>
    </w:rPr>
  </w:style>
  <w:style w:type="paragraph" w:customStyle="1" w:styleId="51">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2">
    <w:name w:val="标题 2 Char"/>
    <w:basedOn w:val="24"/>
    <w:link w:val="4"/>
    <w:qFormat/>
    <w:uiPriority w:val="0"/>
    <w:rPr>
      <w:rFonts w:ascii="宋体" w:hAnsi="宋体" w:cs="宋体"/>
      <w:b/>
      <w:bCs/>
      <w:sz w:val="24"/>
      <w:szCs w:val="24"/>
      <w:lang w:eastAsia="en-US"/>
    </w:rPr>
  </w:style>
  <w:style w:type="character" w:customStyle="1" w:styleId="53">
    <w:name w:val="正文缩进 Char"/>
    <w:link w:val="7"/>
    <w:qFormat/>
    <w:uiPriority w:val="0"/>
    <w:rPr>
      <w:sz w:val="24"/>
    </w:rPr>
  </w:style>
  <w:style w:type="character" w:customStyle="1" w:styleId="54">
    <w:name w:val="正文文本 Char"/>
    <w:basedOn w:val="24"/>
    <w:link w:val="10"/>
    <w:qFormat/>
    <w:uiPriority w:val="0"/>
    <w:rPr>
      <w:rFonts w:ascii="宋体" w:hAnsi="宋体" w:cs="宋体"/>
      <w:sz w:val="24"/>
      <w:szCs w:val="24"/>
      <w:lang w:eastAsia="en-US"/>
    </w:rPr>
  </w:style>
  <w:style w:type="character" w:customStyle="1" w:styleId="55">
    <w:name w:val="普通文字 Char2"/>
    <w:basedOn w:val="24"/>
    <w:qFormat/>
    <w:uiPriority w:val="0"/>
    <w:rPr>
      <w:rFonts w:ascii="宋体" w:hAnsi="Courier New" w:cs="Courier New"/>
      <w:sz w:val="22"/>
      <w:szCs w:val="21"/>
      <w:lang w:eastAsia="en-US"/>
    </w:rPr>
  </w:style>
  <w:style w:type="character" w:customStyle="1" w:styleId="56">
    <w:name w:val="标题 1 Char"/>
    <w:link w:val="3"/>
    <w:qFormat/>
    <w:uiPriority w:val="99"/>
    <w:rPr>
      <w:rFonts w:ascii="宋体" w:hAnsi="宋体" w:cs="宋体"/>
      <w:b/>
      <w:bCs/>
      <w:sz w:val="28"/>
      <w:szCs w:val="28"/>
      <w:lang w:eastAsia="en-US"/>
    </w:rPr>
  </w:style>
  <w:style w:type="character" w:customStyle="1" w:styleId="57">
    <w:name w:val="正文1 Char"/>
    <w:basedOn w:val="24"/>
    <w:link w:val="2"/>
    <w:qFormat/>
    <w:locked/>
    <w:uiPriority w:val="0"/>
    <w:rPr>
      <w:rFonts w:ascii="宋体" w:hAnsi="Calibri"/>
      <w:sz w:val="34"/>
      <w:szCs w:val="22"/>
    </w:rPr>
  </w:style>
  <w:style w:type="character" w:customStyle="1" w:styleId="58">
    <w:name w:val="正文文本缩进 Char"/>
    <w:basedOn w:val="24"/>
    <w:link w:val="11"/>
    <w:qFormat/>
    <w:uiPriority w:val="0"/>
    <w:rPr>
      <w:rFonts w:ascii="宋体" w:hAnsi="宋体" w:cs="宋体"/>
      <w:sz w:val="22"/>
      <w:szCs w:val="22"/>
      <w:lang w:eastAsia="en-US"/>
    </w:rPr>
  </w:style>
  <w:style w:type="paragraph" w:customStyle="1" w:styleId="59">
    <w:name w:val="列出段落1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0">
    <w:name w:val="标题 4 Char"/>
    <w:basedOn w:val="24"/>
    <w:link w:val="6"/>
    <w:qFormat/>
    <w:uiPriority w:val="99"/>
    <w:rPr>
      <w:rFonts w:ascii="Arial" w:hAnsi="Arial" w:eastAsia="黑体"/>
      <w:b/>
      <w:bCs/>
      <w:kern w:val="2"/>
      <w:sz w:val="28"/>
      <w:szCs w:val="28"/>
    </w:rPr>
  </w:style>
  <w:style w:type="character" w:customStyle="1" w:styleId="61">
    <w:name w:val="文档结构图 Char"/>
    <w:basedOn w:val="24"/>
    <w:link w:val="8"/>
    <w:qFormat/>
    <w:uiPriority w:val="99"/>
    <w:rPr>
      <w:rFonts w:ascii="宋体"/>
      <w:kern w:val="2"/>
      <w:sz w:val="18"/>
      <w:szCs w:val="18"/>
    </w:rPr>
  </w:style>
  <w:style w:type="character" w:customStyle="1" w:styleId="62">
    <w:name w:val="副标题 Char"/>
    <w:basedOn w:val="24"/>
    <w:link w:val="20"/>
    <w:qFormat/>
    <w:uiPriority w:val="99"/>
    <w:rPr>
      <w:rFonts w:ascii="Cambria" w:hAnsi="Cambria"/>
      <w:b/>
      <w:bCs/>
      <w:kern w:val="28"/>
      <w:sz w:val="32"/>
      <w:szCs w:val="32"/>
    </w:rPr>
  </w:style>
  <w:style w:type="character" w:customStyle="1" w:styleId="63">
    <w:name w:val="标题 Char"/>
    <w:basedOn w:val="24"/>
    <w:link w:val="23"/>
    <w:qFormat/>
    <w:uiPriority w:val="99"/>
    <w:rPr>
      <w:rFonts w:ascii="Cambria" w:hAnsi="Cambria"/>
      <w:b/>
      <w:bCs/>
      <w:kern w:val="2"/>
      <w:sz w:val="32"/>
      <w:szCs w:val="32"/>
    </w:rPr>
  </w:style>
  <w:style w:type="paragraph" w:customStyle="1" w:styleId="64">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65">
    <w:name w:val="页眉 Char"/>
    <w:basedOn w:val="24"/>
    <w:link w:val="18"/>
    <w:qFormat/>
    <w:locked/>
    <w:uiPriority w:val="99"/>
    <w:rPr>
      <w:rFonts w:ascii="宋体" w:hAnsi="宋体" w:cs="宋体"/>
      <w:sz w:val="18"/>
      <w:szCs w:val="22"/>
      <w:lang w:eastAsia="en-US"/>
    </w:rPr>
  </w:style>
  <w:style w:type="paragraph" w:customStyle="1" w:styleId="66">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67">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68">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69">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0">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paragraph" w:customStyle="1" w:styleId="71">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6252B8-D8BD-43D1-B062-AF4D33A7C38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29</Pages>
  <Words>2575</Words>
  <Characters>14684</Characters>
  <Lines>122</Lines>
  <Paragraphs>34</Paragraphs>
  <TotalTime>13</TotalTime>
  <ScaleCrop>false</ScaleCrop>
  <LinksUpToDate>false</LinksUpToDate>
  <CharactersWithSpaces>17225</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2021-09-09T02:39:00Z</dcterms:created>
  <dc:creator>CGC</dc:creator>
  <cp:lastModifiedBy>mqhuang</cp:lastModifiedBy>
  <dcterms:modified xsi:type="dcterms:W3CDTF">2023-02-01T04:55:11Z</dcterms:modified>
  <dc:title>公开招标文件（货物服务类）</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ies>
</file>