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采购公开比选项目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rPr>
        <w:t>石灰石粉</w:t>
      </w:r>
    </w:p>
    <w:p>
      <w:pPr>
        <w:widowControl/>
        <w:shd w:val="clear" w:color="auto" w:fill="FFFFFF"/>
        <w:jc w:val="center"/>
        <w:rPr>
          <w:color w:val="000000"/>
          <w:szCs w:val="21"/>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w:t>
      </w:r>
      <w:r>
        <w:rPr>
          <w:rFonts w:hint="eastAsia" w:ascii="宋体" w:hAnsi="宋体" w:cs="宋体"/>
          <w:color w:val="000000"/>
          <w:kern w:val="0"/>
          <w:sz w:val="36"/>
          <w:szCs w:val="36"/>
          <w:shd w:val="clear" w:color="auto" w:fill="FFFFFF"/>
          <w:lang w:eastAsia="zh-CN"/>
        </w:rPr>
        <w:t>2023</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eastAsia="zh-CN"/>
        </w:rPr>
        <w:t>FHC</w:t>
      </w:r>
      <w:r>
        <w:rPr>
          <w:rFonts w:hint="eastAsia" w:ascii="宋体" w:hAnsi="宋体" w:cs="宋体"/>
          <w:color w:val="000000"/>
          <w:kern w:val="0"/>
          <w:sz w:val="36"/>
          <w:szCs w:val="36"/>
          <w:shd w:val="clear" w:color="auto" w:fill="FFFFFF"/>
        </w:rPr>
        <w:t>-石灰石粉-1123</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color w:val="000000"/>
          <w:kern w:val="0"/>
          <w:sz w:val="28"/>
          <w:szCs w:val="28"/>
          <w:shd w:val="clear" w:color="auto" w:fill="FFFFFF"/>
        </w:rPr>
        <w:t>腾龙芳烃（漳州）有限公司</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lang w:eastAsia="zh-CN"/>
        </w:rPr>
        <w:t>2023</w:t>
      </w:r>
      <w:r>
        <w:rPr>
          <w:rFonts w:hint="eastAsia" w:asciiTheme="minorEastAsia" w:hAnsiTheme="minorEastAsia" w:eastAsiaTheme="minorEastAsia" w:cstheme="minorEastAsia"/>
          <w:color w:val="000000"/>
          <w:kern w:val="0"/>
          <w:sz w:val="28"/>
          <w:szCs w:val="28"/>
          <w:shd w:val="clear" w:color="auto" w:fill="FFFFFF"/>
        </w:rPr>
        <w:t>年11月23</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腾龙芳烃（漳州）有限公司</w:t>
      </w:r>
    </w:p>
    <w:p>
      <w:pPr>
        <w:jc w:val="center"/>
        <w:rPr>
          <w:b/>
          <w:bCs/>
          <w:sz w:val="32"/>
        </w:rPr>
      </w:pPr>
      <w:r>
        <w:rPr>
          <w:rFonts w:hint="eastAsia"/>
          <w:b/>
          <w:bCs/>
          <w:sz w:val="32"/>
        </w:rPr>
        <w:t>石灰石粉</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腾龙芳烃（漳州）有限公司就</w:t>
      </w:r>
      <w:r>
        <w:rPr>
          <w:rFonts w:hint="eastAsia" w:asciiTheme="minorEastAsia" w:hAnsiTheme="minorEastAsia" w:eastAsiaTheme="minorEastAsia"/>
          <w:bCs/>
          <w:sz w:val="24"/>
          <w:u w:val="single"/>
        </w:rPr>
        <w:t>“石灰石粉（项目编号：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-石灰石粉-1123”</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rPr>
        <w:t>石灰石粉</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比选项目：石灰石粉采购数量、质量、货期等要求详见比选文件。</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9"/>
        <w:numPr>
          <w:ilvl w:val="0"/>
          <w:numId w:val="3"/>
        </w:numPr>
        <w:spacing w:before="100" w:beforeAutospacing="1" w:after="100" w:afterAutospacing="1" w:line="36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9"/>
        <w:numPr>
          <w:ilvl w:val="0"/>
          <w:numId w:val="3"/>
        </w:numPr>
        <w:spacing w:before="100" w:beforeAutospacing="1" w:after="100" w:afterAutospacing="1" w:line="360" w:lineRule="auto"/>
        <w:ind w:hanging="361"/>
        <w:rPr>
          <w:rFonts w:hint="eastAsia" w:asciiTheme="minorEastAsia" w:hAnsiTheme="minorEastAsia" w:eastAsiaTheme="minorEastAsia"/>
          <w:bCs/>
          <w:sz w:val="24"/>
        </w:rPr>
      </w:pPr>
      <w:r>
        <w:rPr>
          <w:rFonts w:hint="eastAsia" w:asciiTheme="minorEastAsia" w:hAnsiTheme="minorEastAsia" w:eastAsiaTheme="minorEastAsia"/>
          <w:bCs/>
          <w:sz w:val="24"/>
        </w:rPr>
        <w:t>系石灰石粉生产厂家，生产能力不小于10万吨/年，具备每天保供到货5车的能力（约160吨）</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参选保证金：60000元（陆万圆整）。</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9"/>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报名时间：自公告日</w:t>
      </w:r>
      <w:r>
        <w:rPr>
          <w:rFonts w:hint="eastAsia" w:asciiTheme="majorEastAsia" w:hAnsiTheme="majorEastAsia" w:eastAsiaTheme="majorEastAsia"/>
          <w:sz w:val="24"/>
        </w:rPr>
        <w:t>至</w:t>
      </w:r>
      <w:r>
        <w:rPr>
          <w:rFonts w:hint="eastAsia" w:asciiTheme="majorEastAsia" w:hAnsiTheme="majorEastAsia" w:eastAsiaTheme="majorEastAsia"/>
          <w:sz w:val="24"/>
          <w:lang w:eastAsia="zh-CN"/>
        </w:rPr>
        <w:t>2023</w:t>
      </w:r>
      <w:r>
        <w:rPr>
          <w:rFonts w:hint="eastAsia" w:asciiTheme="majorEastAsia" w:hAnsiTheme="majorEastAsia" w:eastAsiaTheme="majorEastAsia"/>
          <w:sz w:val="24"/>
        </w:rPr>
        <w:t>年12月</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日（含当日）</w:t>
      </w:r>
    </w:p>
    <w:p>
      <w:pPr>
        <w:pStyle w:val="9"/>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（3）年生产能力10万吨以上证明（如：环评报告、政府文件等具有官方性质材料证明）（加盖公章）；</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（4）至少一份石灰石粉业绩材料；</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（5）保证金汇款银行水单：参选单位需缴纳参选保证金：60</w:t>
      </w:r>
      <w:r>
        <w:rPr>
          <w:rFonts w:asciiTheme="minorEastAsia" w:hAnsiTheme="minorEastAsia" w:eastAsiaTheme="minorEastAsia"/>
          <w:bCs/>
          <w:sz w:val="24"/>
        </w:rPr>
        <w:t>000</w:t>
      </w:r>
      <w:r>
        <w:rPr>
          <w:rFonts w:hint="eastAsia" w:asciiTheme="minorEastAsia" w:hAnsiTheme="minorEastAsia" w:eastAsiaTheme="minorEastAsia"/>
          <w:bCs/>
          <w:sz w:val="24"/>
        </w:rPr>
        <w:t>元（陆万圆整），如中选、该保证金转为履约保证金，如不中选，在比选结束后请联系商务联系人办理无息等额退款。</w:t>
      </w:r>
    </w:p>
    <w:p>
      <w:pPr>
        <w:spacing w:line="288"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r>
        <w:rPr>
          <w:rFonts w:hint="eastAsia" w:asciiTheme="minorEastAsia" w:hAnsiTheme="minorEastAsia" w:eastAsiaTheme="minorEastAsia"/>
          <w:bCs/>
          <w:color w:val="000000" w:themeColor="text1"/>
          <w:sz w:val="24"/>
          <w14:textFill>
            <w14:solidFill>
              <w14:schemeClr w14:val="tx1"/>
            </w14:solidFill>
          </w14:textFill>
        </w:rPr>
        <w:t>收款人：福建福海创石油化工有限公司</w:t>
      </w:r>
    </w:p>
    <w:p>
      <w:pPr>
        <w:spacing w:line="288" w:lineRule="auto"/>
        <w:ind w:firstLine="1200" w:firstLineChars="5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开户银行：中国银行漳州古雷经济开发区支行</w:t>
      </w:r>
    </w:p>
    <w:p>
      <w:pPr>
        <w:spacing w:line="288" w:lineRule="auto"/>
        <w:ind w:firstLine="1200" w:firstLineChars="500"/>
        <w:rPr>
          <w:rFonts w:asciiTheme="minorEastAsia" w:hAnsiTheme="minorEastAsia" w:eastAsiaTheme="minorEastAsia"/>
          <w:bCs/>
          <w:color w:val="000000" w:themeColor="text1"/>
          <w:sz w:val="24"/>
          <w14:textFill>
            <w14:solidFill>
              <w14:schemeClr w14:val="tx1"/>
            </w14:solidFill>
          </w14:textFill>
        </w:rPr>
      </w:pPr>
      <w:r>
        <w:rPr>
          <w:rFonts w:hint="eastAsia" w:asciiTheme="minorEastAsia" w:hAnsiTheme="minorEastAsia" w:eastAsiaTheme="minorEastAsia"/>
          <w:bCs/>
          <w:color w:val="000000" w:themeColor="text1"/>
          <w:sz w:val="24"/>
          <w14:textFill>
            <w14:solidFill>
              <w14:schemeClr w14:val="tx1"/>
            </w14:solidFill>
          </w14:textFill>
        </w:rPr>
        <w:t>账    号：406574816628</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ind w:firstLine="472" w:firstLineChars="196"/>
        <w:rPr>
          <w:rFonts w:asciiTheme="minorEastAsia" w:hAnsiTheme="minorEastAsia" w:eastAsiaTheme="minorEastAsia"/>
          <w:b/>
          <w:bCs/>
          <w:sz w:val="24"/>
        </w:rPr>
      </w:pPr>
      <w:r>
        <w:rPr>
          <w:rFonts w:hint="eastAsia"/>
          <w:b/>
          <w:bCs/>
          <w:sz w:val="24"/>
        </w:rPr>
        <w:t>四、参选文件递交要求</w:t>
      </w:r>
    </w:p>
    <w:p>
      <w:pPr>
        <w:pStyle w:val="9"/>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color w:val="000000" w:themeColor="text1"/>
          <w:sz w:val="24"/>
          <w14:textFill>
            <w14:solidFill>
              <w14:schemeClr w14:val="tx1"/>
            </w14:solidFill>
          </w14:textFill>
        </w:rPr>
        <w:t>福建福海创石油化工有限公司（地址：漳州市漳浦县杜浔镇杜昌路9号福海创办公大楼2楼）。</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9"/>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郑萍</w:t>
      </w:r>
      <w:r>
        <w:rPr>
          <w:rFonts w:hint="eastAsia" w:cs="宋体" w:asciiTheme="minorEastAsia" w:hAnsiTheme="minorEastAsia"/>
          <w:bCs/>
          <w:sz w:val="24"/>
        </w:rPr>
        <w:t xml:space="preserve">  电话：</w:t>
      </w:r>
      <w:r>
        <w:rPr>
          <w:rFonts w:hint="eastAsia" w:cs="宋体" w:asciiTheme="minorEastAsia" w:hAnsiTheme="minorEastAsia"/>
          <w:bCs/>
          <w:sz w:val="24"/>
          <w:lang w:val="en-US" w:eastAsia="zh-CN"/>
        </w:rPr>
        <w:t>13015727080</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0"/>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技术联系人：陈平金 电话：19959614083  邮箱：pjchen</w:t>
      </w:r>
      <w:r>
        <w:rPr>
          <w:rFonts w:ascii="Arial" w:hAnsi="Arial" w:eastAsia="宋体" w:cs="Arial"/>
          <w:color w:val="111111"/>
          <w:sz w:val="18"/>
          <w:szCs w:val="18"/>
        </w:rPr>
        <w:t>@fhcpec.com.cn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color w:val="000000" w:themeColor="text1"/>
          <w:sz w:val="24"/>
          <w14:textFill>
            <w14:solidFill>
              <w14:schemeClr w14:val="tx1"/>
            </w14:solidFill>
          </w14:textFill>
        </w:rPr>
        <w:t>漳州市漳浦县杜浔镇杜昌路9号福海创办公大楼2楼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腾龙芳烃（漳州）有限公司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2023</w:t>
      </w:r>
      <w:r>
        <w:rPr>
          <w:rFonts w:hint="eastAsia" w:asciiTheme="minorEastAsia" w:hAnsiTheme="minorEastAsia" w:eastAsiaTheme="minorEastAsia"/>
          <w:sz w:val="24"/>
        </w:rPr>
        <w:t>年11月23日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w:t>
      </w:r>
      <w:r>
        <w:rPr>
          <w:rFonts w:hint="eastAsia" w:ascii="宋体" w:hAnsi="宋体"/>
          <w:sz w:val="18"/>
          <w:szCs w:val="18"/>
          <w:lang w:val="en-US" w:eastAsia="zh-CN"/>
        </w:rPr>
        <w:t>公开</w:t>
      </w:r>
      <w:r>
        <w:rPr>
          <w:rFonts w:hint="eastAsia" w:ascii="宋体" w:hAnsi="宋体"/>
          <w:sz w:val="18"/>
          <w:szCs w:val="18"/>
        </w:rPr>
        <w:t>比选涉及产品为：</w:t>
      </w:r>
      <w:r>
        <w:rPr>
          <w:rFonts w:hint="eastAsia" w:ascii="宋体" w:hAnsi="宋体"/>
          <w:sz w:val="18"/>
          <w:szCs w:val="18"/>
          <w:u w:val="single"/>
        </w:rPr>
        <w:t>石灰石粉。</w:t>
      </w:r>
    </w:p>
    <w:p>
      <w:pPr>
        <w:pStyle w:val="12"/>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（5）系石灰石粉生产厂家，生产能力不小于10万吨/年，具备每天保供到货5车的能力（约160吨）</w:t>
      </w:r>
    </w:p>
    <w:p>
      <w:pPr>
        <w:spacing w:line="320" w:lineRule="exact"/>
        <w:rPr>
          <w:rFonts w:ascii="宋体"/>
          <w:sz w:val="18"/>
          <w:szCs w:val="18"/>
        </w:rPr>
      </w:pPr>
      <w:r>
        <w:rPr>
          <w:rFonts w:hint="eastAsia" w:ascii="宋体"/>
          <w:sz w:val="18"/>
          <w:szCs w:val="18"/>
        </w:rPr>
        <w:t>（6）参选保证金：60000元（陆万圆整）。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（6）报价单（7）附件1《石灰石粉质量规范》</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石灰石粉的</w:t>
      </w:r>
      <w:r>
        <w:rPr>
          <w:rFonts w:hint="eastAsia" w:ascii="宋体" w:hAnsi="宋体"/>
          <w:sz w:val="18"/>
          <w:szCs w:val="18"/>
        </w:rPr>
        <w:t>采购价格及供应商，最低价中选。比选会议确定价格之后：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在供货期内，数量按以下规定执行：以需方订单需求为准。</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1.公开比选会议期间，确定价格后，愿意以确定的价格供货的报价人立即或会后邮件扫描或传真《公开比选确认单》至我司，由采购部成员办理随后的订单送审手续。比选数量为总数量，以需方实际需求为准。</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若报价偏离市场行情，腾龙芳烃（漳州）有限公司有权选择废选。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b/>
          <w:bCs/>
          <w:sz w:val="24"/>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-石灰石粉-1123</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我公司计划采购石灰石粉，具体要求如下：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石灰石粉采购数量：40000吨（数量为年预估量，以实际发生量为准）。</w:t>
      </w:r>
    </w:p>
    <w:p>
      <w:pPr>
        <w:spacing w:line="360" w:lineRule="exact"/>
        <w:jc w:val="left"/>
        <w:rPr>
          <w:rFonts w:ascii="宋体" w:hAnsi="宋体" w:cs="宋体"/>
          <w:sz w:val="24"/>
        </w:rPr>
      </w:pPr>
      <w:r>
        <w:rPr>
          <w:rFonts w:hint="eastAsia" w:ascii="宋体" w:hAnsi="宋体" w:cs="宋体"/>
          <w:sz w:val="24"/>
        </w:rPr>
        <w:t>2.技术参数指标及让步接收条款详见附件1：《石灰石粉质量规范》。</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到货时间：202</w:t>
      </w:r>
      <w:r>
        <w:rPr>
          <w:rFonts w:hint="eastAsia" w:ascii="宋体" w:hAnsi="宋体"/>
          <w:sz w:val="24"/>
          <w:lang w:val="en-US" w:eastAsia="zh-CN"/>
        </w:rPr>
        <w:t>4</w:t>
      </w:r>
      <w:r>
        <w:rPr>
          <w:rFonts w:hint="eastAsia" w:ascii="宋体" w:hAnsi="宋体"/>
          <w:sz w:val="24"/>
        </w:rPr>
        <w:t>年1月1日起，每天均衡到货，具体以需方通知为准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4.报价须知：石灰石粉</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7.2参选文件应密封，包含比选公告、参选规定及说明、公开比选文件、参选书、法定代表人授权书、报价单、附件1《石灰石粉质量规范》，上述七项文件一式两份并逐页盖公章。密封处盖章。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7.3我公司快递联系方式：公司名称：腾龙芳烃（漳州）有限公司</w:t>
      </w:r>
      <w:r>
        <w:rPr>
          <w:rFonts w:ascii="宋体" w:hAnsi="宋体" w:cs="宋体"/>
          <w:sz w:val="24"/>
        </w:rPr>
        <w:t xml:space="preserve"> </w:t>
      </w:r>
    </w:p>
    <w:p>
      <w:pPr>
        <w:spacing w:line="288" w:lineRule="auto"/>
        <w:jc w:val="left"/>
        <w:rPr>
          <w:rFonts w:ascii="宋体" w:hAnsi="宋体" w:cs="宋体"/>
          <w:color w:val="000000" w:themeColor="text1"/>
          <w:sz w:val="24"/>
          <w14:textFill>
            <w14:solidFill>
              <w14:schemeClr w14:val="tx1"/>
            </w14:solidFill>
          </w14:textFill>
        </w:rPr>
      </w:pPr>
      <w:r>
        <w:rPr>
          <w:rFonts w:hint="eastAsia" w:ascii="宋体" w:hAnsi="宋体" w:cs="宋体"/>
          <w:sz w:val="24"/>
        </w:rPr>
        <w:t>地址：</w:t>
      </w:r>
      <w:r>
        <w:rPr>
          <w:rFonts w:hint="eastAsia" w:ascii="宋体" w:hAnsi="宋体" w:cs="宋体"/>
          <w:color w:val="000000" w:themeColor="text1"/>
          <w:sz w:val="24"/>
          <w14:textFill>
            <w14:solidFill>
              <w14:schemeClr w14:val="tx1"/>
            </w14:solidFill>
          </w14:textFill>
        </w:rPr>
        <w:t>福建省漳州市漳浦县杜浔镇杜昌路9号福海创办公大楼2楼</w:t>
      </w:r>
    </w:p>
    <w:p>
      <w:pPr>
        <w:spacing w:line="360" w:lineRule="exact"/>
        <w:jc w:val="left"/>
        <w:rPr>
          <w:rFonts w:hint="default" w:ascii="宋体" w:eastAsia="宋体"/>
          <w:sz w:val="24"/>
          <w:u w:val="single"/>
          <w:lang w:val="en-US" w:eastAsia="zh-CN"/>
        </w:rPr>
      </w:pPr>
      <w:r>
        <w:rPr>
          <w:rFonts w:hint="eastAsia" w:ascii="宋体" w:hAnsi="宋体" w:cs="宋体"/>
          <w:sz w:val="24"/>
        </w:rPr>
        <w:t>联系人：</w:t>
      </w:r>
      <w:r>
        <w:rPr>
          <w:rFonts w:hint="eastAsia" w:ascii="宋体" w:hAnsi="宋体" w:cs="宋体"/>
          <w:sz w:val="24"/>
          <w:lang w:val="en-US" w:eastAsia="zh-CN"/>
        </w:rPr>
        <w:t>郑萍</w:t>
      </w:r>
      <w:r>
        <w:rPr>
          <w:rFonts w:hint="eastAsia" w:ascii="宋体" w:hAnsi="宋体" w:cs="宋体"/>
          <w:sz w:val="24"/>
        </w:rPr>
        <w:t xml:space="preserve">  手机：</w:t>
      </w:r>
      <w:r>
        <w:rPr>
          <w:rFonts w:hint="eastAsia" w:ascii="宋体" w:hAnsi="宋体" w:cs="宋体"/>
          <w:sz w:val="24"/>
          <w:lang w:val="en-US" w:eastAsia="zh-CN"/>
        </w:rPr>
        <w:t>13015727080</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-石灰石粉-1123</w:t>
      </w:r>
      <w:r>
        <w:rPr>
          <w:rFonts w:hint="eastAsia" w:ascii="宋体" w:hAnsi="宋体"/>
          <w:sz w:val="24"/>
        </w:rPr>
        <w:t>），被我方正式授权并代表我公司递交下述文件，并对此负责。</w:t>
      </w:r>
    </w:p>
    <w:p>
      <w:pPr>
        <w:spacing w:line="500" w:lineRule="exact"/>
        <w:ind w:firstLine="480" w:firstLineChars="200"/>
        <w:rPr>
          <w:rFonts w:ascii="宋体" w:hAnsi="宋体"/>
          <w:sz w:val="24"/>
        </w:rPr>
      </w:pPr>
      <w:r>
        <w:rPr>
          <w:rFonts w:hint="eastAsia" w:ascii="宋体" w:hAnsi="宋体"/>
          <w:sz w:val="24"/>
        </w:rPr>
        <w:t>（1）</w:t>
      </w:r>
      <w:r>
        <w:rPr>
          <w:rFonts w:hint="eastAsia" w:ascii="宋体" w:hAnsi="宋体" w:cs="宋体"/>
          <w:sz w:val="24"/>
        </w:rPr>
        <w:t>比选公告</w:t>
      </w:r>
    </w:p>
    <w:p>
      <w:pPr>
        <w:spacing w:line="500" w:lineRule="exact"/>
        <w:ind w:firstLine="480" w:firstLineChars="200"/>
        <w:rPr>
          <w:rFonts w:ascii="宋体"/>
          <w:sz w:val="24"/>
        </w:rPr>
      </w:pPr>
      <w:r>
        <w:rPr>
          <w:rFonts w:hint="eastAsia" w:ascii="宋体" w:hAnsi="宋体"/>
          <w:sz w:val="24"/>
        </w:rPr>
        <w:t>（2）参选规定及说明</w:t>
      </w:r>
    </w:p>
    <w:p>
      <w:pPr>
        <w:spacing w:line="500" w:lineRule="exact"/>
        <w:ind w:firstLine="480" w:firstLineChars="200"/>
        <w:rPr>
          <w:rFonts w:ascii="宋体"/>
          <w:sz w:val="24"/>
        </w:rPr>
      </w:pPr>
      <w:r>
        <w:rPr>
          <w:rFonts w:hint="eastAsia" w:ascii="宋体" w:hAnsi="宋体"/>
          <w:sz w:val="24"/>
        </w:rPr>
        <w:t>（3）公开比选文件</w:t>
      </w:r>
    </w:p>
    <w:p>
      <w:pPr>
        <w:spacing w:line="500" w:lineRule="exact"/>
        <w:ind w:firstLine="480" w:firstLineChars="200"/>
        <w:rPr>
          <w:rFonts w:ascii="宋体"/>
          <w:sz w:val="24"/>
        </w:rPr>
      </w:pPr>
      <w:r>
        <w:rPr>
          <w:rFonts w:hint="eastAsia" w:ascii="宋体" w:hAnsi="宋体"/>
          <w:sz w:val="24"/>
        </w:rPr>
        <w:t>（4）参选书</w:t>
      </w:r>
    </w:p>
    <w:p>
      <w:pPr>
        <w:spacing w:line="500" w:lineRule="exact"/>
        <w:ind w:firstLine="480" w:firstLineChars="200"/>
        <w:rPr>
          <w:rFonts w:ascii="宋体"/>
          <w:sz w:val="24"/>
        </w:rPr>
      </w:pPr>
      <w:r>
        <w:rPr>
          <w:rFonts w:hint="eastAsia" w:ascii="宋体" w:hAnsi="宋体"/>
          <w:sz w:val="24"/>
        </w:rPr>
        <w:t>（5）法定代表人授权书</w:t>
      </w:r>
    </w:p>
    <w:p>
      <w:pPr>
        <w:spacing w:line="500" w:lineRule="exact"/>
        <w:ind w:firstLine="480" w:firstLineChars="200"/>
        <w:rPr>
          <w:rFonts w:ascii="宋体" w:hAnsi="宋体"/>
          <w:sz w:val="24"/>
        </w:rPr>
      </w:pPr>
      <w:r>
        <w:rPr>
          <w:rFonts w:hint="eastAsia" w:ascii="宋体" w:hAnsi="宋体"/>
          <w:sz w:val="24"/>
        </w:rPr>
        <w:t>（6）报价单</w:t>
      </w:r>
    </w:p>
    <w:p>
      <w:pPr>
        <w:spacing w:line="500" w:lineRule="exact"/>
        <w:ind w:firstLine="480" w:firstLineChars="200"/>
        <w:rPr>
          <w:rFonts w:ascii="宋体"/>
          <w:sz w:val="24"/>
        </w:rPr>
      </w:pPr>
      <w:r>
        <w:rPr>
          <w:rFonts w:hint="eastAsia" w:ascii="宋体" w:hAnsi="宋体"/>
          <w:sz w:val="24"/>
        </w:rPr>
        <w:t xml:space="preserve"> (7)附件1《石灰石粉质量规范》</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-石灰石粉-1123</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w:t>
      </w:r>
      <w:r>
        <w:rPr>
          <w:rFonts w:hint="eastAsia" w:ascii="宋体" w:hAnsi="宋体"/>
          <w:sz w:val="24"/>
          <w:u w:val="single"/>
        </w:rPr>
        <w:t xml:space="preserve">    年   月   日</w:t>
      </w:r>
      <w:r>
        <w:rPr>
          <w:rFonts w:hint="eastAsia" w:ascii="宋体" w:hAnsi="宋体"/>
          <w:sz w:val="24"/>
        </w:rPr>
        <w:t>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-石灰石粉-1123</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我公司可按贵司要求供应石灰石粉：</w:t>
      </w:r>
    </w:p>
    <w:p>
      <w:pPr>
        <w:spacing w:line="500" w:lineRule="exact"/>
        <w:rPr>
          <w:rFonts w:ascii="宋体" w:hAnsi="宋体"/>
          <w:sz w:val="24"/>
          <w:u w:val="single"/>
        </w:rPr>
      </w:pPr>
      <w:r>
        <w:rPr>
          <w:rFonts w:hint="eastAsia" w:ascii="宋体" w:hAnsi="宋体"/>
          <w:sz w:val="24"/>
        </w:rPr>
        <w:t xml:space="preserve">  数量：</w:t>
      </w:r>
      <w:r>
        <w:rPr>
          <w:rFonts w:hint="eastAsia" w:ascii="宋体" w:cs="宋体"/>
          <w:sz w:val="24"/>
          <w:u w:val="single"/>
        </w:rPr>
        <w:t>40000吨</w:t>
      </w:r>
      <w:r>
        <w:rPr>
          <w:rFonts w:hint="eastAsia" w:ascii="宋体" w:cs="宋体"/>
          <w:sz w:val="24"/>
        </w:rPr>
        <w:t>（数量为年预估量，以实际发生量为准）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含税送到单价：</w:t>
      </w:r>
      <w:r>
        <w:rPr>
          <w:rFonts w:hint="eastAsia" w:ascii="宋体" w:hAnsi="宋体"/>
          <w:sz w:val="24"/>
          <w:u w:val="single"/>
        </w:rPr>
        <w:t xml:space="preserve">      </w:t>
      </w:r>
      <w:r>
        <w:rPr>
          <w:rFonts w:hint="eastAsia" w:ascii="宋体" w:hAnsi="宋体"/>
          <w:sz w:val="24"/>
        </w:rPr>
        <w:t>元/吨，税率</w:t>
      </w:r>
      <w:r>
        <w:rPr>
          <w:rFonts w:hint="eastAsia" w:ascii="宋体" w:hAnsi="宋体"/>
          <w:sz w:val="24"/>
          <w:u w:val="single"/>
        </w:rPr>
        <w:t xml:space="preserve">  13% </w:t>
      </w:r>
      <w:r>
        <w:rPr>
          <w:rFonts w:hint="eastAsia" w:ascii="宋体" w:hAnsi="宋体"/>
          <w:sz w:val="24"/>
        </w:rPr>
        <w:t>；</w:t>
      </w:r>
      <w:r>
        <w:rPr>
          <w:rFonts w:ascii="宋体" w:hAnsi="宋体"/>
          <w:sz w:val="24"/>
          <w:u w:val="single"/>
        </w:rPr>
        <w:t xml:space="preserve"> </w:t>
      </w:r>
    </w:p>
    <w:p>
      <w:pPr>
        <w:spacing w:line="500" w:lineRule="exact"/>
        <w:ind w:firstLine="240" w:firstLineChars="100"/>
        <w:rPr>
          <w:rFonts w:ascii="宋体" w:hAnsi="宋体"/>
          <w:sz w:val="24"/>
          <w:u w:val="single"/>
        </w:rPr>
      </w:pPr>
      <w:r>
        <w:rPr>
          <w:rFonts w:hint="eastAsia" w:ascii="宋体" w:hAnsi="宋体"/>
          <w:sz w:val="24"/>
          <w:u w:val="single"/>
        </w:rPr>
        <w:t>以上报价中的含税送到单价，对应的增值税率为13%，在合同履行期间，如遇国家的税率调整，则，调整后的含税单价=原含税送到单价/1.13*新增值税率；</w:t>
      </w:r>
      <w:r>
        <w:rPr>
          <w:rFonts w:ascii="宋体" w:hAnsi="宋体"/>
          <w:sz w:val="24"/>
          <w:u w:val="single"/>
        </w:rPr>
        <w:t xml:space="preserve"> </w:t>
      </w:r>
    </w:p>
    <w:p>
      <w:pPr>
        <w:numPr>
          <w:ilvl w:val="0"/>
          <w:numId w:val="9"/>
        </w:numPr>
        <w:spacing w:line="312" w:lineRule="auto"/>
        <w:rPr>
          <w:rFonts w:ascii="宋体" w:hAnsi="宋体"/>
          <w:sz w:val="24"/>
        </w:rPr>
      </w:pPr>
      <w:r>
        <w:rPr>
          <w:rFonts w:hint="eastAsia" w:ascii="宋体" w:hAnsi="宋体"/>
          <w:sz w:val="24"/>
        </w:rPr>
        <w:t>质量验收标准 （详见附件1“石灰石粉质量规范”）。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我公司同意在参选前缴纳保证金60000元。</w:t>
      </w:r>
    </w:p>
    <w:p>
      <w:pPr>
        <w:spacing w:line="312" w:lineRule="auto"/>
        <w:jc w:val="left"/>
        <w:rPr>
          <w:rFonts w:ascii="宋体" w:hAnsi="宋体"/>
          <w:sz w:val="24"/>
        </w:rPr>
      </w:pPr>
      <w:r>
        <w:rPr>
          <w:rFonts w:hint="eastAsia" w:ascii="宋体" w:hAnsi="宋体"/>
          <w:sz w:val="24"/>
        </w:rPr>
        <w:t>二、到货期：从202</w:t>
      </w:r>
      <w:r>
        <w:rPr>
          <w:rFonts w:hint="eastAsia" w:ascii="宋体" w:hAnsi="宋体"/>
          <w:sz w:val="24"/>
          <w:lang w:val="en-US" w:eastAsia="zh-CN"/>
        </w:rPr>
        <w:t>4</w:t>
      </w:r>
      <w:r>
        <w:rPr>
          <w:rFonts w:hint="eastAsia" w:ascii="宋体" w:hAnsi="宋体"/>
          <w:sz w:val="24"/>
        </w:rPr>
        <w:t>年1日1日</w:t>
      </w:r>
      <w:r>
        <w:rPr>
          <w:rFonts w:hint="eastAsia" w:ascii="宋体" w:hAnsi="宋体" w:cs="宋体"/>
          <w:sz w:val="24"/>
        </w:rPr>
        <w:t>将货物交付需方，</w:t>
      </w:r>
      <w:r>
        <w:rPr>
          <w:rFonts w:hint="eastAsia" w:ascii="宋体" w:hAnsi="宋体"/>
          <w:sz w:val="24"/>
        </w:rPr>
        <w:t>每天均衡到货，</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质量验收标准：以需方质量规范验收为准。质量不合格需方有权作退货处理，经双方协商可做让步接收处理。让步接收条款</w:t>
      </w:r>
      <w:r>
        <w:rPr>
          <w:rFonts w:hint="eastAsia" w:ascii="宋体" w:hAnsi="宋体"/>
          <w:sz w:val="24"/>
        </w:rPr>
        <w:t>详见附件1：《石灰石粉质量规范》</w:t>
      </w:r>
      <w:r>
        <w:rPr>
          <w:rFonts w:hint="eastAsia" w:ascii="宋体" w:hAnsi="宋体"/>
          <w:color w:val="000000"/>
          <w:sz w:val="24"/>
        </w:rPr>
        <w:t>；</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w:t>
      </w:r>
      <w:r>
        <w:rPr>
          <w:rFonts w:hint="eastAsia" w:ascii="宋体" w:hAnsi="宋体"/>
          <w:color w:val="000000"/>
          <w:sz w:val="24"/>
          <w:lang w:val="en-US" w:eastAsia="zh-CN"/>
        </w:rPr>
        <w:t>4</w:t>
      </w:r>
      <w:r>
        <w:rPr>
          <w:rFonts w:hint="eastAsia" w:ascii="宋体" w:hAnsi="宋体"/>
          <w:color w:val="000000"/>
          <w:sz w:val="24"/>
        </w:rPr>
        <w:t>年1月1日</w:t>
      </w:r>
      <w:r>
        <w:rPr>
          <w:rFonts w:ascii="宋体" w:hAnsi="宋体"/>
          <w:color w:val="000000"/>
          <w:sz w:val="24"/>
        </w:rPr>
        <w:t>-20</w:t>
      </w: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年12月31日，其它约定以双方签订合同为准。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腾龙芳烃（漳州）有限公司：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lang w:eastAsia="zh-CN"/>
        </w:rPr>
        <w:t>2023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 xml:space="preserve"> -石灰石粉-1123</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（详见附件1“石灰石粉质量规范”）</w:t>
      </w:r>
      <w:bookmarkEnd w:id="1"/>
      <w:r>
        <w:rPr>
          <w:rFonts w:hint="eastAsia" w:ascii="宋体" w:hAnsi="宋体"/>
          <w:sz w:val="28"/>
          <w:szCs w:val="28"/>
        </w:rPr>
        <w:t>；数量：40000吨，含税送到单价：</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元,以汽运方式送到腾龙芳烃（漳州）有限公司（详见我公司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（详见附件“石灰石粉质量规范”）</w:t>
      </w:r>
      <w:r>
        <w:rPr>
          <w:rFonts w:hint="eastAsia" w:ascii="宋体" w:hAnsi="宋体"/>
          <w:sz w:val="28"/>
          <w:szCs w:val="28"/>
        </w:rPr>
        <w:t>；数量：40000吨，含税送到单价：</w:t>
      </w:r>
      <w:r>
        <w:rPr>
          <w:rFonts w:hint="eastAsia" w:ascii="宋体" w:hAnsi="宋体"/>
          <w:sz w:val="28"/>
          <w:szCs w:val="28"/>
          <w:u w:val="single"/>
        </w:rPr>
        <w:t xml:space="preserve">     </w:t>
      </w:r>
      <w:r>
        <w:rPr>
          <w:rFonts w:hint="eastAsia" w:ascii="宋体" w:hAnsi="宋体"/>
          <w:sz w:val="28"/>
          <w:szCs w:val="28"/>
        </w:rPr>
        <w:t>元/吨；合计</w:t>
      </w:r>
    </w:p>
    <w:p>
      <w:pPr>
        <w:spacing w:line="500" w:lineRule="exact"/>
        <w:jc w:val="left"/>
        <w:rPr>
          <w:rFonts w:ascii="宋体" w:hAnsi="宋体"/>
          <w:sz w:val="28"/>
          <w:szCs w:val="28"/>
        </w:rPr>
      </w:pPr>
      <w:r>
        <w:rPr>
          <w:rFonts w:hint="eastAsia" w:ascii="宋体" w:hAnsi="宋体"/>
          <w:sz w:val="28"/>
          <w:szCs w:val="28"/>
        </w:rPr>
        <w:t>总价：</w:t>
      </w:r>
      <w:r>
        <w:rPr>
          <w:rFonts w:hint="eastAsia" w:ascii="宋体" w:hAnsi="宋体"/>
          <w:sz w:val="28"/>
          <w:szCs w:val="28"/>
          <w:u w:val="single"/>
        </w:rPr>
        <w:t xml:space="preserve">      </w:t>
      </w:r>
      <w:r>
        <w:rPr>
          <w:rFonts w:hint="eastAsia" w:ascii="宋体" w:hAnsi="宋体"/>
          <w:sz w:val="28"/>
          <w:szCs w:val="28"/>
        </w:rPr>
        <w:t>元,以汽运方式送到腾龙芳烃（漳州）有限公司，根据贵公司实际需求进度安排供货。</w:t>
      </w:r>
    </w:p>
    <w:p>
      <w:pPr>
        <w:spacing w:line="500" w:lineRule="exact"/>
        <w:ind w:firstLine="560" w:firstLineChars="200"/>
        <w:jc w:val="left"/>
        <w:rPr>
          <w:rFonts w:ascii="宋体" w:hAnsi="宋体"/>
          <w:sz w:val="28"/>
          <w:szCs w:val="28"/>
        </w:rPr>
      </w:pPr>
      <w:r>
        <w:rPr>
          <w:rFonts w:hint="eastAsia" w:ascii="宋体" w:hAnsi="宋体"/>
          <w:sz w:val="28"/>
          <w:szCs w:val="28"/>
        </w:rPr>
        <w:t>我公司承诺具备每天保供到货5车的能力（约160吨）。</w:t>
      </w:r>
    </w:p>
    <w:p>
      <w:pPr>
        <w:ind w:firstLine="570"/>
        <w:rPr>
          <w:rFonts w:ascii="宋体"/>
          <w:sz w:val="28"/>
          <w:szCs w:val="28"/>
        </w:rPr>
      </w:pPr>
      <w:r>
        <w:rPr>
          <w:rFonts w:hint="eastAsia" w:ascii="宋体" w:hAnsi="宋体"/>
          <w:sz w:val="28"/>
          <w:szCs w:val="28"/>
        </w:rPr>
        <w:t>执行时间：202</w:t>
      </w:r>
      <w:r>
        <w:rPr>
          <w:rFonts w:hint="eastAsia" w:ascii="宋体" w:hAnsi="宋体"/>
          <w:sz w:val="28"/>
          <w:szCs w:val="28"/>
          <w:lang w:val="en-US" w:eastAsia="zh-CN"/>
        </w:rPr>
        <w:t>4</w:t>
      </w:r>
      <w:r>
        <w:rPr>
          <w:rFonts w:hint="eastAsia" w:ascii="宋体" w:hAnsi="宋体"/>
          <w:sz w:val="28"/>
          <w:szCs w:val="28"/>
        </w:rPr>
        <w:t>年1月1日</w:t>
      </w:r>
      <w:r>
        <w:rPr>
          <w:rFonts w:ascii="宋体" w:hAnsi="宋体"/>
          <w:sz w:val="28"/>
          <w:szCs w:val="28"/>
        </w:rPr>
        <w:t>-</w:t>
      </w: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年12月31日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ordWrap w:val="0"/>
        <w:jc w:val="left"/>
        <w:rPr>
          <w:rFonts w:ascii="宋体" w:hAnsi="宋体"/>
          <w:sz w:val="28"/>
          <w:szCs w:val="28"/>
        </w:rPr>
      </w:pPr>
      <w:r>
        <w:rPr>
          <w:rFonts w:hint="eastAsia" w:ascii="宋体" w:hAnsi="宋体"/>
          <w:sz w:val="28"/>
          <w:szCs w:val="28"/>
        </w:rPr>
        <w:t>附件1、</w:t>
      </w:r>
    </w:p>
    <w:p>
      <w:pPr>
        <w:spacing w:line="360" w:lineRule="auto"/>
        <w:jc w:val="center"/>
        <w:rPr>
          <w:b/>
          <w:sz w:val="44"/>
          <w:szCs w:val="72"/>
        </w:rPr>
      </w:pPr>
      <w:r>
        <w:rPr>
          <w:rFonts w:hint="eastAsia" w:hAnsi="宋体"/>
          <w:b/>
          <w:sz w:val="44"/>
          <w:szCs w:val="72"/>
        </w:rPr>
        <w:t>石灰石粉质量规范</w:t>
      </w:r>
    </w:p>
    <w:p>
      <w:pPr>
        <w:rPr>
          <w:rFonts w:asciiTheme="minorEastAsia" w:hAnsiTheme="minorEastAsia"/>
          <w:sz w:val="28"/>
          <w:szCs w:val="28"/>
        </w:rPr>
      </w:pPr>
      <w:r>
        <w:rPr>
          <w:rFonts w:hint="eastAsia" w:asciiTheme="minorEastAsia" w:hAnsiTheme="minorEastAsia"/>
          <w:sz w:val="28"/>
          <w:szCs w:val="28"/>
        </w:rPr>
        <w:t>一、石灰石粉。年计划使用量：40000吨。备注：40000吨为预估使用量。</w:t>
      </w:r>
    </w:p>
    <w:p>
      <w:pPr>
        <w:rPr>
          <w:rFonts w:asciiTheme="minorEastAsia" w:hAnsiTheme="minorEastAsia"/>
          <w:sz w:val="28"/>
          <w:szCs w:val="28"/>
        </w:rPr>
      </w:pPr>
      <w:r>
        <w:rPr>
          <w:rFonts w:hint="eastAsia" w:asciiTheme="minorEastAsia" w:hAnsiTheme="minorEastAsia"/>
          <w:sz w:val="28"/>
          <w:szCs w:val="28"/>
        </w:rPr>
        <w:t>质量验收标准：</w:t>
      </w:r>
    </w:p>
    <w:p>
      <w:pPr>
        <w:rPr>
          <w:rFonts w:hint="eastAsia" w:eastAsia="宋体" w:asciiTheme="minorEastAsia" w:hAnsiTheme="minorEastAsia"/>
          <w:sz w:val="24"/>
          <w:lang w:eastAsia="zh-CN"/>
        </w:rPr>
      </w:pPr>
      <w:r>
        <w:rPr>
          <w:rFonts w:hint="eastAsia" w:eastAsia="宋体" w:asciiTheme="minorEastAsia" w:hAnsiTheme="minorEastAsia"/>
          <w:sz w:val="24"/>
          <w:lang w:eastAsia="zh-CN"/>
        </w:rPr>
        <w:drawing>
          <wp:inline distT="0" distB="0" distL="114300" distR="114300">
            <wp:extent cx="5273675" cy="2566670"/>
            <wp:effectExtent l="0" t="0" r="3175" b="5080"/>
            <wp:docPr id="1" name="图片 1" descr="石灰石粉采购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石灰石粉采购指标"/>
                    <pic:cNvPicPr>
                      <a:picLocks noChangeAspect="1"/>
                    </pic:cNvPicPr>
                  </pic:nvPicPr>
                  <pic:blipFill>
                    <a:blip r:embed="rId5"/>
                    <a:stretch>
                      <a:fillRect/>
                    </a:stretch>
                  </pic:blipFill>
                  <pic:spPr>
                    <a:xfrm>
                      <a:off x="0" y="0"/>
                      <a:ext cx="5273675" cy="2566670"/>
                    </a:xfrm>
                    <a:prstGeom prst="rect">
                      <a:avLst/>
                    </a:prstGeom>
                  </pic:spPr>
                </pic:pic>
              </a:graphicData>
            </a:graphic>
          </wp:inline>
        </w:drawing>
      </w:r>
    </w:p>
    <w:p>
      <w:pPr>
        <w:rPr>
          <w:rFonts w:asciiTheme="minorEastAsia" w:hAnsiTheme="minorEastAsia"/>
          <w:sz w:val="24"/>
        </w:rPr>
      </w:pPr>
      <w:r>
        <w:rPr>
          <w:rFonts w:hint="eastAsia" w:asciiTheme="minorEastAsia" w:hAnsiTheme="minorEastAsia"/>
          <w:sz w:val="24"/>
        </w:rPr>
        <w:t>让步接收条款：</w:t>
      </w:r>
    </w:p>
    <w:tbl>
      <w:tblPr>
        <w:tblStyle w:val="7"/>
        <w:tblW w:w="9486" w:type="dxa"/>
        <w:tblInd w:w="93" w:type="dxa"/>
        <w:tblLayout w:type="autofit"/>
        <w:tblCellMar>
          <w:top w:w="0" w:type="dxa"/>
          <w:left w:w="108" w:type="dxa"/>
          <w:bottom w:w="0" w:type="dxa"/>
          <w:right w:w="108" w:type="dxa"/>
        </w:tblCellMar>
      </w:tblPr>
      <w:tblGrid>
        <w:gridCol w:w="1852"/>
        <w:gridCol w:w="1610"/>
        <w:gridCol w:w="6024"/>
      </w:tblGrid>
      <w:tr>
        <w:trPr>
          <w:trHeight w:val="270" w:hRule="atLeast"/>
        </w:trPr>
        <w:tc>
          <w:tcPr>
            <w:tcW w:w="1852" w:type="dxa"/>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610" w:type="dxa"/>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指标</w:t>
            </w:r>
          </w:p>
        </w:tc>
        <w:tc>
          <w:tcPr>
            <w:tcW w:w="6024" w:type="dxa"/>
            <w:tcBorders>
              <w:top w:val="nil"/>
              <w:left w:val="nil"/>
              <w:bottom w:val="nil"/>
              <w:right w:val="nil"/>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CellMar>
            <w:top w:w="0" w:type="dxa"/>
            <w:left w:w="108" w:type="dxa"/>
            <w:bottom w:w="0" w:type="dxa"/>
            <w:right w:w="108" w:type="dxa"/>
          </w:tblCellMar>
        </w:tblPrEx>
        <w:trPr>
          <w:trHeight w:val="540" w:hRule="atLeast"/>
        </w:trPr>
        <w:tc>
          <w:tcPr>
            <w:tcW w:w="18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CaCO3含量</w:t>
            </w:r>
          </w:p>
        </w:tc>
        <w:tc>
          <w:tcPr>
            <w:tcW w:w="16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≥90.0%</w:t>
            </w:r>
          </w:p>
        </w:tc>
        <w:tc>
          <w:tcPr>
            <w:tcW w:w="60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让步接收条款：1、若检测结果＜90%且≥88%，按公式扣重：扣重数量=（90%-检测值）*当批次数量;</w:t>
            </w:r>
          </w:p>
        </w:tc>
      </w:tr>
      <w:tr>
        <w:tblPrEx>
          <w:tblCellMar>
            <w:top w:w="0" w:type="dxa"/>
            <w:left w:w="108" w:type="dxa"/>
            <w:bottom w:w="0" w:type="dxa"/>
            <w:right w:w="108" w:type="dxa"/>
          </w:tblCellMar>
        </w:tblPrEx>
        <w:trPr>
          <w:trHeight w:val="54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6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6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2、若检测结果＜88%，按公式扣重=（2%+2*（88%-检测值）*当批次数量）</w:t>
            </w:r>
          </w:p>
        </w:tc>
      </w:tr>
      <w:tr>
        <w:tblPrEx>
          <w:tblCellMar>
            <w:top w:w="0" w:type="dxa"/>
            <w:left w:w="108" w:type="dxa"/>
            <w:bottom w:w="0" w:type="dxa"/>
            <w:right w:w="108" w:type="dxa"/>
          </w:tblCellMar>
        </w:tblPrEx>
        <w:trPr>
          <w:trHeight w:val="375"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161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6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3、若检测结果＜85%，需方有权拒收，若已卸货，按没收处理。</w:t>
            </w:r>
          </w:p>
        </w:tc>
      </w:tr>
      <w:tr>
        <w:tblPrEx>
          <w:tblCellMar>
            <w:top w:w="0" w:type="dxa"/>
            <w:left w:w="108" w:type="dxa"/>
            <w:bottom w:w="0" w:type="dxa"/>
            <w:right w:w="108" w:type="dxa"/>
          </w:tblCellMar>
        </w:tblPrEx>
        <w:trPr>
          <w:trHeight w:val="1035" w:hRule="atLeast"/>
        </w:trPr>
        <w:tc>
          <w:tcPr>
            <w:tcW w:w="18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颗粒度（mm）＜0.044mm（325目）</w:t>
            </w:r>
          </w:p>
        </w:tc>
        <w:tc>
          <w:tcPr>
            <w:tcW w:w="1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≥90%</w:t>
            </w:r>
          </w:p>
        </w:tc>
        <w:tc>
          <w:tcPr>
            <w:tcW w:w="6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若＜90%，拒收退货，若已卸货，按没收处理</w:t>
            </w:r>
          </w:p>
        </w:tc>
      </w:tr>
      <w:tr>
        <w:tblPrEx>
          <w:tblCellMar>
            <w:top w:w="0" w:type="dxa"/>
            <w:left w:w="108" w:type="dxa"/>
            <w:bottom w:w="0" w:type="dxa"/>
            <w:right w:w="108" w:type="dxa"/>
          </w:tblCellMar>
        </w:tblPrEx>
        <w:trPr>
          <w:trHeight w:val="660" w:hRule="atLeast"/>
        </w:trPr>
        <w:tc>
          <w:tcPr>
            <w:tcW w:w="18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含水（105-110℃）</w:t>
            </w:r>
          </w:p>
        </w:tc>
        <w:tc>
          <w:tcPr>
            <w:tcW w:w="1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6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大于1%时，拒收退货，若已卸货，按没收处理</w:t>
            </w:r>
          </w:p>
        </w:tc>
      </w:tr>
      <w:tr>
        <w:tblPrEx>
          <w:tblCellMar>
            <w:top w:w="0" w:type="dxa"/>
            <w:left w:w="108" w:type="dxa"/>
            <w:bottom w:w="0" w:type="dxa"/>
            <w:right w:w="108" w:type="dxa"/>
          </w:tblCellMar>
        </w:tblPrEx>
        <w:trPr>
          <w:trHeight w:val="660" w:hRule="atLeast"/>
        </w:trPr>
        <w:tc>
          <w:tcPr>
            <w:tcW w:w="18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MgCO3含量</w:t>
            </w:r>
          </w:p>
        </w:tc>
        <w:tc>
          <w:tcPr>
            <w:tcW w:w="16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≤2.16%</w:t>
            </w:r>
          </w:p>
        </w:tc>
        <w:tc>
          <w:tcPr>
            <w:tcW w:w="60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若检测结果＞2.16%，拒收退货。若已卸货，按没收处理</w:t>
            </w:r>
          </w:p>
        </w:tc>
      </w:tr>
      <w:tr>
        <w:tblPrEx>
          <w:tblCellMar>
            <w:top w:w="0" w:type="dxa"/>
            <w:left w:w="108" w:type="dxa"/>
            <w:bottom w:w="0" w:type="dxa"/>
            <w:right w:w="108" w:type="dxa"/>
          </w:tblCellMar>
        </w:tblPrEx>
        <w:trPr>
          <w:trHeight w:val="270" w:hRule="atLeast"/>
        </w:trPr>
        <w:tc>
          <w:tcPr>
            <w:tcW w:w="18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CaO含量</w:t>
            </w:r>
          </w:p>
        </w:tc>
        <w:tc>
          <w:tcPr>
            <w:tcW w:w="161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≥50.4%</w:t>
            </w:r>
          </w:p>
        </w:tc>
        <w:tc>
          <w:tcPr>
            <w:tcW w:w="602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若检测结果＜50.4%，按照CaCO3含量相应的比例让步接收</w:t>
            </w:r>
          </w:p>
        </w:tc>
      </w:tr>
      <w:tr>
        <w:tblPrEx>
          <w:tblCellMar>
            <w:top w:w="0" w:type="dxa"/>
            <w:left w:w="108" w:type="dxa"/>
            <w:bottom w:w="0" w:type="dxa"/>
            <w:right w:w="108" w:type="dxa"/>
          </w:tblCellMar>
        </w:tblPrEx>
        <w:trPr>
          <w:trHeight w:val="270" w:hRule="atLeast"/>
        </w:trPr>
        <w:tc>
          <w:tcPr>
            <w:tcW w:w="1852"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1610"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c>
          <w:tcPr>
            <w:tcW w:w="6024"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bl>
    <w:p>
      <w:pPr>
        <w:wordWrap w:val="0"/>
        <w:jc w:val="left"/>
        <w:rPr>
          <w:rFonts w:ascii="宋体" w:hAnsi="宋体"/>
          <w:sz w:val="28"/>
          <w:szCs w:val="28"/>
        </w:rPr>
      </w:pPr>
    </w:p>
    <w:p>
      <w:pPr>
        <w:wordWrap w:val="0"/>
        <w:jc w:val="left"/>
        <w:rPr>
          <w:rFonts w:ascii="宋体" w:hAnsi="宋体"/>
          <w:sz w:val="28"/>
          <w:szCs w:val="28"/>
        </w:rPr>
      </w:pPr>
    </w:p>
    <w:p>
      <w:pPr>
        <w:spacing w:line="280" w:lineRule="exact"/>
        <w:jc w:val="center"/>
        <w:rPr>
          <w:rFonts w:ascii="宋体" w:hAnsi="宋体"/>
          <w:b/>
          <w:color w:val="000000"/>
          <w:sz w:val="24"/>
        </w:rPr>
      </w:pPr>
      <w:r>
        <w:rPr>
          <w:rFonts w:hint="eastAsia" w:ascii="宋体" w:hAnsi="宋体"/>
          <w:b/>
          <w:color w:val="000000"/>
          <w:sz w:val="24"/>
        </w:rPr>
        <w:t>一般货物（产品）采购合同</w:t>
      </w:r>
    </w:p>
    <w:p>
      <w:pPr>
        <w:spacing w:line="280" w:lineRule="exact"/>
        <w:rPr>
          <w:rFonts w:ascii="宋体" w:hAnsi="宋体"/>
          <w:color w:val="000000"/>
          <w:sz w:val="18"/>
          <w:szCs w:val="18"/>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 xml:space="preserve">供方：                          </w:t>
      </w:r>
    </w:p>
    <w:p>
      <w:pPr>
        <w:spacing w:line="280" w:lineRule="exact"/>
        <w:rPr>
          <w:rFonts w:ascii="宋体" w:hAnsi="宋体"/>
          <w:b/>
          <w:color w:val="000000"/>
          <w:szCs w:val="21"/>
        </w:rPr>
      </w:pPr>
      <w:r>
        <w:rPr>
          <w:rFonts w:hint="eastAsia" w:ascii="宋体" w:hAnsi="宋体"/>
          <w:b/>
          <w:color w:val="000000"/>
          <w:szCs w:val="21"/>
        </w:rPr>
        <w:t>需方：腾龙芳烃（漳州）有限公司</w:t>
      </w:r>
      <w:r>
        <w:rPr>
          <w:rFonts w:ascii="宋体" w:hAnsi="宋体"/>
          <w:b/>
          <w:color w:val="000000"/>
          <w:szCs w:val="21"/>
        </w:rPr>
        <w:t xml:space="preserve"> </w:t>
      </w:r>
    </w:p>
    <w:p>
      <w:pPr>
        <w:spacing w:line="280" w:lineRule="exact"/>
        <w:ind w:firstLine="315" w:firstLineChars="150"/>
        <w:rPr>
          <w:rFonts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漳州  </w:t>
      </w:r>
      <w:r>
        <w:rPr>
          <w:rFonts w:hint="eastAsia" w:ascii="宋体" w:hAnsi="宋体"/>
          <w:color w:val="000000"/>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7"/>
        <w:tblW w:w="11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65"/>
        <w:gridCol w:w="2518"/>
        <w:gridCol w:w="467"/>
        <w:gridCol w:w="675"/>
        <w:gridCol w:w="1647"/>
        <w:gridCol w:w="1148"/>
        <w:gridCol w:w="1005"/>
        <w:gridCol w:w="842"/>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17" w:type="dxa"/>
            <w:vAlign w:val="center"/>
          </w:tcPr>
          <w:p>
            <w:pPr>
              <w:spacing w:line="280" w:lineRule="exact"/>
              <w:jc w:val="center"/>
              <w:rPr>
                <w:rFonts w:ascii="宋体" w:hAnsi="宋体"/>
                <w:color w:val="000000"/>
                <w:szCs w:val="21"/>
              </w:rPr>
            </w:pPr>
            <w:r>
              <w:rPr>
                <w:rFonts w:hint="eastAsia" w:ascii="宋体" w:hAnsi="宋体"/>
                <w:color w:val="000000"/>
                <w:szCs w:val="21"/>
              </w:rPr>
              <w:t>产品名称</w:t>
            </w:r>
          </w:p>
        </w:tc>
        <w:tc>
          <w:tcPr>
            <w:tcW w:w="765" w:type="dxa"/>
            <w:vAlign w:val="center"/>
          </w:tcPr>
          <w:p>
            <w:pPr>
              <w:spacing w:line="280" w:lineRule="exact"/>
              <w:jc w:val="center"/>
              <w:rPr>
                <w:rFonts w:ascii="宋体" w:hAnsi="宋体"/>
                <w:color w:val="000000"/>
                <w:szCs w:val="21"/>
              </w:rPr>
            </w:pPr>
            <w:r>
              <w:rPr>
                <w:rFonts w:hint="eastAsia" w:ascii="宋体" w:hAnsi="宋体"/>
                <w:color w:val="000000"/>
                <w:szCs w:val="21"/>
              </w:rPr>
              <w:t>生产厂家</w:t>
            </w:r>
          </w:p>
        </w:tc>
        <w:tc>
          <w:tcPr>
            <w:tcW w:w="2518"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467"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675"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647"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含税单价(元/吨）</w:t>
            </w:r>
          </w:p>
        </w:tc>
        <w:tc>
          <w:tcPr>
            <w:tcW w:w="1148"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含税总金额（元）</w:t>
            </w:r>
          </w:p>
        </w:tc>
        <w:tc>
          <w:tcPr>
            <w:tcW w:w="1005"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不含税总金额（元）</w:t>
            </w:r>
          </w:p>
        </w:tc>
        <w:tc>
          <w:tcPr>
            <w:tcW w:w="842" w:type="dxa"/>
            <w:vAlign w:val="center"/>
          </w:tcPr>
          <w:p>
            <w:pPr>
              <w:tabs>
                <w:tab w:val="left" w:pos="374"/>
              </w:tabs>
              <w:spacing w:line="280" w:lineRule="exact"/>
              <w:jc w:val="left"/>
              <w:rPr>
                <w:rFonts w:hint="default" w:ascii="宋体" w:hAnsi="宋体" w:eastAsia="宋体"/>
                <w:color w:val="000000"/>
                <w:szCs w:val="21"/>
                <w:lang w:val="en-US" w:eastAsia="zh-CN"/>
              </w:rPr>
            </w:pPr>
            <w:r>
              <w:rPr>
                <w:rFonts w:hint="eastAsia" w:ascii="宋体" w:hAnsi="宋体"/>
                <w:color w:val="000000"/>
                <w:szCs w:val="21"/>
                <w:lang w:val="en-US" w:eastAsia="zh-CN"/>
              </w:rPr>
              <w:t>税金（元）</w:t>
            </w:r>
          </w:p>
        </w:tc>
        <w:tc>
          <w:tcPr>
            <w:tcW w:w="1168" w:type="dxa"/>
            <w:vAlign w:val="center"/>
          </w:tcPr>
          <w:p>
            <w:pPr>
              <w:spacing w:line="280" w:lineRule="exact"/>
              <w:jc w:val="center"/>
              <w:rPr>
                <w:rFonts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17"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 xml:space="preserve"> 石灰石粉</w:t>
            </w:r>
          </w:p>
        </w:tc>
        <w:tc>
          <w:tcPr>
            <w:tcW w:w="765"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w:t>
            </w:r>
          </w:p>
        </w:tc>
        <w:tc>
          <w:tcPr>
            <w:tcW w:w="2518"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rPr>
              <w:t>CaCO3含量≥90.0%</w:t>
            </w:r>
            <w:r>
              <w:rPr>
                <w:rFonts w:hint="eastAsia" w:ascii="宋体" w:hAnsi="宋体"/>
                <w:color w:val="000000"/>
                <w:sz w:val="18"/>
                <w:szCs w:val="18"/>
                <w:lang w:eastAsia="zh-CN"/>
              </w:rPr>
              <w:t>，</w:t>
            </w:r>
            <w:r>
              <w:rPr>
                <w:rFonts w:hint="eastAsia" w:ascii="宋体" w:hAnsi="宋体"/>
                <w:color w:val="000000"/>
                <w:sz w:val="18"/>
                <w:szCs w:val="18"/>
                <w:lang w:val="en-US" w:eastAsia="zh-CN"/>
              </w:rPr>
              <w:t>详见附件</w:t>
            </w:r>
          </w:p>
        </w:tc>
        <w:tc>
          <w:tcPr>
            <w:tcW w:w="467"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吨</w:t>
            </w:r>
          </w:p>
        </w:tc>
        <w:tc>
          <w:tcPr>
            <w:tcW w:w="675"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40000</w:t>
            </w:r>
          </w:p>
        </w:tc>
        <w:tc>
          <w:tcPr>
            <w:tcW w:w="1647" w:type="dxa"/>
            <w:tcBorders>
              <w:tr2bl w:val="nil"/>
            </w:tcBorders>
            <w:vAlign w:val="center"/>
          </w:tcPr>
          <w:p>
            <w:pPr>
              <w:spacing w:line="280" w:lineRule="exact"/>
              <w:ind w:firstLine="270" w:firstLineChars="150"/>
              <w:rPr>
                <w:rFonts w:ascii="宋体" w:hAnsi="宋体"/>
                <w:color w:val="000000"/>
                <w:sz w:val="18"/>
                <w:szCs w:val="18"/>
              </w:rPr>
            </w:pPr>
          </w:p>
        </w:tc>
        <w:tc>
          <w:tcPr>
            <w:tcW w:w="1148" w:type="dxa"/>
            <w:tcBorders>
              <w:tr2bl w:val="nil"/>
            </w:tcBorders>
            <w:vAlign w:val="center"/>
          </w:tcPr>
          <w:p>
            <w:pPr>
              <w:spacing w:line="280" w:lineRule="exact"/>
              <w:jc w:val="center"/>
              <w:rPr>
                <w:rFonts w:ascii="宋体" w:hAnsi="宋体"/>
                <w:color w:val="000000"/>
                <w:sz w:val="18"/>
                <w:szCs w:val="18"/>
              </w:rPr>
            </w:pPr>
          </w:p>
        </w:tc>
        <w:tc>
          <w:tcPr>
            <w:tcW w:w="1005" w:type="dxa"/>
            <w:vAlign w:val="center"/>
          </w:tcPr>
          <w:p>
            <w:pPr>
              <w:spacing w:line="280" w:lineRule="exact"/>
              <w:jc w:val="center"/>
              <w:rPr>
                <w:rFonts w:hint="eastAsia" w:ascii="宋体" w:hAnsi="宋体"/>
                <w:color w:val="000000"/>
                <w:sz w:val="18"/>
                <w:szCs w:val="18"/>
              </w:rPr>
            </w:pPr>
          </w:p>
        </w:tc>
        <w:tc>
          <w:tcPr>
            <w:tcW w:w="842" w:type="dxa"/>
            <w:vAlign w:val="center"/>
          </w:tcPr>
          <w:p>
            <w:pPr>
              <w:spacing w:line="280" w:lineRule="exact"/>
              <w:jc w:val="center"/>
              <w:rPr>
                <w:rFonts w:hint="eastAsia" w:ascii="宋体" w:hAnsi="宋体"/>
                <w:color w:val="000000"/>
                <w:sz w:val="18"/>
                <w:szCs w:val="18"/>
              </w:rPr>
            </w:pPr>
          </w:p>
        </w:tc>
        <w:tc>
          <w:tcPr>
            <w:tcW w:w="1168" w:type="dxa"/>
            <w:vAlign w:val="center"/>
          </w:tcPr>
          <w:p>
            <w:pPr>
              <w:spacing w:line="280" w:lineRule="exact"/>
              <w:jc w:val="center"/>
              <w:rPr>
                <w:rFonts w:ascii="宋体" w:hAnsi="宋体"/>
                <w:color w:val="000000"/>
                <w:sz w:val="18"/>
                <w:szCs w:val="18"/>
              </w:rPr>
            </w:pPr>
            <w:r>
              <w:rPr>
                <w:rFonts w:hint="eastAsia" w:ascii="宋体" w:hAnsi="宋体"/>
                <w:color w:val="000000"/>
                <w:sz w:val="18"/>
                <w:szCs w:val="18"/>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82" w:type="dxa"/>
            <w:gridSpan w:val="2"/>
            <w:vAlign w:val="center"/>
          </w:tcPr>
          <w:p>
            <w:pPr>
              <w:spacing w:line="280" w:lineRule="exact"/>
              <w:rPr>
                <w:rFonts w:ascii="宋体" w:hAnsi="宋体"/>
                <w:color w:val="000000"/>
                <w:szCs w:val="21"/>
              </w:rPr>
            </w:pPr>
            <w:r>
              <w:rPr>
                <w:rFonts w:hint="eastAsia" w:ascii="宋体" w:hAnsi="宋体"/>
                <w:color w:val="000000"/>
                <w:szCs w:val="21"/>
              </w:rPr>
              <w:t xml:space="preserve">合计人民币含税金额（大写）：                   </w:t>
            </w:r>
          </w:p>
        </w:tc>
        <w:tc>
          <w:tcPr>
            <w:tcW w:w="9470" w:type="dxa"/>
            <w:gridSpan w:val="8"/>
            <w:vAlign w:val="center"/>
          </w:tcPr>
          <w:p>
            <w:pPr>
              <w:spacing w:line="280" w:lineRule="exact"/>
              <w:rPr>
                <w:rFonts w:ascii="宋体" w:hAnsi="宋体"/>
                <w:color w:val="000000"/>
                <w:szCs w:val="21"/>
              </w:rPr>
            </w:pPr>
          </w:p>
        </w:tc>
      </w:tr>
    </w:tbl>
    <w:p>
      <w:pPr>
        <w:spacing w:line="500" w:lineRule="exact"/>
        <w:ind w:firstLine="210" w:firstLineChars="100"/>
        <w:rPr>
          <w:rFonts w:ascii="宋体" w:hAnsi="宋体"/>
          <w:color w:val="000000"/>
          <w:szCs w:val="21"/>
        </w:rPr>
      </w:pPr>
      <w:r>
        <w:rPr>
          <w:rFonts w:hint="eastAsia" w:ascii="宋体" w:hAnsi="宋体"/>
          <w:color w:val="000000"/>
          <w:szCs w:val="21"/>
        </w:rPr>
        <w:t>上述数量为暂定，需方可根据需要通过订单形式进行调整，双方按实际交货数量及实际交易价格结算。本合同约定价格中的含税价格，对应的增值税率为13%，在合同履行期间，如遇国家的税率调整，则，调整后的含税单价=原含税送到单价/1.13*新增值税率；</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01  </w:t>
      </w:r>
      <w:r>
        <w:rPr>
          <w:rFonts w:hint="eastAsia" w:ascii="宋体" w:hAnsi="宋体"/>
          <w:color w:val="000000"/>
          <w:szCs w:val="21"/>
        </w:rPr>
        <w:t>月</w:t>
      </w:r>
      <w:r>
        <w:rPr>
          <w:rFonts w:hint="eastAsia" w:ascii="宋体" w:hAnsi="宋体"/>
          <w:color w:val="000000"/>
          <w:szCs w:val="21"/>
          <w:u w:val="single"/>
        </w:rPr>
        <w:t xml:space="preserve">  01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12  </w:t>
      </w:r>
      <w:r>
        <w:rPr>
          <w:rFonts w:hint="eastAsia" w:ascii="宋体" w:hAnsi="宋体"/>
          <w:color w:val="000000"/>
          <w:szCs w:val="21"/>
        </w:rPr>
        <w:t>月</w:t>
      </w:r>
      <w:r>
        <w:rPr>
          <w:rFonts w:hint="eastAsia" w:ascii="宋体" w:hAnsi="宋体"/>
          <w:color w:val="000000"/>
          <w:szCs w:val="21"/>
          <w:u w:val="single"/>
        </w:rPr>
        <w:t xml:space="preserve">  31  </w:t>
      </w:r>
      <w:r>
        <w:rPr>
          <w:rFonts w:hint="eastAsia" w:ascii="宋体" w:hAnsi="宋体"/>
          <w:color w:val="000000"/>
          <w:szCs w:val="21"/>
        </w:rPr>
        <w:t>日。本合同供货有效期届满与否，不影响本合同其他条款和组成部分的效力。</w:t>
      </w:r>
    </w:p>
    <w:p>
      <w:p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color="000000"/>
        </w:rPr>
        <w:t>供方需提供所供产品质量检验证明，以需方或需方指定单位验收为准，如化验不合格，需方有权</w:t>
      </w:r>
      <w:r>
        <w:rPr>
          <w:rFonts w:hint="eastAsia" w:ascii="宋体" w:hAnsi="宋体"/>
          <w:color w:val="000000"/>
          <w:szCs w:val="21"/>
          <w:u w:val="single"/>
        </w:rPr>
        <w:t xml:space="preserve">退换货，退换货所需的各项费用由供方承担。   </w:t>
      </w:r>
      <w:r>
        <w:rPr>
          <w:rFonts w:hint="eastAsia" w:ascii="宋体" w:hAnsi="宋体"/>
          <w:color w:val="000000"/>
          <w:szCs w:val="21"/>
        </w:rPr>
        <w:t>（详见附件  ）</w:t>
      </w:r>
    </w:p>
    <w:p>
      <w:pPr>
        <w:spacing w:line="280" w:lineRule="exact"/>
        <w:ind w:firstLine="420" w:firstLineChars="200"/>
        <w:rPr>
          <w:rFonts w:ascii="宋体" w:hAnsi="宋体"/>
          <w:color w:val="000000"/>
          <w:szCs w:val="21"/>
          <w:u w:val="single"/>
        </w:rPr>
      </w:pPr>
      <w:r>
        <w:rPr>
          <w:rFonts w:ascii="宋体" w:hAnsi="宋体"/>
          <w:color w:val="000000"/>
          <w:szCs w:val="21"/>
        </w:rPr>
        <w:t>1</w:t>
      </w:r>
      <w:r>
        <w:rPr>
          <w:rFonts w:hint="eastAsia" w:ascii="宋体" w:hAnsi="宋体"/>
          <w:color w:val="000000"/>
          <w:szCs w:val="21"/>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w:t>
      </w:r>
      <w:r>
        <w:rPr>
          <w:rFonts w:hint="eastAsia" w:ascii="宋体" w:hAnsi="宋体"/>
          <w:color w:val="000000"/>
          <w:szCs w:val="21"/>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w:t>
      </w:r>
      <w:r>
        <w:rPr>
          <w:rFonts w:hint="eastAsia" w:ascii="宋体" w:hAnsi="宋体" w:cs="Arial"/>
          <w:color w:val="000000"/>
          <w:szCs w:val="21"/>
        </w:rPr>
        <w:t>.</w:t>
      </w:r>
      <w:r>
        <w:rPr>
          <w:rFonts w:ascii="宋体" w:hAnsi="宋体" w:cs="Arial"/>
          <w:color w:val="000000"/>
          <w:szCs w:val="21"/>
        </w:rPr>
        <w:t>其他标准</w:t>
      </w:r>
      <w:r>
        <w:rPr>
          <w:rFonts w:hint="eastAsia" w:ascii="宋体" w:hAnsi="宋体" w:cs="Arial"/>
          <w:color w:val="000000"/>
          <w:szCs w:val="21"/>
          <w:u w:val="single"/>
        </w:rPr>
        <w:t xml:space="preserve">   </w:t>
      </w:r>
      <w:r>
        <w:rPr>
          <w:rFonts w:hint="eastAsia" w:ascii="宋体" w:hAnsi="宋体" w:cs="Arial"/>
          <w:szCs w:val="21"/>
          <w:u w:val="single"/>
        </w:rPr>
        <w:t>详见附件</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3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槽车   </w:t>
      </w:r>
      <w:r>
        <w:rPr>
          <w:rFonts w:hint="eastAsia" w:ascii="宋体" w:hAnsi="宋体"/>
          <w:color w:val="000000"/>
          <w:szCs w:val="21"/>
        </w:rPr>
        <w:t xml:space="preserve">   4.其他：</w:t>
      </w:r>
      <w:r>
        <w:rPr>
          <w:rFonts w:hint="eastAsia" w:ascii="宋体" w:hAnsi="宋体"/>
          <w:color w:val="000000"/>
          <w:szCs w:val="21"/>
          <w:u w:val="single"/>
        </w:rPr>
        <w:t xml:space="preserve">     /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每批订单产品全部到货后，经需方或需方指定单位：</w:t>
      </w:r>
      <w:r>
        <w:rPr>
          <w:rFonts w:hint="eastAsia" w:ascii="宋体" w:hAnsi="宋体"/>
          <w:color w:val="000000"/>
          <w:szCs w:val="21"/>
          <w:u w:val="single"/>
        </w:rPr>
        <w:t xml:space="preserve">  腾龙芳烃（漳州）有限公司   </w:t>
      </w:r>
      <w:r>
        <w:rPr>
          <w:rFonts w:hint="eastAsia" w:ascii="宋体" w:hAnsi="宋体"/>
          <w:color w:val="000000"/>
          <w:szCs w:val="21"/>
        </w:rPr>
        <w:t>（本合同中统称“需方”）根据本合同约定的质量、数量标准验收合格后，供方提供相应金额的增值税专用发票以及结算所需的各类清单，需方收到并确认无误后向供方支付货款。允许订单分批送货，分批结算，按实际到货数量结算，每批订单送货数量允许±5%溢短装。</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于需方指定   </w:t>
      </w:r>
      <w:r>
        <w:rPr>
          <w:rFonts w:hint="eastAsia" w:ascii="宋体" w:hAnsi="宋体"/>
          <w:color w:val="000000"/>
          <w:szCs w:val="21"/>
        </w:rPr>
        <w:t>日内将每批订单项下货物交付需方。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福建省漳州市古雷经济开发区腾龙路</w:t>
      </w:r>
      <w:r>
        <w:rPr>
          <w:rFonts w:hint="eastAsia" w:ascii="宋体" w:hAnsi="宋体"/>
          <w:color w:val="000000"/>
          <w:szCs w:val="21"/>
          <w:u w:val="single"/>
        </w:rPr>
        <w:t>腾龙芳烃（漳州）有限公司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肆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val="en-US"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val="en-US" w:eastAsia="zh-CN"/>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7"/>
        <w:tblW w:w="10003" w:type="dxa"/>
        <w:jc w:val="center"/>
        <w:tblLayout w:type="fixed"/>
        <w:tblCellMar>
          <w:top w:w="0" w:type="dxa"/>
          <w:left w:w="108" w:type="dxa"/>
          <w:bottom w:w="0" w:type="dxa"/>
          <w:right w:w="108" w:type="dxa"/>
        </w:tblCellMar>
      </w:tblPr>
      <w:tblGrid>
        <w:gridCol w:w="787"/>
        <w:gridCol w:w="194"/>
        <w:gridCol w:w="199"/>
        <w:gridCol w:w="196"/>
        <w:gridCol w:w="1177"/>
        <w:gridCol w:w="2450"/>
        <w:gridCol w:w="787"/>
        <w:gridCol w:w="196"/>
        <w:gridCol w:w="194"/>
        <w:gridCol w:w="109"/>
        <w:gridCol w:w="1266"/>
        <w:gridCol w:w="2448"/>
      </w:tblGrid>
      <w:tr>
        <w:tblPrEx>
          <w:tblCellMar>
            <w:top w:w="0" w:type="dxa"/>
            <w:left w:w="108" w:type="dxa"/>
            <w:bottom w:w="0" w:type="dxa"/>
            <w:right w:w="108" w:type="dxa"/>
          </w:tblCellMar>
        </w:tblPrEx>
        <w:trPr>
          <w:trHeight w:val="268" w:hRule="atLeast"/>
          <w:jc w:val="center"/>
        </w:trPr>
        <w:tc>
          <w:tcPr>
            <w:tcW w:w="1376" w:type="dxa"/>
            <w:gridSpan w:val="4"/>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627" w:type="dxa"/>
            <w:gridSpan w:val="2"/>
            <w:vAlign w:val="center"/>
          </w:tcPr>
          <w:p>
            <w:pPr>
              <w:spacing w:line="280" w:lineRule="exact"/>
              <w:rPr>
                <w:b/>
                <w:color w:val="000000"/>
                <w:szCs w:val="21"/>
              </w:rPr>
            </w:pPr>
          </w:p>
        </w:tc>
        <w:tc>
          <w:tcPr>
            <w:tcW w:w="1286" w:type="dxa"/>
            <w:gridSpan w:val="4"/>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713" w:type="dxa"/>
            <w:gridSpan w:val="2"/>
            <w:vAlign w:val="center"/>
          </w:tcPr>
          <w:p>
            <w:pPr>
              <w:spacing w:line="280" w:lineRule="exact"/>
              <w:rPr>
                <w:b/>
                <w:color w:val="000000"/>
                <w:szCs w:val="21"/>
              </w:rPr>
            </w:pPr>
            <w:r>
              <w:rPr>
                <w:rFonts w:hint="eastAsia"/>
                <w:b/>
                <w:color w:val="000000"/>
                <w:szCs w:val="21"/>
              </w:rPr>
              <w:t>腾龙芳烃（漳州）有限公司</w:t>
            </w:r>
          </w:p>
        </w:tc>
      </w:tr>
      <w:tr>
        <w:tblPrEx>
          <w:tblCellMar>
            <w:top w:w="0" w:type="dxa"/>
            <w:left w:w="108" w:type="dxa"/>
            <w:bottom w:w="0" w:type="dxa"/>
            <w:right w:w="108" w:type="dxa"/>
          </w:tblCellMar>
        </w:tblPrEx>
        <w:trPr>
          <w:trHeight w:val="268" w:hRule="atLeast"/>
          <w:jc w:val="center"/>
        </w:trPr>
        <w:tc>
          <w:tcPr>
            <w:tcW w:w="1376" w:type="dxa"/>
            <w:gridSpan w:val="4"/>
            <w:vAlign w:val="center"/>
          </w:tcPr>
          <w:p>
            <w:pPr>
              <w:spacing w:line="280" w:lineRule="exact"/>
              <w:rPr>
                <w:color w:val="000000"/>
                <w:szCs w:val="21"/>
              </w:rPr>
            </w:pPr>
            <w:r>
              <w:rPr>
                <w:rFonts w:hint="eastAsia" w:ascii="宋体" w:hAnsi="宋体"/>
                <w:color w:val="000000"/>
                <w:szCs w:val="21"/>
              </w:rPr>
              <w:t>工商注册号：</w:t>
            </w:r>
          </w:p>
        </w:tc>
        <w:tc>
          <w:tcPr>
            <w:tcW w:w="3627" w:type="dxa"/>
            <w:gridSpan w:val="2"/>
            <w:vAlign w:val="center"/>
          </w:tcPr>
          <w:p>
            <w:pPr>
              <w:spacing w:line="280" w:lineRule="exact"/>
              <w:rPr>
                <w:color w:val="000000"/>
                <w:szCs w:val="21"/>
              </w:rPr>
            </w:pPr>
          </w:p>
        </w:tc>
        <w:tc>
          <w:tcPr>
            <w:tcW w:w="1286" w:type="dxa"/>
            <w:gridSpan w:val="4"/>
            <w:vAlign w:val="center"/>
          </w:tcPr>
          <w:p>
            <w:pPr>
              <w:spacing w:line="280" w:lineRule="exact"/>
              <w:rPr>
                <w:color w:val="000000"/>
                <w:szCs w:val="21"/>
              </w:rPr>
            </w:pPr>
            <w:r>
              <w:rPr>
                <w:rFonts w:hint="eastAsia" w:ascii="宋体" w:hAnsi="宋体"/>
                <w:color w:val="000000"/>
                <w:szCs w:val="21"/>
              </w:rPr>
              <w:t>工商注册号：</w:t>
            </w:r>
          </w:p>
        </w:tc>
        <w:tc>
          <w:tcPr>
            <w:tcW w:w="3713" w:type="dxa"/>
            <w:gridSpan w:val="2"/>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jc w:val="center"/>
        </w:trPr>
        <w:tc>
          <w:tcPr>
            <w:tcW w:w="787" w:type="dxa"/>
            <w:vAlign w:val="center"/>
          </w:tcPr>
          <w:p>
            <w:pPr>
              <w:spacing w:line="280" w:lineRule="exact"/>
              <w:rPr>
                <w:color w:val="000000"/>
                <w:szCs w:val="21"/>
              </w:rPr>
            </w:pPr>
            <w:r>
              <w:rPr>
                <w:rFonts w:hint="eastAsia" w:ascii="宋体" w:hAnsi="宋体"/>
                <w:color w:val="000000"/>
                <w:szCs w:val="21"/>
              </w:rPr>
              <w:t>地址：</w:t>
            </w:r>
          </w:p>
        </w:tc>
        <w:tc>
          <w:tcPr>
            <w:tcW w:w="4216" w:type="dxa"/>
            <w:gridSpan w:val="5"/>
            <w:vAlign w:val="center"/>
          </w:tcPr>
          <w:p>
            <w:pPr>
              <w:spacing w:line="280" w:lineRule="exact"/>
              <w:rPr>
                <w:color w:val="000000"/>
                <w:sz w:val="18"/>
                <w:szCs w:val="18"/>
              </w:rPr>
            </w:pPr>
            <w:r>
              <w:rPr>
                <w:rFonts w:hint="eastAsia"/>
                <w:color w:val="000000"/>
                <w:sz w:val="18"/>
                <w:szCs w:val="18"/>
              </w:rPr>
              <w:t xml:space="preserve"> </w:t>
            </w:r>
          </w:p>
        </w:tc>
        <w:tc>
          <w:tcPr>
            <w:tcW w:w="787" w:type="dxa"/>
            <w:vAlign w:val="center"/>
          </w:tcPr>
          <w:p>
            <w:pPr>
              <w:spacing w:line="280" w:lineRule="exact"/>
              <w:rPr>
                <w:color w:val="000000"/>
                <w:szCs w:val="21"/>
              </w:rPr>
            </w:pPr>
            <w:r>
              <w:rPr>
                <w:rFonts w:hint="eastAsia" w:ascii="宋体" w:hAnsi="宋体"/>
                <w:color w:val="000000"/>
                <w:szCs w:val="21"/>
              </w:rPr>
              <w:t>地址：</w:t>
            </w:r>
          </w:p>
        </w:tc>
        <w:tc>
          <w:tcPr>
            <w:tcW w:w="4213" w:type="dxa"/>
            <w:gridSpan w:val="5"/>
            <w:vAlign w:val="center"/>
          </w:tcPr>
          <w:p>
            <w:pPr>
              <w:spacing w:line="280" w:lineRule="exact"/>
              <w:rPr>
                <w:color w:val="000000"/>
                <w:sz w:val="18"/>
                <w:szCs w:val="18"/>
              </w:rPr>
            </w:pPr>
          </w:p>
        </w:tc>
      </w:tr>
      <w:tr>
        <w:tblPrEx>
          <w:tblCellMar>
            <w:top w:w="0" w:type="dxa"/>
            <w:left w:w="108" w:type="dxa"/>
            <w:bottom w:w="0" w:type="dxa"/>
            <w:right w:w="108" w:type="dxa"/>
          </w:tblCellMar>
        </w:tblPrEx>
        <w:trPr>
          <w:trHeight w:val="268" w:hRule="atLeast"/>
          <w:jc w:val="center"/>
        </w:trPr>
        <w:tc>
          <w:tcPr>
            <w:tcW w:w="1180" w:type="dxa"/>
            <w:gridSpan w:val="3"/>
            <w:vAlign w:val="center"/>
          </w:tcPr>
          <w:p>
            <w:pPr>
              <w:spacing w:line="280" w:lineRule="exact"/>
              <w:rPr>
                <w:color w:val="000000"/>
                <w:szCs w:val="21"/>
              </w:rPr>
            </w:pPr>
            <w:r>
              <w:rPr>
                <w:rFonts w:hint="eastAsia" w:ascii="宋体" w:hAnsi="宋体"/>
                <w:color w:val="000000"/>
                <w:szCs w:val="21"/>
              </w:rPr>
              <w:t>邮政编码：</w:t>
            </w:r>
          </w:p>
        </w:tc>
        <w:tc>
          <w:tcPr>
            <w:tcW w:w="3823" w:type="dxa"/>
            <w:gridSpan w:val="3"/>
            <w:vAlign w:val="center"/>
          </w:tcPr>
          <w:p>
            <w:pPr>
              <w:spacing w:line="280" w:lineRule="exact"/>
              <w:rPr>
                <w:color w:val="000000"/>
                <w:szCs w:val="21"/>
              </w:rPr>
            </w:pPr>
          </w:p>
        </w:tc>
        <w:tc>
          <w:tcPr>
            <w:tcW w:w="1177" w:type="dxa"/>
            <w:gridSpan w:val="3"/>
            <w:vAlign w:val="center"/>
          </w:tcPr>
          <w:p>
            <w:pPr>
              <w:spacing w:line="280" w:lineRule="exact"/>
              <w:rPr>
                <w:color w:val="000000"/>
                <w:szCs w:val="21"/>
              </w:rPr>
            </w:pPr>
            <w:r>
              <w:rPr>
                <w:rFonts w:hint="eastAsia" w:ascii="宋体" w:hAnsi="宋体"/>
                <w:color w:val="000000"/>
                <w:szCs w:val="21"/>
              </w:rPr>
              <w:t>邮政编码：</w:t>
            </w:r>
          </w:p>
        </w:tc>
        <w:tc>
          <w:tcPr>
            <w:tcW w:w="3822" w:type="dxa"/>
            <w:gridSpan w:val="3"/>
            <w:vAlign w:val="center"/>
          </w:tcPr>
          <w:p>
            <w:pPr>
              <w:spacing w:line="280" w:lineRule="exact"/>
              <w:rPr>
                <w:color w:val="000000"/>
                <w:szCs w:val="21"/>
              </w:rPr>
            </w:pPr>
          </w:p>
        </w:tc>
      </w:tr>
      <w:tr>
        <w:tblPrEx>
          <w:tblCellMar>
            <w:top w:w="0" w:type="dxa"/>
            <w:left w:w="108" w:type="dxa"/>
            <w:bottom w:w="0" w:type="dxa"/>
            <w:right w:w="108" w:type="dxa"/>
          </w:tblCellMar>
        </w:tblPrEx>
        <w:trPr>
          <w:trHeight w:val="254" w:hRule="atLeast"/>
          <w:jc w:val="center"/>
        </w:trPr>
        <w:tc>
          <w:tcPr>
            <w:tcW w:w="2553" w:type="dxa"/>
            <w:gridSpan w:val="5"/>
            <w:vAlign w:val="center"/>
          </w:tcPr>
          <w:p>
            <w:pPr>
              <w:spacing w:line="280" w:lineRule="exact"/>
              <w:rPr>
                <w:color w:val="000000"/>
                <w:szCs w:val="21"/>
              </w:rPr>
            </w:pPr>
            <w:r>
              <w:rPr>
                <w:rFonts w:hint="eastAsia" w:ascii="宋体" w:hAnsi="宋体"/>
                <w:color w:val="000000"/>
                <w:szCs w:val="21"/>
              </w:rPr>
              <w:t>法定代表人或委托代理人：</w:t>
            </w:r>
          </w:p>
        </w:tc>
        <w:tc>
          <w:tcPr>
            <w:tcW w:w="2450" w:type="dxa"/>
            <w:vAlign w:val="center"/>
          </w:tcPr>
          <w:p>
            <w:pPr>
              <w:spacing w:line="280" w:lineRule="exact"/>
              <w:rPr>
                <w:color w:val="000000"/>
                <w:szCs w:val="21"/>
              </w:rPr>
            </w:pPr>
          </w:p>
        </w:tc>
        <w:tc>
          <w:tcPr>
            <w:tcW w:w="2552" w:type="dxa"/>
            <w:gridSpan w:val="5"/>
            <w:vAlign w:val="center"/>
          </w:tcPr>
          <w:p>
            <w:pPr>
              <w:spacing w:line="280" w:lineRule="exact"/>
              <w:rPr>
                <w:color w:val="000000"/>
                <w:szCs w:val="21"/>
              </w:rPr>
            </w:pPr>
            <w:r>
              <w:rPr>
                <w:rFonts w:hint="eastAsia" w:ascii="宋体" w:hAnsi="宋体"/>
                <w:color w:val="000000"/>
                <w:szCs w:val="21"/>
              </w:rPr>
              <w:t>法定代表人或委托代理人：</w:t>
            </w:r>
          </w:p>
        </w:tc>
        <w:tc>
          <w:tcPr>
            <w:tcW w:w="2447" w:type="dxa"/>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jc w:val="center"/>
        </w:trPr>
        <w:tc>
          <w:tcPr>
            <w:tcW w:w="981" w:type="dxa"/>
            <w:gridSpan w:val="2"/>
            <w:vAlign w:val="center"/>
          </w:tcPr>
          <w:p>
            <w:pPr>
              <w:spacing w:line="280" w:lineRule="exact"/>
              <w:rPr>
                <w:color w:val="000000"/>
                <w:szCs w:val="21"/>
              </w:rPr>
            </w:pPr>
            <w:r>
              <w:rPr>
                <w:rFonts w:hint="eastAsia" w:ascii="宋体" w:hAnsi="宋体"/>
                <w:color w:val="000000"/>
                <w:szCs w:val="21"/>
              </w:rPr>
              <w:t>经办人：</w:t>
            </w:r>
          </w:p>
        </w:tc>
        <w:tc>
          <w:tcPr>
            <w:tcW w:w="4022" w:type="dxa"/>
            <w:gridSpan w:val="4"/>
            <w:vAlign w:val="center"/>
          </w:tcPr>
          <w:p>
            <w:pPr>
              <w:spacing w:line="280" w:lineRule="exact"/>
              <w:rPr>
                <w:color w:val="000000"/>
                <w:szCs w:val="21"/>
              </w:rPr>
            </w:pPr>
          </w:p>
        </w:tc>
        <w:tc>
          <w:tcPr>
            <w:tcW w:w="983" w:type="dxa"/>
            <w:gridSpan w:val="2"/>
            <w:vAlign w:val="center"/>
          </w:tcPr>
          <w:p>
            <w:pPr>
              <w:spacing w:line="280" w:lineRule="exact"/>
              <w:rPr>
                <w:color w:val="000000"/>
                <w:szCs w:val="21"/>
              </w:rPr>
            </w:pPr>
            <w:r>
              <w:rPr>
                <w:rFonts w:hint="eastAsia" w:ascii="宋体" w:hAnsi="宋体"/>
                <w:color w:val="000000"/>
                <w:szCs w:val="21"/>
              </w:rPr>
              <w:t>经办人：</w:t>
            </w:r>
          </w:p>
        </w:tc>
        <w:tc>
          <w:tcPr>
            <w:tcW w:w="4017" w:type="dxa"/>
            <w:gridSpan w:val="4"/>
            <w:vAlign w:val="center"/>
          </w:tcPr>
          <w:p>
            <w:pPr>
              <w:spacing w:line="280" w:lineRule="exact"/>
              <w:rPr>
                <w:color w:val="000000"/>
                <w:szCs w:val="21"/>
              </w:rPr>
            </w:pPr>
          </w:p>
        </w:tc>
      </w:tr>
      <w:tr>
        <w:tblPrEx>
          <w:tblCellMar>
            <w:top w:w="0" w:type="dxa"/>
            <w:left w:w="108" w:type="dxa"/>
            <w:bottom w:w="0" w:type="dxa"/>
            <w:right w:w="108" w:type="dxa"/>
          </w:tblCellMar>
        </w:tblPrEx>
        <w:trPr>
          <w:trHeight w:val="105" w:hRule="atLeast"/>
          <w:jc w:val="center"/>
        </w:trPr>
        <w:tc>
          <w:tcPr>
            <w:tcW w:w="787" w:type="dxa"/>
            <w:vAlign w:val="center"/>
          </w:tcPr>
          <w:p>
            <w:pPr>
              <w:spacing w:line="280" w:lineRule="exact"/>
              <w:rPr>
                <w:color w:val="000000"/>
                <w:szCs w:val="21"/>
              </w:rPr>
            </w:pPr>
            <w:r>
              <w:rPr>
                <w:rFonts w:hint="eastAsia" w:ascii="宋体" w:hAnsi="宋体"/>
                <w:color w:val="000000"/>
                <w:szCs w:val="21"/>
              </w:rPr>
              <w:t>电话：</w:t>
            </w:r>
          </w:p>
        </w:tc>
        <w:tc>
          <w:tcPr>
            <w:tcW w:w="4216" w:type="dxa"/>
            <w:gridSpan w:val="5"/>
            <w:vAlign w:val="center"/>
          </w:tcPr>
          <w:p>
            <w:pPr>
              <w:spacing w:line="280" w:lineRule="exact"/>
              <w:rPr>
                <w:color w:val="000000"/>
                <w:szCs w:val="21"/>
              </w:rPr>
            </w:pPr>
          </w:p>
        </w:tc>
        <w:tc>
          <w:tcPr>
            <w:tcW w:w="787" w:type="dxa"/>
            <w:vAlign w:val="center"/>
          </w:tcPr>
          <w:p>
            <w:pPr>
              <w:spacing w:line="280" w:lineRule="exact"/>
              <w:rPr>
                <w:color w:val="000000"/>
                <w:szCs w:val="21"/>
              </w:rPr>
            </w:pPr>
            <w:r>
              <w:rPr>
                <w:rFonts w:hint="eastAsia" w:ascii="宋体" w:hAnsi="宋体"/>
                <w:color w:val="000000"/>
                <w:szCs w:val="21"/>
              </w:rPr>
              <w:t>电话：</w:t>
            </w:r>
          </w:p>
        </w:tc>
        <w:tc>
          <w:tcPr>
            <w:tcW w:w="4213"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jc w:val="center"/>
        </w:trPr>
        <w:tc>
          <w:tcPr>
            <w:tcW w:w="787" w:type="dxa"/>
            <w:vAlign w:val="center"/>
          </w:tcPr>
          <w:p>
            <w:pPr>
              <w:spacing w:line="280" w:lineRule="exact"/>
              <w:rPr>
                <w:color w:val="000000"/>
                <w:szCs w:val="21"/>
              </w:rPr>
            </w:pPr>
            <w:r>
              <w:rPr>
                <w:rFonts w:hint="eastAsia" w:ascii="宋体" w:hAnsi="宋体"/>
                <w:color w:val="000000"/>
                <w:szCs w:val="21"/>
              </w:rPr>
              <w:t>传真：</w:t>
            </w:r>
          </w:p>
        </w:tc>
        <w:tc>
          <w:tcPr>
            <w:tcW w:w="4216" w:type="dxa"/>
            <w:gridSpan w:val="5"/>
            <w:vAlign w:val="center"/>
          </w:tcPr>
          <w:p>
            <w:pPr>
              <w:spacing w:line="280" w:lineRule="exact"/>
              <w:rPr>
                <w:color w:val="000000"/>
                <w:szCs w:val="21"/>
              </w:rPr>
            </w:pPr>
          </w:p>
        </w:tc>
        <w:tc>
          <w:tcPr>
            <w:tcW w:w="787" w:type="dxa"/>
            <w:vAlign w:val="center"/>
          </w:tcPr>
          <w:p>
            <w:pPr>
              <w:spacing w:line="280" w:lineRule="exact"/>
              <w:rPr>
                <w:color w:val="000000"/>
                <w:szCs w:val="21"/>
              </w:rPr>
            </w:pPr>
            <w:r>
              <w:rPr>
                <w:rFonts w:hint="eastAsia" w:ascii="宋体" w:hAnsi="宋体"/>
                <w:color w:val="000000"/>
                <w:szCs w:val="21"/>
              </w:rPr>
              <w:t>传真：</w:t>
            </w:r>
          </w:p>
        </w:tc>
        <w:tc>
          <w:tcPr>
            <w:tcW w:w="4213"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jc w:val="center"/>
        </w:trPr>
        <w:tc>
          <w:tcPr>
            <w:tcW w:w="1180" w:type="dxa"/>
            <w:gridSpan w:val="3"/>
            <w:vAlign w:val="center"/>
          </w:tcPr>
          <w:p>
            <w:pPr>
              <w:spacing w:line="280" w:lineRule="exact"/>
              <w:rPr>
                <w:color w:val="000000"/>
                <w:szCs w:val="21"/>
              </w:rPr>
            </w:pPr>
            <w:r>
              <w:rPr>
                <w:rFonts w:hint="eastAsia" w:ascii="宋体" w:hAnsi="宋体"/>
                <w:color w:val="000000"/>
                <w:szCs w:val="21"/>
              </w:rPr>
              <w:t>电子邮箱：</w:t>
            </w:r>
          </w:p>
        </w:tc>
        <w:tc>
          <w:tcPr>
            <w:tcW w:w="3823" w:type="dxa"/>
            <w:gridSpan w:val="3"/>
            <w:vAlign w:val="center"/>
          </w:tcPr>
          <w:p>
            <w:pPr>
              <w:spacing w:line="280" w:lineRule="exact"/>
              <w:rPr>
                <w:color w:val="000000"/>
                <w:szCs w:val="21"/>
              </w:rPr>
            </w:pPr>
          </w:p>
        </w:tc>
        <w:tc>
          <w:tcPr>
            <w:tcW w:w="1177" w:type="dxa"/>
            <w:gridSpan w:val="3"/>
            <w:vAlign w:val="center"/>
          </w:tcPr>
          <w:p>
            <w:pPr>
              <w:spacing w:line="280" w:lineRule="exact"/>
              <w:rPr>
                <w:color w:val="000000"/>
                <w:szCs w:val="21"/>
              </w:rPr>
            </w:pPr>
            <w:r>
              <w:rPr>
                <w:rFonts w:hint="eastAsia" w:ascii="宋体" w:hAnsi="宋体"/>
                <w:color w:val="000000"/>
                <w:szCs w:val="21"/>
              </w:rPr>
              <w:t>电子邮箱：</w:t>
            </w:r>
          </w:p>
        </w:tc>
        <w:tc>
          <w:tcPr>
            <w:tcW w:w="3822" w:type="dxa"/>
            <w:gridSpan w:val="3"/>
            <w:vAlign w:val="center"/>
          </w:tcPr>
          <w:p>
            <w:pPr>
              <w:spacing w:line="280" w:lineRule="exact"/>
              <w:rPr>
                <w:color w:val="000000"/>
                <w:szCs w:val="21"/>
              </w:rPr>
            </w:pPr>
            <w:r>
              <w:rPr>
                <w:rFonts w:hint="eastAsia" w:ascii="宋体" w:hAnsi="宋体"/>
                <w:color w:val="000000"/>
                <w:sz w:val="24"/>
              </w:rPr>
              <w:t>wzcgb@fjpec.com.cn</w:t>
            </w:r>
          </w:p>
        </w:tc>
      </w:tr>
      <w:tr>
        <w:tblPrEx>
          <w:tblCellMar>
            <w:top w:w="0" w:type="dxa"/>
            <w:left w:w="108" w:type="dxa"/>
            <w:bottom w:w="0" w:type="dxa"/>
            <w:right w:w="108" w:type="dxa"/>
          </w:tblCellMar>
        </w:tblPrEx>
        <w:trPr>
          <w:trHeight w:val="254" w:hRule="atLeast"/>
          <w:jc w:val="center"/>
        </w:trPr>
        <w:tc>
          <w:tcPr>
            <w:tcW w:w="1180" w:type="dxa"/>
            <w:gridSpan w:val="3"/>
            <w:vAlign w:val="center"/>
          </w:tcPr>
          <w:p>
            <w:pPr>
              <w:spacing w:line="280" w:lineRule="exact"/>
              <w:rPr>
                <w:color w:val="000000"/>
                <w:szCs w:val="21"/>
              </w:rPr>
            </w:pPr>
            <w:r>
              <w:rPr>
                <w:rFonts w:hint="eastAsia" w:ascii="宋体" w:hAnsi="宋体"/>
                <w:color w:val="000000"/>
                <w:szCs w:val="21"/>
              </w:rPr>
              <w:t>开户银行：</w:t>
            </w:r>
          </w:p>
        </w:tc>
        <w:tc>
          <w:tcPr>
            <w:tcW w:w="3823" w:type="dxa"/>
            <w:gridSpan w:val="3"/>
            <w:vAlign w:val="center"/>
          </w:tcPr>
          <w:p>
            <w:pPr>
              <w:spacing w:line="280" w:lineRule="exact"/>
              <w:rPr>
                <w:color w:val="000000"/>
                <w:szCs w:val="21"/>
              </w:rPr>
            </w:pPr>
          </w:p>
        </w:tc>
        <w:tc>
          <w:tcPr>
            <w:tcW w:w="1177" w:type="dxa"/>
            <w:gridSpan w:val="3"/>
            <w:vAlign w:val="center"/>
          </w:tcPr>
          <w:p>
            <w:pPr>
              <w:spacing w:line="280" w:lineRule="exact"/>
              <w:rPr>
                <w:color w:val="000000"/>
                <w:szCs w:val="21"/>
              </w:rPr>
            </w:pPr>
            <w:r>
              <w:rPr>
                <w:rFonts w:hint="eastAsia" w:ascii="宋体" w:hAnsi="宋体"/>
                <w:color w:val="000000"/>
                <w:szCs w:val="21"/>
              </w:rPr>
              <w:t>开户银行：</w:t>
            </w:r>
          </w:p>
        </w:tc>
        <w:tc>
          <w:tcPr>
            <w:tcW w:w="3822" w:type="dxa"/>
            <w:gridSpan w:val="3"/>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jc w:val="center"/>
        </w:trPr>
        <w:tc>
          <w:tcPr>
            <w:tcW w:w="787" w:type="dxa"/>
            <w:vAlign w:val="center"/>
          </w:tcPr>
          <w:p>
            <w:pPr>
              <w:spacing w:line="280" w:lineRule="exact"/>
              <w:rPr>
                <w:color w:val="000000"/>
                <w:szCs w:val="21"/>
              </w:rPr>
            </w:pPr>
            <w:r>
              <w:rPr>
                <w:rFonts w:hint="eastAsia" w:ascii="宋体" w:hAnsi="宋体"/>
                <w:color w:val="000000"/>
                <w:szCs w:val="21"/>
              </w:rPr>
              <w:t>帐号：</w:t>
            </w:r>
          </w:p>
        </w:tc>
        <w:tc>
          <w:tcPr>
            <w:tcW w:w="4216" w:type="dxa"/>
            <w:gridSpan w:val="5"/>
            <w:vAlign w:val="center"/>
          </w:tcPr>
          <w:p>
            <w:pPr>
              <w:spacing w:line="280" w:lineRule="exact"/>
              <w:rPr>
                <w:color w:val="000000"/>
                <w:szCs w:val="21"/>
              </w:rPr>
            </w:pPr>
          </w:p>
        </w:tc>
        <w:tc>
          <w:tcPr>
            <w:tcW w:w="787" w:type="dxa"/>
            <w:vAlign w:val="center"/>
          </w:tcPr>
          <w:p>
            <w:pPr>
              <w:spacing w:line="280" w:lineRule="exact"/>
              <w:rPr>
                <w:color w:val="000000"/>
                <w:szCs w:val="21"/>
              </w:rPr>
            </w:pPr>
            <w:r>
              <w:rPr>
                <w:rFonts w:hint="eastAsia" w:ascii="宋体" w:hAnsi="宋体"/>
                <w:color w:val="000000"/>
                <w:szCs w:val="21"/>
              </w:rPr>
              <w:t>帐号：</w:t>
            </w:r>
          </w:p>
        </w:tc>
        <w:tc>
          <w:tcPr>
            <w:tcW w:w="4213" w:type="dxa"/>
            <w:gridSpan w:val="5"/>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jc w:val="center"/>
        </w:trPr>
        <w:tc>
          <w:tcPr>
            <w:tcW w:w="787" w:type="dxa"/>
            <w:vAlign w:val="center"/>
          </w:tcPr>
          <w:p>
            <w:pPr>
              <w:spacing w:line="280" w:lineRule="exact"/>
              <w:rPr>
                <w:color w:val="000000"/>
                <w:szCs w:val="21"/>
              </w:rPr>
            </w:pPr>
            <w:r>
              <w:rPr>
                <w:rFonts w:hint="eastAsia" w:ascii="宋体" w:hAnsi="宋体"/>
                <w:color w:val="000000"/>
                <w:szCs w:val="21"/>
              </w:rPr>
              <w:t>税号：</w:t>
            </w:r>
          </w:p>
        </w:tc>
        <w:tc>
          <w:tcPr>
            <w:tcW w:w="4216" w:type="dxa"/>
            <w:gridSpan w:val="5"/>
            <w:vAlign w:val="center"/>
          </w:tcPr>
          <w:p>
            <w:pPr>
              <w:spacing w:line="280" w:lineRule="exact"/>
              <w:rPr>
                <w:color w:val="000000"/>
                <w:szCs w:val="21"/>
              </w:rPr>
            </w:pPr>
          </w:p>
        </w:tc>
        <w:tc>
          <w:tcPr>
            <w:tcW w:w="787" w:type="dxa"/>
            <w:vAlign w:val="center"/>
          </w:tcPr>
          <w:p>
            <w:pPr>
              <w:spacing w:line="280" w:lineRule="exact"/>
              <w:rPr>
                <w:color w:val="000000"/>
                <w:szCs w:val="21"/>
              </w:rPr>
            </w:pPr>
            <w:r>
              <w:rPr>
                <w:rFonts w:hint="eastAsia" w:ascii="宋体" w:hAnsi="宋体"/>
                <w:color w:val="000000"/>
                <w:szCs w:val="21"/>
              </w:rPr>
              <w:t>税号：</w:t>
            </w:r>
          </w:p>
        </w:tc>
        <w:tc>
          <w:tcPr>
            <w:tcW w:w="4213" w:type="dxa"/>
            <w:gridSpan w:val="5"/>
            <w:vAlign w:val="center"/>
          </w:tcPr>
          <w:p>
            <w:pPr>
              <w:spacing w:line="280" w:lineRule="exact"/>
              <w:rPr>
                <w:color w:val="000000"/>
                <w:szCs w:val="21"/>
              </w:rPr>
            </w:pPr>
          </w:p>
        </w:tc>
      </w:tr>
    </w:tbl>
    <w:p>
      <w:pPr>
        <w:spacing w:line="220" w:lineRule="exact"/>
        <w:rPr>
          <w:rFonts w:ascii="宋体" w:hAnsi="宋体"/>
          <w:b/>
          <w:color w:val="000000"/>
          <w:szCs w:val="21"/>
          <w:u w:val="single"/>
        </w:rPr>
      </w:pPr>
    </w:p>
    <w:p>
      <w:pPr>
        <w:spacing w:line="300" w:lineRule="exact"/>
        <w:jc w:val="center"/>
        <w:rPr>
          <w:rFonts w:ascii="宋体" w:hAnsi="宋体"/>
          <w:b/>
          <w:color w:val="000000"/>
          <w:szCs w:val="21"/>
        </w:rPr>
      </w:pPr>
      <w:r>
        <w:rPr>
          <w:rFonts w:hint="eastAsia" w:ascii="宋体" w:hAnsi="宋体"/>
          <w:b/>
          <w:color w:val="000000"/>
          <w:szCs w:val="21"/>
          <w:u w:val="single"/>
        </w:rPr>
        <w:t>第二部分  合同条款及规则</w:t>
      </w:r>
    </w:p>
    <w:p>
      <w:pPr>
        <w:spacing w:line="300" w:lineRule="exact"/>
        <w:rPr>
          <w:rFonts w:ascii="宋体" w:hAnsi="宋体"/>
          <w:color w:val="000000"/>
          <w:szCs w:val="21"/>
        </w:rPr>
      </w:pPr>
      <w:r>
        <w:rPr>
          <w:rFonts w:hint="eastAsia" w:ascii="宋体" w:hAnsi="宋体"/>
          <w:b/>
          <w:color w:val="000000"/>
          <w:szCs w:val="21"/>
        </w:rPr>
        <w:t>第一条　数量交接、误差标准及处理方式：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ascii="宋体" w:hAnsi="宋体"/>
          <w:color w:val="000000"/>
          <w:szCs w:val="21"/>
        </w:rPr>
      </w:pPr>
      <w:r>
        <w:rPr>
          <w:rFonts w:hint="eastAsia" w:ascii="宋体" w:hAnsi="宋体"/>
          <w:color w:val="000000"/>
          <w:szCs w:val="21"/>
        </w:rPr>
        <w:t>2.以需方接收时的检验确认的重量作为数量结算标准。</w:t>
      </w:r>
    </w:p>
    <w:p>
      <w:pPr>
        <w:spacing w:line="300" w:lineRule="exact"/>
        <w:ind w:firstLine="420" w:firstLineChars="200"/>
        <w:rPr>
          <w:rFonts w:ascii="宋体" w:hAnsi="宋体"/>
          <w:color w:val="000000"/>
          <w:szCs w:val="21"/>
        </w:rPr>
      </w:pPr>
      <w:r>
        <w:rPr>
          <w:rFonts w:hint="eastAsia" w:ascii="宋体" w:hAnsi="宋体"/>
          <w:color w:val="000000"/>
          <w:szCs w:val="21"/>
        </w:rPr>
        <w:t>3.以供方发运地的过磅重量或流量计（体积或质量）作为结算标准，需方接收时过磅或流量计（如有）复核，误差率在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ind w:firstLine="420" w:firstLineChars="200"/>
        <w:rPr>
          <w:rFonts w:ascii="宋体" w:hAnsi="宋体"/>
          <w:color w:val="000000"/>
          <w:szCs w:val="21"/>
          <w:u w:val="single"/>
        </w:rPr>
      </w:pPr>
      <w:r>
        <w:rPr>
          <w:rFonts w:hint="eastAsia" w:ascii="宋体" w:hAnsi="宋体"/>
          <w:color w:val="000000"/>
          <w:szCs w:val="21"/>
        </w:rPr>
        <w:t>4.以供方发运地具有资质的第三方检验机构出具的数量证书的数量作为结算标准，需方接收时有权请具有资质的第三方检验机构进行复检，误差率在</w:t>
      </w:r>
      <w:r>
        <w:rPr>
          <w:rFonts w:hint="eastAsia" w:ascii="宋体" w:hAnsi="宋体"/>
          <w:color w:val="000000"/>
          <w:szCs w:val="21"/>
          <w:u w:val="single"/>
        </w:rPr>
        <w:t xml:space="preserve">  /  </w:t>
      </w:r>
      <w:r>
        <w:rPr>
          <w:rFonts w:hint="eastAsia" w:ascii="宋体" w:hAnsi="宋体"/>
          <w:color w:val="000000"/>
          <w:szCs w:val="21"/>
        </w:rPr>
        <w:t>%以内的，由需方承担；误差率超过</w:t>
      </w:r>
      <w:r>
        <w:rPr>
          <w:rFonts w:hint="eastAsia" w:ascii="宋体" w:hAnsi="宋体"/>
          <w:color w:val="000000"/>
          <w:szCs w:val="21"/>
          <w:u w:val="single"/>
        </w:rPr>
        <w:t xml:space="preserve">   /  </w:t>
      </w:r>
      <w:r>
        <w:rPr>
          <w:rFonts w:hint="eastAsia" w:ascii="宋体" w:hAnsi="宋体"/>
          <w:color w:val="000000"/>
          <w:szCs w:val="21"/>
        </w:rPr>
        <w:t>%部分，由供方承担。</w:t>
      </w:r>
    </w:p>
    <w:p>
      <w:pPr>
        <w:spacing w:line="300" w:lineRule="exact"/>
        <w:rPr>
          <w:rFonts w:ascii="宋体" w:hAnsi="宋体"/>
          <w:b/>
          <w:color w:val="000000"/>
          <w:szCs w:val="21"/>
        </w:rPr>
      </w:pPr>
      <w:r>
        <w:rPr>
          <w:rFonts w:hint="eastAsia" w:ascii="宋体" w:hAnsi="宋体"/>
          <w:b/>
          <w:color w:val="000000"/>
          <w:szCs w:val="21"/>
        </w:rPr>
        <w:t>第二条 产品包装标准</w:t>
      </w:r>
    </w:p>
    <w:p>
      <w:pPr>
        <w:spacing w:line="300" w:lineRule="exact"/>
        <w:ind w:firstLine="420" w:firstLineChars="200"/>
        <w:rPr>
          <w:rFonts w:ascii="宋体" w:hAnsi="宋体"/>
          <w:b/>
          <w:color w:val="000000"/>
          <w:szCs w:val="21"/>
        </w:rPr>
      </w:pPr>
      <w:r>
        <w:rPr>
          <w:rFonts w:hint="eastAsia" w:ascii="宋体" w:hAnsi="宋体"/>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ascii="宋体" w:hAnsi="宋体"/>
          <w:b/>
          <w:color w:val="000000"/>
          <w:szCs w:val="21"/>
        </w:rPr>
      </w:pPr>
      <w:r>
        <w:rPr>
          <w:rFonts w:hint="eastAsia" w:ascii="宋体" w:hAnsi="宋体"/>
          <w:b/>
          <w:color w:val="000000"/>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1.供</w:t>
      </w:r>
      <w:r>
        <w:rPr>
          <w:rFonts w:ascii="宋体" w:hAnsi="宋体" w:cs="Arial"/>
          <w:color w:val="000000"/>
          <w:szCs w:val="21"/>
        </w:rPr>
        <w:t>方产品均</w:t>
      </w:r>
      <w:r>
        <w:rPr>
          <w:rFonts w:hint="eastAsia" w:ascii="宋体" w:hAnsi="宋体" w:cs="Arial"/>
          <w:color w:val="000000"/>
          <w:szCs w:val="21"/>
        </w:rPr>
        <w:t>需</w:t>
      </w:r>
      <w:r>
        <w:rPr>
          <w:rFonts w:ascii="宋体" w:hAnsi="宋体" w:cs="Arial"/>
          <w:color w:val="000000"/>
          <w:szCs w:val="21"/>
        </w:rPr>
        <w:t>附质检报告单</w:t>
      </w:r>
      <w:r>
        <w:rPr>
          <w:rFonts w:hint="eastAsia" w:ascii="宋体" w:hAnsi="宋体" w:cs="Arial"/>
          <w:color w:val="000000"/>
          <w:szCs w:val="21"/>
        </w:rPr>
        <w:t>或</w:t>
      </w:r>
      <w:r>
        <w:rPr>
          <w:rFonts w:ascii="宋体" w:hAnsi="宋体" w:cs="Arial"/>
          <w:color w:val="000000"/>
          <w:szCs w:val="21"/>
        </w:rPr>
        <w:t>质量保证书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协议书第三条约定的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ascii="宋体" w:hAnsi="宋体" w:cs="Arial"/>
          <w:color w:val="000000"/>
          <w:szCs w:val="21"/>
        </w:rPr>
      </w:pPr>
      <w:r>
        <w:rPr>
          <w:rFonts w:hint="eastAsia" w:ascii="宋体" w:hAnsi="宋体"/>
          <w:color w:val="000000"/>
          <w:szCs w:val="21"/>
        </w:rPr>
        <w:t>2.如果</w:t>
      </w:r>
      <w:r>
        <w:rPr>
          <w:rFonts w:hint="eastAsia" w:ascii="宋体" w:hAnsi="宋体" w:cs="Arial"/>
          <w:color w:val="000000"/>
          <w:szCs w:val="21"/>
        </w:rPr>
        <w:t>供</w:t>
      </w:r>
      <w:r>
        <w:rPr>
          <w:rFonts w:ascii="宋体" w:hAnsi="宋体" w:cs="Arial"/>
          <w:color w:val="000000"/>
          <w:szCs w:val="21"/>
        </w:rPr>
        <w:t>方知道或者应当知道所出卖产品存在质量缺陷，所承担的质量保证期限不受</w:t>
      </w:r>
      <w:r>
        <w:rPr>
          <w:rFonts w:hint="eastAsia" w:ascii="宋体" w:hAnsi="宋体" w:cs="Arial"/>
          <w:color w:val="000000"/>
          <w:szCs w:val="21"/>
        </w:rPr>
        <w:t>本条第一款</w:t>
      </w:r>
      <w:r>
        <w:rPr>
          <w:rFonts w:ascii="宋体" w:hAnsi="宋体" w:cs="Arial"/>
          <w:color w:val="000000"/>
          <w:szCs w:val="21"/>
        </w:rPr>
        <w:t>质量</w:t>
      </w:r>
      <w:r>
        <w:rPr>
          <w:rFonts w:hint="eastAsia" w:ascii="宋体" w:hAnsi="宋体" w:cs="Arial"/>
          <w:color w:val="000000"/>
          <w:szCs w:val="21"/>
        </w:rPr>
        <w:t>保证</w:t>
      </w:r>
      <w:r>
        <w:rPr>
          <w:rFonts w:ascii="宋体" w:hAnsi="宋体" w:cs="Arial"/>
          <w:color w:val="000000"/>
          <w:szCs w:val="21"/>
        </w:rPr>
        <w:t>期限的约束</w:t>
      </w:r>
      <w:r>
        <w:rPr>
          <w:rFonts w:hint="eastAsia" w:ascii="宋体" w:hAnsi="宋体" w:cs="Arial"/>
          <w:color w:val="000000"/>
          <w:szCs w:val="21"/>
        </w:rPr>
        <w:t>，供方</w:t>
      </w:r>
      <w:r>
        <w:rPr>
          <w:rFonts w:hint="eastAsia" w:ascii="宋体" w:hAnsi="宋体"/>
          <w:color w:val="000000"/>
          <w:szCs w:val="21"/>
        </w:rPr>
        <w:t>应依法承担相应责任。</w:t>
      </w:r>
    </w:p>
    <w:p>
      <w:pPr>
        <w:spacing w:line="300" w:lineRule="exact"/>
        <w:rPr>
          <w:rFonts w:ascii="宋体" w:hAnsi="宋体"/>
          <w:b/>
          <w:color w:val="000000"/>
          <w:szCs w:val="21"/>
        </w:rPr>
      </w:pPr>
      <w:r>
        <w:rPr>
          <w:rFonts w:hint="eastAsia" w:ascii="宋体" w:hAnsi="宋体"/>
          <w:b/>
          <w:color w:val="000000"/>
          <w:szCs w:val="21"/>
        </w:rPr>
        <w:t>第四条 货物所有权、风险的转移</w:t>
      </w:r>
    </w:p>
    <w:p>
      <w:pPr>
        <w:spacing w:line="300" w:lineRule="exact"/>
        <w:ind w:firstLine="420" w:firstLineChars="200"/>
        <w:rPr>
          <w:rFonts w:ascii="宋体" w:hAnsi="宋体"/>
          <w:color w:val="000000"/>
          <w:szCs w:val="21"/>
        </w:rPr>
      </w:pPr>
      <w:r>
        <w:rPr>
          <w:rFonts w:hint="eastAsia" w:ascii="宋体" w:hAnsi="宋体"/>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ascii="宋体" w:hAnsi="宋体"/>
          <w:color w:val="000000"/>
          <w:szCs w:val="21"/>
        </w:rPr>
      </w:pPr>
      <w:r>
        <w:rPr>
          <w:rFonts w:hint="eastAsia" w:ascii="宋体" w:hAnsi="宋体"/>
          <w:b/>
          <w:color w:val="000000"/>
          <w:szCs w:val="21"/>
        </w:rPr>
        <w:t>第五条 运输方式、费用负担、交货地点：</w:t>
      </w:r>
      <w:r>
        <w:rPr>
          <w:rFonts w:hint="eastAsia" w:ascii="宋体" w:hAnsi="宋体"/>
          <w:color w:val="000000"/>
          <w:szCs w:val="21"/>
        </w:rPr>
        <w:t>供方送货或代办托运方式下，双方商定按下列第</w:t>
      </w:r>
      <w:r>
        <w:rPr>
          <w:rFonts w:hint="eastAsia" w:ascii="宋体" w:hAnsi="宋体"/>
          <w:color w:val="000000"/>
          <w:szCs w:val="21"/>
          <w:u w:val="single"/>
        </w:rPr>
        <w:t xml:space="preserve">    2   </w:t>
      </w:r>
      <w:r>
        <w:rPr>
          <w:rFonts w:hint="eastAsia" w:ascii="宋体" w:hAnsi="宋体"/>
          <w:color w:val="000000"/>
          <w:szCs w:val="21"/>
        </w:rPr>
        <w:t>款执行。</w:t>
      </w:r>
    </w:p>
    <w:p>
      <w:pPr>
        <w:spacing w:line="300" w:lineRule="exact"/>
        <w:ind w:firstLine="420" w:firstLineChars="200"/>
        <w:rPr>
          <w:rFonts w:ascii="宋体" w:hAnsi="宋体"/>
          <w:color w:val="000000"/>
          <w:szCs w:val="21"/>
        </w:rPr>
      </w:pPr>
      <w:r>
        <w:rPr>
          <w:rFonts w:hint="eastAsia" w:ascii="宋体" w:hAnsi="宋体"/>
          <w:color w:val="000000"/>
          <w:szCs w:val="21"/>
        </w:rPr>
        <w:t>1.火车运输，供方负责运输及负担运费，运至需方指定的单位或仓库。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2.汽车运输，供方负责运输及负担运费，运至需方指定的单位或仓库。</w:t>
      </w:r>
    </w:p>
    <w:p>
      <w:pPr>
        <w:spacing w:line="300" w:lineRule="exact"/>
        <w:ind w:firstLine="420" w:firstLineChars="200"/>
        <w:rPr>
          <w:rFonts w:ascii="宋体" w:hAnsi="宋体"/>
          <w:color w:val="000000"/>
          <w:szCs w:val="21"/>
        </w:rPr>
      </w:pPr>
      <w:r>
        <w:rPr>
          <w:rFonts w:hint="eastAsia" w:ascii="宋体" w:hAnsi="宋体"/>
          <w:color w:val="000000"/>
          <w:szCs w:val="21"/>
        </w:rPr>
        <w:t>3.车船联运，供方负责运输及负担运费，船运至</w:t>
      </w:r>
      <w:r>
        <w:rPr>
          <w:rFonts w:hint="eastAsia" w:ascii="宋体" w:hAnsi="宋体"/>
          <w:color w:val="000000"/>
          <w:szCs w:val="21"/>
          <w:u w:val="single"/>
        </w:rPr>
        <w:t xml:space="preserve">  /   </w:t>
      </w:r>
      <w:r>
        <w:rPr>
          <w:rFonts w:hint="eastAsia" w:ascii="宋体" w:hAnsi="宋体"/>
          <w:color w:val="000000"/>
          <w:szCs w:val="21"/>
        </w:rPr>
        <w:t xml:space="preserve">，再以汽车运输方式运至需方指定的单位或仓库。         </w:t>
      </w:r>
    </w:p>
    <w:p>
      <w:pPr>
        <w:spacing w:line="300" w:lineRule="exact"/>
        <w:rPr>
          <w:rFonts w:ascii="宋体" w:hAnsi="宋体"/>
          <w:b/>
          <w:color w:val="000000"/>
          <w:szCs w:val="21"/>
        </w:rPr>
      </w:pPr>
      <w:r>
        <w:rPr>
          <w:rFonts w:hint="eastAsia" w:ascii="宋体" w:hAnsi="宋体"/>
          <w:b/>
          <w:color w:val="000000"/>
          <w:szCs w:val="21"/>
        </w:rPr>
        <w:t>第六条 质量</w:t>
      </w:r>
      <w:r>
        <w:rPr>
          <w:rFonts w:hint="eastAsia" w:ascii="宋体" w:hAnsi="宋体" w:cs="宋体"/>
          <w:b/>
          <w:color w:val="000000"/>
          <w:kern w:val="0"/>
          <w:szCs w:val="21"/>
        </w:rPr>
        <w:t>验收标准、方法及提出异议的期限</w:t>
      </w:r>
    </w:p>
    <w:p>
      <w:pPr>
        <w:spacing w:line="300" w:lineRule="exact"/>
        <w:ind w:firstLine="420" w:firstLineChars="200"/>
        <w:rPr>
          <w:rFonts w:ascii="宋体" w:hAnsi="宋体"/>
          <w:color w:val="000000"/>
          <w:szCs w:val="21"/>
        </w:rPr>
      </w:pPr>
      <w:r>
        <w:rPr>
          <w:rFonts w:hint="eastAsia" w:ascii="宋体" w:hAnsi="宋体"/>
          <w:color w:val="000000"/>
          <w:szCs w:val="21"/>
        </w:rPr>
        <w:t>1.检验标准：按本合同产品质量要求及技术标准</w:t>
      </w:r>
      <w:r>
        <w:rPr>
          <w:rFonts w:ascii="宋体" w:hAnsi="宋体" w:cs="Arial"/>
          <w:color w:val="000000"/>
          <w:szCs w:val="21"/>
        </w:rPr>
        <w:t>规定的</w:t>
      </w:r>
      <w:r>
        <w:rPr>
          <w:rFonts w:hint="eastAsia" w:ascii="宋体" w:hAnsi="宋体"/>
          <w:color w:val="000000"/>
          <w:szCs w:val="21"/>
        </w:rPr>
        <w:t>质量标准进行检验。货物交付时，供方与需方共同提取货物样品</w:t>
      </w:r>
      <w:r>
        <w:rPr>
          <w:rFonts w:hint="eastAsia" w:ascii="宋体" w:hAnsi="宋体"/>
          <w:color w:val="000000"/>
          <w:szCs w:val="21"/>
          <w:u w:val="single"/>
        </w:rPr>
        <w:t xml:space="preserve">   1  </w:t>
      </w:r>
      <w:r>
        <w:rPr>
          <w:rFonts w:hint="eastAsia" w:ascii="宋体" w:hAnsi="宋体"/>
          <w:color w:val="000000"/>
          <w:szCs w:val="21"/>
        </w:rPr>
        <w:t>件并进行封存，以备检验，如供方不参与取样，视同默认需方的取样。封样应作为双方发生质量争议时裁决的依据，封样保留时间为</w:t>
      </w:r>
      <w:r>
        <w:rPr>
          <w:rFonts w:hint="eastAsia" w:ascii="宋体" w:hAnsi="宋体"/>
          <w:color w:val="000000"/>
          <w:szCs w:val="21"/>
          <w:u w:val="single"/>
        </w:rPr>
        <w:t xml:space="preserve">   30 </w:t>
      </w:r>
      <w:r>
        <w:rPr>
          <w:rFonts w:hint="eastAsia" w:ascii="宋体" w:hAnsi="宋体"/>
          <w:color w:val="000000"/>
          <w:szCs w:val="21"/>
        </w:rPr>
        <w:t>天。</w:t>
      </w:r>
    </w:p>
    <w:p>
      <w:pPr>
        <w:spacing w:line="300" w:lineRule="exact"/>
        <w:ind w:firstLine="420" w:firstLineChars="200"/>
        <w:rPr>
          <w:rFonts w:ascii="宋体" w:hAnsi="宋体"/>
          <w:color w:val="000000"/>
          <w:szCs w:val="21"/>
        </w:rPr>
      </w:pPr>
      <w:r>
        <w:rPr>
          <w:rFonts w:hint="eastAsia" w:ascii="宋体" w:hAnsi="宋体"/>
          <w:color w:val="000000"/>
          <w:szCs w:val="21"/>
        </w:rPr>
        <w:t>2.需方在接收供方货物后，如发现与合同约定质量不符，在</w:t>
      </w:r>
      <w:r>
        <w:rPr>
          <w:rFonts w:hint="eastAsia" w:ascii="宋体" w:hAnsi="宋体"/>
          <w:color w:val="000000"/>
          <w:szCs w:val="21"/>
          <w:u w:val="single"/>
        </w:rPr>
        <w:t xml:space="preserve">  10  </w:t>
      </w:r>
      <w:r>
        <w:rPr>
          <w:rFonts w:hint="eastAsia" w:ascii="宋体" w:hAnsi="宋体"/>
          <w:color w:val="000000"/>
          <w:szCs w:val="21"/>
        </w:rPr>
        <w:t>天内向供方提出异议。</w:t>
      </w:r>
    </w:p>
    <w:p>
      <w:pPr>
        <w:spacing w:line="300" w:lineRule="exact"/>
        <w:ind w:firstLine="420" w:firstLineChars="200"/>
        <w:rPr>
          <w:rFonts w:ascii="宋体" w:hAnsi="宋体"/>
          <w:color w:val="000000"/>
          <w:szCs w:val="21"/>
        </w:rPr>
      </w:pPr>
      <w:r>
        <w:rPr>
          <w:rFonts w:hint="eastAsia" w:ascii="宋体" w:hAnsi="宋体"/>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Cs w:val="21"/>
          <w:u w:val="single"/>
        </w:rPr>
        <w:t xml:space="preserve">  3   </w:t>
      </w:r>
      <w:r>
        <w:rPr>
          <w:rFonts w:hint="eastAsia" w:ascii="宋体" w:hAnsi="宋体"/>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ascii="宋体" w:hAnsi="宋体"/>
          <w:b/>
          <w:color w:val="000000"/>
          <w:szCs w:val="21"/>
        </w:rPr>
      </w:pPr>
      <w:r>
        <w:rPr>
          <w:rFonts w:hint="eastAsia" w:ascii="宋体" w:hAnsi="宋体"/>
          <w:b/>
          <w:color w:val="000000"/>
          <w:szCs w:val="21"/>
        </w:rPr>
        <w:t>第七条  保密条款</w:t>
      </w:r>
    </w:p>
    <w:p>
      <w:pPr>
        <w:spacing w:line="300" w:lineRule="exact"/>
        <w:ind w:firstLine="420" w:firstLineChars="200"/>
        <w:rPr>
          <w:rFonts w:ascii="宋体" w:hAnsi="宋体"/>
          <w:color w:val="000000"/>
          <w:szCs w:val="21"/>
        </w:rPr>
      </w:pPr>
      <w:r>
        <w:rPr>
          <w:rFonts w:hint="eastAsia" w:ascii="宋体" w:hAnsi="宋体"/>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ascii="宋体" w:hAnsi="宋体"/>
          <w:b/>
          <w:color w:val="000000"/>
          <w:szCs w:val="21"/>
        </w:rPr>
      </w:pPr>
      <w:r>
        <w:rPr>
          <w:rFonts w:hint="eastAsia" w:ascii="宋体" w:hAnsi="宋体"/>
          <w:b/>
          <w:color w:val="000000"/>
          <w:szCs w:val="21"/>
        </w:rPr>
        <w:t>第八条  健康、安全和环境保护及现场HSE要求</w:t>
      </w:r>
      <w:r>
        <w:rPr>
          <w:rFonts w:ascii="宋体" w:hAnsi="宋体"/>
          <w:b/>
          <w:color w:val="000000"/>
          <w:szCs w:val="21"/>
        </w:rPr>
        <w:tab/>
      </w:r>
    </w:p>
    <w:p>
      <w:pPr>
        <w:spacing w:line="300" w:lineRule="exact"/>
        <w:ind w:firstLine="420" w:firstLineChars="200"/>
        <w:rPr>
          <w:rFonts w:ascii="宋体" w:hAnsi="宋体"/>
          <w:color w:val="000000"/>
          <w:szCs w:val="21"/>
        </w:rPr>
      </w:pPr>
      <w:r>
        <w:rPr>
          <w:rFonts w:hint="eastAsia" w:ascii="宋体" w:hAnsi="宋体"/>
          <w:color w:val="000000"/>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ascii="宋体" w:hAnsi="宋体"/>
          <w:color w:val="000000"/>
          <w:szCs w:val="21"/>
        </w:rPr>
      </w:pPr>
      <w:r>
        <w:rPr>
          <w:rFonts w:hint="eastAsia" w:ascii="宋体" w:hAnsi="宋体"/>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ascii="宋体" w:hAnsi="宋体"/>
          <w:color w:val="000000"/>
          <w:szCs w:val="21"/>
        </w:rPr>
      </w:pPr>
      <w:r>
        <w:rPr>
          <w:rFonts w:hint="eastAsia" w:ascii="宋体" w:hAnsi="宋体"/>
          <w:color w:val="000000"/>
          <w:szCs w:val="21"/>
        </w:rPr>
        <w:t>3.供方销售的货物</w:t>
      </w:r>
      <w:r>
        <w:rPr>
          <w:rFonts w:hint="eastAsia" w:ascii="宋体" w:hAnsi="宋体"/>
          <w:color w:val="000000"/>
          <w:szCs w:val="21"/>
          <w:u w:val="single"/>
        </w:rPr>
        <w:t xml:space="preserve">   需    </w:t>
      </w:r>
      <w:r>
        <w:rPr>
          <w:rFonts w:hint="eastAsia" w:ascii="宋体" w:hAnsi="宋体"/>
          <w:color w:val="000000"/>
          <w:szCs w:val="21"/>
        </w:rPr>
        <w:t>（ 填：需或不需）附产品安全环境技术说明书。</w:t>
      </w:r>
    </w:p>
    <w:p>
      <w:pPr>
        <w:spacing w:line="300" w:lineRule="exact"/>
        <w:rPr>
          <w:rFonts w:ascii="宋体" w:hAnsi="宋体"/>
          <w:b/>
          <w:color w:val="000000"/>
          <w:szCs w:val="21"/>
        </w:rPr>
      </w:pPr>
      <w:r>
        <w:rPr>
          <w:rFonts w:hint="eastAsia" w:ascii="宋体" w:hAnsi="宋体"/>
          <w:b/>
          <w:color w:val="000000"/>
          <w:szCs w:val="21"/>
        </w:rPr>
        <w:t>第九条  不可抗力</w:t>
      </w:r>
    </w:p>
    <w:p>
      <w:pPr>
        <w:spacing w:line="300" w:lineRule="exact"/>
        <w:ind w:firstLine="420" w:firstLineChars="200"/>
        <w:rPr>
          <w:rFonts w:ascii="宋体" w:hAnsi="宋体" w:cs="Arial"/>
          <w:color w:val="000000"/>
          <w:szCs w:val="21"/>
        </w:rPr>
      </w:pPr>
      <w:r>
        <w:rPr>
          <w:rFonts w:hint="eastAsia" w:ascii="宋体" w:hAnsi="宋体" w:cs="Arial"/>
          <w:color w:val="000000"/>
          <w:kern w:val="0"/>
          <w:szCs w:val="21"/>
        </w:rPr>
        <w:t>1.</w:t>
      </w:r>
      <w:r>
        <w:rPr>
          <w:rFonts w:hint="eastAsia" w:ascii="宋体" w:hAnsi="宋体" w:cs="Arial"/>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ascii="宋体" w:hAnsi="宋体" w:cs="Arial"/>
          <w:color w:val="000000"/>
          <w:szCs w:val="21"/>
        </w:rPr>
      </w:pPr>
      <w:r>
        <w:rPr>
          <w:rFonts w:hint="eastAsia" w:ascii="宋体" w:hAnsi="宋体" w:cs="Arial"/>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ascii="宋体" w:hAnsi="宋体"/>
          <w:b/>
          <w:color w:val="000000"/>
          <w:szCs w:val="21"/>
        </w:rPr>
      </w:pPr>
      <w:r>
        <w:rPr>
          <w:rFonts w:hint="eastAsia" w:ascii="宋体" w:hAnsi="宋体"/>
          <w:b/>
          <w:color w:val="000000"/>
          <w:szCs w:val="21"/>
        </w:rPr>
        <w:t xml:space="preserve">第十条 合同变更与解除： </w:t>
      </w:r>
    </w:p>
    <w:p>
      <w:pPr>
        <w:spacing w:line="300" w:lineRule="exact"/>
        <w:ind w:firstLine="420" w:firstLineChars="200"/>
        <w:rPr>
          <w:rFonts w:ascii="宋体" w:hAnsi="宋体"/>
          <w:color w:val="000000"/>
          <w:szCs w:val="21"/>
        </w:rPr>
      </w:pPr>
      <w:r>
        <w:rPr>
          <w:rFonts w:hint="eastAsia" w:ascii="宋体" w:hAnsi="宋体"/>
          <w:color w:val="000000"/>
          <w:szCs w:val="21"/>
        </w:rPr>
        <w:t>除本合同另有约定或法律规定外，非经双方协商一致，任何一方均不得擅自变更或解除合同。</w:t>
      </w:r>
      <w:r>
        <w:rPr>
          <w:rFonts w:hint="eastAsia" w:ascii="宋体" w:hAnsi="宋体"/>
          <w:bCs/>
          <w:color w:val="000000"/>
          <w:szCs w:val="21"/>
        </w:rPr>
        <w:t>合同变更或解除须采取书面形式。</w:t>
      </w:r>
    </w:p>
    <w:p>
      <w:pPr>
        <w:spacing w:line="300" w:lineRule="exact"/>
        <w:rPr>
          <w:rFonts w:ascii="宋体" w:hAnsi="宋体"/>
          <w:b/>
          <w:color w:val="000000"/>
          <w:szCs w:val="21"/>
        </w:rPr>
      </w:pPr>
      <w:r>
        <w:rPr>
          <w:rFonts w:hint="eastAsia" w:ascii="宋体" w:hAnsi="宋体"/>
          <w:b/>
          <w:color w:val="000000"/>
          <w:szCs w:val="21"/>
        </w:rPr>
        <w:t>第十一条 违约责任</w:t>
      </w:r>
    </w:p>
    <w:p>
      <w:pPr>
        <w:spacing w:line="300" w:lineRule="exact"/>
        <w:ind w:firstLine="420" w:firstLineChars="200"/>
        <w:rPr>
          <w:rFonts w:ascii="宋体" w:hAnsi="宋体"/>
          <w:color w:val="000000"/>
          <w:szCs w:val="21"/>
        </w:rPr>
      </w:pPr>
      <w:r>
        <w:rPr>
          <w:rFonts w:hint="eastAsia" w:ascii="宋体" w:hAnsi="宋体"/>
          <w:color w:val="000000"/>
          <w:szCs w:val="21"/>
        </w:rPr>
        <w:t>1.供方未按期如数交付符合合同约定质量的货物，每逾期</w:t>
      </w:r>
      <w:r>
        <w:rPr>
          <w:rFonts w:hint="eastAsia" w:ascii="宋体" w:hAnsi="宋体"/>
          <w:color w:val="000000"/>
          <w:szCs w:val="21"/>
          <w:u w:val="single"/>
        </w:rPr>
        <w:t xml:space="preserve"> 壹  </w:t>
      </w:r>
      <w:r>
        <w:rPr>
          <w:rFonts w:hint="eastAsia" w:ascii="宋体" w:hAnsi="宋体"/>
          <w:color w:val="000000"/>
          <w:szCs w:val="21"/>
        </w:rPr>
        <w:t>日，应向需方支付延迟交付货物货款金额</w:t>
      </w:r>
      <w:r>
        <w:rPr>
          <w:rFonts w:hint="eastAsia" w:ascii="宋体" w:hAnsi="宋体"/>
          <w:color w:val="000000"/>
          <w:szCs w:val="21"/>
          <w:u w:val="single"/>
        </w:rPr>
        <w:t xml:space="preserve"> 0.1     </w:t>
      </w:r>
      <w:r>
        <w:rPr>
          <w:rFonts w:hint="eastAsia" w:ascii="宋体" w:hAnsi="宋体"/>
          <w:color w:val="000000"/>
          <w:szCs w:val="21"/>
        </w:rPr>
        <w:t>％的违约金；如供方逾期交货超过</w:t>
      </w:r>
      <w:r>
        <w:rPr>
          <w:rFonts w:hint="eastAsia" w:ascii="宋体" w:hAnsi="宋体"/>
          <w:color w:val="000000"/>
          <w:szCs w:val="21"/>
          <w:u w:val="single"/>
        </w:rPr>
        <w:t xml:space="preserve">  叁    </w:t>
      </w:r>
      <w:r>
        <w:rPr>
          <w:rFonts w:hint="eastAsia" w:ascii="宋体" w:hAnsi="宋体"/>
          <w:color w:val="000000"/>
          <w:szCs w:val="21"/>
        </w:rPr>
        <w:t>日的或供方逾期交货次数累计超过</w:t>
      </w:r>
      <w:r>
        <w:rPr>
          <w:rFonts w:hint="eastAsia" w:ascii="宋体" w:hAnsi="宋体"/>
          <w:color w:val="000000"/>
          <w:szCs w:val="21"/>
          <w:u w:val="single"/>
        </w:rPr>
        <w:t xml:space="preserve"> 叁   </w:t>
      </w:r>
      <w:r>
        <w:rPr>
          <w:rFonts w:hint="eastAsia" w:ascii="宋体" w:hAnsi="宋体"/>
          <w:color w:val="000000"/>
          <w:szCs w:val="21"/>
        </w:rPr>
        <w:t>笔订单，除应向需方支付违约金外，需方还有权解除逾期交货的单笔订单及该份合同，并要求供方赔偿因逾期交货而造成的损失。</w:t>
      </w:r>
    </w:p>
    <w:p>
      <w:pPr>
        <w:spacing w:line="300" w:lineRule="exact"/>
        <w:ind w:firstLine="420" w:firstLineChars="200"/>
        <w:rPr>
          <w:rFonts w:ascii="宋体" w:hAnsi="宋体"/>
          <w:color w:val="000000"/>
          <w:szCs w:val="21"/>
        </w:rPr>
      </w:pPr>
      <w:r>
        <w:rPr>
          <w:rFonts w:hint="eastAsia" w:ascii="宋体" w:hAnsi="宋体"/>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Cs w:val="21"/>
          <w:u w:val="single"/>
        </w:rPr>
        <w:t xml:space="preserve">  贰   </w:t>
      </w:r>
      <w:r>
        <w:rPr>
          <w:rFonts w:hint="eastAsia" w:ascii="宋体" w:hAnsi="宋体"/>
          <w:color w:val="000000"/>
          <w:szCs w:val="21"/>
        </w:rPr>
        <w:t>笔订单，需方有权解除合同。</w:t>
      </w:r>
    </w:p>
    <w:p>
      <w:pPr>
        <w:spacing w:line="300" w:lineRule="exact"/>
        <w:ind w:firstLine="420" w:firstLineChars="200"/>
        <w:rPr>
          <w:rFonts w:ascii="宋体" w:hAnsi="宋体"/>
          <w:color w:val="000000"/>
          <w:szCs w:val="21"/>
        </w:rPr>
      </w:pPr>
      <w:r>
        <w:rPr>
          <w:rFonts w:hint="eastAsia" w:ascii="宋体" w:hAnsi="宋体"/>
          <w:color w:val="000000"/>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ind w:firstLine="420" w:firstLineChars="200"/>
        <w:rPr>
          <w:rFonts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ascii="宋体" w:hAnsi="宋体"/>
          <w:b/>
          <w:color w:val="000000"/>
          <w:szCs w:val="21"/>
        </w:rPr>
      </w:pPr>
      <w:r>
        <w:rPr>
          <w:rFonts w:hint="eastAsia" w:ascii="宋体" w:hAnsi="宋体"/>
          <w:b/>
          <w:color w:val="000000"/>
          <w:szCs w:val="21"/>
        </w:rPr>
        <w:t>第十三条 廉政条款</w:t>
      </w:r>
    </w:p>
    <w:p>
      <w:pPr>
        <w:ind w:firstLine="420" w:firstLineChars="200"/>
        <w:rPr>
          <w:rFonts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ind w:firstLine="420" w:firstLineChars="200"/>
        <w:rPr>
          <w:rFonts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 0.1 ]%，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w:t>
      </w:r>
    </w:p>
    <w:p>
      <w:pPr>
        <w:spacing w:line="300" w:lineRule="exact"/>
        <w:ind w:firstLine="420" w:firstLineChars="200"/>
        <w:rPr>
          <w:rFonts w:ascii="宋体" w:hAnsi="宋体"/>
          <w:color w:val="000000"/>
          <w:szCs w:val="21"/>
        </w:rPr>
      </w:pPr>
      <w:r>
        <w:rPr>
          <w:rFonts w:hint="eastAsia" w:ascii="宋体" w:hAnsi="宋体"/>
          <w:color w:val="000000"/>
          <w:szCs w:val="21"/>
        </w:rPr>
        <w:t>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color w:val="000000"/>
          <w:szCs w:val="21"/>
        </w:rPr>
      </w:pPr>
      <w:r>
        <w:rPr>
          <w:rFonts w:hint="eastAsia" w:ascii="宋体" w:hAnsi="宋体"/>
          <w:color w:val="000000"/>
          <w:szCs w:val="21"/>
        </w:rPr>
        <w:t>5.其他</w:t>
      </w:r>
      <w:r>
        <w:rPr>
          <w:rFonts w:hint="eastAsia"/>
          <w:color w:val="000000"/>
          <w:szCs w:val="21"/>
        </w:rPr>
        <w:t xml:space="preserve">约定事项： </w:t>
      </w:r>
    </w:p>
    <w:p>
      <w:pPr>
        <w:ind w:firstLine="600" w:firstLineChars="250"/>
        <w:rPr>
          <w:rFonts w:ascii="宋体" w:hAnsi="宋体"/>
          <w:color w:val="000000"/>
          <w:sz w:val="24"/>
        </w:rPr>
      </w:pPr>
      <w:r>
        <w:rPr>
          <w:rFonts w:hint="eastAsia" w:ascii="宋体" w:hAnsi="宋体"/>
          <w:color w:val="000000"/>
          <w:sz w:val="24"/>
        </w:rPr>
        <w:t>（1）为规范供需双方业务交流，双方约定通过以下指定邮箱进行业务联系</w:t>
      </w:r>
    </w:p>
    <w:p>
      <w:pPr>
        <w:ind w:firstLine="720" w:firstLineChars="300"/>
        <w:rPr>
          <w:rFonts w:ascii="宋体" w:hAnsi="宋体"/>
          <w:color w:val="000000"/>
          <w:sz w:val="24"/>
        </w:rPr>
      </w:pPr>
      <w:r>
        <w:rPr>
          <w:rFonts w:hint="eastAsia" w:ascii="宋体" w:hAnsi="宋体"/>
          <w:color w:val="000000"/>
          <w:sz w:val="24"/>
        </w:rPr>
        <w:t xml:space="preserve">供方：                      需方：wzcgb@fjpec.com.cn </w:t>
      </w:r>
    </w:p>
    <w:p>
      <w:pPr>
        <w:snapToGrid w:val="0"/>
        <w:ind w:firstLine="600" w:firstLineChars="250"/>
        <w:rPr>
          <w:rFonts w:ascii="宋体" w:hAnsi="宋体"/>
          <w:color w:val="000000"/>
          <w:sz w:val="24"/>
        </w:rPr>
      </w:pPr>
      <w:r>
        <w:rPr>
          <w:rFonts w:hint="eastAsia" w:ascii="宋体" w:hAnsi="宋体"/>
          <w:color w:val="000000"/>
          <w:sz w:val="24"/>
        </w:rPr>
        <w:t>（2）含税单价含13%增值税，含送到工厂运费，一票结算。</w:t>
      </w:r>
    </w:p>
    <w:p>
      <w:pPr>
        <w:snapToGrid w:val="0"/>
        <w:ind w:firstLine="600" w:firstLineChars="250"/>
        <w:rPr>
          <w:rFonts w:ascii="宋体" w:hAnsi="宋体"/>
          <w:color w:val="000000"/>
          <w:sz w:val="24"/>
        </w:rPr>
      </w:pPr>
      <w:r>
        <w:rPr>
          <w:rFonts w:hint="eastAsia" w:ascii="宋体" w:hAnsi="宋体"/>
          <w:color w:val="000000"/>
          <w:sz w:val="24"/>
        </w:rPr>
        <w:t>（3）指标要求。</w:t>
      </w:r>
    </w:p>
    <w:p>
      <w:pPr>
        <w:snapToGrid w:val="0"/>
        <w:ind w:firstLine="600" w:firstLineChars="250"/>
        <w:rPr>
          <w:rFonts w:ascii="宋体" w:hAnsi="宋体"/>
          <w:color w:val="000000"/>
          <w:sz w:val="24"/>
        </w:rPr>
      </w:pPr>
    </w:p>
    <w:p>
      <w:pPr>
        <w:snapToGrid w:val="0"/>
        <w:ind w:firstLine="600" w:firstLineChars="250"/>
        <w:rPr>
          <w:rFonts w:hint="eastAsia" w:ascii="宋体" w:hAnsi="宋体" w:eastAsia="宋体"/>
          <w:color w:val="000000"/>
          <w:sz w:val="24"/>
          <w:lang w:eastAsia="zh-CN"/>
        </w:rPr>
      </w:pPr>
    </w:p>
    <w:p>
      <w:pPr>
        <w:snapToGrid w:val="0"/>
        <w:ind w:firstLine="600" w:firstLineChars="250"/>
        <w:rPr>
          <w:rFonts w:hint="default" w:ascii="宋体" w:hAnsi="宋体" w:eastAsia="宋体"/>
          <w:color w:val="000000"/>
          <w:sz w:val="24"/>
          <w:lang w:val="en-US" w:eastAsia="zh-CN"/>
        </w:rPr>
      </w:pPr>
      <w:r>
        <w:rPr>
          <w:rFonts w:hint="eastAsia" w:ascii="宋体" w:hAnsi="宋体"/>
          <w:color w:val="000000"/>
          <w:sz w:val="24"/>
          <w:lang w:val="en-US" w:eastAsia="zh-CN"/>
        </w:rPr>
        <w:t>附件：</w:t>
      </w:r>
      <w:bookmarkStart w:id="2" w:name="_GoBack"/>
      <w:bookmarkEnd w:id="2"/>
    </w:p>
    <w:p>
      <w:pPr>
        <w:snapToGrid w:val="0"/>
        <w:ind w:firstLine="600" w:firstLineChars="250"/>
        <w:rPr>
          <w:rFonts w:hint="eastAsia" w:ascii="宋体" w:hAnsi="宋体" w:eastAsia="宋体"/>
          <w:color w:val="000000"/>
          <w:sz w:val="24"/>
          <w:lang w:eastAsia="zh-CN"/>
        </w:rPr>
      </w:pPr>
      <w:r>
        <w:rPr>
          <w:rFonts w:hint="eastAsia" w:ascii="宋体" w:hAnsi="宋体" w:eastAsia="宋体"/>
          <w:color w:val="000000"/>
          <w:sz w:val="24"/>
          <w:lang w:eastAsia="zh-CN"/>
        </w:rPr>
        <w:drawing>
          <wp:inline distT="0" distB="0" distL="114300" distR="114300">
            <wp:extent cx="5273675" cy="2566670"/>
            <wp:effectExtent l="0" t="0" r="3175" b="5080"/>
            <wp:docPr id="2" name="图片 2" descr="石灰石粉采购指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石灰石粉采购指标"/>
                    <pic:cNvPicPr>
                      <a:picLocks noChangeAspect="1"/>
                    </pic:cNvPicPr>
                  </pic:nvPicPr>
                  <pic:blipFill>
                    <a:blip r:embed="rId5"/>
                    <a:stretch>
                      <a:fillRect/>
                    </a:stretch>
                  </pic:blipFill>
                  <pic:spPr>
                    <a:xfrm>
                      <a:off x="0" y="0"/>
                      <a:ext cx="5273675" cy="2566670"/>
                    </a:xfrm>
                    <a:prstGeom prst="rect">
                      <a:avLst/>
                    </a:prstGeom>
                  </pic:spPr>
                </pic:pic>
              </a:graphicData>
            </a:graphic>
          </wp:inline>
        </w:drawing>
      </w:r>
    </w:p>
    <w:p>
      <w:pPr>
        <w:snapToGrid w:val="0"/>
        <w:ind w:firstLine="600" w:firstLineChars="250"/>
        <w:rPr>
          <w:rFonts w:ascii="宋体" w:hAnsi="宋体"/>
          <w:color w:val="000000"/>
          <w:sz w:val="24"/>
        </w:rPr>
      </w:pPr>
    </w:p>
    <w:p>
      <w:pPr>
        <w:snapToGrid w:val="0"/>
        <w:ind w:firstLine="600" w:firstLineChars="250"/>
        <w:rPr>
          <w:rFonts w:ascii="宋体" w:hAnsi="宋体"/>
          <w:color w:val="000000"/>
          <w:sz w:val="24"/>
        </w:rPr>
      </w:pPr>
    </w:p>
    <w:p>
      <w:pPr>
        <w:snapToGrid w:val="0"/>
        <w:ind w:firstLine="600" w:firstLineChars="250"/>
        <w:rPr>
          <w:rFonts w:ascii="宋体" w:hAnsi="宋体"/>
          <w:color w:val="000000"/>
          <w:sz w:val="24"/>
        </w:rPr>
      </w:pPr>
    </w:p>
    <w:p>
      <w:pPr>
        <w:spacing w:line="280" w:lineRule="exact"/>
        <w:ind w:firstLine="480" w:firstLineChars="200"/>
        <w:jc w:val="center"/>
        <w:rPr>
          <w:rFonts w:ascii="宋体" w:hAnsi="宋体" w:cs="Arial"/>
          <w:sz w:val="24"/>
        </w:rPr>
      </w:pPr>
      <w:r>
        <w:rPr>
          <w:rFonts w:hint="eastAsia"/>
          <w:color w:val="000000"/>
          <w:sz w:val="24"/>
        </w:rPr>
        <w:t>指标要求</w:t>
      </w:r>
    </w:p>
    <w:tbl>
      <w:tblPr>
        <w:tblStyle w:val="7"/>
        <w:tblpPr w:leftFromText="180" w:rightFromText="180" w:vertAnchor="text" w:horzAnchor="page" w:tblpX="1312" w:tblpY="5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0"/>
        <w:gridCol w:w="135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jc w:val="center"/>
            </w:pPr>
            <w:r>
              <w:rPr>
                <w:rFonts w:hint="eastAsia"/>
              </w:rPr>
              <w:t>项目</w:t>
            </w:r>
          </w:p>
        </w:tc>
        <w:tc>
          <w:tcPr>
            <w:tcW w:w="1350" w:type="dxa"/>
            <w:vAlign w:val="center"/>
          </w:tcPr>
          <w:p>
            <w:pPr>
              <w:jc w:val="center"/>
            </w:pPr>
            <w:r>
              <w:rPr>
                <w:rFonts w:hint="eastAsia"/>
              </w:rPr>
              <w:t>指标</w:t>
            </w:r>
          </w:p>
        </w:tc>
        <w:tc>
          <w:tcPr>
            <w:tcW w:w="579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2140" w:type="dxa"/>
            <w:vAlign w:val="center"/>
          </w:tcPr>
          <w:p>
            <w:pPr>
              <w:jc w:val="center"/>
            </w:pPr>
            <w:r>
              <w:rPr>
                <w:rFonts w:hint="eastAsia"/>
              </w:rPr>
              <w:t>CaCO3含量</w:t>
            </w:r>
          </w:p>
        </w:tc>
        <w:tc>
          <w:tcPr>
            <w:tcW w:w="1350" w:type="dxa"/>
            <w:vAlign w:val="center"/>
          </w:tcPr>
          <w:p>
            <w:pPr>
              <w:jc w:val="center"/>
            </w:pPr>
            <w:r>
              <w:rPr>
                <w:rFonts w:hint="eastAsia"/>
              </w:rPr>
              <w:t>≥90.0%</w:t>
            </w:r>
          </w:p>
        </w:tc>
        <w:tc>
          <w:tcPr>
            <w:tcW w:w="5790" w:type="dxa"/>
            <w:vAlign w:val="center"/>
          </w:tcPr>
          <w:p>
            <w:pPr>
              <w:jc w:val="center"/>
            </w:pPr>
            <w:r>
              <w:rPr>
                <w:rFonts w:hint="eastAsia"/>
              </w:rPr>
              <w:t>让步接收条款：1、若检测结果＜90%且≥88%，按公式扣重：扣重数量=（90%-检测值）*当批次数量;2、若检测结果＜88%，按公式扣重=（2%+2*（88%-检测值）*当批次数量）3、若检测结果＜85%，需方有权拒收，若已卸货，按没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jc w:val="center"/>
            </w:pPr>
            <w:r>
              <w:rPr>
                <w:rFonts w:hint="eastAsia"/>
              </w:rPr>
              <w:t>颗粒度（mm）                                                                               ＜0.044mm（325目）</w:t>
            </w:r>
          </w:p>
        </w:tc>
        <w:tc>
          <w:tcPr>
            <w:tcW w:w="1350" w:type="dxa"/>
            <w:vAlign w:val="center"/>
          </w:tcPr>
          <w:p>
            <w:pPr>
              <w:jc w:val="center"/>
            </w:pPr>
            <w:r>
              <w:rPr>
                <w:rFonts w:hint="eastAsia"/>
              </w:rPr>
              <w:t>≥90%</w:t>
            </w:r>
          </w:p>
        </w:tc>
        <w:tc>
          <w:tcPr>
            <w:tcW w:w="5790" w:type="dxa"/>
            <w:vAlign w:val="center"/>
          </w:tcPr>
          <w:p>
            <w:pPr>
              <w:jc w:val="center"/>
            </w:pPr>
            <w:r>
              <w:rPr>
                <w:rFonts w:hint="eastAsia"/>
              </w:rPr>
              <w:t>若＜90%，拒收退货，若已卸货，按没收处理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jc w:val="center"/>
            </w:pPr>
            <w:r>
              <w:rPr>
                <w:rFonts w:hint="eastAsia"/>
              </w:rPr>
              <w:t>含水（105-110℃）</w:t>
            </w:r>
          </w:p>
        </w:tc>
        <w:tc>
          <w:tcPr>
            <w:tcW w:w="1350" w:type="dxa"/>
            <w:vAlign w:val="center"/>
          </w:tcPr>
          <w:p>
            <w:pPr>
              <w:jc w:val="center"/>
            </w:pPr>
            <w:r>
              <w:rPr>
                <w:rFonts w:hint="eastAsia"/>
              </w:rPr>
              <w:t>≤1%</w:t>
            </w:r>
          </w:p>
        </w:tc>
        <w:tc>
          <w:tcPr>
            <w:tcW w:w="5790" w:type="dxa"/>
            <w:vAlign w:val="center"/>
          </w:tcPr>
          <w:p>
            <w:pPr>
              <w:jc w:val="center"/>
            </w:pPr>
            <w:r>
              <w:rPr>
                <w:rFonts w:hint="eastAsia"/>
              </w:rPr>
              <w:t>大于1%时，拒收退货，若已卸货，按没收处理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jc w:val="center"/>
            </w:pPr>
            <w:r>
              <w:rPr>
                <w:rFonts w:hint="eastAsia"/>
              </w:rPr>
              <w:t>MgCO3含量</w:t>
            </w:r>
          </w:p>
        </w:tc>
        <w:tc>
          <w:tcPr>
            <w:tcW w:w="1350" w:type="dxa"/>
            <w:vAlign w:val="center"/>
          </w:tcPr>
          <w:p>
            <w:pPr>
              <w:jc w:val="center"/>
            </w:pPr>
            <w:r>
              <w:rPr>
                <w:rFonts w:hint="eastAsia"/>
              </w:rPr>
              <w:t>≤2.16%</w:t>
            </w:r>
          </w:p>
        </w:tc>
        <w:tc>
          <w:tcPr>
            <w:tcW w:w="5790" w:type="dxa"/>
            <w:vAlign w:val="center"/>
          </w:tcPr>
          <w:p>
            <w:pPr>
              <w:jc w:val="center"/>
            </w:pPr>
            <w:r>
              <w:rPr>
                <w:rFonts w:hint="eastAsia"/>
              </w:rPr>
              <w:t>若检测结果＞2.16%，拒收退货。若已卸货，按没收处理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jc w:val="center"/>
            </w:pPr>
            <w:r>
              <w:rPr>
                <w:rFonts w:hint="eastAsia"/>
              </w:rPr>
              <w:t>CaO含量</w:t>
            </w:r>
          </w:p>
        </w:tc>
        <w:tc>
          <w:tcPr>
            <w:tcW w:w="1350" w:type="dxa"/>
            <w:vAlign w:val="center"/>
          </w:tcPr>
          <w:p>
            <w:pPr>
              <w:jc w:val="center"/>
            </w:pPr>
            <w:r>
              <w:rPr>
                <w:rFonts w:hint="eastAsia"/>
              </w:rPr>
              <w:t>≥50.4%</w:t>
            </w:r>
          </w:p>
        </w:tc>
        <w:tc>
          <w:tcPr>
            <w:tcW w:w="5790" w:type="dxa"/>
            <w:vAlign w:val="center"/>
          </w:tcPr>
          <w:p>
            <w:pPr>
              <w:jc w:val="center"/>
            </w:pPr>
            <w:r>
              <w:rPr>
                <w:rFonts w:hint="eastAsia"/>
              </w:rPr>
              <w:t>若检测结果＜50.4%，按照 CaCO3含量相应的比例让步接收</w:t>
            </w:r>
          </w:p>
        </w:tc>
      </w:tr>
    </w:tbl>
    <w:p>
      <w:pPr>
        <w:spacing w:line="360" w:lineRule="exact"/>
        <w:ind w:firstLine="480" w:firstLineChars="200"/>
        <w:jc w:val="left"/>
        <w:rPr>
          <w:rFonts w:ascii="宋体" w:hAnsi="宋体"/>
          <w:color w:val="000000"/>
          <w:sz w:val="24"/>
        </w:rPr>
      </w:pPr>
    </w:p>
    <w:p>
      <w:pPr>
        <w:ind w:left="630" w:hanging="630" w:hangingChars="300"/>
      </w:pPr>
      <w:r>
        <w:rPr>
          <w:rFonts w:hint="eastAsia"/>
        </w:rPr>
        <w:t xml:space="preserve">  </w:t>
      </w:r>
      <w:r>
        <w:rPr>
          <w:rFonts w:hint="eastAsia" w:ascii="宋体" w:hAnsi="宋体"/>
          <w:color w:val="000000"/>
          <w:sz w:val="24"/>
        </w:rPr>
        <w:t xml:space="preserve">  （4）如供方出现合同第二部分第十一条违约情形的，需方有权扣除履约保证金，履约保证金不足时，供应商应及时补足。履约保证金6万元在合同履行完毕后予以无息退还保证金本金。</w:t>
      </w:r>
    </w:p>
    <w:p>
      <w:pPr>
        <w:spacing w:line="220" w:lineRule="exact"/>
        <w:ind w:firstLine="360" w:firstLineChars="200"/>
        <w:rPr>
          <w:color w:val="000000"/>
          <w:sz w:val="18"/>
          <w:szCs w:val="18"/>
        </w:rPr>
      </w:pPr>
    </w:p>
    <w:p/>
    <w:p>
      <w:pPr>
        <w:wordWrap w:val="0"/>
        <w:jc w:val="left"/>
        <w:rPr>
          <w:rFonts w:ascii="宋体" w:hAnsi="宋体"/>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PAGE   \* MERGEFORMAT</w:instrText>
    </w:r>
    <w:r>
      <w:fldChar w:fldCharType="separate"/>
    </w:r>
    <w:r>
      <w:t>2</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3693E"/>
    <w:rsid w:val="00036AD9"/>
    <w:rsid w:val="000442B1"/>
    <w:rsid w:val="000656EF"/>
    <w:rsid w:val="000754C9"/>
    <w:rsid w:val="0009264C"/>
    <w:rsid w:val="000A6855"/>
    <w:rsid w:val="000C74A9"/>
    <w:rsid w:val="000E0A2D"/>
    <w:rsid w:val="000F5460"/>
    <w:rsid w:val="000F736E"/>
    <w:rsid w:val="00101CDF"/>
    <w:rsid w:val="00120905"/>
    <w:rsid w:val="001330E1"/>
    <w:rsid w:val="00135D9F"/>
    <w:rsid w:val="00175CEE"/>
    <w:rsid w:val="0018516F"/>
    <w:rsid w:val="00192C72"/>
    <w:rsid w:val="001C0D58"/>
    <w:rsid w:val="001C5592"/>
    <w:rsid w:val="001E09DD"/>
    <w:rsid w:val="00211FD4"/>
    <w:rsid w:val="00222F26"/>
    <w:rsid w:val="002243D8"/>
    <w:rsid w:val="00227AE3"/>
    <w:rsid w:val="002509CE"/>
    <w:rsid w:val="00255FEE"/>
    <w:rsid w:val="00263152"/>
    <w:rsid w:val="0028076F"/>
    <w:rsid w:val="002D350C"/>
    <w:rsid w:val="002D4525"/>
    <w:rsid w:val="002E66D8"/>
    <w:rsid w:val="002F18BB"/>
    <w:rsid w:val="00302AAA"/>
    <w:rsid w:val="0031088D"/>
    <w:rsid w:val="00310A23"/>
    <w:rsid w:val="00313BE4"/>
    <w:rsid w:val="00337F5A"/>
    <w:rsid w:val="00346315"/>
    <w:rsid w:val="0038699B"/>
    <w:rsid w:val="00394442"/>
    <w:rsid w:val="00395861"/>
    <w:rsid w:val="003A2A4E"/>
    <w:rsid w:val="003B28BF"/>
    <w:rsid w:val="003D5104"/>
    <w:rsid w:val="003F15BE"/>
    <w:rsid w:val="0040550D"/>
    <w:rsid w:val="00414199"/>
    <w:rsid w:val="00467E34"/>
    <w:rsid w:val="004835C3"/>
    <w:rsid w:val="004E2D19"/>
    <w:rsid w:val="004E674A"/>
    <w:rsid w:val="004F11C6"/>
    <w:rsid w:val="004F1647"/>
    <w:rsid w:val="005074F2"/>
    <w:rsid w:val="00533B5D"/>
    <w:rsid w:val="005655EC"/>
    <w:rsid w:val="005F34E4"/>
    <w:rsid w:val="005F4FEC"/>
    <w:rsid w:val="00631BC7"/>
    <w:rsid w:val="00644C7A"/>
    <w:rsid w:val="00696213"/>
    <w:rsid w:val="006B0586"/>
    <w:rsid w:val="006B706F"/>
    <w:rsid w:val="006D28E7"/>
    <w:rsid w:val="00715BE9"/>
    <w:rsid w:val="007218EB"/>
    <w:rsid w:val="00734235"/>
    <w:rsid w:val="007534C8"/>
    <w:rsid w:val="0075355B"/>
    <w:rsid w:val="007730F9"/>
    <w:rsid w:val="007765BF"/>
    <w:rsid w:val="00787F0F"/>
    <w:rsid w:val="007C2890"/>
    <w:rsid w:val="007C38E6"/>
    <w:rsid w:val="007D2656"/>
    <w:rsid w:val="00861AF9"/>
    <w:rsid w:val="0087235C"/>
    <w:rsid w:val="008877C0"/>
    <w:rsid w:val="008A20B6"/>
    <w:rsid w:val="008A35FB"/>
    <w:rsid w:val="008B116B"/>
    <w:rsid w:val="008C7067"/>
    <w:rsid w:val="008E3268"/>
    <w:rsid w:val="008F43FA"/>
    <w:rsid w:val="00905734"/>
    <w:rsid w:val="009641CE"/>
    <w:rsid w:val="00976A7D"/>
    <w:rsid w:val="009A1584"/>
    <w:rsid w:val="009B0B7B"/>
    <w:rsid w:val="009B1FFF"/>
    <w:rsid w:val="009B5798"/>
    <w:rsid w:val="009C16B6"/>
    <w:rsid w:val="009D0428"/>
    <w:rsid w:val="009D24A0"/>
    <w:rsid w:val="00A00C12"/>
    <w:rsid w:val="00A13872"/>
    <w:rsid w:val="00A25030"/>
    <w:rsid w:val="00A52ED3"/>
    <w:rsid w:val="00A83915"/>
    <w:rsid w:val="00AA4BD3"/>
    <w:rsid w:val="00AB1B96"/>
    <w:rsid w:val="00AD11E2"/>
    <w:rsid w:val="00AD799E"/>
    <w:rsid w:val="00AF520D"/>
    <w:rsid w:val="00B24C3B"/>
    <w:rsid w:val="00B35DB6"/>
    <w:rsid w:val="00B367C7"/>
    <w:rsid w:val="00B46103"/>
    <w:rsid w:val="00B5040B"/>
    <w:rsid w:val="00B76148"/>
    <w:rsid w:val="00B7777F"/>
    <w:rsid w:val="00B92E81"/>
    <w:rsid w:val="00BB66CE"/>
    <w:rsid w:val="00BC35C9"/>
    <w:rsid w:val="00C039EE"/>
    <w:rsid w:val="00C055C7"/>
    <w:rsid w:val="00C12793"/>
    <w:rsid w:val="00C16757"/>
    <w:rsid w:val="00C25457"/>
    <w:rsid w:val="00C26C9E"/>
    <w:rsid w:val="00C373EE"/>
    <w:rsid w:val="00C62ADD"/>
    <w:rsid w:val="00C87717"/>
    <w:rsid w:val="00C96544"/>
    <w:rsid w:val="00CA4A31"/>
    <w:rsid w:val="00D31C18"/>
    <w:rsid w:val="00D468F4"/>
    <w:rsid w:val="00D679C0"/>
    <w:rsid w:val="00D71E4A"/>
    <w:rsid w:val="00D7685B"/>
    <w:rsid w:val="00D91693"/>
    <w:rsid w:val="00DC6865"/>
    <w:rsid w:val="00DD0E9C"/>
    <w:rsid w:val="00DE1034"/>
    <w:rsid w:val="00DE29B3"/>
    <w:rsid w:val="00E25B0E"/>
    <w:rsid w:val="00E40D02"/>
    <w:rsid w:val="00EB32DE"/>
    <w:rsid w:val="00EC5BC5"/>
    <w:rsid w:val="00EF050E"/>
    <w:rsid w:val="00EF1515"/>
    <w:rsid w:val="00EF5988"/>
    <w:rsid w:val="00F03AA0"/>
    <w:rsid w:val="00F43410"/>
    <w:rsid w:val="00F564F6"/>
    <w:rsid w:val="00F73468"/>
    <w:rsid w:val="00F7626A"/>
    <w:rsid w:val="00FA2E49"/>
    <w:rsid w:val="00FB54CF"/>
    <w:rsid w:val="046E24C0"/>
    <w:rsid w:val="10C119DD"/>
    <w:rsid w:val="2496308D"/>
    <w:rsid w:val="2E762F0A"/>
    <w:rsid w:val="30071591"/>
    <w:rsid w:val="38B477A5"/>
    <w:rsid w:val="497038CD"/>
    <w:rsid w:val="499A66C3"/>
    <w:rsid w:val="542A50A2"/>
    <w:rsid w:val="56732B47"/>
    <w:rsid w:val="58DA20C8"/>
    <w:rsid w:val="59C41AA5"/>
    <w:rsid w:val="5C8B0489"/>
    <w:rsid w:val="5E7A598C"/>
    <w:rsid w:val="651A5C4B"/>
    <w:rsid w:val="65B31BCC"/>
    <w:rsid w:val="6AFF7B2A"/>
    <w:rsid w:val="6C383399"/>
    <w:rsid w:val="6F457884"/>
    <w:rsid w:val="6F983A5D"/>
    <w:rsid w:val="72E24278"/>
    <w:rsid w:val="734712AB"/>
    <w:rsid w:val="74A25915"/>
    <w:rsid w:val="75940C8C"/>
    <w:rsid w:val="76F92C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Balloon Text"/>
    <w:basedOn w:val="1"/>
    <w:link w:val="14"/>
    <w:qFormat/>
    <w:uiPriority w:val="0"/>
    <w:rPr>
      <w:sz w:val="18"/>
      <w:szCs w:val="18"/>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customStyle="1" w:styleId="9">
    <w:name w:val="列表段落1"/>
    <w:basedOn w:val="1"/>
    <w:qFormat/>
    <w:uiPriority w:val="34"/>
    <w:pPr>
      <w:spacing w:before="206"/>
      <w:ind w:left="959" w:hanging="361"/>
    </w:pPr>
  </w:style>
  <w:style w:type="character" w:customStyle="1" w:styleId="10">
    <w:name w:val="cd_message"/>
    <w:basedOn w:val="8"/>
    <w:qFormat/>
    <w:uiPriority w:val="0"/>
  </w:style>
  <w:style w:type="paragraph" w:customStyle="1" w:styleId="1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2">
    <w:name w:val="列出段落1"/>
    <w:basedOn w:val="1"/>
    <w:qFormat/>
    <w:uiPriority w:val="99"/>
    <w:pPr>
      <w:ind w:firstLine="420" w:firstLineChars="200"/>
    </w:pPr>
  </w:style>
  <w:style w:type="character" w:customStyle="1" w:styleId="13">
    <w:name w:val="页眉 Char"/>
    <w:basedOn w:val="8"/>
    <w:link w:val="6"/>
    <w:qFormat/>
    <w:uiPriority w:val="0"/>
    <w:rPr>
      <w:kern w:val="2"/>
      <w:sz w:val="18"/>
      <w:szCs w:val="18"/>
    </w:rPr>
  </w:style>
  <w:style w:type="character" w:customStyle="1" w:styleId="14">
    <w:name w:val="批注框文本 Char"/>
    <w:basedOn w:val="8"/>
    <w:link w:val="4"/>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15</Pages>
  <Words>1680</Words>
  <Characters>9580</Characters>
  <Lines>79</Lines>
  <Paragraphs>22</Paragraphs>
  <TotalTime>51</TotalTime>
  <ScaleCrop>false</ScaleCrop>
  <LinksUpToDate>false</LinksUpToDate>
  <CharactersWithSpaces>11238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dcterms:modified xsi:type="dcterms:W3CDTF">2023-11-22T07:36:26Z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E87453BDDBAA4C1E9C74D837ED179A52_13</vt:lpwstr>
  </property>
</Properties>
</file>