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r>
        <w:rPr>
          <w:rFonts w:hint="eastAsia" w:ascii="Times New Roman"/>
          <w:sz w:val="20"/>
          <w:lang w:val="en-US" w:eastAsia="zh-CN"/>
        </w:rPr>
        <w:t>1</w:t>
      </w: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核心交换机业务板卡采购项目发包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FHC-PTCG20231103007</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福建福海创石油化工有限公司核心交换机业务板卡采购项目发包比选公告</w:t>
      </w:r>
    </w:p>
    <w:p>
      <w:pPr>
        <w:pStyle w:val="54"/>
        <w:rPr>
          <w:rFonts w:hint="eastAsia"/>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福建福海创石油化工有限公司核心交换机业务板卡采购项目发包（项目编号：FHC-PTCG20231103007）</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项目名称：福建福海创石油化工有限公司核心交换机业务板卡采购项目发包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置两张24口SFP业务板卡已扩展核心交换机的端口数。采购需求详见附件技术要求。</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spacing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技术联系人：吴绿滨 电话：15160714114 邮箱：lbwu</w:t>
      </w:r>
      <w:r>
        <w:rPr>
          <w:rFonts w:hint="eastAsia"/>
          <w:lang w:eastAsia="zh-CN"/>
        </w:rPr>
        <w:t>@fhcpec.com.cn</w:t>
      </w:r>
    </w:p>
    <w:p>
      <w:pPr>
        <w:pStyle w:val="19"/>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9"/>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9"/>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rPr>
          <w:rFonts w:hint="eastAsia"/>
          <w:lang w:eastAsia="zh-CN"/>
        </w:rPr>
      </w:pPr>
      <w:r>
        <w:rPr>
          <w:rFonts w:hint="eastAsia"/>
          <w:lang w:eastAsia="zh-CN"/>
        </w:rPr>
        <w:t>、</w:t>
      </w:r>
    </w:p>
    <w:p>
      <w:pPr>
        <w:pStyle w:val="54"/>
        <w:rPr>
          <w:rFonts w:hint="eastAsia"/>
          <w:lang w:eastAsia="zh-CN"/>
        </w:rPr>
      </w:pPr>
    </w:p>
    <w:p>
      <w:pPr>
        <w:pStyle w:val="54"/>
        <w:rPr>
          <w:rFonts w:hint="eastAsia"/>
          <w:lang w:eastAsia="zh-CN"/>
        </w:rPr>
      </w:pPr>
    </w:p>
    <w:p>
      <w:pPr>
        <w:pStyle w:val="54"/>
        <w:rPr>
          <w:rFonts w:hint="eastAsia"/>
          <w:lang w:eastAsia="zh-CN"/>
        </w:rPr>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福建福海创石油化工有限公司核心交换机业务板卡采购项目发包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含税固定总价包干。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技术联系人：吴绿滨 电话：15160714114 邮箱：lbwu</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spacing w:before="15"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11</w:t>
      </w:r>
      <w:r>
        <w:rPr>
          <w:rFonts w:hint="eastAsia"/>
          <w:color w:val="000000" w:themeColor="text1"/>
          <w:lang w:eastAsia="zh-CN"/>
        </w:rPr>
        <w:t>月</w:t>
      </w:r>
      <w:r>
        <w:rPr>
          <w:rFonts w:hint="eastAsia"/>
          <w:color w:val="000000" w:themeColor="text1"/>
          <w:lang w:val="en-US" w:eastAsia="zh-CN"/>
        </w:rPr>
        <w:t>29</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rPr>
          <w:lang w:eastAsia="zh-CN"/>
        </w:rPr>
        <w:sectPr>
          <w:pgSz w:w="11910" w:h="16840"/>
          <w:pgMar w:top="1420" w:right="1140" w:bottom="740" w:left="1300" w:header="0" w:footer="551" w:gutter="0"/>
          <w:cols w:space="720" w:num="1"/>
        </w:sectPr>
      </w:pPr>
      <w:bookmarkStart w:id="1" w:name="_GoBack"/>
      <w:bookmarkEnd w:id="1"/>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rFonts w:hint="default"/>
          <w:lang w:val="en-US" w:eastAsia="zh-CN"/>
        </w:rPr>
      </w:pPr>
      <w:r>
        <w:rPr>
          <w:rFonts w:hint="eastAsia"/>
          <w:lang w:val="en-US" w:eastAsia="zh-CN"/>
        </w:rPr>
        <w:t>技术参选文件，见附件格式，可不胶装。</w:t>
      </w:r>
    </w:p>
    <w:p>
      <w:pPr>
        <w:pStyle w:val="19"/>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9"/>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w:t>
      </w:r>
      <w:r>
        <w:rPr>
          <w:rFonts w:hint="eastAsia"/>
          <w:b/>
          <w:color w:val="FF0000"/>
          <w:lang w:eastAsia="zh-CN"/>
        </w:rPr>
        <w:t>万元整（</w:t>
      </w:r>
      <w:r>
        <w:rPr>
          <w:rFonts w:hint="eastAsia"/>
          <w:b/>
          <w:color w:val="FF0000"/>
          <w:lang w:val="en-US" w:eastAsia="zh-CN"/>
        </w:rPr>
        <w:t>含增值</w:t>
      </w:r>
      <w:r>
        <w:rPr>
          <w:rFonts w:hint="eastAsia"/>
          <w:b/>
          <w:color w:val="FF0000"/>
          <w:lang w:eastAsia="zh-CN"/>
        </w:rPr>
        <w:t>税包干总价）</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zyhe</w:t>
      </w:r>
      <w:r>
        <w:rPr>
          <w:rFonts w:hint="eastAsia"/>
          <w:lang w:eastAsia="zh-CN"/>
        </w:rPr>
        <w:t>@fhcpec.com.cn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eastAsia="zh-CN"/>
        </w:rPr>
        <w:t>福建福海创石油化工有限公司指定由</w:t>
      </w:r>
      <w:r>
        <w:rPr>
          <w:rStyle w:val="48"/>
          <w:color w:val="000000" w:themeColor="text1"/>
          <w:lang w:eastAsia="zh-CN"/>
        </w:rPr>
        <w:t>其</w:t>
      </w:r>
      <w:r>
        <w:rPr>
          <w:rStyle w:val="48"/>
          <w:rFonts w:hint="eastAsia"/>
          <w:color w:val="000000" w:themeColor="text1"/>
          <w:lang w:eastAsia="zh-CN"/>
        </w:rPr>
        <w:t>权属子公司“</w:t>
      </w:r>
      <w:r>
        <w:rPr>
          <w:rStyle w:val="48"/>
          <w:rFonts w:hint="eastAsia"/>
          <w:color w:val="000000" w:themeColor="text1"/>
          <w:lang w:val="en-US" w:eastAsia="zh-CN"/>
        </w:rPr>
        <w:t>腾龙芳烃</w:t>
      </w:r>
      <w:r>
        <w:rPr>
          <w:rStyle w:val="48"/>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spacing w:line="120" w:lineRule="auto"/>
        <w:ind w:firstLine="2811" w:firstLineChars="1000"/>
        <w:rPr>
          <w:b/>
          <w:sz w:val="28"/>
          <w:szCs w:val="28"/>
        </w:rPr>
      </w:pPr>
      <w:bookmarkStart w:id="0" w:name="_Toc251742852"/>
      <w:r>
        <w:rPr>
          <w:rFonts w:hint="eastAsia"/>
          <w:b/>
          <w:sz w:val="28"/>
          <w:szCs w:val="28"/>
          <w:lang w:val="en-US" w:eastAsia="zh-CN"/>
        </w:rPr>
        <w:t>核心交换机业务板卡</w:t>
      </w:r>
      <w:r>
        <w:rPr>
          <w:rFonts w:hint="eastAsia"/>
          <w:b/>
          <w:sz w:val="28"/>
          <w:szCs w:val="28"/>
        </w:rPr>
        <w:t>采购合同</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9"/>
        <w:gridCol w:w="3514"/>
        <w:gridCol w:w="1436"/>
        <w:gridCol w:w="2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 xml:space="preserve">                                                                                      </w:t>
            </w:r>
          </w:p>
        </w:tc>
        <w:tc>
          <w:tcPr>
            <w:tcW w:w="3514" w:type="dxa"/>
          </w:tcPr>
          <w:p>
            <w:pPr>
              <w:spacing w:line="120" w:lineRule="auto"/>
              <w:rPr>
                <w:sz w:val="24"/>
              </w:rPr>
            </w:pPr>
          </w:p>
        </w:tc>
        <w:tc>
          <w:tcPr>
            <w:tcW w:w="1436" w:type="dxa"/>
          </w:tcPr>
          <w:p>
            <w:pPr>
              <w:spacing w:line="120" w:lineRule="auto"/>
              <w:rPr>
                <w:sz w:val="24"/>
              </w:rPr>
            </w:pPr>
            <w:r>
              <w:rPr>
                <w:rFonts w:hint="eastAsia"/>
                <w:sz w:val="24"/>
              </w:rPr>
              <w:t>合同编号：</w:t>
            </w:r>
          </w:p>
        </w:tc>
        <w:tc>
          <w:tcPr>
            <w:tcW w:w="279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甲方：</w:t>
            </w:r>
          </w:p>
        </w:tc>
        <w:tc>
          <w:tcPr>
            <w:tcW w:w="3514" w:type="dxa"/>
          </w:tcPr>
          <w:p>
            <w:pPr>
              <w:spacing w:line="120" w:lineRule="auto"/>
              <w:rPr>
                <w:sz w:val="24"/>
              </w:rPr>
            </w:pPr>
            <w:r>
              <w:rPr>
                <w:rStyle w:val="48"/>
                <w:rFonts w:hint="eastAsia"/>
                <w:color w:val="000000" w:themeColor="text1"/>
                <w:lang w:val="en-US" w:eastAsia="zh-CN"/>
              </w:rPr>
              <w:t>腾龙芳烃</w:t>
            </w:r>
            <w:r>
              <w:rPr>
                <w:rStyle w:val="48"/>
                <w:rFonts w:hint="eastAsia"/>
                <w:color w:val="000000" w:themeColor="text1"/>
                <w:lang w:eastAsia="zh-CN"/>
              </w:rPr>
              <w:t>（漳州）有限公司</w:t>
            </w:r>
            <w:r>
              <w:rPr>
                <w:rFonts w:hint="eastAsia"/>
                <w:sz w:val="24"/>
              </w:rPr>
              <w:t xml:space="preserve">                                     </w:t>
            </w:r>
          </w:p>
        </w:tc>
        <w:tc>
          <w:tcPr>
            <w:tcW w:w="1436" w:type="dxa"/>
          </w:tcPr>
          <w:p>
            <w:pPr>
              <w:spacing w:line="120" w:lineRule="auto"/>
              <w:rPr>
                <w:sz w:val="24"/>
              </w:rPr>
            </w:pPr>
            <w:r>
              <w:rPr>
                <w:rFonts w:hint="eastAsia"/>
                <w:sz w:val="24"/>
              </w:rPr>
              <w:t>签订地点：</w:t>
            </w:r>
          </w:p>
        </w:tc>
        <w:tc>
          <w:tcPr>
            <w:tcW w:w="2791"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乙方：</w:t>
            </w:r>
          </w:p>
        </w:tc>
        <w:tc>
          <w:tcPr>
            <w:tcW w:w="3514" w:type="dxa"/>
          </w:tcPr>
          <w:p>
            <w:pPr>
              <w:spacing w:line="120" w:lineRule="auto"/>
              <w:rPr>
                <w:sz w:val="24"/>
              </w:rPr>
            </w:pPr>
          </w:p>
        </w:tc>
        <w:tc>
          <w:tcPr>
            <w:tcW w:w="1436" w:type="dxa"/>
          </w:tcPr>
          <w:p>
            <w:pPr>
              <w:spacing w:line="120" w:lineRule="auto"/>
              <w:rPr>
                <w:sz w:val="24"/>
              </w:rPr>
            </w:pPr>
            <w:r>
              <w:rPr>
                <w:rFonts w:hint="eastAsia"/>
                <w:sz w:val="24"/>
              </w:rPr>
              <w:t>签订日期：</w:t>
            </w:r>
          </w:p>
        </w:tc>
        <w:tc>
          <w:tcPr>
            <w:tcW w:w="2791"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eastAsia="宋体"/>
                <w:sz w:val="24"/>
                <w:lang w:val="en-US" w:eastAsia="zh-CN"/>
              </w:rPr>
              <w:t>LSQM2GP24TSSA0</w:t>
            </w:r>
          </w:p>
          <w:p>
            <w:pPr>
              <w:spacing w:line="120" w:lineRule="auto"/>
              <w:jc w:val="center"/>
              <w:rPr>
                <w:rFonts w:hint="eastAsia" w:eastAsia="宋体"/>
                <w:sz w:val="24"/>
                <w:lang w:val="en-US" w:eastAsia="zh-CN"/>
              </w:rPr>
            </w:pPr>
            <w:r>
              <w:rPr>
                <w:rFonts w:hint="eastAsia" w:eastAsia="宋体"/>
                <w:sz w:val="24"/>
                <w:lang w:val="en-US" w:eastAsia="zh-CN"/>
              </w:rPr>
              <w:t>核心交换机业务板卡</w:t>
            </w:r>
          </w:p>
        </w:tc>
        <w:tc>
          <w:tcPr>
            <w:tcW w:w="2127" w:type="dxa"/>
            <w:vAlign w:val="center"/>
          </w:tcPr>
          <w:p>
            <w:pPr>
              <w:spacing w:line="120" w:lineRule="auto"/>
              <w:jc w:val="center"/>
              <w:rPr>
                <w:rFonts w:hint="default" w:eastAsia="宋体"/>
                <w:sz w:val="24"/>
                <w:lang w:val="en-US" w:eastAsia="zh-CN"/>
              </w:rPr>
            </w:pPr>
            <w:r>
              <w:rPr>
                <w:rFonts w:hint="eastAsia"/>
                <w:sz w:val="24"/>
                <w:lang w:val="en-US" w:eastAsia="zh-CN"/>
              </w:rPr>
              <w:t>详见技术要求</w:t>
            </w:r>
          </w:p>
        </w:tc>
        <w:tc>
          <w:tcPr>
            <w:tcW w:w="1701" w:type="dxa"/>
            <w:vAlign w:val="center"/>
          </w:tcPr>
          <w:p>
            <w:pPr>
              <w:spacing w:line="120" w:lineRule="auto"/>
              <w:jc w:val="center"/>
              <w:rPr>
                <w:rFonts w:hint="default" w:eastAsia="宋体"/>
                <w:sz w:val="24"/>
                <w:lang w:val="en-US" w:eastAsia="zh-CN"/>
              </w:rPr>
            </w:pPr>
            <w:r>
              <w:rPr>
                <w:rFonts w:hint="eastAsia"/>
                <w:sz w:val="24"/>
                <w:lang w:val="en-US" w:eastAsia="zh-CN"/>
              </w:rPr>
              <w:t>2张</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w:t>
      </w:r>
      <w:r>
        <w:rPr>
          <w:rFonts w:hint="eastAsia"/>
          <w:sz w:val="24"/>
          <w:lang w:eastAsia="zh-CN"/>
        </w:rPr>
        <w:t>到货后，甲方依据本合同约定的质量、数量标准验收合格后，乙方提供合同总额的税率为 13% 的增值税专用发票以及结算所需的各类清单，甲方收到并确认无误后30个工作日支付</w:t>
      </w:r>
      <w:r>
        <w:rPr>
          <w:rFonts w:hint="eastAsia"/>
          <w:sz w:val="24"/>
          <w:lang w:val="en-US" w:eastAsia="zh-CN"/>
        </w:rPr>
        <w:t>100</w:t>
      </w:r>
      <w:r>
        <w:rPr>
          <w:rFonts w:hint="eastAsia"/>
          <w:sz w:val="24"/>
          <w:lang w:eastAsia="zh-CN"/>
        </w:rPr>
        <w:t>%的货款。</w:t>
      </w:r>
    </w:p>
    <w:p>
      <w:pPr>
        <w:spacing w:line="360" w:lineRule="auto"/>
        <w:ind w:firstLine="480" w:firstLineChars="200"/>
        <w:rPr>
          <w:sz w:val="24"/>
        </w:rPr>
      </w:pPr>
      <w:r>
        <w:rPr>
          <w:rFonts w:hint="eastAsia"/>
          <w:sz w:val="24"/>
        </w:rPr>
        <w:t xml:space="preserve">3.2 </w:t>
      </w:r>
      <w:r>
        <w:rPr>
          <w:sz w:val="24"/>
        </w:rPr>
        <w:t>乙方应根据甲方要求在甲方每次付款前</w:t>
      </w:r>
      <w:r>
        <w:rPr>
          <w:rFonts w:hint="eastAsia"/>
          <w:sz w:val="24"/>
          <w:u w:val="single"/>
          <w:lang w:val="en-US" w:eastAsia="zh-CN"/>
        </w:rPr>
        <w:t>15</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color w:val="FF0000"/>
          <w:sz w:val="24"/>
          <w:u w:val="single"/>
          <w:lang w:val="en-US" w:eastAsia="zh-CN"/>
        </w:rPr>
        <w:t>0.1</w:t>
      </w:r>
      <w:r>
        <w:rPr>
          <w:rFonts w:hint="eastAsia"/>
          <w:sz w:val="24"/>
        </w:rPr>
        <w:t>%向甲方支付违约金，逾期超过</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核心交换机业务板卡采购项目发包</w:t>
      </w:r>
      <w:r>
        <w:rPr>
          <w:rFonts w:hint="eastAsia" w:ascii="方正小标宋简体" w:hAnsi="方正小标宋简体" w:eastAsia="方正小标宋简体" w:cs="方正小标宋简体"/>
          <w:b/>
          <w:color w:val="FF0000"/>
          <w:sz w:val="44"/>
          <w:szCs w:val="44"/>
          <w:lang w:val="en-US"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5</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jc w:val="both"/>
      </w:pPr>
    </w:p>
    <w:p>
      <w:pPr>
        <w:pStyle w:val="54"/>
        <w:jc w:val="center"/>
      </w:pPr>
    </w:p>
    <w:p>
      <w:pPr>
        <w:pStyle w:val="54"/>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jc w:val="center"/>
        <w:rPr>
          <w:rFonts w:hint="default"/>
          <w:b/>
          <w:bCs/>
          <w:sz w:val="36"/>
          <w:szCs w:val="36"/>
          <w:lang w:val="en-US" w:eastAsia="zh-CN"/>
        </w:rPr>
      </w:pPr>
      <w:r>
        <w:rPr>
          <w:rFonts w:hint="eastAsia"/>
          <w:b/>
          <w:bCs/>
          <w:sz w:val="36"/>
          <w:szCs w:val="36"/>
          <w:lang w:val="en-US" w:eastAsia="zh-CN"/>
        </w:rPr>
        <w:t>资质业绩证明文件</w:t>
      </w:r>
    </w:p>
    <w:p>
      <w:pPr>
        <w:pStyle w:val="54"/>
        <w:jc w:val="center"/>
      </w:pPr>
    </w:p>
    <w:p>
      <w:pPr>
        <w:pStyle w:val="54"/>
        <w:jc w:val="center"/>
      </w:pPr>
    </w:p>
    <w:p>
      <w:pPr>
        <w:pStyle w:val="54"/>
        <w:jc w:val="center"/>
      </w:pPr>
    </w:p>
    <w:p>
      <w:pPr>
        <w:pStyle w:val="54"/>
        <w:jc w:val="cente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both"/>
        <w:rPr>
          <w:rFonts w:hint="eastAsia"/>
          <w:b/>
          <w:bCs/>
          <w:sz w:val="36"/>
          <w:szCs w:val="36"/>
          <w:lang w:val="en-US" w:eastAsia="zh-CN"/>
        </w:rPr>
      </w:pPr>
    </w:p>
    <w:p>
      <w:pPr>
        <w:pStyle w:val="54"/>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福建福海创石油化工有限公司核心交换机业务板卡采购项目发包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54"/>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D1E778-BED3-4EB0-A432-80A7AD438EC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D469DD6-62DA-466C-A0DE-7EEAABCEDE24}"/>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00000001" w:usb1="08000000" w:usb2="00000000" w:usb3="00000000" w:csb0="00040000" w:csb1="00000000"/>
    <w:embedRegular r:id="rId3" w:fontKey="{BAA4553C-78CF-4E18-8F4F-C2E8AB79AE60}"/>
  </w:font>
  <w:font w:name="ˎ̥">
    <w:altName w:val="Times New Roman"/>
    <w:panose1 w:val="00000000000000000000"/>
    <w:charset w:val="00"/>
    <w:family w:val="roman"/>
    <w:pitch w:val="default"/>
    <w:sig w:usb0="00000000" w:usb1="00000000" w:usb2="00000000" w:usb3="00000000" w:csb0="00040001" w:csb1="00000000"/>
    <w:embedRegular r:id="rId4" w:fontKey="{AC2B51E6-7C08-4194-AFFA-DCD36ABE8F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8B248D"/>
    <w:rsid w:val="0367315B"/>
    <w:rsid w:val="061139E5"/>
    <w:rsid w:val="06F50B00"/>
    <w:rsid w:val="076E1278"/>
    <w:rsid w:val="08D1141D"/>
    <w:rsid w:val="094A7BA5"/>
    <w:rsid w:val="0ABB2414"/>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2CA4E00"/>
    <w:rsid w:val="24ED56A6"/>
    <w:rsid w:val="25BF356F"/>
    <w:rsid w:val="25DB0C2D"/>
    <w:rsid w:val="269469E7"/>
    <w:rsid w:val="29FC3B14"/>
    <w:rsid w:val="2B11792E"/>
    <w:rsid w:val="31C54755"/>
    <w:rsid w:val="3216608C"/>
    <w:rsid w:val="34CE14C6"/>
    <w:rsid w:val="34D84CEC"/>
    <w:rsid w:val="37081774"/>
    <w:rsid w:val="37AF5AB7"/>
    <w:rsid w:val="37F824E3"/>
    <w:rsid w:val="3B1C3371"/>
    <w:rsid w:val="3CC23198"/>
    <w:rsid w:val="3DDF4815"/>
    <w:rsid w:val="3E364E5C"/>
    <w:rsid w:val="3ED80D7C"/>
    <w:rsid w:val="3FE669E5"/>
    <w:rsid w:val="4C3D436D"/>
    <w:rsid w:val="4D7472E9"/>
    <w:rsid w:val="4E7316E7"/>
    <w:rsid w:val="4F7033BA"/>
    <w:rsid w:val="50F63E28"/>
    <w:rsid w:val="5221007F"/>
    <w:rsid w:val="52926B5A"/>
    <w:rsid w:val="545C5E51"/>
    <w:rsid w:val="5486175B"/>
    <w:rsid w:val="57667D24"/>
    <w:rsid w:val="57CE5BC3"/>
    <w:rsid w:val="586D6C9A"/>
    <w:rsid w:val="5AE1516A"/>
    <w:rsid w:val="5B6A3A79"/>
    <w:rsid w:val="5C1A5F7B"/>
    <w:rsid w:val="5C57586D"/>
    <w:rsid w:val="5D821074"/>
    <w:rsid w:val="5E4B1477"/>
    <w:rsid w:val="5EF92A9F"/>
    <w:rsid w:val="63EF5D24"/>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1721</Words>
  <Characters>9816</Characters>
  <Lines>81</Lines>
  <Paragraphs>23</Paragraphs>
  <TotalTime>10</TotalTime>
  <ScaleCrop>false</ScaleCrop>
  <LinksUpToDate>false</LinksUpToDate>
  <CharactersWithSpaces>11514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2023-11-21T03:16:00Z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511846C62397469E96EEBA845481C5DD</vt:lpwstr>
  </property>
</Properties>
</file>