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eastAsia="zh-CN"/>
        </w:rPr>
        <w:t>还原剂、阻垢剂</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w:t>
      </w:r>
      <w:r>
        <w:rPr>
          <w:rFonts w:hint="eastAsia" w:ascii="宋体" w:hAnsi="宋体" w:cs="宋体"/>
          <w:kern w:val="0"/>
          <w:sz w:val="36"/>
          <w:szCs w:val="36"/>
          <w:shd w:val="clear" w:color="auto" w:fill="FFFFFF"/>
          <w:lang w:eastAsia="zh-CN"/>
        </w:rPr>
        <w:t>2023-FHC-还原剂、阻垢剂-1110</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年</w:t>
      </w:r>
      <w:r>
        <w:rPr>
          <w:rFonts w:hint="eastAsia" w:asciiTheme="minorEastAsia" w:hAnsiTheme="minorEastAsia" w:eastAsiaTheme="minorEastAsia" w:cstheme="minorEastAsia"/>
          <w:kern w:val="0"/>
          <w:sz w:val="28"/>
          <w:szCs w:val="28"/>
          <w:shd w:val="clear" w:color="auto" w:fill="FFFFFF"/>
          <w:lang w:val="en-US" w:eastAsia="zh-CN"/>
        </w:rPr>
        <w:t>11</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10</w:t>
      </w:r>
      <w:r>
        <w:rPr>
          <w:rFonts w:hint="eastAsia" w:ascii="宋体" w:hAnsi="宋体" w:cs="宋体"/>
          <w:kern w:val="0"/>
          <w:sz w:val="28"/>
          <w:szCs w:val="28"/>
          <w:shd w:val="clear" w:color="auto" w:fill="FFFFFF"/>
        </w:rPr>
        <w:t>日</w:t>
      </w:r>
    </w:p>
    <w:p>
      <w:pPr>
        <w:widowControl/>
        <w:shd w:val="clear" w:color="auto" w:fill="FFFFFF"/>
        <w:rPr>
          <w:rFonts w:ascii="宋体"/>
          <w:b/>
          <w:bCs/>
          <w:sz w:val="36"/>
        </w:rPr>
      </w:pPr>
      <w:r>
        <w:rPr>
          <w:kern w:val="0"/>
          <w:szCs w:val="21"/>
          <w:shd w:val="clear" w:color="auto" w:fill="FFFFFF"/>
        </w:rPr>
        <w:t> </w:t>
      </w:r>
    </w:p>
    <w:p>
      <w:pPr>
        <w:spacing w:line="300" w:lineRule="auto"/>
        <w:jc w:val="center"/>
        <w:rPr>
          <w:rFonts w:hint="eastAsia"/>
          <w:b/>
          <w:bCs/>
          <w:sz w:val="36"/>
          <w:szCs w:val="36"/>
          <w:lang w:val="en-US" w:eastAsia="zh-CN"/>
        </w:rPr>
      </w:pPr>
      <w:r>
        <w:rPr>
          <w:rFonts w:hint="eastAsia"/>
          <w:b/>
          <w:bCs/>
          <w:sz w:val="36"/>
          <w:szCs w:val="36"/>
          <w:lang w:val="en-US" w:eastAsia="zh-CN"/>
        </w:rPr>
        <w:t>一、比选公告</w:t>
      </w:r>
    </w:p>
    <w:p>
      <w:pPr>
        <w:spacing w:line="300" w:lineRule="auto"/>
        <w:jc w:val="center"/>
        <w:rPr>
          <w:rFonts w:hint="eastAsia" w:eastAsia="宋体"/>
          <w:b/>
          <w:bCs/>
          <w:sz w:val="32"/>
          <w:lang w:eastAsia="zh-CN"/>
        </w:rPr>
      </w:pPr>
      <w:r>
        <w:rPr>
          <w:rFonts w:hint="eastAsia"/>
          <w:b/>
          <w:bCs/>
          <w:sz w:val="32"/>
          <w:lang w:eastAsia="zh-CN"/>
        </w:rPr>
        <w:t>腾龙芳烃（漳州）有限公司</w:t>
      </w:r>
    </w:p>
    <w:p>
      <w:pPr>
        <w:spacing w:line="300" w:lineRule="auto"/>
        <w:jc w:val="center"/>
        <w:rPr>
          <w:bCs/>
          <w:szCs w:val="21"/>
        </w:rPr>
      </w:pPr>
      <w:r>
        <w:rPr>
          <w:rFonts w:hint="eastAsia"/>
          <w:b/>
          <w:bCs/>
          <w:sz w:val="32"/>
          <w:lang w:val="en-US" w:eastAsia="zh-CN"/>
        </w:rPr>
        <w:t>还原剂、阻垢剂</w:t>
      </w: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还原剂、阻垢剂</w:t>
      </w:r>
      <w:r>
        <w:rPr>
          <w:rFonts w:hint="eastAsia" w:asciiTheme="minorEastAsia" w:hAnsiTheme="minorEastAsia" w:eastAsiaTheme="minorEastAsia"/>
          <w:bCs/>
          <w:sz w:val="24"/>
          <w:u w:val="single"/>
        </w:rPr>
        <w:t>（项目编号：</w:t>
      </w:r>
      <w:r>
        <w:rPr>
          <w:rFonts w:hint="eastAsia" w:asciiTheme="minorEastAsia" w:hAnsiTheme="minorEastAsia" w:eastAsiaTheme="minorEastAsia"/>
          <w:bCs/>
          <w:sz w:val="24"/>
          <w:u w:val="single"/>
          <w:lang w:eastAsia="zh-CN"/>
        </w:rPr>
        <w:t>2023-FHC-还原剂、阻垢剂-1110</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eastAsia="zh-CN"/>
        </w:rPr>
        <w:t>还原剂、阻垢剂</w:t>
      </w:r>
      <w:r>
        <w:rPr>
          <w:rFonts w:hint="eastAsia" w:ascii="宋体" w:hAnsi="宋体" w:cs="宋体" w:eastAsiaTheme="minorEastAsia"/>
          <w:sz w:val="24"/>
        </w:rPr>
        <w:t>。</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eastAsia="zh-CN"/>
        </w:rPr>
        <w:t>还原剂、阻垢剂</w:t>
      </w:r>
      <w:r>
        <w:rPr>
          <w:rFonts w:hint="eastAsia" w:asciiTheme="minorEastAsia" w:hAnsiTheme="minorEastAsia" w:eastAsiaTheme="minorEastAsia"/>
          <w:bCs/>
          <w:sz w:val="24"/>
        </w:rPr>
        <w:t>采购数量、质量、货期、服务等要求详见比选文件。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rPr>
        <w:t>。</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3"/>
        <w:numPr>
          <w:ilvl w:val="0"/>
          <w:numId w:val="2"/>
        </w:numPr>
        <w:spacing w:before="100" w:beforeAutospacing="1" w:after="100" w:afterAutospacing="1" w:line="300" w:lineRule="auto"/>
        <w:rPr>
          <w:rFonts w:hint="eastAsia" w:asciiTheme="minorEastAsia" w:hAnsiTheme="minorEastAsia" w:eastAsiaTheme="minorEastAsia"/>
          <w:bCs/>
          <w:sz w:val="24"/>
          <w:highlight w:val="none"/>
        </w:rPr>
      </w:pPr>
      <w:r>
        <w:rPr>
          <w:rFonts w:hint="eastAsia" w:asciiTheme="minorEastAsia" w:hAnsiTheme="minorEastAsia" w:eastAsiaTheme="minorEastAsia"/>
          <w:bCs/>
          <w:sz w:val="24"/>
          <w:highlight w:val="none"/>
          <w:lang w:val="en-US" w:eastAsia="zh-CN"/>
        </w:rPr>
        <w:t>具备经营资质，提供业绩证明</w:t>
      </w:r>
      <w:r>
        <w:rPr>
          <w:rFonts w:hint="eastAsia" w:asciiTheme="minorEastAsia" w:hAnsiTheme="minorEastAsia" w:eastAsiaTheme="minorEastAsia"/>
          <w:bCs/>
          <w:sz w:val="24"/>
          <w:highlight w:val="none"/>
          <w:lang w:eastAsia="zh-CN"/>
        </w:rPr>
        <w:t>。</w:t>
      </w:r>
    </w:p>
    <w:p>
      <w:pPr>
        <w:pStyle w:val="13"/>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伍仟元</w:t>
      </w:r>
      <w:r>
        <w:rPr>
          <w:rFonts w:hint="eastAsia" w:asciiTheme="minorEastAsia" w:hAnsiTheme="minorEastAsia" w:eastAsiaTheme="minorEastAsia"/>
          <w:bCs/>
          <w:sz w:val="24"/>
          <w:highlight w:val="yellow"/>
        </w:rPr>
        <w:t>整。</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3"/>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年</w:t>
      </w:r>
      <w:r>
        <w:rPr>
          <w:rFonts w:hint="eastAsia" w:asciiTheme="majorEastAsia" w:hAnsiTheme="majorEastAsia" w:eastAsiaTheme="majorEastAsia"/>
          <w:sz w:val="24"/>
          <w:lang w:val="en-US" w:eastAsia="zh-CN"/>
        </w:rPr>
        <w:t>11</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29</w:t>
      </w:r>
      <w:r>
        <w:rPr>
          <w:rFonts w:hint="eastAsia" w:asciiTheme="majorEastAsia" w:hAnsiTheme="majorEastAsia" w:eastAsiaTheme="majorEastAsia"/>
          <w:sz w:val="24"/>
        </w:rPr>
        <w:t>日（含当日）</w:t>
      </w:r>
    </w:p>
    <w:p>
      <w:pPr>
        <w:pStyle w:val="13"/>
        <w:numPr>
          <w:ilvl w:val="255"/>
          <w:numId w:val="0"/>
        </w:numPr>
        <w:spacing w:before="0" w:line="300" w:lineRule="auto"/>
        <w:ind w:left="832"/>
        <w:rPr>
          <w:rFonts w:hint="eastAsia"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p>
    <w:p>
      <w:pPr>
        <w:pStyle w:val="13"/>
        <w:spacing w:before="0" w:line="300" w:lineRule="auto"/>
        <w:ind w:left="832" w:firstLine="0"/>
        <w:rPr>
          <w:rFonts w:hint="eastAsia" w:asciiTheme="minorEastAsia" w:hAnsiTheme="minorEastAsia" w:eastAsiaTheme="minorEastAsia"/>
          <w:bCs/>
          <w:sz w:val="24"/>
        </w:rPr>
      </w:pPr>
      <w:r>
        <w:rPr>
          <w:rFonts w:hint="eastAsia" w:asciiTheme="minorEastAsia" w:hAnsiTheme="minorEastAsia" w:eastAsiaTheme="minorEastAsia"/>
          <w:bCs/>
          <w:sz w:val="24"/>
          <w:lang w:val="en-US" w:eastAsia="zh-CN"/>
        </w:rPr>
        <w:t>（3）公司经营业绩证明（合同或发票）。</w:t>
      </w:r>
    </w:p>
    <w:p>
      <w:pPr>
        <w:pStyle w:val="13"/>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4</w:t>
      </w:r>
      <w:r>
        <w:rPr>
          <w:rFonts w:hint="eastAsia" w:asciiTheme="minorEastAsia" w:hAnsiTheme="minorEastAsia" w:eastAsiaTheme="minorEastAsia"/>
          <w:bCs/>
          <w:sz w:val="24"/>
        </w:rPr>
        <w:t>）保证金汇款银行水单：投标单位需缴纳投标保证金：</w:t>
      </w:r>
      <w:r>
        <w:rPr>
          <w:rFonts w:hint="eastAsia" w:asciiTheme="minorEastAsia" w:hAnsiTheme="minorEastAsia" w:eastAsiaTheme="minorEastAsia"/>
          <w:bCs/>
          <w:sz w:val="24"/>
          <w:highlight w:val="yellow"/>
          <w:lang w:val="en-US" w:eastAsia="zh-CN"/>
        </w:rPr>
        <w:t>伍仟元</w:t>
      </w:r>
      <w:r>
        <w:rPr>
          <w:rFonts w:hint="eastAsia" w:asciiTheme="minorEastAsia" w:hAnsiTheme="minorEastAsia" w:eastAsiaTheme="minorEastAsia"/>
          <w:bCs/>
          <w:sz w:val="24"/>
          <w:highlight w:val="yellow"/>
        </w:rPr>
        <w:t>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3"/>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福建福海创石油化工有限公司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p>
    <w:p>
      <w:pPr>
        <w:pStyle w:val="13"/>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3"/>
        <w:numPr>
          <w:ilvl w:val="0"/>
          <w:numId w:val="4"/>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highlight w:val="yellow"/>
        </w:rPr>
        <w:t>寄送快递时，请在快递件</w:t>
      </w:r>
      <w:r>
        <w:rPr>
          <w:rFonts w:hint="eastAsia" w:asciiTheme="minorEastAsia" w:hAnsiTheme="minorEastAsia" w:eastAsiaTheme="minorEastAsia"/>
          <w:bCs/>
          <w:sz w:val="24"/>
          <w:highlight w:val="yellow"/>
          <w:lang w:val="en-US" w:eastAsia="zh-CN"/>
        </w:rPr>
        <w:t>封面</w:t>
      </w:r>
      <w:r>
        <w:rPr>
          <w:rFonts w:asciiTheme="minorEastAsia" w:hAnsiTheme="minorEastAsia" w:eastAsiaTheme="minorEastAsia"/>
          <w:bCs/>
          <w:sz w:val="24"/>
          <w:highlight w:val="yellow"/>
        </w:rPr>
        <w:t>备注清楚寄件人公司名称及相应标书项目名称</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lang w:val="en-US" w:eastAsia="zh-CN"/>
        </w:rPr>
        <w:t>周建华</w:t>
      </w:r>
      <w:r>
        <w:rPr>
          <w:rFonts w:hint="eastAsia" w:asciiTheme="minorEastAsia" w:hAnsiTheme="minorEastAsia" w:eastAsiaTheme="minorEastAsia"/>
          <w:bCs/>
          <w:sz w:val="24"/>
        </w:rPr>
        <w:t xml:space="preserve"> 电话：</w:t>
      </w:r>
      <w:r>
        <w:rPr>
          <w:rFonts w:hint="eastAsia" w:asciiTheme="minorEastAsia" w:hAnsiTheme="minorEastAsia" w:eastAsiaTheme="minorEastAsia"/>
          <w:bCs/>
          <w:sz w:val="24"/>
          <w:lang w:val="en-US" w:eastAsia="zh-CN"/>
        </w:rPr>
        <w:t>13313854017</w:t>
      </w:r>
      <w:r>
        <w:rPr>
          <w:rFonts w:hint="eastAsia" w:asciiTheme="minorEastAsia" w:hAnsiTheme="minorEastAsia" w:eastAsiaTheme="minorEastAsia"/>
          <w:bCs/>
          <w:sz w:val="24"/>
        </w:rPr>
        <w:t xml:space="preserve"> 邮箱：</w:t>
      </w:r>
      <w:r>
        <w:rPr>
          <w:rFonts w:hint="eastAsia" w:asciiTheme="minorEastAsia" w:hAnsiTheme="minorEastAsia" w:eastAsiaTheme="minorEastAsia"/>
          <w:bCs/>
          <w:sz w:val="24"/>
          <w:lang w:val="en-US" w:eastAsia="zh-CN"/>
        </w:rPr>
        <w:t>jhzhou</w:t>
      </w:r>
      <w:r>
        <w:rPr>
          <w:rFonts w:hint="eastAsia" w:asciiTheme="minorEastAsia" w:hAnsiTheme="minorEastAsia" w:eastAsiaTheme="minorEastAsia"/>
          <w:bCs/>
          <w:sz w:val="24"/>
        </w:rPr>
        <w:t>@fhcpec.com.cn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tabs>
          <w:tab w:val="left" w:pos="3098"/>
        </w:tabs>
        <w:spacing w:line="360" w:lineRule="auto"/>
        <w:ind w:firstLine="4800" w:firstLineChars="2000"/>
        <w:rPr>
          <w:rFonts w:hint="eastAsia" w:asciiTheme="minorEastAsia" w:hAnsiTheme="minorEastAsia" w:eastAsiaTheme="minorEastAsia"/>
          <w:bCs/>
          <w:sz w:val="24"/>
          <w:lang w:eastAsia="zh-CN"/>
        </w:rPr>
      </w:pPr>
      <w:r>
        <w:rPr>
          <w:rFonts w:hint="eastAsia" w:asciiTheme="minorEastAsia" w:hAnsiTheme="minorEastAsia" w:eastAsiaTheme="minorEastAsia"/>
          <w:bCs/>
          <w:sz w:val="24"/>
          <w:lang w:eastAsia="zh-CN"/>
        </w:rPr>
        <w:tab/>
      </w:r>
    </w:p>
    <w:p>
      <w:pPr>
        <w:tabs>
          <w:tab w:val="left" w:pos="3098"/>
        </w:tabs>
        <w:spacing w:line="360" w:lineRule="auto"/>
        <w:ind w:firstLine="4800" w:firstLineChars="2000"/>
        <w:rPr>
          <w:rFonts w:hint="eastAsia" w:asciiTheme="minorEastAsia" w:hAnsiTheme="minorEastAsia" w:eastAsiaTheme="minorEastAsia"/>
          <w:bCs/>
          <w:sz w:val="24"/>
          <w:lang w:eastAsia="zh-CN"/>
        </w:rPr>
      </w:pPr>
    </w:p>
    <w:p>
      <w:pPr>
        <w:tabs>
          <w:tab w:val="left" w:pos="3098"/>
        </w:tabs>
        <w:spacing w:line="360" w:lineRule="auto"/>
        <w:ind w:firstLine="4800" w:firstLineChars="2000"/>
        <w:rPr>
          <w:rFonts w:hint="eastAsia" w:asciiTheme="minorEastAsia" w:hAnsiTheme="minorEastAsia" w:eastAsiaTheme="minorEastAsia"/>
          <w:bCs/>
          <w:sz w:val="24"/>
          <w:lang w:eastAsia="zh-CN"/>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p>
    <w:p>
      <w:pPr>
        <w:spacing w:line="360" w:lineRule="auto"/>
        <w:ind w:firstLine="5280" w:firstLineChars="2200"/>
        <w:rPr>
          <w:rFonts w:hint="eastAsia" w:asciiTheme="minorEastAsia" w:hAnsiTheme="minorEastAsia" w:eastAsiaTheme="minorEastAsia"/>
          <w:bCs/>
          <w:sz w:val="24"/>
        </w:rPr>
      </w:pPr>
      <w:r>
        <w:rPr>
          <w:rFonts w:hint="eastAsia" w:asciiTheme="minorEastAsia" w:hAnsiTheme="minorEastAsia" w:eastAsiaTheme="minorEastAsia"/>
          <w:bCs/>
          <w:sz w:val="24"/>
        </w:rPr>
        <w:t>202</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年</w:t>
      </w:r>
      <w:r>
        <w:rPr>
          <w:rFonts w:hint="eastAsia" w:asciiTheme="minorEastAsia" w:hAnsiTheme="minorEastAsia" w:eastAsiaTheme="minorEastAsia"/>
          <w:bCs/>
          <w:sz w:val="24"/>
          <w:lang w:val="en-US" w:eastAsia="zh-CN"/>
        </w:rPr>
        <w:t>11</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10</w:t>
      </w:r>
      <w:r>
        <w:rPr>
          <w:rFonts w:hint="eastAsia" w:asciiTheme="minorEastAsia" w:hAnsiTheme="minorEastAsia" w:eastAsiaTheme="minorEastAsia"/>
          <w:bCs/>
          <w:sz w:val="24"/>
        </w:rPr>
        <w:t>日</w:t>
      </w:r>
    </w:p>
    <w:p>
      <w:pPr>
        <w:spacing w:line="360" w:lineRule="auto"/>
        <w:ind w:firstLine="5280" w:firstLineChars="2200"/>
        <w:rPr>
          <w:rFonts w:hint="eastAsia" w:asciiTheme="minorEastAsia" w:hAnsiTheme="minorEastAsia" w:eastAsiaTheme="minorEastAsia"/>
          <w:bCs/>
          <w:sz w:val="24"/>
        </w:rPr>
      </w:pPr>
    </w:p>
    <w:p>
      <w:pPr>
        <w:spacing w:line="360" w:lineRule="auto"/>
        <w:ind w:firstLine="5280" w:firstLineChars="2200"/>
        <w:rPr>
          <w:rFonts w:hint="eastAsia" w:asciiTheme="minorEastAsia" w:hAnsiTheme="minorEastAsia" w:eastAsiaTheme="minorEastAsia"/>
          <w:bCs/>
          <w:sz w:val="24"/>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eastAsia="zh-CN"/>
        </w:rPr>
        <w:t>还原剂、阻垢剂</w:t>
      </w:r>
      <w:r>
        <w:rPr>
          <w:rFonts w:hint="eastAsia" w:ascii="宋体" w:hAnsi="宋体"/>
          <w:sz w:val="18"/>
          <w:szCs w:val="18"/>
          <w:u w:val="single"/>
        </w:rPr>
        <w:t>。</w:t>
      </w:r>
    </w:p>
    <w:p>
      <w:pPr>
        <w:pStyle w:val="16"/>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hint="eastAsia" w:ascii="宋体"/>
          <w:sz w:val="18"/>
          <w:szCs w:val="18"/>
        </w:rPr>
      </w:pPr>
      <w:r>
        <w:rPr>
          <w:rFonts w:hint="eastAsia" w:ascii="宋体"/>
          <w:sz w:val="18"/>
          <w:szCs w:val="18"/>
        </w:rPr>
        <w:t>（5）</w:t>
      </w:r>
      <w:r>
        <w:rPr>
          <w:rFonts w:hint="eastAsia" w:ascii="宋体"/>
          <w:sz w:val="18"/>
          <w:szCs w:val="18"/>
          <w:lang w:val="en-US" w:eastAsia="zh-CN"/>
        </w:rPr>
        <w:t>具备经营资质，提供业绩证明</w:t>
      </w:r>
      <w:r>
        <w:rPr>
          <w:rFonts w:hint="eastAsia" w:ascii="宋体"/>
          <w:sz w:val="18"/>
          <w:szCs w:val="18"/>
          <w:lang w:eastAsia="zh-CN"/>
        </w:rPr>
        <w:t>。</w:t>
      </w:r>
    </w:p>
    <w:p>
      <w:pPr>
        <w:spacing w:line="320" w:lineRule="exact"/>
        <w:rPr>
          <w:rFonts w:ascii="宋体"/>
          <w:sz w:val="18"/>
          <w:szCs w:val="18"/>
          <w:highlight w:val="none"/>
        </w:rPr>
      </w:pPr>
      <w:r>
        <w:rPr>
          <w:rFonts w:hint="eastAsia" w:ascii="宋体"/>
          <w:sz w:val="18"/>
          <w:szCs w:val="18"/>
          <w:highlight w:val="none"/>
        </w:rPr>
        <w:t>（</w:t>
      </w:r>
      <w:r>
        <w:rPr>
          <w:rFonts w:hint="eastAsia" w:ascii="宋体"/>
          <w:sz w:val="18"/>
          <w:szCs w:val="18"/>
          <w:highlight w:val="none"/>
          <w:lang w:val="en-US" w:eastAsia="zh-CN"/>
        </w:rPr>
        <w:t>6</w:t>
      </w:r>
      <w:r>
        <w:rPr>
          <w:rFonts w:hint="eastAsia" w:ascii="宋体"/>
          <w:sz w:val="18"/>
          <w:szCs w:val="18"/>
          <w:highlight w:val="none"/>
        </w:rPr>
        <w:t>）参选保证金：</w:t>
      </w:r>
      <w:r>
        <w:rPr>
          <w:rFonts w:hint="eastAsia" w:ascii="宋体"/>
          <w:sz w:val="18"/>
          <w:szCs w:val="18"/>
          <w:highlight w:val="none"/>
          <w:lang w:val="en-US" w:eastAsia="zh-CN"/>
        </w:rPr>
        <w:t>伍仟元</w:t>
      </w:r>
      <w:r>
        <w:rPr>
          <w:rFonts w:hint="eastAsia" w:ascii="宋体"/>
          <w:sz w:val="18"/>
          <w:szCs w:val="18"/>
          <w:highlight w:val="none"/>
        </w:rPr>
        <w:t>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eastAsia="zh-CN"/>
        </w:rPr>
        <w:t>还原剂、阻垢剂</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hint="eastAsia" w:ascii="宋体" w:hAnsi="宋体"/>
          <w:b/>
          <w:bCs/>
          <w:sz w:val="36"/>
          <w:szCs w:val="36"/>
        </w:rPr>
      </w:pPr>
      <w:r>
        <w:rPr>
          <w:rFonts w:hint="eastAsia" w:ascii="宋体" w:hAnsi="宋体"/>
          <w:sz w:val="18"/>
          <w:szCs w:val="18"/>
          <w:highlight w:val="none"/>
        </w:rPr>
        <w:t>13</w:t>
      </w:r>
      <w:r>
        <w:rPr>
          <w:rFonts w:hint="eastAsia" w:ascii="宋体" w:hAnsi="宋体"/>
          <w:sz w:val="18"/>
          <w:szCs w:val="18"/>
          <w:highlight w:val="none"/>
          <w:lang w:val="en-US" w:eastAsia="zh-CN"/>
        </w:rPr>
        <w:t>.</w:t>
      </w:r>
      <w:r>
        <w:rPr>
          <w:rFonts w:hint="eastAsia" w:ascii="宋体" w:hAnsi="宋体" w:cs="宋体"/>
          <w:b/>
          <w:kern w:val="0"/>
          <w:sz w:val="24"/>
        </w:rPr>
        <w:t>若报价偏离市场行情，</w:t>
      </w:r>
      <w:r>
        <w:rPr>
          <w:rFonts w:hint="eastAsia" w:ascii="宋体" w:hAnsi="宋体" w:cs="宋体"/>
          <w:b/>
          <w:kern w:val="0"/>
          <w:sz w:val="24"/>
          <w:lang w:eastAsia="zh-CN"/>
        </w:rPr>
        <w:t>腾龙芳烃（漳州）有限公司</w:t>
      </w:r>
      <w:r>
        <w:rPr>
          <w:rFonts w:hint="eastAsia" w:ascii="宋体" w:hAnsi="宋体" w:cs="宋体"/>
          <w:b/>
          <w:kern w:val="0"/>
          <w:sz w:val="24"/>
        </w:rPr>
        <w:t>有权选择废选。</w:t>
      </w: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lang w:eastAsia="zh-CN"/>
        </w:rPr>
        <w:t>2023-FHC-还原剂、阻垢剂-1110</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w:t>
      </w:r>
      <w:r>
        <w:rPr>
          <w:rFonts w:hint="eastAsia" w:ascii="宋体" w:hAnsi="宋体"/>
          <w:sz w:val="24"/>
          <w:szCs w:val="24"/>
          <w:lang w:val="en-US" w:eastAsia="zh-CN"/>
        </w:rPr>
        <w:t>还原剂、阻垢剂</w:t>
      </w:r>
      <w:r>
        <w:rPr>
          <w:rFonts w:hint="eastAsia" w:ascii="宋体" w:hAnsi="宋体"/>
          <w:sz w:val="24"/>
          <w:szCs w:val="24"/>
        </w:rPr>
        <w:t>，具体要求如下</w:t>
      </w:r>
      <w:r>
        <w:rPr>
          <w:rFonts w:ascii="宋体"/>
          <w:sz w:val="24"/>
          <w:szCs w:val="24"/>
        </w:rPr>
        <w:tab/>
      </w:r>
    </w:p>
    <w:p>
      <w:pPr>
        <w:numPr>
          <w:ilvl w:val="0"/>
          <w:numId w:val="5"/>
        </w:numPr>
        <w:spacing w:line="360" w:lineRule="exact"/>
        <w:jc w:val="left"/>
        <w:rPr>
          <w:rFonts w:ascii="宋体" w:hAnsi="宋体" w:cs="宋体"/>
          <w:sz w:val="24"/>
        </w:rPr>
      </w:pPr>
      <w:r>
        <w:rPr>
          <w:rFonts w:hint="eastAsia" w:ascii="宋体" w:cs="宋体"/>
          <w:sz w:val="24"/>
        </w:rPr>
        <w:t>采购数量：</w:t>
      </w:r>
    </w:p>
    <w:p>
      <w:pPr>
        <w:numPr>
          <w:ilvl w:val="0"/>
          <w:numId w:val="0"/>
        </w:numPr>
        <w:spacing w:line="360" w:lineRule="exact"/>
        <w:jc w:val="left"/>
        <w:rPr>
          <w:rFonts w:hint="eastAsia" w:ascii="宋体" w:hAnsi="宋体" w:cs="宋体"/>
          <w:sz w:val="24"/>
          <w:lang w:val="en-US" w:eastAsia="zh-CN"/>
        </w:rPr>
      </w:pPr>
      <w:r>
        <w:rPr>
          <w:rFonts w:hint="eastAsia" w:ascii="宋体" w:hAnsi="宋体" w:cs="宋体"/>
          <w:sz w:val="24"/>
          <w:lang w:val="en-US" w:eastAsia="zh-CN"/>
        </w:rPr>
        <w:t>1.1还原剂：6吨；</w:t>
      </w:r>
    </w:p>
    <w:p>
      <w:pPr>
        <w:numPr>
          <w:ilvl w:val="0"/>
          <w:numId w:val="0"/>
        </w:numPr>
        <w:spacing w:line="360" w:lineRule="exact"/>
        <w:jc w:val="left"/>
        <w:rPr>
          <w:rFonts w:hint="eastAsia" w:ascii="宋体" w:hAnsi="宋体" w:eastAsia="宋体" w:cs="宋体"/>
          <w:sz w:val="24"/>
          <w:lang w:val="en-US" w:eastAsia="zh-CN"/>
        </w:rPr>
      </w:pPr>
      <w:r>
        <w:rPr>
          <w:rFonts w:hint="eastAsia" w:ascii="宋体" w:hAnsi="宋体" w:cs="宋体"/>
          <w:sz w:val="24"/>
          <w:lang w:val="en-US" w:eastAsia="zh-CN"/>
        </w:rPr>
        <w:t>1.2阻垢剂：6吨。</w:t>
      </w:r>
    </w:p>
    <w:p>
      <w:pPr>
        <w:numPr>
          <w:ilvl w:val="0"/>
          <w:numId w:val="5"/>
        </w:numPr>
        <w:spacing w:line="360" w:lineRule="exact"/>
        <w:jc w:val="left"/>
        <w:rPr>
          <w:rFonts w:ascii="宋体" w:hAnsi="宋体" w:cs="宋体"/>
          <w:sz w:val="24"/>
        </w:rPr>
      </w:pPr>
      <w:r>
        <w:rPr>
          <w:rFonts w:hint="eastAsia" w:ascii="宋体" w:hAnsi="宋体" w:cs="宋体"/>
          <w:sz w:val="24"/>
          <w:lang w:val="en-US" w:eastAsia="zh-CN"/>
        </w:rPr>
        <w:t>产品采购指标：</w:t>
      </w:r>
    </w:p>
    <w:p>
      <w:pPr>
        <w:numPr>
          <w:ilvl w:val="0"/>
          <w:numId w:val="0"/>
        </w:numPr>
        <w:spacing w:line="360" w:lineRule="exact"/>
        <w:jc w:val="left"/>
        <w:rPr>
          <w:rFonts w:hint="eastAsia" w:ascii="宋体" w:hAnsi="宋体" w:cs="宋体"/>
          <w:sz w:val="24"/>
          <w:lang w:val="en-US" w:eastAsia="zh-CN"/>
        </w:rPr>
      </w:pPr>
      <w:r>
        <w:rPr>
          <w:rFonts w:hint="eastAsia" w:ascii="宋体" w:hAnsi="宋体" w:cs="宋体"/>
          <w:sz w:val="24"/>
          <w:lang w:val="en-US" w:eastAsia="zh-CN"/>
        </w:rPr>
        <w:t>2.1 还原剂：Ph:3.0~5.0比重：1.06～1.1g/cm3，反渗透系统专用；</w:t>
      </w:r>
    </w:p>
    <w:p>
      <w:pPr>
        <w:numPr>
          <w:ilvl w:val="0"/>
          <w:numId w:val="0"/>
        </w:numPr>
        <w:spacing w:line="360" w:lineRule="exact"/>
        <w:jc w:val="left"/>
        <w:rPr>
          <w:rFonts w:hint="eastAsia" w:ascii="宋体" w:hAnsi="宋体" w:cs="宋体"/>
          <w:sz w:val="24"/>
          <w:lang w:val="en-US" w:eastAsia="zh-CN"/>
        </w:rPr>
      </w:pPr>
      <w:r>
        <w:rPr>
          <w:rFonts w:hint="eastAsia" w:ascii="宋体" w:hAnsi="宋体" w:cs="宋体"/>
          <w:sz w:val="24"/>
          <w:lang w:val="en-US" w:eastAsia="zh-CN"/>
        </w:rPr>
        <w:t xml:space="preserve">2.2 阻垢剂：Ph:1.5~2.5比重：1.05～1.15g/cm3，反渗透系统专用。 </w:t>
      </w:r>
    </w:p>
    <w:p>
      <w:pPr>
        <w:numPr>
          <w:ilvl w:val="0"/>
          <w:numId w:val="5"/>
        </w:numPr>
        <w:spacing w:line="360" w:lineRule="exact"/>
        <w:jc w:val="left"/>
        <w:rPr>
          <w:rFonts w:ascii="宋体" w:hAnsi="宋体" w:cs="宋体"/>
          <w:sz w:val="24"/>
        </w:rPr>
      </w:pPr>
      <w:r>
        <w:rPr>
          <w:rFonts w:hint="eastAsia" w:ascii="宋体" w:hAnsi="宋体" w:cs="宋体"/>
          <w:sz w:val="24"/>
        </w:rPr>
        <w:t>包装方式：</w:t>
      </w:r>
      <w:r>
        <w:rPr>
          <w:rFonts w:hint="eastAsia" w:ascii="宋体" w:hAnsi="宋体" w:cs="宋体"/>
          <w:sz w:val="24"/>
          <w:lang w:val="en-US" w:eastAsia="zh-CN"/>
        </w:rPr>
        <w:t>桶装，25KG/桶，带托盘。</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w:t>
      </w:r>
      <w:r>
        <w:rPr>
          <w:rFonts w:hint="eastAsia" w:ascii="宋体" w:hAnsi="宋体"/>
          <w:sz w:val="24"/>
          <w:lang w:val="en-US" w:eastAsia="zh-CN"/>
        </w:rPr>
        <w:t>各分3批次到货，首批各2吨货</w:t>
      </w:r>
      <w:r>
        <w:rPr>
          <w:rFonts w:hint="eastAsia" w:ascii="宋体" w:hAnsi="宋体"/>
          <w:sz w:val="24"/>
        </w:rPr>
        <w:t>物</w:t>
      </w:r>
      <w:r>
        <w:rPr>
          <w:rFonts w:hint="eastAsia" w:ascii="宋体" w:hAnsi="宋体"/>
          <w:sz w:val="24"/>
          <w:lang w:val="en-US" w:eastAsia="zh-CN"/>
        </w:rPr>
        <w:t>需于2023年12月底具备到货条件，具体到货时间以需方通知为准</w:t>
      </w:r>
      <w:r>
        <w:rPr>
          <w:rFonts w:hint="eastAsia" w:ascii="宋体" w:hAnsi="宋体"/>
          <w:sz w:val="24"/>
        </w:rPr>
        <w:t>。</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还原剂、阻垢剂</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w:t>
      </w:r>
      <w:r>
        <w:rPr>
          <w:rFonts w:hint="eastAsia" w:ascii="宋体" w:hAnsi="宋体" w:cs="宋体"/>
          <w:sz w:val="24"/>
          <w:lang w:val="en-US" w:eastAsia="zh-CN"/>
        </w:rPr>
        <w:t>分批到货、分批付款</w:t>
      </w:r>
      <w:r>
        <w:rPr>
          <w:rFonts w:hint="eastAsia" w:ascii="宋体" w:hAnsi="宋体" w:cs="宋体"/>
          <w:sz w:val="24"/>
        </w:rPr>
        <w:t>。</w:t>
      </w:r>
      <w:r>
        <w:rPr>
          <w:rFonts w:hint="eastAsia" w:ascii="宋体" w:hAnsi="宋体" w:cs="宋体"/>
          <w:sz w:val="24"/>
          <w:lang w:val="en-US" w:eastAsia="zh-CN"/>
        </w:rPr>
        <w:t>每批</w:t>
      </w:r>
      <w:r>
        <w:rPr>
          <w:rFonts w:hint="eastAsia" w:ascii="宋体" w:hAnsi="宋体" w:cs="宋体"/>
          <w:sz w:val="24"/>
          <w:highlight w:val="none"/>
        </w:rPr>
        <w:t>产品到货验收合格后</w:t>
      </w:r>
      <w:r>
        <w:rPr>
          <w:rFonts w:hint="eastAsia" w:ascii="宋体" w:hAnsi="宋体" w:cs="宋体"/>
          <w:sz w:val="24"/>
          <w:highlight w:val="none"/>
          <w:lang w:val="en-US" w:eastAsia="zh-CN"/>
        </w:rPr>
        <w:t>付款。</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8.2参选文件应密封，包含比选公告、参选规定及说明、公开比选文件、参选书、法定代表人授权书、报价单上述</w:t>
      </w:r>
      <w:r>
        <w:rPr>
          <w:rFonts w:hint="eastAsia" w:ascii="宋体" w:hAnsi="宋体" w:cs="宋体"/>
          <w:sz w:val="24"/>
          <w:lang w:val="en-US" w:eastAsia="zh-CN"/>
        </w:rPr>
        <w:t>六</w:t>
      </w:r>
      <w:r>
        <w:rPr>
          <w:rFonts w:hint="eastAsia" w:ascii="宋体" w:hAnsi="宋体" w:cs="宋体"/>
          <w:sz w:val="24"/>
        </w:rPr>
        <w:t>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Theme="minorEastAsia" w:hAnsiTheme="minorEastAsia" w:eastAsiaTheme="minorEastAsia"/>
          <w:bCs/>
          <w:sz w:val="24"/>
          <w:lang w:eastAsia="zh-CN"/>
        </w:rPr>
        <w:t>福建福海创石油化工有限公司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eastAsia" w:ascii="宋体" w:hAnsi="宋体"/>
          <w:b/>
          <w:bCs/>
          <w:sz w:val="36"/>
          <w:szCs w:val="36"/>
        </w:rPr>
      </w:pPr>
      <w:r>
        <w:rPr>
          <w:rFonts w:hint="eastAsia" w:ascii="宋体" w:hAnsi="宋体" w:cs="宋体"/>
          <w:sz w:val="24"/>
        </w:rPr>
        <w:t>联系人：卢翠云  手机：13599526303</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lang w:eastAsia="zh-CN"/>
        </w:rPr>
        <w:t>2023-FHC-还原剂、阻垢剂-1110</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2023-FHC-还原剂、阻垢剂-1110</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2023-FHC-还原剂、阻垢剂-1110</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w:t>
      </w:r>
      <w:r>
        <w:rPr>
          <w:rFonts w:hint="eastAsia" w:ascii="宋体" w:hAnsi="宋体"/>
          <w:sz w:val="24"/>
          <w:lang w:val="en-US" w:eastAsia="zh-CN"/>
        </w:rPr>
        <w:t>还原剂、阻垢剂</w:t>
      </w:r>
      <w:r>
        <w:rPr>
          <w:rFonts w:hint="eastAsia" w:ascii="宋体" w:hAnsi="宋体"/>
          <w:sz w:val="24"/>
        </w:rPr>
        <w:t>：</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1.1、还原剂：6吨；含税单价：____ _元/吨；含税总价：______元，税率；</w:t>
      </w:r>
      <w:r>
        <w:rPr>
          <w:rFonts w:hint="eastAsia" w:ascii="宋体" w:hAnsi="宋体"/>
          <w:sz w:val="24"/>
          <w:u w:val="single"/>
          <w:lang w:val="en-US" w:eastAsia="zh-CN"/>
        </w:rPr>
        <w:t xml:space="preserve">13% </w:t>
      </w:r>
      <w:r>
        <w:rPr>
          <w:rFonts w:hint="eastAsia" w:ascii="宋体" w:hAnsi="宋体"/>
          <w:sz w:val="24"/>
          <w:u w:val="none"/>
          <w:lang w:val="en-US" w:eastAsia="zh-CN"/>
        </w:rPr>
        <w:t>；</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1.2、阻垢剂：6吨；含税单价：______元/吨；含税总价：______元，税率；</w:t>
      </w:r>
      <w:r>
        <w:rPr>
          <w:rFonts w:hint="eastAsia" w:ascii="宋体" w:hAnsi="宋体"/>
          <w:sz w:val="24"/>
          <w:u w:val="single"/>
          <w:lang w:val="en-US" w:eastAsia="zh-CN"/>
        </w:rPr>
        <w:t xml:space="preserve">13% </w:t>
      </w:r>
      <w:r>
        <w:rPr>
          <w:rFonts w:hint="eastAsia" w:ascii="宋体" w:hAnsi="宋体"/>
          <w:sz w:val="24"/>
          <w:u w:val="none"/>
          <w:lang w:val="en-US" w:eastAsia="zh-CN"/>
        </w:rPr>
        <w:t>；</w:t>
      </w:r>
    </w:p>
    <w:p>
      <w:pPr>
        <w:numPr>
          <w:ilvl w:val="0"/>
          <w:numId w:val="0"/>
        </w:numPr>
        <w:spacing w:line="312" w:lineRule="auto"/>
        <w:rPr>
          <w:rFonts w:hint="eastAsia" w:ascii="宋体" w:hAnsi="宋体"/>
          <w:b/>
          <w:bCs/>
          <w:sz w:val="24"/>
          <w:lang w:val="en-US" w:eastAsia="zh-CN"/>
        </w:rPr>
      </w:pPr>
      <w:r>
        <w:rPr>
          <w:rFonts w:hint="eastAsia" w:ascii="宋体" w:hAnsi="宋体"/>
          <w:b/>
          <w:bCs/>
          <w:sz w:val="24"/>
          <w:lang w:val="en-US" w:eastAsia="zh-CN"/>
        </w:rPr>
        <w:t>含税总价（1.1+1.2）=________元</w:t>
      </w:r>
      <w:bookmarkStart w:id="2" w:name="_GoBack"/>
      <w:bookmarkEnd w:id="2"/>
      <w:r>
        <w:rPr>
          <w:rFonts w:hint="eastAsia" w:ascii="宋体" w:hAnsi="宋体"/>
          <w:b/>
          <w:bCs/>
          <w:sz w:val="24"/>
          <w:lang w:val="en-US" w:eastAsia="zh-CN"/>
        </w:rPr>
        <w:t>。</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4、采购</w:t>
      </w:r>
      <w:r>
        <w:rPr>
          <w:rFonts w:hint="eastAsia" w:ascii="宋体" w:hAnsi="宋体" w:cs="宋体"/>
          <w:sz w:val="24"/>
          <w:lang w:val="en-US" w:eastAsia="zh-CN"/>
        </w:rPr>
        <w:t>指标</w:t>
      </w:r>
      <w:r>
        <w:rPr>
          <w:rFonts w:hint="eastAsia" w:ascii="宋体" w:hAnsi="宋体"/>
          <w:sz w:val="24"/>
          <w:lang w:val="en-US" w:eastAsia="zh-CN"/>
        </w:rPr>
        <w:t>：</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4.1还原剂：Ph:3.0~5.0比重：1.06～1.1g/cm3，反渗透系统专用；</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 xml:space="preserve">4.2 阻垢剂：Ph:1.5~2.5比重：1.05～1.15g/cm3，反渗透系统专用。 </w:t>
      </w:r>
    </w:p>
    <w:p>
      <w:pPr>
        <w:numPr>
          <w:ilvl w:val="0"/>
          <w:numId w:val="0"/>
        </w:numPr>
        <w:spacing w:line="312" w:lineRule="auto"/>
        <w:rPr>
          <w:rFonts w:hint="eastAsia" w:ascii="宋体" w:hAnsi="宋体"/>
          <w:sz w:val="24"/>
        </w:rPr>
      </w:pPr>
      <w:r>
        <w:rPr>
          <w:rFonts w:hint="eastAsia" w:ascii="宋体" w:hAnsi="宋体"/>
          <w:sz w:val="24"/>
          <w:lang w:val="en-US" w:eastAsia="zh-CN"/>
        </w:rPr>
        <w:t>5、</w:t>
      </w:r>
      <w:r>
        <w:rPr>
          <w:rFonts w:hint="eastAsia" w:ascii="宋体" w:hAnsi="宋体"/>
          <w:sz w:val="24"/>
        </w:rPr>
        <w:t>产品的包装：</w:t>
      </w:r>
      <w:r>
        <w:rPr>
          <w:rFonts w:hint="eastAsia" w:ascii="宋体" w:hAnsi="宋体"/>
          <w:sz w:val="24"/>
          <w:lang w:val="en-US" w:eastAsia="zh-CN"/>
        </w:rPr>
        <w:t>桶装</w:t>
      </w:r>
      <w:r>
        <w:rPr>
          <w:rFonts w:hint="eastAsia" w:ascii="宋体" w:hAnsi="宋体" w:cs="宋体"/>
          <w:sz w:val="24"/>
          <w:lang w:val="en-US" w:eastAsia="zh-CN"/>
        </w:rPr>
        <w:t>，25kg/桶，配套托盘。</w:t>
      </w:r>
    </w:p>
    <w:p>
      <w:pPr>
        <w:numPr>
          <w:ilvl w:val="0"/>
          <w:numId w:val="0"/>
        </w:numPr>
        <w:spacing w:line="312" w:lineRule="auto"/>
        <w:rPr>
          <w:rFonts w:ascii="宋体" w:hAnsi="宋体"/>
          <w:sz w:val="24"/>
        </w:rPr>
      </w:pPr>
      <w:r>
        <w:rPr>
          <w:rFonts w:hint="eastAsia" w:ascii="宋体" w:hAnsi="宋体"/>
          <w:sz w:val="24"/>
          <w:lang w:val="en-US" w:eastAsia="zh-CN"/>
        </w:rPr>
        <w:t>6、</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7、</w:t>
      </w:r>
      <w:r>
        <w:rPr>
          <w:rFonts w:hint="eastAsia" w:ascii="宋体" w:hAnsi="宋体"/>
          <w:sz w:val="24"/>
        </w:rPr>
        <w:t>我司同意在投标前缴纳保证金</w:t>
      </w:r>
      <w:r>
        <w:rPr>
          <w:rFonts w:hint="eastAsia" w:ascii="宋体" w:hAnsi="宋体"/>
          <w:sz w:val="24"/>
          <w:lang w:val="en-US" w:eastAsia="zh-CN"/>
        </w:rPr>
        <w:t>伍仟元</w:t>
      </w:r>
      <w:r>
        <w:rPr>
          <w:rFonts w:hint="eastAsia" w:ascii="宋体" w:hAnsi="宋体"/>
          <w:sz w:val="24"/>
        </w:rPr>
        <w:t>整，若我司中选，我司同意按照要求</w:t>
      </w:r>
      <w:r>
        <w:rPr>
          <w:rFonts w:hint="eastAsia" w:ascii="宋体" w:hAnsi="宋体"/>
          <w:sz w:val="24"/>
          <w:lang w:val="en-US" w:eastAsia="zh-CN"/>
        </w:rPr>
        <w:t>转为履约保证金待履约期满后</w:t>
      </w:r>
      <w:r>
        <w:rPr>
          <w:rFonts w:hint="eastAsia" w:ascii="宋体" w:hAnsi="宋体"/>
          <w:sz w:val="24"/>
        </w:rPr>
        <w:t>申请无息返还。</w:t>
      </w:r>
    </w:p>
    <w:p>
      <w:pPr>
        <w:spacing w:line="360" w:lineRule="exact"/>
        <w:jc w:val="left"/>
        <w:rPr>
          <w:rFonts w:hint="eastAsia" w:ascii="宋体" w:hAnsi="宋体"/>
          <w:sz w:val="24"/>
        </w:rPr>
      </w:pPr>
      <w:r>
        <w:rPr>
          <w:rFonts w:hint="eastAsia" w:ascii="宋体" w:hAnsi="宋体"/>
          <w:sz w:val="24"/>
        </w:rPr>
        <w:t>二、到货期：</w:t>
      </w:r>
      <w:r>
        <w:rPr>
          <w:rFonts w:hint="eastAsia" w:ascii="宋体" w:hAnsi="宋体"/>
          <w:sz w:val="24"/>
          <w:lang w:val="en-US" w:eastAsia="zh-CN"/>
        </w:rPr>
        <w:t>分批</w:t>
      </w:r>
      <w:r>
        <w:rPr>
          <w:rFonts w:hint="eastAsia" w:ascii="宋体" w:hAnsi="宋体"/>
          <w:sz w:val="24"/>
        </w:rPr>
        <w:t>到货，</w:t>
      </w:r>
      <w:r>
        <w:rPr>
          <w:rFonts w:hint="eastAsia" w:ascii="宋体" w:hAnsi="宋体"/>
          <w:sz w:val="24"/>
          <w:lang w:val="en-US" w:eastAsia="zh-CN"/>
        </w:rPr>
        <w:t>首批各2吨</w:t>
      </w:r>
      <w:r>
        <w:rPr>
          <w:rFonts w:hint="eastAsia" w:ascii="宋体" w:hAnsi="宋体"/>
          <w:sz w:val="24"/>
        </w:rPr>
        <w:t>货物</w:t>
      </w:r>
      <w:r>
        <w:rPr>
          <w:rFonts w:hint="eastAsia" w:ascii="宋体" w:hAnsi="宋体"/>
          <w:sz w:val="24"/>
          <w:lang w:val="en-US" w:eastAsia="zh-CN"/>
        </w:rPr>
        <w:t>于2023年12月底具备到货条件，具体到货时间以需方通知为准</w:t>
      </w:r>
      <w:r>
        <w:rPr>
          <w:rFonts w:hint="eastAsia" w:ascii="宋体" w:hAnsi="宋体"/>
          <w:sz w:val="24"/>
        </w:rPr>
        <w:t>。</w:t>
      </w:r>
    </w:p>
    <w:p>
      <w:pPr>
        <w:spacing w:line="360" w:lineRule="auto"/>
        <w:jc w:val="left"/>
        <w:rPr>
          <w:rFonts w:ascii="宋体" w:hAnsi="宋体"/>
          <w:sz w:val="24"/>
        </w:rPr>
      </w:pPr>
      <w:r>
        <w:rPr>
          <w:rFonts w:hint="eastAsia" w:ascii="宋体" w:hAnsi="宋体"/>
          <w:sz w:val="24"/>
        </w:rPr>
        <w:t>三、报价及结算方式：</w:t>
      </w:r>
    </w:p>
    <w:p>
      <w:pPr>
        <w:rPr>
          <w:rFonts w:hint="eastAsia" w:ascii="宋体" w:hAnsi="宋体"/>
          <w:sz w:val="24"/>
        </w:rPr>
      </w:pPr>
      <w:r>
        <w:rPr>
          <w:rFonts w:hint="eastAsia" w:ascii="宋体" w:hAnsi="宋体"/>
          <w:sz w:val="24"/>
        </w:rPr>
        <w:t>1、付款方式：现汇支付，</w:t>
      </w:r>
      <w:r>
        <w:rPr>
          <w:rFonts w:hint="eastAsia" w:ascii="宋体" w:hAnsi="宋体"/>
          <w:sz w:val="24"/>
          <w:lang w:val="en-US" w:eastAsia="zh-CN"/>
        </w:rPr>
        <w:t>分批到货、分批付款。每批</w:t>
      </w:r>
      <w:r>
        <w:rPr>
          <w:rFonts w:hint="eastAsia" w:ascii="宋体" w:hAnsi="宋体"/>
          <w:sz w:val="24"/>
        </w:rPr>
        <w:t>产品到货后，根据合同约定的质量、数量标准验收合格后，供方提供相应金额的</w:t>
      </w:r>
      <w:r>
        <w:rPr>
          <w:rFonts w:hint="eastAsia" w:ascii="宋体" w:hAnsi="宋体"/>
          <w:sz w:val="24"/>
          <w:lang w:val="en-US" w:eastAsia="zh-CN"/>
        </w:rPr>
        <w:t>13%</w:t>
      </w:r>
      <w:r>
        <w:rPr>
          <w:rFonts w:hint="eastAsia" w:ascii="宋体" w:hAnsi="宋体"/>
          <w:sz w:val="24"/>
        </w:rPr>
        <w:t>增值税专用发票以及结算所需的各类清单，需方收到并确认无误后</w:t>
      </w:r>
      <w:r>
        <w:rPr>
          <w:rFonts w:hint="eastAsia" w:ascii="宋体" w:hAnsi="宋体"/>
          <w:sz w:val="24"/>
          <w:lang w:val="en-US" w:eastAsia="zh-CN"/>
        </w:rPr>
        <w:t>付清</w:t>
      </w:r>
      <w:r>
        <w:rPr>
          <w:rFonts w:hint="eastAsia" w:ascii="宋体" w:hAnsi="宋体"/>
          <w:sz w:val="24"/>
        </w:rPr>
        <w:t>。</w:t>
      </w:r>
    </w:p>
    <w:p>
      <w:pPr>
        <w:rPr>
          <w:rFonts w:hint="eastAsia" w:ascii="宋体" w:hAnsi="宋体"/>
          <w:sz w:val="24"/>
        </w:rPr>
      </w:pPr>
      <w:r>
        <w:rPr>
          <w:rFonts w:hint="eastAsia" w:ascii="宋体" w:hAnsi="宋体"/>
          <w:sz w:val="24"/>
        </w:rPr>
        <w:t>四、相关技术要求，以福建福海创石油化工有限公司要求为准！</w:t>
      </w:r>
    </w:p>
    <w:p>
      <w:pPr>
        <w:rPr>
          <w:rFonts w:hint="eastAsia" w:ascii="宋体" w:hAnsi="宋体"/>
          <w:sz w:val="24"/>
          <w:lang w:val="en-US" w:eastAsia="zh-CN"/>
        </w:rPr>
      </w:pPr>
      <w:r>
        <w:rPr>
          <w:rFonts w:hint="eastAsia" w:ascii="宋体" w:hAnsi="宋体"/>
          <w:sz w:val="24"/>
          <w:lang w:val="en-US" w:eastAsia="zh-CN"/>
        </w:rPr>
        <w:t>五、执行时间：合同供货有效期：2023年12月-2024年12月。</w:t>
      </w:r>
    </w:p>
    <w:p>
      <w:pPr>
        <w:rPr>
          <w:rFonts w:hint="eastAsia" w:ascii="宋体" w:hAnsi="宋体" w:eastAsia="宋体"/>
          <w:sz w:val="24"/>
          <w:lang w:val="en-US" w:eastAsia="zh-CN"/>
        </w:rPr>
      </w:pPr>
    </w:p>
    <w:p>
      <w:pPr>
        <w:numPr>
          <w:ilvl w:val="0"/>
          <w:numId w:val="0"/>
        </w:numPr>
        <w:spacing w:line="312" w:lineRule="auto"/>
        <w:rPr>
          <w:rFonts w:ascii="宋体" w:hAnsi="宋体"/>
          <w:sz w:val="24"/>
        </w:rPr>
      </w:pP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lang w:eastAsia="zh-CN"/>
        </w:rPr>
        <w:t>2023-FHC-还原剂、阻垢剂-1110</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w:t>
      </w:r>
      <w:bookmarkEnd w:id="1"/>
      <w:r>
        <w:rPr>
          <w:rFonts w:hint="eastAsia" w:ascii="宋体" w:hAnsi="宋体"/>
          <w:sz w:val="28"/>
          <w:szCs w:val="28"/>
          <w:u w:val="single"/>
          <w:lang w:val="en-US" w:eastAsia="zh-CN"/>
        </w:rPr>
        <w:t>指标要求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指标</w:t>
      </w:r>
      <w:r>
        <w:rPr>
          <w:rFonts w:hint="eastAsia" w:ascii="宋体" w:hAnsi="宋体"/>
          <w:sz w:val="28"/>
          <w:szCs w:val="28"/>
          <w:u w:val="single"/>
        </w:rPr>
        <w:t>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eastAsia"/>
          <w:b/>
          <w:color w:val="000000"/>
          <w:szCs w:val="21"/>
          <w:lang w:val="en-US" w:eastAsia="zh-CN"/>
        </w:rPr>
        <w:t>腾龙芳烃（漳州）有限公司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numPr>
          <w:ilvl w:val="0"/>
          <w:numId w:val="7"/>
        </w:numPr>
        <w:spacing w:line="280" w:lineRule="exact"/>
        <w:rPr>
          <w:rFonts w:hint="eastAsia" w:ascii="宋体" w:hAnsi="宋体" w:cs="宋体"/>
          <w:b/>
          <w:kern w:val="0"/>
          <w:szCs w:val="21"/>
        </w:rPr>
      </w:pPr>
      <w:r>
        <w:rPr>
          <w:rFonts w:hint="eastAsia" w:ascii="宋体" w:hAnsi="宋体"/>
          <w:b/>
          <w:szCs w:val="21"/>
        </w:rPr>
        <w:t>产品名称</w:t>
      </w:r>
      <w:r>
        <w:rPr>
          <w:rFonts w:hint="eastAsia" w:ascii="宋体" w:hAnsi="宋体" w:cs="宋体"/>
          <w:b/>
          <w:kern w:val="0"/>
          <w:szCs w:val="21"/>
        </w:rPr>
        <w:t>、生产厂家、型号规格、计量单位、数量、单价、金额、备注:</w:t>
      </w:r>
    </w:p>
    <w:tbl>
      <w:tblPr>
        <w:tblStyle w:val="11"/>
        <w:tblW w:w="99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750"/>
        <w:gridCol w:w="1515"/>
        <w:gridCol w:w="725"/>
        <w:gridCol w:w="650"/>
        <w:gridCol w:w="770"/>
        <w:gridCol w:w="1210"/>
        <w:gridCol w:w="1150"/>
        <w:gridCol w:w="1032"/>
        <w:gridCol w:w="1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6" w:hRule="atLeast"/>
        </w:trPr>
        <w:tc>
          <w:tcPr>
            <w:tcW w:w="103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75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515"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725"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65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77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210" w:type="dxa"/>
            <w:vAlign w:val="center"/>
          </w:tcPr>
          <w:p>
            <w:pPr>
              <w:spacing w:line="280" w:lineRule="exact"/>
              <w:jc w:val="center"/>
              <w:rPr>
                <w:rFonts w:hint="eastAsia" w:ascii="宋体" w:hAnsi="宋体"/>
                <w:color w:val="000000"/>
                <w:szCs w:val="21"/>
                <w:lang w:val="en-US" w:eastAsia="zh-CN"/>
              </w:rPr>
            </w:pPr>
            <w:r>
              <w:rPr>
                <w:rFonts w:hint="eastAsia" w:ascii="宋体" w:hAnsi="宋体"/>
                <w:color w:val="000000"/>
                <w:szCs w:val="21"/>
                <w:lang w:val="en-US" w:eastAsia="zh-CN"/>
              </w:rPr>
              <w:t>未税总金额</w:t>
            </w:r>
          </w:p>
          <w:p>
            <w:pPr>
              <w:spacing w:line="280" w:lineRule="exact"/>
              <w:jc w:val="center"/>
              <w:rPr>
                <w:rFonts w:hint="eastAsia" w:ascii="宋体" w:hAnsi="宋体" w:eastAsia="宋体"/>
                <w:color w:val="000000"/>
                <w:szCs w:val="21"/>
                <w:lang w:val="en-US" w:eastAsia="zh-CN"/>
              </w:rPr>
            </w:pPr>
            <w:r>
              <w:rPr>
                <w:rFonts w:hint="eastAsia" w:ascii="宋体" w:hAnsi="宋体"/>
                <w:color w:val="000000"/>
                <w:szCs w:val="21"/>
                <w:lang w:val="en-US" w:eastAsia="zh-CN"/>
              </w:rPr>
              <w:t>（元）</w:t>
            </w:r>
          </w:p>
        </w:tc>
        <w:tc>
          <w:tcPr>
            <w:tcW w:w="1150" w:type="dxa"/>
            <w:vAlign w:val="center"/>
          </w:tcPr>
          <w:p>
            <w:pPr>
              <w:spacing w:line="280" w:lineRule="exact"/>
              <w:jc w:val="center"/>
              <w:rPr>
                <w:rFonts w:hint="eastAsia" w:ascii="宋体" w:hAnsi="宋体" w:eastAsia="宋体"/>
                <w:color w:val="000000"/>
                <w:szCs w:val="21"/>
                <w:lang w:val="en-US" w:eastAsia="zh-CN"/>
              </w:rPr>
            </w:pPr>
            <w:r>
              <w:rPr>
                <w:rFonts w:hint="eastAsia" w:ascii="宋体" w:hAnsi="宋体"/>
                <w:color w:val="000000"/>
                <w:szCs w:val="21"/>
                <w:lang w:val="en-US" w:eastAsia="zh-CN"/>
              </w:rPr>
              <w:t>税额  （元）</w:t>
            </w:r>
          </w:p>
        </w:tc>
        <w:tc>
          <w:tcPr>
            <w:tcW w:w="103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1145"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7" w:hRule="atLeast"/>
        </w:trPr>
        <w:tc>
          <w:tcPr>
            <w:tcW w:w="1033" w:type="dxa"/>
            <w:vAlign w:val="center"/>
          </w:tcPr>
          <w:p>
            <w:pPr>
              <w:spacing w:line="280" w:lineRule="exact"/>
              <w:jc w:val="center"/>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还原剂</w:t>
            </w:r>
          </w:p>
        </w:tc>
        <w:tc>
          <w:tcPr>
            <w:tcW w:w="750"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  </w:t>
            </w:r>
          </w:p>
        </w:tc>
        <w:tc>
          <w:tcPr>
            <w:tcW w:w="1515" w:type="dxa"/>
            <w:vAlign w:val="center"/>
          </w:tcPr>
          <w:p>
            <w:pPr>
              <w:spacing w:line="280" w:lineRule="exact"/>
              <w:jc w:val="center"/>
              <w:rPr>
                <w:rFonts w:hint="default" w:ascii="宋体" w:hAnsi="宋体" w:cs="Times New Roman"/>
                <w:color w:val="000000"/>
                <w:sz w:val="21"/>
                <w:szCs w:val="21"/>
                <w:lang w:val="en-US" w:eastAsia="zh-CN"/>
              </w:rPr>
            </w:pPr>
            <w:r>
              <w:rPr>
                <w:rFonts w:hint="default" w:ascii="宋体" w:hAnsi="宋体" w:cs="Times New Roman"/>
                <w:color w:val="000000"/>
                <w:sz w:val="21"/>
                <w:szCs w:val="21"/>
                <w:lang w:val="en-US" w:eastAsia="zh-CN"/>
              </w:rPr>
              <w:t>Ph:3.0~5.0比重：1.06～1.1g/cm3</w:t>
            </w:r>
          </w:p>
        </w:tc>
        <w:tc>
          <w:tcPr>
            <w:tcW w:w="725" w:type="dxa"/>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吨</w:t>
            </w:r>
          </w:p>
        </w:tc>
        <w:tc>
          <w:tcPr>
            <w:tcW w:w="650" w:type="dxa"/>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6</w:t>
            </w:r>
          </w:p>
        </w:tc>
        <w:tc>
          <w:tcPr>
            <w:tcW w:w="770" w:type="dxa"/>
            <w:vAlign w:val="center"/>
          </w:tcPr>
          <w:p>
            <w:pPr>
              <w:spacing w:line="280" w:lineRule="exact"/>
              <w:jc w:val="center"/>
              <w:rPr>
                <w:rFonts w:hint="default" w:ascii="宋体" w:hAnsi="宋体" w:cs="Times New Roman"/>
                <w:color w:val="000000"/>
                <w:sz w:val="21"/>
                <w:szCs w:val="21"/>
                <w:lang w:val="en-US" w:eastAsia="zh-CN"/>
              </w:rPr>
            </w:pPr>
          </w:p>
        </w:tc>
        <w:tc>
          <w:tcPr>
            <w:tcW w:w="1210" w:type="dxa"/>
            <w:vAlign w:val="center"/>
          </w:tcPr>
          <w:p>
            <w:pPr>
              <w:spacing w:line="280" w:lineRule="exact"/>
              <w:jc w:val="center"/>
              <w:rPr>
                <w:rFonts w:hint="default" w:ascii="宋体" w:hAnsi="宋体" w:cs="Times New Roman"/>
                <w:color w:val="000000"/>
                <w:sz w:val="21"/>
                <w:szCs w:val="21"/>
                <w:lang w:val="en-US" w:eastAsia="zh-CN"/>
              </w:rPr>
            </w:pPr>
          </w:p>
        </w:tc>
        <w:tc>
          <w:tcPr>
            <w:tcW w:w="1150" w:type="dxa"/>
            <w:vAlign w:val="center"/>
          </w:tcPr>
          <w:p>
            <w:pPr>
              <w:spacing w:line="280" w:lineRule="exact"/>
              <w:jc w:val="center"/>
              <w:rPr>
                <w:rFonts w:hint="eastAsia" w:ascii="宋体" w:hAnsi="宋体" w:cs="Times New Roman"/>
                <w:color w:val="000000"/>
                <w:sz w:val="21"/>
                <w:szCs w:val="21"/>
                <w:lang w:val="en-US" w:eastAsia="zh-CN"/>
              </w:rPr>
            </w:pPr>
          </w:p>
        </w:tc>
        <w:tc>
          <w:tcPr>
            <w:tcW w:w="1032" w:type="dxa"/>
            <w:vAlign w:val="center"/>
          </w:tcPr>
          <w:p>
            <w:pPr>
              <w:spacing w:line="280" w:lineRule="exact"/>
              <w:jc w:val="center"/>
              <w:rPr>
                <w:rFonts w:hint="eastAsia" w:ascii="宋体" w:hAnsi="宋体" w:cs="Times New Roman"/>
                <w:color w:val="000000"/>
                <w:sz w:val="21"/>
                <w:szCs w:val="21"/>
                <w:lang w:val="en-US" w:eastAsia="zh-CN"/>
              </w:rPr>
            </w:pPr>
          </w:p>
        </w:tc>
        <w:tc>
          <w:tcPr>
            <w:tcW w:w="1145" w:type="dxa"/>
            <w:vMerge w:val="restart"/>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反渗透系统专用，含13%增值税发票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7" w:hRule="atLeast"/>
        </w:trPr>
        <w:tc>
          <w:tcPr>
            <w:tcW w:w="1033" w:type="dxa"/>
            <w:vAlign w:val="center"/>
          </w:tcPr>
          <w:p>
            <w:pPr>
              <w:spacing w:line="280" w:lineRule="exact"/>
              <w:jc w:val="center"/>
              <w:rPr>
                <w:rFonts w:hint="eastAsia" w:ascii="宋体" w:hAnsi="宋体"/>
                <w:color w:val="000000"/>
                <w:sz w:val="21"/>
                <w:szCs w:val="21"/>
                <w:lang w:val="en-US" w:eastAsia="zh-CN"/>
              </w:rPr>
            </w:pPr>
            <w:r>
              <w:rPr>
                <w:rFonts w:hint="eastAsia" w:ascii="宋体" w:hAnsi="宋体"/>
                <w:color w:val="000000"/>
                <w:sz w:val="21"/>
                <w:szCs w:val="21"/>
                <w:lang w:val="en-US" w:eastAsia="zh-CN"/>
              </w:rPr>
              <w:t>阻垢剂</w:t>
            </w:r>
          </w:p>
        </w:tc>
        <w:tc>
          <w:tcPr>
            <w:tcW w:w="750" w:type="dxa"/>
            <w:vAlign w:val="center"/>
          </w:tcPr>
          <w:p>
            <w:pPr>
              <w:spacing w:line="280" w:lineRule="exact"/>
              <w:ind w:firstLine="210" w:firstLineChars="100"/>
              <w:jc w:val="both"/>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w:t>
            </w:r>
          </w:p>
        </w:tc>
        <w:tc>
          <w:tcPr>
            <w:tcW w:w="1515" w:type="dxa"/>
            <w:vAlign w:val="center"/>
          </w:tcPr>
          <w:p>
            <w:pPr>
              <w:spacing w:line="280" w:lineRule="exact"/>
              <w:jc w:val="center"/>
              <w:rPr>
                <w:rFonts w:hint="default" w:ascii="宋体" w:hAnsi="宋体" w:cs="Times New Roman"/>
                <w:color w:val="000000"/>
                <w:sz w:val="21"/>
                <w:szCs w:val="21"/>
                <w:lang w:val="en-US" w:eastAsia="zh-CN"/>
              </w:rPr>
            </w:pPr>
            <w:r>
              <w:rPr>
                <w:rFonts w:hint="default" w:ascii="宋体" w:hAnsi="宋体" w:cs="Times New Roman"/>
                <w:color w:val="000000"/>
                <w:sz w:val="21"/>
                <w:szCs w:val="21"/>
                <w:lang w:val="en-US" w:eastAsia="zh-CN"/>
              </w:rPr>
              <w:t>Ph:1.5~2.5比重：1.05～1.15g/cm3</w:t>
            </w:r>
          </w:p>
        </w:tc>
        <w:tc>
          <w:tcPr>
            <w:tcW w:w="725"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吨</w:t>
            </w:r>
          </w:p>
        </w:tc>
        <w:tc>
          <w:tcPr>
            <w:tcW w:w="650"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6</w:t>
            </w:r>
          </w:p>
        </w:tc>
        <w:tc>
          <w:tcPr>
            <w:tcW w:w="770" w:type="dxa"/>
            <w:vAlign w:val="center"/>
          </w:tcPr>
          <w:p>
            <w:pPr>
              <w:spacing w:line="280" w:lineRule="exact"/>
              <w:jc w:val="center"/>
              <w:rPr>
                <w:rFonts w:hint="default" w:ascii="宋体" w:hAnsi="宋体" w:cs="Times New Roman"/>
                <w:color w:val="000000"/>
                <w:sz w:val="21"/>
                <w:szCs w:val="21"/>
                <w:lang w:val="en-US" w:eastAsia="zh-CN"/>
              </w:rPr>
            </w:pPr>
          </w:p>
        </w:tc>
        <w:tc>
          <w:tcPr>
            <w:tcW w:w="1210" w:type="dxa"/>
            <w:vAlign w:val="center"/>
          </w:tcPr>
          <w:p>
            <w:pPr>
              <w:spacing w:line="280" w:lineRule="exact"/>
              <w:jc w:val="center"/>
              <w:rPr>
                <w:rFonts w:hint="default" w:ascii="宋体" w:hAnsi="宋体" w:cs="Times New Roman"/>
                <w:color w:val="000000"/>
                <w:sz w:val="21"/>
                <w:szCs w:val="21"/>
                <w:lang w:val="en-US" w:eastAsia="zh-CN"/>
              </w:rPr>
            </w:pPr>
          </w:p>
        </w:tc>
        <w:tc>
          <w:tcPr>
            <w:tcW w:w="1150" w:type="dxa"/>
            <w:vAlign w:val="center"/>
          </w:tcPr>
          <w:p>
            <w:pPr>
              <w:spacing w:line="280" w:lineRule="exact"/>
              <w:jc w:val="center"/>
              <w:rPr>
                <w:rFonts w:hint="eastAsia" w:ascii="宋体" w:hAnsi="宋体" w:cs="Times New Roman"/>
                <w:color w:val="000000"/>
                <w:sz w:val="21"/>
                <w:szCs w:val="21"/>
                <w:lang w:val="en-US" w:eastAsia="zh-CN"/>
              </w:rPr>
            </w:pPr>
          </w:p>
        </w:tc>
        <w:tc>
          <w:tcPr>
            <w:tcW w:w="1032" w:type="dxa"/>
            <w:vAlign w:val="center"/>
          </w:tcPr>
          <w:p>
            <w:pPr>
              <w:spacing w:line="280" w:lineRule="exact"/>
              <w:jc w:val="center"/>
              <w:rPr>
                <w:rFonts w:hint="eastAsia" w:ascii="宋体" w:hAnsi="宋体" w:cs="Times New Roman"/>
                <w:color w:val="000000"/>
                <w:sz w:val="21"/>
                <w:szCs w:val="21"/>
                <w:lang w:val="en-US" w:eastAsia="zh-CN"/>
              </w:rPr>
            </w:pPr>
          </w:p>
        </w:tc>
        <w:tc>
          <w:tcPr>
            <w:tcW w:w="1145" w:type="dxa"/>
            <w:vMerge w:val="continue"/>
            <w:vAlign w:val="center"/>
          </w:tcPr>
          <w:p>
            <w:pPr>
              <w:spacing w:line="280" w:lineRule="exact"/>
              <w:jc w:val="center"/>
              <w:rPr>
                <w:rFonts w:hint="eastAsia" w:ascii="宋体" w:hAnsi="宋体"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trPr>
        <w:tc>
          <w:tcPr>
            <w:tcW w:w="3298"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682" w:type="dxa"/>
            <w:gridSpan w:val="7"/>
            <w:vAlign w:val="center"/>
          </w:tcPr>
          <w:p>
            <w:pPr>
              <w:spacing w:line="280" w:lineRule="exact"/>
              <w:rPr>
                <w:rFonts w:hint="eastAsia" w:ascii="宋体" w:hAnsi="宋体" w:eastAsia="宋体"/>
                <w:color w:val="000000"/>
                <w:szCs w:val="21"/>
                <w:lang w:val="en-US" w:eastAsia="zh-CN"/>
              </w:rPr>
            </w:pPr>
          </w:p>
        </w:tc>
      </w:tr>
    </w:tbl>
    <w:p>
      <w:pPr>
        <w:spacing w:line="280" w:lineRule="exact"/>
        <w:rPr>
          <w:rFonts w:hint="eastAsia" w:ascii="宋体" w:hAnsi="宋体"/>
          <w:b w:val="0"/>
          <w:bCs/>
          <w:szCs w:val="21"/>
        </w:rPr>
      </w:pPr>
      <w:r>
        <w:rPr>
          <w:rFonts w:hint="eastAsia" w:ascii="宋体" w:hAnsi="宋体"/>
          <w:b w:val="0"/>
          <w:bCs/>
          <w:szCs w:val="21"/>
        </w:rPr>
        <w:t>二、供货有效期：</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本合同供货有效期：</w:t>
      </w:r>
      <w:r>
        <w:rPr>
          <w:rFonts w:hint="eastAsia" w:ascii="宋体" w:hAnsi="宋体"/>
          <w:b w:val="0"/>
          <w:bCs/>
          <w:szCs w:val="21"/>
          <w:u w:val="single"/>
          <w:lang w:val="en-US" w:eastAsia="zh-CN"/>
        </w:rPr>
        <w:t>从 2023年   月  日至2024年  月  日</w:t>
      </w:r>
      <w:r>
        <w:rPr>
          <w:rFonts w:hint="eastAsia" w:ascii="宋体" w:hAnsi="宋体"/>
          <w:b w:val="0"/>
          <w:bCs/>
          <w:szCs w:val="21"/>
          <w:lang w:val="en-US" w:eastAsia="zh-CN"/>
        </w:rPr>
        <w:t>。本合同供货有效期届满与否，不影响本合同其他条款和组成部分的效力。</w:t>
      </w:r>
    </w:p>
    <w:p>
      <w:pPr>
        <w:spacing w:line="280" w:lineRule="exact"/>
        <w:rPr>
          <w:rFonts w:hint="eastAsia" w:ascii="宋体" w:hAnsi="宋体" w:eastAsia="宋体"/>
          <w:color w:val="000000"/>
          <w:szCs w:val="21"/>
          <w:u w:val="single"/>
          <w:lang w:eastAsia="zh-CN"/>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cs="Arial"/>
          <w:color w:val="000000"/>
          <w:sz w:val="21"/>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single"/>
          <w:lang w:val="en-US" w:eastAsia="zh-CN"/>
        </w:rPr>
        <w:t>还原剂：Ph:3.0~5.0比重：1.06～1.1g/cm3；阻垢剂：Ph:1.5~2.5比重：1.05～1.15g/cm3。</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 xml:space="preserve">_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lang w:val="en-US" w:eastAsia="zh-CN"/>
        </w:rPr>
        <w:t xml:space="preserve"> 桶装，</w:t>
      </w:r>
      <w:r>
        <w:rPr>
          <w:rFonts w:hint="eastAsia" w:ascii="宋体" w:hAnsi="宋体"/>
          <w:szCs w:val="21"/>
          <w:u w:val="single"/>
        </w:rPr>
        <w:t xml:space="preserve"> </w:t>
      </w:r>
      <w:r>
        <w:rPr>
          <w:rFonts w:hint="eastAsia" w:ascii="宋体" w:hAnsi="宋体"/>
          <w:szCs w:val="21"/>
          <w:u w:val="single"/>
          <w:lang w:val="en-US" w:eastAsia="zh-CN"/>
        </w:rPr>
        <w:t xml:space="preserve">25kg/桶，配套托盘。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w:t>
      </w:r>
      <w:r>
        <w:rPr>
          <w:rFonts w:hint="eastAsia" w:ascii="宋体" w:hAnsi="宋体"/>
          <w:b w:val="0"/>
          <w:bCs/>
          <w:szCs w:val="21"/>
          <w:lang w:val="en-US" w:eastAsia="zh-CN"/>
        </w:rPr>
        <w:t>分批到货、分批付款。每批</w:t>
      </w:r>
      <w:r>
        <w:rPr>
          <w:rFonts w:hint="eastAsia" w:ascii="宋体" w:hAnsi="宋体"/>
          <w:b w:val="0"/>
          <w:bCs/>
          <w:szCs w:val="21"/>
        </w:rPr>
        <w:t>产品到货后，根据本合同约定的质量、数量标准验收合格后，供方提供相应金额的</w:t>
      </w:r>
      <w:r>
        <w:rPr>
          <w:rFonts w:hint="eastAsia" w:ascii="宋体" w:hAnsi="宋体"/>
          <w:b w:val="0"/>
          <w:bCs/>
          <w:szCs w:val="21"/>
          <w:lang w:val="en-US" w:eastAsia="zh-CN"/>
        </w:rPr>
        <w:t>13%</w:t>
      </w:r>
      <w:r>
        <w:rPr>
          <w:rFonts w:hint="eastAsia" w:ascii="宋体" w:hAnsi="宋体"/>
          <w:b w:val="0"/>
          <w:bCs/>
          <w:szCs w:val="21"/>
        </w:rPr>
        <w:t>增值税专用发票以及结算所需的各类清单，需方收到并确认无误后</w:t>
      </w:r>
      <w:r>
        <w:rPr>
          <w:rFonts w:hint="eastAsia" w:ascii="宋体" w:hAnsi="宋体"/>
          <w:b w:val="0"/>
          <w:bCs/>
          <w:szCs w:val="21"/>
          <w:lang w:val="en-US" w:eastAsia="zh-CN"/>
        </w:rPr>
        <w:t>付清</w:t>
      </w:r>
      <w:r>
        <w:rPr>
          <w:rFonts w:hint="eastAsia" w:ascii="宋体" w:hAnsi="宋体"/>
          <w:b w:val="0"/>
          <w:bCs/>
          <w:szCs w:val="21"/>
        </w:rPr>
        <w:t>。</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分批到货，首批各2吨货物需于2023年12月底具备到货条件，具体到货时间以需方通知为准。</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腾龙芳烃（漳州）有限公司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1"/>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eastAsia"/>
                <w:b/>
                <w:color w:val="000000"/>
                <w:szCs w:val="21"/>
                <w:lang w:val="en-US" w:eastAsia="zh-CN"/>
              </w:rPr>
              <w:t>腾龙芳烃（漳州）有限公司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5.1供方根据需方要求缴纳履约保证金，金额为人民币伍仟元整。合同履约期届满，供方按合同约定全面履约的情况下，需方于供方提交返还履约保证金申请后30天内无息返还。</w:t>
      </w:r>
    </w:p>
    <w:p>
      <w:pPr>
        <w:spacing w:line="360" w:lineRule="auto"/>
        <w:jc w:val="left"/>
        <w:rPr>
          <w:rFonts w:ascii="宋体" w:hAnsi="宋体" w:cs="宋体"/>
          <w:b/>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auto"/>
    <w:pitch w:val="default"/>
    <w:sig w:usb0="E00006FF" w:usb1="0000FCFF" w:usb2="00000001" w:usb3="00000000" w:csb0="6000019F" w:csb1="DFD70000"/>
  </w:font>
  <w:font w:name="Helvetica">
    <w:altName w:val="Arial"/>
    <w:panose1 w:val="020B0504020202030204"/>
    <w:charset w:val="00"/>
    <w:family w:val="swiss"/>
    <w:pitch w:val="default"/>
    <w:sig w:usb0="00000000" w:usb1="00000000" w:usb2="00000000" w:usb3="00000000" w:csb0="00000093" w:csb1="00000000"/>
  </w:font>
  <w:font w:name="Californian FB">
    <w:altName w:val="Segoe Print"/>
    <w:panose1 w:val="0207040306080B030204"/>
    <w:charset w:val="00"/>
    <w:family w:val="roman"/>
    <w:pitch w:val="default"/>
    <w:sig w:usb0="00000000" w:usb1="00000000" w:usb2="00000000" w:usb3="00000000" w:csb0="20000001" w:csb1="00000000"/>
  </w:font>
  <w:font w:name="Cambria Math">
    <w:panose1 w:val="02040503050406030204"/>
    <w:charset w:val="00"/>
    <w:family w:val="roman"/>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650D0A74"/>
    <w:multiLevelType w:val="singleLevel"/>
    <w:tmpl w:val="650D0A74"/>
    <w:lvl w:ilvl="0" w:tentative="0">
      <w:start w:val="1"/>
      <w:numFmt w:val="chineseCounting"/>
      <w:suff w:val="space"/>
      <w:lvlText w:val="%1、"/>
      <w:lvlJc w:val="left"/>
    </w:lvl>
  </w:abstractNum>
  <w:abstractNum w:abstractNumId="6">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6"/>
  </w:num>
  <w:num w:numId="3">
    <w:abstractNumId w:val="3"/>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139DE"/>
    <w:rsid w:val="00F27F02"/>
    <w:rsid w:val="00F33EB3"/>
    <w:rsid w:val="00F43CBE"/>
    <w:rsid w:val="00F564F6"/>
    <w:rsid w:val="00F66DB4"/>
    <w:rsid w:val="00F7626A"/>
    <w:rsid w:val="00FE0371"/>
    <w:rsid w:val="010D09A4"/>
    <w:rsid w:val="010E293E"/>
    <w:rsid w:val="012B6044"/>
    <w:rsid w:val="015010E5"/>
    <w:rsid w:val="019E09A2"/>
    <w:rsid w:val="01AB4154"/>
    <w:rsid w:val="01C84742"/>
    <w:rsid w:val="02003C03"/>
    <w:rsid w:val="021D391B"/>
    <w:rsid w:val="024C0384"/>
    <w:rsid w:val="02773EF6"/>
    <w:rsid w:val="028503FB"/>
    <w:rsid w:val="02CC4E1D"/>
    <w:rsid w:val="02D53A40"/>
    <w:rsid w:val="03033536"/>
    <w:rsid w:val="03261A08"/>
    <w:rsid w:val="032D15FD"/>
    <w:rsid w:val="032F04D8"/>
    <w:rsid w:val="035E6B52"/>
    <w:rsid w:val="039A1A8C"/>
    <w:rsid w:val="03E270E3"/>
    <w:rsid w:val="03E5328D"/>
    <w:rsid w:val="042207A6"/>
    <w:rsid w:val="04444FBA"/>
    <w:rsid w:val="04675C1C"/>
    <w:rsid w:val="046B7835"/>
    <w:rsid w:val="046E24C0"/>
    <w:rsid w:val="046F7ACF"/>
    <w:rsid w:val="05283FC3"/>
    <w:rsid w:val="052E150C"/>
    <w:rsid w:val="0546217C"/>
    <w:rsid w:val="059A34DA"/>
    <w:rsid w:val="059B734C"/>
    <w:rsid w:val="05C112E8"/>
    <w:rsid w:val="05CE4353"/>
    <w:rsid w:val="05CF5BDF"/>
    <w:rsid w:val="061013A0"/>
    <w:rsid w:val="064416AA"/>
    <w:rsid w:val="06A3708D"/>
    <w:rsid w:val="06A6109A"/>
    <w:rsid w:val="06AB00B1"/>
    <w:rsid w:val="06DA70D7"/>
    <w:rsid w:val="070356B5"/>
    <w:rsid w:val="077632ED"/>
    <w:rsid w:val="07817814"/>
    <w:rsid w:val="078A61DF"/>
    <w:rsid w:val="07C04CC8"/>
    <w:rsid w:val="07E878CC"/>
    <w:rsid w:val="07E87C6B"/>
    <w:rsid w:val="07F06C92"/>
    <w:rsid w:val="07FB0E0D"/>
    <w:rsid w:val="080F7CCD"/>
    <w:rsid w:val="08292233"/>
    <w:rsid w:val="090A2F1F"/>
    <w:rsid w:val="09355F11"/>
    <w:rsid w:val="09825B93"/>
    <w:rsid w:val="098E656B"/>
    <w:rsid w:val="099447D3"/>
    <w:rsid w:val="09AB3BF5"/>
    <w:rsid w:val="09E63A80"/>
    <w:rsid w:val="0A3A75BC"/>
    <w:rsid w:val="0A4D0638"/>
    <w:rsid w:val="0A58515B"/>
    <w:rsid w:val="0A8B6BF2"/>
    <w:rsid w:val="0AB96449"/>
    <w:rsid w:val="0ACC3EB5"/>
    <w:rsid w:val="0ADD75BB"/>
    <w:rsid w:val="0B0D38CD"/>
    <w:rsid w:val="0B35169E"/>
    <w:rsid w:val="0B4A13AC"/>
    <w:rsid w:val="0B816130"/>
    <w:rsid w:val="0B8E420A"/>
    <w:rsid w:val="0BB818C4"/>
    <w:rsid w:val="0C3D7481"/>
    <w:rsid w:val="0C6254BA"/>
    <w:rsid w:val="0C8C5BA5"/>
    <w:rsid w:val="0CF127D7"/>
    <w:rsid w:val="0CFA5163"/>
    <w:rsid w:val="0D0C63AE"/>
    <w:rsid w:val="0D6B0608"/>
    <w:rsid w:val="0DAD56B9"/>
    <w:rsid w:val="0DD566C4"/>
    <w:rsid w:val="0DF4437C"/>
    <w:rsid w:val="0E02486F"/>
    <w:rsid w:val="0E05669E"/>
    <w:rsid w:val="0E3D2F5D"/>
    <w:rsid w:val="0E3F22A2"/>
    <w:rsid w:val="0E830791"/>
    <w:rsid w:val="0E8B20AA"/>
    <w:rsid w:val="0E9503CA"/>
    <w:rsid w:val="0EE26DF9"/>
    <w:rsid w:val="0EE30943"/>
    <w:rsid w:val="0F3141ED"/>
    <w:rsid w:val="0F4E62EA"/>
    <w:rsid w:val="0F821B8F"/>
    <w:rsid w:val="0F84644E"/>
    <w:rsid w:val="0F8C0A60"/>
    <w:rsid w:val="0FA364D6"/>
    <w:rsid w:val="0FCE6C96"/>
    <w:rsid w:val="0FE34343"/>
    <w:rsid w:val="10167D42"/>
    <w:rsid w:val="105A2ADD"/>
    <w:rsid w:val="105B6F62"/>
    <w:rsid w:val="108E2EA4"/>
    <w:rsid w:val="10C613A6"/>
    <w:rsid w:val="10F1561E"/>
    <w:rsid w:val="111E4EA7"/>
    <w:rsid w:val="1141497F"/>
    <w:rsid w:val="117122AD"/>
    <w:rsid w:val="11715093"/>
    <w:rsid w:val="118A38B5"/>
    <w:rsid w:val="122E4A94"/>
    <w:rsid w:val="125F61EF"/>
    <w:rsid w:val="12737A03"/>
    <w:rsid w:val="12837C22"/>
    <w:rsid w:val="12A4597C"/>
    <w:rsid w:val="12CF31F9"/>
    <w:rsid w:val="12EA195B"/>
    <w:rsid w:val="12F479DF"/>
    <w:rsid w:val="1363320F"/>
    <w:rsid w:val="1387789C"/>
    <w:rsid w:val="13B74194"/>
    <w:rsid w:val="142F7DC3"/>
    <w:rsid w:val="14934E33"/>
    <w:rsid w:val="14937361"/>
    <w:rsid w:val="149868E6"/>
    <w:rsid w:val="14AC7A1A"/>
    <w:rsid w:val="14FC5116"/>
    <w:rsid w:val="15033088"/>
    <w:rsid w:val="150647E6"/>
    <w:rsid w:val="15101A52"/>
    <w:rsid w:val="15125849"/>
    <w:rsid w:val="15156ACE"/>
    <w:rsid w:val="15273F34"/>
    <w:rsid w:val="15BF2E22"/>
    <w:rsid w:val="15C23309"/>
    <w:rsid w:val="15C31A47"/>
    <w:rsid w:val="15F16D9A"/>
    <w:rsid w:val="15FE1378"/>
    <w:rsid w:val="15FE1EB4"/>
    <w:rsid w:val="16172661"/>
    <w:rsid w:val="16270A04"/>
    <w:rsid w:val="164D0B5D"/>
    <w:rsid w:val="165069FC"/>
    <w:rsid w:val="16C37041"/>
    <w:rsid w:val="16E52F30"/>
    <w:rsid w:val="1728156C"/>
    <w:rsid w:val="172B49B7"/>
    <w:rsid w:val="173B43BC"/>
    <w:rsid w:val="178C691A"/>
    <w:rsid w:val="179453BC"/>
    <w:rsid w:val="17C65FBB"/>
    <w:rsid w:val="183B0D71"/>
    <w:rsid w:val="184968FC"/>
    <w:rsid w:val="185D1C5F"/>
    <w:rsid w:val="188C5585"/>
    <w:rsid w:val="18C27F65"/>
    <w:rsid w:val="18FA6BBD"/>
    <w:rsid w:val="191A3D61"/>
    <w:rsid w:val="192A2CC6"/>
    <w:rsid w:val="19891643"/>
    <w:rsid w:val="19D259F7"/>
    <w:rsid w:val="19E16E8E"/>
    <w:rsid w:val="19F04AD4"/>
    <w:rsid w:val="1A2F6DF9"/>
    <w:rsid w:val="1A3168AB"/>
    <w:rsid w:val="1A4C05AB"/>
    <w:rsid w:val="1A4F0A64"/>
    <w:rsid w:val="1AF22A1C"/>
    <w:rsid w:val="1AFD66F4"/>
    <w:rsid w:val="1B233A0E"/>
    <w:rsid w:val="1B7C1123"/>
    <w:rsid w:val="1B8F7883"/>
    <w:rsid w:val="1B927AE6"/>
    <w:rsid w:val="1BC93515"/>
    <w:rsid w:val="1C1B3FE4"/>
    <w:rsid w:val="1C513BF0"/>
    <w:rsid w:val="1C8261A0"/>
    <w:rsid w:val="1CB010AE"/>
    <w:rsid w:val="1CD67713"/>
    <w:rsid w:val="1CF31038"/>
    <w:rsid w:val="1D0113C9"/>
    <w:rsid w:val="1D05782C"/>
    <w:rsid w:val="1DB72E7F"/>
    <w:rsid w:val="1DDB74E0"/>
    <w:rsid w:val="1E2F61EF"/>
    <w:rsid w:val="1E3264F3"/>
    <w:rsid w:val="1E600A9D"/>
    <w:rsid w:val="1EB505E6"/>
    <w:rsid w:val="1EBD3B62"/>
    <w:rsid w:val="1EFA5036"/>
    <w:rsid w:val="1F02429F"/>
    <w:rsid w:val="1F133081"/>
    <w:rsid w:val="1F590291"/>
    <w:rsid w:val="1FE8372F"/>
    <w:rsid w:val="1FF33143"/>
    <w:rsid w:val="207E3421"/>
    <w:rsid w:val="208A175C"/>
    <w:rsid w:val="2090579A"/>
    <w:rsid w:val="20AF45AF"/>
    <w:rsid w:val="20ED0AFC"/>
    <w:rsid w:val="215846DF"/>
    <w:rsid w:val="21975493"/>
    <w:rsid w:val="21BD6DBB"/>
    <w:rsid w:val="22345BE0"/>
    <w:rsid w:val="224B2121"/>
    <w:rsid w:val="22521DD3"/>
    <w:rsid w:val="227B0690"/>
    <w:rsid w:val="228E5A58"/>
    <w:rsid w:val="22904C78"/>
    <w:rsid w:val="22A35795"/>
    <w:rsid w:val="22A62B30"/>
    <w:rsid w:val="22ED3ED6"/>
    <w:rsid w:val="23464916"/>
    <w:rsid w:val="23496B54"/>
    <w:rsid w:val="23532FBD"/>
    <w:rsid w:val="237B661E"/>
    <w:rsid w:val="238B4E5F"/>
    <w:rsid w:val="23BF50C8"/>
    <w:rsid w:val="23CC07DA"/>
    <w:rsid w:val="23E45D13"/>
    <w:rsid w:val="23F24C55"/>
    <w:rsid w:val="241D1936"/>
    <w:rsid w:val="247C7073"/>
    <w:rsid w:val="2496308D"/>
    <w:rsid w:val="24A9374C"/>
    <w:rsid w:val="258777C9"/>
    <w:rsid w:val="2589209A"/>
    <w:rsid w:val="25B40CD0"/>
    <w:rsid w:val="25CB1E8B"/>
    <w:rsid w:val="25E0040C"/>
    <w:rsid w:val="25F3676D"/>
    <w:rsid w:val="26035576"/>
    <w:rsid w:val="2665006F"/>
    <w:rsid w:val="26AA092A"/>
    <w:rsid w:val="273A5487"/>
    <w:rsid w:val="274761A1"/>
    <w:rsid w:val="27876613"/>
    <w:rsid w:val="27937EDA"/>
    <w:rsid w:val="27CF60B0"/>
    <w:rsid w:val="27E234BC"/>
    <w:rsid w:val="28012C6B"/>
    <w:rsid w:val="280475E2"/>
    <w:rsid w:val="28170E7E"/>
    <w:rsid w:val="282C18E9"/>
    <w:rsid w:val="282C6996"/>
    <w:rsid w:val="285B7C69"/>
    <w:rsid w:val="28B0150E"/>
    <w:rsid w:val="28D51D40"/>
    <w:rsid w:val="293555E2"/>
    <w:rsid w:val="295A4021"/>
    <w:rsid w:val="299A1AD2"/>
    <w:rsid w:val="29AC4DAC"/>
    <w:rsid w:val="29AF67CE"/>
    <w:rsid w:val="29B80978"/>
    <w:rsid w:val="29CE07E6"/>
    <w:rsid w:val="29D17C38"/>
    <w:rsid w:val="29DA1C97"/>
    <w:rsid w:val="2A587284"/>
    <w:rsid w:val="2A5F5D1F"/>
    <w:rsid w:val="2A7427E2"/>
    <w:rsid w:val="2A893557"/>
    <w:rsid w:val="2A8B1681"/>
    <w:rsid w:val="2AAB2012"/>
    <w:rsid w:val="2AC0562D"/>
    <w:rsid w:val="2AC11AAE"/>
    <w:rsid w:val="2AE84D10"/>
    <w:rsid w:val="2B2F6BD9"/>
    <w:rsid w:val="2B415816"/>
    <w:rsid w:val="2B4658AA"/>
    <w:rsid w:val="2B4A75F4"/>
    <w:rsid w:val="2B8E1B57"/>
    <w:rsid w:val="2B8E71EA"/>
    <w:rsid w:val="2BA705F6"/>
    <w:rsid w:val="2BBC3B25"/>
    <w:rsid w:val="2BD31416"/>
    <w:rsid w:val="2BD36FC0"/>
    <w:rsid w:val="2BDA3FC5"/>
    <w:rsid w:val="2BE04E2E"/>
    <w:rsid w:val="2C0B2A13"/>
    <w:rsid w:val="2C201604"/>
    <w:rsid w:val="2C31119D"/>
    <w:rsid w:val="2C3328C4"/>
    <w:rsid w:val="2C3D6896"/>
    <w:rsid w:val="2C5548F9"/>
    <w:rsid w:val="2CFC1CDC"/>
    <w:rsid w:val="2D054363"/>
    <w:rsid w:val="2D2B1461"/>
    <w:rsid w:val="2DA319DC"/>
    <w:rsid w:val="2DD12B8D"/>
    <w:rsid w:val="2DF06759"/>
    <w:rsid w:val="2E08055D"/>
    <w:rsid w:val="2E12514F"/>
    <w:rsid w:val="2E351771"/>
    <w:rsid w:val="2E464305"/>
    <w:rsid w:val="2E5D51E4"/>
    <w:rsid w:val="2E5E1E99"/>
    <w:rsid w:val="2E9A3102"/>
    <w:rsid w:val="2EAD2321"/>
    <w:rsid w:val="2EF7551C"/>
    <w:rsid w:val="2F1F4355"/>
    <w:rsid w:val="2F210D6D"/>
    <w:rsid w:val="2F7C2C25"/>
    <w:rsid w:val="2F8E0962"/>
    <w:rsid w:val="2FA30B14"/>
    <w:rsid w:val="2FBC4452"/>
    <w:rsid w:val="2FBD5AB0"/>
    <w:rsid w:val="2FFE7C5C"/>
    <w:rsid w:val="30071591"/>
    <w:rsid w:val="30243F4A"/>
    <w:rsid w:val="303240F6"/>
    <w:rsid w:val="30725A8E"/>
    <w:rsid w:val="30985912"/>
    <w:rsid w:val="30E60CDF"/>
    <w:rsid w:val="31183D8E"/>
    <w:rsid w:val="312B136C"/>
    <w:rsid w:val="3165141F"/>
    <w:rsid w:val="31771119"/>
    <w:rsid w:val="31934494"/>
    <w:rsid w:val="319D55BA"/>
    <w:rsid w:val="31CE1FAB"/>
    <w:rsid w:val="31F46862"/>
    <w:rsid w:val="322E15C8"/>
    <w:rsid w:val="322E5C7B"/>
    <w:rsid w:val="323D28AC"/>
    <w:rsid w:val="32492609"/>
    <w:rsid w:val="328F6057"/>
    <w:rsid w:val="32A75EF3"/>
    <w:rsid w:val="32AE7831"/>
    <w:rsid w:val="33413E8A"/>
    <w:rsid w:val="335E264F"/>
    <w:rsid w:val="337530C8"/>
    <w:rsid w:val="338059AD"/>
    <w:rsid w:val="33EA7F3E"/>
    <w:rsid w:val="33F1490B"/>
    <w:rsid w:val="340F4394"/>
    <w:rsid w:val="345B10E7"/>
    <w:rsid w:val="346720B7"/>
    <w:rsid w:val="347C5E46"/>
    <w:rsid w:val="352C0C5B"/>
    <w:rsid w:val="35490544"/>
    <w:rsid w:val="35B058C7"/>
    <w:rsid w:val="35DE34F2"/>
    <w:rsid w:val="35F871FB"/>
    <w:rsid w:val="35FC498E"/>
    <w:rsid w:val="36417C8D"/>
    <w:rsid w:val="366436B8"/>
    <w:rsid w:val="36886515"/>
    <w:rsid w:val="368A2F91"/>
    <w:rsid w:val="368B1D4A"/>
    <w:rsid w:val="369F3C73"/>
    <w:rsid w:val="36AC3A23"/>
    <w:rsid w:val="36E821CF"/>
    <w:rsid w:val="36E954BF"/>
    <w:rsid w:val="36FA78CD"/>
    <w:rsid w:val="3768338E"/>
    <w:rsid w:val="37702EA5"/>
    <w:rsid w:val="37945B49"/>
    <w:rsid w:val="379D3B99"/>
    <w:rsid w:val="37ED7F2D"/>
    <w:rsid w:val="381C0BFA"/>
    <w:rsid w:val="38227768"/>
    <w:rsid w:val="387939C8"/>
    <w:rsid w:val="38814998"/>
    <w:rsid w:val="389E1C96"/>
    <w:rsid w:val="38A94FE7"/>
    <w:rsid w:val="38AA55C5"/>
    <w:rsid w:val="38BA64A1"/>
    <w:rsid w:val="38C64245"/>
    <w:rsid w:val="38F01FCD"/>
    <w:rsid w:val="39057ED7"/>
    <w:rsid w:val="39137A71"/>
    <w:rsid w:val="3955569C"/>
    <w:rsid w:val="39657C8F"/>
    <w:rsid w:val="3969383E"/>
    <w:rsid w:val="39882841"/>
    <w:rsid w:val="39A410FA"/>
    <w:rsid w:val="39ED2847"/>
    <w:rsid w:val="3A0E47AA"/>
    <w:rsid w:val="3A4967DD"/>
    <w:rsid w:val="3A500A72"/>
    <w:rsid w:val="3A5116BA"/>
    <w:rsid w:val="3A5B7748"/>
    <w:rsid w:val="3A6212A7"/>
    <w:rsid w:val="3A86578A"/>
    <w:rsid w:val="3A87079F"/>
    <w:rsid w:val="3A8C3BAF"/>
    <w:rsid w:val="3AD63889"/>
    <w:rsid w:val="3ADE5E05"/>
    <w:rsid w:val="3AF0438B"/>
    <w:rsid w:val="3B053E48"/>
    <w:rsid w:val="3B293E28"/>
    <w:rsid w:val="3B2F7891"/>
    <w:rsid w:val="3B573FA4"/>
    <w:rsid w:val="3BD4036B"/>
    <w:rsid w:val="3C1D4BEF"/>
    <w:rsid w:val="3C1E5B01"/>
    <w:rsid w:val="3C333506"/>
    <w:rsid w:val="3C656913"/>
    <w:rsid w:val="3C94066E"/>
    <w:rsid w:val="3CFE624A"/>
    <w:rsid w:val="3D1251D3"/>
    <w:rsid w:val="3D173430"/>
    <w:rsid w:val="3D1A5549"/>
    <w:rsid w:val="3D3B5E19"/>
    <w:rsid w:val="3D470E27"/>
    <w:rsid w:val="3D475A63"/>
    <w:rsid w:val="3E032F87"/>
    <w:rsid w:val="3E287885"/>
    <w:rsid w:val="3E447FF5"/>
    <w:rsid w:val="3E536639"/>
    <w:rsid w:val="3EDD1B97"/>
    <w:rsid w:val="3EEE28F9"/>
    <w:rsid w:val="3EEF5D06"/>
    <w:rsid w:val="3F1539A0"/>
    <w:rsid w:val="3F1E4982"/>
    <w:rsid w:val="3F516B77"/>
    <w:rsid w:val="3FEE6A4A"/>
    <w:rsid w:val="401F30A7"/>
    <w:rsid w:val="40222763"/>
    <w:rsid w:val="40457BFD"/>
    <w:rsid w:val="40705383"/>
    <w:rsid w:val="40831E81"/>
    <w:rsid w:val="40891F67"/>
    <w:rsid w:val="408C76E2"/>
    <w:rsid w:val="409057BD"/>
    <w:rsid w:val="41186225"/>
    <w:rsid w:val="414E2379"/>
    <w:rsid w:val="416F5968"/>
    <w:rsid w:val="417A6877"/>
    <w:rsid w:val="418324AC"/>
    <w:rsid w:val="41A04200"/>
    <w:rsid w:val="41A32F85"/>
    <w:rsid w:val="420F20F6"/>
    <w:rsid w:val="42203971"/>
    <w:rsid w:val="42257F84"/>
    <w:rsid w:val="422D3D55"/>
    <w:rsid w:val="42680DF6"/>
    <w:rsid w:val="428E4E02"/>
    <w:rsid w:val="429348DE"/>
    <w:rsid w:val="42A360CB"/>
    <w:rsid w:val="42BF0693"/>
    <w:rsid w:val="42DA60A9"/>
    <w:rsid w:val="42DC0DDB"/>
    <w:rsid w:val="43396FCF"/>
    <w:rsid w:val="43434628"/>
    <w:rsid w:val="43482915"/>
    <w:rsid w:val="4351032C"/>
    <w:rsid w:val="4355293C"/>
    <w:rsid w:val="439439C5"/>
    <w:rsid w:val="4395062C"/>
    <w:rsid w:val="43D46D19"/>
    <w:rsid w:val="44121C5D"/>
    <w:rsid w:val="44236751"/>
    <w:rsid w:val="448C78B8"/>
    <w:rsid w:val="44B2410D"/>
    <w:rsid w:val="44CB1108"/>
    <w:rsid w:val="44E4129A"/>
    <w:rsid w:val="450119B0"/>
    <w:rsid w:val="453F611C"/>
    <w:rsid w:val="454D6E39"/>
    <w:rsid w:val="458C6584"/>
    <w:rsid w:val="45C94E39"/>
    <w:rsid w:val="45CD5D18"/>
    <w:rsid w:val="45D568DB"/>
    <w:rsid w:val="45E64357"/>
    <w:rsid w:val="46320679"/>
    <w:rsid w:val="46495A0E"/>
    <w:rsid w:val="464B079B"/>
    <w:rsid w:val="468077A8"/>
    <w:rsid w:val="468E6ECD"/>
    <w:rsid w:val="46AB53AC"/>
    <w:rsid w:val="46EA56DB"/>
    <w:rsid w:val="476C6251"/>
    <w:rsid w:val="479C322F"/>
    <w:rsid w:val="47A06F4B"/>
    <w:rsid w:val="47A978DA"/>
    <w:rsid w:val="48037F6C"/>
    <w:rsid w:val="480C6C1B"/>
    <w:rsid w:val="480D6B6D"/>
    <w:rsid w:val="48295411"/>
    <w:rsid w:val="48B268BC"/>
    <w:rsid w:val="48B551F1"/>
    <w:rsid w:val="48DB51F8"/>
    <w:rsid w:val="48DF13FB"/>
    <w:rsid w:val="493B7D23"/>
    <w:rsid w:val="493D3C11"/>
    <w:rsid w:val="49545F4C"/>
    <w:rsid w:val="497038CD"/>
    <w:rsid w:val="497205C6"/>
    <w:rsid w:val="49730A66"/>
    <w:rsid w:val="499A66C3"/>
    <w:rsid w:val="49AC538B"/>
    <w:rsid w:val="4A532137"/>
    <w:rsid w:val="4A784075"/>
    <w:rsid w:val="4A9E208F"/>
    <w:rsid w:val="4AEC33B6"/>
    <w:rsid w:val="4B2451E8"/>
    <w:rsid w:val="4B3D4012"/>
    <w:rsid w:val="4B4A24A6"/>
    <w:rsid w:val="4B732702"/>
    <w:rsid w:val="4B905F19"/>
    <w:rsid w:val="4B945212"/>
    <w:rsid w:val="4BC2454D"/>
    <w:rsid w:val="4BF23409"/>
    <w:rsid w:val="4BF27690"/>
    <w:rsid w:val="4C204881"/>
    <w:rsid w:val="4C775DE6"/>
    <w:rsid w:val="4C82133E"/>
    <w:rsid w:val="4CA3109F"/>
    <w:rsid w:val="4CF17094"/>
    <w:rsid w:val="4D13604C"/>
    <w:rsid w:val="4D845D59"/>
    <w:rsid w:val="4D96579A"/>
    <w:rsid w:val="4DA80E22"/>
    <w:rsid w:val="4DB81F38"/>
    <w:rsid w:val="4DE92DD7"/>
    <w:rsid w:val="4DFE7BC4"/>
    <w:rsid w:val="4E0062C6"/>
    <w:rsid w:val="4E0D5475"/>
    <w:rsid w:val="4E6B6CEB"/>
    <w:rsid w:val="4EAD5D22"/>
    <w:rsid w:val="4EB55D53"/>
    <w:rsid w:val="4F074C4A"/>
    <w:rsid w:val="4F7714C8"/>
    <w:rsid w:val="4F7B6890"/>
    <w:rsid w:val="4F8D5360"/>
    <w:rsid w:val="4FA265C1"/>
    <w:rsid w:val="4FAF2ACB"/>
    <w:rsid w:val="4FF14958"/>
    <w:rsid w:val="503B5A8A"/>
    <w:rsid w:val="505852F6"/>
    <w:rsid w:val="505B42E2"/>
    <w:rsid w:val="507E72C1"/>
    <w:rsid w:val="508235A6"/>
    <w:rsid w:val="50BB3ACD"/>
    <w:rsid w:val="50DA618C"/>
    <w:rsid w:val="50DE33C7"/>
    <w:rsid w:val="512F6EC2"/>
    <w:rsid w:val="513242BC"/>
    <w:rsid w:val="513403C7"/>
    <w:rsid w:val="518B38CB"/>
    <w:rsid w:val="51A5721F"/>
    <w:rsid w:val="51E145FD"/>
    <w:rsid w:val="51E51CC3"/>
    <w:rsid w:val="52350240"/>
    <w:rsid w:val="52540370"/>
    <w:rsid w:val="52670AC3"/>
    <w:rsid w:val="529A77A5"/>
    <w:rsid w:val="53396CC8"/>
    <w:rsid w:val="53523F58"/>
    <w:rsid w:val="536C4A8A"/>
    <w:rsid w:val="53B23CBD"/>
    <w:rsid w:val="53ED6794"/>
    <w:rsid w:val="542657F3"/>
    <w:rsid w:val="542A50A2"/>
    <w:rsid w:val="542D5399"/>
    <w:rsid w:val="542E0631"/>
    <w:rsid w:val="54344BC6"/>
    <w:rsid w:val="543E14AB"/>
    <w:rsid w:val="548702A8"/>
    <w:rsid w:val="54B07CA4"/>
    <w:rsid w:val="54DD2BD3"/>
    <w:rsid w:val="54F02C86"/>
    <w:rsid w:val="553E317D"/>
    <w:rsid w:val="554D2C1E"/>
    <w:rsid w:val="554F462E"/>
    <w:rsid w:val="556D7264"/>
    <w:rsid w:val="559230BD"/>
    <w:rsid w:val="55D17498"/>
    <w:rsid w:val="55E907A3"/>
    <w:rsid w:val="55E92CB5"/>
    <w:rsid w:val="55ED4F49"/>
    <w:rsid w:val="56325307"/>
    <w:rsid w:val="5659474A"/>
    <w:rsid w:val="5670014B"/>
    <w:rsid w:val="56732B47"/>
    <w:rsid w:val="5733660F"/>
    <w:rsid w:val="573834F1"/>
    <w:rsid w:val="573F1B67"/>
    <w:rsid w:val="57463334"/>
    <w:rsid w:val="574B6739"/>
    <w:rsid w:val="574D21DE"/>
    <w:rsid w:val="578B6597"/>
    <w:rsid w:val="57942C39"/>
    <w:rsid w:val="579B088D"/>
    <w:rsid w:val="57CE3AEC"/>
    <w:rsid w:val="57D17BC2"/>
    <w:rsid w:val="57EB2081"/>
    <w:rsid w:val="583F04BE"/>
    <w:rsid w:val="5845276D"/>
    <w:rsid w:val="58BD4EAA"/>
    <w:rsid w:val="58C534B8"/>
    <w:rsid w:val="58DA20C8"/>
    <w:rsid w:val="58FE6BB9"/>
    <w:rsid w:val="592E0C31"/>
    <w:rsid w:val="5930567C"/>
    <w:rsid w:val="593259F3"/>
    <w:rsid w:val="594531C0"/>
    <w:rsid w:val="59B64E5B"/>
    <w:rsid w:val="59C41AA5"/>
    <w:rsid w:val="5A196198"/>
    <w:rsid w:val="5A36290A"/>
    <w:rsid w:val="5A950896"/>
    <w:rsid w:val="5ADF4D0F"/>
    <w:rsid w:val="5B004781"/>
    <w:rsid w:val="5B416702"/>
    <w:rsid w:val="5B4D6D91"/>
    <w:rsid w:val="5B510FBA"/>
    <w:rsid w:val="5B5E370D"/>
    <w:rsid w:val="5B713427"/>
    <w:rsid w:val="5B8152A6"/>
    <w:rsid w:val="5B964C3B"/>
    <w:rsid w:val="5BF847A4"/>
    <w:rsid w:val="5C1F20CC"/>
    <w:rsid w:val="5C4F430C"/>
    <w:rsid w:val="5C514191"/>
    <w:rsid w:val="5C8B0489"/>
    <w:rsid w:val="5D3038FF"/>
    <w:rsid w:val="5D667D0F"/>
    <w:rsid w:val="5DCB432F"/>
    <w:rsid w:val="5DD6127D"/>
    <w:rsid w:val="5DD956B5"/>
    <w:rsid w:val="5DE04163"/>
    <w:rsid w:val="5DEC7C19"/>
    <w:rsid w:val="5DFC0EB0"/>
    <w:rsid w:val="5E086E60"/>
    <w:rsid w:val="5E5A69BB"/>
    <w:rsid w:val="5E5B4B1E"/>
    <w:rsid w:val="5E806603"/>
    <w:rsid w:val="5EDC2437"/>
    <w:rsid w:val="5F0D17C2"/>
    <w:rsid w:val="5F3C0936"/>
    <w:rsid w:val="5F5A2BA2"/>
    <w:rsid w:val="5F683B20"/>
    <w:rsid w:val="5F6A1B70"/>
    <w:rsid w:val="5F715923"/>
    <w:rsid w:val="5F7376F7"/>
    <w:rsid w:val="5F74528F"/>
    <w:rsid w:val="5F905960"/>
    <w:rsid w:val="5FAD0C82"/>
    <w:rsid w:val="600E16AB"/>
    <w:rsid w:val="603C6B90"/>
    <w:rsid w:val="608B4D11"/>
    <w:rsid w:val="60B146AA"/>
    <w:rsid w:val="60E930B4"/>
    <w:rsid w:val="610236D1"/>
    <w:rsid w:val="61034DA8"/>
    <w:rsid w:val="61391E0A"/>
    <w:rsid w:val="61716ECA"/>
    <w:rsid w:val="619F1CF1"/>
    <w:rsid w:val="61A00D6C"/>
    <w:rsid w:val="61EC3C39"/>
    <w:rsid w:val="62093EA3"/>
    <w:rsid w:val="620B0745"/>
    <w:rsid w:val="6229181C"/>
    <w:rsid w:val="62293292"/>
    <w:rsid w:val="625B2CD4"/>
    <w:rsid w:val="62772330"/>
    <w:rsid w:val="6290553E"/>
    <w:rsid w:val="629851A9"/>
    <w:rsid w:val="62B657FF"/>
    <w:rsid w:val="62C03657"/>
    <w:rsid w:val="62F96812"/>
    <w:rsid w:val="634B6B7B"/>
    <w:rsid w:val="64383FFB"/>
    <w:rsid w:val="6457654C"/>
    <w:rsid w:val="64834708"/>
    <w:rsid w:val="64AC0A38"/>
    <w:rsid w:val="64D45316"/>
    <w:rsid w:val="651A5C4B"/>
    <w:rsid w:val="653116C9"/>
    <w:rsid w:val="653A164C"/>
    <w:rsid w:val="65833E88"/>
    <w:rsid w:val="65B31BCC"/>
    <w:rsid w:val="65B87A10"/>
    <w:rsid w:val="65D35C16"/>
    <w:rsid w:val="6606215B"/>
    <w:rsid w:val="666879C6"/>
    <w:rsid w:val="66AC19DC"/>
    <w:rsid w:val="66B94814"/>
    <w:rsid w:val="66EA1E3B"/>
    <w:rsid w:val="671B3499"/>
    <w:rsid w:val="6774663E"/>
    <w:rsid w:val="67895629"/>
    <w:rsid w:val="67956067"/>
    <w:rsid w:val="67B71CB2"/>
    <w:rsid w:val="68031777"/>
    <w:rsid w:val="68353249"/>
    <w:rsid w:val="685272E2"/>
    <w:rsid w:val="68767A40"/>
    <w:rsid w:val="68AF340E"/>
    <w:rsid w:val="68B03C37"/>
    <w:rsid w:val="68C11D22"/>
    <w:rsid w:val="68D575AA"/>
    <w:rsid w:val="68EB7C0C"/>
    <w:rsid w:val="68F0116E"/>
    <w:rsid w:val="68F73295"/>
    <w:rsid w:val="69085BD7"/>
    <w:rsid w:val="69154FCB"/>
    <w:rsid w:val="692B645A"/>
    <w:rsid w:val="69680059"/>
    <w:rsid w:val="6A5750D0"/>
    <w:rsid w:val="6A844F4E"/>
    <w:rsid w:val="6AC26EA2"/>
    <w:rsid w:val="6AC44695"/>
    <w:rsid w:val="6B477EF6"/>
    <w:rsid w:val="6B513865"/>
    <w:rsid w:val="6B9A256C"/>
    <w:rsid w:val="6BA373FF"/>
    <w:rsid w:val="6BEB1E5F"/>
    <w:rsid w:val="6BF37762"/>
    <w:rsid w:val="6C4957FC"/>
    <w:rsid w:val="6C53730E"/>
    <w:rsid w:val="6C5534FB"/>
    <w:rsid w:val="6C61176F"/>
    <w:rsid w:val="6C666306"/>
    <w:rsid w:val="6CF70B23"/>
    <w:rsid w:val="6D387925"/>
    <w:rsid w:val="6D3E0CE6"/>
    <w:rsid w:val="6D514EE5"/>
    <w:rsid w:val="6D6E3F95"/>
    <w:rsid w:val="6D8E6F8B"/>
    <w:rsid w:val="6DB151E2"/>
    <w:rsid w:val="6DBF39F3"/>
    <w:rsid w:val="6DC0644E"/>
    <w:rsid w:val="6DC2230F"/>
    <w:rsid w:val="6DDF5CCC"/>
    <w:rsid w:val="6E137528"/>
    <w:rsid w:val="6E80463B"/>
    <w:rsid w:val="6E895A0C"/>
    <w:rsid w:val="6EC56FAA"/>
    <w:rsid w:val="6F22793F"/>
    <w:rsid w:val="6F457884"/>
    <w:rsid w:val="6F570F4E"/>
    <w:rsid w:val="6F7C1012"/>
    <w:rsid w:val="6F84190F"/>
    <w:rsid w:val="6F883155"/>
    <w:rsid w:val="6F8C7070"/>
    <w:rsid w:val="6FE70842"/>
    <w:rsid w:val="6FEA4E60"/>
    <w:rsid w:val="6FF53E70"/>
    <w:rsid w:val="700713B2"/>
    <w:rsid w:val="701A2DBF"/>
    <w:rsid w:val="703D260A"/>
    <w:rsid w:val="70642ED3"/>
    <w:rsid w:val="70763652"/>
    <w:rsid w:val="70A15996"/>
    <w:rsid w:val="70A2792D"/>
    <w:rsid w:val="70F43E95"/>
    <w:rsid w:val="712B481A"/>
    <w:rsid w:val="713779A1"/>
    <w:rsid w:val="715168D7"/>
    <w:rsid w:val="71806AFE"/>
    <w:rsid w:val="71FE5EAA"/>
    <w:rsid w:val="720C6BF9"/>
    <w:rsid w:val="724E26A6"/>
    <w:rsid w:val="72BA2638"/>
    <w:rsid w:val="72E24278"/>
    <w:rsid w:val="72F247EE"/>
    <w:rsid w:val="73046E24"/>
    <w:rsid w:val="73117CBC"/>
    <w:rsid w:val="731D3DC6"/>
    <w:rsid w:val="73785811"/>
    <w:rsid w:val="73843B37"/>
    <w:rsid w:val="73AA2AB8"/>
    <w:rsid w:val="73D8014A"/>
    <w:rsid w:val="73F076FD"/>
    <w:rsid w:val="7448595E"/>
    <w:rsid w:val="74490D87"/>
    <w:rsid w:val="746E1E39"/>
    <w:rsid w:val="74A25915"/>
    <w:rsid w:val="74D0444D"/>
    <w:rsid w:val="750000AA"/>
    <w:rsid w:val="750A7ABF"/>
    <w:rsid w:val="752220E4"/>
    <w:rsid w:val="754931B4"/>
    <w:rsid w:val="75706FDE"/>
    <w:rsid w:val="759077E6"/>
    <w:rsid w:val="75940C8C"/>
    <w:rsid w:val="75BB2BFD"/>
    <w:rsid w:val="75C624A0"/>
    <w:rsid w:val="75C940ED"/>
    <w:rsid w:val="76494280"/>
    <w:rsid w:val="765748C8"/>
    <w:rsid w:val="76AC7129"/>
    <w:rsid w:val="76D15FF3"/>
    <w:rsid w:val="76F01A6C"/>
    <w:rsid w:val="773C2D8E"/>
    <w:rsid w:val="77550A67"/>
    <w:rsid w:val="77B83BB6"/>
    <w:rsid w:val="77BA2D12"/>
    <w:rsid w:val="78192B77"/>
    <w:rsid w:val="7856695F"/>
    <w:rsid w:val="7866427B"/>
    <w:rsid w:val="78ED7C3B"/>
    <w:rsid w:val="78F732D8"/>
    <w:rsid w:val="790F1791"/>
    <w:rsid w:val="791F3849"/>
    <w:rsid w:val="797350BA"/>
    <w:rsid w:val="79775EC9"/>
    <w:rsid w:val="79D00415"/>
    <w:rsid w:val="79EE2754"/>
    <w:rsid w:val="7A153532"/>
    <w:rsid w:val="7A1A7F37"/>
    <w:rsid w:val="7A1C7B11"/>
    <w:rsid w:val="7A37206F"/>
    <w:rsid w:val="7A741385"/>
    <w:rsid w:val="7A7E5483"/>
    <w:rsid w:val="7AA26906"/>
    <w:rsid w:val="7AAF231C"/>
    <w:rsid w:val="7AC84743"/>
    <w:rsid w:val="7AEC20F3"/>
    <w:rsid w:val="7B2F1AD6"/>
    <w:rsid w:val="7B4A47DB"/>
    <w:rsid w:val="7B7027FC"/>
    <w:rsid w:val="7B740622"/>
    <w:rsid w:val="7B8D786E"/>
    <w:rsid w:val="7B994BC5"/>
    <w:rsid w:val="7BDC7402"/>
    <w:rsid w:val="7BE145C1"/>
    <w:rsid w:val="7C014E05"/>
    <w:rsid w:val="7C152DD9"/>
    <w:rsid w:val="7C280290"/>
    <w:rsid w:val="7C520931"/>
    <w:rsid w:val="7CD535CF"/>
    <w:rsid w:val="7D34076E"/>
    <w:rsid w:val="7D53381A"/>
    <w:rsid w:val="7D624404"/>
    <w:rsid w:val="7DF25444"/>
    <w:rsid w:val="7DF27933"/>
    <w:rsid w:val="7E2C708B"/>
    <w:rsid w:val="7E6B4778"/>
    <w:rsid w:val="7E9B2B28"/>
    <w:rsid w:val="7EB910BD"/>
    <w:rsid w:val="7FA15EE9"/>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3">
    <w:name w:val="列表段落1"/>
    <w:basedOn w:val="1"/>
    <w:qFormat/>
    <w:uiPriority w:val="34"/>
    <w:pPr>
      <w:spacing w:before="206"/>
      <w:ind w:left="959" w:hanging="361"/>
    </w:pPr>
  </w:style>
  <w:style w:type="character" w:customStyle="1" w:styleId="14">
    <w:name w:val="cd_message"/>
    <w:basedOn w:val="6"/>
    <w:qFormat/>
    <w:uiPriority w:val="0"/>
  </w:style>
  <w:style w:type="paragraph" w:customStyle="1" w:styleId="1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6">
    <w:name w:val="列出段落1"/>
    <w:basedOn w:val="1"/>
    <w:qFormat/>
    <w:uiPriority w:val="99"/>
    <w:pPr>
      <w:ind w:firstLine="420" w:firstLineChars="200"/>
    </w:pPr>
  </w:style>
  <w:style w:type="character" w:customStyle="1" w:styleId="17">
    <w:name w:val="页眉 Char"/>
    <w:basedOn w:val="6"/>
    <w:link w:val="5"/>
    <w:qFormat/>
    <w:uiPriority w:val="0"/>
    <w:rPr>
      <w:kern w:val="2"/>
      <w:sz w:val="18"/>
      <w:szCs w:val="18"/>
    </w:rPr>
  </w:style>
  <w:style w:type="character" w:customStyle="1" w:styleId="18">
    <w:name w:val="common_over_page_btn1"/>
    <w:basedOn w:val="6"/>
    <w:qFormat/>
    <w:uiPriority w:val="0"/>
  </w:style>
  <w:style w:type="character" w:customStyle="1" w:styleId="19">
    <w:name w:val="common_over_page_btn2"/>
    <w:basedOn w:val="6"/>
    <w:qFormat/>
    <w:uiPriority w:val="0"/>
    <w:rPr>
      <w:color w:val="999999"/>
      <w:bdr w:val="single" w:color="D4D4D4" w:sz="6" w:space="0"/>
      <w:shd w:val="clear" w:color="auto" w:fill="FFFFFF"/>
    </w:rPr>
  </w:style>
  <w:style w:type="paragraph" w:customStyle="1" w:styleId="20">
    <w:name w:val="Table Paragraph"/>
    <w:basedOn w:val="1"/>
    <w:qFormat/>
    <w:uiPriority w:val="1"/>
  </w:style>
  <w:style w:type="paragraph" w:customStyle="1" w:styleId="21">
    <w:name w:val="List Paragraph"/>
    <w:basedOn w:val="1"/>
    <w:qFormat/>
    <w:uiPriority w:val="34"/>
    <w:pPr>
      <w:ind w:firstLine="420" w:firstLineChars="200"/>
    </w:pPr>
  </w:style>
  <w:style w:type="paragraph" w:customStyle="1" w:styleId="22">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0</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2023-11-13T07:12:19Z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