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电气</w:t>
      </w:r>
      <w:r>
        <w:rPr>
          <w:rFonts w:hint="eastAsia" w:ascii="微软雅黑" w:eastAsia="微软雅黑"/>
          <w:b/>
          <w:sz w:val="52"/>
          <w:szCs w:val="22"/>
          <w:u w:val="single"/>
          <w:lang w:eastAsia="zh-CN"/>
        </w:rPr>
        <w:t>团队</w:t>
      </w:r>
      <w:r>
        <w:rPr>
          <w:rFonts w:hint="eastAsia" w:ascii="微软雅黑" w:eastAsia="微软雅黑"/>
          <w:b/>
          <w:sz w:val="52"/>
          <w:szCs w:val="22"/>
          <w:u w:val="single"/>
          <w:lang w:val="en-US" w:eastAsia="zh-CN"/>
        </w:rPr>
        <w:t>18台UPS主机采购</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QG2310080003</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w:t>
      </w:r>
      <w:r>
        <w:rPr>
          <w:rFonts w:hint="eastAsia"/>
          <w:sz w:val="24"/>
          <w:szCs w:val="24"/>
          <w:lang w:val="en-US" w:eastAsia="zh-CN"/>
        </w:rPr>
        <w:t>商务报价单</w:t>
      </w:r>
      <w:r>
        <w:rPr>
          <w:sz w:val="24"/>
          <w:szCs w:val="24"/>
          <w:lang w:eastAsia="zh-CN"/>
        </w:rPr>
        <w:t>（范本）</w:t>
      </w:r>
    </w:p>
    <w:p>
      <w:pPr>
        <w:spacing w:line="408" w:lineRule="auto"/>
        <w:rPr>
          <w:sz w:val="28"/>
          <w:lang w:eastAsia="zh-CN"/>
        </w:rPr>
      </w:pPr>
    </w:p>
    <w:p>
      <w:pPr>
        <w:pStyle w:val="55"/>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19"/>
        <w:rPr>
          <w:b/>
          <w:sz w:val="28"/>
          <w:lang w:eastAsia="zh-CN"/>
        </w:rPr>
      </w:pP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福建福海创石油化工有限公司电气团队18台UPS主机采购（项目编号：QG2310080003）</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项目名称：福建福海创石油化工有限公司电气团队18台UPS主机采购。</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见附件1《采购清单》，具体技术要求</w:t>
      </w:r>
      <w:r>
        <w:rPr>
          <w:sz w:val="24"/>
          <w:szCs w:val="24"/>
          <w:lang w:eastAsia="zh-CN"/>
        </w:rPr>
        <w:t>详</w:t>
      </w:r>
      <w:r>
        <w:rPr>
          <w:rFonts w:hint="eastAsia"/>
          <w:sz w:val="24"/>
          <w:szCs w:val="24"/>
          <w:lang w:val="en-US" w:eastAsia="zh-CN"/>
        </w:rPr>
        <w:t>附件2</w:t>
      </w:r>
      <w:r>
        <w:rPr>
          <w:rFonts w:hint="eastAsia"/>
          <w:sz w:val="24"/>
          <w:szCs w:val="24"/>
          <w:lang w:eastAsia="zh-CN"/>
        </w:rPr>
        <w:t>《</w:t>
      </w:r>
      <w:r>
        <w:rPr>
          <w:rFonts w:hint="eastAsia"/>
          <w:sz w:val="24"/>
          <w:szCs w:val="24"/>
          <w:lang w:val="en-US" w:eastAsia="zh-CN"/>
        </w:rPr>
        <w:t>技术协议要求》</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178.3</w:t>
      </w:r>
      <w:r>
        <w:rPr>
          <w:sz w:val="24"/>
          <w:szCs w:val="24"/>
          <w:lang w:eastAsia="zh-CN"/>
        </w:rPr>
        <w:t>万元</w:t>
      </w:r>
      <w:r>
        <w:rPr>
          <w:rFonts w:hint="eastAsia"/>
          <w:sz w:val="24"/>
          <w:szCs w:val="24"/>
          <w:lang w:eastAsia="zh-CN"/>
        </w:rPr>
        <w:t>（含税）。</w:t>
      </w:r>
    </w:p>
    <w:p>
      <w:pPr>
        <w:pStyle w:val="55"/>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4.品牌要求：AEG 、固特、施耐德、索克曼、维谛、科华数据。</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1.参选单位应是具备独立法人资格且有能力按我司需求提供货物及服务的制造商或</w:t>
      </w:r>
      <w:r>
        <w:rPr>
          <w:rFonts w:hint="eastAsia" w:cs="宋体"/>
          <w:sz w:val="24"/>
          <w:szCs w:val="24"/>
          <w:lang w:val="en-US" w:eastAsia="zh-CN"/>
        </w:rPr>
        <w:t>满足</w:t>
      </w:r>
      <w:r>
        <w:rPr>
          <w:rFonts w:hint="eastAsia" w:ascii="宋体" w:hAnsi="宋体" w:eastAsia="宋体" w:cs="宋体"/>
          <w:sz w:val="24"/>
          <w:szCs w:val="24"/>
          <w:lang w:val="en-US" w:eastAsia="zh-CN"/>
        </w:rPr>
        <w:t>技术协议要求的供应商。</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cs="宋体"/>
          <w:sz w:val="24"/>
          <w:szCs w:val="24"/>
          <w:lang w:val="en-US" w:eastAsia="zh-CN"/>
        </w:rPr>
      </w:pPr>
      <w:r>
        <w:rPr>
          <w:rFonts w:hint="eastAsia" w:ascii="宋体" w:hAnsi="宋体" w:eastAsia="宋体" w:cs="宋体"/>
          <w:sz w:val="24"/>
          <w:szCs w:val="24"/>
          <w:lang w:val="en-US" w:eastAsia="zh-CN"/>
        </w:rPr>
        <w:t>2.参选人需配合比选人</w:t>
      </w:r>
      <w:r>
        <w:rPr>
          <w:rFonts w:hint="eastAsia" w:cs="宋体"/>
          <w:sz w:val="24"/>
          <w:szCs w:val="24"/>
          <w:lang w:val="en-US" w:eastAsia="zh-CN"/>
        </w:rPr>
        <w:t>发货前</w:t>
      </w:r>
      <w:r>
        <w:rPr>
          <w:rFonts w:hint="eastAsia" w:ascii="宋体" w:hAnsi="宋体" w:eastAsia="宋体" w:cs="宋体"/>
          <w:sz w:val="24"/>
          <w:szCs w:val="24"/>
          <w:lang w:val="en-US" w:eastAsia="zh-CN"/>
        </w:rPr>
        <w:t>到制造原厂验收货物</w:t>
      </w:r>
      <w:r>
        <w:rPr>
          <w:rFonts w:hint="eastAsia" w:cs="宋体"/>
          <w:sz w:val="24"/>
          <w:szCs w:val="24"/>
          <w:lang w:val="en-US"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3.参选单位应提供品牌生产制造商近三年石化行业相同规格或更大规格的业绩。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4</w:t>
      </w:r>
      <w:r>
        <w:rPr>
          <w:rFonts w:hint="eastAsia" w:ascii="宋体" w:hAnsi="宋体" w:eastAsia="宋体" w:cs="宋体"/>
          <w:sz w:val="24"/>
          <w:szCs w:val="24"/>
          <w:lang w:val="en-US" w:eastAsia="zh-CN"/>
        </w:rPr>
        <w:t>.单位负责人为同一人或者存在控股、管理关系的不同单位，不得同时参选本项目。参选人没有失信黑名单记录（以最高院失</w:t>
      </w:r>
      <w:r>
        <w:rPr>
          <w:rFonts w:hint="eastAsia" w:ascii="宋体" w:hAnsi="宋体" w:eastAsia="宋体" w:cs="宋体"/>
          <w:color w:val="000000" w:themeColor="text1"/>
          <w:sz w:val="24"/>
          <w:szCs w:val="24"/>
        </w:rPr>
        <w:t>信被执行人系统发布信息为准）</w:t>
      </w:r>
      <w:r>
        <w:rPr>
          <w:rFonts w:hint="eastAsia" w:cs="宋体"/>
          <w:color w:val="000000" w:themeColor="text1"/>
          <w:sz w:val="24"/>
          <w:szCs w:val="24"/>
          <w:lang w:eastAsia="zh-CN"/>
        </w:rPr>
        <w:t>，</w:t>
      </w:r>
      <w:r>
        <w:rPr>
          <w:rFonts w:hint="eastAsia" w:ascii="宋体" w:hAnsi="宋体" w:eastAsia="宋体" w:cs="宋体"/>
          <w:sz w:val="24"/>
          <w:szCs w:val="24"/>
          <w:lang w:val="en-US" w:eastAsia="zh-CN"/>
        </w:rPr>
        <w:t>与我司无诉讼纠纷。</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.本采购项目不接受联合体参选。</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10</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日至</w:t>
      </w:r>
      <w:r>
        <w:rPr>
          <w:rFonts w:hint="eastAsia"/>
          <w:color w:val="000000" w:themeColor="text1"/>
          <w:sz w:val="24"/>
          <w:szCs w:val="24"/>
          <w:lang w:val="en-US" w:eastAsia="zh-CN"/>
        </w:rPr>
        <w:t>21</w:t>
      </w:r>
      <w:bookmarkStart w:id="16" w:name="_GoBack"/>
      <w:bookmarkEnd w:id="16"/>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xydai@fhcpec.com.cn</w:t>
      </w:r>
      <w:r>
        <w:rPr>
          <w:rFonts w:hint="eastAsia"/>
          <w:color w:val="000000" w:themeColor="text1"/>
          <w:sz w:val="24"/>
          <w:szCs w:val="24"/>
          <w:lang w:eastAsia="zh-CN"/>
        </w:rPr>
        <w:t>，报名文件包含：</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报名成功后，参选人须与现场技术人员进行前期技术交流，需详细阅读比选项目说明。技术交流后经比选人技术人员确认合格</w:t>
      </w:r>
      <w:r>
        <w:rPr>
          <w:rFonts w:hint="eastAsia"/>
          <w:color w:val="000000" w:themeColor="text1"/>
          <w:sz w:val="24"/>
          <w:szCs w:val="24"/>
          <w:lang w:val="en-US" w:eastAsia="zh-CN"/>
        </w:rPr>
        <w:t>,</w:t>
      </w:r>
      <w:r>
        <w:rPr>
          <w:rFonts w:hint="eastAsia"/>
          <w:color w:val="000000" w:themeColor="text1"/>
          <w:sz w:val="24"/>
          <w:szCs w:val="24"/>
          <w:lang w:eastAsia="zh-CN"/>
        </w:rPr>
        <w:t>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keepNext w:val="0"/>
        <w:keepLines w:val="0"/>
        <w:pageBreakBefore w:val="0"/>
        <w:widowControl w:val="0"/>
        <w:kinsoku/>
        <w:wordWrap/>
        <w:overflowPunct/>
        <w:topLinePunct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3.5万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开户名称：福建福海创石油化工有限公司</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开户银行：中国银行漳州古雷支行</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注明用途：电气团队18台UPS主机采购参选</w:t>
      </w:r>
      <w:r>
        <w:rPr>
          <w:color w:val="000000" w:themeColor="text1"/>
          <w:lang w:eastAsia="zh-CN"/>
        </w:rPr>
        <w:t>保证金</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keepNext w:val="0"/>
        <w:keepLines w:val="0"/>
        <w:pageBreakBefore w:val="0"/>
        <w:widowControl w:val="0"/>
        <w:kinsoku/>
        <w:wordWrap/>
        <w:overflowPunct/>
        <w:topLinePunct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val="en-US" w:eastAsia="zh-CN"/>
        </w:rPr>
      </w:pPr>
      <w:r>
        <w:rPr>
          <w:rFonts w:hint="eastAsia"/>
          <w:lang w:eastAsia="zh-CN"/>
        </w:rPr>
        <w:t>商务联系人：</w:t>
      </w:r>
      <w:r>
        <w:rPr>
          <w:rFonts w:hint="eastAsia"/>
          <w:lang w:val="en-US" w:eastAsia="zh-CN"/>
        </w:rPr>
        <w:t>戴小玉</w:t>
      </w:r>
      <w:r>
        <w:rPr>
          <w:rFonts w:hint="eastAsia"/>
          <w:lang w:eastAsia="zh-CN"/>
        </w:rPr>
        <w:t xml:space="preserve"> 电话：</w:t>
      </w:r>
      <w:r>
        <w:rPr>
          <w:rFonts w:hint="eastAsia"/>
          <w:lang w:val="en-US" w:eastAsia="zh-CN"/>
        </w:rPr>
        <w:t>0596-6311078</w:t>
      </w:r>
      <w:r>
        <w:rPr>
          <w:rFonts w:hint="eastAsia"/>
          <w:lang w:eastAsia="zh-CN"/>
        </w:rPr>
        <w:t xml:space="preserve"> 邮箱：</w:t>
      </w:r>
      <w:r>
        <w:rPr>
          <w:rFonts w:hint="eastAsia"/>
          <w:lang w:val="en-US" w:eastAsia="zh-CN"/>
        </w:rPr>
        <w:fldChar w:fldCharType="begin"/>
      </w:r>
      <w:r>
        <w:rPr>
          <w:rFonts w:hint="eastAsia"/>
          <w:lang w:val="en-US" w:eastAsia="zh-CN"/>
        </w:rPr>
        <w:instrText xml:space="preserve"> HYPERLINK "mailto:xydai@fhcpec.com.cn" </w:instrText>
      </w:r>
      <w:r>
        <w:rPr>
          <w:rFonts w:hint="eastAsia"/>
          <w:lang w:val="en-US" w:eastAsia="zh-CN"/>
        </w:rPr>
        <w:fldChar w:fldCharType="separate"/>
      </w:r>
      <w:r>
        <w:rPr>
          <w:rFonts w:hint="eastAsia"/>
          <w:lang w:val="en-US" w:eastAsia="zh-CN"/>
        </w:rPr>
        <w:t>xydai@fhcpec.com.cn</w:t>
      </w:r>
      <w:r>
        <w:rPr>
          <w:rFonts w:hint="eastAsia"/>
          <w:lang w:val="en-US" w:eastAsia="zh-CN"/>
        </w:rPr>
        <w:fldChar w:fldCharType="end"/>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 xml:space="preserve">技术联系人：李智龙 电话：19959614035 邮箱：lizl@fhcpec.com.cn  </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 xml:space="preserve">纪检监察室电话：0596-6311774  </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联系地址：漳州市漳浦县杜浔镇杜昌路9号</w:t>
      </w:r>
    </w:p>
    <w:p>
      <w:pPr>
        <w:pStyle w:val="19"/>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55"/>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电气团队18台UPS主机采购</w:t>
      </w:r>
      <w:r>
        <w:rPr>
          <w:rFonts w:hint="eastAsia"/>
          <w:sz w:val="24"/>
          <w:szCs w:val="24"/>
          <w:lang w:eastAsia="zh-CN"/>
        </w:rPr>
        <w:t>。</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w:t>
      </w:r>
      <w:r>
        <w:rPr>
          <w:rFonts w:hint="eastAsia"/>
          <w:color w:val="000000" w:themeColor="text1"/>
          <w:lang w:val="en-US" w:eastAsia="zh-CN"/>
        </w:rPr>
        <w:t>附件1和附件2</w:t>
      </w:r>
      <w:r>
        <w:rPr>
          <w:rFonts w:hint="eastAsia"/>
          <w:color w:val="000000" w:themeColor="text1"/>
          <w:lang w:eastAsia="zh-CN"/>
        </w:rPr>
        <w:t>。</w:t>
      </w:r>
    </w:p>
    <w:p>
      <w:pPr>
        <w:pStyle w:val="19"/>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jc w:val="both"/>
        <w:rPr>
          <w:rFonts w:hint="eastAsia"/>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商务联系人：</w:t>
      </w:r>
      <w:r>
        <w:rPr>
          <w:rFonts w:hint="eastAsia"/>
          <w:color w:val="000000" w:themeColor="text1"/>
          <w:sz w:val="24"/>
          <w:szCs w:val="24"/>
          <w:lang w:val="en-US" w:eastAsia="zh-CN"/>
        </w:rPr>
        <w:t>戴小玉</w:t>
      </w:r>
      <w:r>
        <w:rPr>
          <w:rFonts w:hint="eastAsia"/>
          <w:lang w:eastAsia="zh-CN"/>
        </w:rPr>
        <w:t xml:space="preserve"> </w:t>
      </w:r>
      <w:r>
        <w:rPr>
          <w:rFonts w:hint="eastAsia"/>
          <w:lang w:val="en-US" w:eastAsia="zh-CN"/>
        </w:rPr>
        <w:t>0596-6311078 邮箱：xydai@fhcpec.com.cn</w:t>
      </w:r>
    </w:p>
    <w:p>
      <w:pPr>
        <w:pStyle w:val="19"/>
        <w:spacing w:line="360" w:lineRule="auto"/>
        <w:ind w:right="121" w:firstLine="480" w:firstLineChars="200"/>
        <w:jc w:val="both"/>
        <w:rPr>
          <w:lang w:eastAsia="zh-CN"/>
        </w:rPr>
      </w:pPr>
      <w:r>
        <w:rPr>
          <w:rFonts w:hint="eastAsia"/>
          <w:lang w:val="en-US" w:eastAsia="zh-CN"/>
        </w:rPr>
        <w:t>技术联系人：李智龙 电话：19959614035 邮箱：lizl@fhcpec.com.cn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1.参选单位应是具备独立法人资格且有能力按我司需求提供货物及服务的制造商或</w:t>
      </w:r>
      <w:r>
        <w:rPr>
          <w:rFonts w:hint="eastAsia" w:cs="宋体"/>
          <w:sz w:val="24"/>
          <w:szCs w:val="24"/>
          <w:lang w:val="en-US" w:eastAsia="zh-CN"/>
        </w:rPr>
        <w:t>满足</w:t>
      </w:r>
      <w:r>
        <w:rPr>
          <w:rFonts w:hint="eastAsia" w:ascii="宋体" w:hAnsi="宋体" w:eastAsia="宋体" w:cs="宋体"/>
          <w:sz w:val="24"/>
          <w:szCs w:val="24"/>
          <w:lang w:val="en-US" w:eastAsia="zh-CN"/>
        </w:rPr>
        <w:t>技术协议要求的供应商。</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cs="宋体"/>
          <w:sz w:val="24"/>
          <w:szCs w:val="24"/>
          <w:lang w:val="en-US" w:eastAsia="zh-CN"/>
        </w:rPr>
      </w:pPr>
      <w:r>
        <w:rPr>
          <w:rFonts w:hint="eastAsia" w:ascii="宋体" w:hAnsi="宋体" w:eastAsia="宋体" w:cs="宋体"/>
          <w:sz w:val="24"/>
          <w:szCs w:val="24"/>
          <w:lang w:val="en-US" w:eastAsia="zh-CN"/>
        </w:rPr>
        <w:t>2.参选人需配合比选人</w:t>
      </w:r>
      <w:r>
        <w:rPr>
          <w:rFonts w:hint="eastAsia" w:cs="宋体"/>
          <w:sz w:val="24"/>
          <w:szCs w:val="24"/>
          <w:lang w:val="en-US" w:eastAsia="zh-CN"/>
        </w:rPr>
        <w:t>发货前</w:t>
      </w:r>
      <w:r>
        <w:rPr>
          <w:rFonts w:hint="eastAsia" w:ascii="宋体" w:hAnsi="宋体" w:eastAsia="宋体" w:cs="宋体"/>
          <w:sz w:val="24"/>
          <w:szCs w:val="24"/>
          <w:lang w:val="en-US" w:eastAsia="zh-CN"/>
        </w:rPr>
        <w:t>到制造原厂验收货物</w:t>
      </w:r>
      <w:r>
        <w:rPr>
          <w:rFonts w:hint="eastAsia" w:cs="宋体"/>
          <w:sz w:val="24"/>
          <w:szCs w:val="24"/>
          <w:lang w:val="en-US"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3.参选单位应提供品牌生产制造商近三年石化行业相同规格或更大规格的业绩。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4</w:t>
      </w:r>
      <w:r>
        <w:rPr>
          <w:rFonts w:hint="eastAsia" w:ascii="宋体" w:hAnsi="宋体" w:eastAsia="宋体" w:cs="宋体"/>
          <w:sz w:val="24"/>
          <w:szCs w:val="24"/>
          <w:lang w:val="en-US" w:eastAsia="zh-CN"/>
        </w:rPr>
        <w:t>.单位负责人为同一人或者存在控股、管理关系的不同单位，不得同时参选本项目。参选人没有失信黑名单记录（以最高院失</w:t>
      </w:r>
      <w:r>
        <w:rPr>
          <w:rFonts w:hint="eastAsia" w:ascii="宋体" w:hAnsi="宋体" w:eastAsia="宋体" w:cs="宋体"/>
          <w:color w:val="000000" w:themeColor="text1"/>
          <w:sz w:val="24"/>
          <w:szCs w:val="24"/>
        </w:rPr>
        <w:t>信被执行人系统发布信息为准）</w:t>
      </w:r>
      <w:r>
        <w:rPr>
          <w:rFonts w:hint="eastAsia" w:cs="宋体"/>
          <w:color w:val="000000" w:themeColor="text1"/>
          <w:sz w:val="24"/>
          <w:szCs w:val="24"/>
          <w:lang w:eastAsia="zh-CN"/>
        </w:rPr>
        <w:t>，</w:t>
      </w:r>
      <w:r>
        <w:rPr>
          <w:rFonts w:hint="eastAsia" w:ascii="宋体" w:hAnsi="宋体" w:eastAsia="宋体" w:cs="宋体"/>
          <w:sz w:val="24"/>
          <w:szCs w:val="24"/>
          <w:lang w:val="en-US" w:eastAsia="zh-CN"/>
        </w:rPr>
        <w:t>与我司无诉讼纠纷。</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.本采购项目不接受联合体参选。</w:t>
      </w:r>
    </w:p>
    <w:p>
      <w:pPr>
        <w:pStyle w:val="1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3.5万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注明用途：电气团队18台UPS主机采购参选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19"/>
        <w:spacing w:line="360" w:lineRule="auto"/>
        <w:ind w:right="121" w:firstLine="480" w:firstLineChars="200"/>
        <w:jc w:val="both"/>
        <w:rPr>
          <w:lang w:eastAsia="zh-CN"/>
        </w:rPr>
      </w:pPr>
      <w:r>
        <w:rPr>
          <w:rFonts w:hint="eastAsia"/>
          <w:lang w:val="en-US" w:eastAsia="zh-CN"/>
        </w:rPr>
        <w:t>4</w:t>
      </w:r>
      <w:r>
        <w:rPr>
          <w:rFonts w:hint="eastAsia"/>
          <w:lang w:eastAsia="zh-CN"/>
        </w:rPr>
        <w:t>.如有下列情况发生，将被没收参选保证金：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rFonts w:hint="eastAsia"/>
          <w:b/>
          <w:bCs w:val="0"/>
          <w:color w:val="000000" w:themeColor="text1"/>
          <w:lang w:eastAsia="zh-CN"/>
        </w:rPr>
        <w:t xml:space="preserve">  </w:t>
      </w:r>
      <w:r>
        <w:rPr>
          <w:b/>
          <w:bCs w:val="0"/>
          <w:color w:val="000000" w:themeColor="text1"/>
          <w:lang w:eastAsia="zh-CN"/>
        </w:rPr>
        <w:t>注：请使用顺丰快递或中国邮政 EMS 快递，其他快递不能保证送达目的地。</w:t>
      </w:r>
    </w:p>
    <w:p>
      <w:pPr>
        <w:pStyle w:val="19"/>
        <w:spacing w:line="360" w:lineRule="auto"/>
        <w:ind w:right="121" w:firstLine="480" w:firstLineChars="200"/>
        <w:jc w:val="both"/>
        <w:rPr>
          <w:rFonts w:hint="eastAsia"/>
          <w:lang w:val="en-US" w:eastAsia="zh-CN"/>
        </w:rPr>
      </w:pPr>
      <w:r>
        <w:rPr>
          <w:rFonts w:hint="eastAsia"/>
          <w:lang w:val="en-US" w:eastAsia="zh-CN"/>
        </w:rPr>
        <w:t>3.只允许参选人有一个参选方案，否则将被视为无效参选。</w:t>
      </w:r>
    </w:p>
    <w:p>
      <w:pPr>
        <w:pStyle w:val="19"/>
        <w:spacing w:line="360" w:lineRule="auto"/>
        <w:ind w:right="121" w:firstLine="480" w:firstLineChars="200"/>
        <w:jc w:val="both"/>
        <w:rPr>
          <w:rFonts w:hint="eastAsia"/>
          <w:lang w:val="en-US" w:eastAsia="zh-CN"/>
        </w:rPr>
      </w:pPr>
      <w:r>
        <w:rPr>
          <w:rFonts w:hint="eastAsia"/>
          <w:lang w:val="en-US"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firstLine="480" w:firstLineChars="200"/>
        <w:jc w:val="both"/>
        <w:rPr>
          <w:rFonts w:hint="eastAsia"/>
          <w:lang w:val="en-US" w:eastAsia="zh-CN"/>
        </w:rPr>
      </w:pPr>
      <w:r>
        <w:rPr>
          <w:rFonts w:hint="eastAsia"/>
          <w:lang w:val="en-US" w:eastAsia="zh-CN"/>
        </w:rPr>
        <w:t>5.参选人收到比选文件后，如有疑问需要澄清，请以书面形式在规定时间内报比选人汇总。</w:t>
      </w:r>
    </w:p>
    <w:p>
      <w:pPr>
        <w:pStyle w:val="19"/>
        <w:spacing w:line="360" w:lineRule="auto"/>
        <w:ind w:right="121" w:firstLine="480" w:firstLineChars="200"/>
        <w:jc w:val="both"/>
        <w:rPr>
          <w:rFonts w:hint="eastAsia"/>
          <w:lang w:val="en-US" w:eastAsia="zh-CN"/>
        </w:rPr>
      </w:pPr>
      <w:r>
        <w:rPr>
          <w:rFonts w:hint="eastAsia"/>
          <w:lang w:val="en-US"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p>
    <w:p>
      <w:pPr>
        <w:rPr>
          <w:lang w:eastAsia="zh-CN"/>
        </w:rPr>
      </w:pPr>
    </w:p>
    <w:p>
      <w:pPr>
        <w:pStyle w:val="2"/>
        <w:tabs>
          <w:tab w:val="left" w:pos="4627"/>
        </w:tabs>
        <w:spacing w:line="355" w:lineRule="exact"/>
        <w:ind w:left="3363"/>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商务报价文件，见附件商务报价函格式,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19"/>
        <w:spacing w:line="360" w:lineRule="auto"/>
        <w:ind w:right="121" w:firstLine="480" w:firstLineChars="200"/>
        <w:jc w:val="both"/>
        <w:rPr>
          <w:lang w:eastAsia="zh-CN"/>
        </w:rPr>
      </w:pP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color w:val="auto"/>
          <w:u w:val="none"/>
          <w:lang w:eastAsia="zh-CN"/>
        </w:rPr>
      </w:pPr>
      <w:r>
        <w:rPr>
          <w:rFonts w:hint="eastAsia"/>
          <w:b/>
          <w:color w:val="FF0000"/>
          <w:lang w:eastAsia="zh-CN"/>
        </w:rPr>
        <w:t>本项目设置最高控制价</w:t>
      </w:r>
      <w:r>
        <w:rPr>
          <w:rFonts w:hint="eastAsia"/>
          <w:b/>
          <w:color w:val="FF0000"/>
          <w:lang w:val="en-US" w:eastAsia="zh-CN"/>
        </w:rPr>
        <w:t>178.3</w:t>
      </w:r>
      <w:r>
        <w:rPr>
          <w:rFonts w:hint="eastAsia"/>
          <w:b/>
          <w:color w:val="FF0000"/>
          <w:lang w:eastAsia="zh-CN"/>
        </w:rPr>
        <w:t>万元整（含税包干总价）</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rPr>
          <w:color w:val="auto"/>
          <w:u w:val="none"/>
        </w:rPr>
        <w:fldChar w:fldCharType="begin"/>
      </w:r>
      <w:r>
        <w:rPr>
          <w:color w:val="auto"/>
          <w:u w:val="none"/>
        </w:rPr>
        <w:instrText xml:space="preserve"> HYPERLINK "mailto:如参选人对控制价存疑请于报价截止前发邮件至xqyang@fhcpec.com.cn" </w:instrText>
      </w:r>
      <w:r>
        <w:rPr>
          <w:color w:val="auto"/>
          <w:u w:val="none"/>
        </w:rPr>
        <w:fldChar w:fldCharType="separate"/>
      </w:r>
      <w:r>
        <w:rPr>
          <w:rStyle w:val="53"/>
          <w:rFonts w:hint="eastAsia"/>
          <w:color w:val="auto"/>
          <w:u w:val="none"/>
          <w:lang w:eastAsia="zh-CN"/>
        </w:rPr>
        <w:t>如参选人对控制价存疑请于报价截止前发邮件至</w:t>
      </w:r>
      <w:r>
        <w:rPr>
          <w:rStyle w:val="53"/>
          <w:rFonts w:hint="eastAsia"/>
          <w:color w:val="auto"/>
          <w:u w:val="none"/>
          <w:lang w:val="en-US" w:eastAsia="zh-CN"/>
        </w:rPr>
        <w:t>xydai@fhcpec.com.cn</w:t>
      </w:r>
      <w:r>
        <w:rPr>
          <w:rStyle w:val="53"/>
          <w:rFonts w:hint="eastAsia"/>
          <w:color w:val="auto"/>
          <w:u w:val="none"/>
          <w:lang w:eastAsia="zh-CN"/>
        </w:rPr>
        <w:fldChar w:fldCharType="end"/>
      </w:r>
      <w:r>
        <w:rPr>
          <w:rFonts w:hint="eastAsia"/>
          <w:color w:val="auto"/>
          <w:u w:val="none"/>
          <w:lang w:eastAsia="zh-CN"/>
        </w:rPr>
        <w:t>。</w:t>
      </w:r>
    </w:p>
    <w:p>
      <w:pPr>
        <w:pStyle w:val="19"/>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color w:val="FF0000"/>
          <w:lang w:val="en-US" w:eastAsia="zh-CN"/>
        </w:rPr>
        <w:t>腾龙芳烃（漳州）</w:t>
      </w:r>
      <w:r>
        <w:rPr>
          <w:rStyle w:val="49"/>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pStyle w:val="55"/>
        <w:rPr>
          <w:lang w:eastAsia="zh-CN"/>
        </w:rPr>
      </w:pPr>
    </w:p>
    <w:p>
      <w:pPr>
        <w:spacing w:before="15" w:line="360" w:lineRule="auto"/>
        <w:jc w:val="both"/>
        <w:rPr>
          <w:b/>
          <w:w w:val="95"/>
          <w:sz w:val="28"/>
          <w:lang w:eastAsia="zh-CN"/>
        </w:rPr>
      </w:pPr>
    </w:p>
    <w:p>
      <w:pPr>
        <w:pStyle w:val="55"/>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r>
        <w:rPr>
          <w:rFonts w:hint="eastAsia"/>
          <w:lang w:eastAsia="zh-CN"/>
        </w:rPr>
        <w:t>。</w:t>
      </w:r>
    </w:p>
    <w:p>
      <w:pPr>
        <w:pStyle w:val="19"/>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19"/>
        <w:ind w:firstLine="3614" w:firstLineChars="1500"/>
        <w:rPr>
          <w:rFonts w:hint="eastAsia" w:ascii="宋体" w:hAnsi="宋体"/>
          <w:b/>
          <w:sz w:val="24"/>
        </w:rPr>
      </w:pPr>
      <w:bookmarkStart w:id="1" w:name="_Toc18049"/>
      <w:bookmarkStart w:id="2" w:name="_Toc31402"/>
      <w:bookmarkStart w:id="3" w:name="_Toc17959"/>
      <w:bookmarkStart w:id="4" w:name="_Toc10991"/>
      <w:bookmarkStart w:id="5" w:name="_Toc352146655"/>
      <w:bookmarkStart w:id="6" w:name="_Toc2239"/>
      <w:bookmarkStart w:id="7" w:name="_Toc8520"/>
      <w:bookmarkStart w:id="8" w:name="_Toc14171"/>
      <w:bookmarkStart w:id="9" w:name="_Toc27787"/>
      <w:bookmarkStart w:id="10" w:name="_Toc20180"/>
      <w:bookmarkStart w:id="11" w:name="_Toc23434"/>
      <w:bookmarkStart w:id="12" w:name="_Toc20273"/>
      <w:bookmarkStart w:id="13" w:name="_Toc31173"/>
      <w:bookmarkStart w:id="14" w:name="_Toc385779252"/>
      <w:bookmarkStart w:id="15" w:name="_Toc4114"/>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b/>
          <w:szCs w:val="21"/>
          <w:lang w:val="en-US" w:eastAsia="zh-CN"/>
        </w:rPr>
        <w:t>腾龙芳烃（漳州）</w:t>
      </w:r>
      <w:r>
        <w:rPr>
          <w:rFonts w:hint="eastAsia" w:ascii="宋体" w:hAnsi="宋体"/>
          <w:b/>
          <w:color w:val="000000"/>
          <w:szCs w:val="21"/>
          <w:lang w:val="en-US" w:eastAsia="zh-CN"/>
        </w:rPr>
        <w:t>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6"/>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Cs w:val="21"/>
              </w:rPr>
              <w:t>详见</w:t>
            </w:r>
            <w:r>
              <w:rPr>
                <w:rFonts w:hint="eastAsia" w:ascii="宋体" w:hAnsi="宋体"/>
                <w:color w:val="000000"/>
                <w:szCs w:val="21"/>
                <w:lang w:val="en-US" w:eastAsia="zh-CN"/>
              </w:rPr>
              <w:t>规格参数见</w:t>
            </w:r>
            <w:r>
              <w:rPr>
                <w:rFonts w:hint="eastAsia"/>
                <w:color w:val="000000"/>
                <w:szCs w:val="21"/>
                <w:lang w:val="en-US" w:eastAsia="zh-CN"/>
              </w:rPr>
              <w:t>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sz w:val="21"/>
          <w:szCs w:val="21"/>
          <w:highlight w:val="yellow"/>
          <w:u w:val="single"/>
          <w:lang w:val="en-US" w:eastAsia="zh-CN"/>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sz w:val="21"/>
          <w:szCs w:val="21"/>
          <w:lang w:val="en-US" w:eastAsia="zh-CN"/>
        </w:rPr>
        <w:t>60</w:t>
      </w:r>
      <w:r>
        <w:rPr>
          <w:rFonts w:hint="eastAsia" w:ascii="宋体" w:hAnsi="宋体"/>
          <w:sz w:val="21"/>
          <w:szCs w:val="21"/>
          <w:lang w:val="en-US" w:eastAsia="zh-CN"/>
        </w:rPr>
        <w:t>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w:t>
      </w:r>
      <w:r>
        <w:rPr>
          <w:rFonts w:hint="eastAsia"/>
          <w:sz w:val="21"/>
          <w:szCs w:val="21"/>
          <w:u w:val="single"/>
          <w:lang w:val="en-US" w:eastAsia="zh-CN"/>
        </w:rPr>
        <w:t xml:space="preserve">      </w:t>
      </w:r>
      <w:r>
        <w:rPr>
          <w:rFonts w:hint="eastAsia" w:ascii="宋体" w:hAnsi="宋体"/>
          <w:sz w:val="21"/>
          <w:szCs w:val="21"/>
        </w:rPr>
        <w:t>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none"/>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none"/>
          <w:u w:val="single"/>
          <w:lang w:val="en-US" w:eastAsia="zh-CN" w:bidi="ar"/>
        </w:rPr>
        <w:t>福建省漳州市漳浦县古雷开发区腾龙路（福建福海创石油化工有限公司）。</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pStyle w:val="55"/>
        <w:rPr>
          <w:rFonts w:hint="eastAsia"/>
        </w:rPr>
      </w:pPr>
    </w:p>
    <w:p>
      <w:pPr>
        <w:pStyle w:val="55"/>
        <w:rPr>
          <w:rFonts w:hint="eastAsia"/>
        </w:rPr>
      </w:pPr>
    </w:p>
    <w:p>
      <w:pPr>
        <w:spacing w:line="280" w:lineRule="exact"/>
        <w:rPr>
          <w:rFonts w:hint="eastAsia" w:ascii="宋体" w:hAnsi="宋体"/>
          <w:b/>
          <w:sz w:val="21"/>
          <w:szCs w:val="21"/>
        </w:rPr>
      </w:pPr>
    </w:p>
    <w:tbl>
      <w:tblPr>
        <w:tblStyle w:val="46"/>
        <w:tblW w:w="9377" w:type="dxa"/>
        <w:jc w:val="center"/>
        <w:tblLayout w:type="fixed"/>
        <w:tblCellMar>
          <w:top w:w="0" w:type="dxa"/>
          <w:left w:w="108" w:type="dxa"/>
          <w:bottom w:w="0" w:type="dxa"/>
          <w:right w:w="108" w:type="dxa"/>
        </w:tblCellMar>
      </w:tblPr>
      <w:tblGrid>
        <w:gridCol w:w="1143"/>
        <w:gridCol w:w="9"/>
        <w:gridCol w:w="366"/>
        <w:gridCol w:w="90"/>
        <w:gridCol w:w="3062"/>
        <w:gridCol w:w="1044"/>
        <w:gridCol w:w="260"/>
        <w:gridCol w:w="258"/>
        <w:gridCol w:w="146"/>
        <w:gridCol w:w="1022"/>
        <w:gridCol w:w="1977"/>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062" w:type="dxa"/>
            <w:vAlign w:val="center"/>
          </w:tcPr>
          <w:p>
            <w:pPr>
              <w:rPr>
                <w:rFonts w:hint="eastAsia" w:ascii="宋体" w:hAnsi="宋体"/>
                <w:b/>
                <w:bCs/>
                <w:color w:val="000000"/>
                <w:sz w:val="21"/>
                <w:szCs w:val="21"/>
              </w:rPr>
            </w:pPr>
          </w:p>
        </w:tc>
        <w:tc>
          <w:tcPr>
            <w:tcW w:w="1708"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Cs w:val="21"/>
              </w:rPr>
              <w:t>需方（章）:</w:t>
            </w:r>
          </w:p>
        </w:tc>
        <w:tc>
          <w:tcPr>
            <w:tcW w:w="2999"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062" w:type="dxa"/>
            <w:vAlign w:val="center"/>
          </w:tcPr>
          <w:p>
            <w:pPr>
              <w:spacing w:line="280" w:lineRule="exact"/>
              <w:rPr>
                <w:rFonts w:hint="eastAsia" w:ascii="宋体" w:hAnsi="宋体"/>
                <w:color w:val="000000"/>
                <w:sz w:val="21"/>
                <w:szCs w:val="21"/>
              </w:rPr>
            </w:pPr>
          </w:p>
        </w:tc>
        <w:tc>
          <w:tcPr>
            <w:tcW w:w="1708" w:type="dxa"/>
            <w:gridSpan w:val="4"/>
            <w:vAlign w:val="center"/>
          </w:tcPr>
          <w:p>
            <w:pPr>
              <w:spacing w:line="280" w:lineRule="exact"/>
              <w:rPr>
                <w:rFonts w:hint="eastAsia" w:ascii="宋体" w:hAnsi="宋体"/>
                <w:color w:val="000000"/>
                <w:sz w:val="21"/>
                <w:szCs w:val="21"/>
              </w:rPr>
            </w:pPr>
            <w:r>
              <w:rPr>
                <w:rFonts w:hint="eastAsia" w:ascii="宋体" w:hAnsi="宋体"/>
                <w:color w:val="000000"/>
                <w:szCs w:val="21"/>
              </w:rPr>
              <w:t>工商注册号：</w:t>
            </w:r>
          </w:p>
        </w:tc>
        <w:tc>
          <w:tcPr>
            <w:tcW w:w="2999" w:type="dxa"/>
            <w:gridSpan w:val="2"/>
            <w:vAlign w:val="center"/>
          </w:tcPr>
          <w:p>
            <w:pPr>
              <w:spacing w:line="280" w:lineRule="exact"/>
              <w:rPr>
                <w:rFonts w:hint="eastAsia" w:ascii="宋体" w:hAnsi="宋体"/>
                <w:color w:val="000000"/>
                <w:sz w:val="21"/>
                <w:szCs w:val="21"/>
              </w:rPr>
            </w:pPr>
            <w:r>
              <w:rPr>
                <w:rFonts w:hint="eastAsia" w:ascii="宋体" w:hAnsi="宋体"/>
                <w:color w:val="000000"/>
                <w:szCs w:val="21"/>
              </w:rPr>
              <w:t>9135</w:t>
            </w:r>
            <w:r>
              <w:rPr>
                <w:rFonts w:hint="eastAsia" w:ascii="宋体" w:hAnsi="宋体"/>
                <w:color w:val="000000"/>
                <w:szCs w:val="21"/>
                <w:lang w:val="en-US" w:eastAsia="zh-CN"/>
              </w:rPr>
              <w:t>0600717866709A</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3062" w:type="dxa"/>
            <w:vAlign w:val="center"/>
          </w:tcPr>
          <w:p>
            <w:pPr>
              <w:spacing w:line="280" w:lineRule="exact"/>
              <w:rPr>
                <w:rFonts w:hint="default" w:ascii="宋体" w:hAnsi="宋体"/>
                <w:color w:val="000000"/>
                <w:sz w:val="21"/>
                <w:szCs w:val="21"/>
                <w:lang w:val="en-US"/>
              </w:rPr>
            </w:pPr>
          </w:p>
        </w:tc>
        <w:tc>
          <w:tcPr>
            <w:tcW w:w="1044" w:type="dxa"/>
            <w:vAlign w:val="center"/>
          </w:tcPr>
          <w:p>
            <w:pPr>
              <w:spacing w:line="280" w:lineRule="exact"/>
              <w:rPr>
                <w:rFonts w:hint="eastAsia" w:ascii="宋体" w:hAnsi="宋体"/>
                <w:color w:val="000000"/>
                <w:sz w:val="21"/>
                <w:szCs w:val="21"/>
              </w:rPr>
            </w:pPr>
            <w:r>
              <w:rPr>
                <w:rFonts w:hint="eastAsia" w:ascii="宋体" w:hAnsi="宋体"/>
                <w:color w:val="000000"/>
                <w:szCs w:val="21"/>
              </w:rPr>
              <w:t>地址：</w:t>
            </w:r>
          </w:p>
        </w:tc>
        <w:tc>
          <w:tcPr>
            <w:tcW w:w="3663"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color w:val="000000"/>
                <w:szCs w:val="21"/>
                <w:lang w:val="en-US" w:eastAsia="zh-CN"/>
              </w:rPr>
              <w:t>福建省漳州市古雷港经济开发区腾龙路84号</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152" w:type="dxa"/>
            <w:gridSpan w:val="2"/>
            <w:vAlign w:val="center"/>
          </w:tcPr>
          <w:p>
            <w:pPr>
              <w:spacing w:line="280" w:lineRule="exact"/>
              <w:rPr>
                <w:rFonts w:hint="eastAsia" w:ascii="宋体" w:hAnsi="宋体"/>
                <w:color w:val="000000"/>
                <w:sz w:val="21"/>
                <w:szCs w:val="21"/>
              </w:rPr>
            </w:pPr>
          </w:p>
        </w:tc>
        <w:tc>
          <w:tcPr>
            <w:tcW w:w="1562" w:type="dxa"/>
            <w:gridSpan w:val="3"/>
            <w:vAlign w:val="center"/>
          </w:tcPr>
          <w:p>
            <w:pPr>
              <w:spacing w:line="280" w:lineRule="exact"/>
              <w:rPr>
                <w:rFonts w:hint="eastAsia" w:ascii="宋体" w:hAnsi="宋体"/>
                <w:color w:val="000000"/>
                <w:sz w:val="21"/>
                <w:szCs w:val="21"/>
              </w:rPr>
            </w:pPr>
            <w:r>
              <w:rPr>
                <w:rFonts w:hint="eastAsia" w:ascii="宋体" w:hAnsi="宋体"/>
                <w:color w:val="000000"/>
                <w:szCs w:val="21"/>
              </w:rPr>
              <w:t>邮政编码：</w:t>
            </w:r>
          </w:p>
        </w:tc>
        <w:tc>
          <w:tcPr>
            <w:tcW w:w="3145" w:type="dxa"/>
            <w:gridSpan w:val="3"/>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3062" w:type="dxa"/>
            <w:vAlign w:val="center"/>
          </w:tcPr>
          <w:p>
            <w:pPr>
              <w:spacing w:line="280" w:lineRule="exact"/>
              <w:rPr>
                <w:rFonts w:hint="eastAsia" w:ascii="宋体" w:hAnsi="宋体" w:eastAsia="宋体"/>
                <w:color w:val="000000"/>
                <w:sz w:val="21"/>
                <w:szCs w:val="21"/>
                <w:lang w:eastAsia="zh-CN"/>
              </w:rPr>
            </w:pPr>
          </w:p>
        </w:tc>
        <w:tc>
          <w:tcPr>
            <w:tcW w:w="2730" w:type="dxa"/>
            <w:gridSpan w:val="5"/>
            <w:vAlign w:val="center"/>
          </w:tcPr>
          <w:p>
            <w:pPr>
              <w:spacing w:line="280" w:lineRule="exact"/>
              <w:rPr>
                <w:rFonts w:hint="eastAsia" w:ascii="宋体" w:hAnsi="宋体"/>
                <w:color w:val="000000"/>
                <w:sz w:val="21"/>
                <w:szCs w:val="21"/>
              </w:rPr>
            </w:pPr>
            <w:r>
              <w:rPr>
                <w:rFonts w:hint="eastAsia" w:ascii="宋体" w:hAnsi="宋体"/>
                <w:color w:val="000000"/>
                <w:szCs w:val="21"/>
              </w:rPr>
              <w:t>法定代表人或委托代理人：</w:t>
            </w:r>
          </w:p>
        </w:tc>
        <w:tc>
          <w:tcPr>
            <w:tcW w:w="1977"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518" w:type="dxa"/>
            <w:gridSpan w:val="3"/>
            <w:vAlign w:val="center"/>
          </w:tcPr>
          <w:p>
            <w:pPr>
              <w:spacing w:line="280" w:lineRule="exact"/>
              <w:rPr>
                <w:rFonts w:hint="eastAsia" w:ascii="宋体" w:hAnsi="宋体" w:eastAsia="宋体"/>
                <w:color w:val="000000"/>
                <w:sz w:val="21"/>
                <w:szCs w:val="21"/>
                <w:lang w:val="en-US" w:eastAsia="zh-CN"/>
              </w:rPr>
            </w:pPr>
          </w:p>
        </w:tc>
        <w:tc>
          <w:tcPr>
            <w:tcW w:w="1304" w:type="dxa"/>
            <w:gridSpan w:val="2"/>
            <w:vAlign w:val="center"/>
          </w:tcPr>
          <w:p>
            <w:pPr>
              <w:spacing w:line="280" w:lineRule="exact"/>
              <w:rPr>
                <w:rFonts w:hint="eastAsia" w:ascii="宋体" w:hAnsi="宋体"/>
                <w:color w:val="000000"/>
                <w:sz w:val="21"/>
                <w:szCs w:val="21"/>
              </w:rPr>
            </w:pPr>
            <w:r>
              <w:rPr>
                <w:rFonts w:hint="eastAsia" w:ascii="宋体" w:hAnsi="宋体"/>
                <w:color w:val="000000"/>
                <w:szCs w:val="21"/>
              </w:rPr>
              <w:t>经办人：</w:t>
            </w:r>
            <w:r>
              <w:rPr>
                <w:color w:val="000000"/>
                <w:szCs w:val="21"/>
              </w:rPr>
              <w:t xml:space="preserve"> </w:t>
            </w:r>
          </w:p>
        </w:tc>
        <w:tc>
          <w:tcPr>
            <w:tcW w:w="3403" w:type="dxa"/>
            <w:gridSpan w:val="4"/>
            <w:vAlign w:val="top"/>
          </w:tcPr>
          <w:p>
            <w:pPr>
              <w:spacing w:line="280" w:lineRule="exact"/>
              <w:rPr>
                <w:rFonts w:hint="eastAsia" w:ascii="宋体" w:hAnsi="宋体" w:eastAsia="宋体"/>
                <w:color w:val="000000"/>
                <w:sz w:val="21"/>
                <w:szCs w:val="21"/>
                <w:lang w:val="en-US" w:eastAsia="zh-CN"/>
              </w:rPr>
            </w:pPr>
            <w:r>
              <w:rPr>
                <w:rFonts w:hint="eastAsia" w:ascii="宋体" w:hAnsi="宋体"/>
                <w:color w:val="000000"/>
                <w:szCs w:val="21"/>
              </w:rPr>
              <w:t>戴小玉</w:t>
            </w: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527" w:type="dxa"/>
            <w:gridSpan w:val="4"/>
            <w:vAlign w:val="center"/>
          </w:tcPr>
          <w:p>
            <w:pPr>
              <w:spacing w:line="280" w:lineRule="exact"/>
              <w:rPr>
                <w:rFonts w:hint="eastAsia" w:ascii="宋体" w:hAnsi="宋体"/>
                <w:color w:val="000000"/>
                <w:sz w:val="21"/>
                <w:szCs w:val="21"/>
              </w:rPr>
            </w:pPr>
          </w:p>
        </w:tc>
        <w:tc>
          <w:tcPr>
            <w:tcW w:w="1044" w:type="dxa"/>
            <w:vAlign w:val="center"/>
          </w:tcPr>
          <w:p>
            <w:pPr>
              <w:spacing w:line="280" w:lineRule="exact"/>
              <w:rPr>
                <w:rFonts w:hint="eastAsia" w:ascii="宋体" w:hAnsi="宋体"/>
                <w:color w:val="000000"/>
                <w:sz w:val="21"/>
                <w:szCs w:val="21"/>
              </w:rPr>
            </w:pPr>
            <w:r>
              <w:rPr>
                <w:rFonts w:hint="eastAsia" w:ascii="宋体" w:hAnsi="宋体"/>
                <w:color w:val="000000"/>
                <w:szCs w:val="21"/>
              </w:rPr>
              <w:t>电话：</w:t>
            </w:r>
          </w:p>
        </w:tc>
        <w:tc>
          <w:tcPr>
            <w:tcW w:w="3663" w:type="dxa"/>
            <w:gridSpan w:val="5"/>
            <w:vAlign w:val="center"/>
          </w:tcPr>
          <w:p>
            <w:pPr>
              <w:spacing w:line="280" w:lineRule="exact"/>
              <w:rPr>
                <w:rFonts w:hint="eastAsia" w:ascii="宋体" w:hAnsi="宋体"/>
                <w:color w:val="000000"/>
                <w:sz w:val="21"/>
                <w:szCs w:val="21"/>
              </w:rPr>
            </w:pPr>
            <w:r>
              <w:rPr>
                <w:rFonts w:hint="eastAsia" w:ascii="宋体" w:hAnsi="宋体"/>
                <w:color w:val="000000"/>
                <w:szCs w:val="21"/>
              </w:rPr>
              <w:t>059</w:t>
            </w:r>
            <w:r>
              <w:rPr>
                <w:rFonts w:hint="eastAsia" w:ascii="宋体" w:hAnsi="宋体"/>
                <w:color w:val="000000"/>
                <w:szCs w:val="21"/>
                <w:lang w:val="en-US" w:eastAsia="zh-CN"/>
              </w:rPr>
              <w:t>6</w:t>
            </w:r>
            <w:r>
              <w:rPr>
                <w:rFonts w:hint="eastAsia" w:ascii="宋体" w:hAnsi="宋体"/>
                <w:color w:val="000000"/>
                <w:szCs w:val="21"/>
              </w:rPr>
              <w:t>-</w:t>
            </w:r>
            <w:r>
              <w:rPr>
                <w:rFonts w:hint="eastAsia" w:ascii="宋体" w:hAnsi="宋体"/>
                <w:color w:val="000000"/>
                <w:szCs w:val="21"/>
                <w:lang w:val="en-US" w:eastAsia="zh-CN"/>
              </w:rPr>
              <w:t>6311078</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527" w:type="dxa"/>
            <w:gridSpan w:val="4"/>
            <w:vAlign w:val="center"/>
          </w:tcPr>
          <w:p>
            <w:pPr>
              <w:spacing w:line="280" w:lineRule="exact"/>
              <w:rPr>
                <w:rFonts w:hint="eastAsia" w:ascii="宋体" w:hAnsi="宋体"/>
                <w:color w:val="000000"/>
                <w:sz w:val="21"/>
                <w:szCs w:val="21"/>
              </w:rPr>
            </w:pPr>
          </w:p>
        </w:tc>
        <w:tc>
          <w:tcPr>
            <w:tcW w:w="1044" w:type="dxa"/>
            <w:vAlign w:val="center"/>
          </w:tcPr>
          <w:p>
            <w:pPr>
              <w:spacing w:line="280" w:lineRule="exact"/>
              <w:rPr>
                <w:rFonts w:hint="eastAsia" w:ascii="宋体" w:hAnsi="宋体"/>
                <w:color w:val="000000"/>
                <w:sz w:val="21"/>
                <w:szCs w:val="21"/>
              </w:rPr>
            </w:pPr>
            <w:r>
              <w:rPr>
                <w:rFonts w:hint="eastAsia" w:ascii="宋体" w:hAnsi="宋体"/>
                <w:color w:val="000000"/>
                <w:szCs w:val="21"/>
              </w:rPr>
              <w:t>传真：</w:t>
            </w:r>
          </w:p>
        </w:tc>
        <w:tc>
          <w:tcPr>
            <w:tcW w:w="3663" w:type="dxa"/>
            <w:gridSpan w:val="5"/>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152" w:type="dxa"/>
            <w:gridSpan w:val="2"/>
            <w:vAlign w:val="center"/>
          </w:tcPr>
          <w:p>
            <w:pPr>
              <w:spacing w:line="280" w:lineRule="exact"/>
              <w:rPr>
                <w:rFonts w:hint="eastAsia" w:ascii="宋体" w:hAnsi="宋体"/>
                <w:color w:val="000000"/>
                <w:sz w:val="21"/>
                <w:szCs w:val="21"/>
              </w:rPr>
            </w:pPr>
          </w:p>
        </w:tc>
        <w:tc>
          <w:tcPr>
            <w:tcW w:w="1562" w:type="dxa"/>
            <w:gridSpan w:val="3"/>
            <w:vAlign w:val="center"/>
          </w:tcPr>
          <w:p>
            <w:pPr>
              <w:spacing w:line="280" w:lineRule="exact"/>
              <w:rPr>
                <w:rFonts w:hint="eastAsia" w:ascii="宋体" w:hAnsi="宋体"/>
                <w:color w:val="000000"/>
                <w:sz w:val="21"/>
                <w:szCs w:val="21"/>
              </w:rPr>
            </w:pPr>
            <w:r>
              <w:rPr>
                <w:rFonts w:hint="eastAsia" w:ascii="宋体" w:hAnsi="宋体"/>
                <w:color w:val="000000"/>
                <w:szCs w:val="21"/>
              </w:rPr>
              <w:t>电子邮箱：</w:t>
            </w:r>
          </w:p>
        </w:tc>
        <w:tc>
          <w:tcPr>
            <w:tcW w:w="3145" w:type="dxa"/>
            <w:gridSpan w:val="3"/>
            <w:vAlign w:val="top"/>
          </w:tcPr>
          <w:p>
            <w:pPr>
              <w:spacing w:line="280" w:lineRule="exact"/>
              <w:rPr>
                <w:rFonts w:hint="eastAsia" w:ascii="宋体" w:hAnsi="宋体"/>
                <w:color w:val="000000"/>
                <w:sz w:val="21"/>
                <w:szCs w:val="21"/>
              </w:rPr>
            </w:pPr>
            <w:r>
              <w:rPr>
                <w:rFonts w:hint="eastAsia" w:ascii="宋体" w:hAnsi="宋体"/>
                <w:color w:val="000000"/>
                <w:szCs w:val="21"/>
                <w:lang w:val="en-US" w:eastAsia="zh-CN"/>
              </w:rPr>
              <w:t>xydai@fhcpec.com.cn</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152" w:type="dxa"/>
            <w:gridSpan w:val="2"/>
            <w:vAlign w:val="center"/>
          </w:tcPr>
          <w:p>
            <w:pPr>
              <w:spacing w:line="280" w:lineRule="exact"/>
              <w:rPr>
                <w:rFonts w:hint="eastAsia" w:ascii="宋体" w:hAnsi="宋体"/>
                <w:color w:val="000000"/>
                <w:sz w:val="21"/>
                <w:szCs w:val="21"/>
              </w:rPr>
            </w:pPr>
          </w:p>
        </w:tc>
        <w:tc>
          <w:tcPr>
            <w:tcW w:w="1562" w:type="dxa"/>
            <w:gridSpan w:val="3"/>
            <w:vAlign w:val="center"/>
          </w:tcPr>
          <w:p>
            <w:pPr>
              <w:spacing w:line="280" w:lineRule="exact"/>
              <w:rPr>
                <w:rFonts w:hint="eastAsia" w:ascii="宋体" w:hAnsi="宋体"/>
                <w:color w:val="000000"/>
                <w:sz w:val="21"/>
                <w:szCs w:val="21"/>
              </w:rPr>
            </w:pPr>
            <w:r>
              <w:rPr>
                <w:rFonts w:hint="eastAsia" w:ascii="宋体" w:hAnsi="宋体"/>
                <w:color w:val="000000"/>
                <w:szCs w:val="21"/>
              </w:rPr>
              <w:t>开户银行：</w:t>
            </w:r>
          </w:p>
        </w:tc>
        <w:tc>
          <w:tcPr>
            <w:tcW w:w="3145" w:type="dxa"/>
            <w:gridSpan w:val="3"/>
            <w:vAlign w:val="center"/>
          </w:tcPr>
          <w:p>
            <w:pPr>
              <w:spacing w:line="280" w:lineRule="exact"/>
              <w:rPr>
                <w:rFonts w:hint="eastAsia" w:ascii="宋体" w:hAnsi="宋体"/>
                <w:color w:val="000000"/>
                <w:sz w:val="21"/>
                <w:szCs w:val="21"/>
              </w:rPr>
            </w:pPr>
            <w:r>
              <w:rPr>
                <w:rFonts w:hint="eastAsia" w:ascii="宋体" w:hAnsi="宋体"/>
                <w:color w:val="000000"/>
                <w:szCs w:val="21"/>
                <w:lang w:val="en-US" w:eastAsia="zh-CN"/>
              </w:rPr>
              <w:t>兴业银行漳州古雷支行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527" w:type="dxa"/>
            <w:gridSpan w:val="4"/>
            <w:vAlign w:val="center"/>
          </w:tcPr>
          <w:p>
            <w:pPr>
              <w:spacing w:line="280" w:lineRule="exact"/>
              <w:rPr>
                <w:rFonts w:hint="eastAsia" w:ascii="宋体" w:hAnsi="宋体"/>
                <w:color w:val="000000"/>
                <w:sz w:val="21"/>
                <w:szCs w:val="21"/>
              </w:rPr>
            </w:pPr>
          </w:p>
        </w:tc>
        <w:tc>
          <w:tcPr>
            <w:tcW w:w="1044" w:type="dxa"/>
            <w:vAlign w:val="center"/>
          </w:tcPr>
          <w:p>
            <w:pPr>
              <w:spacing w:line="280" w:lineRule="exact"/>
              <w:rPr>
                <w:rFonts w:hint="eastAsia" w:ascii="宋体" w:hAnsi="宋体"/>
                <w:color w:val="000000"/>
                <w:sz w:val="21"/>
                <w:szCs w:val="21"/>
              </w:rPr>
            </w:pPr>
            <w:r>
              <w:rPr>
                <w:rFonts w:hint="eastAsia" w:ascii="宋体" w:hAnsi="宋体"/>
                <w:color w:val="000000"/>
                <w:szCs w:val="21"/>
              </w:rPr>
              <w:t>帐号：</w:t>
            </w:r>
          </w:p>
        </w:tc>
        <w:tc>
          <w:tcPr>
            <w:tcW w:w="3663" w:type="dxa"/>
            <w:gridSpan w:val="5"/>
            <w:vAlign w:val="center"/>
          </w:tcPr>
          <w:p>
            <w:pPr>
              <w:spacing w:line="280" w:lineRule="exact"/>
              <w:rPr>
                <w:rFonts w:hint="eastAsia" w:ascii="宋体" w:hAnsi="宋体"/>
                <w:color w:val="000000"/>
                <w:sz w:val="21"/>
                <w:szCs w:val="21"/>
              </w:rPr>
            </w:pPr>
            <w:r>
              <w:rPr>
                <w:rFonts w:hint="eastAsia" w:ascii="宋体" w:hAnsi="宋体"/>
                <w:color w:val="000000"/>
                <w:szCs w:val="21"/>
                <w:lang w:val="en-US" w:eastAsia="zh-CN"/>
              </w:rPr>
              <w:t>162070100100021071</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527" w:type="dxa"/>
            <w:gridSpan w:val="4"/>
            <w:vAlign w:val="center"/>
          </w:tcPr>
          <w:p>
            <w:pPr>
              <w:spacing w:line="280" w:lineRule="exact"/>
              <w:rPr>
                <w:rFonts w:hint="eastAsia" w:ascii="宋体" w:hAnsi="宋体"/>
                <w:color w:val="000000"/>
                <w:sz w:val="21"/>
                <w:szCs w:val="21"/>
              </w:rPr>
            </w:pPr>
          </w:p>
        </w:tc>
        <w:tc>
          <w:tcPr>
            <w:tcW w:w="1044" w:type="dxa"/>
            <w:vAlign w:val="center"/>
          </w:tcPr>
          <w:p>
            <w:pPr>
              <w:spacing w:line="280" w:lineRule="exact"/>
              <w:rPr>
                <w:rFonts w:hint="eastAsia" w:ascii="宋体" w:hAnsi="宋体"/>
                <w:color w:val="000000"/>
                <w:sz w:val="21"/>
                <w:szCs w:val="21"/>
              </w:rPr>
            </w:pPr>
            <w:r>
              <w:rPr>
                <w:rFonts w:hint="eastAsia" w:ascii="宋体" w:hAnsi="宋体"/>
                <w:color w:val="000000"/>
                <w:szCs w:val="21"/>
              </w:rPr>
              <w:t>税号：</w:t>
            </w:r>
          </w:p>
        </w:tc>
        <w:tc>
          <w:tcPr>
            <w:tcW w:w="3663" w:type="dxa"/>
            <w:gridSpan w:val="5"/>
            <w:vAlign w:val="center"/>
          </w:tcPr>
          <w:p>
            <w:pPr>
              <w:spacing w:line="280" w:lineRule="exact"/>
              <w:rPr>
                <w:rFonts w:hint="eastAsia" w:ascii="宋体" w:hAnsi="宋体"/>
                <w:color w:val="000000"/>
                <w:sz w:val="21"/>
                <w:szCs w:val="21"/>
              </w:rPr>
            </w:pPr>
            <w:r>
              <w:rPr>
                <w:rFonts w:hint="eastAsia" w:ascii="宋体" w:hAnsi="宋体"/>
                <w:color w:val="000000"/>
                <w:szCs w:val="21"/>
              </w:rPr>
              <w:t>9135</w:t>
            </w:r>
            <w:r>
              <w:rPr>
                <w:rFonts w:hint="eastAsia" w:ascii="宋体" w:hAnsi="宋体"/>
                <w:color w:val="000000"/>
                <w:szCs w:val="21"/>
                <w:lang w:val="en-US" w:eastAsia="zh-CN"/>
              </w:rPr>
              <w:t>0600717866709A</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p>
    <w:p>
      <w:pPr>
        <w:pStyle w:val="55"/>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5"/>
        <w:jc w:val="both"/>
        <w:rPr>
          <w:rFonts w:ascii="Times New Roman" w:hAnsi="Times New Roman"/>
          <w:b/>
          <w:bCs/>
          <w:kern w:val="2"/>
          <w:sz w:val="36"/>
          <w:szCs w:val="36"/>
        </w:rPr>
      </w:pPr>
    </w:p>
    <w:p>
      <w:pPr>
        <w:pStyle w:val="55"/>
        <w:jc w:val="both"/>
        <w:rPr>
          <w:rFonts w:hint="default" w:ascii="Times New Roman" w:hAnsi="Times New Roman" w:eastAsia="宋体"/>
          <w:b/>
          <w:bCs/>
          <w:kern w:val="2"/>
          <w:sz w:val="36"/>
          <w:szCs w:val="36"/>
          <w:lang w:val="en-US" w:eastAsia="zh-CN"/>
        </w:rPr>
      </w:pPr>
      <w:r>
        <w:rPr>
          <w:rFonts w:hint="eastAsia" w:ascii="Times New Roman" w:hAnsi="Times New Roman"/>
          <w:b/>
          <w:bCs/>
          <w:kern w:val="2"/>
          <w:sz w:val="36"/>
          <w:szCs w:val="36"/>
          <w:lang w:val="en-US" w:eastAsia="zh-CN"/>
        </w:rPr>
        <w:t>附件二：</w:t>
      </w: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电气团队18台UPS主机采购</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w:t>
      </w:r>
    </w:p>
    <w:p>
      <w:pPr>
        <w:widowControl/>
        <w:autoSpaceDE/>
        <w:autoSpaceDN/>
        <w:jc w:val="center"/>
        <w:rPr>
          <w:rFonts w:hint="eastAsia"/>
          <w:b/>
          <w:bCs/>
          <w:sz w:val="24"/>
          <w:szCs w:val="24"/>
          <w:lang w:eastAsia="zh-CN"/>
        </w:rPr>
      </w:pPr>
      <w:r>
        <w:rPr>
          <w:rFonts w:hint="eastAsia"/>
          <w:b/>
          <w:bCs/>
          <w:sz w:val="24"/>
          <w:szCs w:val="24"/>
          <w:lang w:eastAsia="zh-CN"/>
        </w:rPr>
        <w:t>电气团队18台UPS主机采购价格清单</w:t>
      </w:r>
    </w:p>
    <w:tbl>
      <w:tblPr>
        <w:tblStyle w:val="46"/>
        <w:tblpPr w:leftFromText="180" w:rightFromText="180" w:vertAnchor="text" w:horzAnchor="page" w:tblpXSpec="center" w:tblpY="287"/>
        <w:tblOverlap w:val="never"/>
        <w:tblW w:w="10587" w:type="dxa"/>
        <w:tblInd w:w="754" w:type="dxa"/>
        <w:tblLayout w:type="fixed"/>
        <w:tblCellMar>
          <w:top w:w="15" w:type="dxa"/>
          <w:left w:w="15" w:type="dxa"/>
          <w:bottom w:w="15" w:type="dxa"/>
          <w:right w:w="15" w:type="dxa"/>
        </w:tblCellMar>
      </w:tblPr>
      <w:tblGrid>
        <w:gridCol w:w="537"/>
        <w:gridCol w:w="1446"/>
        <w:gridCol w:w="1245"/>
        <w:gridCol w:w="1237"/>
        <w:gridCol w:w="1735"/>
        <w:gridCol w:w="1075"/>
        <w:gridCol w:w="625"/>
        <w:gridCol w:w="600"/>
        <w:gridCol w:w="1063"/>
        <w:gridCol w:w="1024"/>
      </w:tblGrid>
      <w:tr>
        <w:tblPrEx>
          <w:tblCellMar>
            <w:top w:w="15" w:type="dxa"/>
            <w:left w:w="15" w:type="dxa"/>
            <w:bottom w:w="15" w:type="dxa"/>
            <w:right w:w="15" w:type="dxa"/>
          </w:tblCellMar>
        </w:tblPrEx>
        <w:trPr>
          <w:trHeight w:val="6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序号</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品牌</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7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2235980132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QG2310080007</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2235980158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30kVA 380V 50Hz 三进三出</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2235980159</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100kVA 380V 50Hz 三进三出</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QG2310080009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w:t>
            </w:r>
            <w:r>
              <w:rPr>
                <w:rFonts w:hint="eastAsia" w:cs="宋体"/>
                <w:i w:val="0"/>
                <w:iCs w:val="0"/>
                <w:color w:val="000000"/>
                <w:kern w:val="0"/>
                <w:sz w:val="21"/>
                <w:szCs w:val="21"/>
                <w:u w:val="none"/>
                <w:lang w:val="en-US" w:eastAsia="zh-CN" w:bidi="ar"/>
              </w:rPr>
              <w:t>29</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000000"/>
                <w:szCs w:val="21"/>
                <w:lang w:val="en-US" w:eastAsia="zh-CN"/>
              </w:rPr>
            </w:pPr>
          </w:p>
        </w:tc>
        <w:tc>
          <w:tcPr>
            <w:tcW w:w="100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olor w:val="000000"/>
                <w:sz w:val="18"/>
                <w:szCs w:val="18"/>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b/>
                <w:color w:val="000000"/>
                <w:szCs w:val="21"/>
                <w:lang w:val="en-US" w:eastAsia="zh-CN"/>
              </w:rPr>
              <w:t xml:space="preserve">  </w:t>
            </w:r>
            <w:r>
              <w:rPr>
                <w:rFonts w:hint="eastAsia" w:ascii="宋体" w:hAnsi="宋体"/>
                <w:b/>
                <w:color w:val="000000"/>
                <w:szCs w:val="21"/>
                <w:lang w:val="en-US" w:eastAsia="zh-CN"/>
              </w:rPr>
              <w:t>小写</w:t>
            </w:r>
            <w:r>
              <w:rPr>
                <w:rFonts w:hint="eastAsia" w:ascii="宋体" w:hAnsi="宋体"/>
                <w:b/>
                <w:color w:val="000000"/>
                <w:szCs w:val="21"/>
              </w:rPr>
              <w:t>（大写</w:t>
            </w:r>
            <w:r>
              <w:rPr>
                <w:rFonts w:hint="eastAsia"/>
                <w:b/>
                <w:color w:val="000000"/>
                <w:szCs w:val="21"/>
                <w:lang w:val="en-US" w:eastAsia="zh-CN"/>
              </w:rPr>
              <w:t xml:space="preserve">             </w:t>
            </w:r>
            <w:r>
              <w:rPr>
                <w:rFonts w:hint="eastAsia" w:ascii="宋体" w:hAnsi="宋体"/>
                <w:b/>
                <w:color w:val="000000"/>
                <w:szCs w:val="21"/>
              </w:rPr>
              <w:t>）</w:t>
            </w:r>
          </w:p>
        </w:tc>
      </w:tr>
    </w:tbl>
    <w:p>
      <w:pPr>
        <w:pStyle w:val="55"/>
        <w:rPr>
          <w:lang w:eastAsia="zh-CN"/>
        </w:rPr>
      </w:pPr>
    </w:p>
    <w:tbl>
      <w:tblPr>
        <w:tblStyle w:val="46"/>
        <w:tblpPr w:leftFromText="180" w:rightFromText="180" w:vertAnchor="text" w:horzAnchor="page" w:tblpX="1364" w:tblpY="300"/>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5"/>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13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55"/>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5"/>
        <w:rPr>
          <w:rFonts w:hint="eastAsia"/>
          <w:color w:val="00B050"/>
          <w:sz w:val="28"/>
          <w:lang w:eastAsia="zh-CN"/>
        </w:rPr>
      </w:pPr>
    </w:p>
    <w:p>
      <w:pPr>
        <w:pStyle w:val="55"/>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0D0562"/>
    <w:rsid w:val="0367315B"/>
    <w:rsid w:val="039452D6"/>
    <w:rsid w:val="05C3382D"/>
    <w:rsid w:val="061139E5"/>
    <w:rsid w:val="06F50B00"/>
    <w:rsid w:val="076E1278"/>
    <w:rsid w:val="087D5A4F"/>
    <w:rsid w:val="08D1141D"/>
    <w:rsid w:val="0ADE10CA"/>
    <w:rsid w:val="0B296DE2"/>
    <w:rsid w:val="0C6802B9"/>
    <w:rsid w:val="0D0126E0"/>
    <w:rsid w:val="0E9E6512"/>
    <w:rsid w:val="0FB5725B"/>
    <w:rsid w:val="10010714"/>
    <w:rsid w:val="10294AA3"/>
    <w:rsid w:val="10E40CA0"/>
    <w:rsid w:val="12584C20"/>
    <w:rsid w:val="13117BFA"/>
    <w:rsid w:val="136130D9"/>
    <w:rsid w:val="13805E8A"/>
    <w:rsid w:val="13F65B92"/>
    <w:rsid w:val="14762538"/>
    <w:rsid w:val="14AE0E05"/>
    <w:rsid w:val="15800409"/>
    <w:rsid w:val="16B72867"/>
    <w:rsid w:val="173600E6"/>
    <w:rsid w:val="177C13BA"/>
    <w:rsid w:val="18DD4F7E"/>
    <w:rsid w:val="195B58A2"/>
    <w:rsid w:val="1989465C"/>
    <w:rsid w:val="1A2360C8"/>
    <w:rsid w:val="1B6947A7"/>
    <w:rsid w:val="1CC346E7"/>
    <w:rsid w:val="1E085A14"/>
    <w:rsid w:val="1E657D90"/>
    <w:rsid w:val="1E8A260F"/>
    <w:rsid w:val="1FF43DDB"/>
    <w:rsid w:val="20625E24"/>
    <w:rsid w:val="21933AA2"/>
    <w:rsid w:val="25BF356F"/>
    <w:rsid w:val="25DB0C2D"/>
    <w:rsid w:val="263E4705"/>
    <w:rsid w:val="267F6210"/>
    <w:rsid w:val="269469E7"/>
    <w:rsid w:val="26EF5299"/>
    <w:rsid w:val="27EE0826"/>
    <w:rsid w:val="2998140D"/>
    <w:rsid w:val="29FC3B14"/>
    <w:rsid w:val="2A056A4F"/>
    <w:rsid w:val="2B11792E"/>
    <w:rsid w:val="2D3C366E"/>
    <w:rsid w:val="2F724BD0"/>
    <w:rsid w:val="30087837"/>
    <w:rsid w:val="31C54755"/>
    <w:rsid w:val="3216608C"/>
    <w:rsid w:val="328238D1"/>
    <w:rsid w:val="328F13DA"/>
    <w:rsid w:val="34CE14C6"/>
    <w:rsid w:val="34D84CEC"/>
    <w:rsid w:val="35DC515B"/>
    <w:rsid w:val="36351F9A"/>
    <w:rsid w:val="37040D59"/>
    <w:rsid w:val="37AF5AB7"/>
    <w:rsid w:val="3AB02FA5"/>
    <w:rsid w:val="3B1C3371"/>
    <w:rsid w:val="3CC23198"/>
    <w:rsid w:val="3DDF4815"/>
    <w:rsid w:val="3DFF227A"/>
    <w:rsid w:val="3F286F3A"/>
    <w:rsid w:val="3FE669E5"/>
    <w:rsid w:val="3FFC0ABD"/>
    <w:rsid w:val="44B70186"/>
    <w:rsid w:val="4583071C"/>
    <w:rsid w:val="459C39D0"/>
    <w:rsid w:val="462A54F2"/>
    <w:rsid w:val="47993669"/>
    <w:rsid w:val="480A1F47"/>
    <w:rsid w:val="4A6A5207"/>
    <w:rsid w:val="4B876203"/>
    <w:rsid w:val="4CB30FFF"/>
    <w:rsid w:val="4FF21EAF"/>
    <w:rsid w:val="50F63E28"/>
    <w:rsid w:val="520D14F7"/>
    <w:rsid w:val="5221007F"/>
    <w:rsid w:val="52926B5A"/>
    <w:rsid w:val="52F74B88"/>
    <w:rsid w:val="545C5E51"/>
    <w:rsid w:val="5486175B"/>
    <w:rsid w:val="55452810"/>
    <w:rsid w:val="56C44E8B"/>
    <w:rsid w:val="57667D24"/>
    <w:rsid w:val="57CE5BC3"/>
    <w:rsid w:val="59C5385A"/>
    <w:rsid w:val="5A2D3E44"/>
    <w:rsid w:val="5A3260D4"/>
    <w:rsid w:val="5AD75FB8"/>
    <w:rsid w:val="5AE1516A"/>
    <w:rsid w:val="5B6A3A79"/>
    <w:rsid w:val="5C1A5F7B"/>
    <w:rsid w:val="5D1152C1"/>
    <w:rsid w:val="5D7A3273"/>
    <w:rsid w:val="5E2B4120"/>
    <w:rsid w:val="5F1119B5"/>
    <w:rsid w:val="5F3C2308"/>
    <w:rsid w:val="601675AC"/>
    <w:rsid w:val="60830691"/>
    <w:rsid w:val="628D3982"/>
    <w:rsid w:val="629B477C"/>
    <w:rsid w:val="62E96122"/>
    <w:rsid w:val="63CC04E6"/>
    <w:rsid w:val="64540594"/>
    <w:rsid w:val="645771F8"/>
    <w:rsid w:val="646E0E9D"/>
    <w:rsid w:val="66CC0AF0"/>
    <w:rsid w:val="693C3D94"/>
    <w:rsid w:val="6A54112D"/>
    <w:rsid w:val="6A701C86"/>
    <w:rsid w:val="6AA035AE"/>
    <w:rsid w:val="6AE61F48"/>
    <w:rsid w:val="6BCB034D"/>
    <w:rsid w:val="6C0E1756"/>
    <w:rsid w:val="6C2B2406"/>
    <w:rsid w:val="6E0F2E14"/>
    <w:rsid w:val="6E14011E"/>
    <w:rsid w:val="6EFF3DE4"/>
    <w:rsid w:val="6F1E141D"/>
    <w:rsid w:val="6F5354F8"/>
    <w:rsid w:val="727810B8"/>
    <w:rsid w:val="7293546A"/>
    <w:rsid w:val="72E05B2C"/>
    <w:rsid w:val="740A2BDE"/>
    <w:rsid w:val="74BD5288"/>
    <w:rsid w:val="751839E0"/>
    <w:rsid w:val="76274F93"/>
    <w:rsid w:val="777437FD"/>
    <w:rsid w:val="79670CA0"/>
    <w:rsid w:val="79EB3F2F"/>
    <w:rsid w:val="79FD3C4B"/>
    <w:rsid w:val="7A1D7427"/>
    <w:rsid w:val="7B11789E"/>
    <w:rsid w:val="7C0171C7"/>
    <w:rsid w:val="7C1F52BA"/>
    <w:rsid w:val="7D250FF6"/>
    <w:rsid w:val="7DC94A0A"/>
    <w:rsid w:val="7E9E2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paragraph" w:customStyle="1" w:styleId="215">
    <w:name w:val="样式 SINOPEC-0"/>
    <w:basedOn w:val="1"/>
    <w:qFormat/>
    <w:uiPriority w:val="0"/>
    <w:pPr>
      <w:spacing w:line="360" w:lineRule="auto"/>
      <w:ind w:firstLine="200" w:firstLineChars="200"/>
    </w:pPr>
    <w:rPr>
      <w:rFonts w:ascii="Arial" w:hAnsi="Arial"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17</Pages>
  <Words>9698</Words>
  <Characters>10317</Characters>
  <Lines>79</Lines>
  <Paragraphs>22</Paragraphs>
  <TotalTime>37</TotalTime>
  <ScaleCrop>false</ScaleCrop>
  <LinksUpToDate>false</LinksUpToDate>
  <CharactersWithSpaces>10891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cp:lastPrinted>2023-03-28T01:18:00Z</cp:lastPrinted>
  <dcterms:modified xsi:type="dcterms:W3CDTF">2023-10-11T06:25:52Z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