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PTA海水泵站电解R8012-1电解槽更新项目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Ansi="宋体" w:cs="宋体"/>
          <w:sz w:val="24"/>
          <w:szCs w:val="24"/>
        </w:rPr>
        <w:t>FHC-PTCG20220613001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二〇二二年九月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福建福海创石油化工有限公司PTA海水泵站电解R8012-1电解槽更新项目比选公告</w:t>
      </w:r>
    </w:p>
    <w:p>
      <w:pPr>
        <w:pStyle w:val="20"/>
        <w:rPr>
          <w:b/>
          <w:sz w:val="28"/>
          <w:lang w:eastAsia="zh-CN"/>
        </w:rPr>
      </w:pPr>
    </w:p>
    <w:p>
      <w:pPr>
        <w:pStyle w:val="20"/>
        <w:spacing w:before="0"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福建福海创石油化工有限公司PTA海水泵站电解R8012-1电解槽更新项目（项目编号：FHC-PTCG20220613001）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600" w:lineRule="exact"/>
        <w:ind w:firstLine="480" w:firstLineChars="200"/>
        <w:jc w:val="both"/>
        <w:rPr>
          <w:sz w:val="24"/>
          <w:szCs w:val="24"/>
          <w:lang w:eastAsia="zh-CN"/>
        </w:rPr>
      </w:pPr>
      <w:r>
        <w:rPr>
          <w:sz w:val="24"/>
          <w:szCs w:val="24"/>
          <w:lang w:eastAsia="zh-CN"/>
        </w:rPr>
        <w:t>1.</w:t>
      </w:r>
      <w:r>
        <w:rPr>
          <w:rFonts w:hint="eastAsia"/>
          <w:sz w:val="24"/>
          <w:szCs w:val="24"/>
          <w:lang w:eastAsia="zh-CN"/>
        </w:rPr>
        <w:t>项目名称：福建福海创石油化工有限公司PTA海水泵站电解R8012-1电解槽更新项目。</w:t>
      </w:r>
    </w:p>
    <w:p>
      <w:pPr>
        <w:tabs>
          <w:tab w:val="left" w:pos="709"/>
        </w:tabs>
        <w:spacing w:line="600" w:lineRule="exact"/>
        <w:ind w:firstLine="480" w:firstLineChars="200"/>
        <w:jc w:val="both"/>
        <w:rPr>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600" w:lineRule="exact"/>
        <w:ind w:firstLine="480" w:firstLineChars="200"/>
        <w:jc w:val="both"/>
        <w:rPr>
          <w:sz w:val="24"/>
          <w:szCs w:val="24"/>
          <w:lang w:eastAsia="zh-CN"/>
        </w:rPr>
      </w:pPr>
      <w:r>
        <w:rPr>
          <w:rFonts w:hint="eastAsia"/>
          <w:sz w:val="24"/>
          <w:szCs w:val="24"/>
          <w:lang w:eastAsia="zh-CN"/>
        </w:rPr>
        <w:t>1）、福海创PTA海水泵站电解R8012-1电解槽因电极腐蚀需要更新,因不同厂商提供设备范围不同，有些厂商可以单独提供电解电极（原电解槽壳体利旧），有些厂商则只能提供整套电解槽（含电极），现拟以下两套供货方案, 供应商选择其中一种方案进行供货：</w:t>
      </w:r>
    </w:p>
    <w:p>
      <w:pPr>
        <w:tabs>
          <w:tab w:val="left" w:pos="709"/>
        </w:tabs>
        <w:spacing w:line="600" w:lineRule="exact"/>
        <w:ind w:firstLine="480" w:firstLineChars="200"/>
        <w:jc w:val="both"/>
        <w:rPr>
          <w:sz w:val="24"/>
          <w:szCs w:val="24"/>
          <w:lang w:eastAsia="zh-CN"/>
        </w:rPr>
      </w:pPr>
      <w:r>
        <w:rPr>
          <w:rFonts w:hint="eastAsia"/>
          <w:sz w:val="24"/>
          <w:szCs w:val="24"/>
          <w:lang w:eastAsia="zh-CN"/>
        </w:rPr>
        <w:t>方案一：按技术要求提供电解电极，并指导安装、调试。</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a、电极</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型式：板式双极式电极</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工作电压：直流230V</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工作电流：2800A</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直流电耗：≦4.5kWh/kg</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阳极材质：钛涂多元贵金属氧化物涂层</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阴极材质：钛</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阴阳极之间在干燥状态下的绝缘电阻不小于1k</w:t>
      </w:r>
      <w:r>
        <w:rPr>
          <w:rFonts w:hint="eastAsia" w:asciiTheme="minorEastAsia" w:hAnsiTheme="minorEastAsia" w:eastAsiaTheme="minorEastAsia"/>
          <w:bCs/>
          <w:sz w:val="24"/>
        </w:rPr>
        <w:t>Ω</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电极使用寿命：≥5年</w:t>
      </w:r>
    </w:p>
    <w:p>
      <w:pPr>
        <w:pStyle w:val="2"/>
        <w:spacing w:line="600" w:lineRule="exact"/>
        <w:ind w:firstLine="680" w:firstLineChars="200"/>
      </w:pPr>
    </w:p>
    <w:p>
      <w:pPr>
        <w:tabs>
          <w:tab w:val="left" w:pos="709"/>
        </w:tabs>
        <w:spacing w:line="600" w:lineRule="exact"/>
        <w:ind w:firstLine="480" w:firstLineChars="200"/>
        <w:jc w:val="both"/>
        <w:rPr>
          <w:sz w:val="24"/>
          <w:szCs w:val="24"/>
          <w:lang w:eastAsia="zh-CN"/>
        </w:rPr>
      </w:pPr>
      <w:r>
        <w:rPr>
          <w:rFonts w:hint="eastAsia"/>
          <w:sz w:val="24"/>
          <w:szCs w:val="24"/>
          <w:lang w:eastAsia="zh-CN"/>
        </w:rPr>
        <w:t>方案二：按技术要求提供电解槽（含壳体和电极），并指导安装、调试。</w:t>
      </w:r>
    </w:p>
    <w:p>
      <w:pPr>
        <w:tabs>
          <w:tab w:val="left" w:pos="709"/>
        </w:tabs>
        <w:spacing w:line="600" w:lineRule="exact"/>
        <w:ind w:firstLine="480" w:firstLineChars="200"/>
        <w:jc w:val="both"/>
        <w:rPr>
          <w:sz w:val="24"/>
          <w:szCs w:val="24"/>
          <w:lang w:eastAsia="zh-CN"/>
        </w:rPr>
      </w:pPr>
      <w:r>
        <w:rPr>
          <w:rFonts w:hint="eastAsia"/>
          <w:sz w:val="24"/>
          <w:szCs w:val="24"/>
          <w:lang w:eastAsia="zh-CN"/>
        </w:rPr>
        <w:t>除原电解槽厂家外其他厂家需要到现场进行电解槽的阳极、阴极、壳体、槽盖、密封件、紧固件等测量，各部件材质确认。</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b、电解槽（含电极）</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电解槽应有良好的密封性，其水密性试验压力应为电解槽设计压力的1.25倍。电极要求参照技术要求第1条，工艺参数如下：</w:t>
      </w:r>
    </w:p>
    <w:p>
      <w:pPr>
        <w:widowControl/>
        <w:shd w:val="clear" w:color="auto" w:fill="FFFFFF"/>
        <w:spacing w:line="600" w:lineRule="exact"/>
        <w:ind w:firstLine="480" w:firstLineChars="200"/>
        <w:jc w:val="both"/>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型式：外部PVC缠绕玻璃钢管，内部板式双极式电极</w:t>
      </w:r>
      <w:r>
        <w:rPr>
          <w:rFonts w:asciiTheme="minorEastAsia" w:hAnsiTheme="minorEastAsia" w:eastAsiaTheme="minorEastAsia"/>
          <w:bCs/>
          <w:sz w:val="24"/>
          <w:lang w:eastAsia="zh-CN"/>
        </w:rPr>
        <w:t xml:space="preserve"> </w:t>
      </w:r>
    </w:p>
    <w:p>
      <w:pPr>
        <w:widowControl/>
        <w:shd w:val="clear" w:color="auto" w:fill="FFFFFF"/>
        <w:spacing w:line="600" w:lineRule="exact"/>
        <w:ind w:firstLine="480" w:firstLineChars="200"/>
        <w:jc w:val="both"/>
        <w:rPr>
          <w:rFonts w:asciiTheme="minorEastAsia" w:hAnsiTheme="minorEastAsia" w:eastAsiaTheme="minorEastAsia"/>
          <w:bCs/>
          <w:sz w:val="24"/>
        </w:rPr>
      </w:pPr>
      <w:r>
        <w:rPr>
          <w:rFonts w:hint="eastAsia" w:asciiTheme="minorEastAsia" w:hAnsiTheme="minorEastAsia" w:eastAsiaTheme="minorEastAsia"/>
          <w:bCs/>
          <w:sz w:val="24"/>
        </w:rPr>
        <w:t>有效氯产量：120kg/h</w:t>
      </w:r>
    </w:p>
    <w:p>
      <w:pPr>
        <w:widowControl/>
        <w:shd w:val="clear" w:color="auto" w:fill="FFFFFF"/>
        <w:spacing w:line="600" w:lineRule="exact"/>
        <w:ind w:firstLine="480" w:firstLineChars="200"/>
        <w:jc w:val="both"/>
        <w:rPr>
          <w:rFonts w:asciiTheme="minorEastAsia" w:hAnsiTheme="minorEastAsia" w:eastAsiaTheme="minorEastAsia"/>
          <w:bCs/>
          <w:sz w:val="24"/>
        </w:rPr>
      </w:pPr>
      <w:r>
        <w:rPr>
          <w:rFonts w:hint="eastAsia" w:asciiTheme="minorEastAsia" w:hAnsiTheme="minorEastAsia" w:eastAsiaTheme="minorEastAsia"/>
          <w:bCs/>
          <w:sz w:val="24"/>
        </w:rPr>
        <w:t>有效氯浓度：≥1500ppm</w:t>
      </w:r>
    </w:p>
    <w:p>
      <w:pPr>
        <w:widowControl/>
        <w:shd w:val="clear" w:color="auto" w:fill="FFFFFF"/>
        <w:spacing w:line="600" w:lineRule="exact"/>
        <w:ind w:firstLine="480" w:firstLineChars="200"/>
        <w:jc w:val="both"/>
        <w:rPr>
          <w:rFonts w:asciiTheme="minorEastAsia" w:hAnsiTheme="minorEastAsia" w:eastAsiaTheme="minorEastAsia"/>
          <w:bCs/>
          <w:sz w:val="24"/>
        </w:rPr>
      </w:pPr>
      <w:r>
        <w:rPr>
          <w:rFonts w:hint="eastAsia" w:asciiTheme="minorEastAsia" w:hAnsiTheme="minorEastAsia" w:eastAsiaTheme="minorEastAsia"/>
          <w:bCs/>
          <w:sz w:val="24"/>
        </w:rPr>
        <w:t>最大工作压力：0.6MPa</w:t>
      </w:r>
    </w:p>
    <w:p>
      <w:pPr>
        <w:widowControl/>
        <w:shd w:val="clear" w:color="auto" w:fill="FFFFFF"/>
        <w:spacing w:line="600" w:lineRule="exact"/>
        <w:ind w:firstLine="480" w:firstLineChars="200"/>
        <w:jc w:val="both"/>
        <w:rPr>
          <w:rFonts w:asciiTheme="minorEastAsia" w:hAnsiTheme="minorEastAsia" w:eastAsiaTheme="minorEastAsia"/>
          <w:bCs/>
          <w:sz w:val="24"/>
        </w:rPr>
      </w:pPr>
      <w:r>
        <w:rPr>
          <w:rFonts w:hint="eastAsia" w:asciiTheme="minorEastAsia" w:hAnsiTheme="minorEastAsia" w:eastAsiaTheme="minorEastAsia"/>
          <w:bCs/>
          <w:sz w:val="24"/>
        </w:rPr>
        <w:t>工作压力： 0.25MPa</w:t>
      </w:r>
    </w:p>
    <w:p>
      <w:pPr>
        <w:widowControl/>
        <w:shd w:val="clear" w:color="auto" w:fill="FFFFFF"/>
        <w:spacing w:line="600" w:lineRule="exact"/>
        <w:ind w:firstLine="480" w:firstLineChars="200"/>
        <w:jc w:val="both"/>
        <w:rPr>
          <w:rFonts w:asciiTheme="minorEastAsia" w:hAnsiTheme="minorEastAsia" w:eastAsiaTheme="minorEastAsia"/>
          <w:bCs/>
          <w:sz w:val="24"/>
        </w:rPr>
      </w:pPr>
      <w:r>
        <w:rPr>
          <w:rFonts w:hint="eastAsia" w:asciiTheme="minorEastAsia" w:hAnsiTheme="minorEastAsia" w:eastAsiaTheme="minorEastAsia"/>
          <w:bCs/>
          <w:sz w:val="24"/>
        </w:rPr>
        <w:t>液体流量： 70</w:t>
      </w:r>
      <w:r>
        <w:rPr>
          <w:rFonts w:asciiTheme="minorEastAsia" w:hAnsiTheme="minorEastAsia" w:eastAsiaTheme="minorEastAsia"/>
          <w:bCs/>
          <w:sz w:val="24"/>
        </w:rPr>
        <w:t>m</w:t>
      </w:r>
      <w:r>
        <w:rPr>
          <w:rFonts w:hint="eastAsia" w:asciiTheme="minorEastAsia" w:hAnsiTheme="minorEastAsia" w:eastAsiaTheme="minorEastAsia"/>
          <w:bCs/>
          <w:sz w:val="24"/>
        </w:rPr>
        <w:t>³</w:t>
      </w:r>
      <w:r>
        <w:rPr>
          <w:rFonts w:asciiTheme="minorEastAsia" w:hAnsiTheme="minorEastAsia" w:eastAsiaTheme="minorEastAsia"/>
          <w:bCs/>
          <w:sz w:val="24"/>
        </w:rPr>
        <w:t>/h</w:t>
      </w:r>
    </w:p>
    <w:p>
      <w:pPr>
        <w:widowControl/>
        <w:shd w:val="clear" w:color="auto" w:fill="FFFFFF"/>
        <w:spacing w:line="600" w:lineRule="exact"/>
        <w:ind w:firstLine="480" w:firstLineChars="200"/>
        <w:jc w:val="both"/>
        <w:rPr>
          <w:lang w:eastAsia="zh-CN"/>
        </w:rPr>
      </w:pPr>
      <w:r>
        <w:rPr>
          <w:rFonts w:hint="eastAsia" w:asciiTheme="minorEastAsia" w:hAnsiTheme="minorEastAsia" w:eastAsiaTheme="minorEastAsia"/>
          <w:bCs/>
          <w:sz w:val="24"/>
        </w:rPr>
        <w:t>设计压力： 0.375MPa</w:t>
      </w:r>
    </w:p>
    <w:p>
      <w:pPr>
        <w:spacing w:line="600" w:lineRule="exact"/>
        <w:ind w:firstLine="480" w:firstLineChars="200"/>
        <w:jc w:val="both"/>
        <w:rPr>
          <w:lang w:eastAsia="zh-CN"/>
        </w:rPr>
      </w:pPr>
      <w:r>
        <w:rPr>
          <w:rFonts w:hint="eastAsia"/>
          <w:sz w:val="24"/>
          <w:szCs w:val="24"/>
          <w:lang w:eastAsia="zh-CN"/>
        </w:rPr>
        <w:t>2）、工程量表</w:t>
      </w:r>
    </w:p>
    <w:tbl>
      <w:tblPr>
        <w:tblStyle w:val="47"/>
        <w:tblW w:w="8698"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62"/>
        <w:gridCol w:w="2412"/>
        <w:gridCol w:w="3335"/>
        <w:gridCol w:w="1789"/>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blHeader/>
          <w:jc w:val="center"/>
        </w:trPr>
        <w:tc>
          <w:tcPr>
            <w:tcW w:w="1162" w:type="dxa"/>
            <w:tcBorders>
              <w:left w:val="single" w:color="auto" w:sz="4" w:space="0"/>
              <w:right w:val="single" w:color="auto" w:sz="4" w:space="0"/>
            </w:tcBorders>
            <w:vAlign w:val="center"/>
          </w:tcPr>
          <w:p>
            <w:pPr>
              <w:tabs>
                <w:tab w:val="left" w:pos="709"/>
              </w:tabs>
              <w:spacing w:line="600" w:lineRule="exact"/>
              <w:ind w:firstLine="0" w:firstLineChars="0"/>
              <w:jc w:val="both"/>
              <w:rPr>
                <w:sz w:val="24"/>
                <w:szCs w:val="24"/>
                <w:lang w:eastAsia="zh-CN"/>
              </w:rPr>
            </w:pPr>
            <w:r>
              <w:rPr>
                <w:rFonts w:hint="eastAsia"/>
                <w:sz w:val="24"/>
                <w:szCs w:val="24"/>
                <w:lang w:eastAsia="zh-CN"/>
              </w:rPr>
              <w:t>序号</w:t>
            </w:r>
          </w:p>
        </w:tc>
        <w:tc>
          <w:tcPr>
            <w:tcW w:w="2412" w:type="dxa"/>
            <w:tcBorders>
              <w:left w:val="single" w:color="auto" w:sz="4" w:space="0"/>
              <w:right w:val="single" w:color="auto" w:sz="4" w:space="0"/>
            </w:tcBorders>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名称</w:t>
            </w:r>
          </w:p>
        </w:tc>
        <w:tc>
          <w:tcPr>
            <w:tcW w:w="3335" w:type="dxa"/>
            <w:tcBorders>
              <w:left w:val="single" w:color="auto" w:sz="4" w:space="0"/>
              <w:right w:val="single" w:color="auto" w:sz="4" w:space="0"/>
            </w:tcBorders>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品牌</w:t>
            </w:r>
          </w:p>
        </w:tc>
        <w:tc>
          <w:tcPr>
            <w:tcW w:w="1789" w:type="dxa"/>
            <w:tcBorders>
              <w:left w:val="single" w:color="auto" w:sz="4" w:space="0"/>
              <w:right w:val="single" w:color="auto" w:sz="4" w:space="0"/>
            </w:tcBorders>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blHeader/>
          <w:jc w:val="center"/>
        </w:trPr>
        <w:tc>
          <w:tcPr>
            <w:tcW w:w="1162" w:type="dxa"/>
            <w:vAlign w:val="center"/>
          </w:tcPr>
          <w:p>
            <w:pPr>
              <w:tabs>
                <w:tab w:val="left" w:pos="709"/>
              </w:tabs>
              <w:spacing w:line="600" w:lineRule="exact"/>
              <w:ind w:firstLine="0" w:firstLineChars="0"/>
              <w:jc w:val="both"/>
              <w:rPr>
                <w:sz w:val="24"/>
                <w:szCs w:val="24"/>
                <w:lang w:eastAsia="zh-CN"/>
              </w:rPr>
            </w:pPr>
            <w:r>
              <w:rPr>
                <w:rFonts w:hint="eastAsia"/>
                <w:sz w:val="24"/>
                <w:szCs w:val="24"/>
                <w:lang w:eastAsia="zh-CN"/>
              </w:rPr>
              <w:t>方案一</w:t>
            </w:r>
          </w:p>
        </w:tc>
        <w:tc>
          <w:tcPr>
            <w:tcW w:w="2412"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板式双极式电极</w:t>
            </w:r>
          </w:p>
        </w:tc>
        <w:tc>
          <w:tcPr>
            <w:tcW w:w="3335"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青岛双瑞、湖南源生环保、西安泰金、广西博世科</w:t>
            </w:r>
          </w:p>
        </w:tc>
        <w:tc>
          <w:tcPr>
            <w:tcW w:w="1789"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blHeader/>
          <w:jc w:val="center"/>
        </w:trPr>
        <w:tc>
          <w:tcPr>
            <w:tcW w:w="1162" w:type="dxa"/>
            <w:vAlign w:val="center"/>
          </w:tcPr>
          <w:p>
            <w:pPr>
              <w:tabs>
                <w:tab w:val="left" w:pos="709"/>
              </w:tabs>
              <w:spacing w:line="600" w:lineRule="exact"/>
              <w:ind w:firstLine="0" w:firstLineChars="0"/>
              <w:jc w:val="both"/>
              <w:rPr>
                <w:sz w:val="24"/>
                <w:szCs w:val="24"/>
                <w:lang w:eastAsia="zh-CN"/>
              </w:rPr>
            </w:pPr>
            <w:r>
              <w:rPr>
                <w:rFonts w:hint="eastAsia"/>
                <w:sz w:val="24"/>
                <w:szCs w:val="24"/>
                <w:lang w:eastAsia="zh-CN"/>
              </w:rPr>
              <w:t>方案二</w:t>
            </w:r>
          </w:p>
        </w:tc>
        <w:tc>
          <w:tcPr>
            <w:tcW w:w="2412"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管板式电解槽（含壳体和电极）</w:t>
            </w:r>
          </w:p>
        </w:tc>
        <w:tc>
          <w:tcPr>
            <w:tcW w:w="3335"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青岛双瑞、湖南源生环保、西安泰金、广西博世科</w:t>
            </w:r>
          </w:p>
        </w:tc>
        <w:tc>
          <w:tcPr>
            <w:tcW w:w="1789" w:type="dxa"/>
            <w:vAlign w:val="center"/>
          </w:tcPr>
          <w:p>
            <w:pPr>
              <w:tabs>
                <w:tab w:val="left" w:pos="709"/>
              </w:tabs>
              <w:spacing w:line="600" w:lineRule="exact"/>
              <w:ind w:firstLine="480" w:firstLineChars="200"/>
              <w:jc w:val="both"/>
              <w:rPr>
                <w:sz w:val="24"/>
                <w:szCs w:val="24"/>
                <w:lang w:eastAsia="zh-CN"/>
              </w:rPr>
            </w:pPr>
            <w:r>
              <w:rPr>
                <w:rFonts w:hint="eastAsia"/>
                <w:sz w:val="24"/>
                <w:szCs w:val="24"/>
                <w:lang w:eastAsia="zh-CN"/>
              </w:rPr>
              <w:t>1套（4台壳体和4根电极）</w:t>
            </w:r>
          </w:p>
        </w:tc>
      </w:tr>
    </w:tbl>
    <w:p>
      <w:pPr>
        <w:tabs>
          <w:tab w:val="left" w:pos="709"/>
        </w:tabs>
        <w:spacing w:line="600" w:lineRule="exact"/>
        <w:ind w:firstLine="480" w:firstLineChars="200"/>
        <w:jc w:val="both"/>
        <w:rPr>
          <w:sz w:val="24"/>
          <w:szCs w:val="24"/>
          <w:lang w:eastAsia="zh-CN"/>
        </w:rPr>
      </w:pPr>
    </w:p>
    <w:p>
      <w:pPr>
        <w:tabs>
          <w:tab w:val="left" w:pos="709"/>
        </w:tabs>
        <w:spacing w:line="600" w:lineRule="exact"/>
        <w:ind w:firstLine="482" w:firstLineChars="200"/>
        <w:jc w:val="both"/>
        <w:rPr>
          <w:sz w:val="24"/>
          <w:szCs w:val="24"/>
          <w:lang w:eastAsia="zh-CN"/>
        </w:rPr>
      </w:pPr>
      <w:r>
        <w:rPr>
          <w:rFonts w:hint="eastAsia"/>
          <w:b/>
          <w:bCs/>
          <w:sz w:val="24"/>
          <w:szCs w:val="24"/>
          <w:lang w:eastAsia="zh-CN"/>
        </w:rPr>
        <w:t>以上内容具体详见附件1、《PTA海水泵站电解R8012-1电解槽更新发包说明》。</w:t>
      </w:r>
    </w:p>
    <w:p>
      <w:pPr>
        <w:tabs>
          <w:tab w:val="left" w:pos="709"/>
        </w:tabs>
        <w:spacing w:line="600" w:lineRule="exact"/>
        <w:ind w:firstLine="480" w:firstLineChars="200"/>
        <w:jc w:val="both"/>
        <w:rPr>
          <w:lang w:eastAsia="zh-CN"/>
        </w:rPr>
      </w:pPr>
      <w:r>
        <w:rPr>
          <w:rFonts w:hint="eastAsia"/>
          <w:sz w:val="24"/>
          <w:szCs w:val="24"/>
          <w:lang w:eastAsia="zh-CN"/>
        </w:rPr>
        <w:t>3.</w:t>
      </w:r>
      <w:r>
        <w:rPr>
          <w:rFonts w:hint="eastAsia"/>
          <w:sz w:val="24"/>
          <w:lang w:eastAsia="zh-CN"/>
        </w:rPr>
        <w:t>付款方式要求：无预付款。全部货款以现汇支付，货到验收合格付90%，质保金10%（质保期以最终双方签定的技术协议为准）。</w:t>
      </w:r>
    </w:p>
    <w:p>
      <w:pPr>
        <w:tabs>
          <w:tab w:val="left" w:pos="709"/>
        </w:tabs>
        <w:spacing w:line="600" w:lineRule="exact"/>
        <w:ind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r>
        <w:rPr>
          <w:rFonts w:hint="eastAsia"/>
          <w:b/>
          <w:snapToGrid w:val="0"/>
          <w:color w:val="000000" w:themeColor="text1"/>
          <w:spacing w:val="8"/>
          <w:sz w:val="24"/>
          <w:szCs w:val="24"/>
          <w:lang w:eastAsia="zh-CN"/>
        </w:rPr>
        <w:t>及供货周期要求</w:t>
      </w:r>
    </w:p>
    <w:p>
      <w:pPr>
        <w:tabs>
          <w:tab w:val="left" w:pos="709"/>
        </w:tabs>
        <w:spacing w:line="600" w:lineRule="exact"/>
        <w:ind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6"/>
        <w:spacing w:line="600" w:lineRule="exact"/>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600" w:lineRule="exact"/>
        <w:ind w:firstLine="480" w:firstLineChars="200"/>
        <w:jc w:val="both"/>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asciiTheme="minorEastAsia" w:hAnsiTheme="minorEastAsia" w:eastAsiaTheme="minorEastAsia"/>
          <w:bCs/>
          <w:sz w:val="24"/>
          <w:lang w:eastAsia="zh-CN"/>
        </w:rPr>
        <w:t>具有电解海水次氯酸钠发生装置或电解槽电极的生产制造资质，提供资质证明和近几年业绩情况；</w:t>
      </w:r>
    </w:p>
    <w:p>
      <w:pPr>
        <w:widowControl/>
        <w:shd w:val="clear" w:color="auto" w:fill="FFFFFF"/>
        <w:spacing w:line="600" w:lineRule="exact"/>
        <w:ind w:firstLine="480" w:firstLineChars="200"/>
      </w:pPr>
      <w:r>
        <w:rPr>
          <w:rFonts w:hint="eastAsia"/>
          <w:color w:val="000000" w:themeColor="text1"/>
          <w:sz w:val="24"/>
          <w:szCs w:val="24"/>
          <w:lang w:eastAsia="zh-CN"/>
        </w:rPr>
        <w:t>4.</w:t>
      </w:r>
      <w:r>
        <w:rPr>
          <w:rFonts w:hint="eastAsia" w:asciiTheme="minorEastAsia" w:hAnsiTheme="minorEastAsia" w:eastAsiaTheme="minorEastAsia"/>
          <w:bCs/>
          <w:sz w:val="24"/>
          <w:lang w:eastAsia="zh-CN"/>
        </w:rPr>
        <w:t>供货周期要求为合同生效之日起算，供货时间：T+60天(合同签订完成定为T)。</w:t>
      </w:r>
      <w:r>
        <w:rPr>
          <w:rFonts w:asciiTheme="minorEastAsia" w:hAnsiTheme="minorEastAsia" w:eastAsiaTheme="minorEastAsia"/>
          <w:bCs/>
          <w:sz w:val="24"/>
          <w:lang w:eastAsia="zh-CN"/>
        </w:rPr>
        <w:t xml:space="preserve"> </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报名方式：参选人在报名时间内将报名文件发送至邮箱xumx@fhcpec.com.cn，报名文件包含：</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600" w:lineRule="exact"/>
        <w:ind w:firstLine="514" w:firstLineChars="200"/>
        <w:jc w:val="both"/>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参选文件递交地点：漳州市漳浦县杜浔镇杜昌路9号，福海创办公楼三楼设备及服务团队，收件人：徐明兴  电话： 13779967252。</w:t>
      </w:r>
    </w:p>
    <w:p>
      <w:pPr>
        <w:tabs>
          <w:tab w:val="left" w:pos="709"/>
        </w:tabs>
        <w:spacing w:line="600" w:lineRule="exact"/>
        <w:ind w:firstLine="480" w:firstLineChars="200"/>
        <w:jc w:val="both"/>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tabs>
          <w:tab w:val="left" w:pos="709"/>
        </w:tabs>
        <w:spacing w:line="600" w:lineRule="exact"/>
        <w:ind w:firstLine="474" w:firstLineChars="200"/>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spacing w:line="600" w:lineRule="exact"/>
        <w:ind w:right="0" w:firstLine="480" w:firstLineChars="200"/>
        <w:jc w:val="both"/>
        <w:rPr>
          <w:color w:val="000000" w:themeColor="text1"/>
          <w:lang w:eastAsia="zh-CN"/>
        </w:rPr>
      </w:pPr>
      <w:bookmarkStart w:id="50" w:name="_GoBack"/>
      <w:bookmarkEnd w:id="50"/>
      <w:r>
        <w:rPr>
          <w:rFonts w:hint="eastAsia"/>
          <w:lang w:eastAsia="zh-CN"/>
        </w:rPr>
        <w:t>1.参选单位应缴纳参选保证金，保证金</w:t>
      </w:r>
      <w:r>
        <w:rPr>
          <w:rFonts w:hint="eastAsia"/>
          <w:color w:val="000000" w:themeColor="text1"/>
          <w:lang w:eastAsia="zh-CN"/>
        </w:rPr>
        <w:t>金额30000元整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600" w:lineRule="exact"/>
        <w:ind w:right="0" w:firstLine="480" w:firstLineChars="200"/>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600" w:lineRule="exact"/>
        <w:ind w:right="0" w:firstLine="480" w:firstLineChars="20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600" w:lineRule="exact"/>
        <w:ind w:right="0" w:firstLine="480" w:firstLineChars="200"/>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600" w:lineRule="exact"/>
        <w:ind w:right="0" w:firstLine="480" w:firstLineChars="200"/>
        <w:jc w:val="both"/>
        <w:rPr>
          <w:color w:val="000000" w:themeColor="text1"/>
          <w:lang w:eastAsia="zh-CN"/>
        </w:rPr>
      </w:pPr>
      <w:r>
        <w:rPr>
          <w:rFonts w:hint="eastAsia"/>
          <w:color w:val="000000" w:themeColor="text1"/>
          <w:lang w:eastAsia="zh-CN"/>
        </w:rPr>
        <w:t xml:space="preserve">    注明用途：</w:t>
      </w:r>
      <w:r>
        <w:rPr>
          <w:rFonts w:hint="eastAsia"/>
          <w:lang w:eastAsia="zh-CN"/>
        </w:rPr>
        <w:t>PTA海水泵站电解R8012-1电解槽更新项目</w:t>
      </w:r>
      <w:r>
        <w:rPr>
          <w:rFonts w:hint="eastAsia"/>
          <w:color w:val="000000" w:themeColor="text1"/>
          <w:lang w:eastAsia="zh-CN"/>
        </w:rPr>
        <w:t>参选</w:t>
      </w:r>
      <w:r>
        <w:rPr>
          <w:color w:val="000000" w:themeColor="text1"/>
          <w:lang w:eastAsia="zh-CN"/>
        </w:rPr>
        <w:t>保证金</w:t>
      </w:r>
    </w:p>
    <w:p>
      <w:pPr>
        <w:pStyle w:val="20"/>
        <w:spacing w:line="600" w:lineRule="exact"/>
        <w:ind w:right="0" w:firstLine="480" w:firstLineChars="200"/>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600" w:lineRule="exact"/>
        <w:ind w:right="0" w:firstLine="480" w:firstLineChars="20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spacing w:line="600" w:lineRule="exact"/>
        <w:ind w:firstLine="514" w:firstLineChars="200"/>
        <w:jc w:val="both"/>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商务联系人：徐明兴 电话：13779967252 邮箱：xumx@fhcpec.com.cn</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600" w:lineRule="exact"/>
        <w:ind w:firstLine="480" w:firstLineChars="200"/>
        <w:jc w:val="both"/>
        <w:rPr>
          <w:sz w:val="24"/>
          <w:szCs w:val="24"/>
          <w:lang w:eastAsia="zh-CN"/>
        </w:rPr>
      </w:pPr>
      <w:r>
        <w:rPr>
          <w:rFonts w:hint="eastAsia"/>
          <w:color w:val="000000" w:themeColor="text1"/>
          <w:sz w:val="24"/>
          <w:szCs w:val="24"/>
          <w:lang w:eastAsia="zh-CN"/>
        </w:rPr>
        <w:t>邮    编：363216</w:t>
      </w:r>
    </w:p>
    <w:p>
      <w:pPr>
        <w:spacing w:line="600" w:lineRule="exact"/>
        <w:ind w:firstLine="480" w:firstLineChars="200"/>
        <w:jc w:val="both"/>
        <w:rPr>
          <w:sz w:val="24"/>
          <w:szCs w:val="24"/>
          <w:lang w:eastAsia="zh-CN"/>
        </w:rPr>
      </w:pPr>
      <w:r>
        <w:rPr>
          <w:rFonts w:hint="eastAsia"/>
          <w:sz w:val="24"/>
          <w:szCs w:val="24"/>
          <w:lang w:eastAsia="zh-CN"/>
        </w:rPr>
        <w:t xml:space="preserve">                                           福建福海创石油化工有限公司 </w:t>
      </w:r>
    </w:p>
    <w:p>
      <w:pPr>
        <w:spacing w:line="600" w:lineRule="exact"/>
        <w:ind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2年9月</w:t>
      </w:r>
      <w:r>
        <w:rPr>
          <w:rFonts w:hint="eastAsia"/>
          <w:color w:val="000000" w:themeColor="text1"/>
          <w:sz w:val="24"/>
          <w:szCs w:val="24"/>
          <w:lang w:val="en-US" w:eastAsia="zh-CN"/>
        </w:rPr>
        <w:t>21</w:t>
      </w:r>
      <w:r>
        <w:rPr>
          <w:rFonts w:hint="eastAsia"/>
          <w:color w:val="000000" w:themeColor="text1"/>
          <w:sz w:val="24"/>
          <w:szCs w:val="24"/>
          <w:lang w:eastAsia="zh-CN"/>
        </w:rPr>
        <w:t>日</w:t>
      </w:r>
    </w:p>
    <w:p>
      <w:pPr>
        <w:pStyle w:val="2"/>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lang w:eastAsia="zh-CN"/>
        </w:rPr>
        <w:t>福建福海创石油化工有限公司PTA海水泵站电解R8012-1电解槽更新项目。</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p>
    <w:p>
      <w:pPr>
        <w:pStyle w:val="20"/>
        <w:spacing w:line="360" w:lineRule="auto"/>
        <w:ind w:right="121"/>
        <w:jc w:val="both"/>
        <w:rPr>
          <w:lang w:eastAsia="zh-CN"/>
        </w:rPr>
      </w:pPr>
      <w:r>
        <w:rPr>
          <w:rFonts w:hint="eastAsia"/>
          <w:lang w:eastAsia="zh-CN"/>
        </w:rPr>
        <w:t xml:space="preserve">    6.项目联系人</w:t>
      </w:r>
    </w:p>
    <w:p>
      <w:pPr>
        <w:spacing w:line="360" w:lineRule="auto"/>
        <w:ind w:firstLine="440"/>
        <w:rPr>
          <w:lang w:eastAsia="zh-CN"/>
        </w:rPr>
      </w:pPr>
      <w:r>
        <w:rPr>
          <w:rFonts w:hint="eastAsia"/>
          <w:sz w:val="24"/>
          <w:szCs w:val="24"/>
          <w:lang w:eastAsia="zh-CN"/>
        </w:rPr>
        <w:t>技术联系人: 张  宁 15860461975，nzhang@fhcpec.com.cn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lang w:eastAsia="zh-CN"/>
        </w:rPr>
        <w:t>徐明兴</w:t>
      </w:r>
      <w:r>
        <w:rPr>
          <w:rFonts w:hint="eastAsia"/>
          <w:lang w:eastAsia="zh-CN"/>
        </w:rPr>
        <w:t xml:space="preserve"> 13779967252，xumx@fhcpec.com.cn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tabs>
          <w:tab w:val="left" w:pos="709"/>
        </w:tabs>
        <w:spacing w:line="360" w:lineRule="auto"/>
        <w:ind w:firstLine="534" w:firstLineChars="200"/>
        <w:rPr>
          <w:b/>
          <w:w w:val="95"/>
          <w:sz w:val="28"/>
          <w:lang w:eastAsia="zh-CN"/>
        </w:rPr>
      </w:pPr>
      <w:r>
        <w:rPr>
          <w:b/>
          <w:w w:val="95"/>
          <w:sz w:val="28"/>
          <w:lang w:eastAsia="zh-CN"/>
        </w:rPr>
        <w:t>六、</w:t>
      </w:r>
      <w:r>
        <w:rPr>
          <w:rFonts w:hint="eastAsia"/>
          <w:b/>
          <w:w w:val="95"/>
          <w:sz w:val="28"/>
          <w:lang w:eastAsia="zh-CN"/>
        </w:rPr>
        <w:t>参选人资格要求及供货周期要求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参选单位应是具备独立法人资格且有能力按我司需求提供货物及服务的厂商。</w:t>
      </w:r>
    </w:p>
    <w:p>
      <w:pPr>
        <w:pStyle w:val="206"/>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rPr>
          <w:rFonts w:ascii="Calibri" w:hAnsi="Calibri" w:cs="Times New Roman"/>
          <w:color w:val="000000" w:themeColor="text1"/>
          <w:kern w:val="2"/>
          <w:sz w:val="24"/>
          <w:szCs w:val="24"/>
          <w:lang w:eastAsia="zh-CN"/>
        </w:rPr>
      </w:pPr>
      <w:r>
        <w:rPr>
          <w:rFonts w:hint="eastAsia"/>
          <w:color w:val="000000" w:themeColor="text1"/>
          <w:sz w:val="24"/>
          <w:szCs w:val="24"/>
          <w:lang w:eastAsia="zh-CN"/>
        </w:rPr>
        <w:t>3</w:t>
      </w:r>
      <w:r>
        <w:rPr>
          <w:rFonts w:hint="eastAsia" w:ascii="Calibri" w:hAnsi="Calibri" w:cs="Times New Roman"/>
          <w:color w:val="000000" w:themeColor="text1"/>
          <w:kern w:val="2"/>
          <w:sz w:val="24"/>
          <w:szCs w:val="24"/>
          <w:lang w:eastAsia="zh-CN"/>
        </w:rPr>
        <w:t>.</w:t>
      </w:r>
      <w:r>
        <w:rPr>
          <w:rFonts w:hint="eastAsia" w:asciiTheme="minorEastAsia" w:hAnsiTheme="minorEastAsia" w:eastAsiaTheme="minorEastAsia"/>
          <w:bCs/>
          <w:sz w:val="24"/>
          <w:lang w:eastAsia="zh-CN"/>
        </w:rPr>
        <w:t>具有电解海水次氯酸钠发生装置或电解槽电极的生产制造资质，提供资质证明和近几年业绩情况；</w:t>
      </w:r>
    </w:p>
    <w:p>
      <w:pPr>
        <w:pStyle w:val="20"/>
        <w:spacing w:line="360" w:lineRule="auto"/>
        <w:ind w:left="480" w:leftChars="218" w:right="121"/>
        <w:jc w:val="both"/>
        <w:rPr>
          <w:b/>
          <w:w w:val="95"/>
          <w:sz w:val="28"/>
          <w:lang w:eastAsia="zh-CN"/>
        </w:rPr>
      </w:pPr>
      <w:r>
        <w:rPr>
          <w:rFonts w:hint="eastAsia"/>
          <w:color w:val="000000" w:themeColor="text1"/>
          <w:lang w:eastAsia="zh-CN"/>
        </w:rPr>
        <w:t>4.</w:t>
      </w:r>
      <w:r>
        <w:rPr>
          <w:rFonts w:hint="eastAsia" w:asciiTheme="minorEastAsia" w:hAnsiTheme="minorEastAsia" w:eastAsiaTheme="minorEastAsia"/>
          <w:bCs/>
          <w:lang w:eastAsia="zh-CN"/>
        </w:rPr>
        <w:t>供货周期要求为合同生效之日起算，供货时间：T+60天(合同签订完成定为T)。</w:t>
      </w: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金额30000元整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lang w:eastAsia="zh-CN"/>
        </w:rPr>
      </w:pPr>
      <w:r>
        <w:rPr>
          <w:rFonts w:hint="eastAsia"/>
          <w:color w:val="000000" w:themeColor="text1"/>
          <w:lang w:eastAsia="zh-CN"/>
        </w:rPr>
        <w:t xml:space="preserve">    开户名称：</w:t>
      </w:r>
      <w:r>
        <w:rPr>
          <w:rFonts w:hint="eastAsia"/>
          <w:lang w:eastAsia="zh-CN"/>
        </w:rPr>
        <w:t>福建福海创石油化工有限公司</w:t>
      </w:r>
    </w:p>
    <w:p>
      <w:pPr>
        <w:pStyle w:val="20"/>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w:t>
      </w:r>
      <w:r>
        <w:rPr>
          <w:rFonts w:hint="eastAsia"/>
          <w:lang w:eastAsia="zh-CN"/>
        </w:rPr>
        <w:t>PTA海水泵站电解R8012-1电解槽更新项目</w:t>
      </w:r>
      <w:r>
        <w:rPr>
          <w:rFonts w:hint="eastAsia"/>
          <w:color w:val="000000" w:themeColor="text1"/>
          <w:lang w:eastAsia="zh-CN"/>
        </w:rPr>
        <w:t>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firstLine="480"/>
        <w:jc w:val="both"/>
        <w:rPr>
          <w:color w:val="000000" w:themeColor="text1"/>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徐明兴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13779967252。</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本项目设置最高控制价150万元整（含税包干总价）</w:t>
      </w:r>
      <w:r>
        <w:rPr>
          <w:rFonts w:hint="eastAsia"/>
          <w:lang w:eastAsia="zh-CN"/>
        </w:rPr>
        <w:t>。参选人所填报的报价高于本项目最高限价的，其参选比选小组有权予以否决。</w:t>
      </w:r>
      <w:r>
        <w:fldChar w:fldCharType="begin"/>
      </w:r>
      <w:r>
        <w:instrText xml:space="preserve"> HYPERLINK "mailto:如参选人对控制价存疑请于报价截止前发邮件至xqyang@fhcpec.com.cn" </w:instrText>
      </w:r>
      <w:r>
        <w:fldChar w:fldCharType="separate"/>
      </w:r>
      <w:r>
        <w:rPr>
          <w:rStyle w:val="56"/>
          <w:rFonts w:hint="eastAsia"/>
          <w:lang w:eastAsia="zh-CN"/>
        </w:rPr>
        <w:t>如参选人对控制价存疑请于报价截止前发邮件至xumx@fhcpec.com.cn</w:t>
      </w:r>
      <w:r>
        <w:rPr>
          <w:rStyle w:val="56"/>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sz w:val="24"/>
          <w:szCs w:val="24"/>
          <w:lang w:eastAsia="zh-CN"/>
        </w:rPr>
        <w:t>未税总价最低者作为第一中选人，以此类推</w:t>
      </w:r>
      <w:r>
        <w:rPr>
          <w:rFonts w:hint="eastAsia"/>
          <w:color w:val="000000"/>
          <w:sz w:val="24"/>
          <w:szCs w:val="24"/>
          <w:shd w:val="clear" w:color="auto" w:fill="FFFFFF"/>
          <w:lang w:eastAsia="zh-CN"/>
        </w:rPr>
        <w:t>。</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翔鹭石化（漳州）有限公司”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ascii="Times New Roman"/>
          <w:b/>
          <w:bCs/>
          <w:lang w:eastAsia="zh-CN"/>
        </w:rPr>
      </w:pPr>
      <w:r>
        <w:rPr>
          <w:rFonts w:hint="eastAsia" w:ascii="Times New Roman"/>
          <w:b/>
          <w:bCs/>
          <w:lang w:eastAsia="zh-CN"/>
        </w:rPr>
        <w:t>附件一、合同</w:t>
      </w:r>
      <w:bookmarkStart w:id="0" w:name="_Toc251742852"/>
      <w:r>
        <w:rPr>
          <w:rFonts w:hint="eastAsia" w:ascii="Times New Roman"/>
          <w:b/>
          <w:bCs/>
          <w:lang w:eastAsia="zh-CN"/>
        </w:rPr>
        <w:t>条款</w:t>
      </w: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pStyle w:val="20"/>
        <w:rPr>
          <w:rFonts w:ascii="Times New Roman"/>
          <w:b/>
          <w:bCs/>
          <w:lang w:eastAsia="zh-CN"/>
        </w:rPr>
      </w:pPr>
    </w:p>
    <w:p>
      <w:pPr>
        <w:jc w:val="center"/>
        <w:rPr>
          <w:b/>
          <w:sz w:val="44"/>
          <w:szCs w:val="44"/>
          <w:lang w:eastAsia="zh-CN"/>
        </w:rPr>
      </w:pPr>
      <w:bookmarkStart w:id="1" w:name="_Toc23434"/>
      <w:bookmarkStart w:id="2" w:name="_Toc17959"/>
      <w:bookmarkStart w:id="3" w:name="_Toc14171"/>
      <w:bookmarkStart w:id="4" w:name="_Toc20180"/>
      <w:bookmarkStart w:id="5" w:name="_Toc8520"/>
      <w:bookmarkStart w:id="6" w:name="_Toc31173"/>
      <w:bookmarkStart w:id="7" w:name="_Toc10991"/>
      <w:bookmarkStart w:id="8" w:name="_Toc4114"/>
      <w:bookmarkStart w:id="9" w:name="_Toc20273"/>
      <w:bookmarkStart w:id="10" w:name="_Toc385779252"/>
      <w:bookmarkStart w:id="11" w:name="_Toc352146655"/>
      <w:bookmarkStart w:id="12" w:name="_Toc31402"/>
      <w:bookmarkStart w:id="13" w:name="_Toc2239"/>
      <w:bookmarkStart w:id="14" w:name="_Toc18049"/>
      <w:bookmarkStart w:id="15" w:name="_Toc27787"/>
      <w:r>
        <w:rPr>
          <w:rFonts w:hint="eastAsia"/>
          <w:b/>
          <w:sz w:val="44"/>
          <w:szCs w:val="44"/>
          <w:lang w:eastAsia="zh-CN"/>
        </w:rPr>
        <w:t>翔鹭石化（漳州）有限公司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jc w:val="center"/>
        <w:rPr>
          <w:b/>
          <w:sz w:val="44"/>
          <w:szCs w:val="44"/>
          <w:lang w:eastAsia="zh-CN"/>
        </w:rPr>
      </w:pPr>
      <w:r>
        <w:rPr>
          <w:rFonts w:hint="eastAsia"/>
          <w:b/>
          <w:sz w:val="44"/>
          <w:szCs w:val="44"/>
          <w:lang w:eastAsia="zh-CN"/>
        </w:rPr>
        <w:t>PTA海水泵站电解R8012-1电解槽更新项目</w:t>
      </w:r>
    </w:p>
    <w:p>
      <w:pPr>
        <w:jc w:val="center"/>
        <w:rPr>
          <w:b/>
          <w:sz w:val="44"/>
          <w:szCs w:val="44"/>
          <w:lang w:eastAsia="zh-CN"/>
        </w:rPr>
      </w:pPr>
      <w:r>
        <w:rPr>
          <w:rFonts w:hint="eastAsia"/>
          <w:b/>
          <w:sz w:val="44"/>
          <w:szCs w:val="44"/>
          <w:lang w:eastAsia="zh-CN"/>
        </w:rPr>
        <w:t>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甲方：翔鹭石化（漳州）有限公司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080"/>
        <w:gridCol w:w="1064"/>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080" w:type="dxa"/>
            <w:vAlign w:val="center"/>
          </w:tcPr>
          <w:p>
            <w:pPr>
              <w:widowControl/>
              <w:autoSpaceDE/>
              <w:autoSpaceDN/>
              <w:jc w:val="center"/>
              <w:rPr>
                <w:lang w:eastAsia="zh-CN"/>
              </w:rPr>
            </w:pPr>
            <w:r>
              <w:rPr>
                <w:lang w:eastAsia="zh-CN"/>
              </w:rPr>
              <w:t>单价</w:t>
            </w:r>
            <w:r>
              <w:rPr>
                <w:rFonts w:hint="eastAsia"/>
                <w:lang w:eastAsia="zh-CN"/>
              </w:rPr>
              <w:t>(元）</w:t>
            </w:r>
          </w:p>
        </w:tc>
        <w:tc>
          <w:tcPr>
            <w:tcW w:w="1064" w:type="dxa"/>
            <w:vAlign w:val="center"/>
          </w:tcPr>
          <w:p>
            <w:pPr>
              <w:widowControl/>
              <w:autoSpaceDE/>
              <w:autoSpaceDN/>
              <w:jc w:val="center"/>
              <w:rPr>
                <w:lang w:eastAsia="zh-CN"/>
              </w:rPr>
            </w:pPr>
            <w:r>
              <w:rPr>
                <w:lang w:eastAsia="zh-CN"/>
              </w:rPr>
              <w:t>总价</w:t>
            </w:r>
            <w:r>
              <w:rPr>
                <w:rFonts w:hint="eastAsia"/>
                <w:lang w:eastAsia="zh-CN"/>
              </w:rPr>
              <w:t>（元）</w:t>
            </w:r>
          </w:p>
        </w:tc>
        <w:tc>
          <w:tcPr>
            <w:tcW w:w="1381"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080" w:type="dxa"/>
            <w:vAlign w:val="center"/>
          </w:tcPr>
          <w:p>
            <w:pPr>
              <w:widowControl/>
              <w:autoSpaceDE/>
              <w:autoSpaceDN/>
              <w:jc w:val="center"/>
              <w:rPr>
                <w:lang w:eastAsia="zh-CN"/>
              </w:rPr>
            </w:pPr>
          </w:p>
        </w:tc>
        <w:tc>
          <w:tcPr>
            <w:tcW w:w="1064" w:type="dxa"/>
            <w:vAlign w:val="center"/>
          </w:tcPr>
          <w:p>
            <w:pPr>
              <w:widowControl/>
              <w:autoSpaceDE/>
              <w:autoSpaceDN/>
              <w:jc w:val="center"/>
              <w:rPr>
                <w:lang w:eastAsia="zh-CN"/>
              </w:rPr>
            </w:pPr>
          </w:p>
        </w:tc>
        <w:tc>
          <w:tcPr>
            <w:tcW w:w="1381" w:type="dxa"/>
            <w:vAlign w:val="center"/>
          </w:tcPr>
          <w:p>
            <w:pPr>
              <w:widowControl/>
              <w:autoSpaceDE/>
              <w:autoSpaceDN/>
              <w:jc w:val="center"/>
              <w:rPr>
                <w:lang w:eastAsia="zh-CN"/>
              </w:rPr>
            </w:pPr>
            <w:r>
              <w:rPr>
                <w:rFonts w:hint="eastAsia" w:asciiTheme="minorEastAsia" w:hAnsiTheme="minorEastAsia" w:eastAsiaTheme="minorEastAsia"/>
                <w:bCs/>
                <w:sz w:val="24"/>
              </w:rPr>
              <w:t>指导安装、调试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259"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445" w:type="dxa"/>
            <w:gridSpan w:val="2"/>
            <w:vAlign w:val="center"/>
          </w:tcPr>
          <w:p>
            <w:pPr>
              <w:widowControl/>
              <w:autoSpaceDE/>
              <w:autoSpaceDN/>
              <w:jc w:val="center"/>
              <w:rPr>
                <w:lang w:eastAsia="zh-CN"/>
              </w:rPr>
            </w:pPr>
            <w:r>
              <w:rPr>
                <w:lang w:eastAsia="zh-CN"/>
              </w:rPr>
              <w:t>(含</w:t>
            </w:r>
            <w:r>
              <w:rPr>
                <w:rFonts w:hint="eastAsia"/>
                <w:lang w:eastAsia="zh-CN"/>
              </w:rPr>
              <w:t xml:space="preserve">  %</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6"/>
        <w:spacing w:line="360" w:lineRule="auto"/>
        <w:ind w:firstLine="480"/>
        <w:rPr>
          <w:rFonts w:ascii="宋体" w:hAnsi="宋体" w:cs="宋体"/>
          <w:kern w:val="0"/>
          <w:sz w:val="24"/>
        </w:rPr>
      </w:pPr>
      <w:r>
        <w:rPr>
          <w:rFonts w:hint="eastAsia" w:ascii="宋体" w:hAnsi="宋体" w:cs="宋体"/>
          <w:kern w:val="0"/>
          <w:sz w:val="24"/>
        </w:rPr>
        <w:t xml:space="preserve">2.3交货时间：乙方应在合同签订生效后 </w:t>
      </w:r>
      <w:r>
        <w:rPr>
          <w:rFonts w:hint="eastAsia" w:ascii="宋体" w:hAnsi="宋体" w:cs="宋体"/>
          <w:kern w:val="0"/>
          <w:sz w:val="24"/>
          <w:u w:val="single"/>
        </w:rPr>
        <w:t xml:space="preserve">  </w:t>
      </w:r>
      <w:r>
        <w:rPr>
          <w:rFonts w:hint="eastAsia" w:ascii="宋体" w:hAnsi="宋体" w:cs="宋体"/>
          <w:kern w:val="0"/>
          <w:sz w:val="24"/>
        </w:rPr>
        <w:t>日内将合同全部货物交付至甲方。现场收货、验收及发票接收联系人：                                    。</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3.1验收款：到货后，甲方依据本合同约定的质量、数量标准及双方签订的技术协议要求验收合格后，乙方提供合同总额的税率为</w:t>
      </w:r>
      <w:r>
        <w:rPr>
          <w:rFonts w:hint="eastAsia"/>
          <w:sz w:val="24"/>
          <w:u w:val="single"/>
          <w:lang w:eastAsia="zh-CN"/>
        </w:rPr>
        <w:t xml:space="preserve">  </w:t>
      </w:r>
      <w:r>
        <w:rPr>
          <w:rFonts w:hint="eastAsia"/>
          <w:sz w:val="24"/>
          <w:lang w:eastAsia="zh-CN"/>
        </w:rPr>
        <w:t>% 的增值税专用发票以及结算所需的各类清单，甲方收到并确认无误后支付90%的货款（即人民币</w:t>
      </w:r>
      <w:r>
        <w:rPr>
          <w:rFonts w:hint="eastAsia"/>
          <w:sz w:val="24"/>
          <w:u w:val="single"/>
          <w:lang w:eastAsia="zh-CN"/>
        </w:rPr>
        <w:t xml:space="preserve">    </w:t>
      </w:r>
      <w:r>
        <w:rPr>
          <w:rFonts w:hint="eastAsia"/>
          <w:sz w:val="24"/>
          <w:lang w:eastAsia="zh-CN"/>
        </w:rPr>
        <w:t>元）；余款10%为质保金，货物验收合格且无质量问题从验收合格之日起</w:t>
      </w:r>
      <w:r>
        <w:rPr>
          <w:rFonts w:hint="eastAsia"/>
          <w:sz w:val="24"/>
          <w:u w:val="single"/>
          <w:lang w:eastAsia="zh-CN"/>
        </w:rPr>
        <w:t xml:space="preserve">         </w:t>
      </w:r>
      <w:r>
        <w:rPr>
          <w:rFonts w:hint="eastAsia"/>
          <w:sz w:val="24"/>
          <w:lang w:eastAsia="zh-CN"/>
        </w:rPr>
        <w:t>月。</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pStyle w:val="256"/>
        <w:snapToGrid w:val="0"/>
        <w:spacing w:line="460" w:lineRule="exact"/>
        <w:rPr>
          <w:rFonts w:ascii="宋体" w:hAnsi="宋体"/>
          <w:sz w:val="24"/>
          <w:szCs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内，重要零件因设计和制造质量问题等非甲方原因损坏的，乙方负责免费更换。更换后机械保证自更换之日起</w:t>
      </w:r>
      <w:r>
        <w:rPr>
          <w:rFonts w:hint="eastAsia"/>
          <w:sz w:val="24"/>
          <w:lang w:val="en-US" w:eastAsia="zh-CN"/>
        </w:rPr>
        <w:t xml:space="preserve">           </w:t>
      </w:r>
      <w:r>
        <w:rPr>
          <w:rFonts w:hint="eastAsia"/>
          <w:sz w:val="24"/>
        </w:rPr>
        <w:t xml:space="preserve"> 内有效。在此期间因发生制造质量问题或其他设备故障的，乙方免费予以修理，乙方应在</w:t>
      </w:r>
      <w:r>
        <w:rPr>
          <w:sz w:val="24"/>
        </w:rPr>
        <w:t>2</w:t>
      </w:r>
      <w:r>
        <w:rPr>
          <w:rFonts w:hint="eastAsia"/>
          <w:sz w:val="24"/>
        </w:rPr>
        <w:t>小时内给予答复，</w:t>
      </w:r>
      <w:r>
        <w:rPr>
          <w:sz w:val="24"/>
        </w:rPr>
        <w:t>24</w:t>
      </w:r>
      <w:r>
        <w:rPr>
          <w:rFonts w:hint="eastAsia"/>
          <w:sz w:val="24"/>
        </w:rPr>
        <w:t>小时内赶至现场无偿解决，直至问题消除。</w:t>
      </w:r>
      <w:r>
        <w:rPr>
          <w:rFonts w:ascii="宋体" w:hAnsi="宋体"/>
          <w:sz w:val="24"/>
          <w:szCs w:val="24"/>
        </w:rPr>
        <w:t>在保修期内乙方拒不修理</w:t>
      </w:r>
      <w:r>
        <w:rPr>
          <w:rFonts w:hint="eastAsia" w:ascii="宋体" w:hAnsi="宋体"/>
          <w:sz w:val="24"/>
          <w:szCs w:val="24"/>
        </w:rPr>
        <w:t>或情况紧急</w:t>
      </w:r>
      <w:r>
        <w:rPr>
          <w:rFonts w:ascii="宋体" w:hAnsi="宋体"/>
          <w:sz w:val="24"/>
          <w:szCs w:val="24"/>
        </w:rPr>
        <w:t>时，甲方可用乙方的预留质保金请他人维修，不足部分，乙方需另行支付。</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双方签定的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6.4对于安装质量，乙方保证标准时、正确安装好设备，保证设备良好运行。产品调试验收的标准：按照附件双方签定的技术协议的验收标准执行。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rFonts w:hint="eastAsia"/>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pStyle w:val="256"/>
        <w:snapToGrid w:val="0"/>
        <w:spacing w:line="460" w:lineRule="exact"/>
        <w:rPr>
          <w:rFonts w:ascii="宋体" w:hAnsi="宋体"/>
          <w:sz w:val="24"/>
          <w:szCs w:val="24"/>
        </w:rPr>
      </w:pPr>
      <w:r>
        <w:rPr>
          <w:rFonts w:hint="eastAsia"/>
        </w:rPr>
        <w:t xml:space="preserve"> </w:t>
      </w:r>
      <w:r>
        <w:rPr>
          <w:rFonts w:hint="eastAsia"/>
          <w:sz w:val="24"/>
        </w:rPr>
        <w:t xml:space="preserve"> 8.3</w:t>
      </w:r>
      <w:r>
        <w:rPr>
          <w:rFonts w:ascii="宋体" w:hAnsi="宋体"/>
          <w:sz w:val="24"/>
          <w:szCs w:val="24"/>
        </w:rPr>
        <w:t>如果由于乙方技术</w:t>
      </w:r>
      <w:r>
        <w:rPr>
          <w:rFonts w:hint="eastAsia" w:ascii="宋体" w:hAnsi="宋体"/>
          <w:sz w:val="24"/>
          <w:szCs w:val="24"/>
        </w:rPr>
        <w:t>指导</w:t>
      </w:r>
      <w:r>
        <w:rPr>
          <w:rFonts w:ascii="宋体" w:hAnsi="宋体"/>
          <w:sz w:val="24"/>
          <w:szCs w:val="24"/>
        </w:rPr>
        <w:t>服务造成延误</w:t>
      </w:r>
      <w:r>
        <w:rPr>
          <w:rFonts w:hint="eastAsia" w:ascii="宋体" w:hAnsi="宋体"/>
          <w:sz w:val="24"/>
          <w:szCs w:val="24"/>
        </w:rPr>
        <w:t>的</w:t>
      </w:r>
      <w:r>
        <w:rPr>
          <w:rFonts w:ascii="宋体" w:hAnsi="宋体"/>
          <w:sz w:val="24"/>
          <w:szCs w:val="24"/>
        </w:rPr>
        <w:t>，每延误工期一</w:t>
      </w:r>
      <w:r>
        <w:rPr>
          <w:rFonts w:hint="eastAsia" w:ascii="宋体" w:hAnsi="宋体"/>
          <w:sz w:val="24"/>
          <w:szCs w:val="24"/>
        </w:rPr>
        <w:t>天</w:t>
      </w:r>
      <w:r>
        <w:rPr>
          <w:rFonts w:ascii="宋体" w:hAnsi="宋体"/>
          <w:sz w:val="24"/>
          <w:szCs w:val="24"/>
        </w:rPr>
        <w:t>乙方将向甲方支付总价的0.</w:t>
      </w:r>
      <w:r>
        <w:rPr>
          <w:rFonts w:hint="eastAsia" w:ascii="宋体" w:hAnsi="宋体"/>
          <w:sz w:val="24"/>
          <w:szCs w:val="24"/>
        </w:rPr>
        <w:t>3</w:t>
      </w:r>
      <w:r>
        <w:rPr>
          <w:rFonts w:ascii="宋体" w:hAnsi="宋体"/>
          <w:sz w:val="24"/>
          <w:szCs w:val="24"/>
        </w:rPr>
        <w:t>%违约金，</w:t>
      </w:r>
      <w:r>
        <w:rPr>
          <w:rFonts w:hint="eastAsia" w:ascii="宋体" w:hAnsi="宋体"/>
          <w:sz w:val="24"/>
          <w:szCs w:val="24"/>
        </w:rPr>
        <w:t>，</w:t>
      </w:r>
      <w:r>
        <w:rPr>
          <w:rFonts w:ascii="宋体" w:hAnsi="宋体"/>
          <w:sz w:val="24"/>
          <w:szCs w:val="24"/>
        </w:rPr>
        <w:t>且乙方需支付由于乙方技术服务错误或违约</w:t>
      </w:r>
      <w:r>
        <w:rPr>
          <w:rFonts w:hint="eastAsia" w:ascii="宋体" w:hAnsi="宋体"/>
          <w:sz w:val="24"/>
          <w:szCs w:val="24"/>
        </w:rPr>
        <w:t>等</w:t>
      </w:r>
      <w:r>
        <w:rPr>
          <w:rFonts w:ascii="宋体" w:hAnsi="宋体"/>
          <w:sz w:val="24"/>
          <w:szCs w:val="24"/>
        </w:rPr>
        <w:t>造成甲方的直接损失。</w:t>
      </w:r>
    </w:p>
    <w:p>
      <w:pPr>
        <w:spacing w:line="360" w:lineRule="auto"/>
        <w:rPr>
          <w:lang w:eastAsia="zh-CN"/>
        </w:rPr>
      </w:pPr>
    </w:p>
    <w:p>
      <w:pPr>
        <w:spacing w:line="360" w:lineRule="auto"/>
        <w:rPr>
          <w:sz w:val="24"/>
          <w:lang w:eastAsia="zh-CN"/>
        </w:rPr>
      </w:pPr>
      <w:r>
        <w:rPr>
          <w:rFonts w:hint="eastAsia"/>
          <w:sz w:val="24"/>
          <w:lang w:eastAsia="zh-CN"/>
        </w:rPr>
        <w:t xml:space="preserve">   8.4</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8.5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8"/>
        <w:snapToGrid w:val="0"/>
        <w:spacing w:line="360" w:lineRule="auto"/>
        <w:jc w:val="both"/>
        <w:rPr>
          <w:rFonts w:hAnsi="宋体"/>
          <w:color w:val="auto"/>
          <w:szCs w:val="22"/>
        </w:rPr>
      </w:pPr>
      <w:r>
        <w:t>附件</w:t>
      </w:r>
      <w:r>
        <w:rPr>
          <w:rFonts w:hint="eastAsia"/>
        </w:rPr>
        <w:t>1</w:t>
      </w:r>
      <w:r>
        <w:t>、</w:t>
      </w:r>
    </w:p>
    <w:p>
      <w:pPr>
        <w:pStyle w:val="78"/>
        <w:snapToGrid w:val="0"/>
        <w:spacing w:line="360" w:lineRule="auto"/>
        <w:jc w:val="both"/>
        <w:rPr>
          <w:rFonts w:hAnsi="宋体"/>
          <w:color w:val="auto"/>
          <w:szCs w:val="22"/>
        </w:rPr>
      </w:pPr>
      <w:r>
        <w:rPr>
          <w:rFonts w:hint="eastAsia" w:hAnsi="宋体"/>
          <w:color w:val="auto"/>
          <w:szCs w:val="22"/>
        </w:rPr>
        <w:t>附件2、</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翔鹭石化（漳州）有限公司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78"/>
        <w:snapToGrid w:val="0"/>
        <w:spacing w:line="360" w:lineRule="auto"/>
        <w:jc w:val="both"/>
        <w:rPr>
          <w:rFonts w:hAnsi="宋体"/>
          <w:color w:val="auto"/>
          <w:szCs w:val="22"/>
        </w:rPr>
      </w:pPr>
      <w:r>
        <w:t>附件</w:t>
      </w:r>
      <w:r>
        <w:rPr>
          <w:rFonts w:hint="eastAsia"/>
        </w:rPr>
        <w:t>1</w:t>
      </w:r>
      <w:r>
        <w:t>、</w:t>
      </w:r>
    </w:p>
    <w:p>
      <w:pPr>
        <w:spacing w:beforeLines="50" w:afterLines="50" w:line="400" w:lineRule="exact"/>
        <w:jc w:val="center"/>
        <w:rPr>
          <w:rFonts w:asciiTheme="minorEastAsia" w:hAnsiTheme="minorEastAsia" w:eastAsiaTheme="minorEastAsia"/>
          <w:b/>
          <w:bCs/>
          <w:sz w:val="36"/>
          <w:szCs w:val="36"/>
          <w:lang w:eastAsia="zh-CN"/>
        </w:rPr>
      </w:pPr>
      <w:r>
        <w:rPr>
          <w:rFonts w:hint="eastAsia" w:asciiTheme="minorEastAsia" w:hAnsiTheme="minorEastAsia" w:eastAsiaTheme="minorEastAsia"/>
          <w:b/>
          <w:bCs/>
          <w:sz w:val="36"/>
          <w:szCs w:val="36"/>
          <w:lang w:eastAsia="zh-CN"/>
        </w:rPr>
        <w:t>福建福海创石油化工有限公司</w:t>
      </w:r>
    </w:p>
    <w:p>
      <w:pPr>
        <w:spacing w:beforeLines="50" w:afterLines="50" w:line="400" w:lineRule="exact"/>
        <w:jc w:val="center"/>
        <w:rPr>
          <w:rFonts w:asciiTheme="minorEastAsia" w:hAnsiTheme="minorEastAsia" w:eastAsiaTheme="minorEastAsia"/>
          <w:b/>
          <w:sz w:val="36"/>
          <w:szCs w:val="36"/>
          <w:lang w:eastAsia="zh-CN"/>
        </w:rPr>
      </w:pPr>
      <w:r>
        <w:rPr>
          <w:rFonts w:hint="eastAsia" w:asciiTheme="minorEastAsia" w:hAnsiTheme="minorEastAsia" w:eastAsiaTheme="minorEastAsia"/>
          <w:b/>
          <w:sz w:val="36"/>
          <w:szCs w:val="36"/>
          <w:lang w:eastAsia="zh-CN"/>
        </w:rPr>
        <w:t>PTA海水泵站电解R8012-1电解槽更新发包说明</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一、工程说明</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工程名称：PTA海水泵站电解R8012-1电解槽更新</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工程地点：福建福海创石油化工有限公司PTA厂区海水泵站电解厂房</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 xml:space="preserve">工程期限： </w:t>
      </w:r>
      <w:r>
        <w:rPr>
          <w:rFonts w:asciiTheme="minorEastAsia" w:hAnsiTheme="minorEastAsia" w:eastAsiaTheme="minorEastAsia"/>
          <w:bCs/>
          <w:sz w:val="24"/>
          <w:lang w:eastAsia="zh-CN"/>
        </w:rPr>
        <w:t>6</w:t>
      </w:r>
      <w:r>
        <w:rPr>
          <w:rFonts w:hint="eastAsia" w:asciiTheme="minorEastAsia" w:hAnsiTheme="minorEastAsia" w:eastAsiaTheme="minorEastAsia"/>
          <w:bCs/>
          <w:sz w:val="24"/>
          <w:lang w:eastAsia="zh-CN"/>
        </w:rPr>
        <w:t>0个日历天</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二、工程内容</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福海创PTA海水泵站电解R8012-1电解槽因电极腐蚀需要更新,因不同厂商提供设备范围不同，有些厂商可以单独提供电解电极（原电解槽壳体利旧），有些厂商则只能提供整套电解槽（含电极），现拟以下两套供货方案, 供应商选择其中一种方案进行供货：</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方案一：按技术要求提供电解电极，并指导安装、调试。</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方案二：按技术要求提供电解槽（含壳体和电极），并指导安装、调试。</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除原电解槽厂家外其他厂家需要到现场进行电解槽的阳极、阴极、壳体、槽盖、密封件、紧固件等测量，各部件材质确认。</w:t>
      </w:r>
    </w:p>
    <w:p>
      <w:pPr>
        <w:spacing w:line="420" w:lineRule="exact"/>
        <w:rPr>
          <w:rFonts w:asciiTheme="minorEastAsia" w:hAnsiTheme="minorEastAsia" w:eastAsiaTheme="minorEastAsia"/>
          <w:b/>
          <w:bCs/>
          <w:sz w:val="24"/>
        </w:rPr>
      </w:pPr>
      <w:r>
        <w:rPr>
          <w:rFonts w:hint="eastAsia" w:asciiTheme="minorEastAsia" w:hAnsiTheme="minorEastAsia" w:eastAsiaTheme="minorEastAsia"/>
          <w:b/>
          <w:bCs/>
          <w:sz w:val="24"/>
        </w:rPr>
        <w:t>三、工程量表</w:t>
      </w:r>
    </w:p>
    <w:p>
      <w:pPr>
        <w:spacing w:line="240" w:lineRule="atLeast"/>
        <w:ind w:left="624"/>
        <w:rPr>
          <w:rFonts w:asciiTheme="minorEastAsia" w:hAnsiTheme="minorEastAsia" w:eastAsiaTheme="minorEastAsia"/>
          <w:b/>
          <w:bCs/>
          <w:sz w:val="24"/>
        </w:rPr>
      </w:pPr>
    </w:p>
    <w:tbl>
      <w:tblPr>
        <w:tblStyle w:val="47"/>
        <w:tblW w:w="8402" w:type="dxa"/>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276"/>
        <w:gridCol w:w="2002"/>
        <w:gridCol w:w="3335"/>
        <w:gridCol w:w="1789"/>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blHeader/>
          <w:jc w:val="center"/>
        </w:trPr>
        <w:tc>
          <w:tcPr>
            <w:tcW w:w="1276" w:type="dxa"/>
            <w:tcBorders>
              <w:left w:val="single" w:color="auto" w:sz="4" w:space="0"/>
              <w:right w:val="single" w:color="auto" w:sz="4" w:space="0"/>
            </w:tcBorders>
            <w:vAlign w:val="center"/>
          </w:tcPr>
          <w:p>
            <w:pPr>
              <w:pStyle w:val="21"/>
              <w:spacing w:line="500" w:lineRule="exact"/>
              <w:ind w:left="565"/>
              <w:jc w:val="center"/>
              <w:rPr>
                <w:rFonts w:asciiTheme="minorEastAsia" w:hAnsiTheme="minorEastAsia" w:eastAsiaTheme="minorEastAsia"/>
                <w:bCs/>
              </w:rPr>
            </w:pPr>
            <w:r>
              <w:rPr>
                <w:rFonts w:hint="eastAsia" w:asciiTheme="minorEastAsia" w:hAnsiTheme="minorEastAsia" w:eastAsiaTheme="minorEastAsia"/>
                <w:bCs/>
              </w:rPr>
              <w:t>序号</w:t>
            </w:r>
          </w:p>
        </w:tc>
        <w:tc>
          <w:tcPr>
            <w:tcW w:w="2002" w:type="dxa"/>
            <w:tcBorders>
              <w:left w:val="single" w:color="auto" w:sz="4" w:space="0"/>
              <w:right w:val="single" w:color="auto" w:sz="4" w:space="0"/>
            </w:tcBorders>
            <w:vAlign w:val="center"/>
          </w:tcPr>
          <w:p>
            <w:pPr>
              <w:pStyle w:val="21"/>
              <w:spacing w:line="500" w:lineRule="exact"/>
              <w:ind w:left="565"/>
              <w:jc w:val="center"/>
              <w:rPr>
                <w:rFonts w:asciiTheme="minorEastAsia" w:hAnsiTheme="minorEastAsia" w:eastAsiaTheme="minorEastAsia"/>
                <w:bCs/>
              </w:rPr>
            </w:pPr>
            <w:r>
              <w:rPr>
                <w:rFonts w:hint="eastAsia" w:asciiTheme="minorEastAsia" w:hAnsiTheme="minorEastAsia" w:eastAsiaTheme="minorEastAsia"/>
                <w:bCs/>
              </w:rPr>
              <w:t>名称</w:t>
            </w:r>
          </w:p>
        </w:tc>
        <w:tc>
          <w:tcPr>
            <w:tcW w:w="3335" w:type="dxa"/>
            <w:tcBorders>
              <w:left w:val="single" w:color="auto" w:sz="4" w:space="0"/>
              <w:right w:val="single" w:color="auto" w:sz="4" w:space="0"/>
            </w:tcBorders>
            <w:vAlign w:val="center"/>
          </w:tcPr>
          <w:p>
            <w:pPr>
              <w:pStyle w:val="21"/>
              <w:spacing w:line="500" w:lineRule="exact"/>
              <w:ind w:left="565"/>
              <w:jc w:val="center"/>
              <w:rPr>
                <w:rFonts w:asciiTheme="minorEastAsia" w:hAnsiTheme="minorEastAsia" w:eastAsiaTheme="minorEastAsia"/>
                <w:bCs/>
              </w:rPr>
            </w:pPr>
            <w:r>
              <w:rPr>
                <w:rFonts w:hint="eastAsia" w:asciiTheme="minorEastAsia" w:hAnsiTheme="minorEastAsia" w:eastAsiaTheme="minorEastAsia"/>
                <w:bCs/>
              </w:rPr>
              <w:t>品牌</w:t>
            </w:r>
          </w:p>
        </w:tc>
        <w:tc>
          <w:tcPr>
            <w:tcW w:w="1789" w:type="dxa"/>
            <w:tcBorders>
              <w:left w:val="single" w:color="auto" w:sz="4" w:space="0"/>
              <w:right w:val="single" w:color="auto" w:sz="4" w:space="0"/>
            </w:tcBorders>
            <w:vAlign w:val="center"/>
          </w:tcPr>
          <w:p>
            <w:pPr>
              <w:pStyle w:val="21"/>
              <w:spacing w:line="500" w:lineRule="exact"/>
              <w:ind w:left="565"/>
              <w:jc w:val="center"/>
              <w:rPr>
                <w:rFonts w:asciiTheme="minorEastAsia" w:hAnsiTheme="minorEastAsia" w:eastAsiaTheme="minorEastAsia"/>
                <w:bCs/>
              </w:rPr>
            </w:pPr>
            <w:r>
              <w:rPr>
                <w:rFonts w:hint="eastAsia" w:asciiTheme="minorEastAsia" w:hAnsiTheme="minorEastAsia" w:eastAsiaTheme="minorEastAsia"/>
                <w:bCs/>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blHeader/>
          <w:jc w:val="center"/>
        </w:trPr>
        <w:tc>
          <w:tcPr>
            <w:tcW w:w="1276" w:type="dxa"/>
            <w:vAlign w:val="center"/>
          </w:tcPr>
          <w:p>
            <w:pPr>
              <w:widowControl/>
              <w:shd w:val="clear" w:color="auto" w:fill="FFFFFF"/>
              <w:spacing w:line="276" w:lineRule="auto"/>
              <w:rPr>
                <w:rFonts w:asciiTheme="minorEastAsia" w:hAnsiTheme="minorEastAsia" w:eastAsiaTheme="minorEastAsia"/>
                <w:bCs/>
                <w:sz w:val="24"/>
              </w:rPr>
            </w:pPr>
            <w:r>
              <w:rPr>
                <w:rFonts w:hint="eastAsia" w:asciiTheme="minorEastAsia" w:hAnsiTheme="minorEastAsia" w:eastAsiaTheme="minorEastAsia"/>
                <w:bCs/>
                <w:sz w:val="24"/>
              </w:rPr>
              <w:t>方案一</w:t>
            </w:r>
          </w:p>
        </w:tc>
        <w:tc>
          <w:tcPr>
            <w:tcW w:w="2002" w:type="dxa"/>
            <w:vAlign w:val="center"/>
          </w:tcPr>
          <w:p>
            <w:pPr>
              <w:widowControl/>
              <w:shd w:val="clear" w:color="auto" w:fill="FFFFFF"/>
              <w:spacing w:line="276" w:lineRule="auto"/>
              <w:rPr>
                <w:rFonts w:asciiTheme="minorEastAsia" w:hAnsiTheme="minorEastAsia" w:eastAsiaTheme="minorEastAsia"/>
                <w:bCs/>
                <w:sz w:val="24"/>
              </w:rPr>
            </w:pPr>
            <w:r>
              <w:rPr>
                <w:rFonts w:hint="eastAsia" w:asciiTheme="minorEastAsia" w:hAnsiTheme="minorEastAsia" w:eastAsiaTheme="minorEastAsia"/>
                <w:bCs/>
                <w:sz w:val="24"/>
              </w:rPr>
              <w:t>板式双极式电极</w:t>
            </w:r>
          </w:p>
        </w:tc>
        <w:tc>
          <w:tcPr>
            <w:tcW w:w="3335" w:type="dxa"/>
            <w:vAlign w:val="center"/>
          </w:tcPr>
          <w:p>
            <w:pPr>
              <w:widowControl/>
              <w:shd w:val="clear" w:color="auto" w:fill="FFFFFF"/>
              <w:spacing w:line="276" w:lineRule="auto"/>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青岛双瑞、湖南源生环保、西安泰金、广西博世科</w:t>
            </w:r>
          </w:p>
        </w:tc>
        <w:tc>
          <w:tcPr>
            <w:tcW w:w="1789" w:type="dxa"/>
            <w:vAlign w:val="center"/>
          </w:tcPr>
          <w:p>
            <w:pPr>
              <w:widowControl/>
              <w:shd w:val="clear" w:color="auto" w:fill="FFFFFF"/>
              <w:spacing w:line="276"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blHeader/>
          <w:jc w:val="center"/>
        </w:trPr>
        <w:tc>
          <w:tcPr>
            <w:tcW w:w="1276" w:type="dxa"/>
            <w:vAlign w:val="center"/>
          </w:tcPr>
          <w:p>
            <w:pPr>
              <w:widowControl/>
              <w:shd w:val="clear" w:color="auto" w:fill="FFFFFF"/>
              <w:spacing w:line="276" w:lineRule="auto"/>
              <w:rPr>
                <w:rFonts w:asciiTheme="minorEastAsia" w:hAnsiTheme="minorEastAsia" w:eastAsiaTheme="minorEastAsia"/>
                <w:bCs/>
                <w:sz w:val="24"/>
              </w:rPr>
            </w:pPr>
            <w:r>
              <w:rPr>
                <w:rFonts w:hint="eastAsia" w:asciiTheme="minorEastAsia" w:hAnsiTheme="minorEastAsia" w:eastAsiaTheme="minorEastAsia"/>
                <w:bCs/>
                <w:sz w:val="24"/>
              </w:rPr>
              <w:t>方案二</w:t>
            </w:r>
          </w:p>
        </w:tc>
        <w:tc>
          <w:tcPr>
            <w:tcW w:w="2002" w:type="dxa"/>
            <w:vAlign w:val="center"/>
          </w:tcPr>
          <w:p>
            <w:pPr>
              <w:widowControl/>
              <w:shd w:val="clear" w:color="auto" w:fill="FFFFFF"/>
              <w:spacing w:line="276" w:lineRule="auto"/>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管板式电解槽（含壳体和电极）</w:t>
            </w:r>
          </w:p>
        </w:tc>
        <w:tc>
          <w:tcPr>
            <w:tcW w:w="3335" w:type="dxa"/>
            <w:vAlign w:val="center"/>
          </w:tcPr>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青岛双瑞、湖南源生环保、西安泰金、广西博世科</w:t>
            </w:r>
          </w:p>
        </w:tc>
        <w:tc>
          <w:tcPr>
            <w:tcW w:w="1789" w:type="dxa"/>
            <w:vAlign w:val="center"/>
          </w:tcPr>
          <w:p>
            <w:pPr>
              <w:widowControl/>
              <w:shd w:val="clear" w:color="auto" w:fill="FFFFFF"/>
              <w:spacing w:line="276" w:lineRule="auto"/>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1套（4台壳体和4根电极）</w:t>
            </w:r>
          </w:p>
        </w:tc>
      </w:tr>
    </w:tbl>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四、技术要求</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满足《电解海水次氯酸钠发生装置技术条件》（GB/T22839-2010）中3.4.4电解槽技术指标。</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1、电极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型式：板式双极式电极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工作电压：直流230V</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工作电流：2800A</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直流电耗：≦4.5kWh/kg</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阳极材质：钛涂多元贵金属氧化物涂层</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阴极材质：钛</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阴阳极之间在干燥状态下的绝缘电阻不小于1k</w:t>
      </w:r>
      <w:r>
        <w:rPr>
          <w:rFonts w:hint="eastAsia" w:asciiTheme="minorEastAsia" w:hAnsiTheme="minorEastAsia" w:eastAsiaTheme="minorEastAsia"/>
          <w:bCs/>
          <w:sz w:val="24"/>
        </w:rPr>
        <w:t>Ω</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电极使用寿命：≥5年</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2、电解槽（含电极）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电解槽应有良好的密封性，其水密性试验压力应为电解槽设计压力的1.25倍。电极要求参照技术要求第1条，工艺参数如下：</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型式：外部PVC缠绕玻璃钢管，内部板式双极式电极</w:t>
      </w:r>
      <w:r>
        <w:rPr>
          <w:rFonts w:asciiTheme="minorEastAsia" w:hAnsiTheme="minorEastAsia" w:eastAsiaTheme="minorEastAsia"/>
          <w:bCs/>
          <w:sz w:val="24"/>
          <w:lang w:eastAsia="zh-CN"/>
        </w:rPr>
        <w:t xml:space="preserve"> </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有效氯产量：120kg/h</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有效氯浓度：≥1500ppm</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最大工作压力：0.6MPa</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工作压力： 0.25MPa</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液体流量： 70</w:t>
      </w:r>
      <w:r>
        <w:rPr>
          <w:rFonts w:asciiTheme="minorEastAsia" w:hAnsiTheme="minorEastAsia" w:eastAsiaTheme="minorEastAsia"/>
          <w:bCs/>
          <w:sz w:val="24"/>
          <w:lang w:eastAsia="zh-CN"/>
        </w:rPr>
        <w:t>m</w:t>
      </w:r>
      <w:r>
        <w:rPr>
          <w:rFonts w:hint="eastAsia" w:asciiTheme="minorEastAsia" w:hAnsiTheme="minorEastAsia" w:eastAsiaTheme="minorEastAsia"/>
          <w:bCs/>
          <w:sz w:val="24"/>
          <w:lang w:eastAsia="zh-CN"/>
        </w:rPr>
        <w:t>³</w:t>
      </w:r>
      <w:r>
        <w:rPr>
          <w:rFonts w:asciiTheme="minorEastAsia" w:hAnsiTheme="minorEastAsia" w:eastAsiaTheme="minorEastAsia"/>
          <w:bCs/>
          <w:sz w:val="24"/>
          <w:lang w:eastAsia="zh-CN"/>
        </w:rPr>
        <w:t>/h</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设计压力： 0.375MPa</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五、承包商资质和供货周期要求</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1、具有独立企业法人资格；</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2、具有电解海水次氯酸钠发生装置或电解槽电极的生产制造资质，提供资质证明和近几年业绩情况；</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3、供货周期要求为合同生效之日起算，供货时间：T+60天(合同签订完成定为T)。</w:t>
      </w:r>
      <w:r>
        <w:rPr>
          <w:rFonts w:asciiTheme="minorEastAsia" w:hAnsiTheme="minorEastAsia" w:eastAsiaTheme="minorEastAsia"/>
          <w:bCs/>
          <w:sz w:val="24"/>
          <w:lang w:eastAsia="zh-CN"/>
        </w:rPr>
        <w:t xml:space="preserve"> </w:t>
      </w:r>
    </w:p>
    <w:p>
      <w:pPr>
        <w:spacing w:line="420" w:lineRule="exact"/>
        <w:rPr>
          <w:rFonts w:asciiTheme="minorEastAsia" w:hAnsiTheme="minorEastAsia" w:eastAsiaTheme="minorEastAsia"/>
          <w:b/>
          <w:bCs/>
          <w:sz w:val="24"/>
          <w:lang w:eastAsia="zh-CN"/>
        </w:rPr>
      </w:pPr>
      <w:bookmarkStart w:id="16" w:name="_Toc84079331"/>
      <w:bookmarkStart w:id="17" w:name="_Toc85103700"/>
      <w:bookmarkStart w:id="18" w:name="_Toc84686533"/>
      <w:r>
        <w:rPr>
          <w:rFonts w:hint="eastAsia" w:asciiTheme="minorEastAsia" w:hAnsiTheme="minorEastAsia" w:eastAsiaTheme="minorEastAsia"/>
          <w:b/>
          <w:bCs/>
          <w:sz w:val="24"/>
          <w:lang w:eastAsia="zh-CN"/>
        </w:rPr>
        <w:t>六、承包商职责</w:t>
      </w:r>
      <w:bookmarkEnd w:id="16"/>
      <w:bookmarkEnd w:id="17"/>
      <w:bookmarkEnd w:id="18"/>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1、所提供的设备、配件除满足本发包说明的技术要求和功能要求外，还须符合中国的有关标准，并取得国家有关监督、检验、认证机构的认证。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2、承包商对所提供的设备负有完全责任。</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3、承包商应提供现场指导安装、调试服务，所发生的费用由承包商承担。</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4、承包商应对设备的售后技术服务、使用与维修技术咨询提供良好的保证，保证提供免费热线技术服务。</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5、为了确保设备的安装、维护和正常运行，承包商必须提供所需附加的设备、工具及附件的清单，即使这些设备附件在发包文件中未列出。</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6、承包商负责设备的供货、指导安装、调试及技术培训。</w:t>
      </w:r>
    </w:p>
    <w:p>
      <w:pPr>
        <w:spacing w:line="420" w:lineRule="exact"/>
        <w:rPr>
          <w:rFonts w:asciiTheme="minorEastAsia" w:hAnsiTheme="minorEastAsia" w:eastAsiaTheme="minorEastAsia"/>
          <w:b/>
          <w:bCs/>
          <w:sz w:val="24"/>
          <w:lang w:eastAsia="zh-CN"/>
        </w:rPr>
      </w:pPr>
      <w:bookmarkStart w:id="19" w:name="_Toc85103703"/>
      <w:bookmarkStart w:id="20" w:name="_Toc84079334"/>
      <w:bookmarkStart w:id="21" w:name="_Toc84686536"/>
      <w:r>
        <w:rPr>
          <w:rFonts w:hint="eastAsia" w:asciiTheme="minorEastAsia" w:hAnsiTheme="minorEastAsia" w:eastAsiaTheme="minorEastAsia"/>
          <w:b/>
          <w:bCs/>
          <w:sz w:val="24"/>
          <w:lang w:eastAsia="zh-CN"/>
        </w:rPr>
        <w:t>七、供货材料说明范围</w:t>
      </w:r>
      <w:bookmarkEnd w:id="19"/>
      <w:bookmarkEnd w:id="20"/>
      <w:bookmarkEnd w:id="21"/>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工程量表上的材料清单仅为更新设备初步统计，并没有对电解槽内部深入统计。投标方应到现场实地勘查，了解项目需求。项目实施过程中，缺少其他设备、辅材或配件，导致买方无法正常运行及达标验收，由此引起的补充设备、附材、配件或服务都被视为由承包商无偿供应。</w:t>
      </w:r>
    </w:p>
    <w:p>
      <w:pPr>
        <w:spacing w:line="420" w:lineRule="exact"/>
        <w:rPr>
          <w:rFonts w:asciiTheme="minorEastAsia" w:hAnsiTheme="minorEastAsia" w:eastAsiaTheme="minorEastAsia"/>
          <w:b/>
          <w:bCs/>
          <w:sz w:val="24"/>
          <w:lang w:eastAsia="zh-CN"/>
        </w:rPr>
      </w:pPr>
      <w:bookmarkStart w:id="22" w:name="_Toc84079338"/>
      <w:bookmarkStart w:id="23" w:name="_Toc5318"/>
      <w:r>
        <w:rPr>
          <w:rFonts w:hint="eastAsia" w:asciiTheme="minorEastAsia" w:hAnsiTheme="minorEastAsia" w:eastAsiaTheme="minorEastAsia"/>
          <w:b/>
          <w:bCs/>
          <w:sz w:val="24"/>
          <w:lang w:eastAsia="zh-CN"/>
        </w:rPr>
        <w:t>八、承包商需提供文件资料</w:t>
      </w:r>
      <w:bookmarkEnd w:id="22"/>
      <w:bookmarkEnd w:id="23"/>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承包商提交用户的应用文件至少包括：</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1、设备的产品合格证和检测检验证明文件等；</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2、设备数据及表格；</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3、电解槽电极材料原产地证明；</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4、其他必要文件。</w:t>
      </w:r>
    </w:p>
    <w:p>
      <w:pPr>
        <w:spacing w:line="420" w:lineRule="exact"/>
        <w:rPr>
          <w:rFonts w:asciiTheme="minorEastAsia" w:hAnsiTheme="minorEastAsia" w:eastAsiaTheme="minorEastAsia"/>
          <w:b/>
          <w:bCs/>
          <w:sz w:val="24"/>
          <w:lang w:eastAsia="zh-CN"/>
        </w:rPr>
      </w:pPr>
      <w:bookmarkStart w:id="24" w:name="_Toc84079335"/>
      <w:bookmarkStart w:id="25" w:name="_Toc84686537"/>
      <w:bookmarkStart w:id="26" w:name="_Toc85103704"/>
      <w:r>
        <w:rPr>
          <w:rFonts w:hint="eastAsia" w:asciiTheme="minorEastAsia" w:hAnsiTheme="minorEastAsia" w:eastAsiaTheme="minorEastAsia"/>
          <w:b/>
          <w:bCs/>
          <w:sz w:val="24"/>
          <w:lang w:eastAsia="zh-CN"/>
        </w:rPr>
        <w:t>九、投标文件</w:t>
      </w:r>
      <w:bookmarkEnd w:id="24"/>
      <w:bookmarkEnd w:id="25"/>
      <w:bookmarkEnd w:id="26"/>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投标文件应严格符合本发文件中列出的所有条款，对于不符合项，应作为偏差项进行逐项说明，并给出可以作为替代方案的建议性解决办法。除已特殊说明的条款外，报价文件中所提供的产品应保证完全符合询价书所需要的供货围、技术规格、技术指标等。否则，由此而产生的问题（不论报价技术文件是否被确认）均由供货方负责。</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2、本询价书的技术规格是对电解槽设备的最低要求。承包商可以提出满足或高于本询价书要求的替代方案或建议，并对替代方案进行明确说明。只有经用户方书面批准的替代方案或偏差才有效。</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3、报价技术文件应包括（编制顺序以商务招标文件的要求为准）：</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①.</w:t>
      </w:r>
      <w:r>
        <w:rPr>
          <w:rFonts w:asciiTheme="minorEastAsia" w:hAnsiTheme="minorEastAsia" w:eastAsiaTheme="minorEastAsia"/>
          <w:bCs/>
          <w:sz w:val="24"/>
          <w:lang w:eastAsia="zh-CN"/>
        </w:rPr>
        <w:t xml:space="preserve"> </w:t>
      </w:r>
      <w:r>
        <w:rPr>
          <w:rFonts w:hint="eastAsia" w:asciiTheme="minorEastAsia" w:hAnsiTheme="minorEastAsia" w:eastAsiaTheme="minorEastAsia"/>
          <w:bCs/>
          <w:sz w:val="24"/>
          <w:lang w:eastAsia="zh-CN"/>
        </w:rPr>
        <w:t>承包商及制造厂资质、简介和业绩证明；</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asciiTheme="minorEastAsia" w:hAnsiTheme="minorEastAsia" w:eastAsiaTheme="minorEastAsia"/>
          <w:bCs/>
          <w:sz w:val="24"/>
        </w:rPr>
        <w:fldChar w:fldCharType="begin"/>
      </w:r>
      <w:r>
        <w:rPr>
          <w:rFonts w:asciiTheme="minorEastAsia" w:hAnsiTheme="minorEastAsia" w:eastAsiaTheme="minorEastAsia"/>
          <w:bCs/>
          <w:sz w:val="24"/>
          <w:lang w:eastAsia="zh-CN"/>
        </w:rPr>
        <w:instrText xml:space="preserve"> </w:instrText>
      </w:r>
      <w:r>
        <w:rPr>
          <w:rFonts w:hint="eastAsia" w:asciiTheme="minorEastAsia" w:hAnsiTheme="minorEastAsia" w:eastAsiaTheme="minorEastAsia"/>
          <w:bCs/>
          <w:sz w:val="24"/>
          <w:lang w:eastAsia="zh-CN"/>
        </w:rPr>
        <w:instrText xml:space="preserve">= 2 \* GB3</w:instrText>
      </w:r>
      <w:r>
        <w:rPr>
          <w:rFonts w:asciiTheme="minorEastAsia" w:hAnsiTheme="minorEastAsia" w:eastAsiaTheme="minorEastAsia"/>
          <w:bCs/>
          <w:sz w:val="24"/>
          <w:lang w:eastAsia="zh-CN"/>
        </w:rPr>
        <w:instrText xml:space="preserve">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lang w:eastAsia="zh-CN"/>
        </w:rPr>
        <w:t>②</w:t>
      </w:r>
      <w:r>
        <w:rPr>
          <w:rFonts w:asciiTheme="minorEastAsia" w:hAnsiTheme="minorEastAsia" w:eastAsiaTheme="minorEastAsia"/>
          <w:bCs/>
          <w:sz w:val="24"/>
        </w:rPr>
        <w:fldChar w:fldCharType="end"/>
      </w:r>
      <w:r>
        <w:rPr>
          <w:rFonts w:asciiTheme="minorEastAsia" w:hAnsiTheme="minorEastAsia" w:eastAsiaTheme="minorEastAsia"/>
          <w:bCs/>
          <w:sz w:val="24"/>
          <w:lang w:eastAsia="zh-CN"/>
        </w:rPr>
        <w:t>.</w:t>
      </w:r>
      <w:r>
        <w:rPr>
          <w:rFonts w:hint="eastAsia" w:asciiTheme="minorEastAsia" w:hAnsiTheme="minorEastAsia" w:eastAsiaTheme="minorEastAsia"/>
          <w:bCs/>
          <w:sz w:val="24"/>
          <w:lang w:eastAsia="zh-CN"/>
        </w:rPr>
        <w:t xml:space="preserve"> 设备生产商的授权文件；</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asciiTheme="minorEastAsia" w:hAnsiTheme="minorEastAsia" w:eastAsiaTheme="minorEastAsia"/>
          <w:bCs/>
          <w:sz w:val="24"/>
        </w:rPr>
        <w:fldChar w:fldCharType="begin"/>
      </w:r>
      <w:r>
        <w:rPr>
          <w:rFonts w:asciiTheme="minorEastAsia" w:hAnsiTheme="minorEastAsia" w:eastAsiaTheme="minorEastAsia"/>
          <w:bCs/>
          <w:sz w:val="24"/>
          <w:lang w:eastAsia="zh-CN"/>
        </w:rPr>
        <w:instrText xml:space="preserve"> </w:instrText>
      </w:r>
      <w:r>
        <w:rPr>
          <w:rFonts w:hint="eastAsia" w:asciiTheme="minorEastAsia" w:hAnsiTheme="minorEastAsia" w:eastAsiaTheme="minorEastAsia"/>
          <w:bCs/>
          <w:sz w:val="24"/>
          <w:lang w:eastAsia="zh-CN"/>
        </w:rPr>
        <w:instrText xml:space="preserve">= 3 \* GB3</w:instrText>
      </w:r>
      <w:r>
        <w:rPr>
          <w:rFonts w:asciiTheme="minorEastAsia" w:hAnsiTheme="minorEastAsia" w:eastAsiaTheme="minorEastAsia"/>
          <w:bCs/>
          <w:sz w:val="24"/>
          <w:lang w:eastAsia="zh-CN"/>
        </w:rPr>
        <w:instrText xml:space="preserve">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lang w:eastAsia="zh-CN"/>
        </w:rPr>
        <w:t>③</w:t>
      </w:r>
      <w:r>
        <w:rPr>
          <w:rFonts w:asciiTheme="minorEastAsia" w:hAnsiTheme="minorEastAsia" w:eastAsiaTheme="minorEastAsia"/>
          <w:bCs/>
          <w:sz w:val="24"/>
        </w:rPr>
        <w:fldChar w:fldCharType="end"/>
      </w:r>
      <w:r>
        <w:rPr>
          <w:rFonts w:asciiTheme="minorEastAsia" w:hAnsiTheme="minorEastAsia" w:eastAsiaTheme="minorEastAsia"/>
          <w:bCs/>
          <w:sz w:val="24"/>
          <w:lang w:eastAsia="zh-CN"/>
        </w:rPr>
        <w:t>.</w:t>
      </w:r>
      <w:r>
        <w:rPr>
          <w:rFonts w:hint="eastAsia" w:asciiTheme="minorEastAsia" w:hAnsiTheme="minorEastAsia" w:eastAsiaTheme="minorEastAsia"/>
          <w:bCs/>
          <w:sz w:val="24"/>
          <w:lang w:eastAsia="zh-CN"/>
        </w:rPr>
        <w:t xml:space="preserve"> 技术服务项目及保证；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asciiTheme="minorEastAsia" w:hAnsiTheme="minorEastAsia" w:eastAsiaTheme="minorEastAsia"/>
          <w:bCs/>
          <w:sz w:val="24"/>
        </w:rPr>
        <w:fldChar w:fldCharType="begin"/>
      </w:r>
      <w:r>
        <w:rPr>
          <w:rFonts w:asciiTheme="minorEastAsia" w:hAnsiTheme="minorEastAsia" w:eastAsiaTheme="minorEastAsia"/>
          <w:bCs/>
          <w:sz w:val="24"/>
          <w:lang w:eastAsia="zh-CN"/>
        </w:rPr>
        <w:instrText xml:space="preserve"> </w:instrText>
      </w:r>
      <w:r>
        <w:rPr>
          <w:rFonts w:hint="eastAsia" w:asciiTheme="minorEastAsia" w:hAnsiTheme="minorEastAsia" w:eastAsiaTheme="minorEastAsia"/>
          <w:bCs/>
          <w:sz w:val="24"/>
          <w:lang w:eastAsia="zh-CN"/>
        </w:rPr>
        <w:instrText xml:space="preserve">= 4 \* GB3</w:instrText>
      </w:r>
      <w:r>
        <w:rPr>
          <w:rFonts w:asciiTheme="minorEastAsia" w:hAnsiTheme="minorEastAsia" w:eastAsiaTheme="minorEastAsia"/>
          <w:bCs/>
          <w:sz w:val="24"/>
          <w:lang w:eastAsia="zh-CN"/>
        </w:rPr>
        <w:instrText xml:space="preserve">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lang w:eastAsia="zh-CN"/>
        </w:rPr>
        <w:t>④</w:t>
      </w:r>
      <w:r>
        <w:rPr>
          <w:rFonts w:asciiTheme="minorEastAsia" w:hAnsiTheme="minorEastAsia" w:eastAsiaTheme="minorEastAsia"/>
          <w:bCs/>
          <w:sz w:val="24"/>
        </w:rPr>
        <w:fldChar w:fldCharType="end"/>
      </w:r>
      <w:r>
        <w:rPr>
          <w:rFonts w:asciiTheme="minorEastAsia" w:hAnsiTheme="minorEastAsia" w:eastAsiaTheme="minorEastAsia"/>
          <w:bCs/>
          <w:sz w:val="24"/>
          <w:lang w:eastAsia="zh-CN"/>
        </w:rPr>
        <w:t>.</w:t>
      </w:r>
      <w:r>
        <w:rPr>
          <w:rFonts w:hint="eastAsia" w:asciiTheme="minorEastAsia" w:hAnsiTheme="minorEastAsia" w:eastAsiaTheme="minorEastAsia"/>
          <w:bCs/>
          <w:sz w:val="24"/>
          <w:lang w:eastAsia="zh-CN"/>
        </w:rPr>
        <w:t xml:space="preserve"> 质量保证措施；</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asciiTheme="minorEastAsia" w:hAnsiTheme="minorEastAsia" w:eastAsiaTheme="minorEastAsia"/>
          <w:bCs/>
          <w:sz w:val="24"/>
        </w:rPr>
        <w:fldChar w:fldCharType="begin"/>
      </w:r>
      <w:r>
        <w:rPr>
          <w:rFonts w:asciiTheme="minorEastAsia" w:hAnsiTheme="minorEastAsia" w:eastAsiaTheme="minorEastAsia"/>
          <w:bCs/>
          <w:sz w:val="24"/>
          <w:lang w:eastAsia="zh-CN"/>
        </w:rPr>
        <w:instrText xml:space="preserve"> </w:instrText>
      </w:r>
      <w:r>
        <w:rPr>
          <w:rFonts w:hint="eastAsia" w:asciiTheme="minorEastAsia" w:hAnsiTheme="minorEastAsia" w:eastAsiaTheme="minorEastAsia"/>
          <w:bCs/>
          <w:sz w:val="24"/>
          <w:lang w:eastAsia="zh-CN"/>
        </w:rPr>
        <w:instrText xml:space="preserve">= 5 \* GB3</w:instrText>
      </w:r>
      <w:r>
        <w:rPr>
          <w:rFonts w:asciiTheme="minorEastAsia" w:hAnsiTheme="minorEastAsia" w:eastAsiaTheme="minorEastAsia"/>
          <w:bCs/>
          <w:sz w:val="24"/>
          <w:lang w:eastAsia="zh-CN"/>
        </w:rPr>
        <w:instrText xml:space="preserve">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lang w:eastAsia="zh-CN"/>
        </w:rPr>
        <w:t>⑤</w:t>
      </w:r>
      <w:r>
        <w:rPr>
          <w:rFonts w:asciiTheme="minorEastAsia" w:hAnsiTheme="minorEastAsia" w:eastAsiaTheme="minorEastAsia"/>
          <w:bCs/>
          <w:sz w:val="24"/>
        </w:rPr>
        <w:fldChar w:fldCharType="end"/>
      </w:r>
      <w:r>
        <w:rPr>
          <w:rFonts w:asciiTheme="minorEastAsia" w:hAnsiTheme="minorEastAsia" w:eastAsiaTheme="minorEastAsia"/>
          <w:bCs/>
          <w:sz w:val="24"/>
          <w:lang w:eastAsia="zh-CN"/>
        </w:rPr>
        <w:t>.</w:t>
      </w:r>
      <w:r>
        <w:rPr>
          <w:rFonts w:hint="eastAsia" w:asciiTheme="minorEastAsia" w:hAnsiTheme="minorEastAsia" w:eastAsiaTheme="minorEastAsia"/>
          <w:bCs/>
          <w:sz w:val="24"/>
          <w:lang w:eastAsia="zh-CN"/>
        </w:rPr>
        <w:t xml:space="preserve"> 现场勘查交流记录；</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asciiTheme="minorEastAsia" w:hAnsiTheme="minorEastAsia" w:eastAsiaTheme="minorEastAsia"/>
          <w:bCs/>
          <w:sz w:val="24"/>
        </w:rPr>
        <w:fldChar w:fldCharType="begin"/>
      </w:r>
      <w:r>
        <w:rPr>
          <w:rFonts w:asciiTheme="minorEastAsia" w:hAnsiTheme="minorEastAsia" w:eastAsiaTheme="minorEastAsia"/>
          <w:bCs/>
          <w:sz w:val="24"/>
          <w:lang w:eastAsia="zh-CN"/>
        </w:rPr>
        <w:instrText xml:space="preserve"> </w:instrText>
      </w:r>
      <w:r>
        <w:rPr>
          <w:rFonts w:hint="eastAsia" w:asciiTheme="minorEastAsia" w:hAnsiTheme="minorEastAsia" w:eastAsiaTheme="minorEastAsia"/>
          <w:bCs/>
          <w:sz w:val="24"/>
          <w:lang w:eastAsia="zh-CN"/>
        </w:rPr>
        <w:instrText xml:space="preserve">= 6 \* GB3</w:instrText>
      </w:r>
      <w:r>
        <w:rPr>
          <w:rFonts w:asciiTheme="minorEastAsia" w:hAnsiTheme="minorEastAsia" w:eastAsiaTheme="minorEastAsia"/>
          <w:bCs/>
          <w:sz w:val="24"/>
          <w:lang w:eastAsia="zh-CN"/>
        </w:rPr>
        <w:instrText xml:space="preserve"> </w:instrText>
      </w:r>
      <w:r>
        <w:rPr>
          <w:rFonts w:asciiTheme="minorEastAsia" w:hAnsiTheme="minorEastAsia" w:eastAsiaTheme="minorEastAsia"/>
          <w:bCs/>
          <w:sz w:val="24"/>
        </w:rPr>
        <w:fldChar w:fldCharType="separate"/>
      </w:r>
      <w:r>
        <w:rPr>
          <w:rFonts w:hint="eastAsia" w:asciiTheme="minorEastAsia" w:hAnsiTheme="minorEastAsia" w:eastAsiaTheme="minorEastAsia"/>
          <w:bCs/>
          <w:sz w:val="24"/>
          <w:lang w:eastAsia="zh-CN"/>
        </w:rPr>
        <w:t>⑥</w:t>
      </w:r>
      <w:r>
        <w:rPr>
          <w:rFonts w:asciiTheme="minorEastAsia" w:hAnsiTheme="minorEastAsia" w:eastAsiaTheme="minorEastAsia"/>
          <w:bCs/>
          <w:sz w:val="24"/>
        </w:rPr>
        <w:fldChar w:fldCharType="end"/>
      </w:r>
      <w:r>
        <w:rPr>
          <w:rFonts w:asciiTheme="minorEastAsia" w:hAnsiTheme="minorEastAsia" w:eastAsiaTheme="minorEastAsia"/>
          <w:bCs/>
          <w:sz w:val="24"/>
          <w:lang w:eastAsia="zh-CN"/>
        </w:rPr>
        <w:t>.</w:t>
      </w:r>
      <w:r>
        <w:rPr>
          <w:rFonts w:hint="eastAsia" w:asciiTheme="minorEastAsia" w:hAnsiTheme="minorEastAsia" w:eastAsiaTheme="minorEastAsia"/>
          <w:bCs/>
          <w:sz w:val="24"/>
          <w:lang w:eastAsia="zh-CN"/>
        </w:rPr>
        <w:t xml:space="preserve"> 投标要求的其他文件。</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十、</w:t>
      </w:r>
      <w:bookmarkStart w:id="27" w:name="_Toc85103707"/>
      <w:r>
        <w:rPr>
          <w:rFonts w:hint="eastAsia" w:cs="仿宋_GB2312" w:asciiTheme="minorEastAsia" w:hAnsiTheme="minorEastAsia" w:eastAsiaTheme="minorEastAsia"/>
          <w:b/>
          <w:sz w:val="24"/>
          <w:shd w:val="clear" w:color="auto" w:fill="FFFFFF"/>
          <w:lang w:eastAsia="zh-CN"/>
        </w:rPr>
        <w:t>奖惩</w:t>
      </w:r>
      <w:r>
        <w:rPr>
          <w:rFonts w:hint="eastAsia" w:asciiTheme="minorEastAsia" w:hAnsiTheme="minorEastAsia" w:eastAsiaTheme="minorEastAsia"/>
          <w:b/>
          <w:bCs/>
          <w:sz w:val="24"/>
          <w:shd w:val="clear" w:color="auto" w:fill="FFFFFF"/>
          <w:lang w:eastAsia="zh-CN"/>
        </w:rPr>
        <w:t>及违约条款</w:t>
      </w:r>
    </w:p>
    <w:p>
      <w:pPr>
        <w:pStyle w:val="75"/>
        <w:adjustRightInd w:val="0"/>
        <w:snapToGrid w:val="0"/>
        <w:spacing w:line="276" w:lineRule="auto"/>
        <w:ind w:firstLine="446" w:firstLineChars="186"/>
        <w:rPr>
          <w:rFonts w:cs="仿宋_GB2312" w:asciiTheme="minorEastAsia" w:hAnsiTheme="minorEastAsia" w:eastAsiaTheme="minorEastAsia"/>
          <w:sz w:val="24"/>
          <w:shd w:val="clear" w:color="auto" w:fill="FFFFFF"/>
          <w:lang w:eastAsia="zh-CN"/>
        </w:rPr>
      </w:pPr>
      <w:r>
        <w:rPr>
          <w:rFonts w:hint="eastAsia" w:cs="仿宋_GB2312" w:asciiTheme="minorEastAsia" w:hAnsiTheme="minorEastAsia" w:eastAsiaTheme="minorEastAsia"/>
          <w:sz w:val="24"/>
          <w:shd w:val="clear" w:color="auto" w:fill="FFFFFF"/>
          <w:lang w:eastAsia="zh-CN"/>
        </w:rPr>
        <w:t>1、承包方须严格遵守</w:t>
      </w:r>
      <w:r>
        <w:rPr>
          <w:rFonts w:hint="eastAsia" w:asciiTheme="minorEastAsia" w:hAnsiTheme="minorEastAsia" w:eastAsiaTheme="minorEastAsia"/>
          <w:sz w:val="24"/>
          <w:shd w:val="clear" w:color="auto" w:fill="FFFFFF"/>
          <w:lang w:eastAsia="zh-CN"/>
        </w:rPr>
        <w:t>福海创</w:t>
      </w:r>
      <w:r>
        <w:rPr>
          <w:rFonts w:hint="eastAsia" w:cs="仿宋_GB2312" w:asciiTheme="minorEastAsia" w:hAnsiTheme="minorEastAsia" w:eastAsiaTheme="minorEastAsia"/>
          <w:sz w:val="24"/>
          <w:shd w:val="clear" w:color="auto" w:fill="FFFFFF"/>
          <w:lang w:eastAsia="zh-CN"/>
        </w:rPr>
        <w:t>安全作业规定，对于违规行为</w:t>
      </w:r>
      <w:r>
        <w:rPr>
          <w:rFonts w:hint="eastAsia" w:asciiTheme="minorEastAsia" w:hAnsiTheme="minorEastAsia" w:eastAsiaTheme="minorEastAsia"/>
          <w:sz w:val="24"/>
          <w:shd w:val="clear" w:color="auto" w:fill="FFFFFF"/>
          <w:lang w:eastAsia="zh-CN"/>
        </w:rPr>
        <w:t>福海创</w:t>
      </w:r>
      <w:r>
        <w:rPr>
          <w:rFonts w:hint="eastAsia" w:cs="仿宋_GB2312" w:asciiTheme="minorEastAsia" w:hAnsiTheme="minorEastAsia" w:eastAsiaTheme="minorEastAsia"/>
          <w:sz w:val="24"/>
          <w:shd w:val="clear" w:color="auto" w:fill="FFFFFF"/>
          <w:lang w:eastAsia="zh-CN"/>
        </w:rPr>
        <w:t>有权依照《安全查核与奖惩办法》处理。</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2、违约解除条款</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承包方有下列情形之一，发包人可终止或解除本合同：</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rPr>
        <w:fldChar w:fldCharType="begin"/>
      </w:r>
      <w:r>
        <w:rPr>
          <w:rFonts w:hint="eastAsia" w:asciiTheme="minorEastAsia" w:hAnsiTheme="minorEastAsia" w:eastAsiaTheme="minorEastAsia"/>
          <w:bCs/>
          <w:sz w:val="24"/>
          <w:shd w:val="clear" w:color="auto" w:fill="FFFFFF"/>
          <w:lang w:eastAsia="zh-CN"/>
        </w:rPr>
        <w:instrText xml:space="preserve"> eq \o\ac(○,1)</w:instrText>
      </w:r>
      <w:r>
        <w:rPr>
          <w:rFonts w:hint="eastAsia" w:asciiTheme="minorEastAsia" w:hAnsiTheme="minorEastAsia" w:eastAsiaTheme="minorEastAsia"/>
          <w:bCs/>
          <w:sz w:val="24"/>
          <w:shd w:val="clear" w:color="auto" w:fill="FFFFFF"/>
        </w:rPr>
        <w:fldChar w:fldCharType="end"/>
      </w:r>
      <w:r>
        <w:rPr>
          <w:rFonts w:hint="eastAsia" w:asciiTheme="minorEastAsia" w:hAnsiTheme="minorEastAsia" w:eastAsiaTheme="minorEastAsia"/>
          <w:bCs/>
          <w:sz w:val="24"/>
          <w:shd w:val="clear" w:color="auto" w:fill="FFFFFF"/>
          <w:lang w:eastAsia="zh-CN"/>
        </w:rPr>
        <w:t>.承包方技术服务人员、施工作业人员、机具设备不足，无法满足合约要求。</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②.承包方违反本合同条款规定或发生事故不能履行合约。</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③.承包方人员有偷窃、破坏发包方财产等违章、违法行为时。</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④.承包方有其他违反约定的行为3次以上。</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⑤.承包方提供的设备、材料严重不符约定标准，经两次纠正仍达不到标准时。</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⑥.承包方不执行合同约定的义务。</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asciiTheme="minorEastAsia" w:hAnsiTheme="minorEastAsia" w:eastAsiaTheme="minorEastAsia"/>
          <w:bCs/>
          <w:sz w:val="24"/>
          <w:shd w:val="clear" w:color="auto" w:fill="FFFFFF"/>
        </w:rPr>
        <w:fldChar w:fldCharType="begin"/>
      </w:r>
      <w:r>
        <w:rPr>
          <w:rFonts w:asciiTheme="minorEastAsia" w:hAnsiTheme="minorEastAsia" w:eastAsiaTheme="minorEastAsia"/>
          <w:bCs/>
          <w:sz w:val="24"/>
          <w:shd w:val="clear" w:color="auto" w:fill="FFFFFF"/>
          <w:lang w:eastAsia="zh-CN"/>
        </w:rPr>
        <w:instrText xml:space="preserve"> </w:instrText>
      </w:r>
      <w:r>
        <w:rPr>
          <w:rFonts w:hint="eastAsia" w:asciiTheme="minorEastAsia" w:hAnsiTheme="minorEastAsia" w:eastAsiaTheme="minorEastAsia"/>
          <w:bCs/>
          <w:sz w:val="24"/>
          <w:shd w:val="clear" w:color="auto" w:fill="FFFFFF"/>
          <w:lang w:eastAsia="zh-CN"/>
        </w:rPr>
        <w:instrText xml:space="preserve">= 7 \* GB3</w:instrText>
      </w:r>
      <w:r>
        <w:rPr>
          <w:rFonts w:asciiTheme="minorEastAsia" w:hAnsiTheme="minorEastAsia" w:eastAsiaTheme="minorEastAsia"/>
          <w:bCs/>
          <w:sz w:val="24"/>
          <w:shd w:val="clear" w:color="auto" w:fill="FFFFFF"/>
          <w:lang w:eastAsia="zh-CN"/>
        </w:rPr>
        <w:instrText xml:space="preserve"> </w:instrText>
      </w:r>
      <w:r>
        <w:rPr>
          <w:rFonts w:asciiTheme="minorEastAsia" w:hAnsiTheme="minorEastAsia" w:eastAsiaTheme="minorEastAsia"/>
          <w:bCs/>
          <w:sz w:val="24"/>
          <w:shd w:val="clear" w:color="auto" w:fill="FFFFFF"/>
        </w:rPr>
        <w:fldChar w:fldCharType="separate"/>
      </w:r>
      <w:r>
        <w:rPr>
          <w:rFonts w:hint="eastAsia" w:asciiTheme="minorEastAsia" w:hAnsiTheme="minorEastAsia" w:eastAsiaTheme="minorEastAsia"/>
          <w:bCs/>
          <w:sz w:val="24"/>
          <w:shd w:val="clear" w:color="auto" w:fill="FFFFFF"/>
          <w:lang w:eastAsia="zh-CN"/>
        </w:rPr>
        <w:t>⑦</w:t>
      </w:r>
      <w:r>
        <w:rPr>
          <w:rFonts w:asciiTheme="minorEastAsia" w:hAnsiTheme="minorEastAsia" w:eastAsiaTheme="minorEastAsia"/>
          <w:bCs/>
          <w:sz w:val="24"/>
          <w:shd w:val="clear" w:color="auto" w:fill="FFFFFF"/>
        </w:rPr>
        <w:fldChar w:fldCharType="end"/>
      </w:r>
      <w:r>
        <w:rPr>
          <w:rFonts w:asciiTheme="minorEastAsia" w:hAnsiTheme="minorEastAsia" w:eastAsiaTheme="minorEastAsia"/>
          <w:bCs/>
          <w:sz w:val="24"/>
          <w:shd w:val="clear" w:color="auto" w:fill="FFFFFF"/>
          <w:lang w:eastAsia="zh-CN"/>
        </w:rPr>
        <w:t>.</w:t>
      </w:r>
      <w:r>
        <w:rPr>
          <w:rFonts w:hint="eastAsia" w:asciiTheme="minorEastAsia" w:hAnsiTheme="minorEastAsia" w:eastAsiaTheme="minorEastAsia"/>
          <w:bCs/>
          <w:sz w:val="24"/>
          <w:shd w:val="clear" w:color="auto" w:fill="FFFFFF"/>
          <w:lang w:eastAsia="zh-CN"/>
        </w:rPr>
        <w:t>承包方未能按时提供质保服务，给发包方或者第三方遭受人身或经济损失的。</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asciiTheme="minorEastAsia" w:hAnsiTheme="minorEastAsia" w:eastAsiaTheme="minorEastAsia"/>
          <w:bCs/>
          <w:sz w:val="24"/>
          <w:shd w:val="clear" w:color="auto" w:fill="FFFFFF"/>
        </w:rPr>
        <w:fldChar w:fldCharType="begin"/>
      </w:r>
      <w:r>
        <w:rPr>
          <w:rFonts w:asciiTheme="minorEastAsia" w:hAnsiTheme="minorEastAsia" w:eastAsiaTheme="minorEastAsia"/>
          <w:bCs/>
          <w:sz w:val="24"/>
          <w:shd w:val="clear" w:color="auto" w:fill="FFFFFF"/>
          <w:lang w:eastAsia="zh-CN"/>
        </w:rPr>
        <w:instrText xml:space="preserve"> </w:instrText>
      </w:r>
      <w:r>
        <w:rPr>
          <w:rFonts w:hint="eastAsia" w:asciiTheme="minorEastAsia" w:hAnsiTheme="minorEastAsia" w:eastAsiaTheme="minorEastAsia"/>
          <w:bCs/>
          <w:sz w:val="24"/>
          <w:shd w:val="clear" w:color="auto" w:fill="FFFFFF"/>
          <w:lang w:eastAsia="zh-CN"/>
        </w:rPr>
        <w:instrText xml:space="preserve">= 8 \* GB3</w:instrText>
      </w:r>
      <w:r>
        <w:rPr>
          <w:rFonts w:asciiTheme="minorEastAsia" w:hAnsiTheme="minorEastAsia" w:eastAsiaTheme="minorEastAsia"/>
          <w:bCs/>
          <w:sz w:val="24"/>
          <w:shd w:val="clear" w:color="auto" w:fill="FFFFFF"/>
          <w:lang w:eastAsia="zh-CN"/>
        </w:rPr>
        <w:instrText xml:space="preserve"> </w:instrText>
      </w:r>
      <w:r>
        <w:rPr>
          <w:rFonts w:asciiTheme="minorEastAsia" w:hAnsiTheme="minorEastAsia" w:eastAsiaTheme="minorEastAsia"/>
          <w:bCs/>
          <w:sz w:val="24"/>
          <w:shd w:val="clear" w:color="auto" w:fill="FFFFFF"/>
        </w:rPr>
        <w:fldChar w:fldCharType="separate"/>
      </w:r>
      <w:r>
        <w:rPr>
          <w:rFonts w:hint="eastAsia" w:asciiTheme="minorEastAsia" w:hAnsiTheme="minorEastAsia" w:eastAsiaTheme="minorEastAsia"/>
          <w:bCs/>
          <w:sz w:val="24"/>
          <w:shd w:val="clear" w:color="auto" w:fill="FFFFFF"/>
          <w:lang w:eastAsia="zh-CN"/>
        </w:rPr>
        <w:t>⑧</w:t>
      </w:r>
      <w:r>
        <w:rPr>
          <w:rFonts w:asciiTheme="minorEastAsia" w:hAnsiTheme="minorEastAsia" w:eastAsiaTheme="minorEastAsia"/>
          <w:bCs/>
          <w:sz w:val="24"/>
          <w:shd w:val="clear" w:color="auto" w:fill="FFFFFF"/>
        </w:rPr>
        <w:fldChar w:fldCharType="end"/>
      </w:r>
      <w:r>
        <w:rPr>
          <w:rFonts w:asciiTheme="minorEastAsia" w:hAnsiTheme="minorEastAsia" w:eastAsiaTheme="minorEastAsia"/>
          <w:bCs/>
          <w:sz w:val="24"/>
          <w:shd w:val="clear" w:color="auto" w:fill="FFFFFF"/>
          <w:lang w:eastAsia="zh-CN"/>
        </w:rPr>
        <w:t>.</w:t>
      </w:r>
      <w:r>
        <w:rPr>
          <w:rFonts w:hint="eastAsia" w:asciiTheme="minorEastAsia" w:hAnsiTheme="minorEastAsia" w:eastAsiaTheme="minorEastAsia"/>
          <w:bCs/>
          <w:sz w:val="24"/>
          <w:shd w:val="clear" w:color="auto" w:fill="FFFFFF"/>
          <w:lang w:eastAsia="zh-CN"/>
        </w:rPr>
        <w:t>承包方违反福海创相关管理规定。</w:t>
      </w:r>
    </w:p>
    <w:p>
      <w:pPr>
        <w:pStyle w:val="75"/>
        <w:adjustRightInd w:val="0"/>
        <w:snapToGrid w:val="0"/>
        <w:spacing w:line="276" w:lineRule="auto"/>
        <w:ind w:firstLine="446" w:firstLineChars="186"/>
        <w:rPr>
          <w:rFonts w:asciiTheme="minorEastAsia" w:hAnsiTheme="minorEastAsia" w:eastAsiaTheme="minorEastAsia"/>
          <w:bCs/>
          <w:sz w:val="24"/>
          <w:shd w:val="clear" w:color="auto" w:fill="FFFFFF"/>
          <w:lang w:eastAsia="zh-CN"/>
        </w:rPr>
      </w:pPr>
      <w:r>
        <w:rPr>
          <w:rFonts w:hint="eastAsia" w:asciiTheme="minorEastAsia" w:hAnsiTheme="minorEastAsia" w:eastAsiaTheme="minorEastAsia"/>
          <w:bCs/>
          <w:sz w:val="24"/>
          <w:shd w:val="clear" w:color="auto" w:fill="FFFFFF"/>
          <w:lang w:eastAsia="zh-CN"/>
        </w:rPr>
        <w:t>承包方若因上述原因被终止或解除合约时，在福海创书面通知中止合同后，承包人必须无条件配合交接，否则造成的一切损失由承包人承担。</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十一、质</w:t>
      </w:r>
      <w:bookmarkStart w:id="28" w:name="_Toc438976266"/>
      <w:bookmarkStart w:id="29" w:name="_Toc435536732"/>
      <w:bookmarkStart w:id="30" w:name="_Toc426390510"/>
      <w:bookmarkStart w:id="31" w:name="_Toc436558125"/>
      <w:bookmarkStart w:id="32" w:name="_Toc422824622"/>
      <w:bookmarkStart w:id="33" w:name="_Toc345828"/>
      <w:bookmarkStart w:id="34" w:name="_Toc426390430"/>
      <w:bookmarkStart w:id="35" w:name="_Toc170491903"/>
      <w:bookmarkStart w:id="36" w:name="_Toc402583302"/>
      <w:r>
        <w:rPr>
          <w:rFonts w:hint="eastAsia" w:asciiTheme="minorEastAsia" w:hAnsiTheme="minorEastAsia" w:eastAsiaTheme="minorEastAsia"/>
          <w:b/>
          <w:bCs/>
          <w:sz w:val="24"/>
          <w:lang w:eastAsia="zh-CN"/>
        </w:rPr>
        <w:t>量保证</w:t>
      </w:r>
      <w:bookmarkEnd w:id="27"/>
      <w:bookmarkEnd w:id="28"/>
      <w:bookmarkEnd w:id="29"/>
      <w:bookmarkEnd w:id="30"/>
      <w:bookmarkEnd w:id="31"/>
      <w:bookmarkEnd w:id="32"/>
      <w:bookmarkEnd w:id="33"/>
      <w:bookmarkEnd w:id="34"/>
      <w:bookmarkEnd w:id="35"/>
      <w:bookmarkEnd w:id="36"/>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1、产品的检验及验收试验均遵照有关规定和标准，并满足本发包方案的要求。</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2、承包商应对所提供的设备和附件的制造质量、技术规格负有完全责任。</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3、所有设备、配件应该在出厂前进行质量检验，需具有产品合格证书，并带产品检验报告等。</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4、正常运行条件下，电解槽满载运行寿命至少5年。</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 xml:space="preserve">5、设备运抵发包人现场后，由承包商负责调试和指导安装，确保设备正常投运，并负责免费对用户相关人员进行原理性讲解和运行保养注意事项说明。 </w:t>
      </w:r>
    </w:p>
    <w:p>
      <w:pPr>
        <w:spacing w:line="420" w:lineRule="exact"/>
        <w:rPr>
          <w:rFonts w:asciiTheme="minorEastAsia" w:hAnsiTheme="minorEastAsia" w:eastAsiaTheme="minorEastAsia"/>
          <w:b/>
          <w:bCs/>
          <w:sz w:val="24"/>
          <w:lang w:eastAsia="zh-CN"/>
        </w:rPr>
      </w:pPr>
      <w:bookmarkStart w:id="37" w:name="_Toc84079337"/>
      <w:bookmarkStart w:id="38" w:name="_Toc84686540"/>
      <w:bookmarkStart w:id="39" w:name="_Toc85103708"/>
      <w:bookmarkStart w:id="40" w:name="_Toc14717"/>
      <w:r>
        <w:rPr>
          <w:rFonts w:hint="eastAsia" w:asciiTheme="minorEastAsia" w:hAnsiTheme="minorEastAsia" w:eastAsiaTheme="minorEastAsia"/>
          <w:b/>
          <w:bCs/>
          <w:sz w:val="24"/>
          <w:lang w:eastAsia="zh-CN"/>
        </w:rPr>
        <w:t>十二、服</w:t>
      </w:r>
      <w:bookmarkStart w:id="41" w:name="_Toc170491904"/>
      <w:bookmarkStart w:id="42" w:name="_Toc436558126"/>
      <w:bookmarkStart w:id="43" w:name="_Toc422824623"/>
      <w:bookmarkStart w:id="44" w:name="_Toc435536733"/>
      <w:bookmarkStart w:id="45" w:name="_Toc426390511"/>
      <w:bookmarkStart w:id="46" w:name="_Toc345829"/>
      <w:bookmarkStart w:id="47" w:name="_Toc402583303"/>
      <w:bookmarkStart w:id="48" w:name="_Toc426390431"/>
      <w:bookmarkStart w:id="49" w:name="_Toc438976267"/>
      <w:r>
        <w:rPr>
          <w:rFonts w:hint="eastAsia" w:asciiTheme="minorEastAsia" w:hAnsiTheme="minorEastAsia" w:eastAsiaTheme="minorEastAsia"/>
          <w:b/>
          <w:bCs/>
          <w:sz w:val="24"/>
          <w:lang w:eastAsia="zh-CN"/>
        </w:rPr>
        <w:t>务和维修</w:t>
      </w:r>
      <w:bookmarkEnd w:id="37"/>
      <w:bookmarkEnd w:id="38"/>
      <w:bookmarkEnd w:id="39"/>
      <w:bookmarkEnd w:id="40"/>
    </w:p>
    <w:bookmarkEnd w:id="41"/>
    <w:bookmarkEnd w:id="42"/>
    <w:bookmarkEnd w:id="43"/>
    <w:bookmarkEnd w:id="44"/>
    <w:bookmarkEnd w:id="45"/>
    <w:bookmarkEnd w:id="46"/>
    <w:bookmarkEnd w:id="47"/>
    <w:bookmarkEnd w:id="48"/>
    <w:bookmarkEnd w:id="49"/>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1、质量保证期为调试完成投运后5年。如产品出现质量问题，质保期应从产品排除缺陷时间后从新开始计算。</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2、在质量保证期，承包商应保证及时免费更换或修复存在的缺陷而导致故障和损坏的产品（除不可抗拒力)，用来更换的设备和配件应是满足本技术要求的产品。</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3、供货方应对设备的售后技术服务、使用与维修技术咨询提供良好的保证，保证全年提供免费热线技术服务。</w:t>
      </w:r>
    </w:p>
    <w:p>
      <w:pPr>
        <w:spacing w:line="420" w:lineRule="exact"/>
        <w:rPr>
          <w:rFonts w:asciiTheme="minorEastAsia" w:hAnsiTheme="minorEastAsia" w:eastAsiaTheme="minorEastAsia"/>
          <w:b/>
          <w:bCs/>
          <w:sz w:val="24"/>
          <w:lang w:eastAsia="zh-CN"/>
        </w:rPr>
      </w:pPr>
      <w:r>
        <w:rPr>
          <w:rFonts w:hint="eastAsia" w:asciiTheme="minorEastAsia" w:hAnsiTheme="minorEastAsia" w:eastAsiaTheme="minorEastAsia"/>
          <w:b/>
          <w:bCs/>
          <w:sz w:val="24"/>
          <w:lang w:eastAsia="zh-CN"/>
        </w:rPr>
        <w:t>十三、特别说明</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1、本技术条款是对本招标工程的最低限度要求。承包方施工质量必须符合发包方提供的相关要求以及相应的国家法律法规、标准规范要求。</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2、承包方对本技术条款的严格遵守并不意味着可以解除其正确选材、施工、检试验、验收以及满足规定的操作工况等所应承担的责任，并对施工过程中涉及到的健康、安全和环境保护、消防等全面负责。</w:t>
      </w:r>
    </w:p>
    <w:p>
      <w:pPr>
        <w:widowControl/>
        <w:shd w:val="clear" w:color="auto" w:fill="FFFFFF"/>
        <w:spacing w:line="276" w:lineRule="auto"/>
        <w:ind w:firstLine="480" w:firstLineChars="200"/>
        <w:rPr>
          <w:rFonts w:asciiTheme="minorEastAsia" w:hAnsiTheme="minorEastAsia" w:eastAsiaTheme="minorEastAsia"/>
          <w:bCs/>
          <w:sz w:val="24"/>
          <w:lang w:eastAsia="zh-CN"/>
        </w:rPr>
      </w:pPr>
      <w:r>
        <w:rPr>
          <w:rFonts w:hint="eastAsia" w:asciiTheme="minorEastAsia" w:hAnsiTheme="minorEastAsia" w:eastAsiaTheme="minorEastAsia"/>
          <w:bCs/>
          <w:sz w:val="24"/>
          <w:lang w:eastAsia="zh-CN"/>
        </w:rPr>
        <w:t>3、本工程承包方报价前应到现场实地踏勘确认，在不影响和危及现有电解槽设备及其功能的前提下，须自行评估本项目施工的可行性、安全性，提出安全施工的防护措施及应急方案；承包方须承担因施工危险因素考虑不周而产生后果的一切责任，所涉及的安全费用、责任风险费用均含于总包价内。</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spacing w:line="520" w:lineRule="exact"/>
        <w:rPr>
          <w:b/>
          <w:sz w:val="28"/>
          <w:szCs w:val="28"/>
          <w:lang w:eastAsia="zh-CN"/>
        </w:rPr>
      </w:pPr>
      <w:r>
        <w:rPr>
          <w:rFonts w:hint="eastAsia"/>
          <w:b/>
          <w:sz w:val="28"/>
          <w:szCs w:val="28"/>
          <w:lang w:eastAsia="zh-CN"/>
        </w:rPr>
        <w:t>附件2：</w:t>
      </w:r>
    </w:p>
    <w:p>
      <w:pPr>
        <w:pStyle w:val="25"/>
        <w:spacing w:afterLines="150" w:line="276" w:lineRule="auto"/>
        <w:ind w:left="-317" w:leftChars="-339" w:hanging="429" w:hangingChars="89"/>
        <w:jc w:val="center"/>
        <w:rPr>
          <w:rFonts w:ascii="黑体" w:hAnsi="宋体" w:eastAsia="黑体"/>
          <w:b/>
          <w:sz w:val="48"/>
          <w:szCs w:val="48"/>
          <w:lang w:eastAsia="zh-CN"/>
        </w:rPr>
      </w:pPr>
      <w:r>
        <w:rPr>
          <w:rFonts w:hint="eastAsia" w:ascii="黑体" w:hAnsi="宋体" w:eastAsia="黑体"/>
          <w:b/>
          <w:sz w:val="48"/>
          <w:szCs w:val="48"/>
          <w:lang w:eastAsia="zh-CN"/>
        </w:rPr>
        <w:t>安全环保协议书</w:t>
      </w:r>
    </w:p>
    <w:p>
      <w:pPr>
        <w:spacing w:line="360" w:lineRule="auto"/>
        <w:rPr>
          <w:rFonts w:asciiTheme="majorEastAsia" w:hAnsiTheme="majorEastAsia" w:eastAsiaTheme="majorEastAsia"/>
          <w:sz w:val="21"/>
          <w:szCs w:val="21"/>
          <w:u w:val="single"/>
          <w:lang w:eastAsia="zh-CN"/>
        </w:rPr>
      </w:pPr>
      <w:r>
        <w:rPr>
          <w:rFonts w:hint="eastAsia" w:asciiTheme="majorEastAsia" w:hAnsiTheme="majorEastAsia" w:eastAsiaTheme="majorEastAsia"/>
          <w:sz w:val="21"/>
          <w:szCs w:val="21"/>
          <w:lang w:eastAsia="zh-CN"/>
        </w:rPr>
        <w:t>发包单位（以下简称甲方）：</w:t>
      </w:r>
      <w:r>
        <w:rPr>
          <w:rFonts w:hint="eastAsia" w:asciiTheme="majorEastAsia" w:hAnsiTheme="majorEastAsia" w:eastAsiaTheme="majorEastAsia"/>
          <w:sz w:val="21"/>
          <w:szCs w:val="21"/>
          <w:u w:val="single"/>
          <w:lang w:eastAsia="zh-CN"/>
        </w:rPr>
        <w:t xml:space="preserve">  翔鹭石化（漳州）有限公司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双方就PTA海水泵站电解R8012-1电解槽更新项目签订了</w:t>
      </w:r>
      <w:r>
        <w:rPr>
          <w:rFonts w:hint="eastAsia" w:asciiTheme="majorEastAsia" w:hAnsiTheme="majorEastAsia" w:eastAsiaTheme="majorEastAsia"/>
          <w:sz w:val="21"/>
          <w:szCs w:val="21"/>
          <w:u w:val="single"/>
          <w:lang w:eastAsia="zh-CN"/>
        </w:rPr>
        <w:t xml:space="preserve"> 技术服务  </w:t>
      </w:r>
      <w:r>
        <w:rPr>
          <w:rFonts w:hint="eastAsia" w:asciiTheme="majorEastAsia" w:hAnsiTheme="majorEastAsia" w:eastAsiaTheme="major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pPr>
        <w:pStyle w:val="75"/>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 甲方有权对乙方的资质进行审查，确认其符合且具备进厂条件，方可进厂施工。</w:t>
      </w:r>
    </w:p>
    <w:p>
      <w:pPr>
        <w:pStyle w:val="75"/>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甲方有权要求乙方维护好甲方相关的安全环保设施、设备和器材。</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pPr>
        <w:tabs>
          <w:tab w:val="left" w:pos="360"/>
          <w:tab w:val="left" w:pos="840"/>
        </w:tabs>
        <w:spacing w:line="360" w:lineRule="auto"/>
        <w:ind w:left="-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 甲方有权对乙方不服从管理和严重违章者，驱除施工现场。</w:t>
      </w:r>
    </w:p>
    <w:p>
      <w:pPr>
        <w:pStyle w:val="75"/>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 甲方负责对乙方进行厂级和部门级安全培训教育和考核，考核合格方可办理入厂手续。</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 甲方负责各装置的工艺处理、退料、置换、吹扫及盲板隔离工作，为本项目提供安全的施工条件。</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甲方应乙方要求，向乙方提供与乙方作业相关的甲方有毒有害、易燃易爆物品的数据。</w:t>
      </w:r>
    </w:p>
    <w:p>
      <w:pPr>
        <w:tabs>
          <w:tab w:val="left" w:pos="360"/>
          <w:tab w:val="left" w:pos="840"/>
        </w:tabs>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甲方在开工前必须对乙方进行全面的安全技术及文明施工交底。</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  乙方有权对甲方安全管理工作提出合理化建议或改进措施。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 乙方对甲方管理人员违章指挥、强令冒险作业、有权拒绝执行。对打击和报复行为有权向上级和有关部门汇报。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 乙方对危及生命安全和身体健康的施工作业条件和环境，有权提出整改建议或拒绝施工作业。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乙方施工过程中在发生严重危及作业人员生命安全的不可抗拒紧急情况时，有权采取必要的避险措施，并立即向管理部门报告。</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 乙方有权要求甲方提供相关的安全资料。</w:t>
      </w:r>
    </w:p>
    <w:p>
      <w:pPr>
        <w:spacing w:line="360" w:lineRule="auto"/>
        <w:ind w:left="-2"/>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 xml:space="preserve">7、 </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17、 </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pPr>
        <w:spacing w:line="360" w:lineRule="auto"/>
        <w:ind w:left="-2"/>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 xml:space="preserve">18、 </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 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pPr>
        <w:spacing w:line="360" w:lineRule="auto"/>
        <w:ind w:left="-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22、 </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pPr>
        <w:spacing w:line="360" w:lineRule="auto"/>
        <w:rPr>
          <w:rFonts w:asciiTheme="majorEastAsia" w:hAnsiTheme="majorEastAsia" w:eastAsiaTheme="majorEastAsia"/>
          <w:b/>
          <w:sz w:val="21"/>
          <w:szCs w:val="21"/>
        </w:rPr>
      </w:pPr>
      <w:r>
        <w:rPr>
          <w:rFonts w:hint="eastAsia" w:asciiTheme="majorEastAsia" w:hAnsiTheme="majorEastAsia" w:eastAsiaTheme="majorEastAsia"/>
          <w:b/>
          <w:sz w:val="21"/>
          <w:szCs w:val="21"/>
        </w:rPr>
        <w:t>三、违约责任及处理</w:t>
      </w:r>
    </w:p>
    <w:p>
      <w:pPr>
        <w:pStyle w:val="75"/>
        <w:numPr>
          <w:ilvl w:val="0"/>
          <w:numId w:val="7"/>
        </w:numPr>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乙方不得将工程违法转包、分包。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pPr>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本协议书一式陆份，甲方执四份，乙方执二份。</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                                  乙方(章)：</w:t>
      </w:r>
    </w:p>
    <w:p>
      <w:pPr>
        <w:pStyle w:val="20"/>
        <w:spacing w:line="360" w:lineRule="auto"/>
        <w:ind w:right="121"/>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翔鹭码头投资管理（漳州）有限公司</w:t>
      </w:r>
    </w:p>
    <w:p>
      <w:pPr>
        <w:spacing w:line="276"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签定日期：    年    月    日                   </w:t>
      </w:r>
    </w:p>
    <w:p>
      <w:pPr>
        <w:rPr>
          <w:lang w:eastAsia="zh-CN"/>
        </w:rPr>
      </w:pPr>
    </w:p>
    <w:p>
      <w:pPr>
        <w:pStyle w:val="2"/>
        <w:sectPr>
          <w:footerReference r:id="rId6" w:type="default"/>
          <w:pgSz w:w="11910" w:h="16840"/>
          <w:pgMar w:top="1480" w:right="1120" w:bottom="740" w:left="1300" w:header="0" w:footer="487" w:gutter="0"/>
          <w:cols w:space="720" w:num="1"/>
        </w:sect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PTA海水泵站电解R8012-1电解槽更新项目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rPr>
          <w:rFonts w:ascii="Times New Roman" w:hAnsi="Times New Roman"/>
          <w:b/>
          <w:bCs/>
          <w:kern w:val="2"/>
          <w:sz w:val="36"/>
          <w:szCs w:val="36"/>
        </w:rPr>
      </w:pPr>
    </w:p>
    <w:p>
      <w:pPr>
        <w:rPr>
          <w:b/>
          <w:sz w:val="36"/>
          <w:szCs w:val="36"/>
          <w:lang w:eastAsia="zh-CN"/>
        </w:rPr>
      </w:pPr>
      <w:r>
        <w:rPr>
          <w:rFonts w:hint="eastAsia" w:ascii="Times New Roman" w:hAnsi="Times New Roman" w:cs="Times New Roman"/>
          <w:b/>
          <w:sz w:val="36"/>
          <w:szCs w:val="36"/>
          <w:lang w:eastAsia="zh-CN"/>
        </w:rPr>
        <w:t>参选报价单</w:t>
      </w:r>
    </w:p>
    <w:p>
      <w:pPr>
        <w:jc w:val="center"/>
        <w:rPr>
          <w:b/>
          <w:sz w:val="36"/>
          <w:szCs w:val="36"/>
          <w:lang w:eastAsia="zh-CN"/>
        </w:rPr>
      </w:pPr>
      <w:r>
        <w:rPr>
          <w:rFonts w:hint="eastAsia"/>
          <w:b/>
          <w:sz w:val="36"/>
          <w:szCs w:val="36"/>
          <w:lang w:eastAsia="zh-CN"/>
        </w:rPr>
        <w:t>报 价 单</w:t>
      </w:r>
    </w:p>
    <w:p>
      <w:pPr>
        <w:pStyle w:val="77"/>
        <w:spacing w:beforeLines="0" w:afterLines="0" w:line="240" w:lineRule="auto"/>
        <w:ind w:firstLineChars="0"/>
        <w:rPr>
          <w:rFonts w:ascii="Times New Roman" w:hAnsi="Times New Roman" w:cs="Times New Roman"/>
          <w:b/>
          <w:color w:val="FF0000"/>
          <w:sz w:val="24"/>
          <w:szCs w:val="24"/>
          <w:lang w:eastAsia="zh-CN"/>
        </w:rPr>
      </w:pPr>
    </w:p>
    <w:p>
      <w:pPr>
        <w:pStyle w:val="77"/>
        <w:spacing w:beforeLines="0" w:afterLines="0"/>
        <w:ind w:firstLine="0"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w:t>
      </w:r>
      <w:r>
        <w:rPr>
          <w:rFonts w:hint="eastAsia"/>
          <w:sz w:val="24"/>
          <w:szCs w:val="24"/>
          <w:u w:val="single"/>
          <w:lang w:eastAsia="zh-CN"/>
        </w:rPr>
        <w:t xml:space="preserve">                                   </w:t>
      </w:r>
    </w:p>
    <w:p>
      <w:pPr>
        <w:pStyle w:val="20"/>
        <w:spacing w:line="360" w:lineRule="auto"/>
        <w:ind w:right="121"/>
        <w:jc w:val="both"/>
        <w:rPr>
          <w:lang w:eastAsia="zh-CN"/>
        </w:rPr>
      </w:pPr>
    </w:p>
    <w:p>
      <w:pPr>
        <w:pStyle w:val="20"/>
        <w:spacing w:line="360" w:lineRule="auto"/>
        <w:ind w:right="121"/>
        <w:jc w:val="both"/>
        <w:rPr>
          <w:color w:val="000000" w:themeColor="text1"/>
          <w:u w:val="single"/>
          <w:lang w:eastAsia="zh-CN"/>
        </w:rPr>
      </w:pPr>
      <w:r>
        <w:rPr>
          <w:rFonts w:hint="eastAsia"/>
          <w:lang w:eastAsia="zh-CN"/>
        </w:rPr>
        <w:t>项目名称：</w:t>
      </w:r>
      <w:r>
        <w:rPr>
          <w:rFonts w:hint="eastAsia"/>
          <w:color w:val="000000" w:themeColor="text1"/>
          <w:u w:val="single"/>
          <w:lang w:eastAsia="zh-CN"/>
        </w:rPr>
        <w:t>福建福海创石油化工有限公司PTA海水泵站电解R8012-1电解槽更新项目</w:t>
      </w:r>
    </w:p>
    <w:p>
      <w:pPr>
        <w:tabs>
          <w:tab w:val="left" w:pos="709"/>
        </w:tabs>
        <w:spacing w:line="360" w:lineRule="auto"/>
        <w:ind w:firstLine="480" w:firstLineChars="200"/>
        <w:rPr>
          <w:sz w:val="24"/>
          <w:szCs w:val="24"/>
          <w:lang w:eastAsia="zh-CN"/>
        </w:rPr>
      </w:pPr>
      <w:r>
        <w:rPr>
          <w:rFonts w:hint="eastAsia"/>
          <w:sz w:val="24"/>
          <w:szCs w:val="24"/>
          <w:lang w:eastAsia="zh-CN"/>
        </w:rPr>
        <w:t>因不同参选商提供设备范围不同，有些参选商可以单独提供电解电极（原电解槽壳体利旧），有些参选商则只能提供整套电解槽（含电极），现拟以下两套供货方案, 参选商选择其中一种方案进行供货：</w:t>
      </w:r>
    </w:p>
    <w:p>
      <w:pPr>
        <w:spacing w:line="360" w:lineRule="auto"/>
        <w:ind w:firstLine="480" w:firstLineChars="200"/>
        <w:rPr>
          <w:sz w:val="24"/>
          <w:szCs w:val="24"/>
          <w:lang w:eastAsia="zh-CN"/>
        </w:rPr>
      </w:pPr>
    </w:p>
    <w:p>
      <w:pPr>
        <w:tabs>
          <w:tab w:val="left" w:pos="709"/>
        </w:tabs>
        <w:spacing w:line="360" w:lineRule="auto"/>
        <w:rPr>
          <w:sz w:val="24"/>
          <w:szCs w:val="24"/>
          <w:u w:val="single"/>
          <w:lang w:eastAsia="zh-CN"/>
        </w:rPr>
      </w:pPr>
      <w:r>
        <w:rPr>
          <w:rFonts w:hint="eastAsia"/>
          <w:b/>
          <w:bCs/>
          <w:sz w:val="24"/>
          <w:szCs w:val="24"/>
          <w:lang w:eastAsia="zh-CN"/>
        </w:rPr>
        <w:t>方案一</w:t>
      </w:r>
      <w:r>
        <w:rPr>
          <w:rFonts w:hint="eastAsia"/>
          <w:sz w:val="24"/>
          <w:szCs w:val="24"/>
          <w:lang w:eastAsia="zh-CN"/>
        </w:rPr>
        <w:t>：按技术要求提供电解电极，并指导安装、调试。参选报价总计：</w:t>
      </w:r>
      <w:r>
        <w:rPr>
          <w:rFonts w:hint="eastAsia"/>
          <w:sz w:val="24"/>
          <w:szCs w:val="24"/>
          <w:u w:val="single"/>
          <w:lang w:eastAsia="zh-CN"/>
        </w:rPr>
        <w:t xml:space="preserve">   </w:t>
      </w:r>
    </w:p>
    <w:p>
      <w:pPr>
        <w:tabs>
          <w:tab w:val="left" w:pos="709"/>
        </w:tabs>
        <w:spacing w:line="360" w:lineRule="auto"/>
        <w:rPr>
          <w:sz w:val="24"/>
          <w:szCs w:val="24"/>
          <w:lang w:eastAsia="zh-CN"/>
        </w:rPr>
      </w:pPr>
      <w:r>
        <w:rPr>
          <w:rFonts w:hint="eastAsia"/>
          <w:sz w:val="24"/>
          <w:szCs w:val="24"/>
          <w:u w:val="single"/>
          <w:lang w:eastAsia="zh-CN"/>
        </w:rPr>
        <w:t xml:space="preserve">       </w:t>
      </w:r>
      <w:r>
        <w:rPr>
          <w:rFonts w:hint="eastAsia"/>
          <w:sz w:val="24"/>
          <w:szCs w:val="24"/>
          <w:lang w:eastAsia="zh-CN"/>
        </w:rPr>
        <w:t>元 （包干含税总价）</w:t>
      </w:r>
    </w:p>
    <w:p>
      <w:pPr>
        <w:tabs>
          <w:tab w:val="left" w:pos="709"/>
        </w:tabs>
        <w:spacing w:line="360" w:lineRule="auto"/>
        <w:rPr>
          <w:sz w:val="24"/>
          <w:szCs w:val="24"/>
          <w:lang w:eastAsia="zh-CN"/>
        </w:rPr>
      </w:pPr>
    </w:p>
    <w:p>
      <w:pPr>
        <w:tabs>
          <w:tab w:val="left" w:pos="709"/>
        </w:tabs>
        <w:spacing w:line="360" w:lineRule="auto"/>
        <w:rPr>
          <w:sz w:val="24"/>
          <w:szCs w:val="24"/>
          <w:lang w:eastAsia="zh-CN"/>
        </w:rPr>
      </w:pPr>
      <w:r>
        <w:rPr>
          <w:rFonts w:hint="eastAsia"/>
          <w:b/>
          <w:bCs/>
          <w:sz w:val="24"/>
          <w:szCs w:val="24"/>
          <w:lang w:eastAsia="zh-CN"/>
        </w:rPr>
        <w:t>方案二</w:t>
      </w:r>
      <w:r>
        <w:rPr>
          <w:rFonts w:hint="eastAsia"/>
          <w:sz w:val="24"/>
          <w:szCs w:val="24"/>
          <w:lang w:eastAsia="zh-CN"/>
        </w:rPr>
        <w:t>：按技术要求提供电解槽（含壳体和电极），并指导安装、调试。参选报价总计：</w:t>
      </w:r>
      <w:r>
        <w:rPr>
          <w:rFonts w:hint="eastAsia"/>
          <w:sz w:val="24"/>
          <w:szCs w:val="24"/>
          <w:u w:val="single"/>
          <w:lang w:eastAsia="zh-CN"/>
        </w:rPr>
        <w:t xml:space="preserve">            </w:t>
      </w:r>
      <w:r>
        <w:rPr>
          <w:rFonts w:hint="eastAsia"/>
          <w:sz w:val="24"/>
          <w:szCs w:val="24"/>
          <w:lang w:eastAsia="zh-CN"/>
        </w:rPr>
        <w:t>元 （包干含税总价）</w:t>
      </w:r>
    </w:p>
    <w:p>
      <w:pPr>
        <w:pStyle w:val="2"/>
        <w:numPr>
          <w:ilvl w:val="255"/>
          <w:numId w:val="0"/>
        </w:numPr>
      </w:pPr>
    </w:p>
    <w:p>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 </w:t>
      </w:r>
      <w:r>
        <w:rPr>
          <w:rFonts w:hint="eastAsia"/>
          <w:sz w:val="24"/>
          <w:szCs w:val="24"/>
        </w:rPr>
        <w:t>；</w:t>
      </w:r>
    </w:p>
    <w:p>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全部款项均以电汇方式支付，验收合格后支付90%，留10%质保金</w:t>
      </w:r>
      <w:r>
        <w:rPr>
          <w:rFonts w:hint="eastAsia" w:hAnsi="宋体"/>
          <w:sz w:val="24"/>
        </w:rPr>
        <w:t>（质保期以</w:t>
      </w:r>
      <w:r>
        <w:rPr>
          <w:rFonts w:hint="eastAsia"/>
          <w:sz w:val="24"/>
        </w:rPr>
        <w:t>最终双方签定的技术协议为准</w:t>
      </w:r>
      <w:r>
        <w:rPr>
          <w:rFonts w:hint="eastAsia" w:hAnsi="宋体"/>
          <w:sz w:val="24"/>
        </w:rPr>
        <w:t>）</w:t>
      </w:r>
      <w:r>
        <w:rPr>
          <w:rFonts w:hint="eastAsia"/>
          <w:bCs/>
          <w:sz w:val="24"/>
        </w:rPr>
        <w:t>。</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w:t>
      </w:r>
      <w:r>
        <w:rPr>
          <w:rFonts w:hint="eastAsia" w:hAnsi="宋体"/>
          <w:sz w:val="24"/>
          <w:u w:val="single"/>
        </w:rPr>
        <w:t>以双方签订的技术协议为准</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bookmarkEnd w:id="0"/>
    <w:p>
      <w:pPr>
        <w:ind w:firstLine="560" w:firstLineChars="200"/>
        <w:rPr>
          <w:sz w:val="28"/>
          <w:u w:val="single"/>
          <w:lang w:eastAsia="zh-CN"/>
        </w:rPr>
      </w:pPr>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30</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75680"/>
    </w:sdtPr>
    <w:sdtContent>
      <w:p>
        <w:pPr>
          <w:pStyle w:val="30"/>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20"/>
      <w:spacing w:line="14" w:lineRule="auto"/>
      <w:rPr>
        <w:sz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30</w:t>
        </w:r>
        <w:r>
          <w:rPr>
            <w:lang w:val="zh-CN" w:eastAsia="zh-CN"/>
          </w:rP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E603979"/>
    <w:multiLevelType w:val="multilevel"/>
    <w:tmpl w:val="0E603979"/>
    <w:lvl w:ilvl="0" w:tentative="0">
      <w:start w:val="1"/>
      <w:numFmt w:val="decimal"/>
      <w:lvlText w:val="%1、"/>
      <w:lvlJc w:val="left"/>
      <w:pPr>
        <w:ind w:left="-37" w:hanging="360"/>
      </w:pPr>
      <w:rPr>
        <w:rFonts w:hint="default" w:ascii="宋体" w:hAnsi="宋体" w:eastAsia="宋体"/>
        <w:b w:val="0"/>
      </w:rPr>
    </w:lvl>
    <w:lvl w:ilvl="1" w:tentative="0">
      <w:start w:val="1"/>
      <w:numFmt w:val="lowerLetter"/>
      <w:lvlText w:val="%2)"/>
      <w:lvlJc w:val="left"/>
      <w:pPr>
        <w:ind w:left="443" w:hanging="420"/>
      </w:pPr>
    </w:lvl>
    <w:lvl w:ilvl="2" w:tentative="0">
      <w:start w:val="1"/>
      <w:numFmt w:val="lowerRoman"/>
      <w:lvlText w:val="%3."/>
      <w:lvlJc w:val="right"/>
      <w:pPr>
        <w:ind w:left="863" w:hanging="420"/>
      </w:pPr>
    </w:lvl>
    <w:lvl w:ilvl="3" w:tentative="0">
      <w:start w:val="1"/>
      <w:numFmt w:val="decimal"/>
      <w:lvlText w:val="%4."/>
      <w:lvlJc w:val="left"/>
      <w:pPr>
        <w:ind w:left="1283" w:hanging="420"/>
      </w:pPr>
    </w:lvl>
    <w:lvl w:ilvl="4" w:tentative="0">
      <w:start w:val="1"/>
      <w:numFmt w:val="lowerLetter"/>
      <w:lvlText w:val="%5)"/>
      <w:lvlJc w:val="left"/>
      <w:pPr>
        <w:ind w:left="1703" w:hanging="420"/>
      </w:pPr>
    </w:lvl>
    <w:lvl w:ilvl="5" w:tentative="0">
      <w:start w:val="1"/>
      <w:numFmt w:val="lowerRoman"/>
      <w:lvlText w:val="%6."/>
      <w:lvlJc w:val="right"/>
      <w:pPr>
        <w:ind w:left="2123" w:hanging="420"/>
      </w:pPr>
    </w:lvl>
    <w:lvl w:ilvl="6" w:tentative="0">
      <w:start w:val="1"/>
      <w:numFmt w:val="decimal"/>
      <w:lvlText w:val="%7."/>
      <w:lvlJc w:val="left"/>
      <w:pPr>
        <w:ind w:left="2543" w:hanging="420"/>
      </w:pPr>
    </w:lvl>
    <w:lvl w:ilvl="7" w:tentative="0">
      <w:start w:val="1"/>
      <w:numFmt w:val="lowerLetter"/>
      <w:lvlText w:val="%8)"/>
      <w:lvlJc w:val="left"/>
      <w:pPr>
        <w:ind w:left="2963" w:hanging="420"/>
      </w:pPr>
    </w:lvl>
    <w:lvl w:ilvl="8" w:tentative="0">
      <w:start w:val="1"/>
      <w:numFmt w:val="lowerRoman"/>
      <w:lvlText w:val="%9."/>
      <w:lvlJc w:val="right"/>
      <w:pPr>
        <w:ind w:left="3383" w:hanging="420"/>
      </w:p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2"/>
  </w:num>
  <w:num w:numId="4">
    <w:abstractNumId w:val="3"/>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trackRevisions w:val="1"/>
  <w:documentProtection w:enforcement="0"/>
  <w:defaultTabStop w:val="720"/>
  <w:drawingGridHorizontalSpacing w:val="110"/>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1F47"/>
    <w:rsid w:val="00242301"/>
    <w:rsid w:val="002427A9"/>
    <w:rsid w:val="002431E7"/>
    <w:rsid w:val="002451B2"/>
    <w:rsid w:val="0024625A"/>
    <w:rsid w:val="002551DF"/>
    <w:rsid w:val="0025699E"/>
    <w:rsid w:val="002578E6"/>
    <w:rsid w:val="00263085"/>
    <w:rsid w:val="002648A2"/>
    <w:rsid w:val="002660DA"/>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B1706"/>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C7C7C"/>
    <w:rsid w:val="00FD0D54"/>
    <w:rsid w:val="00FD1B14"/>
    <w:rsid w:val="00FD1DC9"/>
    <w:rsid w:val="00FD29D5"/>
    <w:rsid w:val="00FE65F9"/>
    <w:rsid w:val="00FF49E8"/>
    <w:rsid w:val="00FF5F83"/>
    <w:rsid w:val="01454C21"/>
    <w:rsid w:val="0367315B"/>
    <w:rsid w:val="039452D6"/>
    <w:rsid w:val="061139E5"/>
    <w:rsid w:val="06F50B00"/>
    <w:rsid w:val="076E1278"/>
    <w:rsid w:val="081A08AE"/>
    <w:rsid w:val="081D6F74"/>
    <w:rsid w:val="087D5A4F"/>
    <w:rsid w:val="08D1141D"/>
    <w:rsid w:val="09130765"/>
    <w:rsid w:val="0A892BC4"/>
    <w:rsid w:val="0B296DE2"/>
    <w:rsid w:val="0B721453"/>
    <w:rsid w:val="0D0126E0"/>
    <w:rsid w:val="0EFD592E"/>
    <w:rsid w:val="0FB5725B"/>
    <w:rsid w:val="0FB7670E"/>
    <w:rsid w:val="10294AA3"/>
    <w:rsid w:val="10E40CA0"/>
    <w:rsid w:val="12584C20"/>
    <w:rsid w:val="136130D9"/>
    <w:rsid w:val="13805E8A"/>
    <w:rsid w:val="14762538"/>
    <w:rsid w:val="15800409"/>
    <w:rsid w:val="15AD01BA"/>
    <w:rsid w:val="16AE1C29"/>
    <w:rsid w:val="16B72867"/>
    <w:rsid w:val="171E7DD2"/>
    <w:rsid w:val="173600E6"/>
    <w:rsid w:val="176A78D9"/>
    <w:rsid w:val="18DD4F7E"/>
    <w:rsid w:val="19544509"/>
    <w:rsid w:val="195B58A2"/>
    <w:rsid w:val="1989465C"/>
    <w:rsid w:val="1A2360C8"/>
    <w:rsid w:val="1B6947A7"/>
    <w:rsid w:val="1CC40373"/>
    <w:rsid w:val="1E085A14"/>
    <w:rsid w:val="1E657D90"/>
    <w:rsid w:val="1ED93E25"/>
    <w:rsid w:val="1FF43DDB"/>
    <w:rsid w:val="20625E24"/>
    <w:rsid w:val="21933AA2"/>
    <w:rsid w:val="22B76993"/>
    <w:rsid w:val="22E07B9F"/>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E666BF4"/>
    <w:rsid w:val="2F724BD0"/>
    <w:rsid w:val="2FC5779A"/>
    <w:rsid w:val="31AF3FB9"/>
    <w:rsid w:val="31C54755"/>
    <w:rsid w:val="31D23053"/>
    <w:rsid w:val="3216608C"/>
    <w:rsid w:val="328F13DA"/>
    <w:rsid w:val="34CE14C6"/>
    <w:rsid w:val="34D84CEC"/>
    <w:rsid w:val="35CF1523"/>
    <w:rsid w:val="35DC515B"/>
    <w:rsid w:val="36BA68B0"/>
    <w:rsid w:val="37AF5AB7"/>
    <w:rsid w:val="39E568DF"/>
    <w:rsid w:val="3A387F18"/>
    <w:rsid w:val="3B1C3371"/>
    <w:rsid w:val="3CAE3A33"/>
    <w:rsid w:val="3CC23198"/>
    <w:rsid w:val="3DDF4815"/>
    <w:rsid w:val="3FE669E5"/>
    <w:rsid w:val="41EB5470"/>
    <w:rsid w:val="44B33DBE"/>
    <w:rsid w:val="44B70186"/>
    <w:rsid w:val="459C39D0"/>
    <w:rsid w:val="462A54F2"/>
    <w:rsid w:val="486C4718"/>
    <w:rsid w:val="4A286FFC"/>
    <w:rsid w:val="4A6A5207"/>
    <w:rsid w:val="4B3B68BB"/>
    <w:rsid w:val="4B410375"/>
    <w:rsid w:val="4B876203"/>
    <w:rsid w:val="50F63E28"/>
    <w:rsid w:val="5221007F"/>
    <w:rsid w:val="52926B5A"/>
    <w:rsid w:val="52B7258B"/>
    <w:rsid w:val="52F74B88"/>
    <w:rsid w:val="542A5B09"/>
    <w:rsid w:val="545C5E51"/>
    <w:rsid w:val="5486175B"/>
    <w:rsid w:val="56A70955"/>
    <w:rsid w:val="57667D24"/>
    <w:rsid w:val="57C67347"/>
    <w:rsid w:val="57CE5BC3"/>
    <w:rsid w:val="5998493F"/>
    <w:rsid w:val="59B9557B"/>
    <w:rsid w:val="59C5385A"/>
    <w:rsid w:val="5A2D3E44"/>
    <w:rsid w:val="5A3260D4"/>
    <w:rsid w:val="5AD75FB8"/>
    <w:rsid w:val="5AE1516A"/>
    <w:rsid w:val="5B3226FA"/>
    <w:rsid w:val="5B6A3A79"/>
    <w:rsid w:val="5C1A5F7B"/>
    <w:rsid w:val="5D3750C3"/>
    <w:rsid w:val="5D7A3273"/>
    <w:rsid w:val="5E2B4120"/>
    <w:rsid w:val="60143739"/>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C4E6286"/>
    <w:rsid w:val="6D1B5A5A"/>
    <w:rsid w:val="6E0F2E14"/>
    <w:rsid w:val="6E71313D"/>
    <w:rsid w:val="6EAB091C"/>
    <w:rsid w:val="6F1E141D"/>
    <w:rsid w:val="6F5354F8"/>
    <w:rsid w:val="71D648EC"/>
    <w:rsid w:val="727810B8"/>
    <w:rsid w:val="7293546A"/>
    <w:rsid w:val="72E05B2C"/>
    <w:rsid w:val="72EF5B99"/>
    <w:rsid w:val="740A2BDE"/>
    <w:rsid w:val="751839E0"/>
    <w:rsid w:val="756178E9"/>
    <w:rsid w:val="75A1093B"/>
    <w:rsid w:val="75BE7C69"/>
    <w:rsid w:val="76274F93"/>
    <w:rsid w:val="79670CA0"/>
    <w:rsid w:val="79EB3F2F"/>
    <w:rsid w:val="79FD3C4B"/>
    <w:rsid w:val="7A1D7427"/>
    <w:rsid w:val="7B11789E"/>
    <w:rsid w:val="7D250FF6"/>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uiPriority w:val="0"/>
  </w:style>
  <w:style w:type="character" w:styleId="55">
    <w:name w:val="HTML Variable"/>
    <w:basedOn w:val="49"/>
    <w:semiHidden/>
    <w:unhideWhenUsed/>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qFormat/>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qFormat/>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qFormat/>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qFormat/>
    <w:uiPriority w:val="0"/>
  </w:style>
  <w:style w:type="character" w:customStyle="1" w:styleId="208">
    <w:name w:val="xdrichtextbox3"/>
    <w:basedOn w:val="49"/>
    <w:qFormat/>
    <w:uiPriority w:val="0"/>
    <w:rPr>
      <w:color w:val="auto"/>
      <w:u w:val="none"/>
      <w:bdr w:val="single" w:color="DCDCDC" w:sz="8" w:space="0"/>
      <w:shd w:val="clear" w:color="auto" w:fill="FFFFFF"/>
    </w:rPr>
  </w:style>
  <w:style w:type="character" w:customStyle="1" w:styleId="209">
    <w:name w:val="列出段落 Char"/>
    <w:link w:val="75"/>
    <w:qFormat/>
    <w:uiPriority w:val="0"/>
    <w:rPr>
      <w:rFonts w:ascii="宋体" w:hAnsi="宋体" w:cs="宋体"/>
      <w:sz w:val="22"/>
      <w:szCs w:val="22"/>
      <w:lang w:eastAsia="en-US"/>
    </w:rPr>
  </w:style>
  <w:style w:type="paragraph" w:customStyle="1" w:styleId="210">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qFormat/>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lang w:val="en-US" w:eastAsia="zh-CN" w:bidi="ar-SA"/>
    </w:rPr>
  </w:style>
  <w:style w:type="paragraph" w:customStyle="1" w:styleId="215">
    <w:name w:val="Bg"/>
    <w:basedOn w:val="1"/>
    <w:qFormat/>
    <w:uiPriority w:val="0"/>
    <w:pPr>
      <w:topLinePunct/>
      <w:snapToGrid w:val="0"/>
      <w:spacing w:before="60" w:after="60"/>
      <w:jc w:val="center"/>
    </w:pPr>
    <w:rPr>
      <w:kern w:val="2"/>
      <w:sz w:val="18"/>
    </w:rPr>
  </w:style>
  <w:style w:type="paragraph" w:customStyle="1" w:styleId="216">
    <w:name w:val="正文格式"/>
    <w:basedOn w:val="1"/>
    <w:qFormat/>
    <w:uiPriority w:val="0"/>
    <w:pPr>
      <w:topLinePunct/>
      <w:ind w:firstLine="420" w:firstLineChars="200"/>
    </w:pPr>
    <w:rPr>
      <w:kern w:val="2"/>
      <w:sz w:val="21"/>
    </w:rPr>
  </w:style>
  <w:style w:type="paragraph" w:customStyle="1" w:styleId="217">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8">
    <w:name w:val="特点 Char"/>
    <w:qFormat/>
    <w:locked/>
    <w:uiPriority w:val="0"/>
    <w:rPr>
      <w:rFonts w:eastAsia="宋体"/>
      <w:kern w:val="2"/>
      <w:sz w:val="21"/>
      <w:lang w:val="en-US" w:eastAsia="zh-CN" w:bidi="ar-SA"/>
    </w:rPr>
  </w:style>
  <w:style w:type="character" w:customStyle="1" w:styleId="219">
    <w:name w:val="first-child"/>
    <w:basedOn w:val="49"/>
    <w:uiPriority w:val="0"/>
  </w:style>
  <w:style w:type="character" w:customStyle="1" w:styleId="220">
    <w:name w:val="xdrichtextbox"/>
    <w:basedOn w:val="49"/>
    <w:uiPriority w:val="0"/>
    <w:rPr>
      <w:color w:val="auto"/>
      <w:u w:val="none"/>
      <w:bdr w:val="single" w:color="DCDCDC" w:sz="8" w:space="0"/>
      <w:shd w:val="clear" w:color="auto" w:fill="auto"/>
    </w:rPr>
  </w:style>
  <w:style w:type="character" w:customStyle="1" w:styleId="221">
    <w:name w:val="ico1653"/>
    <w:basedOn w:val="49"/>
    <w:uiPriority w:val="0"/>
  </w:style>
  <w:style w:type="character" w:customStyle="1" w:styleId="222">
    <w:name w:val="cdropleft"/>
    <w:basedOn w:val="49"/>
    <w:uiPriority w:val="0"/>
  </w:style>
  <w:style w:type="character" w:customStyle="1" w:styleId="223">
    <w:name w:val="hover41"/>
    <w:basedOn w:val="49"/>
    <w:uiPriority w:val="0"/>
    <w:rPr>
      <w:color w:val="FFFFFF"/>
    </w:rPr>
  </w:style>
  <w:style w:type="character" w:customStyle="1" w:styleId="224">
    <w:name w:val="w32"/>
    <w:basedOn w:val="49"/>
    <w:uiPriority w:val="0"/>
  </w:style>
  <w:style w:type="character" w:customStyle="1" w:styleId="225">
    <w:name w:val="pagechatarealistclose_box"/>
    <w:basedOn w:val="49"/>
    <w:uiPriority w:val="0"/>
  </w:style>
  <w:style w:type="character" w:customStyle="1" w:styleId="226">
    <w:name w:val="pagechatarealistclose_box1"/>
    <w:basedOn w:val="49"/>
    <w:uiPriority w:val="0"/>
  </w:style>
  <w:style w:type="character" w:customStyle="1" w:styleId="227">
    <w:name w:val="cdropright"/>
    <w:basedOn w:val="49"/>
    <w:uiPriority w:val="0"/>
  </w:style>
  <w:style w:type="character" w:customStyle="1" w:styleId="228">
    <w:name w:val="drapbtn"/>
    <w:basedOn w:val="49"/>
    <w:uiPriority w:val="0"/>
  </w:style>
  <w:style w:type="character" w:customStyle="1" w:styleId="229">
    <w:name w:val="active5"/>
    <w:basedOn w:val="49"/>
    <w:uiPriority w:val="0"/>
    <w:rPr>
      <w:shd w:val="clear" w:color="auto" w:fill="EC3535"/>
    </w:rPr>
  </w:style>
  <w:style w:type="character" w:customStyle="1" w:styleId="230">
    <w:name w:val="active6"/>
    <w:basedOn w:val="49"/>
    <w:uiPriority w:val="0"/>
    <w:rPr>
      <w:color w:val="00FF00"/>
      <w:shd w:val="clear" w:color="auto" w:fill="111111"/>
    </w:rPr>
  </w:style>
  <w:style w:type="character" w:customStyle="1" w:styleId="231">
    <w:name w:val="tmpztreemove_arrow"/>
    <w:basedOn w:val="49"/>
    <w:uiPriority w:val="0"/>
  </w:style>
  <w:style w:type="character" w:customStyle="1" w:styleId="232">
    <w:name w:val="layui-layer-tabnow"/>
    <w:basedOn w:val="49"/>
    <w:uiPriority w:val="0"/>
    <w:rPr>
      <w:bdr w:val="single" w:color="CCCCCC" w:sz="6" w:space="0"/>
      <w:shd w:val="clear" w:color="auto" w:fill="FFFFFF"/>
    </w:rPr>
  </w:style>
  <w:style w:type="character" w:customStyle="1" w:styleId="233">
    <w:name w:val="cy"/>
    <w:basedOn w:val="49"/>
    <w:uiPriority w:val="0"/>
  </w:style>
  <w:style w:type="character" w:customStyle="1" w:styleId="234">
    <w:name w:val="iconline2"/>
    <w:basedOn w:val="49"/>
    <w:uiPriority w:val="0"/>
  </w:style>
  <w:style w:type="character" w:customStyle="1" w:styleId="235">
    <w:name w:val="button"/>
    <w:basedOn w:val="49"/>
    <w:uiPriority w:val="0"/>
  </w:style>
  <w:style w:type="character" w:customStyle="1" w:styleId="236">
    <w:name w:val="edit_class"/>
    <w:basedOn w:val="49"/>
    <w:uiPriority w:val="0"/>
  </w:style>
  <w:style w:type="character" w:customStyle="1" w:styleId="237">
    <w:name w:val="design_class"/>
    <w:basedOn w:val="49"/>
    <w:uiPriority w:val="0"/>
  </w:style>
  <w:style w:type="character" w:customStyle="1" w:styleId="238">
    <w:name w:val="after"/>
    <w:basedOn w:val="49"/>
    <w:uiPriority w:val="0"/>
    <w:rPr>
      <w:sz w:val="0"/>
      <w:szCs w:val="0"/>
    </w:rPr>
  </w:style>
  <w:style w:type="character" w:customStyle="1" w:styleId="239">
    <w:name w:val="icontext1"/>
    <w:basedOn w:val="49"/>
    <w:uiPriority w:val="0"/>
  </w:style>
  <w:style w:type="character" w:customStyle="1" w:styleId="240">
    <w:name w:val="icontext11"/>
    <w:basedOn w:val="49"/>
    <w:uiPriority w:val="0"/>
  </w:style>
  <w:style w:type="character" w:customStyle="1" w:styleId="241">
    <w:name w:val="icontext12"/>
    <w:basedOn w:val="49"/>
    <w:uiPriority w:val="0"/>
  </w:style>
  <w:style w:type="character" w:customStyle="1" w:styleId="242">
    <w:name w:val="associateddata"/>
    <w:basedOn w:val="49"/>
    <w:uiPriority w:val="0"/>
    <w:rPr>
      <w:shd w:val="clear" w:color="auto" w:fill="50A6F9"/>
    </w:rPr>
  </w:style>
  <w:style w:type="character" w:customStyle="1" w:styleId="243">
    <w:name w:val="icontext2"/>
    <w:basedOn w:val="49"/>
    <w:uiPriority w:val="0"/>
  </w:style>
  <w:style w:type="character" w:customStyle="1" w:styleId="244">
    <w:name w:val="icontext3"/>
    <w:basedOn w:val="49"/>
    <w:uiPriority w:val="0"/>
  </w:style>
  <w:style w:type="character" w:customStyle="1" w:styleId="245">
    <w:name w:val="biggerthanmax"/>
    <w:basedOn w:val="49"/>
    <w:uiPriority w:val="0"/>
    <w:rPr>
      <w:shd w:val="clear" w:color="auto" w:fill="FFFF00"/>
    </w:rPr>
  </w:style>
  <w:style w:type="character" w:customStyle="1" w:styleId="246">
    <w:name w:val="hilite"/>
    <w:basedOn w:val="49"/>
    <w:uiPriority w:val="0"/>
    <w:rPr>
      <w:color w:val="FFFFFF"/>
      <w:shd w:val="clear" w:color="auto" w:fill="666666"/>
    </w:rPr>
  </w:style>
  <w:style w:type="character" w:customStyle="1" w:styleId="247">
    <w:name w:val="choosename"/>
    <w:basedOn w:val="49"/>
    <w:uiPriority w:val="0"/>
  </w:style>
  <w:style w:type="character" w:customStyle="1" w:styleId="248">
    <w:name w:val="iconline21"/>
    <w:basedOn w:val="49"/>
    <w:uiPriority w:val="0"/>
  </w:style>
  <w:style w:type="character" w:customStyle="1" w:styleId="249">
    <w:name w:val="active1"/>
    <w:basedOn w:val="49"/>
    <w:uiPriority w:val="0"/>
    <w:rPr>
      <w:shd w:val="clear" w:color="auto" w:fill="EC3535"/>
    </w:rPr>
  </w:style>
  <w:style w:type="character" w:customStyle="1" w:styleId="250">
    <w:name w:val="ico1654"/>
    <w:basedOn w:val="49"/>
    <w:uiPriority w:val="0"/>
  </w:style>
  <w:style w:type="character" w:customStyle="1" w:styleId="251">
    <w:name w:val="ico1655"/>
    <w:basedOn w:val="49"/>
    <w:uiPriority w:val="0"/>
  </w:style>
  <w:style w:type="character" w:customStyle="1" w:styleId="252">
    <w:name w:val="hilite6"/>
    <w:basedOn w:val="49"/>
    <w:uiPriority w:val="0"/>
    <w:rPr>
      <w:color w:val="FFFFFF"/>
      <w:shd w:val="clear" w:color="auto" w:fill="666666"/>
    </w:rPr>
  </w:style>
  <w:style w:type="character" w:customStyle="1" w:styleId="253">
    <w:name w:val="active"/>
    <w:basedOn w:val="49"/>
    <w:uiPriority w:val="0"/>
    <w:rPr>
      <w:shd w:val="clear" w:color="auto" w:fill="EC3535"/>
    </w:rPr>
  </w:style>
  <w:style w:type="character" w:customStyle="1" w:styleId="254">
    <w:name w:val="hover4"/>
    <w:basedOn w:val="49"/>
    <w:uiPriority w:val="0"/>
    <w:rPr>
      <w:color w:val="FFFFFF"/>
    </w:rPr>
  </w:style>
  <w:style w:type="character" w:customStyle="1" w:styleId="255">
    <w:name w:val="xdrichtextbox4"/>
    <w:basedOn w:val="49"/>
    <w:uiPriority w:val="0"/>
  </w:style>
  <w:style w:type="paragraph" w:customStyle="1" w:styleId="256">
    <w:name w:val="正文_0"/>
    <w:next w:val="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1AC236-FF4B-4FDB-BF64-B4D65201C756}">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15544</Words>
  <Characters>16311</Characters>
  <Lines>129</Lines>
  <Paragraphs>36</Paragraphs>
  <TotalTime>28</TotalTime>
  <ScaleCrop>false</ScaleCrop>
  <LinksUpToDate>false</LinksUpToDate>
  <CharactersWithSpaces>17372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2022-09-21T07:14:05Z</dcterms:modified>
  <dc:title>公开招标文件（货物服务类）</dc:title>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2052-11.1.0.12358</vt:lpwstr>
  </property>
  <property fmtid="{D5CDD505-2E9C-101B-9397-08002B2CF9AE}" pid="6" name="ICV">
    <vt:lpwstr>7EFD1898B78A4345BC21372367C648C1</vt:lpwstr>
  </property>
</Properties>
</file>