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3120" w:hanging="3122" w:hangingChars="600"/>
        <w:jc w:val="center"/>
        <w:rPr>
          <w:rFonts w:ascii="微软雅黑" w:eastAsia="微软雅黑"/>
          <w:b/>
          <w:sz w:val="52"/>
          <w:u w:val="single"/>
          <w:lang w:eastAsia="zh-CN"/>
        </w:rPr>
      </w:pPr>
      <w:r>
        <w:rPr>
          <w:rFonts w:hint="eastAsia" w:ascii="微软雅黑" w:eastAsia="微软雅黑"/>
          <w:b/>
          <w:sz w:val="52"/>
          <w:u w:val="single"/>
          <w:lang w:eastAsia="zh-CN"/>
        </w:rPr>
        <w:t>南8#泊位、南9#泊位停泊及回旋水</w:t>
      </w:r>
    </w:p>
    <w:p>
      <w:pPr>
        <w:ind w:left="3120" w:hanging="3122" w:hangingChars="600"/>
        <w:jc w:val="center"/>
        <w:rPr>
          <w:rFonts w:ascii="微软雅黑" w:eastAsia="微软雅黑"/>
          <w:b/>
          <w:sz w:val="52"/>
          <w:u w:val="single"/>
          <w:lang w:eastAsia="zh-CN"/>
        </w:rPr>
      </w:pPr>
      <w:r>
        <w:rPr>
          <w:rFonts w:hint="eastAsia" w:ascii="微软雅黑" w:eastAsia="微软雅黑"/>
          <w:b/>
          <w:sz w:val="52"/>
          <w:u w:val="single"/>
          <w:lang w:eastAsia="zh-CN"/>
        </w:rPr>
        <w:t>域疏浚项目比选文件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（文件编号：FHC-PTCG20220728001）</w:t>
      </w:r>
    </w:p>
    <w:tbl>
      <w:tblPr>
        <w:tblStyle w:val="49"/>
        <w:tblW w:w="1048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8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15" w:hRule="atLeast"/>
        </w:trPr>
        <w:tc>
          <w:tcPr>
            <w:tcW w:w="0" w:type="auto"/>
            <w:tcBorders>
              <w:top w:val="nil"/>
              <w:left w:val="nil"/>
              <w:bottom w:val="nil"/>
              <w:right w:val="nil"/>
            </w:tcBorders>
            <w:shd w:val="clear" w:color="auto" w:fill="FFFFFF"/>
            <w:vAlign w:val="bottom"/>
          </w:tcPr>
          <w:p>
            <w:pPr>
              <w:pStyle w:val="2"/>
              <w:rPr>
                <w:color w:val="000000" w:themeColor="text1"/>
                <w:sz w:val="28"/>
                <w:szCs w:val="28"/>
                <w14:textFill>
                  <w14:solidFill>
                    <w14:schemeClr w14:val="tx1"/>
                  </w14:solidFill>
                </w14:textFill>
              </w:rPr>
            </w:pPr>
          </w:p>
        </w:tc>
      </w:tr>
    </w:tbl>
    <w:p>
      <w:pPr>
        <w:pStyle w:val="2"/>
        <w:rPr>
          <w:color w:val="000000" w:themeColor="text1"/>
          <w:sz w:val="28"/>
          <w:szCs w:val="28"/>
          <w14:textFill>
            <w14:solidFill>
              <w14:schemeClr w14:val="tx1"/>
            </w14:solidFill>
          </w14:textFill>
        </w:rPr>
      </w:pP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二〇二二年八月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2"/>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ind w:left="1928" w:hanging="1928" w:hangingChars="600"/>
        <w:jc w:val="center"/>
        <w:rPr>
          <w:rFonts w:ascii="微软雅黑" w:eastAsia="微软雅黑"/>
          <w:b/>
          <w:sz w:val="52"/>
          <w:u w:val="single"/>
          <w:lang w:eastAsia="zh-CN"/>
        </w:rPr>
      </w:pPr>
      <w:r>
        <w:rPr>
          <w:rFonts w:hint="eastAsia"/>
          <w:b/>
          <w:bCs/>
          <w:sz w:val="32"/>
          <w:lang w:eastAsia="zh-CN"/>
        </w:rPr>
        <w:t>福建福海创石油化工有限公司南8#泊位、南9#泊位停泊及回旋水</w:t>
      </w:r>
    </w:p>
    <w:p>
      <w:pPr>
        <w:ind w:left="1928" w:hanging="1928" w:hangingChars="600"/>
        <w:jc w:val="center"/>
        <w:rPr>
          <w:b/>
          <w:bCs/>
          <w:sz w:val="32"/>
          <w:lang w:eastAsia="zh-CN"/>
        </w:rPr>
      </w:pPr>
      <w:r>
        <w:rPr>
          <w:rFonts w:hint="eastAsia"/>
          <w:b/>
          <w:bCs/>
          <w:sz w:val="32"/>
          <w:lang w:eastAsia="zh-CN"/>
        </w:rPr>
        <w:t>域疏浚项目比选公告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w:t>
      </w:r>
      <w:r>
        <w:rPr>
          <w:rFonts w:hint="eastAsia"/>
          <w:sz w:val="28"/>
          <w:szCs w:val="28"/>
          <w:lang w:eastAsia="zh-CN"/>
        </w:rPr>
        <w:t xml:space="preserve">  福建福海创石油化工有限公司就“南8#泊位、南9#泊位停泊及回旋水域疏浚项目（项目编号：</w:t>
      </w:r>
      <w:r>
        <w:rPr>
          <w:rFonts w:hint="eastAsia" w:hAnsi="Calibri" w:cs="Times New Roman"/>
          <w:color w:val="000000" w:themeColor="text1"/>
          <w:sz w:val="28"/>
          <w:szCs w:val="28"/>
          <w:lang w:eastAsia="zh-CN"/>
          <w14:textFill>
            <w14:solidFill>
              <w14:schemeClr w14:val="tx1"/>
            </w14:solidFill>
          </w14:textFill>
        </w:rPr>
        <w:t>FHC-PTCG20220728001</w:t>
      </w:r>
      <w:r>
        <w:rPr>
          <w:rFonts w:hint="eastAsia"/>
          <w:sz w:val="28"/>
          <w:szCs w:val="28"/>
          <w:lang w:eastAsia="zh-CN"/>
        </w:rPr>
        <w:t>）”</w:t>
      </w:r>
      <w:r>
        <w:rPr>
          <w:sz w:val="28"/>
          <w:szCs w:val="28"/>
          <w:lang w:eastAsia="zh-CN"/>
        </w:rPr>
        <w:t>进行国内公开比选</w:t>
      </w:r>
      <w:r>
        <w:rPr>
          <w:rFonts w:hint="eastAsia"/>
          <w:sz w:val="28"/>
          <w:szCs w:val="28"/>
          <w:lang w:eastAsia="zh-CN"/>
        </w:rPr>
        <w:t>，欢迎国内符合条件的维修商积极参选。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项目名称：福建福海创石油化工有限公司南8#泊位、南9#泊位停泊及回旋水域疏浚项目。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比选项目说明：南8#泊位、南9#泊位停泊及回旋水域疏浚项目，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7"/>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7"/>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7"/>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r>
        <w:rPr>
          <w:rFonts w:hint="eastAsia"/>
          <w:color w:val="000000" w:themeColor="text1"/>
          <w:sz w:val="24"/>
          <w:szCs w:val="24"/>
          <w14:textFill>
            <w14:solidFill>
              <w14:schemeClr w14:val="tx1"/>
            </w14:solidFill>
          </w14:textFill>
        </w:rPr>
        <w:t>参选人</w:t>
      </w:r>
      <w:r>
        <w:rPr>
          <w:color w:val="000000" w:themeColor="text1"/>
          <w:sz w:val="24"/>
          <w:szCs w:val="24"/>
          <w14:textFill>
            <w14:solidFill>
              <w14:schemeClr w14:val="tx1"/>
            </w14:solidFill>
          </w14:textFill>
        </w:rPr>
        <w:t>需具备港口、航道施工资质，该项目中</w:t>
      </w:r>
      <w:r>
        <w:rPr>
          <w:rFonts w:hint="eastAsia"/>
          <w:color w:val="000000" w:themeColor="text1"/>
          <w:sz w:val="24"/>
          <w:szCs w:val="24"/>
          <w14:textFill>
            <w14:solidFill>
              <w14:schemeClr w14:val="tx1"/>
            </w14:solidFill>
          </w14:textFill>
        </w:rPr>
        <w:t>选</w:t>
      </w:r>
      <w:r>
        <w:rPr>
          <w:color w:val="000000" w:themeColor="text1"/>
          <w:sz w:val="24"/>
          <w:szCs w:val="24"/>
          <w14:textFill>
            <w14:solidFill>
              <w14:schemeClr w14:val="tx1"/>
            </w14:solidFill>
          </w14:textFill>
        </w:rPr>
        <w:t>单位责任包括但不限于办理水上水下施工许可，施工时所产生淤泥的合法处置。</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报名时间：2022年 8 月  日至2022年  月  日（共8天）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方案。技术交流后经比选人技术人员确认合格后，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 徐明兴 13779967252。</w:t>
      </w:r>
    </w:p>
    <w:p>
      <w:pPr>
        <w:tabs>
          <w:tab w:val="left" w:pos="709"/>
        </w:tabs>
        <w:spacing w:line="360" w:lineRule="auto"/>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firstLine="257" w:firstLineChars="100"/>
        <w:jc w:val="both"/>
        <w:rPr>
          <w:b/>
          <w:w w:val="95"/>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金额20000元整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lang w:eastAsia="zh-CN"/>
        </w:rPr>
        <w:t>南8#泊位、南9#泊位停泊及回旋水域疏浚项目</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bookmarkStart w:id="1" w:name="_GoBack"/>
      <w:bookmarkEnd w:id="1"/>
    </w:p>
    <w:p>
      <w:pPr>
        <w:spacing w:line="360" w:lineRule="auto"/>
        <w:ind w:firstLine="257" w:firstLineChars="1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2年8月1</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福建福海创石油化工有限公司南8#泊位、南9#泊位停泊及回旋水域疏浚项目</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lang w:eastAsia="zh-CN"/>
        </w:rPr>
        <w:t>固定总价包干</w:t>
      </w:r>
      <w:r>
        <w:rPr>
          <w:rFonts w:hint="eastAsia" w:asciiTheme="minorEastAsia" w:hAnsiTheme="minorEastAsia" w:eastAsiaTheme="minorEastAsia"/>
          <w:lang w:eastAsia="zh-CN"/>
        </w:rPr>
        <w:t>。</w:t>
      </w:r>
    </w:p>
    <w:p>
      <w:pPr>
        <w:pStyle w:val="20"/>
        <w:spacing w:line="360" w:lineRule="auto"/>
        <w:ind w:right="121" w:firstLine="480" w:firstLineChars="200"/>
        <w:jc w:val="both"/>
        <w:rPr>
          <w:lang w:eastAsia="zh-CN"/>
        </w:rPr>
      </w:pPr>
      <w:r>
        <w:rPr>
          <w:rFonts w:hint="eastAsia"/>
          <w:lang w:eastAsia="zh-CN"/>
        </w:rPr>
        <w:t>4.项目工作范围及技术要求：见附件《南8#泊位、南9#泊位停泊及回旋水域疏浚项目发包说明》。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fldChar w:fldCharType="begin"/>
      </w:r>
      <w:r>
        <w:instrText xml:space="preserve"> HYPERLINK "javascript:showV3XMemberCard('5190483681217433383',window)" \o "陈玉婷" </w:instrText>
      </w:r>
      <w:r>
        <w:fldChar w:fldCharType="separate"/>
      </w:r>
      <w:r>
        <w:rPr>
          <w:rFonts w:hint="eastAsia"/>
          <w:lang w:eastAsia="zh-CN"/>
        </w:rPr>
        <w:t xml:space="preserve">陈玉婷 </w:t>
      </w:r>
      <w:r>
        <w:rPr>
          <w:rFonts w:hint="eastAsia"/>
          <w:lang w:eastAsia="zh-CN"/>
        </w:rPr>
        <w:fldChar w:fldCharType="end"/>
      </w:r>
      <w:r>
        <w:rPr>
          <w:lang w:eastAsia="zh-CN"/>
        </w:rPr>
        <w:pict>
          <v:shape id="_x0000_i1025" o:spt="201" type="#_x0000_t201" style="height:0pt;width:0.05pt;" filled="f" coordsize="21600,21600">
            <v:path/>
            <v:fill on="f" focussize="0,0"/>
            <v:stroke joinstyle="miter"/>
            <v:imagedata o:title=""/>
            <o:lock v:ext="edit" aspectratio="t"/>
            <w10:wrap type="none"/>
            <w10:anchorlock/>
          </v:shape>
        </w:pict>
      </w:r>
      <w:r>
        <w:rPr>
          <w:rFonts w:hint="eastAsia"/>
          <w:lang w:eastAsia="zh-CN"/>
        </w:rPr>
        <w:t xml:space="preserve">  15880952778,ytchen@fhcpec.com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项目名称：福建福海创石油化工有限公司南8#泊位、南9#泊位停泊及回旋水域疏浚项目。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比选项目说明：南8#泊位、南9#泊位停泊及回旋水域疏浚项目，内容详见附件发包说明。</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7"/>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7"/>
        <w:spacing w:line="360" w:lineRule="auto"/>
        <w:ind w:firstLine="0" w:firstLineChars="0"/>
        <w:rPr>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7"/>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r>
        <w:rPr>
          <w:rFonts w:hint="eastAsia"/>
          <w:color w:val="000000" w:themeColor="text1"/>
          <w:sz w:val="24"/>
          <w:szCs w:val="24"/>
          <w14:textFill>
            <w14:solidFill>
              <w14:schemeClr w14:val="tx1"/>
            </w14:solidFill>
          </w14:textFill>
        </w:rPr>
        <w:t>参选人</w:t>
      </w:r>
      <w:r>
        <w:rPr>
          <w:color w:val="000000" w:themeColor="text1"/>
          <w:sz w:val="24"/>
          <w:szCs w:val="24"/>
          <w14:textFill>
            <w14:solidFill>
              <w14:schemeClr w14:val="tx1"/>
            </w14:solidFill>
          </w14:textFill>
        </w:rPr>
        <w:t>需具备港口、航道施工资质，该项目中</w:t>
      </w:r>
      <w:r>
        <w:rPr>
          <w:rFonts w:hint="eastAsia"/>
          <w:color w:val="000000" w:themeColor="text1"/>
          <w:sz w:val="24"/>
          <w:szCs w:val="24"/>
          <w14:textFill>
            <w14:solidFill>
              <w14:schemeClr w14:val="tx1"/>
            </w14:solidFill>
          </w14:textFill>
        </w:rPr>
        <w:t>选</w:t>
      </w:r>
      <w:r>
        <w:rPr>
          <w:color w:val="000000" w:themeColor="text1"/>
          <w:sz w:val="24"/>
          <w:szCs w:val="24"/>
          <w14:textFill>
            <w14:solidFill>
              <w14:schemeClr w14:val="tx1"/>
            </w14:solidFill>
          </w14:textFill>
        </w:rPr>
        <w:t>单位责任包括但不限于办理水上水下施工许可，施工时所产生淤泥的合法处置。</w:t>
      </w:r>
    </w:p>
    <w:p>
      <w:pPr>
        <w:pStyle w:val="207"/>
        <w:rPr>
          <w:color w:val="000000" w:themeColor="text1"/>
          <w14:textFill>
            <w14:solidFill>
              <w14:schemeClr w14:val="tx1"/>
            </w14:solidFill>
          </w14:textFill>
        </w:rPr>
      </w:pP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金额20000元整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lang w:eastAsia="zh-CN"/>
        </w:rPr>
        <w:t>南8#泊位、南9#泊位停泊及回旋水域疏浚项目</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jc w:val="both"/>
        <w:rPr>
          <w:lang w:eastAsia="zh-CN"/>
        </w:rPr>
      </w:pP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根据技术交流情况技术合格单位后通知报价。</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漳州市漳浦县杜浔镇杜昌路9号，福海创办公楼三楼设备及服务团队，收件人：徐明兴  电话： 13779967252。</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本项目设置最高控制价80万元整（未税）</w:t>
      </w:r>
      <w:r>
        <w:rPr>
          <w:rFonts w:hint="eastAsia"/>
          <w:lang w:eastAsia="zh-CN"/>
        </w:rPr>
        <w:t>。参选人所填报的报价高于本项目最高限价的，其参选比选小组有权予以否决。</w:t>
      </w:r>
      <w:r>
        <w:fldChar w:fldCharType="begin"/>
      </w:r>
      <w:r>
        <w:instrText xml:space="preserve"> HYPERLINK "mailto:如参选人对控制价存疑请于报价截止前发邮件至xqyang@fhcpec.com.cn" </w:instrText>
      </w:r>
      <w:r>
        <w:fldChar w:fldCharType="separate"/>
      </w:r>
      <w:r>
        <w:rPr>
          <w:rStyle w:val="56"/>
          <w:rFonts w:hint="eastAsia"/>
          <w:lang w:eastAsia="zh-CN"/>
        </w:rPr>
        <w:t>如参选人对控制价存疑请于报价截止前发邮件至xumx@fhcpec.com.cn</w:t>
      </w:r>
      <w:r>
        <w:rPr>
          <w:rStyle w:val="56"/>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技术参选文件符合业主要求，采用商务报价决标评选的方式，从价格和付款方式两方面进行评选，满足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（1）付款条件：验收合格付款100%；</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ascii="Times New Roman" w:hAnsi="Times New Roman" w:cs="Times New Roman"/>
          <w:color w:val="FF0000"/>
          <w:lang w:eastAsia="zh-CN"/>
        </w:rPr>
        <w:t>“翔鹭码头投资管理（漳州）有限公司”作为</w:t>
      </w:r>
      <w:r>
        <w:rPr>
          <w:rStyle w:val="52"/>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b/>
          <w:sz w:val="36"/>
          <w:szCs w:val="36"/>
          <w:lang w:eastAsia="zh-CN"/>
        </w:rPr>
      </w:pPr>
    </w:p>
    <w:p>
      <w:pPr>
        <w:jc w:val="center"/>
        <w:rPr>
          <w:b/>
          <w:sz w:val="36"/>
          <w:szCs w:val="36"/>
          <w:lang w:eastAsia="zh-CN"/>
        </w:rPr>
      </w:pPr>
    </w:p>
    <w:p>
      <w:pPr>
        <w:jc w:val="center"/>
        <w:rPr>
          <w:b/>
          <w:sz w:val="36"/>
          <w:szCs w:val="36"/>
          <w:lang w:eastAsia="zh-CN"/>
        </w:rPr>
      </w:pPr>
      <w:r>
        <w:rPr>
          <w:rFonts w:hint="eastAsia"/>
          <w:b/>
          <w:sz w:val="36"/>
          <w:szCs w:val="36"/>
          <w:lang w:eastAsia="zh-CN"/>
        </w:rPr>
        <w:t>南8#泊位、南9#泊位停泊及回旋水域疏浚项目服务合同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spacing w:line="800" w:lineRule="exact"/>
        <w:ind w:left="1918" w:leftChars="172" w:hanging="1540" w:hangingChars="550"/>
        <w:rPr>
          <w:b/>
          <w:sz w:val="28"/>
          <w:szCs w:val="28"/>
          <w:u w:val="single"/>
          <w:lang w:eastAsia="zh-CN"/>
        </w:rPr>
      </w:pPr>
      <w:r>
        <w:rPr>
          <w:rFonts w:hint="eastAsia"/>
          <w:sz w:val="28"/>
          <w:szCs w:val="28"/>
          <w:lang w:eastAsia="zh-CN"/>
        </w:rPr>
        <w:t>项目名称：</w:t>
      </w:r>
      <w:r>
        <w:rPr>
          <w:rFonts w:hint="eastAsia"/>
          <w:color w:val="000000"/>
          <w:sz w:val="28"/>
          <w:szCs w:val="28"/>
          <w:u w:val="single"/>
          <w:lang w:eastAsia="zh-CN"/>
        </w:rPr>
        <w:t>南8#泊位、南9#泊位停泊及回旋水域疏浚项目</w:t>
      </w:r>
    </w:p>
    <w:p>
      <w:pPr>
        <w:pStyle w:val="20"/>
        <w:spacing w:line="360" w:lineRule="auto"/>
        <w:ind w:right="121"/>
        <w:jc w:val="both"/>
        <w:rPr>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委托方（甲方）：翔鹭码头投资管理（漳州）有限公司</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both"/>
        <w:rPr>
          <w:sz w:val="48"/>
          <w:szCs w:val="48"/>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jc w:val="center"/>
        <w:rPr>
          <w:sz w:val="44"/>
          <w:szCs w:val="44"/>
          <w:lang w:eastAsia="zh-CN"/>
        </w:rPr>
      </w:pPr>
      <w:r>
        <w:rPr>
          <w:rFonts w:hint="eastAsia"/>
          <w:sz w:val="44"/>
          <w:szCs w:val="44"/>
          <w:lang w:eastAsia="zh-CN"/>
        </w:rPr>
        <w:t>服务合同</w:t>
      </w:r>
    </w:p>
    <w:p>
      <w:pPr>
        <w:rPr>
          <w:sz w:val="48"/>
          <w:szCs w:val="4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委托方（甲方）： </w:t>
      </w:r>
      <w:r>
        <w:rPr>
          <w:rFonts w:hint="eastAsia"/>
          <w:sz w:val="28"/>
          <w:szCs w:val="28"/>
          <w:u w:val="single"/>
          <w:lang w:eastAsia="zh-CN"/>
        </w:rPr>
        <w:t>翔鹭码头投资管理（漳州）有限公司</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w:t>
      </w:r>
      <w:r>
        <w:rPr>
          <w:rFonts w:hint="eastAsia"/>
          <w:sz w:val="28"/>
          <w:szCs w:val="28"/>
          <w:u w:val="single"/>
          <w:lang w:eastAsia="zh-CN"/>
        </w:rPr>
        <w:t xml:space="preserve"> </w:t>
      </w:r>
    </w:p>
    <w:p>
      <w:pPr>
        <w:spacing w:line="520" w:lineRule="exact"/>
        <w:ind w:firstLine="280" w:firstLineChars="100"/>
        <w:rPr>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项目联系人：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pStyle w:val="2"/>
      </w:pPr>
    </w:p>
    <w:p>
      <w:pPr>
        <w:spacing w:line="360" w:lineRule="auto"/>
        <w:ind w:firstLine="480" w:firstLineChars="20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本合同甲方委托乙方就</w:t>
      </w:r>
      <w:r>
        <w:rPr>
          <w:rFonts w:hint="eastAsia"/>
          <w:sz w:val="24"/>
          <w:szCs w:val="24"/>
          <w:lang w:eastAsia="zh-CN"/>
        </w:rPr>
        <w:t>南8#泊位、南9#泊位停泊及回旋水域疏浚项目</w:t>
      </w:r>
      <w:r>
        <w:rPr>
          <w:rFonts w:hint="eastAsia"/>
          <w:sz w:val="24"/>
          <w:lang w:eastAsia="zh-CN"/>
        </w:rPr>
        <w:t>进行有偿的专项服务，并支付相应的服务报酬。双方经过平等协商，在真实、充分地表达各自意愿的基础上，</w:t>
      </w:r>
      <w:r>
        <w:rPr>
          <w:rFonts w:hint="eastAsia" w:asciiTheme="majorEastAsia" w:hAnsiTheme="majorEastAsia" w:eastAsiaTheme="majorEastAsia"/>
          <w:color w:val="3C3C3C"/>
          <w:sz w:val="24"/>
          <w:szCs w:val="24"/>
          <w:lang w:eastAsia="zh-CN"/>
        </w:rPr>
        <w:t>根据《中华人民共和国民法典》规定</w:t>
      </w:r>
      <w:r>
        <w:rPr>
          <w:rFonts w:hint="eastAsia"/>
          <w:sz w:val="24"/>
          <w:lang w:eastAsia="zh-CN"/>
        </w:rPr>
        <w:t>，达成如下协议，并由双方共同恪守。</w:t>
      </w:r>
    </w:p>
    <w:p>
      <w:pPr>
        <w:numPr>
          <w:ilvl w:val="0"/>
          <w:numId w:val="2"/>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甲方委托乙方进行服务的内容如下：</w:t>
      </w:r>
    </w:p>
    <w:p>
      <w:pPr>
        <w:spacing w:line="360" w:lineRule="auto"/>
        <w:rPr>
          <w:sz w:val="24"/>
          <w:lang w:eastAsia="zh-CN"/>
        </w:rPr>
      </w:pPr>
      <w:r>
        <w:rPr>
          <w:rFonts w:hint="eastAsia"/>
          <w:sz w:val="24"/>
          <w:lang w:eastAsia="zh-CN"/>
        </w:rPr>
        <w:t>1、服务的目标：详见附件《</w:t>
      </w:r>
      <w:r>
        <w:rPr>
          <w:rFonts w:hint="eastAsia"/>
          <w:sz w:val="24"/>
          <w:szCs w:val="24"/>
          <w:lang w:eastAsia="zh-CN"/>
        </w:rPr>
        <w:t>南8#泊位、南9#泊位停泊及回旋水域疏浚项目发包说明》</w:t>
      </w:r>
      <w:r>
        <w:rPr>
          <w:rFonts w:hint="eastAsia"/>
          <w:sz w:val="24"/>
          <w:lang w:eastAsia="zh-CN"/>
        </w:rPr>
        <w:t xml:space="preserve"> ；</w:t>
      </w:r>
    </w:p>
    <w:p>
      <w:pPr>
        <w:spacing w:line="360" w:lineRule="auto"/>
        <w:rPr>
          <w:sz w:val="24"/>
          <w:u w:val="single"/>
          <w:lang w:eastAsia="zh-CN"/>
        </w:rPr>
      </w:pPr>
      <w:r>
        <w:rPr>
          <w:rFonts w:hint="eastAsia"/>
          <w:sz w:val="24"/>
          <w:lang w:eastAsia="zh-CN"/>
        </w:rPr>
        <w:t>2、服务的内容：</w:t>
      </w:r>
      <w:r>
        <w:rPr>
          <w:rFonts w:hint="eastAsia"/>
          <w:sz w:val="24"/>
          <w:u w:val="single"/>
          <w:lang w:eastAsia="zh-CN"/>
        </w:rPr>
        <w:t xml:space="preserve"> </w:t>
      </w:r>
      <w:r>
        <w:rPr>
          <w:rFonts w:hint="eastAsia"/>
          <w:sz w:val="24"/>
          <w:szCs w:val="24"/>
          <w:u w:val="single"/>
          <w:lang w:eastAsia="zh-CN"/>
        </w:rPr>
        <w:t>南8#泊位、南9#泊位停泊及回旋水域疏浚</w:t>
      </w:r>
      <w:r>
        <w:rPr>
          <w:rFonts w:hint="eastAsia"/>
          <w:sz w:val="24"/>
          <w:u w:val="single"/>
          <w:lang w:eastAsia="zh-CN"/>
        </w:rPr>
        <w:t xml:space="preserve">项目 </w:t>
      </w:r>
      <w:r>
        <w:rPr>
          <w:rFonts w:hint="eastAsia" w:asciiTheme="majorEastAsia" w:hAnsiTheme="majorEastAsia" w:eastAsiaTheme="majorEastAsia"/>
          <w:sz w:val="24"/>
          <w:szCs w:val="24"/>
          <w:u w:val="single"/>
          <w:lang w:eastAsia="zh-CN"/>
        </w:rPr>
        <w:t xml:space="preserve">。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szCs w:val="24"/>
          <w:u w:val="single"/>
          <w:lang w:eastAsia="zh-CN"/>
        </w:rPr>
        <w:t>南8#泊位、南9#泊位停泊及回旋水域疏浚</w:t>
      </w:r>
      <w:r>
        <w:rPr>
          <w:rFonts w:hint="eastAsia"/>
          <w:color w:val="000000"/>
          <w:sz w:val="24"/>
          <w:u w:val="single"/>
          <w:lang w:eastAsia="zh-CN"/>
        </w:rPr>
        <w:t>区域</w:t>
      </w:r>
      <w:r>
        <w:rPr>
          <w:rFonts w:hint="eastAsia"/>
          <w:sz w:val="24"/>
          <w:u w:val="single"/>
          <w:lang w:eastAsia="zh-CN"/>
        </w:rPr>
        <w:t xml:space="preserve"> </w:t>
      </w:r>
    </w:p>
    <w:p>
      <w:pPr>
        <w:pStyle w:val="92"/>
        <w:numPr>
          <w:ilvl w:val="255"/>
          <w:numId w:val="0"/>
        </w:numPr>
        <w:spacing w:before="120" w:beforeLines="50" w:after="120" w:afterLines="50"/>
        <w:rPr>
          <w:sz w:val="24"/>
          <w:lang w:eastAsia="zh-CN"/>
        </w:rPr>
      </w:pPr>
      <w:r>
        <w:rPr>
          <w:rFonts w:hint="eastAsia"/>
          <w:sz w:val="24"/>
          <w:lang w:eastAsia="zh-CN"/>
        </w:rPr>
        <w:t>2、技术服务期限：</w:t>
      </w:r>
      <w:r>
        <w:rPr>
          <w:rFonts w:hint="eastAsia"/>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3、服务质量要求：详见附件</w:t>
      </w:r>
      <w:r>
        <w:rPr>
          <w:rFonts w:hint="eastAsia"/>
          <w:sz w:val="24"/>
          <w:u w:val="single"/>
          <w:lang w:eastAsia="zh-CN"/>
        </w:rPr>
        <w:t>《</w:t>
      </w:r>
      <w:r>
        <w:rPr>
          <w:rFonts w:hint="eastAsia"/>
          <w:sz w:val="24"/>
          <w:szCs w:val="24"/>
          <w:u w:val="single"/>
          <w:lang w:eastAsia="zh-CN"/>
        </w:rPr>
        <w:t>南8#泊位、南9#泊位停泊及回旋水域疏浚项目发包说明》</w:t>
      </w:r>
      <w:r>
        <w:rPr>
          <w:rFonts w:hint="eastAsia" w:asciiTheme="majorEastAsia" w:hAnsiTheme="majorEastAsia" w:eastAsiaTheme="majorEastAsia"/>
          <w:bCs/>
          <w:sz w:val="24"/>
          <w:szCs w:val="24"/>
          <w:lang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sz w:val="24"/>
          <w:lang w:eastAsia="zh-CN"/>
        </w:rPr>
      </w:pPr>
      <w:r>
        <w:rPr>
          <w:rFonts w:hint="eastAsia"/>
          <w:sz w:val="24"/>
          <w:lang w:eastAsia="zh-CN"/>
        </w:rPr>
        <w:t>（1）详见附件</w:t>
      </w:r>
      <w:r>
        <w:rPr>
          <w:rFonts w:hint="eastAsia"/>
          <w:sz w:val="24"/>
          <w:u w:val="single"/>
          <w:lang w:eastAsia="zh-CN"/>
        </w:rPr>
        <w:t>《</w:t>
      </w:r>
      <w:r>
        <w:rPr>
          <w:rFonts w:hint="eastAsia"/>
          <w:sz w:val="24"/>
          <w:szCs w:val="24"/>
          <w:u w:val="single"/>
          <w:lang w:eastAsia="zh-CN"/>
        </w:rPr>
        <w:t>南8#泊位、南9#泊位停泊及回旋水域疏浚项目发包说明》</w:t>
      </w:r>
      <w:r>
        <w:rPr>
          <w:rFonts w:hint="eastAsia"/>
          <w:sz w:val="24"/>
          <w:lang w:eastAsia="zh-CN"/>
        </w:rPr>
        <w:t>；</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sz w:val="24"/>
          <w:lang w:eastAsia="zh-CN"/>
        </w:rPr>
        <w:t>本合同采用固定总价的承包方式，总价为</w:t>
      </w:r>
      <w:r>
        <w:rPr>
          <w:rFonts w:hint="eastAsia" w:asciiTheme="majorEastAsia" w:hAnsiTheme="majorEastAsia" w:eastAsiaTheme="majorEastAsia"/>
          <w:color w:val="3C3C3C"/>
          <w:sz w:val="24"/>
          <w:szCs w:val="24"/>
          <w:lang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 xml:space="preserve"> ，小写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 </w:t>
      </w:r>
      <w:r>
        <w:rPr>
          <w:rFonts w:hint="eastAsia" w:asciiTheme="majorEastAsia" w:hAnsiTheme="majorEastAsia" w:eastAsiaTheme="majorEastAsia"/>
          <w:color w:val="3C3C3C"/>
          <w:sz w:val="24"/>
          <w:szCs w:val="24"/>
          <w:lang w:eastAsia="zh-CN"/>
        </w:rPr>
        <w:t>）。</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人工费、材料费、会务费、专家费（如涉及、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z w:val="24"/>
          <w:lang w:eastAsia="zh-CN"/>
        </w:rPr>
      </w:pPr>
      <w:r>
        <w:rPr>
          <w:rFonts w:hint="eastAsia"/>
          <w:sz w:val="24"/>
          <w:lang w:eastAsia="zh-CN"/>
        </w:rPr>
        <w:t>2.1合同签订生效后乙方提交的参选保证金二万元自动转为履约保证金。项目施工完成并经甲方验收合格后且乙方无违约扣款行为的，保证金将于30个工作日内，甲方无息退还履约保证金。</w:t>
      </w:r>
    </w:p>
    <w:p>
      <w:pPr>
        <w:spacing w:line="360" w:lineRule="auto"/>
        <w:ind w:firstLine="360" w:firstLineChars="150"/>
        <w:rPr>
          <w:spacing w:val="20"/>
          <w:sz w:val="24"/>
          <w:lang w:eastAsia="zh-CN"/>
        </w:rPr>
      </w:pPr>
      <w:r>
        <w:rPr>
          <w:rFonts w:hint="eastAsia"/>
          <w:sz w:val="24"/>
          <w:lang w:eastAsia="zh-CN"/>
        </w:rPr>
        <w:t>2.2 项目施工完成并经甲方验收合格后15日内，乙方提交结算资料给供甲方审核，甲方审核完成后，乙方根据合同约定及甲方要求，开具全额增值税专用发票，甲方收到乙方发票后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个工作日内向乙方支付该项目总结算价款至</w:t>
      </w:r>
      <w:r>
        <w:rPr>
          <w:rFonts w:hint="eastAsia"/>
          <w:sz w:val="24"/>
          <w:u w:val="single"/>
          <w:lang w:eastAsia="zh-CN"/>
        </w:rPr>
        <w:t xml:space="preserve"> 100 </w:t>
      </w:r>
      <w:r>
        <w:rPr>
          <w:rFonts w:hint="eastAsia"/>
          <w:sz w:val="24"/>
          <w:lang w:eastAsia="zh-CN"/>
        </w:rPr>
        <w:t>%</w:t>
      </w:r>
      <w:r>
        <w:rPr>
          <w:rFonts w:hint="eastAsia"/>
          <w:spacing w:val="20"/>
          <w:sz w:val="24"/>
          <w:lang w:eastAsia="zh-CN"/>
        </w:rPr>
        <w:t>。</w:t>
      </w:r>
    </w:p>
    <w:p>
      <w:pPr>
        <w:spacing w:line="360" w:lineRule="auto"/>
        <w:ind w:firstLine="360" w:firstLineChars="150"/>
        <w:rPr>
          <w:sz w:val="24"/>
          <w:lang w:eastAsia="zh-CN"/>
        </w:rPr>
      </w:pPr>
      <w:r>
        <w:rPr>
          <w:rFonts w:hint="eastAsia"/>
          <w:sz w:val="24"/>
          <w:lang w:eastAsia="zh-CN"/>
        </w:rPr>
        <w:t xml:space="preserve">2.3 所有支付的款项均以人民币支付, 付款方式为电汇或银行转账。乙方应在甲方付款期限届满 30 日前提供相应的增值税专用发票，否则甲方有权顺延付款。 </w:t>
      </w:r>
    </w:p>
    <w:p>
      <w:pPr>
        <w:spacing w:before="15" w:line="360" w:lineRule="auto"/>
        <w:rPr>
          <w:spacing w:val="20"/>
          <w:sz w:val="24"/>
          <w:lang w:eastAsia="zh-CN"/>
        </w:rPr>
      </w:pP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r>
        <w:rPr>
          <w:rFonts w:hint="eastAsia" w:asciiTheme="majorEastAsia" w:hAnsiTheme="majorEastAsia" w:eastAsiaTheme="majorEastAsia"/>
          <w:bCs/>
          <w:sz w:val="24"/>
          <w:szCs w:val="24"/>
          <w:u w:val="single"/>
          <w:lang w:eastAsia="zh-CN"/>
        </w:rPr>
        <w:t>见附件</w:t>
      </w:r>
      <w:r>
        <w:rPr>
          <w:rFonts w:hint="eastAsia"/>
          <w:sz w:val="24"/>
          <w:u w:val="single"/>
          <w:lang w:eastAsia="zh-CN"/>
        </w:rPr>
        <w:t>《</w:t>
      </w:r>
      <w:r>
        <w:rPr>
          <w:rFonts w:hint="eastAsia"/>
          <w:sz w:val="24"/>
          <w:szCs w:val="24"/>
          <w:u w:val="single"/>
          <w:lang w:eastAsia="zh-CN"/>
        </w:rPr>
        <w:t>南8#泊位、南9#泊位停泊及回旋水域疏浚项目发包说明》</w:t>
      </w:r>
      <w:r>
        <w:rPr>
          <w:rFonts w:hint="eastAsia"/>
          <w:sz w:val="24"/>
          <w:u w:val="single"/>
          <w:lang w:eastAsia="zh-CN"/>
        </w:rPr>
        <w:t xml:space="preserve"> </w:t>
      </w:r>
      <w:r>
        <w:rPr>
          <w:rFonts w:hint="eastAsia" w:asciiTheme="majorEastAsia" w:hAnsiTheme="majorEastAsia" w:eastAsiaTheme="majorEastAsia"/>
          <w:bCs/>
          <w:sz w:val="24"/>
          <w:szCs w:val="24"/>
          <w:u w:val="singl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详见《</w:t>
      </w:r>
      <w:r>
        <w:rPr>
          <w:rFonts w:hint="eastAsia"/>
          <w:sz w:val="24"/>
          <w:szCs w:val="24"/>
          <w:u w:val="single"/>
          <w:lang w:eastAsia="zh-CN"/>
        </w:rPr>
        <w:t>南8#泊位、南9#泊位停泊及回旋水域疏浚项目发包说明》</w:t>
      </w:r>
      <w:r>
        <w:rPr>
          <w:rFonts w:hint="eastAsia"/>
          <w:sz w:val="24"/>
          <w:lang w:eastAsia="zh-CN"/>
        </w:rPr>
        <w:t xml:space="preserve">。  </w:t>
      </w:r>
    </w:p>
    <w:p>
      <w:pPr>
        <w:spacing w:line="360" w:lineRule="auto"/>
        <w:rPr>
          <w:sz w:val="24"/>
          <w:lang w:eastAsia="zh-CN"/>
        </w:rPr>
      </w:pPr>
      <w:r>
        <w:rPr>
          <w:rFonts w:hint="eastAsia"/>
          <w:sz w:val="24"/>
          <w:lang w:eastAsia="zh-CN"/>
        </w:rPr>
        <w:t>2、技术服务工作成果的验收方法：按国标或行业标准并符合技术说明要求规定达到甲方需求目的</w:t>
      </w:r>
    </w:p>
    <w:p>
      <w:pPr>
        <w:spacing w:line="360" w:lineRule="auto"/>
        <w:rPr>
          <w:sz w:val="24"/>
          <w:u w:val="single"/>
          <w:lang w:eastAsia="zh-CN"/>
        </w:rPr>
      </w:pPr>
      <w:r>
        <w:rPr>
          <w:rFonts w:hint="eastAsia"/>
          <w:sz w:val="24"/>
          <w:lang w:eastAsia="zh-CN"/>
        </w:rPr>
        <w:t>3、验收的时间和地点：</w:t>
      </w:r>
      <w:r>
        <w:rPr>
          <w:rFonts w:hint="eastAsia"/>
          <w:sz w:val="24"/>
          <w:u w:val="single"/>
          <w:lang w:eastAsia="zh-CN"/>
        </w:rPr>
        <w:t xml:space="preserve"> 详见《</w:t>
      </w:r>
      <w:r>
        <w:rPr>
          <w:rFonts w:hint="eastAsia"/>
          <w:sz w:val="24"/>
          <w:szCs w:val="24"/>
          <w:u w:val="single"/>
          <w:lang w:eastAsia="zh-CN"/>
        </w:rPr>
        <w:t>南8#泊位、南9#泊位停泊及回旋水域疏浚项目发包说明》</w:t>
      </w:r>
      <w:r>
        <w:rPr>
          <w:rFonts w:hint="eastAsia"/>
          <w:sz w:val="24"/>
          <w:u w:val="single"/>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3.甲方延迟付款，按全国银行间同业拆借中心公布的贷款市场报价利率向乙方支付利息。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lang w:eastAsia="zh-CN"/>
        </w:rPr>
      </w:pP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附件一、《</w:t>
      </w:r>
      <w:r>
        <w:rPr>
          <w:rFonts w:hint="eastAsia"/>
          <w:sz w:val="24"/>
          <w:szCs w:val="24"/>
          <w:lang w:eastAsia="zh-CN"/>
        </w:rPr>
        <w:t>南8#泊位、南9#泊位停泊及回旋水域疏浚项目发包说明》</w:t>
      </w:r>
    </w:p>
    <w:p>
      <w:pPr>
        <w:spacing w:line="360" w:lineRule="auto"/>
        <w:ind w:firstLine="360" w:firstLineChars="150"/>
        <w:rPr>
          <w:sz w:val="24"/>
          <w:lang w:eastAsia="zh-CN"/>
        </w:rPr>
      </w:pPr>
      <w:r>
        <w:rPr>
          <w:rFonts w:hint="eastAsia"/>
          <w:sz w:val="24"/>
          <w:lang w:eastAsia="zh-CN"/>
        </w:rPr>
        <w:t>附件二、《</w:t>
      </w:r>
      <w:r>
        <w:rPr>
          <w:rFonts w:hint="eastAsia" w:cs="Arial"/>
          <w:sz w:val="24"/>
          <w:lang w:eastAsia="zh-CN"/>
        </w:rPr>
        <w:t>安全环保协议》</w:t>
      </w:r>
    </w:p>
    <w:p>
      <w:pPr>
        <w:pStyle w:val="4"/>
        <w:tabs>
          <w:tab w:val="left" w:pos="630"/>
          <w:tab w:val="left" w:pos="840"/>
        </w:tabs>
        <w:spacing w:line="360" w:lineRule="auto"/>
        <w:ind w:left="0"/>
        <w:rPr>
          <w:lang w:eastAsia="zh-CN"/>
        </w:rPr>
      </w:pPr>
      <w:r>
        <w:rPr>
          <w:rFonts w:hint="eastAsia"/>
          <w:b w:val="0"/>
          <w:lang w:eastAsia="zh-CN"/>
        </w:rPr>
        <w:t xml:space="preserve">  </w:t>
      </w:r>
    </w:p>
    <w:p>
      <w:pPr>
        <w:spacing w:line="360" w:lineRule="auto"/>
        <w:ind w:firstLine="360" w:firstLineChars="150"/>
        <w:rPr>
          <w:sz w:val="24"/>
          <w:lang w:eastAsia="zh-CN"/>
        </w:rPr>
      </w:pPr>
    </w:p>
    <w:p>
      <w:pPr>
        <w:spacing w:line="360" w:lineRule="auto"/>
        <w:rPr>
          <w:rFonts w:cs="Arial"/>
          <w:b/>
          <w:sz w:val="24"/>
          <w:lang w:eastAsia="zh-CN"/>
        </w:rPr>
      </w:pP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tabs>
          <w:tab w:val="left" w:pos="2010"/>
        </w:tabs>
        <w:spacing w:line="360" w:lineRule="auto"/>
        <w:rPr>
          <w:rFonts w:cs="Arial"/>
          <w:b/>
          <w:sz w:val="24"/>
          <w:lang w:eastAsia="zh-CN"/>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sz w:val="28"/>
          <w:szCs w:val="28"/>
          <w:lang w:eastAsia="zh-CN"/>
        </w:rPr>
        <w:t>翔鹭码头投资管理（漳州）有限公司</w:t>
      </w:r>
      <w:r>
        <w:rPr>
          <w:rFonts w:hint="eastAsia"/>
          <w:b/>
          <w:spacing w:val="20"/>
          <w:sz w:val="24"/>
          <w:lang w:eastAsia="zh-CN"/>
        </w:rPr>
        <w:t xml:space="preserve">          </w:t>
      </w:r>
    </w:p>
    <w:p>
      <w:pPr>
        <w:spacing w:line="360" w:lineRule="auto"/>
        <w:ind w:right="-147" w:rightChars="-67"/>
        <w:rPr>
          <w:rFonts w:cs="Arial"/>
          <w:b/>
          <w:sz w:val="24"/>
          <w:lang w:eastAsia="zh-CN"/>
        </w:rPr>
      </w:pPr>
    </w:p>
    <w:p>
      <w:pPr>
        <w:spacing w:line="360" w:lineRule="auto"/>
        <w:ind w:left="832" w:right="-147" w:rightChars="-67" w:hanging="831" w:hangingChars="378"/>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        </w:t>
      </w:r>
      <w:r>
        <w:rPr>
          <w:rFonts w:hint="eastAsia"/>
          <w:szCs w:val="21"/>
          <w:lang w:eastAsia="zh-CN"/>
        </w:rPr>
        <w:t xml:space="preserve">                             地</w:t>
      </w:r>
      <w:r>
        <w:rPr>
          <w:szCs w:val="21"/>
          <w:lang w:eastAsia="zh-CN"/>
        </w:rPr>
        <w:t xml:space="preserve"> </w:t>
      </w:r>
      <w:r>
        <w:rPr>
          <w:rFonts w:hint="eastAsia"/>
          <w:szCs w:val="21"/>
          <w:lang w:eastAsia="zh-CN"/>
        </w:rPr>
        <w:t xml:space="preserve"> 址： </w:t>
      </w:r>
    </w:p>
    <w:p>
      <w:pPr>
        <w:spacing w:line="360" w:lineRule="auto"/>
        <w:ind w:right="-147" w:rightChars="-67"/>
        <w:rPr>
          <w:lang w:eastAsia="zh-CN"/>
        </w:rPr>
      </w:pPr>
      <w:r>
        <w:rPr>
          <w:rFonts w:hint="eastAsia" w:hAnsi="Courier New" w:cs="Courier New"/>
          <w:szCs w:val="21"/>
          <w:lang w:eastAsia="zh-CN"/>
        </w:rPr>
        <w:t xml:space="preserve">                                    </w:t>
      </w:r>
    </w:p>
    <w:p>
      <w:pPr>
        <w:spacing w:line="360" w:lineRule="auto"/>
        <w:ind w:left="1038" w:right="-147" w:rightChars="-67" w:hanging="1038" w:hangingChars="472"/>
        <w:rPr>
          <w:lang w:eastAsia="zh-CN"/>
        </w:rPr>
      </w:pPr>
      <w:r>
        <w:rPr>
          <w:rFonts w:hint="eastAsia"/>
          <w:szCs w:val="21"/>
          <w:lang w:eastAsia="zh-CN"/>
        </w:rPr>
        <w:t>开户行：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电</w:t>
      </w:r>
      <w:r>
        <w:rPr>
          <w:szCs w:val="21"/>
          <w:lang w:eastAsia="zh-CN"/>
        </w:rPr>
        <w:t xml:space="preserve">  </w:t>
      </w:r>
      <w:r>
        <w:rPr>
          <w:rFonts w:hint="eastAsia"/>
          <w:szCs w:val="21"/>
          <w:lang w:eastAsia="zh-CN"/>
        </w:rPr>
        <w:t>话：</w:t>
      </w:r>
    </w:p>
    <w:p>
      <w:pPr>
        <w:spacing w:line="360" w:lineRule="auto"/>
        <w:ind w:right="-147" w:rightChars="-67"/>
        <w:rPr>
          <w:szCs w:val="21"/>
          <w:lang w:eastAsia="zh-CN"/>
        </w:rPr>
      </w:pPr>
    </w:p>
    <w:p>
      <w:pPr>
        <w:spacing w:line="520" w:lineRule="exact"/>
        <w:rPr>
          <w:rFonts w:cs="Arial"/>
          <w:b/>
          <w:sz w:val="24"/>
          <w:lang w:eastAsia="zh-CN"/>
        </w:rPr>
      </w:pPr>
      <w:r>
        <w:rPr>
          <w:rFonts w:hint="eastAsia" w:cs="Arial"/>
          <w:b/>
          <w:sz w:val="24"/>
          <w:lang w:eastAsia="zh-CN"/>
        </w:rPr>
        <w:t xml:space="preserve">       </w:t>
      </w:r>
    </w:p>
    <w:p>
      <w:pPr>
        <w:pStyle w:val="2"/>
      </w:pPr>
    </w:p>
    <w:p>
      <w:pPr>
        <w:pStyle w:val="2"/>
      </w:pPr>
    </w:p>
    <w:p>
      <w:pPr>
        <w:pStyle w:val="2"/>
      </w:pPr>
    </w:p>
    <w:p>
      <w:pPr>
        <w:pStyle w:val="2"/>
      </w:pPr>
    </w:p>
    <w:p>
      <w:pPr>
        <w:pStyle w:val="2"/>
      </w:pPr>
    </w:p>
    <w:p>
      <w:pPr>
        <w:pStyle w:val="2"/>
      </w:pPr>
    </w:p>
    <w:p>
      <w:pPr>
        <w:pStyle w:val="2"/>
      </w:pPr>
    </w:p>
    <w:p>
      <w:pPr>
        <w:spacing w:line="520" w:lineRule="exact"/>
        <w:rPr>
          <w:b/>
          <w:sz w:val="28"/>
          <w:szCs w:val="28"/>
          <w:lang w:eastAsia="zh-CN"/>
        </w:rPr>
      </w:pPr>
    </w:p>
    <w:p>
      <w:pPr>
        <w:pStyle w:val="2"/>
        <w:rPr>
          <w:sz w:val="28"/>
          <w:szCs w:val="28"/>
        </w:rPr>
      </w:pPr>
      <w:r>
        <w:rPr>
          <w:rFonts w:hint="eastAsia"/>
          <w:sz w:val="30"/>
          <w:szCs w:val="30"/>
        </w:rPr>
        <w:t>附件一、</w:t>
      </w:r>
    </w:p>
    <w:p>
      <w:pPr>
        <w:ind w:left="1928" w:hanging="1928" w:hangingChars="600"/>
        <w:jc w:val="center"/>
        <w:rPr>
          <w:b/>
          <w:sz w:val="32"/>
          <w:szCs w:val="32"/>
          <w:lang w:eastAsia="zh-CN"/>
        </w:rPr>
      </w:pPr>
      <w:r>
        <w:rPr>
          <w:rFonts w:hint="eastAsia"/>
          <w:b/>
          <w:sz w:val="32"/>
          <w:szCs w:val="32"/>
          <w:lang w:eastAsia="zh-CN"/>
        </w:rPr>
        <w:t>南8#泊位、南9#泊位停泊及回旋水域疏浚项目</w:t>
      </w:r>
    </w:p>
    <w:p>
      <w:pPr>
        <w:ind w:left="1928" w:hanging="1928" w:hangingChars="600"/>
        <w:jc w:val="center"/>
        <w:rPr>
          <w:b/>
          <w:sz w:val="32"/>
          <w:szCs w:val="32"/>
          <w:lang w:eastAsia="zh-CN"/>
        </w:rPr>
      </w:pPr>
      <w:r>
        <w:rPr>
          <w:rFonts w:hint="eastAsia"/>
          <w:b/>
          <w:sz w:val="32"/>
          <w:szCs w:val="32"/>
          <w:lang w:eastAsia="zh-CN"/>
        </w:rPr>
        <w:t>发包说明</w:t>
      </w:r>
    </w:p>
    <w:p>
      <w:pPr>
        <w:wordWrap w:val="0"/>
        <w:overflowPunct w:val="0"/>
        <w:ind w:firstLine="560" w:firstLineChars="200"/>
        <w:rPr>
          <w:sz w:val="28"/>
          <w:szCs w:val="28"/>
          <w:lang w:eastAsia="zh-CN"/>
        </w:rPr>
      </w:pPr>
      <w:r>
        <w:rPr>
          <w:rFonts w:hint="eastAsia"/>
          <w:sz w:val="28"/>
          <w:szCs w:val="28"/>
          <w:lang w:eastAsia="zh-CN"/>
        </w:rPr>
        <w:t>受我司委托，福建省地质工程研究院于20</w:t>
      </w:r>
      <w:r>
        <w:rPr>
          <w:sz w:val="28"/>
          <w:szCs w:val="28"/>
          <w:lang w:eastAsia="zh-CN"/>
        </w:rPr>
        <w:t>22</w:t>
      </w:r>
      <w:r>
        <w:rPr>
          <w:rFonts w:hint="eastAsia"/>
          <w:sz w:val="28"/>
          <w:szCs w:val="28"/>
          <w:lang w:eastAsia="zh-CN"/>
        </w:rPr>
        <w:t>年</w:t>
      </w:r>
      <w:r>
        <w:rPr>
          <w:sz w:val="28"/>
          <w:szCs w:val="28"/>
          <w:lang w:eastAsia="zh-CN"/>
        </w:rPr>
        <w:t>5</w:t>
      </w:r>
      <w:r>
        <w:rPr>
          <w:rFonts w:hint="eastAsia"/>
          <w:sz w:val="28"/>
          <w:szCs w:val="28"/>
          <w:lang w:eastAsia="zh-CN"/>
        </w:rPr>
        <w:t>月</w:t>
      </w:r>
      <w:r>
        <w:rPr>
          <w:sz w:val="28"/>
          <w:szCs w:val="28"/>
          <w:lang w:eastAsia="zh-CN"/>
        </w:rPr>
        <w:t>9</w:t>
      </w:r>
      <w:r>
        <w:rPr>
          <w:rFonts w:hint="eastAsia"/>
          <w:sz w:val="28"/>
          <w:szCs w:val="28"/>
          <w:lang w:eastAsia="zh-CN"/>
        </w:rPr>
        <w:t>日对我司南8#泊位、南9#泊位停泊及回旋水域进行水深测量，经过对港池范围内水深测量，按最浅点输出的水深图，与设计底高程对比，具体情况如下表</w:t>
      </w:r>
      <w:r>
        <w:rPr>
          <w:sz w:val="28"/>
          <w:szCs w:val="28"/>
          <w:lang w:eastAsia="zh-CN"/>
        </w:rPr>
        <w:t>1</w:t>
      </w:r>
      <w:r>
        <w:rPr>
          <w:rFonts w:hint="eastAsia"/>
          <w:sz w:val="28"/>
          <w:szCs w:val="28"/>
          <w:lang w:eastAsia="zh-CN"/>
        </w:rPr>
        <w:t>：</w:t>
      </w:r>
    </w:p>
    <w:p>
      <w:pPr>
        <w:overflowPunct w:val="0"/>
        <w:spacing w:line="360" w:lineRule="auto"/>
        <w:rPr>
          <w:spacing w:val="10"/>
          <w:sz w:val="24"/>
        </w:rPr>
      </w:pPr>
      <w:r>
        <w:rPr>
          <w:rFonts w:hint="eastAsia"/>
          <w:spacing w:val="10"/>
          <w:sz w:val="28"/>
          <w:lang w:eastAsia="zh-CN"/>
        </w:rPr>
        <w:t xml:space="preserve">                       </w:t>
      </w:r>
      <w:r>
        <w:rPr>
          <w:rFonts w:hint="eastAsia"/>
          <w:spacing w:val="10"/>
          <w:sz w:val="24"/>
        </w:rPr>
        <w:t>水深情况表                    表1</w:t>
      </w:r>
    </w:p>
    <w:tbl>
      <w:tblPr>
        <w:tblStyle w:val="49"/>
        <w:tblW w:w="522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823"/>
        <w:gridCol w:w="1869"/>
        <w:gridCol w:w="1981"/>
        <w:gridCol w:w="364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12" w:type="pct"/>
            <w:tcBorders>
              <w:tl2br w:val="nil"/>
              <w:tr2bl w:val="nil"/>
            </w:tcBorders>
            <w:vAlign w:val="center"/>
          </w:tcPr>
          <w:p>
            <w:pPr>
              <w:widowControl/>
              <w:jc w:val="center"/>
              <w:rPr>
                <w:color w:val="000000"/>
                <w:sz w:val="24"/>
              </w:rPr>
            </w:pPr>
            <w:r>
              <w:rPr>
                <w:rFonts w:hint="eastAsia"/>
                <w:color w:val="000000"/>
                <w:sz w:val="24"/>
              </w:rPr>
              <w:t>序号</w:t>
            </w:r>
          </w:p>
        </w:tc>
        <w:tc>
          <w:tcPr>
            <w:tcW w:w="898" w:type="pct"/>
            <w:tcBorders>
              <w:tl2br w:val="nil"/>
              <w:tr2bl w:val="nil"/>
            </w:tcBorders>
            <w:vAlign w:val="center"/>
          </w:tcPr>
          <w:p>
            <w:pPr>
              <w:widowControl/>
              <w:jc w:val="center"/>
              <w:rPr>
                <w:color w:val="000000"/>
                <w:sz w:val="24"/>
              </w:rPr>
            </w:pPr>
            <w:r>
              <w:rPr>
                <w:rFonts w:hint="eastAsia"/>
                <w:color w:val="000000"/>
                <w:sz w:val="24"/>
              </w:rPr>
              <w:t>项目</w:t>
            </w:r>
          </w:p>
        </w:tc>
        <w:tc>
          <w:tcPr>
            <w:tcW w:w="921" w:type="pct"/>
            <w:tcBorders>
              <w:tl2br w:val="nil"/>
              <w:tr2bl w:val="nil"/>
            </w:tcBorders>
            <w:vAlign w:val="center"/>
          </w:tcPr>
          <w:p>
            <w:pPr>
              <w:widowControl/>
              <w:jc w:val="center"/>
              <w:rPr>
                <w:color w:val="000000"/>
                <w:sz w:val="24"/>
                <w:lang w:eastAsia="zh-CN"/>
              </w:rPr>
            </w:pPr>
            <w:r>
              <w:rPr>
                <w:rFonts w:hint="eastAsia"/>
                <w:color w:val="000000"/>
                <w:sz w:val="24"/>
                <w:lang w:eastAsia="zh-CN"/>
              </w:rPr>
              <w:t>设计水深</w:t>
            </w:r>
          </w:p>
          <w:p>
            <w:pPr>
              <w:widowControl/>
              <w:jc w:val="center"/>
              <w:rPr>
                <w:color w:val="000000"/>
                <w:sz w:val="24"/>
                <w:lang w:eastAsia="zh-CN"/>
              </w:rPr>
            </w:pPr>
            <w:r>
              <w:rPr>
                <w:rFonts w:hint="eastAsia"/>
                <w:color w:val="000000"/>
                <w:sz w:val="24"/>
                <w:lang w:eastAsia="zh-CN"/>
              </w:rPr>
              <w:t>（理基·m）</w:t>
            </w:r>
          </w:p>
        </w:tc>
        <w:tc>
          <w:tcPr>
            <w:tcW w:w="976" w:type="pct"/>
            <w:tcBorders>
              <w:tl2br w:val="nil"/>
              <w:tr2bl w:val="nil"/>
            </w:tcBorders>
            <w:vAlign w:val="center"/>
          </w:tcPr>
          <w:p>
            <w:pPr>
              <w:widowControl/>
              <w:jc w:val="center"/>
              <w:rPr>
                <w:color w:val="000000"/>
                <w:sz w:val="24"/>
                <w:lang w:eastAsia="zh-CN"/>
              </w:rPr>
            </w:pPr>
            <w:r>
              <w:rPr>
                <w:rFonts w:hint="eastAsia"/>
                <w:color w:val="000000"/>
                <w:sz w:val="24"/>
                <w:lang w:eastAsia="zh-CN"/>
              </w:rPr>
              <w:t>实测最浅水深（理基·m）</w:t>
            </w:r>
          </w:p>
        </w:tc>
        <w:tc>
          <w:tcPr>
            <w:tcW w:w="1793" w:type="pct"/>
            <w:tcBorders>
              <w:tl2br w:val="nil"/>
              <w:tr2bl w:val="nil"/>
            </w:tcBorders>
            <w:vAlign w:val="center"/>
          </w:tcPr>
          <w:p>
            <w:pPr>
              <w:widowControl/>
              <w:jc w:val="center"/>
              <w:rPr>
                <w:color w:val="000000"/>
                <w:sz w:val="24"/>
              </w:rPr>
            </w:pPr>
            <w:r>
              <w:rPr>
                <w:rFonts w:hint="eastAsia"/>
                <w:color w:val="000000"/>
                <w:sz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12" w:type="pct"/>
            <w:tcBorders>
              <w:tl2br w:val="nil"/>
              <w:tr2bl w:val="nil"/>
            </w:tcBorders>
            <w:vAlign w:val="center"/>
          </w:tcPr>
          <w:p>
            <w:pPr>
              <w:widowControl/>
              <w:jc w:val="center"/>
              <w:rPr>
                <w:color w:val="000000"/>
                <w:sz w:val="24"/>
              </w:rPr>
            </w:pPr>
            <w:r>
              <w:rPr>
                <w:rFonts w:hint="eastAsia"/>
                <w:color w:val="000000"/>
                <w:sz w:val="24"/>
              </w:rPr>
              <w:t>1</w:t>
            </w:r>
          </w:p>
        </w:tc>
        <w:tc>
          <w:tcPr>
            <w:tcW w:w="898" w:type="pct"/>
            <w:tcBorders>
              <w:tl2br w:val="nil"/>
              <w:tr2bl w:val="nil"/>
            </w:tcBorders>
            <w:vAlign w:val="center"/>
          </w:tcPr>
          <w:p>
            <w:pPr>
              <w:widowControl/>
              <w:jc w:val="center"/>
              <w:rPr>
                <w:color w:val="000000"/>
                <w:sz w:val="24"/>
              </w:rPr>
            </w:pPr>
            <w:r>
              <w:rPr>
                <w:rFonts w:hint="eastAsia"/>
                <w:color w:val="000000"/>
                <w:sz w:val="24"/>
              </w:rPr>
              <w:t>南8#停泊水域</w:t>
            </w:r>
          </w:p>
        </w:tc>
        <w:tc>
          <w:tcPr>
            <w:tcW w:w="921" w:type="pct"/>
            <w:tcBorders>
              <w:tl2br w:val="nil"/>
              <w:tr2bl w:val="nil"/>
            </w:tcBorders>
            <w:vAlign w:val="center"/>
          </w:tcPr>
          <w:p>
            <w:pPr>
              <w:widowControl/>
              <w:jc w:val="center"/>
              <w:rPr>
                <w:color w:val="000000"/>
                <w:sz w:val="24"/>
              </w:rPr>
            </w:pPr>
            <w:r>
              <w:rPr>
                <w:rFonts w:hint="eastAsia"/>
                <w:color w:val="000000"/>
                <w:sz w:val="24"/>
              </w:rPr>
              <w:t>-18.9</w:t>
            </w:r>
          </w:p>
        </w:tc>
        <w:tc>
          <w:tcPr>
            <w:tcW w:w="976" w:type="pct"/>
            <w:tcBorders>
              <w:tl2br w:val="nil"/>
              <w:tr2bl w:val="nil"/>
            </w:tcBorders>
            <w:vAlign w:val="center"/>
          </w:tcPr>
          <w:p>
            <w:pPr>
              <w:widowControl/>
              <w:jc w:val="center"/>
              <w:rPr>
                <w:color w:val="000000"/>
                <w:sz w:val="24"/>
              </w:rPr>
            </w:pPr>
            <w:r>
              <w:rPr>
                <w:rFonts w:hint="eastAsia"/>
                <w:color w:val="000000"/>
                <w:sz w:val="24"/>
              </w:rPr>
              <w:t>-17.1</w:t>
            </w:r>
          </w:p>
        </w:tc>
        <w:tc>
          <w:tcPr>
            <w:tcW w:w="1793" w:type="pct"/>
            <w:tcBorders>
              <w:tl2br w:val="nil"/>
              <w:tr2bl w:val="nil"/>
            </w:tcBorders>
            <w:vAlign w:val="center"/>
          </w:tcPr>
          <w:p>
            <w:pPr>
              <w:widowControl/>
              <w:rPr>
                <w:color w:val="000000"/>
                <w:sz w:val="24"/>
                <w:lang w:eastAsia="zh-CN"/>
              </w:rPr>
            </w:pPr>
            <w:r>
              <w:rPr>
                <w:rFonts w:hint="eastAsia"/>
                <w:color w:val="000000"/>
                <w:sz w:val="24"/>
                <w:lang w:eastAsia="zh-CN"/>
              </w:rPr>
              <w:t>位于码头前沿距南9#泊位约94米处，未满足设计要求。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12" w:type="pct"/>
            <w:tcBorders>
              <w:tl2br w:val="nil"/>
              <w:tr2bl w:val="nil"/>
            </w:tcBorders>
            <w:vAlign w:val="center"/>
          </w:tcPr>
          <w:p>
            <w:pPr>
              <w:widowControl/>
              <w:jc w:val="center"/>
              <w:rPr>
                <w:color w:val="000000"/>
                <w:sz w:val="24"/>
              </w:rPr>
            </w:pPr>
            <w:r>
              <w:rPr>
                <w:rFonts w:hint="eastAsia"/>
                <w:color w:val="000000"/>
                <w:sz w:val="24"/>
              </w:rPr>
              <w:t>2</w:t>
            </w:r>
          </w:p>
        </w:tc>
        <w:tc>
          <w:tcPr>
            <w:tcW w:w="898" w:type="pct"/>
            <w:tcBorders>
              <w:tl2br w:val="nil"/>
              <w:tr2bl w:val="nil"/>
            </w:tcBorders>
            <w:vAlign w:val="center"/>
          </w:tcPr>
          <w:p>
            <w:pPr>
              <w:widowControl/>
              <w:jc w:val="center"/>
              <w:rPr>
                <w:color w:val="000000"/>
                <w:sz w:val="24"/>
              </w:rPr>
            </w:pPr>
            <w:r>
              <w:rPr>
                <w:rFonts w:hint="eastAsia"/>
                <w:color w:val="000000"/>
                <w:sz w:val="24"/>
              </w:rPr>
              <w:t>南8#回旋水域</w:t>
            </w:r>
          </w:p>
        </w:tc>
        <w:tc>
          <w:tcPr>
            <w:tcW w:w="921" w:type="pct"/>
            <w:tcBorders>
              <w:tl2br w:val="nil"/>
              <w:tr2bl w:val="nil"/>
            </w:tcBorders>
            <w:vAlign w:val="center"/>
          </w:tcPr>
          <w:p>
            <w:pPr>
              <w:widowControl/>
              <w:jc w:val="center"/>
              <w:rPr>
                <w:color w:val="000000"/>
                <w:sz w:val="24"/>
              </w:rPr>
            </w:pPr>
            <w:r>
              <w:rPr>
                <w:rFonts w:hint="eastAsia"/>
                <w:color w:val="000000"/>
                <w:sz w:val="24"/>
              </w:rPr>
              <w:t>-17.8</w:t>
            </w:r>
          </w:p>
        </w:tc>
        <w:tc>
          <w:tcPr>
            <w:tcW w:w="976" w:type="pct"/>
            <w:tcBorders>
              <w:tl2br w:val="nil"/>
              <w:tr2bl w:val="nil"/>
            </w:tcBorders>
            <w:vAlign w:val="center"/>
          </w:tcPr>
          <w:p>
            <w:pPr>
              <w:widowControl/>
              <w:jc w:val="center"/>
              <w:rPr>
                <w:color w:val="000000"/>
                <w:sz w:val="24"/>
              </w:rPr>
            </w:pPr>
            <w:r>
              <w:rPr>
                <w:rFonts w:hint="eastAsia"/>
                <w:color w:val="000000"/>
                <w:sz w:val="24"/>
              </w:rPr>
              <w:t>-18.0</w:t>
            </w:r>
          </w:p>
        </w:tc>
        <w:tc>
          <w:tcPr>
            <w:tcW w:w="1793" w:type="pct"/>
            <w:tcBorders>
              <w:tl2br w:val="nil"/>
              <w:tr2bl w:val="nil"/>
            </w:tcBorders>
            <w:vAlign w:val="center"/>
          </w:tcPr>
          <w:p>
            <w:pPr>
              <w:widowControl/>
              <w:rPr>
                <w:color w:val="000000"/>
                <w:sz w:val="24"/>
              </w:rPr>
            </w:pPr>
            <w:r>
              <w:rPr>
                <w:rFonts w:hint="eastAsia"/>
                <w:color w:val="000000"/>
                <w:sz w:val="24"/>
              </w:rPr>
              <w:t>满足设计要求。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12" w:type="pct"/>
            <w:tcBorders>
              <w:tl2br w:val="nil"/>
              <w:tr2bl w:val="nil"/>
            </w:tcBorders>
            <w:vAlign w:val="center"/>
          </w:tcPr>
          <w:p>
            <w:pPr>
              <w:widowControl/>
              <w:jc w:val="center"/>
              <w:rPr>
                <w:color w:val="000000"/>
                <w:sz w:val="24"/>
              </w:rPr>
            </w:pPr>
            <w:r>
              <w:rPr>
                <w:rFonts w:hint="eastAsia"/>
                <w:color w:val="000000"/>
                <w:sz w:val="24"/>
              </w:rPr>
              <w:t>3</w:t>
            </w:r>
          </w:p>
        </w:tc>
        <w:tc>
          <w:tcPr>
            <w:tcW w:w="898" w:type="pct"/>
            <w:tcBorders>
              <w:tl2br w:val="nil"/>
              <w:tr2bl w:val="nil"/>
            </w:tcBorders>
            <w:vAlign w:val="center"/>
          </w:tcPr>
          <w:p>
            <w:pPr>
              <w:widowControl/>
              <w:jc w:val="center"/>
              <w:rPr>
                <w:color w:val="000000"/>
                <w:sz w:val="24"/>
              </w:rPr>
            </w:pPr>
            <w:r>
              <w:rPr>
                <w:rFonts w:hint="eastAsia"/>
                <w:color w:val="000000"/>
                <w:sz w:val="24"/>
              </w:rPr>
              <w:t>南9#停泊水域</w:t>
            </w:r>
          </w:p>
        </w:tc>
        <w:tc>
          <w:tcPr>
            <w:tcW w:w="921" w:type="pct"/>
            <w:tcBorders>
              <w:tl2br w:val="nil"/>
              <w:tr2bl w:val="nil"/>
            </w:tcBorders>
            <w:vAlign w:val="center"/>
          </w:tcPr>
          <w:p>
            <w:pPr>
              <w:widowControl/>
              <w:jc w:val="center"/>
              <w:rPr>
                <w:color w:val="000000"/>
                <w:sz w:val="24"/>
              </w:rPr>
            </w:pPr>
            <w:r>
              <w:rPr>
                <w:rFonts w:hint="eastAsia"/>
                <w:color w:val="000000"/>
                <w:sz w:val="24"/>
              </w:rPr>
              <w:t>-13.8</w:t>
            </w:r>
          </w:p>
        </w:tc>
        <w:tc>
          <w:tcPr>
            <w:tcW w:w="976" w:type="pct"/>
            <w:tcBorders>
              <w:tl2br w:val="nil"/>
              <w:tr2bl w:val="nil"/>
            </w:tcBorders>
            <w:vAlign w:val="center"/>
          </w:tcPr>
          <w:p>
            <w:pPr>
              <w:widowControl/>
              <w:jc w:val="center"/>
              <w:rPr>
                <w:color w:val="000000"/>
                <w:sz w:val="24"/>
              </w:rPr>
            </w:pPr>
            <w:r>
              <w:rPr>
                <w:rFonts w:hint="eastAsia"/>
                <w:color w:val="000000"/>
                <w:sz w:val="24"/>
              </w:rPr>
              <w:t>-12.7</w:t>
            </w:r>
          </w:p>
        </w:tc>
        <w:tc>
          <w:tcPr>
            <w:tcW w:w="1793" w:type="pct"/>
            <w:tcBorders>
              <w:tl2br w:val="nil"/>
              <w:tr2bl w:val="nil"/>
            </w:tcBorders>
            <w:vAlign w:val="center"/>
          </w:tcPr>
          <w:p>
            <w:pPr>
              <w:widowControl/>
              <w:rPr>
                <w:color w:val="000000"/>
                <w:sz w:val="24"/>
                <w:lang w:eastAsia="zh-CN"/>
              </w:rPr>
            </w:pPr>
            <w:r>
              <w:rPr>
                <w:rFonts w:hint="eastAsia"/>
                <w:color w:val="000000"/>
                <w:sz w:val="24"/>
                <w:lang w:eastAsia="zh-CN"/>
              </w:rPr>
              <w:t>位于南9#泊位前沿中部，未满足设计要求。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12" w:type="pct"/>
            <w:tcBorders>
              <w:tl2br w:val="nil"/>
              <w:tr2bl w:val="nil"/>
            </w:tcBorders>
            <w:vAlign w:val="center"/>
          </w:tcPr>
          <w:p>
            <w:pPr>
              <w:widowControl/>
              <w:jc w:val="center"/>
              <w:rPr>
                <w:color w:val="000000"/>
                <w:sz w:val="24"/>
              </w:rPr>
            </w:pPr>
            <w:r>
              <w:rPr>
                <w:rFonts w:hint="eastAsia"/>
                <w:color w:val="000000"/>
                <w:sz w:val="24"/>
              </w:rPr>
              <w:t>4</w:t>
            </w:r>
          </w:p>
        </w:tc>
        <w:tc>
          <w:tcPr>
            <w:tcW w:w="898" w:type="pct"/>
            <w:tcBorders>
              <w:tl2br w:val="nil"/>
              <w:tr2bl w:val="nil"/>
            </w:tcBorders>
            <w:vAlign w:val="center"/>
          </w:tcPr>
          <w:p>
            <w:pPr>
              <w:widowControl/>
              <w:jc w:val="center"/>
              <w:rPr>
                <w:color w:val="000000"/>
                <w:sz w:val="24"/>
              </w:rPr>
            </w:pPr>
            <w:r>
              <w:rPr>
                <w:rFonts w:hint="eastAsia"/>
                <w:color w:val="000000"/>
                <w:sz w:val="24"/>
              </w:rPr>
              <w:t>南9#回旋水域</w:t>
            </w:r>
          </w:p>
        </w:tc>
        <w:tc>
          <w:tcPr>
            <w:tcW w:w="921" w:type="pct"/>
            <w:tcBorders>
              <w:tl2br w:val="nil"/>
              <w:tr2bl w:val="nil"/>
            </w:tcBorders>
            <w:vAlign w:val="center"/>
          </w:tcPr>
          <w:p>
            <w:pPr>
              <w:widowControl/>
              <w:jc w:val="center"/>
              <w:rPr>
                <w:color w:val="000000"/>
                <w:sz w:val="24"/>
              </w:rPr>
            </w:pPr>
            <w:r>
              <w:rPr>
                <w:rFonts w:hint="eastAsia"/>
                <w:color w:val="000000"/>
                <w:sz w:val="24"/>
              </w:rPr>
              <w:t>-12.1</w:t>
            </w:r>
          </w:p>
        </w:tc>
        <w:tc>
          <w:tcPr>
            <w:tcW w:w="976" w:type="pct"/>
            <w:tcBorders>
              <w:tl2br w:val="nil"/>
              <w:tr2bl w:val="nil"/>
            </w:tcBorders>
            <w:vAlign w:val="center"/>
          </w:tcPr>
          <w:p>
            <w:pPr>
              <w:widowControl/>
              <w:jc w:val="center"/>
              <w:rPr>
                <w:color w:val="000000"/>
                <w:sz w:val="24"/>
              </w:rPr>
            </w:pPr>
            <w:r>
              <w:rPr>
                <w:rFonts w:hint="eastAsia"/>
                <w:color w:val="000000"/>
                <w:sz w:val="24"/>
              </w:rPr>
              <w:t>-12.1</w:t>
            </w:r>
          </w:p>
        </w:tc>
        <w:tc>
          <w:tcPr>
            <w:tcW w:w="1793" w:type="pct"/>
            <w:tcBorders>
              <w:tl2br w:val="nil"/>
              <w:tr2bl w:val="nil"/>
            </w:tcBorders>
            <w:vAlign w:val="center"/>
          </w:tcPr>
          <w:p>
            <w:pPr>
              <w:widowControl/>
              <w:rPr>
                <w:color w:val="000000"/>
                <w:sz w:val="24"/>
              </w:rPr>
            </w:pPr>
            <w:r>
              <w:rPr>
                <w:rFonts w:hint="eastAsia"/>
                <w:color w:val="000000"/>
                <w:sz w:val="24"/>
              </w:rPr>
              <w:t>满足设计要求。</w:t>
            </w:r>
          </w:p>
        </w:tc>
      </w:tr>
    </w:tbl>
    <w:p>
      <w:pPr>
        <w:overflowPunct w:val="0"/>
        <w:spacing w:line="360" w:lineRule="auto"/>
        <w:ind w:firstLine="600" w:firstLineChars="200"/>
        <w:rPr>
          <w:spacing w:val="10"/>
          <w:sz w:val="28"/>
          <w:szCs w:val="28"/>
          <w:lang w:eastAsia="zh-CN"/>
        </w:rPr>
      </w:pPr>
      <w:r>
        <w:rPr>
          <w:rFonts w:hint="eastAsia"/>
          <w:spacing w:val="10"/>
          <w:sz w:val="28"/>
          <w:szCs w:val="28"/>
          <w:lang w:eastAsia="zh-CN"/>
        </w:rPr>
        <w:t>经本次水深测量，由表</w:t>
      </w:r>
      <w:r>
        <w:rPr>
          <w:spacing w:val="10"/>
          <w:sz w:val="28"/>
          <w:szCs w:val="28"/>
          <w:lang w:eastAsia="zh-CN"/>
        </w:rPr>
        <w:t>1</w:t>
      </w:r>
      <w:r>
        <w:rPr>
          <w:rFonts w:hint="eastAsia"/>
          <w:spacing w:val="10"/>
          <w:sz w:val="28"/>
          <w:szCs w:val="28"/>
          <w:lang w:eastAsia="zh-CN"/>
        </w:rPr>
        <w:t>可知：</w:t>
      </w:r>
    </w:p>
    <w:p>
      <w:pPr>
        <w:overflowPunct w:val="0"/>
        <w:spacing w:line="360" w:lineRule="auto"/>
        <w:ind w:firstLine="560" w:firstLineChars="200"/>
        <w:rPr>
          <w:spacing w:val="10"/>
          <w:sz w:val="28"/>
          <w:szCs w:val="28"/>
          <w:lang w:eastAsia="zh-CN"/>
        </w:rPr>
      </w:pPr>
      <w:r>
        <w:rPr>
          <w:rFonts w:hint="eastAsia"/>
          <w:color w:val="000000"/>
          <w:sz w:val="28"/>
          <w:szCs w:val="28"/>
          <w:lang w:eastAsia="zh-CN"/>
        </w:rPr>
        <w:t>南8#停泊水域</w:t>
      </w:r>
      <w:r>
        <w:rPr>
          <w:rFonts w:hint="eastAsia"/>
          <w:spacing w:val="10"/>
          <w:sz w:val="28"/>
          <w:szCs w:val="28"/>
          <w:lang w:eastAsia="zh-CN"/>
        </w:rPr>
        <w:t>水深</w:t>
      </w:r>
      <w:r>
        <w:rPr>
          <w:rFonts w:hint="eastAsia"/>
          <w:color w:val="000000"/>
          <w:sz w:val="28"/>
          <w:szCs w:val="28"/>
          <w:lang w:eastAsia="zh-CN"/>
        </w:rPr>
        <w:t>未满足设计要求，</w:t>
      </w:r>
      <w:r>
        <w:rPr>
          <w:rFonts w:hint="eastAsia"/>
          <w:spacing w:val="10"/>
          <w:sz w:val="28"/>
          <w:szCs w:val="28"/>
          <w:lang w:eastAsia="zh-CN"/>
        </w:rPr>
        <w:t>最浅处水深为-17.1m，位于码头</w:t>
      </w:r>
      <w:r>
        <w:rPr>
          <w:rFonts w:hint="eastAsia"/>
          <w:color w:val="000000"/>
          <w:sz w:val="28"/>
          <w:szCs w:val="28"/>
          <w:lang w:eastAsia="zh-CN"/>
        </w:rPr>
        <w:t>前沿距南9#泊位约94米处</w:t>
      </w:r>
      <w:r>
        <w:rPr>
          <w:rFonts w:hint="eastAsia"/>
          <w:spacing w:val="10"/>
          <w:sz w:val="28"/>
          <w:szCs w:val="28"/>
          <w:lang w:eastAsia="zh-CN"/>
        </w:rPr>
        <w:t>；</w:t>
      </w:r>
    </w:p>
    <w:p>
      <w:pPr>
        <w:overflowPunct w:val="0"/>
        <w:spacing w:line="360" w:lineRule="auto"/>
        <w:ind w:firstLine="560" w:firstLineChars="200"/>
        <w:rPr>
          <w:color w:val="000000"/>
          <w:sz w:val="28"/>
          <w:szCs w:val="28"/>
          <w:lang w:eastAsia="zh-CN"/>
        </w:rPr>
      </w:pPr>
      <w:r>
        <w:rPr>
          <w:rFonts w:hint="eastAsia"/>
          <w:color w:val="000000"/>
          <w:sz w:val="28"/>
          <w:szCs w:val="28"/>
          <w:lang w:eastAsia="zh-CN"/>
        </w:rPr>
        <w:t>南8#回旋</w:t>
      </w:r>
      <w:r>
        <w:rPr>
          <w:rFonts w:hint="eastAsia"/>
          <w:spacing w:val="10"/>
          <w:sz w:val="28"/>
          <w:szCs w:val="28"/>
          <w:lang w:eastAsia="zh-CN"/>
        </w:rPr>
        <w:t>水域水深</w:t>
      </w:r>
      <w:r>
        <w:rPr>
          <w:rFonts w:hint="eastAsia"/>
          <w:color w:val="000000"/>
          <w:sz w:val="28"/>
          <w:szCs w:val="28"/>
          <w:lang w:eastAsia="zh-CN"/>
        </w:rPr>
        <w:t>满足设计要求，</w:t>
      </w:r>
      <w:r>
        <w:rPr>
          <w:rFonts w:hint="eastAsia"/>
          <w:spacing w:val="10"/>
          <w:sz w:val="28"/>
          <w:szCs w:val="28"/>
          <w:lang w:eastAsia="zh-CN"/>
        </w:rPr>
        <w:t>最浅水深为-18.0m</w:t>
      </w:r>
      <w:r>
        <w:rPr>
          <w:rFonts w:hint="eastAsia"/>
          <w:color w:val="000000"/>
          <w:sz w:val="28"/>
          <w:szCs w:val="28"/>
          <w:lang w:eastAsia="zh-CN"/>
        </w:rPr>
        <w:t>；</w:t>
      </w:r>
    </w:p>
    <w:p>
      <w:pPr>
        <w:overflowPunct w:val="0"/>
        <w:spacing w:line="360" w:lineRule="auto"/>
        <w:ind w:firstLine="560" w:firstLineChars="200"/>
        <w:rPr>
          <w:spacing w:val="10"/>
          <w:sz w:val="28"/>
          <w:szCs w:val="28"/>
          <w:lang w:eastAsia="zh-CN"/>
        </w:rPr>
      </w:pPr>
      <w:r>
        <w:rPr>
          <w:rFonts w:hint="eastAsia"/>
          <w:color w:val="000000"/>
          <w:sz w:val="28"/>
          <w:szCs w:val="28"/>
          <w:lang w:eastAsia="zh-CN"/>
        </w:rPr>
        <w:t>南9#停泊水域</w:t>
      </w:r>
      <w:r>
        <w:rPr>
          <w:rFonts w:hint="eastAsia"/>
          <w:spacing w:val="10"/>
          <w:sz w:val="28"/>
          <w:szCs w:val="28"/>
          <w:lang w:eastAsia="zh-CN"/>
        </w:rPr>
        <w:t>水深</w:t>
      </w:r>
      <w:r>
        <w:rPr>
          <w:rFonts w:hint="eastAsia"/>
          <w:color w:val="000000"/>
          <w:sz w:val="28"/>
          <w:szCs w:val="28"/>
          <w:lang w:eastAsia="zh-CN"/>
        </w:rPr>
        <w:t>未满足设计要求，</w:t>
      </w:r>
      <w:r>
        <w:rPr>
          <w:rFonts w:hint="eastAsia"/>
          <w:spacing w:val="10"/>
          <w:sz w:val="28"/>
          <w:szCs w:val="28"/>
          <w:lang w:eastAsia="zh-CN"/>
        </w:rPr>
        <w:t>最浅水深为-12.7m，</w:t>
      </w:r>
      <w:r>
        <w:rPr>
          <w:rFonts w:hint="eastAsia"/>
          <w:color w:val="000000"/>
          <w:sz w:val="28"/>
          <w:szCs w:val="28"/>
          <w:lang w:eastAsia="zh-CN"/>
        </w:rPr>
        <w:t>位于南9#泊位前沿中部</w:t>
      </w:r>
      <w:r>
        <w:rPr>
          <w:rFonts w:hint="eastAsia"/>
          <w:spacing w:val="10"/>
          <w:sz w:val="28"/>
          <w:szCs w:val="28"/>
          <w:lang w:eastAsia="zh-CN"/>
        </w:rPr>
        <w:t>。</w:t>
      </w:r>
    </w:p>
    <w:p>
      <w:pPr>
        <w:overflowPunct w:val="0"/>
        <w:spacing w:line="360" w:lineRule="auto"/>
        <w:ind w:firstLine="560" w:firstLineChars="200"/>
        <w:rPr>
          <w:color w:val="000000"/>
          <w:sz w:val="28"/>
          <w:szCs w:val="28"/>
          <w:lang w:eastAsia="zh-CN"/>
        </w:rPr>
      </w:pPr>
      <w:r>
        <w:rPr>
          <w:rFonts w:hint="eastAsia"/>
          <w:color w:val="000000"/>
          <w:sz w:val="28"/>
          <w:szCs w:val="28"/>
          <w:lang w:eastAsia="zh-CN"/>
        </w:rPr>
        <w:t>南9#回旋</w:t>
      </w:r>
      <w:r>
        <w:rPr>
          <w:rFonts w:hint="eastAsia"/>
          <w:spacing w:val="10"/>
          <w:sz w:val="28"/>
          <w:szCs w:val="28"/>
          <w:lang w:eastAsia="zh-CN"/>
        </w:rPr>
        <w:t>水域水深</w:t>
      </w:r>
      <w:r>
        <w:rPr>
          <w:rFonts w:hint="eastAsia"/>
          <w:color w:val="000000"/>
          <w:sz w:val="28"/>
          <w:szCs w:val="28"/>
          <w:lang w:eastAsia="zh-CN"/>
        </w:rPr>
        <w:t>满足设计要求，</w:t>
      </w:r>
      <w:r>
        <w:rPr>
          <w:rFonts w:hint="eastAsia"/>
          <w:spacing w:val="10"/>
          <w:sz w:val="28"/>
          <w:szCs w:val="28"/>
          <w:lang w:eastAsia="zh-CN"/>
        </w:rPr>
        <w:t>最浅水深为-12.1m</w:t>
      </w:r>
      <w:r>
        <w:rPr>
          <w:rFonts w:hint="eastAsia"/>
          <w:color w:val="000000"/>
          <w:sz w:val="28"/>
          <w:szCs w:val="28"/>
          <w:lang w:eastAsia="zh-CN"/>
        </w:rPr>
        <w:t>。</w:t>
      </w:r>
    </w:p>
    <w:p>
      <w:pPr>
        <w:ind w:firstLine="560" w:firstLineChars="200"/>
        <w:rPr>
          <w:sz w:val="28"/>
          <w:szCs w:val="28"/>
          <w:lang w:eastAsia="zh-CN"/>
        </w:rPr>
      </w:pPr>
      <w:r>
        <w:rPr>
          <w:rFonts w:hint="eastAsia"/>
          <w:sz w:val="28"/>
          <w:szCs w:val="28"/>
          <w:lang w:eastAsia="zh-CN"/>
        </w:rPr>
        <w:t>由于部分水深没有达到设计要求，会影响船舶安全靠离泊且不符合海事、港口等相关要求。特申请对没有达到设计水深的停泊水域进行疏浚。疏浚工程量参考下表：</w:t>
      </w:r>
    </w:p>
    <w:p>
      <w:pPr>
        <w:overflowPunct w:val="0"/>
        <w:spacing w:line="360" w:lineRule="auto"/>
        <w:ind w:firstLine="480" w:firstLineChars="200"/>
        <w:rPr>
          <w:color w:val="000000"/>
          <w:sz w:val="24"/>
          <w:lang w:eastAsia="zh-CN"/>
        </w:rPr>
      </w:pPr>
    </w:p>
    <w:p>
      <w:pPr>
        <w:overflowPunct w:val="0"/>
        <w:spacing w:line="360" w:lineRule="auto"/>
        <w:jc w:val="center"/>
        <w:outlineLvl w:val="2"/>
        <w:rPr>
          <w:spacing w:val="10"/>
          <w:sz w:val="24"/>
          <w:lang w:eastAsia="zh-CN"/>
        </w:rPr>
      </w:pPr>
      <w:r>
        <w:rPr>
          <w:rFonts w:hint="eastAsia"/>
          <w:spacing w:val="10"/>
          <w:sz w:val="24"/>
          <w:lang w:eastAsia="zh-CN"/>
        </w:rPr>
        <w:t xml:space="preserve"> </w:t>
      </w:r>
      <w:r>
        <w:rPr>
          <w:spacing w:val="10"/>
          <w:sz w:val="24"/>
          <w:lang w:eastAsia="zh-CN"/>
        </w:rPr>
        <w:t xml:space="preserve">                   </w:t>
      </w:r>
      <w:r>
        <w:rPr>
          <w:rFonts w:hint="eastAsia"/>
          <w:spacing w:val="10"/>
          <w:sz w:val="24"/>
          <w:lang w:eastAsia="zh-CN"/>
        </w:rPr>
        <w:t>工程量统计表                     表</w:t>
      </w:r>
      <w:r>
        <w:rPr>
          <w:spacing w:val="10"/>
          <w:sz w:val="24"/>
          <w:lang w:eastAsia="zh-CN"/>
        </w:rPr>
        <w:t>2</w:t>
      </w:r>
    </w:p>
    <w:tbl>
      <w:tblPr>
        <w:tblStyle w:val="49"/>
        <w:tblW w:w="4991"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3"/>
        <w:gridCol w:w="3125"/>
        <w:gridCol w:w="363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575" w:type="dxa"/>
            <w:tcBorders>
              <w:tl2br w:val="nil"/>
              <w:tr2bl w:val="nil"/>
            </w:tcBorders>
            <w:vAlign w:val="center"/>
          </w:tcPr>
          <w:p>
            <w:pPr>
              <w:jc w:val="center"/>
              <w:rPr>
                <w:color w:val="000000"/>
                <w:sz w:val="24"/>
                <w:szCs w:val="24"/>
              </w:rPr>
            </w:pPr>
            <w:r>
              <w:rPr>
                <w:rFonts w:hint="eastAsia"/>
                <w:sz w:val="24"/>
                <w:szCs w:val="24"/>
              </w:rPr>
              <w:t>计算区域</w:t>
            </w:r>
          </w:p>
        </w:tc>
        <w:tc>
          <w:tcPr>
            <w:tcW w:w="2744" w:type="dxa"/>
            <w:tcBorders>
              <w:tl2br w:val="nil"/>
              <w:tr2bl w:val="nil"/>
            </w:tcBorders>
            <w:vAlign w:val="center"/>
          </w:tcPr>
          <w:p>
            <w:pPr>
              <w:jc w:val="center"/>
              <w:rPr>
                <w:color w:val="000000"/>
                <w:sz w:val="24"/>
                <w:szCs w:val="24"/>
              </w:rPr>
            </w:pPr>
            <w:r>
              <w:rPr>
                <w:rFonts w:hint="eastAsia"/>
                <w:sz w:val="24"/>
                <w:szCs w:val="24"/>
              </w:rPr>
              <w:t>设计工程量（m</w:t>
            </w:r>
            <w:r>
              <w:rPr>
                <w:rFonts w:hint="eastAsia"/>
                <w:sz w:val="24"/>
                <w:szCs w:val="24"/>
                <w:vertAlign w:val="superscript"/>
              </w:rPr>
              <w:t>3</w:t>
            </w:r>
            <w:r>
              <w:rPr>
                <w:rFonts w:hint="eastAsia"/>
                <w:sz w:val="24"/>
                <w:szCs w:val="24"/>
              </w:rPr>
              <w:t>）</w:t>
            </w:r>
          </w:p>
        </w:tc>
        <w:tc>
          <w:tcPr>
            <w:tcW w:w="3188" w:type="dxa"/>
            <w:tcBorders>
              <w:tl2br w:val="nil"/>
              <w:tr2bl w:val="nil"/>
            </w:tcBorders>
            <w:vAlign w:val="center"/>
          </w:tcPr>
          <w:p>
            <w:pPr>
              <w:jc w:val="center"/>
              <w:rPr>
                <w:color w:val="000000"/>
                <w:sz w:val="24"/>
                <w:szCs w:val="24"/>
                <w:lang w:eastAsia="zh-CN"/>
              </w:rPr>
            </w:pPr>
            <w:r>
              <w:rPr>
                <w:rFonts w:hint="eastAsia"/>
                <w:sz w:val="24"/>
                <w:szCs w:val="24"/>
                <w:lang w:eastAsia="zh-CN"/>
              </w:rPr>
              <w:t>含超宽、超深工程量（m</w:t>
            </w:r>
            <w:r>
              <w:rPr>
                <w:rFonts w:hint="eastAsia"/>
                <w:sz w:val="24"/>
                <w:szCs w:val="24"/>
                <w:vertAlign w:val="superscript"/>
                <w:lang w:eastAsia="zh-CN"/>
              </w:rPr>
              <w:t>3</w:t>
            </w:r>
            <w:r>
              <w:rPr>
                <w:rFonts w:hint="eastAsia"/>
                <w:sz w:val="24"/>
                <w:szCs w:val="24"/>
                <w:lang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575" w:type="dxa"/>
            <w:tcBorders>
              <w:tl2br w:val="nil"/>
              <w:tr2bl w:val="nil"/>
            </w:tcBorders>
            <w:vAlign w:val="center"/>
          </w:tcPr>
          <w:p>
            <w:pPr>
              <w:jc w:val="center"/>
              <w:rPr>
                <w:color w:val="000000"/>
                <w:sz w:val="24"/>
                <w:szCs w:val="24"/>
              </w:rPr>
            </w:pPr>
            <w:r>
              <w:rPr>
                <w:rFonts w:hint="eastAsia"/>
                <w:sz w:val="24"/>
                <w:szCs w:val="24"/>
              </w:rPr>
              <w:t>南8#停泊水域</w:t>
            </w:r>
          </w:p>
        </w:tc>
        <w:tc>
          <w:tcPr>
            <w:tcW w:w="2744" w:type="dxa"/>
            <w:tcBorders>
              <w:tl2br w:val="nil"/>
              <w:tr2bl w:val="nil"/>
            </w:tcBorders>
            <w:vAlign w:val="center"/>
          </w:tcPr>
          <w:p>
            <w:pPr>
              <w:jc w:val="center"/>
              <w:rPr>
                <w:color w:val="000000"/>
                <w:sz w:val="24"/>
                <w:szCs w:val="24"/>
              </w:rPr>
            </w:pPr>
            <w:r>
              <w:rPr>
                <w:rFonts w:hint="eastAsia"/>
                <w:sz w:val="24"/>
                <w:szCs w:val="24"/>
              </w:rPr>
              <w:t>1910.6</w:t>
            </w:r>
          </w:p>
        </w:tc>
        <w:tc>
          <w:tcPr>
            <w:tcW w:w="3188" w:type="dxa"/>
            <w:tcBorders>
              <w:tl2br w:val="nil"/>
              <w:tr2bl w:val="nil"/>
            </w:tcBorders>
            <w:vAlign w:val="center"/>
          </w:tcPr>
          <w:p>
            <w:pPr>
              <w:jc w:val="center"/>
              <w:rPr>
                <w:color w:val="000000"/>
                <w:sz w:val="24"/>
                <w:szCs w:val="24"/>
              </w:rPr>
            </w:pPr>
            <w:r>
              <w:rPr>
                <w:rFonts w:hint="eastAsia"/>
                <w:sz w:val="24"/>
                <w:szCs w:val="24"/>
              </w:rPr>
              <w:t>4148.3</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575" w:type="dxa"/>
            <w:tcBorders>
              <w:tl2br w:val="nil"/>
              <w:tr2bl w:val="nil"/>
            </w:tcBorders>
            <w:vAlign w:val="center"/>
          </w:tcPr>
          <w:p>
            <w:pPr>
              <w:jc w:val="center"/>
              <w:rPr>
                <w:color w:val="000000"/>
                <w:sz w:val="24"/>
                <w:szCs w:val="24"/>
              </w:rPr>
            </w:pPr>
            <w:r>
              <w:rPr>
                <w:rFonts w:hint="eastAsia"/>
                <w:sz w:val="24"/>
                <w:szCs w:val="24"/>
              </w:rPr>
              <w:t>南8#回旋水域</w:t>
            </w:r>
          </w:p>
        </w:tc>
        <w:tc>
          <w:tcPr>
            <w:tcW w:w="2744" w:type="dxa"/>
            <w:tcBorders>
              <w:tl2br w:val="nil"/>
              <w:tr2bl w:val="nil"/>
            </w:tcBorders>
            <w:vAlign w:val="center"/>
          </w:tcPr>
          <w:p>
            <w:pPr>
              <w:jc w:val="center"/>
              <w:rPr>
                <w:color w:val="000000"/>
                <w:sz w:val="24"/>
                <w:szCs w:val="24"/>
              </w:rPr>
            </w:pPr>
            <w:r>
              <w:rPr>
                <w:rFonts w:hint="eastAsia"/>
                <w:sz w:val="24"/>
                <w:szCs w:val="24"/>
              </w:rPr>
              <w:t>7.1</w:t>
            </w:r>
          </w:p>
        </w:tc>
        <w:tc>
          <w:tcPr>
            <w:tcW w:w="3188" w:type="dxa"/>
            <w:tcBorders>
              <w:tl2br w:val="nil"/>
              <w:tr2bl w:val="nil"/>
            </w:tcBorders>
            <w:vAlign w:val="center"/>
          </w:tcPr>
          <w:p>
            <w:pPr>
              <w:jc w:val="center"/>
              <w:rPr>
                <w:color w:val="000000"/>
                <w:sz w:val="24"/>
                <w:szCs w:val="24"/>
              </w:rPr>
            </w:pPr>
            <w:r>
              <w:rPr>
                <w:rFonts w:hint="eastAsia"/>
                <w:sz w:val="24"/>
                <w:szCs w:val="24"/>
              </w:rPr>
              <w:t>60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575" w:type="dxa"/>
            <w:tcBorders>
              <w:tl2br w:val="nil"/>
              <w:tr2bl w:val="nil"/>
            </w:tcBorders>
            <w:vAlign w:val="center"/>
          </w:tcPr>
          <w:p>
            <w:pPr>
              <w:jc w:val="center"/>
              <w:rPr>
                <w:color w:val="000000"/>
                <w:sz w:val="24"/>
                <w:szCs w:val="24"/>
              </w:rPr>
            </w:pPr>
            <w:r>
              <w:rPr>
                <w:rFonts w:hint="eastAsia"/>
                <w:sz w:val="24"/>
                <w:szCs w:val="24"/>
              </w:rPr>
              <w:t>南9#停泊水域</w:t>
            </w:r>
          </w:p>
        </w:tc>
        <w:tc>
          <w:tcPr>
            <w:tcW w:w="2744" w:type="dxa"/>
            <w:tcBorders>
              <w:tl2br w:val="nil"/>
              <w:tr2bl w:val="nil"/>
            </w:tcBorders>
            <w:vAlign w:val="center"/>
          </w:tcPr>
          <w:p>
            <w:pPr>
              <w:jc w:val="center"/>
              <w:rPr>
                <w:color w:val="000000"/>
                <w:sz w:val="24"/>
                <w:szCs w:val="24"/>
              </w:rPr>
            </w:pPr>
            <w:r>
              <w:rPr>
                <w:rFonts w:hint="eastAsia"/>
                <w:sz w:val="24"/>
                <w:szCs w:val="24"/>
              </w:rPr>
              <w:t>401.0</w:t>
            </w:r>
          </w:p>
        </w:tc>
        <w:tc>
          <w:tcPr>
            <w:tcW w:w="3188" w:type="dxa"/>
            <w:tcBorders>
              <w:tl2br w:val="nil"/>
              <w:tr2bl w:val="nil"/>
            </w:tcBorders>
            <w:vAlign w:val="center"/>
          </w:tcPr>
          <w:p>
            <w:pPr>
              <w:jc w:val="center"/>
              <w:rPr>
                <w:color w:val="000000"/>
                <w:sz w:val="24"/>
                <w:szCs w:val="24"/>
              </w:rPr>
            </w:pPr>
            <w:r>
              <w:rPr>
                <w:rFonts w:hint="eastAsia"/>
                <w:sz w:val="24"/>
                <w:szCs w:val="24"/>
              </w:rPr>
              <w:t>2349.1</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575" w:type="dxa"/>
            <w:tcBorders>
              <w:tl2br w:val="nil"/>
              <w:tr2bl w:val="nil"/>
            </w:tcBorders>
            <w:vAlign w:val="center"/>
          </w:tcPr>
          <w:p>
            <w:pPr>
              <w:jc w:val="center"/>
              <w:rPr>
                <w:color w:val="000000"/>
                <w:sz w:val="24"/>
                <w:szCs w:val="24"/>
              </w:rPr>
            </w:pPr>
            <w:r>
              <w:rPr>
                <w:rFonts w:hint="eastAsia"/>
                <w:sz w:val="24"/>
                <w:szCs w:val="24"/>
              </w:rPr>
              <w:t>南9#回旋水域</w:t>
            </w:r>
          </w:p>
        </w:tc>
        <w:tc>
          <w:tcPr>
            <w:tcW w:w="2744" w:type="dxa"/>
            <w:tcBorders>
              <w:tl2br w:val="nil"/>
              <w:tr2bl w:val="nil"/>
            </w:tcBorders>
            <w:vAlign w:val="center"/>
          </w:tcPr>
          <w:p>
            <w:pPr>
              <w:jc w:val="center"/>
              <w:rPr>
                <w:color w:val="000000"/>
                <w:sz w:val="24"/>
                <w:szCs w:val="24"/>
              </w:rPr>
            </w:pPr>
            <w:r>
              <w:rPr>
                <w:rFonts w:hint="eastAsia"/>
                <w:sz w:val="24"/>
                <w:szCs w:val="24"/>
              </w:rPr>
              <w:t>51.5</w:t>
            </w:r>
          </w:p>
        </w:tc>
        <w:tc>
          <w:tcPr>
            <w:tcW w:w="3188" w:type="dxa"/>
            <w:tcBorders>
              <w:tl2br w:val="nil"/>
              <w:tr2bl w:val="nil"/>
            </w:tcBorders>
            <w:vAlign w:val="center"/>
          </w:tcPr>
          <w:p>
            <w:pPr>
              <w:jc w:val="center"/>
              <w:rPr>
                <w:color w:val="000000"/>
                <w:sz w:val="24"/>
                <w:szCs w:val="24"/>
              </w:rPr>
            </w:pPr>
            <w:r>
              <w:rPr>
                <w:rFonts w:hint="eastAsia"/>
                <w:sz w:val="24"/>
                <w:szCs w:val="24"/>
              </w:rPr>
              <w:t>355</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575" w:type="dxa"/>
            <w:tcBorders>
              <w:tl2br w:val="nil"/>
              <w:tr2bl w:val="nil"/>
            </w:tcBorders>
            <w:vAlign w:val="center"/>
          </w:tcPr>
          <w:p>
            <w:pPr>
              <w:jc w:val="center"/>
              <w:rPr>
                <w:sz w:val="24"/>
                <w:szCs w:val="24"/>
              </w:rPr>
            </w:pPr>
            <w:r>
              <w:rPr>
                <w:rFonts w:hint="eastAsia"/>
                <w:sz w:val="24"/>
                <w:szCs w:val="24"/>
              </w:rPr>
              <w:t>合计</w:t>
            </w:r>
          </w:p>
        </w:tc>
        <w:tc>
          <w:tcPr>
            <w:tcW w:w="2744" w:type="dxa"/>
            <w:tcBorders>
              <w:tl2br w:val="nil"/>
              <w:tr2bl w:val="nil"/>
            </w:tcBorders>
            <w:vAlign w:val="center"/>
          </w:tcPr>
          <w:p>
            <w:pPr>
              <w:jc w:val="center"/>
              <w:rPr>
                <w:sz w:val="24"/>
                <w:szCs w:val="24"/>
              </w:rPr>
            </w:pPr>
            <w:r>
              <w:rPr>
                <w:rFonts w:hint="eastAsia"/>
                <w:sz w:val="24"/>
                <w:szCs w:val="24"/>
              </w:rPr>
              <w:t>2370.2</w:t>
            </w:r>
          </w:p>
        </w:tc>
        <w:tc>
          <w:tcPr>
            <w:tcW w:w="3188" w:type="dxa"/>
            <w:tcBorders>
              <w:tl2br w:val="nil"/>
              <w:tr2bl w:val="nil"/>
            </w:tcBorders>
            <w:vAlign w:val="center"/>
          </w:tcPr>
          <w:p>
            <w:pPr>
              <w:jc w:val="center"/>
              <w:rPr>
                <w:sz w:val="24"/>
                <w:szCs w:val="24"/>
              </w:rPr>
            </w:pPr>
            <w:r>
              <w:rPr>
                <w:rFonts w:hint="eastAsia"/>
                <w:sz w:val="24"/>
                <w:szCs w:val="24"/>
              </w:rPr>
              <w:t>6912.4</w:t>
            </w:r>
          </w:p>
        </w:tc>
      </w:tr>
    </w:tbl>
    <w:p>
      <w:pPr>
        <w:overflowPunct w:val="0"/>
        <w:spacing w:line="360" w:lineRule="auto"/>
        <w:rPr>
          <w:color w:val="000000"/>
          <w:sz w:val="24"/>
          <w:lang w:eastAsia="zh-CN"/>
        </w:rPr>
      </w:pPr>
      <w:r>
        <w:rPr>
          <w:color w:val="000000"/>
          <w:sz w:val="24"/>
          <w:lang w:eastAsia="zh-CN"/>
        </w:rPr>
        <w:t>需疏浚具体位置详见南</w:t>
      </w:r>
      <w:r>
        <w:rPr>
          <w:rFonts w:hint="eastAsia"/>
          <w:color w:val="000000"/>
          <w:sz w:val="24"/>
          <w:lang w:eastAsia="zh-CN"/>
        </w:rPr>
        <w:t>8#、南9</w:t>
      </w:r>
      <w:r>
        <w:rPr>
          <w:color w:val="000000"/>
          <w:sz w:val="24"/>
          <w:lang w:eastAsia="zh-CN"/>
        </w:rPr>
        <w:t>#港池水域水深测量图</w:t>
      </w:r>
      <w:r>
        <w:rPr>
          <w:rFonts w:hint="eastAsia"/>
          <w:color w:val="000000"/>
          <w:sz w:val="24"/>
          <w:lang w:eastAsia="zh-CN"/>
        </w:rPr>
        <w:t>（附件1、附件2）。</w:t>
      </w:r>
    </w:p>
    <w:p>
      <w:pPr>
        <w:rPr>
          <w:sz w:val="28"/>
          <w:szCs w:val="28"/>
          <w:lang w:eastAsia="zh-CN"/>
        </w:rPr>
      </w:pPr>
    </w:p>
    <w:p>
      <w:pPr>
        <w:rPr>
          <w:sz w:val="28"/>
          <w:szCs w:val="28"/>
          <w:lang w:eastAsia="zh-CN"/>
        </w:rPr>
      </w:pPr>
      <w:r>
        <w:rPr>
          <w:rFonts w:hint="eastAsia"/>
          <w:sz w:val="28"/>
          <w:szCs w:val="28"/>
          <w:lang w:eastAsia="zh-CN"/>
        </w:rPr>
        <w:t xml:space="preserve">   投标单位需具备港口、航道施工资质，该项目中标单位责任包括但不限于办理水上水下施工许可，施工时所产生淤泥的合法处置。</w:t>
      </w:r>
    </w:p>
    <w:p>
      <w:pPr>
        <w:pStyle w:val="2"/>
        <w:rPr>
          <w:color w:val="FF0000"/>
          <w:sz w:val="28"/>
          <w:szCs w:val="28"/>
          <w:lang w:eastAsia="zh-CN"/>
        </w:rPr>
      </w:pPr>
      <w:r>
        <w:rPr>
          <w:rFonts w:hint="eastAsia" w:hAnsi="宋体" w:cs="宋体"/>
          <w:sz w:val="28"/>
          <w:szCs w:val="28"/>
        </w:rPr>
        <w:t>验收方式：在疏浚工程完成后5日内（除不可抗力的天气因素外）以甲方指定的第三方检测公司出具合格报告为准。</w:t>
      </w:r>
    </w:p>
    <w:p>
      <w:pPr>
        <w:pStyle w:val="2"/>
        <w:rPr>
          <w:color w:val="000000"/>
          <w:sz w:val="28"/>
          <w:szCs w:val="28"/>
        </w:rPr>
      </w:pPr>
    </w:p>
    <w:p>
      <w:pPr>
        <w:pStyle w:val="2"/>
        <w:rPr>
          <w:color w:val="000000"/>
          <w:sz w:val="28"/>
          <w:szCs w:val="28"/>
        </w:rPr>
      </w:pPr>
    </w:p>
    <w:p>
      <w:pPr>
        <w:pStyle w:val="2"/>
        <w:rPr>
          <w:color w:val="000000"/>
          <w:sz w:val="28"/>
          <w:szCs w:val="28"/>
        </w:rPr>
      </w:pPr>
    </w:p>
    <w:p>
      <w:pPr>
        <w:widowControl/>
        <w:shd w:val="clear" w:color="auto" w:fill="FEFEFE"/>
        <w:spacing w:line="360" w:lineRule="auto"/>
        <w:ind w:firstLine="440" w:firstLineChars="200"/>
        <w:rPr>
          <w:lang w:eastAsia="zh-CN"/>
        </w:rPr>
      </w:pPr>
    </w:p>
    <w:p>
      <w:pPr>
        <w:pStyle w:val="2"/>
      </w:pPr>
    </w:p>
    <w:p>
      <w:pPr>
        <w:spacing w:line="520" w:lineRule="exact"/>
        <w:rPr>
          <w:b/>
          <w:sz w:val="28"/>
          <w:szCs w:val="28"/>
          <w:lang w:eastAsia="zh-CN"/>
        </w:rPr>
      </w:pPr>
      <w:r>
        <w:rPr>
          <w:rFonts w:hint="eastAsia"/>
          <w:b/>
          <w:sz w:val="28"/>
          <w:szCs w:val="28"/>
          <w:lang w:eastAsia="zh-CN"/>
        </w:rPr>
        <w:t>附件2：</w:t>
      </w:r>
    </w:p>
    <w:p>
      <w:pPr>
        <w:pStyle w:val="25"/>
        <w:spacing w:after="360"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hint="eastAsia" w:asciiTheme="majorEastAsia" w:hAnsiTheme="majorEastAsia" w:eastAsiaTheme="majorEastAsia"/>
          <w:sz w:val="21"/>
          <w:szCs w:val="21"/>
          <w:u w:val="single"/>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翔鹭码头投资管理（漳州）有限公司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双方就南8#泊位、南9#泊位停泊及回旋水域疏浚项目项目签订了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92"/>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92"/>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92"/>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92"/>
        <w:numPr>
          <w:ilvl w:val="0"/>
          <w:numId w:val="3"/>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pStyle w:val="20"/>
        <w:spacing w:line="360" w:lineRule="auto"/>
        <w:ind w:right="121" w:firstLine="0" w:firstLineChars="0"/>
        <w:jc w:val="both"/>
        <w:rPr>
          <w:rFonts w:hint="eastAsia" w:asciiTheme="majorEastAsia" w:hAnsiTheme="majorEastAsia" w:eastAsiaTheme="majorEastAsia"/>
          <w:sz w:val="21"/>
          <w:szCs w:val="21"/>
          <w:u w:val="none"/>
          <w:lang w:eastAsia="zh-CN"/>
        </w:rPr>
      </w:pPr>
      <w:r>
        <w:rPr>
          <w:rFonts w:hint="eastAsia" w:asciiTheme="majorEastAsia" w:hAnsiTheme="majorEastAsia" w:eastAsiaTheme="majorEastAsia"/>
          <w:sz w:val="21"/>
          <w:szCs w:val="21"/>
          <w:u w:val="none"/>
          <w:lang w:eastAsia="zh-CN"/>
        </w:rPr>
        <w:t>翔鹭码头投资管理（漳州）有限公司</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9" w:type="default"/>
          <w:pgSz w:w="11910" w:h="16840"/>
          <w:pgMar w:top="1480" w:right="1120" w:bottom="740" w:left="1300" w:header="0" w:footer="487" w:gutter="0"/>
          <w:cols w:space="720" w:num="1"/>
        </w:sectPr>
      </w:pPr>
    </w:p>
    <w:p>
      <w:pPr>
        <w:pStyle w:val="2"/>
        <w:rPr>
          <w:b/>
          <w:sz w:val="28"/>
          <w:szCs w:val="28"/>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spacing w:line="1000" w:lineRule="exact"/>
        <w:ind w:firstLine="1041" w:firstLineChars="200"/>
        <w:rPr>
          <w:rFonts w:ascii="微软雅黑" w:eastAsia="微软雅黑"/>
          <w:b/>
          <w:sz w:val="52"/>
          <w:u w:val="single"/>
          <w:lang w:eastAsia="zh-CN"/>
        </w:rPr>
      </w:pPr>
      <w:r>
        <w:rPr>
          <w:rFonts w:hint="eastAsia" w:ascii="微软雅黑" w:eastAsia="微软雅黑"/>
          <w:b/>
          <w:sz w:val="52"/>
          <w:u w:val="single"/>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ascii="微软雅黑" w:eastAsia="微软雅黑"/>
          <w:b/>
          <w:sz w:val="52"/>
          <w:u w:val="single"/>
          <w:lang w:eastAsia="zh-CN"/>
        </w:rPr>
      </w:pPr>
      <w:r>
        <w:rPr>
          <w:rFonts w:hint="eastAsia" w:ascii="微软雅黑" w:eastAsia="微软雅黑"/>
          <w:b/>
          <w:sz w:val="52"/>
          <w:u w:val="single"/>
          <w:lang w:eastAsia="zh-CN"/>
        </w:rPr>
        <w:t>南8#泊位、南9#泊位停泊及回旋水域疏浚项目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5"/>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5"/>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5"/>
        <w:spacing w:beforeLines="0" w:afterLines="0" w:line="240" w:lineRule="auto"/>
        <w:ind w:firstLine="618" w:firstLineChars="221"/>
        <w:rPr>
          <w:rFonts w:cs="Times New Roman"/>
          <w:bCs w:val="0"/>
          <w:color w:val="C00000"/>
          <w:lang w:eastAsia="zh-CN"/>
        </w:rPr>
      </w:pPr>
    </w:p>
    <w:p>
      <w:pPr>
        <w:pStyle w:val="9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5"/>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p>
    <w:p>
      <w:pPr>
        <w:pStyle w:val="9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5"/>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5"/>
        <w:spacing w:beforeLines="0" w:afterLines="0" w:line="240" w:lineRule="auto"/>
        <w:ind w:firstLineChars="0"/>
        <w:rPr>
          <w:rFonts w:ascii="Times New Roman" w:hAnsi="Times New Roman" w:cs="Times New Roman"/>
          <w:b/>
          <w:color w:val="FF0000"/>
          <w:sz w:val="24"/>
          <w:szCs w:val="24"/>
          <w:lang w:eastAsia="zh-CN"/>
        </w:rPr>
      </w:pPr>
    </w:p>
    <w:p>
      <w:pPr>
        <w:pStyle w:val="95"/>
        <w:spacing w:beforeLines="0" w:afterLines="0"/>
        <w:ind w:firstLine="0"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0"/>
        <w:spacing w:line="360" w:lineRule="auto"/>
        <w:ind w:right="121"/>
        <w:jc w:val="both"/>
        <w:rPr>
          <w:lang w:eastAsia="zh-CN"/>
        </w:rPr>
      </w:pPr>
    </w:p>
    <w:p>
      <w:pPr>
        <w:pStyle w:val="20"/>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福建福海创石油化工有限公司南8#泊位、南9#泊位停泊及回旋水域疏浚项目</w:t>
      </w:r>
    </w:p>
    <w:p>
      <w:pPr>
        <w:spacing w:line="360" w:lineRule="auto"/>
        <w:ind w:firstLine="480" w:firstLineChars="200"/>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参选报价总计：</w:t>
      </w:r>
      <w:r>
        <w:rPr>
          <w:rFonts w:hint="eastAsia"/>
          <w:sz w:val="24"/>
          <w:szCs w:val="24"/>
          <w:u w:val="single"/>
          <w:lang w:eastAsia="zh-CN"/>
        </w:rPr>
        <w:t xml:space="preserve">                </w:t>
      </w:r>
      <w:r>
        <w:rPr>
          <w:rFonts w:hint="eastAsia"/>
          <w:sz w:val="24"/>
          <w:szCs w:val="24"/>
          <w:lang w:eastAsia="zh-CN"/>
        </w:rPr>
        <w:t>元 （包干含税总价）</w:t>
      </w:r>
    </w:p>
    <w:p>
      <w:pPr>
        <w:pStyle w:val="2"/>
        <w:numPr>
          <w:ilvl w:val="255"/>
          <w:numId w:val="0"/>
        </w:numPr>
      </w:pP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 </w:t>
      </w:r>
      <w:r>
        <w:rPr>
          <w:rFonts w:hint="eastAsia"/>
          <w:sz w:val="24"/>
          <w:szCs w:val="24"/>
        </w:rPr>
        <w:t>；</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全部款项均以电汇方式支付，验收合格后支付100%</w:t>
      </w:r>
      <w:r>
        <w:rPr>
          <w:rFonts w:hint="eastAsia"/>
          <w:sz w:val="24"/>
          <w:szCs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bookmarkEnd w:id="0"/>
    <w:p>
      <w:pPr>
        <w:pStyle w:val="2"/>
        <w:jc w:val="left"/>
        <w:rPr>
          <w:sz w:val="21"/>
          <w:szCs w:val="2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3"/>
      </w:rPr>
    </w:pPr>
    <w:r>
      <w:rPr>
        <w:rStyle w:val="53"/>
      </w:rPr>
      <w:fldChar w:fldCharType="begin"/>
    </w:r>
    <w:r>
      <w:rPr>
        <w:rStyle w:val="53"/>
      </w:rPr>
      <w:instrText xml:space="preserve">PAGE  </w:instrText>
    </w:r>
    <w:r>
      <w:rPr>
        <w:rStyle w:val="53"/>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20</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30</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2NDY3NGQzMmJmYjUwZTljNjJiMDRmYmQ5YWM0MjMifQ=="/>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76011"/>
    <w:rsid w:val="00085CA2"/>
    <w:rsid w:val="00092243"/>
    <w:rsid w:val="0009500D"/>
    <w:rsid w:val="000962C0"/>
    <w:rsid w:val="000A1C86"/>
    <w:rsid w:val="000A6182"/>
    <w:rsid w:val="000B0914"/>
    <w:rsid w:val="000B2F35"/>
    <w:rsid w:val="000C1FAD"/>
    <w:rsid w:val="000C57EB"/>
    <w:rsid w:val="000C629C"/>
    <w:rsid w:val="000C6E84"/>
    <w:rsid w:val="000D1175"/>
    <w:rsid w:val="000D1AB8"/>
    <w:rsid w:val="000D35CF"/>
    <w:rsid w:val="000D51F3"/>
    <w:rsid w:val="000E505B"/>
    <w:rsid w:val="000F116F"/>
    <w:rsid w:val="000F15E9"/>
    <w:rsid w:val="000F27AD"/>
    <w:rsid w:val="000F39C1"/>
    <w:rsid w:val="000F4255"/>
    <w:rsid w:val="00101100"/>
    <w:rsid w:val="00105AC2"/>
    <w:rsid w:val="0011079D"/>
    <w:rsid w:val="00111D19"/>
    <w:rsid w:val="00112B7E"/>
    <w:rsid w:val="001150C5"/>
    <w:rsid w:val="00120260"/>
    <w:rsid w:val="00122E24"/>
    <w:rsid w:val="00124CF9"/>
    <w:rsid w:val="0012681B"/>
    <w:rsid w:val="00130886"/>
    <w:rsid w:val="00133F6A"/>
    <w:rsid w:val="00135AC9"/>
    <w:rsid w:val="00142384"/>
    <w:rsid w:val="001427F4"/>
    <w:rsid w:val="00142830"/>
    <w:rsid w:val="00144FE0"/>
    <w:rsid w:val="00146977"/>
    <w:rsid w:val="001507FD"/>
    <w:rsid w:val="00150CB0"/>
    <w:rsid w:val="00154D53"/>
    <w:rsid w:val="00154EB4"/>
    <w:rsid w:val="00164170"/>
    <w:rsid w:val="001660AB"/>
    <w:rsid w:val="0017098C"/>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0EE6"/>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2A4"/>
    <w:rsid w:val="00513D5D"/>
    <w:rsid w:val="00514AFE"/>
    <w:rsid w:val="00533119"/>
    <w:rsid w:val="005339E0"/>
    <w:rsid w:val="005345C8"/>
    <w:rsid w:val="005369F4"/>
    <w:rsid w:val="0054092C"/>
    <w:rsid w:val="005453C6"/>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0E4A"/>
    <w:rsid w:val="005F21D1"/>
    <w:rsid w:val="005F32BA"/>
    <w:rsid w:val="005F4BA4"/>
    <w:rsid w:val="00603968"/>
    <w:rsid w:val="006051AD"/>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3D0"/>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7180"/>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026"/>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2C3E"/>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05CF"/>
    <w:rsid w:val="00DF35F4"/>
    <w:rsid w:val="00DF41E5"/>
    <w:rsid w:val="00DF463A"/>
    <w:rsid w:val="00DF71FF"/>
    <w:rsid w:val="00E00780"/>
    <w:rsid w:val="00E068F1"/>
    <w:rsid w:val="00E12E5B"/>
    <w:rsid w:val="00E13875"/>
    <w:rsid w:val="00E155F5"/>
    <w:rsid w:val="00E21054"/>
    <w:rsid w:val="00E23C5D"/>
    <w:rsid w:val="00E265D8"/>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6EFB"/>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67315B"/>
    <w:rsid w:val="03B3341D"/>
    <w:rsid w:val="061139E5"/>
    <w:rsid w:val="06F50B00"/>
    <w:rsid w:val="076E1278"/>
    <w:rsid w:val="08D1141D"/>
    <w:rsid w:val="0B296DE2"/>
    <w:rsid w:val="0D1B22D7"/>
    <w:rsid w:val="0F611154"/>
    <w:rsid w:val="10294AA3"/>
    <w:rsid w:val="10E40CA0"/>
    <w:rsid w:val="10F038ED"/>
    <w:rsid w:val="11501AE0"/>
    <w:rsid w:val="136130D9"/>
    <w:rsid w:val="13805E8A"/>
    <w:rsid w:val="14762538"/>
    <w:rsid w:val="15800409"/>
    <w:rsid w:val="15902B35"/>
    <w:rsid w:val="173600E6"/>
    <w:rsid w:val="182C12FB"/>
    <w:rsid w:val="18DD4F7E"/>
    <w:rsid w:val="195B58A2"/>
    <w:rsid w:val="1989465C"/>
    <w:rsid w:val="1CA924ED"/>
    <w:rsid w:val="1E085A14"/>
    <w:rsid w:val="1FF43DDB"/>
    <w:rsid w:val="2167018C"/>
    <w:rsid w:val="21933AA2"/>
    <w:rsid w:val="25BF356F"/>
    <w:rsid w:val="25DB0C2D"/>
    <w:rsid w:val="269469E7"/>
    <w:rsid w:val="26EF5299"/>
    <w:rsid w:val="27064A3F"/>
    <w:rsid w:val="27EE0826"/>
    <w:rsid w:val="2998140D"/>
    <w:rsid w:val="29FC3B14"/>
    <w:rsid w:val="2A1E72AE"/>
    <w:rsid w:val="2A8D0A71"/>
    <w:rsid w:val="2B11792E"/>
    <w:rsid w:val="2C7C6C0E"/>
    <w:rsid w:val="2F724BD0"/>
    <w:rsid w:val="30E829F3"/>
    <w:rsid w:val="31C54755"/>
    <w:rsid w:val="3216608C"/>
    <w:rsid w:val="34CE14C6"/>
    <w:rsid w:val="34D84CEC"/>
    <w:rsid w:val="35560C7C"/>
    <w:rsid w:val="37AF5AB7"/>
    <w:rsid w:val="38127D26"/>
    <w:rsid w:val="39B6757C"/>
    <w:rsid w:val="3B1C3371"/>
    <w:rsid w:val="3C922DFF"/>
    <w:rsid w:val="3CC23198"/>
    <w:rsid w:val="3DDF4815"/>
    <w:rsid w:val="3E450461"/>
    <w:rsid w:val="3EAE0563"/>
    <w:rsid w:val="3F027B25"/>
    <w:rsid w:val="3FE669E5"/>
    <w:rsid w:val="43EC4B0B"/>
    <w:rsid w:val="462A54F2"/>
    <w:rsid w:val="484F4A34"/>
    <w:rsid w:val="49C8064F"/>
    <w:rsid w:val="4A07544F"/>
    <w:rsid w:val="4A6A5207"/>
    <w:rsid w:val="4C8175A5"/>
    <w:rsid w:val="4E581BBB"/>
    <w:rsid w:val="50F63E28"/>
    <w:rsid w:val="5221007F"/>
    <w:rsid w:val="52926B5A"/>
    <w:rsid w:val="52F74B88"/>
    <w:rsid w:val="545C5E51"/>
    <w:rsid w:val="5486175B"/>
    <w:rsid w:val="54C676FE"/>
    <w:rsid w:val="551D3B87"/>
    <w:rsid w:val="558D7AB7"/>
    <w:rsid w:val="55E32A21"/>
    <w:rsid w:val="57667D24"/>
    <w:rsid w:val="57CE5BC3"/>
    <w:rsid w:val="59C5385A"/>
    <w:rsid w:val="5A2D3E44"/>
    <w:rsid w:val="5A3260D4"/>
    <w:rsid w:val="5AE1516A"/>
    <w:rsid w:val="5B6A3A79"/>
    <w:rsid w:val="5B847843"/>
    <w:rsid w:val="5C1A5F7B"/>
    <w:rsid w:val="5D7A3273"/>
    <w:rsid w:val="5E2B4120"/>
    <w:rsid w:val="5EE536B6"/>
    <w:rsid w:val="5F9C62EA"/>
    <w:rsid w:val="628D3982"/>
    <w:rsid w:val="629B5546"/>
    <w:rsid w:val="62DF663A"/>
    <w:rsid w:val="645771F8"/>
    <w:rsid w:val="66197DFB"/>
    <w:rsid w:val="66CC0AF0"/>
    <w:rsid w:val="66DE12F7"/>
    <w:rsid w:val="676640B6"/>
    <w:rsid w:val="693C3D94"/>
    <w:rsid w:val="6A54112D"/>
    <w:rsid w:val="6A701C86"/>
    <w:rsid w:val="6AA035AE"/>
    <w:rsid w:val="6BCB034D"/>
    <w:rsid w:val="6C0E1756"/>
    <w:rsid w:val="6C3B7BA1"/>
    <w:rsid w:val="6DC956E5"/>
    <w:rsid w:val="6E0F2E14"/>
    <w:rsid w:val="6E8118C3"/>
    <w:rsid w:val="6F1E141D"/>
    <w:rsid w:val="6F5354F8"/>
    <w:rsid w:val="71DE66EF"/>
    <w:rsid w:val="727810B8"/>
    <w:rsid w:val="734A5947"/>
    <w:rsid w:val="740A2BDE"/>
    <w:rsid w:val="751839E0"/>
    <w:rsid w:val="76274F93"/>
    <w:rsid w:val="79EB3F2F"/>
    <w:rsid w:val="79FD3C4B"/>
    <w:rsid w:val="7B11789E"/>
    <w:rsid w:val="7D250FF6"/>
    <w:rsid w:val="7D7801C5"/>
    <w:rsid w:val="7DC94A0A"/>
    <w:rsid w:val="7F3C6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70"/>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7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3"/>
    <w:qFormat/>
    <w:uiPriority w:val="0"/>
    <w:rPr>
      <w:sz w:val="24"/>
      <w:szCs w:val="24"/>
    </w:rPr>
  </w:style>
  <w:style w:type="paragraph" w:styleId="21">
    <w:name w:val="Body Text Indent"/>
    <w:basedOn w:val="1"/>
    <w:link w:val="7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5"/>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7"/>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8"/>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9"/>
    <w:qFormat/>
    <w:uiPriority w:val="99"/>
    <w:pPr>
      <w:tabs>
        <w:tab w:val="center" w:pos="4153"/>
        <w:tab w:val="right" w:pos="8306"/>
      </w:tabs>
      <w:snapToGrid w:val="0"/>
    </w:pPr>
    <w:rPr>
      <w:sz w:val="18"/>
      <w:szCs w:val="18"/>
    </w:rPr>
  </w:style>
  <w:style w:type="paragraph" w:styleId="31">
    <w:name w:val="header"/>
    <w:basedOn w:val="1"/>
    <w:link w:val="8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8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2"/>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3"/>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7"/>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8"/>
    <w:qFormat/>
    <w:uiPriority w:val="0"/>
    <w:pPr>
      <w:widowControl/>
    </w:pPr>
    <w:rPr>
      <w:b/>
      <w:bCs/>
      <w:sz w:val="24"/>
      <w:szCs w:val="24"/>
    </w:rPr>
  </w:style>
  <w:style w:type="paragraph" w:styleId="47">
    <w:name w:val="Body Text First Indent"/>
    <w:basedOn w:val="20"/>
    <w:link w:val="89"/>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paragraph" w:styleId="48">
    <w:name w:val="Body Text First Indent 2"/>
    <w:basedOn w:val="21"/>
    <w:next w:val="1"/>
    <w:qFormat/>
    <w:uiPriority w:val="0"/>
    <w:pPr>
      <w:ind w:firstLine="420" w:firstLineChars="200"/>
    </w:pPr>
  </w:style>
  <w:style w:type="table" w:styleId="50">
    <w:name w:val="Table Grid"/>
    <w:basedOn w:val="4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99"/>
    <w:rPr>
      <w:color w:val="800080"/>
      <w:u w:val="single"/>
    </w:rPr>
  </w:style>
  <w:style w:type="character" w:styleId="55">
    <w:name w:val="Emphasis"/>
    <w:basedOn w:val="51"/>
    <w:qFormat/>
    <w:uiPriority w:val="0"/>
  </w:style>
  <w:style w:type="character" w:styleId="56">
    <w:name w:val="Hyperlink"/>
    <w:basedOn w:val="51"/>
    <w:qFormat/>
    <w:uiPriority w:val="99"/>
    <w:rPr>
      <w:color w:val="0000FF" w:themeColor="hyperlink"/>
      <w:u w:val="single"/>
      <w14:textFill>
        <w14:solidFill>
          <w14:schemeClr w14:val="hlink"/>
        </w14:solidFill>
      </w14:textFill>
    </w:rPr>
  </w:style>
  <w:style w:type="character" w:styleId="57">
    <w:name w:val="HTML Code"/>
    <w:basedOn w:val="51"/>
    <w:semiHidden/>
    <w:unhideWhenUsed/>
    <w:qFormat/>
    <w:uiPriority w:val="0"/>
    <w:rPr>
      <w:rFonts w:ascii="Courier New" w:hAnsi="Courier New"/>
      <w:sz w:val="20"/>
    </w:rPr>
  </w:style>
  <w:style w:type="character" w:styleId="58">
    <w:name w:val="annotation reference"/>
    <w:basedOn w:val="51"/>
    <w:qFormat/>
    <w:uiPriority w:val="0"/>
    <w:rPr>
      <w:sz w:val="21"/>
      <w:szCs w:val="21"/>
    </w:rPr>
  </w:style>
  <w:style w:type="character" w:customStyle="1" w:styleId="59">
    <w:name w:val="标题 1 Char"/>
    <w:basedOn w:val="51"/>
    <w:link w:val="3"/>
    <w:qFormat/>
    <w:uiPriority w:val="0"/>
    <w:rPr>
      <w:rFonts w:ascii="宋体" w:hAnsi="宋体" w:cs="宋体"/>
      <w:b/>
      <w:bCs/>
      <w:sz w:val="28"/>
      <w:szCs w:val="28"/>
      <w:lang w:eastAsia="en-US"/>
    </w:rPr>
  </w:style>
  <w:style w:type="character" w:customStyle="1" w:styleId="60">
    <w:name w:val="标题 2 Char"/>
    <w:basedOn w:val="51"/>
    <w:link w:val="4"/>
    <w:qFormat/>
    <w:uiPriority w:val="0"/>
    <w:rPr>
      <w:rFonts w:ascii="宋体" w:hAnsi="宋体" w:cs="宋体"/>
      <w:b/>
      <w:bCs/>
      <w:sz w:val="24"/>
      <w:szCs w:val="24"/>
      <w:lang w:eastAsia="en-US"/>
    </w:rPr>
  </w:style>
  <w:style w:type="character" w:customStyle="1" w:styleId="61">
    <w:name w:val="标题 3 Char"/>
    <w:basedOn w:val="51"/>
    <w:link w:val="5"/>
    <w:qFormat/>
    <w:uiPriority w:val="0"/>
    <w:rPr>
      <w:b/>
      <w:bCs/>
      <w:kern w:val="2"/>
      <w:sz w:val="32"/>
      <w:szCs w:val="32"/>
    </w:rPr>
  </w:style>
  <w:style w:type="character" w:customStyle="1" w:styleId="62">
    <w:name w:val="标题 4 Char"/>
    <w:basedOn w:val="51"/>
    <w:link w:val="6"/>
    <w:qFormat/>
    <w:uiPriority w:val="0"/>
    <w:rPr>
      <w:b/>
      <w:kern w:val="2"/>
      <w:sz w:val="24"/>
      <w:szCs w:val="24"/>
    </w:rPr>
  </w:style>
  <w:style w:type="character" w:customStyle="1" w:styleId="63">
    <w:name w:val="标题 5 Char"/>
    <w:basedOn w:val="51"/>
    <w:link w:val="7"/>
    <w:qFormat/>
    <w:uiPriority w:val="0"/>
    <w:rPr>
      <w:b/>
      <w:bCs/>
      <w:kern w:val="2"/>
      <w:sz w:val="28"/>
      <w:szCs w:val="28"/>
    </w:rPr>
  </w:style>
  <w:style w:type="character" w:customStyle="1" w:styleId="64">
    <w:name w:val="标题 6 Char"/>
    <w:basedOn w:val="51"/>
    <w:link w:val="8"/>
    <w:qFormat/>
    <w:uiPriority w:val="0"/>
    <w:rPr>
      <w:b/>
      <w:sz w:val="24"/>
    </w:rPr>
  </w:style>
  <w:style w:type="character" w:customStyle="1" w:styleId="65">
    <w:name w:val="正文缩进 Char"/>
    <w:basedOn w:val="51"/>
    <w:link w:val="10"/>
    <w:qFormat/>
    <w:uiPriority w:val="0"/>
    <w:rPr>
      <w:sz w:val="24"/>
    </w:rPr>
  </w:style>
  <w:style w:type="character" w:customStyle="1" w:styleId="66">
    <w:name w:val="标题 7 Char"/>
    <w:basedOn w:val="51"/>
    <w:link w:val="9"/>
    <w:qFormat/>
    <w:uiPriority w:val="0"/>
    <w:rPr>
      <w:b/>
      <w:kern w:val="2"/>
      <w:sz w:val="24"/>
    </w:rPr>
  </w:style>
  <w:style w:type="character" w:customStyle="1" w:styleId="67">
    <w:name w:val="标题 8 Char"/>
    <w:basedOn w:val="51"/>
    <w:link w:val="11"/>
    <w:qFormat/>
    <w:uiPriority w:val="0"/>
    <w:rPr>
      <w:rFonts w:ascii="Arial" w:hAnsi="Arial" w:eastAsia="黑体"/>
      <w:kern w:val="2"/>
      <w:sz w:val="24"/>
    </w:rPr>
  </w:style>
  <w:style w:type="character" w:customStyle="1" w:styleId="68">
    <w:name w:val="标题 9 Char"/>
    <w:basedOn w:val="51"/>
    <w:link w:val="12"/>
    <w:qFormat/>
    <w:uiPriority w:val="0"/>
    <w:rPr>
      <w:rFonts w:ascii="Arial" w:hAnsi="Arial" w:eastAsia="黑体"/>
      <w:kern w:val="2"/>
      <w:sz w:val="21"/>
    </w:rPr>
  </w:style>
  <w:style w:type="character" w:customStyle="1" w:styleId="69">
    <w:name w:val="文档结构图 Char"/>
    <w:basedOn w:val="51"/>
    <w:link w:val="16"/>
    <w:qFormat/>
    <w:uiPriority w:val="0"/>
    <w:rPr>
      <w:rFonts w:ascii="宋体"/>
      <w:sz w:val="28"/>
      <w:shd w:val="clear" w:color="auto" w:fill="000080"/>
    </w:rPr>
  </w:style>
  <w:style w:type="character" w:customStyle="1" w:styleId="70">
    <w:name w:val="批注文字 Char"/>
    <w:basedOn w:val="51"/>
    <w:link w:val="17"/>
    <w:qFormat/>
    <w:uiPriority w:val="0"/>
    <w:rPr>
      <w:kern w:val="2"/>
      <w:sz w:val="21"/>
    </w:rPr>
  </w:style>
  <w:style w:type="character" w:customStyle="1" w:styleId="71">
    <w:name w:val="正文文本 3 Char"/>
    <w:basedOn w:val="51"/>
    <w:link w:val="18"/>
    <w:qFormat/>
    <w:uiPriority w:val="0"/>
    <w:rPr>
      <w:color w:val="0000FF"/>
      <w:kern w:val="2"/>
      <w:sz w:val="24"/>
      <w:szCs w:val="24"/>
    </w:rPr>
  </w:style>
  <w:style w:type="character" w:customStyle="1" w:styleId="72">
    <w:name w:val="结束语 Char"/>
    <w:basedOn w:val="51"/>
    <w:link w:val="19"/>
    <w:qFormat/>
    <w:uiPriority w:val="99"/>
    <w:rPr>
      <w:b/>
      <w:kern w:val="2"/>
      <w:sz w:val="21"/>
    </w:rPr>
  </w:style>
  <w:style w:type="character" w:customStyle="1" w:styleId="73">
    <w:name w:val="正文文本 Char1"/>
    <w:basedOn w:val="51"/>
    <w:link w:val="20"/>
    <w:qFormat/>
    <w:uiPriority w:val="0"/>
    <w:rPr>
      <w:rFonts w:ascii="宋体" w:hAnsi="宋体" w:cs="宋体"/>
      <w:sz w:val="24"/>
      <w:szCs w:val="24"/>
      <w:lang w:eastAsia="en-US"/>
    </w:rPr>
  </w:style>
  <w:style w:type="character" w:customStyle="1" w:styleId="74">
    <w:name w:val="正文文本缩进 Char"/>
    <w:basedOn w:val="51"/>
    <w:link w:val="21"/>
    <w:qFormat/>
    <w:uiPriority w:val="0"/>
    <w:rPr>
      <w:i/>
      <w:iCs/>
      <w:kern w:val="2"/>
      <w:sz w:val="21"/>
    </w:rPr>
  </w:style>
  <w:style w:type="character" w:customStyle="1" w:styleId="75">
    <w:name w:val="纯文本 Char"/>
    <w:basedOn w:val="51"/>
    <w:link w:val="25"/>
    <w:qFormat/>
    <w:uiPriority w:val="99"/>
    <w:rPr>
      <w:rFonts w:ascii="宋体" w:hAnsi="Courier New" w:cs="Courier New"/>
      <w:sz w:val="22"/>
      <w:szCs w:val="21"/>
      <w:lang w:eastAsia="en-US"/>
    </w:rPr>
  </w:style>
  <w:style w:type="character" w:customStyle="1" w:styleId="76">
    <w:name w:val="日期 Char"/>
    <w:basedOn w:val="51"/>
    <w:link w:val="27"/>
    <w:qFormat/>
    <w:uiPriority w:val="0"/>
    <w:rPr>
      <w:kern w:val="2"/>
      <w:sz w:val="21"/>
      <w:szCs w:val="24"/>
    </w:rPr>
  </w:style>
  <w:style w:type="character" w:customStyle="1" w:styleId="77">
    <w:name w:val="正文文本缩进 2 Char"/>
    <w:basedOn w:val="51"/>
    <w:link w:val="28"/>
    <w:qFormat/>
    <w:uiPriority w:val="0"/>
    <w:rPr>
      <w:rFonts w:ascii="宋体" w:hAnsi="宋体"/>
      <w:iCs/>
      <w:kern w:val="2"/>
      <w:sz w:val="24"/>
      <w:szCs w:val="24"/>
    </w:rPr>
  </w:style>
  <w:style w:type="character" w:customStyle="1" w:styleId="78">
    <w:name w:val="批注框文本 Char"/>
    <w:basedOn w:val="51"/>
    <w:link w:val="29"/>
    <w:qFormat/>
    <w:uiPriority w:val="0"/>
    <w:rPr>
      <w:kern w:val="2"/>
      <w:sz w:val="18"/>
      <w:szCs w:val="18"/>
    </w:rPr>
  </w:style>
  <w:style w:type="character" w:customStyle="1" w:styleId="79">
    <w:name w:val="页脚 Char"/>
    <w:basedOn w:val="51"/>
    <w:link w:val="30"/>
    <w:qFormat/>
    <w:uiPriority w:val="99"/>
    <w:rPr>
      <w:rFonts w:ascii="宋体" w:hAnsi="宋体" w:cs="宋体"/>
      <w:sz w:val="18"/>
      <w:szCs w:val="18"/>
      <w:lang w:eastAsia="en-US"/>
    </w:rPr>
  </w:style>
  <w:style w:type="character" w:customStyle="1" w:styleId="80">
    <w:name w:val="页眉 Char"/>
    <w:basedOn w:val="51"/>
    <w:link w:val="31"/>
    <w:qFormat/>
    <w:uiPriority w:val="0"/>
    <w:rPr>
      <w:rFonts w:ascii="宋体" w:hAnsi="宋体" w:cs="宋体"/>
      <w:sz w:val="18"/>
      <w:szCs w:val="22"/>
      <w:lang w:eastAsia="en-US"/>
    </w:rPr>
  </w:style>
  <w:style w:type="character" w:customStyle="1" w:styleId="81">
    <w:name w:val="副标题 Char"/>
    <w:link w:val="34"/>
    <w:qFormat/>
    <w:uiPriority w:val="0"/>
    <w:rPr>
      <w:rFonts w:ascii="Cambria" w:hAnsi="Cambria"/>
      <w:b/>
      <w:bCs/>
      <w:kern w:val="28"/>
      <w:sz w:val="24"/>
      <w:szCs w:val="32"/>
    </w:rPr>
  </w:style>
  <w:style w:type="character" w:customStyle="1" w:styleId="82">
    <w:name w:val="正文文本缩进 3 Char"/>
    <w:basedOn w:val="51"/>
    <w:link w:val="37"/>
    <w:qFormat/>
    <w:uiPriority w:val="0"/>
    <w:rPr>
      <w:kern w:val="2"/>
      <w:sz w:val="28"/>
    </w:rPr>
  </w:style>
  <w:style w:type="character" w:customStyle="1" w:styleId="83">
    <w:name w:val="正文文本 2 Char"/>
    <w:basedOn w:val="51"/>
    <w:link w:val="40"/>
    <w:qFormat/>
    <w:uiPriority w:val="0"/>
    <w:rPr>
      <w:kern w:val="2"/>
      <w:sz w:val="21"/>
      <w:szCs w:val="24"/>
    </w:rPr>
  </w:style>
  <w:style w:type="character" w:customStyle="1" w:styleId="84">
    <w:name w:val="信息标题 Char"/>
    <w:basedOn w:val="51"/>
    <w:link w:val="41"/>
    <w:qFormat/>
    <w:uiPriority w:val="0"/>
    <w:rPr>
      <w:rFonts w:ascii="Arial" w:hAnsi="Arial" w:cs="Arial"/>
      <w:kern w:val="2"/>
      <w:sz w:val="24"/>
      <w:szCs w:val="24"/>
      <w:shd w:val="pct20" w:color="auto" w:fill="auto"/>
    </w:rPr>
  </w:style>
  <w:style w:type="character" w:customStyle="1" w:styleId="85">
    <w:name w:val="HTML 预设格式 Char"/>
    <w:basedOn w:val="51"/>
    <w:link w:val="42"/>
    <w:qFormat/>
    <w:uiPriority w:val="0"/>
    <w:rPr>
      <w:rFonts w:ascii="Arial Unicode MS" w:hAnsi="Arial Unicode MS" w:eastAsia="Courier New" w:cs="Courier New"/>
    </w:rPr>
  </w:style>
  <w:style w:type="character" w:customStyle="1" w:styleId="86">
    <w:name w:val="普通(网站) Char"/>
    <w:basedOn w:val="51"/>
    <w:link w:val="43"/>
    <w:qFormat/>
    <w:locked/>
    <w:uiPriority w:val="0"/>
    <w:rPr>
      <w:rFonts w:ascii="宋体" w:hAnsi="宋体" w:cs="宋体"/>
      <w:sz w:val="24"/>
      <w:szCs w:val="24"/>
    </w:rPr>
  </w:style>
  <w:style w:type="character" w:customStyle="1" w:styleId="87">
    <w:name w:val="标题 Char"/>
    <w:basedOn w:val="51"/>
    <w:link w:val="45"/>
    <w:qFormat/>
    <w:uiPriority w:val="0"/>
    <w:rPr>
      <w:rFonts w:ascii="Arial" w:hAnsi="Arial" w:cs="Arial"/>
      <w:b/>
      <w:bCs/>
      <w:sz w:val="44"/>
      <w:szCs w:val="32"/>
    </w:rPr>
  </w:style>
  <w:style w:type="character" w:customStyle="1" w:styleId="88">
    <w:name w:val="批注主题 Char"/>
    <w:basedOn w:val="70"/>
    <w:link w:val="46"/>
    <w:qFormat/>
    <w:uiPriority w:val="0"/>
    <w:rPr>
      <w:b/>
      <w:bCs/>
      <w:kern w:val="2"/>
      <w:sz w:val="24"/>
      <w:szCs w:val="24"/>
    </w:rPr>
  </w:style>
  <w:style w:type="character" w:customStyle="1" w:styleId="89">
    <w:name w:val="正文首行缩进 Char"/>
    <w:basedOn w:val="90"/>
    <w:link w:val="47"/>
    <w:qFormat/>
    <w:uiPriority w:val="0"/>
    <w:rPr>
      <w:rFonts w:eastAsia="宋体"/>
      <w:sz w:val="21"/>
      <w:szCs w:val="21"/>
      <w:lang w:val="en-US" w:eastAsia="zh-CN" w:bidi="ar-SA"/>
    </w:rPr>
  </w:style>
  <w:style w:type="character" w:customStyle="1" w:styleId="90">
    <w:name w:val="正文文本 Char"/>
    <w:basedOn w:val="51"/>
    <w:qFormat/>
    <w:uiPriority w:val="0"/>
    <w:rPr>
      <w:rFonts w:eastAsia="宋体"/>
      <w:sz w:val="24"/>
      <w:szCs w:val="24"/>
      <w:lang w:val="en-US" w:eastAsia="zh-CN" w:bidi="ar-SA"/>
    </w:rPr>
  </w:style>
  <w:style w:type="table" w:customStyle="1" w:styleId="91">
    <w:name w:val="Table Normal"/>
    <w:semiHidden/>
    <w:unhideWhenUsed/>
    <w:qFormat/>
    <w:uiPriority w:val="2"/>
    <w:tblPr>
      <w:tblCellMar>
        <w:top w:w="0" w:type="dxa"/>
        <w:left w:w="0" w:type="dxa"/>
        <w:bottom w:w="0" w:type="dxa"/>
        <w:right w:w="0" w:type="dxa"/>
      </w:tblCellMar>
    </w:tblPr>
  </w:style>
  <w:style w:type="paragraph" w:styleId="92">
    <w:name w:val="List Paragraph"/>
    <w:basedOn w:val="1"/>
    <w:link w:val="93"/>
    <w:qFormat/>
    <w:uiPriority w:val="34"/>
    <w:pPr>
      <w:spacing w:before="206"/>
      <w:ind w:left="959" w:hanging="361"/>
    </w:pPr>
  </w:style>
  <w:style w:type="character" w:customStyle="1" w:styleId="93">
    <w:name w:val="列出段落 Char"/>
    <w:link w:val="92"/>
    <w:qFormat/>
    <w:uiPriority w:val="0"/>
    <w:rPr>
      <w:rFonts w:ascii="宋体" w:hAnsi="宋体" w:cs="宋体"/>
      <w:sz w:val="22"/>
      <w:szCs w:val="22"/>
      <w:lang w:eastAsia="en-US"/>
    </w:rPr>
  </w:style>
  <w:style w:type="paragraph" w:customStyle="1" w:styleId="94">
    <w:name w:val="Table Paragraph"/>
    <w:basedOn w:val="1"/>
    <w:qFormat/>
    <w:uiPriority w:val="1"/>
  </w:style>
  <w:style w:type="paragraph" w:customStyle="1" w:styleId="9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7">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8">
    <w:name w:val="xdrichtextbox2"/>
    <w:basedOn w:val="51"/>
    <w:qFormat/>
    <w:uiPriority w:val="0"/>
    <w:rPr>
      <w:color w:val="0000FF"/>
      <w:sz w:val="18"/>
      <w:szCs w:val="18"/>
      <w:u w:val="none"/>
      <w:bdr w:val="single" w:color="DCDCDC" w:sz="8" w:space="0"/>
      <w:shd w:val="clear" w:color="auto" w:fill="FFFFFF"/>
    </w:rPr>
  </w:style>
  <w:style w:type="character" w:customStyle="1" w:styleId="99">
    <w:name w:val="apple-converted-space"/>
    <w:basedOn w:val="51"/>
    <w:qFormat/>
    <w:uiPriority w:val="0"/>
  </w:style>
  <w:style w:type="character" w:customStyle="1" w:styleId="100">
    <w:name w:val="无间隔 Char"/>
    <w:basedOn w:val="51"/>
    <w:link w:val="101"/>
    <w:qFormat/>
    <w:uiPriority w:val="0"/>
    <w:rPr>
      <w:rFonts w:ascii="Calibri" w:hAnsi="Calibri"/>
      <w:sz w:val="22"/>
      <w:szCs w:val="22"/>
    </w:rPr>
  </w:style>
  <w:style w:type="paragraph" w:styleId="101">
    <w:name w:val="No Spacing"/>
    <w:link w:val="100"/>
    <w:qFormat/>
    <w:uiPriority w:val="0"/>
    <w:rPr>
      <w:rFonts w:ascii="Calibri" w:hAnsi="Calibri" w:eastAsia="宋体" w:cs="Times New Roman"/>
      <w:sz w:val="22"/>
      <w:szCs w:val="22"/>
      <w:lang w:val="en-US" w:eastAsia="zh-CN" w:bidi="ar-SA"/>
    </w:rPr>
  </w:style>
  <w:style w:type="character" w:customStyle="1" w:styleId="102">
    <w:name w:val="en1"/>
    <w:basedOn w:val="51"/>
    <w:qFormat/>
    <w:uiPriority w:val="0"/>
    <w:rPr>
      <w:b/>
      <w:bCs/>
      <w:color w:val="154C7F"/>
      <w:sz w:val="24"/>
      <w:szCs w:val="24"/>
    </w:rPr>
  </w:style>
  <w:style w:type="character" w:customStyle="1" w:styleId="103">
    <w:name w:val="font01"/>
    <w:basedOn w:val="51"/>
    <w:qFormat/>
    <w:uiPriority w:val="0"/>
    <w:rPr>
      <w:rFonts w:hint="eastAsia" w:ascii="宋体" w:hAnsi="宋体" w:eastAsia="宋体" w:cs="宋体"/>
      <w:color w:val="000000"/>
      <w:sz w:val="20"/>
      <w:szCs w:val="20"/>
      <w:u w:val="none"/>
    </w:rPr>
  </w:style>
  <w:style w:type="character" w:customStyle="1" w:styleId="104">
    <w:name w:val="font11"/>
    <w:basedOn w:val="51"/>
    <w:qFormat/>
    <w:uiPriority w:val="0"/>
    <w:rPr>
      <w:rFonts w:hint="default" w:ascii="Times New Roman" w:hAnsi="Times New Roman" w:cs="Times New Roman"/>
      <w:color w:val="000000"/>
      <w:sz w:val="20"/>
      <w:szCs w:val="20"/>
      <w:u w:val="none"/>
    </w:rPr>
  </w:style>
  <w:style w:type="character" w:customStyle="1" w:styleId="105">
    <w:name w:val="glossaryitem"/>
    <w:basedOn w:val="51"/>
    <w:qFormat/>
    <w:uiPriority w:val="0"/>
    <w:rPr>
      <w:u w:val="none"/>
    </w:rPr>
  </w:style>
  <w:style w:type="paragraph" w:customStyle="1" w:styleId="106">
    <w:name w:val="标题3(小3号)"/>
    <w:basedOn w:val="5"/>
    <w:next w:val="107"/>
    <w:qFormat/>
    <w:uiPriority w:val="0"/>
    <w:pPr>
      <w:widowControl/>
      <w:spacing w:before="0" w:after="0" w:line="420" w:lineRule="exact"/>
    </w:pPr>
    <w:rPr>
      <w:b w:val="0"/>
      <w:bCs w:val="0"/>
      <w:color w:val="000000"/>
      <w:kern w:val="0"/>
      <w:sz w:val="30"/>
      <w:szCs w:val="21"/>
    </w:rPr>
  </w:style>
  <w:style w:type="paragraph" w:customStyle="1" w:styleId="107">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8">
    <w:name w:val="正文首行缩进 Char1"/>
    <w:basedOn w:val="73"/>
    <w:qFormat/>
    <w:uiPriority w:val="0"/>
    <w:rPr>
      <w:rFonts w:ascii="宋体" w:hAnsi="宋体" w:cs="宋体"/>
      <w:sz w:val="24"/>
      <w:szCs w:val="24"/>
      <w:lang w:eastAsia="en-US"/>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5"/>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3"/>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5"/>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5"/>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5"/>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3"/>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4"/>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3"/>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3"/>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3"/>
    <w:next w:val="10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4"/>
    <w:next w:val="107"/>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outlineLvl w:val="3"/>
    </w:pPr>
  </w:style>
  <w:style w:type="paragraph" w:customStyle="1" w:styleId="190">
    <w:name w:val="大纲5"/>
    <w:basedOn w:val="189"/>
    <w:qFormat/>
    <w:uiPriority w:val="0"/>
    <w:pPr>
      <w:tabs>
        <w:tab w:val="left" w:pos="360"/>
      </w:tabs>
      <w:outlineLvl w:val="4"/>
    </w:pPr>
    <w:rPr>
      <w:b w:val="0"/>
      <w:szCs w:val="36"/>
    </w:rPr>
  </w:style>
  <w:style w:type="paragraph" w:customStyle="1" w:styleId="191">
    <w:name w:val="大纲6"/>
    <w:basedOn w:val="190"/>
    <w:qFormat/>
    <w:uiPriority w:val="0"/>
    <w:p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paragraph" w:customStyle="1" w:styleId="210">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1"/>
    <w:basedOn w:val="51"/>
    <w:qFormat/>
    <w:uiPriority w:val="0"/>
    <w:rPr>
      <w:rFonts w:asciiTheme="majorHAnsi" w:hAnsiTheme="majorHAnsi" w:cstheme="majorBidi"/>
      <w:b/>
      <w:bCs/>
      <w:kern w:val="28"/>
      <w:sz w:val="32"/>
      <w:szCs w:val="32"/>
      <w:lang w:eastAsia="en-US"/>
    </w:rPr>
  </w:style>
  <w:style w:type="paragraph" w:customStyle="1" w:styleId="212">
    <w:name w:val="CM7"/>
    <w:basedOn w:val="96"/>
    <w:next w:val="96"/>
    <w:unhideWhenUsed/>
    <w:qFormat/>
    <w:uiPriority w:val="99"/>
    <w:pPr>
      <w:spacing w:after="320"/>
    </w:pPr>
  </w:style>
  <w:style w:type="paragraph" w:customStyle="1" w:styleId="213">
    <w:name w:val="WPS Plain"/>
    <w:qFormat/>
    <w:uiPriority w:val="0"/>
    <w:rPr>
      <w:rFonts w:ascii="Times New Roman" w:hAnsi="Times New Roman" w:eastAsia="宋体" w:cs="Times New Roman"/>
      <w:lang w:val="en-US" w:eastAsia="zh-CN" w:bidi="ar-SA"/>
    </w:rPr>
  </w:style>
  <w:style w:type="paragraph" w:customStyle="1" w:styleId="214">
    <w:name w:val="Bg"/>
    <w:basedOn w:val="1"/>
    <w:qFormat/>
    <w:uiPriority w:val="0"/>
    <w:pPr>
      <w:topLinePunct/>
      <w:snapToGrid w:val="0"/>
      <w:spacing w:before="60" w:after="60"/>
      <w:jc w:val="center"/>
    </w:pPr>
    <w:rPr>
      <w:kern w:val="2"/>
      <w:sz w:val="18"/>
    </w:rPr>
  </w:style>
  <w:style w:type="paragraph" w:customStyle="1" w:styleId="215">
    <w:name w:val="正文格式"/>
    <w:basedOn w:val="1"/>
    <w:qFormat/>
    <w:uiPriority w:val="0"/>
    <w:pPr>
      <w:topLinePunct/>
      <w:ind w:firstLine="420" w:firstLineChars="200"/>
    </w:pPr>
    <w:rPr>
      <w:kern w:val="2"/>
      <w:sz w:val="21"/>
    </w:rPr>
  </w:style>
  <w:style w:type="paragraph" w:customStyle="1" w:styleId="216">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7">
    <w:name w:val="特点 Char"/>
    <w:qFormat/>
    <w:locked/>
    <w:uiPriority w:val="0"/>
    <w:rPr>
      <w:rFonts w:eastAsia="宋体"/>
      <w:kern w:val="2"/>
      <w:sz w:val="21"/>
      <w:lang w:val="en-US" w:eastAsia="zh-CN" w:bidi="ar-SA"/>
    </w:rPr>
  </w:style>
  <w:style w:type="character" w:customStyle="1" w:styleId="218">
    <w:name w:val="纯文本 Char1"/>
    <w:qFormat/>
    <w:uiPriority w:val="0"/>
    <w:rPr>
      <w:rFonts w:ascii="宋体" w:hAnsi="Courier New" w:eastAsia="宋体" w:cs="Courier New"/>
      <w:kern w:val="0"/>
      <w:sz w:val="22"/>
      <w:szCs w:val="21"/>
      <w:lang w:eastAsia="en-US"/>
    </w:rPr>
  </w:style>
  <w:style w:type="paragraph" w:customStyle="1" w:styleId="21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20">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1">
    <w:name w:val="书籍标题1"/>
    <w:basedOn w:val="51"/>
    <w:qFormat/>
    <w:uiPriority w:val="33"/>
    <w:rPr>
      <w:b/>
      <w:bCs/>
      <w:smallCaps/>
      <w:spacing w:val="5"/>
    </w:rPr>
  </w:style>
  <w:style w:type="paragraph" w:customStyle="1" w:styleId="222">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3">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4">
    <w:name w:val="TOC 标题2"/>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5">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6">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7">
    <w:name w:val="font21"/>
    <w:qFormat/>
    <w:uiPriority w:val="0"/>
    <w:rPr>
      <w:rFonts w:hint="eastAsia" w:ascii="宋体" w:hAnsi="宋体" w:eastAsia="宋体" w:cs="宋体"/>
      <w:color w:val="000000"/>
      <w:sz w:val="20"/>
      <w:szCs w:val="20"/>
      <w:u w:val="none"/>
    </w:rPr>
  </w:style>
  <w:style w:type="character" w:customStyle="1" w:styleId="228">
    <w:name w:val="普通文字 Char2"/>
    <w:basedOn w:val="51"/>
    <w:qFormat/>
    <w:uiPriority w:val="99"/>
    <w:rPr>
      <w:rFonts w:ascii="宋体" w:hAnsi="Courier New" w:cs="Courier New"/>
      <w:sz w:val="22"/>
      <w:szCs w:val="21"/>
      <w:lang w:eastAsia="en-US"/>
    </w:rPr>
  </w:style>
  <w:style w:type="character" w:customStyle="1" w:styleId="229">
    <w:name w:val="cdropright"/>
    <w:basedOn w:val="51"/>
    <w:qFormat/>
    <w:uiPriority w:val="0"/>
  </w:style>
  <w:style w:type="character" w:customStyle="1" w:styleId="230">
    <w:name w:val="button"/>
    <w:basedOn w:val="51"/>
    <w:qFormat/>
    <w:uiPriority w:val="0"/>
  </w:style>
  <w:style w:type="character" w:customStyle="1" w:styleId="231">
    <w:name w:val="drapbtn"/>
    <w:basedOn w:val="51"/>
    <w:qFormat/>
    <w:uiPriority w:val="0"/>
  </w:style>
  <w:style w:type="character" w:customStyle="1" w:styleId="232">
    <w:name w:val="w32"/>
    <w:basedOn w:val="51"/>
    <w:qFormat/>
    <w:uiPriority w:val="0"/>
  </w:style>
  <w:style w:type="character" w:customStyle="1" w:styleId="233">
    <w:name w:val="cdropleft"/>
    <w:basedOn w:val="51"/>
    <w:qFormat/>
    <w:uiPriority w:val="0"/>
  </w:style>
  <w:style w:type="character" w:customStyle="1" w:styleId="234">
    <w:name w:val="hilite6"/>
    <w:basedOn w:val="51"/>
    <w:qFormat/>
    <w:uiPriority w:val="0"/>
    <w:rPr>
      <w:color w:val="FFFFFF"/>
      <w:shd w:val="clear" w:color="auto" w:fill="666666"/>
    </w:rPr>
  </w:style>
  <w:style w:type="character" w:customStyle="1" w:styleId="235">
    <w:name w:val="active2"/>
    <w:basedOn w:val="51"/>
    <w:qFormat/>
    <w:uiPriority w:val="0"/>
    <w:rPr>
      <w:color w:val="00FF00"/>
      <w:shd w:val="clear" w:color="auto" w:fill="111111"/>
    </w:rPr>
  </w:style>
  <w:style w:type="character" w:customStyle="1" w:styleId="236">
    <w:name w:val="layui-layer-tabnow"/>
    <w:basedOn w:val="51"/>
    <w:qFormat/>
    <w:uiPriority w:val="0"/>
    <w:rPr>
      <w:bdr w:val="single" w:color="CCCCCC" w:sz="6" w:space="0"/>
      <w:shd w:val="clear" w:color="auto" w:fill="FFFFFF"/>
    </w:rPr>
  </w:style>
  <w:style w:type="character" w:customStyle="1" w:styleId="237">
    <w:name w:val="choosename"/>
    <w:basedOn w:val="51"/>
    <w:qFormat/>
    <w:uiPriority w:val="0"/>
  </w:style>
  <w:style w:type="character" w:customStyle="1" w:styleId="238">
    <w:name w:val="first-child"/>
    <w:basedOn w:val="51"/>
    <w:qFormat/>
    <w:uiPriority w:val="0"/>
  </w:style>
  <w:style w:type="character" w:customStyle="1" w:styleId="239">
    <w:name w:val="xdrichtextbox4"/>
    <w:basedOn w:val="51"/>
    <w:qFormat/>
    <w:uiPriority w:val="0"/>
  </w:style>
  <w:style w:type="character" w:customStyle="1" w:styleId="240">
    <w:name w:val="hover10"/>
    <w:basedOn w:val="51"/>
    <w:qFormat/>
    <w:uiPriority w:val="0"/>
    <w:rPr>
      <w:color w:val="FFFFFF"/>
    </w:rPr>
  </w:style>
  <w:style w:type="character" w:customStyle="1" w:styleId="241">
    <w:name w:val="edit_class"/>
    <w:basedOn w:val="51"/>
    <w:qFormat/>
    <w:uiPriority w:val="0"/>
  </w:style>
  <w:style w:type="character" w:customStyle="1" w:styleId="242">
    <w:name w:val="biggerthanmax"/>
    <w:basedOn w:val="51"/>
    <w:qFormat/>
    <w:uiPriority w:val="0"/>
    <w:rPr>
      <w:shd w:val="clear" w:color="auto" w:fill="FFFF00"/>
    </w:rPr>
  </w:style>
  <w:style w:type="character" w:customStyle="1" w:styleId="243">
    <w:name w:val="design_class"/>
    <w:basedOn w:val="51"/>
    <w:qFormat/>
    <w:uiPriority w:val="0"/>
  </w:style>
  <w:style w:type="character" w:customStyle="1" w:styleId="244">
    <w:name w:val="common_over_page_btn1"/>
    <w:basedOn w:val="51"/>
    <w:qFormat/>
    <w:uiPriority w:val="0"/>
  </w:style>
  <w:style w:type="character" w:customStyle="1" w:styleId="245">
    <w:name w:val="common_over_page_btn2"/>
    <w:basedOn w:val="51"/>
    <w:qFormat/>
    <w:uiPriority w:val="0"/>
    <w:rPr>
      <w:color w:val="999999"/>
      <w:bdr w:val="single" w:color="D4D4D4" w:sz="6" w:space="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DE46FC-4EC0-46B6-8D9B-EF5D5BFA46C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34</Pages>
  <Words>13066</Words>
  <Characters>13631</Characters>
  <Lines>115</Lines>
  <Paragraphs>32</Paragraphs>
  <TotalTime>20</TotalTime>
  <ScaleCrop>false</ScaleCrop>
  <LinksUpToDate>false</LinksUpToDate>
  <CharactersWithSpaces>15333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2022-08-17T15:27:18Z</dcterms:modified>
  <dc:title>公开招标文件（货物服务类）</dc:title>
  <cp:revision>470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4CCCB25351C04EFA957C1A81D8705002</vt:lpwstr>
  </property>
</Properties>
</file>