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ascii="Times New Roman"/>
          <w:sz w:val="20"/>
          <w:lang w:eastAsia="zh-CN"/>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2"/>
        <w:rPr>
          <w:lang w:eastAsia="zh-CN"/>
        </w:rPr>
      </w:pPr>
    </w:p>
    <w:p>
      <w:pPr>
        <w:spacing w:before="38"/>
        <w:ind w:left="172"/>
        <w:jc w:val="center"/>
        <w:rPr>
          <w:rFonts w:ascii="微软雅黑" w:eastAsia="微软雅黑"/>
          <w:b/>
          <w:sz w:val="36"/>
          <w:szCs w:val="36"/>
          <w:lang w:val="en-US" w:eastAsia="zh-CN"/>
        </w:rPr>
      </w:pPr>
      <w:r>
        <w:rPr>
          <w:rFonts w:hint="eastAsia" w:ascii="微软雅黑" w:eastAsia="微软雅黑"/>
          <w:b/>
          <w:sz w:val="36"/>
          <w:szCs w:val="36"/>
          <w:lang w:val="en-US" w:eastAsia="zh-CN"/>
        </w:rPr>
        <w:t>阻爆燃型管道阻火器采购</w:t>
      </w:r>
    </w:p>
    <w:p>
      <w:pPr>
        <w:pStyle w:val="10"/>
        <w:rPr>
          <w:rFonts w:ascii="微软雅黑"/>
          <w:b/>
          <w:sz w:val="68"/>
          <w:lang w:eastAsia="zh-CN"/>
        </w:rPr>
      </w:pPr>
    </w:p>
    <w:p>
      <w:pPr>
        <w:pStyle w:val="10"/>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rPr>
        <w:t>MR2206010002</w:t>
      </w:r>
      <w:r>
        <w:rPr>
          <w:rFonts w:hint="eastAsia"/>
          <w:sz w:val="28"/>
          <w:szCs w:val="28"/>
        </w:rPr>
        <w:t>）</w:t>
      </w:r>
    </w:p>
    <w:p>
      <w:pPr>
        <w:pStyle w:val="10"/>
        <w:rPr>
          <w:rFonts w:ascii="微软雅黑"/>
          <w:b/>
          <w:sz w:val="94"/>
          <w:lang w:eastAsia="zh-CN"/>
        </w:rPr>
      </w:pPr>
    </w:p>
    <w:p>
      <w:pPr>
        <w:pStyle w:val="10"/>
        <w:rPr>
          <w:rFonts w:ascii="微软雅黑"/>
          <w:b/>
          <w:sz w:val="94"/>
          <w:lang w:eastAsia="zh-CN"/>
        </w:rPr>
      </w:pPr>
    </w:p>
    <w:p>
      <w:pPr>
        <w:pStyle w:val="10"/>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w:t>
      </w:r>
      <w:r>
        <w:rPr>
          <w:rFonts w:hint="eastAsia" w:ascii="微软雅黑" w:eastAsia="微软雅黑"/>
          <w:b/>
          <w:w w:val="95"/>
          <w:sz w:val="32"/>
          <w:lang w:val="en-US" w:eastAsia="zh-CN"/>
        </w:rPr>
        <w:t>二</w:t>
      </w:r>
      <w:r>
        <w:rPr>
          <w:rFonts w:hint="eastAsia" w:ascii="微软雅黑" w:eastAsia="微软雅黑"/>
          <w:b/>
          <w:w w:val="95"/>
          <w:sz w:val="32"/>
          <w:lang w:eastAsia="zh-CN"/>
        </w:rPr>
        <w:t>年</w:t>
      </w:r>
      <w:r>
        <w:rPr>
          <w:rFonts w:hint="eastAsia" w:ascii="微软雅黑" w:eastAsia="微软雅黑"/>
          <w:b/>
          <w:w w:val="95"/>
          <w:sz w:val="32"/>
          <w:lang w:val="en-US" w:eastAsia="zh-CN"/>
        </w:rPr>
        <w:t>七</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hint="eastAsia" w:ascii="黑体" w:eastAsia="黑体"/>
          <w:sz w:val="32"/>
          <w:lang w:eastAsia="zh-CN"/>
        </w:r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0"/>
        <w:rPr>
          <w:rFonts w:ascii="黑体"/>
          <w:sz w:val="20"/>
          <w:lang w:eastAsia="zh-CN"/>
        </w:rPr>
      </w:pPr>
    </w:p>
    <w:p>
      <w:pPr>
        <w:pStyle w:val="10"/>
        <w:rPr>
          <w:rFonts w:ascii="黑体"/>
          <w:sz w:val="20"/>
          <w:lang w:eastAsia="zh-CN"/>
        </w:rPr>
      </w:pPr>
    </w:p>
    <w:p>
      <w:pPr>
        <w:pStyle w:val="10"/>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10"/>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10"/>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2"/>
      </w:pPr>
    </w:p>
    <w:p>
      <w:pPr>
        <w:pStyle w:val="2"/>
      </w:pPr>
    </w:p>
    <w:p>
      <w:pPr>
        <w:pStyle w:val="2"/>
      </w:pPr>
    </w:p>
    <w:p>
      <w:pPr>
        <w:pStyle w:val="2"/>
      </w:pPr>
    </w:p>
    <w:p>
      <w:pPr>
        <w:pStyle w:val="2"/>
      </w:pPr>
    </w:p>
    <w:p>
      <w:pPr>
        <w:pStyle w:val="2"/>
      </w:pPr>
    </w:p>
    <w:p>
      <w:pPr>
        <w:pStyle w:val="2"/>
      </w:pPr>
    </w:p>
    <w:p>
      <w:pPr>
        <w:pStyle w:val="33"/>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10"/>
        <w:spacing w:line="360" w:lineRule="auto"/>
        <w:ind w:left="118" w:right="121" w:firstLine="511"/>
        <w:jc w:val="both"/>
        <w:rPr>
          <w:lang w:eastAsia="zh-CN"/>
        </w:rPr>
      </w:pP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有限公司拟对本公司</w:t>
      </w:r>
      <w:r>
        <w:rPr>
          <w:rFonts w:hint="eastAsia" w:asciiTheme="majorEastAsia" w:hAnsiTheme="majorEastAsia" w:eastAsiaTheme="majorEastAsia"/>
          <w:u w:val="single"/>
          <w:lang w:val="en-US" w:eastAsia="zh-CN"/>
        </w:rPr>
        <w:t>芳烃团队</w:t>
      </w:r>
      <w:r>
        <w:rPr>
          <w:rFonts w:hint="eastAsia" w:asciiTheme="majorEastAsia" w:hAnsiTheme="majorEastAsia" w:eastAsiaTheme="majorEastAsia"/>
          <w:u w:val="single"/>
          <w:lang w:eastAsia="zh-CN"/>
        </w:rPr>
        <w:t>阻爆燃型管道阻火器采购项目（项目编号：MR2206010002</w:t>
      </w:r>
      <w:r>
        <w:rPr>
          <w:rFonts w:hint="eastAsia" w:asciiTheme="majorEastAsia" w:hAnsiTheme="majorEastAsia" w:eastAsiaTheme="majorEastAsia"/>
          <w:u w:val="single"/>
          <w:lang w:val="en-US" w:eastAsia="zh-CN"/>
        </w:rPr>
        <w:t xml:space="preserve"> </w:t>
      </w:r>
      <w:r>
        <w:rPr>
          <w:rFonts w:hint="eastAsia" w:asciiTheme="majorEastAsia" w:hAnsiTheme="majorEastAsia" w:eastAsiaTheme="majorEastAsia"/>
          <w:u w:val="single"/>
          <w:lang w:eastAsia="zh-CN"/>
        </w:rPr>
        <w:t>）</w:t>
      </w:r>
      <w:r>
        <w:rPr>
          <w:lang w:eastAsia="zh-CN"/>
        </w:rPr>
        <w:t>进行</w:t>
      </w:r>
      <w:r>
        <w:rPr>
          <w:rFonts w:hint="eastAsia"/>
          <w:lang w:eastAsia="zh-CN"/>
        </w:rPr>
        <w:t>国内</w:t>
      </w:r>
      <w:r>
        <w:rPr>
          <w:lang w:eastAsia="zh-CN"/>
        </w:rPr>
        <w:t>公开比选。为了“公开、公平、公正、透明”，引导参选人进行正确参选，特制定本规定文件</w:t>
      </w:r>
      <w:r>
        <w:rPr>
          <w:rFonts w:hint="eastAsia"/>
          <w:lang w:eastAsia="zh-CN"/>
        </w:rPr>
        <w:t>，欢迎国内符合条件的供应商积极参选</w:t>
      </w:r>
      <w:r>
        <w:rPr>
          <w:lang w:eastAsia="zh-CN"/>
        </w:rPr>
        <w:t>。</w:t>
      </w:r>
    </w:p>
    <w:p>
      <w:pPr>
        <w:autoSpaceDE/>
        <w:autoSpaceDN/>
        <w:spacing w:line="360" w:lineRule="auto"/>
        <w:ind w:firstLine="440" w:firstLineChars="200"/>
        <w:jc w:val="both"/>
        <w:rPr>
          <w:rFonts w:asciiTheme="majorEastAsia" w:hAnsiTheme="majorEastAsia" w:eastAsiaTheme="majorEastAsia"/>
          <w:b/>
          <w:bCs/>
          <w:sz w:val="24"/>
          <w:szCs w:val="24"/>
          <w:lang w:eastAsia="zh-CN"/>
        </w:rPr>
      </w:pPr>
      <w:r>
        <w:rPr>
          <w:lang w:eastAsia="zh-CN"/>
        </w:rPr>
        <w:t>一、</w:t>
      </w:r>
      <w:r>
        <w:rPr>
          <w:rFonts w:hint="eastAsia" w:asciiTheme="majorEastAsia" w:hAnsiTheme="majorEastAsia" w:eastAsiaTheme="majorEastAsia"/>
          <w:b/>
          <w:bCs/>
          <w:sz w:val="24"/>
          <w:szCs w:val="24"/>
          <w:lang w:eastAsia="zh-CN"/>
        </w:rPr>
        <w:t>项目概况</w:t>
      </w:r>
    </w:p>
    <w:p>
      <w:pPr>
        <w:autoSpaceDE/>
        <w:autoSpaceDN/>
        <w:spacing w:line="360" w:lineRule="auto"/>
        <w:ind w:firstLine="480" w:firstLineChars="200"/>
        <w:jc w:val="both"/>
        <w:rPr>
          <w:rFonts w:hint="eastAsia" w:asciiTheme="majorEastAsia" w:hAnsiTheme="majorEastAsia" w:eastAsiaTheme="majorEastAsia"/>
          <w:bCs/>
          <w:sz w:val="24"/>
          <w:szCs w:val="24"/>
          <w:u w:val="single"/>
          <w:lang w:eastAsia="zh-CN"/>
        </w:rPr>
      </w:pPr>
      <w:r>
        <w:rPr>
          <w:rFonts w:hint="eastAsia" w:asciiTheme="majorEastAsia" w:hAnsiTheme="majorEastAsia" w:eastAsiaTheme="majorEastAsia"/>
          <w:bCs/>
          <w:sz w:val="24"/>
          <w:szCs w:val="24"/>
          <w:lang w:eastAsia="zh-CN"/>
        </w:rPr>
        <w:t>1. 项目名称：</w:t>
      </w:r>
      <w:r>
        <w:rPr>
          <w:rFonts w:hint="eastAsia" w:asciiTheme="majorEastAsia" w:hAnsiTheme="majorEastAsia" w:eastAsiaTheme="majorEastAsia"/>
          <w:bCs/>
          <w:sz w:val="24"/>
          <w:szCs w:val="24"/>
          <w:u w:val="single"/>
          <w:lang w:eastAsia="zh-CN"/>
        </w:rPr>
        <w:t xml:space="preserve"> </w:t>
      </w:r>
      <w:r>
        <w:rPr>
          <w:rFonts w:hint="eastAsia" w:asciiTheme="majorEastAsia" w:hAnsiTheme="majorEastAsia" w:eastAsiaTheme="majorEastAsia"/>
          <w:u w:val="single"/>
          <w:lang w:eastAsia="zh-CN"/>
        </w:rPr>
        <w:t>阻爆燃型管道阻火器</w:t>
      </w:r>
      <w:r>
        <w:rPr>
          <w:rFonts w:hint="eastAsia" w:asciiTheme="majorEastAsia" w:hAnsiTheme="majorEastAsia" w:eastAsiaTheme="majorEastAsia"/>
          <w:bCs/>
          <w:sz w:val="24"/>
          <w:szCs w:val="24"/>
          <w:u w:val="single"/>
          <w:lang w:eastAsia="zh-CN"/>
        </w:rPr>
        <w:t xml:space="preserve">采购 </w:t>
      </w:r>
    </w:p>
    <w:p>
      <w:pPr>
        <w:ind w:left="0" w:leftChars="0" w:firstLine="499" w:firstLineChars="227"/>
        <w:jc w:val="both"/>
        <w:rPr>
          <w:rFonts w:hint="eastAsia" w:asciiTheme="majorEastAsia" w:hAnsiTheme="majorEastAsia" w:eastAsiaTheme="majorEastAsia"/>
          <w:b w:val="0"/>
          <w:lang w:val="en-US" w:eastAsia="zh-CN"/>
        </w:rPr>
      </w:pPr>
      <w:r>
        <w:rPr>
          <w:rFonts w:hint="eastAsia" w:asciiTheme="majorEastAsia" w:hAnsiTheme="majorEastAsia" w:eastAsiaTheme="majorEastAsia"/>
          <w:b w:val="0"/>
          <w:lang w:eastAsia="zh-CN"/>
        </w:rPr>
        <w:t>2. 比选项目简要说明：</w:t>
      </w:r>
      <w:r>
        <w:rPr>
          <w:rFonts w:hint="eastAsia" w:asciiTheme="majorEastAsia" w:hAnsiTheme="majorEastAsia" w:eastAsiaTheme="majorEastAsia"/>
          <w:b w:val="0"/>
          <w:lang w:val="en-US" w:eastAsia="zh-CN"/>
        </w:rPr>
        <w:t>详见附件《芳烃团队燃料气阻火器技术要求》</w:t>
      </w:r>
    </w:p>
    <w:p>
      <w:pPr>
        <w:pStyle w:val="4"/>
        <w:spacing w:line="360" w:lineRule="auto"/>
        <w:ind w:left="0" w:firstLine="472" w:firstLineChars="196"/>
        <w:rPr>
          <w:lang w:eastAsia="zh-CN"/>
        </w:rPr>
      </w:pPr>
      <w:r>
        <w:rPr>
          <w:rFonts w:hint="eastAsia"/>
          <w:lang w:eastAsia="zh-CN"/>
        </w:rPr>
        <w:t>二、</w:t>
      </w:r>
      <w:r>
        <w:rPr>
          <w:lang w:eastAsia="zh-CN"/>
        </w:rPr>
        <w:t>参选人资格要求：</w:t>
      </w:r>
    </w:p>
    <w:p>
      <w:pPr>
        <w:keepNext w:val="0"/>
        <w:keepLines w:val="0"/>
        <w:pageBreakBefore w:val="0"/>
        <w:widowControl/>
        <w:kinsoku/>
        <w:wordWrap/>
        <w:overflowPunct/>
        <w:topLinePunct w:val="0"/>
        <w:autoSpaceDE/>
        <w:autoSpaceDN/>
        <w:bidi w:val="0"/>
        <w:snapToGrid/>
        <w:spacing w:line="360" w:lineRule="auto"/>
        <w:ind w:firstLine="480" w:firstLineChars="200"/>
        <w:jc w:val="both"/>
        <w:outlineLvl w:val="9"/>
        <w:rPr>
          <w:rFonts w:hint="eastAsia" w:asciiTheme="majorEastAsia" w:hAnsiTheme="majorEastAsia" w:eastAsiaTheme="majorEastAsia"/>
          <w:sz w:val="24"/>
          <w:szCs w:val="24"/>
          <w:lang w:eastAsia="zh-CN"/>
        </w:rPr>
      </w:pPr>
      <w:r>
        <w:rPr>
          <w:rFonts w:hint="eastAsia"/>
          <w:sz w:val="24"/>
          <w:szCs w:val="24"/>
          <w:lang w:eastAsia="zh-CN"/>
        </w:rPr>
        <w:t>1. 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pStyle w:val="10"/>
        <w:keepNext w:val="0"/>
        <w:keepLines w:val="0"/>
        <w:pageBreakBefore w:val="0"/>
        <w:kinsoku/>
        <w:wordWrap/>
        <w:overflowPunct/>
        <w:topLinePunct w:val="0"/>
        <w:bidi w:val="0"/>
        <w:snapToGrid/>
        <w:spacing w:line="360" w:lineRule="auto"/>
        <w:ind w:left="817" w:leftChars="209" w:right="121" w:hanging="357" w:hangingChars="149"/>
        <w:jc w:val="left"/>
        <w:outlineLvl w:val="9"/>
        <w:rPr>
          <w:rFonts w:cs="Times New Roman" w:asciiTheme="minorEastAsia" w:hAnsiTheme="minorEastAsia" w:eastAsiaTheme="minorEastAsia"/>
          <w:kern w:val="2"/>
          <w:sz w:val="24"/>
          <w:szCs w:val="24"/>
          <w:lang w:eastAsia="zh-CN"/>
        </w:rPr>
      </w:pPr>
      <w:r>
        <w:rPr>
          <w:rFonts w:hint="eastAsia" w:cs="Times New Roman" w:asciiTheme="minorEastAsia" w:hAnsiTheme="minorEastAsia" w:eastAsiaTheme="minorEastAsia"/>
          <w:kern w:val="2"/>
          <w:sz w:val="24"/>
          <w:szCs w:val="24"/>
          <w:lang w:val="en-US" w:eastAsia="zh-CN"/>
        </w:rPr>
        <w:t xml:space="preserve">2. </w:t>
      </w:r>
      <w:r>
        <w:rPr>
          <w:rFonts w:hint="eastAsia" w:cs="Times New Roman" w:asciiTheme="minorEastAsia" w:hAnsiTheme="minorEastAsia" w:eastAsiaTheme="minorEastAsia"/>
          <w:kern w:val="2"/>
          <w:sz w:val="24"/>
          <w:szCs w:val="24"/>
          <w:lang w:eastAsia="zh-CN"/>
        </w:rPr>
        <w:t>具有石油化工行业呼吸阀类管道元件组合装置制造销及售资质。</w:t>
      </w:r>
    </w:p>
    <w:p>
      <w:pPr>
        <w:keepNext w:val="0"/>
        <w:keepLines w:val="0"/>
        <w:pageBreakBefore w:val="0"/>
        <w:kinsoku/>
        <w:wordWrap/>
        <w:overflowPunct/>
        <w:topLinePunct w:val="0"/>
        <w:bidi w:val="0"/>
        <w:snapToGrid/>
        <w:spacing w:line="360" w:lineRule="auto"/>
        <w:ind w:left="817" w:leftChars="209" w:hanging="357" w:hangingChars="149"/>
        <w:jc w:val="left"/>
        <w:outlineLvl w:val="9"/>
        <w:rPr>
          <w:rFonts w:asciiTheme="minorEastAsia" w:hAnsiTheme="minorEastAsia"/>
          <w:sz w:val="24"/>
          <w:szCs w:val="24"/>
        </w:rPr>
      </w:pPr>
      <w:r>
        <w:rPr>
          <w:rFonts w:hint="eastAsia" w:asciiTheme="minorEastAsia" w:hAnsiTheme="minorEastAsia"/>
          <w:sz w:val="24"/>
          <w:szCs w:val="24"/>
          <w:lang w:val="en-US" w:eastAsia="zh-CN"/>
        </w:rPr>
        <w:t xml:space="preserve">3. </w:t>
      </w:r>
      <w:r>
        <w:rPr>
          <w:rFonts w:hint="eastAsia" w:asciiTheme="minorEastAsia" w:hAnsiTheme="minorEastAsia"/>
          <w:sz w:val="24"/>
          <w:szCs w:val="24"/>
        </w:rPr>
        <w:t>阻火器制造商具有特种设备生产许可证（压力管道元件）、相应阻火器的型式证书；阻火器第三方实验证书上所列出的型号规格应覆盖本次招标所有设备的规格。</w:t>
      </w:r>
    </w:p>
    <w:p>
      <w:pPr>
        <w:keepNext w:val="0"/>
        <w:keepLines w:val="0"/>
        <w:pageBreakBefore w:val="0"/>
        <w:widowControl/>
        <w:kinsoku/>
        <w:wordWrap/>
        <w:overflowPunct/>
        <w:topLinePunct w:val="0"/>
        <w:autoSpaceDE/>
        <w:autoSpaceDN/>
        <w:bidi w:val="0"/>
        <w:snapToGrid/>
        <w:spacing w:line="360" w:lineRule="auto"/>
        <w:ind w:firstLine="480" w:firstLineChars="200"/>
        <w:jc w:val="both"/>
        <w:outlineLvl w:val="9"/>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val="en-US" w:eastAsia="zh-CN"/>
        </w:rPr>
        <w:t>4</w:t>
      </w:r>
      <w:r>
        <w:rPr>
          <w:rFonts w:hint="eastAsia" w:asciiTheme="majorEastAsia" w:hAnsiTheme="majorEastAsia" w:eastAsiaTheme="majorEastAsia"/>
          <w:sz w:val="24"/>
          <w:szCs w:val="24"/>
          <w:lang w:eastAsia="zh-CN"/>
        </w:rPr>
        <w:t>.</w:t>
      </w:r>
      <w:r>
        <w:rPr>
          <w:rFonts w:hint="eastAsia" w:asciiTheme="majorEastAsia" w:hAnsiTheme="majorEastAsia" w:eastAsiaTheme="majorEastAsia"/>
          <w:sz w:val="24"/>
          <w:szCs w:val="24"/>
          <w:lang w:val="en-US" w:eastAsia="zh-CN"/>
        </w:rPr>
        <w:t xml:space="preserve"> </w:t>
      </w:r>
      <w:r>
        <w:rPr>
          <w:rFonts w:asciiTheme="majorEastAsia" w:hAnsiTheme="majorEastAsia" w:eastAsiaTheme="majorEastAsia"/>
          <w:sz w:val="24"/>
          <w:szCs w:val="24"/>
          <w:lang w:eastAsia="zh-CN"/>
        </w:rPr>
        <w:t>没有失信黑名单记录（以最高院失信被执行人系统发布信息为准）</w:t>
      </w:r>
      <w:r>
        <w:rPr>
          <w:rFonts w:hint="eastAsia" w:asciiTheme="majorEastAsia" w:hAnsiTheme="majorEastAsia" w:eastAsiaTheme="majorEastAsia"/>
          <w:sz w:val="24"/>
          <w:szCs w:val="24"/>
          <w:lang w:eastAsia="zh-CN"/>
        </w:rPr>
        <w:t>。</w:t>
      </w:r>
    </w:p>
    <w:p>
      <w:pPr>
        <w:pStyle w:val="33"/>
        <w:keepNext w:val="0"/>
        <w:keepLines w:val="0"/>
        <w:pageBreakBefore w:val="0"/>
        <w:kinsoku/>
        <w:wordWrap/>
        <w:overflowPunct/>
        <w:topLinePunct w:val="0"/>
        <w:autoSpaceDE/>
        <w:autoSpaceDN/>
        <w:bidi w:val="0"/>
        <w:snapToGrid/>
        <w:spacing w:before="0" w:line="360" w:lineRule="auto"/>
        <w:ind w:left="0" w:firstLine="480" w:firstLineChars="200"/>
        <w:jc w:val="both"/>
        <w:outlineLvl w:val="9"/>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val="en-US" w:eastAsia="zh-CN"/>
        </w:rPr>
        <w:t>5</w:t>
      </w:r>
      <w:r>
        <w:rPr>
          <w:rFonts w:hint="eastAsia" w:asciiTheme="majorEastAsia" w:hAnsiTheme="majorEastAsia" w:eastAsiaTheme="majorEastAsia"/>
          <w:sz w:val="24"/>
          <w:szCs w:val="24"/>
          <w:lang w:eastAsia="zh-CN"/>
        </w:rPr>
        <w:t>.</w:t>
      </w:r>
      <w:r>
        <w:rPr>
          <w:rFonts w:hint="eastAsia" w:asciiTheme="majorEastAsia" w:hAnsiTheme="majorEastAsia" w:eastAsiaTheme="majorEastAsia"/>
          <w:sz w:val="24"/>
          <w:szCs w:val="24"/>
          <w:lang w:val="en-US" w:eastAsia="zh-CN"/>
        </w:rPr>
        <w:t xml:space="preserve"> </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2"/>
        <w:keepNext w:val="0"/>
        <w:keepLines w:val="0"/>
        <w:pageBreakBefore w:val="0"/>
        <w:kinsoku/>
        <w:wordWrap/>
        <w:overflowPunct/>
        <w:topLinePunct w:val="0"/>
        <w:bidi w:val="0"/>
        <w:snapToGrid/>
        <w:spacing w:line="360" w:lineRule="auto"/>
        <w:ind w:firstLine="480" w:firstLineChars="200"/>
        <w:outlineLvl w:val="9"/>
        <w:rPr>
          <w:sz w:val="24"/>
          <w:szCs w:val="24"/>
        </w:rPr>
      </w:pPr>
      <w:r>
        <w:rPr>
          <w:rFonts w:hint="eastAsia"/>
          <w:sz w:val="24"/>
          <w:szCs w:val="24"/>
          <w:lang w:val="en-US" w:eastAsia="zh-CN"/>
        </w:rPr>
        <w:t>6</w:t>
      </w:r>
      <w:r>
        <w:rPr>
          <w:rFonts w:hint="eastAsia"/>
          <w:sz w:val="24"/>
          <w:szCs w:val="24"/>
        </w:rPr>
        <w:t xml:space="preserve">. </w:t>
      </w:r>
      <w:r>
        <w:rPr>
          <w:rFonts w:hint="eastAsia" w:asciiTheme="majorEastAsia" w:hAnsiTheme="majorEastAsia" w:eastAsiaTheme="majorEastAsia"/>
          <w:sz w:val="24"/>
          <w:szCs w:val="24"/>
        </w:rPr>
        <w:t>本项目不接受联合体投标</w:t>
      </w:r>
      <w:r>
        <w:rPr>
          <w:rFonts w:hint="eastAsia"/>
          <w:sz w:val="24"/>
          <w:szCs w:val="24"/>
        </w:rPr>
        <w:t>。</w:t>
      </w:r>
    </w:p>
    <w:p>
      <w:pPr>
        <w:pStyle w:val="33"/>
        <w:autoSpaceDE/>
        <w:autoSpaceDN/>
        <w:spacing w:before="0" w:line="360" w:lineRule="auto"/>
        <w:ind w:left="0" w:firstLine="354" w:firstLineChars="147"/>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三、报名要求</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480" w:firstLineChars="200"/>
        <w:jc w:val="both"/>
        <w:textAlignment w:val="auto"/>
        <w:outlineLvl w:val="9"/>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报名时间：</w:t>
      </w:r>
      <w:r>
        <w:rPr>
          <w:rFonts w:hint="eastAsia" w:asciiTheme="majorEastAsia" w:hAnsiTheme="majorEastAsia" w:eastAsiaTheme="majorEastAsia"/>
          <w:sz w:val="24"/>
          <w:szCs w:val="24"/>
          <w:lang w:eastAsia="zh-CN"/>
        </w:rPr>
        <w:t>202</w:t>
      </w:r>
      <w:r>
        <w:rPr>
          <w:rFonts w:hint="eastAsia" w:asciiTheme="majorEastAsia" w:hAnsiTheme="majorEastAsia" w:eastAsiaTheme="majorEastAsia"/>
          <w:sz w:val="24"/>
          <w:szCs w:val="24"/>
          <w:lang w:val="en-US" w:eastAsia="zh-CN"/>
        </w:rPr>
        <w:t>2</w:t>
      </w:r>
      <w:r>
        <w:rPr>
          <w:rFonts w:hint="eastAsia" w:asciiTheme="majorEastAsia" w:hAnsiTheme="majorEastAsia" w:eastAsiaTheme="majorEastAsia"/>
          <w:sz w:val="24"/>
          <w:szCs w:val="24"/>
          <w:lang w:eastAsia="zh-CN"/>
        </w:rPr>
        <w:t>年</w:t>
      </w:r>
      <w:r>
        <w:rPr>
          <w:rFonts w:hint="eastAsia" w:asciiTheme="majorEastAsia" w:hAnsiTheme="majorEastAsia" w:eastAsiaTheme="majorEastAsia"/>
          <w:sz w:val="24"/>
          <w:szCs w:val="24"/>
          <w:lang w:val="en-US" w:eastAsia="zh-CN"/>
        </w:rPr>
        <w:t>08</w:t>
      </w:r>
      <w:r>
        <w:rPr>
          <w:rFonts w:hint="eastAsia" w:asciiTheme="majorEastAsia" w:hAnsiTheme="majorEastAsia" w:eastAsiaTheme="majorEastAsia"/>
          <w:sz w:val="24"/>
          <w:szCs w:val="24"/>
          <w:lang w:eastAsia="zh-CN"/>
        </w:rPr>
        <w:t>月</w:t>
      </w:r>
      <w:r>
        <w:rPr>
          <w:rFonts w:hint="eastAsia" w:asciiTheme="majorEastAsia" w:hAnsiTheme="majorEastAsia" w:eastAsiaTheme="majorEastAsia"/>
          <w:sz w:val="24"/>
          <w:szCs w:val="24"/>
          <w:lang w:val="en-US" w:eastAsia="zh-CN"/>
        </w:rPr>
        <w:t>12</w:t>
      </w:r>
      <w:r>
        <w:rPr>
          <w:rFonts w:hint="eastAsia" w:asciiTheme="majorEastAsia" w:hAnsiTheme="majorEastAsia" w:eastAsiaTheme="majorEastAsia"/>
          <w:sz w:val="24"/>
          <w:szCs w:val="24"/>
          <w:lang w:eastAsia="zh-CN"/>
        </w:rPr>
        <w:t>日至</w:t>
      </w:r>
      <w:r>
        <w:rPr>
          <w:rFonts w:hint="eastAsia" w:asciiTheme="majorEastAsia" w:hAnsiTheme="majorEastAsia" w:eastAsiaTheme="majorEastAsia"/>
          <w:sz w:val="24"/>
          <w:szCs w:val="24"/>
          <w:lang w:val="en-US" w:eastAsia="zh-CN"/>
        </w:rPr>
        <w:t>18</w:t>
      </w:r>
      <w:bookmarkStart w:id="10" w:name="_GoBack"/>
      <w:bookmarkEnd w:id="10"/>
      <w:r>
        <w:rPr>
          <w:rFonts w:hint="eastAsia" w:asciiTheme="majorEastAsia" w:hAnsiTheme="majorEastAsia" w:eastAsiaTheme="majorEastAsia"/>
          <w:sz w:val="24"/>
          <w:szCs w:val="24"/>
          <w:lang w:eastAsia="zh-CN"/>
        </w:rPr>
        <w:t>日（共</w:t>
      </w:r>
      <w:r>
        <w:rPr>
          <w:rFonts w:hint="eastAsia" w:asciiTheme="majorEastAsia" w:hAnsiTheme="majorEastAsia" w:eastAsiaTheme="majorEastAsia"/>
          <w:sz w:val="24"/>
          <w:szCs w:val="24"/>
          <w:lang w:val="en-US" w:eastAsia="zh-CN"/>
        </w:rPr>
        <w:t>7</w:t>
      </w:r>
      <w:r>
        <w:rPr>
          <w:rFonts w:hint="eastAsia" w:asciiTheme="majorEastAsia" w:hAnsiTheme="majorEastAsia" w:eastAsiaTheme="majorEastAsia"/>
          <w:sz w:val="24"/>
          <w:szCs w:val="24"/>
          <w:lang w:eastAsia="zh-CN"/>
        </w:rPr>
        <w:t>天）</w:t>
      </w:r>
    </w:p>
    <w:p>
      <w:pPr>
        <w:keepNext w:val="0"/>
        <w:keepLines w:val="0"/>
        <w:pageBreakBefore w:val="0"/>
        <w:widowControl w:val="0"/>
        <w:kinsoku/>
        <w:wordWrap/>
        <w:overflowPunct/>
        <w:topLinePunct w:val="0"/>
        <w:bidi w:val="0"/>
        <w:adjustRightInd/>
        <w:snapToGrid/>
        <w:spacing w:line="240" w:lineRule="auto"/>
        <w:ind w:left="817" w:leftChars="209" w:right="0" w:rightChars="0" w:hanging="357" w:hangingChars="149"/>
        <w:jc w:val="left"/>
        <w:textAlignment w:val="auto"/>
        <w:outlineLvl w:val="9"/>
        <w:rPr>
          <w:rFonts w:hint="eastAsia"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报名方式：邮件报名（须同时提交盖公章的法定代表人授权书、营业执照扫描件，</w:t>
      </w:r>
      <w:r>
        <w:rPr>
          <w:rFonts w:hint="eastAsia" w:asciiTheme="minorEastAsia" w:hAnsiTheme="minorEastAsia"/>
          <w:sz w:val="24"/>
          <w:szCs w:val="24"/>
        </w:rPr>
        <w:t>报名厂家具有在石油化工行业阻火器供货业绩（务必真实有效，福海创有权要求投标商提供相应佐证材料包括不限于合同和发票等复印件）</w:t>
      </w:r>
      <w:r>
        <w:rPr>
          <w:rFonts w:hint="eastAsia" w:asciiTheme="minorEastAsia" w:hAnsiTheme="minorEastAsia"/>
          <w:sz w:val="24"/>
          <w:szCs w:val="24"/>
          <w:lang w:eastAsia="zh-CN"/>
        </w:rPr>
        <w:t>，</w:t>
      </w:r>
      <w:r>
        <w:rPr>
          <w:rFonts w:hint="eastAsia" w:asciiTheme="majorEastAsia" w:hAnsiTheme="majorEastAsia" w:eastAsiaTheme="majorEastAsia"/>
          <w:bCs/>
          <w:sz w:val="24"/>
          <w:szCs w:val="24"/>
          <w:lang w:eastAsia="zh-CN"/>
        </w:rPr>
        <w:t>邮件发至：</w:t>
      </w:r>
      <w:r>
        <w:fldChar w:fldCharType="begin"/>
      </w:r>
      <w:r>
        <w:instrText xml:space="preserve"> HYPERLINK "mailto:hzji@fhcpec.com.cn" </w:instrText>
      </w:r>
      <w:r>
        <w:fldChar w:fldCharType="separate"/>
      </w:r>
      <w:r>
        <w:rPr>
          <w:rStyle w:val="29"/>
          <w:rFonts w:hint="eastAsia" w:asciiTheme="majorEastAsia" w:hAnsiTheme="majorEastAsia" w:eastAsiaTheme="majorEastAsia"/>
          <w:sz w:val="24"/>
          <w:szCs w:val="24"/>
          <w:lang w:val="en-US" w:eastAsia="zh-CN"/>
        </w:rPr>
        <w:t>huangmq</w:t>
      </w:r>
      <w:r>
        <w:rPr>
          <w:rStyle w:val="29"/>
          <w:rFonts w:hint="eastAsia" w:asciiTheme="majorEastAsia" w:hAnsiTheme="majorEastAsia" w:eastAsiaTheme="majorEastAsia"/>
          <w:sz w:val="24"/>
          <w:szCs w:val="24"/>
          <w:lang w:eastAsia="zh-CN"/>
        </w:rPr>
        <w:t>@f</w:t>
      </w:r>
      <w:r>
        <w:rPr>
          <w:rStyle w:val="29"/>
          <w:rFonts w:hint="eastAsia" w:asciiTheme="majorEastAsia" w:hAnsiTheme="majorEastAsia" w:eastAsiaTheme="majorEastAsia"/>
          <w:sz w:val="24"/>
          <w:szCs w:val="24"/>
          <w:lang w:val="en-US" w:eastAsia="zh-CN"/>
        </w:rPr>
        <w:t>j</w:t>
      </w:r>
      <w:r>
        <w:rPr>
          <w:rStyle w:val="29"/>
          <w:rFonts w:hint="eastAsia" w:asciiTheme="majorEastAsia" w:hAnsiTheme="majorEastAsia" w:eastAsiaTheme="majorEastAsia"/>
          <w:sz w:val="24"/>
          <w:szCs w:val="24"/>
          <w:lang w:eastAsia="zh-CN"/>
        </w:rPr>
        <w:t>pec.com.cn</w:t>
      </w:r>
      <w:r>
        <w:rPr>
          <w:rStyle w:val="29"/>
          <w:rFonts w:hint="eastAsia" w:asciiTheme="majorEastAsia" w:hAnsiTheme="majorEastAsia" w:eastAsiaTheme="majorEastAsia"/>
          <w:sz w:val="24"/>
          <w:szCs w:val="24"/>
          <w:lang w:eastAsia="zh-CN"/>
        </w:rPr>
        <w:fldChar w:fldCharType="end"/>
      </w:r>
      <w:r>
        <w:rPr>
          <w:rFonts w:hint="eastAsia" w:asciiTheme="majorEastAsia" w:hAnsiTheme="majorEastAsia" w:eastAsiaTheme="majorEastAsia"/>
          <w:bCs/>
          <w:sz w:val="24"/>
          <w:szCs w:val="24"/>
          <w:lang w:eastAsia="zh-CN"/>
        </w:rPr>
        <w:t>。未报名的参选人不能参加本项目比选。</w:t>
      </w:r>
    </w:p>
    <w:p>
      <w:pPr>
        <w:keepNext w:val="0"/>
        <w:keepLines w:val="0"/>
        <w:pageBreakBefore w:val="0"/>
        <w:widowControl w:val="0"/>
        <w:kinsoku/>
        <w:wordWrap/>
        <w:overflowPunct/>
        <w:topLinePunct w:val="0"/>
        <w:bidi w:val="0"/>
        <w:adjustRightInd/>
        <w:snapToGrid/>
        <w:spacing w:line="240" w:lineRule="auto"/>
        <w:ind w:left="720" w:leftChars="218" w:right="0" w:rightChars="0" w:hanging="240" w:hangingChars="100"/>
        <w:textAlignment w:val="auto"/>
        <w:outlineLvl w:val="9"/>
        <w:rPr>
          <w:rFonts w:asciiTheme="majorEastAsia" w:hAnsiTheme="majorEastAsia" w:eastAsiaTheme="majorEastAsia"/>
          <w:sz w:val="24"/>
          <w:szCs w:val="24"/>
          <w:lang w:eastAsia="zh-CN"/>
        </w:rPr>
      </w:pPr>
      <w:r>
        <w:rPr>
          <w:rFonts w:hint="eastAsia"/>
          <w:sz w:val="24"/>
          <w:szCs w:val="24"/>
        </w:rPr>
        <w:t xml:space="preserve">3. </w:t>
      </w:r>
      <w:r>
        <w:rPr>
          <w:rFonts w:hint="eastAsia" w:asciiTheme="majorEastAsia" w:hAnsiTheme="majorEastAsia" w:eastAsiaTheme="majorEastAsia"/>
          <w:bCs/>
          <w:sz w:val="24"/>
          <w:szCs w:val="24"/>
        </w:rPr>
        <w:t>需进行技术交流并签订技术协议书</w:t>
      </w:r>
      <w:r>
        <w:rPr>
          <w:rFonts w:hint="eastAsia" w:asciiTheme="majorEastAsia" w:hAnsiTheme="majorEastAsia" w:eastAsiaTheme="majorEastAsia"/>
          <w:bCs/>
          <w:sz w:val="24"/>
          <w:szCs w:val="24"/>
          <w:lang w:val="en-US" w:eastAsia="zh-CN"/>
        </w:rPr>
        <w:t>；如未进行技术交流且未签订技术协议书，</w:t>
      </w:r>
      <w:r>
        <w:rPr>
          <w:rFonts w:hint="eastAsia" w:asciiTheme="majorEastAsia" w:hAnsiTheme="majorEastAsia" w:eastAsiaTheme="majorEastAsia"/>
          <w:bCs/>
          <w:sz w:val="24"/>
          <w:szCs w:val="24"/>
          <w:lang w:eastAsia="zh-CN"/>
        </w:rPr>
        <w:t>其参选</w:t>
      </w:r>
      <w:r>
        <w:rPr>
          <w:rFonts w:hint="eastAsia" w:asciiTheme="majorEastAsia" w:hAnsiTheme="majorEastAsia" w:eastAsiaTheme="majorEastAsia"/>
          <w:bCs/>
          <w:sz w:val="24"/>
          <w:szCs w:val="24"/>
          <w:lang w:val="en-US" w:eastAsia="zh-CN"/>
        </w:rPr>
        <w:t>资格</w:t>
      </w:r>
      <w:r>
        <w:rPr>
          <w:rFonts w:hint="eastAsia" w:asciiTheme="majorEastAsia" w:hAnsiTheme="majorEastAsia" w:eastAsiaTheme="majorEastAsia"/>
          <w:bCs/>
          <w:sz w:val="24"/>
          <w:szCs w:val="24"/>
          <w:lang w:eastAsia="zh-CN"/>
        </w:rPr>
        <w:t>将被评标委员会予以否决</w:t>
      </w:r>
      <w:r>
        <w:rPr>
          <w:rFonts w:hint="eastAsia" w:asciiTheme="majorEastAsia" w:hAnsiTheme="majorEastAsia" w:eastAsiaTheme="majorEastAsia"/>
          <w:sz w:val="24"/>
          <w:szCs w:val="24"/>
          <w:lang w:eastAsia="zh-CN"/>
        </w:rPr>
        <w:t>。</w:t>
      </w:r>
    </w:p>
    <w:p>
      <w:pPr>
        <w:pStyle w:val="3"/>
        <w:spacing w:line="360" w:lineRule="auto"/>
        <w:ind w:left="0"/>
        <w:rPr>
          <w:rFonts w:asciiTheme="majorEastAsia" w:hAnsiTheme="majorEastAsia" w:eastAsiaTheme="majorEastAsia"/>
          <w:b w:val="0"/>
          <w:bCs w:val="0"/>
          <w:sz w:val="24"/>
          <w:szCs w:val="24"/>
          <w:lang w:eastAsia="zh-CN"/>
        </w:rPr>
      </w:pPr>
      <w:r>
        <w:rPr>
          <w:rFonts w:hint="eastAsia" w:asciiTheme="majorEastAsia" w:hAnsiTheme="majorEastAsia" w:eastAsiaTheme="majorEastAsia"/>
          <w:w w:val="95"/>
          <w:sz w:val="24"/>
          <w:szCs w:val="24"/>
          <w:lang w:eastAsia="zh-CN"/>
        </w:rPr>
        <w:t>四、</w:t>
      </w:r>
      <w:r>
        <w:rPr>
          <w:rFonts w:hint="eastAsia" w:asciiTheme="majorEastAsia" w:hAnsiTheme="majorEastAsia" w:eastAsiaTheme="majorEastAsia"/>
          <w:sz w:val="24"/>
          <w:szCs w:val="24"/>
          <w:lang w:eastAsia="zh-CN"/>
        </w:rPr>
        <w:t>参选文件递交要求</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参选文件递交地点：福建省漳州市漳浦县杜浔镇杜昌路9号</w:t>
      </w:r>
    </w:p>
    <w:p>
      <w:pPr>
        <w:keepNext w:val="0"/>
        <w:keepLines w:val="0"/>
        <w:pageBreakBefore w:val="0"/>
        <w:widowControl w:val="0"/>
        <w:kinsoku/>
        <w:wordWrap/>
        <w:overflowPunct/>
        <w:topLinePunct w:val="0"/>
        <w:autoSpaceDE/>
        <w:autoSpaceDN/>
        <w:bidi w:val="0"/>
        <w:adjustRightInd/>
        <w:snapToGrid/>
        <w:spacing w:line="240" w:lineRule="auto"/>
        <w:ind w:left="960" w:leftChars="218" w:right="0" w:rightChars="0" w:hanging="480" w:hangingChars="200"/>
        <w:jc w:val="both"/>
        <w:textAlignment w:val="auto"/>
        <w:outlineLvl w:val="9"/>
        <w:rPr>
          <w:rFonts w:hint="eastAsia"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递交截止时间（以送达时间为准）：有意向参选人请于公示期间进行</w:t>
      </w:r>
      <w:r>
        <w:rPr>
          <w:rFonts w:hint="eastAsia" w:asciiTheme="majorEastAsia" w:hAnsiTheme="majorEastAsia" w:eastAsiaTheme="majorEastAsia"/>
          <w:bCs/>
          <w:sz w:val="24"/>
          <w:szCs w:val="24"/>
          <w:lang w:val="en-US" w:eastAsia="zh-CN"/>
        </w:rPr>
        <w:t>报名且须与工厂技术</w:t>
      </w:r>
      <w:r>
        <w:rPr>
          <w:rFonts w:hint="eastAsia" w:asciiTheme="majorEastAsia" w:hAnsiTheme="majorEastAsia" w:eastAsiaTheme="majorEastAsia"/>
          <w:bCs/>
          <w:sz w:val="24"/>
          <w:szCs w:val="24"/>
          <w:lang w:eastAsia="zh-CN"/>
        </w:rPr>
        <w:t>交流</w:t>
      </w:r>
      <w:r>
        <w:rPr>
          <w:rFonts w:hint="eastAsia" w:asciiTheme="majorEastAsia" w:hAnsiTheme="majorEastAsia" w:eastAsiaTheme="majorEastAsia"/>
          <w:bCs/>
          <w:sz w:val="24"/>
          <w:szCs w:val="24"/>
          <w:lang w:val="en-US" w:eastAsia="zh-CN"/>
        </w:rPr>
        <w:t>并签署技术协议的，请在</w:t>
      </w:r>
      <w:r>
        <w:rPr>
          <w:rFonts w:hint="eastAsia" w:asciiTheme="majorEastAsia" w:hAnsiTheme="majorEastAsia" w:eastAsiaTheme="majorEastAsia"/>
          <w:bCs/>
          <w:sz w:val="24"/>
          <w:szCs w:val="24"/>
          <w:lang w:eastAsia="zh-CN"/>
        </w:rPr>
        <w:t>公示之日起</w:t>
      </w:r>
      <w:r>
        <w:rPr>
          <w:rFonts w:hint="eastAsia" w:asciiTheme="majorEastAsia" w:hAnsiTheme="majorEastAsia" w:eastAsiaTheme="majorEastAsia"/>
          <w:bCs/>
          <w:sz w:val="24"/>
          <w:szCs w:val="24"/>
          <w:lang w:val="en-US" w:eastAsia="zh-CN"/>
        </w:rPr>
        <w:t>12</w:t>
      </w:r>
      <w:r>
        <w:rPr>
          <w:rFonts w:hint="eastAsia" w:asciiTheme="majorEastAsia" w:hAnsiTheme="majorEastAsia" w:eastAsiaTheme="majorEastAsia"/>
          <w:bCs/>
          <w:sz w:val="24"/>
          <w:szCs w:val="24"/>
          <w:lang w:eastAsia="zh-CN"/>
        </w:rPr>
        <w:t>天</w:t>
      </w:r>
      <w:r>
        <w:rPr>
          <w:rFonts w:hint="eastAsia" w:asciiTheme="majorEastAsia" w:hAnsiTheme="majorEastAsia" w:eastAsiaTheme="majorEastAsia"/>
          <w:bCs/>
          <w:sz w:val="24"/>
          <w:szCs w:val="24"/>
          <w:lang w:val="en-US" w:eastAsia="zh-CN"/>
        </w:rPr>
        <w:t>内</w:t>
      </w:r>
      <w:r>
        <w:rPr>
          <w:rFonts w:hint="eastAsia" w:asciiTheme="majorEastAsia" w:hAnsiTheme="majorEastAsia" w:eastAsiaTheme="majorEastAsia"/>
          <w:bCs/>
          <w:sz w:val="24"/>
          <w:szCs w:val="24"/>
          <w:lang w:eastAsia="zh-CN"/>
        </w:rPr>
        <w:t>（工作日时间上午9:00～12:00，下午13:30～17:00。）将参选文件纸质原件密封送达比选人指定地点。</w:t>
      </w:r>
    </w:p>
    <w:p>
      <w:pPr>
        <w:autoSpaceDE/>
        <w:autoSpaceDN/>
        <w:spacing w:line="360" w:lineRule="auto"/>
        <w:ind w:firstLine="472" w:firstLineChars="196"/>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五、联系方式</w:t>
      </w:r>
    </w:p>
    <w:p>
      <w:pPr>
        <w:pStyle w:val="7"/>
        <w:snapToGrid w:val="0"/>
        <w:spacing w:line="360" w:lineRule="auto"/>
        <w:ind w:firstLine="480" w:firstLineChars="200"/>
        <w:rPr>
          <w:rFonts w:hint="eastAsia" w:cs="宋体" w:asciiTheme="majorEastAsia" w:hAnsiTheme="majorEastAsia" w:eastAsiaTheme="majorEastAsia"/>
          <w:bCs/>
          <w:szCs w:val="24"/>
        </w:rPr>
      </w:pPr>
      <w:r>
        <w:rPr>
          <w:rFonts w:hint="eastAsia" w:cs="宋体" w:asciiTheme="majorEastAsia" w:hAnsiTheme="majorEastAsia" w:eastAsiaTheme="majorEastAsia"/>
          <w:bCs/>
          <w:szCs w:val="24"/>
        </w:rPr>
        <w:t>商务联系人：</w:t>
      </w:r>
      <w:r>
        <w:rPr>
          <w:rFonts w:hint="eastAsia" w:cs="宋体" w:asciiTheme="majorEastAsia" w:hAnsiTheme="majorEastAsia" w:eastAsiaTheme="majorEastAsia"/>
          <w:bCs/>
          <w:szCs w:val="24"/>
          <w:lang w:val="en-US" w:eastAsia="zh-CN"/>
        </w:rPr>
        <w:t>黄梅钦</w:t>
      </w:r>
      <w:r>
        <w:rPr>
          <w:rFonts w:hint="eastAsia" w:cs="宋体" w:asciiTheme="majorEastAsia" w:hAnsiTheme="majorEastAsia" w:eastAsiaTheme="majorEastAsia"/>
          <w:bCs/>
          <w:szCs w:val="24"/>
        </w:rPr>
        <w:t xml:space="preserve">  电话：0596-6311</w:t>
      </w:r>
      <w:r>
        <w:rPr>
          <w:rFonts w:hint="eastAsia" w:cs="宋体" w:asciiTheme="majorEastAsia" w:hAnsiTheme="majorEastAsia" w:eastAsiaTheme="majorEastAsia"/>
          <w:bCs/>
          <w:szCs w:val="24"/>
          <w:lang w:val="en-US" w:eastAsia="zh-CN"/>
        </w:rPr>
        <w:t>073</w:t>
      </w:r>
      <w:r>
        <w:rPr>
          <w:rFonts w:hint="eastAsia" w:cs="宋体" w:asciiTheme="majorEastAsia" w:hAnsiTheme="majorEastAsia" w:eastAsiaTheme="majorEastAsia"/>
          <w:bCs/>
          <w:szCs w:val="24"/>
        </w:rPr>
        <w:t xml:space="preserve">  邮箱：</w:t>
      </w:r>
      <w:r>
        <w:rPr>
          <w:rFonts w:hint="eastAsia" w:cs="宋体" w:asciiTheme="majorEastAsia" w:hAnsiTheme="majorEastAsia" w:eastAsiaTheme="majorEastAsia"/>
          <w:bCs/>
          <w:szCs w:val="24"/>
          <w:lang w:val="en-US" w:eastAsia="zh-CN"/>
        </w:rPr>
        <w:fldChar w:fldCharType="begin"/>
      </w:r>
      <w:r>
        <w:rPr>
          <w:rFonts w:hint="eastAsia" w:cs="宋体" w:asciiTheme="majorEastAsia" w:hAnsiTheme="majorEastAsia" w:eastAsiaTheme="majorEastAsia"/>
          <w:bCs/>
          <w:szCs w:val="24"/>
          <w:lang w:val="en-US" w:eastAsia="zh-CN"/>
        </w:rPr>
        <w:instrText xml:space="preserve"> HYPERLINK "mailto:huangmq@fjpec.com.cn" </w:instrText>
      </w:r>
      <w:r>
        <w:rPr>
          <w:rFonts w:hint="eastAsia" w:cs="宋体" w:asciiTheme="majorEastAsia" w:hAnsiTheme="majorEastAsia" w:eastAsiaTheme="majorEastAsia"/>
          <w:bCs/>
          <w:szCs w:val="24"/>
          <w:lang w:val="en-US" w:eastAsia="zh-CN"/>
        </w:rPr>
        <w:fldChar w:fldCharType="separate"/>
      </w:r>
      <w:r>
        <w:rPr>
          <w:rStyle w:val="29"/>
          <w:rFonts w:hint="eastAsia" w:cs="宋体" w:asciiTheme="majorEastAsia" w:hAnsiTheme="majorEastAsia" w:eastAsiaTheme="majorEastAsia"/>
          <w:bCs/>
          <w:szCs w:val="24"/>
          <w:lang w:val="en-US" w:eastAsia="zh-CN"/>
        </w:rPr>
        <w:t>huangmq</w:t>
      </w:r>
      <w:r>
        <w:rPr>
          <w:rStyle w:val="29"/>
          <w:rFonts w:hint="eastAsia" w:cs="宋体" w:asciiTheme="majorEastAsia" w:hAnsiTheme="majorEastAsia" w:eastAsiaTheme="majorEastAsia"/>
          <w:bCs/>
          <w:szCs w:val="24"/>
        </w:rPr>
        <w:t>@f</w:t>
      </w:r>
      <w:r>
        <w:rPr>
          <w:rStyle w:val="29"/>
          <w:rFonts w:hint="eastAsia" w:cs="宋体" w:asciiTheme="majorEastAsia" w:hAnsiTheme="majorEastAsia" w:eastAsiaTheme="majorEastAsia"/>
          <w:bCs/>
          <w:szCs w:val="24"/>
          <w:lang w:val="en-US" w:eastAsia="zh-CN"/>
        </w:rPr>
        <w:t>j</w:t>
      </w:r>
      <w:r>
        <w:rPr>
          <w:rStyle w:val="29"/>
          <w:rFonts w:hint="eastAsia" w:cs="宋体" w:asciiTheme="majorEastAsia" w:hAnsiTheme="majorEastAsia" w:eastAsiaTheme="majorEastAsia"/>
          <w:bCs/>
          <w:szCs w:val="24"/>
        </w:rPr>
        <w:t>pec</w:t>
      </w:r>
      <w:r>
        <w:rPr>
          <w:rStyle w:val="29"/>
          <w:rFonts w:hint="eastAsia" w:cs="宋体" w:asciiTheme="majorEastAsia" w:hAnsiTheme="majorEastAsia" w:eastAsiaTheme="majorEastAsia"/>
          <w:bCs/>
          <w:szCs w:val="24"/>
          <w:lang w:val="en-US" w:eastAsia="zh-CN"/>
        </w:rPr>
        <w:t>.</w:t>
      </w:r>
      <w:r>
        <w:rPr>
          <w:rStyle w:val="29"/>
          <w:rFonts w:hint="eastAsia" w:cs="宋体" w:asciiTheme="majorEastAsia" w:hAnsiTheme="majorEastAsia" w:eastAsiaTheme="majorEastAsia"/>
          <w:bCs/>
          <w:szCs w:val="24"/>
        </w:rPr>
        <w:t>com</w:t>
      </w:r>
      <w:r>
        <w:rPr>
          <w:rStyle w:val="29"/>
          <w:rFonts w:hint="eastAsia" w:cs="宋体" w:asciiTheme="majorEastAsia" w:hAnsiTheme="majorEastAsia" w:eastAsiaTheme="majorEastAsia"/>
          <w:bCs/>
          <w:szCs w:val="24"/>
          <w:lang w:val="en-US" w:eastAsia="zh-CN"/>
        </w:rPr>
        <w:t>.</w:t>
      </w:r>
      <w:r>
        <w:rPr>
          <w:rStyle w:val="29"/>
          <w:rFonts w:hint="eastAsia" w:cs="宋体" w:asciiTheme="majorEastAsia" w:hAnsiTheme="majorEastAsia" w:eastAsiaTheme="majorEastAsia"/>
          <w:bCs/>
          <w:szCs w:val="24"/>
        </w:rPr>
        <w:t>cn</w:t>
      </w:r>
      <w:r>
        <w:rPr>
          <w:rFonts w:hint="eastAsia" w:cs="宋体" w:asciiTheme="majorEastAsia" w:hAnsiTheme="majorEastAsia" w:eastAsiaTheme="majorEastAsia"/>
          <w:bCs/>
          <w:szCs w:val="24"/>
          <w:lang w:val="en-US" w:eastAsia="zh-CN"/>
        </w:rPr>
        <w:fldChar w:fldCharType="end"/>
      </w:r>
    </w:p>
    <w:p>
      <w:pPr>
        <w:pStyle w:val="7"/>
        <w:snapToGrid w:val="0"/>
        <w:spacing w:line="360" w:lineRule="auto"/>
        <w:ind w:firstLine="480" w:firstLineChars="200"/>
        <w:rPr>
          <w:rFonts w:hint="eastAsia" w:cs="宋体" w:asciiTheme="majorEastAsia" w:hAnsiTheme="majorEastAsia" w:eastAsiaTheme="majorEastAsia"/>
          <w:bCs/>
          <w:szCs w:val="24"/>
          <w:lang w:val="en-US" w:eastAsia="zh-CN"/>
        </w:rPr>
      </w:pPr>
      <w:r>
        <w:rPr>
          <w:rFonts w:hint="eastAsia" w:cs="宋体" w:asciiTheme="majorEastAsia" w:hAnsiTheme="majorEastAsia" w:eastAsiaTheme="majorEastAsia"/>
          <w:bCs/>
          <w:szCs w:val="24"/>
          <w:lang w:val="en-US" w:eastAsia="zh-CN"/>
        </w:rPr>
        <w:t>技术经办：苟随义18993814019</w:t>
      </w:r>
    </w:p>
    <w:p>
      <w:pPr>
        <w:pStyle w:val="7"/>
        <w:snapToGrid w:val="0"/>
        <w:spacing w:line="360" w:lineRule="auto"/>
        <w:ind w:firstLine="480" w:firstLineChars="200"/>
        <w:rPr>
          <w:rFonts w:hint="eastAsia" w:cs="宋体" w:asciiTheme="majorEastAsia" w:hAnsiTheme="majorEastAsia" w:eastAsiaTheme="majorEastAsia"/>
          <w:bCs/>
          <w:szCs w:val="24"/>
          <w:lang w:val="en-US" w:eastAsia="zh-CN"/>
        </w:rPr>
      </w:pPr>
      <w:r>
        <w:rPr>
          <w:rFonts w:hint="eastAsia" w:cs="宋体" w:asciiTheme="majorEastAsia" w:hAnsiTheme="majorEastAsia" w:eastAsiaTheme="majorEastAsia"/>
          <w:bCs/>
          <w:szCs w:val="24"/>
        </w:rPr>
        <w:t>纪检监察室电话：0596-6311</w:t>
      </w:r>
      <w:r>
        <w:rPr>
          <w:rFonts w:hint="eastAsia" w:cs="宋体" w:asciiTheme="majorEastAsia" w:hAnsiTheme="majorEastAsia" w:eastAsiaTheme="majorEastAsia"/>
          <w:bCs/>
          <w:szCs w:val="24"/>
          <w:lang w:val="en-US" w:eastAsia="zh-CN"/>
        </w:rPr>
        <w:t>774</w:t>
      </w:r>
    </w:p>
    <w:p>
      <w:pPr>
        <w:pStyle w:val="7"/>
        <w:snapToGrid w:val="0"/>
        <w:spacing w:line="360" w:lineRule="auto"/>
        <w:ind w:firstLine="480" w:firstLineChars="200"/>
        <w:rPr>
          <w:rFonts w:cs="宋体" w:asciiTheme="majorEastAsia" w:hAnsiTheme="majorEastAsia" w:eastAsiaTheme="majorEastAsia"/>
          <w:b/>
          <w:bCs/>
          <w:szCs w:val="24"/>
        </w:rPr>
      </w:pPr>
      <w:r>
        <w:rPr>
          <w:rFonts w:hint="eastAsia" w:cs="宋体" w:asciiTheme="majorEastAsia" w:hAnsiTheme="majorEastAsia" w:eastAsiaTheme="majorEastAsia"/>
          <w:bCs/>
          <w:szCs w:val="24"/>
        </w:rPr>
        <w:t>联系地址：漳州市漳浦县杜浔镇杜昌路9号</w:t>
      </w:r>
      <w:r>
        <w:rPr>
          <w:rFonts w:hint="eastAsia" w:cs="宋体" w:asciiTheme="majorEastAsia" w:hAnsiTheme="majorEastAsia" w:eastAsiaTheme="majorEastAsia"/>
          <w:bCs/>
          <w:szCs w:val="24"/>
          <w:lang w:val="en-US" w:eastAsia="zh-CN"/>
        </w:rPr>
        <w:t xml:space="preserve">     </w:t>
      </w:r>
      <w:r>
        <w:rPr>
          <w:bCs/>
          <w:color w:val="000000" w:themeColor="text1"/>
          <w:szCs w:val="24"/>
          <w14:textFill>
            <w14:solidFill>
              <w14:schemeClr w14:val="tx1"/>
            </w14:solidFill>
          </w14:textFill>
        </w:rPr>
        <w:t>邮    编：363216</w:t>
      </w:r>
    </w:p>
    <w:p>
      <w:pPr>
        <w:tabs>
          <w:tab w:val="left" w:pos="1272"/>
        </w:tabs>
        <w:spacing w:line="360" w:lineRule="auto"/>
        <w:ind w:left="9"/>
        <w:jc w:val="center"/>
        <w:rPr>
          <w:sz w:val="24"/>
          <w:szCs w:val="24"/>
          <w:lang w:eastAsia="zh-CN"/>
        </w:rPr>
      </w:pPr>
      <w:r>
        <w:rPr>
          <w:rFonts w:hint="eastAsia"/>
          <w:sz w:val="24"/>
          <w:szCs w:val="24"/>
          <w:lang w:val="en-US" w:eastAsia="zh-CN"/>
        </w:rPr>
        <w:t xml:space="preserve">                            </w:t>
      </w:r>
      <w:r>
        <w:rPr>
          <w:rFonts w:hint="eastAsia"/>
          <w:sz w:val="24"/>
          <w:szCs w:val="24"/>
          <w:lang w:eastAsia="zh-CN"/>
        </w:rPr>
        <w:t>福建福海创石油化工有限公司</w:t>
      </w:r>
    </w:p>
    <w:p>
      <w:pPr>
        <w:spacing w:line="360" w:lineRule="auto"/>
        <w:ind w:firstLine="5760" w:firstLineChars="2400"/>
        <w:rPr>
          <w:sz w:val="24"/>
          <w:szCs w:val="24"/>
          <w:lang w:val="en-US" w:eastAsia="zh-CN"/>
        </w:rPr>
      </w:pPr>
      <w:r>
        <w:rPr>
          <w:rFonts w:hint="eastAsia"/>
          <w:sz w:val="24"/>
          <w:szCs w:val="24"/>
          <w:lang w:eastAsia="zh-CN"/>
        </w:rPr>
        <w:t>202</w:t>
      </w:r>
      <w:r>
        <w:rPr>
          <w:rFonts w:hint="eastAsia"/>
          <w:sz w:val="24"/>
          <w:szCs w:val="24"/>
          <w:lang w:val="en-US" w:eastAsia="zh-CN"/>
        </w:rPr>
        <w:t>2</w:t>
      </w:r>
      <w:r>
        <w:rPr>
          <w:rFonts w:hint="eastAsia"/>
          <w:sz w:val="24"/>
          <w:szCs w:val="24"/>
          <w:lang w:eastAsia="zh-CN"/>
        </w:rPr>
        <w:t>.0</w:t>
      </w:r>
      <w:r>
        <w:rPr>
          <w:rFonts w:hint="eastAsia"/>
          <w:sz w:val="24"/>
          <w:szCs w:val="24"/>
          <w:lang w:val="en-US" w:eastAsia="zh-CN"/>
        </w:rPr>
        <w:t>7</w:t>
      </w:r>
      <w:r>
        <w:rPr>
          <w:rFonts w:hint="eastAsia"/>
          <w:sz w:val="24"/>
          <w:szCs w:val="24"/>
          <w:lang w:eastAsia="zh-CN"/>
        </w:rPr>
        <w:t>.</w:t>
      </w:r>
      <w:r>
        <w:rPr>
          <w:rFonts w:hint="eastAsia"/>
          <w:sz w:val="24"/>
          <w:szCs w:val="24"/>
          <w:lang w:val="en-US" w:eastAsia="zh-CN"/>
        </w:rPr>
        <w:t>07</w:t>
      </w:r>
    </w:p>
    <w:p>
      <w:pPr>
        <w:pStyle w:val="3"/>
        <w:tabs>
          <w:tab w:val="left" w:pos="1262"/>
        </w:tabs>
        <w:spacing w:line="355" w:lineRule="exact"/>
        <w:ind w:left="0" w:right="108"/>
        <w:jc w:val="center"/>
        <w:rPr>
          <w:lang w:eastAsia="zh-CN"/>
        </w:rPr>
        <w:sectPr>
          <w:footerReference r:id="rId3" w:type="default"/>
          <w:pgSz w:w="11910" w:h="16840"/>
          <w:pgMar w:top="1060" w:right="1020" w:bottom="740" w:left="86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autoSpaceDE/>
        <w:autoSpaceDN/>
        <w:spacing w:line="360" w:lineRule="auto"/>
        <w:ind w:firstLine="440" w:firstLineChars="200"/>
        <w:jc w:val="both"/>
        <w:rPr>
          <w:rFonts w:hint="eastAsia" w:asciiTheme="majorEastAsia" w:hAnsiTheme="majorEastAsia" w:eastAsiaTheme="majorEastAsia"/>
          <w:bCs/>
          <w:sz w:val="24"/>
          <w:szCs w:val="24"/>
          <w:u w:val="single"/>
          <w:lang w:eastAsia="zh-CN"/>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eastAsia" w:asciiTheme="majorEastAsia" w:hAnsiTheme="majorEastAsia" w:eastAsiaTheme="majorEastAsia"/>
          <w:bCs/>
          <w:sz w:val="24"/>
          <w:szCs w:val="24"/>
          <w:u w:val="single"/>
          <w:lang w:eastAsia="zh-CN"/>
        </w:rPr>
        <w:t xml:space="preserve"> </w:t>
      </w:r>
      <w:r>
        <w:rPr>
          <w:rFonts w:hint="eastAsia" w:asciiTheme="majorEastAsia" w:hAnsiTheme="majorEastAsia" w:eastAsiaTheme="majorEastAsia"/>
          <w:u w:val="single"/>
          <w:lang w:eastAsia="zh-CN"/>
        </w:rPr>
        <w:t>阻爆燃型管道阻火器</w:t>
      </w:r>
      <w:r>
        <w:rPr>
          <w:rFonts w:hint="eastAsia" w:asciiTheme="majorEastAsia" w:hAnsiTheme="majorEastAsia" w:eastAsiaTheme="majorEastAsia"/>
          <w:bCs/>
          <w:sz w:val="24"/>
          <w:szCs w:val="24"/>
          <w:u w:val="single"/>
          <w:lang w:eastAsia="zh-CN"/>
        </w:rPr>
        <w:t xml:space="preserve">采购 </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(二)</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w:t>
      </w:r>
      <w:r>
        <w:rPr>
          <w:rFonts w:hint="eastAsia" w:asciiTheme="majorEastAsia" w:hAnsiTheme="majorEastAsia" w:eastAsiaTheme="majorEastAsia"/>
          <w:lang w:val="en-US" w:eastAsia="zh-CN"/>
        </w:rPr>
        <w:t>4</w:t>
      </w:r>
      <w:r>
        <w:rPr>
          <w:rFonts w:hint="eastAsia" w:asciiTheme="majorEastAsia" w:hAnsiTheme="majorEastAsia" w:eastAsiaTheme="majorEastAsia"/>
          <w:lang w:eastAsia="zh-CN"/>
        </w:rPr>
        <w:t>号</w:t>
      </w:r>
    </w:p>
    <w:p>
      <w:pPr>
        <w:pStyle w:val="10"/>
        <w:spacing w:line="360" w:lineRule="auto"/>
        <w:ind w:left="2164" w:leftChars="220" w:hanging="1680" w:hangingChars="700"/>
        <w:rPr>
          <w:rFonts w:asciiTheme="majorEastAsia" w:hAnsiTheme="majorEastAsia" w:eastAsiaTheme="majorEastAsia"/>
          <w:lang w:eastAsia="zh-CN"/>
        </w:rPr>
      </w:pPr>
      <w:r>
        <w:rPr>
          <w:rFonts w:asciiTheme="majorEastAsia" w:hAnsiTheme="majorEastAsia" w:eastAsiaTheme="majorEastAsia"/>
          <w:lang w:eastAsia="zh-CN"/>
        </w:rPr>
        <w:t>(三)</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eastAsia="zh-CN"/>
        </w:rPr>
        <w:t>四</w:t>
      </w:r>
      <w:r>
        <w:rPr>
          <w:rFonts w:asciiTheme="majorEastAsia" w:hAnsiTheme="majorEastAsia" w:eastAsiaTheme="majorEastAsia"/>
          <w:lang w:eastAsia="zh-CN"/>
        </w:rPr>
        <w:t>)比选范围：</w:t>
      </w:r>
    </w:p>
    <w:p>
      <w:pPr>
        <w:autoSpaceDE/>
        <w:autoSpaceDN/>
        <w:spacing w:line="360" w:lineRule="auto"/>
        <w:ind w:firstLine="480" w:firstLineChars="200"/>
        <w:jc w:val="both"/>
        <w:rPr>
          <w:rFonts w:hint="eastAsia" w:asciiTheme="majorEastAsia" w:hAnsiTheme="majorEastAsia" w:eastAsiaTheme="majorEastAsia"/>
          <w:snapToGrid w:val="0"/>
          <w:spacing w:val="8"/>
          <w:sz w:val="24"/>
          <w:szCs w:val="24"/>
          <w:u w:val="single"/>
          <w:lang w:val="en-US" w:eastAsia="zh-CN"/>
        </w:rPr>
      </w:pPr>
      <w:r>
        <w:rPr>
          <w:rFonts w:hint="eastAsia" w:asciiTheme="majorEastAsia" w:hAnsiTheme="majorEastAsia" w:eastAsiaTheme="majorEastAsia"/>
          <w:sz w:val="24"/>
          <w:szCs w:val="24"/>
          <w:lang w:eastAsia="zh-CN"/>
        </w:rPr>
        <w:t>1.项目概况：</w:t>
      </w:r>
      <w:r>
        <w:rPr>
          <w:rFonts w:hint="eastAsia" w:asciiTheme="majorEastAsia" w:hAnsiTheme="majorEastAsia" w:eastAsiaTheme="majorEastAsia"/>
          <w:snapToGrid w:val="0"/>
          <w:spacing w:val="8"/>
          <w:sz w:val="24"/>
          <w:szCs w:val="24"/>
          <w:u w:val="single"/>
          <w:lang w:eastAsia="zh-CN"/>
        </w:rPr>
        <w:t xml:space="preserve"> </w:t>
      </w:r>
      <w:r>
        <w:rPr>
          <w:rFonts w:hint="eastAsia" w:asciiTheme="majorEastAsia" w:hAnsiTheme="majorEastAsia" w:eastAsiaTheme="majorEastAsia"/>
          <w:bCs/>
          <w:sz w:val="24"/>
          <w:szCs w:val="24"/>
          <w:u w:val="single"/>
          <w:lang w:eastAsia="zh-CN"/>
        </w:rPr>
        <w:t xml:space="preserve"> </w:t>
      </w:r>
      <w:r>
        <w:rPr>
          <w:rFonts w:hint="eastAsia" w:asciiTheme="majorEastAsia" w:hAnsiTheme="majorEastAsia" w:eastAsiaTheme="majorEastAsia"/>
          <w:u w:val="single"/>
          <w:lang w:eastAsia="zh-CN"/>
        </w:rPr>
        <w:t>阻爆燃型管道阻火器</w:t>
      </w:r>
      <w:r>
        <w:rPr>
          <w:rFonts w:hint="eastAsia" w:asciiTheme="majorEastAsia" w:hAnsiTheme="majorEastAsia" w:eastAsiaTheme="majorEastAsia"/>
          <w:bCs/>
          <w:sz w:val="24"/>
          <w:szCs w:val="24"/>
          <w:u w:val="single"/>
          <w:lang w:eastAsia="zh-CN"/>
        </w:rPr>
        <w:t>采购</w:t>
      </w:r>
      <w:r>
        <w:rPr>
          <w:rFonts w:hint="eastAsia" w:asciiTheme="majorEastAsia" w:hAnsiTheme="majorEastAsia" w:eastAsiaTheme="majorEastAsia"/>
          <w:bCs/>
          <w:sz w:val="24"/>
          <w:szCs w:val="24"/>
          <w:u w:val="single"/>
          <w:lang w:val="en-US" w:eastAsia="zh-CN"/>
        </w:rPr>
        <w:t xml:space="preserve"> </w:t>
      </w:r>
    </w:p>
    <w:p>
      <w:pPr>
        <w:ind w:firstLine="480" w:firstLineChars="200"/>
        <w:jc w:val="both"/>
        <w:rPr>
          <w:rFonts w:asciiTheme="majorEastAsia" w:hAnsiTheme="majorEastAsia" w:eastAsiaTheme="majorEastAsia"/>
          <w:sz w:val="24"/>
          <w:szCs w:val="24"/>
          <w:highlight w:val="none"/>
          <w:lang w:eastAsia="zh-CN"/>
        </w:rPr>
      </w:pPr>
      <w:r>
        <w:rPr>
          <w:rFonts w:hint="eastAsia" w:asciiTheme="majorEastAsia" w:hAnsiTheme="majorEastAsia" w:eastAsiaTheme="majorEastAsia"/>
          <w:sz w:val="24"/>
          <w:szCs w:val="24"/>
          <w:highlight w:val="none"/>
          <w:lang w:eastAsia="zh-CN"/>
        </w:rPr>
        <w:t>2.项目范围及内容：</w:t>
      </w:r>
      <w:r>
        <w:rPr>
          <w:rFonts w:hint="eastAsia" w:asciiTheme="majorEastAsia" w:hAnsiTheme="majorEastAsia" w:eastAsiaTheme="majorEastAsia"/>
          <w:sz w:val="24"/>
          <w:szCs w:val="24"/>
          <w:highlight w:val="none"/>
          <w:u w:val="single"/>
          <w:lang w:val="en-US" w:eastAsia="zh-CN"/>
        </w:rPr>
        <w:t>详见附件《芳烃团队燃料气</w:t>
      </w:r>
      <w:r>
        <w:rPr>
          <w:rFonts w:hint="eastAsia" w:asciiTheme="majorEastAsia" w:hAnsiTheme="majorEastAsia" w:eastAsiaTheme="majorEastAsia"/>
          <w:sz w:val="24"/>
          <w:szCs w:val="24"/>
          <w:highlight w:val="none"/>
          <w:u w:val="single"/>
          <w:lang w:eastAsia="zh-CN"/>
        </w:rPr>
        <w:t>阻火器技术要求</w:t>
      </w:r>
      <w:r>
        <w:rPr>
          <w:rFonts w:hint="eastAsia" w:asciiTheme="majorEastAsia" w:hAnsiTheme="majorEastAsia" w:eastAsiaTheme="majorEastAsia" w:cstheme="minorEastAsia"/>
          <w:kern w:val="59"/>
          <w:sz w:val="24"/>
          <w:szCs w:val="24"/>
          <w:highlight w:val="none"/>
          <w:u w:val="single"/>
          <w:lang w:val="en-US" w:eastAsia="zh-CN"/>
        </w:rPr>
        <w:t>》。</w:t>
      </w:r>
    </w:p>
    <w:p>
      <w:pPr>
        <w:spacing w:line="360" w:lineRule="auto"/>
        <w:ind w:left="720" w:leftChars="218" w:hanging="240" w:hangingChars="100"/>
        <w:rPr>
          <w:rFonts w:hint="eastAsia" w:asciiTheme="majorEastAsia" w:hAnsiTheme="majorEastAsia" w:eastAsiaTheme="majorEastAsia" w:cstheme="minorEastAsia"/>
          <w:kern w:val="59"/>
          <w:sz w:val="24"/>
          <w:szCs w:val="24"/>
          <w:highlight w:val="none"/>
          <w:u w:val="single"/>
          <w:lang w:val="en-US" w:eastAsia="zh-CN"/>
        </w:rPr>
      </w:pPr>
      <w:r>
        <w:rPr>
          <w:rFonts w:hint="eastAsia" w:asciiTheme="majorEastAsia" w:hAnsiTheme="majorEastAsia" w:eastAsiaTheme="majorEastAsia"/>
          <w:sz w:val="24"/>
          <w:szCs w:val="24"/>
          <w:highlight w:val="none"/>
          <w:lang w:eastAsia="zh-CN"/>
        </w:rPr>
        <w:t>3.相关要求标准、规范及规定：</w:t>
      </w:r>
      <w:r>
        <w:rPr>
          <w:rFonts w:hint="eastAsia"/>
          <w:sz w:val="24"/>
          <w:szCs w:val="24"/>
          <w:highlight w:val="none"/>
          <w:lang w:eastAsia="zh-CN"/>
        </w:rPr>
        <w:t>符合现行国家、地方及行业相关设计要求及发包说明书的要求，并通过有关部门验收合格，详见</w:t>
      </w:r>
      <w:r>
        <w:rPr>
          <w:rFonts w:hint="eastAsia"/>
          <w:sz w:val="24"/>
          <w:szCs w:val="24"/>
          <w:highlight w:val="none"/>
          <w:lang w:val="en-US" w:eastAsia="zh-CN"/>
        </w:rPr>
        <w:t>附件</w:t>
      </w:r>
      <w:r>
        <w:rPr>
          <w:rFonts w:hint="eastAsia" w:asciiTheme="majorEastAsia" w:hAnsiTheme="majorEastAsia" w:eastAsiaTheme="majorEastAsia"/>
          <w:sz w:val="24"/>
          <w:szCs w:val="24"/>
          <w:highlight w:val="none"/>
          <w:u w:val="single"/>
          <w:lang w:val="en-US" w:eastAsia="zh-CN"/>
        </w:rPr>
        <w:t>《芳烃团队燃料气</w:t>
      </w:r>
      <w:r>
        <w:rPr>
          <w:rFonts w:hint="eastAsia" w:asciiTheme="majorEastAsia" w:hAnsiTheme="majorEastAsia" w:eastAsiaTheme="majorEastAsia"/>
          <w:sz w:val="24"/>
          <w:szCs w:val="24"/>
          <w:highlight w:val="none"/>
          <w:u w:val="single"/>
          <w:lang w:eastAsia="zh-CN"/>
        </w:rPr>
        <w:t>阻火器技术要求</w:t>
      </w:r>
      <w:r>
        <w:rPr>
          <w:rFonts w:hint="eastAsia" w:asciiTheme="majorEastAsia" w:hAnsiTheme="majorEastAsia" w:eastAsiaTheme="majorEastAsia" w:cstheme="minorEastAsia"/>
          <w:kern w:val="59"/>
          <w:sz w:val="24"/>
          <w:szCs w:val="24"/>
          <w:highlight w:val="none"/>
          <w:u w:val="single"/>
          <w:lang w:val="en-US" w:eastAsia="zh-CN"/>
        </w:rPr>
        <w:t>》。</w:t>
      </w:r>
    </w:p>
    <w:p>
      <w:pPr>
        <w:spacing w:line="360" w:lineRule="auto"/>
        <w:ind w:firstLine="480" w:firstLineChars="200"/>
        <w:rPr>
          <w:rFonts w:asciiTheme="majorEastAsia" w:hAnsiTheme="majorEastAsia" w:eastAsiaTheme="majorEastAsia"/>
          <w:sz w:val="24"/>
          <w:szCs w:val="24"/>
          <w:highlight w:val="none"/>
          <w:lang w:eastAsia="zh-CN"/>
        </w:rPr>
      </w:pPr>
      <w:r>
        <w:rPr>
          <w:rFonts w:hint="eastAsia" w:asciiTheme="majorEastAsia" w:hAnsiTheme="majorEastAsia" w:eastAsiaTheme="majorEastAsia" w:cstheme="minorEastAsia"/>
          <w:kern w:val="59"/>
          <w:sz w:val="24"/>
          <w:szCs w:val="24"/>
          <w:highlight w:val="none"/>
          <w:lang w:val="en-US" w:eastAsia="zh-CN"/>
        </w:rPr>
        <w:t>(五)产品质量：技术要求详见附件</w:t>
      </w:r>
      <w:r>
        <w:rPr>
          <w:rFonts w:hint="eastAsia" w:asciiTheme="majorEastAsia" w:hAnsiTheme="majorEastAsia" w:eastAsiaTheme="majorEastAsia"/>
          <w:sz w:val="24"/>
          <w:szCs w:val="24"/>
          <w:highlight w:val="none"/>
          <w:u w:val="single"/>
          <w:lang w:val="en-US" w:eastAsia="zh-CN"/>
        </w:rPr>
        <w:t>《芳烃团队燃料气</w:t>
      </w:r>
      <w:r>
        <w:rPr>
          <w:rFonts w:hint="eastAsia" w:asciiTheme="majorEastAsia" w:hAnsiTheme="majorEastAsia" w:eastAsiaTheme="majorEastAsia"/>
          <w:sz w:val="24"/>
          <w:szCs w:val="24"/>
          <w:highlight w:val="none"/>
          <w:u w:val="single"/>
          <w:lang w:eastAsia="zh-CN"/>
        </w:rPr>
        <w:t>阻火器技术要求</w:t>
      </w:r>
      <w:r>
        <w:rPr>
          <w:rFonts w:hint="eastAsia" w:asciiTheme="majorEastAsia" w:hAnsiTheme="majorEastAsia" w:eastAsiaTheme="majorEastAsia" w:cstheme="minorEastAsia"/>
          <w:kern w:val="59"/>
          <w:sz w:val="24"/>
          <w:szCs w:val="24"/>
          <w:highlight w:val="none"/>
          <w:u w:val="single"/>
          <w:lang w:val="en-US" w:eastAsia="zh-CN"/>
        </w:rPr>
        <w:t>》。</w:t>
      </w:r>
    </w:p>
    <w:p>
      <w:pPr>
        <w:pStyle w:val="3"/>
        <w:spacing w:line="360" w:lineRule="auto"/>
        <w:rPr>
          <w:rFonts w:asciiTheme="majorEastAsia" w:hAnsiTheme="majorEastAsia" w:eastAsiaTheme="majorEastAsia"/>
          <w:sz w:val="30"/>
          <w:szCs w:val="30"/>
          <w:lang w:eastAsia="zh-CN"/>
        </w:rPr>
      </w:pPr>
      <w:r>
        <w:rPr>
          <w:rFonts w:asciiTheme="majorEastAsia" w:hAnsiTheme="majorEastAsia" w:eastAsiaTheme="majorEastAsia"/>
          <w:w w:val="95"/>
          <w:sz w:val="30"/>
          <w:szCs w:val="30"/>
          <w:lang w:eastAsia="zh-CN"/>
        </w:rPr>
        <w:t>二、定义和解释</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3"/>
        <w:spacing w:line="360" w:lineRule="auto"/>
        <w:rPr>
          <w:rFonts w:asciiTheme="majorEastAsia" w:hAnsiTheme="majorEastAsia" w:eastAsiaTheme="majorEastAsia"/>
          <w:sz w:val="28"/>
          <w:szCs w:val="28"/>
          <w:lang w:eastAsia="zh-CN"/>
        </w:rPr>
      </w:pPr>
      <w:r>
        <w:rPr>
          <w:rFonts w:asciiTheme="majorEastAsia" w:hAnsiTheme="majorEastAsia" w:eastAsiaTheme="majorEastAsia"/>
          <w:w w:val="95"/>
          <w:sz w:val="28"/>
          <w:szCs w:val="28"/>
          <w:lang w:eastAsia="zh-CN"/>
        </w:rPr>
        <w:t>三、比选文件组成</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10"/>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10"/>
        <w:spacing w:line="360" w:lineRule="auto"/>
        <w:ind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3"/>
        <w:spacing w:line="360" w:lineRule="auto"/>
        <w:ind w:left="680"/>
        <w:rPr>
          <w:rFonts w:asciiTheme="majorEastAsia" w:hAnsiTheme="majorEastAsia" w:eastAsiaTheme="majorEastAsia"/>
          <w:sz w:val="28"/>
          <w:szCs w:val="28"/>
          <w:lang w:eastAsia="zh-CN"/>
        </w:rPr>
      </w:pPr>
      <w:r>
        <w:rPr>
          <w:rFonts w:asciiTheme="majorEastAsia" w:hAnsiTheme="majorEastAsia" w:eastAsiaTheme="majorEastAsia"/>
          <w:w w:val="95"/>
          <w:sz w:val="28"/>
          <w:szCs w:val="28"/>
          <w:lang w:eastAsia="zh-CN"/>
        </w:rPr>
        <w:t>四、比选文件的澄清</w:t>
      </w:r>
    </w:p>
    <w:p>
      <w:pPr>
        <w:pStyle w:val="10"/>
        <w:spacing w:line="360" w:lineRule="auto"/>
        <w:ind w:right="91" w:firstLine="482"/>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3"/>
        <w:spacing w:line="360" w:lineRule="auto"/>
        <w:ind w:left="0" w:firstLine="534" w:firstLineChars="200"/>
        <w:rPr>
          <w:rFonts w:asciiTheme="majorEastAsia" w:hAnsiTheme="majorEastAsia" w:eastAsiaTheme="majorEastAsia"/>
          <w:sz w:val="28"/>
          <w:szCs w:val="28"/>
          <w:lang w:eastAsia="zh-CN"/>
        </w:rPr>
      </w:pPr>
      <w:r>
        <w:rPr>
          <w:rFonts w:asciiTheme="majorEastAsia" w:hAnsiTheme="majorEastAsia" w:eastAsiaTheme="majorEastAsia"/>
          <w:w w:val="95"/>
          <w:sz w:val="28"/>
          <w:szCs w:val="28"/>
          <w:lang w:eastAsia="zh-CN"/>
        </w:rPr>
        <w:t>五、比选文件的修改、补充</w:t>
      </w:r>
    </w:p>
    <w:p>
      <w:pPr>
        <w:pStyle w:val="10"/>
        <w:spacing w:line="360" w:lineRule="auto"/>
        <w:ind w:right="226" w:firstLine="480"/>
        <w:jc w:val="both"/>
        <w:rPr>
          <w:rFonts w:asciiTheme="majorEastAsia" w:hAnsiTheme="majorEastAsia" w:eastAsiaTheme="majorEastAsia"/>
          <w:lang w:eastAsia="zh-CN"/>
        </w:rPr>
      </w:pPr>
      <w:r>
        <w:rPr>
          <w:rFonts w:asciiTheme="majorEastAsia" w:hAnsiTheme="majorEastAsia" w:eastAsiaTheme="majorEastAsia"/>
          <w:lang w:eastAsia="zh-CN"/>
        </w:rPr>
        <w:t>1.在参选截止日期前，比选人可主动地或依据参选人要求澄清的问题而修改比选文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lang w:eastAsia="zh-CN"/>
        </w:rPr>
        <w:t>2.</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3.比选文件的修改书将构成比选文件的一部分，对参选人具有约束作用。</w:t>
      </w:r>
    </w:p>
    <w:p>
      <w:pPr>
        <w:pStyle w:val="10"/>
        <w:spacing w:line="360" w:lineRule="auto"/>
        <w:ind w:firstLine="480" w:firstLineChars="200"/>
        <w:rPr>
          <w:rFonts w:asciiTheme="majorEastAsia" w:hAnsiTheme="majorEastAsia" w:eastAsiaTheme="majorEastAsia"/>
          <w:lang w:eastAsia="zh-CN"/>
        </w:rPr>
      </w:pPr>
      <w:r>
        <w:rPr>
          <w:rFonts w:hint="eastAsia" w:asciiTheme="majorEastAsia" w:hAnsiTheme="majorEastAsia" w:eastAsiaTheme="majorEastAsia"/>
          <w:lang w:eastAsia="zh-CN"/>
        </w:rPr>
        <w:t>4.比选人所作的一切有效补充、修改文件，均被视为比选文件不可分割部分。</w:t>
      </w:r>
    </w:p>
    <w:p>
      <w:pPr>
        <w:pStyle w:val="3"/>
        <w:spacing w:line="360" w:lineRule="auto"/>
        <w:ind w:left="539"/>
        <w:rPr>
          <w:rFonts w:asciiTheme="majorEastAsia" w:hAnsiTheme="majorEastAsia" w:eastAsiaTheme="majorEastAsia"/>
          <w:sz w:val="28"/>
          <w:szCs w:val="28"/>
          <w:lang w:eastAsia="zh-CN"/>
        </w:rPr>
      </w:pPr>
      <w:r>
        <w:rPr>
          <w:rFonts w:asciiTheme="majorEastAsia" w:hAnsiTheme="majorEastAsia" w:eastAsiaTheme="majorEastAsia"/>
          <w:w w:val="95"/>
          <w:sz w:val="28"/>
          <w:szCs w:val="28"/>
          <w:lang w:eastAsia="zh-CN"/>
        </w:rPr>
        <w:t>六、参选人资格</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sz w:val="24"/>
          <w:szCs w:val="24"/>
          <w:lang w:eastAsia="zh-CN"/>
        </w:rPr>
        <w:t>1. 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asciiTheme="majorEastAsia" w:hAnsiTheme="majorEastAsia" w:eastAsiaTheme="majorEastAsia"/>
          <w:sz w:val="24"/>
          <w:szCs w:val="24"/>
          <w:lang w:eastAsia="zh-CN"/>
        </w:rPr>
        <w:t>没有失信黑名单记录（以最高院失信被执行人系统发布信息为准）；</w:t>
      </w:r>
    </w:p>
    <w:p>
      <w:pPr>
        <w:pStyle w:val="33"/>
        <w:autoSpaceDE/>
        <w:autoSpaceDN/>
        <w:spacing w:before="0" w:line="360" w:lineRule="auto"/>
        <w:ind w:left="0"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spacing w:line="360" w:lineRule="auto"/>
        <w:ind w:left="0" w:leftChars="0" w:right="191" w:rightChars="87" w:firstLine="458" w:firstLineChars="191"/>
        <w:rPr>
          <w:rFonts w:asciiTheme="majorEastAsia" w:hAnsiTheme="majorEastAsia" w:eastAsiaTheme="majorEastAsia"/>
          <w:b/>
          <w:w w:val="95"/>
          <w:sz w:val="24"/>
          <w:szCs w:val="24"/>
          <w:lang w:eastAsia="zh-CN"/>
        </w:rPr>
      </w:pPr>
      <w:r>
        <w:rPr>
          <w:rFonts w:hint="eastAsia"/>
          <w:sz w:val="24"/>
          <w:szCs w:val="24"/>
          <w:lang w:eastAsia="zh-CN"/>
        </w:rPr>
        <w:t xml:space="preserve">4. </w:t>
      </w:r>
      <w:r>
        <w:rPr>
          <w:rFonts w:hint="eastAsia" w:asciiTheme="majorEastAsia" w:hAnsiTheme="majorEastAsia" w:eastAsiaTheme="majorEastAsia"/>
          <w:sz w:val="24"/>
          <w:szCs w:val="24"/>
          <w:lang w:eastAsia="zh-CN"/>
        </w:rPr>
        <w:t>本项目不接受联合体投标</w:t>
      </w:r>
      <w:r>
        <w:rPr>
          <w:rFonts w:hint="eastAsia"/>
          <w:sz w:val="24"/>
          <w:szCs w:val="24"/>
          <w:lang w:eastAsia="zh-CN"/>
        </w:rPr>
        <w:t>。</w:t>
      </w:r>
    </w:p>
    <w:p>
      <w:pPr>
        <w:pStyle w:val="3"/>
        <w:spacing w:line="360" w:lineRule="auto"/>
        <w:rPr>
          <w:rFonts w:asciiTheme="majorEastAsia" w:hAnsiTheme="majorEastAsia" w:eastAsiaTheme="majorEastAsia"/>
          <w:sz w:val="28"/>
          <w:szCs w:val="28"/>
          <w:lang w:eastAsia="zh-CN"/>
        </w:rPr>
      </w:pPr>
      <w:r>
        <w:rPr>
          <w:rFonts w:asciiTheme="majorEastAsia" w:hAnsiTheme="majorEastAsia" w:eastAsiaTheme="majorEastAsia"/>
          <w:w w:val="95"/>
          <w:sz w:val="28"/>
          <w:szCs w:val="28"/>
          <w:lang w:eastAsia="zh-CN"/>
        </w:rPr>
        <w:t>七、参选保证金</w:t>
      </w:r>
    </w:p>
    <w:p>
      <w:pPr>
        <w:pStyle w:val="10"/>
        <w:spacing w:beforeLines="50" w:afterLines="50"/>
        <w:ind w:right="121" w:firstLine="960" w:firstLineChars="400"/>
        <w:jc w:val="both"/>
        <w:rPr>
          <w:rFonts w:cs="Arial" w:asciiTheme="majorEastAsia" w:hAnsiTheme="majorEastAsia" w:eastAsiaTheme="majorEastAsia"/>
          <w:color w:val="333333"/>
          <w:sz w:val="24"/>
          <w:szCs w:val="24"/>
          <w:u w:val="none"/>
          <w:lang w:eastAsia="zh-CN"/>
        </w:rPr>
      </w:pPr>
      <w:r>
        <w:rPr>
          <w:rFonts w:hint="eastAsia" w:cs="Arial" w:asciiTheme="majorEastAsia" w:hAnsiTheme="majorEastAsia" w:eastAsiaTheme="majorEastAsia"/>
          <w:color w:val="333333"/>
          <w:sz w:val="24"/>
          <w:szCs w:val="24"/>
          <w:u w:val="none"/>
          <w:lang w:val="en-US" w:eastAsia="zh-CN" w:bidi="ar-SA"/>
        </w:rPr>
        <w:t>本项目不设参选保证金。</w:t>
      </w:r>
    </w:p>
    <w:p>
      <w:pPr>
        <w:pStyle w:val="3"/>
        <w:spacing w:line="360" w:lineRule="auto"/>
        <w:rPr>
          <w:rFonts w:asciiTheme="majorEastAsia" w:hAnsiTheme="majorEastAsia" w:eastAsiaTheme="majorEastAsia"/>
          <w:sz w:val="28"/>
          <w:szCs w:val="28"/>
          <w:lang w:eastAsia="zh-CN"/>
        </w:rPr>
      </w:pPr>
      <w:r>
        <w:rPr>
          <w:rFonts w:asciiTheme="majorEastAsia" w:hAnsiTheme="majorEastAsia" w:eastAsiaTheme="majorEastAsia"/>
          <w:w w:val="95"/>
          <w:sz w:val="28"/>
          <w:szCs w:val="28"/>
          <w:lang w:eastAsia="zh-CN"/>
        </w:rPr>
        <w:t>八、参选文件的递交</w:t>
      </w:r>
    </w:p>
    <w:p>
      <w:pPr>
        <w:pStyle w:val="4"/>
        <w:tabs>
          <w:tab w:val="left" w:pos="6879"/>
        </w:tabs>
        <w:spacing w:line="360" w:lineRule="auto"/>
        <w:ind w:left="0" w:right="106" w:firstLine="472" w:firstLineChars="196"/>
        <w:rPr>
          <w:rFonts w:asciiTheme="majorEastAsia" w:hAnsiTheme="majorEastAsia" w:eastAsiaTheme="majorEastAsia"/>
          <w:lang w:eastAsia="zh-CN"/>
        </w:rPr>
      </w:pPr>
      <w:r>
        <w:rPr>
          <w:rFonts w:asciiTheme="majorEastAsia" w:hAnsiTheme="majorEastAsia" w:eastAsiaTheme="majorEastAsia"/>
          <w:lang w:eastAsia="zh-CN"/>
        </w:rPr>
        <w:t>1.参选文件递交的截止时间：</w:t>
      </w:r>
      <w:r>
        <w:rPr>
          <w:rFonts w:hint="eastAsia" w:asciiTheme="majorEastAsia" w:hAnsiTheme="majorEastAsia" w:eastAsiaTheme="majorEastAsia"/>
          <w:lang w:eastAsia="zh-CN"/>
        </w:rPr>
        <w:t>见比选公告</w:t>
      </w:r>
    </w:p>
    <w:p>
      <w:pPr>
        <w:pStyle w:val="4"/>
        <w:tabs>
          <w:tab w:val="left" w:pos="6879"/>
        </w:tabs>
        <w:spacing w:line="360" w:lineRule="auto"/>
        <w:ind w:left="0" w:right="106" w:firstLine="472" w:firstLineChars="196"/>
        <w:rPr>
          <w:rFonts w:asciiTheme="majorEastAsia" w:hAnsiTheme="majorEastAsia" w:eastAsiaTheme="majorEastAsia"/>
          <w:spacing w:val="-57"/>
          <w:lang w:eastAsia="zh-CN"/>
        </w:rPr>
      </w:pPr>
      <w:r>
        <w:rPr>
          <w:rFonts w:asciiTheme="majorEastAsia" w:hAnsiTheme="majorEastAsia" w:eastAsiaTheme="majorEastAsia"/>
          <w:lang w:eastAsia="zh-CN"/>
        </w:rPr>
        <w:t>2.</w:t>
      </w:r>
      <w:r>
        <w:rPr>
          <w:rFonts w:asciiTheme="majorEastAsia" w:hAnsiTheme="majorEastAsia" w:eastAsiaTheme="majorEastAsia"/>
          <w:spacing w:val="4"/>
          <w:lang w:eastAsia="zh-CN"/>
        </w:rPr>
        <w:t>递交</w:t>
      </w:r>
      <w:r>
        <w:rPr>
          <w:rFonts w:asciiTheme="majorEastAsia" w:hAnsiTheme="majorEastAsia" w:eastAsiaTheme="majorEastAsia"/>
          <w:lang w:eastAsia="zh-CN"/>
        </w:rPr>
        <w:t>参</w:t>
      </w:r>
      <w:r>
        <w:rPr>
          <w:rFonts w:asciiTheme="majorEastAsia" w:hAnsiTheme="majorEastAsia" w:eastAsiaTheme="majorEastAsia"/>
          <w:spacing w:val="4"/>
          <w:lang w:eastAsia="zh-CN"/>
        </w:rPr>
        <w:t>选文件的地</w:t>
      </w:r>
      <w:r>
        <w:rPr>
          <w:rFonts w:asciiTheme="majorEastAsia" w:hAnsiTheme="majorEastAsia" w:eastAsiaTheme="majorEastAsia"/>
          <w:lang w:eastAsia="zh-CN"/>
        </w:rPr>
        <w:t>点</w:t>
      </w:r>
      <w:r>
        <w:rPr>
          <w:rFonts w:asciiTheme="majorEastAsia" w:hAnsiTheme="majorEastAsia" w:eastAsiaTheme="majorEastAsia"/>
          <w:spacing w:val="4"/>
          <w:lang w:eastAsia="zh-CN"/>
        </w:rPr>
        <w:t>为：</w:t>
      </w:r>
      <w:r>
        <w:rPr>
          <w:rFonts w:hint="eastAsia" w:asciiTheme="majorEastAsia" w:hAnsiTheme="majorEastAsia" w:eastAsiaTheme="majorEastAsia"/>
          <w:spacing w:val="4"/>
          <w:lang w:eastAsia="zh-CN"/>
        </w:rPr>
        <w:t>漳州市漳浦县杜浔镇杜昌路9号</w:t>
      </w:r>
    </w:p>
    <w:p>
      <w:pPr>
        <w:pStyle w:val="4"/>
        <w:tabs>
          <w:tab w:val="left" w:pos="6879"/>
        </w:tabs>
        <w:spacing w:line="360" w:lineRule="auto"/>
        <w:ind w:left="119" w:leftChars="54" w:right="106" w:firstLine="834" w:firstLineChars="346"/>
        <w:rPr>
          <w:rFonts w:asciiTheme="majorEastAsia" w:hAnsiTheme="majorEastAsia" w:eastAsiaTheme="majorEastAsia"/>
          <w:spacing w:val="-4"/>
          <w:lang w:eastAsia="zh-CN"/>
        </w:rPr>
      </w:pPr>
      <w:r>
        <w:rPr>
          <w:rFonts w:hint="eastAsia" w:asciiTheme="majorEastAsia" w:hAnsiTheme="majorEastAsia" w:eastAsiaTheme="majorEastAsia"/>
          <w:lang w:eastAsia="zh-CN"/>
        </w:rPr>
        <w:t>商务</w:t>
      </w:r>
      <w:r>
        <w:rPr>
          <w:rFonts w:asciiTheme="majorEastAsia" w:hAnsiTheme="majorEastAsia" w:eastAsiaTheme="majorEastAsia"/>
          <w:lang w:eastAsia="zh-CN"/>
        </w:rPr>
        <w:t>联系人</w:t>
      </w:r>
      <w:r>
        <w:rPr>
          <w:rFonts w:asciiTheme="majorEastAsia" w:hAnsiTheme="majorEastAsia" w:eastAsiaTheme="majorEastAsia"/>
          <w:spacing w:val="-56"/>
          <w:lang w:eastAsia="zh-CN"/>
        </w:rPr>
        <w:t>：</w:t>
      </w:r>
      <w:r>
        <w:rPr>
          <w:rFonts w:hint="eastAsia" w:asciiTheme="majorEastAsia" w:hAnsiTheme="majorEastAsia" w:eastAsiaTheme="majorEastAsia"/>
          <w:spacing w:val="-56"/>
          <w:lang w:val="en-US" w:eastAsia="zh-CN"/>
        </w:rPr>
        <w:t>黄梅钦</w:t>
      </w:r>
      <w:r>
        <w:rPr>
          <w:rFonts w:hint="eastAsia" w:asciiTheme="majorEastAsia" w:hAnsiTheme="majorEastAsia" w:eastAsiaTheme="majorEastAsia"/>
          <w:lang w:eastAsia="zh-CN"/>
        </w:rPr>
        <w:t xml:space="preserve">    </w:t>
      </w:r>
      <w:r>
        <w:rPr>
          <w:rFonts w:asciiTheme="majorEastAsia" w:hAnsiTheme="majorEastAsia" w:eastAsiaTheme="majorEastAsia"/>
          <w:spacing w:val="-6"/>
          <w:lang w:eastAsia="zh-CN"/>
        </w:rPr>
        <w:t xml:space="preserve"> </w:t>
      </w:r>
      <w:r>
        <w:rPr>
          <w:rFonts w:asciiTheme="majorEastAsia" w:hAnsiTheme="majorEastAsia" w:eastAsiaTheme="majorEastAsia"/>
          <w:lang w:eastAsia="zh-CN"/>
        </w:rPr>
        <w:t>电话</w:t>
      </w:r>
      <w:r>
        <w:rPr>
          <w:rFonts w:asciiTheme="majorEastAsia" w:hAnsiTheme="majorEastAsia" w:eastAsiaTheme="majorEastAsia"/>
          <w:spacing w:val="-4"/>
          <w:lang w:eastAsia="zh-CN"/>
        </w:rPr>
        <w:t>：</w:t>
      </w:r>
      <w:r>
        <w:rPr>
          <w:rFonts w:hint="eastAsia" w:asciiTheme="majorEastAsia" w:hAnsiTheme="majorEastAsia" w:eastAsiaTheme="majorEastAsia"/>
          <w:spacing w:val="-4"/>
          <w:lang w:eastAsia="zh-CN"/>
        </w:rPr>
        <w:t>0596-6311</w:t>
      </w:r>
      <w:r>
        <w:rPr>
          <w:rFonts w:hint="eastAsia" w:asciiTheme="majorEastAsia" w:hAnsiTheme="majorEastAsia" w:eastAsiaTheme="majorEastAsia"/>
          <w:spacing w:val="-4"/>
          <w:lang w:val="en-US" w:eastAsia="zh-CN"/>
        </w:rPr>
        <w:t>073</w:t>
      </w:r>
    </w:p>
    <w:p>
      <w:pPr>
        <w:pStyle w:val="4"/>
        <w:tabs>
          <w:tab w:val="left" w:pos="6879"/>
        </w:tabs>
        <w:spacing w:line="360" w:lineRule="auto"/>
        <w:ind w:left="119" w:leftChars="54" w:right="106" w:firstLine="806" w:firstLineChars="346"/>
        <w:rPr>
          <w:rFonts w:hint="eastAsia" w:asciiTheme="majorEastAsia" w:hAnsiTheme="majorEastAsia" w:eastAsiaTheme="majorEastAsia"/>
          <w:spacing w:val="-4"/>
          <w:lang w:eastAsia="zh-CN"/>
        </w:rPr>
      </w:pPr>
      <w:r>
        <w:rPr>
          <w:rFonts w:hint="eastAsia" w:asciiTheme="majorEastAsia" w:hAnsiTheme="majorEastAsia" w:eastAsiaTheme="majorEastAsia"/>
          <w:spacing w:val="-4"/>
          <w:lang w:eastAsia="zh-CN"/>
        </w:rPr>
        <w:t>技术联系人：</w:t>
      </w:r>
      <w:r>
        <w:rPr>
          <w:rFonts w:hint="eastAsia" w:asciiTheme="majorEastAsia" w:hAnsiTheme="majorEastAsia" w:eastAsiaTheme="majorEastAsia"/>
          <w:spacing w:val="-4"/>
          <w:lang w:val="en-US" w:eastAsia="zh-CN"/>
        </w:rPr>
        <w:t>苟随义</w:t>
      </w:r>
      <w:r>
        <w:rPr>
          <w:rFonts w:hint="eastAsia" w:asciiTheme="majorEastAsia" w:hAnsiTheme="majorEastAsia" w:eastAsiaTheme="majorEastAsia"/>
          <w:spacing w:val="-4"/>
          <w:lang w:eastAsia="zh-CN"/>
        </w:rPr>
        <w:t xml:space="preserve">  </w:t>
      </w:r>
      <w:r>
        <w:rPr>
          <w:rFonts w:hint="eastAsia" w:asciiTheme="majorEastAsia" w:hAnsiTheme="majorEastAsia" w:eastAsiaTheme="majorEastAsia"/>
          <w:spacing w:val="-4"/>
          <w:lang w:val="en-US" w:eastAsia="zh-CN"/>
        </w:rPr>
        <w:t xml:space="preserve"> </w:t>
      </w:r>
      <w:r>
        <w:rPr>
          <w:rFonts w:hint="eastAsia" w:asciiTheme="majorEastAsia" w:hAnsiTheme="majorEastAsia" w:eastAsiaTheme="majorEastAsia"/>
          <w:spacing w:val="-4"/>
          <w:lang w:eastAsia="zh-CN"/>
        </w:rPr>
        <w:t xml:space="preserve"> 电话：18993814019</w:t>
      </w:r>
    </w:p>
    <w:p>
      <w:pPr>
        <w:spacing w:line="360" w:lineRule="auto"/>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10"/>
        <w:spacing w:line="360" w:lineRule="auto"/>
        <w:ind w:right="106" w:firstLine="480" w:firstLineChars="200"/>
        <w:jc w:val="both"/>
        <w:rPr>
          <w:rFonts w:hint="eastAsia" w:asciiTheme="majorEastAsia" w:hAnsiTheme="majorEastAsia" w:eastAsiaTheme="majorEastAsia"/>
          <w:w w:val="95"/>
          <w:sz w:val="24"/>
          <w:szCs w:val="24"/>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3"/>
        <w:spacing w:line="360" w:lineRule="auto"/>
        <w:ind w:left="0" w:firstLine="458" w:firstLineChars="200"/>
        <w:rPr>
          <w:rFonts w:hint="eastAsia" w:asciiTheme="majorEastAsia" w:hAnsiTheme="majorEastAsia" w:eastAsiaTheme="majorEastAsia"/>
          <w:w w:val="95"/>
          <w:sz w:val="24"/>
          <w:szCs w:val="24"/>
          <w:lang w:eastAsia="zh-CN"/>
        </w:rPr>
      </w:pPr>
    </w:p>
    <w:p>
      <w:pPr>
        <w:pStyle w:val="3"/>
        <w:spacing w:line="360" w:lineRule="auto"/>
        <w:ind w:left="0" w:firstLine="458" w:firstLineChars="20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九</w:t>
      </w:r>
      <w:r>
        <w:rPr>
          <w:rFonts w:asciiTheme="majorEastAsia" w:hAnsiTheme="majorEastAsia" w:eastAsiaTheme="majorEastAsia"/>
          <w:w w:val="95"/>
          <w:sz w:val="24"/>
          <w:szCs w:val="24"/>
          <w:lang w:eastAsia="zh-CN"/>
        </w:rPr>
        <w:t>、</w:t>
      </w:r>
      <w:r>
        <w:rPr>
          <w:rFonts w:hint="eastAsia" w:asciiTheme="majorEastAsia" w:hAnsiTheme="majorEastAsia" w:eastAsiaTheme="majorEastAsia"/>
          <w:w w:val="95"/>
          <w:sz w:val="24"/>
          <w:szCs w:val="24"/>
          <w:lang w:eastAsia="zh-CN"/>
        </w:rPr>
        <w:t>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hint="eastAsia" w:asciiTheme="majorEastAsia" w:hAnsiTheme="majorEastAsia" w:eastAsiaTheme="majorEastAsia"/>
          <w:b/>
          <w:bCs/>
          <w:sz w:val="24"/>
          <w:szCs w:val="24"/>
          <w:lang w:val="en-US" w:eastAsia="zh-CN"/>
        </w:rPr>
        <w:t>37800</w:t>
      </w:r>
      <w:r>
        <w:rPr>
          <w:rFonts w:hint="eastAsia" w:asciiTheme="majorEastAsia" w:hAnsiTheme="majorEastAsia" w:eastAsiaTheme="majorEastAsia"/>
          <w:b/>
          <w:bCs/>
          <w:sz w:val="24"/>
          <w:szCs w:val="24"/>
          <w:lang w:eastAsia="zh-CN"/>
        </w:rPr>
        <w:t>元</w:t>
      </w:r>
      <w:r>
        <w:rPr>
          <w:rFonts w:hint="eastAsia"/>
          <w:b/>
          <w:lang w:eastAsia="zh-CN"/>
        </w:rPr>
        <w:t>（</w:t>
      </w:r>
      <w:r>
        <w:rPr>
          <w:rFonts w:hint="eastAsia"/>
          <w:b/>
          <w:lang w:val="en-US" w:eastAsia="zh-CN"/>
        </w:rPr>
        <w:t>未</w:t>
      </w:r>
      <w:r>
        <w:rPr>
          <w:rFonts w:hint="eastAsia"/>
          <w:b/>
          <w:lang w:eastAsia="zh-CN"/>
        </w:rPr>
        <w:t>税价）</w:t>
      </w:r>
      <w:r>
        <w:rPr>
          <w:rFonts w:hint="eastAsia" w:asciiTheme="majorEastAsia" w:hAnsiTheme="majorEastAsia" w:eastAsiaTheme="majorEastAsia"/>
          <w:bCs/>
          <w:sz w:val="24"/>
          <w:szCs w:val="24"/>
          <w:lang w:eastAsia="zh-CN"/>
        </w:rPr>
        <w:t>。参选人所填报的参选</w:t>
      </w:r>
      <w:r>
        <w:rPr>
          <w:rFonts w:hint="eastAsia" w:asciiTheme="majorEastAsia" w:hAnsiTheme="majorEastAsia" w:eastAsiaTheme="majorEastAsia"/>
          <w:bCs/>
          <w:sz w:val="24"/>
          <w:szCs w:val="24"/>
          <w:lang w:val="en-US" w:eastAsia="zh-CN"/>
        </w:rPr>
        <w:t>含税</w:t>
      </w:r>
      <w:r>
        <w:rPr>
          <w:rFonts w:hint="eastAsia" w:asciiTheme="majorEastAsia" w:hAnsiTheme="majorEastAsia" w:eastAsiaTheme="majorEastAsia"/>
          <w:bCs/>
          <w:sz w:val="24"/>
          <w:szCs w:val="24"/>
          <w:lang w:eastAsia="zh-CN"/>
        </w:rPr>
        <w:t>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firstLine="472" w:firstLineChars="200"/>
        <w:rPr>
          <w:rFonts w:hint="eastAsia" w:asciiTheme="majorEastAsia" w:hAnsiTheme="majorEastAsia" w:eastAsiaTheme="majorEastAsia"/>
          <w:bCs/>
          <w:spacing w:val="-2"/>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10"/>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3"/>
        <w:numPr>
          <w:ilvl w:val="0"/>
          <w:numId w:val="2"/>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33"/>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3"/>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3"/>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33"/>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33"/>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33"/>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6）按本须知规定提供的其它资料</w:t>
      </w:r>
      <w:r>
        <w:rPr>
          <w:rFonts w:hint="eastAsia" w:asciiTheme="majorEastAsia" w:hAnsiTheme="majorEastAsia" w:eastAsiaTheme="majorEastAsia"/>
          <w:kern w:val="59"/>
          <w:sz w:val="24"/>
          <w:szCs w:val="24"/>
          <w:lang w:eastAsia="zh-CN"/>
        </w:rPr>
        <w:t>。</w:t>
      </w:r>
    </w:p>
    <w:p>
      <w:pPr>
        <w:pStyle w:val="10"/>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10"/>
        <w:spacing w:line="360" w:lineRule="auto"/>
        <w:ind w:firstLine="482" w:firstLineChars="200"/>
        <w:rPr>
          <w:lang w:eastAsia="zh-CN"/>
        </w:rPr>
      </w:pPr>
      <w:r>
        <w:rPr>
          <w:rFonts w:hint="eastAsia"/>
          <w:b/>
          <w:lang w:eastAsia="zh-CN"/>
        </w:rPr>
        <w:t>注：需提供参选文件及报价表电子版一份（盖章PDF版），报价表须独立盖章密封</w:t>
      </w:r>
    </w:p>
    <w:p>
      <w:pPr>
        <w:pStyle w:val="3"/>
        <w:spacing w:line="360" w:lineRule="auto"/>
        <w:ind w:left="0" w:firstLine="458" w:firstLineChars="200"/>
        <w:rPr>
          <w:sz w:val="24"/>
          <w:szCs w:val="24"/>
          <w:lang w:eastAsia="zh-CN"/>
        </w:rPr>
      </w:pPr>
      <w:r>
        <w:rPr>
          <w:w w:val="95"/>
          <w:sz w:val="24"/>
          <w:szCs w:val="24"/>
          <w:lang w:eastAsia="zh-CN"/>
        </w:rPr>
        <w:t>二、参选书格式内容</w:t>
      </w:r>
    </w:p>
    <w:p>
      <w:pPr>
        <w:pStyle w:val="10"/>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10"/>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pPr>
        <w:pStyle w:val="3"/>
        <w:spacing w:line="360" w:lineRule="auto"/>
        <w:ind w:left="0" w:firstLine="458" w:firstLineChars="200"/>
        <w:rPr>
          <w:sz w:val="24"/>
          <w:szCs w:val="24"/>
          <w:lang w:eastAsia="zh-CN"/>
        </w:rPr>
      </w:pPr>
      <w:r>
        <w:rPr>
          <w:w w:val="95"/>
          <w:sz w:val="24"/>
          <w:szCs w:val="24"/>
          <w:lang w:eastAsia="zh-CN"/>
        </w:rPr>
        <w:t>三、参选报价</w:t>
      </w:r>
    </w:p>
    <w:p>
      <w:pPr>
        <w:pStyle w:val="10"/>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line="360" w:lineRule="auto"/>
        <w:ind w:left="0" w:firstLine="458" w:firstLineChars="200"/>
        <w:rPr>
          <w:sz w:val="24"/>
          <w:szCs w:val="24"/>
          <w:lang w:eastAsia="zh-CN"/>
        </w:rPr>
      </w:pPr>
      <w:r>
        <w:rPr>
          <w:w w:val="95"/>
          <w:sz w:val="24"/>
          <w:szCs w:val="24"/>
          <w:lang w:eastAsia="zh-CN"/>
        </w:rPr>
        <w:t>四、特别说明</w:t>
      </w:r>
    </w:p>
    <w:p>
      <w:pPr>
        <w:pStyle w:val="10"/>
        <w:spacing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10"/>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10"/>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1"/>
        <w:spacing w:after="0" w:line="360" w:lineRule="auto"/>
        <w:ind w:left="0" w:leftChars="0" w:firstLine="543" w:firstLineChars="245"/>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0"/>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0"/>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88651"/>
      <w:bookmarkStart w:id="1" w:name="_Toc430490619"/>
      <w:bookmarkStart w:id="2" w:name="_Toc415567504"/>
      <w:bookmarkStart w:id="3" w:name="_Toc304357904"/>
      <w:bookmarkStart w:id="4" w:name="_Toc430422420"/>
      <w:bookmarkStart w:id="5" w:name="_Toc430489126"/>
      <w:bookmarkStart w:id="6" w:name="_Toc430492133"/>
      <w:bookmarkStart w:id="7" w:name="_Toc430488858"/>
      <w:bookmarkStart w:id="8" w:name="_Toc177186249"/>
    </w:p>
    <w:p>
      <w:pPr>
        <w:pStyle w:val="10"/>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w:t>
      </w:r>
      <w:r>
        <w:rPr>
          <w:rFonts w:hint="eastAsia"/>
          <w:sz w:val="24"/>
          <w:szCs w:val="24"/>
          <w:highlight w:val="none"/>
          <w:lang w:eastAsia="zh-CN"/>
        </w:rPr>
        <w:t>选</w:t>
      </w:r>
      <w:r>
        <w:rPr>
          <w:rFonts w:hint="eastAsia"/>
          <w:b/>
          <w:sz w:val="24"/>
          <w:szCs w:val="24"/>
          <w:highlight w:val="none"/>
          <w:lang w:eastAsia="zh-CN"/>
        </w:rPr>
        <w:t>价格</w:t>
      </w:r>
      <w:r>
        <w:rPr>
          <w:rFonts w:hint="eastAsia"/>
          <w:sz w:val="24"/>
          <w:szCs w:val="24"/>
          <w:highlight w:val="none"/>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10"/>
        <w:spacing w:line="360" w:lineRule="auto"/>
        <w:ind w:right="226" w:firstLine="480"/>
        <w:jc w:val="both"/>
        <w:rPr>
          <w:highlight w:val="yellow"/>
          <w:lang w:eastAsia="zh-CN"/>
        </w:rPr>
      </w:pPr>
      <w:r>
        <w:rPr>
          <w:rFonts w:hint="eastAsia"/>
          <w:lang w:eastAsia="zh-CN"/>
        </w:rPr>
        <w:t xml:space="preserve">7.5 </w:t>
      </w:r>
      <w:r>
        <w:rPr>
          <w:rFonts w:hint="eastAsia"/>
          <w:highlight w:val="none"/>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0"/>
        <w:spacing w:line="360" w:lineRule="auto"/>
        <w:ind w:right="226" w:firstLine="48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9. 参选文件正本应按要求由经正式授权的参选人代表签字并加盖参选人公章。副本可以用复印件。</w:t>
      </w:r>
    </w:p>
    <w:p>
      <w:pPr>
        <w:pStyle w:val="3"/>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10"/>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1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0"/>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1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10"/>
        <w:spacing w:line="360" w:lineRule="auto"/>
        <w:ind w:right="121" w:firstLine="480" w:firstLineChars="200"/>
        <w:jc w:val="both"/>
        <w:rPr>
          <w:lang w:eastAsia="zh-CN"/>
        </w:rPr>
      </w:pPr>
      <w:r>
        <w:rPr>
          <w:rFonts w:hint="eastAsia"/>
          <w:lang w:eastAsia="zh-CN"/>
        </w:rPr>
        <w:t>本项目设置最高控制价</w:t>
      </w:r>
      <w:r>
        <w:rPr>
          <w:rFonts w:hint="eastAsia"/>
          <w:b/>
          <w:bCs/>
          <w:lang w:val="en-US" w:eastAsia="zh-CN"/>
        </w:rPr>
        <w:t>378</w:t>
      </w:r>
      <w:r>
        <w:rPr>
          <w:rFonts w:hint="eastAsia"/>
          <w:b/>
          <w:bCs/>
          <w:lang w:eastAsia="zh-CN"/>
        </w:rPr>
        <w:t>0</w:t>
      </w:r>
      <w:r>
        <w:rPr>
          <w:rFonts w:hint="eastAsia"/>
          <w:b/>
          <w:lang w:eastAsia="zh-CN"/>
        </w:rPr>
        <w:t>0元（</w:t>
      </w:r>
      <w:r>
        <w:rPr>
          <w:rFonts w:hint="eastAsia"/>
          <w:b/>
          <w:lang w:val="en-US" w:eastAsia="zh-CN"/>
        </w:rPr>
        <w:t>未</w:t>
      </w:r>
      <w:r>
        <w:rPr>
          <w:rFonts w:hint="eastAsia"/>
          <w:b/>
          <w:lang w:eastAsia="zh-CN"/>
        </w:rPr>
        <w:t>税价）</w:t>
      </w:r>
      <w:r>
        <w:rPr>
          <w:rFonts w:hint="eastAsia"/>
          <w:lang w:eastAsia="zh-CN"/>
        </w:rPr>
        <w:t>。参选人所填报的</w:t>
      </w:r>
      <w:r>
        <w:rPr>
          <w:rFonts w:hint="eastAsia"/>
          <w:lang w:val="en-US" w:eastAsia="zh-CN"/>
        </w:rPr>
        <w:t>包干</w:t>
      </w:r>
      <w:r>
        <w:rPr>
          <w:rFonts w:hint="eastAsia"/>
          <w:highlight w:val="none"/>
          <w:lang w:val="en-US" w:eastAsia="zh-CN"/>
        </w:rPr>
        <w:t>含税</w:t>
      </w:r>
      <w:r>
        <w:rPr>
          <w:rFonts w:hint="eastAsia"/>
          <w:lang w:eastAsia="zh-CN"/>
        </w:rPr>
        <w:t>报价高于本项目最高限价的，其参选将被比选小组予以否决。</w:t>
      </w:r>
    </w:p>
    <w:p>
      <w:pPr>
        <w:pStyle w:val="10"/>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r>
        <w:rPr>
          <w:rFonts w:hint="eastAsia"/>
          <w:b/>
          <w:bCs/>
          <w:lang w:eastAsia="zh-CN"/>
        </w:rPr>
        <w:t>未税总价最低者作为中选单位</w:t>
      </w:r>
      <w:r>
        <w:rPr>
          <w:b/>
          <w:bCs/>
          <w:lang w:eastAsia="zh-CN"/>
        </w:rPr>
        <w:t>。</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1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0"/>
        <w:spacing w:line="360" w:lineRule="auto"/>
        <w:ind w:right="121" w:firstLine="480" w:firstLineChars="200"/>
        <w:jc w:val="both"/>
        <w:rPr>
          <w:lang w:eastAsia="zh-CN"/>
        </w:rPr>
      </w:pPr>
      <w:r>
        <w:rPr>
          <w:lang w:eastAsia="zh-CN"/>
        </w:rPr>
        <w:t>2.参选文件存在重大偏差的。</w:t>
      </w:r>
    </w:p>
    <w:p>
      <w:pPr>
        <w:pStyle w:val="1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10"/>
        <w:spacing w:line="360" w:lineRule="auto"/>
        <w:ind w:right="121" w:firstLine="480" w:firstLineChars="200"/>
        <w:jc w:val="both"/>
        <w:rPr>
          <w:lang w:eastAsia="zh-CN"/>
        </w:rPr>
      </w:pPr>
      <w:r>
        <w:rPr>
          <w:lang w:eastAsia="zh-CN"/>
        </w:rPr>
        <w:t>1.比选人将在参选文件截止日期后组织比选会，参选人选定工作在比选人有关部门监督下，由比选人依法组建的评选委员会负责。</w:t>
      </w:r>
    </w:p>
    <w:p>
      <w:pPr>
        <w:pStyle w:val="10"/>
        <w:spacing w:line="360" w:lineRule="auto"/>
        <w:ind w:right="121" w:firstLine="480" w:firstLineChars="200"/>
        <w:jc w:val="both"/>
        <w:rPr>
          <w:lang w:eastAsia="zh-CN"/>
        </w:rPr>
      </w:pPr>
      <w:r>
        <w:rPr>
          <w:lang w:eastAsia="zh-CN"/>
        </w:rPr>
        <w:t>2.在开选时没有启封和读出的参选文件，在评选时将不予考虑。</w:t>
      </w:r>
    </w:p>
    <w:p>
      <w:pPr>
        <w:pStyle w:val="10"/>
        <w:spacing w:line="360" w:lineRule="auto"/>
        <w:ind w:right="121" w:firstLine="480" w:firstLineChars="200"/>
        <w:jc w:val="both"/>
        <w:rPr>
          <w:lang w:eastAsia="zh-CN"/>
        </w:rPr>
      </w:pPr>
      <w:r>
        <w:rPr>
          <w:lang w:eastAsia="zh-CN"/>
        </w:rPr>
        <w:t>3.比选人将做开选记录。</w:t>
      </w:r>
    </w:p>
    <w:p>
      <w:pPr>
        <w:pStyle w:val="2"/>
        <w:spacing w:line="360" w:lineRule="auto"/>
        <w:ind w:firstLine="480" w:firstLineChars="200"/>
        <w:rPr>
          <w:b/>
          <w:sz w:val="24"/>
          <w:szCs w:val="24"/>
        </w:rPr>
      </w:pPr>
      <w:r>
        <w:rPr>
          <w:rFonts w:hint="eastAsia"/>
          <w:sz w:val="24"/>
          <w:szCs w:val="24"/>
        </w:rPr>
        <w:t>4.业主将根据评选结果与中选人签订合同。</w:t>
      </w:r>
    </w:p>
    <w:p>
      <w:pPr>
        <w:pStyle w:val="3"/>
        <w:tabs>
          <w:tab w:val="left" w:pos="1632"/>
        </w:tabs>
        <w:spacing w:line="360" w:lineRule="auto"/>
        <w:ind w:left="0"/>
        <w:jc w:val="center"/>
        <w:rPr>
          <w:lang w:eastAsia="zh-CN"/>
        </w:rPr>
      </w:pPr>
    </w:p>
    <w:p>
      <w:pPr>
        <w:pStyle w:val="3"/>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10"/>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10"/>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10"/>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10"/>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10"/>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10"/>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437"/>
        <w:rPr>
          <w:sz w:val="24"/>
          <w:szCs w:val="24"/>
        </w:rPr>
      </w:pPr>
      <w:r>
        <w:rPr>
          <w:rFonts w:hint="eastAsia"/>
          <w:sz w:val="24"/>
          <w:szCs w:val="24"/>
        </w:rPr>
        <w:t>9.</w:t>
      </w:r>
      <w:r>
        <w:rPr>
          <w:rFonts w:hint="eastAsia"/>
        </w:rPr>
        <w:t xml:space="preserve"> </w:t>
      </w:r>
      <w:r>
        <w:rPr>
          <w:rStyle w:val="25"/>
          <w:rFonts w:hint="eastAsia"/>
          <w:sz w:val="24"/>
          <w:szCs w:val="24"/>
        </w:rPr>
        <w:t>福建福海创石油化工有限公司的权属子公司“腾龙芳烃（漳州）有限公司”作为合同执行主体，将于中选通知书发出之日起20日内与中选人完成合同签订事宜。</w:t>
      </w:r>
    </w:p>
    <w:p>
      <w:pPr>
        <w:pStyle w:val="3"/>
        <w:tabs>
          <w:tab w:val="left" w:pos="4344"/>
        </w:tabs>
        <w:spacing w:line="355" w:lineRule="exact"/>
        <w:ind w:left="3082"/>
        <w:rPr>
          <w:lang w:eastAsia="zh-CN"/>
        </w:rPr>
      </w:pPr>
    </w:p>
    <w:p>
      <w:pPr>
        <w:pStyle w:val="3"/>
        <w:tabs>
          <w:tab w:val="left" w:pos="4344"/>
        </w:tabs>
        <w:spacing w:line="355" w:lineRule="exact"/>
        <w:ind w:left="3082"/>
        <w:rPr>
          <w:rFonts w:hAnsi="Calibri" w:cs="Times New Roman"/>
          <w:b w:val="0"/>
          <w:bCs w:val="0"/>
          <w:sz w:val="34"/>
          <w:szCs w:val="22"/>
          <w:lang w:eastAsia="zh-CN"/>
        </w:rPr>
      </w:pPr>
    </w:p>
    <w:p>
      <w:pPr>
        <w:pStyle w:val="3"/>
        <w:tabs>
          <w:tab w:val="left" w:pos="4344"/>
        </w:tabs>
        <w:spacing w:line="360" w:lineRule="auto"/>
        <w:ind w:left="0"/>
        <w:jc w:val="center"/>
        <w:rPr>
          <w:highlight w:val="yellow"/>
          <w:lang w:eastAsia="zh-CN"/>
        </w:rPr>
      </w:pPr>
    </w:p>
    <w:p>
      <w:pPr>
        <w:pStyle w:val="3"/>
        <w:tabs>
          <w:tab w:val="left" w:pos="4344"/>
        </w:tabs>
        <w:spacing w:line="360" w:lineRule="auto"/>
        <w:ind w:left="0"/>
        <w:jc w:val="center"/>
        <w:rPr>
          <w:highlight w:val="yellow"/>
          <w:lang w:eastAsia="zh-CN"/>
        </w:rPr>
      </w:pPr>
      <w:r>
        <w:rPr>
          <w:highlight w:val="yellow"/>
          <w:lang w:eastAsia="zh-CN"/>
        </w:rPr>
        <w:t>第六章</w:t>
      </w:r>
      <w:r>
        <w:rPr>
          <w:rFonts w:hint="eastAsia"/>
          <w:highlight w:val="yellow"/>
          <w:lang w:eastAsia="zh-CN"/>
        </w:rPr>
        <w:t xml:space="preserve">    </w:t>
      </w:r>
      <w:r>
        <w:rPr>
          <w:spacing w:val="-1"/>
          <w:w w:val="95"/>
          <w:highlight w:val="yellow"/>
          <w:lang w:eastAsia="zh-CN"/>
        </w:rPr>
        <w:t>中选后相关</w:t>
      </w:r>
      <w:r>
        <w:rPr>
          <w:w w:val="95"/>
          <w:highlight w:val="yellow"/>
          <w:lang w:eastAsia="zh-CN"/>
        </w:rPr>
        <w:t>履约要求</w:t>
      </w:r>
    </w:p>
    <w:p>
      <w:pPr>
        <w:pStyle w:val="10"/>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pStyle w:val="10"/>
        <w:spacing w:line="360" w:lineRule="auto"/>
        <w:ind w:firstLine="480" w:firstLineChars="200"/>
        <w:jc w:val="both"/>
        <w:rPr>
          <w:lang w:eastAsia="zh-CN"/>
        </w:rPr>
      </w:pPr>
      <w:r>
        <w:rPr>
          <w:lang w:eastAsia="zh-CN"/>
        </w:rPr>
        <w:t>2.</w:t>
      </w:r>
      <w:r>
        <w:rPr>
          <w:spacing w:val="-2"/>
          <w:lang w:eastAsia="zh-CN"/>
        </w:rPr>
        <w:t>中选单位必须严格执行</w:t>
      </w:r>
      <w:r>
        <w:rPr>
          <w:rFonts w:hint="eastAsia" w:asciiTheme="majorEastAsia" w:hAnsiTheme="majorEastAsia" w:eastAsiaTheme="majorEastAsia"/>
          <w:kern w:val="59"/>
          <w:u w:val="single"/>
          <w:lang w:eastAsia="zh-CN"/>
        </w:rPr>
        <w:t>阻爆燃型管道阻火器采购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10"/>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0"/>
        <w:jc w:val="center"/>
        <w:rPr>
          <w:lang w:eastAsia="zh-CN"/>
        </w:rPr>
      </w:pPr>
      <w:r>
        <w:rPr>
          <w:lang w:eastAsia="zh-CN"/>
        </w:rPr>
        <w:t>第七章</w:t>
      </w:r>
      <w:r>
        <w:rPr>
          <w:lang w:eastAsia="zh-CN"/>
        </w:rPr>
        <w:tab/>
      </w:r>
      <w:r>
        <w:rPr>
          <w:spacing w:val="-1"/>
          <w:w w:val="95"/>
          <w:lang w:eastAsia="zh-CN"/>
        </w:rPr>
        <w:t>其</w:t>
      </w:r>
      <w:r>
        <w:rPr>
          <w:w w:val="95"/>
          <w:lang w:eastAsia="zh-CN"/>
        </w:rPr>
        <w:t>它</w:t>
      </w:r>
    </w:p>
    <w:p>
      <w:pPr>
        <w:pStyle w:val="10"/>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10"/>
        <w:spacing w:before="108" w:line="360" w:lineRule="auto"/>
        <w:ind w:firstLine="480" w:firstLineChars="200"/>
        <w:rPr>
          <w:lang w:eastAsia="zh-CN"/>
        </w:rPr>
      </w:pPr>
      <w:r>
        <w:rPr>
          <w:lang w:eastAsia="zh-CN"/>
        </w:rPr>
        <w:t>2.比选人郑重承诺：参选人所提交的参选文件及相关资料不向第三方泄露。</w:t>
      </w:r>
    </w:p>
    <w:p>
      <w:pPr>
        <w:pStyle w:val="10"/>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p>
    <w:p>
      <w:pPr>
        <w:pStyle w:val="10"/>
        <w:spacing w:before="106" w:line="360" w:lineRule="auto"/>
        <w:ind w:left="567"/>
        <w:rPr>
          <w:lang w:eastAsia="zh-CN"/>
        </w:rPr>
      </w:pPr>
    </w:p>
    <w:p>
      <w:pPr>
        <w:pStyle w:val="10"/>
        <w:spacing w:before="106" w:line="360" w:lineRule="auto"/>
        <w:ind w:left="567"/>
        <w:rPr>
          <w:lang w:eastAsia="zh-CN"/>
        </w:rPr>
      </w:pPr>
    </w:p>
    <w:p>
      <w:pPr>
        <w:pStyle w:val="10"/>
        <w:spacing w:before="106" w:line="360" w:lineRule="auto"/>
        <w:ind w:left="567"/>
        <w:rPr>
          <w:lang w:eastAsia="zh-CN"/>
        </w:rPr>
      </w:pPr>
    </w:p>
    <w:p>
      <w:pPr>
        <w:pStyle w:val="10"/>
        <w:spacing w:before="106" w:line="360" w:lineRule="auto"/>
        <w:ind w:left="567"/>
        <w:rPr>
          <w:lang w:eastAsia="zh-CN"/>
        </w:rPr>
      </w:pPr>
    </w:p>
    <w:p>
      <w:pPr>
        <w:pStyle w:val="10"/>
        <w:spacing w:before="106" w:line="360" w:lineRule="auto"/>
        <w:ind w:left="567"/>
        <w:rPr>
          <w:lang w:eastAsia="zh-CN"/>
        </w:rPr>
      </w:pPr>
    </w:p>
    <w:p>
      <w:pPr>
        <w:pStyle w:val="10"/>
        <w:spacing w:before="106" w:line="360" w:lineRule="auto"/>
        <w:ind w:left="567"/>
        <w:rPr>
          <w:lang w:eastAsia="zh-CN"/>
        </w:rPr>
      </w:pPr>
    </w:p>
    <w:p>
      <w:pPr>
        <w:pStyle w:val="10"/>
        <w:spacing w:before="106" w:line="360" w:lineRule="auto"/>
        <w:ind w:left="567"/>
        <w:rPr>
          <w:lang w:eastAsia="zh-CN"/>
        </w:rPr>
      </w:pPr>
    </w:p>
    <w:p>
      <w:pPr>
        <w:pStyle w:val="10"/>
        <w:spacing w:before="106" w:line="360" w:lineRule="auto"/>
        <w:ind w:left="567"/>
        <w:rPr>
          <w:lang w:eastAsia="zh-CN"/>
        </w:rPr>
      </w:pPr>
    </w:p>
    <w:p>
      <w:pPr>
        <w:pStyle w:val="10"/>
        <w:spacing w:before="106" w:line="360" w:lineRule="auto"/>
        <w:ind w:left="567"/>
        <w:rPr>
          <w:lang w:eastAsia="zh-CN"/>
        </w:rPr>
      </w:pPr>
    </w:p>
    <w:p>
      <w:pPr>
        <w:pStyle w:val="10"/>
        <w:spacing w:before="106" w:line="360" w:lineRule="auto"/>
        <w:ind w:left="567"/>
        <w:rPr>
          <w:lang w:eastAsia="zh-CN"/>
        </w:rPr>
      </w:pPr>
    </w:p>
    <w:p>
      <w:pPr>
        <w:pStyle w:val="10"/>
        <w:spacing w:before="106" w:line="360" w:lineRule="auto"/>
        <w:ind w:left="567"/>
        <w:rPr>
          <w:lang w:eastAsia="zh-CN"/>
        </w:rPr>
      </w:pPr>
    </w:p>
    <w:p>
      <w:pPr>
        <w:pStyle w:val="10"/>
        <w:spacing w:before="106" w:line="360" w:lineRule="auto"/>
        <w:ind w:left="567"/>
        <w:rPr>
          <w:lang w:eastAsia="zh-CN"/>
        </w:rPr>
      </w:pPr>
    </w:p>
    <w:p>
      <w:pPr>
        <w:pStyle w:val="10"/>
        <w:spacing w:before="106" w:line="360" w:lineRule="auto"/>
        <w:ind w:left="567"/>
        <w:rPr>
          <w:lang w:eastAsia="zh-CN"/>
        </w:rPr>
      </w:pPr>
    </w:p>
    <w:p>
      <w:pPr>
        <w:spacing w:line="440" w:lineRule="exact"/>
        <w:jc w:val="left"/>
        <w:rPr>
          <w:rFonts w:hint="eastAsia" w:ascii="Times New Roman" w:hAnsi="Times New Roman" w:cs="Times New Roman"/>
          <w:b/>
          <w:sz w:val="32"/>
          <w:szCs w:val="32"/>
          <w:lang w:val="en-US" w:eastAsia="zh-CN"/>
        </w:rPr>
      </w:pPr>
      <w:bookmarkStart w:id="9" w:name="_Toc251742852"/>
      <w:r>
        <w:rPr>
          <w:rFonts w:hint="eastAsia" w:ascii="Times New Roman" w:hAnsi="Times New Roman" w:cs="Times New Roman"/>
          <w:b/>
          <w:sz w:val="32"/>
          <w:szCs w:val="32"/>
          <w:lang w:val="en-US" w:eastAsia="zh-CN"/>
        </w:rPr>
        <w:t>附件一</w:t>
      </w:r>
    </w:p>
    <w:p>
      <w:pPr>
        <w:spacing w:line="440" w:lineRule="exact"/>
        <w:jc w:val="center"/>
        <w:rPr>
          <w:rFonts w:hint="default" w:ascii="Times New Roman" w:hAnsi="Times New Roman" w:eastAsia="宋体" w:cs="Times New Roman"/>
          <w:b/>
          <w:sz w:val="32"/>
          <w:szCs w:val="32"/>
          <w:lang w:eastAsia="zh-CN"/>
        </w:rPr>
      </w:pPr>
      <w:r>
        <w:rPr>
          <w:rFonts w:hint="eastAsia" w:ascii="Times New Roman" w:hAnsi="Times New Roman" w:cs="Times New Roman"/>
          <w:b/>
          <w:sz w:val="32"/>
          <w:szCs w:val="32"/>
          <w:lang w:val="en-US" w:eastAsia="zh-CN"/>
        </w:rPr>
        <w:t>腾龙芳烃</w:t>
      </w:r>
      <w:r>
        <w:rPr>
          <w:rFonts w:hint="default" w:ascii="Times New Roman" w:hAnsi="Times New Roman" w:eastAsia="宋体" w:cs="Times New Roman"/>
          <w:b/>
          <w:sz w:val="32"/>
          <w:szCs w:val="32"/>
          <w:lang w:eastAsia="zh-CN"/>
        </w:rPr>
        <w:t>（漳州）有限公司</w:t>
      </w:r>
    </w:p>
    <w:p>
      <w:pPr>
        <w:pStyle w:val="2"/>
        <w:keepNext w:val="0"/>
        <w:keepLines w:val="0"/>
        <w:pageBreakBefore w:val="0"/>
        <w:widowControl w:val="0"/>
        <w:kinsoku/>
        <w:wordWrap/>
        <w:overflowPunct/>
        <w:topLinePunct w:val="0"/>
        <w:autoSpaceDE/>
        <w:autoSpaceDN/>
        <w:bidi w:val="0"/>
        <w:adjustRightInd w:val="0"/>
        <w:snapToGrid/>
        <w:spacing w:before="157" w:beforeLines="50" w:line="440" w:lineRule="exact"/>
        <w:ind w:left="0" w:leftChars="0" w:right="0" w:rightChars="0" w:firstLine="0" w:firstLineChars="0"/>
        <w:jc w:val="center"/>
        <w:textAlignment w:val="baseline"/>
        <w:outlineLvl w:val="9"/>
        <w:rPr>
          <w:rFonts w:hint="default" w:ascii="Times New Roman" w:hAnsi="Times New Roman" w:eastAsia="宋体" w:cs="Times New Roman"/>
          <w:b/>
          <w:bCs w:val="0"/>
          <w:sz w:val="30"/>
          <w:szCs w:val="30"/>
        </w:rPr>
      </w:pPr>
      <w:r>
        <w:rPr>
          <w:rFonts w:hint="default" w:ascii="Times New Roman" w:hAnsi="Times New Roman" w:eastAsia="宋体" w:cs="Times New Roman"/>
          <w:b/>
          <w:bCs w:val="0"/>
          <w:sz w:val="30"/>
          <w:szCs w:val="30"/>
          <w:u w:val="single"/>
          <w:lang w:val="en-US" w:eastAsia="zh-CN"/>
        </w:rPr>
        <w:t>阻爆燃型管道阻火器</w:t>
      </w:r>
      <w:r>
        <w:rPr>
          <w:rFonts w:hint="default" w:ascii="Times New Roman" w:hAnsi="Times New Roman" w:eastAsia="宋体" w:cs="Times New Roman"/>
          <w:b/>
          <w:bCs w:val="0"/>
          <w:sz w:val="30"/>
          <w:szCs w:val="30"/>
        </w:rPr>
        <w:t>采购合同</w:t>
      </w:r>
    </w:p>
    <w:p>
      <w:pPr>
        <w:pStyle w:val="2"/>
        <w:spacing w:line="440" w:lineRule="exact"/>
        <w:jc w:val="center"/>
        <w:rPr>
          <w:rFonts w:hint="default" w:ascii="Times New Roman" w:hAnsi="Times New Roman" w:eastAsia="宋体" w:cs="Times New Roman"/>
          <w:b/>
          <w:sz w:val="32"/>
          <w:szCs w:val="32"/>
        </w:rPr>
      </w:pPr>
    </w:p>
    <w:tbl>
      <w:tblPr>
        <w:tblStyle w:val="31"/>
        <w:tblW w:w="99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28"/>
        <w:gridCol w:w="1418"/>
        <w:gridCol w:w="36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c>
          <w:tcPr>
            <w:tcW w:w="4928" w:type="dxa"/>
            <w:vAlign w:val="center"/>
          </w:tcPr>
          <w:p>
            <w:pPr>
              <w:spacing w:line="360" w:lineRule="auto"/>
              <w:jc w:val="both"/>
              <w:rPr>
                <w:rFonts w:hint="default" w:ascii="Times New Roman" w:hAnsi="Times New Roman" w:eastAsia="宋体" w:cs="Times New Roman"/>
                <w:sz w:val="24"/>
                <w:lang w:eastAsia="zh-CN"/>
              </w:rPr>
            </w:pPr>
          </w:p>
        </w:tc>
        <w:tc>
          <w:tcPr>
            <w:tcW w:w="1418" w:type="dxa"/>
            <w:vAlign w:val="center"/>
          </w:tcPr>
          <w:p>
            <w:pPr>
              <w:spacing w:line="360" w:lineRule="auto"/>
              <w:jc w:val="both"/>
              <w:rPr>
                <w:rFonts w:hint="default" w:ascii="Times New Roman" w:hAnsi="Times New Roman" w:eastAsia="宋体" w:cs="Times New Roman"/>
                <w:b/>
                <w:bCs/>
                <w:szCs w:val="21"/>
              </w:rPr>
            </w:pPr>
            <w:r>
              <w:rPr>
                <w:rFonts w:hint="default" w:ascii="Times New Roman" w:hAnsi="Times New Roman" w:eastAsia="宋体" w:cs="Times New Roman"/>
                <w:b/>
                <w:bCs/>
                <w:szCs w:val="21"/>
              </w:rPr>
              <w:t>合同编号：</w:t>
            </w:r>
          </w:p>
        </w:tc>
        <w:tc>
          <w:tcPr>
            <w:tcW w:w="3649" w:type="dxa"/>
          </w:tcPr>
          <w:p>
            <w:pPr>
              <w:spacing w:line="360" w:lineRule="auto"/>
              <w:jc w:val="both"/>
              <w:rPr>
                <w:rFonts w:hint="default" w:ascii="Times New Roman" w:hAnsi="Times New Roman" w:eastAsia="宋体" w:cs="Times New Roman"/>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928" w:type="dxa"/>
            <w:vAlign w:val="center"/>
          </w:tcPr>
          <w:p>
            <w:pPr>
              <w:spacing w:line="360" w:lineRule="auto"/>
              <w:jc w:val="both"/>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eastAsia="zh-CN"/>
              </w:rPr>
              <w:t>甲方（</w:t>
            </w:r>
            <w:r>
              <w:rPr>
                <w:rFonts w:hint="default" w:ascii="Times New Roman" w:hAnsi="Times New Roman" w:eastAsia="宋体" w:cs="Times New Roman"/>
                <w:b/>
                <w:bCs/>
                <w:sz w:val="24"/>
                <w:lang w:val="en-US" w:eastAsia="zh-CN"/>
              </w:rPr>
              <w:t>需方）</w:t>
            </w:r>
            <w:r>
              <w:rPr>
                <w:rFonts w:hint="default" w:ascii="Times New Roman" w:hAnsi="Times New Roman" w:eastAsia="宋体" w:cs="Times New Roman"/>
                <w:b/>
                <w:bCs/>
                <w:sz w:val="24"/>
                <w:lang w:eastAsia="zh-CN"/>
              </w:rPr>
              <w:t>：</w:t>
            </w:r>
            <w:r>
              <w:rPr>
                <w:rFonts w:hint="eastAsia" w:ascii="Times New Roman" w:hAnsi="Times New Roman" w:eastAsia="宋体" w:cs="Times New Roman"/>
                <w:b w:val="0"/>
                <w:bCs w:val="0"/>
                <w:sz w:val="24"/>
                <w:lang w:val="en-US" w:eastAsia="zh-CN"/>
              </w:rPr>
              <w:t>腾龙芳烃</w:t>
            </w:r>
            <w:r>
              <w:rPr>
                <w:rFonts w:hint="default" w:ascii="Times New Roman" w:hAnsi="Times New Roman" w:eastAsia="宋体" w:cs="Times New Roman"/>
                <w:b w:val="0"/>
                <w:bCs w:val="0"/>
                <w:sz w:val="24"/>
                <w:lang w:eastAsia="zh-CN"/>
              </w:rPr>
              <w:t>（漳州）有限公司</w:t>
            </w:r>
          </w:p>
        </w:tc>
        <w:tc>
          <w:tcPr>
            <w:tcW w:w="1418" w:type="dxa"/>
            <w:vAlign w:val="center"/>
          </w:tcPr>
          <w:p>
            <w:pPr>
              <w:spacing w:line="360" w:lineRule="auto"/>
              <w:jc w:val="both"/>
              <w:rPr>
                <w:rFonts w:hint="default" w:ascii="Times New Roman" w:hAnsi="Times New Roman" w:eastAsia="宋体" w:cs="Times New Roman"/>
                <w:b/>
                <w:bCs/>
                <w:szCs w:val="21"/>
              </w:rPr>
            </w:pPr>
            <w:r>
              <w:rPr>
                <w:rFonts w:hint="default" w:ascii="Times New Roman" w:hAnsi="Times New Roman" w:eastAsia="宋体" w:cs="Times New Roman"/>
                <w:b/>
                <w:bCs/>
                <w:szCs w:val="21"/>
              </w:rPr>
              <w:t>签订地点：</w:t>
            </w:r>
          </w:p>
        </w:tc>
        <w:tc>
          <w:tcPr>
            <w:tcW w:w="3649" w:type="dxa"/>
          </w:tcPr>
          <w:p>
            <w:pPr>
              <w:spacing w:line="360" w:lineRule="auto"/>
              <w:jc w:val="both"/>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福建漳浦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928" w:type="dxa"/>
            <w:vAlign w:val="center"/>
          </w:tcPr>
          <w:p>
            <w:pPr>
              <w:spacing w:line="360" w:lineRule="auto"/>
              <w:jc w:val="both"/>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eastAsia="zh-CN"/>
              </w:rPr>
              <w:t>乙方（</w:t>
            </w:r>
            <w:r>
              <w:rPr>
                <w:rFonts w:hint="default" w:ascii="Times New Roman" w:hAnsi="Times New Roman" w:eastAsia="宋体" w:cs="Times New Roman"/>
                <w:b/>
                <w:bCs/>
                <w:sz w:val="24"/>
                <w:lang w:val="en-US" w:eastAsia="zh-CN"/>
              </w:rPr>
              <w:t>供方）</w:t>
            </w:r>
            <w:r>
              <w:rPr>
                <w:rFonts w:hint="default" w:ascii="Times New Roman" w:hAnsi="Times New Roman" w:eastAsia="宋体" w:cs="Times New Roman"/>
                <w:b/>
                <w:bCs/>
                <w:sz w:val="24"/>
                <w:lang w:eastAsia="zh-CN"/>
              </w:rPr>
              <w:t>：</w:t>
            </w:r>
          </w:p>
        </w:tc>
        <w:tc>
          <w:tcPr>
            <w:tcW w:w="1418" w:type="dxa"/>
            <w:vAlign w:val="center"/>
          </w:tcPr>
          <w:p>
            <w:pPr>
              <w:spacing w:line="360" w:lineRule="auto"/>
              <w:jc w:val="both"/>
              <w:rPr>
                <w:rFonts w:hint="default" w:ascii="Times New Roman" w:hAnsi="Times New Roman" w:eastAsia="宋体" w:cs="Times New Roman"/>
                <w:b/>
                <w:bCs/>
                <w:szCs w:val="21"/>
              </w:rPr>
            </w:pPr>
            <w:r>
              <w:rPr>
                <w:rFonts w:hint="default" w:ascii="Times New Roman" w:hAnsi="Times New Roman" w:eastAsia="宋体" w:cs="Times New Roman"/>
                <w:b/>
                <w:bCs/>
                <w:szCs w:val="21"/>
              </w:rPr>
              <w:t>签订日期：</w:t>
            </w:r>
          </w:p>
        </w:tc>
        <w:tc>
          <w:tcPr>
            <w:tcW w:w="3649" w:type="dxa"/>
          </w:tcPr>
          <w:p>
            <w:pPr>
              <w:spacing w:line="360" w:lineRule="auto"/>
              <w:jc w:val="both"/>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2022年  月   日  </w:t>
            </w:r>
          </w:p>
        </w:tc>
      </w:tr>
    </w:tbl>
    <w:p>
      <w:pPr>
        <w:spacing w:line="360" w:lineRule="auto"/>
        <w:ind w:firstLine="480" w:firstLineChars="200"/>
        <w:rPr>
          <w:rFonts w:hint="default" w:ascii="Times New Roman" w:hAnsi="Times New Roman" w:eastAsia="宋体" w:cs="Times New Roman"/>
          <w:sz w:val="24"/>
          <w:lang w:eastAsia="zh-CN"/>
        </w:rPr>
      </w:pPr>
    </w:p>
    <w:p>
      <w:pPr>
        <w:spacing w:line="360" w:lineRule="auto"/>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根据甲方采购项目需求，经双方友好协商，就甲方向乙方采购本合同第1条所列产品相关事宜，依据《中华人民共和国民法典》及其他相关法律法规规定，双方签订如下协议：</w:t>
      </w:r>
    </w:p>
    <w:tbl>
      <w:tblPr>
        <w:tblStyle w:val="30"/>
        <w:tblpPr w:leftFromText="180" w:rightFromText="180" w:vertAnchor="text" w:horzAnchor="margin" w:tblpXSpec="center" w:tblpY="377"/>
        <w:tblW w:w="9434" w:type="dxa"/>
        <w:tblInd w:w="0" w:type="dxa"/>
        <w:tblLayout w:type="fixed"/>
        <w:tblCellMar>
          <w:top w:w="0" w:type="dxa"/>
          <w:left w:w="108" w:type="dxa"/>
          <w:bottom w:w="0" w:type="dxa"/>
          <w:right w:w="108" w:type="dxa"/>
        </w:tblCellMar>
      </w:tblPr>
      <w:tblGrid>
        <w:gridCol w:w="426"/>
        <w:gridCol w:w="2258"/>
        <w:gridCol w:w="1375"/>
        <w:gridCol w:w="675"/>
        <w:gridCol w:w="775"/>
        <w:gridCol w:w="725"/>
        <w:gridCol w:w="1038"/>
        <w:gridCol w:w="2162"/>
      </w:tblGrid>
      <w:tr>
        <w:tblPrEx>
          <w:tblLayout w:type="fixed"/>
          <w:tblCellMar>
            <w:top w:w="0" w:type="dxa"/>
            <w:left w:w="108" w:type="dxa"/>
            <w:bottom w:w="0" w:type="dxa"/>
            <w:right w:w="108" w:type="dxa"/>
          </w:tblCellMar>
        </w:tblPrEx>
        <w:trPr>
          <w:trHeight w:val="675" w:hRule="atLeast"/>
        </w:trPr>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序号</w:t>
            </w:r>
          </w:p>
        </w:tc>
        <w:tc>
          <w:tcPr>
            <w:tcW w:w="2258"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存货</w:t>
            </w:r>
            <w:r>
              <w:rPr>
                <w:rFonts w:hint="default" w:ascii="Times New Roman" w:hAnsi="Times New Roman" w:eastAsia="宋体" w:cs="Times New Roman"/>
                <w:sz w:val="21"/>
                <w:szCs w:val="21"/>
                <w:lang w:eastAsia="zh-CN"/>
              </w:rPr>
              <w:t>名称</w:t>
            </w:r>
          </w:p>
        </w:tc>
        <w:tc>
          <w:tcPr>
            <w:tcW w:w="137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规格</w:t>
            </w:r>
            <w:r>
              <w:rPr>
                <w:rFonts w:hint="default" w:ascii="Times New Roman" w:hAnsi="Times New Roman" w:eastAsia="宋体" w:cs="Times New Roman"/>
                <w:sz w:val="21"/>
                <w:szCs w:val="21"/>
                <w:lang w:val="en-US" w:eastAsia="zh-CN"/>
              </w:rPr>
              <w:t>与型号</w:t>
            </w:r>
          </w:p>
        </w:tc>
        <w:tc>
          <w:tcPr>
            <w:tcW w:w="67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单位</w:t>
            </w:r>
          </w:p>
        </w:tc>
        <w:tc>
          <w:tcPr>
            <w:tcW w:w="775" w:type="dxa"/>
            <w:tcBorders>
              <w:top w:val="single" w:color="auto" w:sz="4" w:space="0"/>
              <w:left w:val="nil"/>
              <w:bottom w:val="single" w:color="auto" w:sz="4" w:space="0"/>
              <w:right w:val="single" w:color="auto" w:sz="4" w:space="0"/>
            </w:tcBorders>
            <w:shd w:val="clear" w:color="auto" w:fill="auto"/>
            <w:vAlign w:val="center"/>
          </w:tcPr>
          <w:p>
            <w:pPr>
              <w:pStyle w:val="2"/>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数量</w:t>
            </w:r>
          </w:p>
        </w:tc>
        <w:tc>
          <w:tcPr>
            <w:tcW w:w="72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含税</w:t>
            </w:r>
          </w:p>
          <w:p>
            <w:pPr>
              <w:widowControl/>
              <w:autoSpaceDE/>
              <w:autoSpaceDN/>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单价</w:t>
            </w:r>
          </w:p>
        </w:tc>
        <w:tc>
          <w:tcPr>
            <w:tcW w:w="1038"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合计</w:t>
            </w:r>
          </w:p>
          <w:p>
            <w:pPr>
              <w:pStyle w:val="2"/>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（元）</w:t>
            </w:r>
          </w:p>
        </w:tc>
        <w:tc>
          <w:tcPr>
            <w:tcW w:w="2162" w:type="dxa"/>
            <w:tcBorders>
              <w:top w:val="single" w:color="auto" w:sz="4" w:space="0"/>
              <w:left w:val="nil"/>
              <w:bottom w:val="single" w:color="auto" w:sz="4" w:space="0"/>
              <w:right w:val="single" w:color="auto" w:sz="4" w:space="0"/>
            </w:tcBorders>
            <w:shd w:val="clear" w:color="auto" w:fill="auto"/>
            <w:vAlign w:val="center"/>
          </w:tcPr>
          <w:p>
            <w:pPr>
              <w:pStyle w:val="2"/>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备注</w:t>
            </w:r>
          </w:p>
        </w:tc>
      </w:tr>
      <w:tr>
        <w:tblPrEx>
          <w:tblLayout w:type="fixed"/>
          <w:tblCellMar>
            <w:top w:w="0" w:type="dxa"/>
            <w:left w:w="108" w:type="dxa"/>
            <w:bottom w:w="0" w:type="dxa"/>
            <w:right w:w="108" w:type="dxa"/>
          </w:tblCellMar>
        </w:tblPrEx>
        <w:trPr>
          <w:trHeight w:val="675" w:hRule="atLeast"/>
        </w:trPr>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w:t>
            </w:r>
          </w:p>
        </w:tc>
        <w:tc>
          <w:tcPr>
            <w:tcW w:w="2258"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阻爆燃型管道阻火器</w:t>
            </w:r>
          </w:p>
        </w:tc>
        <w:tc>
          <w:tcPr>
            <w:tcW w:w="137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详见附件1</w:t>
            </w:r>
          </w:p>
        </w:tc>
        <w:tc>
          <w:tcPr>
            <w:tcW w:w="67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批</w:t>
            </w:r>
          </w:p>
        </w:tc>
        <w:tc>
          <w:tcPr>
            <w:tcW w:w="77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w:t>
            </w:r>
          </w:p>
        </w:tc>
        <w:tc>
          <w:tcPr>
            <w:tcW w:w="72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1"/>
                <w:szCs w:val="21"/>
                <w:lang w:val="en-US" w:eastAsia="zh-CN"/>
              </w:rPr>
            </w:pPr>
          </w:p>
        </w:tc>
        <w:tc>
          <w:tcPr>
            <w:tcW w:w="1038"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1"/>
                <w:szCs w:val="21"/>
                <w:lang w:val="en-US" w:eastAsia="zh-CN"/>
              </w:rPr>
            </w:pPr>
          </w:p>
        </w:tc>
        <w:tc>
          <w:tcPr>
            <w:tcW w:w="2162"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shd w:val="clear" w:color="auto" w:fill="FFFFFF"/>
                <w:lang w:eastAsia="zh-CN"/>
              </w:rPr>
              <w:t>具体要求</w:t>
            </w:r>
            <w:r>
              <w:rPr>
                <w:rFonts w:hint="default" w:ascii="Times New Roman" w:hAnsi="Times New Roman" w:eastAsia="宋体" w:cs="Times New Roman"/>
                <w:sz w:val="21"/>
                <w:szCs w:val="21"/>
                <w:shd w:val="clear" w:color="auto" w:fill="FFFFFF"/>
                <w:lang w:val="en-US" w:eastAsia="zh-CN"/>
              </w:rPr>
              <w:t>详</w:t>
            </w:r>
            <w:r>
              <w:rPr>
                <w:rFonts w:hint="default" w:ascii="Times New Roman" w:hAnsi="Times New Roman" w:eastAsia="宋体" w:cs="Times New Roman"/>
                <w:sz w:val="21"/>
                <w:szCs w:val="21"/>
                <w:shd w:val="clear" w:color="auto" w:fill="FFFFFF"/>
                <w:lang w:eastAsia="zh-CN"/>
              </w:rPr>
              <w:t>见</w:t>
            </w:r>
            <w:r>
              <w:rPr>
                <w:rFonts w:hint="default" w:ascii="Times New Roman" w:hAnsi="Times New Roman" w:eastAsia="宋体" w:cs="Times New Roman"/>
                <w:sz w:val="21"/>
                <w:szCs w:val="21"/>
                <w:shd w:val="clear" w:color="auto" w:fill="FFFFFF"/>
                <w:lang w:val="en-US" w:eastAsia="zh-CN"/>
              </w:rPr>
              <w:t>双方签署的</w:t>
            </w:r>
            <w:r>
              <w:rPr>
                <w:rFonts w:hint="default" w:ascii="Times New Roman" w:hAnsi="Times New Roman" w:eastAsia="宋体" w:cs="Times New Roman"/>
                <w:sz w:val="21"/>
                <w:szCs w:val="21"/>
                <w:shd w:val="clear" w:color="auto" w:fill="FFFFFF"/>
                <w:lang w:eastAsia="zh-CN"/>
              </w:rPr>
              <w:t>“技术协议”</w:t>
            </w:r>
          </w:p>
        </w:tc>
      </w:tr>
      <w:tr>
        <w:tblPrEx>
          <w:tblLayout w:type="fixed"/>
          <w:tblCellMar>
            <w:top w:w="0" w:type="dxa"/>
            <w:left w:w="108" w:type="dxa"/>
            <w:bottom w:w="0" w:type="dxa"/>
            <w:right w:w="108" w:type="dxa"/>
          </w:tblCellMar>
        </w:tblPrEx>
        <w:trPr>
          <w:trHeight w:val="449" w:hRule="atLeast"/>
        </w:trPr>
        <w:tc>
          <w:tcPr>
            <w:tcW w:w="40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b/>
                <w:bCs/>
                <w:sz w:val="21"/>
                <w:szCs w:val="21"/>
                <w:lang w:eastAsia="zh-CN"/>
              </w:rPr>
              <w:t>合</w:t>
            </w:r>
            <w:r>
              <w:rPr>
                <w:rFonts w:hint="default" w:ascii="Times New Roman" w:hAnsi="Times New Roman" w:eastAsia="宋体" w:cs="Times New Roman"/>
                <w:b/>
                <w:bCs/>
                <w:sz w:val="21"/>
                <w:szCs w:val="21"/>
                <w:lang w:val="en-US" w:eastAsia="zh-CN"/>
              </w:rPr>
              <w:t xml:space="preserve"> </w:t>
            </w:r>
            <w:r>
              <w:rPr>
                <w:rFonts w:hint="default" w:ascii="Times New Roman" w:hAnsi="Times New Roman" w:eastAsia="宋体" w:cs="Times New Roman"/>
                <w:b/>
                <w:bCs/>
                <w:sz w:val="21"/>
                <w:szCs w:val="21"/>
                <w:lang w:eastAsia="zh-CN"/>
              </w:rPr>
              <w:t>计</w:t>
            </w:r>
            <w:r>
              <w:rPr>
                <w:rFonts w:hint="default" w:ascii="Times New Roman" w:hAnsi="Times New Roman" w:eastAsia="宋体" w:cs="Times New Roman"/>
                <w:b/>
                <w:bCs/>
                <w:sz w:val="21"/>
                <w:szCs w:val="21"/>
                <w:lang w:val="en-US" w:eastAsia="zh-CN"/>
              </w:rPr>
              <w:t>(人民币</w:t>
            </w:r>
            <w:r>
              <w:rPr>
                <w:rFonts w:hint="default" w:ascii="Times New Roman" w:hAnsi="Times New Roman" w:eastAsia="宋体" w:cs="Times New Roman"/>
                <w:b/>
                <w:bCs/>
                <w:sz w:val="21"/>
                <w:szCs w:val="21"/>
                <w:lang w:eastAsia="zh-CN"/>
              </w:rPr>
              <w:t>：</w:t>
            </w:r>
            <w:r>
              <w:rPr>
                <w:rFonts w:hint="default" w:ascii="Times New Roman" w:hAnsi="Times New Roman" w:eastAsia="宋体" w:cs="Times New Roman"/>
                <w:b/>
                <w:bCs/>
                <w:sz w:val="21"/>
                <w:szCs w:val="21"/>
                <w:lang w:val="en-US" w:eastAsia="zh-CN"/>
              </w:rPr>
              <w:t>元）</w:t>
            </w:r>
          </w:p>
        </w:tc>
        <w:tc>
          <w:tcPr>
            <w:tcW w:w="537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ind w:right="42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 xml:space="preserve"> 元整</w:t>
            </w:r>
          </w:p>
        </w:tc>
      </w:tr>
    </w:tbl>
    <w:p>
      <w:pPr>
        <w:pStyle w:val="33"/>
        <w:keepNext w:val="0"/>
        <w:keepLines w:val="0"/>
        <w:pageBreakBefore w:val="0"/>
        <w:widowControl w:val="0"/>
        <w:numPr>
          <w:ilvl w:val="0"/>
          <w:numId w:val="0"/>
        </w:numPr>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val="en-US" w:eastAsia="zh-CN"/>
        </w:rPr>
        <w:t xml:space="preserve">第一条 </w:t>
      </w:r>
      <w:r>
        <w:rPr>
          <w:rFonts w:hint="default" w:ascii="Times New Roman" w:hAnsi="Times New Roman" w:eastAsia="宋体" w:cs="Times New Roman"/>
          <w:b/>
          <w:bCs/>
          <w:sz w:val="24"/>
          <w:lang w:eastAsia="zh-CN"/>
        </w:rPr>
        <w:t>合同标的和合同价格</w:t>
      </w:r>
    </w:p>
    <w:p>
      <w:pPr>
        <w:spacing w:line="360" w:lineRule="auto"/>
        <w:ind w:firstLine="360" w:firstLineChars="15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合同价格为</w:t>
      </w:r>
      <w:r>
        <w:rPr>
          <w:rFonts w:hint="default" w:ascii="Times New Roman" w:hAnsi="Times New Roman" w:eastAsia="宋体" w:cs="Times New Roman"/>
          <w:sz w:val="24"/>
          <w:u w:val="single"/>
          <w:lang w:eastAsia="zh-CN"/>
        </w:rPr>
        <w:t xml:space="preserve"> </w:t>
      </w:r>
      <w:r>
        <w:rPr>
          <w:rFonts w:hint="default" w:ascii="Times New Roman" w:hAnsi="Times New Roman" w:eastAsia="宋体" w:cs="Times New Roman"/>
          <w:sz w:val="24"/>
          <w:u w:val="single"/>
          <w:lang w:val="en-US" w:eastAsia="zh-CN"/>
        </w:rPr>
        <w:t xml:space="preserve">         </w:t>
      </w:r>
      <w:r>
        <w:rPr>
          <w:rFonts w:hint="default" w:ascii="Times New Roman" w:hAnsi="Times New Roman" w:eastAsia="宋体" w:cs="Times New Roman"/>
          <w:sz w:val="24"/>
          <w:u w:val="single"/>
          <w:lang w:eastAsia="zh-CN"/>
        </w:rPr>
        <w:t xml:space="preserve"> </w:t>
      </w:r>
      <w:r>
        <w:rPr>
          <w:rFonts w:hint="default" w:ascii="Times New Roman" w:hAnsi="Times New Roman" w:eastAsia="宋体" w:cs="Times New Roman"/>
          <w:sz w:val="24"/>
          <w:lang w:eastAsia="zh-CN"/>
        </w:rPr>
        <w:t>元整，含税价，税率</w:t>
      </w:r>
      <w:r>
        <w:rPr>
          <w:rFonts w:hint="default" w:ascii="Times New Roman" w:hAnsi="Times New Roman" w:eastAsia="宋体" w:cs="Times New Roman"/>
          <w:sz w:val="24"/>
          <w:u w:val="single"/>
          <w:lang w:eastAsia="zh-CN"/>
        </w:rPr>
        <w:t xml:space="preserve"> </w:t>
      </w:r>
      <w:r>
        <w:rPr>
          <w:rFonts w:hint="default" w:ascii="Times New Roman" w:hAnsi="Times New Roman" w:eastAsia="宋体" w:cs="Times New Roman"/>
          <w:sz w:val="24"/>
          <w:u w:val="single"/>
          <w:lang w:val="en-US" w:eastAsia="zh-CN"/>
        </w:rPr>
        <w:t xml:space="preserve">     </w:t>
      </w:r>
      <w:r>
        <w:rPr>
          <w:rFonts w:hint="default" w:ascii="Times New Roman" w:hAnsi="Times New Roman" w:eastAsia="宋体" w:cs="Times New Roman"/>
          <w:sz w:val="24"/>
          <w:u w:val="single"/>
          <w:lang w:eastAsia="zh-CN"/>
        </w:rPr>
        <w:t xml:space="preserve"> %</w:t>
      </w:r>
      <w:r>
        <w:rPr>
          <w:rFonts w:hint="default" w:ascii="Times New Roman" w:hAnsi="Times New Roman" w:eastAsia="宋体" w:cs="Times New Roman"/>
          <w:sz w:val="24"/>
          <w:lang w:eastAsia="zh-CN"/>
        </w:rPr>
        <w:t>。</w:t>
      </w:r>
    </w:p>
    <w:p>
      <w:pPr>
        <w:spacing w:line="360" w:lineRule="auto"/>
        <w:ind w:firstLine="360" w:firstLineChars="15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上述金额包含了乙方提供本合同约定的产品及相应服务（如有）的全部价格，除非另有约定，甲方不再承担其他费用。</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val="en-US" w:eastAsia="zh-CN"/>
        </w:rPr>
        <w:t xml:space="preserve">第二条 </w:t>
      </w:r>
      <w:r>
        <w:rPr>
          <w:rFonts w:hint="default" w:ascii="Times New Roman" w:hAnsi="Times New Roman" w:eastAsia="宋体" w:cs="Times New Roman"/>
          <w:b/>
          <w:bCs/>
          <w:sz w:val="24"/>
          <w:lang w:eastAsia="zh-CN"/>
        </w:rPr>
        <w:t>交货</w:t>
      </w:r>
    </w:p>
    <w:p>
      <w:pPr>
        <w:spacing w:line="360" w:lineRule="auto"/>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2.1</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eastAsia="zh-CN"/>
        </w:rPr>
        <w:t>交货方式：</w:t>
      </w:r>
      <w:r>
        <w:rPr>
          <w:rFonts w:hint="default" w:ascii="Times New Roman" w:hAnsi="Times New Roman" w:eastAsia="宋体" w:cs="Times New Roman"/>
          <w:sz w:val="24"/>
          <w:u w:val="single"/>
          <w:lang w:eastAsia="zh-CN"/>
        </w:rPr>
        <w:t xml:space="preserve">送货到现场 </w:t>
      </w:r>
    </w:p>
    <w:p>
      <w:pPr>
        <w:spacing w:line="360" w:lineRule="auto"/>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2.2</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eastAsia="zh-CN"/>
        </w:rPr>
        <w:t>交货地点：运送到</w:t>
      </w:r>
      <w:r>
        <w:rPr>
          <w:rFonts w:hint="default" w:ascii="Times New Roman" w:hAnsi="Times New Roman" w:eastAsia="宋体" w:cs="Times New Roman"/>
          <w:sz w:val="24"/>
          <w:u w:val="single"/>
          <w:lang w:eastAsia="zh-CN"/>
        </w:rPr>
        <w:t xml:space="preserve"> </w:t>
      </w:r>
      <w:r>
        <w:rPr>
          <w:rFonts w:hint="eastAsia" w:ascii="Times New Roman" w:hAnsi="Times New Roman" w:cs="Times New Roman"/>
          <w:sz w:val="24"/>
          <w:u w:val="single"/>
          <w:lang w:val="en-US" w:eastAsia="zh-CN"/>
        </w:rPr>
        <w:t>腾龙芳烃</w:t>
      </w:r>
      <w:r>
        <w:rPr>
          <w:rFonts w:hint="default" w:ascii="Times New Roman" w:hAnsi="Times New Roman" w:eastAsia="宋体" w:cs="Times New Roman"/>
          <w:sz w:val="24"/>
          <w:u w:val="single"/>
          <w:lang w:eastAsia="zh-CN"/>
        </w:rPr>
        <w:t xml:space="preserve">（漳州）有限公司 </w:t>
      </w:r>
    </w:p>
    <w:p>
      <w:pPr>
        <w:spacing w:line="288" w:lineRule="auto"/>
        <w:jc w:val="both"/>
        <w:rPr>
          <w:rFonts w:hint="default" w:ascii="Times New Roman" w:hAnsi="Times New Roman" w:eastAsia="宋体" w:cs="Times New Roman"/>
          <w:color w:val="auto"/>
          <w:sz w:val="24"/>
          <w:szCs w:val="24"/>
          <w:highlight w:val="none"/>
          <w:u w:val="single"/>
          <w:lang w:eastAsia="zh-CN"/>
        </w:rPr>
      </w:pPr>
      <w:r>
        <w:rPr>
          <w:rFonts w:hint="default" w:ascii="Times New Roman" w:hAnsi="Times New Roman" w:eastAsia="宋体" w:cs="Times New Roman"/>
          <w:sz w:val="24"/>
          <w:lang w:eastAsia="zh-CN"/>
        </w:rPr>
        <w:t>2.3</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eastAsia="zh-CN"/>
        </w:rPr>
        <w:t>交货时间：</w:t>
      </w:r>
      <w:r>
        <w:rPr>
          <w:rFonts w:hint="default" w:ascii="Times New Roman" w:hAnsi="Times New Roman" w:eastAsia="宋体" w:cs="Times New Roman"/>
          <w:sz w:val="24"/>
          <w:u w:val="single"/>
          <w:lang w:eastAsia="zh-CN"/>
        </w:rPr>
        <w:t>合同生效后</w:t>
      </w:r>
      <w:r>
        <w:rPr>
          <w:rFonts w:hint="eastAsia" w:ascii="Times New Roman" w:hAnsi="Times New Roman" w:cs="Times New Roman"/>
          <w:sz w:val="24"/>
          <w:u w:val="single"/>
          <w:lang w:val="en-US" w:eastAsia="zh-CN"/>
        </w:rPr>
        <w:t xml:space="preserve">      </w:t>
      </w:r>
      <w:r>
        <w:rPr>
          <w:rFonts w:hint="default" w:ascii="Times New Roman" w:hAnsi="Times New Roman" w:eastAsia="宋体" w:cs="Times New Roman"/>
          <w:sz w:val="24"/>
          <w:u w:val="single"/>
          <w:lang w:val="en-US" w:eastAsia="zh-CN"/>
        </w:rPr>
        <w:t>天</w:t>
      </w:r>
      <w:r>
        <w:rPr>
          <w:rFonts w:hint="default" w:ascii="Times New Roman" w:hAnsi="Times New Roman" w:eastAsia="宋体" w:cs="Times New Roman"/>
          <w:sz w:val="24"/>
          <w:u w:val="single"/>
          <w:lang w:eastAsia="zh-CN"/>
        </w:rPr>
        <w:t>内货到现</w:t>
      </w:r>
      <w:r>
        <w:rPr>
          <w:rFonts w:hint="default" w:ascii="Times New Roman" w:hAnsi="Times New Roman" w:eastAsia="宋体" w:cs="Times New Roman"/>
          <w:sz w:val="24"/>
          <w:highlight w:val="none"/>
          <w:u w:val="single"/>
          <w:lang w:eastAsia="zh-CN"/>
        </w:rPr>
        <w:t>场</w:t>
      </w:r>
      <w:r>
        <w:rPr>
          <w:rFonts w:hint="default" w:ascii="Times New Roman" w:hAnsi="Times New Roman" w:eastAsia="宋体" w:cs="Times New Roman"/>
          <w:color w:val="auto"/>
          <w:sz w:val="24"/>
          <w:szCs w:val="24"/>
          <w:highlight w:val="none"/>
          <w:u w:val="single"/>
          <w:lang w:eastAsia="zh-CN"/>
        </w:rPr>
        <w:t>。</w:t>
      </w:r>
    </w:p>
    <w:p>
      <w:pPr>
        <w:pStyle w:val="2"/>
        <w:ind w:left="379" w:leftChars="0" w:hanging="379" w:hangingChars="158"/>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2.4</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eastAsia="zh-CN"/>
        </w:rPr>
        <w:t>乙方提供产品并承担运输过程中发生的一切费用。在产品交付给甲方之前，相关的毁损、灭失等风险均由乙方自行承担。</w:t>
      </w:r>
    </w:p>
    <w:p>
      <w:pPr>
        <w:pStyle w:val="2"/>
        <w:ind w:left="720" w:hanging="720" w:hangingChars="30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2.5 技术要求及执行标准详见附件</w:t>
      </w:r>
      <w:r>
        <w:rPr>
          <w:rFonts w:hint="eastAsia" w:ascii="Times New Roman" w:hAnsi="Times New Roman" w:eastAsia="宋体" w:cs="Times New Roman"/>
          <w:sz w:val="24"/>
          <w:lang w:val="en-US" w:eastAsia="zh-CN"/>
        </w:rPr>
        <w:t>《芳烃团队燃料气阻火器技术要求》。</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val="en-US" w:eastAsia="zh-CN"/>
        </w:rPr>
        <w:t xml:space="preserve">第三条 </w:t>
      </w:r>
      <w:r>
        <w:rPr>
          <w:rFonts w:hint="default" w:ascii="Times New Roman" w:hAnsi="Times New Roman" w:eastAsia="宋体" w:cs="Times New Roman"/>
          <w:b/>
          <w:bCs/>
          <w:sz w:val="24"/>
          <w:lang w:eastAsia="zh-CN"/>
        </w:rPr>
        <w:t>付款方式与条件</w:t>
      </w:r>
    </w:p>
    <w:p>
      <w:pPr>
        <w:spacing w:line="360" w:lineRule="auto"/>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3.1 预付款：无</w:t>
      </w:r>
    </w:p>
    <w:p>
      <w:pPr>
        <w:pStyle w:val="13"/>
        <w:spacing w:line="360" w:lineRule="auto"/>
        <w:ind w:left="480" w:hanging="480" w:hanging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 xml:space="preserve">3.2 </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到货</w:t>
      </w:r>
      <w:r>
        <w:rPr>
          <w:rFonts w:hint="default" w:ascii="Times New Roman" w:hAnsi="Times New Roman" w:eastAsia="宋体" w:cs="Times New Roman"/>
          <w:sz w:val="24"/>
        </w:rPr>
        <w:t>验收款：货到现场，按合同约定标准经甲方验收合格，</w:t>
      </w:r>
      <w:r>
        <w:rPr>
          <w:rFonts w:hint="default" w:ascii="Times New Roman" w:hAnsi="Times New Roman" w:eastAsia="宋体" w:cs="Times New Roman"/>
          <w:sz w:val="24"/>
          <w:lang w:eastAsia="zh-CN"/>
        </w:rPr>
        <w:t>乙方开具</w:t>
      </w:r>
      <w:r>
        <w:rPr>
          <w:rFonts w:hint="default" w:ascii="Times New Roman" w:hAnsi="Times New Roman" w:eastAsia="宋体" w:cs="Times New Roman"/>
          <w:sz w:val="24"/>
          <w:lang w:val="en-US" w:eastAsia="zh-CN"/>
        </w:rPr>
        <w:t>合同全额</w:t>
      </w:r>
      <w:r>
        <w:rPr>
          <w:rFonts w:hint="default" w:ascii="Times New Roman" w:hAnsi="Times New Roman" w:eastAsia="宋体" w:cs="Times New Roman"/>
          <w:sz w:val="24"/>
          <w:lang w:eastAsia="zh-CN"/>
        </w:rPr>
        <w:t>增值税专用发票，甲方收到相应发票原件后</w:t>
      </w:r>
      <w:r>
        <w:rPr>
          <w:rFonts w:hint="default" w:ascii="Times New Roman" w:hAnsi="Times New Roman" w:eastAsia="宋体" w:cs="Times New Roman"/>
          <w:sz w:val="24"/>
          <w:lang w:val="en-US" w:eastAsia="zh-CN"/>
        </w:rPr>
        <w:t>60</w:t>
      </w:r>
      <w:r>
        <w:rPr>
          <w:rFonts w:hint="default" w:ascii="Times New Roman" w:hAnsi="Times New Roman" w:eastAsia="宋体" w:cs="Times New Roman"/>
          <w:sz w:val="24"/>
          <w:lang w:eastAsia="zh-CN"/>
        </w:rPr>
        <w:t>日内付清</w:t>
      </w:r>
      <w:r>
        <w:rPr>
          <w:rFonts w:hint="default" w:ascii="Times New Roman" w:hAnsi="Times New Roman" w:eastAsia="宋体" w:cs="Times New Roman"/>
          <w:sz w:val="24"/>
          <w:lang w:val="en-US" w:eastAsia="zh-CN"/>
        </w:rPr>
        <w:t>货款</w:t>
      </w:r>
      <w:r>
        <w:rPr>
          <w:rFonts w:hint="default" w:ascii="Times New Roman" w:hAnsi="Times New Roman" w:eastAsia="宋体" w:cs="Times New Roman"/>
          <w:sz w:val="24"/>
          <w:lang w:eastAsia="zh-CN"/>
        </w:rPr>
        <w:t>。</w:t>
      </w:r>
    </w:p>
    <w:p>
      <w:pPr>
        <w:spacing w:line="360" w:lineRule="auto"/>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3.3</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eastAsia="zh-CN"/>
        </w:rPr>
        <w:t>说明：如未来国家税率变动，应在不含税金额的基础上以新税率调整含税金额后进行付款。</w:t>
      </w:r>
    </w:p>
    <w:p>
      <w:pPr>
        <w:spacing w:line="360" w:lineRule="auto"/>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val="en-US" w:eastAsia="zh-CN"/>
        </w:rPr>
        <w:t xml:space="preserve">第四条 </w:t>
      </w:r>
      <w:r>
        <w:rPr>
          <w:rFonts w:hint="default" w:ascii="Times New Roman" w:hAnsi="Times New Roman" w:eastAsia="宋体" w:cs="Times New Roman"/>
          <w:b/>
          <w:bCs/>
          <w:sz w:val="24"/>
          <w:lang w:eastAsia="zh-CN"/>
        </w:rPr>
        <w:t>质量要求和技术标准</w:t>
      </w:r>
    </w:p>
    <w:p>
      <w:pPr>
        <w:spacing w:line="360" w:lineRule="auto"/>
        <w:ind w:left="715" w:leftChars="109" w:hanging="475" w:hangingChars="198"/>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4.1 乙方所提供的货物必须是原包装（含货物质量合格证书）产品，质量必须符合国家标准或行业标准以及原厂出厂标准（以说明书为准），如产品不符合本合同中约定的要求，甲方有权拒绝接受。</w:t>
      </w:r>
    </w:p>
    <w:p>
      <w:pPr>
        <w:pStyle w:val="2"/>
        <w:spacing w:line="360" w:lineRule="auto"/>
        <w:ind w:left="715" w:leftChars="109" w:hanging="475" w:hangingChars="198"/>
        <w:rPr>
          <w:rFonts w:hint="default" w:ascii="Times New Roman" w:hAnsi="Times New Roman" w:eastAsia="宋体" w:cs="Times New Roman"/>
          <w:sz w:val="24"/>
        </w:rPr>
      </w:pPr>
      <w:r>
        <w:rPr>
          <w:rFonts w:hint="default" w:ascii="Times New Roman" w:hAnsi="Times New Roman" w:eastAsia="宋体" w:cs="Times New Roman"/>
          <w:sz w:val="24"/>
          <w:szCs w:val="24"/>
        </w:rPr>
        <w:t>4.2</w:t>
      </w:r>
      <w:r>
        <w:rPr>
          <w:rFonts w:hint="default" w:ascii="Times New Roman" w:hAnsi="Times New Roman" w:eastAsia="宋体" w:cs="Times New Roman"/>
          <w:sz w:val="24"/>
        </w:rPr>
        <w:t>乙方应保证货物是全新、未使用过的合格正品，并完全符合合同规定的质量、规格和性能的要求。乙方应保证其提供的货物在正确安装、正常使用和保养条件下，在其使用寿命内具有良好的性能。在质量保证期（质量保证期自货物验收合格之日起计算</w:t>
      </w:r>
      <w:r>
        <w:rPr>
          <w:rFonts w:hint="default" w:ascii="Times New Roman" w:hAnsi="Times New Roman" w:eastAsia="宋体" w:cs="Times New Roman"/>
          <w:sz w:val="24"/>
          <w:u w:val="single"/>
        </w:rPr>
        <w:t>12个</w:t>
      </w:r>
      <w:r>
        <w:rPr>
          <w:rFonts w:hint="default" w:ascii="Times New Roman" w:hAnsi="Times New Roman" w:eastAsia="宋体" w:cs="Times New Roman"/>
          <w:sz w:val="24"/>
        </w:rPr>
        <w:t>月）内，乙方应当对其交付的产品承担质量保证责任，所需费用由乙方承担。</w:t>
      </w:r>
    </w:p>
    <w:p>
      <w:pPr>
        <w:spacing w:line="360" w:lineRule="auto"/>
        <w:ind w:left="679" w:leftChars="109" w:hanging="439" w:hangingChars="183"/>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4.3 除合同另有规定外，乙方提供的全部货物均应按甲方要求的标准采取保护措施进行包装。该包装应适应于远距离运输、防潮、防震、防锈和防野蛮装卸，以确保货物安全无损运抵指定地点。由于包装不善所引起货物损失均由乙方承担。</w:t>
      </w:r>
    </w:p>
    <w:p>
      <w:pPr>
        <w:spacing w:line="360" w:lineRule="auto"/>
        <w:ind w:left="679" w:leftChars="109" w:hanging="439" w:hangingChars="183"/>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4.4 乙方不按本合同约定交付产品所产生的任何费用由乙方自己承担。</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val="en-US" w:eastAsia="zh-CN"/>
        </w:rPr>
        <w:t xml:space="preserve">第五条 </w:t>
      </w:r>
      <w:r>
        <w:rPr>
          <w:rFonts w:hint="default" w:ascii="Times New Roman" w:hAnsi="Times New Roman" w:eastAsia="宋体" w:cs="Times New Roman"/>
          <w:b/>
          <w:bCs/>
          <w:sz w:val="24"/>
          <w:lang w:eastAsia="zh-CN"/>
        </w:rPr>
        <w:t>安装调试、技术服务、人员培训及技术资料</w:t>
      </w:r>
    </w:p>
    <w:p>
      <w:pPr>
        <w:spacing w:line="360" w:lineRule="auto"/>
        <w:ind w:firstLine="240" w:firstLineChars="1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5.1</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eastAsia="zh-CN"/>
        </w:rPr>
        <w:t>乙方为甲方提供下列服务（具体以在□内打“√”为准）</w:t>
      </w:r>
    </w:p>
    <w:p>
      <w:pPr>
        <w:spacing w:line="360" w:lineRule="auto"/>
        <w:ind w:firstLine="480" w:firstLineChars="200"/>
        <w:rPr>
          <w:rFonts w:hint="default" w:ascii="Times New Roman" w:hAnsi="Times New Roman" w:eastAsia="宋体" w:cs="Times New Roman"/>
          <w:sz w:val="24"/>
          <w:u w:val="single"/>
          <w:lang w:eastAsia="zh-CN"/>
        </w:rPr>
      </w:pPr>
      <w:sdt>
        <w:sdtPr>
          <w:rPr>
            <w:rFonts w:hint="default" w:ascii="Times New Roman" w:hAnsi="Times New Roman" w:eastAsia="宋体" w:cs="Times New Roman"/>
            <w:sz w:val="24"/>
          </w:rPr>
          <w:id w:val="-22404436"/>
        </w:sdtPr>
        <w:sdtEndPr>
          <w:rPr>
            <w:rFonts w:hint="default" w:ascii="Times New Roman" w:hAnsi="Times New Roman" w:eastAsia="宋体" w:cs="Times New Roman"/>
            <w:sz w:val="24"/>
          </w:rPr>
        </w:sdtEndPr>
        <w:sdtContent>
          <w:r>
            <w:rPr>
              <w:rFonts w:hint="default" w:ascii="Times New Roman" w:hAnsi="Times New Roman" w:eastAsia="宋体" w:cs="Times New Roman"/>
              <w:sz w:val="24"/>
              <w:lang w:eastAsia="zh-CN"/>
            </w:rPr>
            <w:t>√</w:t>
          </w:r>
        </w:sdtContent>
      </w:sdt>
      <w:r>
        <w:rPr>
          <w:rFonts w:hint="default" w:ascii="Times New Roman" w:hAnsi="Times New Roman" w:eastAsia="宋体" w:cs="Times New Roman"/>
          <w:sz w:val="24"/>
          <w:lang w:eastAsia="zh-CN"/>
        </w:rPr>
        <w:t>安装调试：</w:t>
      </w:r>
      <w:r>
        <w:rPr>
          <w:rFonts w:hint="default" w:ascii="Times New Roman" w:hAnsi="Times New Roman" w:eastAsia="宋体" w:cs="Times New Roman"/>
          <w:sz w:val="24"/>
          <w:u w:val="single"/>
          <w:lang w:eastAsia="zh-CN"/>
        </w:rPr>
        <w:t xml:space="preserve">  </w:t>
      </w:r>
      <w:r>
        <w:rPr>
          <w:rFonts w:hint="default" w:ascii="Times New Roman" w:hAnsi="Times New Roman" w:eastAsia="宋体" w:cs="Times New Roman"/>
          <w:sz w:val="24"/>
          <w:u w:val="single"/>
          <w:lang w:val="en-US" w:eastAsia="zh-CN"/>
        </w:rPr>
        <w:t xml:space="preserve">无 </w:t>
      </w:r>
      <w:r>
        <w:rPr>
          <w:rFonts w:hint="default" w:ascii="Times New Roman" w:hAnsi="Times New Roman" w:eastAsia="宋体" w:cs="Times New Roman"/>
          <w:sz w:val="24"/>
          <w:u w:val="single"/>
          <w:lang w:eastAsia="zh-CN"/>
        </w:rPr>
        <w:t xml:space="preserve"> </w:t>
      </w:r>
    </w:p>
    <w:p>
      <w:pPr>
        <w:spacing w:line="360" w:lineRule="auto"/>
        <w:ind w:firstLine="480" w:firstLineChars="200"/>
        <w:rPr>
          <w:rFonts w:hint="default" w:ascii="Times New Roman" w:hAnsi="Times New Roman" w:eastAsia="宋体" w:cs="Times New Roman"/>
          <w:sz w:val="24"/>
          <w:lang w:eastAsia="zh-CN"/>
        </w:rPr>
      </w:pPr>
      <w:sdt>
        <w:sdtPr>
          <w:rPr>
            <w:rFonts w:hint="default" w:ascii="Times New Roman" w:hAnsi="Times New Roman" w:eastAsia="宋体" w:cs="Times New Roman"/>
            <w:sz w:val="24"/>
          </w:rPr>
          <w:id w:val="-1019545688"/>
        </w:sdtPr>
        <w:sdtEndPr>
          <w:rPr>
            <w:rFonts w:hint="default" w:ascii="Times New Roman" w:hAnsi="Times New Roman" w:eastAsia="宋体" w:cs="Times New Roman"/>
            <w:sz w:val="24"/>
          </w:rPr>
        </w:sdtEndPr>
        <w:sdtContent>
          <w:sdt>
            <w:sdtPr>
              <w:rPr>
                <w:rFonts w:hint="default" w:ascii="Times New Roman" w:hAnsi="Times New Roman" w:eastAsia="宋体" w:cs="Times New Roman"/>
                <w:sz w:val="24"/>
              </w:rPr>
              <w:id w:val="22900620"/>
            </w:sdtPr>
            <w:sdtEndPr>
              <w:rPr>
                <w:rFonts w:hint="default" w:ascii="Times New Roman" w:hAnsi="Times New Roman" w:eastAsia="宋体" w:cs="Times New Roman"/>
                <w:sz w:val="24"/>
              </w:rPr>
            </w:sdtEndPr>
            <w:sdtContent>
              <w:r>
                <w:rPr>
                  <w:rFonts w:hint="default" w:ascii="Times New Roman" w:hAnsi="Times New Roman" w:eastAsia="宋体" w:cs="Times New Roman"/>
                  <w:sz w:val="24"/>
                  <w:lang w:eastAsia="zh-CN"/>
                </w:rPr>
                <w:t>√</w:t>
              </w:r>
            </w:sdtContent>
          </w:sdt>
        </w:sdtContent>
      </w:sdt>
      <w:r>
        <w:rPr>
          <w:rFonts w:hint="default" w:ascii="Times New Roman" w:hAnsi="Times New Roman" w:eastAsia="宋体" w:cs="Times New Roman"/>
          <w:sz w:val="24"/>
          <w:lang w:eastAsia="zh-CN"/>
        </w:rPr>
        <w:t>技术服务：</w:t>
      </w:r>
      <w:r>
        <w:rPr>
          <w:rFonts w:hint="default" w:ascii="Times New Roman" w:hAnsi="Times New Roman" w:eastAsia="宋体" w:cs="Times New Roman"/>
          <w:sz w:val="24"/>
          <w:u w:val="single"/>
          <w:lang w:eastAsia="zh-CN"/>
        </w:rPr>
        <w:t xml:space="preserve">  </w:t>
      </w:r>
      <w:r>
        <w:rPr>
          <w:rFonts w:hint="default" w:ascii="Times New Roman" w:hAnsi="Times New Roman" w:eastAsia="宋体" w:cs="Times New Roman"/>
          <w:sz w:val="24"/>
          <w:u w:val="single"/>
          <w:lang w:val="en-US" w:eastAsia="zh-CN"/>
        </w:rPr>
        <w:t xml:space="preserve">无 </w:t>
      </w:r>
      <w:r>
        <w:rPr>
          <w:rFonts w:hint="default" w:ascii="Times New Roman" w:hAnsi="Times New Roman" w:eastAsia="宋体" w:cs="Times New Roman"/>
          <w:sz w:val="24"/>
          <w:u w:val="single"/>
          <w:lang w:eastAsia="zh-CN"/>
        </w:rPr>
        <w:t xml:space="preserve"> </w:t>
      </w:r>
    </w:p>
    <w:p>
      <w:pPr>
        <w:spacing w:line="360" w:lineRule="auto"/>
        <w:ind w:firstLine="480" w:firstLineChars="200"/>
        <w:rPr>
          <w:rFonts w:hint="default" w:ascii="Times New Roman" w:hAnsi="Times New Roman" w:eastAsia="宋体" w:cs="Times New Roman"/>
          <w:sz w:val="24"/>
          <w:u w:val="single"/>
          <w:lang w:eastAsia="zh-CN"/>
        </w:rPr>
      </w:pPr>
      <w:sdt>
        <w:sdtPr>
          <w:rPr>
            <w:rFonts w:hint="default" w:ascii="Times New Roman" w:hAnsi="Times New Roman" w:eastAsia="宋体" w:cs="Times New Roman"/>
            <w:sz w:val="24"/>
          </w:rPr>
          <w:id w:val="1427537698"/>
        </w:sdtPr>
        <w:sdtEndPr>
          <w:rPr>
            <w:rFonts w:hint="default" w:ascii="Times New Roman" w:hAnsi="Times New Roman" w:eastAsia="宋体" w:cs="Times New Roman"/>
            <w:sz w:val="24"/>
          </w:rPr>
        </w:sdtEndPr>
        <w:sdtContent>
          <w:sdt>
            <w:sdtPr>
              <w:rPr>
                <w:rFonts w:hint="default" w:ascii="Times New Roman" w:hAnsi="Times New Roman" w:eastAsia="宋体" w:cs="Times New Roman"/>
                <w:sz w:val="24"/>
              </w:rPr>
              <w:id w:val="22900621"/>
            </w:sdtPr>
            <w:sdtEndPr>
              <w:rPr>
                <w:rFonts w:hint="default" w:ascii="Times New Roman" w:hAnsi="Times New Roman" w:eastAsia="宋体" w:cs="Times New Roman"/>
                <w:sz w:val="24"/>
              </w:rPr>
            </w:sdtEndPr>
            <w:sdtContent>
              <w:r>
                <w:rPr>
                  <w:rFonts w:hint="default" w:ascii="Times New Roman" w:hAnsi="Times New Roman" w:eastAsia="宋体" w:cs="Times New Roman"/>
                  <w:sz w:val="24"/>
                  <w:lang w:eastAsia="zh-CN"/>
                </w:rPr>
                <w:t>√</w:t>
              </w:r>
            </w:sdtContent>
          </w:sdt>
        </w:sdtContent>
      </w:sdt>
      <w:r>
        <w:rPr>
          <w:rFonts w:hint="default" w:ascii="Times New Roman" w:hAnsi="Times New Roman" w:eastAsia="宋体" w:cs="Times New Roman"/>
          <w:sz w:val="24"/>
          <w:lang w:eastAsia="zh-CN"/>
        </w:rPr>
        <w:t>人员培训：</w:t>
      </w:r>
      <w:r>
        <w:rPr>
          <w:rFonts w:hint="default" w:ascii="Times New Roman" w:hAnsi="Times New Roman" w:eastAsia="宋体" w:cs="Times New Roman"/>
          <w:sz w:val="24"/>
          <w:u w:val="single"/>
          <w:lang w:eastAsia="zh-CN"/>
        </w:rPr>
        <w:t xml:space="preserve">  </w:t>
      </w:r>
      <w:r>
        <w:rPr>
          <w:rFonts w:hint="default" w:ascii="Times New Roman" w:hAnsi="Times New Roman" w:eastAsia="宋体" w:cs="Times New Roman"/>
          <w:sz w:val="24"/>
          <w:u w:val="single"/>
          <w:lang w:val="en-US" w:eastAsia="zh-CN"/>
        </w:rPr>
        <w:t xml:space="preserve">无 </w:t>
      </w:r>
      <w:r>
        <w:rPr>
          <w:rFonts w:hint="default" w:ascii="Times New Roman" w:hAnsi="Times New Roman" w:eastAsia="宋体" w:cs="Times New Roman"/>
          <w:sz w:val="24"/>
          <w:u w:val="single"/>
          <w:lang w:eastAsia="zh-CN"/>
        </w:rPr>
        <w:t xml:space="preserve"> </w:t>
      </w:r>
    </w:p>
    <w:p>
      <w:pPr>
        <w:spacing w:line="360" w:lineRule="auto"/>
        <w:ind w:left="497" w:leftChars="226" w:firstLine="0" w:firstLineChars="0"/>
        <w:rPr>
          <w:rFonts w:hint="default" w:ascii="Times New Roman" w:hAnsi="Times New Roman" w:eastAsia="宋体" w:cs="Times New Roman"/>
          <w:sz w:val="24"/>
          <w:u w:val="none"/>
          <w:lang w:val="en-US" w:eastAsia="zh-CN"/>
        </w:rPr>
      </w:pPr>
      <w:sdt>
        <w:sdtPr>
          <w:rPr>
            <w:rFonts w:hint="default" w:ascii="Times New Roman" w:hAnsi="Times New Roman" w:eastAsia="宋体" w:cs="Times New Roman"/>
            <w:sz w:val="24"/>
          </w:rPr>
          <w:id w:val="-1252738078"/>
        </w:sdtPr>
        <w:sdtEndPr>
          <w:rPr>
            <w:rFonts w:hint="default" w:ascii="Times New Roman" w:hAnsi="Times New Roman" w:eastAsia="宋体" w:cs="Times New Roman"/>
            <w:sz w:val="24"/>
          </w:rPr>
        </w:sdtEndPr>
        <w:sdtContent>
          <w:sdt>
            <w:sdtPr>
              <w:rPr>
                <w:rFonts w:hint="default" w:ascii="Times New Roman" w:hAnsi="Times New Roman" w:eastAsia="宋体" w:cs="Times New Roman"/>
                <w:sz w:val="24"/>
              </w:rPr>
              <w:id w:val="22900622"/>
            </w:sdtPr>
            <w:sdtEndPr>
              <w:rPr>
                <w:rFonts w:hint="default" w:ascii="Times New Roman" w:hAnsi="Times New Roman" w:eastAsia="宋体" w:cs="Times New Roman"/>
                <w:sz w:val="24"/>
              </w:rPr>
            </w:sdtEndPr>
            <w:sdtContent>
              <w:r>
                <w:rPr>
                  <w:rFonts w:hint="default" w:ascii="Times New Roman" w:hAnsi="Times New Roman" w:eastAsia="宋体" w:cs="Times New Roman"/>
                  <w:sz w:val="24"/>
                  <w:lang w:eastAsia="zh-CN"/>
                </w:rPr>
                <w:t>√</w:t>
              </w:r>
            </w:sdtContent>
          </w:sdt>
        </w:sdtContent>
      </w:sdt>
      <w:r>
        <w:rPr>
          <w:rFonts w:hint="default" w:ascii="Times New Roman" w:hAnsi="Times New Roman" w:eastAsia="宋体" w:cs="Times New Roman"/>
          <w:sz w:val="24"/>
          <w:lang w:eastAsia="zh-CN"/>
        </w:rPr>
        <w:t>技术资料：</w:t>
      </w:r>
      <w:r>
        <w:rPr>
          <w:rFonts w:hint="default" w:ascii="Times New Roman" w:hAnsi="Times New Roman" w:eastAsia="宋体" w:cs="Times New Roman"/>
          <w:sz w:val="24"/>
          <w:u w:val="single"/>
          <w:lang w:val="en-US" w:eastAsia="zh-CN"/>
        </w:rPr>
        <w:t xml:space="preserve"> </w:t>
      </w:r>
      <w:r>
        <w:rPr>
          <w:rFonts w:hint="default" w:ascii="Times New Roman" w:hAnsi="Times New Roman" w:eastAsia="宋体" w:cs="Times New Roman"/>
          <w:sz w:val="24"/>
          <w:u w:val="single"/>
          <w:lang w:eastAsia="zh-CN"/>
        </w:rPr>
        <w:t xml:space="preserve"> 有 </w:t>
      </w:r>
      <w:r>
        <w:rPr>
          <w:rFonts w:hint="default" w:ascii="Times New Roman" w:hAnsi="Times New Roman" w:eastAsia="宋体" w:cs="Times New Roman"/>
          <w:sz w:val="24"/>
          <w:u w:val="none"/>
          <w:lang w:eastAsia="zh-CN"/>
        </w:rPr>
        <w:t>（</w:t>
      </w:r>
      <w:r>
        <w:rPr>
          <w:rFonts w:hint="default" w:ascii="Times New Roman" w:hAnsi="Times New Roman" w:eastAsia="宋体" w:cs="Times New Roman"/>
          <w:sz w:val="24"/>
          <w:u w:val="none"/>
          <w:lang w:val="en-US" w:eastAsia="zh-CN"/>
        </w:rPr>
        <w:t>详见</w:t>
      </w:r>
      <w:r>
        <w:rPr>
          <w:rFonts w:hint="eastAsia" w:ascii="Times New Roman" w:hAnsi="Times New Roman" w:eastAsia="宋体" w:cs="Times New Roman"/>
          <w:sz w:val="24"/>
          <w:u w:val="none"/>
          <w:lang w:val="en-US" w:eastAsia="zh-CN"/>
        </w:rPr>
        <w:t>《芳烃团队燃料气阻火器技术要求》。</w:t>
      </w:r>
      <w:r>
        <w:rPr>
          <w:rFonts w:hint="default" w:ascii="Times New Roman" w:hAnsi="Times New Roman" w:eastAsia="宋体" w:cs="Times New Roman"/>
          <w:sz w:val="24"/>
          <w:u w:val="none"/>
          <w:lang w:val="en-US" w:eastAsia="zh-CN"/>
        </w:rPr>
        <w:t>）</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val="en-US" w:eastAsia="zh-CN"/>
        </w:rPr>
        <w:t xml:space="preserve">第六条 </w:t>
      </w:r>
      <w:r>
        <w:rPr>
          <w:rFonts w:hint="default" w:ascii="Times New Roman" w:hAnsi="Times New Roman" w:eastAsia="宋体" w:cs="Times New Roman"/>
          <w:b/>
          <w:bCs/>
          <w:sz w:val="24"/>
          <w:lang w:eastAsia="zh-CN"/>
        </w:rPr>
        <w:t>验收</w:t>
      </w:r>
    </w:p>
    <w:p>
      <w:pPr>
        <w:spacing w:line="360" w:lineRule="auto"/>
        <w:ind w:left="388" w:leftChars="0" w:hanging="388" w:hangingChars="162"/>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6.1 到货验收包括：检查</w:t>
      </w:r>
      <w:r>
        <w:rPr>
          <w:rFonts w:hint="default" w:ascii="Times New Roman" w:hAnsi="Times New Roman" w:eastAsia="宋体" w:cs="Times New Roman"/>
          <w:sz w:val="24"/>
          <w:lang w:val="en-US" w:eastAsia="zh-CN"/>
        </w:rPr>
        <w:t>产品</w:t>
      </w:r>
      <w:r>
        <w:rPr>
          <w:rFonts w:hint="default" w:ascii="Times New Roman" w:hAnsi="Times New Roman" w:eastAsia="宋体" w:cs="Times New Roman"/>
          <w:sz w:val="24"/>
          <w:lang w:eastAsia="zh-CN"/>
        </w:rPr>
        <w:t>型号、规格、数量、外观质量、及货物包装是否完好。</w:t>
      </w:r>
    </w:p>
    <w:p>
      <w:pPr>
        <w:spacing w:line="360" w:lineRule="auto"/>
        <w:ind w:left="388" w:leftChars="0" w:hanging="388" w:hangingChars="162"/>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6.2 乙方对一次开箱不合格（产品有质量故障）的产品予以换新，承担一切与之有关的费用。</w:t>
      </w:r>
    </w:p>
    <w:p>
      <w:pPr>
        <w:spacing w:line="360" w:lineRule="auto"/>
        <w:ind w:left="388" w:leftChars="0" w:hanging="388" w:hangingChars="162"/>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6.3 乙方应将所提供货物的装箱清单、</w:t>
      </w:r>
      <w:r>
        <w:rPr>
          <w:rFonts w:hint="default" w:ascii="Times New Roman" w:hAnsi="Times New Roman" w:eastAsia="宋体" w:cs="Times New Roman"/>
          <w:sz w:val="24"/>
          <w:lang w:val="en-US" w:eastAsia="zh-CN"/>
        </w:rPr>
        <w:t>材质报告、质量合格证明材料</w:t>
      </w:r>
      <w:r>
        <w:rPr>
          <w:rFonts w:hint="default" w:ascii="Times New Roman" w:hAnsi="Times New Roman" w:eastAsia="宋体" w:cs="Times New Roman"/>
          <w:sz w:val="24"/>
          <w:lang w:eastAsia="zh-CN"/>
        </w:rPr>
        <w:t>交付给甲方；乙方不能完整交付货物及本款规定</w:t>
      </w:r>
      <w:r>
        <w:rPr>
          <w:rFonts w:hint="default" w:ascii="Times New Roman" w:hAnsi="Times New Roman" w:eastAsia="宋体" w:cs="Times New Roman"/>
          <w:sz w:val="24"/>
          <w:lang w:val="en-US" w:eastAsia="zh-CN"/>
        </w:rPr>
        <w:t>的材料</w:t>
      </w:r>
      <w:r>
        <w:rPr>
          <w:rFonts w:hint="default" w:ascii="Times New Roman" w:hAnsi="Times New Roman" w:eastAsia="宋体" w:cs="Times New Roman"/>
          <w:sz w:val="24"/>
          <w:lang w:eastAsia="zh-CN"/>
        </w:rPr>
        <w:t>，视为未按合同约定交货，乙方负责补齐，因此导致逾期交付的，由乙方承担相关的违约责任。</w:t>
      </w:r>
    </w:p>
    <w:p>
      <w:pPr>
        <w:spacing w:line="360" w:lineRule="auto"/>
        <w:ind w:left="388" w:leftChars="0" w:hanging="388" w:hangingChars="162"/>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6.4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ind w:left="388" w:leftChars="0" w:hanging="388" w:hangingChars="162"/>
        <w:rPr>
          <w:rFonts w:hint="default" w:ascii="Times New Roman" w:hAnsi="Times New Roman" w:eastAsia="宋体" w:cs="Times New Roman"/>
          <w:bCs/>
          <w:sz w:val="24"/>
          <w:szCs w:val="24"/>
        </w:rPr>
      </w:pPr>
      <w:r>
        <w:rPr>
          <w:rFonts w:hint="default" w:ascii="Times New Roman" w:hAnsi="Times New Roman" w:eastAsia="宋体" w:cs="Times New Roman"/>
          <w:sz w:val="24"/>
          <w:lang w:val="en-US" w:eastAsia="zh-CN"/>
        </w:rPr>
        <w:t xml:space="preserve">6.5 </w:t>
      </w:r>
      <w:r>
        <w:rPr>
          <w:rFonts w:hint="default" w:ascii="Times New Roman" w:hAnsi="Times New Roman" w:eastAsia="宋体" w:cs="Times New Roman"/>
          <w:bCs/>
          <w:sz w:val="24"/>
          <w:szCs w:val="24"/>
        </w:rPr>
        <w:t>本条款规定了合同设备的供货范围，卖方保证所提供设备为全新的、先进的、成熟的、完整的和安全可靠的，且设备的技术性能、功能符合技术条件的要求。</w:t>
      </w:r>
    </w:p>
    <w:p>
      <w:pPr>
        <w:spacing w:line="360" w:lineRule="auto"/>
        <w:ind w:left="388" w:leftChars="0" w:hanging="388" w:hangingChars="162"/>
        <w:rPr>
          <w:rFonts w:hint="default" w:ascii="Times New Roman" w:hAnsi="Times New Roman" w:eastAsia="宋体" w:cs="Times New Roman"/>
          <w:lang w:val="en-US" w:eastAsia="zh-CN"/>
        </w:rPr>
      </w:pPr>
      <w:r>
        <w:rPr>
          <w:rFonts w:hint="default" w:ascii="Times New Roman" w:hAnsi="Times New Roman" w:eastAsia="宋体" w:cs="Times New Roman"/>
          <w:bCs/>
          <w:sz w:val="24"/>
          <w:szCs w:val="24"/>
          <w:lang w:val="en-US" w:eastAsia="zh-CN"/>
        </w:rPr>
        <w:t xml:space="preserve">6.6 </w:t>
      </w:r>
      <w:r>
        <w:rPr>
          <w:rFonts w:hint="default" w:ascii="Times New Roman" w:hAnsi="Times New Roman" w:eastAsia="宋体" w:cs="Times New Roman"/>
          <w:bCs/>
          <w:sz w:val="24"/>
          <w:szCs w:val="24"/>
        </w:rPr>
        <w:t>卖方确保货物完整，能满足用户安装、运行要求为原则，在技术规范中涉及的供货要求也作为本供货范围的补充，即使未列入供货表中，若在安装、调试、运行中发现缺项也应由卖方无偿补充。</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val="en-US" w:eastAsia="zh-CN"/>
        </w:rPr>
        <w:t xml:space="preserve">第七条 </w:t>
      </w:r>
      <w:r>
        <w:rPr>
          <w:rFonts w:hint="default" w:ascii="Times New Roman" w:hAnsi="Times New Roman" w:eastAsia="宋体" w:cs="Times New Roman"/>
          <w:b/>
          <w:bCs/>
          <w:sz w:val="24"/>
          <w:lang w:eastAsia="zh-CN"/>
        </w:rPr>
        <w:t>质量保证</w:t>
      </w:r>
    </w:p>
    <w:p>
      <w:pPr>
        <w:spacing w:line="360" w:lineRule="auto"/>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w:t>
      </w:r>
      <w:r>
        <w:rPr>
          <w:rFonts w:hint="eastAsia" w:ascii="Times New Roman" w:hAnsi="Times New Roman" w:cs="Times New Roman"/>
          <w:sz w:val="24"/>
          <w:lang w:val="en-US" w:eastAsia="zh-CN"/>
        </w:rPr>
        <w:t xml:space="preserve">  </w:t>
      </w:r>
      <w:r>
        <w:rPr>
          <w:rFonts w:hint="default" w:ascii="Times New Roman" w:hAnsi="Times New Roman" w:eastAsia="宋体" w:cs="Times New Roman"/>
          <w:sz w:val="24"/>
          <w:lang w:eastAsia="zh-CN"/>
        </w:rPr>
        <w:t xml:space="preserve">  除本合同另有约定外，本合同产品售后服务按厂家标准提供有关质量保证和售后服务的承诺执行，国家有规定的按国家规定执行。</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val="en-US" w:eastAsia="zh-CN"/>
        </w:rPr>
        <w:t xml:space="preserve">第八条 </w:t>
      </w:r>
      <w:r>
        <w:rPr>
          <w:rFonts w:hint="default" w:ascii="Times New Roman" w:hAnsi="Times New Roman" w:eastAsia="宋体" w:cs="Times New Roman"/>
          <w:b/>
          <w:bCs/>
          <w:sz w:val="24"/>
          <w:lang w:eastAsia="zh-CN"/>
        </w:rPr>
        <w:t>违约责任</w:t>
      </w:r>
    </w:p>
    <w:p>
      <w:pPr>
        <w:spacing w:line="360" w:lineRule="auto"/>
        <w:ind w:left="416" w:leftChars="9" w:hanging="396" w:hangingChars="165"/>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8.1 乙方逾期交货的，每日按照合同总额的</w:t>
      </w:r>
      <w:r>
        <w:rPr>
          <w:rFonts w:hint="default" w:ascii="Times New Roman" w:hAnsi="Times New Roman" w:eastAsia="宋体" w:cs="Times New Roman"/>
          <w:sz w:val="24"/>
          <w:u w:val="single"/>
          <w:lang w:eastAsia="zh-CN"/>
        </w:rPr>
        <w:t xml:space="preserve"> 0.1 </w:t>
      </w:r>
      <w:r>
        <w:rPr>
          <w:rFonts w:hint="default" w:ascii="Times New Roman" w:hAnsi="Times New Roman" w:eastAsia="宋体" w:cs="Times New Roman"/>
          <w:sz w:val="24"/>
          <w:lang w:eastAsia="zh-CN"/>
        </w:rPr>
        <w:t>%向甲方支付违约金，逾期超过</w:t>
      </w:r>
      <w:r>
        <w:rPr>
          <w:rFonts w:hint="default" w:ascii="Times New Roman" w:hAnsi="Times New Roman" w:eastAsia="宋体" w:cs="Times New Roman"/>
          <w:sz w:val="24"/>
          <w:u w:val="single"/>
          <w:lang w:eastAsia="zh-CN"/>
        </w:rPr>
        <w:t xml:space="preserve"> 20 </w:t>
      </w:r>
      <w:r>
        <w:rPr>
          <w:rFonts w:hint="default" w:ascii="Times New Roman" w:hAnsi="Times New Roman" w:eastAsia="宋体" w:cs="Times New Roman"/>
          <w:sz w:val="24"/>
          <w:lang w:eastAsia="zh-CN"/>
        </w:rPr>
        <w:t>日的，甲方还有权解除合同，并要求乙方一次性支付合同总额</w:t>
      </w:r>
      <w:r>
        <w:rPr>
          <w:rFonts w:hint="default" w:ascii="Times New Roman" w:hAnsi="Times New Roman" w:eastAsia="宋体" w:cs="Times New Roman"/>
          <w:sz w:val="24"/>
          <w:u w:val="single"/>
          <w:lang w:eastAsia="zh-CN"/>
        </w:rPr>
        <w:t xml:space="preserve"> 20 </w:t>
      </w:r>
      <w:r>
        <w:rPr>
          <w:rFonts w:hint="default" w:ascii="Times New Roman" w:hAnsi="Times New Roman" w:eastAsia="宋体" w:cs="Times New Roman"/>
          <w:sz w:val="24"/>
          <w:lang w:eastAsia="zh-CN"/>
        </w:rPr>
        <w:t>%的违约金。乙方部分交货不合格的，均按照逾期交货处理。</w:t>
      </w:r>
    </w:p>
    <w:p>
      <w:pPr>
        <w:spacing w:line="360" w:lineRule="auto"/>
        <w:ind w:left="416" w:leftChars="9" w:hanging="396" w:hangingChars="165"/>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8.2 乙方交付的产品经甲方验收不合格的，应根据甲方要求进行更换或采取其他补救措施。累计</w:t>
      </w:r>
      <w:r>
        <w:rPr>
          <w:rFonts w:hint="default" w:ascii="Times New Roman" w:hAnsi="Times New Roman" w:eastAsia="宋体" w:cs="Times New Roman"/>
          <w:sz w:val="24"/>
          <w:u w:val="single"/>
          <w:lang w:eastAsia="zh-CN"/>
        </w:rPr>
        <w:t xml:space="preserve"> 3 </w:t>
      </w:r>
      <w:r>
        <w:rPr>
          <w:rFonts w:hint="default" w:ascii="Times New Roman" w:hAnsi="Times New Roman" w:eastAsia="宋体" w:cs="Times New Roman"/>
          <w:sz w:val="24"/>
          <w:lang w:eastAsia="zh-CN"/>
        </w:rPr>
        <w:t>次验收不合格的，甲方还有权解除合同、拒绝支付任何费用。</w:t>
      </w:r>
    </w:p>
    <w:p>
      <w:pPr>
        <w:spacing w:line="360" w:lineRule="auto"/>
        <w:ind w:left="416" w:leftChars="9" w:hanging="396" w:hangingChars="165"/>
        <w:rPr>
          <w:rFonts w:hint="default" w:ascii="Times New Roman" w:hAnsi="Times New Roman" w:eastAsia="宋体" w:cs="Times New Roman"/>
          <w:sz w:val="24"/>
          <w:highlight w:val="none"/>
          <w:lang w:eastAsia="zh-CN"/>
        </w:rPr>
      </w:pPr>
      <w:r>
        <w:rPr>
          <w:rFonts w:hint="default" w:ascii="Times New Roman" w:hAnsi="Times New Roman" w:eastAsia="宋体" w:cs="Times New Roman"/>
          <w:sz w:val="24"/>
          <w:lang w:eastAsia="zh-CN"/>
        </w:rPr>
        <w:t xml:space="preserve">8.3 </w:t>
      </w:r>
      <w:r>
        <w:rPr>
          <w:rFonts w:hint="default" w:ascii="Times New Roman" w:hAnsi="Times New Roman" w:eastAsia="宋体" w:cs="Times New Roman"/>
          <w:sz w:val="24"/>
          <w:szCs w:val="24"/>
          <w:highlight w:val="none"/>
          <w:lang w:eastAsia="zh-CN"/>
        </w:rPr>
        <w:t>如甲方逾期付款，应按全国银行间同业拆借中心公布的贷款市场报价利率向乙方支付利息</w:t>
      </w:r>
      <w:r>
        <w:rPr>
          <w:rFonts w:hint="default" w:ascii="Times New Roman" w:hAnsi="Times New Roman" w:eastAsia="宋体" w:cs="Times New Roman"/>
          <w:sz w:val="24"/>
          <w:highlight w:val="none"/>
          <w:lang w:eastAsia="zh-CN"/>
        </w:rPr>
        <w:t>。</w:t>
      </w:r>
    </w:p>
    <w:p>
      <w:pPr>
        <w:spacing w:line="360" w:lineRule="auto"/>
        <w:ind w:left="416" w:leftChars="9" w:hanging="396" w:hangingChars="165"/>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8.4 一方的违约行为给对方造成的损失超过本合同约定的违约金数额的，超出部分，违约方应予以赔偿。</w:t>
      </w:r>
    </w:p>
    <w:p>
      <w:pPr>
        <w:pStyle w:val="2"/>
        <w:spacing w:line="360" w:lineRule="auto"/>
        <w:ind w:left="416" w:leftChars="9" w:hanging="396" w:hangingChars="165"/>
        <w:rPr>
          <w:rFonts w:hint="default" w:ascii="Times New Roman" w:hAnsi="Times New Roman" w:eastAsia="宋体" w:cs="Times New Roman"/>
          <w:sz w:val="24"/>
          <w:szCs w:val="24"/>
        </w:rPr>
      </w:pPr>
      <w:r>
        <w:rPr>
          <w:rFonts w:hint="default" w:ascii="Times New Roman" w:hAnsi="Times New Roman" w:eastAsia="宋体" w:cs="Times New Roman"/>
          <w:sz w:val="24"/>
          <w:szCs w:val="24"/>
        </w:rPr>
        <w:t>8.5甲方已就本合同项下涉及乙方重大利害关系的条款向乙方作出详细说明，乙方充分理解上述条款含义，并自愿签订本合同。</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sz w:val="24"/>
          <w:lang w:eastAsia="zh-CN"/>
        </w:rPr>
      </w:pPr>
      <w:r>
        <w:rPr>
          <w:rFonts w:hint="default" w:ascii="Times New Roman" w:hAnsi="Times New Roman" w:eastAsia="宋体" w:cs="Times New Roman"/>
          <w:b/>
          <w:bCs/>
          <w:sz w:val="24"/>
          <w:lang w:val="en-US" w:eastAsia="zh-CN"/>
        </w:rPr>
        <w:t xml:space="preserve">第九条 </w:t>
      </w:r>
      <w:r>
        <w:rPr>
          <w:rFonts w:hint="default" w:ascii="Times New Roman" w:hAnsi="Times New Roman" w:eastAsia="宋体" w:cs="Times New Roman"/>
          <w:b/>
          <w:bCs/>
          <w:sz w:val="24"/>
          <w:lang w:eastAsia="zh-CN"/>
        </w:rPr>
        <w:t>法律的适用及争议解决方式</w:t>
      </w:r>
    </w:p>
    <w:p>
      <w:pPr>
        <w:spacing w:line="360" w:lineRule="auto"/>
        <w:ind w:left="329" w:leftChars="-18" w:hanging="369" w:hangingChars="154"/>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9.1</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eastAsia="zh-CN"/>
        </w:rPr>
        <w:t>本合同的效力、解释及履行均适用中华人民共和国法律。</w:t>
      </w:r>
    </w:p>
    <w:p>
      <w:pPr>
        <w:spacing w:line="360" w:lineRule="auto"/>
        <w:ind w:left="329" w:leftChars="-18" w:hanging="369" w:hangingChars="154"/>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9.2</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eastAsia="zh-CN"/>
        </w:rPr>
        <w:t>因本合同履行过程中引起的任何争议，双方应及时友好协商解决。协商不成的，向甲方所在地的人民法院提起诉讼。</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val="en-US" w:eastAsia="zh-CN"/>
        </w:rPr>
        <w:t>第十条</w:t>
      </w:r>
      <w:r>
        <w:rPr>
          <w:rFonts w:hint="default" w:ascii="Times New Roman" w:hAnsi="Times New Roman" w:eastAsia="宋体" w:cs="Times New Roman"/>
          <w:b/>
          <w:bCs/>
          <w:sz w:val="24"/>
          <w:lang w:eastAsia="zh-CN"/>
        </w:rPr>
        <w:t xml:space="preserve"> 合同变更与解除 </w:t>
      </w:r>
    </w:p>
    <w:p>
      <w:pPr>
        <w:spacing w:line="360" w:lineRule="auto"/>
        <w:ind w:firstLine="360" w:firstLineChars="15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除本合同另有约定或法律规定外，非经双方协商一致，任何一方均不得擅自变更或解除合同。合同变更或解除须采取书面形式。</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val="en-US" w:eastAsia="zh-CN"/>
        </w:rPr>
        <w:t xml:space="preserve">第十一条 </w:t>
      </w:r>
      <w:r>
        <w:rPr>
          <w:rFonts w:hint="default" w:ascii="Times New Roman" w:hAnsi="Times New Roman" w:eastAsia="宋体" w:cs="Times New Roman"/>
          <w:b/>
          <w:bCs/>
          <w:sz w:val="24"/>
          <w:lang w:eastAsia="zh-CN"/>
        </w:rPr>
        <w:t>通知</w:t>
      </w:r>
    </w:p>
    <w:p>
      <w:pPr>
        <w:spacing w:line="360" w:lineRule="auto"/>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sz w:val="24"/>
          <w:lang w:eastAsia="zh-CN"/>
        </w:rPr>
      </w:pPr>
      <w:r>
        <w:rPr>
          <w:rFonts w:hint="default" w:ascii="Times New Roman" w:hAnsi="Times New Roman" w:eastAsia="宋体" w:cs="Times New Roman"/>
          <w:b/>
          <w:bCs/>
          <w:sz w:val="24"/>
          <w:lang w:val="en-US" w:eastAsia="zh-CN"/>
        </w:rPr>
        <w:t>第十二条</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eastAsia="zh-CN"/>
        </w:rPr>
        <w:t>本合同一式</w:t>
      </w:r>
      <w:r>
        <w:rPr>
          <w:rFonts w:hint="default" w:ascii="Times New Roman" w:hAnsi="Times New Roman" w:eastAsia="宋体" w:cs="Times New Roman"/>
          <w:b/>
          <w:bCs/>
          <w:sz w:val="24"/>
          <w:u w:val="single"/>
          <w:lang w:val="en-US" w:eastAsia="zh-CN"/>
        </w:rPr>
        <w:t xml:space="preserve"> 肆 </w:t>
      </w:r>
      <w:r>
        <w:rPr>
          <w:rFonts w:hint="default" w:ascii="Times New Roman" w:hAnsi="Times New Roman" w:eastAsia="宋体" w:cs="Times New Roman"/>
          <w:sz w:val="24"/>
          <w:lang w:eastAsia="zh-CN"/>
        </w:rPr>
        <w:t>份，经双方盖章后生效，甲方执</w:t>
      </w:r>
      <w:r>
        <w:rPr>
          <w:rFonts w:hint="default" w:ascii="Times New Roman" w:hAnsi="Times New Roman" w:eastAsia="宋体" w:cs="Times New Roman"/>
          <w:b/>
          <w:bCs/>
          <w:sz w:val="24"/>
          <w:u w:val="single"/>
          <w:lang w:val="en-US" w:eastAsia="zh-CN"/>
        </w:rPr>
        <w:t xml:space="preserve"> 叁 </w:t>
      </w:r>
      <w:r>
        <w:rPr>
          <w:rFonts w:hint="default" w:ascii="Times New Roman" w:hAnsi="Times New Roman" w:eastAsia="宋体" w:cs="Times New Roman"/>
          <w:sz w:val="24"/>
          <w:lang w:eastAsia="zh-CN"/>
        </w:rPr>
        <w:t>份、乙方执</w:t>
      </w:r>
      <w:r>
        <w:rPr>
          <w:rFonts w:hint="default" w:ascii="Times New Roman" w:hAnsi="Times New Roman" w:eastAsia="宋体" w:cs="Times New Roman"/>
          <w:b/>
          <w:bCs/>
          <w:sz w:val="24"/>
          <w:u w:val="single"/>
          <w:lang w:val="en-US" w:eastAsia="zh-CN"/>
        </w:rPr>
        <w:t xml:space="preserve"> 壹 </w:t>
      </w:r>
      <w:r>
        <w:rPr>
          <w:rFonts w:hint="default" w:ascii="Times New Roman" w:hAnsi="Times New Roman" w:eastAsia="宋体" w:cs="Times New Roman"/>
          <w:sz w:val="24"/>
          <w:lang w:eastAsia="zh-CN"/>
        </w:rPr>
        <w:t>份，合同与附件具有同等</w:t>
      </w:r>
      <w:r>
        <w:rPr>
          <w:rFonts w:hint="default" w:ascii="Times New Roman" w:hAnsi="Times New Roman" w:eastAsia="宋体" w:cs="Times New Roman"/>
          <w:sz w:val="24"/>
          <w:lang w:val="en-US" w:eastAsia="zh-CN"/>
        </w:rPr>
        <w:t>法律</w:t>
      </w:r>
      <w:r>
        <w:rPr>
          <w:rFonts w:hint="default" w:ascii="Times New Roman" w:hAnsi="Times New Roman" w:eastAsia="宋体" w:cs="Times New Roman"/>
          <w:sz w:val="24"/>
          <w:lang w:eastAsia="zh-CN"/>
        </w:rPr>
        <w:t>效力。</w:t>
      </w:r>
    </w:p>
    <w:p>
      <w:pPr>
        <w:pStyle w:val="2"/>
        <w:spacing w:line="360" w:lineRule="auto"/>
        <w:rPr>
          <w:rFonts w:hint="default" w:ascii="Times New Roman" w:hAnsi="Times New Roman" w:eastAsia="宋体" w:cs="Times New Roman"/>
          <w:sz w:val="24"/>
          <w:szCs w:val="24"/>
        </w:rPr>
      </w:pPr>
    </w:p>
    <w:p>
      <w:pPr>
        <w:spacing w:line="360" w:lineRule="auto"/>
        <w:rPr>
          <w:rFonts w:hint="default" w:ascii="Times New Roman" w:hAnsi="Times New Roman" w:eastAsia="宋体" w:cs="Times New Roman"/>
          <w:b/>
          <w:sz w:val="24"/>
          <w:lang w:eastAsia="zh-CN"/>
        </w:rPr>
      </w:pPr>
      <w:r>
        <w:rPr>
          <w:rFonts w:hint="default" w:ascii="Times New Roman" w:hAnsi="Times New Roman" w:eastAsia="宋体" w:cs="Times New Roman"/>
          <w:b/>
          <w:sz w:val="24"/>
          <w:lang w:eastAsia="zh-CN"/>
        </w:rPr>
        <w:t>（本页为签署栏，无正文）</w:t>
      </w:r>
    </w:p>
    <w:p>
      <w:pPr>
        <w:pStyle w:val="2"/>
        <w:spacing w:line="360" w:lineRule="auto"/>
        <w:rPr>
          <w:rFonts w:hint="default" w:ascii="Times New Roman" w:hAnsi="Times New Roman" w:eastAsia="宋体" w:cs="Times New Roman"/>
          <w:sz w:val="24"/>
          <w:szCs w:val="24"/>
        </w:rPr>
      </w:pPr>
    </w:p>
    <w:p>
      <w:pPr>
        <w:pStyle w:val="2"/>
        <w:spacing w:line="360" w:lineRule="auto"/>
        <w:rPr>
          <w:rFonts w:hint="default" w:ascii="Times New Roman" w:hAnsi="Times New Roman" w:eastAsia="宋体" w:cs="Times New Roman"/>
          <w:sz w:val="24"/>
          <w:szCs w:val="24"/>
        </w:rPr>
      </w:pPr>
    </w:p>
    <w:p>
      <w:pPr>
        <w:pStyle w:val="2"/>
        <w:spacing w:line="360" w:lineRule="auto"/>
        <w:rPr>
          <w:rFonts w:hint="default" w:ascii="Times New Roman" w:hAnsi="Times New Roman" w:eastAsia="宋体" w:cs="Times New Roman"/>
          <w:sz w:val="24"/>
          <w:szCs w:val="24"/>
        </w:rPr>
      </w:pPr>
    </w:p>
    <w:p>
      <w:pPr>
        <w:pStyle w:val="2"/>
        <w:spacing w:line="360" w:lineRule="auto"/>
        <w:rPr>
          <w:rFonts w:hint="default" w:ascii="Times New Roman" w:hAnsi="Times New Roman" w:eastAsia="宋体" w:cs="Times New Roman"/>
          <w:sz w:val="24"/>
          <w:szCs w:val="24"/>
        </w:rPr>
      </w:pPr>
    </w:p>
    <w:tbl>
      <w:tblPr>
        <w:tblStyle w:val="31"/>
        <w:tblW w:w="10222"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766"/>
        <w:gridCol w:w="44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766" w:type="dxa"/>
            <w:vAlign w:val="center"/>
          </w:tcPr>
          <w:p>
            <w:pPr>
              <w:spacing w:line="360" w:lineRule="auto"/>
              <w:jc w:val="both"/>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eastAsia="zh-CN"/>
              </w:rPr>
              <w:t>甲方（</w:t>
            </w:r>
            <w:r>
              <w:rPr>
                <w:rFonts w:hint="default" w:ascii="Times New Roman" w:hAnsi="Times New Roman" w:eastAsia="宋体" w:cs="Times New Roman"/>
                <w:b/>
                <w:bCs/>
                <w:sz w:val="24"/>
                <w:lang w:val="en-US" w:eastAsia="zh-CN"/>
              </w:rPr>
              <w:t>需方）</w:t>
            </w:r>
            <w:r>
              <w:rPr>
                <w:rFonts w:hint="default" w:ascii="Times New Roman" w:hAnsi="Times New Roman" w:eastAsia="宋体" w:cs="Times New Roman"/>
                <w:b/>
                <w:bCs/>
                <w:sz w:val="24"/>
                <w:lang w:eastAsia="zh-CN"/>
              </w:rPr>
              <w:t>：</w:t>
            </w:r>
            <w:r>
              <w:rPr>
                <w:rFonts w:hint="eastAsia" w:ascii="Times New Roman" w:hAnsi="Times New Roman" w:cs="Times New Roman"/>
                <w:b/>
                <w:bCs/>
                <w:sz w:val="24"/>
                <w:lang w:val="en-US" w:eastAsia="zh-CN"/>
              </w:rPr>
              <w:t>腾龙芳烃</w:t>
            </w:r>
            <w:r>
              <w:rPr>
                <w:rFonts w:hint="default" w:ascii="Times New Roman" w:hAnsi="Times New Roman" w:eastAsia="宋体" w:cs="Times New Roman"/>
                <w:b/>
                <w:bCs/>
                <w:sz w:val="24"/>
                <w:lang w:eastAsia="zh-CN"/>
              </w:rPr>
              <w:t>（漳州）有限公司</w:t>
            </w:r>
          </w:p>
        </w:tc>
        <w:tc>
          <w:tcPr>
            <w:tcW w:w="4456" w:type="dxa"/>
            <w:vAlign w:val="center"/>
          </w:tcPr>
          <w:p>
            <w:pPr>
              <w:spacing w:line="360" w:lineRule="auto"/>
              <w:jc w:val="both"/>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eastAsia="zh-CN"/>
              </w:rPr>
              <w:t>乙方（</w:t>
            </w:r>
            <w:r>
              <w:rPr>
                <w:rFonts w:hint="default" w:ascii="Times New Roman" w:hAnsi="Times New Roman" w:eastAsia="宋体" w:cs="Times New Roman"/>
                <w:b/>
                <w:bCs/>
                <w:sz w:val="24"/>
                <w:lang w:val="en-US" w:eastAsia="zh-CN"/>
              </w:rPr>
              <w:t>供方）</w:t>
            </w:r>
            <w:r>
              <w:rPr>
                <w:rFonts w:hint="default" w:ascii="Times New Roman" w:hAnsi="Times New Roman" w:eastAsia="宋体" w:cs="Times New Roman"/>
                <w:b/>
                <w:bCs/>
                <w:sz w:val="24"/>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4" w:hRule="atLeast"/>
          <w:jc w:val="center"/>
        </w:trPr>
        <w:tc>
          <w:tcPr>
            <w:tcW w:w="5766" w:type="dxa"/>
            <w:vAlign w:val="center"/>
          </w:tcPr>
          <w:p>
            <w:pPr>
              <w:spacing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地址：福建省漳州市古雷港经济开发区腾龙路8</w:t>
            </w:r>
            <w:r>
              <w:rPr>
                <w:rFonts w:hint="default" w:ascii="Times New Roman" w:hAnsi="Times New Roman" w:eastAsia="宋体" w:cs="Times New Roman"/>
                <w:sz w:val="24"/>
                <w:lang w:val="en-US" w:eastAsia="zh-CN"/>
              </w:rPr>
              <w:t>6</w:t>
            </w:r>
            <w:r>
              <w:rPr>
                <w:rFonts w:hint="default" w:ascii="Times New Roman" w:hAnsi="Times New Roman" w:eastAsia="宋体" w:cs="Times New Roman"/>
                <w:sz w:val="24"/>
                <w:lang w:eastAsia="zh-CN"/>
              </w:rPr>
              <w:t>号</w:t>
            </w:r>
          </w:p>
        </w:tc>
        <w:tc>
          <w:tcPr>
            <w:tcW w:w="4456" w:type="dxa"/>
            <w:vAlign w:val="center"/>
          </w:tcPr>
          <w:p>
            <w:pPr>
              <w:spacing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地址：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766" w:type="dxa"/>
            <w:vAlign w:val="center"/>
          </w:tcPr>
          <w:p>
            <w:pPr>
              <w:spacing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电话：0596-63110</w:t>
            </w:r>
            <w:r>
              <w:rPr>
                <w:rFonts w:hint="default" w:ascii="Times New Roman" w:hAnsi="Times New Roman" w:eastAsia="宋体" w:cs="Times New Roman"/>
                <w:sz w:val="24"/>
                <w:lang w:val="en-US" w:eastAsia="zh-CN"/>
              </w:rPr>
              <w:t>7</w:t>
            </w:r>
            <w:r>
              <w:rPr>
                <w:rFonts w:hint="default" w:ascii="Times New Roman" w:hAnsi="Times New Roman" w:eastAsia="宋体" w:cs="Times New Roman"/>
                <w:sz w:val="24"/>
                <w:lang w:eastAsia="zh-CN"/>
              </w:rPr>
              <w:t>3</w:t>
            </w:r>
          </w:p>
        </w:tc>
        <w:tc>
          <w:tcPr>
            <w:tcW w:w="4456" w:type="dxa"/>
            <w:vAlign w:val="center"/>
          </w:tcPr>
          <w:p>
            <w:pPr>
              <w:spacing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电话</w:t>
            </w:r>
            <w:r>
              <w:rPr>
                <w:rFonts w:hint="default" w:ascii="Times New Roman" w:hAnsi="Times New Roman" w:eastAsia="宋体" w:cs="Times New Roman"/>
                <w:sz w:val="24"/>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766" w:type="dxa"/>
            <w:vAlign w:val="center"/>
          </w:tcPr>
          <w:p>
            <w:pPr>
              <w:spacing w:line="360" w:lineRule="auto"/>
              <w:jc w:val="both"/>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联系人：黄梅钦</w:t>
            </w:r>
          </w:p>
        </w:tc>
        <w:tc>
          <w:tcPr>
            <w:tcW w:w="4456" w:type="dxa"/>
            <w:vAlign w:val="center"/>
          </w:tcPr>
          <w:p>
            <w:pPr>
              <w:spacing w:line="360" w:lineRule="auto"/>
              <w:jc w:val="both"/>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联系人：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766" w:type="dxa"/>
            <w:vAlign w:val="center"/>
          </w:tcPr>
          <w:p>
            <w:pPr>
              <w:spacing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开户银行：兴业银行漳州古雷支行</w:t>
            </w:r>
          </w:p>
        </w:tc>
        <w:tc>
          <w:tcPr>
            <w:tcW w:w="4456" w:type="dxa"/>
            <w:vAlign w:val="center"/>
          </w:tcPr>
          <w:p>
            <w:pPr>
              <w:spacing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766" w:type="dxa"/>
            <w:vAlign w:val="center"/>
          </w:tcPr>
          <w:p>
            <w:pPr>
              <w:spacing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账号：162070100100021585</w:t>
            </w:r>
          </w:p>
        </w:tc>
        <w:tc>
          <w:tcPr>
            <w:tcW w:w="4456" w:type="dxa"/>
            <w:vAlign w:val="center"/>
          </w:tcPr>
          <w:p>
            <w:pPr>
              <w:spacing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766" w:type="dxa"/>
            <w:vAlign w:val="center"/>
          </w:tcPr>
          <w:p>
            <w:pPr>
              <w:spacing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税号：913506006765392255</w:t>
            </w:r>
          </w:p>
        </w:tc>
        <w:tc>
          <w:tcPr>
            <w:tcW w:w="4456" w:type="dxa"/>
            <w:vAlign w:val="center"/>
          </w:tcPr>
          <w:p>
            <w:pPr>
              <w:spacing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税号：</w:t>
            </w:r>
          </w:p>
        </w:tc>
      </w:tr>
      <w:bookmarkEnd w:id="9"/>
    </w:tbl>
    <w:p>
      <w:pPr>
        <w:rPr>
          <w:rFonts w:hint="default" w:ascii="Times New Roman" w:hAnsi="Times New Roman" w:eastAsia="宋体" w:cs="Times New Roman"/>
          <w:b/>
          <w:bCs/>
          <w:sz w:val="32"/>
          <w:szCs w:val="32"/>
          <w:lang w:eastAsia="zh-CN"/>
        </w:rPr>
      </w:pPr>
    </w:p>
    <w:p>
      <w:pPr>
        <w:pStyle w:val="2"/>
        <w:rPr>
          <w:rFonts w:hint="default" w:ascii="Times New Roman" w:hAnsi="Times New Roman" w:eastAsia="宋体" w:cs="Times New Roman"/>
          <w:b/>
          <w:bCs/>
          <w:sz w:val="32"/>
          <w:szCs w:val="32"/>
          <w:lang w:eastAsia="zh-CN"/>
        </w:rPr>
      </w:pPr>
    </w:p>
    <w:p>
      <w:pPr>
        <w:pStyle w:val="2"/>
        <w:rPr>
          <w:rFonts w:hint="default" w:ascii="Times New Roman" w:hAnsi="Times New Roman" w:eastAsia="宋体" w:cs="Times New Roman"/>
          <w:b/>
          <w:bCs/>
          <w:sz w:val="32"/>
          <w:szCs w:val="32"/>
          <w:lang w:eastAsia="zh-CN"/>
        </w:rPr>
      </w:pPr>
    </w:p>
    <w:p>
      <w:pPr>
        <w:pStyle w:val="2"/>
        <w:rPr>
          <w:rFonts w:hint="default" w:ascii="Times New Roman" w:hAnsi="Times New Roman" w:eastAsia="宋体" w:cs="Times New Roman"/>
          <w:b/>
          <w:bCs/>
          <w:sz w:val="32"/>
          <w:szCs w:val="32"/>
          <w:lang w:eastAsia="zh-CN"/>
        </w:rPr>
      </w:pPr>
    </w:p>
    <w:p>
      <w:pPr>
        <w:pStyle w:val="2"/>
        <w:rPr>
          <w:rFonts w:hint="default" w:ascii="Times New Roman" w:hAnsi="Times New Roman" w:eastAsia="宋体" w:cs="Times New Roman"/>
          <w:b/>
          <w:bCs/>
          <w:sz w:val="32"/>
          <w:szCs w:val="32"/>
          <w:lang w:eastAsia="zh-CN"/>
        </w:rPr>
      </w:pPr>
    </w:p>
    <w:p>
      <w:pPr>
        <w:pStyle w:val="2"/>
        <w:rPr>
          <w:rFonts w:hint="default" w:ascii="Times New Roman" w:hAnsi="Times New Roman" w:eastAsia="宋体" w:cs="Times New Roman"/>
          <w:b/>
          <w:bCs/>
          <w:sz w:val="32"/>
          <w:szCs w:val="32"/>
          <w:lang w:eastAsia="zh-CN"/>
        </w:rPr>
      </w:pPr>
    </w:p>
    <w:p>
      <w:pPr>
        <w:pStyle w:val="2"/>
        <w:rPr>
          <w:rFonts w:hint="default" w:ascii="Times New Roman" w:hAnsi="Times New Roman" w:eastAsia="宋体" w:cs="Times New Roman"/>
          <w:b/>
          <w:bCs/>
          <w:sz w:val="32"/>
          <w:szCs w:val="32"/>
          <w:lang w:eastAsia="zh-CN"/>
        </w:rPr>
      </w:pPr>
    </w:p>
    <w:p>
      <w:pPr>
        <w:pStyle w:val="2"/>
        <w:rPr>
          <w:rFonts w:hint="default" w:ascii="Times New Roman" w:hAnsi="Times New Roman" w:eastAsia="宋体" w:cs="Times New Roman"/>
          <w:b/>
          <w:bCs/>
          <w:sz w:val="32"/>
          <w:szCs w:val="32"/>
          <w:lang w:eastAsia="zh-CN"/>
        </w:rPr>
        <w:sectPr>
          <w:headerReference r:id="rId4" w:type="default"/>
          <w:footerReference r:id="rId5" w:type="default"/>
          <w:pgSz w:w="11910" w:h="16840"/>
          <w:pgMar w:top="1500" w:right="770" w:bottom="1040" w:left="1240" w:header="0" w:footer="551" w:gutter="0"/>
          <w:pgNumType w:fmt="decimal"/>
          <w:cols w:space="720" w:num="1"/>
          <w:docGrid w:type="lines" w:linePitch="312" w:charSpace="0"/>
        </w:sectPr>
      </w:pPr>
    </w:p>
    <w:p>
      <w:pPr>
        <w:pStyle w:val="2"/>
        <w:rPr>
          <w:rFonts w:hint="default" w:ascii="Times New Roman" w:hAnsi="Times New Roman" w:eastAsia="宋体" w:cs="Times New Roman"/>
          <w:b/>
          <w:bCs/>
          <w:sz w:val="32"/>
          <w:szCs w:val="32"/>
          <w:lang w:eastAsia="zh-CN"/>
        </w:rPr>
      </w:pPr>
    </w:p>
    <w:tbl>
      <w:tblPr>
        <w:tblStyle w:val="30"/>
        <w:tblW w:w="14600" w:type="dxa"/>
        <w:tblInd w:w="232" w:type="dxa"/>
        <w:tblLayout w:type="fixed"/>
        <w:tblCellMar>
          <w:top w:w="0" w:type="dxa"/>
          <w:left w:w="0" w:type="dxa"/>
          <w:bottom w:w="0" w:type="dxa"/>
          <w:right w:w="0" w:type="dxa"/>
        </w:tblCellMar>
      </w:tblPr>
      <w:tblGrid>
        <w:gridCol w:w="621"/>
        <w:gridCol w:w="1477"/>
        <w:gridCol w:w="1243"/>
        <w:gridCol w:w="2011"/>
        <w:gridCol w:w="3652"/>
        <w:gridCol w:w="1389"/>
        <w:gridCol w:w="582"/>
        <w:gridCol w:w="596"/>
        <w:gridCol w:w="992"/>
        <w:gridCol w:w="1029"/>
        <w:gridCol w:w="1008"/>
      </w:tblGrid>
      <w:tr>
        <w:tblPrEx>
          <w:tblLayout w:type="fixed"/>
          <w:tblCellMar>
            <w:top w:w="0" w:type="dxa"/>
            <w:left w:w="0" w:type="dxa"/>
            <w:bottom w:w="0" w:type="dxa"/>
            <w:right w:w="0" w:type="dxa"/>
          </w:tblCellMar>
        </w:tblPrEx>
        <w:trPr>
          <w:trHeight w:val="738" w:hRule="atLeast"/>
        </w:trPr>
        <w:tc>
          <w:tcPr>
            <w:tcW w:w="10393" w:type="dxa"/>
            <w:gridSpan w:val="6"/>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ind w:firstLine="422" w:firstLineChars="200"/>
              <w:jc w:val="both"/>
              <w:textAlignment w:val="center"/>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cs="Times New Roman"/>
                <w:b/>
                <w:i w:val="0"/>
                <w:color w:val="auto"/>
                <w:kern w:val="0"/>
                <w:sz w:val="21"/>
                <w:szCs w:val="21"/>
                <w:u w:val="none"/>
                <w:lang w:val="en-US" w:eastAsia="zh-CN" w:bidi="ar"/>
              </w:rPr>
              <w:t>合同</w:t>
            </w:r>
            <w:r>
              <w:rPr>
                <w:rFonts w:hint="default" w:ascii="Times New Roman" w:hAnsi="Times New Roman" w:eastAsia="宋体" w:cs="Times New Roman"/>
                <w:b/>
                <w:i w:val="0"/>
                <w:color w:val="auto"/>
                <w:kern w:val="0"/>
                <w:sz w:val="21"/>
                <w:szCs w:val="21"/>
                <w:u w:val="none"/>
                <w:lang w:val="en-US" w:eastAsia="zh-CN" w:bidi="ar"/>
              </w:rPr>
              <w:t xml:space="preserve">附件1 </w:t>
            </w:r>
            <w:r>
              <w:rPr>
                <w:rFonts w:hint="default" w:ascii="Times New Roman" w:hAnsi="Times New Roman" w:eastAsia="宋体" w:cs="Times New Roman"/>
                <w:b w:val="0"/>
                <w:bCs/>
                <w:i w:val="0"/>
                <w:color w:val="auto"/>
                <w:kern w:val="0"/>
                <w:sz w:val="21"/>
                <w:szCs w:val="21"/>
                <w:u w:val="none"/>
                <w:lang w:val="en-US" w:eastAsia="zh-CN" w:bidi="ar"/>
              </w:rPr>
              <w:t>（表1/1）</w:t>
            </w:r>
          </w:p>
        </w:tc>
        <w:tc>
          <w:tcPr>
            <w:tcW w:w="4207" w:type="dxa"/>
            <w:gridSpan w:val="5"/>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80" w:lineRule="exact"/>
              <w:ind w:firstLine="220" w:firstLineChars="100"/>
              <w:jc w:val="both"/>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合同编号：</w:t>
            </w:r>
          </w:p>
        </w:tc>
      </w:tr>
      <w:tr>
        <w:tblPrEx>
          <w:tblLayout w:type="fixed"/>
          <w:tblCellMar>
            <w:top w:w="0" w:type="dxa"/>
            <w:left w:w="0" w:type="dxa"/>
            <w:bottom w:w="0" w:type="dxa"/>
            <w:right w:w="0" w:type="dxa"/>
          </w:tblCellMar>
        </w:tblPrEx>
        <w:trPr>
          <w:trHeight w:val="738" w:hRule="atLeast"/>
        </w:trPr>
        <w:tc>
          <w:tcPr>
            <w:tcW w:w="6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0"/>
                <w:sz w:val="21"/>
                <w:szCs w:val="21"/>
                <w:u w:val="none"/>
                <w:lang w:val="en-US" w:eastAsia="zh-CN" w:bidi="ar"/>
              </w:rPr>
            </w:pPr>
            <w:r>
              <w:rPr>
                <w:rStyle w:val="74"/>
                <w:rFonts w:hint="default" w:ascii="Times New Roman" w:hAnsi="Times New Roman" w:eastAsia="宋体" w:cs="Times New Roman"/>
                <w:b w:val="0"/>
                <w:bCs w:val="0"/>
                <w:sz w:val="21"/>
                <w:szCs w:val="21"/>
                <w:lang w:val="en-US" w:eastAsia="zh-CN" w:bidi="ar"/>
              </w:rPr>
              <w:t>序号</w:t>
            </w:r>
          </w:p>
        </w:tc>
        <w:tc>
          <w:tcPr>
            <w:tcW w:w="147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0"/>
                <w:sz w:val="21"/>
                <w:szCs w:val="21"/>
                <w:u w:val="none"/>
                <w:lang w:val="en-US" w:eastAsia="zh-CN" w:bidi="ar"/>
              </w:rPr>
            </w:pPr>
            <w:r>
              <w:rPr>
                <w:rStyle w:val="74"/>
                <w:rFonts w:hint="default" w:ascii="Times New Roman" w:hAnsi="Times New Roman" w:eastAsia="宋体" w:cs="Times New Roman"/>
                <w:b w:val="0"/>
                <w:bCs w:val="0"/>
                <w:sz w:val="21"/>
                <w:szCs w:val="21"/>
                <w:lang w:val="en-US" w:eastAsia="zh-CN" w:bidi="ar"/>
              </w:rPr>
              <w:t>请购单号</w:t>
            </w:r>
          </w:p>
        </w:tc>
        <w:tc>
          <w:tcPr>
            <w:tcW w:w="12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0"/>
                <w:sz w:val="21"/>
                <w:szCs w:val="21"/>
                <w:u w:val="none"/>
                <w:lang w:val="en-US" w:eastAsia="zh-CN" w:bidi="ar"/>
              </w:rPr>
            </w:pPr>
            <w:r>
              <w:rPr>
                <w:rStyle w:val="74"/>
                <w:rFonts w:hint="default" w:ascii="Times New Roman" w:hAnsi="Times New Roman" w:eastAsia="宋体" w:cs="Times New Roman"/>
                <w:b w:val="0"/>
                <w:bCs w:val="0"/>
                <w:sz w:val="21"/>
                <w:szCs w:val="21"/>
                <w:lang w:val="en-US" w:eastAsia="zh-CN" w:bidi="ar"/>
              </w:rPr>
              <w:t>存货编码</w:t>
            </w:r>
          </w:p>
        </w:tc>
        <w:tc>
          <w:tcPr>
            <w:tcW w:w="201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0"/>
                <w:sz w:val="21"/>
                <w:szCs w:val="21"/>
                <w:u w:val="none"/>
                <w:lang w:val="en-US" w:eastAsia="zh-CN" w:bidi="ar"/>
              </w:rPr>
            </w:pPr>
            <w:r>
              <w:rPr>
                <w:rStyle w:val="74"/>
                <w:rFonts w:hint="default" w:ascii="Times New Roman" w:hAnsi="Times New Roman" w:eastAsia="宋体" w:cs="Times New Roman"/>
                <w:b w:val="0"/>
                <w:bCs w:val="0"/>
                <w:sz w:val="21"/>
                <w:szCs w:val="21"/>
                <w:lang w:val="en-US" w:eastAsia="zh-CN" w:bidi="ar"/>
              </w:rPr>
              <w:t>存货名称</w:t>
            </w:r>
          </w:p>
        </w:tc>
        <w:tc>
          <w:tcPr>
            <w:tcW w:w="36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Style w:val="74"/>
                <w:rFonts w:hint="default" w:ascii="Times New Roman" w:hAnsi="Times New Roman" w:eastAsia="宋体" w:cs="Times New Roman"/>
                <w:b w:val="0"/>
                <w:bCs w:val="0"/>
                <w:sz w:val="21"/>
                <w:szCs w:val="21"/>
                <w:lang w:val="en-US" w:eastAsia="zh-CN" w:bidi="ar"/>
              </w:rPr>
            </w:pPr>
            <w:r>
              <w:rPr>
                <w:rStyle w:val="74"/>
                <w:rFonts w:hint="default" w:ascii="Times New Roman" w:hAnsi="Times New Roman" w:eastAsia="宋体" w:cs="Times New Roman"/>
                <w:b w:val="0"/>
                <w:bCs w:val="0"/>
                <w:sz w:val="21"/>
                <w:szCs w:val="21"/>
                <w:lang w:val="en-US" w:eastAsia="zh-CN" w:bidi="ar"/>
              </w:rPr>
              <w:t>规格</w:t>
            </w:r>
          </w:p>
        </w:tc>
        <w:tc>
          <w:tcPr>
            <w:tcW w:w="13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Style w:val="74"/>
                <w:rFonts w:hint="default" w:ascii="Times New Roman" w:hAnsi="Times New Roman" w:eastAsia="宋体" w:cs="Times New Roman"/>
                <w:b w:val="0"/>
                <w:bCs w:val="0"/>
                <w:sz w:val="21"/>
                <w:szCs w:val="21"/>
                <w:lang w:val="en-US" w:eastAsia="zh-CN" w:bidi="ar"/>
              </w:rPr>
            </w:pPr>
            <w:r>
              <w:rPr>
                <w:rStyle w:val="74"/>
                <w:rFonts w:hint="default" w:ascii="Times New Roman" w:hAnsi="Times New Roman" w:eastAsia="宋体" w:cs="Times New Roman"/>
                <w:b w:val="0"/>
                <w:bCs w:val="0"/>
                <w:sz w:val="21"/>
                <w:szCs w:val="21"/>
                <w:lang w:val="en-US" w:eastAsia="zh-CN" w:bidi="ar"/>
              </w:rPr>
              <w:t>型号</w:t>
            </w:r>
          </w:p>
        </w:tc>
        <w:tc>
          <w:tcPr>
            <w:tcW w:w="5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0"/>
                <w:sz w:val="21"/>
                <w:szCs w:val="21"/>
                <w:u w:val="none"/>
                <w:lang w:val="en-US" w:eastAsia="zh-CN" w:bidi="ar"/>
              </w:rPr>
            </w:pPr>
            <w:r>
              <w:rPr>
                <w:rFonts w:hint="default" w:ascii="Times New Roman" w:hAnsi="Times New Roman" w:eastAsia="宋体" w:cs="Times New Roman"/>
                <w:b w:val="0"/>
                <w:bCs w:val="0"/>
                <w:i w:val="0"/>
                <w:color w:val="auto"/>
                <w:kern w:val="0"/>
                <w:sz w:val="21"/>
                <w:szCs w:val="21"/>
                <w:u w:val="none"/>
                <w:lang w:val="en-US" w:eastAsia="zh-CN" w:bidi="ar"/>
              </w:rPr>
              <w:t>单位</w:t>
            </w:r>
          </w:p>
        </w:tc>
        <w:tc>
          <w:tcPr>
            <w:tcW w:w="5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0"/>
                <w:sz w:val="21"/>
                <w:szCs w:val="21"/>
                <w:u w:val="none"/>
                <w:lang w:val="en-US" w:eastAsia="zh-CN" w:bidi="ar"/>
              </w:rPr>
            </w:pPr>
            <w:r>
              <w:rPr>
                <w:rStyle w:val="74"/>
                <w:rFonts w:hint="default" w:ascii="Times New Roman" w:hAnsi="Times New Roman" w:eastAsia="宋体" w:cs="Times New Roman"/>
                <w:b w:val="0"/>
                <w:bCs w:val="0"/>
                <w:sz w:val="21"/>
                <w:szCs w:val="21"/>
                <w:lang w:val="en-US" w:eastAsia="zh-CN" w:bidi="ar"/>
              </w:rPr>
              <w:t>数量</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0"/>
                <w:sz w:val="21"/>
                <w:szCs w:val="21"/>
                <w:u w:val="none"/>
                <w:lang w:val="en-US" w:eastAsia="zh-CN" w:bidi="ar"/>
              </w:rPr>
            </w:pPr>
            <w:r>
              <w:rPr>
                <w:rFonts w:hint="default" w:ascii="Times New Roman" w:hAnsi="Times New Roman" w:eastAsia="宋体" w:cs="Times New Roman"/>
                <w:b w:val="0"/>
                <w:bCs w:val="0"/>
                <w:i w:val="0"/>
                <w:color w:val="auto"/>
                <w:kern w:val="0"/>
                <w:sz w:val="21"/>
                <w:szCs w:val="21"/>
                <w:u w:val="none"/>
                <w:lang w:val="en-US" w:eastAsia="zh-CN" w:bidi="ar"/>
              </w:rPr>
              <w:t>含税单价</w:t>
            </w:r>
          </w:p>
        </w:tc>
        <w:tc>
          <w:tcPr>
            <w:tcW w:w="102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0"/>
                <w:sz w:val="21"/>
                <w:szCs w:val="21"/>
                <w:u w:val="none"/>
                <w:lang w:val="en-US" w:eastAsia="zh-CN" w:bidi="ar"/>
              </w:rPr>
            </w:pPr>
            <w:r>
              <w:rPr>
                <w:rFonts w:hint="default" w:ascii="Times New Roman" w:hAnsi="Times New Roman" w:eastAsia="宋体" w:cs="Times New Roman"/>
                <w:b w:val="0"/>
                <w:bCs w:val="0"/>
                <w:i w:val="0"/>
                <w:color w:val="auto"/>
                <w:kern w:val="0"/>
                <w:sz w:val="21"/>
                <w:szCs w:val="21"/>
                <w:u w:val="none"/>
                <w:lang w:val="en-US" w:eastAsia="zh-CN" w:bidi="ar"/>
              </w:rPr>
              <w:t>含税总价</w:t>
            </w:r>
          </w:p>
        </w:tc>
        <w:tc>
          <w:tcPr>
            <w:tcW w:w="10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0"/>
                <w:sz w:val="21"/>
                <w:szCs w:val="21"/>
                <w:u w:val="none"/>
                <w:lang w:val="en-US" w:eastAsia="zh-CN" w:bidi="ar"/>
              </w:rPr>
            </w:pPr>
            <w:r>
              <w:rPr>
                <w:rFonts w:hint="default" w:ascii="Times New Roman" w:hAnsi="Times New Roman" w:eastAsia="宋体" w:cs="Times New Roman"/>
                <w:b w:val="0"/>
                <w:bCs w:val="0"/>
                <w:i w:val="0"/>
                <w:color w:val="000000"/>
                <w:kern w:val="0"/>
                <w:sz w:val="21"/>
                <w:szCs w:val="21"/>
                <w:u w:val="none"/>
                <w:lang w:val="en-US" w:eastAsia="zh-CN" w:bidi="ar"/>
              </w:rPr>
              <w:t>备注</w:t>
            </w:r>
          </w:p>
        </w:tc>
      </w:tr>
      <w:tr>
        <w:tblPrEx>
          <w:tblLayout w:type="fixed"/>
          <w:tblCellMar>
            <w:top w:w="0" w:type="dxa"/>
            <w:left w:w="0" w:type="dxa"/>
            <w:bottom w:w="0" w:type="dxa"/>
            <w:right w:w="0" w:type="dxa"/>
          </w:tblCellMar>
        </w:tblPrEx>
        <w:trPr>
          <w:trHeight w:val="774" w:hRule="atLeast"/>
        </w:trPr>
        <w:tc>
          <w:tcPr>
            <w:tcW w:w="6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1</w:t>
            </w:r>
          </w:p>
        </w:tc>
        <w:tc>
          <w:tcPr>
            <w:tcW w:w="147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QG2206090045</w:t>
            </w:r>
          </w:p>
        </w:tc>
        <w:tc>
          <w:tcPr>
            <w:tcW w:w="12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3009220025</w:t>
            </w:r>
          </w:p>
        </w:tc>
        <w:tc>
          <w:tcPr>
            <w:tcW w:w="201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阻爆燃型管道阻火器</w:t>
            </w:r>
          </w:p>
        </w:tc>
        <w:tc>
          <w:tcPr>
            <w:tcW w:w="36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CS.RF.2".150LB.温度＜300℃.</w:t>
            </w:r>
          </w:p>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介质：氢气，按GB13347-92标准执行</w:t>
            </w:r>
          </w:p>
        </w:tc>
        <w:tc>
          <w:tcPr>
            <w:tcW w:w="13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GZW-1，DN50</w:t>
            </w:r>
          </w:p>
        </w:tc>
        <w:tc>
          <w:tcPr>
            <w:tcW w:w="5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台</w:t>
            </w:r>
          </w:p>
        </w:tc>
        <w:tc>
          <w:tcPr>
            <w:tcW w:w="5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2</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p>
        </w:tc>
        <w:tc>
          <w:tcPr>
            <w:tcW w:w="102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p>
        </w:tc>
        <w:tc>
          <w:tcPr>
            <w:tcW w:w="10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000000"/>
                <w:kern w:val="0"/>
                <w:sz w:val="21"/>
                <w:szCs w:val="21"/>
                <w:u w:val="none"/>
                <w:lang w:val="en-US" w:eastAsia="zh-CN" w:bidi="ar"/>
              </w:rPr>
            </w:pPr>
          </w:p>
        </w:tc>
      </w:tr>
      <w:tr>
        <w:tblPrEx>
          <w:tblLayout w:type="fixed"/>
          <w:tblCellMar>
            <w:top w:w="0" w:type="dxa"/>
            <w:left w:w="0" w:type="dxa"/>
            <w:bottom w:w="0" w:type="dxa"/>
            <w:right w:w="0" w:type="dxa"/>
          </w:tblCellMar>
        </w:tblPrEx>
        <w:trPr>
          <w:trHeight w:val="715" w:hRule="atLeast"/>
        </w:trPr>
        <w:tc>
          <w:tcPr>
            <w:tcW w:w="6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2</w:t>
            </w:r>
          </w:p>
        </w:tc>
        <w:tc>
          <w:tcPr>
            <w:tcW w:w="147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QG2206090046</w:t>
            </w:r>
          </w:p>
        </w:tc>
        <w:tc>
          <w:tcPr>
            <w:tcW w:w="12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3009220026</w:t>
            </w:r>
          </w:p>
        </w:tc>
        <w:tc>
          <w:tcPr>
            <w:tcW w:w="201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阻爆燃型管道阻火器</w:t>
            </w:r>
          </w:p>
        </w:tc>
        <w:tc>
          <w:tcPr>
            <w:tcW w:w="36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CS.RF.DN80CL150.温度＜100℃.</w:t>
            </w:r>
          </w:p>
          <w:p>
            <w:pPr>
              <w:keepNext w:val="0"/>
              <w:keepLines w:val="0"/>
              <w:widowControl/>
              <w:suppressLineNumbers w:val="0"/>
              <w:jc w:val="center"/>
              <w:textAlignment w:val="center"/>
              <w:rPr>
                <w:rStyle w:val="75"/>
                <w:rFonts w:hint="default" w:ascii="Times New Roman" w:hAnsi="Times New Roman" w:eastAsia="宋体" w:cs="Times New Roman"/>
                <w:lang w:val="en-US" w:eastAsia="zh-CN" w:bidi="ar"/>
              </w:rPr>
            </w:pPr>
            <w:r>
              <w:rPr>
                <w:rFonts w:hint="default" w:ascii="Times New Roman" w:hAnsi="Times New Roman" w:eastAsia="宋体" w:cs="Times New Roman"/>
                <w:i w:val="0"/>
                <w:color w:val="000000"/>
                <w:kern w:val="0"/>
                <w:sz w:val="20"/>
                <w:szCs w:val="20"/>
                <w:u w:val="none"/>
                <w:lang w:val="en-US" w:eastAsia="zh-CN" w:bidi="ar"/>
              </w:rPr>
              <w:t>介质：燃料气，按GB13347-93标准执行</w:t>
            </w:r>
          </w:p>
        </w:tc>
        <w:tc>
          <w:tcPr>
            <w:tcW w:w="13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Style w:val="75"/>
                <w:rFonts w:hint="default" w:ascii="Times New Roman" w:hAnsi="Times New Roman" w:eastAsia="宋体" w:cs="Times New Roman"/>
                <w:lang w:val="en-US" w:eastAsia="zh-CN" w:bidi="ar"/>
              </w:rPr>
            </w:pPr>
            <w:r>
              <w:rPr>
                <w:rFonts w:hint="default" w:ascii="Times New Roman" w:hAnsi="Times New Roman" w:eastAsia="宋体" w:cs="Times New Roman"/>
                <w:i w:val="0"/>
                <w:color w:val="000000"/>
                <w:kern w:val="0"/>
                <w:sz w:val="20"/>
                <w:szCs w:val="20"/>
                <w:u w:val="none"/>
                <w:lang w:val="en-US" w:eastAsia="zh-CN" w:bidi="ar"/>
              </w:rPr>
              <w:t>DN80CL150</w:t>
            </w:r>
          </w:p>
        </w:tc>
        <w:tc>
          <w:tcPr>
            <w:tcW w:w="5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台</w:t>
            </w:r>
          </w:p>
        </w:tc>
        <w:tc>
          <w:tcPr>
            <w:tcW w:w="5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1</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p>
        </w:tc>
        <w:tc>
          <w:tcPr>
            <w:tcW w:w="102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p>
        </w:tc>
        <w:tc>
          <w:tcPr>
            <w:tcW w:w="10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715" w:hRule="atLeast"/>
        </w:trPr>
        <w:tc>
          <w:tcPr>
            <w:tcW w:w="6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3</w:t>
            </w:r>
          </w:p>
        </w:tc>
        <w:tc>
          <w:tcPr>
            <w:tcW w:w="147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QG2206090047</w:t>
            </w:r>
          </w:p>
        </w:tc>
        <w:tc>
          <w:tcPr>
            <w:tcW w:w="12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3009220029</w:t>
            </w:r>
          </w:p>
        </w:tc>
        <w:tc>
          <w:tcPr>
            <w:tcW w:w="201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阻爆燃型管道阻火器</w:t>
            </w:r>
          </w:p>
        </w:tc>
        <w:tc>
          <w:tcPr>
            <w:tcW w:w="36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CS.RF.DN40CL150.温度＜100℃.</w:t>
            </w:r>
          </w:p>
          <w:p>
            <w:pPr>
              <w:keepNext w:val="0"/>
              <w:keepLines w:val="0"/>
              <w:widowControl/>
              <w:suppressLineNumbers w:val="0"/>
              <w:jc w:val="center"/>
              <w:textAlignment w:val="center"/>
              <w:rPr>
                <w:rStyle w:val="75"/>
                <w:rFonts w:hint="default" w:ascii="Times New Roman" w:hAnsi="Times New Roman" w:eastAsia="宋体" w:cs="Times New Roman"/>
                <w:lang w:val="en-US" w:eastAsia="zh-CN" w:bidi="ar"/>
              </w:rPr>
            </w:pPr>
            <w:r>
              <w:rPr>
                <w:rFonts w:hint="default" w:ascii="Times New Roman" w:hAnsi="Times New Roman" w:eastAsia="宋体" w:cs="Times New Roman"/>
                <w:i w:val="0"/>
                <w:color w:val="000000"/>
                <w:kern w:val="0"/>
                <w:sz w:val="20"/>
                <w:szCs w:val="20"/>
                <w:u w:val="none"/>
                <w:lang w:val="en-US" w:eastAsia="zh-CN" w:bidi="ar"/>
              </w:rPr>
              <w:t>介质：燃料气，按GB13347-93标准执行</w:t>
            </w:r>
          </w:p>
        </w:tc>
        <w:tc>
          <w:tcPr>
            <w:tcW w:w="13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Style w:val="75"/>
                <w:rFonts w:hint="default" w:ascii="Times New Roman" w:hAnsi="Times New Roman" w:eastAsia="宋体" w:cs="Times New Roman"/>
                <w:lang w:val="en-US" w:eastAsia="zh-CN" w:bidi="ar"/>
              </w:rPr>
            </w:pPr>
            <w:r>
              <w:rPr>
                <w:rFonts w:hint="default" w:ascii="Times New Roman" w:hAnsi="Times New Roman" w:eastAsia="宋体" w:cs="Times New Roman"/>
                <w:i w:val="0"/>
                <w:color w:val="000000"/>
                <w:kern w:val="0"/>
                <w:sz w:val="20"/>
                <w:szCs w:val="20"/>
                <w:u w:val="none"/>
                <w:lang w:val="en-US" w:eastAsia="zh-CN" w:bidi="ar"/>
              </w:rPr>
              <w:t>DN40CL150</w:t>
            </w:r>
          </w:p>
        </w:tc>
        <w:tc>
          <w:tcPr>
            <w:tcW w:w="5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台</w:t>
            </w:r>
          </w:p>
        </w:tc>
        <w:tc>
          <w:tcPr>
            <w:tcW w:w="5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13</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p>
        </w:tc>
        <w:tc>
          <w:tcPr>
            <w:tcW w:w="102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p>
        </w:tc>
        <w:tc>
          <w:tcPr>
            <w:tcW w:w="10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715" w:hRule="atLeast"/>
        </w:trPr>
        <w:tc>
          <w:tcPr>
            <w:tcW w:w="6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4</w:t>
            </w:r>
          </w:p>
        </w:tc>
        <w:tc>
          <w:tcPr>
            <w:tcW w:w="147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QG2206090048</w:t>
            </w:r>
          </w:p>
        </w:tc>
        <w:tc>
          <w:tcPr>
            <w:tcW w:w="12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3009220027</w:t>
            </w:r>
          </w:p>
        </w:tc>
        <w:tc>
          <w:tcPr>
            <w:tcW w:w="201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阻爆燃型管道阻火器</w:t>
            </w:r>
          </w:p>
        </w:tc>
        <w:tc>
          <w:tcPr>
            <w:tcW w:w="36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CS.RF.DN150CL150.温度＜100℃.</w:t>
            </w:r>
          </w:p>
          <w:p>
            <w:pPr>
              <w:keepNext w:val="0"/>
              <w:keepLines w:val="0"/>
              <w:widowControl/>
              <w:suppressLineNumbers w:val="0"/>
              <w:jc w:val="center"/>
              <w:textAlignment w:val="center"/>
              <w:rPr>
                <w:rStyle w:val="75"/>
                <w:rFonts w:hint="default" w:ascii="Times New Roman" w:hAnsi="Times New Roman" w:eastAsia="宋体" w:cs="Times New Roman"/>
                <w:lang w:val="en-US" w:eastAsia="zh-CN" w:bidi="ar"/>
              </w:rPr>
            </w:pPr>
            <w:r>
              <w:rPr>
                <w:rFonts w:hint="default" w:ascii="Times New Roman" w:hAnsi="Times New Roman" w:eastAsia="宋体" w:cs="Times New Roman"/>
                <w:i w:val="0"/>
                <w:color w:val="000000"/>
                <w:kern w:val="0"/>
                <w:sz w:val="20"/>
                <w:szCs w:val="20"/>
                <w:u w:val="none"/>
                <w:lang w:val="en-US" w:eastAsia="zh-CN" w:bidi="ar"/>
              </w:rPr>
              <w:t>介质：燃料气，按GB13347-93标准执行</w:t>
            </w:r>
          </w:p>
        </w:tc>
        <w:tc>
          <w:tcPr>
            <w:tcW w:w="13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Style w:val="75"/>
                <w:rFonts w:hint="default" w:ascii="Times New Roman" w:hAnsi="Times New Roman" w:eastAsia="宋体" w:cs="Times New Roman"/>
                <w:lang w:val="en-US" w:eastAsia="zh-CN" w:bidi="ar"/>
              </w:rPr>
            </w:pPr>
            <w:r>
              <w:rPr>
                <w:rFonts w:hint="default" w:ascii="Times New Roman" w:hAnsi="Times New Roman" w:eastAsia="宋体" w:cs="Times New Roman"/>
                <w:i w:val="0"/>
                <w:color w:val="000000"/>
                <w:kern w:val="0"/>
                <w:sz w:val="20"/>
                <w:szCs w:val="20"/>
                <w:u w:val="none"/>
                <w:lang w:val="en-US" w:eastAsia="zh-CN" w:bidi="ar"/>
              </w:rPr>
              <w:t>DN150CL150</w:t>
            </w:r>
          </w:p>
        </w:tc>
        <w:tc>
          <w:tcPr>
            <w:tcW w:w="5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台</w:t>
            </w:r>
          </w:p>
        </w:tc>
        <w:tc>
          <w:tcPr>
            <w:tcW w:w="5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6</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p>
        </w:tc>
        <w:tc>
          <w:tcPr>
            <w:tcW w:w="102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p>
        </w:tc>
        <w:tc>
          <w:tcPr>
            <w:tcW w:w="10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715" w:hRule="atLeast"/>
        </w:trPr>
        <w:tc>
          <w:tcPr>
            <w:tcW w:w="6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5</w:t>
            </w:r>
          </w:p>
        </w:tc>
        <w:tc>
          <w:tcPr>
            <w:tcW w:w="147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QG2206090049</w:t>
            </w:r>
          </w:p>
        </w:tc>
        <w:tc>
          <w:tcPr>
            <w:tcW w:w="12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3009220030</w:t>
            </w:r>
          </w:p>
        </w:tc>
        <w:tc>
          <w:tcPr>
            <w:tcW w:w="201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阻爆燃型管道阻火器</w:t>
            </w:r>
          </w:p>
        </w:tc>
        <w:tc>
          <w:tcPr>
            <w:tcW w:w="36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CS.RF.DN100CL150.温度＜100℃.</w:t>
            </w:r>
          </w:p>
          <w:p>
            <w:pPr>
              <w:keepNext w:val="0"/>
              <w:keepLines w:val="0"/>
              <w:widowControl/>
              <w:suppressLineNumbers w:val="0"/>
              <w:jc w:val="center"/>
              <w:textAlignment w:val="center"/>
              <w:rPr>
                <w:rStyle w:val="75"/>
                <w:rFonts w:hint="default" w:ascii="Times New Roman" w:hAnsi="Times New Roman" w:eastAsia="宋体" w:cs="Times New Roman"/>
                <w:lang w:val="en-US" w:eastAsia="zh-CN" w:bidi="ar"/>
              </w:rPr>
            </w:pPr>
            <w:r>
              <w:rPr>
                <w:rFonts w:hint="default" w:ascii="Times New Roman" w:hAnsi="Times New Roman" w:eastAsia="宋体" w:cs="Times New Roman"/>
                <w:i w:val="0"/>
                <w:color w:val="000000"/>
                <w:kern w:val="0"/>
                <w:sz w:val="20"/>
                <w:szCs w:val="20"/>
                <w:u w:val="none"/>
                <w:lang w:val="en-US" w:eastAsia="zh-CN" w:bidi="ar"/>
              </w:rPr>
              <w:t>介质：燃料气，按GB13347-93标准执行</w:t>
            </w:r>
          </w:p>
        </w:tc>
        <w:tc>
          <w:tcPr>
            <w:tcW w:w="13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Style w:val="75"/>
                <w:rFonts w:hint="default" w:ascii="Times New Roman" w:hAnsi="Times New Roman" w:eastAsia="宋体" w:cs="Times New Roman"/>
                <w:lang w:val="en-US" w:eastAsia="zh-CN" w:bidi="ar"/>
              </w:rPr>
            </w:pPr>
            <w:r>
              <w:rPr>
                <w:rFonts w:hint="default" w:ascii="Times New Roman" w:hAnsi="Times New Roman" w:eastAsia="宋体" w:cs="Times New Roman"/>
                <w:i w:val="0"/>
                <w:color w:val="000000"/>
                <w:kern w:val="0"/>
                <w:sz w:val="20"/>
                <w:szCs w:val="20"/>
                <w:u w:val="none"/>
                <w:lang w:val="en-US" w:eastAsia="zh-CN" w:bidi="ar"/>
              </w:rPr>
              <w:t>DN100CL150</w:t>
            </w:r>
          </w:p>
        </w:tc>
        <w:tc>
          <w:tcPr>
            <w:tcW w:w="5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台</w:t>
            </w:r>
          </w:p>
        </w:tc>
        <w:tc>
          <w:tcPr>
            <w:tcW w:w="5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2</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p>
        </w:tc>
        <w:tc>
          <w:tcPr>
            <w:tcW w:w="102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p>
        </w:tc>
        <w:tc>
          <w:tcPr>
            <w:tcW w:w="10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715" w:hRule="atLeast"/>
        </w:trPr>
        <w:tc>
          <w:tcPr>
            <w:tcW w:w="6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6</w:t>
            </w:r>
          </w:p>
        </w:tc>
        <w:tc>
          <w:tcPr>
            <w:tcW w:w="147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QG2206090050</w:t>
            </w:r>
          </w:p>
        </w:tc>
        <w:tc>
          <w:tcPr>
            <w:tcW w:w="12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3009220028</w:t>
            </w:r>
          </w:p>
        </w:tc>
        <w:tc>
          <w:tcPr>
            <w:tcW w:w="201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阻爆燃型管道阻火器</w:t>
            </w:r>
          </w:p>
        </w:tc>
        <w:tc>
          <w:tcPr>
            <w:tcW w:w="36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CS.RF.DN200CL150.温度＜100℃.</w:t>
            </w:r>
          </w:p>
          <w:p>
            <w:pPr>
              <w:keepNext w:val="0"/>
              <w:keepLines w:val="0"/>
              <w:widowControl/>
              <w:suppressLineNumbers w:val="0"/>
              <w:jc w:val="center"/>
              <w:textAlignment w:val="center"/>
              <w:rPr>
                <w:rStyle w:val="75"/>
                <w:rFonts w:hint="default" w:ascii="Times New Roman" w:hAnsi="Times New Roman" w:eastAsia="宋体" w:cs="Times New Roman"/>
                <w:lang w:val="en-US" w:eastAsia="zh-CN" w:bidi="ar"/>
              </w:rPr>
            </w:pPr>
            <w:r>
              <w:rPr>
                <w:rFonts w:hint="default" w:ascii="Times New Roman" w:hAnsi="Times New Roman" w:eastAsia="宋体" w:cs="Times New Roman"/>
                <w:i w:val="0"/>
                <w:color w:val="000000"/>
                <w:kern w:val="0"/>
                <w:sz w:val="20"/>
                <w:szCs w:val="20"/>
                <w:u w:val="none"/>
                <w:lang w:val="en-US" w:eastAsia="zh-CN" w:bidi="ar"/>
              </w:rPr>
              <w:t>介质：燃料气，按GB13347-93标准执行</w:t>
            </w:r>
          </w:p>
        </w:tc>
        <w:tc>
          <w:tcPr>
            <w:tcW w:w="13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Style w:val="75"/>
                <w:rFonts w:hint="default" w:ascii="Times New Roman" w:hAnsi="Times New Roman" w:eastAsia="宋体" w:cs="Times New Roman"/>
                <w:lang w:val="en-US" w:eastAsia="zh-CN" w:bidi="ar"/>
              </w:rPr>
            </w:pPr>
            <w:r>
              <w:rPr>
                <w:rFonts w:hint="default" w:ascii="Times New Roman" w:hAnsi="Times New Roman" w:eastAsia="宋体" w:cs="Times New Roman"/>
                <w:i w:val="0"/>
                <w:color w:val="000000"/>
                <w:kern w:val="0"/>
                <w:sz w:val="20"/>
                <w:szCs w:val="20"/>
                <w:u w:val="none"/>
                <w:lang w:val="en-US" w:eastAsia="zh-CN" w:bidi="ar"/>
              </w:rPr>
              <w:t>DN200CL150</w:t>
            </w:r>
          </w:p>
        </w:tc>
        <w:tc>
          <w:tcPr>
            <w:tcW w:w="5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台</w:t>
            </w:r>
          </w:p>
        </w:tc>
        <w:tc>
          <w:tcPr>
            <w:tcW w:w="5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4</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p>
        </w:tc>
        <w:tc>
          <w:tcPr>
            <w:tcW w:w="102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p>
        </w:tc>
        <w:tc>
          <w:tcPr>
            <w:tcW w:w="10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732" w:hRule="atLeast"/>
        </w:trPr>
        <w:tc>
          <w:tcPr>
            <w:tcW w:w="14600" w:type="dxa"/>
            <w:gridSpan w:val="11"/>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Style w:val="76"/>
                <w:rFonts w:hint="default" w:ascii="Times New Roman" w:hAnsi="Times New Roman" w:eastAsia="宋体" w:cs="Times New Roman"/>
                <w:b w:val="0"/>
                <w:bCs/>
                <w:sz w:val="21"/>
                <w:szCs w:val="21"/>
                <w:lang w:val="en-US" w:eastAsia="zh-CN" w:bidi="ar"/>
              </w:rPr>
            </w:pPr>
            <w:r>
              <w:rPr>
                <w:rStyle w:val="76"/>
                <w:rFonts w:hint="default" w:ascii="Times New Roman" w:hAnsi="Times New Roman" w:eastAsia="宋体" w:cs="Times New Roman"/>
                <w:b/>
                <w:bCs w:val="0"/>
                <w:sz w:val="21"/>
                <w:szCs w:val="21"/>
                <w:lang w:val="en-US" w:eastAsia="zh-CN" w:bidi="ar"/>
              </w:rPr>
              <w:t>交货地点：</w:t>
            </w:r>
            <w:r>
              <w:rPr>
                <w:rStyle w:val="76"/>
                <w:rFonts w:hint="default" w:ascii="Times New Roman" w:hAnsi="Times New Roman" w:eastAsia="宋体" w:cs="Times New Roman"/>
                <w:b w:val="0"/>
                <w:bCs/>
                <w:sz w:val="21"/>
                <w:szCs w:val="21"/>
                <w:lang w:val="en-US" w:eastAsia="zh-CN" w:bidi="ar"/>
              </w:rPr>
              <w:t xml:space="preserve">福建省漳州市漳浦县古雷开发区腾龙路（福海创石油化工有限公司 </w:t>
            </w:r>
            <w:r>
              <w:rPr>
                <w:rStyle w:val="76"/>
                <w:rFonts w:hint="eastAsia" w:ascii="Times New Roman" w:hAnsi="Times New Roman" w:cs="Times New Roman"/>
                <w:b w:val="0"/>
                <w:bCs/>
                <w:sz w:val="21"/>
                <w:szCs w:val="21"/>
                <w:lang w:val="en-US" w:eastAsia="zh-CN" w:bidi="ar"/>
              </w:rPr>
              <w:t>腾龙芳烃</w:t>
            </w:r>
            <w:r>
              <w:rPr>
                <w:rStyle w:val="76"/>
                <w:rFonts w:hint="default" w:ascii="Times New Roman" w:hAnsi="Times New Roman" w:eastAsia="宋体" w:cs="Times New Roman"/>
                <w:b w:val="0"/>
                <w:bCs/>
                <w:sz w:val="21"/>
                <w:szCs w:val="21"/>
                <w:lang w:val="en-US" w:eastAsia="zh-CN" w:bidi="ar"/>
              </w:rPr>
              <w:t>工厂）</w:t>
            </w:r>
          </w:p>
          <w:p>
            <w:pPr>
              <w:jc w:val="center"/>
              <w:rPr>
                <w:rStyle w:val="77"/>
                <w:rFonts w:hint="default" w:ascii="Times New Roman" w:hAnsi="Times New Roman" w:eastAsia="宋体" w:cs="Times New Roman"/>
                <w:b w:val="0"/>
                <w:bCs w:val="0"/>
                <w:sz w:val="21"/>
                <w:szCs w:val="21"/>
                <w:lang w:val="en-US" w:eastAsia="zh-CN" w:bidi="ar"/>
              </w:rPr>
            </w:pPr>
            <w:r>
              <w:rPr>
                <w:rFonts w:hint="default" w:ascii="Times New Roman" w:hAnsi="Times New Roman" w:eastAsia="宋体" w:cs="Times New Roman"/>
                <w:b/>
                <w:bCs/>
                <w:color w:val="auto"/>
                <w:kern w:val="0"/>
                <w:sz w:val="21"/>
                <w:szCs w:val="21"/>
                <w:lang w:bidi="ar"/>
              </w:rPr>
              <w:t>收货</w:t>
            </w:r>
            <w:r>
              <w:rPr>
                <w:rFonts w:hint="default" w:ascii="Times New Roman" w:hAnsi="Times New Roman" w:eastAsia="宋体" w:cs="Times New Roman"/>
                <w:b/>
                <w:bCs/>
                <w:color w:val="auto"/>
                <w:kern w:val="0"/>
                <w:sz w:val="21"/>
                <w:szCs w:val="21"/>
                <w:lang w:val="en-US" w:eastAsia="zh-CN" w:bidi="ar"/>
              </w:rPr>
              <w:t>联系人</w:t>
            </w:r>
            <w:r>
              <w:rPr>
                <w:rFonts w:hint="default" w:ascii="Times New Roman" w:hAnsi="Times New Roman" w:eastAsia="宋体" w:cs="Times New Roman"/>
                <w:b/>
                <w:bCs/>
                <w:color w:val="auto"/>
                <w:kern w:val="0"/>
                <w:sz w:val="21"/>
                <w:szCs w:val="21"/>
                <w:lang w:bidi="ar"/>
              </w:rPr>
              <w:t>：</w:t>
            </w:r>
            <w:r>
              <w:rPr>
                <w:rFonts w:hint="default" w:ascii="Times New Roman" w:hAnsi="Times New Roman" w:eastAsia="宋体" w:cs="Times New Roman"/>
                <w:b/>
                <w:bCs/>
                <w:color w:val="auto"/>
                <w:kern w:val="0"/>
                <w:sz w:val="21"/>
                <w:szCs w:val="21"/>
                <w:lang w:val="en-US" w:eastAsia="zh-CN" w:bidi="ar"/>
              </w:rPr>
              <w:t>赵靖辉</w:t>
            </w:r>
            <w:r>
              <w:rPr>
                <w:rFonts w:hint="default" w:ascii="Times New Roman" w:hAnsi="Times New Roman" w:eastAsia="宋体" w:cs="Times New Roman"/>
                <w:sz w:val="24"/>
                <w:szCs w:val="24"/>
              </w:rPr>
              <w:t>13235969578,0596-6311364</w:t>
            </w:r>
            <w:r>
              <w:rPr>
                <w:rFonts w:hint="default" w:ascii="Times New Roman" w:hAnsi="Times New Roman" w:eastAsia="宋体" w:cs="Times New Roman"/>
                <w:b w:val="0"/>
                <w:bCs w:val="0"/>
                <w:color w:val="auto"/>
                <w:kern w:val="0"/>
                <w:sz w:val="21"/>
                <w:szCs w:val="21"/>
                <w:lang w:val="en-US" w:eastAsia="zh-CN" w:bidi="ar"/>
              </w:rPr>
              <w:t xml:space="preserve"> </w:t>
            </w:r>
            <w:r>
              <w:rPr>
                <w:rStyle w:val="76"/>
                <w:rFonts w:hint="default" w:ascii="Times New Roman" w:hAnsi="Times New Roman" w:eastAsia="宋体" w:cs="Times New Roman"/>
                <w:b w:val="0"/>
                <w:bCs w:val="0"/>
                <w:color w:val="auto"/>
                <w:sz w:val="21"/>
                <w:szCs w:val="21"/>
                <w:lang w:val="en-US" w:eastAsia="zh-CN" w:bidi="ar"/>
              </w:rPr>
              <w:t>（厂内）</w:t>
            </w:r>
          </w:p>
        </w:tc>
      </w:tr>
      <w:tr>
        <w:tblPrEx>
          <w:tblLayout w:type="fixed"/>
          <w:tblCellMar>
            <w:top w:w="0" w:type="dxa"/>
            <w:left w:w="0" w:type="dxa"/>
            <w:bottom w:w="0" w:type="dxa"/>
            <w:right w:w="0" w:type="dxa"/>
          </w:tblCellMar>
        </w:tblPrEx>
        <w:trPr>
          <w:trHeight w:val="577" w:hRule="atLeast"/>
        </w:trPr>
        <w:tc>
          <w:tcPr>
            <w:tcW w:w="14600" w:type="dxa"/>
            <w:gridSpan w:val="11"/>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Style w:val="76"/>
                <w:rFonts w:hint="default" w:ascii="Times New Roman" w:hAnsi="Times New Roman" w:eastAsia="宋体" w:cs="Times New Roman"/>
                <w:sz w:val="21"/>
                <w:szCs w:val="21"/>
                <w:lang w:val="en-US" w:eastAsia="zh-CN" w:bidi="ar"/>
              </w:rPr>
            </w:pPr>
            <w:r>
              <w:rPr>
                <w:rStyle w:val="76"/>
                <w:rFonts w:hint="default" w:ascii="Times New Roman" w:hAnsi="Times New Roman" w:eastAsia="宋体" w:cs="Times New Roman"/>
                <w:sz w:val="21"/>
                <w:szCs w:val="21"/>
                <w:lang w:val="en-US" w:eastAsia="zh-CN" w:bidi="ar"/>
              </w:rPr>
              <w:t>以上总价合计（含</w:t>
            </w:r>
            <w:r>
              <w:rPr>
                <w:rStyle w:val="78"/>
                <w:rFonts w:hint="default" w:ascii="Times New Roman" w:hAnsi="Times New Roman" w:eastAsia="宋体" w:cs="Times New Roman"/>
                <w:sz w:val="21"/>
                <w:szCs w:val="21"/>
                <w:lang w:val="en-US" w:eastAsia="zh-CN" w:bidi="ar"/>
              </w:rPr>
              <w:t>13%</w:t>
            </w:r>
            <w:r>
              <w:rPr>
                <w:rStyle w:val="78"/>
                <w:rFonts w:hint="default" w:ascii="Times New Roman" w:hAnsi="Times New Roman" w:eastAsia="宋体" w:cs="Times New Roman"/>
                <w:color w:val="auto"/>
                <w:sz w:val="21"/>
                <w:szCs w:val="21"/>
                <w:lang w:val="en-US" w:eastAsia="zh-CN" w:bidi="ar"/>
              </w:rPr>
              <w:t>VAT</w:t>
            </w:r>
            <w:r>
              <w:rPr>
                <w:rStyle w:val="76"/>
                <w:rFonts w:hint="default" w:ascii="Times New Roman" w:hAnsi="Times New Roman" w:eastAsia="宋体" w:cs="Times New Roman"/>
                <w:i w:val="0"/>
                <w:color w:val="auto"/>
                <w:sz w:val="21"/>
                <w:szCs w:val="21"/>
                <w:lang w:val="en-US" w:eastAsia="zh-CN" w:bidi="ar"/>
              </w:rPr>
              <w:t>）：      元</w:t>
            </w:r>
          </w:p>
        </w:tc>
      </w:tr>
      <w:tr>
        <w:tblPrEx>
          <w:tblLayout w:type="fixed"/>
          <w:tblCellMar>
            <w:top w:w="0" w:type="dxa"/>
            <w:left w:w="0" w:type="dxa"/>
            <w:bottom w:w="0" w:type="dxa"/>
            <w:right w:w="0" w:type="dxa"/>
          </w:tblCellMar>
        </w:tblPrEx>
        <w:trPr>
          <w:trHeight w:val="507" w:hRule="atLeast"/>
        </w:trPr>
        <w:tc>
          <w:tcPr>
            <w:tcW w:w="14600" w:type="dxa"/>
            <w:gridSpan w:val="11"/>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Style w:val="76"/>
                <w:rFonts w:hint="default" w:ascii="Times New Roman" w:hAnsi="Times New Roman" w:eastAsia="宋体" w:cs="Times New Roman"/>
                <w:sz w:val="21"/>
                <w:szCs w:val="21"/>
                <w:lang w:val="en-US" w:eastAsia="zh-CN" w:bidi="ar"/>
              </w:rPr>
            </w:pPr>
            <w:r>
              <w:rPr>
                <w:rStyle w:val="76"/>
                <w:rFonts w:hint="default" w:ascii="Times New Roman" w:hAnsi="Times New Roman" w:eastAsia="宋体" w:cs="Times New Roman"/>
                <w:b w:val="0"/>
                <w:bCs/>
                <w:sz w:val="21"/>
                <w:szCs w:val="21"/>
                <w:lang w:val="en-US" w:eastAsia="zh-CN" w:bidi="ar"/>
              </w:rPr>
              <w:t>商务联系人</w:t>
            </w:r>
            <w:r>
              <w:rPr>
                <w:rStyle w:val="76"/>
                <w:rFonts w:hint="default" w:ascii="Times New Roman" w:hAnsi="Times New Roman" w:eastAsia="宋体" w:cs="Times New Roman"/>
                <w:b w:val="0"/>
                <w:bCs/>
                <w:sz w:val="21"/>
                <w:szCs w:val="21"/>
                <w:lang w:bidi="ar"/>
              </w:rPr>
              <w:t>及电话:  黄梅钦  0592-5229120  13806001925</w:t>
            </w:r>
            <w:r>
              <w:rPr>
                <w:rStyle w:val="76"/>
                <w:rFonts w:hint="default" w:ascii="Times New Roman" w:hAnsi="Times New Roman" w:eastAsia="宋体" w:cs="Times New Roman"/>
                <w:b w:val="0"/>
                <w:bCs/>
                <w:sz w:val="21"/>
                <w:szCs w:val="21"/>
                <w:lang w:val="en-US" w:eastAsia="zh-CN" w:bidi="ar"/>
              </w:rPr>
              <w:t xml:space="preserve">   (厂外）</w:t>
            </w:r>
          </w:p>
        </w:tc>
      </w:tr>
      <w:tr>
        <w:tblPrEx>
          <w:tblLayout w:type="fixed"/>
          <w:tblCellMar>
            <w:top w:w="0" w:type="dxa"/>
            <w:left w:w="0" w:type="dxa"/>
            <w:bottom w:w="0" w:type="dxa"/>
            <w:right w:w="0" w:type="dxa"/>
          </w:tblCellMar>
        </w:tblPrEx>
        <w:trPr>
          <w:trHeight w:val="507" w:hRule="atLeast"/>
        </w:trPr>
        <w:tc>
          <w:tcPr>
            <w:tcW w:w="14600" w:type="dxa"/>
            <w:gridSpan w:val="11"/>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210" w:firstLineChars="100"/>
              <w:jc w:val="left"/>
              <w:textAlignment w:val="center"/>
              <w:rPr>
                <w:rStyle w:val="76"/>
                <w:rFonts w:hint="default" w:ascii="Times New Roman" w:hAnsi="Times New Roman" w:eastAsia="宋体" w:cs="Times New Roman"/>
                <w:b w:val="0"/>
                <w:bCs/>
                <w:sz w:val="21"/>
                <w:szCs w:val="21"/>
                <w:lang w:val="en-US" w:eastAsia="zh-CN" w:bidi="ar"/>
              </w:rPr>
            </w:pPr>
            <w:r>
              <w:rPr>
                <w:rStyle w:val="76"/>
                <w:rFonts w:hint="eastAsia" w:ascii="Times New Roman" w:hAnsi="Times New Roman" w:cs="Times New Roman"/>
                <w:b w:val="0"/>
                <w:bCs/>
                <w:sz w:val="21"/>
                <w:szCs w:val="21"/>
                <w:lang w:val="en-US" w:eastAsia="zh-CN" w:bidi="ar"/>
              </w:rPr>
              <w:t>备注：需与工厂签署技术协议书。</w:t>
            </w:r>
          </w:p>
        </w:tc>
      </w:tr>
    </w:tbl>
    <w:p>
      <w:pPr>
        <w:pStyle w:val="2"/>
        <w:rPr>
          <w:rFonts w:hint="default" w:ascii="Times New Roman" w:hAnsi="Times New Roman" w:eastAsia="宋体" w:cs="Times New Roman"/>
          <w:b/>
          <w:sz w:val="28"/>
          <w:szCs w:val="28"/>
        </w:rPr>
        <w:sectPr>
          <w:pgSz w:w="16840" w:h="11910" w:orient="landscape"/>
          <w:pgMar w:top="1242" w:right="1500" w:bottom="992" w:left="1040" w:header="0" w:footer="550" w:gutter="0"/>
          <w:pgNumType w:fmt="decimal"/>
          <w:cols w:space="0" w:num="1"/>
          <w:rtlGutter w:val="0"/>
          <w:docGrid w:type="lines" w:linePitch="312" w:charSpace="0"/>
        </w:sectPr>
      </w:pPr>
    </w:p>
    <w:p>
      <w:pPr>
        <w:ind w:firstLine="1405" w:firstLineChars="500"/>
        <w:jc w:val="both"/>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lang w:val="en-US" w:eastAsia="zh-CN"/>
        </w:rPr>
        <w:t>芳烃团队燃料气</w:t>
      </w:r>
      <w:r>
        <w:rPr>
          <w:rFonts w:hint="default" w:ascii="Times New Roman" w:hAnsi="Times New Roman" w:eastAsia="宋体" w:cs="Times New Roman"/>
          <w:b/>
          <w:bCs/>
          <w:sz w:val="28"/>
          <w:szCs w:val="28"/>
        </w:rPr>
        <w:t>阻火器（防爆轰）技术要求</w:t>
      </w:r>
    </w:p>
    <w:p>
      <w:pPr>
        <w:numPr>
          <w:ilvl w:val="0"/>
          <w:numId w:val="3"/>
        </w:numPr>
        <w:spacing w:line="540" w:lineRule="exact"/>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报名要求：</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397" w:leftChars="-9" w:right="121" w:hanging="417" w:hangingChars="199"/>
        <w:jc w:val="both"/>
        <w:textAlignment w:val="auto"/>
        <w:outlineLvl w:val="9"/>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1.1</w:t>
      </w:r>
      <w:r>
        <w:rPr>
          <w:rFonts w:hint="eastAsia" w:ascii="Times New Roman" w:hAnsi="Times New Roman" w:cs="Times New Roman"/>
          <w:kern w:val="2"/>
          <w:sz w:val="21"/>
          <w:szCs w:val="21"/>
          <w:lang w:val="en-US" w:eastAsia="zh-CN"/>
        </w:rPr>
        <w:t xml:space="preserve">  </w:t>
      </w:r>
      <w:r>
        <w:rPr>
          <w:rFonts w:hint="default" w:ascii="Times New Roman" w:hAnsi="Times New Roman" w:eastAsia="宋体" w:cs="Times New Roman"/>
          <w:kern w:val="2"/>
          <w:sz w:val="21"/>
          <w:szCs w:val="21"/>
          <w:lang w:eastAsia="zh-CN"/>
        </w:rPr>
        <w:t>阻火器厂商必须具备独立法人资格，具备有效的企业法人营业执照，具有石油化工行业呼吸阀类管道元件组合装置制造销及售资质。</w:t>
      </w:r>
    </w:p>
    <w:p>
      <w:pPr>
        <w:keepNext w:val="0"/>
        <w:keepLines w:val="0"/>
        <w:pageBreakBefore w:val="0"/>
        <w:widowControl w:val="0"/>
        <w:kinsoku/>
        <w:wordWrap/>
        <w:overflowPunct/>
        <w:topLinePunct w:val="0"/>
        <w:autoSpaceDE w:val="0"/>
        <w:autoSpaceDN w:val="0"/>
        <w:bidi w:val="0"/>
        <w:adjustRightInd/>
        <w:snapToGrid/>
        <w:spacing w:line="360" w:lineRule="auto"/>
        <w:ind w:left="397" w:leftChars="-9" w:hanging="417" w:hangingChars="199"/>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1.2</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rPr>
        <w:t>阻火器制造商具有特种设备生产许可证（压力管道元件）、相应阻火器的型式证书；阻火器第三方实验证书上所列出的型号规格应覆盖本次招标所有设备的规格。</w:t>
      </w:r>
    </w:p>
    <w:p>
      <w:pPr>
        <w:keepNext w:val="0"/>
        <w:keepLines w:val="0"/>
        <w:pageBreakBefore w:val="0"/>
        <w:widowControl w:val="0"/>
        <w:kinsoku/>
        <w:wordWrap/>
        <w:overflowPunct/>
        <w:topLinePunct w:val="0"/>
        <w:autoSpaceDE w:val="0"/>
        <w:autoSpaceDN w:val="0"/>
        <w:bidi w:val="0"/>
        <w:adjustRightInd/>
        <w:snapToGrid/>
        <w:spacing w:line="360" w:lineRule="auto"/>
        <w:ind w:left="397" w:leftChars="-9" w:hanging="417" w:hangingChars="199"/>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1.3</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rPr>
        <w:t>报名厂家具有在石油化工行业阻火器供货业绩（务必真实有效，福海创有权要求投标商提供相应佐证材料包括不限于合同和发票等复印件）。</w:t>
      </w:r>
    </w:p>
    <w:p>
      <w:pPr>
        <w:spacing w:line="480" w:lineRule="auto"/>
        <w:jc w:val="left"/>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二、执行标准：</w:t>
      </w:r>
    </w:p>
    <w:tbl>
      <w:tblPr>
        <w:tblStyle w:val="30"/>
        <w:tblW w:w="852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000000" w:fill="auto"/>
        <w:tblLayout w:type="fixed"/>
        <w:tblCellMar>
          <w:top w:w="0" w:type="dxa"/>
          <w:left w:w="108" w:type="dxa"/>
          <w:bottom w:w="0" w:type="dxa"/>
          <w:right w:w="108" w:type="dxa"/>
        </w:tblCellMar>
      </w:tblPr>
      <w:tblGrid>
        <w:gridCol w:w="2555"/>
        <w:gridCol w:w="59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000000" w:fill="auto"/>
          <w:tblLayout w:type="fixed"/>
          <w:tblCellMar>
            <w:top w:w="0" w:type="dxa"/>
            <w:left w:w="108" w:type="dxa"/>
            <w:bottom w:w="0" w:type="dxa"/>
            <w:right w:w="108" w:type="dxa"/>
          </w:tblCellMar>
        </w:tblPrEx>
        <w:trPr>
          <w:trHeight w:val="420" w:hRule="atLeast"/>
          <w:jc w:val="center"/>
        </w:trPr>
        <w:tc>
          <w:tcPr>
            <w:tcW w:w="2555" w:type="dxa"/>
            <w:shd w:val="clear" w:color="000000" w:fill="auto"/>
            <w:vAlign w:val="center"/>
          </w:tcPr>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ISO16852</w:t>
            </w:r>
          </w:p>
        </w:tc>
        <w:tc>
          <w:tcPr>
            <w:tcW w:w="5967" w:type="dxa"/>
            <w:shd w:val="clear" w:color="000000" w:fill="auto"/>
            <w:vAlign w:val="center"/>
          </w:tcPr>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《阻火器-性能要求、试验方法和使用限制》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000000" w:fill="auto"/>
          <w:tblLayout w:type="fixed"/>
          <w:tblCellMar>
            <w:top w:w="0" w:type="dxa"/>
            <w:left w:w="108" w:type="dxa"/>
            <w:bottom w:w="0" w:type="dxa"/>
            <w:right w:w="108" w:type="dxa"/>
          </w:tblCellMar>
        </w:tblPrEx>
        <w:trPr>
          <w:trHeight w:val="420" w:hRule="atLeast"/>
          <w:jc w:val="center"/>
        </w:trPr>
        <w:tc>
          <w:tcPr>
            <w:tcW w:w="2555" w:type="dxa"/>
            <w:shd w:val="clear" w:color="000000" w:fill="auto"/>
            <w:vAlign w:val="center"/>
          </w:tcPr>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GB/T13347-2010</w:t>
            </w:r>
          </w:p>
        </w:tc>
        <w:tc>
          <w:tcPr>
            <w:tcW w:w="5967" w:type="dxa"/>
            <w:shd w:val="clear" w:color="000000" w:fill="auto"/>
            <w:vAlign w:val="center"/>
          </w:tcPr>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《石油气体管道阻火器》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000000" w:fill="auto"/>
          <w:tblLayout w:type="fixed"/>
          <w:tblCellMar>
            <w:top w:w="0" w:type="dxa"/>
            <w:left w:w="108" w:type="dxa"/>
            <w:bottom w:w="0" w:type="dxa"/>
            <w:right w:w="108" w:type="dxa"/>
          </w:tblCellMar>
        </w:tblPrEx>
        <w:trPr>
          <w:trHeight w:val="420" w:hRule="atLeast"/>
          <w:jc w:val="center"/>
        </w:trPr>
        <w:tc>
          <w:tcPr>
            <w:tcW w:w="2555" w:type="dxa"/>
            <w:shd w:val="clear" w:color="000000" w:fill="auto"/>
            <w:vAlign w:val="center"/>
          </w:tcPr>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GB/T5908</w:t>
            </w:r>
          </w:p>
        </w:tc>
        <w:tc>
          <w:tcPr>
            <w:tcW w:w="5967" w:type="dxa"/>
            <w:shd w:val="clear" w:color="000000" w:fill="auto"/>
            <w:vAlign w:val="center"/>
          </w:tcPr>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《石油储罐阻火器阻火性能和实验方法》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000000" w:fill="auto"/>
          <w:tblLayout w:type="fixed"/>
          <w:tblCellMar>
            <w:top w:w="0" w:type="dxa"/>
            <w:left w:w="108" w:type="dxa"/>
            <w:bottom w:w="0" w:type="dxa"/>
            <w:right w:w="108" w:type="dxa"/>
          </w:tblCellMar>
        </w:tblPrEx>
        <w:trPr>
          <w:trHeight w:val="420" w:hRule="atLeast"/>
          <w:jc w:val="center"/>
        </w:trPr>
        <w:tc>
          <w:tcPr>
            <w:tcW w:w="2555" w:type="dxa"/>
            <w:shd w:val="clear" w:color="000000" w:fill="auto"/>
            <w:vAlign w:val="center"/>
          </w:tcPr>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SH/T3413-2019</w:t>
            </w:r>
          </w:p>
        </w:tc>
        <w:tc>
          <w:tcPr>
            <w:tcW w:w="5967" w:type="dxa"/>
            <w:shd w:val="clear" w:color="000000" w:fill="auto"/>
            <w:vAlign w:val="center"/>
          </w:tcPr>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《石油化工石油气管道阻火器选用、检验及验收》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000000" w:fill="auto"/>
          <w:tblLayout w:type="fixed"/>
          <w:tblCellMar>
            <w:top w:w="0" w:type="dxa"/>
            <w:left w:w="108" w:type="dxa"/>
            <w:bottom w:w="0" w:type="dxa"/>
            <w:right w:w="108" w:type="dxa"/>
          </w:tblCellMar>
        </w:tblPrEx>
        <w:trPr>
          <w:trHeight w:val="420" w:hRule="atLeast"/>
          <w:jc w:val="center"/>
        </w:trPr>
        <w:tc>
          <w:tcPr>
            <w:tcW w:w="2555" w:type="dxa"/>
            <w:shd w:val="clear" w:color="000000" w:fill="auto"/>
            <w:vAlign w:val="center"/>
          </w:tcPr>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 xml:space="preserve">GB50160-2015 </w:t>
            </w:r>
          </w:p>
        </w:tc>
        <w:tc>
          <w:tcPr>
            <w:tcW w:w="5967" w:type="dxa"/>
            <w:shd w:val="clear" w:color="000000" w:fill="auto"/>
            <w:vAlign w:val="center"/>
          </w:tcPr>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color w:val="000000"/>
                <w:sz w:val="21"/>
                <w:szCs w:val="21"/>
              </w:rPr>
              <w:t>《石油化工企业设计防火规范》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000000" w:fill="auto"/>
          <w:tblLayout w:type="fixed"/>
          <w:tblCellMar>
            <w:top w:w="0" w:type="dxa"/>
            <w:left w:w="108" w:type="dxa"/>
            <w:bottom w:w="0" w:type="dxa"/>
            <w:right w:w="108" w:type="dxa"/>
          </w:tblCellMar>
        </w:tblPrEx>
        <w:trPr>
          <w:trHeight w:val="420" w:hRule="atLeast"/>
          <w:jc w:val="center"/>
        </w:trPr>
        <w:tc>
          <w:tcPr>
            <w:tcW w:w="2555" w:type="dxa"/>
            <w:shd w:val="clear" w:color="000000" w:fill="auto"/>
            <w:vAlign w:val="center"/>
          </w:tcPr>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ASME B16.5</w:t>
            </w:r>
          </w:p>
        </w:tc>
        <w:tc>
          <w:tcPr>
            <w:tcW w:w="5967" w:type="dxa"/>
            <w:shd w:val="clear" w:color="000000" w:fill="auto"/>
            <w:vAlign w:val="center"/>
          </w:tcPr>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《管法兰和管件》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000000" w:fill="auto"/>
          <w:tblLayout w:type="fixed"/>
          <w:tblCellMar>
            <w:top w:w="0" w:type="dxa"/>
            <w:left w:w="108" w:type="dxa"/>
            <w:bottom w:w="0" w:type="dxa"/>
            <w:right w:w="108" w:type="dxa"/>
          </w:tblCellMar>
        </w:tblPrEx>
        <w:trPr>
          <w:trHeight w:val="420" w:hRule="atLeast"/>
          <w:jc w:val="center"/>
        </w:trPr>
        <w:tc>
          <w:tcPr>
            <w:tcW w:w="2555" w:type="dxa"/>
            <w:shd w:val="clear" w:color="000000" w:fill="auto"/>
            <w:vAlign w:val="center"/>
          </w:tcPr>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HG/T20615-2009</w:t>
            </w:r>
          </w:p>
        </w:tc>
        <w:tc>
          <w:tcPr>
            <w:tcW w:w="5967" w:type="dxa"/>
            <w:shd w:val="clear" w:color="000000" w:fill="auto"/>
            <w:vAlign w:val="center"/>
          </w:tcPr>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《钢制管法兰、垫片和紧固件》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000000" w:fill="auto"/>
          <w:tblLayout w:type="fixed"/>
          <w:tblCellMar>
            <w:top w:w="0" w:type="dxa"/>
            <w:left w:w="108" w:type="dxa"/>
            <w:bottom w:w="0" w:type="dxa"/>
            <w:right w:w="108" w:type="dxa"/>
          </w:tblCellMar>
        </w:tblPrEx>
        <w:trPr>
          <w:trHeight w:val="420" w:hRule="atLeast"/>
          <w:jc w:val="center"/>
        </w:trPr>
        <w:tc>
          <w:tcPr>
            <w:tcW w:w="2555" w:type="dxa"/>
            <w:shd w:val="clear" w:color="000000" w:fill="auto"/>
            <w:vAlign w:val="center"/>
          </w:tcPr>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bCs/>
                <w:sz w:val="21"/>
                <w:szCs w:val="21"/>
              </w:rPr>
              <w:t xml:space="preserve">GB/T13384-2008   </w:t>
            </w:r>
          </w:p>
        </w:tc>
        <w:tc>
          <w:tcPr>
            <w:tcW w:w="5967" w:type="dxa"/>
            <w:shd w:val="clear" w:color="000000" w:fill="auto"/>
            <w:vAlign w:val="center"/>
          </w:tcPr>
          <w:p>
            <w:pPr>
              <w:spacing w:line="360" w:lineRule="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《标牌》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000000" w:fill="auto"/>
          <w:tblLayout w:type="fixed"/>
          <w:tblCellMar>
            <w:top w:w="0" w:type="dxa"/>
            <w:left w:w="108" w:type="dxa"/>
            <w:bottom w:w="0" w:type="dxa"/>
            <w:right w:w="108" w:type="dxa"/>
          </w:tblCellMar>
        </w:tblPrEx>
        <w:trPr>
          <w:trHeight w:val="420" w:hRule="atLeast"/>
          <w:jc w:val="center"/>
        </w:trPr>
        <w:tc>
          <w:tcPr>
            <w:tcW w:w="2555" w:type="dxa"/>
            <w:shd w:val="clear" w:color="000000" w:fill="auto"/>
            <w:vAlign w:val="center"/>
          </w:tcPr>
          <w:p>
            <w:pPr>
              <w:spacing w:line="360" w:lineRule="auto"/>
              <w:rPr>
                <w:rFonts w:hint="default" w:ascii="Times New Roman" w:hAnsi="Times New Roman" w:eastAsia="宋体" w:cs="Times New Roman"/>
                <w:bCs/>
                <w:sz w:val="21"/>
                <w:szCs w:val="21"/>
              </w:rPr>
            </w:pPr>
            <w:r>
              <w:rPr>
                <w:rFonts w:hint="default" w:ascii="Times New Roman" w:hAnsi="Times New Roman" w:eastAsia="宋体" w:cs="Times New Roman"/>
                <w:sz w:val="21"/>
                <w:szCs w:val="21"/>
              </w:rPr>
              <w:t>GB/T9969-2008</w:t>
            </w:r>
          </w:p>
        </w:tc>
        <w:tc>
          <w:tcPr>
            <w:tcW w:w="5967" w:type="dxa"/>
            <w:shd w:val="clear" w:color="000000" w:fill="auto"/>
            <w:vAlign w:val="center"/>
          </w:tcPr>
          <w:p>
            <w:pPr>
              <w:spacing w:line="360" w:lineRule="auto"/>
              <w:rPr>
                <w:rFonts w:hint="default" w:ascii="Times New Roman" w:hAnsi="Times New Roman" w:eastAsia="宋体" w:cs="Times New Roman"/>
                <w:bCs/>
                <w:sz w:val="21"/>
                <w:szCs w:val="21"/>
              </w:rPr>
            </w:pPr>
            <w:r>
              <w:rPr>
                <w:rFonts w:hint="default" w:ascii="Times New Roman" w:hAnsi="Times New Roman" w:eastAsia="宋体" w:cs="Times New Roman"/>
                <w:sz w:val="21"/>
                <w:szCs w:val="21"/>
              </w:rPr>
              <w:t>《工业产品使用说明书》</w:t>
            </w:r>
          </w:p>
        </w:tc>
      </w:tr>
    </w:tbl>
    <w:p>
      <w:pPr>
        <w:pStyle w:val="33"/>
        <w:numPr>
          <w:ilvl w:val="0"/>
          <w:numId w:val="4"/>
        </w:numPr>
        <w:spacing w:line="540" w:lineRule="exact"/>
        <w:ind w:firstLineChars="0"/>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技术要求：</w:t>
      </w:r>
    </w:p>
    <w:p>
      <w:pPr>
        <w:spacing w:line="360" w:lineRule="auto"/>
        <w:ind w:left="142"/>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3.1阻火器按照设计资料《阻火器规格书》（详见附件）的要求设计、制造及验收。</w:t>
      </w:r>
    </w:p>
    <w:p>
      <w:pPr>
        <w:spacing w:line="360" w:lineRule="auto"/>
        <w:ind w:firstLine="105" w:firstLineChars="5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3.2卖方提供的阻火器须通过现行的GB/T13347-2010《石油气体管道阻火器》规定的制造及检验要求，并由具备检测能力的第三方权威机构出</w:t>
      </w:r>
      <w:r>
        <w:rPr>
          <w:rFonts w:hint="default" w:ascii="Times New Roman" w:hAnsi="Times New Roman" w:eastAsia="宋体" w:cs="Times New Roman"/>
          <w:b/>
          <w:bCs/>
          <w:sz w:val="21"/>
          <w:szCs w:val="21"/>
        </w:rPr>
        <w:t>具实验验证文件。“试验验证文件”所标注的生产厂家名称及型号应与阻火器生产合格证书</w:t>
      </w:r>
      <w:r>
        <w:rPr>
          <w:rFonts w:hint="default" w:ascii="Times New Roman" w:hAnsi="Times New Roman" w:eastAsia="宋体" w:cs="Times New Roman"/>
          <w:sz w:val="21"/>
          <w:szCs w:val="21"/>
        </w:rPr>
        <w:t>上厂家名称和型号完全一致。</w:t>
      </w:r>
    </w:p>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3.3阻火器选用管道双向阻爆轰型阻火器（附结构说明）。按照标准规定的测试要求进行阻爆燃、阻爆轰及短时间耐烧测试，并出具相应型式认证证书。该证书应标明阻爆轰阻火器型号及规格、阻火盘缝隙、测试条件（温度、介质爆炸等级）、阻火性能测试内容及结果（阻爆燃、阻爆轰、短时间耐烧）等。</w:t>
      </w:r>
    </w:p>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3.4卖方应出具选型数据表和同一第三方认证的压降-流量曲线或图表。</w:t>
      </w:r>
    </w:p>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3.5 阻火元件应为可拆卸和更换式，并设置可用于吊装的部件；阻火器应设置防堵措施；阻火器前后应具有排凝接口。阻火芯与阻火器壳体之间要采用可拆卸连接型式，确保阻火器一旦堵塞，阻火芯可以拆下清洗或更换</w:t>
      </w:r>
    </w:p>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3.6阻火器在制造过程中卖方对设计的任何变更及材料代用都必须得到设计方的书面认可。</w:t>
      </w:r>
    </w:p>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3.7阀门铭牌要求使用不锈钢。内容包括工位号、型号、规格、设定压力出厂编号等。</w:t>
      </w:r>
      <w:r>
        <w:rPr>
          <w:rFonts w:hint="default" w:ascii="Times New Roman" w:hAnsi="Times New Roman" w:eastAsia="宋体" w:cs="Times New Roman"/>
          <w:sz w:val="21"/>
          <w:szCs w:val="21"/>
        </w:rPr>
        <w:br w:type="textWrapping" w:clear="all"/>
      </w:r>
      <w:r>
        <w:rPr>
          <w:rFonts w:hint="default" w:ascii="Times New Roman" w:hAnsi="Times New Roman" w:eastAsia="宋体" w:cs="Times New Roman"/>
          <w:b/>
          <w:sz w:val="21"/>
          <w:szCs w:val="21"/>
        </w:rPr>
        <w:t>四、技术资料交付表</w:t>
      </w:r>
    </w:p>
    <w:tbl>
      <w:tblPr>
        <w:tblStyle w:val="30"/>
        <w:tblW w:w="9220"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1"/>
        <w:gridCol w:w="2449"/>
        <w:gridCol w:w="2736"/>
        <w:gridCol w:w="3314"/>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22" w:hRule="atLeast"/>
        </w:trPr>
        <w:tc>
          <w:tcPr>
            <w:tcW w:w="721"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序号</w:t>
            </w:r>
          </w:p>
        </w:tc>
        <w:tc>
          <w:tcPr>
            <w:tcW w:w="2449"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文件名称</w:t>
            </w:r>
          </w:p>
        </w:tc>
        <w:tc>
          <w:tcPr>
            <w:tcW w:w="2736"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交付时间</w:t>
            </w:r>
          </w:p>
        </w:tc>
        <w:tc>
          <w:tcPr>
            <w:tcW w:w="3314"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交付份数</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31" w:hRule="atLeast"/>
        </w:trPr>
        <w:tc>
          <w:tcPr>
            <w:tcW w:w="721"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2449"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第三方实验报告</w:t>
            </w:r>
          </w:p>
        </w:tc>
        <w:tc>
          <w:tcPr>
            <w:tcW w:w="2736"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随机</w:t>
            </w:r>
          </w:p>
        </w:tc>
        <w:tc>
          <w:tcPr>
            <w:tcW w:w="3314"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2份</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42" w:hRule="atLeast"/>
        </w:trPr>
        <w:tc>
          <w:tcPr>
            <w:tcW w:w="721"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p>
        </w:tc>
        <w:tc>
          <w:tcPr>
            <w:tcW w:w="2449"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安装、使用说明书</w:t>
            </w:r>
          </w:p>
        </w:tc>
        <w:tc>
          <w:tcPr>
            <w:tcW w:w="2736"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随机</w:t>
            </w:r>
          </w:p>
        </w:tc>
        <w:tc>
          <w:tcPr>
            <w:tcW w:w="3314"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原件2份</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42" w:hRule="atLeast"/>
        </w:trPr>
        <w:tc>
          <w:tcPr>
            <w:tcW w:w="721"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w:t>
            </w:r>
          </w:p>
        </w:tc>
        <w:tc>
          <w:tcPr>
            <w:tcW w:w="2449"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产品合格证</w:t>
            </w:r>
          </w:p>
        </w:tc>
        <w:tc>
          <w:tcPr>
            <w:tcW w:w="2736"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随机</w:t>
            </w:r>
          </w:p>
        </w:tc>
        <w:tc>
          <w:tcPr>
            <w:tcW w:w="3314"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原件2份/台</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42" w:hRule="atLeast"/>
        </w:trPr>
        <w:tc>
          <w:tcPr>
            <w:tcW w:w="721"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w:t>
            </w:r>
          </w:p>
        </w:tc>
        <w:tc>
          <w:tcPr>
            <w:tcW w:w="2449"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材质证明书</w:t>
            </w:r>
          </w:p>
        </w:tc>
        <w:tc>
          <w:tcPr>
            <w:tcW w:w="2736"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随机</w:t>
            </w:r>
          </w:p>
        </w:tc>
        <w:tc>
          <w:tcPr>
            <w:tcW w:w="3314"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原件2份/台</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42" w:hRule="atLeast"/>
        </w:trPr>
        <w:tc>
          <w:tcPr>
            <w:tcW w:w="721"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w:t>
            </w:r>
          </w:p>
        </w:tc>
        <w:tc>
          <w:tcPr>
            <w:tcW w:w="2449"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产品试压检验报告</w:t>
            </w:r>
          </w:p>
        </w:tc>
        <w:tc>
          <w:tcPr>
            <w:tcW w:w="2736"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随机</w:t>
            </w:r>
          </w:p>
        </w:tc>
        <w:tc>
          <w:tcPr>
            <w:tcW w:w="3314"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原件2份</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42" w:hRule="atLeast"/>
        </w:trPr>
        <w:tc>
          <w:tcPr>
            <w:tcW w:w="721"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w:t>
            </w:r>
          </w:p>
        </w:tc>
        <w:tc>
          <w:tcPr>
            <w:tcW w:w="2449"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装箱单</w:t>
            </w:r>
          </w:p>
        </w:tc>
        <w:tc>
          <w:tcPr>
            <w:tcW w:w="2736"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随机</w:t>
            </w:r>
          </w:p>
        </w:tc>
        <w:tc>
          <w:tcPr>
            <w:tcW w:w="3314"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原件1+2份</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64" w:hRule="atLeast"/>
        </w:trPr>
        <w:tc>
          <w:tcPr>
            <w:tcW w:w="721"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7</w:t>
            </w:r>
          </w:p>
        </w:tc>
        <w:tc>
          <w:tcPr>
            <w:tcW w:w="2449"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外形尺寸图</w:t>
            </w:r>
          </w:p>
        </w:tc>
        <w:tc>
          <w:tcPr>
            <w:tcW w:w="2736"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随机</w:t>
            </w:r>
          </w:p>
        </w:tc>
        <w:tc>
          <w:tcPr>
            <w:tcW w:w="3314"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原件1+2份</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82" w:hRule="atLeast"/>
        </w:trPr>
        <w:tc>
          <w:tcPr>
            <w:tcW w:w="721"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8</w:t>
            </w:r>
          </w:p>
        </w:tc>
        <w:tc>
          <w:tcPr>
            <w:tcW w:w="2449"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型式认证证书</w:t>
            </w:r>
          </w:p>
        </w:tc>
        <w:tc>
          <w:tcPr>
            <w:tcW w:w="2736"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随机</w:t>
            </w:r>
          </w:p>
        </w:tc>
        <w:tc>
          <w:tcPr>
            <w:tcW w:w="3314"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2份</w:t>
            </w:r>
          </w:p>
        </w:tc>
      </w:tr>
    </w:tbl>
    <w:p>
      <w:pPr>
        <w:spacing w:line="360" w:lineRule="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五、供货范围</w:t>
      </w:r>
    </w:p>
    <w:p>
      <w:pPr>
        <w:spacing w:line="360" w:lineRule="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1.本条款规定了合同设备的供货范围，卖方保证所提供设备为全新的、先进的、成熟的、完整的和安全可靠的，且设备的技术性能、功能符合技术条件的要求。</w:t>
      </w:r>
    </w:p>
    <w:p>
      <w:pPr>
        <w:spacing w:line="360" w:lineRule="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2.卖方确保货物完整，能满足用户安装、运行要求为原则，在技术规范中涉及的供货要求也作为本供货范围的补充，即使未列入供货表中，若在安装、调试、运行中发现缺项也应由卖方无偿补充。</w:t>
      </w:r>
    </w:p>
    <w:p>
      <w:pPr>
        <w:spacing w:line="360" w:lineRule="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（1）阻火器</w:t>
      </w:r>
    </w:p>
    <w:tbl>
      <w:tblPr>
        <w:tblStyle w:val="30"/>
        <w:tblW w:w="98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243"/>
        <w:gridCol w:w="2102"/>
        <w:gridCol w:w="3689"/>
        <w:gridCol w:w="1538"/>
        <w:gridCol w:w="662"/>
        <w:gridCol w:w="6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12" w:hRule="atLeast"/>
        </w:trPr>
        <w:tc>
          <w:tcPr>
            <w:tcW w:w="124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存货编码</w:t>
            </w:r>
          </w:p>
        </w:tc>
        <w:tc>
          <w:tcPr>
            <w:tcW w:w="210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名称</w:t>
            </w:r>
          </w:p>
        </w:tc>
        <w:tc>
          <w:tcPr>
            <w:tcW w:w="368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型号</w:t>
            </w:r>
          </w:p>
        </w:tc>
        <w:tc>
          <w:tcPr>
            <w:tcW w:w="15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规格</w:t>
            </w:r>
          </w:p>
        </w:tc>
        <w:tc>
          <w:tcPr>
            <w:tcW w:w="6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w:t>
            </w:r>
          </w:p>
        </w:tc>
        <w:tc>
          <w:tcPr>
            <w:tcW w:w="60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12"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i w:val="0"/>
                <w:color w:val="000000"/>
                <w:sz w:val="21"/>
                <w:szCs w:val="21"/>
                <w:u w:val="none"/>
              </w:rPr>
            </w:pPr>
          </w:p>
        </w:tc>
        <w:tc>
          <w:tcPr>
            <w:tcW w:w="21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i w:val="0"/>
                <w:color w:val="000000"/>
                <w:sz w:val="21"/>
                <w:szCs w:val="21"/>
                <w:u w:val="none"/>
              </w:rPr>
            </w:pPr>
          </w:p>
        </w:tc>
        <w:tc>
          <w:tcPr>
            <w:tcW w:w="368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i w:val="0"/>
                <w:color w:val="000000"/>
                <w:sz w:val="21"/>
                <w:szCs w:val="21"/>
                <w:u w:val="none"/>
              </w:rPr>
            </w:pPr>
          </w:p>
        </w:tc>
        <w:tc>
          <w:tcPr>
            <w:tcW w:w="15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i w:val="0"/>
                <w:color w:val="000000"/>
                <w:sz w:val="21"/>
                <w:szCs w:val="21"/>
                <w:u w:val="none"/>
              </w:rPr>
            </w:pPr>
          </w:p>
        </w:tc>
        <w:tc>
          <w:tcPr>
            <w:tcW w:w="6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i w:val="0"/>
                <w:color w:val="000000"/>
                <w:sz w:val="21"/>
                <w:szCs w:val="21"/>
                <w:u w:val="none"/>
              </w:rPr>
            </w:pPr>
          </w:p>
        </w:tc>
        <w:tc>
          <w:tcPr>
            <w:tcW w:w="60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9" w:hRule="atLeast"/>
        </w:trPr>
        <w:tc>
          <w:tcPr>
            <w:tcW w:w="12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3009220025</w:t>
            </w:r>
          </w:p>
        </w:tc>
        <w:tc>
          <w:tcPr>
            <w:tcW w:w="21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阻爆燃型管道阻火器</w:t>
            </w: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CS.RF.2".150LB.温度＜300℃.</w:t>
            </w:r>
          </w:p>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介质：氢气，按GB13347-92标准执行</w:t>
            </w:r>
          </w:p>
        </w:tc>
        <w:tc>
          <w:tcPr>
            <w:tcW w:w="1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GZW-1，DN50</w:t>
            </w:r>
          </w:p>
        </w:tc>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台</w:t>
            </w:r>
          </w:p>
        </w:tc>
        <w:tc>
          <w:tcPr>
            <w:tcW w:w="6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9" w:hRule="atLeast"/>
        </w:trPr>
        <w:tc>
          <w:tcPr>
            <w:tcW w:w="12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3009220026</w:t>
            </w:r>
          </w:p>
        </w:tc>
        <w:tc>
          <w:tcPr>
            <w:tcW w:w="21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阻爆燃型管道阻火器</w:t>
            </w: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CS.RF.DN80CL150.温度＜100℃.</w:t>
            </w:r>
          </w:p>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介质：燃料气，按GB13347-93标准执行</w:t>
            </w:r>
          </w:p>
        </w:tc>
        <w:tc>
          <w:tcPr>
            <w:tcW w:w="1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DN80CL150</w:t>
            </w:r>
          </w:p>
        </w:tc>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台</w:t>
            </w:r>
          </w:p>
        </w:tc>
        <w:tc>
          <w:tcPr>
            <w:tcW w:w="6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9" w:hRule="atLeast"/>
        </w:trPr>
        <w:tc>
          <w:tcPr>
            <w:tcW w:w="12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3009220029</w:t>
            </w:r>
          </w:p>
        </w:tc>
        <w:tc>
          <w:tcPr>
            <w:tcW w:w="21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阻爆燃型管道阻火器</w:t>
            </w: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CS.RF.DN40CL150.温度＜100℃.</w:t>
            </w:r>
          </w:p>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介质：燃料气，按GB13347-93标准执行</w:t>
            </w:r>
          </w:p>
        </w:tc>
        <w:tc>
          <w:tcPr>
            <w:tcW w:w="1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DN40CL150</w:t>
            </w:r>
          </w:p>
        </w:tc>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台</w:t>
            </w:r>
          </w:p>
        </w:tc>
        <w:tc>
          <w:tcPr>
            <w:tcW w:w="6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49" w:hRule="atLeast"/>
        </w:trPr>
        <w:tc>
          <w:tcPr>
            <w:tcW w:w="12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3009220027</w:t>
            </w:r>
          </w:p>
        </w:tc>
        <w:tc>
          <w:tcPr>
            <w:tcW w:w="21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阻爆燃型管道阻火器</w:t>
            </w: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CS.RF.DN150CL150.温度＜100℃.</w:t>
            </w:r>
          </w:p>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介质：燃料气，按GB13347-93标准执行</w:t>
            </w:r>
          </w:p>
        </w:tc>
        <w:tc>
          <w:tcPr>
            <w:tcW w:w="1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DN150CL150</w:t>
            </w:r>
          </w:p>
        </w:tc>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台</w:t>
            </w:r>
          </w:p>
        </w:tc>
        <w:tc>
          <w:tcPr>
            <w:tcW w:w="6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9" w:hRule="atLeast"/>
        </w:trPr>
        <w:tc>
          <w:tcPr>
            <w:tcW w:w="12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3009220030</w:t>
            </w:r>
          </w:p>
        </w:tc>
        <w:tc>
          <w:tcPr>
            <w:tcW w:w="21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阻爆燃型管道阻火器</w:t>
            </w: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CS.RF.DN100CL150.温度＜100℃.</w:t>
            </w:r>
          </w:p>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介质：燃料气，按GB13347-93标准执行</w:t>
            </w:r>
          </w:p>
        </w:tc>
        <w:tc>
          <w:tcPr>
            <w:tcW w:w="1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DN100CL150</w:t>
            </w:r>
          </w:p>
        </w:tc>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台</w:t>
            </w:r>
          </w:p>
        </w:tc>
        <w:tc>
          <w:tcPr>
            <w:tcW w:w="6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9" w:hRule="atLeast"/>
        </w:trPr>
        <w:tc>
          <w:tcPr>
            <w:tcW w:w="12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3009220028</w:t>
            </w:r>
          </w:p>
        </w:tc>
        <w:tc>
          <w:tcPr>
            <w:tcW w:w="21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阻爆燃型管道阻火器</w:t>
            </w: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CS.RF.DN200CL150.温度＜100℃.</w:t>
            </w:r>
          </w:p>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介质：燃料气，按GB13347-93标准执行</w:t>
            </w:r>
          </w:p>
        </w:tc>
        <w:tc>
          <w:tcPr>
            <w:tcW w:w="1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DN200CL150</w:t>
            </w:r>
          </w:p>
        </w:tc>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台</w:t>
            </w:r>
          </w:p>
        </w:tc>
        <w:tc>
          <w:tcPr>
            <w:tcW w:w="6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w:t>
            </w:r>
          </w:p>
        </w:tc>
      </w:tr>
    </w:tbl>
    <w:p>
      <w:pPr>
        <w:rPr>
          <w:rFonts w:hint="default" w:ascii="Times New Roman" w:hAnsi="Times New Roman" w:eastAsia="宋体" w:cs="Times New Roman"/>
          <w:sz w:val="21"/>
          <w:szCs w:val="21"/>
        </w:rPr>
      </w:pPr>
    </w:p>
    <w:p>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注：1）详细参数见设计数据表；</w:t>
      </w:r>
    </w:p>
    <w:p>
      <w:pPr>
        <w:pStyle w:val="33"/>
        <w:spacing w:line="120" w:lineRule="auto"/>
        <w:ind w:left="0" w:leftChars="0" w:firstLine="0" w:firstLineChars="0"/>
        <w:jc w:val="left"/>
        <w:rPr>
          <w:rFonts w:hint="eastAsia" w:hAnsi="宋体" w:cs="宋体" w:eastAsiaTheme="minorEastAsia"/>
          <w:kern w:val="2"/>
          <w:sz w:val="24"/>
          <w:szCs w:val="24"/>
        </w:rPr>
      </w:pPr>
      <w:r>
        <w:rPr>
          <w:rFonts w:hint="default" w:ascii="Times New Roman" w:hAnsi="Times New Roman" w:eastAsia="宋体" w:cs="Times New Roman"/>
          <w:b/>
          <w:sz w:val="21"/>
          <w:szCs w:val="21"/>
        </w:rPr>
        <w:t>六、交货期</w:t>
      </w:r>
      <w:r>
        <w:rPr>
          <w:rFonts w:hint="eastAsia" w:ascii="Times New Roman" w:hAnsi="Times New Roman" w:cs="Times New Roman"/>
          <w:b/>
          <w:sz w:val="21"/>
          <w:szCs w:val="21"/>
          <w:lang w:eastAsia="zh-CN"/>
        </w:rPr>
        <w:t>：</w:t>
      </w:r>
      <w:r>
        <w:rPr>
          <w:rFonts w:hint="default" w:ascii="Times New Roman" w:hAnsi="Times New Roman" w:eastAsia="宋体" w:cs="Times New Roman"/>
          <w:sz w:val="21"/>
          <w:szCs w:val="21"/>
        </w:rPr>
        <w:t>合同签订后40天内</w:t>
      </w:r>
      <w:r>
        <w:rPr>
          <w:rFonts w:hint="eastAsia" w:ascii="Times New Roman" w:hAnsi="Times New Roman" w:cs="Times New Roman"/>
          <w:sz w:val="21"/>
          <w:szCs w:val="21"/>
          <w:lang w:eastAsia="zh-CN"/>
        </w:rPr>
        <w:t>。</w:t>
      </w:r>
    </w:p>
    <w:p>
      <w:pPr>
        <w:pStyle w:val="2"/>
        <w:spacing w:line="360" w:lineRule="auto"/>
        <w:rPr>
          <w:rFonts w:hAnsi="宋体" w:cs="宋体" w:eastAsiaTheme="minorEastAsia"/>
          <w:kern w:val="2"/>
          <w:sz w:val="24"/>
          <w:szCs w:val="24"/>
        </w:rPr>
      </w:pPr>
    </w:p>
    <w:p>
      <w:pPr>
        <w:tabs>
          <w:tab w:val="left" w:pos="1260"/>
          <w:tab w:val="left" w:pos="1800"/>
        </w:tabs>
        <w:spacing w:line="360" w:lineRule="auto"/>
        <w:rPr>
          <w:b/>
          <w:color w:val="000000"/>
          <w:sz w:val="32"/>
          <w:szCs w:val="32"/>
          <w:lang w:eastAsia="zh-CN"/>
        </w:rPr>
      </w:pPr>
      <w:r>
        <w:rPr>
          <w:rFonts w:hint="eastAsia"/>
          <w:b/>
          <w:color w:val="000000"/>
          <w:sz w:val="32"/>
          <w:szCs w:val="32"/>
          <w:lang w:eastAsia="zh-CN"/>
        </w:rPr>
        <w:t>附件二：参选文件格式</w:t>
      </w:r>
    </w:p>
    <w:p>
      <w:pPr>
        <w:pStyle w:val="2"/>
        <w:rPr>
          <w:b/>
          <w:bCs/>
          <w:sz w:val="36"/>
          <w:szCs w:val="36"/>
        </w:rPr>
      </w:pP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44"/>
          <w:szCs w:val="44"/>
          <w:lang w:eastAsia="zh-CN"/>
        </w:rPr>
      </w:pPr>
      <w:r>
        <w:rPr>
          <w:rFonts w:hint="eastAsia" w:ascii="Times New Roman" w:hAnsi="Times New Roman" w:cs="Times New Roman"/>
          <w:b/>
          <w:bCs/>
          <w:sz w:val="44"/>
          <w:szCs w:val="44"/>
          <w:lang w:eastAsia="zh-CN"/>
        </w:rPr>
        <w:t>阻爆燃型管道阻火器</w:t>
      </w:r>
      <w:r>
        <w:rPr>
          <w:rFonts w:hint="eastAsia" w:ascii="Times New Roman" w:hAnsi="Times New Roman" w:cs="Times New Roman"/>
          <w:b/>
          <w:bCs/>
          <w:sz w:val="44"/>
          <w:szCs w:val="44"/>
          <w:lang w:val="en-US" w:eastAsia="zh-CN"/>
        </w:rPr>
        <w:t>采购项目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2"/>
        <w:rPr>
          <w:rFonts w:ascii="Times New Roman" w:hAnsi="Times New Roman"/>
        </w:rPr>
      </w:pPr>
    </w:p>
    <w:p>
      <w:pPr>
        <w:pStyle w:val="13"/>
        <w:rPr>
          <w:rFonts w:ascii="Times New Roman" w:hAnsi="Times New Roman" w:cs="Times New Roman"/>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6"/>
          <w:lang w:eastAsia="zh-CN"/>
        </w:rPr>
      </w:pPr>
    </w:p>
    <w:p>
      <w:pPr>
        <w:pStyle w:val="13"/>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3"/>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2022年</w:t>
      </w:r>
      <w:r>
        <w:rPr>
          <w:rFonts w:hint="eastAsia" w:ascii="Times New Roman" w:hAnsi="Times New Roman" w:cs="Times New Roman"/>
          <w:b/>
          <w:bCs/>
          <w:w w:val="95"/>
          <w:sz w:val="32"/>
          <w:lang w:val="en-US" w:eastAsia="zh-CN"/>
        </w:rPr>
        <w:t xml:space="preserve"> 7</w:t>
      </w:r>
      <w:r>
        <w:rPr>
          <w:rFonts w:ascii="Times New Roman" w:hAnsi="Times New Roman" w:cs="Times New Roman"/>
          <w:b/>
          <w:bCs/>
          <w:w w:val="95"/>
          <w:sz w:val="32"/>
          <w:lang w:eastAsia="zh-CN"/>
        </w:rPr>
        <w:t>月</w:t>
      </w:r>
    </w:p>
    <w:p>
      <w:pPr>
        <w:rPr>
          <w:rFonts w:ascii="Times New Roman" w:hAnsi="Times New Roman" w:cs="Times New Roman"/>
          <w:lang w:eastAsia="zh-CN"/>
        </w:rPr>
      </w:pPr>
    </w:p>
    <w:p>
      <w:pPr>
        <w:pStyle w:val="2"/>
        <w:rPr>
          <w:rFonts w:ascii="Times New Roman" w:hAnsi="Times New Roman"/>
        </w:rPr>
      </w:pPr>
    </w:p>
    <w:p>
      <w:pPr>
        <w:pStyle w:val="2"/>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1312"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1312;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LsDPNAsAgAASAQAAA4AAAAAAAAAAQAgAAAAJgEAAGRycy9lMm9Eb2MueG1sUEsF&#10;BgAAAAAGAAYAWQEAAMQFA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35"/>
        <w:spacing w:beforeLines="0" w:afterLines="0" w:line="240" w:lineRule="auto"/>
        <w:ind w:firstLine="618" w:firstLineChars="221"/>
        <w:rPr>
          <w:rFonts w:ascii="Times New Roman" w:hAnsi="Times New Roman" w:cs="Times New Roman"/>
          <w:bCs w:val="0"/>
          <w:color w:val="C00000"/>
          <w:lang w:eastAsia="zh-CN"/>
        </w:rPr>
      </w:pPr>
    </w:p>
    <w:p>
      <w:pPr>
        <w:pStyle w:val="35"/>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35"/>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35"/>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2"/>
        <w:rPr>
          <w:rFonts w:ascii="Times New Roman" w:hAnsi="Times New Roman"/>
        </w:rPr>
      </w:pPr>
    </w:p>
    <w:p>
      <w:pPr>
        <w:spacing w:line="1000" w:lineRule="exact"/>
        <w:jc w:val="center"/>
        <w:rPr>
          <w:rFonts w:ascii="Times New Roman" w:hAnsi="Times New Roman" w:cs="Times New Roman"/>
          <w:b/>
          <w:sz w:val="44"/>
          <w:szCs w:val="44"/>
        </w:rPr>
      </w:pPr>
    </w:p>
    <w:p>
      <w:pPr>
        <w:spacing w:line="1000" w:lineRule="exact"/>
        <w:jc w:val="left"/>
        <w:rPr>
          <w:rFonts w:hint="eastAsia" w:ascii="Times New Roman" w:hAnsi="Times New Roman" w:eastAsia="宋体" w:cs="Times New Roman"/>
          <w:b/>
          <w:sz w:val="44"/>
          <w:szCs w:val="44"/>
          <w:lang w:val="en-US" w:eastAsia="zh-CN"/>
        </w:rPr>
      </w:pPr>
      <w:r>
        <w:rPr>
          <w:rFonts w:hint="eastAsia" w:ascii="Times New Roman" w:hAnsi="Times New Roman" w:cs="Times New Roman"/>
          <w:b/>
          <w:sz w:val="44"/>
          <w:szCs w:val="44"/>
          <w:lang w:val="en-US"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30"/>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val="en-US"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rFonts w:hint="eastAsia"/>
          <w:b/>
          <w:bCs/>
          <w:sz w:val="36"/>
          <w:szCs w:val="36"/>
          <w:lang w:val="en-US" w:eastAsia="zh-CN"/>
        </w:rPr>
      </w:pPr>
    </w:p>
    <w:p>
      <w:pPr>
        <w:spacing w:line="500" w:lineRule="exact"/>
        <w:jc w:val="left"/>
        <w:rPr>
          <w:rFonts w:hint="eastAsia" w:eastAsia="宋体"/>
          <w:b/>
          <w:bCs/>
          <w:sz w:val="36"/>
          <w:szCs w:val="36"/>
          <w:lang w:eastAsia="zh-CN"/>
        </w:rPr>
      </w:pPr>
      <w:r>
        <w:rPr>
          <w:rFonts w:hint="eastAsia"/>
          <w:b/>
          <w:bCs/>
          <w:sz w:val="36"/>
          <w:szCs w:val="36"/>
          <w:lang w:val="en-US"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ascii="Times New Roman" w:hAnsi="Times New Roman"/>
          <w:kern w:val="2"/>
          <w:sz w:val="24"/>
          <w:szCs w:val="24"/>
          <w:lang w:val="en-US" w:eastAsia="zh-CN"/>
        </w:rPr>
        <w:t xml:space="preserve">    </w:t>
      </w:r>
      <w:r>
        <w:rPr>
          <w:rFonts w:hint="eastAsia" w:ascii="Times New Roman" w:hAnsi="Times New Roman"/>
          <w:kern w:val="2"/>
          <w:sz w:val="24"/>
          <w:szCs w:val="24"/>
        </w:rPr>
        <w:t xml:space="preserve">   </w:t>
      </w:r>
      <w:r>
        <w:rPr>
          <w:rFonts w:hint="eastAsia" w:ascii="宋体" w:hAnsi="宋体" w:eastAsia="宋体" w:cs="宋体"/>
          <w:kern w:val="2"/>
          <w:sz w:val="24"/>
          <w:szCs w:val="24"/>
        </w:rPr>
        <w:t xml:space="preserve"> 参  选  人</w:t>
      </w:r>
      <w:r>
        <w:rPr>
          <w:rFonts w:hint="eastAsia" w:ascii="Times New Roman" w:hAnsi="Times New Roman"/>
          <w:kern w:val="2"/>
          <w:sz w:val="24"/>
          <w:szCs w:val="24"/>
        </w:rPr>
        <w:t>：</w:t>
      </w:r>
      <w:r>
        <w:rPr>
          <w:rFonts w:hint="eastAsia" w:hAnsi="宋体"/>
          <w:color w:val="00B050"/>
          <w:kern w:val="2"/>
          <w:sz w:val="28"/>
          <w:szCs w:val="28"/>
        </w:rPr>
        <w:t>（单位名称）</w:t>
      </w:r>
    </w:p>
    <w:p>
      <w:pPr>
        <w:pStyle w:val="2"/>
        <w:ind w:firstLine="3960" w:firstLineChars="1650"/>
        <w:jc w:val="left"/>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法定代表人：</w:t>
      </w:r>
    </w:p>
    <w:p>
      <w:pPr>
        <w:spacing w:line="500" w:lineRule="exact"/>
        <w:jc w:val="both"/>
        <w:rPr>
          <w:b/>
          <w:sz w:val="28"/>
          <w:szCs w:val="28"/>
          <w:lang w:eastAsia="zh-CN"/>
        </w:rPr>
      </w:pPr>
    </w:p>
    <w:p>
      <w:pPr>
        <w:spacing w:line="500" w:lineRule="exact"/>
        <w:jc w:val="both"/>
        <w:rPr>
          <w:rFonts w:hint="eastAsia"/>
          <w:b/>
          <w:sz w:val="28"/>
          <w:szCs w:val="28"/>
          <w:lang w:eastAsia="zh-CN"/>
        </w:rPr>
      </w:pPr>
    </w:p>
    <w:p>
      <w:pPr>
        <w:spacing w:line="500" w:lineRule="exact"/>
        <w:jc w:val="both"/>
        <w:rPr>
          <w:rFonts w:hint="eastAsia"/>
          <w:b/>
          <w:sz w:val="28"/>
          <w:szCs w:val="28"/>
          <w:lang w:eastAsia="zh-CN"/>
        </w:rPr>
      </w:pPr>
    </w:p>
    <w:p>
      <w:pPr>
        <w:spacing w:line="500" w:lineRule="exact"/>
        <w:jc w:val="both"/>
        <w:rPr>
          <w:b/>
          <w:bCs/>
          <w:sz w:val="28"/>
          <w:szCs w:val="28"/>
          <w:lang w:val="en-US" w:eastAsia="zh-CN"/>
        </w:rPr>
      </w:pPr>
      <w:r>
        <w:rPr>
          <w:rFonts w:hint="eastAsia"/>
          <w:b/>
          <w:bCs/>
          <w:sz w:val="28"/>
          <w:szCs w:val="28"/>
          <w:lang w:val="en-US"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sz w:val="24"/>
          <w:szCs w:val="24"/>
          <w:u w:val="single"/>
          <w:lang w:eastAsia="zh-CN"/>
        </w:rPr>
        <w:t>冷冻式干燥机采购</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w:t>
      </w:r>
      <w:r>
        <w:rPr>
          <w:rFonts w:hint="eastAsia" w:cs="Times New Roman"/>
          <w:color w:val="00B050"/>
          <w:sz w:val="28"/>
          <w:szCs w:val="28"/>
          <w:u w:val="single"/>
          <w:lang w:val="en-US" w:eastAsia="zh-CN"/>
        </w:rPr>
        <w:t>2</w:t>
      </w:r>
      <w:r>
        <w:rPr>
          <w:rFonts w:hint="eastAsia" w:cs="Times New Roman"/>
          <w:color w:val="00B050"/>
          <w:sz w:val="28"/>
          <w:szCs w:val="28"/>
          <w:u w:val="single"/>
          <w:lang w:eastAsia="zh-CN"/>
        </w:rPr>
        <w:t>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31"/>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31"/>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rPr>
          <w:color w:val="0000FF"/>
          <w:kern w:val="2"/>
        </w:rPr>
      </w:pPr>
    </w:p>
    <w:p>
      <w:pPr>
        <w:pStyle w:val="2"/>
        <w:jc w:val="center"/>
        <w:rPr>
          <w:color w:val="0000FF"/>
          <w:kern w:val="2"/>
        </w:rPr>
      </w:pPr>
    </w:p>
    <w:p>
      <w:pPr>
        <w:pStyle w:val="2"/>
        <w:jc w:val="center"/>
        <w:rPr>
          <w:color w:val="0000FF"/>
          <w:kern w:val="2"/>
        </w:rPr>
      </w:pPr>
    </w:p>
    <w:p>
      <w:pPr>
        <w:pStyle w:val="2"/>
      </w:pPr>
      <w:r>
        <w:rPr>
          <w:rFonts w:hint="eastAsia"/>
          <w:b/>
          <w:sz w:val="28"/>
          <w:szCs w:val="28"/>
          <w:lang w:val="en-US" w:eastAsia="zh-CN"/>
        </w:rPr>
        <w:t>附件4</w:t>
      </w:r>
    </w:p>
    <w:p>
      <w:pPr>
        <w:pStyle w:val="2"/>
      </w:pPr>
    </w:p>
    <w:p>
      <w:pPr>
        <w:pStyle w:val="35"/>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rFonts w:hint="eastAsia"/>
          <w:sz w:val="24"/>
          <w:lang w:eastAsia="zh-CN"/>
        </w:rPr>
      </w:pPr>
      <w:r>
        <w:rPr>
          <w:rFonts w:hint="eastAsia"/>
          <w:sz w:val="24"/>
          <w:lang w:eastAsia="zh-CN"/>
        </w:rPr>
        <w:t>致：福建福海创石油化工有限公司</w:t>
      </w:r>
    </w:p>
    <w:p>
      <w:pPr>
        <w:pStyle w:val="2"/>
        <w:rPr>
          <w:lang w:eastAsia="zh-CN"/>
        </w:rPr>
      </w:pPr>
    </w:p>
    <w:p>
      <w:pPr>
        <w:spacing w:line="500" w:lineRule="exact"/>
        <w:ind w:firstLine="480" w:firstLineChars="200"/>
        <w:rPr>
          <w:sz w:val="24"/>
          <w:lang w:eastAsia="zh-CN"/>
        </w:rPr>
      </w:pPr>
      <w:r>
        <w:rPr>
          <w:rFonts w:hint="eastAsia"/>
          <w:sz w:val="24"/>
          <w:lang w:eastAsia="zh-CN"/>
        </w:rPr>
        <w:t>我公司对</w:t>
      </w:r>
      <w:r>
        <w:rPr>
          <w:rFonts w:hint="eastAsia"/>
          <w:sz w:val="24"/>
          <w:lang w:val="en-US" w:eastAsia="zh-CN"/>
        </w:rPr>
        <w:t>贵司</w:t>
      </w:r>
      <w:r>
        <w:rPr>
          <w:rFonts w:hint="eastAsia" w:asciiTheme="minorEastAsia" w:hAnsiTheme="minorEastAsia" w:eastAsiaTheme="minorEastAsia"/>
          <w:b/>
          <w:bCs/>
          <w:sz w:val="24"/>
          <w:szCs w:val="24"/>
          <w:u w:val="single"/>
          <w:lang w:eastAsia="zh-CN"/>
        </w:rPr>
        <w:t>阻爆燃型管道阻火器采购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5"/>
        <w:spacing w:beforeLines="0" w:afterLines="0" w:line="240" w:lineRule="auto"/>
        <w:ind w:firstLine="0" w:firstLineChars="0"/>
        <w:jc w:val="left"/>
        <w:rPr>
          <w:rFonts w:hint="eastAsia" w:cs="Times New Roman"/>
          <w:b/>
          <w:bCs w:val="0"/>
          <w:lang w:val="en-US" w:eastAsia="zh-CN"/>
        </w:rPr>
      </w:pPr>
      <w:r>
        <w:rPr>
          <w:rFonts w:hint="eastAsia" w:cs="Times New Roman"/>
          <w:b/>
          <w:bCs w:val="0"/>
          <w:lang w:val="en-US" w:eastAsia="zh-CN"/>
        </w:rPr>
        <w:t>附件5</w:t>
      </w:r>
    </w:p>
    <w:p>
      <w:pPr>
        <w:pStyle w:val="35"/>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35"/>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35"/>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asciiTheme="minorEastAsia" w:hAnsiTheme="minorEastAsia" w:eastAsiaTheme="minorEastAsia"/>
          <w:sz w:val="24"/>
          <w:szCs w:val="24"/>
          <w:u w:val="single"/>
          <w:lang w:eastAsia="zh-CN"/>
        </w:rPr>
        <w:t>阻爆燃型管道阻火器</w:t>
      </w:r>
      <w:r>
        <w:rPr>
          <w:rFonts w:hint="eastAsia" w:asciiTheme="majorEastAsia" w:hAnsiTheme="majorEastAsia" w:eastAsiaTheme="majorEastAsia"/>
          <w:sz w:val="24"/>
          <w:szCs w:val="24"/>
          <w:u w:val="single"/>
          <w:lang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 xml:space="preserve">元 </w:t>
      </w:r>
    </w:p>
    <w:p>
      <w:pPr>
        <w:pStyle w:val="2"/>
        <w:spacing w:line="360" w:lineRule="auto"/>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pPr>
        <w:pStyle w:val="2"/>
        <w:spacing w:line="360" w:lineRule="auto"/>
        <w:rPr>
          <w:sz w:val="24"/>
          <w:szCs w:val="24"/>
        </w:rPr>
      </w:pPr>
      <w:r>
        <w:rPr>
          <w:rFonts w:hint="eastAsia"/>
          <w:sz w:val="24"/>
          <w:szCs w:val="24"/>
        </w:rPr>
        <w:t xml:space="preserve">           2、付款方式：1）无预付款 ；</w:t>
      </w:r>
    </w:p>
    <w:p>
      <w:pPr>
        <w:pStyle w:val="2"/>
        <w:spacing w:line="360" w:lineRule="auto"/>
        <w:rPr>
          <w:sz w:val="24"/>
          <w:szCs w:val="24"/>
        </w:rPr>
      </w:pPr>
      <w:r>
        <w:rPr>
          <w:rFonts w:hint="eastAsia"/>
          <w:sz w:val="24"/>
          <w:szCs w:val="24"/>
        </w:rPr>
        <w:t xml:space="preserve">                        2）货到现场，验收合格后支付合同款的</w:t>
      </w:r>
      <w:r>
        <w:rPr>
          <w:rFonts w:hint="eastAsia"/>
          <w:sz w:val="24"/>
          <w:szCs w:val="24"/>
          <w:lang w:val="en-US" w:eastAsia="zh-CN"/>
        </w:rPr>
        <w:t>100</w:t>
      </w:r>
      <w:r>
        <w:rPr>
          <w:rFonts w:hint="eastAsia"/>
          <w:sz w:val="24"/>
          <w:szCs w:val="24"/>
        </w:rPr>
        <w:t>%</w:t>
      </w:r>
      <w:r>
        <w:rPr>
          <w:rFonts w:hint="eastAsia"/>
          <w:sz w:val="24"/>
          <w:szCs w:val="24"/>
          <w:lang w:eastAsia="zh-CN"/>
        </w:rPr>
        <w:t>。</w:t>
      </w:r>
    </w:p>
    <w:p>
      <w:pPr>
        <w:pStyle w:val="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2"/>
        <w:spacing w:line="360" w:lineRule="auto"/>
        <w:ind w:firstLine="480" w:firstLineChars="200"/>
        <w:rPr>
          <w:rFonts w:hint="eastAsia"/>
          <w:sz w:val="24"/>
          <w:szCs w:val="24"/>
        </w:rPr>
      </w:pP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35"/>
        <w:spacing w:beforeLines="0" w:afterLines="0"/>
        <w:ind w:firstLine="0" w:firstLineChars="0"/>
        <w:rPr>
          <w:lang w:eastAsia="zh-CN"/>
        </w:rPr>
      </w:pPr>
    </w:p>
    <w:p>
      <w:pPr>
        <w:pStyle w:val="35"/>
        <w:spacing w:beforeLines="0" w:afterLines="0"/>
        <w:ind w:firstLine="0" w:firstLineChars="0"/>
        <w:rPr>
          <w:lang w:eastAsia="zh-CN"/>
        </w:rPr>
      </w:pPr>
    </w:p>
    <w:p>
      <w:pPr>
        <w:spacing w:line="360" w:lineRule="auto"/>
        <w:ind w:firstLine="480" w:firstLineChars="200"/>
        <w:rPr>
          <w:rFonts w:hint="eastAsia" w:ascii="宋体" w:hAnsi="宋体" w:eastAsia="宋体" w:cs="宋体"/>
          <w:sz w:val="24"/>
          <w:szCs w:val="24"/>
          <w:lang w:val="en-US" w:eastAsia="zh-CN"/>
        </w:rPr>
      </w:pPr>
      <w:r>
        <w:rPr>
          <w:rFonts w:hint="eastAsia" w:cs="宋体"/>
          <w:sz w:val="24"/>
          <w:szCs w:val="24"/>
          <w:lang w:val="en-US" w:eastAsia="zh-CN"/>
        </w:rPr>
        <w:t>备注：详细报价详见附表</w:t>
      </w:r>
    </w:p>
    <w:p>
      <w:pPr>
        <w:pStyle w:val="35"/>
        <w:spacing w:beforeLines="0" w:afterLines="0"/>
        <w:ind w:firstLine="0" w:firstLineChars="0"/>
        <w:rPr>
          <w:rFonts w:ascii="Times New Roman"/>
          <w:bCs w:val="0"/>
          <w:sz w:val="24"/>
          <w:szCs w:val="24"/>
          <w:lang w:eastAsia="zh-CN"/>
        </w:rPr>
      </w:pPr>
    </w:p>
    <w:p>
      <w:pPr>
        <w:pStyle w:val="35"/>
        <w:spacing w:beforeLines="0" w:afterLines="0"/>
        <w:ind w:firstLine="0" w:firstLineChars="0"/>
        <w:rPr>
          <w:rFonts w:ascii="Times New Roman"/>
          <w:bCs w:val="0"/>
          <w:sz w:val="24"/>
          <w:szCs w:val="24"/>
          <w:lang w:eastAsia="zh-CN"/>
        </w:rPr>
        <w:sectPr>
          <w:headerReference r:id="rId6" w:type="default"/>
          <w:pgSz w:w="11910" w:h="16840"/>
          <w:pgMar w:top="1500" w:right="1210" w:bottom="740" w:left="1460" w:header="0" w:footer="551" w:gutter="0"/>
          <w:cols w:space="720" w:num="1"/>
          <w:docGrid w:type="lines" w:linePitch="312" w:charSpace="0"/>
        </w:sectPr>
      </w:pPr>
    </w:p>
    <w:tbl>
      <w:tblPr>
        <w:tblStyle w:val="30"/>
        <w:tblW w:w="15020" w:type="dxa"/>
        <w:jc w:val="center"/>
        <w:tblInd w:w="-19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31"/>
        <w:gridCol w:w="1510"/>
        <w:gridCol w:w="1257"/>
        <w:gridCol w:w="2142"/>
        <w:gridCol w:w="1460"/>
        <w:gridCol w:w="3842"/>
        <w:gridCol w:w="855"/>
        <w:gridCol w:w="1088"/>
        <w:gridCol w:w="1088"/>
        <w:gridCol w:w="12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928" w:hRule="atLeast"/>
          <w:jc w:val="center"/>
        </w:trPr>
        <w:tc>
          <w:tcPr>
            <w:tcW w:w="2041"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附表：</w:t>
            </w:r>
          </w:p>
        </w:tc>
        <w:tc>
          <w:tcPr>
            <w:tcW w:w="12979" w:type="dxa"/>
            <w:gridSpan w:val="8"/>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32"/>
                <w:szCs w:val="32"/>
                <w:u w:val="none"/>
              </w:rPr>
            </w:pPr>
            <w:r>
              <w:rPr>
                <w:rFonts w:hint="eastAsia" w:ascii="宋体" w:hAnsi="宋体" w:eastAsia="宋体" w:cs="宋体"/>
                <w:b/>
                <w:bCs/>
                <w:i w:val="0"/>
                <w:color w:val="000000"/>
                <w:kern w:val="0"/>
                <w:sz w:val="32"/>
                <w:szCs w:val="32"/>
                <w:u w:val="none"/>
                <w:lang w:val="en-US" w:eastAsia="zh-CN" w:bidi="ar"/>
              </w:rPr>
              <w:t>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9" w:hRule="atLeast"/>
          <w:jc w:val="center"/>
        </w:trPr>
        <w:tc>
          <w:tcPr>
            <w:tcW w:w="531" w:type="dxa"/>
            <w:tcBorders>
              <w:top w:val="single" w:color="000000" w:sz="12"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序号</w:t>
            </w:r>
          </w:p>
        </w:tc>
        <w:tc>
          <w:tcPr>
            <w:tcW w:w="1510"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请购单号</w:t>
            </w:r>
          </w:p>
        </w:tc>
        <w:tc>
          <w:tcPr>
            <w:tcW w:w="1257"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存货编码</w:t>
            </w:r>
          </w:p>
        </w:tc>
        <w:tc>
          <w:tcPr>
            <w:tcW w:w="2142"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存货名称</w:t>
            </w:r>
          </w:p>
        </w:tc>
        <w:tc>
          <w:tcPr>
            <w:tcW w:w="1460"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规格</w:t>
            </w:r>
          </w:p>
        </w:tc>
        <w:tc>
          <w:tcPr>
            <w:tcW w:w="3842"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型号</w:t>
            </w:r>
          </w:p>
        </w:tc>
        <w:tc>
          <w:tcPr>
            <w:tcW w:w="855"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计量</w:t>
            </w:r>
            <w:r>
              <w:rPr>
                <w:rStyle w:val="72"/>
                <w:rFonts w:hint="default" w:ascii="Times New Roman" w:hAnsi="Times New Roman" w:eastAsia="宋体" w:cs="Times New Roman"/>
                <w:sz w:val="21"/>
                <w:szCs w:val="21"/>
                <w:lang w:val="en-US" w:eastAsia="zh-CN" w:bidi="ar"/>
              </w:rPr>
              <w:br w:type="textWrapping"/>
            </w:r>
            <w:r>
              <w:rPr>
                <w:rStyle w:val="73"/>
                <w:rFonts w:hint="default" w:ascii="Times New Roman" w:hAnsi="Times New Roman" w:eastAsia="宋体" w:cs="Times New Roman"/>
                <w:sz w:val="21"/>
                <w:szCs w:val="21"/>
                <w:lang w:val="en-US" w:eastAsia="zh-CN" w:bidi="ar"/>
              </w:rPr>
              <w:t>单位</w:t>
            </w:r>
          </w:p>
        </w:tc>
        <w:tc>
          <w:tcPr>
            <w:tcW w:w="1088"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数量</w:t>
            </w:r>
          </w:p>
        </w:tc>
        <w:tc>
          <w:tcPr>
            <w:tcW w:w="1088"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到厂</w:t>
            </w:r>
            <w:r>
              <w:rPr>
                <w:rStyle w:val="72"/>
                <w:rFonts w:hint="default" w:ascii="Times New Roman" w:hAnsi="Times New Roman" w:eastAsia="宋体" w:cs="Times New Roman"/>
                <w:sz w:val="21"/>
                <w:szCs w:val="21"/>
                <w:lang w:val="en-US" w:eastAsia="zh-CN" w:bidi="ar"/>
              </w:rPr>
              <w:br w:type="textWrapping"/>
            </w:r>
            <w:r>
              <w:rPr>
                <w:rStyle w:val="73"/>
                <w:rFonts w:hint="default" w:ascii="Times New Roman" w:hAnsi="Times New Roman" w:eastAsia="宋体" w:cs="Times New Roman"/>
                <w:sz w:val="21"/>
                <w:szCs w:val="21"/>
                <w:lang w:val="en-US" w:eastAsia="zh-CN" w:bidi="ar"/>
              </w:rPr>
              <w:t>含税单价</w:t>
            </w:r>
          </w:p>
        </w:tc>
        <w:tc>
          <w:tcPr>
            <w:tcW w:w="1247" w:type="dxa"/>
            <w:tcBorders>
              <w:top w:val="single" w:color="000000" w:sz="12"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小计</w:t>
            </w:r>
            <w:r>
              <w:rPr>
                <w:rStyle w:val="72"/>
                <w:rFonts w:hint="default" w:ascii="Times New Roman" w:hAnsi="Times New Roman" w:eastAsia="宋体" w:cs="Times New Roman"/>
                <w:sz w:val="21"/>
                <w:szCs w:val="21"/>
                <w:lang w:val="en-US" w:eastAsia="zh-CN" w:bidi="ar"/>
              </w:rPr>
              <w:br w:type="textWrapping"/>
            </w:r>
            <w:r>
              <w:rPr>
                <w:rStyle w:val="73"/>
                <w:rFonts w:hint="default" w:ascii="Times New Roman" w:hAnsi="Times New Roman" w:eastAsia="宋体" w:cs="Times New Roman"/>
                <w:sz w:val="21"/>
                <w:szCs w:val="21"/>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41" w:hRule="atLeast"/>
          <w:jc w:val="center"/>
        </w:trPr>
        <w:tc>
          <w:tcPr>
            <w:tcW w:w="531"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w:t>
            </w: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QG2206090045</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3009220025</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阻爆燃型管道阻火器</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GZW-1，DN50</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CS.RF.2".150LB.温度＜300℃.</w:t>
            </w:r>
          </w:p>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介质：氢气，按GB13347-92标准执行</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台</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宋体" w:cs="Times New Roman"/>
                <w:i w:val="0"/>
                <w:color w:val="000000"/>
                <w:sz w:val="21"/>
                <w:szCs w:val="21"/>
                <w:u w:val="none"/>
              </w:rPr>
            </w:pPr>
          </w:p>
        </w:tc>
        <w:tc>
          <w:tcPr>
            <w:tcW w:w="1247"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left"/>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41" w:hRule="atLeast"/>
          <w:jc w:val="center"/>
        </w:trPr>
        <w:tc>
          <w:tcPr>
            <w:tcW w:w="531"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w:t>
            </w: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QG2206090046</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3009220026</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阻爆燃型管道阻火器</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DN80CL150</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CS.RF.DN80CL150.温度＜100℃.</w:t>
            </w:r>
          </w:p>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介质：燃料气，按GB13347-93标准执行</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台</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宋体" w:cs="Times New Roman"/>
                <w:i w:val="0"/>
                <w:color w:val="000000"/>
                <w:sz w:val="21"/>
                <w:szCs w:val="21"/>
                <w:u w:val="none"/>
              </w:rPr>
            </w:pPr>
          </w:p>
        </w:tc>
        <w:tc>
          <w:tcPr>
            <w:tcW w:w="1247"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left"/>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41" w:hRule="atLeast"/>
          <w:jc w:val="center"/>
        </w:trPr>
        <w:tc>
          <w:tcPr>
            <w:tcW w:w="531"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w:t>
            </w: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QG2206090047</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3009220027</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阻爆燃型管道阻火器</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DN150CL150</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CS.RF.DN150CL150.温度＜100℃.</w:t>
            </w:r>
          </w:p>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介质：燃料气，按GB13347-93标准执行</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台</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宋体" w:cs="Times New Roman"/>
                <w:i w:val="0"/>
                <w:color w:val="000000"/>
                <w:sz w:val="21"/>
                <w:szCs w:val="21"/>
                <w:u w:val="none"/>
              </w:rPr>
            </w:pPr>
          </w:p>
        </w:tc>
        <w:tc>
          <w:tcPr>
            <w:tcW w:w="1247"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left"/>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41" w:hRule="atLeast"/>
          <w:jc w:val="center"/>
        </w:trPr>
        <w:tc>
          <w:tcPr>
            <w:tcW w:w="531"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w:t>
            </w: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QG2206090048</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3009220028</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阻爆燃型管道阻火器</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DN200CL150</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CS.RF.DN200CL150.温度＜100℃.</w:t>
            </w:r>
          </w:p>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介质：燃料气，按GB13347-93标准执行</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台</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宋体" w:cs="Times New Roman"/>
                <w:i w:val="0"/>
                <w:color w:val="000000"/>
                <w:sz w:val="21"/>
                <w:szCs w:val="21"/>
                <w:u w:val="none"/>
              </w:rPr>
            </w:pPr>
          </w:p>
        </w:tc>
        <w:tc>
          <w:tcPr>
            <w:tcW w:w="1247"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left"/>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41" w:hRule="atLeast"/>
          <w:jc w:val="center"/>
        </w:trPr>
        <w:tc>
          <w:tcPr>
            <w:tcW w:w="531"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w:t>
            </w: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QG2206090049</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3009220029</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阻爆燃型管道阻火器</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DN40CL150</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CS.RF.DN40CL150.温度＜100℃.</w:t>
            </w:r>
          </w:p>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介质：燃料气，按GB13347-93标准执行</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台</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13</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宋体" w:cs="Times New Roman"/>
                <w:i w:val="0"/>
                <w:color w:val="000000"/>
                <w:sz w:val="21"/>
                <w:szCs w:val="21"/>
                <w:u w:val="none"/>
              </w:rPr>
            </w:pPr>
          </w:p>
        </w:tc>
        <w:tc>
          <w:tcPr>
            <w:tcW w:w="1247"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left"/>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41" w:hRule="atLeast"/>
          <w:jc w:val="center"/>
        </w:trPr>
        <w:tc>
          <w:tcPr>
            <w:tcW w:w="531" w:type="dxa"/>
            <w:tcBorders>
              <w:top w:val="single" w:color="000000" w:sz="4" w:space="0"/>
              <w:left w:val="single" w:color="000000" w:sz="12"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w:t>
            </w:r>
          </w:p>
        </w:tc>
        <w:tc>
          <w:tcPr>
            <w:tcW w:w="151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QG2206090050</w:t>
            </w:r>
          </w:p>
        </w:tc>
        <w:tc>
          <w:tcPr>
            <w:tcW w:w="125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3009220030</w:t>
            </w:r>
          </w:p>
        </w:tc>
        <w:tc>
          <w:tcPr>
            <w:tcW w:w="214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阻爆燃型管道阻火器</w:t>
            </w:r>
          </w:p>
        </w:tc>
        <w:tc>
          <w:tcPr>
            <w:tcW w:w="146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DN100CL150</w:t>
            </w:r>
          </w:p>
        </w:tc>
        <w:tc>
          <w:tcPr>
            <w:tcW w:w="384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CS.RF.DN100CL150.温度＜100℃.</w:t>
            </w:r>
          </w:p>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介质：燃料气，按GB13347-93标准执行</w:t>
            </w:r>
          </w:p>
        </w:tc>
        <w:tc>
          <w:tcPr>
            <w:tcW w:w="85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台</w:t>
            </w:r>
          </w:p>
        </w:tc>
        <w:tc>
          <w:tcPr>
            <w:tcW w:w="1088"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w:t>
            </w:r>
          </w:p>
        </w:tc>
        <w:tc>
          <w:tcPr>
            <w:tcW w:w="1088" w:type="dxa"/>
            <w:tcBorders>
              <w:top w:val="single" w:color="000000" w:sz="4" w:space="0"/>
              <w:left w:val="single" w:color="000000" w:sz="4" w:space="0"/>
              <w:right w:val="single" w:color="000000" w:sz="4" w:space="0"/>
            </w:tcBorders>
            <w:shd w:val="clear" w:color="auto" w:fill="auto"/>
            <w:vAlign w:val="center"/>
          </w:tcPr>
          <w:p>
            <w:pPr>
              <w:jc w:val="left"/>
              <w:rPr>
                <w:rFonts w:hint="default" w:ascii="Times New Roman" w:hAnsi="Times New Roman" w:eastAsia="宋体" w:cs="Times New Roman"/>
                <w:i w:val="0"/>
                <w:color w:val="000000"/>
                <w:sz w:val="21"/>
                <w:szCs w:val="21"/>
                <w:u w:val="none"/>
              </w:rPr>
            </w:pPr>
          </w:p>
        </w:tc>
        <w:tc>
          <w:tcPr>
            <w:tcW w:w="1247" w:type="dxa"/>
            <w:tcBorders>
              <w:top w:val="single" w:color="000000" w:sz="4" w:space="0"/>
              <w:left w:val="single" w:color="000000" w:sz="4" w:space="0"/>
              <w:right w:val="single" w:color="000000" w:sz="12" w:space="0"/>
            </w:tcBorders>
            <w:shd w:val="clear" w:color="auto" w:fill="auto"/>
            <w:vAlign w:val="center"/>
          </w:tcPr>
          <w:p>
            <w:pPr>
              <w:jc w:val="left"/>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79" w:hRule="atLeast"/>
          <w:jc w:val="center"/>
        </w:trPr>
        <w:tc>
          <w:tcPr>
            <w:tcW w:w="10742" w:type="dxa"/>
            <w:gridSpan w:val="6"/>
            <w:tcBorders>
              <w:top w:val="single" w:color="000000" w:sz="12" w:space="0"/>
              <w:left w:val="single" w:color="000000" w:sz="12"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b/>
                <w:bCs/>
                <w:i w:val="0"/>
                <w:color w:val="000000"/>
                <w:kern w:val="0"/>
                <w:sz w:val="21"/>
                <w:szCs w:val="21"/>
                <w:u w:val="none"/>
                <w:lang w:val="en-US" w:eastAsia="zh-CN" w:bidi="ar"/>
              </w:rPr>
              <w:t>合计（人民币：元）</w:t>
            </w:r>
          </w:p>
        </w:tc>
        <w:tc>
          <w:tcPr>
            <w:tcW w:w="4278" w:type="dxa"/>
            <w:gridSpan w:val="4"/>
            <w:tcBorders>
              <w:top w:val="single" w:color="000000" w:sz="12" w:space="0"/>
              <w:left w:val="single" w:color="000000" w:sz="4" w:space="0"/>
              <w:bottom w:val="single" w:color="000000" w:sz="12" w:space="0"/>
              <w:right w:val="single" w:color="000000" w:sz="12" w:space="0"/>
            </w:tcBorders>
            <w:shd w:val="clear" w:color="auto" w:fill="auto"/>
            <w:vAlign w:val="center"/>
          </w:tcPr>
          <w:p>
            <w:pPr>
              <w:jc w:val="center"/>
              <w:rPr>
                <w:rFonts w:hint="default" w:ascii="Times New Roman" w:hAnsi="Times New Roman" w:eastAsia="宋体" w:cs="Times New Roman"/>
                <w:i w:val="0"/>
                <w:color w:val="000000"/>
                <w:sz w:val="21"/>
                <w:szCs w:val="21"/>
                <w:u w:val="none"/>
              </w:rPr>
            </w:pPr>
          </w:p>
        </w:tc>
      </w:tr>
    </w:tbl>
    <w:p>
      <w:pPr>
        <w:pStyle w:val="35"/>
        <w:spacing w:beforeLines="0" w:afterLines="0"/>
        <w:ind w:firstLine="0" w:firstLineChars="0"/>
        <w:rPr>
          <w:rFonts w:ascii="Times New Roman"/>
          <w:bCs w:val="0"/>
          <w:sz w:val="24"/>
          <w:szCs w:val="24"/>
          <w:lang w:eastAsia="zh-CN"/>
        </w:rPr>
      </w:pPr>
    </w:p>
    <w:sectPr>
      <w:pgSz w:w="16840" w:h="11910" w:orient="landscape"/>
      <w:pgMar w:top="1463" w:right="1500" w:bottom="1208" w:left="740" w:header="0" w:footer="550" w:gutter="0"/>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Dialog">
    <w:altName w:val="Times New Roman"/>
    <w:panose1 w:val="00000000000000000000"/>
    <w:charset w:val="00"/>
    <w:family w:val="auto"/>
    <w:pitch w:val="default"/>
    <w:sig w:usb0="00000000" w:usb1="00000000" w:usb2="00000000" w:usb3="00000000" w:csb0="00000000" w:csb1="00000000"/>
  </w:font>
  <w:font w:name="新宋体">
    <w:panose1 w:val="02010609030101010101"/>
    <w:charset w:val="86"/>
    <w:family w:val="modern"/>
    <w:pitch w:val="default"/>
    <w:sig w:usb0="00000283" w:usb1="288F0000" w:usb2="00000006" w:usb3="00000000" w:csb0="00040001" w:csb1="00000000"/>
  </w:font>
  <w:font w:name="华文细黑">
    <w:panose1 w:val="02010600040101010101"/>
    <w:charset w:val="86"/>
    <w:family w:val="auto"/>
    <w:pitch w:val="default"/>
    <w:sig w:usb0="00000287" w:usb1="080F0000" w:usb2="00000000" w:usb3="00000000" w:csb0="0004009F" w:csb1="DFD7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mc:AlternateContent>
        <mc:Choice Requires="wps">
          <w:drawing>
            <wp:anchor distT="0" distB="0" distL="114300" distR="114300" simplePos="0" relativeHeight="251658240"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8240;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g6cVe2QAAAA0B&#10;AAAPAAAAAAAAAAEAIAAAACIAAABkcnMvZG93bnJldi54bWxQSwECFAAUAAAACACHTuJAu38EwKgB&#10;AAAvAwAADgAAAAAAAAABACAAAAAoAQAAZHJzL2Uyb0RvYy54bWxQSwUGAAAAAAYABgBZAQAAQgUA&#10;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16</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16</w:t>
                    </w:r>
                    <w:r>
                      <w:rPr>
                        <w:rFonts w:hint="eastAsia"/>
                        <w:sz w:val="18"/>
                        <w:lang w:eastAsia="zh-CN"/>
                      </w:rPr>
                      <w:fldChar w:fldCharType="end"/>
                    </w:r>
                    <w:r>
                      <w:rPr>
                        <w:rFonts w:hint="eastAsia"/>
                        <w:sz w:val="18"/>
                        <w:lang w:eastAsia="zh-CN"/>
                      </w:rPr>
                      <w:t xml:space="preserve"> 页</w:t>
                    </w:r>
                  </w:p>
                </w:txbxContent>
              </v:textbox>
            </v:shape>
          </w:pict>
        </mc:Fallback>
      </mc:AlternateContent>
    </w:r>
    <w:r>
      <mc:AlternateContent>
        <mc:Choice Requires="wps">
          <w:drawing>
            <wp:anchor distT="0" distB="0" distL="114300" distR="114300" simplePos="0" relativeHeight="251662336"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4"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4144;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g6cVe2QAAAA0B&#10;AAAPAAAAAAAAAAEAIAAAACIAAABkcnMvZG93bnJldi54bWxQSwECFAAUAAAACACHTuJASDtOhKgB&#10;AAAvAwAADgAAAAAAAAABACAAAAAoAQAAZHJzL2Uyb0RvYy54bWxQSwUGAAAAAAYABgBZAQAAQgUA&#10;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7781229"/>
    <w:multiLevelType w:val="singleLevel"/>
    <w:tmpl w:val="97781229"/>
    <w:lvl w:ilvl="0" w:tentative="0">
      <w:start w:val="1"/>
      <w:numFmt w:val="chineseCounting"/>
      <w:suff w:val="nothing"/>
      <w:lvlText w:val="%1、"/>
      <w:lvlJc w:val="left"/>
      <w:rPr>
        <w:rFonts w:hint="eastAsia"/>
      </w:rPr>
    </w:lvl>
  </w:abstractNum>
  <w:abstractNum w:abstractNumId="1">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3">
    <w:nsid w:val="7D5A43FD"/>
    <w:multiLevelType w:val="multilevel"/>
    <w:tmpl w:val="7D5A43FD"/>
    <w:lvl w:ilvl="0" w:tentative="0">
      <w:start w:val="3"/>
      <w:numFmt w:val="japaneseCounting"/>
      <w:lvlText w:val="%1、"/>
      <w:lvlJc w:val="left"/>
      <w:pPr>
        <w:ind w:left="742" w:hanging="600"/>
      </w:pPr>
      <w:rPr>
        <w:rFonts w:hint="default"/>
      </w:r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rawingGridVerticalSpacing w:val="159"/>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22115"/>
    <w:rsid w:val="00C236A4"/>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3167"/>
    <w:rsid w:val="00FC0F19"/>
    <w:rsid w:val="00FD2D2E"/>
    <w:rsid w:val="00FE30FE"/>
    <w:rsid w:val="00FE3FD9"/>
    <w:rsid w:val="00FE63CC"/>
    <w:rsid w:val="00FE775B"/>
    <w:rsid w:val="00FF618B"/>
    <w:rsid w:val="00FF7A44"/>
    <w:rsid w:val="029D7B85"/>
    <w:rsid w:val="0367315B"/>
    <w:rsid w:val="03863E76"/>
    <w:rsid w:val="061139E5"/>
    <w:rsid w:val="06F50B00"/>
    <w:rsid w:val="076E1278"/>
    <w:rsid w:val="08D1141D"/>
    <w:rsid w:val="0B296DE2"/>
    <w:rsid w:val="0B983CE8"/>
    <w:rsid w:val="0CEC2637"/>
    <w:rsid w:val="0D704EEE"/>
    <w:rsid w:val="0EEC5213"/>
    <w:rsid w:val="0FBB2AA9"/>
    <w:rsid w:val="10294AA3"/>
    <w:rsid w:val="10E40CA0"/>
    <w:rsid w:val="136130D9"/>
    <w:rsid w:val="15342061"/>
    <w:rsid w:val="1571589E"/>
    <w:rsid w:val="164500FE"/>
    <w:rsid w:val="18D85DB9"/>
    <w:rsid w:val="18DD4F7E"/>
    <w:rsid w:val="195B58A2"/>
    <w:rsid w:val="1AD26D88"/>
    <w:rsid w:val="1E085A14"/>
    <w:rsid w:val="1EB71B1C"/>
    <w:rsid w:val="1EE21CAD"/>
    <w:rsid w:val="1FA4685B"/>
    <w:rsid w:val="1FF43DDB"/>
    <w:rsid w:val="20E43EB1"/>
    <w:rsid w:val="21933AA2"/>
    <w:rsid w:val="22AA7317"/>
    <w:rsid w:val="2564247D"/>
    <w:rsid w:val="25BF356F"/>
    <w:rsid w:val="25DB0C2D"/>
    <w:rsid w:val="269469E7"/>
    <w:rsid w:val="29886A00"/>
    <w:rsid w:val="29FC3B14"/>
    <w:rsid w:val="2B11792E"/>
    <w:rsid w:val="2CA57894"/>
    <w:rsid w:val="2F3936CE"/>
    <w:rsid w:val="2F6B5F0C"/>
    <w:rsid w:val="306C6CAE"/>
    <w:rsid w:val="31C54755"/>
    <w:rsid w:val="3216608C"/>
    <w:rsid w:val="34CE14C6"/>
    <w:rsid w:val="34D84CEC"/>
    <w:rsid w:val="37AF5AB7"/>
    <w:rsid w:val="3B1C3371"/>
    <w:rsid w:val="3CC23198"/>
    <w:rsid w:val="3CC5127A"/>
    <w:rsid w:val="3DDF4815"/>
    <w:rsid w:val="3E9E45D1"/>
    <w:rsid w:val="3FE669E5"/>
    <w:rsid w:val="44F473B8"/>
    <w:rsid w:val="46C04F53"/>
    <w:rsid w:val="471660FA"/>
    <w:rsid w:val="48862C99"/>
    <w:rsid w:val="49A31EDC"/>
    <w:rsid w:val="4F3A01F0"/>
    <w:rsid w:val="500F48EF"/>
    <w:rsid w:val="50F63E28"/>
    <w:rsid w:val="52105747"/>
    <w:rsid w:val="5221007F"/>
    <w:rsid w:val="52926B5A"/>
    <w:rsid w:val="545C5E51"/>
    <w:rsid w:val="5486175B"/>
    <w:rsid w:val="57667D24"/>
    <w:rsid w:val="57CE5BC3"/>
    <w:rsid w:val="59F5351B"/>
    <w:rsid w:val="5AE1516A"/>
    <w:rsid w:val="5B6A3A79"/>
    <w:rsid w:val="5B712E82"/>
    <w:rsid w:val="5C1A5F7B"/>
    <w:rsid w:val="5C8277EA"/>
    <w:rsid w:val="5E88034A"/>
    <w:rsid w:val="627C4924"/>
    <w:rsid w:val="645771F8"/>
    <w:rsid w:val="64E26B11"/>
    <w:rsid w:val="65585CE2"/>
    <w:rsid w:val="68B757AA"/>
    <w:rsid w:val="6A54112D"/>
    <w:rsid w:val="6AA035AE"/>
    <w:rsid w:val="6E0F2E14"/>
    <w:rsid w:val="6E1A1323"/>
    <w:rsid w:val="6F1E141D"/>
    <w:rsid w:val="6F5354F8"/>
    <w:rsid w:val="740A2BDE"/>
    <w:rsid w:val="751839E0"/>
    <w:rsid w:val="76274F93"/>
    <w:rsid w:val="778B1930"/>
    <w:rsid w:val="78DC4EE3"/>
    <w:rsid w:val="79EB3F2F"/>
    <w:rsid w:val="7A6B547E"/>
    <w:rsid w:val="7ABD761B"/>
    <w:rsid w:val="7B11789E"/>
    <w:rsid w:val="7BE61E03"/>
    <w:rsid w:val="7DC94A0A"/>
    <w:rsid w:val="7E0752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99"/>
    <w:pPr>
      <w:ind w:left="538"/>
      <w:outlineLvl w:val="0"/>
    </w:pPr>
    <w:rPr>
      <w:b/>
      <w:bCs/>
      <w:sz w:val="28"/>
      <w:szCs w:val="28"/>
    </w:rPr>
  </w:style>
  <w:style w:type="paragraph" w:styleId="4">
    <w:name w:val="heading 2"/>
    <w:basedOn w:val="1"/>
    <w:next w:val="1"/>
    <w:link w:val="52"/>
    <w:qFormat/>
    <w:uiPriority w:val="0"/>
    <w:pPr>
      <w:ind w:left="629"/>
      <w:outlineLvl w:val="1"/>
    </w:pPr>
    <w:rPr>
      <w:b/>
      <w:bCs/>
      <w:sz w:val="24"/>
      <w:szCs w:val="24"/>
    </w:rPr>
  </w:style>
  <w:style w:type="paragraph" w:styleId="5">
    <w:name w:val="heading 3"/>
    <w:basedOn w:val="1"/>
    <w:next w:val="1"/>
    <w:link w:val="45"/>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60"/>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4">
    <w:name w:val="Default Paragraph Font"/>
    <w:unhideWhenUsed/>
    <w:uiPriority w:val="1"/>
  </w:style>
  <w:style w:type="table" w:default="1" w:styleId="30">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link w:val="57"/>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7">
    <w:name w:val="Normal Indent"/>
    <w:basedOn w:val="1"/>
    <w:link w:val="53"/>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8">
    <w:name w:val="Document Map"/>
    <w:basedOn w:val="1"/>
    <w:link w:val="61"/>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9">
    <w:name w:val="annotation text"/>
    <w:basedOn w:val="1"/>
    <w:link w:val="46"/>
    <w:qFormat/>
    <w:uiPriority w:val="99"/>
    <w:pPr>
      <w:autoSpaceDE/>
      <w:autoSpaceDN/>
      <w:jc w:val="both"/>
    </w:pPr>
    <w:rPr>
      <w:rFonts w:ascii="Times New Roman" w:hAnsi="Times New Roman" w:cs="Times New Roman"/>
      <w:kern w:val="2"/>
      <w:sz w:val="21"/>
      <w:szCs w:val="20"/>
      <w:lang w:eastAsia="zh-CN"/>
    </w:rPr>
  </w:style>
  <w:style w:type="paragraph" w:styleId="10">
    <w:name w:val="Body Text"/>
    <w:basedOn w:val="1"/>
    <w:link w:val="54"/>
    <w:qFormat/>
    <w:uiPriority w:val="1"/>
    <w:rPr>
      <w:sz w:val="24"/>
      <w:szCs w:val="24"/>
    </w:rPr>
  </w:style>
  <w:style w:type="paragraph" w:styleId="11">
    <w:name w:val="Body Text Indent"/>
    <w:basedOn w:val="1"/>
    <w:link w:val="58"/>
    <w:uiPriority w:val="0"/>
    <w:pPr>
      <w:spacing w:after="120"/>
      <w:ind w:left="420" w:leftChars="200"/>
    </w:pPr>
  </w:style>
  <w:style w:type="paragraph" w:styleId="12">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3">
    <w:name w:val="Plain Text"/>
    <w:basedOn w:val="1"/>
    <w:link w:val="50"/>
    <w:qFormat/>
    <w:uiPriority w:val="99"/>
    <w:rPr>
      <w:rFonts w:hAnsi="Courier New" w:cs="Courier New"/>
      <w:szCs w:val="21"/>
    </w:rPr>
  </w:style>
  <w:style w:type="paragraph" w:styleId="14">
    <w:name w:val="Date"/>
    <w:basedOn w:val="1"/>
    <w:next w:val="1"/>
    <w:link w:val="36"/>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5">
    <w:name w:val="Body Text Indent 2"/>
    <w:basedOn w:val="1"/>
    <w:link w:val="49"/>
    <w:qFormat/>
    <w:uiPriority w:val="0"/>
    <w:pPr>
      <w:spacing w:after="120" w:line="480" w:lineRule="auto"/>
      <w:ind w:left="420" w:leftChars="200"/>
    </w:pPr>
  </w:style>
  <w:style w:type="paragraph" w:styleId="16">
    <w:name w:val="Balloon Text"/>
    <w:basedOn w:val="1"/>
    <w:link w:val="40"/>
    <w:qFormat/>
    <w:uiPriority w:val="99"/>
    <w:rPr>
      <w:sz w:val="18"/>
      <w:szCs w:val="18"/>
    </w:rPr>
  </w:style>
  <w:style w:type="paragraph" w:styleId="17">
    <w:name w:val="footer"/>
    <w:basedOn w:val="1"/>
    <w:link w:val="41"/>
    <w:qFormat/>
    <w:uiPriority w:val="99"/>
    <w:pPr>
      <w:tabs>
        <w:tab w:val="center" w:pos="4153"/>
        <w:tab w:val="right" w:pos="8306"/>
      </w:tabs>
      <w:snapToGrid w:val="0"/>
    </w:pPr>
    <w:rPr>
      <w:sz w:val="18"/>
      <w:szCs w:val="18"/>
    </w:rPr>
  </w:style>
  <w:style w:type="paragraph" w:styleId="18">
    <w:name w:val="header"/>
    <w:basedOn w:val="1"/>
    <w:link w:val="65"/>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9">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20">
    <w:name w:val="Subtitle"/>
    <w:basedOn w:val="1"/>
    <w:next w:val="1"/>
    <w:link w:val="62"/>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1">
    <w:name w:val="List"/>
    <w:basedOn w:val="1"/>
    <w:uiPriority w:val="0"/>
    <w:pPr>
      <w:widowControl/>
      <w:autoSpaceDE/>
      <w:autoSpaceDN/>
      <w:ind w:left="420" w:hanging="420"/>
    </w:pPr>
    <w:rPr>
      <w:rFonts w:hAnsi="Times New Roman" w:cs="Times New Roman"/>
      <w:szCs w:val="20"/>
      <w:lang w:eastAsia="zh-CN"/>
    </w:rPr>
  </w:style>
  <w:style w:type="paragraph" w:styleId="22">
    <w:name w:val="Body Text 2"/>
    <w:basedOn w:val="1"/>
    <w:link w:val="48"/>
    <w:qFormat/>
    <w:uiPriority w:val="0"/>
    <w:pPr>
      <w:spacing w:after="120" w:line="480" w:lineRule="auto"/>
    </w:pPr>
  </w:style>
  <w:style w:type="paragraph" w:styleId="23">
    <w:name w:val="Title"/>
    <w:basedOn w:val="1"/>
    <w:next w:val="1"/>
    <w:link w:val="63"/>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character" w:styleId="25">
    <w:name w:val="Strong"/>
    <w:qFormat/>
    <w:uiPriority w:val="99"/>
    <w:rPr>
      <w:b/>
      <w:bCs/>
    </w:rPr>
  </w:style>
  <w:style w:type="character" w:styleId="26">
    <w:name w:val="page number"/>
    <w:basedOn w:val="24"/>
    <w:qFormat/>
    <w:uiPriority w:val="99"/>
    <w:rPr>
      <w:rFonts w:cs="Times New Roman"/>
    </w:rPr>
  </w:style>
  <w:style w:type="character" w:styleId="27">
    <w:name w:val="FollowedHyperlink"/>
    <w:basedOn w:val="24"/>
    <w:qFormat/>
    <w:uiPriority w:val="99"/>
    <w:rPr>
      <w:rFonts w:cs="Times New Roman"/>
      <w:color w:val="800080"/>
      <w:u w:val="single"/>
    </w:rPr>
  </w:style>
  <w:style w:type="character" w:styleId="28">
    <w:name w:val="Emphasis"/>
    <w:basedOn w:val="24"/>
    <w:qFormat/>
    <w:uiPriority w:val="20"/>
    <w:rPr>
      <w:i/>
      <w:iCs/>
    </w:rPr>
  </w:style>
  <w:style w:type="character" w:styleId="29">
    <w:name w:val="Hyperlink"/>
    <w:basedOn w:val="24"/>
    <w:qFormat/>
    <w:uiPriority w:val="99"/>
    <w:rPr>
      <w:color w:val="0000FF"/>
      <w:u w:val="single"/>
    </w:rPr>
  </w:style>
  <w:style w:type="table" w:styleId="31">
    <w:name w:val="Table Grid"/>
    <w:basedOn w:val="3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32">
    <w:name w:val="Table Normal"/>
    <w:unhideWhenUsed/>
    <w:qFormat/>
    <w:uiPriority w:val="2"/>
    <w:tblPr>
      <w:tblLayout w:type="fixed"/>
      <w:tblCellMar>
        <w:top w:w="0" w:type="dxa"/>
        <w:left w:w="0" w:type="dxa"/>
        <w:bottom w:w="0" w:type="dxa"/>
        <w:right w:w="0" w:type="dxa"/>
      </w:tblCellMar>
    </w:tblPr>
  </w:style>
  <w:style w:type="paragraph" w:customStyle="1" w:styleId="33">
    <w:name w:val="List Paragraph"/>
    <w:basedOn w:val="1"/>
    <w:qFormat/>
    <w:uiPriority w:val="99"/>
    <w:pPr>
      <w:spacing w:before="206"/>
      <w:ind w:left="959" w:hanging="361"/>
    </w:pPr>
  </w:style>
  <w:style w:type="paragraph" w:customStyle="1" w:styleId="34">
    <w:name w:val="Table Paragraph"/>
    <w:basedOn w:val="1"/>
    <w:qFormat/>
    <w:uiPriority w:val="1"/>
  </w:style>
  <w:style w:type="paragraph" w:customStyle="1" w:styleId="35">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36">
    <w:name w:val="日期 Char"/>
    <w:basedOn w:val="24"/>
    <w:link w:val="14"/>
    <w:qFormat/>
    <w:uiPriority w:val="99"/>
    <w:rPr>
      <w:rFonts w:asciiTheme="minorHAnsi" w:hAnsiTheme="minorHAnsi" w:eastAsiaTheme="minorEastAsia" w:cstheme="minorBidi"/>
      <w:kern w:val="2"/>
      <w:sz w:val="21"/>
      <w:szCs w:val="22"/>
    </w:rPr>
  </w:style>
  <w:style w:type="paragraph" w:customStyle="1" w:styleId="37">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38">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39">
    <w:name w:val="xdrichtextbox2"/>
    <w:basedOn w:val="24"/>
    <w:qFormat/>
    <w:uiPriority w:val="0"/>
    <w:rPr>
      <w:color w:val="0000FF"/>
      <w:sz w:val="18"/>
      <w:szCs w:val="18"/>
      <w:u w:val="none"/>
      <w:bdr w:val="single" w:color="DCDCDC" w:sz="8" w:space="0"/>
      <w:shd w:val="clear" w:color="auto" w:fill="FFFFFF"/>
    </w:rPr>
  </w:style>
  <w:style w:type="character" w:customStyle="1" w:styleId="40">
    <w:name w:val="批注框文本 Char"/>
    <w:basedOn w:val="24"/>
    <w:link w:val="16"/>
    <w:qFormat/>
    <w:uiPriority w:val="99"/>
    <w:rPr>
      <w:rFonts w:ascii="宋体" w:hAnsi="宋体" w:cs="宋体"/>
      <w:sz w:val="18"/>
      <w:szCs w:val="18"/>
      <w:lang w:eastAsia="en-US"/>
    </w:rPr>
  </w:style>
  <w:style w:type="character" w:customStyle="1" w:styleId="41">
    <w:name w:val="页脚 Char"/>
    <w:basedOn w:val="24"/>
    <w:link w:val="17"/>
    <w:qFormat/>
    <w:uiPriority w:val="99"/>
    <w:rPr>
      <w:rFonts w:ascii="宋体" w:hAnsi="宋体" w:cs="宋体"/>
      <w:sz w:val="18"/>
      <w:szCs w:val="18"/>
      <w:lang w:eastAsia="en-US"/>
    </w:rPr>
  </w:style>
  <w:style w:type="paragraph" w:customStyle="1" w:styleId="42">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3">
    <w:name w:val="apple-converted-space"/>
    <w:basedOn w:val="24"/>
    <w:qFormat/>
    <w:uiPriority w:val="0"/>
  </w:style>
  <w:style w:type="paragraph" w:customStyle="1" w:styleId="44">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45">
    <w:name w:val="标题 3 Char"/>
    <w:basedOn w:val="24"/>
    <w:link w:val="5"/>
    <w:qFormat/>
    <w:uiPriority w:val="0"/>
    <w:rPr>
      <w:rFonts w:ascii="宋体" w:hAnsi="宋体" w:cs="宋体"/>
      <w:b/>
      <w:bCs/>
      <w:sz w:val="32"/>
      <w:szCs w:val="32"/>
      <w:lang w:eastAsia="en-US"/>
    </w:rPr>
  </w:style>
  <w:style w:type="character" w:customStyle="1" w:styleId="46">
    <w:name w:val="批注文字 Char"/>
    <w:basedOn w:val="24"/>
    <w:link w:val="9"/>
    <w:qFormat/>
    <w:uiPriority w:val="99"/>
    <w:rPr>
      <w:kern w:val="2"/>
      <w:sz w:val="21"/>
    </w:rPr>
  </w:style>
  <w:style w:type="paragraph" w:customStyle="1" w:styleId="47">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48">
    <w:name w:val="正文文本 2 Char"/>
    <w:basedOn w:val="24"/>
    <w:link w:val="22"/>
    <w:qFormat/>
    <w:uiPriority w:val="0"/>
    <w:rPr>
      <w:rFonts w:ascii="宋体" w:hAnsi="宋体" w:cs="宋体"/>
      <w:sz w:val="22"/>
      <w:szCs w:val="22"/>
      <w:lang w:eastAsia="en-US"/>
    </w:rPr>
  </w:style>
  <w:style w:type="character" w:customStyle="1" w:styleId="49">
    <w:name w:val="正文文本缩进 2 Char"/>
    <w:basedOn w:val="24"/>
    <w:link w:val="15"/>
    <w:qFormat/>
    <w:uiPriority w:val="0"/>
    <w:rPr>
      <w:rFonts w:ascii="宋体" w:hAnsi="宋体" w:cs="宋体"/>
      <w:sz w:val="22"/>
      <w:szCs w:val="22"/>
      <w:lang w:eastAsia="en-US"/>
    </w:rPr>
  </w:style>
  <w:style w:type="character" w:customStyle="1" w:styleId="50">
    <w:name w:val="纯文本 Char1"/>
    <w:basedOn w:val="24"/>
    <w:link w:val="13"/>
    <w:qFormat/>
    <w:uiPriority w:val="0"/>
    <w:rPr>
      <w:rFonts w:ascii="宋体" w:hAnsi="Courier New" w:cs="Courier New"/>
      <w:sz w:val="22"/>
      <w:szCs w:val="21"/>
      <w:lang w:eastAsia="en-US"/>
    </w:rPr>
  </w:style>
  <w:style w:type="paragraph" w:customStyle="1" w:styleId="51">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2">
    <w:name w:val="标题 2 Char"/>
    <w:basedOn w:val="24"/>
    <w:link w:val="4"/>
    <w:qFormat/>
    <w:uiPriority w:val="0"/>
    <w:rPr>
      <w:rFonts w:ascii="宋体" w:hAnsi="宋体" w:cs="宋体"/>
      <w:b/>
      <w:bCs/>
      <w:sz w:val="24"/>
      <w:szCs w:val="24"/>
      <w:lang w:eastAsia="en-US"/>
    </w:rPr>
  </w:style>
  <w:style w:type="character" w:customStyle="1" w:styleId="53">
    <w:name w:val="正文缩进 Char"/>
    <w:link w:val="7"/>
    <w:qFormat/>
    <w:uiPriority w:val="0"/>
    <w:rPr>
      <w:sz w:val="24"/>
    </w:rPr>
  </w:style>
  <w:style w:type="character" w:customStyle="1" w:styleId="54">
    <w:name w:val="正文文本 Char"/>
    <w:basedOn w:val="24"/>
    <w:link w:val="10"/>
    <w:qFormat/>
    <w:uiPriority w:val="0"/>
    <w:rPr>
      <w:rFonts w:ascii="宋体" w:hAnsi="宋体" w:cs="宋体"/>
      <w:sz w:val="24"/>
      <w:szCs w:val="24"/>
      <w:lang w:eastAsia="en-US"/>
    </w:rPr>
  </w:style>
  <w:style w:type="character" w:customStyle="1" w:styleId="55">
    <w:name w:val="普通文字 Char2"/>
    <w:basedOn w:val="24"/>
    <w:qFormat/>
    <w:uiPriority w:val="0"/>
    <w:rPr>
      <w:rFonts w:ascii="宋体" w:hAnsi="Courier New" w:cs="Courier New"/>
      <w:sz w:val="22"/>
      <w:szCs w:val="21"/>
      <w:lang w:eastAsia="en-US"/>
    </w:rPr>
  </w:style>
  <w:style w:type="character" w:customStyle="1" w:styleId="56">
    <w:name w:val="标题 1 Char"/>
    <w:link w:val="3"/>
    <w:qFormat/>
    <w:uiPriority w:val="99"/>
    <w:rPr>
      <w:rFonts w:ascii="宋体" w:hAnsi="宋体" w:cs="宋体"/>
      <w:b/>
      <w:bCs/>
      <w:sz w:val="28"/>
      <w:szCs w:val="28"/>
      <w:lang w:eastAsia="en-US"/>
    </w:rPr>
  </w:style>
  <w:style w:type="character" w:customStyle="1" w:styleId="57">
    <w:name w:val="正文1 Char"/>
    <w:basedOn w:val="24"/>
    <w:link w:val="2"/>
    <w:qFormat/>
    <w:locked/>
    <w:uiPriority w:val="0"/>
    <w:rPr>
      <w:rFonts w:ascii="宋体" w:hAnsi="Calibri"/>
      <w:sz w:val="34"/>
      <w:szCs w:val="22"/>
    </w:rPr>
  </w:style>
  <w:style w:type="character" w:customStyle="1" w:styleId="58">
    <w:name w:val="正文文本缩进 Char"/>
    <w:basedOn w:val="24"/>
    <w:link w:val="11"/>
    <w:qFormat/>
    <w:uiPriority w:val="0"/>
    <w:rPr>
      <w:rFonts w:ascii="宋体" w:hAnsi="宋体" w:cs="宋体"/>
      <w:sz w:val="22"/>
      <w:szCs w:val="22"/>
      <w:lang w:eastAsia="en-US"/>
    </w:rPr>
  </w:style>
  <w:style w:type="paragraph" w:customStyle="1" w:styleId="59">
    <w:name w:val="列出段落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0">
    <w:name w:val="标题 4 Char"/>
    <w:basedOn w:val="24"/>
    <w:link w:val="6"/>
    <w:qFormat/>
    <w:uiPriority w:val="99"/>
    <w:rPr>
      <w:rFonts w:ascii="Arial" w:hAnsi="Arial" w:eastAsia="黑体"/>
      <w:b/>
      <w:bCs/>
      <w:kern w:val="2"/>
      <w:sz w:val="28"/>
      <w:szCs w:val="28"/>
    </w:rPr>
  </w:style>
  <w:style w:type="character" w:customStyle="1" w:styleId="61">
    <w:name w:val="文档结构图 Char"/>
    <w:basedOn w:val="24"/>
    <w:link w:val="8"/>
    <w:qFormat/>
    <w:uiPriority w:val="99"/>
    <w:rPr>
      <w:rFonts w:ascii="宋体"/>
      <w:kern w:val="2"/>
      <w:sz w:val="18"/>
      <w:szCs w:val="18"/>
    </w:rPr>
  </w:style>
  <w:style w:type="character" w:customStyle="1" w:styleId="62">
    <w:name w:val="副标题 Char"/>
    <w:basedOn w:val="24"/>
    <w:link w:val="20"/>
    <w:qFormat/>
    <w:uiPriority w:val="99"/>
    <w:rPr>
      <w:rFonts w:ascii="Cambria" w:hAnsi="Cambria"/>
      <w:b/>
      <w:bCs/>
      <w:kern w:val="28"/>
      <w:sz w:val="32"/>
      <w:szCs w:val="32"/>
    </w:rPr>
  </w:style>
  <w:style w:type="character" w:customStyle="1" w:styleId="63">
    <w:name w:val="标题 Char"/>
    <w:basedOn w:val="24"/>
    <w:link w:val="23"/>
    <w:qFormat/>
    <w:uiPriority w:val="99"/>
    <w:rPr>
      <w:rFonts w:ascii="Cambria" w:hAnsi="Cambria"/>
      <w:b/>
      <w:bCs/>
      <w:kern w:val="2"/>
      <w:sz w:val="32"/>
      <w:szCs w:val="32"/>
    </w:rPr>
  </w:style>
  <w:style w:type="paragraph" w:customStyle="1" w:styleId="64">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65">
    <w:name w:val="页眉 Char"/>
    <w:basedOn w:val="24"/>
    <w:link w:val="18"/>
    <w:qFormat/>
    <w:locked/>
    <w:uiPriority w:val="99"/>
    <w:rPr>
      <w:rFonts w:ascii="宋体" w:hAnsi="宋体" w:cs="宋体"/>
      <w:sz w:val="18"/>
      <w:szCs w:val="22"/>
      <w:lang w:eastAsia="en-US"/>
    </w:rPr>
  </w:style>
  <w:style w:type="paragraph" w:customStyle="1" w:styleId="66">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67">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68">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69">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0">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paragraph" w:customStyle="1" w:styleId="71">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72">
    <w:name w:val="font51"/>
    <w:basedOn w:val="24"/>
    <w:qFormat/>
    <w:uiPriority w:val="0"/>
    <w:rPr>
      <w:rFonts w:hint="default" w:ascii="Dialog" w:hAnsi="Dialog" w:eastAsia="Dialog" w:cs="Dialog"/>
      <w:color w:val="000000"/>
      <w:sz w:val="20"/>
      <w:szCs w:val="20"/>
      <w:u w:val="none"/>
    </w:rPr>
  </w:style>
  <w:style w:type="character" w:customStyle="1" w:styleId="73">
    <w:name w:val="font61"/>
    <w:basedOn w:val="24"/>
    <w:qFormat/>
    <w:uiPriority w:val="0"/>
    <w:rPr>
      <w:rFonts w:hint="eastAsia" w:ascii="宋体" w:hAnsi="宋体" w:eastAsia="宋体" w:cs="宋体"/>
      <w:color w:val="000000"/>
      <w:sz w:val="20"/>
      <w:szCs w:val="20"/>
      <w:u w:val="none"/>
    </w:rPr>
  </w:style>
  <w:style w:type="character" w:customStyle="1" w:styleId="74">
    <w:name w:val="font81"/>
    <w:basedOn w:val="24"/>
    <w:qFormat/>
    <w:uiPriority w:val="0"/>
    <w:rPr>
      <w:rFonts w:hint="eastAsia" w:ascii="宋体" w:hAnsi="宋体" w:eastAsia="宋体" w:cs="宋体"/>
      <w:color w:val="auto"/>
      <w:sz w:val="22"/>
      <w:szCs w:val="22"/>
      <w:u w:val="none"/>
    </w:rPr>
  </w:style>
  <w:style w:type="character" w:customStyle="1" w:styleId="75">
    <w:name w:val="font11"/>
    <w:basedOn w:val="24"/>
    <w:uiPriority w:val="0"/>
    <w:rPr>
      <w:rFonts w:hint="eastAsia" w:ascii="宋体" w:hAnsi="宋体" w:eastAsia="宋体" w:cs="宋体"/>
      <w:color w:val="000000"/>
      <w:sz w:val="22"/>
      <w:szCs w:val="22"/>
      <w:u w:val="none"/>
    </w:rPr>
  </w:style>
  <w:style w:type="character" w:customStyle="1" w:styleId="76">
    <w:name w:val="font121"/>
    <w:basedOn w:val="24"/>
    <w:qFormat/>
    <w:uiPriority w:val="0"/>
    <w:rPr>
      <w:rFonts w:hint="eastAsia" w:ascii="宋体" w:hAnsi="宋体" w:eastAsia="宋体" w:cs="宋体"/>
      <w:b/>
      <w:color w:val="000000"/>
      <w:sz w:val="22"/>
      <w:szCs w:val="22"/>
      <w:u w:val="none"/>
    </w:rPr>
  </w:style>
  <w:style w:type="character" w:customStyle="1" w:styleId="77">
    <w:name w:val="font101"/>
    <w:basedOn w:val="24"/>
    <w:qFormat/>
    <w:uiPriority w:val="0"/>
    <w:rPr>
      <w:rFonts w:hint="eastAsia" w:ascii="宋体" w:hAnsi="宋体" w:eastAsia="宋体" w:cs="宋体"/>
      <w:color w:val="000000"/>
      <w:sz w:val="22"/>
      <w:szCs w:val="22"/>
      <w:u w:val="none"/>
    </w:rPr>
  </w:style>
  <w:style w:type="character" w:customStyle="1" w:styleId="78">
    <w:name w:val="font111"/>
    <w:basedOn w:val="24"/>
    <w:qFormat/>
    <w:uiPriority w:val="0"/>
    <w:rPr>
      <w:rFonts w:hint="default" w:ascii="Times New Roman" w:hAnsi="Times New Roman" w:cs="Times New Roman"/>
      <w:b/>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A0043E-6DBD-48C0-A7E0-864DF2BB7382}">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35</Pages>
  <Words>3080</Words>
  <Characters>17557</Characters>
  <Lines>146</Lines>
  <Paragraphs>41</Paragraphs>
  <TotalTime>57</TotalTime>
  <ScaleCrop>false</ScaleCrop>
  <LinksUpToDate>false</LinksUpToDate>
  <CharactersWithSpaces>20596</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mqhuang</cp:lastModifiedBy>
  <dcterms:modified xsi:type="dcterms:W3CDTF">2022-08-11T07:13:33Z</dcterms:modified>
  <dc:title>公开招标文件（货物服务类）</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ies>
</file>