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lang w:eastAsia="zh-CN"/>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pStyle w:val="2"/>
        <w:rPr>
          <w:rFonts w:hint="eastAsia" w:asciiTheme="majorEastAsia" w:hAnsiTheme="majorEastAsia" w:eastAsiaTheme="majorEastAsia"/>
          <w:b/>
          <w:sz w:val="44"/>
          <w:szCs w:val="44"/>
          <w:lang w:eastAsia="zh-CN"/>
        </w:rPr>
      </w:pPr>
    </w:p>
    <w:p>
      <w:pPr>
        <w:spacing w:line="240" w:lineRule="atLeast"/>
        <w:jc w:val="center"/>
        <w:rPr>
          <w:rFonts w:hint="eastAsia" w:asciiTheme="majorEastAsia" w:hAnsiTheme="majorEastAsia" w:eastAsiaTheme="majorEastAsia"/>
          <w:b/>
          <w:sz w:val="44"/>
          <w:szCs w:val="44"/>
          <w:u w:val="none"/>
          <w:lang w:eastAsia="zh-CN"/>
        </w:rPr>
      </w:pPr>
      <w:r>
        <w:rPr>
          <w:rFonts w:hint="eastAsia" w:asciiTheme="majorEastAsia" w:hAnsiTheme="majorEastAsia" w:eastAsiaTheme="majorEastAsia"/>
          <w:b/>
          <w:sz w:val="44"/>
          <w:szCs w:val="44"/>
          <w:u w:val="none"/>
          <w:lang w:eastAsia="zh-CN"/>
        </w:rPr>
        <w:t xml:space="preserve">  </w:t>
      </w:r>
    </w:p>
    <w:p>
      <w:pPr>
        <w:spacing w:line="240" w:lineRule="atLeast"/>
        <w:jc w:val="center"/>
        <w:rPr>
          <w:rFonts w:hint="eastAsia" w:ascii="PMingLiU" w:hAnsi="PMingLiU"/>
          <w:b/>
          <w:color w:val="000000"/>
          <w:sz w:val="44"/>
          <w:szCs w:val="44"/>
          <w:lang w:val="en-US" w:eastAsia="zh-CN"/>
        </w:rPr>
      </w:pPr>
      <w:r>
        <w:rPr>
          <w:rFonts w:hint="eastAsia" w:asciiTheme="majorEastAsia" w:hAnsiTheme="majorEastAsia" w:eastAsiaTheme="majorEastAsia"/>
          <w:b/>
          <w:sz w:val="44"/>
          <w:szCs w:val="44"/>
          <w:u w:val="none"/>
          <w:lang w:eastAsia="zh-CN"/>
        </w:rPr>
        <w:t xml:space="preserve"> </w:t>
      </w:r>
      <w:r>
        <w:rPr>
          <w:rFonts w:hint="eastAsia" w:ascii="PMingLiU" w:hAnsi="PMingLiU"/>
          <w:b/>
          <w:color w:val="000000"/>
          <w:sz w:val="44"/>
          <w:szCs w:val="44"/>
        </w:rPr>
        <w:t>芳烃团队重整装置催化剂筛</w:t>
      </w:r>
      <w:r>
        <w:rPr>
          <w:rFonts w:hint="eastAsia" w:ascii="PMingLiU" w:hAnsi="PMingLiU"/>
          <w:b/>
          <w:color w:val="000000"/>
          <w:sz w:val="44"/>
          <w:szCs w:val="44"/>
          <w:lang w:val="en-US" w:eastAsia="zh-CN"/>
        </w:rPr>
        <w:t>分工程</w:t>
      </w:r>
    </w:p>
    <w:p>
      <w:pPr>
        <w:pStyle w:val="2"/>
        <w:rPr>
          <w:lang w:eastAsia="zh-CN"/>
        </w:rPr>
      </w:pPr>
    </w:p>
    <w:p>
      <w:pPr>
        <w:pStyle w:val="6"/>
        <w:spacing w:before="4"/>
        <w:rPr>
          <w:rFonts w:ascii="微软雅黑"/>
          <w:b/>
          <w:sz w:val="39"/>
          <w:lang w:eastAsia="zh-CN"/>
        </w:rPr>
      </w:pPr>
    </w:p>
    <w:p>
      <w:pPr>
        <w:ind w:left="169"/>
        <w:jc w:val="center"/>
        <w:rPr>
          <w:rFonts w:hint="eastAsia" w:ascii="微软雅黑" w:eastAsia="微软雅黑"/>
          <w:b/>
          <w:sz w:val="72"/>
          <w:lang w:eastAsia="zh-CN"/>
        </w:rPr>
      </w:pPr>
      <w:r>
        <w:rPr>
          <w:rFonts w:hint="eastAsia" w:ascii="微软雅黑" w:eastAsia="微软雅黑"/>
          <w:b/>
          <w:sz w:val="72"/>
          <w:lang w:eastAsia="zh-CN"/>
        </w:rPr>
        <w:t>比选文件</w:t>
      </w:r>
    </w:p>
    <w:p>
      <w:pPr>
        <w:pStyle w:val="2"/>
        <w:rPr>
          <w:lang w:eastAsia="zh-CN"/>
        </w:rPr>
      </w:pPr>
    </w:p>
    <w:p>
      <w:pPr>
        <w:pStyle w:val="2"/>
        <w:jc w:val="center"/>
        <w:rPr>
          <w:sz w:val="30"/>
          <w:szCs w:val="30"/>
        </w:rPr>
      </w:pPr>
      <w:r>
        <w:rPr>
          <w:rFonts w:hint="eastAsia"/>
          <w:sz w:val="30"/>
          <w:szCs w:val="30"/>
        </w:rPr>
        <w:t>（文件编号：</w:t>
      </w:r>
      <w:r>
        <w:rPr>
          <w:rFonts w:hint="eastAsia"/>
          <w:sz w:val="30"/>
          <w:szCs w:val="30"/>
          <w:u w:val="single"/>
        </w:rPr>
        <w:t>FHC-PTCG20220526005</w:t>
      </w:r>
      <w:r>
        <w:rPr>
          <w:rFonts w:hint="eastAsia"/>
          <w:i w:val="0"/>
          <w:iCs w:val="0"/>
          <w:sz w:val="30"/>
          <w:szCs w:val="30"/>
          <w:u w:val="single"/>
        </w:rPr>
        <w:t xml:space="preserve"> </w:t>
      </w:r>
      <w:r>
        <w:rPr>
          <w:rFonts w:hint="eastAsia"/>
          <w:sz w:val="30"/>
          <w:szCs w:val="30"/>
        </w:rPr>
        <w:t>）</w:t>
      </w:r>
    </w:p>
    <w:p>
      <w:pPr>
        <w:pStyle w:val="6"/>
        <w:rPr>
          <w:rFonts w:ascii="微软雅黑"/>
          <w:b/>
          <w:sz w:val="94"/>
          <w:lang w:eastAsia="zh-CN"/>
        </w:rPr>
      </w:pPr>
    </w:p>
    <w:p>
      <w:pPr>
        <w:pStyle w:val="6"/>
        <w:rPr>
          <w:rFonts w:ascii="微软雅黑"/>
          <w:b/>
          <w:sz w:val="9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 xml:space="preserve">2 </w:t>
      </w:r>
      <w:r>
        <w:rPr>
          <w:rFonts w:hint="eastAsia" w:ascii="微软雅黑" w:eastAsia="微软雅黑"/>
          <w:b/>
          <w:w w:val="95"/>
          <w:sz w:val="32"/>
          <w:lang w:eastAsia="zh-CN"/>
        </w:rPr>
        <w:t>年 0</w:t>
      </w:r>
      <w:r>
        <w:rPr>
          <w:rFonts w:hint="eastAsia" w:ascii="微软雅黑" w:eastAsia="微软雅黑"/>
          <w:b/>
          <w:w w:val="95"/>
          <w:sz w:val="32"/>
          <w:lang w:val="en-US" w:eastAsia="zh-CN"/>
        </w:rPr>
        <w:t xml:space="preserve">6 </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6"/>
        <w:rPr>
          <w:rFonts w:ascii="黑体"/>
          <w:sz w:val="20"/>
          <w:lang w:eastAsia="zh-CN"/>
        </w:rPr>
      </w:pPr>
    </w:p>
    <w:p>
      <w:pPr>
        <w:pStyle w:val="6"/>
        <w:rPr>
          <w:rFonts w:ascii="黑体"/>
          <w:sz w:val="20"/>
          <w:lang w:eastAsia="zh-CN"/>
        </w:rPr>
      </w:pPr>
    </w:p>
    <w:p>
      <w:pPr>
        <w:pStyle w:val="6"/>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6"/>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6"/>
        <w:rPr>
          <w:sz w:val="28"/>
          <w:lang w:eastAsia="zh-CN"/>
        </w:rPr>
      </w:pPr>
    </w:p>
    <w:p>
      <w:pPr>
        <w:pStyle w:val="6"/>
        <w:rPr>
          <w:sz w:val="28"/>
          <w:lang w:eastAsia="zh-CN"/>
        </w:rPr>
      </w:pPr>
    </w:p>
    <w:p>
      <w:pPr>
        <w:pStyle w:val="6"/>
        <w:rPr>
          <w:sz w:val="28"/>
          <w:lang w:eastAsia="zh-CN"/>
        </w:rPr>
      </w:pPr>
    </w:p>
    <w:p>
      <w:pPr>
        <w:pStyle w:val="6"/>
        <w:rPr>
          <w:sz w:val="28"/>
          <w:lang w:eastAsia="zh-CN"/>
        </w:rPr>
      </w:pPr>
    </w:p>
    <w:p>
      <w:pPr>
        <w:pStyle w:val="6"/>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6"/>
        <w:rPr>
          <w:b/>
          <w:sz w:val="28"/>
          <w:lang w:eastAsia="zh-CN"/>
        </w:rPr>
      </w:pPr>
    </w:p>
    <w:p>
      <w:pPr>
        <w:jc w:val="center"/>
        <w:rPr>
          <w:b/>
          <w:bCs/>
          <w:sz w:val="32"/>
          <w:lang w:eastAsia="zh-CN"/>
        </w:rPr>
      </w:pPr>
      <w:r>
        <w:rPr>
          <w:rFonts w:hint="eastAsia"/>
          <w:b/>
          <w:bCs/>
          <w:sz w:val="32"/>
          <w:lang w:eastAsia="zh-CN"/>
        </w:rPr>
        <w:t>福建福海创石油化工有限公司</w:t>
      </w: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left="0" w:leftChars="0" w:right="0" w:rightChars="0" w:firstLine="0" w:firstLineChars="0"/>
        <w:jc w:val="center"/>
        <w:textAlignment w:val="auto"/>
        <w:outlineLvl w:val="9"/>
        <w:rPr>
          <w:rFonts w:hint="eastAsia"/>
          <w:b/>
          <w:bCs/>
          <w:sz w:val="32"/>
          <w:lang w:eastAsia="zh-CN"/>
        </w:rPr>
      </w:pPr>
      <w:r>
        <w:rPr>
          <w:rFonts w:hint="eastAsia"/>
          <w:b/>
          <w:bCs/>
          <w:sz w:val="32"/>
          <w:lang w:eastAsia="zh-CN"/>
        </w:rPr>
        <w:t>重整催化剂筛分工程</w:t>
      </w:r>
    </w:p>
    <w:p>
      <w:pPr>
        <w:jc w:val="center"/>
        <w:rPr>
          <w:b/>
          <w:bCs/>
          <w:sz w:val="32"/>
          <w:lang w:eastAsia="zh-CN"/>
        </w:rPr>
      </w:pPr>
      <w:r>
        <w:rPr>
          <w:rFonts w:hint="eastAsia"/>
          <w:b/>
          <w:bCs/>
          <w:sz w:val="32"/>
          <w:lang w:eastAsia="zh-CN"/>
        </w:rPr>
        <w:t>比选公告</w:t>
      </w:r>
    </w:p>
    <w:p>
      <w:pPr>
        <w:spacing w:line="360" w:lineRule="auto"/>
        <w:ind w:firstLine="550" w:firstLineChars="250"/>
        <w:rPr>
          <w:bCs/>
          <w:szCs w:val="21"/>
          <w:lang w:eastAsia="zh-CN"/>
        </w:rPr>
      </w:pPr>
    </w:p>
    <w:p>
      <w:pPr>
        <w:spacing w:before="100" w:beforeAutospacing="1" w:after="100" w:afterAutospacing="1" w:line="360" w:lineRule="auto"/>
        <w:ind w:firstLine="840" w:firstLineChars="3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hint="eastAsia" w:asciiTheme="minorEastAsia" w:hAnsiTheme="minorEastAsia" w:eastAsiaTheme="minorEastAsia"/>
          <w:bCs/>
          <w:sz w:val="24"/>
          <w:szCs w:val="24"/>
          <w:u w:val="single"/>
          <w:lang w:eastAsia="zh-CN"/>
        </w:rPr>
        <w:t>“</w:t>
      </w:r>
      <w:r>
        <w:rPr>
          <w:rFonts w:hint="eastAsia" w:ascii="宋体" w:hAnsi="宋体"/>
          <w:color w:val="000000"/>
          <w:sz w:val="24"/>
          <w:szCs w:val="24"/>
          <w:u w:val="single"/>
        </w:rPr>
        <w:t>重整催化剂筛分工程</w:t>
      </w:r>
      <w:r>
        <w:rPr>
          <w:rFonts w:hint="eastAsia" w:asciiTheme="minorEastAsia" w:hAnsiTheme="minorEastAsia" w:eastAsiaTheme="minorEastAsia"/>
          <w:bCs/>
          <w:sz w:val="24"/>
          <w:szCs w:val="24"/>
          <w:u w:val="single"/>
          <w:lang w:eastAsia="zh-CN"/>
        </w:rPr>
        <w:t>（项目编号：FHC-PTCG20220526005”</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14"/>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14"/>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w:t>
      </w:r>
      <w:r>
        <w:rPr>
          <w:rFonts w:hint="eastAsia" w:ascii="宋体" w:hAnsi="宋体"/>
          <w:color w:val="000000"/>
          <w:sz w:val="24"/>
          <w:szCs w:val="24"/>
        </w:rPr>
        <w:t>重整催化剂筛分工程</w:t>
      </w:r>
    </w:p>
    <w:p>
      <w:pPr>
        <w:pStyle w:val="14"/>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w:t>
      </w:r>
      <w:r>
        <w:rPr>
          <w:rFonts w:hint="eastAsia" w:ascii="宋体" w:hAnsi="宋体"/>
          <w:color w:val="000000"/>
          <w:sz w:val="24"/>
          <w:szCs w:val="24"/>
        </w:rPr>
        <w:t>重整催化剂筛分工程</w:t>
      </w:r>
      <w:r>
        <w:rPr>
          <w:rFonts w:hint="eastAsia"/>
          <w:color w:val="000000"/>
          <w:sz w:val="24"/>
          <w:szCs w:val="24"/>
          <w:lang w:val="en-US" w:eastAsia="zh-CN"/>
        </w:rPr>
        <w:t>,详见附件《重整催化剂筛分发包说明》。</w:t>
      </w:r>
    </w:p>
    <w:p>
      <w:pPr>
        <w:pStyle w:val="14"/>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14"/>
        <w:numPr>
          <w:ilvl w:val="0"/>
          <w:numId w:val="3"/>
        </w:numPr>
        <w:autoSpaceDE/>
        <w:autoSpaceDN/>
        <w:spacing w:before="100" w:beforeAutospacing="1" w:after="100" w:afterAutospacing="1" w:line="360" w:lineRule="auto"/>
        <w:jc w:val="both"/>
        <w:rPr>
          <w:rFonts w:ascii="宋体" w:hAnsi="宋体"/>
          <w:color w:val="000000"/>
          <w:sz w:val="24"/>
          <w:szCs w:val="24"/>
        </w:rPr>
      </w:pP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4"/>
        <w:numPr>
          <w:ilvl w:val="0"/>
          <w:numId w:val="3"/>
        </w:numPr>
        <w:autoSpaceDE/>
        <w:autoSpaceDN/>
        <w:spacing w:before="100" w:beforeAutospacing="1" w:after="100" w:afterAutospacing="1" w:line="360" w:lineRule="auto"/>
        <w:jc w:val="both"/>
        <w:rPr>
          <w:rFonts w:ascii="宋体" w:hAnsi="宋体"/>
          <w:color w:val="000000"/>
          <w:sz w:val="24"/>
          <w:szCs w:val="24"/>
        </w:rPr>
      </w:pPr>
      <w:r>
        <w:rPr>
          <w:rFonts w:hint="eastAsia" w:ascii="宋体" w:hAnsi="宋体"/>
          <w:color w:val="000000"/>
          <w:sz w:val="24"/>
          <w:szCs w:val="24"/>
        </w:rPr>
        <w:t>具备有效的质量管理体系认证证书；职业健康安全管理体系认证证书；环境管理体系认证证书。</w:t>
      </w:r>
    </w:p>
    <w:p>
      <w:pPr>
        <w:pStyle w:val="14"/>
        <w:numPr>
          <w:ilvl w:val="0"/>
          <w:numId w:val="3"/>
        </w:numPr>
        <w:autoSpaceDE/>
        <w:autoSpaceDN/>
        <w:spacing w:before="100" w:beforeAutospacing="1" w:after="100" w:afterAutospacing="1" w:line="360" w:lineRule="auto"/>
        <w:jc w:val="both"/>
        <w:rPr>
          <w:rFonts w:asciiTheme="majorEastAsia" w:hAnsiTheme="majorEastAsia" w:eastAsiaTheme="majorEastAsia"/>
          <w:sz w:val="24"/>
          <w:szCs w:val="24"/>
          <w:lang w:eastAsia="zh-CN"/>
        </w:rPr>
      </w:pPr>
      <w:r>
        <w:rPr>
          <w:color w:val="111111"/>
          <w:sz w:val="24"/>
          <w:szCs w:val="24"/>
          <w:shd w:val="clear" w:color="auto" w:fill="FFFFFF"/>
        </w:rPr>
        <w:t>2015年1月1日至今，具有</w:t>
      </w:r>
      <w:r>
        <w:rPr>
          <w:rFonts w:hint="eastAsia"/>
          <w:color w:val="111111"/>
          <w:sz w:val="24"/>
          <w:szCs w:val="24"/>
          <w:shd w:val="clear" w:color="auto" w:fill="FFFFFF"/>
        </w:rPr>
        <w:t>不少于</w:t>
      </w:r>
      <w:r>
        <w:rPr>
          <w:color w:val="111111"/>
          <w:sz w:val="24"/>
          <w:szCs w:val="24"/>
          <w:shd w:val="clear" w:color="auto" w:fill="FFFFFF"/>
        </w:rPr>
        <w:t>1</w:t>
      </w:r>
      <w:r>
        <w:rPr>
          <w:rFonts w:hint="eastAsia"/>
          <w:color w:val="111111"/>
          <w:sz w:val="24"/>
          <w:szCs w:val="24"/>
          <w:shd w:val="clear" w:color="auto" w:fill="FFFFFF"/>
        </w:rPr>
        <w:t>个重整装置重整催化剂器外筛分成功业绩且单次器外筛分量在100吨及以上（需提供合同及对应的结算签认资料与发票复印件）</w:t>
      </w:r>
      <w:r>
        <w:rPr>
          <w:rFonts w:hint="eastAsia" w:ascii="宋体" w:hAnsi="宋体"/>
          <w:color w:val="000000"/>
          <w:sz w:val="24"/>
          <w:szCs w:val="24"/>
        </w:rPr>
        <w:t>。</w:t>
      </w:r>
    </w:p>
    <w:p>
      <w:pPr>
        <w:pStyle w:val="14"/>
        <w:numPr>
          <w:ilvl w:val="0"/>
          <w:numId w:val="3"/>
        </w:numPr>
        <w:autoSpaceDE/>
        <w:autoSpaceDN/>
        <w:spacing w:before="100" w:beforeAutospacing="1" w:after="100" w:afterAutospacing="1" w:line="360" w:lineRule="auto"/>
        <w:jc w:val="both"/>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4"/>
        <w:numPr>
          <w:ilvl w:val="0"/>
          <w:numId w:val="3"/>
        </w:numPr>
        <w:autoSpaceDE/>
        <w:autoSpaceDN/>
        <w:spacing w:before="100" w:beforeAutospacing="1" w:after="100" w:afterAutospacing="1" w:line="360" w:lineRule="auto"/>
        <w:jc w:val="both"/>
        <w:rPr>
          <w:sz w:val="24"/>
          <w:szCs w:val="24"/>
        </w:rPr>
      </w:pP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14"/>
        <w:numPr>
          <w:ilvl w:val="0"/>
          <w:numId w:val="3"/>
        </w:numPr>
        <w:autoSpaceDE/>
        <w:autoSpaceDN/>
        <w:spacing w:before="100" w:beforeAutospacing="1" w:after="100" w:afterAutospacing="1" w:line="360" w:lineRule="auto"/>
        <w:jc w:val="both"/>
        <w:rPr>
          <w:sz w:val="24"/>
          <w:szCs w:val="24"/>
        </w:rPr>
      </w:pPr>
      <w:r>
        <w:rPr>
          <w:rFonts w:hint="eastAsia" w:asciiTheme="majorEastAsia" w:hAnsiTheme="majorEastAsia" w:eastAsiaTheme="majorEastAsia"/>
          <w:sz w:val="24"/>
          <w:szCs w:val="24"/>
        </w:rPr>
        <w:t>本项目不接受联合体投标</w:t>
      </w:r>
      <w:r>
        <w:rPr>
          <w:rFonts w:hint="eastAsia"/>
          <w:sz w:val="24"/>
          <w:szCs w:val="24"/>
        </w:rPr>
        <w:t>。</w:t>
      </w:r>
    </w:p>
    <w:p>
      <w:pPr>
        <w:pStyle w:val="14"/>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获取比选文件</w:t>
      </w:r>
    </w:p>
    <w:p>
      <w:pPr>
        <w:pStyle w:val="14"/>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公示之日起至202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20</w:t>
      </w:r>
      <w:r>
        <w:rPr>
          <w:rFonts w:hint="eastAsia" w:asciiTheme="minorEastAsia" w:hAnsiTheme="minorEastAsia" w:eastAsiaTheme="minorEastAsia"/>
          <w:sz w:val="24"/>
          <w:szCs w:val="24"/>
          <w:lang w:eastAsia="zh-CN"/>
        </w:rPr>
        <w:t>日（共 1</w:t>
      </w:r>
      <w:r>
        <w:rPr>
          <w:rFonts w:hint="eastAsia" w:asciiTheme="minorEastAsia" w:hAnsiTheme="minorEastAsia" w:eastAsiaTheme="minorEastAsia"/>
          <w:sz w:val="24"/>
          <w:szCs w:val="24"/>
          <w:lang w:val="en-US" w:eastAsia="zh-CN"/>
        </w:rPr>
        <w:t>0</w:t>
      </w:r>
      <w:r>
        <w:rPr>
          <w:rFonts w:hint="eastAsia" w:asciiTheme="minorEastAsia" w:hAnsiTheme="minorEastAsia" w:eastAsiaTheme="minorEastAsia"/>
          <w:sz w:val="24"/>
          <w:szCs w:val="24"/>
          <w:lang w:eastAsia="zh-CN"/>
        </w:rPr>
        <w:t>天）。</w:t>
      </w:r>
    </w:p>
    <w:p>
      <w:pPr>
        <w:pStyle w:val="14"/>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Fonts w:hint="eastAsia"/>
          <w:color w:val="0000FF"/>
          <w:u w:val="single"/>
          <w:lang w:val="en-US" w:eastAsia="zh-CN"/>
        </w:rPr>
        <w:t>huangmq</w:t>
      </w:r>
      <w:r>
        <w:rPr>
          <w:rStyle w:val="11"/>
          <w:rFonts w:asciiTheme="minorEastAsia" w:hAnsiTheme="minorEastAsia" w:eastAsiaTheme="minorEastAsia"/>
          <w:bCs/>
          <w:color w:val="0000FF"/>
          <w:sz w:val="24"/>
          <w:szCs w:val="24"/>
          <w:u w:val="single"/>
        </w:rPr>
        <w:t>@</w:t>
      </w:r>
      <w:r>
        <w:rPr>
          <w:rStyle w:val="11"/>
          <w:rFonts w:hint="eastAsia" w:asciiTheme="minorEastAsia" w:hAnsiTheme="minorEastAsia" w:eastAsiaTheme="minorEastAsia"/>
          <w:bCs/>
          <w:color w:val="0000FF"/>
          <w:sz w:val="24"/>
          <w:szCs w:val="24"/>
          <w:u w:val="single"/>
          <w:lang w:val="en-US" w:eastAsia="zh-CN"/>
        </w:rPr>
        <w:t>fj</w:t>
      </w:r>
      <w:r>
        <w:rPr>
          <w:rStyle w:val="11"/>
          <w:rFonts w:asciiTheme="minorEastAsia" w:hAnsiTheme="minorEastAsia" w:eastAsiaTheme="minorEastAsia"/>
          <w:bCs/>
          <w:sz w:val="24"/>
          <w:szCs w:val="24"/>
        </w:rPr>
        <w:t>pec.com.cn</w:t>
      </w:r>
      <w:r>
        <w:rPr>
          <w:rStyle w:val="11"/>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w:t>
      </w:r>
      <w:r>
        <w:rPr>
          <w:rFonts w:hint="eastAsia" w:asciiTheme="minorEastAsia" w:hAnsiTheme="minorEastAsia" w:eastAsiaTheme="minorEastAsia"/>
          <w:bCs/>
          <w:sz w:val="24"/>
          <w:szCs w:val="24"/>
          <w:lang w:val="en-US" w:eastAsia="zh-CN"/>
        </w:rPr>
        <w:t>并需与工厂签署技术协议书</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未签署技术协议书的报价默认为无效报价；</w:t>
      </w:r>
      <w:r>
        <w:rPr>
          <w:rFonts w:asciiTheme="minorEastAsia" w:hAnsiTheme="minorEastAsia" w:eastAsiaTheme="minorEastAsia"/>
          <w:bCs/>
          <w:sz w:val="24"/>
          <w:szCs w:val="24"/>
          <w:lang w:eastAsia="zh-CN"/>
        </w:rPr>
        <w:t>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（1）针对本项目的法人授权委托书（原件，格式详见参选文件附件</w:t>
      </w:r>
      <w:r>
        <w:rPr>
          <w:rFonts w:hint="eastAsia" w:asciiTheme="minorEastAsia" w:hAnsiTheme="minorEastAsia" w:eastAsiaTheme="minorEastAsia"/>
          <w:bCs/>
          <w:sz w:val="24"/>
          <w:szCs w:val="24"/>
          <w:lang w:eastAsia="zh-CN"/>
        </w:rPr>
        <w:t>2</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14"/>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pStyle w:val="14"/>
        <w:autoSpaceDE/>
        <w:autoSpaceDN/>
        <w:spacing w:before="100" w:beforeAutospacing="1" w:after="100" w:afterAutospacing="1" w:line="360" w:lineRule="auto"/>
        <w:ind w:left="832" w:firstLine="0"/>
        <w:jc w:val="both"/>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参选文件递交要求</w:t>
      </w:r>
    </w:p>
    <w:p>
      <w:pPr>
        <w:autoSpaceDE/>
        <w:autoSpaceDN/>
        <w:spacing w:line="360" w:lineRule="auto"/>
        <w:ind w:left="0" w:leftChars="0" w:firstLine="818" w:firstLineChars="341"/>
        <w:jc w:val="both"/>
        <w:rPr>
          <w:rFonts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参选文件递交地点：</w:t>
      </w:r>
      <w:r>
        <w:rPr>
          <w:rFonts w:hint="eastAsia" w:asciiTheme="majorEastAsia" w:hAnsiTheme="majorEastAsia" w:eastAsiaTheme="majorEastAsia"/>
          <w:bCs/>
          <w:sz w:val="24"/>
          <w:szCs w:val="24"/>
          <w:lang w:eastAsia="zh-CN"/>
        </w:rPr>
        <w:t>福建省漳州市漳浦县杜浔镇杜昌路9号</w:t>
      </w:r>
    </w:p>
    <w:p>
      <w:pPr>
        <w:autoSpaceDE/>
        <w:autoSpaceDN/>
        <w:spacing w:line="360" w:lineRule="auto"/>
        <w:ind w:left="953" w:leftChars="381" w:hanging="115" w:hangingChars="48"/>
        <w:jc w:val="both"/>
        <w:rPr>
          <w:rFonts w:hint="eastAsia"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递交截止时间：公示之日起第10天即</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20</w:t>
      </w:r>
      <w:bookmarkStart w:id="11" w:name="_GoBack"/>
      <w:bookmarkEnd w:id="11"/>
      <w:r>
        <w:rPr>
          <w:rFonts w:hint="eastAsia" w:asciiTheme="minorEastAsia" w:hAnsiTheme="minorEastAsia" w:eastAsiaTheme="minorEastAsia"/>
          <w:sz w:val="24"/>
          <w:szCs w:val="24"/>
          <w:lang w:eastAsia="zh-CN"/>
        </w:rPr>
        <w:t>日1</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0</w:t>
      </w:r>
      <w:r>
        <w:rPr>
          <w:rFonts w:hint="eastAsia" w:asciiTheme="majorEastAsia" w:hAnsiTheme="majorEastAsia" w:eastAsiaTheme="majorEastAsia"/>
          <w:bCs/>
          <w:sz w:val="24"/>
          <w:szCs w:val="24"/>
          <w:lang w:eastAsia="zh-CN"/>
        </w:rPr>
        <w:t>将参选文件纸质原件密封送达比选人指定地点。</w:t>
      </w:r>
    </w:p>
    <w:p>
      <w:pPr>
        <w:pStyle w:val="14"/>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联系方式</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黄梅钦</w:t>
      </w:r>
      <w:r>
        <w:rPr>
          <w:rFonts w:hint="eastAsia" w:cs="宋体" w:asciiTheme="minorEastAsia" w:hAnsiTheme="minorEastAsia"/>
          <w:bCs/>
          <w:sz w:val="24"/>
          <w:szCs w:val="24"/>
        </w:rPr>
        <w:t xml:space="preserve">  电话：13</w:t>
      </w:r>
      <w:r>
        <w:rPr>
          <w:rFonts w:hint="eastAsia" w:cs="宋体" w:asciiTheme="minorEastAsia" w:hAnsiTheme="minorEastAsia"/>
          <w:bCs/>
          <w:sz w:val="24"/>
          <w:szCs w:val="24"/>
          <w:lang w:val="en-US" w:eastAsia="zh-CN"/>
        </w:rPr>
        <w:t>806001925</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11"/>
          <w:rFonts w:hint="eastAsia" w:cs="宋体" w:asciiTheme="minorEastAsia" w:hAnsiTheme="minorEastAsia"/>
          <w:bCs/>
          <w:color w:val="0000FF"/>
          <w:sz w:val="24"/>
          <w:szCs w:val="24"/>
          <w:lang w:val="en-US" w:eastAsia="zh-CN"/>
        </w:rPr>
        <w:t>huangmq</w:t>
      </w:r>
      <w:r>
        <w:rPr>
          <w:rStyle w:val="11"/>
          <w:rFonts w:cs="宋体" w:asciiTheme="minorEastAsia" w:hAnsiTheme="minorEastAsia"/>
          <w:bCs/>
          <w:color w:val="0000FF"/>
          <w:sz w:val="24"/>
          <w:szCs w:val="24"/>
        </w:rPr>
        <w:t>@f</w:t>
      </w:r>
      <w:r>
        <w:rPr>
          <w:rStyle w:val="11"/>
          <w:rFonts w:hint="eastAsia" w:cs="宋体" w:asciiTheme="minorEastAsia" w:hAnsiTheme="minorEastAsia"/>
          <w:bCs/>
          <w:color w:val="0000FF"/>
          <w:sz w:val="24"/>
          <w:szCs w:val="24"/>
          <w:lang w:val="en-US" w:eastAsia="zh-CN"/>
        </w:rPr>
        <w:t>j</w:t>
      </w:r>
      <w:r>
        <w:rPr>
          <w:rStyle w:val="11"/>
          <w:rFonts w:cs="宋体" w:asciiTheme="minorEastAsia" w:hAnsiTheme="minorEastAsia"/>
          <w:bCs/>
          <w:color w:val="0000FF"/>
          <w:sz w:val="24"/>
          <w:szCs w:val="24"/>
        </w:rPr>
        <w:t>pe</w:t>
      </w:r>
      <w:r>
        <w:rPr>
          <w:rStyle w:val="11"/>
          <w:rFonts w:cs="宋体" w:asciiTheme="minorEastAsia" w:hAnsiTheme="minorEastAsia"/>
          <w:bCs/>
          <w:sz w:val="24"/>
          <w:szCs w:val="24"/>
        </w:rPr>
        <w:t>c.com.cn</w:t>
      </w:r>
      <w:r>
        <w:rPr>
          <w:rStyle w:val="11"/>
          <w:rFonts w:cs="宋体" w:asciiTheme="minorEastAsia" w:hAnsiTheme="minorEastAsia"/>
          <w:bCs/>
          <w:sz w:val="24"/>
          <w:szCs w:val="24"/>
        </w:rPr>
        <w:fldChar w:fldCharType="end"/>
      </w:r>
    </w:p>
    <w:p>
      <w:pPr>
        <w:pStyle w:val="5"/>
        <w:snapToGrid w:val="0"/>
        <w:spacing w:before="100" w:beforeAutospacing="1" w:after="100" w:afterAutospacing="1" w:line="360" w:lineRule="auto"/>
        <w:ind w:left="412"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 xml:space="preserve">技术联系人：曾志浩  电话：18065753712   </w:t>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fldChar w:fldCharType="begin"/>
      </w:r>
      <w:r>
        <w:instrText xml:space="preserve"> HYPERLINK "mailto:qlin@fhcpec.com.cn" </w:instrText>
      </w:r>
      <w:r>
        <w:fldChar w:fldCharType="separate"/>
      </w:r>
      <w:r>
        <w:rPr>
          <w:rStyle w:val="11"/>
          <w:rFonts w:cs="宋体" w:asciiTheme="minorEastAsia" w:hAnsiTheme="minorEastAsia"/>
          <w:bCs/>
          <w:sz w:val="24"/>
          <w:szCs w:val="24"/>
        </w:rPr>
        <w:t>qlin@fhcpec.com.cn</w:t>
      </w:r>
      <w:r>
        <w:rPr>
          <w:rStyle w:val="11"/>
          <w:rFonts w:cs="宋体" w:asciiTheme="minorEastAsia" w:hAnsiTheme="minorEastAsia"/>
          <w:bCs/>
          <w:sz w:val="24"/>
          <w:szCs w:val="24"/>
        </w:rPr>
        <w:fldChar w:fldCharType="end"/>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联系地址：漳州市漳浦县杜浔镇杜昌路9号</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编：363216</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福建福海创石油化工有限公司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年0</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08</w:t>
      </w:r>
      <w:r>
        <w:rPr>
          <w:rFonts w:hint="eastAsia" w:asciiTheme="minorEastAsia" w:hAnsiTheme="minorEastAsia" w:eastAsiaTheme="minorEastAsia"/>
          <w:sz w:val="24"/>
          <w:szCs w:val="24"/>
          <w:lang w:eastAsia="zh-CN"/>
        </w:rPr>
        <w:t>日</w:t>
      </w:r>
    </w:p>
    <w:p>
      <w:pPr>
        <w:pStyle w:val="5"/>
        <w:snapToGrid w:val="0"/>
        <w:spacing w:before="100" w:beforeAutospacing="1" w:after="100" w:afterAutospacing="1" w:line="360" w:lineRule="auto"/>
        <w:ind w:left="412" w:firstLine="480" w:firstLineChars="200"/>
        <w:rPr>
          <w:rFonts w:asciiTheme="minorEastAsia" w:hAnsiTheme="minorEastAsia"/>
          <w:sz w:val="24"/>
          <w:szCs w:val="24"/>
        </w:rPr>
      </w:pPr>
    </w:p>
    <w:p>
      <w:pPr>
        <w:pStyle w:val="6"/>
        <w:spacing w:before="12"/>
        <w:rPr>
          <w:rFonts w:asciiTheme="minorEastAsia" w:hAnsiTheme="minorEastAsia" w:eastAsiaTheme="minorEastAsia"/>
          <w:b/>
          <w:lang w:eastAsia="zh-CN"/>
        </w:rPr>
      </w:pPr>
    </w:p>
    <w:p>
      <w:pPr>
        <w:pStyle w:val="3"/>
        <w:tabs>
          <w:tab w:val="left" w:pos="1262"/>
        </w:tabs>
        <w:spacing w:line="355" w:lineRule="exact"/>
        <w:ind w:left="0" w:right="108"/>
        <w:jc w:val="center"/>
        <w:rPr>
          <w:lang w:eastAsia="zh-CN"/>
        </w:rPr>
      </w:pPr>
    </w:p>
    <w:p>
      <w:pPr>
        <w:rPr>
          <w:lang w:eastAsia="zh-CN"/>
        </w:rPr>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6"/>
        <w:spacing w:before="3"/>
        <w:rPr>
          <w:b/>
          <w:sz w:val="26"/>
          <w:lang w:eastAsia="zh-CN"/>
        </w:rPr>
      </w:pPr>
    </w:p>
    <w:p>
      <w:pPr>
        <w:spacing w:before="15"/>
        <w:ind w:left="680"/>
        <w:rPr>
          <w:b/>
          <w:sz w:val="24"/>
          <w:szCs w:val="24"/>
          <w:lang w:eastAsia="zh-CN"/>
        </w:rPr>
      </w:pPr>
      <w:r>
        <w:rPr>
          <w:b/>
          <w:w w:val="95"/>
          <w:sz w:val="24"/>
          <w:szCs w:val="24"/>
          <w:lang w:eastAsia="zh-CN"/>
        </w:rPr>
        <w:t>一、比选内容</w:t>
      </w:r>
    </w:p>
    <w:p>
      <w:pPr>
        <w:pStyle w:val="6"/>
        <w:spacing w:before="186" w:line="322" w:lineRule="auto"/>
        <w:ind w:left="598"/>
        <w:rPr>
          <w:sz w:val="24"/>
          <w:szCs w:val="24"/>
          <w:lang w:eastAsia="zh-CN"/>
        </w:rPr>
      </w:pPr>
      <w:r>
        <w:rPr>
          <w:sz w:val="24"/>
          <w:szCs w:val="24"/>
          <w:lang w:eastAsia="zh-CN"/>
        </w:rPr>
        <w:t>(一)</w:t>
      </w:r>
      <w:r>
        <w:rPr>
          <w:rFonts w:hint="eastAsia"/>
          <w:sz w:val="24"/>
          <w:szCs w:val="24"/>
          <w:lang w:eastAsia="zh-CN"/>
        </w:rPr>
        <w:t>项目</w:t>
      </w:r>
      <w:r>
        <w:rPr>
          <w:sz w:val="24"/>
          <w:szCs w:val="24"/>
          <w:lang w:eastAsia="zh-CN"/>
        </w:rPr>
        <w:t>名称：</w:t>
      </w:r>
      <w:r>
        <w:rPr>
          <w:rFonts w:hint="eastAsia" w:asciiTheme="minorEastAsia" w:hAnsiTheme="minorEastAsia" w:eastAsiaTheme="minorEastAsia"/>
          <w:bCs/>
          <w:sz w:val="24"/>
          <w:szCs w:val="24"/>
          <w:u w:val="single"/>
          <w:lang w:val="en-US" w:eastAsia="zh-CN"/>
        </w:rPr>
        <w:t xml:space="preserve"> 重整催化剂筛分工程项目</w:t>
      </w:r>
      <w:r>
        <w:rPr>
          <w:rFonts w:hint="eastAsia"/>
          <w:sz w:val="24"/>
          <w:szCs w:val="24"/>
          <w:u w:val="single"/>
          <w:lang w:eastAsia="zh-CN"/>
        </w:rPr>
        <w:t xml:space="preserve"> </w:t>
      </w:r>
      <w:r>
        <w:rPr>
          <w:sz w:val="24"/>
          <w:szCs w:val="24"/>
          <w:lang w:eastAsia="zh-CN"/>
        </w:rPr>
        <w:t>。</w:t>
      </w:r>
    </w:p>
    <w:p>
      <w:pPr>
        <w:pStyle w:val="6"/>
        <w:spacing w:before="131" w:line="322" w:lineRule="auto"/>
        <w:ind w:left="598"/>
        <w:rPr>
          <w:sz w:val="24"/>
          <w:szCs w:val="24"/>
          <w:lang w:eastAsia="zh-CN"/>
        </w:rPr>
      </w:pPr>
      <w:r>
        <w:rPr>
          <w:sz w:val="24"/>
          <w:szCs w:val="24"/>
          <w:lang w:eastAsia="zh-CN"/>
        </w:rPr>
        <w:t>(二)</w:t>
      </w:r>
      <w:r>
        <w:rPr>
          <w:rFonts w:hint="eastAsia"/>
          <w:sz w:val="24"/>
          <w:szCs w:val="24"/>
          <w:lang w:eastAsia="zh-CN"/>
        </w:rPr>
        <w:t>项目</w:t>
      </w:r>
      <w:r>
        <w:rPr>
          <w:sz w:val="24"/>
          <w:szCs w:val="24"/>
          <w:lang w:eastAsia="zh-CN"/>
        </w:rPr>
        <w:t>地点：</w:t>
      </w:r>
      <w:r>
        <w:rPr>
          <w:rFonts w:hint="eastAsia"/>
          <w:sz w:val="24"/>
          <w:szCs w:val="24"/>
          <w:lang w:eastAsia="zh-CN"/>
        </w:rPr>
        <w:t>腾龙芳烃（漳州）有限公司（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号）</w:t>
      </w:r>
    </w:p>
    <w:p>
      <w:pPr>
        <w:pStyle w:val="6"/>
        <w:spacing w:before="131" w:line="322" w:lineRule="auto"/>
        <w:ind w:left="595"/>
        <w:rPr>
          <w:sz w:val="24"/>
          <w:szCs w:val="24"/>
          <w:lang w:eastAsia="zh-CN"/>
        </w:rPr>
      </w:pPr>
      <w:r>
        <w:rPr>
          <w:sz w:val="24"/>
          <w:szCs w:val="24"/>
          <w:lang w:eastAsia="zh-CN"/>
        </w:rPr>
        <w:t>(三)</w:t>
      </w:r>
      <w:r>
        <w:rPr>
          <w:rFonts w:hint="eastAsia"/>
          <w:sz w:val="24"/>
          <w:szCs w:val="24"/>
          <w:lang w:eastAsia="zh-CN"/>
        </w:rPr>
        <w:t>承包方式：</w:t>
      </w:r>
      <w:r>
        <w:rPr>
          <w:rFonts w:hint="eastAsia" w:asciiTheme="majorEastAsia" w:hAnsiTheme="majorEastAsia" w:eastAsiaTheme="majorEastAsia"/>
          <w:bCs/>
          <w:snapToGrid w:val="0"/>
          <w:spacing w:val="8"/>
          <w:sz w:val="24"/>
          <w:szCs w:val="24"/>
          <w:lang w:eastAsia="zh-CN"/>
        </w:rPr>
        <w:t>采用</w:t>
      </w:r>
      <w:r>
        <w:rPr>
          <w:rFonts w:hint="eastAsia" w:asciiTheme="majorEastAsia" w:hAnsiTheme="majorEastAsia" w:eastAsiaTheme="majorEastAsia"/>
          <w:bCs/>
          <w:snapToGrid w:val="0"/>
          <w:spacing w:val="8"/>
          <w:sz w:val="24"/>
          <w:szCs w:val="24"/>
          <w:lang w:val="en-US" w:eastAsia="zh-CN"/>
        </w:rPr>
        <w:t>固定包干单价</w:t>
      </w:r>
      <w:r>
        <w:rPr>
          <w:rFonts w:hint="eastAsia" w:asciiTheme="majorEastAsia" w:hAnsiTheme="majorEastAsia" w:eastAsiaTheme="majorEastAsia"/>
          <w:bCs/>
          <w:snapToGrid w:val="0"/>
          <w:spacing w:val="8"/>
          <w:sz w:val="24"/>
          <w:szCs w:val="24"/>
          <w:lang w:eastAsia="zh-CN"/>
        </w:rPr>
        <w:t>的</w:t>
      </w:r>
      <w:r>
        <w:rPr>
          <w:rFonts w:hint="eastAsia" w:asciiTheme="majorEastAsia" w:hAnsiTheme="majorEastAsia" w:eastAsiaTheme="majorEastAsia"/>
          <w:sz w:val="24"/>
          <w:szCs w:val="24"/>
          <w:lang w:eastAsia="zh-CN"/>
        </w:rPr>
        <w:t>方式。</w:t>
      </w:r>
    </w:p>
    <w:p>
      <w:pPr>
        <w:pStyle w:val="6"/>
        <w:spacing w:before="131" w:line="322" w:lineRule="auto"/>
        <w:ind w:left="595"/>
        <w:rPr>
          <w:sz w:val="24"/>
          <w:szCs w:val="24"/>
          <w:lang w:eastAsia="zh-CN"/>
        </w:rPr>
      </w:pPr>
      <w:r>
        <w:rPr>
          <w:sz w:val="24"/>
          <w:szCs w:val="24"/>
          <w:lang w:eastAsia="zh-CN"/>
        </w:rPr>
        <w:t>(</w:t>
      </w:r>
      <w:r>
        <w:rPr>
          <w:rFonts w:hint="eastAsia"/>
          <w:sz w:val="24"/>
          <w:szCs w:val="24"/>
          <w:lang w:eastAsia="zh-CN"/>
        </w:rPr>
        <w:t>四</w:t>
      </w:r>
      <w:r>
        <w:rPr>
          <w:sz w:val="24"/>
          <w:szCs w:val="24"/>
          <w:lang w:eastAsia="zh-CN"/>
        </w:rPr>
        <w:t>)比选范围：</w:t>
      </w:r>
    </w:p>
    <w:p>
      <w:pPr>
        <w:spacing w:line="324" w:lineRule="auto"/>
        <w:ind w:left="1095" w:leftChars="327" w:hanging="376" w:hangingChars="157"/>
        <w:rPr>
          <w:rFonts w:asciiTheme="minorEastAsia" w:hAnsiTheme="minorEastAsia" w:eastAsiaTheme="minorEastAsia"/>
          <w:sz w:val="24"/>
          <w:szCs w:val="24"/>
          <w:lang w:eastAsia="zh-CN"/>
        </w:rPr>
      </w:pPr>
      <w:r>
        <w:rPr>
          <w:rFonts w:hint="eastAsia"/>
          <w:sz w:val="24"/>
          <w:szCs w:val="24"/>
          <w:lang w:eastAsia="zh-CN"/>
        </w:rPr>
        <w:t>1、项目概况：</w:t>
      </w:r>
      <w:r>
        <w:rPr>
          <w:rFonts w:ascii="宋体" w:hAnsi="宋体"/>
          <w:color w:val="000000"/>
          <w:sz w:val="24"/>
          <w:szCs w:val="24"/>
        </w:rPr>
        <w:t xml:space="preserve"> </w:t>
      </w:r>
      <w:r>
        <w:rPr>
          <w:rFonts w:hint="eastAsia" w:ascii="宋体" w:hAnsi="宋体"/>
          <w:color w:val="000000"/>
          <w:sz w:val="24"/>
          <w:szCs w:val="24"/>
        </w:rPr>
        <w:t>福建福海创芳烃团队计划于2022年7月份270万</w:t>
      </w:r>
      <w:r>
        <w:rPr>
          <w:rFonts w:hint="eastAsia" w:ascii="宋体" w:hAnsi="宋体"/>
          <w:sz w:val="24"/>
          <w:szCs w:val="24"/>
        </w:rPr>
        <w:t>吨/年</w:t>
      </w:r>
      <w:r>
        <w:rPr>
          <w:rFonts w:hint="eastAsia" w:ascii="宋体" w:hAnsi="宋体"/>
          <w:bCs/>
          <w:sz w:val="24"/>
          <w:szCs w:val="24"/>
        </w:rPr>
        <w:t>连续重整</w:t>
      </w:r>
      <w:r>
        <w:rPr>
          <w:rFonts w:hint="eastAsia" w:ascii="宋体" w:hAnsi="宋体"/>
          <w:sz w:val="24"/>
          <w:szCs w:val="24"/>
        </w:rPr>
        <w:t>装置停工消缺。</w:t>
      </w:r>
      <w:r>
        <w:rPr>
          <w:rFonts w:hint="eastAsia" w:ascii="宋体" w:hAnsi="宋体"/>
          <w:bCs/>
          <w:sz w:val="24"/>
          <w:szCs w:val="24"/>
        </w:rPr>
        <w:t>重整</w:t>
      </w:r>
      <w:r>
        <w:rPr>
          <w:rFonts w:hint="eastAsia" w:ascii="宋体" w:hAnsi="宋体"/>
          <w:sz w:val="24"/>
          <w:szCs w:val="24"/>
        </w:rPr>
        <w:t>反应器32-R-101、32-R-102、32-R-103、32-R-104和再生器33-R-101内卸下的混合</w:t>
      </w:r>
      <w:r>
        <w:rPr>
          <w:rFonts w:hint="eastAsia" w:ascii="宋体" w:hAnsi="宋体"/>
          <w:bCs/>
          <w:sz w:val="24"/>
          <w:szCs w:val="24"/>
        </w:rPr>
        <w:t>催化剂约185吨，这部分催化剂含有亮黑剂、侏儒球 及粉尘等。这些不合格催化剂不利于装置运行需要进行催化剂筛分处理。</w:t>
      </w:r>
      <w:r>
        <w:rPr>
          <w:rFonts w:hint="eastAsia"/>
          <w:color w:val="000000"/>
          <w:sz w:val="24"/>
          <w:szCs w:val="24"/>
          <w:lang w:val="en-US" w:eastAsia="zh-CN"/>
        </w:rPr>
        <w:t>详见附件《重整催化剂筛分发包说明》</w:t>
      </w:r>
    </w:p>
    <w:p>
      <w:pPr>
        <w:spacing w:line="324" w:lineRule="auto"/>
        <w:ind w:left="1196" w:leftChars="318" w:hanging="496" w:hangingChars="207"/>
        <w:rPr>
          <w:bCs/>
          <w:snapToGrid w:val="0"/>
          <w:spacing w:val="8"/>
          <w:sz w:val="24"/>
          <w:szCs w:val="24"/>
          <w:lang w:eastAsia="zh-CN"/>
        </w:rPr>
      </w:pPr>
      <w:r>
        <w:rPr>
          <w:rFonts w:hint="eastAsia"/>
          <w:sz w:val="24"/>
          <w:szCs w:val="24"/>
          <w:lang w:eastAsia="zh-CN"/>
        </w:rPr>
        <w:t xml:space="preserve"> 2、本项目采用资格后审方式对参选人进行资格审查</w:t>
      </w:r>
      <w:r>
        <w:rPr>
          <w:rFonts w:hint="eastAsia"/>
          <w:b/>
          <w:sz w:val="24"/>
          <w:szCs w:val="24"/>
          <w:lang w:eastAsia="zh-CN"/>
        </w:rPr>
        <w:t>，</w:t>
      </w:r>
      <w:r>
        <w:rPr>
          <w:bCs/>
          <w:snapToGrid w:val="0"/>
          <w:spacing w:val="8"/>
          <w:sz w:val="24"/>
          <w:szCs w:val="24"/>
          <w:lang w:eastAsia="zh-CN"/>
        </w:rPr>
        <w:t>经资格审查合格的参选人的商务报价</w:t>
      </w:r>
      <w:r>
        <w:rPr>
          <w:rFonts w:hint="eastAsia"/>
          <w:bCs/>
          <w:snapToGrid w:val="0"/>
          <w:spacing w:val="8"/>
          <w:sz w:val="24"/>
          <w:szCs w:val="24"/>
          <w:lang w:eastAsia="zh-CN"/>
        </w:rPr>
        <w:t>以未税总价最低者作为中选单位。</w:t>
      </w:r>
    </w:p>
    <w:p>
      <w:pPr>
        <w:pStyle w:val="3"/>
        <w:spacing w:before="18"/>
        <w:ind w:left="680"/>
        <w:rPr>
          <w:sz w:val="24"/>
          <w:szCs w:val="24"/>
          <w:lang w:eastAsia="zh-CN"/>
        </w:rPr>
      </w:pPr>
      <w:r>
        <w:rPr>
          <w:w w:val="95"/>
          <w:sz w:val="24"/>
          <w:szCs w:val="24"/>
          <w:lang w:eastAsia="zh-CN"/>
        </w:rPr>
        <w:t>二、定义和解释</w:t>
      </w:r>
    </w:p>
    <w:p>
      <w:pPr>
        <w:pStyle w:val="6"/>
        <w:spacing w:before="186"/>
        <w:ind w:left="598" w:leftChars="272" w:firstLine="120" w:firstLineChars="50"/>
        <w:rPr>
          <w:sz w:val="24"/>
          <w:szCs w:val="24"/>
          <w:lang w:eastAsia="zh-CN"/>
        </w:rPr>
      </w:pPr>
      <w:r>
        <w:rPr>
          <w:sz w:val="24"/>
          <w:szCs w:val="24"/>
          <w:lang w:eastAsia="zh-CN"/>
        </w:rPr>
        <w:t>1</w:t>
      </w:r>
      <w:r>
        <w:rPr>
          <w:rFonts w:hint="eastAsia"/>
          <w:sz w:val="24"/>
          <w:szCs w:val="24"/>
          <w:lang w:eastAsia="zh-CN"/>
        </w:rPr>
        <w:t>、</w:t>
      </w:r>
      <w:r>
        <w:rPr>
          <w:sz w:val="24"/>
          <w:szCs w:val="24"/>
          <w:lang w:eastAsia="zh-CN"/>
        </w:rPr>
        <w:t>“比选人”系福建福海创石油化工有限公司，即业主方。</w:t>
      </w:r>
    </w:p>
    <w:p>
      <w:pPr>
        <w:pStyle w:val="6"/>
        <w:spacing w:before="108" w:line="321" w:lineRule="auto"/>
        <w:ind w:left="119" w:leftChars="54" w:right="222" w:firstLine="588" w:firstLineChars="270"/>
        <w:rPr>
          <w:sz w:val="24"/>
          <w:szCs w:val="24"/>
          <w:lang w:eastAsia="zh-CN"/>
        </w:rPr>
      </w:pPr>
      <w:r>
        <w:rPr>
          <w:spacing w:val="-11"/>
          <w:sz w:val="24"/>
          <w:szCs w:val="24"/>
          <w:lang w:eastAsia="zh-CN"/>
        </w:rPr>
        <w:t>2</w:t>
      </w:r>
      <w:r>
        <w:rPr>
          <w:rFonts w:hint="eastAsia"/>
          <w:spacing w:val="-10"/>
          <w:sz w:val="24"/>
          <w:szCs w:val="24"/>
          <w:lang w:eastAsia="zh-CN"/>
        </w:rPr>
        <w:t>、</w:t>
      </w:r>
      <w:r>
        <w:rPr>
          <w:spacing w:val="-10"/>
          <w:sz w:val="24"/>
          <w:szCs w:val="24"/>
          <w:lang w:eastAsia="zh-CN"/>
        </w:rPr>
        <w:t>“参选人”系指向比选人报名并接受邀请，领取比选文件，且已经提交或准备提交本次参选文件的法人。</w:t>
      </w:r>
    </w:p>
    <w:p>
      <w:pPr>
        <w:pStyle w:val="6"/>
        <w:spacing w:before="27" w:line="321" w:lineRule="auto"/>
        <w:ind w:left="119" w:leftChars="54" w:right="222" w:firstLine="585" w:firstLineChars="276"/>
        <w:rPr>
          <w:sz w:val="24"/>
          <w:szCs w:val="24"/>
          <w:lang w:eastAsia="zh-CN"/>
        </w:rPr>
      </w:pPr>
      <w:r>
        <w:rPr>
          <w:spacing w:val="-14"/>
          <w:sz w:val="24"/>
          <w:szCs w:val="24"/>
          <w:lang w:eastAsia="zh-CN"/>
        </w:rPr>
        <w:t>3</w:t>
      </w:r>
      <w:r>
        <w:rPr>
          <w:rFonts w:hint="eastAsia"/>
          <w:spacing w:val="-14"/>
          <w:sz w:val="24"/>
          <w:szCs w:val="24"/>
          <w:lang w:eastAsia="zh-CN"/>
        </w:rPr>
        <w:t>、</w:t>
      </w:r>
      <w:r>
        <w:rPr>
          <w:spacing w:val="-10"/>
          <w:sz w:val="24"/>
          <w:szCs w:val="24"/>
          <w:lang w:eastAsia="zh-CN"/>
        </w:rPr>
        <w:t>“参选人代表”系指全权代表参选人参加本次比选活动并签署参选文件的人，如果参选人代表不是参选人的法定代表人，须持有《法定代表人授权委托书》详见附件。</w:t>
      </w:r>
    </w:p>
    <w:p>
      <w:pPr>
        <w:pStyle w:val="3"/>
        <w:spacing w:before="95"/>
        <w:rPr>
          <w:sz w:val="24"/>
          <w:szCs w:val="24"/>
          <w:lang w:eastAsia="zh-CN"/>
        </w:rPr>
      </w:pPr>
      <w:r>
        <w:rPr>
          <w:w w:val="95"/>
          <w:sz w:val="24"/>
          <w:szCs w:val="24"/>
          <w:lang w:eastAsia="zh-CN"/>
        </w:rPr>
        <w:t>三、比选文件组成</w:t>
      </w:r>
    </w:p>
    <w:p>
      <w:pPr>
        <w:pStyle w:val="6"/>
        <w:spacing w:before="188"/>
        <w:ind w:left="598" w:leftChars="272" w:firstLine="120" w:firstLineChars="50"/>
        <w:rPr>
          <w:sz w:val="24"/>
          <w:szCs w:val="24"/>
          <w:lang w:eastAsia="zh-CN"/>
        </w:rPr>
      </w:pPr>
      <w:r>
        <w:rPr>
          <w:sz w:val="24"/>
          <w:szCs w:val="24"/>
          <w:lang w:eastAsia="zh-CN"/>
        </w:rPr>
        <w:t>1</w:t>
      </w:r>
      <w:r>
        <w:rPr>
          <w:rFonts w:hint="eastAsia"/>
          <w:sz w:val="24"/>
          <w:szCs w:val="24"/>
          <w:lang w:eastAsia="zh-CN"/>
        </w:rPr>
        <w:t>、</w:t>
      </w:r>
      <w:r>
        <w:rPr>
          <w:sz w:val="24"/>
          <w:szCs w:val="24"/>
          <w:lang w:eastAsia="zh-CN"/>
        </w:rPr>
        <w:t>比选文件包括下列内容：</w:t>
      </w:r>
    </w:p>
    <w:p>
      <w:pPr>
        <w:pStyle w:val="6"/>
        <w:spacing w:before="105"/>
        <w:ind w:left="598"/>
        <w:rPr>
          <w:sz w:val="24"/>
          <w:szCs w:val="24"/>
          <w:lang w:eastAsia="zh-CN"/>
        </w:rPr>
      </w:pPr>
      <w:r>
        <w:rPr>
          <w:sz w:val="24"/>
          <w:szCs w:val="24"/>
          <w:lang w:eastAsia="zh-CN"/>
        </w:rPr>
        <w:t>比选公告、比选须知、项目内容、合同书格式、报价单、承诺函等。</w:t>
      </w:r>
    </w:p>
    <w:p>
      <w:pPr>
        <w:pStyle w:val="6"/>
        <w:spacing w:before="108" w:line="321" w:lineRule="auto"/>
        <w:ind w:left="119" w:leftChars="54" w:right="212" w:firstLine="600" w:firstLineChars="250"/>
        <w:rPr>
          <w:sz w:val="24"/>
          <w:szCs w:val="24"/>
          <w:lang w:eastAsia="zh-CN"/>
        </w:rPr>
      </w:pPr>
      <w:r>
        <w:rPr>
          <w:sz w:val="24"/>
          <w:szCs w:val="24"/>
          <w:lang w:eastAsia="zh-CN"/>
        </w:rPr>
        <w:t>2</w:t>
      </w:r>
      <w:r>
        <w:rPr>
          <w:rFonts w:hint="eastAsia"/>
          <w:sz w:val="24"/>
          <w:szCs w:val="24"/>
          <w:lang w:eastAsia="zh-CN"/>
        </w:rPr>
        <w:t>、</w:t>
      </w:r>
      <w:r>
        <w:rPr>
          <w:sz w:val="24"/>
          <w:szCs w:val="24"/>
          <w:lang w:eastAsia="zh-CN"/>
        </w:rPr>
        <w:t>比选文件除 1 中内容外，比选人在比选期间发出的书面文件和其他修改或补充函件，均是比选文件不可分割的组成部分。</w:t>
      </w:r>
    </w:p>
    <w:p>
      <w:pPr>
        <w:pStyle w:val="6"/>
        <w:spacing w:before="186" w:line="321" w:lineRule="auto"/>
        <w:ind w:left="118" w:right="92" w:firstLine="480"/>
        <w:rPr>
          <w:spacing w:val="-13"/>
          <w:sz w:val="24"/>
          <w:szCs w:val="24"/>
          <w:lang w:eastAsia="zh-CN"/>
        </w:rPr>
      </w:pPr>
      <w:r>
        <w:rPr>
          <w:spacing w:val="-13"/>
          <w:sz w:val="24"/>
          <w:szCs w:val="24"/>
          <w:lang w:eastAsia="zh-CN"/>
        </w:rPr>
        <w:t>3</w:t>
      </w:r>
      <w:r>
        <w:rPr>
          <w:rFonts w:hint="eastAsia"/>
          <w:spacing w:val="-13"/>
          <w:sz w:val="24"/>
          <w:szCs w:val="24"/>
          <w:lang w:eastAsia="zh-CN"/>
        </w:rPr>
        <w:t>、</w:t>
      </w:r>
      <w:r>
        <w:rPr>
          <w:spacing w:val="-13"/>
          <w:sz w:val="24"/>
          <w:szCs w:val="24"/>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6"/>
        <w:spacing w:before="186" w:line="321" w:lineRule="auto"/>
        <w:ind w:left="118" w:right="92" w:firstLine="480"/>
        <w:rPr>
          <w:spacing w:val="-13"/>
          <w:sz w:val="24"/>
          <w:szCs w:val="24"/>
          <w:lang w:eastAsia="zh-CN"/>
        </w:rPr>
      </w:pPr>
    </w:p>
    <w:p>
      <w:pPr>
        <w:pStyle w:val="3"/>
        <w:spacing w:before="97"/>
        <w:ind w:left="680"/>
        <w:rPr>
          <w:sz w:val="24"/>
          <w:szCs w:val="24"/>
          <w:lang w:eastAsia="zh-CN"/>
        </w:rPr>
      </w:pPr>
      <w:r>
        <w:rPr>
          <w:w w:val="95"/>
          <w:sz w:val="24"/>
          <w:szCs w:val="24"/>
          <w:lang w:eastAsia="zh-CN"/>
        </w:rPr>
        <w:t>四、比选文件的澄清</w:t>
      </w:r>
    </w:p>
    <w:p>
      <w:pPr>
        <w:pStyle w:val="6"/>
        <w:spacing w:before="186" w:line="321" w:lineRule="auto"/>
        <w:ind w:left="118" w:right="92" w:firstLine="480"/>
        <w:rPr>
          <w:rFonts w:hint="eastAsia" w:ascii="宋体" w:hAnsi="宋体" w:eastAsia="宋体" w:cs="宋体"/>
          <w:sz w:val="24"/>
          <w:szCs w:val="24"/>
          <w:lang w:eastAsia="zh-CN"/>
        </w:rPr>
      </w:pPr>
      <w:r>
        <w:rPr>
          <w:spacing w:val="-9"/>
          <w:sz w:val="24"/>
          <w:szCs w:val="24"/>
          <w:lang w:eastAsia="zh-CN"/>
        </w:rPr>
        <w:t>参选人获取比选文件后，应仔细检查比选文件的所有内容，如有残缺等问题应在获得</w:t>
      </w:r>
      <w:r>
        <w:rPr>
          <w:spacing w:val="-20"/>
          <w:sz w:val="24"/>
          <w:szCs w:val="24"/>
          <w:lang w:eastAsia="zh-CN"/>
        </w:rPr>
        <w:t>比选文件</w:t>
      </w:r>
      <w:r>
        <w:rPr>
          <w:spacing w:val="-20"/>
          <w:sz w:val="24"/>
          <w:szCs w:val="24"/>
          <w:u w:val="single"/>
          <w:lang w:eastAsia="zh-CN"/>
        </w:rPr>
        <w:t xml:space="preserve"> </w:t>
      </w:r>
      <w:r>
        <w:rPr>
          <w:sz w:val="24"/>
          <w:szCs w:val="24"/>
          <w:u w:val="single"/>
          <w:lang w:eastAsia="zh-CN"/>
        </w:rPr>
        <w:t>3</w:t>
      </w:r>
      <w:r>
        <w:rPr>
          <w:spacing w:val="-13"/>
          <w:sz w:val="24"/>
          <w:szCs w:val="24"/>
          <w:u w:val="single"/>
          <w:lang w:eastAsia="zh-CN"/>
        </w:rPr>
        <w:t xml:space="preserve"> </w:t>
      </w:r>
      <w:r>
        <w:rPr>
          <w:spacing w:val="-13"/>
          <w:sz w:val="24"/>
          <w:szCs w:val="24"/>
          <w:lang w:eastAsia="zh-CN"/>
        </w:rPr>
        <w:t>日内向比选人提出。参选人若对比选文件有任何疑问，应在参选截止时间前</w:t>
      </w:r>
      <w:r>
        <w:rPr>
          <w:spacing w:val="-13"/>
          <w:sz w:val="24"/>
          <w:szCs w:val="24"/>
          <w:u w:val="single"/>
          <w:lang w:eastAsia="zh-CN"/>
        </w:rPr>
        <w:t xml:space="preserve"> </w:t>
      </w:r>
      <w:r>
        <w:rPr>
          <w:sz w:val="24"/>
          <w:szCs w:val="24"/>
          <w:u w:val="single"/>
          <w:lang w:eastAsia="zh-CN"/>
        </w:rPr>
        <w:t xml:space="preserve">5 </w:t>
      </w:r>
      <w:r>
        <w:rPr>
          <w:spacing w:val="-10"/>
          <w:sz w:val="24"/>
          <w:szCs w:val="24"/>
          <w:lang w:eastAsia="zh-CN"/>
        </w:rPr>
        <w:t>日，按参选须知载明的地址以书面形式</w:t>
      </w:r>
      <w:r>
        <w:rPr>
          <w:spacing w:val="-3"/>
          <w:sz w:val="24"/>
          <w:szCs w:val="24"/>
          <w:lang w:eastAsia="zh-CN"/>
        </w:rPr>
        <w:t>（</w:t>
      </w:r>
      <w:r>
        <w:rPr>
          <w:spacing w:val="-10"/>
          <w:sz w:val="24"/>
          <w:szCs w:val="24"/>
          <w:lang w:eastAsia="zh-CN"/>
        </w:rPr>
        <w:t>包括书面、传真、电子邮件下同</w:t>
      </w:r>
      <w:r>
        <w:rPr>
          <w:spacing w:val="-49"/>
          <w:sz w:val="24"/>
          <w:szCs w:val="24"/>
          <w:lang w:eastAsia="zh-CN"/>
        </w:rPr>
        <w:t>）</w:t>
      </w:r>
      <w:r>
        <w:rPr>
          <w:sz w:val="24"/>
          <w:szCs w:val="24"/>
          <w:lang w:eastAsia="zh-CN"/>
        </w:rPr>
        <w:t>通知到比选人。</w:t>
      </w:r>
      <w:r>
        <w:rPr>
          <w:spacing w:val="-4"/>
          <w:sz w:val="24"/>
          <w:szCs w:val="24"/>
          <w:lang w:eastAsia="zh-CN"/>
        </w:rPr>
        <w:t>比选人将视情况</w:t>
      </w:r>
      <w:r>
        <w:rPr>
          <w:rFonts w:hint="eastAsia" w:ascii="宋体" w:hAnsi="宋体" w:eastAsia="宋体" w:cs="宋体"/>
          <w:spacing w:val="-4"/>
          <w:sz w:val="24"/>
          <w:szCs w:val="24"/>
          <w:lang w:eastAsia="zh-CN"/>
        </w:rPr>
        <w:t>确定采用适当方式予以澄清或以书面形式予以答复，澄清文件作为比选文件的组成部分，具有约束作用。</w:t>
      </w:r>
    </w:p>
    <w:p>
      <w:pPr>
        <w:pStyle w:val="3"/>
        <w:spacing w:before="95"/>
        <w:rPr>
          <w:rFonts w:hint="eastAsia" w:ascii="宋体" w:hAnsi="宋体" w:eastAsia="宋体" w:cs="宋体"/>
          <w:sz w:val="24"/>
          <w:szCs w:val="24"/>
          <w:lang w:eastAsia="zh-CN"/>
        </w:rPr>
      </w:pPr>
      <w:r>
        <w:rPr>
          <w:rFonts w:hint="eastAsia" w:ascii="宋体" w:hAnsi="宋体" w:eastAsia="宋体" w:cs="宋体"/>
          <w:w w:val="95"/>
          <w:sz w:val="24"/>
          <w:szCs w:val="24"/>
          <w:lang w:eastAsia="zh-CN"/>
        </w:rPr>
        <w:t>五、比选文件的修改、补充</w:t>
      </w:r>
    </w:p>
    <w:p>
      <w:pPr>
        <w:pStyle w:val="6"/>
        <w:spacing w:before="189" w:line="321" w:lineRule="auto"/>
        <w:ind w:left="118" w:right="226"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cs="宋体"/>
          <w:sz w:val="24"/>
          <w:szCs w:val="24"/>
          <w:lang w:eastAsia="zh-CN"/>
        </w:rPr>
        <w:t>、</w:t>
      </w:r>
      <w:r>
        <w:rPr>
          <w:rFonts w:hint="eastAsia" w:ascii="宋体" w:hAnsi="宋体" w:eastAsia="宋体" w:cs="宋体"/>
          <w:sz w:val="24"/>
          <w:szCs w:val="24"/>
          <w:lang w:eastAsia="zh-CN"/>
        </w:rPr>
        <w:t>在参选截止日期前，比选人可主动地或依据参选人要求澄清的问题而修改比选文</w:t>
      </w:r>
      <w:r>
        <w:rPr>
          <w:rFonts w:hint="eastAsia" w:ascii="宋体" w:hAnsi="宋体" w:eastAsia="宋体" w:cs="宋体"/>
          <w:spacing w:val="-10"/>
          <w:sz w:val="24"/>
          <w:szCs w:val="24"/>
          <w:lang w:eastAsia="zh-CN"/>
        </w:rPr>
        <w:t>件，并以书面形式通知所有报名参加比选项目的每一参选人，对方在收到该通知后应立即</w:t>
      </w:r>
      <w:r>
        <w:rPr>
          <w:rFonts w:hint="eastAsia" w:ascii="宋体" w:hAnsi="宋体" w:eastAsia="宋体" w:cs="宋体"/>
          <w:spacing w:val="-2"/>
          <w:sz w:val="24"/>
          <w:szCs w:val="24"/>
          <w:lang w:eastAsia="zh-CN"/>
        </w:rPr>
        <w:t>以书面形式予以确认；参选人未按规定时间予以确认或未按规定时间地点领取书面文件的，视比选通知已收到。</w:t>
      </w:r>
    </w:p>
    <w:p>
      <w:pPr>
        <w:pStyle w:val="6"/>
        <w:spacing w:before="27" w:line="321" w:lineRule="auto"/>
        <w:ind w:left="118" w:right="222"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cs="宋体"/>
          <w:sz w:val="24"/>
          <w:szCs w:val="24"/>
          <w:lang w:eastAsia="zh-CN"/>
        </w:rPr>
        <w:t>、</w:t>
      </w:r>
      <w:r>
        <w:rPr>
          <w:rFonts w:hint="eastAsia" w:ascii="宋体" w:hAnsi="宋体" w:eastAsia="宋体" w:cs="宋体"/>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6"/>
        <w:spacing w:before="27"/>
        <w:ind w:left="598"/>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cs="宋体"/>
          <w:sz w:val="24"/>
          <w:szCs w:val="24"/>
          <w:lang w:eastAsia="zh-CN"/>
        </w:rPr>
        <w:t>、</w:t>
      </w:r>
      <w:r>
        <w:rPr>
          <w:rFonts w:hint="eastAsia" w:ascii="宋体" w:hAnsi="宋体" w:eastAsia="宋体" w:cs="宋体"/>
          <w:sz w:val="24"/>
          <w:szCs w:val="24"/>
          <w:lang w:eastAsia="zh-CN"/>
        </w:rPr>
        <w:t>比选文件的修改书将构成比选文件的一部分，对参选人具有约束作用。</w:t>
      </w:r>
    </w:p>
    <w:p>
      <w:pPr>
        <w:pStyle w:val="3"/>
        <w:spacing w:before="174"/>
        <w:rPr>
          <w:rFonts w:hint="eastAsia" w:ascii="宋体" w:hAnsi="宋体" w:eastAsia="宋体" w:cs="宋体"/>
          <w:sz w:val="24"/>
          <w:szCs w:val="24"/>
          <w:lang w:eastAsia="zh-CN"/>
        </w:rPr>
      </w:pPr>
      <w:r>
        <w:rPr>
          <w:rFonts w:hint="eastAsia" w:ascii="宋体" w:hAnsi="宋体" w:eastAsia="宋体" w:cs="宋体"/>
          <w:w w:val="95"/>
          <w:sz w:val="24"/>
          <w:szCs w:val="24"/>
          <w:lang w:eastAsia="zh-CN"/>
        </w:rPr>
        <w:t>六、参选人资格</w:t>
      </w:r>
    </w:p>
    <w:p>
      <w:pPr>
        <w:pStyle w:val="6"/>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1、参选人必须具备有效的企业法人营业执照，具有在中华人民共和国注册的法人资格。</w:t>
      </w:r>
    </w:p>
    <w:p>
      <w:pPr>
        <w:pStyle w:val="6"/>
        <w:spacing w:before="189" w:line="321" w:lineRule="auto"/>
        <w:ind w:left="118" w:right="226" w:firstLine="480"/>
        <w:jc w:val="both"/>
        <w:rPr>
          <w:rFonts w:hint="eastAsia" w:ascii="宋体" w:hAnsi="宋体"/>
          <w:color w:val="000000"/>
          <w:sz w:val="24"/>
          <w:szCs w:val="24"/>
        </w:rPr>
      </w:pPr>
      <w:r>
        <w:rPr>
          <w:rFonts w:hint="eastAsia" w:ascii="宋体" w:hAnsi="宋体" w:eastAsia="宋体" w:cs="宋体"/>
          <w:spacing w:val="-10"/>
          <w:sz w:val="24"/>
          <w:szCs w:val="24"/>
          <w:lang w:val="en-US" w:eastAsia="zh-CN"/>
        </w:rPr>
        <w:t>2、</w:t>
      </w:r>
      <w:r>
        <w:rPr>
          <w:rFonts w:hint="eastAsia" w:ascii="宋体" w:hAnsi="宋体"/>
          <w:color w:val="000000"/>
          <w:sz w:val="24"/>
          <w:szCs w:val="24"/>
        </w:rPr>
        <w:t>具备有效的质量管理体系认证证书；职业健康安全管理体系认证证书；环境管理体系认证证书。</w:t>
      </w:r>
    </w:p>
    <w:p>
      <w:pPr>
        <w:pStyle w:val="6"/>
        <w:spacing w:before="189" w:line="321" w:lineRule="auto"/>
        <w:ind w:left="907" w:leftChars="254" w:right="226" w:hanging="348" w:hangingChars="145"/>
        <w:jc w:val="both"/>
        <w:rPr>
          <w:rFonts w:hint="eastAsia" w:ascii="宋体" w:hAnsi="宋体"/>
          <w:color w:val="000000"/>
          <w:sz w:val="24"/>
          <w:szCs w:val="24"/>
        </w:rPr>
      </w:pPr>
      <w:r>
        <w:rPr>
          <w:rFonts w:hint="eastAsia"/>
          <w:color w:val="000000"/>
          <w:sz w:val="24"/>
          <w:szCs w:val="24"/>
          <w:lang w:val="en-US" w:eastAsia="zh-CN"/>
        </w:rPr>
        <w:t>3、</w:t>
      </w:r>
      <w:r>
        <w:rPr>
          <w:color w:val="111111"/>
          <w:sz w:val="24"/>
          <w:szCs w:val="24"/>
          <w:shd w:val="clear" w:color="auto" w:fill="FFFFFF"/>
        </w:rPr>
        <w:t>2015年1月1日至今，具有</w:t>
      </w:r>
      <w:r>
        <w:rPr>
          <w:rFonts w:hint="eastAsia"/>
          <w:color w:val="111111"/>
          <w:sz w:val="24"/>
          <w:szCs w:val="24"/>
          <w:shd w:val="clear" w:color="auto" w:fill="FFFFFF"/>
        </w:rPr>
        <w:t>不少于</w:t>
      </w:r>
      <w:r>
        <w:rPr>
          <w:color w:val="111111"/>
          <w:sz w:val="24"/>
          <w:szCs w:val="24"/>
          <w:shd w:val="clear" w:color="auto" w:fill="FFFFFF"/>
        </w:rPr>
        <w:t>1</w:t>
      </w:r>
      <w:r>
        <w:rPr>
          <w:rFonts w:hint="eastAsia"/>
          <w:color w:val="111111"/>
          <w:sz w:val="24"/>
          <w:szCs w:val="24"/>
          <w:shd w:val="clear" w:color="auto" w:fill="FFFFFF"/>
        </w:rPr>
        <w:t>个重整装置重整催化剂器外筛分成功业绩且单次器外筛分量在100吨及以上（需提供合同及对应的结算签认资料与发票复印件）</w:t>
      </w:r>
      <w:r>
        <w:rPr>
          <w:rFonts w:hint="eastAsia" w:ascii="宋体" w:hAnsi="宋体"/>
          <w:color w:val="000000"/>
          <w:sz w:val="24"/>
          <w:szCs w:val="24"/>
        </w:rPr>
        <w:t>。</w:t>
      </w:r>
    </w:p>
    <w:p>
      <w:pPr>
        <w:pStyle w:val="6"/>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cs="宋体"/>
          <w:spacing w:val="-10"/>
          <w:sz w:val="24"/>
          <w:szCs w:val="24"/>
          <w:lang w:val="en-US" w:eastAsia="zh-CN"/>
        </w:rPr>
        <w:t>4、</w:t>
      </w:r>
      <w:r>
        <w:rPr>
          <w:rFonts w:hint="eastAsia" w:ascii="宋体" w:hAnsi="宋体" w:eastAsia="宋体" w:cs="宋体"/>
          <w:spacing w:val="-10"/>
          <w:sz w:val="24"/>
          <w:szCs w:val="24"/>
          <w:lang w:val="en-US" w:eastAsia="zh-CN"/>
        </w:rPr>
        <w:t>没有失信黑名单记录（以最高院失信被执行人系统发布信息为准）。</w:t>
      </w:r>
    </w:p>
    <w:p>
      <w:pPr>
        <w:pStyle w:val="6"/>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cs="宋体"/>
          <w:spacing w:val="-10"/>
          <w:sz w:val="24"/>
          <w:szCs w:val="24"/>
          <w:lang w:val="en-US" w:eastAsia="zh-CN"/>
        </w:rPr>
        <w:t>5</w:t>
      </w:r>
      <w:r>
        <w:rPr>
          <w:rFonts w:hint="eastAsia" w:ascii="宋体" w:hAnsi="宋体" w:eastAsia="宋体" w:cs="宋体"/>
          <w:spacing w:val="-10"/>
          <w:sz w:val="24"/>
          <w:szCs w:val="24"/>
          <w:lang w:val="en-US" w:eastAsia="zh-CN"/>
        </w:rPr>
        <w:t>、与比选人无诉讼纠纷。</w:t>
      </w:r>
    </w:p>
    <w:p>
      <w:pPr>
        <w:pStyle w:val="6"/>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cs="宋体"/>
          <w:spacing w:val="-10"/>
          <w:sz w:val="24"/>
          <w:szCs w:val="24"/>
          <w:lang w:val="en-US" w:eastAsia="zh-CN"/>
        </w:rPr>
        <w:t>6</w:t>
      </w:r>
      <w:r>
        <w:rPr>
          <w:rFonts w:hint="eastAsia" w:ascii="宋体" w:hAnsi="宋体" w:eastAsia="宋体" w:cs="宋体"/>
          <w:spacing w:val="-10"/>
          <w:sz w:val="24"/>
          <w:szCs w:val="24"/>
          <w:lang w:val="en-US" w:eastAsia="zh-CN"/>
        </w:rPr>
        <w:t>、本项目不接受联合体投标。</w:t>
      </w:r>
    </w:p>
    <w:p>
      <w:pPr>
        <w:pStyle w:val="3"/>
        <w:spacing w:before="95"/>
        <w:rPr>
          <w:rFonts w:hint="eastAsia" w:ascii="宋体" w:hAnsi="宋体" w:eastAsia="宋体" w:cs="宋体"/>
          <w:sz w:val="24"/>
          <w:szCs w:val="24"/>
          <w:lang w:eastAsia="zh-CN"/>
        </w:rPr>
      </w:pPr>
      <w:r>
        <w:rPr>
          <w:rFonts w:hint="eastAsia" w:ascii="宋体" w:hAnsi="宋体" w:eastAsia="宋体" w:cs="宋体"/>
          <w:w w:val="95"/>
          <w:sz w:val="24"/>
          <w:szCs w:val="24"/>
          <w:lang w:eastAsia="zh-CN"/>
        </w:rPr>
        <w:t>七、参选保证金</w:t>
      </w:r>
    </w:p>
    <w:p>
      <w:pPr>
        <w:pStyle w:val="6"/>
        <w:spacing w:line="360" w:lineRule="auto"/>
        <w:ind w:left="854" w:leftChars="254" w:right="121" w:hanging="295" w:hangingChars="123"/>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1. 参选单位应缴纳参选保证金，</w:t>
      </w:r>
      <w:r>
        <w:rPr>
          <w:rFonts w:hint="eastAsia" w:cs="宋体" w:asciiTheme="majorEastAsia" w:hAnsiTheme="majorEastAsia" w:eastAsiaTheme="majorEastAsia"/>
          <w:b/>
          <w:bCs/>
          <w:sz w:val="24"/>
          <w:szCs w:val="24"/>
          <w:lang w:val="en-US" w:eastAsia="zh-CN" w:bidi="ar-SA"/>
        </w:rPr>
        <w:t>保证金金额25000元整</w:t>
      </w:r>
      <w:r>
        <w:rPr>
          <w:rFonts w:hint="eastAsia" w:cs="宋体" w:asciiTheme="majorEastAsia" w:hAnsiTheme="majorEastAsia" w:eastAsiaTheme="majorEastAsia"/>
          <w:sz w:val="24"/>
          <w:szCs w:val="24"/>
          <w:lang w:val="en-US" w:eastAsia="zh-CN" w:bidi="ar-SA"/>
        </w:rPr>
        <w:t>，参选单位应按照要求从参选单位基本账户转入比选单位的账户，比选单位账户信息如下：</w:t>
      </w:r>
    </w:p>
    <w:p>
      <w:pPr>
        <w:pStyle w:val="6"/>
        <w:spacing w:line="360" w:lineRule="auto"/>
        <w:ind w:left="914" w:leftChars="399" w:right="121" w:hanging="36" w:hangingChars="15"/>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b/>
          <w:bCs/>
          <w:sz w:val="24"/>
          <w:szCs w:val="24"/>
          <w:lang w:val="en-US" w:eastAsia="zh-CN" w:bidi="ar-SA"/>
        </w:rPr>
        <w:t>开户名称：</w:t>
      </w:r>
      <w:r>
        <w:rPr>
          <w:rFonts w:hint="eastAsia" w:cs="宋体" w:asciiTheme="majorEastAsia" w:hAnsiTheme="majorEastAsia" w:eastAsiaTheme="majorEastAsia"/>
          <w:sz w:val="24"/>
          <w:szCs w:val="24"/>
          <w:lang w:val="en-US" w:eastAsia="zh-CN" w:bidi="ar-SA"/>
        </w:rPr>
        <w:t>福建福海创石油化工有限公司</w:t>
      </w:r>
    </w:p>
    <w:p>
      <w:pPr>
        <w:pStyle w:val="6"/>
        <w:spacing w:line="360" w:lineRule="auto"/>
        <w:ind w:left="914" w:leftChars="399" w:right="121" w:hanging="36" w:hangingChars="15"/>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b/>
          <w:bCs/>
          <w:sz w:val="24"/>
          <w:szCs w:val="24"/>
          <w:lang w:val="en-US" w:eastAsia="zh-CN" w:bidi="ar-SA"/>
        </w:rPr>
        <w:t>开户银行：</w:t>
      </w:r>
      <w:r>
        <w:rPr>
          <w:rFonts w:hint="eastAsia" w:cs="宋体" w:asciiTheme="majorEastAsia" w:hAnsiTheme="majorEastAsia" w:eastAsiaTheme="majorEastAsia"/>
          <w:sz w:val="24"/>
          <w:szCs w:val="24"/>
          <w:lang w:val="en-US" w:eastAsia="zh-CN" w:bidi="ar-SA"/>
        </w:rPr>
        <w:t>中国银行股份有限公司漳州古雷经济开发区支行</w:t>
      </w:r>
    </w:p>
    <w:p>
      <w:pPr>
        <w:pStyle w:val="6"/>
        <w:spacing w:line="360" w:lineRule="auto"/>
        <w:ind w:left="914" w:leftChars="399" w:right="121" w:hanging="36" w:hangingChars="15"/>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b/>
          <w:bCs/>
          <w:sz w:val="24"/>
          <w:szCs w:val="24"/>
          <w:lang w:val="en-US" w:eastAsia="zh-CN" w:bidi="ar-SA"/>
        </w:rPr>
        <w:t>帐  号：</w:t>
      </w:r>
      <w:r>
        <w:rPr>
          <w:rFonts w:hint="eastAsia" w:cs="宋体" w:asciiTheme="majorEastAsia" w:hAnsiTheme="majorEastAsia" w:eastAsiaTheme="majorEastAsia"/>
          <w:sz w:val="24"/>
          <w:szCs w:val="24"/>
          <w:lang w:val="en-US" w:eastAsia="zh-CN" w:bidi="ar-SA"/>
        </w:rPr>
        <w:t>406574816628</w:t>
      </w:r>
    </w:p>
    <w:p>
      <w:pPr>
        <w:pStyle w:val="6"/>
        <w:spacing w:line="360" w:lineRule="auto"/>
        <w:ind w:left="854" w:leftChars="254" w:right="121" w:hanging="295" w:hangingChars="123"/>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w:t>
      </w:r>
      <w:r>
        <w:rPr>
          <w:rFonts w:hint="eastAsia" w:cs="宋体" w:asciiTheme="majorEastAsia" w:hAnsiTheme="majorEastAsia" w:eastAsiaTheme="majorEastAsia"/>
          <w:b/>
          <w:bCs/>
          <w:sz w:val="24"/>
          <w:szCs w:val="24"/>
          <w:lang w:val="en-US" w:eastAsia="zh-CN" w:bidi="ar-SA"/>
        </w:rPr>
        <w:t>注明用途</w:t>
      </w:r>
      <w:r>
        <w:rPr>
          <w:rFonts w:hint="eastAsia" w:ascii="宋体" w:hAnsi="宋体"/>
          <w:color w:val="000000"/>
          <w:sz w:val="24"/>
          <w:szCs w:val="24"/>
          <w:lang w:val="en-US" w:eastAsia="zh-CN"/>
        </w:rPr>
        <w:t>：</w:t>
      </w:r>
      <w:r>
        <w:rPr>
          <w:rFonts w:hint="eastAsia" w:ascii="宋体" w:hAnsi="宋体"/>
          <w:color w:val="000000"/>
          <w:sz w:val="24"/>
          <w:szCs w:val="24"/>
        </w:rPr>
        <w:t>重整催化剂筛分工程</w:t>
      </w:r>
      <w:r>
        <w:rPr>
          <w:rFonts w:hint="eastAsia" w:cs="宋体" w:asciiTheme="majorEastAsia" w:hAnsiTheme="majorEastAsia" w:eastAsiaTheme="majorEastAsia"/>
          <w:sz w:val="24"/>
          <w:szCs w:val="24"/>
          <w:lang w:val="en-US" w:eastAsia="zh-CN" w:bidi="ar-SA"/>
        </w:rPr>
        <w:t>参选保证金</w:t>
      </w:r>
    </w:p>
    <w:p>
      <w:pPr>
        <w:pStyle w:val="6"/>
        <w:spacing w:line="360" w:lineRule="auto"/>
        <w:ind w:left="854" w:leftChars="254" w:right="121" w:hanging="295" w:hangingChars="123"/>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参选保证金有效期：90日历天。</w:t>
      </w:r>
    </w:p>
    <w:p>
      <w:pPr>
        <w:pStyle w:val="6"/>
        <w:spacing w:line="360" w:lineRule="auto"/>
        <w:ind w:left="1511" w:leftChars="254" w:right="121" w:hanging="952" w:hangingChars="397"/>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6"/>
        <w:spacing w:line="360" w:lineRule="auto"/>
        <w:ind w:left="1331" w:leftChars="254" w:right="121" w:hanging="772" w:hangingChars="32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2.对于未能按要求提交保证金的参选文件，比选单位可以视为不符合上面比选要求而予以拒绝；</w:t>
      </w:r>
    </w:p>
    <w:p>
      <w:pPr>
        <w:pStyle w:val="6"/>
        <w:spacing w:line="360" w:lineRule="auto"/>
        <w:ind w:left="1331" w:leftChars="254" w:right="121" w:hanging="772" w:hangingChars="32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3.比选结束退还未中选者的比选保证金（无息），最迟不超过规定的比选有效期满后的20天；</w:t>
      </w:r>
    </w:p>
    <w:p>
      <w:pPr>
        <w:pStyle w:val="6"/>
        <w:spacing w:line="360" w:lineRule="auto"/>
        <w:ind w:left="1331" w:leftChars="254" w:right="121" w:hanging="772" w:hangingChars="32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4.中选者的参选保证金（无息），将在合同签订后自动转为履约保证金，将于合同周期完成后15个工作日内，甲方无息退还履约保证金；</w:t>
      </w:r>
    </w:p>
    <w:p>
      <w:pPr>
        <w:pStyle w:val="6"/>
        <w:spacing w:line="360" w:lineRule="auto"/>
        <w:ind w:left="1331" w:leftChars="254" w:right="121" w:hanging="772" w:hangingChars="32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5.如有下列情况发生，将被没收参选保证金：</w:t>
      </w:r>
    </w:p>
    <w:p>
      <w:pPr>
        <w:pStyle w:val="6"/>
        <w:spacing w:line="360" w:lineRule="auto"/>
        <w:ind w:left="1310" w:leftChars="527" w:right="121" w:hanging="151" w:hangingChars="63"/>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（1）参选单位在参选有效期内撤回参选文件；</w:t>
      </w:r>
    </w:p>
    <w:p>
      <w:pPr>
        <w:pStyle w:val="3"/>
        <w:spacing w:line="360" w:lineRule="auto"/>
        <w:ind w:left="1310" w:leftChars="527" w:hanging="151" w:hangingChars="63"/>
        <w:rPr>
          <w:rFonts w:hint="eastAsia" w:cs="宋体" w:asciiTheme="majorEastAsia" w:hAnsiTheme="majorEastAsia" w:eastAsiaTheme="majorEastAsia"/>
          <w:b w:val="0"/>
          <w:bCs w:val="0"/>
          <w:sz w:val="24"/>
          <w:szCs w:val="24"/>
          <w:lang w:val="en-US" w:eastAsia="zh-CN" w:bidi="ar-SA"/>
        </w:rPr>
      </w:pPr>
      <w:r>
        <w:rPr>
          <w:rFonts w:hint="eastAsia" w:cs="宋体" w:asciiTheme="majorEastAsia" w:hAnsiTheme="majorEastAsia" w:eastAsiaTheme="majorEastAsia"/>
          <w:b w:val="0"/>
          <w:bCs w:val="0"/>
          <w:sz w:val="24"/>
          <w:szCs w:val="24"/>
          <w:lang w:val="en-US" w:eastAsia="zh-CN" w:bidi="ar-SA"/>
        </w:rPr>
        <w:t>（2）参选单位未能按接到中标通知书后规定的时间内签定合同。</w:t>
      </w:r>
    </w:p>
    <w:p>
      <w:pPr>
        <w:pStyle w:val="3"/>
        <w:spacing w:before="174"/>
        <w:ind w:left="68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八、参选文件的递交</w:t>
      </w:r>
    </w:p>
    <w:p>
      <w:pPr>
        <w:pStyle w:val="4"/>
        <w:tabs>
          <w:tab w:val="left" w:pos="6879"/>
        </w:tabs>
        <w:spacing w:before="107" w:line="321" w:lineRule="auto"/>
        <w:ind w:left="118" w:right="106"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1、参选文件递交的截止时间：公示之日起第1</w:t>
      </w:r>
      <w:r>
        <w:rPr>
          <w:rFonts w:hint="eastAsia" w:cs="宋体"/>
          <w:sz w:val="24"/>
          <w:szCs w:val="24"/>
          <w:lang w:val="en-US" w:eastAsia="zh-CN"/>
        </w:rPr>
        <w:t>0</w:t>
      </w:r>
      <w:r>
        <w:rPr>
          <w:rFonts w:hint="eastAsia" w:ascii="宋体" w:hAnsi="宋体" w:eastAsia="宋体" w:cs="宋体"/>
          <w:sz w:val="24"/>
          <w:szCs w:val="24"/>
          <w:lang w:eastAsia="zh-CN"/>
        </w:rPr>
        <w:t>天 即202</w:t>
      </w:r>
      <w:r>
        <w:rPr>
          <w:rFonts w:hint="eastAsia" w:cs="宋体"/>
          <w:sz w:val="24"/>
          <w:szCs w:val="24"/>
          <w:lang w:val="en-US" w:eastAsia="zh-CN"/>
        </w:rPr>
        <w:t>2</w:t>
      </w:r>
      <w:r>
        <w:rPr>
          <w:rFonts w:hint="eastAsia" w:ascii="宋体" w:hAnsi="宋体" w:eastAsia="宋体" w:cs="宋体"/>
          <w:sz w:val="24"/>
          <w:szCs w:val="24"/>
          <w:lang w:eastAsia="zh-CN"/>
        </w:rPr>
        <w:t>年  月  日  1</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cs="宋体"/>
          <w:sz w:val="24"/>
          <w:szCs w:val="24"/>
          <w:lang w:val="en-US" w:eastAsia="zh-CN"/>
        </w:rPr>
        <w:t>3</w:t>
      </w:r>
      <w:r>
        <w:rPr>
          <w:rFonts w:hint="eastAsia" w:ascii="宋体" w:hAnsi="宋体" w:eastAsia="宋体" w:cs="宋体"/>
          <w:sz w:val="24"/>
          <w:szCs w:val="24"/>
          <w:lang w:eastAsia="zh-CN"/>
        </w:rPr>
        <w:t>0。</w:t>
      </w:r>
    </w:p>
    <w:p>
      <w:pPr>
        <w:pStyle w:val="4"/>
        <w:tabs>
          <w:tab w:val="left" w:pos="6879"/>
        </w:tabs>
        <w:spacing w:line="360" w:lineRule="auto"/>
        <w:ind w:left="820" w:leftChars="272" w:right="106" w:hanging="222" w:hangingChars="92"/>
        <w:rPr>
          <w:rFonts w:hint="eastAsia" w:ascii="宋体" w:hAnsi="宋体" w:eastAsia="宋体" w:cs="宋体"/>
          <w:spacing w:val="4"/>
          <w:sz w:val="24"/>
          <w:szCs w:val="24"/>
          <w:lang w:eastAsia="zh-CN"/>
        </w:rPr>
      </w:pPr>
      <w:r>
        <w:rPr>
          <w:rFonts w:hint="eastAsia" w:ascii="宋体" w:hAnsi="宋体" w:eastAsia="宋体" w:cs="宋体"/>
          <w:sz w:val="24"/>
          <w:szCs w:val="24"/>
          <w:lang w:eastAsia="zh-CN"/>
        </w:rPr>
        <w:t>2、</w:t>
      </w:r>
      <w:r>
        <w:rPr>
          <w:rFonts w:hint="eastAsia" w:ascii="宋体" w:hAnsi="宋体" w:eastAsia="宋体" w:cs="宋体"/>
          <w:spacing w:val="4"/>
          <w:sz w:val="24"/>
          <w:szCs w:val="24"/>
          <w:lang w:eastAsia="zh-CN"/>
        </w:rPr>
        <w:t>递交</w:t>
      </w:r>
      <w:r>
        <w:rPr>
          <w:rFonts w:hint="eastAsia" w:ascii="宋体" w:hAnsi="宋体" w:eastAsia="宋体" w:cs="宋体"/>
          <w:sz w:val="24"/>
          <w:szCs w:val="24"/>
          <w:lang w:eastAsia="zh-CN"/>
        </w:rPr>
        <w:t>参</w:t>
      </w:r>
      <w:r>
        <w:rPr>
          <w:rFonts w:hint="eastAsia" w:ascii="宋体" w:hAnsi="宋体" w:eastAsia="宋体" w:cs="宋体"/>
          <w:spacing w:val="4"/>
          <w:sz w:val="24"/>
          <w:szCs w:val="24"/>
          <w:lang w:eastAsia="zh-CN"/>
        </w:rPr>
        <w:t>选文件的地</w:t>
      </w:r>
      <w:r>
        <w:rPr>
          <w:rFonts w:hint="eastAsia" w:ascii="宋体" w:hAnsi="宋体" w:eastAsia="宋体" w:cs="宋体"/>
          <w:sz w:val="24"/>
          <w:szCs w:val="24"/>
          <w:lang w:eastAsia="zh-CN"/>
        </w:rPr>
        <w:t>点</w:t>
      </w:r>
      <w:r>
        <w:rPr>
          <w:rFonts w:hint="eastAsia" w:ascii="宋体" w:hAnsi="宋体" w:eastAsia="宋体" w:cs="宋体"/>
          <w:spacing w:val="4"/>
          <w:sz w:val="24"/>
          <w:szCs w:val="24"/>
          <w:lang w:eastAsia="zh-CN"/>
        </w:rPr>
        <w:t>为：漳州市漳浦县杜浔镇杜昌路9号，</w:t>
      </w:r>
    </w:p>
    <w:p>
      <w:pPr>
        <w:pStyle w:val="4"/>
        <w:tabs>
          <w:tab w:val="left" w:pos="6879"/>
        </w:tabs>
        <w:spacing w:line="360" w:lineRule="auto"/>
        <w:ind w:right="106" w:firstLine="482" w:firstLineChars="200"/>
        <w:rPr>
          <w:rFonts w:hint="eastAsia" w:ascii="宋体" w:hAnsi="宋体" w:eastAsia="宋体" w:cs="宋体"/>
          <w:spacing w:val="5"/>
          <w:sz w:val="24"/>
          <w:szCs w:val="24"/>
          <w:fitText w:val="3921" w:id="0"/>
          <w:lang w:val="en-US" w:eastAsia="zh-CN"/>
        </w:rPr>
      </w:pPr>
      <w:r>
        <w:rPr>
          <w:rFonts w:hint="eastAsia" w:ascii="宋体" w:hAnsi="宋体" w:eastAsia="宋体" w:cs="宋体"/>
          <w:sz w:val="24"/>
          <w:szCs w:val="24"/>
          <w:lang w:eastAsia="zh-CN"/>
        </w:rPr>
        <w:t>联系人</w:t>
      </w:r>
      <w:r>
        <w:rPr>
          <w:rFonts w:hint="eastAsia" w:ascii="宋体" w:hAnsi="宋体" w:eastAsia="宋体" w:cs="宋体"/>
          <w:spacing w:val="-56"/>
          <w:sz w:val="24"/>
          <w:szCs w:val="24"/>
          <w:lang w:eastAsia="zh-CN"/>
        </w:rPr>
        <w:t>：</w:t>
      </w:r>
      <w:r>
        <w:rPr>
          <w:rFonts w:hint="eastAsia" w:ascii="宋体" w:hAnsi="宋体" w:eastAsia="宋体" w:cs="宋体"/>
          <w:spacing w:val="43"/>
          <w:kern w:val="0"/>
          <w:sz w:val="24"/>
          <w:szCs w:val="24"/>
          <w:fitText w:val="3921" w:id="0"/>
          <w:lang w:val="en-US" w:eastAsia="zh-CN"/>
        </w:rPr>
        <w:t>黄梅钦</w:t>
      </w:r>
      <w:r>
        <w:rPr>
          <w:rFonts w:hint="eastAsia" w:ascii="宋体" w:hAnsi="宋体" w:eastAsia="宋体" w:cs="宋体"/>
          <w:spacing w:val="43"/>
          <w:kern w:val="0"/>
          <w:sz w:val="24"/>
          <w:szCs w:val="24"/>
          <w:fitText w:val="3921" w:id="0"/>
          <w:lang w:eastAsia="zh-CN"/>
        </w:rPr>
        <w:t xml:space="preserve"> 电话：</w:t>
      </w:r>
      <w:r>
        <w:rPr>
          <w:rFonts w:hint="eastAsia" w:ascii="宋体" w:hAnsi="宋体" w:eastAsia="宋体" w:cs="宋体"/>
          <w:spacing w:val="43"/>
          <w:kern w:val="0"/>
          <w:sz w:val="24"/>
          <w:szCs w:val="24"/>
          <w:fitText w:val="3921" w:id="0"/>
          <w:lang w:val="en-US" w:eastAsia="zh-CN"/>
        </w:rPr>
        <w:t>1380600192</w:t>
      </w:r>
      <w:r>
        <w:rPr>
          <w:rFonts w:hint="eastAsia" w:ascii="宋体" w:hAnsi="宋体" w:eastAsia="宋体" w:cs="宋体"/>
          <w:spacing w:val="9"/>
          <w:kern w:val="0"/>
          <w:sz w:val="24"/>
          <w:szCs w:val="24"/>
          <w:fitText w:val="3921" w:id="0"/>
          <w:lang w:val="en-US" w:eastAsia="zh-CN"/>
        </w:rPr>
        <w:t>5</w:t>
      </w:r>
    </w:p>
    <w:p>
      <w:pPr>
        <w:spacing w:line="312" w:lineRule="exact"/>
        <w:ind w:left="598"/>
        <w:rPr>
          <w:rFonts w:hint="eastAsia" w:ascii="宋体" w:hAnsi="宋体" w:eastAsia="宋体" w:cs="宋体"/>
          <w:b/>
          <w:sz w:val="24"/>
          <w:szCs w:val="24"/>
          <w:lang w:eastAsia="zh-CN"/>
        </w:rPr>
      </w:pPr>
      <w:r>
        <w:rPr>
          <w:rFonts w:hint="eastAsia" w:ascii="宋体" w:hAnsi="宋体" w:eastAsia="宋体" w:cs="宋体"/>
          <w:b/>
          <w:sz w:val="24"/>
          <w:szCs w:val="24"/>
          <w:lang w:eastAsia="zh-CN"/>
        </w:rPr>
        <w:t>注：请使用顺丰快递或中国邮政 EMS 快递，其他快递不能保证送达目的地。</w:t>
      </w:r>
    </w:p>
    <w:p>
      <w:pPr>
        <w:pStyle w:val="6"/>
        <w:spacing w:before="108"/>
        <w:ind w:left="598"/>
        <w:rPr>
          <w:rFonts w:hint="eastAsia" w:ascii="宋体" w:hAnsi="宋体" w:eastAsia="宋体" w:cs="宋体"/>
          <w:sz w:val="24"/>
          <w:szCs w:val="24"/>
          <w:lang w:eastAsia="zh-CN"/>
        </w:rPr>
      </w:pPr>
      <w:r>
        <w:rPr>
          <w:rFonts w:hint="eastAsia" w:ascii="宋体" w:hAnsi="宋体" w:eastAsia="宋体" w:cs="宋体"/>
          <w:sz w:val="24"/>
          <w:szCs w:val="24"/>
          <w:lang w:eastAsia="zh-CN"/>
        </w:rPr>
        <w:t>3、只允许参选人有一个参选方案，否则将被视为无效参选。</w:t>
      </w:r>
    </w:p>
    <w:p>
      <w:pPr>
        <w:pStyle w:val="6"/>
        <w:spacing w:before="105" w:line="324" w:lineRule="auto"/>
        <w:ind w:left="118" w:right="106"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pacing w:val="-4"/>
          <w:sz w:val="24"/>
          <w:szCs w:val="24"/>
          <w:lang w:eastAsia="zh-CN"/>
        </w:rPr>
        <w:t>逾期送达的或未送达指定地点或参选文件密封不符合规定要求的参选文件，比选人不予受理。参选人所提交的比选文件在评选结束后，无论中选与否都不退还。</w:t>
      </w:r>
    </w:p>
    <w:p>
      <w:pPr>
        <w:pStyle w:val="6"/>
        <w:spacing w:before="21" w:line="321" w:lineRule="auto"/>
        <w:ind w:left="118" w:right="106"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pacing w:val="-9"/>
          <w:sz w:val="24"/>
          <w:szCs w:val="24"/>
          <w:lang w:eastAsia="zh-CN"/>
        </w:rPr>
        <w:t>参选人收到比选文件后，如有疑问需要澄清，请以书面形式在规定时间内报比选人汇总。</w:t>
      </w:r>
    </w:p>
    <w:p>
      <w:pPr>
        <w:pStyle w:val="6"/>
        <w:spacing w:before="24" w:line="321" w:lineRule="auto"/>
        <w:ind w:left="118" w:right="106"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pacing w:val="-6"/>
          <w:sz w:val="24"/>
          <w:szCs w:val="24"/>
          <w:lang w:eastAsia="zh-CN"/>
        </w:rPr>
        <w:t>参选人对比选人提供的比选文件所做出的推论、解释和结论，比选人概不负责。参</w:t>
      </w:r>
      <w:r>
        <w:rPr>
          <w:rFonts w:hint="eastAsia" w:ascii="宋体" w:hAnsi="宋体" w:eastAsia="宋体" w:cs="宋体"/>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129.5万</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spacing w:line="360" w:lineRule="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lang w:eastAsia="zh-CN"/>
        </w:rPr>
      </w:pPr>
    </w:p>
    <w:p>
      <w:pPr>
        <w:pStyle w:val="2"/>
        <w:rPr>
          <w:lang w:eastAsia="zh-CN"/>
        </w:rPr>
        <w:sectPr>
          <w:pgSz w:w="11910" w:h="16840"/>
          <w:pgMar w:top="1420" w:right="93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6"/>
        <w:rPr>
          <w:b/>
          <w:sz w:val="20"/>
          <w:lang w:eastAsia="zh-CN"/>
        </w:rPr>
      </w:pPr>
    </w:p>
    <w:p>
      <w:pPr>
        <w:pStyle w:val="6"/>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14"/>
        <w:numPr>
          <w:ilvl w:val="0"/>
          <w:numId w:val="5"/>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6"/>
        <w:spacing w:before="186" w:line="321" w:lineRule="auto"/>
        <w:ind w:left="118" w:right="92" w:firstLine="480"/>
        <w:rPr>
          <w:lang w:eastAsia="zh-CN"/>
        </w:rPr>
      </w:pPr>
      <w:r>
        <w:rPr>
          <w:lang w:eastAsia="zh-CN"/>
        </w:rPr>
        <w:t>①参选单位营业执照税务登记证（经年检或年审合格的）等。</w:t>
      </w:r>
    </w:p>
    <w:p>
      <w:pPr>
        <w:pStyle w:val="6"/>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6"/>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6"/>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6"/>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6"/>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before="176"/>
        <w:ind w:left="0" w:leftChars="0" w:firstLine="0" w:firstLineChars="0"/>
        <w:rPr>
          <w:lang w:eastAsia="zh-CN"/>
        </w:rPr>
      </w:pPr>
      <w:r>
        <w:rPr>
          <w:w w:val="95"/>
          <w:lang w:eastAsia="zh-CN"/>
        </w:rPr>
        <w:t>二、参选书格式内容</w:t>
      </w:r>
    </w:p>
    <w:p>
      <w:pPr>
        <w:pStyle w:val="6"/>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6"/>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6"/>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6"/>
        <w:spacing w:line="360" w:lineRule="auto"/>
        <w:ind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15567504"/>
      <w:bookmarkStart w:id="1" w:name="_Toc430492133"/>
      <w:bookmarkStart w:id="2" w:name="_Toc430488651"/>
      <w:bookmarkStart w:id="3" w:name="_Toc430489126"/>
      <w:bookmarkStart w:id="4" w:name="_Toc430422420"/>
      <w:bookmarkStart w:id="5" w:name="_Toc177186249"/>
      <w:bookmarkStart w:id="6" w:name="_Toc430488858"/>
      <w:bookmarkStart w:id="7" w:name="_Toc430490619"/>
      <w:bookmarkStart w:id="8" w:name="_Toc304357904"/>
    </w:p>
    <w:p>
      <w:pPr>
        <w:pStyle w:val="6"/>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6"/>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6"/>
        <w:rPr>
          <w:b/>
          <w:sz w:val="24"/>
          <w:szCs w:val="24"/>
          <w:lang w:eastAsia="zh-CN"/>
        </w:rPr>
      </w:pPr>
    </w:p>
    <w:p>
      <w:pPr>
        <w:spacing w:before="15"/>
        <w:ind w:left="680"/>
        <w:rPr>
          <w:b/>
          <w:sz w:val="24"/>
          <w:szCs w:val="24"/>
          <w:lang w:eastAsia="zh-CN"/>
        </w:rPr>
      </w:pPr>
      <w:r>
        <w:rPr>
          <w:b/>
          <w:w w:val="95"/>
          <w:sz w:val="24"/>
          <w:szCs w:val="24"/>
          <w:lang w:eastAsia="zh-CN"/>
        </w:rPr>
        <w:t>一、规则：</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pacing w:val="-11"/>
          <w:sz w:val="24"/>
          <w:szCs w:val="24"/>
          <w:lang w:eastAsia="zh-CN"/>
        </w:rPr>
      </w:pPr>
      <w:r>
        <w:rPr>
          <w:sz w:val="24"/>
          <w:szCs w:val="24"/>
          <w:lang w:eastAsia="zh-CN"/>
        </w:rPr>
        <w:t>1.</w:t>
      </w:r>
      <w:r>
        <w:rPr>
          <w:rFonts w:hint="eastAsia"/>
          <w:spacing w:val="-11"/>
          <w:sz w:val="24"/>
          <w:szCs w:val="24"/>
          <w:lang w:eastAsia="zh-CN"/>
        </w:rPr>
        <w:t>经资格审查合格的参选人的商务报价以未税总价最低者作为中选单位。</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z w:val="24"/>
          <w:szCs w:val="24"/>
          <w:lang w:eastAsia="zh-CN"/>
        </w:rPr>
      </w:pPr>
      <w:r>
        <w:rPr>
          <w:sz w:val="24"/>
          <w:szCs w:val="24"/>
          <w:lang w:eastAsia="zh-CN"/>
        </w:rPr>
        <w:t>2.参选人串选、相互勾结故意压低标价以排挤竞争对手的公平竞争的，其参选无效。</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sz w:val="24"/>
          <w:szCs w:val="24"/>
          <w:lang w:eastAsia="zh-CN"/>
        </w:rPr>
      </w:pPr>
      <w:r>
        <w:rPr>
          <w:sz w:val="24"/>
          <w:szCs w:val="24"/>
          <w:lang w:eastAsia="zh-CN"/>
        </w:rPr>
        <w:t>3.</w:t>
      </w:r>
      <w:r>
        <w:rPr>
          <w:spacing w:val="-8"/>
          <w:sz w:val="24"/>
          <w:szCs w:val="24"/>
          <w:lang w:eastAsia="zh-CN"/>
        </w:rPr>
        <w:t>替补候选人的设定与使用：在合同签订前，比选单位发现参选人的参选报价或供货</w:t>
      </w:r>
      <w:r>
        <w:rPr>
          <w:spacing w:val="-12"/>
          <w:sz w:val="24"/>
          <w:szCs w:val="24"/>
          <w:lang w:eastAsia="zh-CN"/>
        </w:rPr>
        <w:t>范围有缺漏、实际应标产品或服务存在重大偏差、或参选材料存在欺诈行为时、或参选人</w:t>
      </w:r>
      <w:r>
        <w:rPr>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spacing w:before="83"/>
        <w:rPr>
          <w:sz w:val="24"/>
          <w:szCs w:val="24"/>
          <w:lang w:eastAsia="zh-CN"/>
        </w:rPr>
      </w:pPr>
      <w:r>
        <w:rPr>
          <w:w w:val="95"/>
          <w:sz w:val="24"/>
          <w:szCs w:val="24"/>
          <w:lang w:eastAsia="zh-CN"/>
        </w:rPr>
        <w:t>二、资格审查：</w:t>
      </w:r>
    </w:p>
    <w:p>
      <w:pPr>
        <w:pStyle w:val="6"/>
        <w:spacing w:before="211" w:line="357" w:lineRule="auto"/>
        <w:ind w:left="118" w:right="226" w:firstLine="480"/>
        <w:jc w:val="both"/>
        <w:rPr>
          <w:spacing w:val="-18"/>
          <w:sz w:val="24"/>
          <w:szCs w:val="24"/>
          <w:lang w:eastAsia="zh-CN"/>
        </w:rPr>
      </w:pPr>
      <w:r>
        <w:rPr>
          <w:spacing w:val="-5"/>
          <w:sz w:val="24"/>
          <w:szCs w:val="24"/>
          <w:lang w:eastAsia="zh-CN"/>
        </w:rPr>
        <w:t>由比选人依法组建的评选委员会将按照第二章比选须知第六点“参选人资格”的要求</w:t>
      </w:r>
      <w:r>
        <w:rPr>
          <w:spacing w:val="-11"/>
          <w:sz w:val="24"/>
          <w:szCs w:val="24"/>
          <w:lang w:eastAsia="zh-CN"/>
        </w:rPr>
        <w:t>对参选人进行资格审查，以确定是否为符合比选文件规定要求的合格参选人，同时，评选</w:t>
      </w:r>
      <w:r>
        <w:rPr>
          <w:spacing w:val="-14"/>
          <w:sz w:val="24"/>
          <w:szCs w:val="24"/>
          <w:lang w:eastAsia="zh-CN"/>
        </w:rPr>
        <w:t>委员会将依据参选人提供的资格证明文件审查参选人的法人资格、营业范围、财务，以确</w:t>
      </w:r>
      <w:r>
        <w:rPr>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6"/>
        <w:spacing w:line="360" w:lineRule="auto"/>
        <w:ind w:right="121" w:firstLine="480" w:firstLineChars="200"/>
        <w:jc w:val="both"/>
        <w:rPr>
          <w:sz w:val="24"/>
          <w:szCs w:val="24"/>
          <w:lang w:eastAsia="zh-CN"/>
        </w:rPr>
      </w:pPr>
      <w:r>
        <w:rPr>
          <w:rFonts w:hint="eastAsia"/>
          <w:sz w:val="24"/>
          <w:szCs w:val="24"/>
          <w:lang w:eastAsia="zh-CN"/>
        </w:rPr>
        <w:t>本项目设置最高控制价</w:t>
      </w:r>
      <w:r>
        <w:rPr>
          <w:rFonts w:hint="eastAsia"/>
          <w:b/>
          <w:bCs/>
          <w:sz w:val="24"/>
          <w:szCs w:val="24"/>
          <w:lang w:val="en-US" w:eastAsia="zh-CN"/>
        </w:rPr>
        <w:t>人民币129.5万</w:t>
      </w:r>
      <w:r>
        <w:rPr>
          <w:rFonts w:hint="eastAsia"/>
          <w:b/>
          <w:sz w:val="24"/>
          <w:szCs w:val="24"/>
          <w:lang w:eastAsia="zh-CN"/>
        </w:rPr>
        <w:t>元（含税价）</w:t>
      </w:r>
      <w:r>
        <w:rPr>
          <w:rFonts w:hint="eastAsia"/>
          <w:sz w:val="24"/>
          <w:szCs w:val="24"/>
          <w:lang w:eastAsia="zh-CN"/>
        </w:rPr>
        <w:t>。参选人所填报的</w:t>
      </w:r>
      <w:r>
        <w:rPr>
          <w:rFonts w:hint="eastAsia"/>
          <w:sz w:val="24"/>
          <w:szCs w:val="24"/>
          <w:lang w:val="en-US" w:eastAsia="zh-CN"/>
        </w:rPr>
        <w:t>包干</w:t>
      </w:r>
      <w:r>
        <w:rPr>
          <w:rFonts w:hint="eastAsia"/>
          <w:sz w:val="24"/>
          <w:szCs w:val="24"/>
          <w:highlight w:val="none"/>
          <w:lang w:val="en-US" w:eastAsia="zh-CN"/>
        </w:rPr>
        <w:t>含税</w:t>
      </w:r>
      <w:r>
        <w:rPr>
          <w:rFonts w:hint="eastAsia"/>
          <w:sz w:val="24"/>
          <w:szCs w:val="24"/>
          <w:lang w:eastAsia="zh-CN"/>
        </w:rPr>
        <w:t>报价高于本项目最高限价的，其参选将被比选小组予以否决。</w:t>
      </w:r>
    </w:p>
    <w:p>
      <w:pPr>
        <w:pStyle w:val="6"/>
        <w:spacing w:line="360" w:lineRule="auto"/>
        <w:ind w:left="120" w:right="222" w:firstLine="480" w:firstLineChars="200"/>
        <w:rPr>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w:t>
      </w:r>
      <w:r>
        <w:rPr>
          <w:rFonts w:hint="eastAsia"/>
          <w:b/>
          <w:bCs/>
          <w:sz w:val="24"/>
          <w:szCs w:val="24"/>
          <w:lang w:eastAsia="zh-CN"/>
        </w:rPr>
        <w:t>未税</w:t>
      </w:r>
      <w:r>
        <w:rPr>
          <w:rFonts w:hint="eastAsia"/>
          <w:b/>
          <w:bCs/>
          <w:sz w:val="24"/>
          <w:szCs w:val="24"/>
          <w:lang w:val="en-US" w:eastAsia="zh-CN"/>
        </w:rPr>
        <w:t>单</w:t>
      </w:r>
      <w:r>
        <w:rPr>
          <w:rFonts w:hint="eastAsia"/>
          <w:b/>
          <w:bCs/>
          <w:sz w:val="24"/>
          <w:szCs w:val="24"/>
          <w:lang w:eastAsia="zh-CN"/>
        </w:rPr>
        <w:t>价最低者作为中选单位</w:t>
      </w:r>
      <w:r>
        <w:rPr>
          <w:b/>
          <w:bCs/>
          <w:sz w:val="24"/>
          <w:szCs w:val="24"/>
          <w:lang w:eastAsia="zh-CN"/>
        </w:rPr>
        <w:t>。</w:t>
      </w:r>
    </w:p>
    <w:p>
      <w:pPr>
        <w:spacing w:before="15"/>
        <w:ind w:left="638"/>
        <w:rPr>
          <w:b/>
          <w:sz w:val="24"/>
          <w:szCs w:val="24"/>
          <w:lang w:eastAsia="zh-CN"/>
        </w:rPr>
      </w:pPr>
      <w:r>
        <w:rPr>
          <w:rFonts w:hint="eastAsia"/>
          <w:b/>
          <w:w w:val="95"/>
          <w:sz w:val="24"/>
          <w:szCs w:val="24"/>
          <w:lang w:eastAsia="zh-CN"/>
        </w:rPr>
        <w:t>三</w:t>
      </w:r>
      <w:r>
        <w:rPr>
          <w:b/>
          <w:w w:val="95"/>
          <w:sz w:val="24"/>
          <w:szCs w:val="24"/>
          <w:lang w:eastAsia="zh-CN"/>
        </w:rPr>
        <w:t>、以下情况作废选处理：</w:t>
      </w:r>
    </w:p>
    <w:p>
      <w:pPr>
        <w:pStyle w:val="6"/>
        <w:spacing w:before="213"/>
        <w:ind w:left="698"/>
        <w:rPr>
          <w:sz w:val="24"/>
          <w:szCs w:val="24"/>
          <w:lang w:eastAsia="zh-CN"/>
        </w:rPr>
      </w:pPr>
      <w:r>
        <w:rPr>
          <w:sz w:val="24"/>
          <w:szCs w:val="24"/>
          <w:lang w:eastAsia="zh-CN"/>
        </w:rPr>
        <w:t>1.对比选文件提出的实质性要求和条件，参选文件未能在实质上响应的。</w:t>
      </w:r>
    </w:p>
    <w:p>
      <w:pPr>
        <w:pStyle w:val="6"/>
        <w:spacing w:before="153"/>
        <w:ind w:left="698"/>
        <w:rPr>
          <w:sz w:val="24"/>
          <w:szCs w:val="24"/>
          <w:lang w:eastAsia="zh-CN"/>
        </w:rPr>
      </w:pPr>
      <w:r>
        <w:rPr>
          <w:sz w:val="24"/>
          <w:szCs w:val="24"/>
          <w:lang w:eastAsia="zh-CN"/>
        </w:rPr>
        <w:t>2.参选文件存在重大偏差的。</w:t>
      </w:r>
    </w:p>
    <w:p>
      <w:pPr>
        <w:pStyle w:val="6"/>
        <w:spacing w:before="153"/>
        <w:ind w:left="698"/>
        <w:rPr>
          <w:sz w:val="24"/>
          <w:szCs w:val="24"/>
          <w:lang w:eastAsia="zh-CN"/>
        </w:rPr>
      </w:pPr>
      <w:r>
        <w:rPr>
          <w:rFonts w:hint="eastAsia"/>
          <w:sz w:val="24"/>
          <w:szCs w:val="24"/>
          <w:lang w:eastAsia="zh-CN"/>
        </w:rPr>
        <w:t>3</w:t>
      </w:r>
      <w:r>
        <w:rPr>
          <w:sz w:val="24"/>
          <w:szCs w:val="24"/>
          <w:lang w:eastAsia="zh-CN"/>
        </w:rPr>
        <w:t>.违反规定影响开选评选工作或采取其他方式对比选人施加影响的。</w:t>
      </w:r>
    </w:p>
    <w:p>
      <w:pPr>
        <w:pStyle w:val="6"/>
        <w:spacing w:before="153"/>
        <w:ind w:left="698"/>
        <w:rPr>
          <w:sz w:val="24"/>
          <w:szCs w:val="24"/>
          <w:lang w:eastAsia="zh-CN"/>
        </w:rPr>
      </w:pPr>
      <w:r>
        <w:rPr>
          <w:rFonts w:hint="eastAsia"/>
          <w:sz w:val="24"/>
          <w:szCs w:val="24"/>
          <w:lang w:eastAsia="zh-CN"/>
        </w:rPr>
        <w:t>4</w:t>
      </w:r>
      <w:r>
        <w:rPr>
          <w:sz w:val="24"/>
          <w:szCs w:val="24"/>
          <w:lang w:eastAsia="zh-CN"/>
        </w:rPr>
        <w:t>.参选人串标、相互勾结故意压低标价以排挤竞争对手的公平竞争的，其参选无效。</w:t>
      </w:r>
    </w:p>
    <w:p>
      <w:pPr>
        <w:pStyle w:val="3"/>
        <w:spacing w:line="355" w:lineRule="exact"/>
        <w:rPr>
          <w:sz w:val="24"/>
          <w:szCs w:val="24"/>
          <w:lang w:eastAsia="zh-CN"/>
        </w:rPr>
      </w:pPr>
      <w:r>
        <w:rPr>
          <w:rFonts w:hint="eastAsia"/>
          <w:w w:val="95"/>
          <w:sz w:val="24"/>
          <w:szCs w:val="24"/>
          <w:lang w:eastAsia="zh-CN"/>
        </w:rPr>
        <w:t>四</w:t>
      </w:r>
      <w:r>
        <w:rPr>
          <w:w w:val="95"/>
          <w:sz w:val="24"/>
          <w:szCs w:val="24"/>
          <w:lang w:eastAsia="zh-CN"/>
        </w:rPr>
        <w:t>、评选</w:t>
      </w:r>
    </w:p>
    <w:p>
      <w:pPr>
        <w:pStyle w:val="6"/>
        <w:spacing w:before="186" w:line="321" w:lineRule="auto"/>
        <w:ind w:left="118" w:firstLine="480"/>
        <w:rPr>
          <w:sz w:val="24"/>
          <w:szCs w:val="24"/>
          <w:lang w:eastAsia="zh-CN"/>
        </w:rPr>
      </w:pPr>
      <w:r>
        <w:rPr>
          <w:sz w:val="24"/>
          <w:szCs w:val="24"/>
          <w:lang w:eastAsia="zh-CN"/>
        </w:rPr>
        <w:t>1.</w:t>
      </w:r>
      <w:r>
        <w:rPr>
          <w:spacing w:val="-5"/>
          <w:sz w:val="24"/>
          <w:szCs w:val="24"/>
          <w:lang w:eastAsia="zh-CN"/>
        </w:rPr>
        <w:t>比选人将在参选文件截止日期后另行择日组织比选会，参选人选定工作在比选人有关部门监督下，由比选人依法组建的评选委员会负责。</w:t>
      </w:r>
    </w:p>
    <w:p>
      <w:pPr>
        <w:pStyle w:val="6"/>
        <w:spacing w:before="23"/>
        <w:ind w:left="598"/>
        <w:rPr>
          <w:sz w:val="24"/>
          <w:szCs w:val="24"/>
          <w:lang w:eastAsia="zh-CN"/>
        </w:rPr>
      </w:pPr>
      <w:r>
        <w:rPr>
          <w:sz w:val="24"/>
          <w:szCs w:val="24"/>
          <w:lang w:eastAsia="zh-CN"/>
        </w:rPr>
        <w:t>2.在开选时没有启封和读出的参选文件，在评选时将不予考虑。</w:t>
      </w:r>
    </w:p>
    <w:p>
      <w:pPr>
        <w:pStyle w:val="6"/>
        <w:spacing w:before="107"/>
        <w:ind w:left="598"/>
        <w:rPr>
          <w:sz w:val="24"/>
          <w:szCs w:val="24"/>
          <w:lang w:eastAsia="zh-CN"/>
        </w:rPr>
      </w:pPr>
      <w:r>
        <w:rPr>
          <w:sz w:val="24"/>
          <w:szCs w:val="24"/>
          <w:lang w:eastAsia="zh-CN"/>
        </w:rPr>
        <w:t>3.比选人将做开选记录。</w:t>
      </w:r>
    </w:p>
    <w:p>
      <w:pPr>
        <w:pStyle w:val="2"/>
        <w:spacing w:line="360" w:lineRule="auto"/>
        <w:ind w:left="0" w:leftChars="0" w:firstLine="600" w:firstLineChars="250"/>
        <w:rPr>
          <w:rFonts w:hint="eastAsia"/>
          <w:sz w:val="24"/>
          <w:szCs w:val="24"/>
        </w:rPr>
      </w:pPr>
      <w:r>
        <w:rPr>
          <w:rFonts w:hint="eastAsia"/>
          <w:sz w:val="24"/>
          <w:szCs w:val="24"/>
        </w:rPr>
        <w:t>4.业主将根据评选结果与中选人签订合同。</w:t>
      </w:r>
    </w:p>
    <w:p>
      <w:pPr>
        <w:pStyle w:val="3"/>
        <w:tabs>
          <w:tab w:val="left" w:pos="1632"/>
        </w:tabs>
        <w:spacing w:line="355" w:lineRule="exact"/>
        <w:ind w:left="367" w:firstLine="3373" w:firstLineChars="1200"/>
        <w:jc w:val="both"/>
        <w:rPr>
          <w:highlight w:val="yellow"/>
          <w:lang w:eastAsia="zh-CN"/>
        </w:rPr>
      </w:pPr>
      <w:r>
        <w:rPr>
          <w:highlight w:val="yellow"/>
          <w:lang w:eastAsia="zh-CN"/>
        </w:rPr>
        <w:t>第五章</w:t>
      </w:r>
      <w:r>
        <w:rPr>
          <w:highlight w:val="yellow"/>
          <w:lang w:eastAsia="zh-CN"/>
        </w:rPr>
        <w:tab/>
      </w:r>
      <w:r>
        <w:rPr>
          <w:spacing w:val="-1"/>
          <w:w w:val="95"/>
          <w:highlight w:val="yellow"/>
          <w:lang w:eastAsia="zh-CN"/>
        </w:rPr>
        <w:t>合同授</w:t>
      </w:r>
      <w:r>
        <w:rPr>
          <w:w w:val="95"/>
          <w:highlight w:val="yellow"/>
          <w:lang w:eastAsia="zh-CN"/>
        </w:rPr>
        <w:t>予</w:t>
      </w:r>
    </w:p>
    <w:p>
      <w:pPr>
        <w:pStyle w:val="6"/>
        <w:spacing w:before="12"/>
        <w:rPr>
          <w:b/>
          <w:sz w:val="33"/>
          <w:lang w:eastAsia="zh-CN"/>
        </w:rPr>
      </w:pPr>
    </w:p>
    <w:p>
      <w:pPr>
        <w:pStyle w:val="6"/>
        <w:ind w:left="598"/>
        <w:rPr>
          <w:lang w:eastAsia="zh-CN"/>
        </w:rPr>
      </w:pPr>
      <w:r>
        <w:rPr>
          <w:lang w:eastAsia="zh-CN"/>
        </w:rPr>
        <w:t>1.比选人将把合同授予中选人；在授予前，仍需进行资格审查。</w:t>
      </w:r>
    </w:p>
    <w:p>
      <w:pPr>
        <w:pStyle w:val="6"/>
        <w:spacing w:before="108"/>
        <w:ind w:left="598"/>
        <w:rPr>
          <w:lang w:eastAsia="zh-CN"/>
        </w:rPr>
      </w:pPr>
      <w:r>
        <w:rPr>
          <w:lang w:eastAsia="zh-CN"/>
        </w:rPr>
        <w:t>2.中选人确定后，比选将通知中选人，并将中选结果公示在比选人集团官网。</w:t>
      </w:r>
    </w:p>
    <w:p>
      <w:pPr>
        <w:pStyle w:val="6"/>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6"/>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6"/>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6"/>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6"/>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6"/>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6"/>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6"/>
        <w:ind w:left="218"/>
        <w:rPr>
          <w:lang w:eastAsia="zh-CN"/>
        </w:rPr>
      </w:pPr>
      <w:r>
        <w:rPr>
          <w:lang w:eastAsia="zh-CN"/>
        </w:rPr>
        <w:t>1.参选人的参选文件无论其是否中选，均不退回。</w:t>
      </w:r>
    </w:p>
    <w:p>
      <w:pPr>
        <w:pStyle w:val="6"/>
        <w:spacing w:before="108"/>
        <w:ind w:left="218"/>
        <w:rPr>
          <w:lang w:eastAsia="zh-CN"/>
        </w:rPr>
      </w:pPr>
      <w:r>
        <w:rPr>
          <w:lang w:eastAsia="zh-CN"/>
        </w:rPr>
        <w:t>2.比选人郑重承诺：参选人所提交的参选文件及相关资料不向第三方泄露。</w:t>
      </w:r>
    </w:p>
    <w:p>
      <w:pPr>
        <w:pStyle w:val="6"/>
        <w:spacing w:before="106"/>
        <w:ind w:left="218"/>
        <w:rPr>
          <w:lang w:eastAsia="zh-CN"/>
        </w:rPr>
      </w:pPr>
      <w:r>
        <w:rPr>
          <w:lang w:eastAsia="zh-CN"/>
        </w:rPr>
        <w:t>3.本比选文件的解释权归福建福海创石油化工有限公司。</w:t>
      </w:r>
    </w:p>
    <w:p>
      <w:pPr>
        <w:pStyle w:val="6"/>
        <w:spacing w:before="106"/>
        <w:ind w:left="218"/>
        <w:rPr>
          <w:lang w:eastAsia="zh-CN"/>
        </w:rPr>
      </w:pPr>
      <w:r>
        <w:rPr>
          <w:lang w:eastAsia="zh-CN"/>
        </w:rPr>
        <w:br w:type="page"/>
      </w:r>
    </w:p>
    <w:p>
      <w:pPr>
        <w:pStyle w:val="6"/>
        <w:tabs>
          <w:tab w:val="left" w:pos="1760"/>
        </w:tabs>
        <w:rPr>
          <w:rFonts w:hint="eastAsia" w:ascii="Times New Roman" w:hAnsi="Times New Roman" w:eastAsia="宋体" w:cs="Times New Roman"/>
          <w:sz w:val="20"/>
          <w:highlight w:val="none"/>
          <w:lang w:eastAsia="zh-CN"/>
        </w:rPr>
      </w:pPr>
      <w:bookmarkStart w:id="9" w:name="_Toc251742852"/>
    </w:p>
    <w:p>
      <w:pPr>
        <w:jc w:val="center"/>
        <w:rPr>
          <w:rFonts w:ascii="Times New Roman" w:hAnsi="Times New Roman" w:cs="Times New Roman"/>
          <w:b/>
          <w:sz w:val="36"/>
          <w:szCs w:val="36"/>
          <w:highlight w:val="none"/>
          <w:lang w:eastAsia="zh-CN"/>
        </w:rPr>
      </w:pPr>
      <w:r>
        <w:rPr>
          <w:rFonts w:hint="eastAsia" w:ascii="PMingLiU" w:hAnsi="PMingLiU"/>
          <w:b/>
          <w:color w:val="000000"/>
          <w:sz w:val="36"/>
          <w:szCs w:val="36"/>
          <w:highlight w:val="none"/>
        </w:rPr>
        <w:t>福建福海创石油化工有限公司</w:t>
      </w:r>
    </w:p>
    <w:p>
      <w:pPr>
        <w:pStyle w:val="2"/>
        <w:rPr>
          <w:highlight w:val="none"/>
          <w:lang w:eastAsia="zh-CN"/>
        </w:rPr>
      </w:pPr>
    </w:p>
    <w:p>
      <w:pPr>
        <w:spacing w:line="240" w:lineRule="atLeast"/>
        <w:jc w:val="center"/>
        <w:rPr>
          <w:rFonts w:hint="eastAsia" w:ascii="PMingLiU" w:hAnsi="PMingLiU"/>
          <w:b/>
          <w:color w:val="000000"/>
          <w:sz w:val="32"/>
          <w:szCs w:val="32"/>
          <w:highlight w:val="none"/>
          <w:lang w:val="en-US" w:eastAsia="zh-CN"/>
        </w:rPr>
      </w:pPr>
      <w:r>
        <w:rPr>
          <w:rFonts w:hint="eastAsia" w:ascii="PMingLiU" w:hAnsi="PMingLiU"/>
          <w:b/>
          <w:color w:val="000000"/>
          <w:sz w:val="32"/>
          <w:szCs w:val="32"/>
          <w:highlight w:val="none"/>
          <w:lang w:val="en-US" w:eastAsia="zh-CN"/>
        </w:rPr>
        <w:t>芳烃团队</w:t>
      </w:r>
      <w:r>
        <w:rPr>
          <w:rFonts w:hint="eastAsia" w:ascii="PMingLiU" w:hAnsi="PMingLiU"/>
          <w:b/>
          <w:color w:val="000000"/>
          <w:sz w:val="32"/>
          <w:szCs w:val="32"/>
          <w:highlight w:val="none"/>
        </w:rPr>
        <w:t>重整装置催化剂筛</w:t>
      </w:r>
      <w:r>
        <w:rPr>
          <w:rFonts w:hint="eastAsia" w:ascii="PMingLiU" w:hAnsi="PMingLiU"/>
          <w:b/>
          <w:color w:val="000000"/>
          <w:sz w:val="32"/>
          <w:szCs w:val="32"/>
          <w:highlight w:val="none"/>
          <w:lang w:val="en-US" w:eastAsia="zh-CN"/>
        </w:rPr>
        <w:t>分</w:t>
      </w:r>
    </w:p>
    <w:p>
      <w:pPr>
        <w:spacing w:line="240" w:lineRule="atLeast"/>
        <w:jc w:val="center"/>
        <w:rPr>
          <w:rFonts w:ascii="Times New Roman" w:hAnsi="Times New Roman" w:cs="Times New Roman"/>
          <w:b/>
          <w:bCs/>
          <w:sz w:val="32"/>
          <w:szCs w:val="32"/>
          <w:highlight w:val="none"/>
          <w:lang w:eastAsia="zh-CN"/>
        </w:rPr>
      </w:pPr>
      <w:r>
        <w:rPr>
          <w:rFonts w:ascii="Times New Roman" w:hAnsi="Times New Roman" w:cs="Times New Roman"/>
          <w:b/>
          <w:bCs/>
          <w:sz w:val="32"/>
          <w:szCs w:val="32"/>
          <w:highlight w:val="none"/>
          <w:lang w:eastAsia="zh-CN"/>
        </w:rPr>
        <w:t>技术服务合同</w:t>
      </w:r>
    </w:p>
    <w:p>
      <w:pPr>
        <w:pStyle w:val="8"/>
        <w:spacing w:line="360" w:lineRule="auto"/>
        <w:jc w:val="center"/>
        <w:rPr>
          <w:rFonts w:ascii="Times New Roman" w:hAnsi="Times New Roman" w:cs="Times New Roman"/>
          <w:b/>
          <w:sz w:val="24"/>
          <w:szCs w:val="24"/>
          <w:highlight w:val="none"/>
          <w:lang w:eastAsia="zh-CN"/>
        </w:rPr>
      </w:pPr>
      <w:r>
        <w:rPr>
          <w:rFonts w:ascii="Times New Roman" w:hAnsi="Times New Roman" w:cs="Times New Roman"/>
          <w:b/>
          <w:sz w:val="36"/>
          <w:szCs w:val="36"/>
          <w:highlight w:val="none"/>
          <w:lang w:eastAsia="zh-CN"/>
        </w:rPr>
        <w:t xml:space="preserve">            </w:t>
      </w:r>
      <w:r>
        <w:rPr>
          <w:rFonts w:ascii="Times New Roman" w:hAnsi="Times New Roman" w:cs="Times New Roman"/>
          <w:b/>
          <w:sz w:val="24"/>
          <w:szCs w:val="24"/>
          <w:highlight w:val="none"/>
          <w:lang w:eastAsia="zh-CN"/>
        </w:rPr>
        <w:t xml:space="preserve"> </w:t>
      </w:r>
    </w:p>
    <w:p>
      <w:pPr>
        <w:pStyle w:val="8"/>
        <w:spacing w:line="360" w:lineRule="auto"/>
        <w:jc w:val="both"/>
        <w:rPr>
          <w:rFonts w:ascii="Times New Roman" w:hAnsi="Times New Roman" w:cs="Times New Roman"/>
          <w:b/>
          <w:sz w:val="36"/>
          <w:szCs w:val="36"/>
          <w:highlight w:val="none"/>
          <w:lang w:eastAsia="zh-CN"/>
        </w:rPr>
      </w:pPr>
      <w:r>
        <w:rPr>
          <w:rFonts w:ascii="Times New Roman" w:hAnsi="Times New Roman" w:cs="Times New Roman"/>
          <w:b/>
          <w:sz w:val="36"/>
          <w:szCs w:val="36"/>
          <w:highlight w:val="none"/>
          <w:lang w:eastAsia="zh-CN"/>
        </w:rPr>
        <w:t xml:space="preserve">             </w:t>
      </w:r>
    </w:p>
    <w:p>
      <w:pPr>
        <w:pStyle w:val="8"/>
        <w:spacing w:line="400" w:lineRule="exact"/>
        <w:rPr>
          <w:rFonts w:ascii="Times New Roman" w:hAnsi="Times New Roman" w:cs="Times New Roman"/>
          <w:sz w:val="32"/>
          <w:szCs w:val="32"/>
          <w:highlight w:val="none"/>
          <w:lang w:eastAsia="zh-CN"/>
        </w:rPr>
      </w:pP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委托方（</w:t>
      </w:r>
      <w:r>
        <w:rPr>
          <w:rFonts w:hint="eastAsia" w:ascii="Times New Roman" w:hAnsi="Times New Roman" w:cs="Times New Roman"/>
          <w:sz w:val="24"/>
          <w:szCs w:val="24"/>
          <w:highlight w:val="none"/>
          <w:lang w:val="en-US" w:eastAsia="zh-CN"/>
        </w:rPr>
        <w:t>简称：</w:t>
      </w:r>
      <w:r>
        <w:rPr>
          <w:rFonts w:ascii="Times New Roman" w:hAnsi="Times New Roman" w:cs="Times New Roman"/>
          <w:sz w:val="24"/>
          <w:szCs w:val="24"/>
          <w:highlight w:val="none"/>
          <w:lang w:eastAsia="zh-CN"/>
        </w:rPr>
        <w:t>甲方）：</w:t>
      </w:r>
      <w:r>
        <w:rPr>
          <w:rFonts w:hint="eastAsia" w:ascii="Times New Roman" w:hAnsi="Times New Roman" w:cs="Times New Roman"/>
          <w:sz w:val="24"/>
          <w:szCs w:val="24"/>
          <w:highlight w:val="none"/>
          <w:lang w:val="en-US" w:eastAsia="zh-CN"/>
        </w:rPr>
        <w:t>腾龙芳烃</w:t>
      </w:r>
      <w:r>
        <w:rPr>
          <w:rFonts w:ascii="Times New Roman" w:hAnsi="Times New Roman" w:cs="Times New Roman"/>
          <w:snapToGrid w:val="0"/>
          <w:color w:val="000000"/>
          <w:sz w:val="24"/>
          <w:szCs w:val="24"/>
          <w:highlight w:val="none"/>
          <w:lang w:eastAsia="zh-CN"/>
        </w:rPr>
        <w:t>（漳州）有限公司</w:t>
      </w:r>
      <w:r>
        <w:rPr>
          <w:rFonts w:ascii="Times New Roman" w:hAnsi="Times New Roman" w:cs="Times New Roman"/>
          <w:sz w:val="24"/>
          <w:szCs w:val="24"/>
          <w:highlight w:val="none"/>
          <w:lang w:eastAsia="zh-CN"/>
        </w:rPr>
        <w:t xml:space="preserve"> </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住  所  地：福建省漳州市古雷开发区腾龙路</w:t>
      </w:r>
      <w:r>
        <w:rPr>
          <w:rFonts w:hint="eastAsia" w:ascii="Times New Roman" w:hAnsi="Times New Roman" w:cs="Times New Roman"/>
          <w:sz w:val="24"/>
          <w:szCs w:val="24"/>
          <w:highlight w:val="none"/>
          <w:lang w:val="en-US" w:eastAsia="zh-CN"/>
        </w:rPr>
        <w:t>84</w:t>
      </w:r>
      <w:r>
        <w:rPr>
          <w:rFonts w:ascii="Times New Roman" w:hAnsi="Times New Roman" w:cs="Times New Roman"/>
          <w:sz w:val="24"/>
          <w:szCs w:val="24"/>
          <w:highlight w:val="none"/>
          <w:lang w:eastAsia="zh-CN"/>
        </w:rPr>
        <w:t>号</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法定代表人：</w:t>
      </w:r>
      <w:r>
        <w:rPr>
          <w:rFonts w:hint="eastAsia" w:ascii="Times New Roman" w:hAnsi="Times New Roman" w:cs="Times New Roman"/>
          <w:sz w:val="24"/>
          <w:szCs w:val="24"/>
          <w:highlight w:val="none"/>
          <w:lang w:val="en-US" w:eastAsia="zh-CN"/>
        </w:rPr>
        <w:t>李邦雄</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项目联系人：</w:t>
      </w:r>
      <w:r>
        <w:rPr>
          <w:rFonts w:hint="eastAsia" w:ascii="Times New Roman" w:hAnsi="Times New Roman" w:cs="Times New Roman"/>
          <w:sz w:val="24"/>
          <w:szCs w:val="24"/>
          <w:highlight w:val="none"/>
          <w:lang w:val="en-US" w:eastAsia="zh-CN"/>
        </w:rPr>
        <w:t>曾志浩</w:t>
      </w:r>
      <w:r>
        <w:rPr>
          <w:rFonts w:ascii="Times New Roman" w:hAnsi="Times New Roman" w:cs="Times New Roman"/>
          <w:bCs/>
          <w:sz w:val="24"/>
          <w:szCs w:val="24"/>
          <w:highlight w:val="none"/>
          <w:u w:val="none"/>
          <w:lang w:eastAsia="zh-CN"/>
        </w:rPr>
        <w:t xml:space="preserve">   </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通讯地址：福建省漳州市古雷经济开发区腾龙路</w:t>
      </w:r>
      <w:r>
        <w:rPr>
          <w:rFonts w:hint="eastAsia" w:ascii="Times New Roman" w:hAnsi="Times New Roman" w:cs="Times New Roman"/>
          <w:sz w:val="24"/>
          <w:szCs w:val="24"/>
          <w:highlight w:val="none"/>
          <w:lang w:val="en-US" w:eastAsia="zh-CN"/>
        </w:rPr>
        <w:t>84</w:t>
      </w:r>
      <w:r>
        <w:rPr>
          <w:rFonts w:ascii="Times New Roman" w:hAnsi="Times New Roman" w:cs="Times New Roman"/>
          <w:sz w:val="24"/>
          <w:szCs w:val="24"/>
          <w:highlight w:val="none"/>
          <w:lang w:eastAsia="zh-CN"/>
        </w:rPr>
        <w:t>号</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电    话：</w:t>
      </w:r>
      <w:r>
        <w:rPr>
          <w:rFonts w:hint="eastAsia" w:ascii="Times New Roman" w:hAnsi="Times New Roman" w:cs="Times New Roman"/>
          <w:sz w:val="24"/>
          <w:szCs w:val="24"/>
          <w:highlight w:val="none"/>
          <w:lang w:val="en-US" w:eastAsia="zh-CN"/>
        </w:rPr>
        <w:t>18065753712</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传    真：</w:t>
      </w:r>
    </w:p>
    <w:p>
      <w:pPr>
        <w:pStyle w:val="8"/>
        <w:spacing w:line="360" w:lineRule="auto"/>
        <w:ind w:left="418" w:leftChars="190" w:firstLine="0" w:firstLineChars="0"/>
        <w:rPr>
          <w:rFonts w:ascii="Times New Roman" w:hAnsi="Times New Roman" w:cs="Times New Roman"/>
          <w:sz w:val="24"/>
          <w:szCs w:val="24"/>
          <w:highlight w:val="none"/>
          <w:u w:val="none"/>
          <w:lang w:eastAsia="zh-CN"/>
        </w:rPr>
      </w:pPr>
      <w:r>
        <w:rPr>
          <w:rFonts w:ascii="Times New Roman" w:hAnsi="Times New Roman" w:cs="Times New Roman"/>
          <w:sz w:val="24"/>
          <w:szCs w:val="24"/>
          <w:highlight w:val="none"/>
          <w:lang w:eastAsia="zh-CN"/>
        </w:rPr>
        <w:t>电子信箱：</w:t>
      </w:r>
      <w:r>
        <w:rPr>
          <w:rFonts w:hint="eastAsia" w:ascii="Times New Roman" w:hAnsi="Times New Roman" w:cs="Times New Roman"/>
          <w:sz w:val="24"/>
          <w:szCs w:val="24"/>
          <w:highlight w:val="none"/>
          <w:lang w:val="en-US" w:eastAsia="zh-CN"/>
        </w:rPr>
        <w:t>zhzeng</w:t>
      </w:r>
      <w:r>
        <w:rPr>
          <w:rFonts w:ascii="Times New Roman" w:hAnsi="Times New Roman" w:cs="Times New Roman"/>
          <w:bCs/>
          <w:sz w:val="24"/>
          <w:szCs w:val="24"/>
          <w:highlight w:val="none"/>
          <w:u w:val="none"/>
          <w:lang w:eastAsia="zh-CN"/>
        </w:rPr>
        <w:t>@fhcpec.com.cn</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 xml:space="preserve"> </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受托方（</w:t>
      </w:r>
      <w:r>
        <w:rPr>
          <w:rFonts w:hint="eastAsia" w:ascii="Times New Roman" w:hAnsi="Times New Roman" w:cs="Times New Roman"/>
          <w:sz w:val="24"/>
          <w:szCs w:val="24"/>
          <w:highlight w:val="none"/>
          <w:lang w:val="en-US" w:eastAsia="zh-CN"/>
        </w:rPr>
        <w:t>简称：</w:t>
      </w:r>
      <w:r>
        <w:rPr>
          <w:rFonts w:ascii="Times New Roman" w:hAnsi="Times New Roman" w:eastAsia="宋体" w:cs="Times New Roman"/>
          <w:sz w:val="24"/>
          <w:szCs w:val="24"/>
          <w:highlight w:val="none"/>
          <w:lang w:eastAsia="zh-CN"/>
        </w:rPr>
        <w:t>乙方）：</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住  所  地：</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 xml:space="preserve">法定代表人： </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项目联系人：</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通讯地址：</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电    话：</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传    真：</w:t>
      </w: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r>
        <w:rPr>
          <w:rFonts w:ascii="Times New Roman" w:hAnsi="Times New Roman" w:eastAsia="宋体" w:cs="Times New Roman"/>
          <w:sz w:val="24"/>
          <w:szCs w:val="24"/>
          <w:highlight w:val="none"/>
          <w:lang w:eastAsia="zh-CN"/>
        </w:rPr>
        <w:t>电子信箱：</w:t>
      </w: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p>
    <w:p>
      <w:pPr>
        <w:keepNext w:val="0"/>
        <w:keepLines w:val="0"/>
        <w:pageBreakBefore w:val="0"/>
        <w:widowControl w:val="0"/>
        <w:kinsoku/>
        <w:wordWrap/>
        <w:overflowPunct/>
        <w:topLinePunct w:val="0"/>
        <w:autoSpaceDE w:val="0"/>
        <w:autoSpaceDN w:val="0"/>
        <w:bidi w:val="0"/>
        <w:adjustRightInd/>
        <w:snapToGrid/>
        <w:spacing w:after="157" w:afterLines="50" w:line="240" w:lineRule="atLeast"/>
        <w:ind w:left="0" w:leftChars="0" w:right="0" w:rightChars="0" w:firstLine="0" w:firstLineChars="0"/>
        <w:jc w:val="center"/>
        <w:textAlignment w:val="auto"/>
        <w:outlineLvl w:val="9"/>
        <w:rPr>
          <w:highlight w:val="none"/>
          <w:lang w:eastAsia="zh-CN"/>
        </w:rPr>
      </w:pPr>
      <w:r>
        <w:rPr>
          <w:rFonts w:hint="eastAsia" w:ascii="PMingLiU" w:hAnsi="PMingLiU"/>
          <w:b/>
          <w:color w:val="000000"/>
          <w:sz w:val="32"/>
          <w:szCs w:val="32"/>
          <w:highlight w:val="none"/>
        </w:rPr>
        <w:t>重整装置催化剂筛</w:t>
      </w:r>
      <w:r>
        <w:rPr>
          <w:rFonts w:hint="eastAsia" w:ascii="PMingLiU" w:hAnsi="PMingLiU"/>
          <w:b/>
          <w:color w:val="000000"/>
          <w:sz w:val="32"/>
          <w:szCs w:val="32"/>
          <w:highlight w:val="none"/>
          <w:lang w:val="en-US" w:eastAsia="zh-CN"/>
        </w:rPr>
        <w:t>分</w:t>
      </w:r>
      <w:r>
        <w:rPr>
          <w:rFonts w:ascii="Times New Roman" w:hAnsi="Times New Roman" w:cs="Times New Roman"/>
          <w:b/>
          <w:bCs/>
          <w:sz w:val="32"/>
          <w:szCs w:val="32"/>
          <w:highlight w:val="none"/>
          <w:lang w:eastAsia="zh-CN"/>
        </w:rPr>
        <w:t>技术服务合同</w:t>
      </w:r>
    </w:p>
    <w:p>
      <w:pPr>
        <w:pStyle w:val="8"/>
        <w:spacing w:line="360" w:lineRule="auto"/>
        <w:ind w:left="418" w:leftChars="190" w:firstLine="0" w:firstLineChars="0"/>
        <w:rPr>
          <w:rFonts w:ascii="Times New Roman" w:hAnsi="Times New Roman" w:cs="Times New Roman"/>
          <w:b/>
          <w:bCs/>
          <w:snapToGrid w:val="0"/>
          <w:color w:val="000000"/>
          <w:sz w:val="28"/>
          <w:szCs w:val="28"/>
          <w:highlight w:val="none"/>
          <w:lang w:eastAsia="zh-CN"/>
        </w:rPr>
      </w:pPr>
      <w:r>
        <w:rPr>
          <w:rFonts w:ascii="Times New Roman" w:hAnsi="Times New Roman" w:cs="Times New Roman"/>
          <w:b/>
          <w:bCs/>
          <w:sz w:val="28"/>
          <w:szCs w:val="28"/>
          <w:highlight w:val="none"/>
          <w:lang w:eastAsia="zh-CN"/>
        </w:rPr>
        <w:t>甲方：</w:t>
      </w:r>
      <w:r>
        <w:rPr>
          <w:rFonts w:hint="eastAsia" w:ascii="Times New Roman" w:hAnsi="Times New Roman" w:cs="Times New Roman"/>
          <w:b/>
          <w:bCs/>
          <w:sz w:val="28"/>
          <w:szCs w:val="28"/>
          <w:highlight w:val="none"/>
          <w:lang w:val="en-US" w:eastAsia="zh-CN"/>
        </w:rPr>
        <w:t>腾龙芳烃</w:t>
      </w:r>
      <w:r>
        <w:rPr>
          <w:rFonts w:ascii="Times New Roman" w:hAnsi="Times New Roman" w:cs="Times New Roman"/>
          <w:b/>
          <w:bCs/>
          <w:snapToGrid w:val="0"/>
          <w:color w:val="000000"/>
          <w:sz w:val="28"/>
          <w:szCs w:val="28"/>
          <w:highlight w:val="none"/>
          <w:lang w:eastAsia="zh-CN"/>
        </w:rPr>
        <w:t>（漳州）有限公司</w:t>
      </w:r>
    </w:p>
    <w:p>
      <w:pPr>
        <w:pStyle w:val="8"/>
        <w:spacing w:line="360" w:lineRule="auto"/>
        <w:ind w:left="418" w:leftChars="190" w:firstLine="0" w:firstLineChars="0"/>
        <w:rPr>
          <w:rFonts w:ascii="Times New Roman" w:hAnsi="Times New Roman" w:eastAsia="宋体" w:cs="Times New Roman"/>
          <w:b/>
          <w:bCs/>
          <w:sz w:val="28"/>
          <w:szCs w:val="28"/>
          <w:highlight w:val="none"/>
          <w:lang w:eastAsia="zh-CN"/>
        </w:rPr>
      </w:pPr>
      <w:r>
        <w:rPr>
          <w:rFonts w:ascii="Times New Roman" w:hAnsi="Times New Roman" w:eastAsia="宋体" w:cs="Times New Roman"/>
          <w:b/>
          <w:bCs/>
          <w:sz w:val="28"/>
          <w:szCs w:val="28"/>
          <w:highlight w:val="none"/>
          <w:lang w:eastAsia="zh-CN"/>
        </w:rPr>
        <w:t>乙方：</w:t>
      </w: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r>
        <w:rPr>
          <w:rFonts w:ascii="Times New Roman" w:hAnsi="Times New Roman" w:cs="Times New Roman"/>
          <w:sz w:val="24"/>
          <w:szCs w:val="24"/>
          <w:highlight w:val="none"/>
          <w:lang w:eastAsia="zh-CN"/>
        </w:rPr>
        <w:t xml:space="preserve"> </w:t>
      </w:r>
    </w:p>
    <w:p>
      <w:pPr>
        <w:keepNext w:val="0"/>
        <w:keepLines w:val="0"/>
        <w:pageBreakBefore w:val="0"/>
        <w:kinsoku/>
        <w:wordWrap/>
        <w:overflowPunct/>
        <w:topLinePunct w:val="0"/>
        <w:bidi w:val="0"/>
        <w:spacing w:line="360" w:lineRule="auto"/>
        <w:ind w:firstLine="360" w:firstLineChars="15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本合同由甲方委托乙方就</w:t>
      </w:r>
      <w:r>
        <w:rPr>
          <w:rFonts w:hint="eastAsia" w:ascii="Times New Roman" w:hAnsi="Times New Roman" w:eastAsia="宋体" w:cs="Times New Roman"/>
          <w:sz w:val="24"/>
          <w:szCs w:val="24"/>
          <w:highlight w:val="none"/>
          <w:u w:val="single"/>
          <w:lang w:eastAsia="zh-CN"/>
        </w:rPr>
        <w:t>重整装置催化剂筛</w:t>
      </w:r>
      <w:r>
        <w:rPr>
          <w:rFonts w:hint="eastAsia" w:ascii="Times New Roman" w:hAnsi="Times New Roman" w:eastAsia="宋体" w:cs="Times New Roman"/>
          <w:sz w:val="24"/>
          <w:szCs w:val="24"/>
          <w:highlight w:val="none"/>
          <w:u w:val="single"/>
          <w:lang w:val="en-US" w:eastAsia="zh-CN"/>
        </w:rPr>
        <w:t>分</w:t>
      </w:r>
      <w:r>
        <w:rPr>
          <w:rFonts w:hint="default" w:ascii="Times New Roman" w:hAnsi="Times New Roman" w:eastAsia="宋体" w:cs="Times New Roman"/>
          <w:sz w:val="24"/>
          <w:szCs w:val="24"/>
          <w:highlight w:val="none"/>
          <w:lang w:eastAsia="zh-CN"/>
        </w:rPr>
        <w:t>进行技术服务，并支付技术服务报酬。双方经过平等协商，在真实、充分地表达各自意愿的基础上，根据《中华人民共和国民法典》的规定，达成如下协议，并由双方共同恪守。</w:t>
      </w:r>
    </w:p>
    <w:p>
      <w:pPr>
        <w:spacing w:line="360" w:lineRule="auto"/>
        <w:rPr>
          <w:rFonts w:hint="default" w:ascii="Times New Roman" w:hAnsi="Times New Roman" w:eastAsia="宋体" w:cs="Times New Roman"/>
          <w:sz w:val="24"/>
          <w:szCs w:val="24"/>
          <w:highlight w:val="none"/>
          <w:lang w:eastAsia="zh-CN"/>
        </w:rPr>
      </w:pPr>
      <w:r>
        <w:rPr>
          <w:rFonts w:hint="eastAsia" w:ascii="宋体" w:hAnsi="宋体"/>
          <w:color w:val="000000"/>
          <w:sz w:val="24"/>
          <w:szCs w:val="24"/>
          <w:highlight w:val="none"/>
        </w:rPr>
        <w:t xml:space="preserve"> </w:t>
      </w:r>
      <w:r>
        <w:rPr>
          <w:rFonts w:hint="default" w:ascii="Times New Roman" w:hAnsi="Times New Roman" w:eastAsia="宋体" w:cs="Times New Roman"/>
          <w:b/>
          <w:sz w:val="24"/>
          <w:szCs w:val="24"/>
          <w:highlight w:val="none"/>
          <w:lang w:eastAsia="zh-CN"/>
        </w:rPr>
        <w:t>第一条</w:t>
      </w:r>
      <w:r>
        <w:rPr>
          <w:rFonts w:hint="default" w:ascii="Times New Roman" w:hAnsi="Times New Roman" w:eastAsia="宋体" w:cs="Times New Roman"/>
          <w:b/>
          <w:bCs/>
          <w:sz w:val="24"/>
          <w:szCs w:val="24"/>
          <w:highlight w:val="none"/>
          <w:lang w:eastAsia="zh-CN"/>
        </w:rPr>
        <w:t>　乙方进行技术的内容、要求、方式：</w:t>
      </w:r>
    </w:p>
    <w:p>
      <w:pPr>
        <w:keepNext w:val="0"/>
        <w:keepLines w:val="0"/>
        <w:pageBreakBefore w:val="0"/>
        <w:kinsoku/>
        <w:wordWrap/>
        <w:overflowPunct/>
        <w:topLinePunct w:val="0"/>
        <w:bidi w:val="0"/>
        <w:spacing w:line="360" w:lineRule="auto"/>
        <w:ind w:left="240" w:hanging="240" w:hangingChars="10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技术服务内容：</w:t>
      </w:r>
      <w:r>
        <w:rPr>
          <w:rFonts w:hint="eastAsia" w:ascii="Times New Roman" w:hAnsi="Times New Roman" w:cs="Times New Roman"/>
          <w:sz w:val="24"/>
          <w:szCs w:val="24"/>
          <w:highlight w:val="none"/>
          <w:u w:val="single"/>
          <w:lang w:val="en-US" w:eastAsia="zh-CN"/>
        </w:rPr>
        <w:t xml:space="preserve">  见附件发包说明   </w:t>
      </w:r>
      <w:r>
        <w:rPr>
          <w:rFonts w:hint="default" w:ascii="Times New Roman" w:hAnsi="Times New Roman" w:eastAsia="宋体" w:cs="Times New Roman"/>
          <w:sz w:val="24"/>
          <w:szCs w:val="24"/>
          <w:highlight w:val="none"/>
          <w:lang w:eastAsia="zh-CN"/>
        </w:rPr>
        <w:t xml:space="preserve">            </w:t>
      </w:r>
    </w:p>
    <w:p>
      <w:pPr>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2.</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技术服务要求：</w:t>
      </w:r>
      <w:r>
        <w:rPr>
          <w:rFonts w:hint="eastAsia" w:ascii="Times New Roman" w:hAnsi="Times New Roman" w:cs="Times New Roman"/>
          <w:sz w:val="24"/>
          <w:szCs w:val="24"/>
          <w:highlight w:val="none"/>
          <w:u w:val="single"/>
          <w:lang w:val="en-US" w:eastAsia="zh-CN"/>
        </w:rPr>
        <w:t xml:space="preserve">  见附件发包说明   </w:t>
      </w:r>
      <w:r>
        <w:rPr>
          <w:rFonts w:hint="default" w:ascii="Times New Roman" w:hAnsi="Times New Roman" w:eastAsia="宋体" w:cs="Times New Roman"/>
          <w:sz w:val="24"/>
          <w:szCs w:val="24"/>
          <w:highlight w:val="none"/>
          <w:lang w:eastAsia="zh-CN"/>
        </w:rPr>
        <w:t xml:space="preserve">  </w:t>
      </w:r>
    </w:p>
    <w:p>
      <w:pPr>
        <w:pStyle w:val="2"/>
        <w:keepNext w:val="0"/>
        <w:keepLines w:val="0"/>
        <w:pageBreakBefore w:val="0"/>
        <w:numPr>
          <w:ilvl w:val="0"/>
          <w:numId w:val="7"/>
        </w:numPr>
        <w:kinsoku/>
        <w:wordWrap/>
        <w:overflowPunct/>
        <w:topLinePunct w:val="0"/>
        <w:bidi w:val="0"/>
        <w:spacing w:line="360" w:lineRule="auto"/>
        <w:ind w:left="240" w:leftChars="0" w:hanging="240" w:hangingChars="100"/>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咨询方式</w:t>
      </w:r>
      <w:r>
        <w:rPr>
          <w:rFonts w:hint="default" w:ascii="Times New Roman" w:hAnsi="Times New Roman" w:eastAsia="宋体" w:cs="Times New Roman"/>
          <w:sz w:val="24"/>
          <w:szCs w:val="24"/>
          <w:highlight w:val="none"/>
          <w:lang w:eastAsia="zh-CN"/>
        </w:rPr>
        <w:t>：</w:t>
      </w:r>
      <w:r>
        <w:rPr>
          <w:rFonts w:hint="eastAsia" w:ascii="Times New Roman" w:hAnsi="Times New Roman" w:cs="Times New Roman"/>
          <w:sz w:val="24"/>
          <w:szCs w:val="24"/>
          <w:highlight w:val="none"/>
          <w:u w:val="single"/>
          <w:lang w:val="en-US" w:eastAsia="zh-CN"/>
        </w:rPr>
        <w:t xml:space="preserve">      见附件发包说明   </w:t>
      </w:r>
      <w:r>
        <w:rPr>
          <w:rFonts w:hint="default" w:ascii="Times New Roman" w:hAnsi="Times New Roman" w:eastAsia="宋体" w:cs="Times New Roman"/>
          <w:sz w:val="24"/>
          <w:szCs w:val="24"/>
          <w:highlight w:val="none"/>
          <w:lang w:eastAsia="zh-CN"/>
        </w:rPr>
        <w:t xml:space="preserve"> </w:t>
      </w:r>
    </w:p>
    <w:p>
      <w:pPr>
        <w:pStyle w:val="8"/>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b/>
          <w:sz w:val="24"/>
          <w:szCs w:val="24"/>
          <w:highlight w:val="none"/>
          <w:lang w:eastAsia="zh-CN"/>
        </w:rPr>
        <w:t>第二条</w:t>
      </w:r>
      <w:r>
        <w:rPr>
          <w:rFonts w:hint="default" w:ascii="Times New Roman" w:hAnsi="Times New Roman" w:eastAsia="宋体" w:cs="Times New Roman"/>
          <w:sz w:val="24"/>
          <w:szCs w:val="24"/>
          <w:highlight w:val="none"/>
          <w:lang w:eastAsia="zh-CN"/>
        </w:rPr>
        <w:t xml:space="preserve"> </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b/>
          <w:bCs/>
          <w:sz w:val="24"/>
          <w:szCs w:val="24"/>
          <w:highlight w:val="none"/>
          <w:lang w:eastAsia="zh-CN"/>
        </w:rPr>
        <w:t>乙方按照下列要求进行本合同项目的技术</w:t>
      </w:r>
      <w:r>
        <w:rPr>
          <w:rFonts w:hint="eastAsia" w:ascii="Times New Roman" w:hAnsi="Times New Roman" w:cs="Times New Roman"/>
          <w:b/>
          <w:bCs/>
          <w:sz w:val="24"/>
          <w:szCs w:val="24"/>
          <w:highlight w:val="none"/>
          <w:lang w:val="en-US" w:eastAsia="zh-CN"/>
        </w:rPr>
        <w:t>报务</w:t>
      </w:r>
      <w:r>
        <w:rPr>
          <w:rFonts w:hint="default" w:ascii="Times New Roman" w:hAnsi="Times New Roman" w:eastAsia="宋体" w:cs="Times New Roman"/>
          <w:b/>
          <w:bCs/>
          <w:sz w:val="24"/>
          <w:szCs w:val="24"/>
          <w:highlight w:val="none"/>
          <w:lang w:eastAsia="zh-CN"/>
        </w:rPr>
        <w:t>工作：</w:t>
      </w:r>
    </w:p>
    <w:p>
      <w:pPr>
        <w:pStyle w:val="8"/>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技术服务地点：</w:t>
      </w:r>
      <w:r>
        <w:rPr>
          <w:rFonts w:hint="default" w:ascii="Times New Roman" w:hAnsi="Times New Roman" w:eastAsia="宋体" w:cs="Times New Roman"/>
          <w:sz w:val="24"/>
          <w:szCs w:val="24"/>
          <w:highlight w:val="none"/>
          <w:u w:val="single"/>
          <w:lang w:eastAsia="zh-CN"/>
        </w:rPr>
        <w:t xml:space="preserve"> 甲方现场指定地点</w:t>
      </w:r>
      <w:r>
        <w:rPr>
          <w:rFonts w:hint="default" w:ascii="Times New Roman" w:hAnsi="Times New Roman" w:eastAsia="宋体" w:cs="Times New Roman"/>
          <w:sz w:val="24"/>
          <w:szCs w:val="24"/>
          <w:highlight w:val="none"/>
          <w:lang w:eastAsia="zh-CN"/>
        </w:rPr>
        <w:t xml:space="preserve">。  </w:t>
      </w:r>
    </w:p>
    <w:p>
      <w:pPr>
        <w:pStyle w:val="8"/>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color w:val="auto"/>
          <w:sz w:val="24"/>
          <w:szCs w:val="24"/>
          <w:highlight w:val="none"/>
          <w:lang w:eastAsia="zh-CN"/>
        </w:rPr>
        <w:t>2.</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eastAsia="zh-CN"/>
        </w:rPr>
        <w:t>技术服务期限：</w:t>
      </w:r>
      <w:r>
        <w:rPr>
          <w:rFonts w:hint="eastAsia" w:ascii="Times New Roman" w:hAnsi="Times New Roman" w:cs="Times New Roman"/>
          <w:color w:val="auto"/>
          <w:sz w:val="24"/>
          <w:szCs w:val="24"/>
          <w:highlight w:val="none"/>
          <w:u w:val="single"/>
          <w:lang w:val="en-US" w:eastAsia="zh-CN"/>
        </w:rPr>
        <w:t>自合同签订之日起至合同执行完毕止</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highlight w:val="none"/>
          <w:lang w:eastAsia="zh-CN"/>
        </w:rPr>
        <w:t xml:space="preserve">                    </w:t>
      </w:r>
    </w:p>
    <w:p>
      <w:pPr>
        <w:adjustRightInd w:val="0"/>
        <w:snapToGrid w:val="0"/>
        <w:spacing w:line="360" w:lineRule="auto"/>
        <w:ind w:left="1920" w:hanging="1920" w:hangingChars="800"/>
        <w:rPr>
          <w:rFonts w:ascii="宋体" w:hAnsi="宋体"/>
          <w:kern w:val="0"/>
          <w:sz w:val="24"/>
          <w:szCs w:val="24"/>
          <w:highlight w:val="none"/>
        </w:rPr>
      </w:pPr>
      <w:r>
        <w:rPr>
          <w:rFonts w:hint="default" w:ascii="Times New Roman" w:hAnsi="Times New Roman" w:eastAsia="宋体" w:cs="Times New Roman"/>
          <w:sz w:val="24"/>
          <w:szCs w:val="24"/>
          <w:highlight w:val="none"/>
          <w:lang w:eastAsia="zh-CN"/>
        </w:rPr>
        <w:t>3.</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技术服务进度：</w:t>
      </w:r>
      <w:r>
        <w:rPr>
          <w:rFonts w:hint="eastAsia" w:ascii="宋体" w:hAnsi="宋体"/>
          <w:kern w:val="0"/>
          <w:sz w:val="24"/>
          <w:szCs w:val="24"/>
          <w:highlight w:val="none"/>
        </w:rPr>
        <w:t>催化剂到指定作业场所后，24小时内制定出催化剂风车式物理分级统筹安排进度表﹙＜10天﹚；负责对待分催化剂进行器外风车式物理分级等工作。</w:t>
      </w:r>
    </w:p>
    <w:p>
      <w:pPr>
        <w:pStyle w:val="2"/>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4. 技术服务质量要求：</w:t>
      </w:r>
      <w:r>
        <w:rPr>
          <w:rFonts w:hint="eastAsia" w:ascii="Times New Roman" w:hAnsi="Times New Roman" w:cs="Times New Roman"/>
          <w:sz w:val="24"/>
          <w:szCs w:val="24"/>
          <w:highlight w:val="none"/>
          <w:u w:val="single"/>
          <w:lang w:val="en-US" w:eastAsia="zh-CN"/>
        </w:rPr>
        <w:t xml:space="preserve">  见附件发包说明   </w:t>
      </w:r>
      <w:r>
        <w:rPr>
          <w:rFonts w:hint="eastAsia" w:ascii="Times New Roman" w:hAnsi="Times New Roman" w:cs="Times New Roman"/>
          <w:sz w:val="24"/>
          <w:szCs w:val="24"/>
          <w:highlight w:val="none"/>
          <w:lang w:val="en-US" w:eastAsia="zh-CN"/>
        </w:rPr>
        <w:t xml:space="preserve"> </w:t>
      </w:r>
    </w:p>
    <w:p>
      <w:pPr>
        <w:pStyle w:val="2"/>
        <w:rPr>
          <w:rFonts w:hint="eastAsia" w:ascii="Times New Roman" w:hAnsi="Times New Roman" w:cs="Times New Roman"/>
          <w:sz w:val="24"/>
          <w:szCs w:val="24"/>
          <w:highlight w:val="none"/>
          <w:lang w:val="en-US" w:eastAsia="zh-CN"/>
        </w:rPr>
      </w:pPr>
    </w:p>
    <w:p>
      <w:pPr>
        <w:spacing w:line="360" w:lineRule="auto"/>
        <w:rPr>
          <w:rFonts w:hint="default" w:ascii="Times New Roman" w:hAnsi="Times New Roman" w:eastAsia="宋体" w:cs="Times New Roman"/>
          <w:b/>
          <w:sz w:val="24"/>
          <w:szCs w:val="24"/>
          <w:highlight w:val="none"/>
          <w:lang w:val="en-US" w:eastAsia="zh-CN" w:bidi="ar-SA"/>
        </w:rPr>
      </w:pPr>
      <w:r>
        <w:rPr>
          <w:rFonts w:hint="eastAsia" w:ascii="Times New Roman" w:hAnsi="Times New Roman" w:eastAsia="宋体" w:cs="Times New Roman"/>
          <w:b/>
          <w:sz w:val="24"/>
          <w:szCs w:val="24"/>
          <w:highlight w:val="none"/>
          <w:lang w:val="en-US" w:eastAsia="zh-CN" w:bidi="ar-SA"/>
        </w:rPr>
        <w:t>第三条  工程范围及数量</w:t>
      </w:r>
    </w:p>
    <w:p>
      <w:pPr>
        <w:spacing w:line="360" w:lineRule="auto"/>
        <w:rPr>
          <w:rFonts w:ascii="宋体" w:hAnsi="宋体"/>
          <w:b/>
          <w:bCs/>
          <w:color w:val="000000"/>
          <w:sz w:val="24"/>
          <w:szCs w:val="24"/>
          <w:highlight w:val="none"/>
        </w:rPr>
      </w:pPr>
      <w:r>
        <w:rPr>
          <w:rFonts w:hint="eastAsia"/>
          <w:b/>
          <w:bCs/>
          <w:sz w:val="24"/>
          <w:szCs w:val="24"/>
          <w:highlight w:val="none"/>
          <w:lang w:val="en-US" w:eastAsia="zh-CN"/>
        </w:rPr>
        <w:t>3</w:t>
      </w:r>
      <w:r>
        <w:rPr>
          <w:b/>
          <w:bCs/>
          <w:sz w:val="24"/>
          <w:szCs w:val="24"/>
          <w:highlight w:val="none"/>
        </w:rPr>
        <w:t xml:space="preserve">.1  </w:t>
      </w:r>
      <w:r>
        <w:rPr>
          <w:rFonts w:hint="eastAsia" w:ascii="宋体" w:hAnsi="宋体"/>
          <w:b/>
          <w:bCs/>
          <w:color w:val="000000"/>
          <w:sz w:val="24"/>
          <w:szCs w:val="24"/>
          <w:highlight w:val="none"/>
        </w:rPr>
        <w:t>催化剂预估工程量如下</w:t>
      </w:r>
    </w:p>
    <w:tbl>
      <w:tblPr>
        <w:tblStyle w:val="12"/>
        <w:tblW w:w="97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
      <w:tblGrid>
        <w:gridCol w:w="1159"/>
        <w:gridCol w:w="1377"/>
        <w:gridCol w:w="1786"/>
        <w:gridCol w:w="860"/>
        <w:gridCol w:w="941"/>
        <w:gridCol w:w="1377"/>
        <w:gridCol w:w="2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488" w:hRule="atLeast"/>
        </w:trPr>
        <w:tc>
          <w:tcPr>
            <w:tcW w:w="1159" w:type="dxa"/>
            <w:tcBorders>
              <w:top w:val="single" w:color="auto" w:sz="4" w:space="0"/>
              <w:left w:val="single" w:color="auto" w:sz="4" w:space="0"/>
              <w:bottom w:val="single" w:color="auto" w:sz="4" w:space="0"/>
              <w:right w:val="single" w:color="auto" w:sz="6" w:space="0"/>
            </w:tcBorders>
            <w:vAlign w:val="center"/>
          </w:tcPr>
          <w:p>
            <w:pPr>
              <w:widowControl/>
              <w:jc w:val="center"/>
              <w:rPr>
                <w:rFonts w:ascii="仿宋_GB2312" w:eastAsia="仿宋_GB2312"/>
                <w:b/>
                <w:bCs/>
                <w:kern w:val="0"/>
                <w:szCs w:val="21"/>
                <w:highlight w:val="none"/>
              </w:rPr>
            </w:pPr>
            <w:r>
              <w:rPr>
                <w:rFonts w:hint="eastAsia" w:ascii="仿宋_GB2312" w:hAnsi="宋体" w:eastAsia="仿宋_GB2312"/>
                <w:b/>
                <w:bCs/>
                <w:kern w:val="0"/>
                <w:szCs w:val="21"/>
                <w:highlight w:val="none"/>
              </w:rPr>
              <w:t>装置</w:t>
            </w:r>
          </w:p>
        </w:tc>
        <w:tc>
          <w:tcPr>
            <w:tcW w:w="1377"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eastAsia="仿宋_GB2312"/>
                <w:b/>
                <w:bCs/>
                <w:kern w:val="0"/>
                <w:szCs w:val="21"/>
                <w:highlight w:val="none"/>
              </w:rPr>
            </w:pPr>
            <w:r>
              <w:rPr>
                <w:rFonts w:hint="eastAsia" w:ascii="仿宋_GB2312" w:hAnsi="宋体" w:eastAsia="仿宋_GB2312"/>
                <w:b/>
                <w:bCs/>
                <w:kern w:val="0"/>
                <w:szCs w:val="21"/>
                <w:highlight w:val="none"/>
              </w:rPr>
              <w:t>催化剂名称</w:t>
            </w:r>
          </w:p>
        </w:tc>
        <w:tc>
          <w:tcPr>
            <w:tcW w:w="1786"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eastAsia="仿宋_GB2312"/>
                <w:b/>
                <w:bCs/>
                <w:kern w:val="0"/>
                <w:szCs w:val="21"/>
                <w:highlight w:val="none"/>
              </w:rPr>
            </w:pPr>
            <w:r>
              <w:rPr>
                <w:rFonts w:hint="eastAsia" w:ascii="仿宋_GB2312" w:eastAsia="仿宋_GB2312"/>
                <w:b/>
                <w:kern w:val="0"/>
                <w:szCs w:val="21"/>
                <w:highlight w:val="none"/>
                <w:lang w:val="en-US" w:eastAsia="zh-CN"/>
              </w:rPr>
              <w:t>技术</w:t>
            </w:r>
            <w:r>
              <w:rPr>
                <w:rFonts w:hint="eastAsia" w:ascii="仿宋_GB2312" w:hAnsi="宋体" w:eastAsia="仿宋_GB2312"/>
                <w:b/>
                <w:kern w:val="0"/>
                <w:szCs w:val="21"/>
                <w:highlight w:val="none"/>
              </w:rPr>
              <w:t>要求</w:t>
            </w:r>
          </w:p>
        </w:tc>
        <w:tc>
          <w:tcPr>
            <w:tcW w:w="860" w:type="dxa"/>
            <w:tcBorders>
              <w:top w:val="single" w:color="auto" w:sz="4" w:space="0"/>
              <w:left w:val="single" w:color="auto" w:sz="6" w:space="0"/>
              <w:bottom w:val="single" w:color="auto" w:sz="4" w:space="0"/>
              <w:right w:val="single" w:color="auto" w:sz="6" w:space="0"/>
            </w:tcBorders>
            <w:vAlign w:val="center"/>
          </w:tcPr>
          <w:p>
            <w:pPr>
              <w:widowControl/>
              <w:jc w:val="center"/>
              <w:rPr>
                <w:rFonts w:hint="eastAsia" w:ascii="仿宋_GB2312" w:hAnsi="宋体" w:eastAsia="仿宋_GB2312"/>
                <w:b/>
                <w:bCs/>
                <w:kern w:val="0"/>
                <w:szCs w:val="21"/>
                <w:highlight w:val="none"/>
                <w:lang w:val="en-US" w:eastAsia="zh-CN"/>
              </w:rPr>
            </w:pPr>
            <w:r>
              <w:rPr>
                <w:rFonts w:hint="eastAsia" w:ascii="仿宋_GB2312" w:hAnsi="宋体" w:eastAsia="仿宋_GB2312"/>
                <w:b/>
                <w:bCs/>
                <w:kern w:val="0"/>
                <w:szCs w:val="21"/>
                <w:highlight w:val="none"/>
                <w:lang w:val="en-US" w:eastAsia="zh-CN"/>
              </w:rPr>
              <w:t>计量</w:t>
            </w:r>
          </w:p>
          <w:p>
            <w:pPr>
              <w:widowControl/>
              <w:jc w:val="center"/>
              <w:rPr>
                <w:highlight w:val="none"/>
              </w:rPr>
            </w:pPr>
            <w:r>
              <w:rPr>
                <w:rFonts w:hint="eastAsia" w:ascii="仿宋_GB2312" w:hAnsi="宋体" w:eastAsia="仿宋_GB2312"/>
                <w:b/>
                <w:bCs/>
                <w:kern w:val="0"/>
                <w:szCs w:val="21"/>
                <w:highlight w:val="none"/>
                <w:lang w:val="en-US" w:eastAsia="zh-CN"/>
              </w:rPr>
              <w:t>单位</w:t>
            </w:r>
          </w:p>
        </w:tc>
        <w:tc>
          <w:tcPr>
            <w:tcW w:w="941" w:type="dxa"/>
            <w:tcBorders>
              <w:top w:val="single" w:color="auto" w:sz="4" w:space="0"/>
              <w:left w:val="single" w:color="auto" w:sz="6" w:space="0"/>
              <w:bottom w:val="single" w:color="auto" w:sz="4" w:space="0"/>
              <w:right w:val="single" w:color="auto" w:sz="4" w:space="0"/>
            </w:tcBorders>
            <w:vAlign w:val="center"/>
          </w:tcPr>
          <w:p>
            <w:pPr>
              <w:widowControl/>
              <w:jc w:val="center"/>
              <w:rPr>
                <w:rFonts w:hint="eastAsia" w:ascii="仿宋_GB2312" w:eastAsia="仿宋_GB2312"/>
                <w:b/>
                <w:bCs/>
                <w:kern w:val="0"/>
                <w:szCs w:val="21"/>
                <w:highlight w:val="none"/>
                <w:lang w:val="en-US" w:eastAsia="zh-CN"/>
              </w:rPr>
            </w:pPr>
            <w:r>
              <w:rPr>
                <w:rFonts w:hint="eastAsia" w:ascii="仿宋_GB2312" w:eastAsia="仿宋_GB2312"/>
                <w:b/>
                <w:bCs/>
                <w:kern w:val="0"/>
                <w:szCs w:val="21"/>
                <w:highlight w:val="none"/>
                <w:lang w:val="en-US" w:eastAsia="zh-CN"/>
              </w:rPr>
              <w:t>预估</w:t>
            </w:r>
          </w:p>
          <w:p>
            <w:pPr>
              <w:widowControl/>
              <w:jc w:val="center"/>
              <w:rPr>
                <w:rFonts w:ascii="仿宋_GB2312" w:eastAsia="仿宋_GB2312"/>
                <w:b/>
                <w:kern w:val="0"/>
                <w:szCs w:val="21"/>
                <w:highlight w:val="none"/>
              </w:rPr>
            </w:pPr>
            <w:r>
              <w:rPr>
                <w:rFonts w:hint="eastAsia" w:ascii="仿宋_GB2312" w:hAnsi="宋体" w:eastAsia="仿宋_GB2312"/>
                <w:b/>
                <w:bCs/>
                <w:kern w:val="0"/>
                <w:szCs w:val="21"/>
                <w:highlight w:val="none"/>
              </w:rPr>
              <w:t>数量</w:t>
            </w:r>
          </w:p>
        </w:tc>
        <w:tc>
          <w:tcPr>
            <w:tcW w:w="1377" w:type="dxa"/>
            <w:tcBorders>
              <w:top w:val="single" w:color="auto" w:sz="4" w:space="0"/>
              <w:left w:val="single" w:color="auto" w:sz="6" w:space="0"/>
              <w:bottom w:val="single" w:color="auto" w:sz="4" w:space="0"/>
              <w:right w:val="single" w:color="auto" w:sz="4" w:space="0"/>
            </w:tcBorders>
            <w:vAlign w:val="center"/>
          </w:tcPr>
          <w:p>
            <w:pPr>
              <w:jc w:val="center"/>
              <w:rPr>
                <w:rFonts w:ascii="仿宋_GB2312" w:eastAsia="仿宋_GB2312"/>
                <w:b/>
                <w:bCs/>
                <w:kern w:val="0"/>
                <w:szCs w:val="21"/>
                <w:highlight w:val="none"/>
              </w:rPr>
            </w:pPr>
            <w:r>
              <w:rPr>
                <w:rFonts w:hint="eastAsia" w:ascii="仿宋_GB2312" w:hAnsi="宋体" w:eastAsia="仿宋_GB2312"/>
                <w:b/>
                <w:kern w:val="0"/>
                <w:szCs w:val="21"/>
                <w:highlight w:val="none"/>
              </w:rPr>
              <w:t>分级</w:t>
            </w:r>
            <w:r>
              <w:rPr>
                <w:rFonts w:hint="eastAsia" w:ascii="仿宋_GB2312" w:eastAsia="仿宋_GB2312"/>
                <w:b/>
                <w:bCs/>
                <w:kern w:val="0"/>
                <w:szCs w:val="21"/>
                <w:highlight w:val="none"/>
              </w:rPr>
              <w:t>时间</w:t>
            </w:r>
          </w:p>
        </w:tc>
        <w:tc>
          <w:tcPr>
            <w:tcW w:w="229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kern w:val="0"/>
                <w:szCs w:val="21"/>
                <w:highlight w:val="none"/>
              </w:rPr>
            </w:pPr>
            <w:r>
              <w:rPr>
                <w:rFonts w:hint="eastAsia" w:ascii="仿宋_GB2312" w:hAnsi="宋体" w:eastAsia="仿宋_GB2312"/>
                <w:b/>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683" w:hRule="atLeast"/>
        </w:trPr>
        <w:tc>
          <w:tcPr>
            <w:tcW w:w="1159" w:type="dxa"/>
            <w:tcBorders>
              <w:top w:val="single" w:color="auto" w:sz="4" w:space="0"/>
              <w:left w:val="single" w:color="auto" w:sz="4" w:space="0"/>
              <w:bottom w:val="single" w:color="auto" w:sz="4" w:space="0"/>
              <w:right w:val="single" w:color="auto" w:sz="6" w:space="0"/>
            </w:tcBorders>
            <w:vAlign w:val="center"/>
          </w:tcPr>
          <w:p>
            <w:pPr>
              <w:widowControl/>
              <w:jc w:val="center"/>
              <w:rPr>
                <w:rFonts w:ascii="仿宋_GB2312" w:hAnsi="宋体" w:eastAsia="仿宋_GB2312"/>
                <w:bCs/>
                <w:kern w:val="0"/>
                <w:szCs w:val="21"/>
                <w:highlight w:val="none"/>
              </w:rPr>
            </w:pPr>
            <w:r>
              <w:rPr>
                <w:rFonts w:hint="eastAsia" w:ascii="仿宋_GB2312" w:hAnsi="宋体" w:eastAsia="仿宋_GB2312"/>
                <w:bCs/>
                <w:kern w:val="0"/>
                <w:szCs w:val="21"/>
                <w:highlight w:val="none"/>
              </w:rPr>
              <w:t>连续重整</w:t>
            </w:r>
          </w:p>
        </w:tc>
        <w:tc>
          <w:tcPr>
            <w:tcW w:w="1377"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hAnsi="宋体" w:eastAsia="仿宋_GB2312"/>
                <w:bCs/>
                <w:color w:val="FF0000"/>
                <w:kern w:val="0"/>
                <w:szCs w:val="21"/>
                <w:highlight w:val="none"/>
              </w:rPr>
            </w:pPr>
            <w:r>
              <w:rPr>
                <w:rFonts w:hint="eastAsia" w:ascii="仿宋_GB2312" w:hAnsi="宋体" w:eastAsia="仿宋_GB2312" w:cs="Arial"/>
                <w:bCs/>
                <w:color w:val="000000"/>
                <w:kern w:val="0"/>
                <w:sz w:val="24"/>
                <w:highlight w:val="none"/>
              </w:rPr>
              <w:t>AR701</w:t>
            </w:r>
          </w:p>
        </w:tc>
        <w:tc>
          <w:tcPr>
            <w:tcW w:w="1786"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hAnsi="宋体" w:eastAsia="仿宋_GB2312"/>
                <w:bCs/>
                <w:color w:val="000000"/>
                <w:kern w:val="0"/>
                <w:szCs w:val="21"/>
                <w:highlight w:val="none"/>
              </w:rPr>
            </w:pPr>
            <w:r>
              <w:rPr>
                <w:rFonts w:hint="eastAsia" w:ascii="仿宋_GB2312" w:hAnsi="宋体" w:eastAsia="仿宋_GB2312"/>
                <w:kern w:val="0"/>
                <w:szCs w:val="21"/>
                <w:highlight w:val="none"/>
              </w:rPr>
              <w:t>风车式物理分级</w:t>
            </w:r>
          </w:p>
        </w:tc>
        <w:tc>
          <w:tcPr>
            <w:tcW w:w="860" w:type="dxa"/>
            <w:tcBorders>
              <w:top w:val="single" w:color="auto" w:sz="4" w:space="0"/>
              <w:left w:val="single" w:color="auto" w:sz="6" w:space="0"/>
              <w:bottom w:val="single" w:color="auto" w:sz="4" w:space="0"/>
              <w:right w:val="single" w:color="auto" w:sz="6" w:space="0"/>
            </w:tcBorders>
            <w:vAlign w:val="center"/>
          </w:tcPr>
          <w:p>
            <w:pPr>
              <w:widowControl/>
              <w:jc w:val="center"/>
              <w:rPr>
                <w:highlight w:val="none"/>
              </w:rPr>
            </w:pPr>
            <w:r>
              <w:rPr>
                <w:rFonts w:hint="eastAsia" w:ascii="仿宋_GB2312" w:hAnsi="宋体" w:eastAsia="仿宋_GB2312"/>
                <w:b/>
                <w:bCs/>
                <w:kern w:val="0"/>
                <w:szCs w:val="21"/>
                <w:highlight w:val="none"/>
              </w:rPr>
              <w:t>吨</w:t>
            </w:r>
          </w:p>
        </w:tc>
        <w:tc>
          <w:tcPr>
            <w:tcW w:w="941" w:type="dxa"/>
            <w:tcBorders>
              <w:top w:val="single" w:color="auto" w:sz="4" w:space="0"/>
              <w:left w:val="single" w:color="auto" w:sz="6" w:space="0"/>
              <w:bottom w:val="single" w:color="auto" w:sz="4" w:space="0"/>
              <w:right w:val="single" w:color="auto" w:sz="4" w:space="0"/>
            </w:tcBorders>
            <w:vAlign w:val="center"/>
          </w:tcPr>
          <w:p>
            <w:pPr>
              <w:widowControl/>
              <w:jc w:val="center"/>
              <w:rPr>
                <w:rFonts w:ascii="仿宋_GB2312" w:hAnsi="宋体" w:eastAsia="仿宋_GB2312"/>
                <w:kern w:val="0"/>
                <w:szCs w:val="21"/>
                <w:highlight w:val="none"/>
              </w:rPr>
            </w:pPr>
            <w:r>
              <w:rPr>
                <w:rFonts w:hint="eastAsia" w:ascii="仿宋_GB2312" w:hAnsi="宋体" w:eastAsia="仿宋_GB2312"/>
                <w:bCs/>
                <w:color w:val="000000"/>
                <w:kern w:val="0"/>
                <w:szCs w:val="21"/>
                <w:highlight w:val="none"/>
              </w:rPr>
              <w:t>185</w:t>
            </w:r>
          </w:p>
        </w:tc>
        <w:tc>
          <w:tcPr>
            <w:tcW w:w="1377" w:type="dxa"/>
            <w:tcBorders>
              <w:top w:val="single" w:color="auto" w:sz="4" w:space="0"/>
              <w:left w:val="single" w:color="auto" w:sz="6" w:space="0"/>
              <w:bottom w:val="single" w:color="auto" w:sz="4" w:space="0"/>
              <w:right w:val="single" w:color="auto" w:sz="4" w:space="0"/>
            </w:tcBorders>
            <w:vAlign w:val="center"/>
          </w:tcPr>
          <w:p>
            <w:pPr>
              <w:jc w:val="center"/>
              <w:rPr>
                <w:rFonts w:ascii="仿宋_GB2312" w:eastAsia="仿宋_GB2312"/>
                <w:bCs/>
                <w:kern w:val="0"/>
                <w:szCs w:val="21"/>
                <w:highlight w:val="none"/>
              </w:rPr>
            </w:pPr>
            <w:r>
              <w:rPr>
                <w:rFonts w:hint="eastAsia" w:ascii="仿宋_GB2312" w:eastAsia="仿宋_GB2312"/>
                <w:bCs/>
                <w:color w:val="000000"/>
                <w:kern w:val="0"/>
                <w:szCs w:val="21"/>
                <w:highlight w:val="none"/>
              </w:rPr>
              <w:t>10</w:t>
            </w:r>
            <w:r>
              <w:rPr>
                <w:rFonts w:hint="eastAsia" w:ascii="仿宋_GB2312" w:eastAsia="仿宋_GB2312"/>
                <w:bCs/>
                <w:kern w:val="0"/>
                <w:szCs w:val="21"/>
                <w:highlight w:val="none"/>
              </w:rPr>
              <w:t>天</w:t>
            </w:r>
          </w:p>
        </w:tc>
        <w:tc>
          <w:tcPr>
            <w:tcW w:w="229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kern w:val="0"/>
                <w:szCs w:val="21"/>
                <w:highlight w:val="none"/>
              </w:rPr>
            </w:pPr>
            <w:r>
              <w:rPr>
                <w:rFonts w:hint="eastAsia" w:ascii="仿宋_GB2312" w:hAnsi="宋体" w:eastAsia="仿宋_GB2312"/>
                <w:kern w:val="0"/>
                <w:szCs w:val="21"/>
                <w:highlight w:val="none"/>
              </w:rPr>
              <w:t>现场作业</w:t>
            </w:r>
            <w:r>
              <w:rPr>
                <w:rFonts w:hint="eastAsia" w:ascii="仿宋_GB2312" w:hAnsi="宋体" w:eastAsia="仿宋_GB2312"/>
                <w:kern w:val="0"/>
                <w:szCs w:val="21"/>
                <w:highlight w:val="none"/>
                <w:lang w:eastAsia="zh-CN"/>
              </w:rPr>
              <w:t>，</w:t>
            </w:r>
            <w:r>
              <w:rPr>
                <w:rFonts w:hint="eastAsia" w:ascii="仿宋_GB2312" w:hAnsi="宋体" w:eastAsia="仿宋_GB2312"/>
                <w:kern w:val="0"/>
                <w:szCs w:val="21"/>
                <w:highlight w:val="none"/>
                <w:lang w:val="en-US" w:eastAsia="zh-CN"/>
              </w:rPr>
              <w:t>具体要求详见附件发包说明</w:t>
            </w:r>
            <w:r>
              <w:rPr>
                <w:rFonts w:hint="eastAsia" w:ascii="仿宋_GB2312" w:eastAsia="仿宋_GB2312"/>
                <w:kern w:val="0"/>
                <w:szCs w:val="21"/>
                <w:highlight w:val="none"/>
                <w:lang w:val="en-US" w:eastAsia="zh-CN"/>
              </w:rPr>
              <w:t>。</w:t>
            </w:r>
          </w:p>
        </w:tc>
      </w:tr>
    </w:tbl>
    <w:p>
      <w:pPr>
        <w:spacing w:line="360" w:lineRule="auto"/>
        <w:rPr>
          <w:sz w:val="24"/>
          <w:szCs w:val="24"/>
          <w:highlight w:val="none"/>
        </w:rPr>
      </w:pPr>
      <w:r>
        <w:rPr>
          <w:rFonts w:hint="eastAsia"/>
          <w:sz w:val="24"/>
          <w:szCs w:val="24"/>
          <w:highlight w:val="none"/>
        </w:rPr>
        <w:t>注：1.</w:t>
      </w:r>
      <w:r>
        <w:rPr>
          <w:sz w:val="24"/>
          <w:szCs w:val="24"/>
          <w:highlight w:val="none"/>
        </w:rPr>
        <w:t xml:space="preserve"> </w:t>
      </w:r>
      <w:r>
        <w:rPr>
          <w:rFonts w:hint="eastAsia"/>
          <w:sz w:val="24"/>
          <w:szCs w:val="24"/>
          <w:highlight w:val="none"/>
        </w:rPr>
        <w:t>结算筛分量以实际确认量为准。</w:t>
      </w:r>
    </w:p>
    <w:p>
      <w:pPr>
        <w:spacing w:line="360" w:lineRule="auto"/>
        <w:rPr>
          <w:rFonts w:hint="eastAsia"/>
          <w:sz w:val="24"/>
          <w:szCs w:val="24"/>
          <w:highlight w:val="none"/>
        </w:rPr>
      </w:pPr>
      <w:r>
        <w:rPr>
          <w:rFonts w:hint="eastAsia"/>
          <w:sz w:val="24"/>
          <w:szCs w:val="24"/>
          <w:highlight w:val="none"/>
        </w:rPr>
        <w:t xml:space="preserve"> </w:t>
      </w:r>
      <w:r>
        <w:rPr>
          <w:sz w:val="24"/>
          <w:szCs w:val="24"/>
          <w:highlight w:val="none"/>
        </w:rPr>
        <w:t xml:space="preserve">   2.</w:t>
      </w:r>
      <w:r>
        <w:rPr>
          <w:rFonts w:hint="eastAsia"/>
          <w:sz w:val="24"/>
          <w:szCs w:val="24"/>
          <w:highlight w:val="none"/>
        </w:rPr>
        <w:t xml:space="preserve"> 催化剂分级时间是指分级第一桶催化剂至分级完最后一桶催化剂。</w:t>
      </w:r>
    </w:p>
    <w:p>
      <w:pPr>
        <w:spacing w:line="360" w:lineRule="auto"/>
        <w:rPr>
          <w:rFonts w:ascii="宋体" w:hAnsi="宋体"/>
          <w:b/>
          <w:bCs/>
          <w:color w:val="000000"/>
          <w:sz w:val="24"/>
          <w:szCs w:val="24"/>
          <w:highlight w:val="none"/>
        </w:rPr>
      </w:pPr>
      <w:r>
        <w:rPr>
          <w:rFonts w:ascii="宋体" w:hAnsi="宋体"/>
          <w:b/>
          <w:bCs/>
          <w:color w:val="000000"/>
          <w:sz w:val="24"/>
          <w:szCs w:val="24"/>
          <w:highlight w:val="none"/>
        </w:rPr>
        <w:t>3</w:t>
      </w:r>
      <w:r>
        <w:rPr>
          <w:rFonts w:hint="eastAsia" w:ascii="宋体" w:hAnsi="宋体"/>
          <w:b/>
          <w:bCs/>
          <w:color w:val="000000"/>
          <w:sz w:val="24"/>
          <w:szCs w:val="24"/>
          <w:highlight w:val="none"/>
          <w:lang w:val="en-US" w:eastAsia="zh-CN"/>
        </w:rPr>
        <w:t xml:space="preserve">.2 </w:t>
      </w:r>
      <w:r>
        <w:rPr>
          <w:rFonts w:hint="eastAsia" w:ascii="宋体" w:hAnsi="宋体"/>
          <w:b/>
          <w:bCs/>
          <w:color w:val="000000"/>
          <w:sz w:val="24"/>
          <w:szCs w:val="24"/>
          <w:highlight w:val="none"/>
        </w:rPr>
        <w:t>风车式物理分离</w:t>
      </w:r>
    </w:p>
    <w:p>
      <w:pPr>
        <w:spacing w:line="360" w:lineRule="auto"/>
        <w:ind w:left="218" w:leftChars="99" w:firstLine="2" w:firstLineChars="0"/>
        <w:rPr>
          <w:rFonts w:hint="eastAsia" w:ascii="宋体" w:hAnsi="宋体"/>
          <w:color w:val="000000"/>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2.</w:t>
      </w:r>
      <w:r>
        <w:rPr>
          <w:rFonts w:hint="eastAsia" w:ascii="宋体" w:hAnsi="宋体"/>
          <w:color w:val="000000"/>
          <w:sz w:val="24"/>
          <w:szCs w:val="24"/>
          <w:highlight w:val="none"/>
        </w:rPr>
        <w:t>1风车式物理分级分类要求</w:t>
      </w:r>
    </w:p>
    <w:p>
      <w:pPr>
        <w:spacing w:line="360" w:lineRule="auto"/>
        <w:ind w:left="716" w:leftChars="209" w:hanging="256" w:hangingChars="107"/>
        <w:rPr>
          <w:rFonts w:hint="eastAsia" w:ascii="宋体" w:hAnsi="宋体"/>
          <w:color w:val="000000"/>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2</w:t>
      </w:r>
      <w:r>
        <w:rPr>
          <w:rFonts w:hint="eastAsia" w:ascii="宋体" w:hAnsi="宋体"/>
          <w:color w:val="000000"/>
          <w:sz w:val="24"/>
          <w:szCs w:val="24"/>
          <w:highlight w:val="none"/>
        </w:rPr>
        <w:t>.1</w:t>
      </w:r>
      <w:r>
        <w:rPr>
          <w:rFonts w:hint="eastAsia" w:ascii="宋体" w:hAnsi="宋体"/>
          <w:color w:val="000000"/>
          <w:sz w:val="24"/>
          <w:szCs w:val="24"/>
          <w:highlight w:val="none"/>
          <w:lang w:val="en-US" w:eastAsia="zh-CN"/>
        </w:rPr>
        <w:t xml:space="preserve">.1 </w:t>
      </w:r>
      <w:r>
        <w:rPr>
          <w:rFonts w:hint="eastAsia" w:ascii="宋体" w:hAnsi="宋体"/>
          <w:sz w:val="24"/>
          <w:szCs w:val="24"/>
          <w:highlight w:val="none"/>
        </w:rPr>
        <w:t>催化剂中含有一定量的粉尘分离出来并</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ind w:left="716" w:leftChars="209" w:hanging="256" w:hangingChars="107"/>
        <w:rPr>
          <w:rFonts w:hint="eastAsia" w:ascii="宋体" w:hAnsi="宋体"/>
          <w:color w:val="000000"/>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2</w:t>
      </w:r>
      <w:r>
        <w:rPr>
          <w:rFonts w:hint="eastAsia" w:ascii="宋体" w:hAnsi="宋体"/>
          <w:color w:val="000000"/>
          <w:sz w:val="24"/>
          <w:szCs w:val="24"/>
          <w:highlight w:val="none"/>
        </w:rPr>
        <w:t>.</w:t>
      </w:r>
      <w:r>
        <w:rPr>
          <w:rFonts w:hint="eastAsia" w:ascii="宋体" w:hAnsi="宋体"/>
          <w:color w:val="000000"/>
          <w:sz w:val="24"/>
          <w:szCs w:val="24"/>
          <w:highlight w:val="none"/>
          <w:lang w:val="en-US" w:eastAsia="zh-CN"/>
        </w:rPr>
        <w:t>1.</w:t>
      </w:r>
      <w:r>
        <w:rPr>
          <w:rFonts w:hint="eastAsia" w:ascii="宋体" w:hAnsi="宋体"/>
          <w:color w:val="000000"/>
          <w:sz w:val="24"/>
          <w:szCs w:val="24"/>
          <w:highlight w:val="none"/>
        </w:rPr>
        <w:t>2</w:t>
      </w:r>
      <w:r>
        <w:rPr>
          <w:rFonts w:hint="eastAsia" w:ascii="宋体" w:hAnsi="宋体"/>
          <w:color w:val="000000"/>
          <w:sz w:val="24"/>
          <w:szCs w:val="24"/>
          <w:highlight w:val="none"/>
          <w:lang w:val="en-US" w:eastAsia="zh-CN"/>
        </w:rPr>
        <w:t xml:space="preserve"> </w:t>
      </w:r>
      <w:r>
        <w:rPr>
          <w:rFonts w:hint="eastAsia" w:ascii="宋体" w:hAnsi="宋体"/>
          <w:sz w:val="24"/>
          <w:szCs w:val="24"/>
          <w:highlight w:val="none"/>
        </w:rPr>
        <w:t>同体积，密度不相同的催化剂──含炭高的催化剂分离出来并</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ind w:left="716" w:leftChars="209" w:hanging="256" w:hangingChars="107"/>
        <w:rPr>
          <w:rFonts w:hint="eastAsia" w:ascii="宋体" w:hAnsi="宋体"/>
          <w:color w:val="000000"/>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2</w:t>
      </w:r>
      <w:r>
        <w:rPr>
          <w:rFonts w:hint="eastAsia" w:ascii="宋体" w:hAnsi="宋体"/>
          <w:color w:val="000000"/>
          <w:sz w:val="24"/>
          <w:szCs w:val="24"/>
          <w:highlight w:val="none"/>
        </w:rPr>
        <w:t>.</w:t>
      </w:r>
      <w:r>
        <w:rPr>
          <w:rFonts w:hint="eastAsia" w:ascii="宋体" w:hAnsi="宋体"/>
          <w:color w:val="000000"/>
          <w:sz w:val="24"/>
          <w:szCs w:val="24"/>
          <w:highlight w:val="none"/>
          <w:lang w:val="en-US" w:eastAsia="zh-CN"/>
        </w:rPr>
        <w:t>1.</w:t>
      </w: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 xml:space="preserve"> </w:t>
      </w:r>
      <w:r>
        <w:rPr>
          <w:rFonts w:hint="eastAsia" w:ascii="宋体" w:hAnsi="宋体"/>
          <w:sz w:val="24"/>
          <w:szCs w:val="24"/>
          <w:highlight w:val="none"/>
        </w:rPr>
        <w:t>同重量，体积不相等的催化剂──Φ≦1.2mm灰白色侏儒球全部分离出来并</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ind w:left="716" w:leftChars="209" w:hanging="256" w:hangingChars="107"/>
        <w:rPr>
          <w:rFonts w:hint="eastAsia" w:ascii="宋体" w:hAnsi="宋体"/>
          <w:color w:val="000000"/>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2</w:t>
      </w:r>
      <w:r>
        <w:rPr>
          <w:rFonts w:hint="eastAsia" w:ascii="宋体" w:hAnsi="宋体"/>
          <w:color w:val="000000"/>
          <w:sz w:val="24"/>
          <w:szCs w:val="24"/>
          <w:highlight w:val="none"/>
        </w:rPr>
        <w:t>.</w:t>
      </w:r>
      <w:r>
        <w:rPr>
          <w:rFonts w:hint="eastAsia" w:ascii="宋体" w:hAnsi="宋体"/>
          <w:color w:val="000000"/>
          <w:sz w:val="24"/>
          <w:szCs w:val="24"/>
          <w:highlight w:val="none"/>
          <w:lang w:val="en-US" w:eastAsia="zh-CN"/>
        </w:rPr>
        <w:t>1.</w:t>
      </w:r>
      <w:r>
        <w:rPr>
          <w:rFonts w:hint="eastAsia" w:ascii="宋体" w:hAnsi="宋体"/>
          <w:color w:val="000000"/>
          <w:sz w:val="24"/>
          <w:szCs w:val="24"/>
          <w:highlight w:val="none"/>
        </w:rPr>
        <w:t>4</w:t>
      </w:r>
      <w:r>
        <w:rPr>
          <w:rFonts w:hint="eastAsia" w:ascii="宋体" w:hAnsi="宋体"/>
          <w:color w:val="000000"/>
          <w:sz w:val="24"/>
          <w:szCs w:val="24"/>
          <w:highlight w:val="none"/>
          <w:lang w:val="en-US" w:eastAsia="zh-CN"/>
        </w:rPr>
        <w:t xml:space="preserve"> </w:t>
      </w:r>
      <w:r>
        <w:rPr>
          <w:rFonts w:hint="eastAsia" w:ascii="宋体" w:hAnsi="宋体"/>
          <w:sz w:val="24"/>
          <w:szCs w:val="24"/>
          <w:highlight w:val="none"/>
        </w:rPr>
        <w:t>同密度，体积、重量不等的催化剂──Φ＜1.4mm以下的</w:t>
      </w:r>
      <w:r>
        <w:rPr>
          <w:rFonts w:hint="eastAsia" w:ascii="宋体" w:hAnsi="宋体"/>
          <w:color w:val="000000"/>
          <w:sz w:val="24"/>
          <w:szCs w:val="24"/>
          <w:highlight w:val="none"/>
        </w:rPr>
        <w:t>低</w:t>
      </w:r>
      <w:r>
        <w:rPr>
          <w:rFonts w:hint="eastAsia" w:ascii="宋体" w:hAnsi="宋体"/>
          <w:sz w:val="24"/>
          <w:szCs w:val="24"/>
          <w:highlight w:val="none"/>
        </w:rPr>
        <w:t>炭催化剂分离出来并</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ind w:left="716" w:leftChars="209" w:hanging="256" w:hangingChars="107"/>
        <w:rPr>
          <w:rFonts w:hint="eastAsia" w:ascii="宋体" w:hAnsi="宋体"/>
          <w:color w:val="000000"/>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2.</w:t>
      </w:r>
      <w:r>
        <w:rPr>
          <w:rFonts w:hint="eastAsia" w:ascii="宋体" w:hAnsi="宋体"/>
          <w:color w:val="000000"/>
          <w:sz w:val="24"/>
          <w:szCs w:val="24"/>
          <w:highlight w:val="none"/>
        </w:rPr>
        <w:t>1.5</w:t>
      </w:r>
      <w:r>
        <w:rPr>
          <w:rFonts w:hint="eastAsia" w:ascii="宋体" w:hAnsi="宋体"/>
          <w:color w:val="000000"/>
          <w:sz w:val="24"/>
          <w:szCs w:val="24"/>
          <w:highlight w:val="none"/>
          <w:lang w:val="en-US" w:eastAsia="zh-CN"/>
        </w:rPr>
        <w:t xml:space="preserve"> </w:t>
      </w:r>
      <w:r>
        <w:rPr>
          <w:rFonts w:hint="eastAsia" w:ascii="宋体" w:hAnsi="宋体"/>
          <w:sz w:val="24"/>
          <w:szCs w:val="24"/>
          <w:highlight w:val="none"/>
        </w:rPr>
        <w:t>可回装颗粒Φ＞1.4mm的低炭催化剂详细</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ind w:left="218" w:leftChars="99" w:firstLine="2" w:firstLineChars="0"/>
        <w:rPr>
          <w:rFonts w:hint="eastAsia" w:ascii="宋体" w:hAnsi="宋体"/>
          <w:color w:val="000000"/>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 xml:space="preserve">2.2 </w:t>
      </w:r>
      <w:r>
        <w:rPr>
          <w:rFonts w:hint="eastAsia" w:ascii="宋体" w:hAnsi="宋体"/>
          <w:color w:val="000000"/>
          <w:sz w:val="24"/>
          <w:szCs w:val="24"/>
          <w:highlight w:val="none"/>
        </w:rPr>
        <w:t>风车式物理分级指标</w:t>
      </w:r>
    </w:p>
    <w:p>
      <w:pPr>
        <w:spacing w:line="360" w:lineRule="auto"/>
        <w:ind w:left="460" w:leftChars="209" w:firstLine="0" w:firstLineChars="0"/>
        <w:rPr>
          <w:rFonts w:hint="eastAsia" w:ascii="宋体" w:hAnsi="宋体"/>
          <w:color w:val="000000"/>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2.2</w:t>
      </w:r>
      <w:r>
        <w:rPr>
          <w:rFonts w:hint="eastAsia" w:ascii="宋体" w:hAnsi="宋体"/>
          <w:color w:val="000000"/>
          <w:sz w:val="24"/>
          <w:szCs w:val="24"/>
          <w:highlight w:val="none"/>
        </w:rPr>
        <w:t>.1可回</w:t>
      </w:r>
      <w:r>
        <w:rPr>
          <w:rFonts w:hint="eastAsia"/>
          <w:sz w:val="24"/>
          <w:szCs w:val="24"/>
          <w:highlight w:val="none"/>
        </w:rPr>
        <w:t>装</w:t>
      </w:r>
      <w:r>
        <w:rPr>
          <w:rFonts w:hint="eastAsia" w:ascii="宋体" w:hAnsi="宋体"/>
          <w:color w:val="000000"/>
          <w:sz w:val="24"/>
          <w:szCs w:val="24"/>
          <w:highlight w:val="none"/>
        </w:rPr>
        <w:t>催化剂无亮黑及黑黑剂：</w:t>
      </w:r>
    </w:p>
    <w:p>
      <w:pPr>
        <w:spacing w:line="360" w:lineRule="auto"/>
        <w:ind w:left="460" w:leftChars="209" w:firstLine="0" w:firstLineChars="0"/>
        <w:rPr>
          <w:rFonts w:hint="eastAsia" w:ascii="宋体" w:hAnsi="宋体"/>
          <w:color w:val="000000"/>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2.2</w:t>
      </w:r>
      <w:r>
        <w:rPr>
          <w:rFonts w:hint="eastAsia" w:ascii="宋体" w:hAnsi="宋体"/>
          <w:color w:val="000000"/>
          <w:sz w:val="24"/>
          <w:szCs w:val="24"/>
          <w:highlight w:val="none"/>
        </w:rPr>
        <w:t>.2可回</w:t>
      </w:r>
      <w:r>
        <w:rPr>
          <w:rFonts w:hint="eastAsia"/>
          <w:sz w:val="24"/>
          <w:szCs w:val="24"/>
          <w:highlight w:val="none"/>
        </w:rPr>
        <w:t>装</w:t>
      </w:r>
      <w:r>
        <w:rPr>
          <w:rFonts w:hint="eastAsia" w:ascii="宋体" w:hAnsi="宋体"/>
          <w:color w:val="000000"/>
          <w:sz w:val="24"/>
          <w:szCs w:val="24"/>
          <w:highlight w:val="none"/>
        </w:rPr>
        <w:t>催化剂</w:t>
      </w:r>
      <w:r>
        <w:rPr>
          <w:rFonts w:hint="eastAsia" w:ascii="宋体" w:hAnsi="宋体"/>
          <w:sz w:val="24"/>
          <w:szCs w:val="24"/>
          <w:highlight w:val="none"/>
        </w:rPr>
        <w:t>颗粒</w:t>
      </w:r>
      <w:r>
        <w:rPr>
          <w:rFonts w:hint="eastAsia" w:ascii="宋体" w:hAnsi="宋体"/>
          <w:color w:val="000000"/>
          <w:sz w:val="24"/>
          <w:szCs w:val="24"/>
          <w:highlight w:val="none"/>
        </w:rPr>
        <w:t>直径应大于</w:t>
      </w:r>
      <w:r>
        <w:rPr>
          <w:rFonts w:hint="eastAsia" w:ascii="宋体" w:hAnsi="宋体"/>
          <w:sz w:val="24"/>
          <w:szCs w:val="24"/>
          <w:highlight w:val="none"/>
        </w:rPr>
        <w:t>＞1.4mm</w:t>
      </w:r>
      <w:r>
        <w:rPr>
          <w:rFonts w:hint="eastAsia" w:ascii="宋体" w:hAnsi="宋体"/>
          <w:color w:val="000000"/>
          <w:sz w:val="24"/>
          <w:szCs w:val="24"/>
          <w:highlight w:val="none"/>
        </w:rPr>
        <w:t>。</w:t>
      </w:r>
    </w:p>
    <w:p>
      <w:pPr>
        <w:spacing w:line="360" w:lineRule="auto"/>
        <w:ind w:left="460" w:leftChars="209" w:firstLine="0" w:firstLineChars="0"/>
        <w:rPr>
          <w:sz w:val="24"/>
          <w:szCs w:val="24"/>
          <w:highlight w:val="none"/>
        </w:rPr>
      </w:pPr>
      <w:r>
        <w:rPr>
          <w:rFonts w:hint="eastAsia" w:ascii="宋体" w:hAnsi="宋体"/>
          <w:color w:val="000000"/>
          <w:sz w:val="24"/>
          <w:szCs w:val="24"/>
          <w:highlight w:val="none"/>
        </w:rPr>
        <w:t>3.</w:t>
      </w:r>
      <w:r>
        <w:rPr>
          <w:rFonts w:hint="eastAsia" w:ascii="宋体" w:hAnsi="宋体"/>
          <w:color w:val="000000"/>
          <w:sz w:val="24"/>
          <w:szCs w:val="24"/>
          <w:highlight w:val="none"/>
          <w:lang w:val="en-US" w:eastAsia="zh-CN"/>
        </w:rPr>
        <w:t>2.2</w:t>
      </w:r>
      <w:r>
        <w:rPr>
          <w:rFonts w:hint="eastAsia" w:ascii="宋体" w:hAnsi="宋体"/>
          <w:color w:val="000000"/>
          <w:sz w:val="24"/>
          <w:szCs w:val="24"/>
          <w:highlight w:val="none"/>
        </w:rPr>
        <w:t>.3</w:t>
      </w:r>
      <w:r>
        <w:rPr>
          <w:rFonts w:hint="eastAsia" w:ascii="宋体" w:hAnsi="宋体"/>
          <w:kern w:val="0"/>
          <w:sz w:val="24"/>
          <w:szCs w:val="24"/>
          <w:highlight w:val="none"/>
        </w:rPr>
        <w:t>进行分级的重整催化剂损耗率</w:t>
      </w:r>
      <w:r>
        <w:rPr>
          <w:rFonts w:hint="eastAsia" w:ascii="宋体" w:hAnsi="宋体"/>
          <w:color w:val="000000"/>
          <w:sz w:val="24"/>
          <w:szCs w:val="24"/>
          <w:highlight w:val="none"/>
        </w:rPr>
        <w:t>应</w:t>
      </w:r>
      <w:r>
        <w:rPr>
          <w:rFonts w:hint="eastAsia" w:ascii="宋体" w:hAnsi="宋体"/>
          <w:kern w:val="0"/>
          <w:sz w:val="24"/>
          <w:szCs w:val="24"/>
          <w:highlight w:val="none"/>
        </w:rPr>
        <w:t>＜0.1%</w:t>
      </w:r>
      <w:r>
        <w:rPr>
          <w:rFonts w:hint="eastAsia"/>
          <w:sz w:val="24"/>
          <w:szCs w:val="24"/>
          <w:highlight w:val="none"/>
        </w:rPr>
        <w:t>。</w:t>
      </w:r>
    </w:p>
    <w:p>
      <w:pPr>
        <w:spacing w:line="360" w:lineRule="auto"/>
        <w:ind w:left="460" w:leftChars="209" w:firstLine="0" w:firstLineChars="0"/>
        <w:rPr>
          <w:rFonts w:hint="eastAsia" w:ascii="宋体" w:hAnsi="宋体"/>
          <w:color w:val="000000"/>
          <w:sz w:val="24"/>
          <w:szCs w:val="24"/>
          <w:highlight w:val="none"/>
        </w:rPr>
      </w:pPr>
      <w:r>
        <w:rPr>
          <w:rFonts w:ascii="宋体" w:hAnsi="宋体"/>
          <w:color w:val="000000"/>
          <w:sz w:val="24"/>
          <w:szCs w:val="24"/>
          <w:highlight w:val="none"/>
        </w:rPr>
        <w:t>3</w:t>
      </w:r>
      <w:r>
        <w:rPr>
          <w:rFonts w:hint="eastAsia" w:ascii="宋体" w:hAnsi="宋体"/>
          <w:color w:val="000000"/>
          <w:sz w:val="24"/>
          <w:szCs w:val="24"/>
          <w:highlight w:val="none"/>
        </w:rPr>
        <w:t>.</w:t>
      </w:r>
      <w:r>
        <w:rPr>
          <w:rFonts w:hint="eastAsia" w:ascii="宋体" w:hAnsi="宋体"/>
          <w:color w:val="000000"/>
          <w:sz w:val="24"/>
          <w:szCs w:val="24"/>
          <w:highlight w:val="none"/>
          <w:lang w:val="en-US" w:eastAsia="zh-CN"/>
        </w:rPr>
        <w:t>2.2</w:t>
      </w:r>
      <w:r>
        <w:rPr>
          <w:rFonts w:hint="eastAsia" w:ascii="宋体" w:hAnsi="宋体"/>
          <w:color w:val="000000"/>
          <w:sz w:val="24"/>
          <w:szCs w:val="24"/>
          <w:highlight w:val="none"/>
        </w:rPr>
        <w:t>.</w:t>
      </w:r>
      <w:r>
        <w:rPr>
          <w:rFonts w:ascii="宋体" w:hAnsi="宋体"/>
          <w:color w:val="000000"/>
          <w:sz w:val="24"/>
          <w:szCs w:val="24"/>
          <w:highlight w:val="none"/>
        </w:rPr>
        <w:t>4</w:t>
      </w:r>
      <w:r>
        <w:rPr>
          <w:rFonts w:hint="eastAsia" w:ascii="宋体" w:hAnsi="宋体"/>
          <w:color w:val="000000"/>
          <w:sz w:val="24"/>
          <w:szCs w:val="24"/>
          <w:highlight w:val="none"/>
        </w:rPr>
        <w:t>重整催化剂物理分级处理时间＜ 10天。</w:t>
      </w:r>
    </w:p>
    <w:p>
      <w:pPr>
        <w:keepNext w:val="0"/>
        <w:keepLines w:val="0"/>
        <w:pageBreakBefore w:val="0"/>
        <w:widowControl w:val="0"/>
        <w:kinsoku/>
        <w:wordWrap/>
        <w:overflowPunct/>
        <w:topLinePunct w:val="0"/>
        <w:autoSpaceDE w:val="0"/>
        <w:autoSpaceDN w:val="0"/>
        <w:bidi w:val="0"/>
        <w:adjustRightInd/>
        <w:snapToGrid/>
        <w:spacing w:before="313" w:beforeLines="100" w:after="157" w:afterLines="50" w:line="360" w:lineRule="auto"/>
        <w:ind w:left="0" w:leftChars="0" w:right="0" w:rightChars="0" w:firstLine="0" w:firstLineChars="0"/>
        <w:jc w:val="left"/>
        <w:textAlignment w:val="auto"/>
        <w:outlineLvl w:val="9"/>
        <w:rPr>
          <w:rFonts w:ascii="宋体" w:hAnsi="宋体"/>
          <w:b/>
          <w:bCs/>
          <w:color w:val="000000"/>
          <w:sz w:val="24"/>
          <w:szCs w:val="24"/>
          <w:highlight w:val="none"/>
        </w:rPr>
      </w:pPr>
      <w:r>
        <w:rPr>
          <w:rFonts w:hint="eastAsia" w:ascii="宋体" w:hAnsi="宋体"/>
          <w:b/>
          <w:bCs/>
          <w:color w:val="000000"/>
          <w:sz w:val="24"/>
          <w:szCs w:val="24"/>
          <w:highlight w:val="none"/>
          <w:lang w:val="en-US" w:eastAsia="zh-CN"/>
        </w:rPr>
        <w:t xml:space="preserve">第四条  </w:t>
      </w:r>
      <w:r>
        <w:rPr>
          <w:rFonts w:hint="eastAsia" w:ascii="宋体" w:hAnsi="宋体"/>
          <w:b/>
          <w:bCs/>
          <w:color w:val="000000"/>
          <w:sz w:val="24"/>
          <w:szCs w:val="24"/>
          <w:highlight w:val="none"/>
        </w:rPr>
        <w:t>验收标准</w:t>
      </w:r>
    </w:p>
    <w:p>
      <w:pPr>
        <w:adjustRightInd w:val="0"/>
        <w:snapToGrid w:val="0"/>
        <w:spacing w:line="360" w:lineRule="auto"/>
        <w:ind w:left="499" w:leftChars="0" w:hanging="499" w:hangingChars="208"/>
        <w:rPr>
          <w:rFonts w:ascii="宋体" w:hAnsi="宋体"/>
          <w:kern w:val="0"/>
          <w:sz w:val="24"/>
          <w:szCs w:val="24"/>
          <w:highlight w:val="none"/>
        </w:rPr>
      </w:pPr>
      <w:r>
        <w:rPr>
          <w:rFonts w:hint="eastAsia" w:ascii="宋体" w:hAnsi="宋体"/>
          <w:kern w:val="0"/>
          <w:sz w:val="24"/>
          <w:szCs w:val="24"/>
          <w:highlight w:val="none"/>
          <w:lang w:val="en-US" w:eastAsia="zh-CN"/>
        </w:rPr>
        <w:t>4.1 甲方</w:t>
      </w:r>
      <w:r>
        <w:rPr>
          <w:rFonts w:hint="eastAsia" w:ascii="宋体" w:hAnsi="宋体"/>
          <w:kern w:val="0"/>
          <w:sz w:val="24"/>
          <w:szCs w:val="24"/>
          <w:highlight w:val="none"/>
        </w:rPr>
        <w:t>负责将待分级催化剂分为4个批次，由</w:t>
      </w:r>
      <w:r>
        <w:rPr>
          <w:rFonts w:hint="eastAsia" w:ascii="宋体" w:hAnsi="宋体"/>
          <w:kern w:val="0"/>
          <w:sz w:val="24"/>
          <w:szCs w:val="24"/>
          <w:highlight w:val="none"/>
          <w:lang w:val="en-US" w:eastAsia="zh-CN"/>
        </w:rPr>
        <w:t>甲、乙</w:t>
      </w:r>
      <w:r>
        <w:rPr>
          <w:rFonts w:hint="eastAsia" w:ascii="宋体" w:hAnsi="宋体"/>
          <w:kern w:val="0"/>
          <w:sz w:val="24"/>
          <w:szCs w:val="24"/>
          <w:highlight w:val="none"/>
        </w:rPr>
        <w:t>双方共同取样（催化剂按每批取1份样品，经混合后作为标准样品保留），混合样分成三份。</w:t>
      </w:r>
      <w:r>
        <w:rPr>
          <w:rFonts w:hint="eastAsia" w:ascii="宋体" w:hAnsi="宋体"/>
          <w:kern w:val="0"/>
          <w:sz w:val="24"/>
          <w:szCs w:val="24"/>
          <w:highlight w:val="none"/>
          <w:lang w:val="en-US" w:eastAsia="zh-CN"/>
        </w:rPr>
        <w:t>甲、乙</w:t>
      </w:r>
      <w:r>
        <w:rPr>
          <w:rFonts w:hint="eastAsia" w:ascii="宋体" w:hAnsi="宋体"/>
          <w:kern w:val="0"/>
          <w:sz w:val="24"/>
          <w:szCs w:val="24"/>
          <w:highlight w:val="none"/>
        </w:rPr>
        <w:t>双方各执一份，第三份作为发生纠纷时仲裁的依据。</w:t>
      </w:r>
    </w:p>
    <w:p>
      <w:pPr>
        <w:spacing w:line="360" w:lineRule="auto"/>
        <w:ind w:left="499" w:leftChars="0" w:hanging="499" w:hangingChars="208"/>
        <w:rPr>
          <w:rFonts w:ascii="宋体" w:hAnsi="宋体"/>
          <w:color w:val="000000"/>
          <w:sz w:val="24"/>
          <w:szCs w:val="24"/>
          <w:highlight w:val="none"/>
        </w:rPr>
      </w:pPr>
      <w:r>
        <w:rPr>
          <w:rFonts w:hint="eastAsia" w:ascii="宋体" w:hAnsi="宋体"/>
          <w:kern w:val="0"/>
          <w:sz w:val="24"/>
          <w:szCs w:val="24"/>
          <w:highlight w:val="none"/>
          <w:lang w:val="en-US" w:eastAsia="zh-CN"/>
        </w:rPr>
        <w:t xml:space="preserve">4.2 </w:t>
      </w:r>
      <w:r>
        <w:rPr>
          <w:rFonts w:hint="eastAsia" w:ascii="宋体" w:hAnsi="宋体"/>
          <w:kern w:val="0"/>
          <w:sz w:val="24"/>
          <w:szCs w:val="24"/>
          <w:highlight w:val="none"/>
        </w:rPr>
        <w:t>催化剂物理分</w:t>
      </w:r>
      <w:r>
        <w:rPr>
          <w:rFonts w:hint="eastAsia" w:ascii="宋体" w:hAnsi="宋体"/>
          <w:sz w:val="24"/>
          <w:szCs w:val="24"/>
          <w:highlight w:val="none"/>
        </w:rPr>
        <w:t>级</w:t>
      </w:r>
      <w:r>
        <w:rPr>
          <w:rFonts w:hint="eastAsia" w:ascii="宋体" w:hAnsi="宋体"/>
          <w:kern w:val="0"/>
          <w:sz w:val="24"/>
          <w:szCs w:val="24"/>
          <w:highlight w:val="none"/>
        </w:rPr>
        <w:t>效果由</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质检部进行评价。有争议时，委托有分析</w:t>
      </w:r>
      <w:r>
        <w:rPr>
          <w:rFonts w:hint="eastAsia" w:ascii="宋体" w:hAnsi="宋体"/>
          <w:color w:val="000000"/>
          <w:sz w:val="24"/>
          <w:szCs w:val="24"/>
          <w:highlight w:val="none"/>
        </w:rPr>
        <w:t>资质的第三方进行评价。</w:t>
      </w:r>
    </w:p>
    <w:p>
      <w:pPr>
        <w:spacing w:line="360" w:lineRule="auto"/>
        <w:ind w:left="499" w:leftChars="0" w:hanging="499" w:hangingChars="208"/>
        <w:rPr>
          <w:rFonts w:ascii="宋体" w:hAnsi="宋体"/>
          <w:color w:val="000000"/>
          <w:sz w:val="24"/>
          <w:szCs w:val="24"/>
          <w:highlight w:val="none"/>
        </w:rPr>
      </w:pPr>
      <w:r>
        <w:rPr>
          <w:rFonts w:hint="eastAsia" w:ascii="宋体" w:hAnsi="宋体"/>
          <w:color w:val="000000"/>
          <w:sz w:val="24"/>
          <w:szCs w:val="24"/>
          <w:highlight w:val="none"/>
        </w:rPr>
        <w:t>4.</w:t>
      </w:r>
      <w:r>
        <w:rPr>
          <w:rFonts w:hint="eastAsia" w:ascii="宋体" w:hAnsi="宋体"/>
          <w:color w:val="000000"/>
          <w:sz w:val="24"/>
          <w:szCs w:val="24"/>
          <w:highlight w:val="none"/>
          <w:lang w:val="en-US" w:eastAsia="zh-CN"/>
        </w:rPr>
        <w:t xml:space="preserve">3 </w:t>
      </w:r>
      <w:r>
        <w:rPr>
          <w:rFonts w:hint="eastAsia" w:ascii="宋体" w:hAnsi="宋体"/>
          <w:color w:val="000000"/>
          <w:sz w:val="24"/>
          <w:szCs w:val="24"/>
          <w:highlight w:val="none"/>
        </w:rPr>
        <w:t>分级后的催化剂分类包装标准：密封性好、防水、防潮，外观要清晰标明标牌号、批号、净重、日期等。</w:t>
      </w:r>
    </w:p>
    <w:p>
      <w:pPr>
        <w:spacing w:line="360" w:lineRule="auto"/>
        <w:ind w:left="499" w:leftChars="0" w:hanging="499" w:hangingChars="208"/>
        <w:rPr>
          <w:rFonts w:ascii="宋体" w:hAnsi="宋体"/>
          <w:color w:val="000000"/>
          <w:sz w:val="24"/>
          <w:szCs w:val="24"/>
          <w:highlight w:val="none"/>
        </w:rPr>
      </w:pPr>
      <w:r>
        <w:rPr>
          <w:rFonts w:hint="eastAsia" w:ascii="宋体" w:hAnsi="宋体"/>
          <w:color w:val="000000"/>
          <w:sz w:val="24"/>
          <w:szCs w:val="24"/>
          <w:highlight w:val="none"/>
        </w:rPr>
        <w:t>4.</w:t>
      </w:r>
      <w:r>
        <w:rPr>
          <w:rFonts w:hint="eastAsia" w:ascii="宋体" w:hAnsi="宋体"/>
          <w:color w:val="000000"/>
          <w:sz w:val="24"/>
          <w:szCs w:val="24"/>
          <w:highlight w:val="none"/>
          <w:lang w:val="en-US" w:eastAsia="zh-CN"/>
        </w:rPr>
        <w:t xml:space="preserve">4 </w:t>
      </w:r>
      <w:r>
        <w:rPr>
          <w:rFonts w:hint="eastAsia" w:ascii="宋体" w:hAnsi="宋体"/>
          <w:color w:val="000000"/>
          <w:sz w:val="24"/>
          <w:szCs w:val="24"/>
          <w:highlight w:val="none"/>
        </w:rPr>
        <w:t>被回收的低碳催化剂标准：颗粒直径＞1.4mm、含碳量≤7%，并标明标牌号。</w:t>
      </w:r>
    </w:p>
    <w:p>
      <w:pPr>
        <w:keepNext w:val="0"/>
        <w:keepLines w:val="0"/>
        <w:pageBreakBefore w:val="0"/>
        <w:widowControl w:val="0"/>
        <w:kinsoku/>
        <w:wordWrap/>
        <w:overflowPunct/>
        <w:topLinePunct w:val="0"/>
        <w:autoSpaceDE w:val="0"/>
        <w:autoSpaceDN w:val="0"/>
        <w:bidi w:val="0"/>
        <w:adjustRightInd/>
        <w:snapToGrid/>
        <w:spacing w:before="157" w:beforeLines="50" w:after="157" w:afterLines="50" w:line="360" w:lineRule="auto"/>
        <w:ind w:left="381" w:leftChars="0" w:right="0" w:rightChars="0" w:hanging="381" w:hangingChars="158"/>
        <w:jc w:val="left"/>
        <w:textAlignment w:val="auto"/>
        <w:outlineLvl w:val="9"/>
        <w:rPr>
          <w:rFonts w:ascii="宋体" w:hAnsi="宋体"/>
          <w:b/>
          <w:bCs/>
          <w:color w:val="000000"/>
          <w:sz w:val="24"/>
          <w:szCs w:val="24"/>
          <w:highlight w:val="none"/>
        </w:rPr>
      </w:pPr>
      <w:r>
        <w:rPr>
          <w:rFonts w:hint="eastAsia" w:ascii="宋体" w:hAnsi="宋体"/>
          <w:b/>
          <w:bCs/>
          <w:color w:val="000000"/>
          <w:sz w:val="24"/>
          <w:szCs w:val="24"/>
          <w:highlight w:val="none"/>
          <w:lang w:val="en-US" w:eastAsia="zh-CN"/>
        </w:rPr>
        <w:t xml:space="preserve">第五条  </w:t>
      </w:r>
      <w:r>
        <w:rPr>
          <w:rFonts w:hint="eastAsia" w:ascii="宋体" w:hAnsi="宋体"/>
          <w:b/>
          <w:bCs/>
          <w:color w:val="000000"/>
          <w:sz w:val="24"/>
          <w:szCs w:val="24"/>
          <w:highlight w:val="none"/>
        </w:rPr>
        <w:t xml:space="preserve">验收方法 </w:t>
      </w:r>
    </w:p>
    <w:p>
      <w:pPr>
        <w:spacing w:line="360" w:lineRule="auto"/>
        <w:ind w:left="477" w:leftChars="0" w:hanging="477" w:hangingChars="199"/>
        <w:rPr>
          <w:rFonts w:ascii="宋体" w:hAnsi="宋体"/>
          <w:color w:val="000000"/>
          <w:sz w:val="24"/>
          <w:szCs w:val="24"/>
          <w:highlight w:val="none"/>
        </w:rPr>
      </w:pPr>
      <w:r>
        <w:rPr>
          <w:rFonts w:hint="eastAsia" w:ascii="宋体" w:hAnsi="宋体"/>
          <w:color w:val="000000"/>
          <w:sz w:val="24"/>
          <w:szCs w:val="24"/>
          <w:highlight w:val="none"/>
        </w:rPr>
        <w:t>5.1</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风车式物理分级指标3.1.1的验收方法：最高碳含量是当催化剂分级处理完毕后，</w:t>
      </w:r>
      <w:r>
        <w:rPr>
          <w:rFonts w:hint="eastAsia" w:ascii="宋体" w:hAnsi="宋体"/>
          <w:kern w:val="0"/>
          <w:sz w:val="24"/>
          <w:szCs w:val="24"/>
          <w:highlight w:val="none"/>
          <w:lang w:val="en-US" w:eastAsia="zh-CN"/>
        </w:rPr>
        <w:t>甲、乙</w:t>
      </w:r>
      <w:r>
        <w:rPr>
          <w:rFonts w:hint="eastAsia" w:ascii="宋体" w:hAnsi="宋体"/>
          <w:color w:val="000000"/>
          <w:sz w:val="24"/>
          <w:szCs w:val="24"/>
          <w:highlight w:val="none"/>
        </w:rPr>
        <w:t>双方在场，由</w:t>
      </w:r>
      <w:r>
        <w:rPr>
          <w:rFonts w:hint="eastAsia" w:ascii="宋体" w:hAnsi="宋体"/>
          <w:kern w:val="0"/>
          <w:sz w:val="24"/>
          <w:szCs w:val="24"/>
          <w:highlight w:val="none"/>
          <w:lang w:val="en-US" w:eastAsia="zh-CN"/>
        </w:rPr>
        <w:t>甲方</w:t>
      </w:r>
      <w:r>
        <w:rPr>
          <w:rFonts w:hint="eastAsia" w:ascii="宋体" w:hAnsi="宋体"/>
          <w:color w:val="000000"/>
          <w:sz w:val="24"/>
          <w:szCs w:val="24"/>
          <w:highlight w:val="none"/>
        </w:rPr>
        <w:t>取出2000颗催化剂，在其中选出催化剂30颗最黑的（小球）催化剂交</w:t>
      </w:r>
      <w:r>
        <w:rPr>
          <w:rFonts w:hint="eastAsia" w:ascii="宋体" w:hAnsi="宋体"/>
          <w:kern w:val="0"/>
          <w:sz w:val="24"/>
          <w:szCs w:val="24"/>
          <w:highlight w:val="none"/>
          <w:lang w:val="en-US" w:eastAsia="zh-CN"/>
        </w:rPr>
        <w:t>甲方</w:t>
      </w:r>
      <w:r>
        <w:rPr>
          <w:rFonts w:hint="eastAsia" w:ascii="宋体" w:hAnsi="宋体"/>
          <w:color w:val="000000"/>
          <w:sz w:val="24"/>
          <w:szCs w:val="24"/>
          <w:highlight w:val="none"/>
        </w:rPr>
        <w:t>的质量技术中心进行碳含量测定，并以此分析数据作为验收数据。</w:t>
      </w:r>
    </w:p>
    <w:p>
      <w:pPr>
        <w:spacing w:line="360" w:lineRule="auto"/>
        <w:ind w:left="477" w:leftChars="0" w:hanging="477" w:hangingChars="199"/>
        <w:rPr>
          <w:rFonts w:ascii="宋体" w:hAnsi="宋体"/>
          <w:color w:val="000000"/>
          <w:sz w:val="24"/>
          <w:szCs w:val="24"/>
          <w:highlight w:val="none"/>
        </w:rPr>
      </w:pPr>
      <w:r>
        <w:rPr>
          <w:rFonts w:hint="eastAsia" w:ascii="宋体" w:hAnsi="宋体"/>
          <w:color w:val="000000"/>
          <w:sz w:val="24"/>
          <w:szCs w:val="24"/>
          <w:highlight w:val="none"/>
        </w:rPr>
        <w:t>5.2</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风车式物理分级指标3.1.2的验收方法：催化剂分级后可回装低炭催化剂中，</w:t>
      </w:r>
      <w:r>
        <w:rPr>
          <w:rFonts w:hint="eastAsia" w:ascii="宋体" w:hAnsi="宋体"/>
          <w:kern w:val="0"/>
          <w:sz w:val="24"/>
          <w:szCs w:val="24"/>
          <w:highlight w:val="none"/>
          <w:lang w:val="en-US" w:eastAsia="zh-CN"/>
        </w:rPr>
        <w:t>甲、乙</w:t>
      </w:r>
      <w:r>
        <w:rPr>
          <w:rFonts w:hint="eastAsia" w:ascii="宋体" w:hAnsi="宋体"/>
          <w:color w:val="000000"/>
          <w:sz w:val="24"/>
          <w:szCs w:val="24"/>
          <w:highlight w:val="none"/>
        </w:rPr>
        <w:t>双方在场，由</w:t>
      </w:r>
      <w:r>
        <w:rPr>
          <w:rFonts w:hint="eastAsia" w:ascii="宋体" w:hAnsi="宋体"/>
          <w:kern w:val="0"/>
          <w:sz w:val="24"/>
          <w:szCs w:val="24"/>
          <w:highlight w:val="none"/>
          <w:lang w:val="en-US" w:eastAsia="zh-CN"/>
        </w:rPr>
        <w:t>甲方</w:t>
      </w:r>
      <w:r>
        <w:rPr>
          <w:rFonts w:hint="eastAsia" w:ascii="宋体" w:hAnsi="宋体"/>
          <w:color w:val="000000"/>
          <w:sz w:val="24"/>
          <w:szCs w:val="24"/>
          <w:highlight w:val="none"/>
        </w:rPr>
        <w:t>取出2000颗催化剂，在其中选出最小的催化剂用千分尺测试，若直径大于1.4mm为合格，允许1.4mm＞Φ＞1.2mm两颗，小于1.2mm匀为不合格。</w:t>
      </w:r>
    </w:p>
    <w:p>
      <w:pPr>
        <w:spacing w:line="360" w:lineRule="auto"/>
        <w:ind w:left="477" w:leftChars="0" w:hanging="477" w:hangingChars="199"/>
        <w:rPr>
          <w:rFonts w:ascii="宋体" w:hAnsi="宋体"/>
          <w:color w:val="000000"/>
          <w:sz w:val="24"/>
          <w:szCs w:val="24"/>
          <w:highlight w:val="none"/>
        </w:rPr>
      </w:pPr>
      <w:r>
        <w:rPr>
          <w:rFonts w:hint="eastAsia" w:ascii="宋体" w:hAnsi="宋体"/>
          <w:color w:val="000000"/>
          <w:sz w:val="24"/>
          <w:szCs w:val="24"/>
          <w:highlight w:val="none"/>
        </w:rPr>
        <w:t>5.3</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风车式物理分级指标3.1.3的验收方法：重整催化剂物理分级前后分别在</w:t>
      </w:r>
      <w:r>
        <w:rPr>
          <w:rFonts w:hint="eastAsia" w:ascii="宋体" w:hAnsi="宋体"/>
          <w:kern w:val="0"/>
          <w:sz w:val="24"/>
          <w:szCs w:val="24"/>
          <w:highlight w:val="none"/>
          <w:lang w:val="en-US" w:eastAsia="zh-CN"/>
        </w:rPr>
        <w:t>甲方</w:t>
      </w:r>
      <w:r>
        <w:rPr>
          <w:rFonts w:hint="eastAsia" w:ascii="宋体" w:hAnsi="宋体"/>
          <w:color w:val="000000"/>
          <w:sz w:val="24"/>
          <w:szCs w:val="24"/>
          <w:highlight w:val="none"/>
        </w:rPr>
        <w:t>现场</w:t>
      </w:r>
      <w:r>
        <w:rPr>
          <w:rFonts w:ascii="宋体" w:hAnsi="宋体"/>
          <w:color w:val="000000"/>
          <w:sz w:val="24"/>
          <w:szCs w:val="24"/>
          <w:highlight w:val="none"/>
        </w:rPr>
        <w:t>称重认可</w:t>
      </w:r>
      <w:r>
        <w:rPr>
          <w:rFonts w:hint="eastAsia" w:ascii="宋体" w:hAnsi="宋体"/>
          <w:color w:val="000000"/>
          <w:sz w:val="24"/>
          <w:szCs w:val="24"/>
          <w:highlight w:val="none"/>
        </w:rPr>
        <w:t>，分级前后催化剂的重量差值与催化剂密度分级前的重量比值作为重整催化剂损耗率。</w:t>
      </w:r>
    </w:p>
    <w:p>
      <w:pPr>
        <w:spacing w:line="360" w:lineRule="auto"/>
        <w:ind w:left="477" w:leftChars="0" w:hanging="477" w:hangingChars="199"/>
        <w:rPr>
          <w:rFonts w:hint="eastAsia" w:ascii="宋体" w:hAnsi="宋体"/>
          <w:color w:val="000000"/>
          <w:sz w:val="24"/>
          <w:szCs w:val="24"/>
          <w:highlight w:val="none"/>
        </w:rPr>
      </w:pPr>
      <w:r>
        <w:rPr>
          <w:rFonts w:hint="eastAsia" w:ascii="宋体" w:hAnsi="宋体"/>
          <w:color w:val="000000"/>
          <w:sz w:val="24"/>
          <w:szCs w:val="24"/>
          <w:highlight w:val="none"/>
        </w:rPr>
        <w:t>5.4</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风车式物理分级指标3.1.4的验收方法：重整催化剂物理分级处理时间以</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签收</w:t>
      </w:r>
      <w:r>
        <w:rPr>
          <w:rFonts w:hint="eastAsia" w:ascii="宋体" w:hAnsi="宋体"/>
          <w:color w:val="000000"/>
          <w:sz w:val="24"/>
          <w:szCs w:val="24"/>
          <w:highlight w:val="none"/>
          <w:lang w:val="en-US" w:eastAsia="zh-CN"/>
        </w:rPr>
        <w:t>甲方</w:t>
      </w:r>
      <w:r>
        <w:rPr>
          <w:rFonts w:hint="eastAsia" w:ascii="宋体" w:hAnsi="宋体"/>
          <w:color w:val="000000"/>
          <w:sz w:val="24"/>
          <w:szCs w:val="24"/>
          <w:highlight w:val="none"/>
        </w:rPr>
        <w:t>的第一批催化剂开始计时，到物理分级处理完毕</w:t>
      </w:r>
      <w:r>
        <w:rPr>
          <w:rFonts w:hint="eastAsia" w:ascii="宋体" w:hAnsi="宋体"/>
          <w:kern w:val="0"/>
          <w:sz w:val="24"/>
          <w:szCs w:val="24"/>
          <w:highlight w:val="none"/>
          <w:lang w:val="en-US" w:eastAsia="zh-CN"/>
        </w:rPr>
        <w:t>甲方</w:t>
      </w:r>
      <w:r>
        <w:rPr>
          <w:rFonts w:hint="eastAsia" w:ascii="宋体" w:hAnsi="宋体"/>
          <w:color w:val="000000"/>
          <w:sz w:val="24"/>
          <w:szCs w:val="24"/>
          <w:highlight w:val="none"/>
        </w:rPr>
        <w:t>签收</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交回的最后一批催化剂结束计时（户外除外）。</w:t>
      </w:r>
    </w:p>
    <w:p>
      <w:pPr>
        <w:keepNext w:val="0"/>
        <w:keepLines w:val="0"/>
        <w:pageBreakBefore w:val="0"/>
        <w:widowControl w:val="0"/>
        <w:kinsoku/>
        <w:wordWrap/>
        <w:overflowPunct/>
        <w:topLinePunct w:val="0"/>
        <w:autoSpaceDE w:val="0"/>
        <w:autoSpaceDN w:val="0"/>
        <w:bidi w:val="0"/>
        <w:adjustRightInd/>
        <w:snapToGrid/>
        <w:spacing w:before="157" w:beforeLines="50" w:after="157" w:afterLines="50" w:line="360" w:lineRule="auto"/>
        <w:ind w:left="455" w:leftChars="0" w:right="0" w:rightChars="0" w:hanging="455" w:hangingChars="189"/>
        <w:jc w:val="left"/>
        <w:textAlignment w:val="auto"/>
        <w:outlineLvl w:val="9"/>
        <w:rPr>
          <w:rFonts w:hint="eastAsia"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b/>
          <w:bCs/>
          <w:sz w:val="24"/>
          <w:szCs w:val="24"/>
          <w:highlight w:val="none"/>
          <w:lang w:val="en-US" w:eastAsia="zh-CN" w:bidi="ar-SA"/>
        </w:rPr>
        <w:t>第</w:t>
      </w:r>
      <w:r>
        <w:rPr>
          <w:rFonts w:hint="eastAsia" w:ascii="Times New Roman" w:hAnsi="Times New Roman" w:cs="Times New Roman"/>
          <w:b/>
          <w:bCs/>
          <w:sz w:val="24"/>
          <w:szCs w:val="24"/>
          <w:highlight w:val="none"/>
          <w:lang w:val="en-US" w:eastAsia="zh-CN" w:bidi="ar-SA"/>
        </w:rPr>
        <w:t>六</w:t>
      </w:r>
      <w:r>
        <w:rPr>
          <w:rFonts w:hint="eastAsia" w:ascii="Times New Roman" w:hAnsi="Times New Roman" w:eastAsia="宋体" w:cs="Times New Roman"/>
          <w:b/>
          <w:bCs/>
          <w:sz w:val="24"/>
          <w:szCs w:val="24"/>
          <w:highlight w:val="none"/>
          <w:lang w:val="en-US" w:eastAsia="zh-CN" w:bidi="ar-SA"/>
        </w:rPr>
        <w:t>条</w:t>
      </w:r>
      <w:r>
        <w:rPr>
          <w:rFonts w:hint="eastAsia"/>
          <w:b/>
          <w:bCs/>
          <w:highlight w:val="none"/>
          <w:lang w:val="en-US" w:eastAsia="zh-CN"/>
        </w:rPr>
        <w:t xml:space="preserve">  </w:t>
      </w:r>
      <w:r>
        <w:rPr>
          <w:rFonts w:hint="eastAsia" w:ascii="Times New Roman" w:hAnsi="Times New Roman" w:eastAsia="宋体" w:cs="Times New Roman"/>
          <w:sz w:val="24"/>
          <w:szCs w:val="24"/>
          <w:highlight w:val="none"/>
          <w:lang w:val="en-US" w:eastAsia="zh-CN" w:bidi="ar-SA"/>
        </w:rPr>
        <w:t>双方确定，按以下标准和方式对乙方提交的技术咨询工作成果进行验收：</w:t>
      </w:r>
    </w:p>
    <w:p>
      <w:pPr>
        <w:keepNext w:val="0"/>
        <w:keepLines w:val="0"/>
        <w:pageBreakBefore w:val="0"/>
        <w:widowControl w:val="0"/>
        <w:kinsoku/>
        <w:wordWrap/>
        <w:overflowPunct/>
        <w:topLinePunct w:val="0"/>
        <w:autoSpaceDE w:val="0"/>
        <w:autoSpaceDN w:val="0"/>
        <w:bidi w:val="0"/>
        <w:adjustRightInd/>
        <w:snapToGrid/>
        <w:spacing w:line="360" w:lineRule="auto"/>
        <w:ind w:left="20" w:leftChars="9" w:right="0" w:rightChars="0" w:firstLine="480" w:firstLineChars="200"/>
        <w:jc w:val="left"/>
        <w:textAlignment w:val="auto"/>
        <w:outlineLvl w:val="9"/>
        <w:rPr>
          <w:rFonts w:hint="eastAsia" w:ascii="Times New Roman" w:hAnsi="Times New Roman" w:eastAsia="宋体" w:cs="Times New Roman"/>
          <w:sz w:val="24"/>
          <w:szCs w:val="24"/>
          <w:highlight w:val="none"/>
          <w:lang w:val="en-US" w:eastAsia="zh-CN" w:bidi="ar-SA"/>
        </w:rPr>
      </w:pPr>
      <w:r>
        <w:rPr>
          <w:rFonts w:hint="eastAsia" w:ascii="Times New Roman" w:hAnsi="Times New Roman" w:cs="Times New Roman"/>
          <w:sz w:val="24"/>
          <w:szCs w:val="24"/>
          <w:highlight w:val="none"/>
          <w:lang w:val="en-US" w:eastAsia="zh-CN" w:bidi="ar-SA"/>
        </w:rPr>
        <w:t>6.</w:t>
      </w:r>
      <w:r>
        <w:rPr>
          <w:rFonts w:hint="eastAsia" w:ascii="Times New Roman" w:hAnsi="Times New Roman" w:eastAsia="宋体" w:cs="Times New Roman"/>
          <w:sz w:val="24"/>
          <w:szCs w:val="24"/>
          <w:highlight w:val="none"/>
          <w:lang w:val="en-US" w:eastAsia="zh-CN" w:bidi="ar-SA"/>
        </w:rPr>
        <w:t>1</w:t>
      </w:r>
      <w:r>
        <w:rPr>
          <w:rFonts w:hint="eastAsia" w:ascii="Times New Roman" w:hAnsi="Times New Roman" w:cs="Times New Roman"/>
          <w:sz w:val="24"/>
          <w:szCs w:val="24"/>
          <w:highlight w:val="none"/>
          <w:lang w:val="en-US" w:eastAsia="zh-CN" w:bidi="ar-SA"/>
        </w:rPr>
        <w:t xml:space="preserve"> </w:t>
      </w:r>
      <w:r>
        <w:rPr>
          <w:rFonts w:hint="eastAsia" w:ascii="Times New Roman" w:hAnsi="Times New Roman" w:eastAsia="宋体" w:cs="Times New Roman"/>
          <w:sz w:val="24"/>
          <w:szCs w:val="24"/>
          <w:highlight w:val="none"/>
          <w:lang w:val="en-US" w:eastAsia="zh-CN" w:bidi="ar-SA"/>
        </w:rPr>
        <w:t>乙方提交技术工作成果的形式：见发包说明</w:t>
      </w:r>
    </w:p>
    <w:p>
      <w:pPr>
        <w:keepNext w:val="0"/>
        <w:keepLines w:val="0"/>
        <w:pageBreakBefore w:val="0"/>
        <w:widowControl w:val="0"/>
        <w:kinsoku/>
        <w:wordWrap/>
        <w:overflowPunct/>
        <w:topLinePunct w:val="0"/>
        <w:autoSpaceDE w:val="0"/>
        <w:autoSpaceDN w:val="0"/>
        <w:bidi w:val="0"/>
        <w:adjustRightInd/>
        <w:snapToGrid/>
        <w:spacing w:line="360" w:lineRule="auto"/>
        <w:ind w:left="20" w:leftChars="9" w:right="0" w:rightChars="0" w:firstLine="480" w:firstLineChars="200"/>
        <w:jc w:val="left"/>
        <w:textAlignment w:val="auto"/>
        <w:outlineLvl w:val="9"/>
        <w:rPr>
          <w:rFonts w:hint="eastAsia" w:ascii="Times New Roman" w:hAnsi="Times New Roman" w:eastAsia="宋体" w:cs="Times New Roman"/>
          <w:sz w:val="24"/>
          <w:szCs w:val="24"/>
          <w:highlight w:val="none"/>
          <w:lang w:val="en-US" w:eastAsia="zh-CN" w:bidi="ar-SA"/>
        </w:rPr>
      </w:pPr>
      <w:r>
        <w:rPr>
          <w:rFonts w:hint="eastAsia" w:ascii="Times New Roman" w:hAnsi="Times New Roman" w:cs="Times New Roman"/>
          <w:sz w:val="24"/>
          <w:szCs w:val="24"/>
          <w:highlight w:val="none"/>
          <w:lang w:val="en-US" w:eastAsia="zh-CN" w:bidi="ar-SA"/>
        </w:rPr>
        <w:t xml:space="preserve">6.2 </w:t>
      </w:r>
      <w:r>
        <w:rPr>
          <w:rFonts w:hint="eastAsia" w:ascii="Times New Roman" w:hAnsi="Times New Roman" w:eastAsia="宋体" w:cs="Times New Roman"/>
          <w:sz w:val="24"/>
          <w:szCs w:val="24"/>
          <w:highlight w:val="none"/>
          <w:lang w:val="en-US" w:eastAsia="zh-CN" w:bidi="ar-SA"/>
        </w:rPr>
        <w:t>技术工作成果的验收标准：见发包说明</w:t>
      </w:r>
    </w:p>
    <w:p>
      <w:pPr>
        <w:keepNext w:val="0"/>
        <w:keepLines w:val="0"/>
        <w:pageBreakBefore w:val="0"/>
        <w:widowControl w:val="0"/>
        <w:kinsoku/>
        <w:wordWrap/>
        <w:overflowPunct/>
        <w:topLinePunct w:val="0"/>
        <w:autoSpaceDE w:val="0"/>
        <w:autoSpaceDN w:val="0"/>
        <w:bidi w:val="0"/>
        <w:adjustRightInd/>
        <w:snapToGrid/>
        <w:spacing w:line="360" w:lineRule="auto"/>
        <w:ind w:left="20" w:leftChars="9" w:right="0" w:rightChars="0" w:firstLine="480" w:firstLineChars="200"/>
        <w:jc w:val="left"/>
        <w:textAlignment w:val="auto"/>
        <w:outlineLvl w:val="9"/>
        <w:rPr>
          <w:rFonts w:hint="default" w:ascii="Times New Roman" w:hAnsi="Times New Roman" w:eastAsia="宋体" w:cs="Times New Roman"/>
          <w:sz w:val="24"/>
          <w:szCs w:val="24"/>
          <w:highlight w:val="none"/>
          <w:lang w:val="en-US" w:eastAsia="zh-CN" w:bidi="ar-SA"/>
        </w:rPr>
      </w:pPr>
      <w:r>
        <w:rPr>
          <w:rFonts w:hint="eastAsia" w:ascii="Times New Roman" w:hAnsi="Times New Roman" w:cs="Times New Roman"/>
          <w:sz w:val="24"/>
          <w:szCs w:val="24"/>
          <w:highlight w:val="none"/>
          <w:lang w:val="en-US" w:eastAsia="zh-CN" w:bidi="ar-SA"/>
        </w:rPr>
        <w:t xml:space="preserve">6.3 </w:t>
      </w:r>
      <w:r>
        <w:rPr>
          <w:rFonts w:hint="default" w:ascii="Times New Roman" w:hAnsi="Times New Roman" w:eastAsia="宋体" w:cs="Times New Roman"/>
          <w:sz w:val="24"/>
          <w:szCs w:val="24"/>
          <w:highlight w:val="none"/>
          <w:lang w:val="en-US" w:eastAsia="zh-CN" w:bidi="ar-SA"/>
        </w:rPr>
        <w:t>验收地点：甲方现场指定地点。</w:t>
      </w:r>
    </w:p>
    <w:p>
      <w:pPr>
        <w:keepNext w:val="0"/>
        <w:keepLines w:val="0"/>
        <w:pageBreakBefore w:val="0"/>
        <w:widowControl w:val="0"/>
        <w:kinsoku/>
        <w:wordWrap/>
        <w:overflowPunct/>
        <w:topLinePunct w:val="0"/>
        <w:autoSpaceDE w:val="0"/>
        <w:autoSpaceDN w:val="0"/>
        <w:bidi w:val="0"/>
        <w:adjustRightInd/>
        <w:snapToGrid/>
        <w:spacing w:line="360" w:lineRule="auto"/>
        <w:ind w:left="979" w:leftChars="227" w:right="0" w:rightChars="0" w:hanging="480" w:hangingChars="200"/>
        <w:jc w:val="left"/>
        <w:textAlignment w:val="auto"/>
        <w:outlineLvl w:val="9"/>
        <w:rPr>
          <w:rFonts w:hint="default" w:ascii="Times New Roman" w:hAnsi="Times New Roman" w:eastAsia="宋体" w:cs="Times New Roman"/>
          <w:sz w:val="24"/>
          <w:szCs w:val="24"/>
          <w:highlight w:val="none"/>
          <w:lang w:val="en-US" w:eastAsia="zh-CN" w:bidi="ar-SA"/>
        </w:rPr>
      </w:pPr>
      <w:r>
        <w:rPr>
          <w:rFonts w:hint="eastAsia" w:ascii="Times New Roman" w:hAnsi="Times New Roman" w:cs="Times New Roman"/>
          <w:sz w:val="24"/>
          <w:szCs w:val="24"/>
          <w:highlight w:val="none"/>
          <w:lang w:val="en-US" w:eastAsia="zh-CN" w:bidi="ar-SA"/>
        </w:rPr>
        <w:t>6.</w:t>
      </w:r>
      <w:r>
        <w:rPr>
          <w:rFonts w:hint="default" w:ascii="Times New Roman" w:hAnsi="Times New Roman" w:eastAsia="宋体" w:cs="Times New Roman"/>
          <w:sz w:val="24"/>
          <w:szCs w:val="24"/>
          <w:highlight w:val="none"/>
          <w:lang w:val="en-US" w:eastAsia="zh-CN" w:bidi="ar-SA"/>
        </w:rPr>
        <w:t>4</w:t>
      </w:r>
      <w:r>
        <w:rPr>
          <w:rFonts w:hint="eastAsia" w:ascii="Times New Roman" w:hAnsi="Times New Roman" w:cs="Times New Roman"/>
          <w:sz w:val="24"/>
          <w:szCs w:val="24"/>
          <w:highlight w:val="none"/>
          <w:lang w:val="en-US" w:eastAsia="zh-CN" w:bidi="ar-SA"/>
        </w:rPr>
        <w:t xml:space="preserve"> </w:t>
      </w:r>
      <w:r>
        <w:rPr>
          <w:rFonts w:hint="default" w:ascii="Times New Roman" w:hAnsi="Times New Roman" w:eastAsia="宋体" w:cs="Times New Roman"/>
          <w:sz w:val="24"/>
          <w:szCs w:val="24"/>
          <w:highlight w:val="none"/>
          <w:lang w:val="en-US" w:eastAsia="zh-CN" w:bidi="ar-SA"/>
        </w:rPr>
        <w:t>双方确认，甲方的确认仅作为付款依据，不代表甲方对乙方工作成果的最终认可。在相关资料报告运用过程中，如有证据表明乙方存</w:t>
      </w:r>
      <w:r>
        <w:rPr>
          <w:rFonts w:hint="eastAsia" w:ascii="Times New Roman" w:hAnsi="Times New Roman" w:cs="Times New Roman"/>
          <w:sz w:val="24"/>
          <w:szCs w:val="24"/>
          <w:highlight w:val="none"/>
          <w:lang w:val="en-US" w:eastAsia="zh-CN" w:bidi="ar-SA"/>
        </w:rPr>
        <w:t>在</w:t>
      </w:r>
      <w:r>
        <w:rPr>
          <w:rFonts w:hint="default" w:ascii="Times New Roman" w:hAnsi="Times New Roman" w:eastAsia="宋体" w:cs="Times New Roman"/>
          <w:sz w:val="24"/>
          <w:szCs w:val="24"/>
          <w:highlight w:val="none"/>
          <w:lang w:val="en-US" w:eastAsia="zh-CN" w:bidi="ar-SA"/>
        </w:rPr>
        <w:t>弄虚作假等违反合同约定的情形，甲方仍有权要求乙方承担由此造成的损失和法律后果。</w:t>
      </w:r>
    </w:p>
    <w:p>
      <w:pPr>
        <w:pStyle w:val="8"/>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szCs w:val="24"/>
          <w:highlight w:val="none"/>
          <w:lang w:eastAsia="zh-CN"/>
        </w:rPr>
      </w:pPr>
      <w:r>
        <w:rPr>
          <w:rFonts w:hint="default" w:ascii="Times New Roman" w:hAnsi="Times New Roman" w:eastAsia="宋体" w:cs="Times New Roman"/>
          <w:b/>
          <w:sz w:val="24"/>
          <w:szCs w:val="24"/>
          <w:highlight w:val="none"/>
          <w:lang w:eastAsia="zh-CN"/>
        </w:rPr>
        <w:t>第</w:t>
      </w:r>
      <w:r>
        <w:rPr>
          <w:rFonts w:hint="eastAsia" w:ascii="Times New Roman" w:hAnsi="Times New Roman" w:cs="Times New Roman"/>
          <w:b/>
          <w:sz w:val="24"/>
          <w:szCs w:val="24"/>
          <w:highlight w:val="none"/>
          <w:lang w:val="en-US" w:eastAsia="zh-CN"/>
        </w:rPr>
        <w:t>七</w:t>
      </w:r>
      <w:r>
        <w:rPr>
          <w:rFonts w:hint="default" w:ascii="Times New Roman" w:hAnsi="Times New Roman" w:eastAsia="宋体" w:cs="Times New Roman"/>
          <w:b/>
          <w:sz w:val="24"/>
          <w:szCs w:val="24"/>
          <w:highlight w:val="none"/>
          <w:lang w:eastAsia="zh-CN"/>
        </w:rPr>
        <w:t>条</w:t>
      </w:r>
      <w:r>
        <w:rPr>
          <w:rFonts w:hint="default" w:ascii="Times New Roman" w:hAnsi="Times New Roman" w:eastAsia="宋体" w:cs="Times New Roman"/>
          <w:sz w:val="24"/>
          <w:szCs w:val="24"/>
          <w:highlight w:val="none"/>
          <w:lang w:eastAsia="zh-CN"/>
        </w:rPr>
        <w:t xml:space="preserve"> </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b/>
          <w:bCs/>
          <w:sz w:val="24"/>
          <w:szCs w:val="24"/>
          <w:highlight w:val="none"/>
          <w:lang w:eastAsia="zh-CN"/>
        </w:rPr>
        <w:t>甲方向乙方支付技术服务报酬及支付方式为：</w:t>
      </w:r>
    </w:p>
    <w:p>
      <w:pPr>
        <w:pStyle w:val="9"/>
        <w:keepNext w:val="0"/>
        <w:keepLines w:val="0"/>
        <w:pageBreakBefore w:val="0"/>
        <w:widowControl/>
        <w:suppressLineNumbers w:val="0"/>
        <w:kinsoku/>
        <w:wordWrap/>
        <w:overflowPunct/>
        <w:topLinePunct w:val="0"/>
        <w:bidi w:val="0"/>
        <w:snapToGrid/>
        <w:spacing w:before="0" w:beforeAutospacing="0" w:after="0" w:afterAutospacing="0" w:line="360" w:lineRule="auto"/>
        <w:ind w:left="414" w:leftChars="-9" w:right="-226" w:hanging="434" w:hangingChars="181"/>
        <w:jc w:val="left"/>
        <w:textAlignment w:val="auto"/>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CN"/>
        </w:rPr>
        <w:t>1</w:t>
      </w:r>
      <w:r>
        <w:rPr>
          <w:rFonts w:hint="eastAsia" w:ascii="Times New Roman" w:hAnsi="Times New Roman" w:cs="Times New Roman"/>
          <w:sz w:val="24"/>
          <w:szCs w:val="24"/>
          <w:highlight w:val="none"/>
          <w:lang w:val="en-US" w:eastAsia="zh-CN"/>
        </w:rPr>
        <w:t xml:space="preserve"> 技术</w:t>
      </w:r>
      <w:r>
        <w:rPr>
          <w:rFonts w:hint="default" w:ascii="Times New Roman" w:hAnsi="Times New Roman" w:eastAsia="宋体" w:cs="Times New Roman"/>
          <w:sz w:val="24"/>
          <w:szCs w:val="24"/>
          <w:highlight w:val="none"/>
          <w:lang w:eastAsia="zh-CN"/>
        </w:rPr>
        <w:t>服务</w:t>
      </w:r>
      <w:r>
        <w:rPr>
          <w:rFonts w:hint="eastAsia" w:ascii="Times New Roman" w:hAnsi="Times New Roman" w:cs="Times New Roman"/>
          <w:sz w:val="24"/>
          <w:szCs w:val="24"/>
          <w:highlight w:val="none"/>
          <w:lang w:val="en-US" w:eastAsia="zh-CN"/>
        </w:rPr>
        <w:t>报酬固定综合单价为：</w:t>
      </w:r>
      <w:r>
        <w:rPr>
          <w:rFonts w:hint="default" w:ascii="Times New Roman" w:hAnsi="Times New Roman" w:eastAsia="宋体" w:cs="Times New Roman"/>
          <w:sz w:val="24"/>
          <w:szCs w:val="24"/>
          <w:highlight w:val="none"/>
          <w:lang w:eastAsia="zh-CN"/>
        </w:rPr>
        <w:t>人民币</w:t>
      </w:r>
      <w:r>
        <w:rPr>
          <w:rFonts w:hint="default" w:ascii="Times New Roman" w:hAnsi="Times New Roman" w:eastAsia="宋体" w:cs="Times New Roman"/>
          <w:b/>
          <w:bCs/>
          <w:sz w:val="24"/>
          <w:szCs w:val="24"/>
          <w:highlight w:val="none"/>
          <w:u w:val="single"/>
          <w:lang w:eastAsia="zh-CN"/>
        </w:rPr>
        <w:t xml:space="preserve"> </w:t>
      </w:r>
      <w:r>
        <w:rPr>
          <w:rFonts w:hint="eastAsia" w:ascii="Times New Roman" w:hAnsi="Times New Roman" w:cs="Times New Roman"/>
          <w:b/>
          <w:bCs/>
          <w:sz w:val="24"/>
          <w:szCs w:val="24"/>
          <w:highlight w:val="none"/>
          <w:u w:val="single"/>
          <w:lang w:val="en-US" w:eastAsia="zh-CN"/>
        </w:rPr>
        <w:t xml:space="preserve">        </w:t>
      </w:r>
      <w:r>
        <w:rPr>
          <w:rFonts w:hint="default" w:ascii="Times New Roman" w:hAnsi="Times New Roman" w:eastAsia="宋体" w:cs="Times New Roman"/>
          <w:b/>
          <w:bCs/>
          <w:sz w:val="24"/>
          <w:szCs w:val="24"/>
          <w:highlight w:val="none"/>
          <w:lang w:eastAsia="zh-CN"/>
        </w:rPr>
        <w:t>元</w:t>
      </w:r>
      <w:r>
        <w:rPr>
          <w:rFonts w:hint="eastAsia" w:ascii="Times New Roman" w:hAnsi="Times New Roman" w:cs="Times New Roman"/>
          <w:b/>
          <w:bCs/>
          <w:sz w:val="24"/>
          <w:szCs w:val="24"/>
          <w:highlight w:val="none"/>
          <w:lang w:val="en-US" w:eastAsia="zh-CN"/>
        </w:rPr>
        <w:t>/吨</w:t>
      </w:r>
      <w:r>
        <w:rPr>
          <w:rFonts w:hint="default" w:ascii="Times New Roman" w:hAnsi="Times New Roman" w:eastAsia="宋体" w:cs="Times New Roman"/>
          <w:sz w:val="24"/>
          <w:szCs w:val="24"/>
          <w:highlight w:val="none"/>
          <w:lang w:eastAsia="zh-CN"/>
        </w:rPr>
        <w:t>整(含</w:t>
      </w:r>
      <w:r>
        <w:rPr>
          <w:rFonts w:hint="eastAsia" w:ascii="Times New Roman" w:hAnsi="Times New Roman" w:cs="Times New Roman"/>
          <w:color w:val="auto"/>
          <w:sz w:val="24"/>
          <w:szCs w:val="24"/>
          <w:highlight w:val="none"/>
          <w:u w:val="single"/>
          <w:lang w:val="en-US" w:eastAsia="zh-CN"/>
        </w:rPr>
        <w:t xml:space="preserve">  %</w:t>
      </w:r>
      <w:r>
        <w:rPr>
          <w:rFonts w:hint="eastAsia" w:ascii="Times New Roman" w:hAnsi="Times New Roman" w:cs="Times New Roman"/>
          <w:sz w:val="24"/>
          <w:szCs w:val="24"/>
          <w:highlight w:val="none"/>
          <w:lang w:val="en-US" w:eastAsia="zh-CN"/>
        </w:rPr>
        <w:t>增值</w:t>
      </w:r>
      <w:r>
        <w:rPr>
          <w:rFonts w:hint="default" w:ascii="Times New Roman" w:hAnsi="Times New Roman" w:eastAsia="宋体" w:cs="Times New Roman"/>
          <w:sz w:val="24"/>
          <w:szCs w:val="24"/>
          <w:highlight w:val="none"/>
          <w:lang w:eastAsia="zh-CN"/>
        </w:rPr>
        <w:t>税</w:t>
      </w:r>
      <w:r>
        <w:rPr>
          <w:rFonts w:hint="eastAsia" w:ascii="Times New Roman" w:hAnsi="Times New Roman" w:cs="Times New Roman"/>
          <w:sz w:val="24"/>
          <w:szCs w:val="24"/>
          <w:highlight w:val="none"/>
          <w:lang w:val="en-US" w:eastAsia="zh-CN"/>
        </w:rPr>
        <w:t>专用发票）</w:t>
      </w:r>
      <w:r>
        <w:rPr>
          <w:rFonts w:hint="default" w:ascii="Times New Roman" w:hAnsi="Times New Roman" w:eastAsia="宋体" w:cs="Times New Roman"/>
          <w:sz w:val="24"/>
          <w:szCs w:val="24"/>
          <w:highlight w:val="none"/>
          <w:lang w:eastAsia="zh-CN"/>
        </w:rPr>
        <w:t>,</w:t>
      </w:r>
      <w:r>
        <w:rPr>
          <w:rFonts w:hint="eastAsia" w:ascii="Times New Roman" w:hAnsi="Times New Roman" w:cs="Times New Roman"/>
          <w:sz w:val="24"/>
          <w:szCs w:val="24"/>
          <w:highlight w:val="none"/>
          <w:lang w:val="en-US" w:eastAsia="zh-CN"/>
        </w:rPr>
        <w:t>暂定处理数量为185吨，暂定总价为人民币</w:t>
      </w:r>
      <w:r>
        <w:rPr>
          <w:rFonts w:hint="default" w:ascii="Times New Roman" w:hAnsi="Times New Roman" w:eastAsia="宋体" w:cs="Times New Roman"/>
          <w:b/>
          <w:bCs/>
          <w:sz w:val="24"/>
          <w:szCs w:val="24"/>
          <w:highlight w:val="none"/>
          <w:u w:val="single"/>
          <w:lang w:eastAsia="zh-CN"/>
        </w:rPr>
        <w:t xml:space="preserve"> </w:t>
      </w:r>
      <w:r>
        <w:rPr>
          <w:rFonts w:hint="eastAsia" w:ascii="Times New Roman" w:hAnsi="Times New Roman" w:cs="Times New Roman"/>
          <w:b/>
          <w:bCs/>
          <w:sz w:val="24"/>
          <w:szCs w:val="24"/>
          <w:highlight w:val="none"/>
          <w:u w:val="single"/>
          <w:lang w:val="en-US" w:eastAsia="zh-CN"/>
        </w:rPr>
        <w:t xml:space="preserve">        </w:t>
      </w:r>
      <w:r>
        <w:rPr>
          <w:rFonts w:hint="default" w:ascii="Times New Roman" w:hAnsi="Times New Roman" w:eastAsia="宋体" w:cs="Times New Roman"/>
          <w:b/>
          <w:bCs/>
          <w:sz w:val="24"/>
          <w:szCs w:val="24"/>
          <w:highlight w:val="none"/>
          <w:u w:val="single"/>
          <w:lang w:val="en-US" w:eastAsia="zh-CN"/>
        </w:rPr>
        <w:t>元</w:t>
      </w:r>
      <w:r>
        <w:rPr>
          <w:rFonts w:hint="default" w:ascii="Times New Roman" w:hAnsi="Times New Roman" w:eastAsia="宋体" w:cs="Times New Roman"/>
          <w:b/>
          <w:bCs/>
          <w:sz w:val="24"/>
          <w:szCs w:val="24"/>
          <w:highlight w:val="none"/>
          <w:lang w:eastAsia="zh-CN"/>
        </w:rPr>
        <w:t>整</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(含</w:t>
      </w:r>
      <w:r>
        <w:rPr>
          <w:rFonts w:hint="eastAsia" w:ascii="Times New Roman" w:hAnsi="Times New Roman" w:cs="Times New Roman"/>
          <w:color w:val="auto"/>
          <w:sz w:val="24"/>
          <w:szCs w:val="24"/>
          <w:highlight w:val="none"/>
          <w:u w:val="single"/>
          <w:lang w:val="en-US" w:eastAsia="zh-CN"/>
        </w:rPr>
        <w:t xml:space="preserve">  %</w:t>
      </w:r>
      <w:r>
        <w:rPr>
          <w:rFonts w:hint="eastAsia" w:ascii="Times New Roman" w:hAnsi="Times New Roman" w:cs="Times New Roman"/>
          <w:sz w:val="24"/>
          <w:szCs w:val="24"/>
          <w:highlight w:val="none"/>
          <w:lang w:val="en-US" w:eastAsia="zh-CN"/>
        </w:rPr>
        <w:t>增值</w:t>
      </w:r>
      <w:r>
        <w:rPr>
          <w:rFonts w:hint="default" w:ascii="Times New Roman" w:hAnsi="Times New Roman" w:eastAsia="宋体" w:cs="Times New Roman"/>
          <w:sz w:val="24"/>
          <w:szCs w:val="24"/>
          <w:highlight w:val="none"/>
          <w:lang w:eastAsia="zh-CN"/>
        </w:rPr>
        <w:t>税</w:t>
      </w:r>
      <w:r>
        <w:rPr>
          <w:rFonts w:hint="eastAsia" w:ascii="Times New Roman" w:hAnsi="Times New Roman" w:cs="Times New Roman"/>
          <w:sz w:val="24"/>
          <w:szCs w:val="24"/>
          <w:highlight w:val="none"/>
          <w:lang w:val="en-US" w:eastAsia="zh-CN"/>
        </w:rPr>
        <w:t>专用发票）</w:t>
      </w:r>
      <w:r>
        <w:rPr>
          <w:rFonts w:hint="default" w:ascii="Times New Roman" w:hAnsi="Times New Roman" w:eastAsia="宋体" w:cs="Times New Roman"/>
          <w:sz w:val="24"/>
          <w:szCs w:val="24"/>
          <w:highlight w:val="none"/>
          <w:lang w:eastAsia="zh-CN"/>
        </w:rPr>
        <w:t>。</w:t>
      </w:r>
    </w:p>
    <w:p>
      <w:pPr>
        <w:pStyle w:val="9"/>
        <w:keepNext w:val="0"/>
        <w:keepLines w:val="0"/>
        <w:pageBreakBefore w:val="0"/>
        <w:widowControl/>
        <w:suppressLineNumbers w:val="0"/>
        <w:kinsoku/>
        <w:wordWrap/>
        <w:overflowPunct/>
        <w:topLinePunct w:val="0"/>
        <w:bidi w:val="0"/>
        <w:snapToGrid/>
        <w:spacing w:before="0" w:beforeAutospacing="0" w:after="0" w:afterAutospacing="0" w:line="360" w:lineRule="auto"/>
        <w:ind w:left="414" w:leftChars="-9" w:right="-226" w:hanging="434" w:hangingChars="181"/>
        <w:jc w:val="left"/>
        <w:textAlignment w:val="auto"/>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CN"/>
        </w:rPr>
        <w:t>2</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具体支付方式和时间分配如下：</w:t>
      </w:r>
    </w:p>
    <w:p>
      <w:pPr>
        <w:pStyle w:val="9"/>
        <w:keepNext w:val="0"/>
        <w:keepLines w:val="0"/>
        <w:pageBreakBefore w:val="0"/>
        <w:widowControl/>
        <w:suppressLineNumbers w:val="0"/>
        <w:kinsoku/>
        <w:wordWrap/>
        <w:overflowPunct/>
        <w:topLinePunct w:val="0"/>
        <w:bidi w:val="0"/>
        <w:snapToGrid/>
        <w:spacing w:before="0" w:beforeAutospacing="0" w:after="0" w:afterAutospacing="0" w:line="360" w:lineRule="auto"/>
        <w:ind w:left="40" w:leftChars="18" w:right="-226" w:firstLine="463" w:firstLineChars="193"/>
        <w:jc w:val="left"/>
        <w:textAlignment w:val="auto"/>
        <w:outlineLvl w:val="9"/>
        <w:rPr>
          <w:rFonts w:hint="default" w:ascii="Times New Roman" w:hAnsi="Times New Roman" w:eastAsia="宋体" w:cs="Times New Roman"/>
          <w:sz w:val="24"/>
          <w:szCs w:val="24"/>
          <w:highlight w:val="none"/>
          <w:lang w:val="en-US" w:eastAsia="zh-CN" w:bidi="ar-SA"/>
        </w:rPr>
      </w:pPr>
      <w:r>
        <w:rPr>
          <w:rFonts w:hint="default" w:ascii="Times New Roman" w:hAnsi="Times New Roman" w:cs="Times New Roman"/>
          <w:sz w:val="24"/>
          <w:szCs w:val="24"/>
          <w:highlight w:val="none"/>
          <w:lang w:val="en-US" w:eastAsia="zh-CN" w:bidi="ar-SA"/>
        </w:rPr>
        <w:t>乙方应在全部</w:t>
      </w:r>
      <w:r>
        <w:rPr>
          <w:rFonts w:hint="eastAsia" w:ascii="Times New Roman" w:hAnsi="Times New Roman" w:cs="Times New Roman"/>
          <w:sz w:val="24"/>
          <w:szCs w:val="24"/>
          <w:highlight w:val="none"/>
          <w:lang w:val="en-US" w:eastAsia="zh-CN" w:bidi="ar-SA"/>
        </w:rPr>
        <w:t>作业</w:t>
      </w:r>
      <w:r>
        <w:rPr>
          <w:rFonts w:hint="default" w:ascii="Times New Roman" w:hAnsi="Times New Roman" w:cs="Times New Roman"/>
          <w:sz w:val="24"/>
          <w:szCs w:val="24"/>
          <w:highlight w:val="none"/>
          <w:lang w:val="en-US" w:eastAsia="zh-CN" w:bidi="ar-SA"/>
        </w:rPr>
        <w:t>完成后</w:t>
      </w:r>
      <w:r>
        <w:rPr>
          <w:rFonts w:hint="eastAsia" w:ascii="Times New Roman" w:hAnsi="Times New Roman" w:cs="Times New Roman"/>
          <w:sz w:val="24"/>
          <w:szCs w:val="24"/>
          <w:highlight w:val="none"/>
          <w:lang w:val="en-US" w:eastAsia="zh-CN" w:bidi="ar-SA"/>
        </w:rPr>
        <w:t>提供质量报告并完成结算，甲方收到乙方提供结算费用全额增值税专用发票</w:t>
      </w:r>
      <w:r>
        <w:rPr>
          <w:rFonts w:hint="default" w:ascii="Times New Roman" w:hAnsi="Times New Roman" w:eastAsia="宋体" w:cs="Times New Roman"/>
          <w:sz w:val="24"/>
          <w:szCs w:val="24"/>
          <w:highlight w:val="none"/>
          <w:lang w:val="en-US" w:eastAsia="zh-CN" w:bidi="ar-SA"/>
        </w:rPr>
        <w:t>60日内，甲方支付</w:t>
      </w:r>
      <w:r>
        <w:rPr>
          <w:rFonts w:hint="eastAsia" w:ascii="Times New Roman" w:hAnsi="Times New Roman" w:cs="Times New Roman"/>
          <w:sz w:val="24"/>
          <w:szCs w:val="24"/>
          <w:highlight w:val="none"/>
          <w:lang w:val="en-US" w:eastAsia="zh-CN" w:bidi="ar-SA"/>
        </w:rPr>
        <w:t>结算金</w:t>
      </w:r>
      <w:r>
        <w:rPr>
          <w:rFonts w:hint="default" w:ascii="Times New Roman" w:hAnsi="Times New Roman" w:eastAsia="宋体" w:cs="Times New Roman"/>
          <w:sz w:val="24"/>
          <w:szCs w:val="24"/>
          <w:highlight w:val="none"/>
          <w:lang w:val="en-US" w:eastAsia="zh-CN" w:bidi="ar-SA"/>
        </w:rPr>
        <w:t>额的100 %</w:t>
      </w:r>
      <w:r>
        <w:rPr>
          <w:rFonts w:hint="eastAsia" w:ascii="Times New Roman" w:hAnsi="Times New Roman" w:cs="Times New Roman"/>
          <w:sz w:val="24"/>
          <w:szCs w:val="24"/>
          <w:highlight w:val="none"/>
          <w:lang w:val="en-US" w:eastAsia="zh-CN" w:bidi="ar-SA"/>
        </w:rPr>
        <w:t xml:space="preserve">  </w:t>
      </w:r>
      <w:r>
        <w:rPr>
          <w:rFonts w:hint="default" w:ascii="Times New Roman" w:hAnsi="Times New Roman" w:eastAsia="宋体" w:cs="Times New Roman"/>
          <w:sz w:val="24"/>
          <w:szCs w:val="24"/>
          <w:highlight w:val="none"/>
          <w:lang w:val="en-US" w:eastAsia="zh-CN" w:bidi="ar-SA"/>
        </w:rPr>
        <w:t>。</w:t>
      </w:r>
    </w:p>
    <w:p>
      <w:pPr>
        <w:keepNext w:val="0"/>
        <w:keepLines w:val="0"/>
        <w:pageBreakBefore w:val="0"/>
        <w:widowControl w:val="0"/>
        <w:kinsoku/>
        <w:wordWrap/>
        <w:overflowPunct/>
        <w:topLinePunct w:val="0"/>
        <w:autoSpaceDE w:val="0"/>
        <w:autoSpaceDN w:val="0"/>
        <w:bidi w:val="0"/>
        <w:adjustRightInd/>
        <w:snapToGrid/>
        <w:spacing w:line="360" w:lineRule="auto"/>
        <w:ind w:left="412" w:leftChars="-9" w:right="0" w:rightChars="0" w:hanging="432" w:hangingChars="180"/>
        <w:jc w:val="left"/>
        <w:textAlignment w:val="auto"/>
        <w:outlineLvl w:val="9"/>
        <w:rPr>
          <w:rFonts w:hint="eastAsia" w:ascii="Times New Roman" w:hAnsi="Times New Roman" w:eastAsia="宋体" w:cs="Times New Roman"/>
          <w:sz w:val="24"/>
          <w:szCs w:val="24"/>
          <w:highlight w:val="none"/>
          <w:lang w:val="en-US" w:eastAsia="zh-CN" w:bidi="ar-SA"/>
        </w:rPr>
      </w:pPr>
      <w:r>
        <w:rPr>
          <w:rFonts w:hint="eastAsia" w:ascii="Times New Roman" w:hAnsi="Times New Roman" w:cs="Times New Roman"/>
          <w:sz w:val="24"/>
          <w:szCs w:val="24"/>
          <w:highlight w:val="none"/>
          <w:lang w:val="en-US" w:eastAsia="zh-CN" w:bidi="ar-SA"/>
        </w:rPr>
        <w:t>7</w:t>
      </w:r>
      <w:r>
        <w:rPr>
          <w:rFonts w:hint="eastAsia" w:ascii="Times New Roman" w:hAnsi="Times New Roman" w:eastAsia="宋体" w:cs="Times New Roman"/>
          <w:sz w:val="24"/>
          <w:szCs w:val="24"/>
          <w:highlight w:val="none"/>
          <w:lang w:val="en-US" w:eastAsia="zh-CN" w:bidi="ar-SA"/>
        </w:rPr>
        <w:t>.3 上述技术服务报酬直接支付至乙方指定的下列账号：</w:t>
      </w:r>
    </w:p>
    <w:p>
      <w:pPr>
        <w:keepNext w:val="0"/>
        <w:keepLines w:val="0"/>
        <w:pageBreakBefore w:val="0"/>
        <w:widowControl w:val="0"/>
        <w:kinsoku/>
        <w:wordWrap/>
        <w:overflowPunct/>
        <w:topLinePunct w:val="0"/>
        <w:autoSpaceDE w:val="0"/>
        <w:autoSpaceDN w:val="0"/>
        <w:bidi w:val="0"/>
        <w:adjustRightInd/>
        <w:snapToGrid/>
        <w:spacing w:line="360" w:lineRule="auto"/>
        <w:ind w:left="460" w:leftChars="209" w:right="0" w:rightChars="0" w:firstLine="48" w:firstLineChars="20"/>
        <w:jc w:val="left"/>
        <w:textAlignment w:val="auto"/>
        <w:outlineLvl w:val="9"/>
        <w:rPr>
          <w:rFonts w:hint="eastAsia"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sz w:val="24"/>
          <w:szCs w:val="24"/>
          <w:highlight w:val="none"/>
          <w:lang w:val="en-US" w:eastAsia="zh-CN" w:bidi="ar-SA"/>
        </w:rPr>
        <w:t>开户银行：</w:t>
      </w:r>
    </w:p>
    <w:p>
      <w:pPr>
        <w:keepNext w:val="0"/>
        <w:keepLines w:val="0"/>
        <w:pageBreakBefore w:val="0"/>
        <w:widowControl w:val="0"/>
        <w:kinsoku/>
        <w:wordWrap/>
        <w:overflowPunct/>
        <w:topLinePunct w:val="0"/>
        <w:autoSpaceDE w:val="0"/>
        <w:autoSpaceDN w:val="0"/>
        <w:bidi w:val="0"/>
        <w:adjustRightInd/>
        <w:snapToGrid/>
        <w:spacing w:line="360" w:lineRule="auto"/>
        <w:ind w:left="460" w:leftChars="209" w:right="0" w:rightChars="0" w:firstLine="48" w:firstLineChars="20"/>
        <w:jc w:val="left"/>
        <w:textAlignment w:val="auto"/>
        <w:outlineLvl w:val="9"/>
        <w:rPr>
          <w:rFonts w:hint="eastAsia"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sz w:val="24"/>
          <w:szCs w:val="24"/>
          <w:highlight w:val="none"/>
          <w:lang w:val="en-US" w:eastAsia="zh-CN" w:bidi="ar-SA"/>
        </w:rPr>
        <w:t>公司名称：</w:t>
      </w:r>
    </w:p>
    <w:p>
      <w:pPr>
        <w:keepNext w:val="0"/>
        <w:keepLines w:val="0"/>
        <w:pageBreakBefore w:val="0"/>
        <w:widowControl w:val="0"/>
        <w:kinsoku/>
        <w:wordWrap/>
        <w:overflowPunct/>
        <w:topLinePunct w:val="0"/>
        <w:autoSpaceDE w:val="0"/>
        <w:autoSpaceDN w:val="0"/>
        <w:bidi w:val="0"/>
        <w:adjustRightInd/>
        <w:snapToGrid/>
        <w:spacing w:line="360" w:lineRule="auto"/>
        <w:ind w:left="460" w:leftChars="209" w:right="0" w:rightChars="0" w:firstLine="48" w:firstLineChars="20"/>
        <w:jc w:val="left"/>
        <w:textAlignment w:val="auto"/>
        <w:outlineLvl w:val="9"/>
        <w:rPr>
          <w:rFonts w:hint="default"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sz w:val="24"/>
          <w:szCs w:val="24"/>
          <w:highlight w:val="none"/>
          <w:lang w:val="en-US" w:eastAsia="zh-CN" w:bidi="ar-SA"/>
        </w:rPr>
        <w:t>账</w:t>
      </w:r>
      <w:r>
        <w:rPr>
          <w:rFonts w:hint="eastAsia" w:ascii="Times New Roman" w:hAnsi="Times New Roman" w:cs="Times New Roman"/>
          <w:sz w:val="24"/>
          <w:szCs w:val="24"/>
          <w:highlight w:val="none"/>
          <w:lang w:val="en-US" w:eastAsia="zh-CN" w:bidi="ar-SA"/>
        </w:rPr>
        <w:t xml:space="preserve">    </w:t>
      </w:r>
      <w:r>
        <w:rPr>
          <w:rFonts w:hint="eastAsia" w:ascii="Times New Roman" w:hAnsi="Times New Roman" w:eastAsia="宋体" w:cs="Times New Roman"/>
          <w:sz w:val="24"/>
          <w:szCs w:val="24"/>
          <w:highlight w:val="none"/>
          <w:lang w:val="en-US" w:eastAsia="zh-CN" w:bidi="ar-SA"/>
        </w:rPr>
        <w:t>号：</w:t>
      </w:r>
    </w:p>
    <w:p>
      <w:pPr>
        <w:pStyle w:val="8"/>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b/>
          <w:bCs w:val="0"/>
          <w:sz w:val="24"/>
          <w:szCs w:val="24"/>
          <w:highlight w:val="none"/>
          <w:lang w:eastAsia="zh-CN"/>
        </w:rPr>
        <w:t>第</w:t>
      </w:r>
      <w:r>
        <w:rPr>
          <w:rFonts w:hint="eastAsia" w:ascii="Times New Roman" w:hAnsi="Times New Roman" w:cs="Times New Roman"/>
          <w:b/>
          <w:bCs w:val="0"/>
          <w:sz w:val="24"/>
          <w:szCs w:val="24"/>
          <w:highlight w:val="none"/>
          <w:lang w:val="en-US" w:eastAsia="zh-CN"/>
        </w:rPr>
        <w:t xml:space="preserve">八条 </w:t>
      </w:r>
      <w:r>
        <w:rPr>
          <w:rFonts w:hint="default" w:ascii="Times New Roman" w:hAnsi="Times New Roman" w:eastAsia="宋体" w:cs="Times New Roman"/>
          <w:b/>
          <w:bCs w:val="0"/>
          <w:sz w:val="24"/>
          <w:szCs w:val="24"/>
          <w:highlight w:val="none"/>
          <w:lang w:eastAsia="zh-CN"/>
        </w:rPr>
        <w:t xml:space="preserve"> 双方确定因履行本合同应遵守的保密义务如下：</w:t>
      </w:r>
    </w:p>
    <w:p>
      <w:pPr>
        <w:pStyle w:val="8"/>
        <w:keepNext w:val="0"/>
        <w:keepLines w:val="0"/>
        <w:pageBreakBefore w:val="0"/>
        <w:kinsoku/>
        <w:wordWrap/>
        <w:overflowPunct/>
        <w:topLinePunct w:val="0"/>
        <w:bidi w:val="0"/>
        <w:spacing w:line="360" w:lineRule="auto"/>
        <w:ind w:left="561" w:leftChars="118" w:hanging="301" w:hangingChars="125"/>
        <w:outlineLvl w:val="9"/>
        <w:rPr>
          <w:rFonts w:hint="default" w:ascii="Times New Roman" w:hAnsi="Times New Roman" w:eastAsia="宋体" w:cs="Times New Roman"/>
          <w:b/>
          <w:bCs/>
          <w:sz w:val="24"/>
          <w:szCs w:val="24"/>
          <w:highlight w:val="none"/>
          <w:lang w:eastAsia="zh-CN"/>
        </w:rPr>
      </w:pPr>
      <w:r>
        <w:rPr>
          <w:rFonts w:hint="eastAsia" w:ascii="Times New Roman" w:hAnsi="Times New Roman" w:cs="Times New Roman"/>
          <w:b/>
          <w:bCs/>
          <w:sz w:val="24"/>
          <w:szCs w:val="24"/>
          <w:highlight w:val="none"/>
          <w:lang w:val="en-US" w:eastAsia="zh-CN"/>
        </w:rPr>
        <w:t xml:space="preserve">8.1 </w:t>
      </w:r>
      <w:r>
        <w:rPr>
          <w:rFonts w:hint="default" w:ascii="Times New Roman" w:hAnsi="Times New Roman" w:eastAsia="宋体" w:cs="Times New Roman"/>
          <w:b/>
          <w:bCs/>
          <w:sz w:val="24"/>
          <w:szCs w:val="24"/>
          <w:highlight w:val="none"/>
          <w:lang w:eastAsia="zh-CN"/>
        </w:rPr>
        <w:t>甲方：</w:t>
      </w:r>
    </w:p>
    <w:p>
      <w:pPr>
        <w:pStyle w:val="8"/>
        <w:keepNext w:val="0"/>
        <w:keepLines w:val="0"/>
        <w:pageBreakBefore w:val="0"/>
        <w:numPr>
          <w:ilvl w:val="0"/>
          <w:numId w:val="0"/>
        </w:numPr>
        <w:kinsoku/>
        <w:wordWrap/>
        <w:overflowPunct/>
        <w:topLinePunct w:val="0"/>
        <w:bidi w:val="0"/>
        <w:spacing w:line="360" w:lineRule="auto"/>
        <w:ind w:left="697" w:leftChars="101" w:hanging="475" w:hangingChars="198"/>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8.1.1</w:t>
      </w:r>
      <w:r>
        <w:rPr>
          <w:rFonts w:hint="default" w:ascii="Times New Roman" w:hAnsi="Times New Roman" w:eastAsia="宋体" w:cs="Times New Roman"/>
          <w:sz w:val="24"/>
          <w:szCs w:val="24"/>
          <w:highlight w:val="none"/>
          <w:lang w:eastAsia="zh-CN"/>
        </w:rPr>
        <w:t>保密内容（包含技术信息和经营信息）：乙方提供的资料，服务咨询报告及该服务咨询报告的附件资料除外。</w:t>
      </w:r>
    </w:p>
    <w:p>
      <w:pPr>
        <w:pStyle w:val="8"/>
        <w:keepNext w:val="0"/>
        <w:keepLines w:val="0"/>
        <w:pageBreakBefore w:val="0"/>
        <w:numPr>
          <w:ilvl w:val="0"/>
          <w:numId w:val="0"/>
        </w:numPr>
        <w:kinsoku/>
        <w:wordWrap/>
        <w:overflowPunct/>
        <w:topLinePunct w:val="0"/>
        <w:bidi w:val="0"/>
        <w:spacing w:line="360" w:lineRule="auto"/>
        <w:ind w:left="697" w:leftChars="101" w:hanging="475" w:hangingChars="198"/>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8.1.2</w:t>
      </w:r>
      <w:r>
        <w:rPr>
          <w:rFonts w:hint="default" w:ascii="Times New Roman" w:hAnsi="Times New Roman" w:eastAsia="宋体" w:cs="Times New Roman"/>
          <w:sz w:val="24"/>
          <w:szCs w:val="24"/>
          <w:highlight w:val="none"/>
          <w:lang w:eastAsia="zh-CN"/>
        </w:rPr>
        <w:t>涉密人员范围：甲方及甲方工作人员。</w:t>
      </w:r>
    </w:p>
    <w:p>
      <w:pPr>
        <w:pStyle w:val="8"/>
        <w:keepNext w:val="0"/>
        <w:keepLines w:val="0"/>
        <w:pageBreakBefore w:val="0"/>
        <w:numPr>
          <w:ilvl w:val="0"/>
          <w:numId w:val="0"/>
        </w:numPr>
        <w:kinsoku/>
        <w:wordWrap/>
        <w:overflowPunct/>
        <w:topLinePunct w:val="0"/>
        <w:bidi w:val="0"/>
        <w:spacing w:line="360" w:lineRule="auto"/>
        <w:ind w:left="697" w:leftChars="101" w:hanging="475" w:hangingChars="198"/>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8.1.3</w:t>
      </w:r>
      <w:r>
        <w:rPr>
          <w:rFonts w:hint="default" w:ascii="Times New Roman" w:hAnsi="Times New Roman" w:eastAsia="宋体" w:cs="Times New Roman"/>
          <w:sz w:val="24"/>
          <w:szCs w:val="24"/>
          <w:highlight w:val="none"/>
          <w:lang w:eastAsia="zh-CN"/>
        </w:rPr>
        <w:t xml:space="preserve">泄密责任：按本合同约定及国家有关保密法的规定执行。 </w:t>
      </w:r>
    </w:p>
    <w:p>
      <w:pPr>
        <w:pStyle w:val="8"/>
        <w:keepNext w:val="0"/>
        <w:keepLines w:val="0"/>
        <w:pageBreakBefore w:val="0"/>
        <w:kinsoku/>
        <w:wordWrap/>
        <w:overflowPunct/>
        <w:topLinePunct w:val="0"/>
        <w:bidi w:val="0"/>
        <w:spacing w:line="360" w:lineRule="auto"/>
        <w:ind w:left="479" w:leftChars="109" w:hanging="239" w:hangingChars="99"/>
        <w:outlineLvl w:val="9"/>
        <w:rPr>
          <w:rFonts w:hint="default" w:ascii="Times New Roman" w:hAnsi="Times New Roman" w:eastAsia="宋体" w:cs="Times New Roman"/>
          <w:b/>
          <w:bCs/>
          <w:sz w:val="24"/>
          <w:szCs w:val="24"/>
          <w:highlight w:val="none"/>
          <w:lang w:eastAsia="zh-CN"/>
        </w:rPr>
      </w:pPr>
      <w:r>
        <w:rPr>
          <w:rFonts w:hint="eastAsia" w:ascii="Times New Roman" w:hAnsi="Times New Roman" w:cs="Times New Roman"/>
          <w:b/>
          <w:bCs/>
          <w:sz w:val="24"/>
          <w:szCs w:val="24"/>
          <w:highlight w:val="none"/>
          <w:lang w:val="en-US" w:eastAsia="zh-CN"/>
        </w:rPr>
        <w:t xml:space="preserve">8.2 </w:t>
      </w:r>
      <w:r>
        <w:rPr>
          <w:rFonts w:hint="default" w:ascii="Times New Roman" w:hAnsi="Times New Roman" w:eastAsia="宋体" w:cs="Times New Roman"/>
          <w:b/>
          <w:bCs/>
          <w:sz w:val="24"/>
          <w:szCs w:val="24"/>
          <w:highlight w:val="none"/>
          <w:lang w:eastAsia="zh-CN"/>
        </w:rPr>
        <w:t>乙方：</w:t>
      </w:r>
    </w:p>
    <w:p>
      <w:pPr>
        <w:pStyle w:val="8"/>
        <w:keepNext w:val="0"/>
        <w:keepLines w:val="0"/>
        <w:pageBreakBefore w:val="0"/>
        <w:numPr>
          <w:ilvl w:val="0"/>
          <w:numId w:val="0"/>
        </w:numPr>
        <w:kinsoku/>
        <w:wordWrap/>
        <w:overflowPunct/>
        <w:topLinePunct w:val="0"/>
        <w:bidi w:val="0"/>
        <w:spacing w:line="360" w:lineRule="auto"/>
        <w:ind w:left="731" w:leftChars="89" w:hanging="535" w:hangingChars="223"/>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8.2.1</w:t>
      </w:r>
      <w:r>
        <w:rPr>
          <w:rFonts w:hint="default" w:ascii="Times New Roman" w:hAnsi="Times New Roman" w:eastAsia="宋体" w:cs="Times New Roman"/>
          <w:sz w:val="24"/>
          <w:szCs w:val="24"/>
          <w:highlight w:val="none"/>
          <w:lang w:eastAsia="zh-CN"/>
        </w:rPr>
        <w:t xml:space="preserve">保密内容：甲方提供的资料以及乙方在提供本合同约定服务过程中知悉的甲方技术信息、经营信息、生产工艺、操作流程等。 </w:t>
      </w:r>
    </w:p>
    <w:p>
      <w:pPr>
        <w:pStyle w:val="8"/>
        <w:keepNext w:val="0"/>
        <w:keepLines w:val="0"/>
        <w:pageBreakBefore w:val="0"/>
        <w:numPr>
          <w:ilvl w:val="0"/>
          <w:numId w:val="0"/>
        </w:numPr>
        <w:kinsoku/>
        <w:wordWrap/>
        <w:overflowPunct/>
        <w:topLinePunct w:val="0"/>
        <w:bidi w:val="0"/>
        <w:spacing w:line="360" w:lineRule="auto"/>
        <w:ind w:left="731" w:leftChars="89" w:hanging="535" w:hangingChars="223"/>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8.2.2</w:t>
      </w:r>
      <w:r>
        <w:rPr>
          <w:rFonts w:hint="default" w:ascii="Times New Roman" w:hAnsi="Times New Roman" w:eastAsia="宋体" w:cs="Times New Roman"/>
          <w:sz w:val="24"/>
          <w:szCs w:val="24"/>
          <w:highlight w:val="none"/>
          <w:lang w:eastAsia="zh-CN"/>
        </w:rPr>
        <w:t>涉密人员范围：乙方及乙方工作人员。</w:t>
      </w:r>
    </w:p>
    <w:p>
      <w:pPr>
        <w:pStyle w:val="8"/>
        <w:keepNext w:val="0"/>
        <w:keepLines w:val="0"/>
        <w:pageBreakBefore w:val="0"/>
        <w:numPr>
          <w:ilvl w:val="0"/>
          <w:numId w:val="0"/>
        </w:numPr>
        <w:kinsoku/>
        <w:wordWrap/>
        <w:overflowPunct/>
        <w:topLinePunct w:val="0"/>
        <w:bidi w:val="0"/>
        <w:spacing w:line="360" w:lineRule="auto"/>
        <w:ind w:left="731" w:leftChars="89" w:hanging="535" w:hangingChars="223"/>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8.2.3</w:t>
      </w:r>
      <w:r>
        <w:rPr>
          <w:rFonts w:hint="default" w:ascii="Times New Roman" w:hAnsi="Times New Roman" w:eastAsia="宋体" w:cs="Times New Roman"/>
          <w:sz w:val="24"/>
          <w:szCs w:val="24"/>
          <w:highlight w:val="none"/>
          <w:lang w:eastAsia="zh-CN"/>
        </w:rPr>
        <w:t>泄密责任：按本合同约定及国家有关保密法的规定执行。</w:t>
      </w:r>
    </w:p>
    <w:p>
      <w:pPr>
        <w:pStyle w:val="8"/>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after="157" w:afterLines="50" w:line="360" w:lineRule="auto"/>
        <w:ind w:left="-18" w:leftChars="-8" w:right="0" w:rightChars="0" w:firstLine="17" w:firstLineChars="7"/>
        <w:jc w:val="left"/>
        <w:textAlignment w:val="auto"/>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b/>
          <w:bCs/>
          <w:sz w:val="24"/>
          <w:szCs w:val="24"/>
          <w:highlight w:val="none"/>
          <w:lang w:val="en-US" w:eastAsia="zh-CN"/>
        </w:rPr>
        <w:t xml:space="preserve">第九条  </w:t>
      </w:r>
      <w:r>
        <w:rPr>
          <w:rFonts w:hint="default" w:ascii="Times New Roman" w:hAnsi="Times New Roman" w:eastAsia="宋体" w:cs="Times New Roman"/>
          <w:sz w:val="24"/>
          <w:szCs w:val="24"/>
          <w:highlight w:val="none"/>
          <w:lang w:eastAsia="zh-CN"/>
        </w:rPr>
        <w:t>本合同的变更必须由双方协商一致，并以书面形式确定。甲方可以向乙方或乙方可以向甲方提出变更合同权利和义务的请求，另一方应当在</w:t>
      </w:r>
      <w:r>
        <w:rPr>
          <w:rFonts w:hint="default" w:ascii="Times New Roman" w:hAnsi="Times New Roman" w:eastAsia="宋体" w:cs="Times New Roman"/>
          <w:sz w:val="24"/>
          <w:szCs w:val="24"/>
          <w:highlight w:val="none"/>
          <w:u w:val="single"/>
          <w:lang w:eastAsia="zh-CN"/>
        </w:rPr>
        <w:t xml:space="preserve"> 7 </w:t>
      </w:r>
      <w:r>
        <w:rPr>
          <w:rFonts w:hint="default" w:ascii="Times New Roman" w:hAnsi="Times New Roman" w:eastAsia="宋体" w:cs="Times New Roman"/>
          <w:sz w:val="24"/>
          <w:szCs w:val="24"/>
          <w:highlight w:val="none"/>
          <w:lang w:eastAsia="zh-CN"/>
        </w:rPr>
        <w:t>日内予以答复。</w:t>
      </w:r>
    </w:p>
    <w:p>
      <w:pPr>
        <w:keepNext w:val="0"/>
        <w:keepLines w:val="0"/>
        <w:pageBreakBefore w:val="0"/>
        <w:widowControl w:val="0"/>
        <w:kinsoku/>
        <w:wordWrap/>
        <w:overflowPunct/>
        <w:topLinePunct w:val="0"/>
        <w:autoSpaceDE w:val="0"/>
        <w:autoSpaceDN w:val="0"/>
        <w:bidi w:val="0"/>
        <w:adjustRightInd/>
        <w:snapToGrid/>
        <w:spacing w:before="157" w:beforeLines="50" w:after="157" w:afterLines="50" w:line="240" w:lineRule="auto"/>
        <w:ind w:left="0" w:leftChars="0" w:right="0" w:rightChars="0" w:firstLine="0" w:firstLineChars="0"/>
        <w:jc w:val="left"/>
        <w:textAlignment w:val="auto"/>
        <w:outlineLvl w:val="9"/>
        <w:rPr>
          <w:rFonts w:hint="eastAsia" w:ascii="Times New Roman" w:hAnsi="Times New Roman" w:eastAsia="宋体" w:cs="Times New Roman"/>
          <w:b/>
          <w:bCs w:val="0"/>
          <w:sz w:val="24"/>
          <w:szCs w:val="24"/>
          <w:highlight w:val="none"/>
          <w:lang w:val="en-US" w:eastAsia="zh-CN" w:bidi="ar-SA"/>
        </w:rPr>
      </w:pPr>
      <w:r>
        <w:rPr>
          <w:rFonts w:hint="eastAsia" w:ascii="Times New Roman" w:hAnsi="Times New Roman" w:eastAsia="宋体" w:cs="Times New Roman"/>
          <w:b/>
          <w:bCs w:val="0"/>
          <w:sz w:val="24"/>
          <w:szCs w:val="24"/>
          <w:highlight w:val="none"/>
          <w:lang w:val="en-US" w:eastAsia="zh-CN" w:bidi="ar-SA"/>
        </w:rPr>
        <w:t>第</w:t>
      </w:r>
      <w:r>
        <w:rPr>
          <w:rFonts w:hint="eastAsia" w:ascii="Times New Roman" w:hAnsi="Times New Roman" w:cs="Times New Roman"/>
          <w:b/>
          <w:bCs w:val="0"/>
          <w:sz w:val="24"/>
          <w:szCs w:val="24"/>
          <w:highlight w:val="none"/>
          <w:lang w:val="en-US" w:eastAsia="zh-CN" w:bidi="ar-SA"/>
        </w:rPr>
        <w:t>十</w:t>
      </w:r>
      <w:r>
        <w:rPr>
          <w:rFonts w:hint="eastAsia" w:ascii="Times New Roman" w:hAnsi="Times New Roman" w:eastAsia="宋体" w:cs="Times New Roman"/>
          <w:b/>
          <w:bCs w:val="0"/>
          <w:sz w:val="24"/>
          <w:szCs w:val="24"/>
          <w:highlight w:val="none"/>
          <w:lang w:val="en-US" w:eastAsia="zh-CN" w:bidi="ar-SA"/>
        </w:rPr>
        <w:t>条</w:t>
      </w:r>
      <w:r>
        <w:rPr>
          <w:rFonts w:hint="eastAsia" w:ascii="Times New Roman" w:hAnsi="Times New Roman" w:cs="Times New Roman"/>
          <w:b/>
          <w:bCs w:val="0"/>
          <w:sz w:val="24"/>
          <w:szCs w:val="24"/>
          <w:highlight w:val="none"/>
          <w:lang w:val="en-US" w:eastAsia="zh-CN" w:bidi="ar-SA"/>
        </w:rPr>
        <w:t xml:space="preserve">  </w:t>
      </w:r>
      <w:r>
        <w:rPr>
          <w:rFonts w:hint="eastAsia" w:ascii="Times New Roman" w:hAnsi="Times New Roman" w:eastAsia="宋体" w:cs="Times New Roman"/>
          <w:b/>
          <w:bCs w:val="0"/>
          <w:sz w:val="24"/>
          <w:szCs w:val="24"/>
          <w:highlight w:val="none"/>
          <w:lang w:val="en-US" w:eastAsia="zh-CN" w:bidi="ar-SA"/>
        </w:rPr>
        <w:t>货物的归属及风险承担</w:t>
      </w:r>
    </w:p>
    <w:p>
      <w:pPr>
        <w:keepNext w:val="0"/>
        <w:keepLines w:val="0"/>
        <w:pageBreakBefore w:val="0"/>
        <w:widowControl w:val="0"/>
        <w:kinsoku/>
        <w:wordWrap/>
        <w:overflowPunct/>
        <w:topLinePunct w:val="0"/>
        <w:autoSpaceDE w:val="0"/>
        <w:autoSpaceDN w:val="0"/>
        <w:bidi w:val="0"/>
        <w:adjustRightInd/>
        <w:snapToGrid/>
        <w:spacing w:line="360" w:lineRule="auto"/>
        <w:ind w:left="20" w:leftChars="9" w:right="0" w:rightChars="0" w:firstLine="480" w:firstLineChars="200"/>
        <w:jc w:val="left"/>
        <w:textAlignment w:val="auto"/>
        <w:outlineLvl w:val="9"/>
        <w:rPr>
          <w:rFonts w:hint="eastAsia"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sz w:val="24"/>
          <w:szCs w:val="24"/>
          <w:highlight w:val="none"/>
          <w:lang w:val="en-US" w:eastAsia="zh-CN" w:bidi="ar-SA"/>
        </w:rPr>
        <w:t>无论重整前后，催化剂的货权均归甲方所有，乙方在</w:t>
      </w:r>
      <w:r>
        <w:rPr>
          <w:rFonts w:hint="eastAsia" w:ascii="宋体" w:hAnsi="宋体"/>
          <w:bCs/>
          <w:sz w:val="24"/>
          <w:szCs w:val="24"/>
          <w:highlight w:val="none"/>
        </w:rPr>
        <w:t>催化剂筛分处理</w:t>
      </w:r>
      <w:r>
        <w:rPr>
          <w:rFonts w:hint="eastAsia" w:ascii="Times New Roman" w:hAnsi="Times New Roman" w:eastAsia="宋体" w:cs="Times New Roman"/>
          <w:sz w:val="24"/>
          <w:szCs w:val="24"/>
          <w:highlight w:val="none"/>
          <w:lang w:val="en-US" w:eastAsia="zh-CN" w:bidi="ar-SA"/>
        </w:rPr>
        <w:t>过程中，所分离出来的催化剂粉尘、碎剂、坏剂均归甲方所有，乙方应返还给甲方。</w:t>
      </w:r>
    </w:p>
    <w:p>
      <w:pPr>
        <w:pStyle w:val="8"/>
        <w:keepNext w:val="0"/>
        <w:keepLines w:val="0"/>
        <w:pageBreakBefore w:val="0"/>
        <w:kinsoku/>
        <w:wordWrap/>
        <w:overflowPunct/>
        <w:topLinePunct w:val="0"/>
        <w:bidi w:val="0"/>
        <w:spacing w:beforeLines="50" w:line="360" w:lineRule="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b/>
          <w:sz w:val="24"/>
          <w:szCs w:val="24"/>
          <w:highlight w:val="none"/>
          <w:lang w:eastAsia="zh-CN"/>
        </w:rPr>
        <w:t>第</w:t>
      </w:r>
      <w:r>
        <w:rPr>
          <w:rFonts w:hint="eastAsia" w:ascii="Times New Roman" w:hAnsi="Times New Roman" w:cs="Times New Roman"/>
          <w:b/>
          <w:sz w:val="24"/>
          <w:szCs w:val="24"/>
          <w:highlight w:val="none"/>
          <w:lang w:val="en-US" w:eastAsia="zh-CN"/>
        </w:rPr>
        <w:t>十一</w:t>
      </w:r>
      <w:r>
        <w:rPr>
          <w:rFonts w:hint="default" w:ascii="Times New Roman" w:hAnsi="Times New Roman" w:eastAsia="宋体" w:cs="Times New Roman"/>
          <w:b/>
          <w:sz w:val="24"/>
          <w:szCs w:val="24"/>
          <w:highlight w:val="none"/>
          <w:lang w:eastAsia="zh-CN"/>
        </w:rPr>
        <w:t>条</w:t>
      </w:r>
      <w:r>
        <w:rPr>
          <w:rFonts w:hint="default" w:ascii="Times New Roman" w:hAnsi="Times New Roman" w:eastAsia="宋体" w:cs="Times New Roman"/>
          <w:sz w:val="24"/>
          <w:szCs w:val="24"/>
          <w:highlight w:val="none"/>
          <w:lang w:eastAsia="zh-CN"/>
        </w:rPr>
        <w:t xml:space="preserve"> 双方确定，甲方指定</w:t>
      </w:r>
      <w:r>
        <w:rPr>
          <w:rFonts w:hint="default" w:ascii="Times New Roman" w:hAnsi="Times New Roman" w:eastAsia="宋体" w:cs="Times New Roman"/>
          <w:i w:val="0"/>
          <w:iCs w:val="0"/>
          <w:sz w:val="24"/>
          <w:szCs w:val="24"/>
          <w:highlight w:val="none"/>
          <w:u w:val="single"/>
          <w:lang w:eastAsia="zh-CN"/>
        </w:rPr>
        <w:t xml:space="preserve"> </w:t>
      </w:r>
      <w:r>
        <w:rPr>
          <w:rFonts w:hint="eastAsia" w:ascii="Times New Roman" w:hAnsi="Times New Roman" w:cs="Times New Roman"/>
          <w:i w:val="0"/>
          <w:iCs w:val="0"/>
          <w:sz w:val="24"/>
          <w:szCs w:val="24"/>
          <w:highlight w:val="none"/>
          <w:u w:val="single"/>
          <w:lang w:val="en-US" w:eastAsia="zh-CN"/>
        </w:rPr>
        <w:t>曾志浩</w:t>
      </w:r>
      <w:r>
        <w:rPr>
          <w:rFonts w:hint="default" w:ascii="Times New Roman" w:hAnsi="Times New Roman" w:eastAsia="宋体" w:cs="Times New Roman"/>
          <w:bCs/>
          <w:sz w:val="24"/>
          <w:szCs w:val="24"/>
          <w:highlight w:val="none"/>
          <w:u w:val="single"/>
          <w:lang w:eastAsia="zh-CN"/>
        </w:rPr>
        <w:t xml:space="preserve"> 电话：1</w:t>
      </w:r>
      <w:r>
        <w:rPr>
          <w:rFonts w:hint="eastAsia" w:ascii="Times New Roman" w:hAnsi="Times New Roman" w:cs="Times New Roman"/>
          <w:bCs/>
          <w:sz w:val="24"/>
          <w:szCs w:val="24"/>
          <w:highlight w:val="none"/>
          <w:u w:val="single"/>
          <w:lang w:val="en-US" w:eastAsia="zh-CN"/>
        </w:rPr>
        <w:t>8065753712</w:t>
      </w:r>
      <w:r>
        <w:rPr>
          <w:rFonts w:hint="default" w:ascii="Times New Roman" w:hAnsi="Times New Roman" w:eastAsia="宋体" w:cs="Times New Roman"/>
          <w:bCs/>
          <w:sz w:val="24"/>
          <w:szCs w:val="24"/>
          <w:highlight w:val="none"/>
          <w:u w:val="single"/>
          <w:lang w:eastAsia="zh-CN"/>
        </w:rPr>
        <w:t xml:space="preserve">  邮箱：</w:t>
      </w:r>
      <w:r>
        <w:rPr>
          <w:rFonts w:hint="eastAsia" w:ascii="Times New Roman" w:hAnsi="Times New Roman" w:cs="Times New Roman"/>
          <w:bCs/>
          <w:sz w:val="24"/>
          <w:szCs w:val="24"/>
          <w:highlight w:val="none"/>
          <w:u w:val="single"/>
          <w:lang w:val="en-US" w:eastAsia="zh-CN"/>
        </w:rPr>
        <w:t>zhz</w:t>
      </w:r>
      <w:r>
        <w:rPr>
          <w:rFonts w:hint="default" w:ascii="Times New Roman" w:hAnsi="Times New Roman" w:eastAsia="宋体" w:cs="Times New Roman"/>
          <w:bCs/>
          <w:sz w:val="24"/>
          <w:szCs w:val="24"/>
          <w:highlight w:val="none"/>
          <w:u w:val="single"/>
          <w:lang w:eastAsia="zh-CN"/>
        </w:rPr>
        <w:t>eng@fhcpec.com.cn</w:t>
      </w:r>
      <w:r>
        <w:rPr>
          <w:rFonts w:hint="default" w:ascii="Times New Roman" w:hAnsi="Times New Roman" w:eastAsia="宋体" w:cs="Times New Roman"/>
          <w:sz w:val="24"/>
          <w:szCs w:val="24"/>
          <w:highlight w:val="none"/>
          <w:lang w:eastAsia="zh-CN"/>
        </w:rPr>
        <w:t>为甲方项目联系人，乙方指定</w:t>
      </w:r>
      <w:r>
        <w:rPr>
          <w:rFonts w:hint="default" w:ascii="Times New Roman" w:hAnsi="Times New Roman" w:eastAsia="宋体" w:cs="Times New Roman"/>
          <w:sz w:val="24"/>
          <w:szCs w:val="24"/>
          <w:highlight w:val="none"/>
          <w:u w:val="single"/>
          <w:lang w:eastAsia="zh-CN"/>
        </w:rPr>
        <w:t xml:space="preserve">  </w:t>
      </w:r>
      <w:r>
        <w:rPr>
          <w:rFonts w:hint="eastAsia" w:ascii="Times New Roman" w:hAnsi="Times New Roman" w:cs="Times New Roman"/>
          <w:sz w:val="24"/>
          <w:szCs w:val="24"/>
          <w:highlight w:val="none"/>
          <w:u w:val="single"/>
          <w:lang w:val="en-US" w:eastAsia="zh-CN"/>
        </w:rPr>
        <w:t xml:space="preserve">         电话：        </w:t>
      </w:r>
      <w:r>
        <w:rPr>
          <w:rFonts w:hint="default" w:ascii="Times New Roman" w:hAnsi="Times New Roman" w:eastAsia="宋体" w:cs="Times New Roman"/>
          <w:sz w:val="24"/>
          <w:szCs w:val="24"/>
          <w:highlight w:val="none"/>
          <w:u w:val="single"/>
          <w:lang w:val="en-US" w:eastAsia="zh-CN"/>
        </w:rPr>
        <w:t xml:space="preserve"> </w:t>
      </w:r>
      <w:r>
        <w:rPr>
          <w:rFonts w:hint="default" w:ascii="Times New Roman" w:hAnsi="Times New Roman" w:eastAsia="宋体" w:cs="Times New Roman"/>
          <w:sz w:val="24"/>
          <w:szCs w:val="24"/>
          <w:highlight w:val="none"/>
          <w:u w:val="single"/>
          <w:lang w:eastAsia="zh-CN"/>
        </w:rPr>
        <w:t xml:space="preserve"> </w:t>
      </w:r>
      <w:r>
        <w:rPr>
          <w:rFonts w:hint="default" w:ascii="Times New Roman" w:hAnsi="Times New Roman" w:eastAsia="宋体" w:cs="Times New Roman"/>
          <w:bCs/>
          <w:sz w:val="24"/>
          <w:szCs w:val="24"/>
          <w:highlight w:val="none"/>
          <w:u w:val="single"/>
          <w:lang w:eastAsia="zh-CN"/>
        </w:rPr>
        <w:t xml:space="preserve">邮箱： </w:t>
      </w:r>
      <w:r>
        <w:rPr>
          <w:rFonts w:hint="eastAsia" w:ascii="Times New Roman" w:hAnsi="Times New Roman" w:cs="Times New Roman"/>
          <w:bCs/>
          <w:sz w:val="24"/>
          <w:szCs w:val="24"/>
          <w:highlight w:val="none"/>
          <w:u w:val="single"/>
          <w:lang w:val="en-US" w:eastAsia="zh-CN"/>
        </w:rPr>
        <w:t xml:space="preserve">         </w:t>
      </w:r>
      <w:r>
        <w:rPr>
          <w:rFonts w:hint="default" w:ascii="Times New Roman" w:hAnsi="Times New Roman" w:eastAsia="宋体" w:cs="Times New Roman"/>
          <w:sz w:val="24"/>
          <w:szCs w:val="24"/>
          <w:highlight w:val="none"/>
          <w:u w:val="single"/>
          <w:lang w:eastAsia="zh-CN"/>
        </w:rPr>
        <w:t xml:space="preserve"> </w:t>
      </w:r>
      <w:r>
        <w:rPr>
          <w:rFonts w:hint="default" w:ascii="Times New Roman" w:hAnsi="Times New Roman" w:eastAsia="宋体" w:cs="Times New Roman"/>
          <w:sz w:val="24"/>
          <w:szCs w:val="24"/>
          <w:highlight w:val="none"/>
          <w:lang w:eastAsia="zh-CN"/>
        </w:rPr>
        <w:t>为乙方项目联系人。项目联系人承担以下责任：</w:t>
      </w:r>
    </w:p>
    <w:p>
      <w:pPr>
        <w:pStyle w:val="8"/>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11.</w:t>
      </w:r>
      <w:r>
        <w:rPr>
          <w:rFonts w:hint="default" w:ascii="Times New Roman" w:hAnsi="Times New Roman" w:eastAsia="宋体" w:cs="Times New Roman"/>
          <w:sz w:val="24"/>
          <w:szCs w:val="24"/>
          <w:highlight w:val="none"/>
          <w:lang w:eastAsia="zh-CN"/>
        </w:rPr>
        <w:t xml:space="preserve">1 </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 xml:space="preserve">联系具体项目进度并实施。 </w:t>
      </w:r>
    </w:p>
    <w:p>
      <w:pPr>
        <w:pStyle w:val="8"/>
        <w:keepNext w:val="0"/>
        <w:keepLines w:val="0"/>
        <w:pageBreakBefore w:val="0"/>
        <w:kinsoku/>
        <w:wordWrap/>
        <w:overflowPunct/>
        <w:topLinePunct w:val="0"/>
        <w:bidi w:val="0"/>
        <w:spacing w:line="360" w:lineRule="auto"/>
        <w:ind w:left="240" w:hanging="240" w:hangingChars="100"/>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11.</w:t>
      </w:r>
      <w:r>
        <w:rPr>
          <w:rFonts w:hint="default" w:ascii="Times New Roman" w:hAnsi="Times New Roman" w:eastAsia="宋体" w:cs="Times New Roman"/>
          <w:sz w:val="24"/>
          <w:szCs w:val="24"/>
          <w:highlight w:val="none"/>
          <w:lang w:eastAsia="zh-CN"/>
        </w:rPr>
        <w:t>2</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一方变更项目联系人的，应当及时以书面形式通知另一方。未及时通知并影响本合同履行或造成损失的，应承担相应的责任。</w:t>
      </w:r>
    </w:p>
    <w:p>
      <w:pPr>
        <w:spacing w:line="360" w:lineRule="auto"/>
        <w:rPr>
          <w:rFonts w:ascii="宋体" w:hAnsi="宋体"/>
          <w:b/>
          <w:bCs/>
          <w:color w:val="000000"/>
          <w:sz w:val="24"/>
          <w:szCs w:val="24"/>
          <w:highlight w:val="none"/>
        </w:rPr>
      </w:pPr>
      <w:r>
        <w:rPr>
          <w:rFonts w:hint="eastAsia" w:ascii="宋体" w:hAnsi="宋体"/>
          <w:b/>
          <w:bCs/>
          <w:color w:val="000000"/>
          <w:sz w:val="24"/>
          <w:szCs w:val="24"/>
          <w:highlight w:val="none"/>
          <w:lang w:val="en-US" w:eastAsia="zh-CN"/>
        </w:rPr>
        <w:t xml:space="preserve">第十二条 </w:t>
      </w:r>
      <w:r>
        <w:rPr>
          <w:rFonts w:hint="eastAsia" w:ascii="宋体" w:hAnsi="宋体"/>
          <w:b/>
          <w:bCs/>
          <w:color w:val="000000"/>
          <w:sz w:val="24"/>
          <w:szCs w:val="24"/>
          <w:highlight w:val="none"/>
        </w:rPr>
        <w:t>双方责任与</w:t>
      </w:r>
      <w:r>
        <w:rPr>
          <w:rFonts w:hint="eastAsia" w:ascii="宋体" w:hAnsi="宋体"/>
          <w:b/>
          <w:bCs/>
          <w:color w:val="000000"/>
          <w:sz w:val="24"/>
          <w:szCs w:val="24"/>
          <w:highlight w:val="none"/>
          <w:lang w:val="en-US" w:eastAsia="zh-CN"/>
        </w:rPr>
        <w:t>义务</w:t>
      </w:r>
    </w:p>
    <w:p>
      <w:pPr>
        <w:spacing w:line="360" w:lineRule="auto"/>
        <w:ind w:firstLine="241" w:firstLineChars="100"/>
        <w:rPr>
          <w:rFonts w:ascii="宋体" w:hAnsi="宋体"/>
          <w:b/>
          <w:bCs/>
          <w:color w:val="000000"/>
          <w:sz w:val="24"/>
          <w:szCs w:val="24"/>
          <w:highlight w:val="none"/>
        </w:rPr>
      </w:pPr>
      <w:r>
        <w:rPr>
          <w:rFonts w:hint="eastAsia" w:ascii="宋体" w:hAnsi="宋体"/>
          <w:b/>
          <w:bCs/>
          <w:color w:val="000000"/>
          <w:sz w:val="24"/>
          <w:szCs w:val="24"/>
          <w:highlight w:val="none"/>
          <w:lang w:val="en-US" w:eastAsia="zh-CN"/>
        </w:rPr>
        <w:t>12</w:t>
      </w:r>
      <w:r>
        <w:rPr>
          <w:rFonts w:hint="eastAsia" w:ascii="宋体" w:hAnsi="宋体"/>
          <w:b/>
          <w:bCs/>
          <w:color w:val="000000"/>
          <w:sz w:val="24"/>
          <w:szCs w:val="24"/>
          <w:highlight w:val="none"/>
        </w:rPr>
        <w:t>.</w:t>
      </w:r>
      <w:r>
        <w:rPr>
          <w:rFonts w:hint="eastAsia" w:ascii="宋体" w:hAnsi="宋体"/>
          <w:b/>
          <w:bCs/>
          <w:color w:val="000000"/>
          <w:sz w:val="24"/>
          <w:szCs w:val="24"/>
          <w:highlight w:val="none"/>
          <w:lang w:val="en-US" w:eastAsia="zh-CN"/>
        </w:rPr>
        <w:t>1 甲方</w:t>
      </w:r>
      <w:r>
        <w:rPr>
          <w:rFonts w:hint="eastAsia" w:ascii="宋体" w:hAnsi="宋体"/>
          <w:b/>
          <w:bCs/>
          <w:color w:val="000000"/>
          <w:sz w:val="24"/>
          <w:szCs w:val="24"/>
          <w:highlight w:val="none"/>
        </w:rPr>
        <w:t>责任：</w:t>
      </w:r>
    </w:p>
    <w:p>
      <w:pPr>
        <w:adjustRightInd w:val="0"/>
        <w:snapToGrid w:val="0"/>
        <w:spacing w:line="360" w:lineRule="auto"/>
        <w:ind w:left="624" w:leftChars="118" w:hanging="364" w:hangingChars="152"/>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.1.1将待</w:t>
      </w:r>
      <w:r>
        <w:rPr>
          <w:rFonts w:hint="eastAsia" w:ascii="宋体" w:hAnsi="宋体"/>
          <w:bCs/>
          <w:sz w:val="24"/>
          <w:szCs w:val="24"/>
          <w:highlight w:val="none"/>
        </w:rPr>
        <w:t>风车式物理分</w:t>
      </w:r>
      <w:r>
        <w:rPr>
          <w:rFonts w:hint="eastAsia" w:ascii="宋体" w:hAnsi="宋体"/>
          <w:sz w:val="24"/>
          <w:szCs w:val="24"/>
          <w:highlight w:val="none"/>
        </w:rPr>
        <w:t>级</w:t>
      </w:r>
      <w:r>
        <w:rPr>
          <w:rFonts w:hint="eastAsia" w:ascii="宋体" w:hAnsi="宋体"/>
          <w:kern w:val="0"/>
          <w:sz w:val="24"/>
          <w:szCs w:val="24"/>
          <w:highlight w:val="none"/>
        </w:rPr>
        <w:t>催化剂运至指定的作业场所，</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与</w:t>
      </w:r>
      <w:r>
        <w:rPr>
          <w:rFonts w:hint="eastAsia" w:ascii="宋体" w:hAnsi="宋体"/>
          <w:kern w:val="0"/>
          <w:sz w:val="24"/>
          <w:szCs w:val="24"/>
          <w:highlight w:val="none"/>
          <w:lang w:val="en-US" w:eastAsia="zh-CN"/>
        </w:rPr>
        <w:t>乙方</w:t>
      </w:r>
      <w:r>
        <w:rPr>
          <w:rFonts w:hint="eastAsia" w:ascii="宋体" w:hAnsi="宋体"/>
          <w:kern w:val="0"/>
          <w:sz w:val="24"/>
          <w:szCs w:val="24"/>
          <w:highlight w:val="none"/>
        </w:rPr>
        <w:t>的技术人员共同进行待分级催化剂的现场采样。</w:t>
      </w:r>
    </w:p>
    <w:p>
      <w:pPr>
        <w:adjustRightInd w:val="0"/>
        <w:snapToGrid w:val="0"/>
        <w:spacing w:line="360" w:lineRule="auto"/>
        <w:ind w:left="624" w:leftChars="118" w:hanging="364" w:hangingChars="152"/>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.1.2</w:t>
      </w:r>
      <w:r>
        <w:rPr>
          <w:rFonts w:hint="eastAsia" w:ascii="宋体" w:hAnsi="宋体"/>
          <w:color w:val="000000"/>
          <w:sz w:val="24"/>
          <w:szCs w:val="24"/>
          <w:highlight w:val="none"/>
        </w:rPr>
        <w:t>对</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作业人员进行三级安全教育，协助</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人员办理进入厂通行证和车辆入厂证</w:t>
      </w:r>
      <w:r>
        <w:rPr>
          <w:rFonts w:hint="eastAsia" w:ascii="宋体" w:hAnsi="宋体"/>
          <w:kern w:val="0"/>
          <w:sz w:val="24"/>
          <w:szCs w:val="24"/>
          <w:highlight w:val="none"/>
        </w:rPr>
        <w:t>。</w:t>
      </w:r>
    </w:p>
    <w:p>
      <w:pPr>
        <w:adjustRightInd w:val="0"/>
        <w:snapToGrid w:val="0"/>
        <w:spacing w:line="360" w:lineRule="auto"/>
        <w:ind w:left="624" w:leftChars="118" w:hanging="364" w:hangingChars="152"/>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.1.3有权根据</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的管理制度对</w:t>
      </w:r>
      <w:r>
        <w:rPr>
          <w:rFonts w:hint="eastAsia" w:ascii="宋体" w:hAnsi="宋体"/>
          <w:kern w:val="0"/>
          <w:sz w:val="24"/>
          <w:szCs w:val="24"/>
          <w:highlight w:val="none"/>
          <w:lang w:val="en-US" w:eastAsia="zh-CN"/>
        </w:rPr>
        <w:t>乙方</w:t>
      </w:r>
      <w:r>
        <w:rPr>
          <w:rFonts w:hint="eastAsia" w:ascii="宋体" w:hAnsi="宋体"/>
          <w:kern w:val="0"/>
          <w:sz w:val="24"/>
          <w:szCs w:val="24"/>
          <w:highlight w:val="none"/>
        </w:rPr>
        <w:t>人员进行现场管理。</w:t>
      </w:r>
    </w:p>
    <w:p>
      <w:pPr>
        <w:adjustRightInd w:val="0"/>
        <w:snapToGrid w:val="0"/>
        <w:spacing w:line="360" w:lineRule="auto"/>
        <w:ind w:left="624" w:leftChars="118" w:hanging="364" w:hangingChars="152"/>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.1.4负责对</w:t>
      </w:r>
      <w:r>
        <w:rPr>
          <w:rFonts w:hint="eastAsia" w:ascii="宋体" w:hAnsi="宋体"/>
          <w:kern w:val="0"/>
          <w:sz w:val="24"/>
          <w:szCs w:val="24"/>
          <w:highlight w:val="none"/>
          <w:lang w:val="en-US" w:eastAsia="zh-CN"/>
        </w:rPr>
        <w:t>乙方</w:t>
      </w:r>
      <w:r>
        <w:rPr>
          <w:rFonts w:hint="eastAsia" w:ascii="宋体" w:hAnsi="宋体"/>
          <w:kern w:val="0"/>
          <w:sz w:val="24"/>
          <w:szCs w:val="24"/>
          <w:highlight w:val="none"/>
        </w:rPr>
        <w:t>的催化剂物理分</w:t>
      </w:r>
      <w:r>
        <w:rPr>
          <w:rFonts w:hint="eastAsia" w:ascii="宋体" w:hAnsi="宋体"/>
          <w:sz w:val="24"/>
          <w:szCs w:val="24"/>
          <w:highlight w:val="none"/>
        </w:rPr>
        <w:t>级</w:t>
      </w:r>
      <w:r>
        <w:rPr>
          <w:rFonts w:hint="eastAsia" w:ascii="宋体" w:hAnsi="宋体"/>
          <w:kern w:val="0"/>
          <w:sz w:val="24"/>
          <w:szCs w:val="24"/>
          <w:highlight w:val="none"/>
        </w:rPr>
        <w:t>过程进行全程监控、监督检查。</w:t>
      </w:r>
    </w:p>
    <w:p>
      <w:pPr>
        <w:adjustRightInd w:val="0"/>
        <w:snapToGrid w:val="0"/>
        <w:spacing w:line="360" w:lineRule="auto"/>
        <w:ind w:left="624" w:leftChars="118" w:hanging="364" w:hangingChars="152"/>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.1.5提供工作地点，确定位置，安装分离设备，装置占地面积大致为50m</w:t>
      </w:r>
      <w:r>
        <w:rPr>
          <w:rFonts w:hint="eastAsia" w:ascii="宋体" w:hAnsi="宋体"/>
          <w:kern w:val="0"/>
          <w:sz w:val="24"/>
          <w:szCs w:val="24"/>
          <w:highlight w:val="none"/>
          <w:vertAlign w:val="superscript"/>
        </w:rPr>
        <w:t>2</w:t>
      </w:r>
      <w:r>
        <w:rPr>
          <w:rFonts w:hint="eastAsia" w:ascii="宋体" w:hAnsi="宋体"/>
          <w:kern w:val="0"/>
          <w:sz w:val="24"/>
          <w:szCs w:val="24"/>
          <w:highlight w:val="none"/>
        </w:rPr>
        <w:t>（仓库优先或户外搭棚）。</w:t>
      </w:r>
    </w:p>
    <w:p>
      <w:pPr>
        <w:adjustRightInd w:val="0"/>
        <w:snapToGrid w:val="0"/>
        <w:spacing w:line="360" w:lineRule="auto"/>
        <w:ind w:left="624" w:leftChars="118" w:hanging="364" w:hangingChars="152"/>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.1.6配合安装该的设备，</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可以协助联系吊车或叉车，但所需费用由</w:t>
      </w:r>
      <w:r>
        <w:rPr>
          <w:rFonts w:hint="eastAsia" w:ascii="宋体" w:hAnsi="宋体"/>
          <w:kern w:val="0"/>
          <w:sz w:val="24"/>
          <w:szCs w:val="24"/>
          <w:highlight w:val="none"/>
          <w:lang w:val="en-US" w:eastAsia="zh-CN"/>
        </w:rPr>
        <w:t>乙方</w:t>
      </w:r>
      <w:r>
        <w:rPr>
          <w:rFonts w:hint="eastAsia" w:ascii="宋体" w:hAnsi="宋体"/>
          <w:kern w:val="0"/>
          <w:sz w:val="24"/>
          <w:szCs w:val="24"/>
          <w:highlight w:val="none"/>
        </w:rPr>
        <w:t>承担。</w:t>
      </w:r>
    </w:p>
    <w:p>
      <w:pPr>
        <w:adjustRightInd w:val="0"/>
        <w:snapToGrid w:val="0"/>
        <w:spacing w:line="360" w:lineRule="auto"/>
        <w:ind w:left="624" w:leftChars="118" w:hanging="364" w:hangingChars="152"/>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.1.7提供15个容器为200升空桶，分级完成后由乙方返还甲方。</w:t>
      </w:r>
    </w:p>
    <w:p>
      <w:pPr>
        <w:adjustRightInd w:val="0"/>
        <w:snapToGrid w:val="0"/>
        <w:spacing w:line="360" w:lineRule="auto"/>
        <w:ind w:left="624" w:leftChars="118" w:hanging="364" w:hangingChars="152"/>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.1.8提供三相四线电源。</w:t>
      </w:r>
    </w:p>
    <w:p>
      <w:pPr>
        <w:adjustRightInd w:val="0"/>
        <w:snapToGrid w:val="0"/>
        <w:spacing w:line="360" w:lineRule="auto"/>
        <w:ind w:left="624" w:leftChars="118" w:hanging="364" w:hangingChars="152"/>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.1.9分级出的低碳催化剂由</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出具测定、分析数据报告，混合催化剂中低碳催化剂的分离效率及物料平衡报告。</w:t>
      </w:r>
    </w:p>
    <w:p>
      <w:pPr>
        <w:spacing w:line="360" w:lineRule="auto"/>
        <w:ind w:firstLine="241" w:firstLineChars="100"/>
        <w:rPr>
          <w:rFonts w:ascii="宋体" w:hAnsi="宋体"/>
          <w:b/>
          <w:bCs/>
          <w:color w:val="000000"/>
          <w:sz w:val="24"/>
          <w:szCs w:val="24"/>
          <w:highlight w:val="none"/>
        </w:rPr>
      </w:pPr>
      <w:r>
        <w:rPr>
          <w:rFonts w:hint="eastAsia" w:ascii="宋体" w:hAnsi="宋体"/>
          <w:b/>
          <w:bCs/>
          <w:color w:val="000000"/>
          <w:sz w:val="24"/>
          <w:szCs w:val="24"/>
          <w:highlight w:val="none"/>
          <w:lang w:val="en-US" w:eastAsia="zh-CN"/>
        </w:rPr>
        <w:t>12</w:t>
      </w:r>
      <w:r>
        <w:rPr>
          <w:rFonts w:hint="eastAsia" w:ascii="宋体" w:hAnsi="宋体"/>
          <w:b/>
          <w:bCs/>
          <w:color w:val="000000"/>
          <w:sz w:val="24"/>
          <w:szCs w:val="24"/>
          <w:highlight w:val="none"/>
        </w:rPr>
        <w:t>.2</w:t>
      </w:r>
      <w:r>
        <w:rPr>
          <w:rFonts w:hint="eastAsia" w:ascii="宋体" w:hAnsi="宋体"/>
          <w:b/>
          <w:bCs/>
          <w:color w:val="000000"/>
          <w:sz w:val="24"/>
          <w:szCs w:val="24"/>
          <w:highlight w:val="none"/>
          <w:lang w:val="en-US" w:eastAsia="zh-CN"/>
        </w:rPr>
        <w:t xml:space="preserve">  乙方</w:t>
      </w:r>
      <w:r>
        <w:rPr>
          <w:rFonts w:hint="eastAsia" w:ascii="宋体" w:hAnsi="宋体"/>
          <w:b/>
          <w:bCs/>
          <w:color w:val="000000"/>
          <w:sz w:val="24"/>
          <w:szCs w:val="24"/>
          <w:highlight w:val="none"/>
        </w:rPr>
        <w:t>责任：</w:t>
      </w:r>
    </w:p>
    <w:p>
      <w:pPr>
        <w:adjustRightInd w:val="0"/>
        <w:snapToGrid w:val="0"/>
        <w:spacing w:line="360" w:lineRule="auto"/>
        <w:ind w:left="730" w:leftChars="126" w:hanging="453" w:hangingChars="189"/>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w:t>
      </w:r>
      <w:r>
        <w:rPr>
          <w:rFonts w:hint="eastAsia" w:ascii="宋体" w:hAnsi="宋体"/>
          <w:kern w:val="0"/>
          <w:sz w:val="24"/>
          <w:szCs w:val="24"/>
          <w:highlight w:val="none"/>
          <w:lang w:val="en-US" w:eastAsia="zh-CN"/>
        </w:rPr>
        <w:t>2.1</w:t>
      </w:r>
      <w:r>
        <w:rPr>
          <w:rFonts w:hint="eastAsia" w:ascii="宋体" w:hAnsi="宋体"/>
          <w:kern w:val="0"/>
          <w:sz w:val="24"/>
          <w:szCs w:val="24"/>
          <w:highlight w:val="none"/>
        </w:rPr>
        <w:t>在得到</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通知后，48小时内携带相关设备、仪器到达指定现场。</w:t>
      </w:r>
    </w:p>
    <w:p>
      <w:pPr>
        <w:adjustRightInd w:val="0"/>
        <w:snapToGrid w:val="0"/>
        <w:spacing w:line="360" w:lineRule="auto"/>
        <w:ind w:left="730" w:leftChars="126" w:hanging="453" w:hangingChars="189"/>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.2.2根据</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提供催化剂碳含量分析数据，24小时内制定出确保催化剂物理分级效果的最佳方案，提供给</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留存，并保证在整个催化剂物理分级过程中严格遵守该方案，确保保质保量按时完成催化剂物理分级工作。</w:t>
      </w:r>
    </w:p>
    <w:p>
      <w:pPr>
        <w:adjustRightInd w:val="0"/>
        <w:snapToGrid w:val="0"/>
        <w:spacing w:line="360" w:lineRule="auto"/>
        <w:ind w:left="730" w:leftChars="126" w:hanging="453" w:hangingChars="189"/>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.2.3催化剂到指定作业场所后，24小时内制定出催化剂风车式物理分级统筹安排进度表﹙＜10天﹚；负责对待分催化剂进行器外风车式物理分级等工作。</w:t>
      </w:r>
    </w:p>
    <w:p>
      <w:pPr>
        <w:adjustRightInd w:val="0"/>
        <w:snapToGrid w:val="0"/>
        <w:spacing w:line="360" w:lineRule="auto"/>
        <w:ind w:left="730" w:leftChars="126" w:hanging="453" w:hangingChars="189"/>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.2.4会同</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取分级后催化剂作为标准样品保留，以便必要时化验复查，样品至少保存二年。</w:t>
      </w:r>
    </w:p>
    <w:p>
      <w:pPr>
        <w:adjustRightInd w:val="0"/>
        <w:snapToGrid w:val="0"/>
        <w:spacing w:line="360" w:lineRule="auto"/>
        <w:ind w:left="730" w:leftChars="126" w:hanging="453" w:hangingChars="189"/>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.2.5与</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共同负责分级现场的催化剂安保工作，及时向</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通报催化剂物理分级情况。</w:t>
      </w:r>
    </w:p>
    <w:p>
      <w:pPr>
        <w:adjustRightInd w:val="0"/>
        <w:snapToGrid w:val="0"/>
        <w:spacing w:line="360" w:lineRule="auto"/>
        <w:ind w:left="730" w:leftChars="126" w:hanging="453" w:hangingChars="189"/>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.2.6催化剂物理分级处理结束后，由</w:t>
      </w:r>
      <w:r>
        <w:rPr>
          <w:rFonts w:hint="eastAsia" w:ascii="宋体" w:hAnsi="宋体"/>
          <w:kern w:val="0"/>
          <w:sz w:val="24"/>
          <w:szCs w:val="24"/>
          <w:highlight w:val="none"/>
          <w:lang w:val="en-US" w:eastAsia="zh-CN"/>
        </w:rPr>
        <w:t>乙方</w:t>
      </w:r>
      <w:r>
        <w:rPr>
          <w:rFonts w:hint="eastAsia" w:ascii="宋体" w:hAnsi="宋体"/>
          <w:kern w:val="0"/>
          <w:sz w:val="24"/>
          <w:szCs w:val="24"/>
          <w:highlight w:val="none"/>
        </w:rPr>
        <w:t>负责将分级后的场地打扫干净。</w:t>
      </w:r>
    </w:p>
    <w:p>
      <w:pPr>
        <w:adjustRightInd w:val="0"/>
        <w:snapToGrid w:val="0"/>
        <w:spacing w:line="360" w:lineRule="auto"/>
        <w:ind w:left="730" w:leftChars="126" w:hanging="453" w:hangingChars="189"/>
        <w:rPr>
          <w:rFonts w:ascii="宋体" w:hAnsi="宋体"/>
          <w:kern w:val="0"/>
          <w:sz w:val="24"/>
          <w:szCs w:val="24"/>
          <w:highlight w:val="none"/>
        </w:rPr>
      </w:pPr>
      <w:r>
        <w:rPr>
          <w:rFonts w:hint="eastAsia" w:ascii="宋体" w:hAnsi="宋体"/>
          <w:kern w:val="0"/>
          <w:sz w:val="24"/>
          <w:szCs w:val="24"/>
          <w:highlight w:val="none"/>
          <w:lang w:val="en-US" w:eastAsia="zh-CN"/>
        </w:rPr>
        <w:t>12</w:t>
      </w:r>
      <w:r>
        <w:rPr>
          <w:rFonts w:hint="eastAsia" w:ascii="宋体" w:hAnsi="宋体"/>
          <w:kern w:val="0"/>
          <w:sz w:val="24"/>
          <w:szCs w:val="24"/>
          <w:highlight w:val="none"/>
        </w:rPr>
        <w:t>.2.7</w:t>
      </w:r>
      <w:r>
        <w:rPr>
          <w:rFonts w:hint="eastAsia" w:ascii="宋体" w:hAnsi="宋体"/>
          <w:kern w:val="0"/>
          <w:sz w:val="24"/>
          <w:szCs w:val="24"/>
          <w:highlight w:val="none"/>
          <w:lang w:val="en-US" w:eastAsia="zh-CN"/>
        </w:rPr>
        <w:t>乙方</w:t>
      </w:r>
      <w:r>
        <w:rPr>
          <w:rFonts w:hint="eastAsia" w:ascii="宋体" w:hAnsi="宋体"/>
          <w:kern w:val="0"/>
          <w:sz w:val="24"/>
          <w:szCs w:val="24"/>
          <w:highlight w:val="none"/>
        </w:rPr>
        <w:t>人员在现场未经</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许可严禁动用</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设备，并严格遵守</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的各项管理制度。</w:t>
      </w:r>
    </w:p>
    <w:p>
      <w:pPr>
        <w:adjustRightInd w:val="0"/>
        <w:snapToGrid w:val="0"/>
        <w:spacing w:line="360" w:lineRule="auto"/>
        <w:ind w:left="730" w:leftChars="126" w:hanging="453" w:hangingChars="189"/>
        <w:rPr>
          <w:rFonts w:hint="eastAsia"/>
          <w:sz w:val="24"/>
          <w:szCs w:val="24"/>
          <w:highlight w:val="none"/>
        </w:rPr>
      </w:pPr>
      <w:r>
        <w:rPr>
          <w:rFonts w:hint="eastAsia" w:ascii="宋体" w:hAnsi="宋体"/>
          <w:kern w:val="0"/>
          <w:sz w:val="24"/>
          <w:szCs w:val="24"/>
          <w:highlight w:val="none"/>
          <w:lang w:val="en-US" w:eastAsia="zh-CN"/>
        </w:rPr>
        <w:t>12</w:t>
      </w:r>
      <w:r>
        <w:rPr>
          <w:rFonts w:ascii="宋体" w:hAnsi="宋体"/>
          <w:kern w:val="0"/>
          <w:sz w:val="24"/>
          <w:szCs w:val="24"/>
          <w:highlight w:val="none"/>
        </w:rPr>
        <w:t>.2.8</w:t>
      </w:r>
      <w:r>
        <w:rPr>
          <w:rFonts w:hint="eastAsia"/>
          <w:sz w:val="24"/>
          <w:szCs w:val="24"/>
          <w:highlight w:val="none"/>
        </w:rPr>
        <w:t>筛分完成后提供催化剂筛分报告。</w:t>
      </w:r>
    </w:p>
    <w:p>
      <w:pPr>
        <w:spacing w:line="360" w:lineRule="auto"/>
        <w:rPr>
          <w:rFonts w:ascii="宋体" w:hAnsi="宋体"/>
          <w:b/>
          <w:bCs/>
          <w:color w:val="000000"/>
          <w:sz w:val="24"/>
          <w:szCs w:val="24"/>
          <w:highlight w:val="none"/>
        </w:rPr>
      </w:pPr>
      <w:r>
        <w:rPr>
          <w:rFonts w:hint="eastAsia" w:ascii="宋体" w:hAnsi="宋体"/>
          <w:b/>
          <w:bCs/>
          <w:color w:val="000000"/>
          <w:sz w:val="24"/>
          <w:szCs w:val="24"/>
          <w:highlight w:val="none"/>
          <w:lang w:val="en-US" w:eastAsia="zh-CN"/>
        </w:rPr>
        <w:t xml:space="preserve">第十三条  </w:t>
      </w:r>
      <w:r>
        <w:rPr>
          <w:rFonts w:hint="eastAsia" w:ascii="宋体" w:hAnsi="宋体"/>
          <w:b/>
          <w:bCs/>
          <w:color w:val="000000"/>
          <w:sz w:val="24"/>
          <w:szCs w:val="24"/>
          <w:highlight w:val="none"/>
        </w:rPr>
        <w:t>违约责任</w:t>
      </w:r>
    </w:p>
    <w:p>
      <w:pPr>
        <w:spacing w:line="360" w:lineRule="auto"/>
        <w:ind w:left="480" w:leftChars="0" w:hanging="480" w:hangingChars="200"/>
        <w:rPr>
          <w:rFonts w:ascii="宋体" w:hAnsi="宋体"/>
          <w:color w:val="000000"/>
          <w:sz w:val="24"/>
          <w:szCs w:val="24"/>
          <w:highlight w:val="none"/>
        </w:rPr>
      </w:pPr>
      <w:r>
        <w:rPr>
          <w:rFonts w:hint="eastAsia" w:ascii="宋体" w:hAnsi="宋体"/>
          <w:color w:val="000000"/>
          <w:sz w:val="24"/>
          <w:szCs w:val="24"/>
          <w:highlight w:val="none"/>
          <w:lang w:val="en-US" w:eastAsia="zh-CN"/>
        </w:rPr>
        <w:t>13</w:t>
      </w:r>
      <w:r>
        <w:rPr>
          <w:rFonts w:hint="eastAsia" w:ascii="宋体" w:hAnsi="宋体"/>
          <w:color w:val="000000"/>
          <w:sz w:val="24"/>
          <w:szCs w:val="24"/>
          <w:highlight w:val="none"/>
        </w:rPr>
        <w:t>.1按照双方约定，</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要在</w:t>
      </w:r>
      <w:r>
        <w:rPr>
          <w:rFonts w:hint="eastAsia" w:ascii="宋体" w:hAnsi="宋体"/>
          <w:color w:val="000000"/>
          <w:sz w:val="24"/>
          <w:szCs w:val="24"/>
          <w:highlight w:val="none"/>
          <w:lang w:val="en-US" w:eastAsia="zh-CN"/>
        </w:rPr>
        <w:t>甲方</w:t>
      </w:r>
      <w:r>
        <w:rPr>
          <w:rFonts w:hint="eastAsia" w:ascii="宋体" w:hAnsi="宋体"/>
          <w:color w:val="000000"/>
          <w:sz w:val="24"/>
          <w:szCs w:val="24"/>
          <w:highlight w:val="none"/>
        </w:rPr>
        <w:t>开始分级催化剂后10日内完成催化剂分级工作，如因</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风车式物理分级工期延长而影响装置开工时间，每超</w:t>
      </w:r>
      <w:r>
        <w:rPr>
          <w:rFonts w:ascii="宋体" w:hAnsi="宋体"/>
          <w:color w:val="000000"/>
          <w:sz w:val="24"/>
          <w:szCs w:val="24"/>
          <w:highlight w:val="none"/>
        </w:rPr>
        <w:t>1</w:t>
      </w:r>
      <w:r>
        <w:rPr>
          <w:rFonts w:hint="eastAsia" w:ascii="宋体" w:hAnsi="宋体"/>
          <w:color w:val="000000"/>
          <w:sz w:val="24"/>
          <w:szCs w:val="24"/>
          <w:highlight w:val="none"/>
        </w:rPr>
        <w:t>天扣除加工费总额的8</w:t>
      </w:r>
      <w:r>
        <w:rPr>
          <w:rFonts w:ascii="宋体" w:hAnsi="宋体"/>
          <w:color w:val="000000"/>
          <w:sz w:val="24"/>
          <w:szCs w:val="24"/>
          <w:highlight w:val="none"/>
        </w:rPr>
        <w:t>%</w:t>
      </w:r>
      <w:r>
        <w:rPr>
          <w:rFonts w:hint="eastAsia" w:ascii="宋体" w:hAnsi="宋体"/>
          <w:color w:val="000000"/>
          <w:sz w:val="24"/>
          <w:szCs w:val="24"/>
          <w:highlight w:val="none"/>
        </w:rPr>
        <w:t>。</w:t>
      </w:r>
    </w:p>
    <w:p>
      <w:pPr>
        <w:spacing w:line="360" w:lineRule="auto"/>
        <w:ind w:left="480" w:leftChars="0" w:hanging="480" w:hangingChars="200"/>
        <w:rPr>
          <w:rFonts w:ascii="宋体" w:hAnsi="宋体"/>
          <w:color w:val="000000"/>
          <w:sz w:val="24"/>
          <w:szCs w:val="24"/>
          <w:highlight w:val="none"/>
        </w:rPr>
      </w:pPr>
      <w:r>
        <w:rPr>
          <w:rFonts w:hint="eastAsia" w:ascii="宋体" w:hAnsi="宋体"/>
          <w:color w:val="000000"/>
          <w:sz w:val="24"/>
          <w:szCs w:val="24"/>
          <w:highlight w:val="none"/>
          <w:lang w:val="en-US" w:eastAsia="zh-CN"/>
        </w:rPr>
        <w:t>13</w:t>
      </w:r>
      <w:r>
        <w:rPr>
          <w:rFonts w:hint="eastAsia" w:ascii="宋体" w:hAnsi="宋体"/>
          <w:color w:val="000000"/>
          <w:sz w:val="24"/>
          <w:szCs w:val="24"/>
          <w:highlight w:val="none"/>
        </w:rPr>
        <w:t>.2若从</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风车式物理分级后的2000颗合格催化剂中选出30颗最黑的小球所测定的碳含量超过6%，扣减8%物理分级费用，该催化剂并进行重新分级。</w:t>
      </w:r>
    </w:p>
    <w:p>
      <w:pPr>
        <w:spacing w:line="360" w:lineRule="auto"/>
        <w:ind w:left="480" w:leftChars="0" w:hanging="480" w:hangingChars="200"/>
        <w:rPr>
          <w:rFonts w:ascii="宋体" w:hAnsi="宋体"/>
          <w:color w:val="000000"/>
          <w:sz w:val="24"/>
          <w:szCs w:val="24"/>
          <w:highlight w:val="none"/>
        </w:rPr>
      </w:pPr>
      <w:r>
        <w:rPr>
          <w:rFonts w:hint="eastAsia" w:ascii="宋体" w:hAnsi="宋体"/>
          <w:color w:val="000000"/>
          <w:sz w:val="24"/>
          <w:szCs w:val="24"/>
          <w:highlight w:val="none"/>
          <w:lang w:val="en-US" w:eastAsia="zh-CN"/>
        </w:rPr>
        <w:t>13</w:t>
      </w:r>
      <w:r>
        <w:rPr>
          <w:rFonts w:hint="eastAsia" w:ascii="宋体" w:hAnsi="宋体"/>
          <w:color w:val="000000"/>
          <w:sz w:val="24"/>
          <w:szCs w:val="24"/>
          <w:highlight w:val="none"/>
        </w:rPr>
        <w:t>.3若从</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风车式物理分级后催化剂颗粒有测定直径小于1.4mm每超5/1000颗扣减8%物理分级费用,如有Φ＜1.2mm为不合格该催化剂并进行重新分级。</w:t>
      </w:r>
    </w:p>
    <w:p>
      <w:pPr>
        <w:spacing w:line="360" w:lineRule="auto"/>
        <w:ind w:left="480" w:leftChars="0" w:hanging="480" w:hangingChars="200"/>
        <w:rPr>
          <w:rFonts w:ascii="宋体" w:hAnsi="宋体"/>
          <w:color w:val="000000"/>
          <w:sz w:val="24"/>
          <w:szCs w:val="24"/>
          <w:highlight w:val="none"/>
        </w:rPr>
      </w:pPr>
      <w:r>
        <w:rPr>
          <w:rFonts w:hint="eastAsia" w:ascii="宋体" w:hAnsi="宋体"/>
          <w:color w:val="000000"/>
          <w:sz w:val="24"/>
          <w:szCs w:val="24"/>
          <w:highlight w:val="none"/>
          <w:lang w:val="en-US" w:eastAsia="zh-CN"/>
        </w:rPr>
        <w:t>13</w:t>
      </w:r>
      <w:r>
        <w:rPr>
          <w:rFonts w:hint="eastAsia" w:ascii="宋体" w:hAnsi="宋体"/>
          <w:color w:val="000000"/>
          <w:sz w:val="24"/>
          <w:szCs w:val="24"/>
          <w:highlight w:val="none"/>
        </w:rPr>
        <w:t>.4</w:t>
      </w:r>
      <w:r>
        <w:rPr>
          <w:rFonts w:hint="eastAsia" w:ascii="宋体" w:hAnsi="宋体"/>
          <w:color w:val="000000"/>
          <w:sz w:val="24"/>
          <w:szCs w:val="24"/>
          <w:highlight w:val="none"/>
          <w:lang w:val="en-US" w:eastAsia="zh-CN"/>
        </w:rPr>
        <w:t>若乙方</w:t>
      </w:r>
      <w:r>
        <w:rPr>
          <w:rFonts w:hint="eastAsia" w:ascii="宋体" w:hAnsi="宋体"/>
          <w:color w:val="000000"/>
          <w:sz w:val="24"/>
          <w:szCs w:val="24"/>
          <w:highlight w:val="none"/>
        </w:rPr>
        <w:t>分级后的高碳催化剂中随取2000颗，然后从中选出30颗目视为最好的小球所测定碳含量不小于8%，每低0.1%，甲方将扣除8%的回收分离费用。</w:t>
      </w:r>
    </w:p>
    <w:p>
      <w:pPr>
        <w:spacing w:line="360" w:lineRule="auto"/>
        <w:ind w:left="480" w:leftChars="0" w:hanging="480" w:hangingChars="200"/>
        <w:rPr>
          <w:rFonts w:ascii="宋体" w:hAnsi="宋体"/>
          <w:color w:val="000000"/>
          <w:sz w:val="24"/>
          <w:szCs w:val="24"/>
          <w:highlight w:val="none"/>
        </w:rPr>
      </w:pPr>
      <w:r>
        <w:rPr>
          <w:rFonts w:hint="eastAsia" w:ascii="宋体" w:hAnsi="宋体"/>
          <w:color w:val="000000"/>
          <w:sz w:val="24"/>
          <w:szCs w:val="24"/>
          <w:highlight w:val="none"/>
          <w:lang w:val="en-US" w:eastAsia="zh-CN"/>
        </w:rPr>
        <w:t>13</w:t>
      </w:r>
      <w:r>
        <w:rPr>
          <w:rFonts w:hint="eastAsia" w:ascii="宋体" w:hAnsi="宋体"/>
          <w:color w:val="000000"/>
          <w:sz w:val="24"/>
          <w:szCs w:val="24"/>
          <w:highlight w:val="none"/>
        </w:rPr>
        <w:t>.5加工损失率超过0.1%，超出部分由</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按现有催化剂价值进行全额赔偿（称误差性除外）。</w:t>
      </w:r>
    </w:p>
    <w:p>
      <w:pPr>
        <w:spacing w:line="360" w:lineRule="auto"/>
        <w:ind w:left="1097" w:leftChars="200" w:hanging="657" w:hangingChars="274"/>
        <w:rPr>
          <w:rFonts w:ascii="宋体" w:hAnsi="宋体"/>
          <w:color w:val="000000"/>
          <w:sz w:val="24"/>
          <w:szCs w:val="24"/>
          <w:highlight w:val="none"/>
        </w:rPr>
      </w:pPr>
      <w:r>
        <w:rPr>
          <w:rFonts w:hint="eastAsia" w:ascii="宋体" w:hAnsi="宋体"/>
          <w:color w:val="000000"/>
          <w:sz w:val="24"/>
          <w:szCs w:val="24"/>
          <w:highlight w:val="none"/>
        </w:rPr>
        <w:t>加工损失率=100%×[W前-（W后1+W后2+W后3）]/W前</w:t>
      </w:r>
    </w:p>
    <w:p>
      <w:pPr>
        <w:spacing w:line="360" w:lineRule="auto"/>
        <w:ind w:left="1097" w:leftChars="200" w:hanging="657" w:hangingChars="274"/>
        <w:rPr>
          <w:rFonts w:ascii="宋体" w:hAnsi="宋体"/>
          <w:color w:val="000000"/>
          <w:sz w:val="24"/>
          <w:szCs w:val="24"/>
          <w:highlight w:val="none"/>
        </w:rPr>
      </w:pPr>
      <w:r>
        <w:rPr>
          <w:rFonts w:hint="eastAsia" w:ascii="宋体" w:hAnsi="宋体"/>
          <w:color w:val="000000"/>
          <w:sz w:val="24"/>
          <w:szCs w:val="24"/>
          <w:highlight w:val="none"/>
        </w:rPr>
        <w:t>其中：W前——回收前催化剂总量（千克）</w:t>
      </w:r>
    </w:p>
    <w:p>
      <w:pPr>
        <w:spacing w:line="360" w:lineRule="auto"/>
        <w:ind w:left="1097" w:leftChars="200" w:hanging="657" w:hangingChars="274"/>
        <w:rPr>
          <w:rFonts w:ascii="宋体" w:hAnsi="宋体"/>
          <w:color w:val="000000"/>
          <w:sz w:val="24"/>
          <w:szCs w:val="24"/>
          <w:highlight w:val="none"/>
        </w:rPr>
      </w:pPr>
      <w:r>
        <w:rPr>
          <w:rFonts w:hint="eastAsia" w:ascii="宋体" w:hAnsi="宋体"/>
          <w:color w:val="000000"/>
          <w:sz w:val="24"/>
          <w:szCs w:val="24"/>
          <w:highlight w:val="none"/>
        </w:rPr>
        <w:t xml:space="preserve">      W后1——回收产生的粉尘及破碎催化剂量（千克）</w:t>
      </w:r>
    </w:p>
    <w:p>
      <w:pPr>
        <w:spacing w:line="360" w:lineRule="auto"/>
        <w:ind w:left="1097" w:leftChars="200" w:hanging="657" w:hangingChars="274"/>
        <w:rPr>
          <w:rFonts w:ascii="宋体" w:hAnsi="宋体"/>
          <w:color w:val="000000"/>
          <w:sz w:val="24"/>
          <w:szCs w:val="24"/>
          <w:highlight w:val="none"/>
        </w:rPr>
      </w:pPr>
      <w:r>
        <w:rPr>
          <w:rFonts w:hint="eastAsia" w:ascii="宋体" w:hAnsi="宋体"/>
          <w:color w:val="000000"/>
          <w:sz w:val="24"/>
          <w:szCs w:val="24"/>
          <w:highlight w:val="none"/>
        </w:rPr>
        <w:t xml:space="preserve">      W后2——回收后低碳催化剂量（千克）</w:t>
      </w:r>
    </w:p>
    <w:p>
      <w:pPr>
        <w:spacing w:line="360" w:lineRule="auto"/>
        <w:ind w:left="1097" w:leftChars="200" w:hanging="657" w:hangingChars="274"/>
        <w:rPr>
          <w:rFonts w:ascii="宋体" w:hAnsi="宋体"/>
          <w:color w:val="000000"/>
          <w:sz w:val="24"/>
          <w:szCs w:val="24"/>
          <w:highlight w:val="none"/>
        </w:rPr>
      </w:pPr>
      <w:r>
        <w:rPr>
          <w:rFonts w:hint="eastAsia" w:ascii="宋体" w:hAnsi="宋体"/>
          <w:color w:val="000000"/>
          <w:sz w:val="24"/>
          <w:szCs w:val="24"/>
          <w:highlight w:val="none"/>
        </w:rPr>
        <w:t xml:space="preserve">      W后3——分离后高碳催化剂量（千克）</w:t>
      </w:r>
    </w:p>
    <w:p>
      <w:pPr>
        <w:spacing w:line="360" w:lineRule="auto"/>
        <w:ind w:left="480" w:leftChars="0" w:hanging="480" w:hangingChars="200"/>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13</w:t>
      </w:r>
      <w:r>
        <w:rPr>
          <w:rFonts w:hint="eastAsia" w:ascii="宋体" w:hAnsi="宋体"/>
          <w:color w:val="000000"/>
          <w:sz w:val="24"/>
          <w:szCs w:val="24"/>
          <w:highlight w:val="none"/>
        </w:rPr>
        <w:t>.6</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因</w:t>
      </w:r>
      <w:r>
        <w:rPr>
          <w:rFonts w:hint="eastAsia" w:ascii="宋体" w:hAnsi="宋体"/>
          <w:color w:val="000000"/>
          <w:sz w:val="24"/>
          <w:szCs w:val="24"/>
          <w:highlight w:val="none"/>
          <w:lang w:val="en-US" w:eastAsia="zh-CN"/>
        </w:rPr>
        <w:t>甲方</w:t>
      </w:r>
      <w:r>
        <w:rPr>
          <w:rFonts w:hint="eastAsia" w:ascii="宋体" w:hAnsi="宋体"/>
          <w:color w:val="000000"/>
          <w:sz w:val="24"/>
          <w:szCs w:val="24"/>
          <w:highlight w:val="none"/>
        </w:rPr>
        <w:t>的原因造成</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回收催化剂分级工期延长的，</w:t>
      </w:r>
      <w:r>
        <w:rPr>
          <w:rFonts w:hint="eastAsia" w:ascii="宋体" w:hAnsi="宋体"/>
          <w:color w:val="000000"/>
          <w:sz w:val="24"/>
          <w:szCs w:val="24"/>
          <w:highlight w:val="none"/>
          <w:lang w:val="en-US" w:eastAsia="zh-CN"/>
        </w:rPr>
        <w:t>乙方</w:t>
      </w:r>
      <w:r>
        <w:rPr>
          <w:rFonts w:hint="eastAsia" w:ascii="宋体" w:hAnsi="宋体"/>
          <w:color w:val="000000"/>
          <w:sz w:val="24"/>
          <w:szCs w:val="24"/>
          <w:highlight w:val="none"/>
        </w:rPr>
        <w:t>不负责。</w:t>
      </w:r>
      <w:bookmarkStart w:id="10" w:name="_Toc280104067"/>
    </w:p>
    <w:p>
      <w:pPr>
        <w:spacing w:line="360" w:lineRule="auto"/>
        <w:ind w:left="480" w:leftChars="0" w:hanging="480" w:hangingChars="200"/>
        <w:rPr>
          <w:rFonts w:hint="eastAsia" w:ascii="宋体" w:hAnsi="宋体"/>
          <w:color w:val="000000"/>
          <w:sz w:val="24"/>
          <w:szCs w:val="24"/>
          <w:highlight w:val="none"/>
        </w:rPr>
      </w:pPr>
      <w:r>
        <w:rPr>
          <w:rFonts w:hint="eastAsia" w:ascii="宋体" w:hAnsi="宋体"/>
          <w:color w:val="000000"/>
          <w:sz w:val="24"/>
          <w:szCs w:val="24"/>
          <w:highlight w:val="none"/>
        </w:rPr>
        <w:t>1</w:t>
      </w:r>
      <w:r>
        <w:rPr>
          <w:rFonts w:hint="eastAsia" w:ascii="宋体" w:hAnsi="宋体"/>
          <w:color w:val="000000"/>
          <w:sz w:val="24"/>
          <w:szCs w:val="24"/>
          <w:highlight w:val="none"/>
          <w:lang w:val="en-US" w:eastAsia="zh-CN"/>
        </w:rPr>
        <w:t>3.7</w:t>
      </w:r>
      <w:r>
        <w:rPr>
          <w:rFonts w:hint="eastAsia" w:ascii="宋体" w:hAnsi="宋体"/>
          <w:color w:val="000000"/>
          <w:sz w:val="24"/>
          <w:szCs w:val="24"/>
          <w:highlight w:val="none"/>
        </w:rPr>
        <w:t>乙方</w:t>
      </w:r>
      <w:r>
        <w:rPr>
          <w:rFonts w:hint="eastAsia" w:ascii="宋体" w:hAnsi="宋体"/>
          <w:color w:val="000000"/>
          <w:sz w:val="24"/>
          <w:szCs w:val="24"/>
          <w:highlight w:val="none"/>
          <w:lang w:val="en-US" w:eastAsia="zh-CN"/>
        </w:rPr>
        <w:t>筛选</w:t>
      </w:r>
      <w:r>
        <w:rPr>
          <w:rFonts w:hint="eastAsia" w:ascii="宋体" w:hAnsi="宋体"/>
          <w:color w:val="000000"/>
          <w:sz w:val="24"/>
          <w:szCs w:val="24"/>
          <w:highlight w:val="none"/>
        </w:rPr>
        <w:t>后的催化剂达不到规定的质量标准，按照发包说明的要求扣减再生费用。</w:t>
      </w:r>
    </w:p>
    <w:p>
      <w:pPr>
        <w:spacing w:line="360" w:lineRule="auto"/>
        <w:ind w:left="480" w:leftChars="0" w:hanging="480" w:hangingChars="200"/>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13.8</w:t>
      </w:r>
      <w:r>
        <w:rPr>
          <w:rFonts w:hint="eastAsia" w:ascii="宋体" w:hAnsi="宋体"/>
          <w:color w:val="000000"/>
          <w:sz w:val="24"/>
          <w:szCs w:val="24"/>
          <w:highlight w:val="none"/>
        </w:rPr>
        <w:t>乙方未按照双方约定的交货日期</w:t>
      </w:r>
      <w:r>
        <w:rPr>
          <w:rFonts w:hint="eastAsia" w:ascii="宋体" w:hAnsi="宋体"/>
          <w:color w:val="000000"/>
          <w:sz w:val="24"/>
          <w:szCs w:val="24"/>
          <w:highlight w:val="none"/>
          <w:lang w:val="en-US" w:eastAsia="zh-CN"/>
        </w:rPr>
        <w:t>物理筛分</w:t>
      </w:r>
      <w:r>
        <w:rPr>
          <w:rFonts w:hint="eastAsia" w:ascii="宋体" w:hAnsi="宋体"/>
          <w:color w:val="000000"/>
          <w:sz w:val="24"/>
          <w:szCs w:val="24"/>
          <w:highlight w:val="none"/>
        </w:rPr>
        <w:t>催化剂，甲方有权提兑履约保函，不足部分有权依照新催化剂的价值要求乙方给予赔偿。</w:t>
      </w:r>
    </w:p>
    <w:p>
      <w:pPr>
        <w:spacing w:line="360" w:lineRule="auto"/>
        <w:ind w:left="480" w:leftChars="0" w:hanging="480" w:hangingChars="200"/>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13.9</w:t>
      </w:r>
      <w:r>
        <w:rPr>
          <w:rFonts w:hint="eastAsia" w:ascii="宋体" w:hAnsi="宋体"/>
          <w:color w:val="000000"/>
          <w:sz w:val="24"/>
          <w:szCs w:val="24"/>
          <w:highlight w:val="none"/>
        </w:rPr>
        <w:t>乙方在接受催化剂后，在运输、储存、回收等过程中发生甲方催化剂发生数量减少或灭失的，或者因储存、加工不得当等导致催化剂损失超过发包方案约定的数值等各种导致甲方损失的情形的，乙方应承担因此给甲方造成的全部损失，按照新鲜的催化剂的价值进行赔偿。</w:t>
      </w:r>
    </w:p>
    <w:p>
      <w:pPr>
        <w:keepNext w:val="0"/>
        <w:keepLines w:val="0"/>
        <w:pageBreakBefore w:val="0"/>
        <w:kinsoku/>
        <w:wordWrap/>
        <w:overflowPunct/>
        <w:topLinePunct w:val="0"/>
        <w:bidi w:val="0"/>
        <w:spacing w:line="360" w:lineRule="auto"/>
        <w:ind w:left="530" w:leftChars="0" w:hanging="530" w:hangingChars="221"/>
        <w:outlineLvl w:val="9"/>
        <w:rPr>
          <w:rStyle w:val="15"/>
          <w:rFonts w:hint="default" w:ascii="Times New Roman" w:hAnsi="Times New Roman" w:eastAsia="宋体" w:cs="Times New Roman"/>
          <w:bCs/>
          <w:i w:val="0"/>
          <w:iCs w:val="0"/>
          <w:sz w:val="24"/>
          <w:szCs w:val="24"/>
          <w:highlight w:val="none"/>
          <w:lang w:eastAsia="zh-CN"/>
        </w:rPr>
      </w:pPr>
      <w:r>
        <w:rPr>
          <w:rStyle w:val="15"/>
          <w:rFonts w:hint="default" w:ascii="Times New Roman" w:hAnsi="Times New Roman" w:eastAsia="宋体" w:cs="Times New Roman"/>
          <w:bCs/>
          <w:i w:val="0"/>
          <w:iCs w:val="0"/>
          <w:color w:val="000000"/>
          <w:sz w:val="24"/>
          <w:szCs w:val="24"/>
          <w:highlight w:val="none"/>
          <w:lang w:eastAsia="zh-CN"/>
        </w:rPr>
        <w:t>1</w:t>
      </w:r>
      <w:r>
        <w:rPr>
          <w:rStyle w:val="15"/>
          <w:rFonts w:hint="eastAsia" w:ascii="Times New Roman" w:hAnsi="Times New Roman" w:cs="Times New Roman"/>
          <w:bCs/>
          <w:i w:val="0"/>
          <w:iCs w:val="0"/>
          <w:color w:val="000000"/>
          <w:sz w:val="24"/>
          <w:szCs w:val="24"/>
          <w:highlight w:val="none"/>
          <w:lang w:val="en-US" w:eastAsia="zh-CN"/>
        </w:rPr>
        <w:t>3</w:t>
      </w:r>
      <w:r>
        <w:rPr>
          <w:rStyle w:val="15"/>
          <w:rFonts w:hint="default" w:ascii="Times New Roman" w:hAnsi="Times New Roman" w:eastAsia="宋体" w:cs="Times New Roman"/>
          <w:bCs/>
          <w:i w:val="0"/>
          <w:iCs w:val="0"/>
          <w:color w:val="000000"/>
          <w:sz w:val="24"/>
          <w:szCs w:val="24"/>
          <w:highlight w:val="none"/>
          <w:lang w:eastAsia="zh-CN"/>
        </w:rPr>
        <w:t>.</w:t>
      </w:r>
      <w:r>
        <w:rPr>
          <w:rStyle w:val="15"/>
          <w:rFonts w:hint="eastAsia" w:ascii="Times New Roman" w:hAnsi="Times New Roman" w:cs="Times New Roman"/>
          <w:bCs/>
          <w:i w:val="0"/>
          <w:iCs w:val="0"/>
          <w:color w:val="000000"/>
          <w:sz w:val="24"/>
          <w:szCs w:val="24"/>
          <w:highlight w:val="none"/>
          <w:lang w:val="en-US" w:eastAsia="zh-CN"/>
        </w:rPr>
        <w:t>10</w:t>
      </w:r>
      <w:r>
        <w:rPr>
          <w:rStyle w:val="15"/>
          <w:rFonts w:hint="default" w:ascii="Times New Roman" w:hAnsi="Times New Roman" w:eastAsia="宋体" w:cs="Times New Roman"/>
          <w:bCs/>
          <w:i w:val="0"/>
          <w:iCs w:val="0"/>
          <w:color w:val="000000"/>
          <w:sz w:val="24"/>
          <w:szCs w:val="24"/>
          <w:highlight w:val="none"/>
          <w:lang w:eastAsia="zh-CN"/>
        </w:rPr>
        <w:t>乙方如若逾期完成，每日应向甲方支付违约金为合同价格的 1 %，逾期超过</w:t>
      </w:r>
      <w:r>
        <w:rPr>
          <w:rFonts w:hint="default" w:ascii="Times New Roman" w:hAnsi="Times New Roman" w:eastAsia="宋体" w:cs="Times New Roman"/>
          <w:bCs/>
          <w:i w:val="0"/>
          <w:iCs w:val="0"/>
          <w:sz w:val="24"/>
          <w:szCs w:val="24"/>
          <w:highlight w:val="none"/>
          <w:u w:val="single"/>
          <w:lang w:eastAsia="zh-CN"/>
        </w:rPr>
        <w:t xml:space="preserve"> 三 </w:t>
      </w:r>
      <w:r>
        <w:rPr>
          <w:rStyle w:val="15"/>
          <w:rFonts w:hint="default" w:ascii="Times New Roman" w:hAnsi="Times New Roman" w:eastAsia="宋体" w:cs="Times New Roman"/>
          <w:bCs/>
          <w:i w:val="0"/>
          <w:iCs w:val="0"/>
          <w:color w:val="000000"/>
          <w:sz w:val="24"/>
          <w:szCs w:val="24"/>
          <w:highlight w:val="none"/>
          <w:lang w:eastAsia="zh-CN"/>
        </w:rPr>
        <w:t>日的，甲方还有权解除本合同并要求乙方退还已经收取的费用及占用期间利息，乙方还需支付甲方合同总</w:t>
      </w:r>
      <w:r>
        <w:rPr>
          <w:rStyle w:val="15"/>
          <w:rFonts w:hint="default" w:ascii="Times New Roman" w:hAnsi="Times New Roman" w:eastAsia="宋体" w:cs="Times New Roman"/>
          <w:bCs/>
          <w:i w:val="0"/>
          <w:iCs w:val="0"/>
          <w:sz w:val="24"/>
          <w:szCs w:val="24"/>
          <w:highlight w:val="none"/>
          <w:lang w:eastAsia="zh-CN"/>
        </w:rPr>
        <w:t>额 5 %的违约金。</w:t>
      </w:r>
    </w:p>
    <w:p>
      <w:pPr>
        <w:pStyle w:val="8"/>
        <w:keepNext w:val="0"/>
        <w:keepLines w:val="0"/>
        <w:pageBreakBefore w:val="0"/>
        <w:kinsoku/>
        <w:wordWrap/>
        <w:overflowPunct/>
        <w:topLinePunct w:val="0"/>
        <w:bidi w:val="0"/>
        <w:spacing w:line="360" w:lineRule="auto"/>
        <w:ind w:left="530" w:leftChars="0" w:hanging="530" w:hangingChars="221"/>
        <w:outlineLvl w:val="9"/>
        <w:rPr>
          <w:rStyle w:val="15"/>
          <w:rFonts w:hint="default" w:ascii="Times New Roman" w:hAnsi="Times New Roman" w:eastAsia="宋体" w:cs="Times New Roman"/>
          <w:bCs/>
          <w:i w:val="0"/>
          <w:iCs w:val="0"/>
          <w:sz w:val="24"/>
          <w:szCs w:val="24"/>
          <w:highlight w:val="none"/>
          <w:lang w:eastAsia="zh-CN"/>
        </w:rPr>
      </w:pPr>
      <w:r>
        <w:rPr>
          <w:rStyle w:val="15"/>
          <w:rFonts w:hint="eastAsia" w:ascii="Times New Roman" w:hAnsi="Times New Roman" w:cs="Times New Roman"/>
          <w:bCs/>
          <w:i w:val="0"/>
          <w:iCs w:val="0"/>
          <w:sz w:val="24"/>
          <w:szCs w:val="24"/>
          <w:highlight w:val="none"/>
          <w:lang w:val="en-US" w:eastAsia="zh-CN"/>
        </w:rPr>
        <w:t>13.11</w:t>
      </w:r>
      <w:r>
        <w:rPr>
          <w:rStyle w:val="15"/>
          <w:rFonts w:hint="default" w:ascii="Times New Roman" w:hAnsi="Times New Roman" w:eastAsia="宋体" w:cs="Times New Roman"/>
          <w:bCs/>
          <w:i w:val="0"/>
          <w:iCs w:val="0"/>
          <w:sz w:val="24"/>
          <w:szCs w:val="24"/>
          <w:highlight w:val="none"/>
          <w:lang w:eastAsia="zh-CN"/>
        </w:rPr>
        <w:t>乙方提交的服务咨询报告不符合合同约定的，应在甲方指定期限内修改完善直至符合合同约定为止，由此造成逾期提交的，按照第1款约定执行。</w:t>
      </w:r>
    </w:p>
    <w:p>
      <w:pPr>
        <w:pStyle w:val="8"/>
        <w:keepNext w:val="0"/>
        <w:keepLines w:val="0"/>
        <w:pageBreakBefore w:val="0"/>
        <w:kinsoku/>
        <w:wordWrap/>
        <w:overflowPunct/>
        <w:topLinePunct w:val="0"/>
        <w:bidi w:val="0"/>
        <w:spacing w:line="360" w:lineRule="auto"/>
        <w:ind w:left="530" w:leftChars="0" w:hanging="530" w:hangingChars="221"/>
        <w:outlineLvl w:val="9"/>
        <w:rPr>
          <w:rStyle w:val="15"/>
          <w:rFonts w:hint="default" w:ascii="Times New Roman" w:hAnsi="Times New Roman" w:eastAsia="宋体" w:cs="Times New Roman"/>
          <w:bCs/>
          <w:i w:val="0"/>
          <w:iCs w:val="0"/>
          <w:sz w:val="24"/>
          <w:szCs w:val="24"/>
          <w:highlight w:val="none"/>
          <w:lang w:eastAsia="zh-CN"/>
        </w:rPr>
      </w:pPr>
      <w:r>
        <w:rPr>
          <w:rStyle w:val="15"/>
          <w:rFonts w:hint="eastAsia" w:ascii="Times New Roman" w:hAnsi="Times New Roman" w:cs="Times New Roman"/>
          <w:bCs/>
          <w:i w:val="0"/>
          <w:iCs w:val="0"/>
          <w:sz w:val="24"/>
          <w:szCs w:val="24"/>
          <w:highlight w:val="none"/>
          <w:lang w:val="en-US" w:eastAsia="zh-CN"/>
        </w:rPr>
        <w:t>13.12</w:t>
      </w:r>
      <w:r>
        <w:rPr>
          <w:rStyle w:val="15"/>
          <w:rFonts w:hint="default" w:ascii="Times New Roman" w:hAnsi="Times New Roman" w:eastAsia="宋体" w:cs="Times New Roman"/>
          <w:bCs/>
          <w:i w:val="0"/>
          <w:iCs w:val="0"/>
          <w:sz w:val="24"/>
          <w:szCs w:val="24"/>
          <w:highlight w:val="none"/>
          <w:lang w:val="en-US" w:eastAsia="zh-CN"/>
        </w:rPr>
        <w:t xml:space="preserve"> </w:t>
      </w:r>
      <w:r>
        <w:rPr>
          <w:rStyle w:val="15"/>
          <w:rFonts w:hint="default" w:ascii="Times New Roman" w:hAnsi="Times New Roman" w:eastAsia="宋体" w:cs="Times New Roman"/>
          <w:bCs/>
          <w:i w:val="0"/>
          <w:iCs w:val="0"/>
          <w:sz w:val="24"/>
          <w:szCs w:val="24"/>
          <w:highlight w:val="none"/>
          <w:lang w:eastAsia="zh-CN"/>
        </w:rPr>
        <w:t>任何一方违反保密义务的，应向对方支付违约金人民币</w:t>
      </w:r>
      <w:r>
        <w:rPr>
          <w:rFonts w:hint="default" w:ascii="Times New Roman" w:hAnsi="Times New Roman" w:eastAsia="宋体" w:cs="Times New Roman"/>
          <w:bCs/>
          <w:i w:val="0"/>
          <w:iCs w:val="0"/>
          <w:sz w:val="24"/>
          <w:szCs w:val="24"/>
          <w:highlight w:val="none"/>
          <w:u w:val="single"/>
          <w:lang w:eastAsia="zh-CN"/>
        </w:rPr>
        <w:t xml:space="preserve"> 壹万 </w:t>
      </w:r>
      <w:r>
        <w:rPr>
          <w:rStyle w:val="15"/>
          <w:rFonts w:hint="default" w:ascii="Times New Roman" w:hAnsi="Times New Roman" w:eastAsia="宋体" w:cs="Times New Roman"/>
          <w:bCs/>
          <w:i w:val="0"/>
          <w:iCs w:val="0"/>
          <w:sz w:val="24"/>
          <w:szCs w:val="24"/>
          <w:highlight w:val="none"/>
          <w:lang w:eastAsia="zh-CN"/>
        </w:rPr>
        <w:t>元；并赔偿由此给对方造成的损失。</w:t>
      </w:r>
    </w:p>
    <w:p>
      <w:pPr>
        <w:pStyle w:val="8"/>
        <w:keepNext w:val="0"/>
        <w:keepLines w:val="0"/>
        <w:pageBreakBefore w:val="0"/>
        <w:kinsoku/>
        <w:wordWrap/>
        <w:overflowPunct/>
        <w:topLinePunct w:val="0"/>
        <w:bidi w:val="0"/>
        <w:spacing w:line="360" w:lineRule="auto"/>
        <w:ind w:left="530" w:leftChars="0" w:hanging="530" w:hangingChars="221"/>
        <w:outlineLvl w:val="9"/>
        <w:rPr>
          <w:rStyle w:val="15"/>
          <w:rFonts w:hint="default" w:ascii="Times New Roman" w:hAnsi="Times New Roman" w:eastAsia="宋体" w:cs="Times New Roman"/>
          <w:bCs/>
          <w:i w:val="0"/>
          <w:iCs w:val="0"/>
          <w:sz w:val="24"/>
          <w:szCs w:val="24"/>
          <w:highlight w:val="none"/>
          <w:lang w:eastAsia="zh-CN"/>
        </w:rPr>
      </w:pPr>
      <w:r>
        <w:rPr>
          <w:rStyle w:val="15"/>
          <w:rFonts w:hint="eastAsia" w:ascii="Times New Roman" w:hAnsi="Times New Roman" w:cs="Times New Roman"/>
          <w:bCs/>
          <w:i w:val="0"/>
          <w:iCs w:val="0"/>
          <w:sz w:val="24"/>
          <w:szCs w:val="24"/>
          <w:highlight w:val="none"/>
          <w:lang w:val="en-US" w:eastAsia="zh-CN"/>
        </w:rPr>
        <w:t>13.13</w:t>
      </w:r>
      <w:r>
        <w:rPr>
          <w:rStyle w:val="15"/>
          <w:rFonts w:hint="default" w:ascii="Times New Roman" w:hAnsi="Times New Roman" w:eastAsia="宋体" w:cs="Times New Roman"/>
          <w:bCs/>
          <w:i w:val="0"/>
          <w:iCs w:val="0"/>
          <w:sz w:val="24"/>
          <w:szCs w:val="24"/>
          <w:highlight w:val="none"/>
          <w:lang w:eastAsia="zh-CN"/>
        </w:rPr>
        <w:t>任何一方无正当理由单方解除合同的，应向对方支付合同总额5%的违约金，并赔偿对方的损失。</w:t>
      </w:r>
    </w:p>
    <w:p>
      <w:pPr>
        <w:pStyle w:val="8"/>
        <w:keepNext w:val="0"/>
        <w:keepLines w:val="0"/>
        <w:pageBreakBefore w:val="0"/>
        <w:kinsoku/>
        <w:wordWrap/>
        <w:overflowPunct/>
        <w:topLinePunct w:val="0"/>
        <w:bidi w:val="0"/>
        <w:spacing w:line="360" w:lineRule="auto"/>
        <w:ind w:left="530" w:leftChars="0" w:hanging="530" w:hangingChars="221"/>
        <w:outlineLvl w:val="9"/>
        <w:rPr>
          <w:rStyle w:val="15"/>
          <w:rFonts w:hint="default" w:ascii="Times New Roman" w:hAnsi="Times New Roman" w:eastAsia="宋体" w:cs="Times New Roman"/>
          <w:bCs/>
          <w:i w:val="0"/>
          <w:iCs w:val="0"/>
          <w:sz w:val="24"/>
          <w:szCs w:val="24"/>
          <w:highlight w:val="none"/>
          <w:lang w:eastAsia="zh-CN"/>
        </w:rPr>
      </w:pPr>
      <w:r>
        <w:rPr>
          <w:rStyle w:val="15"/>
          <w:rFonts w:hint="eastAsia" w:ascii="Times New Roman" w:hAnsi="Times New Roman" w:cs="Times New Roman"/>
          <w:bCs/>
          <w:i w:val="0"/>
          <w:iCs w:val="0"/>
          <w:sz w:val="24"/>
          <w:szCs w:val="24"/>
          <w:highlight w:val="none"/>
          <w:lang w:val="en-US" w:eastAsia="zh-CN"/>
        </w:rPr>
        <w:t>13.14</w:t>
      </w:r>
      <w:r>
        <w:rPr>
          <w:rStyle w:val="15"/>
          <w:rFonts w:hint="default" w:ascii="Times New Roman" w:hAnsi="Times New Roman" w:eastAsia="宋体" w:cs="Times New Roman"/>
          <w:bCs/>
          <w:i w:val="0"/>
          <w:iCs w:val="0"/>
          <w:sz w:val="24"/>
          <w:szCs w:val="24"/>
          <w:highlight w:val="none"/>
          <w:lang w:eastAsia="zh-CN"/>
        </w:rPr>
        <w:t>若乙方在履行合同过程中存在弄虚作假的情形，甲方有权单方解除合同，乙方应退还已收取的费用及占用期间利息，并支付甲方合同总额5%的违约金。</w:t>
      </w:r>
    </w:p>
    <w:p>
      <w:pPr>
        <w:pStyle w:val="8"/>
        <w:keepNext w:val="0"/>
        <w:keepLines w:val="0"/>
        <w:pageBreakBefore w:val="0"/>
        <w:kinsoku/>
        <w:wordWrap/>
        <w:overflowPunct/>
        <w:topLinePunct w:val="0"/>
        <w:bidi w:val="0"/>
        <w:spacing w:line="360" w:lineRule="auto"/>
        <w:ind w:left="530" w:leftChars="0" w:hanging="530" w:hangingChars="221"/>
        <w:outlineLvl w:val="9"/>
        <w:rPr>
          <w:rStyle w:val="15"/>
          <w:rFonts w:hint="default" w:ascii="Times New Roman" w:hAnsi="Times New Roman" w:eastAsia="宋体" w:cs="Times New Roman"/>
          <w:bCs/>
          <w:i w:val="0"/>
          <w:iCs w:val="0"/>
          <w:color w:val="000000"/>
          <w:sz w:val="24"/>
          <w:szCs w:val="24"/>
          <w:highlight w:val="none"/>
          <w:lang w:eastAsia="zh-CN"/>
        </w:rPr>
      </w:pPr>
      <w:r>
        <w:rPr>
          <w:rStyle w:val="15"/>
          <w:rFonts w:hint="eastAsia" w:ascii="Times New Roman" w:hAnsi="Times New Roman" w:cs="Times New Roman"/>
          <w:bCs/>
          <w:i w:val="0"/>
          <w:iCs w:val="0"/>
          <w:sz w:val="24"/>
          <w:szCs w:val="24"/>
          <w:highlight w:val="none"/>
          <w:lang w:val="en-US" w:eastAsia="zh-CN"/>
        </w:rPr>
        <w:t>13.15</w:t>
      </w:r>
      <w:r>
        <w:rPr>
          <w:rStyle w:val="15"/>
          <w:rFonts w:hint="default" w:ascii="Times New Roman" w:hAnsi="Times New Roman" w:eastAsia="宋体" w:cs="Times New Roman"/>
          <w:bCs/>
          <w:i w:val="0"/>
          <w:iCs w:val="0"/>
          <w:sz w:val="24"/>
          <w:szCs w:val="24"/>
          <w:highlight w:val="none"/>
          <w:lang w:eastAsia="zh-CN"/>
        </w:rPr>
        <w:t>乙方进入甲方现场服务期间，因不可归责于甲方的原因造成甲方、</w:t>
      </w:r>
      <w:r>
        <w:rPr>
          <w:rStyle w:val="15"/>
          <w:rFonts w:hint="default" w:ascii="Times New Roman" w:hAnsi="Times New Roman" w:eastAsia="宋体" w:cs="Times New Roman"/>
          <w:bCs/>
          <w:i w:val="0"/>
          <w:iCs w:val="0"/>
          <w:color w:val="000000"/>
          <w:sz w:val="24"/>
          <w:szCs w:val="24"/>
          <w:highlight w:val="none"/>
          <w:lang w:eastAsia="zh-CN"/>
        </w:rPr>
        <w:t>乙方或任何第三方人身财产损失的，由乙方承担全部责任。</w:t>
      </w:r>
    </w:p>
    <w:p>
      <w:pPr>
        <w:pStyle w:val="8"/>
        <w:keepNext w:val="0"/>
        <w:keepLines w:val="0"/>
        <w:pageBreakBefore w:val="0"/>
        <w:kinsoku/>
        <w:wordWrap/>
        <w:overflowPunct/>
        <w:topLinePunct w:val="0"/>
        <w:bidi w:val="0"/>
        <w:spacing w:line="360" w:lineRule="auto"/>
        <w:ind w:left="530" w:leftChars="0" w:hanging="530" w:hangingChars="221"/>
        <w:outlineLvl w:val="9"/>
        <w:rPr>
          <w:rFonts w:hint="eastAsia"/>
          <w:i w:val="0"/>
          <w:iCs w:val="0"/>
          <w:highlight w:val="none"/>
        </w:rPr>
      </w:pPr>
      <w:r>
        <w:rPr>
          <w:rStyle w:val="15"/>
          <w:rFonts w:hint="eastAsia" w:ascii="Times New Roman" w:hAnsi="Times New Roman" w:cs="Times New Roman"/>
          <w:bCs/>
          <w:i w:val="0"/>
          <w:iCs w:val="0"/>
          <w:color w:val="000000"/>
          <w:sz w:val="24"/>
          <w:szCs w:val="24"/>
          <w:highlight w:val="none"/>
          <w:lang w:val="en-US" w:eastAsia="zh-CN"/>
        </w:rPr>
        <w:t>13.16</w:t>
      </w:r>
      <w:r>
        <w:rPr>
          <w:rStyle w:val="15"/>
          <w:rFonts w:hint="default" w:ascii="Times New Roman" w:hAnsi="Times New Roman" w:eastAsia="宋体" w:cs="Times New Roman"/>
          <w:bCs/>
          <w:i w:val="0"/>
          <w:iCs w:val="0"/>
          <w:color w:val="000000"/>
          <w:sz w:val="24"/>
          <w:szCs w:val="24"/>
          <w:highlight w:val="none"/>
          <w:lang w:eastAsia="zh-CN"/>
        </w:rPr>
        <w:t>甲方已就本合同项下涉及乙方重大利害关系的条款向乙方作出详细说明，乙方充分理解上述条款含义，并自愿签订本合同。</w:t>
      </w:r>
    </w:p>
    <w:bookmarkEnd w:id="10"/>
    <w:p>
      <w:pPr>
        <w:keepNext w:val="0"/>
        <w:keepLines w:val="0"/>
        <w:pageBreakBefore w:val="0"/>
        <w:widowControl w:val="0"/>
        <w:numPr>
          <w:ilvl w:val="0"/>
          <w:numId w:val="8"/>
        </w:numPr>
        <w:kinsoku/>
        <w:wordWrap/>
        <w:overflowPunct/>
        <w:topLinePunct w:val="0"/>
        <w:autoSpaceDE w:val="0"/>
        <w:autoSpaceDN w:val="0"/>
        <w:bidi w:val="0"/>
        <w:adjustRightInd/>
        <w:snapToGrid/>
        <w:spacing w:before="157" w:beforeLines="50" w:after="157" w:afterLines="50" w:line="240" w:lineRule="auto"/>
        <w:ind w:left="0" w:leftChars="0" w:right="0" w:rightChars="0" w:firstLine="0" w:firstLineChars="0"/>
        <w:jc w:val="left"/>
        <w:textAlignment w:val="auto"/>
        <w:outlineLvl w:val="9"/>
        <w:rPr>
          <w:rFonts w:hint="eastAsia"/>
          <w:b/>
          <w:bCs/>
          <w:highlight w:val="none"/>
        </w:rPr>
      </w:pPr>
      <w:r>
        <w:rPr>
          <w:rFonts w:hint="eastAsia"/>
          <w:b/>
          <w:bCs/>
          <w:highlight w:val="none"/>
          <w:lang w:val="en-US" w:eastAsia="zh-CN"/>
        </w:rPr>
        <w:t xml:space="preserve"> </w:t>
      </w:r>
      <w:r>
        <w:rPr>
          <w:rFonts w:hint="eastAsia"/>
          <w:b/>
          <w:bCs/>
          <w:highlight w:val="none"/>
        </w:rPr>
        <w:t>安全、健康和环境保护</w:t>
      </w:r>
    </w:p>
    <w:p>
      <w:pPr>
        <w:spacing w:line="360" w:lineRule="auto"/>
        <w:ind w:left="573" w:leftChars="0" w:hanging="573" w:hangingChars="239"/>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14</w:t>
      </w:r>
      <w:r>
        <w:rPr>
          <w:rFonts w:hint="eastAsia" w:ascii="宋体" w:hAnsi="宋体"/>
          <w:color w:val="000000"/>
          <w:sz w:val="24"/>
          <w:szCs w:val="24"/>
          <w:highlight w:val="none"/>
        </w:rPr>
        <w:t>.1作业人员施工前认真学习安全生产法规，作业人员无条件服从</w:t>
      </w:r>
      <w:r>
        <w:rPr>
          <w:rFonts w:hint="eastAsia"/>
          <w:color w:val="000000"/>
          <w:sz w:val="24"/>
          <w:szCs w:val="24"/>
          <w:highlight w:val="none"/>
          <w:lang w:val="en-US" w:eastAsia="zh-CN"/>
        </w:rPr>
        <w:t>甲方</w:t>
      </w:r>
      <w:r>
        <w:rPr>
          <w:rFonts w:hint="eastAsia" w:ascii="宋体" w:hAnsi="宋体"/>
          <w:color w:val="000000"/>
          <w:sz w:val="24"/>
          <w:szCs w:val="24"/>
          <w:highlight w:val="none"/>
        </w:rPr>
        <w:t>安全检查人员指挥，遵守各项安全规章制度；</w:t>
      </w:r>
    </w:p>
    <w:p>
      <w:pPr>
        <w:spacing w:line="360" w:lineRule="auto"/>
        <w:ind w:left="573" w:leftChars="0" w:hanging="573" w:hangingChars="239"/>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14</w:t>
      </w:r>
      <w:r>
        <w:rPr>
          <w:rFonts w:hint="eastAsia" w:ascii="宋体" w:hAnsi="宋体"/>
          <w:color w:val="000000"/>
          <w:sz w:val="24"/>
          <w:szCs w:val="24"/>
          <w:highlight w:val="none"/>
        </w:rPr>
        <w:t>.2作业人员要结合施工特点，开展安全活动，并认真作好记录；危险部位的施工，要坚持班前讲安全；</w:t>
      </w:r>
    </w:p>
    <w:p>
      <w:pPr>
        <w:spacing w:line="360" w:lineRule="auto"/>
        <w:ind w:left="573" w:leftChars="0" w:hanging="573" w:hangingChars="239"/>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14</w:t>
      </w:r>
      <w:r>
        <w:rPr>
          <w:rFonts w:hint="eastAsia" w:ascii="宋体" w:hAnsi="宋体"/>
          <w:color w:val="000000"/>
          <w:sz w:val="24"/>
          <w:szCs w:val="24"/>
          <w:highlight w:val="none"/>
        </w:rPr>
        <w:t>.3在施工现场要设立醒目的安全标语牌和设置安全标志；</w:t>
      </w:r>
    </w:p>
    <w:p>
      <w:pPr>
        <w:spacing w:line="360" w:lineRule="auto"/>
        <w:ind w:left="573" w:leftChars="0" w:hanging="573" w:hangingChars="239"/>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14</w:t>
      </w:r>
      <w:r>
        <w:rPr>
          <w:rFonts w:hint="eastAsia" w:ascii="宋体" w:hAnsi="宋体"/>
          <w:color w:val="000000"/>
          <w:sz w:val="24"/>
          <w:szCs w:val="24"/>
          <w:highlight w:val="none"/>
        </w:rPr>
        <w:t>.4进入施工现场的所有人员必须戴安全帽，着装应符合有关规定，作业人员应清楚工作内容和防护措施；</w:t>
      </w:r>
    </w:p>
    <w:p>
      <w:pPr>
        <w:spacing w:line="360" w:lineRule="auto"/>
        <w:ind w:left="573" w:leftChars="0" w:hanging="573" w:hangingChars="239"/>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14</w:t>
      </w:r>
      <w:r>
        <w:rPr>
          <w:rFonts w:hint="eastAsia" w:ascii="宋体" w:hAnsi="宋体"/>
          <w:color w:val="000000"/>
          <w:sz w:val="24"/>
          <w:szCs w:val="24"/>
          <w:highlight w:val="none"/>
        </w:rPr>
        <w:t>.5合理安排作息时间，考虑施工人员身体承受能力；</w:t>
      </w:r>
    </w:p>
    <w:p>
      <w:pPr>
        <w:spacing w:line="360" w:lineRule="auto"/>
        <w:ind w:left="573" w:leftChars="0" w:hanging="573" w:hangingChars="239"/>
        <w:rPr>
          <w:rFonts w:ascii="宋体" w:hAnsi="宋体"/>
          <w:color w:val="000000"/>
          <w:sz w:val="24"/>
          <w:szCs w:val="24"/>
          <w:highlight w:val="none"/>
        </w:rPr>
      </w:pPr>
      <w:r>
        <w:rPr>
          <w:rFonts w:hint="eastAsia" w:ascii="宋体" w:hAnsi="宋体"/>
          <w:color w:val="000000"/>
          <w:sz w:val="24"/>
          <w:szCs w:val="24"/>
          <w:highlight w:val="none"/>
          <w:lang w:val="en-US" w:eastAsia="zh-CN"/>
        </w:rPr>
        <w:t>14</w:t>
      </w:r>
      <w:r>
        <w:rPr>
          <w:rFonts w:hint="eastAsia" w:ascii="宋体" w:hAnsi="宋体"/>
          <w:color w:val="000000"/>
          <w:sz w:val="24"/>
          <w:szCs w:val="24"/>
          <w:highlight w:val="none"/>
        </w:rPr>
        <w:t>.6应有专职安全技术人员应每天巡视现场，及时发现施工中的不安全隐患和违章行为，及时排除险情，制止违章指挥和违章作业，监督施工中安全技术措施的执行，对发现安全隐患，保证无条件地及时整改；</w:t>
      </w:r>
    </w:p>
    <w:p>
      <w:pPr>
        <w:spacing w:line="360" w:lineRule="auto"/>
        <w:ind w:left="573" w:leftChars="0" w:hanging="573" w:hangingChars="239"/>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14</w:t>
      </w:r>
      <w:r>
        <w:rPr>
          <w:rFonts w:hint="eastAsia" w:ascii="宋体" w:hAnsi="宋体"/>
          <w:color w:val="000000"/>
          <w:sz w:val="24"/>
          <w:szCs w:val="24"/>
          <w:highlight w:val="none"/>
        </w:rPr>
        <w:t>.7</w:t>
      </w:r>
      <w:r>
        <w:rPr>
          <w:rFonts w:hint="eastAsia"/>
          <w:color w:val="000000"/>
          <w:sz w:val="24"/>
          <w:szCs w:val="24"/>
          <w:highlight w:val="none"/>
          <w:lang w:val="en-US" w:eastAsia="zh-CN"/>
        </w:rPr>
        <w:t>乙方</w:t>
      </w:r>
      <w:r>
        <w:rPr>
          <w:rFonts w:hint="eastAsia" w:ascii="宋体" w:hAnsi="宋体"/>
          <w:color w:val="000000"/>
          <w:sz w:val="24"/>
          <w:szCs w:val="24"/>
          <w:highlight w:val="none"/>
        </w:rPr>
        <w:t>须与</w:t>
      </w:r>
      <w:r>
        <w:rPr>
          <w:rFonts w:hint="eastAsia"/>
          <w:color w:val="000000"/>
          <w:sz w:val="24"/>
          <w:szCs w:val="24"/>
          <w:highlight w:val="none"/>
          <w:lang w:val="en-US" w:eastAsia="zh-CN"/>
        </w:rPr>
        <w:t>甲方</w:t>
      </w:r>
      <w:r>
        <w:rPr>
          <w:rFonts w:hint="eastAsia" w:ascii="宋体" w:hAnsi="宋体"/>
          <w:color w:val="000000"/>
          <w:sz w:val="24"/>
          <w:szCs w:val="24"/>
          <w:highlight w:val="none"/>
        </w:rPr>
        <w:t>签订安全环保协议作为合同附件。</w:t>
      </w:r>
    </w:p>
    <w:p>
      <w:pPr>
        <w:spacing w:line="360" w:lineRule="auto"/>
        <w:ind w:left="573" w:leftChars="0" w:hanging="573" w:hangingChars="239"/>
        <w:rPr>
          <w:rFonts w:hint="eastAsia" w:ascii="宋体" w:hAnsi="宋体"/>
          <w:color w:val="000000"/>
          <w:sz w:val="24"/>
          <w:szCs w:val="24"/>
          <w:highlight w:val="none"/>
        </w:rPr>
      </w:pPr>
      <w:r>
        <w:rPr>
          <w:rFonts w:hint="eastAsia" w:ascii="宋体" w:hAnsi="宋体"/>
          <w:color w:val="000000"/>
          <w:sz w:val="24"/>
          <w:szCs w:val="24"/>
          <w:highlight w:val="none"/>
        </w:rPr>
        <w:t>1</w:t>
      </w:r>
      <w:r>
        <w:rPr>
          <w:rFonts w:hint="eastAsia" w:ascii="宋体" w:hAnsi="宋体"/>
          <w:color w:val="000000"/>
          <w:sz w:val="24"/>
          <w:szCs w:val="24"/>
          <w:highlight w:val="none"/>
          <w:lang w:val="en-US" w:eastAsia="zh-CN"/>
        </w:rPr>
        <w:t>4.</w:t>
      </w:r>
      <w:r>
        <w:rPr>
          <w:rFonts w:hint="eastAsia"/>
          <w:color w:val="000000"/>
          <w:sz w:val="24"/>
          <w:szCs w:val="24"/>
          <w:highlight w:val="none"/>
          <w:lang w:val="en-US" w:eastAsia="zh-CN"/>
        </w:rPr>
        <w:t>8</w:t>
      </w:r>
      <w:r>
        <w:rPr>
          <w:rFonts w:hint="eastAsia" w:ascii="宋体" w:hAnsi="宋体"/>
          <w:color w:val="000000"/>
          <w:sz w:val="24"/>
          <w:szCs w:val="24"/>
          <w:highlight w:val="none"/>
        </w:rPr>
        <w:t>甲乙双方应分别保证取得处理产品所需的相关政府许可和执照。</w:t>
      </w:r>
    </w:p>
    <w:p>
      <w:pPr>
        <w:spacing w:line="360" w:lineRule="auto"/>
        <w:ind w:left="573" w:leftChars="0" w:hanging="573" w:hangingChars="239"/>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14.</w:t>
      </w:r>
      <w:r>
        <w:rPr>
          <w:rFonts w:hint="eastAsia"/>
          <w:color w:val="000000"/>
          <w:sz w:val="24"/>
          <w:szCs w:val="24"/>
          <w:highlight w:val="none"/>
          <w:lang w:val="en-US" w:eastAsia="zh-CN"/>
        </w:rPr>
        <w:t>9</w:t>
      </w:r>
      <w:r>
        <w:rPr>
          <w:rFonts w:hint="eastAsia" w:ascii="宋体" w:hAnsi="宋体"/>
          <w:color w:val="000000"/>
          <w:sz w:val="24"/>
          <w:szCs w:val="24"/>
          <w:highlight w:val="none"/>
        </w:rPr>
        <w:t>甲乙双方应分别保证在运输、存储、加工、使用等过程中遵守安全、健康与环境保护等法律法规的有关要求，并承担各自的安全、健康与环境保护责任。</w:t>
      </w:r>
    </w:p>
    <w:p>
      <w:pPr>
        <w:spacing w:line="360" w:lineRule="auto"/>
        <w:ind w:left="573" w:leftChars="0" w:hanging="573" w:hangingChars="239"/>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14</w:t>
      </w:r>
      <w:r>
        <w:rPr>
          <w:rFonts w:hint="eastAsia"/>
          <w:color w:val="000000"/>
          <w:sz w:val="24"/>
          <w:szCs w:val="24"/>
          <w:highlight w:val="none"/>
          <w:lang w:val="en-US" w:eastAsia="zh-CN"/>
        </w:rPr>
        <w:t>.10</w:t>
      </w:r>
      <w:r>
        <w:rPr>
          <w:rFonts w:hint="eastAsia" w:ascii="宋体" w:hAnsi="宋体"/>
          <w:color w:val="000000"/>
          <w:sz w:val="24"/>
          <w:szCs w:val="24"/>
          <w:highlight w:val="none"/>
        </w:rPr>
        <w:t>乙方至甲方工厂</w:t>
      </w:r>
      <w:r>
        <w:rPr>
          <w:rFonts w:hint="eastAsia"/>
          <w:color w:val="000000"/>
          <w:sz w:val="24"/>
          <w:szCs w:val="24"/>
          <w:highlight w:val="none"/>
          <w:lang w:val="en-US" w:eastAsia="zh-CN"/>
        </w:rPr>
        <w:t>作业</w:t>
      </w:r>
      <w:r>
        <w:rPr>
          <w:rFonts w:hint="eastAsia" w:ascii="宋体" w:hAnsi="宋体"/>
          <w:color w:val="000000"/>
          <w:sz w:val="24"/>
          <w:szCs w:val="24"/>
          <w:highlight w:val="none"/>
        </w:rPr>
        <w:t>时必须严格遵守甲方公司的安全规定。</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482" w:leftChars="0" w:right="0" w:rightChars="0" w:hanging="482" w:hangingChars="200"/>
        <w:jc w:val="left"/>
        <w:textAlignment w:val="auto"/>
        <w:outlineLvl w:val="9"/>
        <w:rPr>
          <w:rFonts w:hint="eastAsia" w:ascii="宋体" w:hAnsi="宋体"/>
          <w:color w:val="000000"/>
          <w:sz w:val="24"/>
          <w:szCs w:val="24"/>
          <w:highlight w:val="none"/>
        </w:rPr>
      </w:pPr>
      <w:r>
        <w:rPr>
          <w:rFonts w:hint="eastAsia" w:ascii="宋体" w:hAnsi="宋体"/>
          <w:b/>
          <w:bCs/>
          <w:color w:val="000000"/>
          <w:sz w:val="24"/>
          <w:szCs w:val="24"/>
          <w:highlight w:val="none"/>
        </w:rPr>
        <w:t>第十</w:t>
      </w:r>
      <w:r>
        <w:rPr>
          <w:rFonts w:hint="eastAsia"/>
          <w:b/>
          <w:bCs/>
          <w:color w:val="000000"/>
          <w:sz w:val="24"/>
          <w:szCs w:val="24"/>
          <w:highlight w:val="none"/>
          <w:lang w:val="en-US" w:eastAsia="zh-CN"/>
        </w:rPr>
        <w:t>五</w:t>
      </w:r>
      <w:r>
        <w:rPr>
          <w:rFonts w:hint="eastAsia" w:ascii="宋体" w:hAnsi="宋体"/>
          <w:b/>
          <w:bCs/>
          <w:color w:val="000000"/>
          <w:sz w:val="24"/>
          <w:szCs w:val="24"/>
          <w:highlight w:val="none"/>
        </w:rPr>
        <w:t>条</w:t>
      </w:r>
      <w:r>
        <w:rPr>
          <w:rFonts w:hint="eastAsia"/>
          <w:color w:val="000000"/>
          <w:sz w:val="24"/>
          <w:szCs w:val="24"/>
          <w:highlight w:val="none"/>
          <w:lang w:val="en-US" w:eastAsia="zh-CN"/>
        </w:rPr>
        <w:t xml:space="preserve">  </w:t>
      </w:r>
      <w:r>
        <w:rPr>
          <w:rFonts w:hint="eastAsia" w:ascii="宋体" w:hAnsi="宋体"/>
          <w:color w:val="000000"/>
          <w:sz w:val="24"/>
          <w:szCs w:val="24"/>
          <w:highlight w:val="none"/>
        </w:rPr>
        <w:t>双方因履行本合同而发生的争议，可协商、调解解决，也可直接采取下列第2种方式解决：</w:t>
      </w:r>
    </w:p>
    <w:p>
      <w:pPr>
        <w:spacing w:line="360" w:lineRule="auto"/>
        <w:ind w:left="480" w:leftChars="0" w:hanging="480" w:hangingChars="200"/>
        <w:rPr>
          <w:rFonts w:hint="eastAsia" w:ascii="宋体" w:hAnsi="宋体"/>
          <w:color w:val="000000"/>
          <w:sz w:val="24"/>
          <w:szCs w:val="24"/>
          <w:highlight w:val="none"/>
        </w:rPr>
      </w:pPr>
      <w:r>
        <w:rPr>
          <w:rFonts w:hint="eastAsia"/>
          <w:color w:val="000000"/>
          <w:sz w:val="24"/>
          <w:szCs w:val="24"/>
          <w:highlight w:val="none"/>
          <w:lang w:val="en-US" w:eastAsia="zh-CN"/>
        </w:rPr>
        <w:t>15.</w:t>
      </w:r>
      <w:r>
        <w:rPr>
          <w:rFonts w:hint="eastAsia" w:ascii="宋体" w:hAnsi="宋体"/>
          <w:color w:val="000000"/>
          <w:sz w:val="24"/>
          <w:szCs w:val="24"/>
          <w:highlight w:val="none"/>
        </w:rPr>
        <w:t>1</w:t>
      </w:r>
      <w:r>
        <w:rPr>
          <w:rFonts w:hint="eastAsia"/>
          <w:color w:val="000000"/>
          <w:sz w:val="24"/>
          <w:szCs w:val="24"/>
          <w:highlight w:val="none"/>
          <w:lang w:val="en-US" w:eastAsia="zh-CN"/>
        </w:rPr>
        <w:t xml:space="preserve"> </w:t>
      </w:r>
      <w:r>
        <w:rPr>
          <w:rFonts w:hint="eastAsia" w:ascii="宋体" w:hAnsi="宋体"/>
          <w:color w:val="000000"/>
          <w:sz w:val="24"/>
          <w:szCs w:val="24"/>
          <w:highlight w:val="none"/>
        </w:rPr>
        <w:t>向仲裁委员会申请仲裁；</w:t>
      </w:r>
    </w:p>
    <w:p>
      <w:pPr>
        <w:spacing w:line="360" w:lineRule="auto"/>
        <w:ind w:left="480" w:leftChars="0" w:hanging="480" w:hangingChars="200"/>
        <w:rPr>
          <w:rFonts w:hint="eastAsia" w:ascii="宋体" w:hAnsi="宋体"/>
          <w:color w:val="000000"/>
          <w:sz w:val="24"/>
          <w:szCs w:val="24"/>
          <w:highlight w:val="none"/>
        </w:rPr>
      </w:pPr>
      <w:r>
        <w:rPr>
          <w:rFonts w:hint="eastAsia"/>
          <w:color w:val="000000"/>
          <w:sz w:val="24"/>
          <w:szCs w:val="24"/>
          <w:highlight w:val="none"/>
          <w:lang w:val="en-US" w:eastAsia="zh-CN"/>
        </w:rPr>
        <w:t>15.</w:t>
      </w:r>
      <w:r>
        <w:rPr>
          <w:rFonts w:hint="eastAsia" w:ascii="宋体" w:hAnsi="宋体"/>
          <w:color w:val="000000"/>
          <w:sz w:val="24"/>
          <w:szCs w:val="24"/>
          <w:highlight w:val="none"/>
        </w:rPr>
        <w:t>2</w:t>
      </w:r>
      <w:r>
        <w:rPr>
          <w:rFonts w:hint="eastAsia"/>
          <w:color w:val="000000"/>
          <w:sz w:val="24"/>
          <w:szCs w:val="24"/>
          <w:highlight w:val="none"/>
          <w:lang w:val="en-US" w:eastAsia="zh-CN"/>
        </w:rPr>
        <w:t xml:space="preserve"> </w:t>
      </w:r>
      <w:r>
        <w:rPr>
          <w:rFonts w:hint="eastAsia" w:ascii="宋体" w:hAnsi="宋体"/>
          <w:color w:val="000000"/>
          <w:sz w:val="24"/>
          <w:szCs w:val="24"/>
          <w:highlight w:val="none"/>
        </w:rPr>
        <w:t>向甲方所在地人民法院提起诉讼。</w:t>
      </w:r>
    </w:p>
    <w:p>
      <w:pPr>
        <w:spacing w:line="360" w:lineRule="auto"/>
        <w:ind w:left="482" w:leftChars="0" w:hanging="482" w:hangingChars="200"/>
        <w:rPr>
          <w:rFonts w:hint="eastAsia" w:ascii="宋体" w:hAnsi="宋体"/>
          <w:b/>
          <w:bCs/>
          <w:color w:val="000000"/>
          <w:sz w:val="24"/>
          <w:szCs w:val="24"/>
          <w:highlight w:val="none"/>
        </w:rPr>
      </w:pPr>
      <w:r>
        <w:rPr>
          <w:rFonts w:hint="eastAsia" w:ascii="宋体" w:hAnsi="宋体"/>
          <w:b/>
          <w:bCs/>
          <w:color w:val="000000"/>
          <w:sz w:val="24"/>
          <w:szCs w:val="24"/>
          <w:highlight w:val="none"/>
        </w:rPr>
        <w:t>第十</w:t>
      </w:r>
      <w:r>
        <w:rPr>
          <w:rFonts w:hint="eastAsia"/>
          <w:b/>
          <w:bCs/>
          <w:color w:val="000000"/>
          <w:sz w:val="24"/>
          <w:szCs w:val="24"/>
          <w:highlight w:val="none"/>
          <w:lang w:val="en-US" w:eastAsia="zh-CN"/>
        </w:rPr>
        <w:t>六</w:t>
      </w:r>
      <w:r>
        <w:rPr>
          <w:rFonts w:hint="eastAsia" w:ascii="宋体" w:hAnsi="宋体"/>
          <w:b/>
          <w:bCs/>
          <w:color w:val="000000"/>
          <w:sz w:val="24"/>
          <w:szCs w:val="24"/>
          <w:highlight w:val="none"/>
        </w:rPr>
        <w:t>条</w:t>
      </w:r>
      <w:r>
        <w:rPr>
          <w:rFonts w:hint="eastAsia"/>
          <w:b/>
          <w:bCs/>
          <w:color w:val="000000"/>
          <w:sz w:val="24"/>
          <w:szCs w:val="24"/>
          <w:highlight w:val="none"/>
          <w:lang w:val="en-US" w:eastAsia="zh-CN"/>
        </w:rPr>
        <w:t xml:space="preserve">  </w:t>
      </w:r>
      <w:r>
        <w:rPr>
          <w:rFonts w:hint="eastAsia" w:ascii="宋体" w:hAnsi="宋体"/>
          <w:b/>
          <w:bCs/>
          <w:color w:val="000000"/>
          <w:sz w:val="24"/>
          <w:szCs w:val="24"/>
          <w:highlight w:val="none"/>
        </w:rPr>
        <w:t>其他</w:t>
      </w:r>
    </w:p>
    <w:p>
      <w:pPr>
        <w:spacing w:line="360" w:lineRule="auto"/>
        <w:ind w:left="636" w:leftChars="9" w:hanging="616" w:hangingChars="257"/>
        <w:rPr>
          <w:rFonts w:hint="default" w:ascii="Times New Roman" w:hAnsi="Times New Roman" w:eastAsia="宋体" w:cs="Times New Roman"/>
          <w:sz w:val="24"/>
          <w:szCs w:val="24"/>
          <w:highlight w:val="none"/>
          <w:lang w:eastAsia="zh-CN"/>
        </w:rPr>
      </w:pPr>
      <w:r>
        <w:rPr>
          <w:rFonts w:hint="eastAsia"/>
          <w:color w:val="000000"/>
          <w:sz w:val="24"/>
          <w:szCs w:val="24"/>
          <w:highlight w:val="none"/>
          <w:lang w:val="en-US" w:eastAsia="zh-CN"/>
        </w:rPr>
        <w:t xml:space="preserve">16.1 </w:t>
      </w:r>
      <w:r>
        <w:rPr>
          <w:rFonts w:hint="eastAsia" w:ascii="宋体" w:hAnsi="宋体"/>
          <w:color w:val="000000"/>
          <w:sz w:val="24"/>
          <w:szCs w:val="24"/>
          <w:highlight w:val="none"/>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己经提前签收 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8"/>
        <w:keepNext w:val="0"/>
        <w:keepLines w:val="0"/>
        <w:pageBreakBefore w:val="0"/>
        <w:kinsoku/>
        <w:wordWrap/>
        <w:overflowPunct/>
        <w:topLinePunct w:val="0"/>
        <w:bidi w:val="0"/>
        <w:spacing w:line="360" w:lineRule="auto"/>
        <w:ind w:left="636" w:leftChars="9" w:hanging="616" w:hangingChars="257"/>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16.</w:t>
      </w:r>
      <w:r>
        <w:rPr>
          <w:rFonts w:hint="default" w:ascii="Times New Roman" w:hAnsi="Times New Roman" w:eastAsia="宋体" w:cs="Times New Roman"/>
          <w:sz w:val="24"/>
          <w:szCs w:val="24"/>
          <w:highlight w:val="none"/>
          <w:lang w:eastAsia="zh-CN"/>
        </w:rPr>
        <w:t>2</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8"/>
        <w:keepNext w:val="0"/>
        <w:keepLines w:val="0"/>
        <w:pageBreakBefore w:val="0"/>
        <w:kinsoku/>
        <w:wordWrap/>
        <w:overflowPunct/>
        <w:topLinePunct w:val="0"/>
        <w:bidi w:val="0"/>
        <w:spacing w:line="360" w:lineRule="auto"/>
        <w:ind w:left="636" w:leftChars="9" w:hanging="616" w:hangingChars="257"/>
        <w:outlineLvl w:val="9"/>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16.</w:t>
      </w:r>
      <w:r>
        <w:rPr>
          <w:rFonts w:hint="default" w:ascii="Times New Roman" w:hAnsi="Times New Roman" w:eastAsia="宋体" w:cs="Times New Roman"/>
          <w:sz w:val="24"/>
          <w:szCs w:val="24"/>
          <w:highlight w:val="none"/>
          <w:lang w:eastAsia="zh-CN"/>
        </w:rPr>
        <w:t>3</w:t>
      </w:r>
      <w:r>
        <w:rPr>
          <w:rFonts w:hint="eastAsia" w:ascii="Times New Roman" w:hAnsi="Times New Roman" w:cs="Times New Roman"/>
          <w:sz w:val="24"/>
          <w:szCs w:val="24"/>
          <w:highlight w:val="none"/>
          <w:lang w:val="en-US" w:eastAsia="zh-CN"/>
        </w:rPr>
        <w:t xml:space="preserve"> </w:t>
      </w:r>
      <w:r>
        <w:rPr>
          <w:rStyle w:val="15"/>
          <w:rFonts w:hint="default" w:ascii="Times New Roman" w:hAnsi="Times New Roman" w:eastAsia="宋体" w:cs="Times New Roman"/>
          <w:color w:val="000000"/>
          <w:sz w:val="24"/>
          <w:szCs w:val="24"/>
          <w:highlight w:val="none"/>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Style w:val="15"/>
          <w:rFonts w:hint="eastAsia" w:ascii="Times New Roman" w:hAnsi="Times New Roman" w:cs="Times New Roman"/>
          <w:color w:val="000000"/>
          <w:sz w:val="24"/>
          <w:szCs w:val="24"/>
          <w:highlight w:val="none"/>
          <w:lang w:val="en-US" w:eastAsia="zh-CN"/>
        </w:rPr>
        <w:t>2</w:t>
      </w:r>
      <w:r>
        <w:rPr>
          <w:rStyle w:val="15"/>
          <w:rFonts w:hint="default" w:ascii="Times New Roman" w:hAnsi="Times New Roman" w:eastAsia="宋体" w:cs="Times New Roman"/>
          <w:color w:val="000000"/>
          <w:sz w:val="24"/>
          <w:szCs w:val="24"/>
          <w:highlight w:val="none"/>
          <w:lang w:eastAsia="zh-CN"/>
        </w:rPr>
        <w:t>《安全环保协议》，作为主合同的附件。</w:t>
      </w:r>
    </w:p>
    <w:p>
      <w:pPr>
        <w:pStyle w:val="8"/>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b/>
          <w:sz w:val="24"/>
          <w:szCs w:val="24"/>
          <w:highlight w:val="none"/>
          <w:lang w:eastAsia="zh-CN"/>
        </w:rPr>
        <w:t>第十</w:t>
      </w:r>
      <w:r>
        <w:rPr>
          <w:rFonts w:hint="eastAsia" w:ascii="Times New Roman" w:hAnsi="Times New Roman" w:cs="Times New Roman"/>
          <w:b/>
          <w:sz w:val="24"/>
          <w:szCs w:val="24"/>
          <w:highlight w:val="none"/>
          <w:lang w:val="en-US" w:eastAsia="zh-CN"/>
        </w:rPr>
        <w:t>七</w:t>
      </w:r>
      <w:r>
        <w:rPr>
          <w:rFonts w:hint="default" w:ascii="Times New Roman" w:hAnsi="Times New Roman" w:eastAsia="宋体" w:cs="Times New Roman"/>
          <w:b/>
          <w:sz w:val="24"/>
          <w:szCs w:val="24"/>
          <w:highlight w:val="none"/>
          <w:lang w:eastAsia="zh-CN"/>
        </w:rPr>
        <w:t>条</w:t>
      </w:r>
      <w:r>
        <w:rPr>
          <w:rFonts w:hint="default" w:ascii="Times New Roman" w:hAnsi="Times New Roman" w:eastAsia="宋体" w:cs="Times New Roman"/>
          <w:sz w:val="24"/>
          <w:szCs w:val="24"/>
          <w:highlight w:val="none"/>
          <w:lang w:eastAsia="zh-CN"/>
        </w:rPr>
        <w:t xml:space="preserve">  保险</w:t>
      </w:r>
    </w:p>
    <w:p>
      <w:pPr>
        <w:pStyle w:val="8"/>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pPr>
        <w:pStyle w:val="8"/>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szCs w:val="24"/>
          <w:highlight w:val="none"/>
          <w:lang w:eastAsia="zh-CN"/>
        </w:rPr>
      </w:pPr>
      <w:r>
        <w:rPr>
          <w:rFonts w:hint="default" w:ascii="Times New Roman" w:hAnsi="Times New Roman" w:eastAsia="宋体" w:cs="Times New Roman"/>
          <w:b/>
          <w:bCs/>
          <w:sz w:val="24"/>
          <w:szCs w:val="24"/>
          <w:highlight w:val="none"/>
          <w:lang w:eastAsia="zh-CN"/>
        </w:rPr>
        <w:t>第十</w:t>
      </w:r>
      <w:r>
        <w:rPr>
          <w:rFonts w:hint="eastAsia" w:ascii="Times New Roman" w:hAnsi="Times New Roman" w:cs="Times New Roman"/>
          <w:b/>
          <w:bCs/>
          <w:sz w:val="24"/>
          <w:szCs w:val="24"/>
          <w:highlight w:val="none"/>
          <w:lang w:val="en-US" w:eastAsia="zh-CN"/>
        </w:rPr>
        <w:t>八</w:t>
      </w:r>
      <w:r>
        <w:rPr>
          <w:rFonts w:hint="default" w:ascii="Times New Roman" w:hAnsi="Times New Roman" w:eastAsia="宋体" w:cs="Times New Roman"/>
          <w:b/>
          <w:bCs/>
          <w:sz w:val="24"/>
          <w:szCs w:val="24"/>
          <w:highlight w:val="none"/>
          <w:lang w:eastAsia="zh-CN"/>
        </w:rPr>
        <w:t>条 本合同经双方盖章后生效。本合同一式</w:t>
      </w:r>
      <w:r>
        <w:rPr>
          <w:rFonts w:hint="eastAsia" w:ascii="Times New Roman" w:hAnsi="Times New Roman" w:cs="Times New Roman"/>
          <w:b/>
          <w:bCs/>
          <w:sz w:val="24"/>
          <w:szCs w:val="24"/>
          <w:highlight w:val="none"/>
          <w:u w:val="single"/>
          <w:lang w:val="en-US" w:eastAsia="zh-CN"/>
        </w:rPr>
        <w:t>陆</w:t>
      </w:r>
      <w:r>
        <w:rPr>
          <w:rFonts w:hint="default" w:ascii="Times New Roman" w:hAnsi="Times New Roman" w:eastAsia="宋体" w:cs="Times New Roman"/>
          <w:b/>
          <w:bCs/>
          <w:sz w:val="24"/>
          <w:szCs w:val="24"/>
          <w:highlight w:val="none"/>
          <w:lang w:eastAsia="zh-CN"/>
        </w:rPr>
        <w:t>份，甲方执</w:t>
      </w:r>
      <w:r>
        <w:rPr>
          <w:rFonts w:hint="default" w:ascii="Times New Roman" w:hAnsi="Times New Roman" w:eastAsia="宋体" w:cs="Times New Roman"/>
          <w:b/>
          <w:bCs/>
          <w:sz w:val="24"/>
          <w:szCs w:val="24"/>
          <w:highlight w:val="none"/>
          <w:u w:val="single"/>
          <w:lang w:eastAsia="zh-CN"/>
        </w:rPr>
        <w:t>肆</w:t>
      </w:r>
      <w:r>
        <w:rPr>
          <w:rFonts w:hint="default" w:ascii="Times New Roman" w:hAnsi="Times New Roman" w:eastAsia="宋体" w:cs="Times New Roman"/>
          <w:b/>
          <w:bCs/>
          <w:sz w:val="24"/>
          <w:szCs w:val="24"/>
          <w:highlight w:val="none"/>
          <w:lang w:eastAsia="zh-CN"/>
        </w:rPr>
        <w:t>份，乙方执</w:t>
      </w:r>
      <w:r>
        <w:rPr>
          <w:rFonts w:hint="eastAsia" w:ascii="Times New Roman" w:hAnsi="Times New Roman" w:cs="Times New Roman"/>
          <w:b/>
          <w:bCs/>
          <w:sz w:val="24"/>
          <w:szCs w:val="24"/>
          <w:highlight w:val="none"/>
          <w:u w:val="single"/>
          <w:lang w:val="en-US" w:eastAsia="zh-CN"/>
        </w:rPr>
        <w:t>贰</w:t>
      </w:r>
      <w:r>
        <w:rPr>
          <w:rFonts w:hint="default" w:ascii="Times New Roman" w:hAnsi="Times New Roman" w:eastAsia="宋体" w:cs="Times New Roman"/>
          <w:b/>
          <w:bCs/>
          <w:sz w:val="24"/>
          <w:szCs w:val="24"/>
          <w:highlight w:val="none"/>
          <w:lang w:eastAsia="zh-CN"/>
        </w:rPr>
        <w:t>份，具有同等法律效力。</w:t>
      </w:r>
    </w:p>
    <w:p>
      <w:pPr>
        <w:keepNext w:val="0"/>
        <w:keepLines w:val="0"/>
        <w:pageBreakBefore w:val="0"/>
        <w:widowControl w:val="0"/>
        <w:tabs>
          <w:tab w:val="left" w:pos="2010"/>
        </w:tabs>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b/>
          <w:sz w:val="24"/>
          <w:szCs w:val="24"/>
          <w:highlight w:val="none"/>
          <w:lang w:eastAsia="zh-CN"/>
        </w:rPr>
        <w:t>第十</w:t>
      </w:r>
      <w:r>
        <w:rPr>
          <w:rFonts w:hint="eastAsia" w:ascii="Times New Roman" w:hAnsi="Times New Roman" w:cs="Times New Roman"/>
          <w:b/>
          <w:sz w:val="24"/>
          <w:szCs w:val="24"/>
          <w:highlight w:val="none"/>
          <w:lang w:val="en-US" w:eastAsia="zh-CN"/>
        </w:rPr>
        <w:t>九</w:t>
      </w:r>
      <w:r>
        <w:rPr>
          <w:rFonts w:hint="default" w:ascii="Times New Roman" w:hAnsi="Times New Roman" w:eastAsia="宋体" w:cs="Times New Roman"/>
          <w:b/>
          <w:sz w:val="24"/>
          <w:szCs w:val="24"/>
          <w:highlight w:val="none"/>
          <w:lang w:eastAsia="zh-CN"/>
        </w:rPr>
        <w:t>条</w:t>
      </w:r>
      <w:r>
        <w:rPr>
          <w:rFonts w:hint="eastAsia" w:ascii="Times New Roman" w:hAnsi="Times New Roman" w:cs="Times New Roman"/>
          <w:b/>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附件及双方往来的有效书面文件与合同共同具备法律效力。</w:t>
      </w:r>
    </w:p>
    <w:p>
      <w:pPr>
        <w:keepNext w:val="0"/>
        <w:keepLines w:val="0"/>
        <w:pageBreakBefore w:val="0"/>
        <w:tabs>
          <w:tab w:val="left" w:pos="2010"/>
        </w:tabs>
        <w:kinsoku/>
        <w:wordWrap/>
        <w:overflowPunct/>
        <w:topLinePunct w:val="0"/>
        <w:bidi w:val="0"/>
        <w:spacing w:line="360" w:lineRule="auto"/>
        <w:ind w:firstLine="360" w:firstLineChars="15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本合同未尽事宜，如需更改经双方协商后可另签补充协议。</w:t>
      </w:r>
    </w:p>
    <w:p>
      <w:pPr>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pacing w:line="360" w:lineRule="auto"/>
        <w:outlineLvl w:val="9"/>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sz w:val="24"/>
          <w:szCs w:val="24"/>
          <w:highlight w:val="none"/>
          <w:lang w:eastAsia="zh-CN"/>
        </w:rPr>
        <w:t>以下无正文。</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rPr>
      </w:pPr>
    </w:p>
    <w:p>
      <w:pPr>
        <w:pStyle w:val="9"/>
        <w:keepNext w:val="0"/>
        <w:keepLines w:val="0"/>
        <w:pageBreakBefore w:val="0"/>
        <w:widowControl/>
        <w:suppressLineNumbers w:val="0"/>
        <w:kinsoku/>
        <w:wordWrap/>
        <w:overflowPunct/>
        <w:topLinePunct w:val="0"/>
        <w:bidi w:val="0"/>
        <w:spacing w:before="0" w:beforeAutospacing="0" w:after="300" w:afterAutospacing="0" w:line="360" w:lineRule="auto"/>
        <w:ind w:right="-226"/>
        <w:jc w:val="both"/>
        <w:outlineLvl w:val="9"/>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lang w:eastAsia="zh-CN"/>
        </w:rPr>
        <w:t>甲</w:t>
      </w:r>
      <w:r>
        <w:rPr>
          <w:rFonts w:hint="eastAsia" w:ascii="Times New Roman" w:hAnsi="Times New Roman" w:cs="Times New Roman"/>
          <w:b/>
          <w:bCs/>
          <w:sz w:val="24"/>
          <w:szCs w:val="24"/>
          <w:highlight w:val="none"/>
          <w:lang w:val="en-US" w:eastAsia="zh-CN"/>
        </w:rPr>
        <w:t xml:space="preserve">  </w:t>
      </w:r>
      <w:r>
        <w:rPr>
          <w:rFonts w:hint="default" w:ascii="Times New Roman" w:hAnsi="Times New Roman" w:eastAsia="宋体" w:cs="Times New Roman"/>
          <w:b/>
          <w:bCs/>
          <w:sz w:val="24"/>
          <w:szCs w:val="24"/>
          <w:highlight w:val="none"/>
          <w:lang w:eastAsia="zh-CN"/>
        </w:rPr>
        <w:t>方:</w:t>
      </w:r>
      <w:r>
        <w:rPr>
          <w:rFonts w:hint="eastAsia" w:ascii="Times New Roman" w:hAnsi="Times New Roman" w:cs="Times New Roman"/>
          <w:b/>
          <w:bCs/>
          <w:sz w:val="24"/>
          <w:szCs w:val="24"/>
          <w:highlight w:val="none"/>
          <w:lang w:val="en-US" w:eastAsia="zh-CN"/>
        </w:rPr>
        <w:t>腾龙芳烃</w:t>
      </w:r>
      <w:r>
        <w:rPr>
          <w:rFonts w:hint="default" w:ascii="Times New Roman" w:hAnsi="Times New Roman" w:eastAsia="宋体" w:cs="Times New Roman"/>
          <w:b/>
          <w:bCs/>
          <w:sz w:val="24"/>
          <w:szCs w:val="24"/>
          <w:highlight w:val="none"/>
          <w:lang w:eastAsia="zh-CN"/>
        </w:rPr>
        <w:t xml:space="preserve">（漳州）有限公司   </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cs="Times New Roman"/>
          <w:b/>
          <w:bCs/>
          <w:sz w:val="24"/>
          <w:szCs w:val="24"/>
          <w:highlight w:val="none"/>
          <w:lang w:val="en-US" w:eastAsia="zh-CN"/>
        </w:rPr>
        <w:t xml:space="preserve">           </w:t>
      </w:r>
      <w:r>
        <w:rPr>
          <w:rFonts w:hint="default" w:ascii="Times New Roman" w:hAnsi="Times New Roman" w:eastAsia="宋体" w:cs="Times New Roman"/>
          <w:b/>
          <w:bCs/>
          <w:sz w:val="24"/>
          <w:szCs w:val="24"/>
          <w:highlight w:val="none"/>
          <w:lang w:eastAsia="zh-CN"/>
        </w:rPr>
        <w:t>乙  方：</w:t>
      </w:r>
    </w:p>
    <w:p>
      <w:pPr>
        <w:keepNext w:val="0"/>
        <w:keepLines w:val="0"/>
        <w:pageBreakBefore w:val="0"/>
        <w:widowControl/>
        <w:kinsoku/>
        <w:wordWrap/>
        <w:overflowPunct/>
        <w:topLinePunct w:val="0"/>
        <w:bidi w:val="0"/>
        <w:spacing w:line="360" w:lineRule="auto"/>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lang w:eastAsia="zh-CN"/>
        </w:rPr>
        <w:t>账  号：</w:t>
      </w:r>
      <w:r>
        <w:rPr>
          <w:rFonts w:hint="default" w:ascii="Times New Roman" w:hAnsi="Times New Roman" w:eastAsia="宋体" w:cs="Times New Roman"/>
          <w:b/>
          <w:color w:val="auto"/>
          <w:sz w:val="24"/>
          <w:szCs w:val="24"/>
          <w:highlight w:val="none"/>
        </w:rPr>
        <w:t>162070100100021071</w:t>
      </w:r>
      <w:r>
        <w:rPr>
          <w:rFonts w:hint="default" w:ascii="Times New Roman" w:hAnsi="Times New Roman" w:eastAsia="宋体" w:cs="Times New Roman"/>
          <w:b/>
          <w:sz w:val="24"/>
          <w:szCs w:val="24"/>
          <w:highlight w:val="none"/>
          <w:lang w:eastAsia="zh-CN"/>
        </w:rPr>
        <w:t xml:space="preserve">               </w:t>
      </w:r>
      <w:r>
        <w:rPr>
          <w:rFonts w:hint="eastAsia" w:ascii="Times New Roman" w:hAnsi="Times New Roman" w:cs="Times New Roman"/>
          <w:b/>
          <w:sz w:val="24"/>
          <w:szCs w:val="24"/>
          <w:highlight w:val="none"/>
          <w:lang w:val="en-US" w:eastAsia="zh-CN"/>
        </w:rPr>
        <w:t xml:space="preserve">  </w:t>
      </w:r>
      <w:r>
        <w:rPr>
          <w:rFonts w:hint="default" w:ascii="Times New Roman" w:hAnsi="Times New Roman" w:eastAsia="宋体" w:cs="Times New Roman"/>
          <w:b/>
          <w:sz w:val="24"/>
          <w:szCs w:val="24"/>
          <w:highlight w:val="none"/>
          <w:lang w:val="en-US" w:eastAsia="zh-CN"/>
        </w:rPr>
        <w:t xml:space="preserve">  </w:t>
      </w:r>
      <w:r>
        <w:rPr>
          <w:rFonts w:hint="default" w:ascii="Times New Roman" w:hAnsi="Times New Roman" w:eastAsia="宋体" w:cs="Times New Roman"/>
          <w:b/>
          <w:sz w:val="24"/>
          <w:szCs w:val="24"/>
          <w:highlight w:val="none"/>
          <w:lang w:eastAsia="zh-CN"/>
        </w:rPr>
        <w:t xml:space="preserve"> 账   号：</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开户行：</w:t>
      </w:r>
      <w:r>
        <w:rPr>
          <w:rFonts w:hint="default" w:ascii="Times New Roman" w:hAnsi="Times New Roman" w:eastAsia="宋体" w:cs="Times New Roman"/>
          <w:b/>
          <w:color w:val="auto"/>
          <w:sz w:val="24"/>
          <w:szCs w:val="24"/>
          <w:highlight w:val="none"/>
          <w:lang w:eastAsia="zh-CN"/>
        </w:rPr>
        <w:t>兴业银行漳州古雷支行</w:t>
      </w:r>
      <w:r>
        <w:rPr>
          <w:rFonts w:hint="default" w:ascii="Times New Roman" w:hAnsi="Times New Roman" w:eastAsia="宋体" w:cs="Times New Roman"/>
          <w:b/>
          <w:sz w:val="24"/>
          <w:szCs w:val="24"/>
          <w:highlight w:val="none"/>
        </w:rPr>
        <w:t xml:space="preserve">  </w:t>
      </w:r>
      <w:r>
        <w:rPr>
          <w:rFonts w:hint="eastAsia" w:ascii="Times New Roman" w:hAnsi="Times New Roman" w:cs="Times New Roman"/>
          <w:b/>
          <w:sz w:val="24"/>
          <w:szCs w:val="24"/>
          <w:highlight w:val="none"/>
          <w:lang w:val="en-US" w:eastAsia="zh-CN"/>
        </w:rPr>
        <w:t xml:space="preserve">  </w:t>
      </w:r>
      <w:r>
        <w:rPr>
          <w:rFonts w:hint="default" w:ascii="Times New Roman" w:hAnsi="Times New Roman" w:eastAsia="宋体" w:cs="Times New Roman"/>
          <w:b/>
          <w:sz w:val="24"/>
          <w:szCs w:val="24"/>
          <w:highlight w:val="none"/>
        </w:rPr>
        <w:t xml:space="preserve">         </w:t>
      </w:r>
      <w:r>
        <w:rPr>
          <w:rFonts w:hint="eastAsia" w:ascii="Times New Roman" w:hAnsi="Times New Roman" w:cs="Times New Roman"/>
          <w:b/>
          <w:sz w:val="24"/>
          <w:szCs w:val="24"/>
          <w:highlight w:val="none"/>
          <w:lang w:val="en-US" w:eastAsia="zh-CN"/>
        </w:rPr>
        <w:t xml:space="preserve">  </w:t>
      </w:r>
      <w:r>
        <w:rPr>
          <w:rFonts w:hint="default" w:ascii="Times New Roman" w:hAnsi="Times New Roman" w:eastAsia="宋体" w:cs="Times New Roman"/>
          <w:b/>
          <w:sz w:val="24"/>
          <w:szCs w:val="24"/>
          <w:highlight w:val="none"/>
        </w:rPr>
        <w:t xml:space="preserve">   开户行：</w:t>
      </w:r>
    </w:p>
    <w:p>
      <w:pPr>
        <w:pStyle w:val="8"/>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 　                                       </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 xml:space="preserve"> </w:t>
      </w:r>
    </w:p>
    <w:p>
      <w:pPr>
        <w:pStyle w:val="8"/>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rPr>
      </w:pPr>
      <w:r>
        <w:rPr>
          <w:rFonts w:hint="eastAsia" w:ascii="Times New Roman" w:hAnsi="Times New Roman" w:cs="Times New Roman"/>
          <w:sz w:val="24"/>
          <w:szCs w:val="24"/>
          <w:highlight w:val="none"/>
          <w:lang w:val="en-US" w:eastAsia="zh-CN"/>
        </w:rPr>
        <w:t xml:space="preserve">签订日期： </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 xml:space="preserve">年    月    日       </w:t>
      </w:r>
      <w:r>
        <w:rPr>
          <w:rFonts w:hint="default" w:ascii="Times New Roman" w:hAnsi="Times New Roman" w:eastAsia="宋体" w:cs="Times New Roman"/>
          <w:sz w:val="24"/>
          <w:szCs w:val="24"/>
          <w:highlight w:val="none"/>
          <w:lang w:val="en-US" w:eastAsia="zh-CN"/>
        </w:rPr>
        <w:t xml:space="preserve"> </w:t>
      </w:r>
      <w:r>
        <w:rPr>
          <w:rFonts w:hint="eastAsia" w:ascii="Times New Roman" w:hAnsi="Times New Roman" w:cs="Times New Roman"/>
          <w:sz w:val="24"/>
          <w:szCs w:val="24"/>
          <w:highlight w:val="none"/>
          <w:lang w:val="en-US" w:eastAsia="zh-CN"/>
        </w:rPr>
        <w:t xml:space="preserve">           签订日期：</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 xml:space="preserve">    年    月    日</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附件</w:t>
      </w:r>
      <w:r>
        <w:rPr>
          <w:rFonts w:hint="eastAsia" w:ascii="Times New Roman" w:hAnsi="Times New Roman" w:cs="Times New Roman"/>
          <w:sz w:val="24"/>
          <w:szCs w:val="24"/>
          <w:highlight w:val="none"/>
          <w:lang w:val="en-US" w:eastAsia="zh-CN"/>
        </w:rPr>
        <w:t>1</w:t>
      </w:r>
    </w:p>
    <w:p>
      <w:pPr>
        <w:jc w:val="center"/>
        <w:rPr>
          <w:rFonts w:hint="eastAsia" w:ascii="PMingLiU" w:hAnsi="PMingLiU"/>
          <w:b/>
          <w:sz w:val="28"/>
          <w:szCs w:val="28"/>
          <w:highlight w:val="none"/>
        </w:rPr>
      </w:pPr>
    </w:p>
    <w:p>
      <w:pPr>
        <w:jc w:val="center"/>
        <w:rPr>
          <w:rFonts w:hint="eastAsia" w:ascii="PMingLiU" w:hAnsi="PMingLiU"/>
          <w:b/>
          <w:color w:val="000000"/>
          <w:sz w:val="28"/>
          <w:szCs w:val="28"/>
          <w:highlight w:val="none"/>
        </w:rPr>
      </w:pPr>
    </w:p>
    <w:p>
      <w:pPr>
        <w:jc w:val="center"/>
        <w:rPr>
          <w:rFonts w:hint="eastAsia" w:ascii="PMingLiU" w:hAnsi="PMingLiU"/>
          <w:b/>
          <w:color w:val="000000"/>
          <w:sz w:val="30"/>
          <w:szCs w:val="30"/>
          <w:highlight w:val="none"/>
        </w:rPr>
      </w:pPr>
      <w:r>
        <w:rPr>
          <w:rFonts w:hint="eastAsia" w:ascii="PMingLiU" w:hAnsi="PMingLiU"/>
          <w:b/>
          <w:color w:val="000000"/>
          <w:sz w:val="30"/>
          <w:szCs w:val="30"/>
          <w:highlight w:val="none"/>
        </w:rPr>
        <w:t>福建福海创石油化工有限公司</w:t>
      </w:r>
    </w:p>
    <w:p>
      <w:pPr>
        <w:jc w:val="center"/>
        <w:rPr>
          <w:rFonts w:hint="eastAsia" w:ascii="PMingLiU" w:hAnsi="PMingLiU"/>
          <w:b/>
          <w:color w:val="000000"/>
          <w:sz w:val="28"/>
          <w:szCs w:val="28"/>
          <w:highlight w:val="none"/>
        </w:rPr>
      </w:pPr>
    </w:p>
    <w:p>
      <w:pPr>
        <w:jc w:val="center"/>
        <w:rPr>
          <w:rFonts w:hint="eastAsia" w:ascii="PMingLiU" w:hAnsi="PMingLiU"/>
          <w:b/>
          <w:color w:val="000000"/>
          <w:sz w:val="30"/>
          <w:szCs w:val="30"/>
          <w:highlight w:val="none"/>
        </w:rPr>
      </w:pPr>
    </w:p>
    <w:p>
      <w:pPr>
        <w:spacing w:line="240" w:lineRule="atLeast"/>
        <w:jc w:val="center"/>
        <w:rPr>
          <w:rFonts w:ascii="PMingLiU" w:hAnsi="PMingLiU"/>
          <w:b/>
          <w:color w:val="000000"/>
          <w:sz w:val="32"/>
          <w:szCs w:val="32"/>
          <w:highlight w:val="none"/>
        </w:rPr>
      </w:pPr>
      <w:r>
        <w:rPr>
          <w:rFonts w:hint="eastAsia" w:ascii="PMingLiU" w:hAnsi="PMingLiU"/>
          <w:b/>
          <w:color w:val="000000"/>
          <w:sz w:val="32"/>
          <w:szCs w:val="32"/>
          <w:highlight w:val="none"/>
        </w:rPr>
        <w:t>芳烃团队重整装置催化剂筛分</w:t>
      </w:r>
    </w:p>
    <w:p>
      <w:pPr>
        <w:spacing w:line="240" w:lineRule="atLeast"/>
        <w:ind w:firstLine="4337" w:firstLineChars="1350"/>
        <w:rPr>
          <w:rFonts w:hint="eastAsia" w:ascii="PMingLiU" w:hAnsi="PMingLiU"/>
          <w:b/>
          <w:color w:val="000000"/>
          <w:sz w:val="32"/>
          <w:szCs w:val="32"/>
          <w:highlight w:val="none"/>
        </w:rPr>
      </w:pPr>
      <w:r>
        <w:rPr>
          <w:rFonts w:hint="eastAsia" w:ascii="PMingLiU" w:hAnsi="PMingLiU"/>
          <w:b/>
          <w:color w:val="000000"/>
          <w:sz w:val="32"/>
          <w:szCs w:val="32"/>
          <w:highlight w:val="none"/>
        </w:rPr>
        <w:t>发包说明</w:t>
      </w:r>
    </w:p>
    <w:p>
      <w:pPr>
        <w:jc w:val="center"/>
        <w:rPr>
          <w:rFonts w:hint="eastAsia" w:ascii="PMingLiU" w:hAnsi="PMingLiU"/>
          <w:b/>
          <w:color w:val="000000"/>
          <w:sz w:val="28"/>
          <w:szCs w:val="28"/>
          <w:highlight w:val="none"/>
        </w:rPr>
      </w:pPr>
    </w:p>
    <w:p>
      <w:pPr>
        <w:jc w:val="center"/>
        <w:rPr>
          <w:rFonts w:hint="eastAsia" w:ascii="PMingLiU" w:hAnsi="PMingLiU"/>
          <w:b/>
          <w:color w:val="000000"/>
          <w:sz w:val="28"/>
          <w:szCs w:val="28"/>
          <w:highlight w:val="none"/>
        </w:rPr>
      </w:pPr>
    </w:p>
    <w:p>
      <w:pPr>
        <w:jc w:val="center"/>
        <w:rPr>
          <w:rFonts w:hint="eastAsia" w:ascii="PMingLiU" w:hAnsi="PMingLiU"/>
          <w:b/>
          <w:color w:val="000000"/>
          <w:sz w:val="28"/>
          <w:szCs w:val="28"/>
          <w:highlight w:val="none"/>
        </w:rPr>
      </w:pPr>
    </w:p>
    <w:p>
      <w:pPr>
        <w:jc w:val="center"/>
        <w:rPr>
          <w:rFonts w:hint="eastAsia" w:ascii="PMingLiU" w:hAnsi="PMingLiU"/>
          <w:b/>
          <w:color w:val="000000"/>
          <w:sz w:val="28"/>
          <w:szCs w:val="28"/>
          <w:highlight w:val="none"/>
        </w:rPr>
      </w:pPr>
    </w:p>
    <w:p>
      <w:pPr>
        <w:ind w:firstLine="3241" w:firstLineChars="1153"/>
        <w:rPr>
          <w:rFonts w:hint="eastAsia" w:ascii="PMingLiU" w:hAnsi="PMingLiU"/>
          <w:b/>
          <w:color w:val="000000"/>
          <w:sz w:val="28"/>
          <w:szCs w:val="28"/>
          <w:highlight w:val="none"/>
          <w:u w:val="single"/>
        </w:rPr>
      </w:pPr>
    </w:p>
    <w:p>
      <w:pPr>
        <w:jc w:val="center"/>
        <w:rPr>
          <w:rFonts w:hint="eastAsia" w:ascii="PMingLiU" w:hAnsi="PMingLiU"/>
          <w:b/>
          <w:color w:val="000000"/>
          <w:sz w:val="28"/>
          <w:szCs w:val="28"/>
          <w:highlight w:val="none"/>
        </w:rPr>
      </w:pPr>
    </w:p>
    <w:p>
      <w:pPr>
        <w:jc w:val="center"/>
        <w:rPr>
          <w:rFonts w:hint="eastAsia" w:ascii="PMingLiU" w:hAnsi="PMingLiU"/>
          <w:b/>
          <w:color w:val="000000"/>
          <w:sz w:val="28"/>
          <w:szCs w:val="28"/>
          <w:highlight w:val="none"/>
        </w:rPr>
      </w:pPr>
    </w:p>
    <w:p>
      <w:pPr>
        <w:rPr>
          <w:rFonts w:ascii="PMingLiU" w:hAnsi="PMingLiU"/>
          <w:b/>
          <w:color w:val="000000"/>
          <w:sz w:val="28"/>
          <w:szCs w:val="28"/>
          <w:highlight w:val="none"/>
        </w:rPr>
      </w:pPr>
    </w:p>
    <w:p>
      <w:pPr>
        <w:jc w:val="center"/>
        <w:rPr>
          <w:rFonts w:hint="eastAsia" w:ascii="PMingLiU" w:hAnsi="PMingLiU"/>
          <w:b/>
          <w:color w:val="000000"/>
          <w:sz w:val="28"/>
          <w:szCs w:val="28"/>
          <w:highlight w:val="none"/>
        </w:rPr>
      </w:pPr>
    </w:p>
    <w:p>
      <w:pPr>
        <w:jc w:val="center"/>
        <w:rPr>
          <w:rFonts w:hint="eastAsia" w:ascii="PMingLiU" w:hAnsi="PMingLiU"/>
          <w:b/>
          <w:color w:val="000000"/>
          <w:sz w:val="28"/>
          <w:szCs w:val="28"/>
          <w:highlight w:val="none"/>
        </w:rPr>
      </w:pPr>
      <w:r>
        <w:rPr>
          <w:rFonts w:ascii="PMingLiU" w:hAnsi="PMingLiU"/>
          <w:b/>
          <w:color w:val="000000"/>
          <w:sz w:val="28"/>
          <w:szCs w:val="28"/>
          <w:highlight w:val="none"/>
        </w:rPr>
        <w:br w:type="textWrapping"/>
      </w:r>
      <w:r>
        <w:rPr>
          <w:rFonts w:ascii="PMingLiU" w:hAnsi="PMingLiU"/>
          <w:b/>
          <w:color w:val="000000"/>
          <w:sz w:val="28"/>
          <w:szCs w:val="28"/>
          <w:highlight w:val="none"/>
        </w:rPr>
        <w:t>2022年</w:t>
      </w:r>
      <w:r>
        <w:rPr>
          <w:rFonts w:hint="eastAsia" w:ascii="PMingLiU" w:hAnsi="PMingLiU"/>
          <w:b/>
          <w:color w:val="000000"/>
          <w:sz w:val="28"/>
          <w:szCs w:val="28"/>
          <w:highlight w:val="none"/>
          <w:lang w:val="en-US" w:eastAsia="zh-CN"/>
        </w:rPr>
        <w:t>5</w:t>
      </w:r>
      <w:r>
        <w:rPr>
          <w:rFonts w:ascii="PMingLiU" w:hAnsi="PMingLiU"/>
          <w:b/>
          <w:color w:val="000000"/>
          <w:sz w:val="28"/>
          <w:szCs w:val="28"/>
          <w:highlight w:val="none"/>
        </w:rPr>
        <w:t>月25日</w:t>
      </w:r>
    </w:p>
    <w:p>
      <w:pPr>
        <w:jc w:val="center"/>
        <w:rPr>
          <w:rFonts w:ascii="PMingLiU" w:hAnsi="PMingLiU"/>
          <w:b/>
          <w:color w:val="000000"/>
          <w:sz w:val="28"/>
          <w:szCs w:val="28"/>
          <w:highlight w:val="none"/>
        </w:rPr>
      </w:pPr>
    </w:p>
    <w:p>
      <w:pPr>
        <w:jc w:val="center"/>
        <w:rPr>
          <w:rFonts w:hint="eastAsia" w:ascii="PMingLiU" w:hAnsi="PMingLiU"/>
          <w:b/>
          <w:color w:val="000000"/>
          <w:sz w:val="32"/>
          <w:szCs w:val="32"/>
          <w:highlight w:val="none"/>
        </w:rPr>
      </w:pPr>
    </w:p>
    <w:p>
      <w:pPr>
        <w:jc w:val="center"/>
        <w:rPr>
          <w:rFonts w:hint="eastAsia" w:ascii="PMingLiU" w:hAnsi="PMingLiU"/>
          <w:b/>
          <w:color w:val="000000"/>
          <w:sz w:val="44"/>
          <w:szCs w:val="44"/>
          <w:highlight w:val="none"/>
        </w:rPr>
      </w:pPr>
    </w:p>
    <w:p>
      <w:pPr>
        <w:jc w:val="center"/>
        <w:rPr>
          <w:rFonts w:hint="eastAsia" w:ascii="PMingLiU" w:hAnsi="PMingLiU"/>
          <w:b/>
          <w:color w:val="000000"/>
          <w:sz w:val="44"/>
          <w:szCs w:val="44"/>
          <w:highlight w:val="none"/>
        </w:rPr>
      </w:pPr>
    </w:p>
    <w:p>
      <w:pPr>
        <w:jc w:val="center"/>
        <w:rPr>
          <w:rFonts w:hint="eastAsia" w:ascii="PMingLiU" w:hAnsi="PMingLiU"/>
          <w:b/>
          <w:color w:val="000000"/>
          <w:sz w:val="44"/>
          <w:szCs w:val="44"/>
          <w:highlight w:val="none"/>
        </w:rPr>
      </w:pPr>
      <w:r>
        <w:rPr>
          <w:rFonts w:hint="eastAsia" w:ascii="PMingLiU" w:hAnsi="PMingLiU"/>
          <w:b/>
          <w:color w:val="000000"/>
          <w:sz w:val="44"/>
          <w:szCs w:val="44"/>
          <w:highlight w:val="none"/>
        </w:rPr>
        <w:t>目   录</w:t>
      </w:r>
    </w:p>
    <w:p>
      <w:pPr>
        <w:jc w:val="center"/>
        <w:rPr>
          <w:rFonts w:hint="eastAsia" w:ascii="PMingLiU" w:hAnsi="PMingLiU"/>
          <w:b/>
          <w:color w:val="000000"/>
          <w:sz w:val="32"/>
          <w:szCs w:val="32"/>
          <w:highlight w:val="none"/>
        </w:rPr>
      </w:pPr>
    </w:p>
    <w:p>
      <w:pPr>
        <w:spacing w:line="720" w:lineRule="auto"/>
        <w:ind w:firstLine="900" w:firstLineChars="300"/>
        <w:rPr>
          <w:rFonts w:hint="eastAsia" w:ascii="PMingLiU" w:hAnsi="PMingLiU" w:eastAsia="PMingLiU"/>
          <w:color w:val="000000"/>
          <w:sz w:val="30"/>
          <w:szCs w:val="30"/>
          <w:highlight w:val="none"/>
          <w:lang w:eastAsia="zh-TW"/>
        </w:rPr>
      </w:pPr>
      <w:r>
        <w:rPr>
          <w:rFonts w:hint="eastAsia" w:ascii="PMingLiU" w:hAnsi="PMingLiU" w:eastAsia="PMingLiU"/>
          <w:color w:val="000000"/>
          <w:sz w:val="30"/>
          <w:szCs w:val="30"/>
          <w:highlight w:val="none"/>
          <w:lang w:eastAsia="zh-TW"/>
        </w:rPr>
        <w:t>1、工程说明</w:t>
      </w:r>
    </w:p>
    <w:p>
      <w:pPr>
        <w:spacing w:line="720" w:lineRule="auto"/>
        <w:ind w:firstLine="900" w:firstLineChars="300"/>
        <w:rPr>
          <w:rFonts w:ascii="PMingLiU" w:hAnsi="PMingLiU" w:eastAsia="PMingLiU"/>
          <w:color w:val="000000"/>
          <w:sz w:val="30"/>
          <w:szCs w:val="30"/>
          <w:highlight w:val="none"/>
          <w:lang w:eastAsia="zh-TW"/>
        </w:rPr>
      </w:pPr>
      <w:r>
        <w:rPr>
          <w:rFonts w:hint="eastAsia" w:ascii="PMingLiU" w:hAnsi="PMingLiU" w:eastAsia="PMingLiU"/>
          <w:color w:val="000000"/>
          <w:sz w:val="30"/>
          <w:szCs w:val="30"/>
          <w:highlight w:val="none"/>
          <w:lang w:eastAsia="zh-TW"/>
        </w:rPr>
        <w:t>2、工程范围及数量</w:t>
      </w:r>
    </w:p>
    <w:p>
      <w:pPr>
        <w:spacing w:line="720" w:lineRule="auto"/>
        <w:ind w:firstLine="900" w:firstLineChars="300"/>
        <w:rPr>
          <w:rFonts w:hint="eastAsia" w:ascii="PMingLiU" w:hAnsi="PMingLiU" w:eastAsia="PMingLiU"/>
          <w:color w:val="000000"/>
          <w:sz w:val="30"/>
          <w:szCs w:val="30"/>
          <w:highlight w:val="none"/>
          <w:lang w:eastAsia="zh-TW"/>
        </w:rPr>
      </w:pPr>
      <w:r>
        <w:rPr>
          <w:rFonts w:ascii="PMingLiU" w:hAnsi="PMingLiU" w:eastAsia="PMingLiU"/>
          <w:color w:val="000000"/>
          <w:sz w:val="30"/>
          <w:szCs w:val="30"/>
          <w:highlight w:val="none"/>
          <w:lang w:eastAsia="zh-TW"/>
        </w:rPr>
        <w:t>3、</w:t>
      </w:r>
      <w:r>
        <w:rPr>
          <w:rFonts w:hint="eastAsia" w:ascii="PMingLiU" w:hAnsi="PMingLiU" w:eastAsia="PMingLiU"/>
          <w:color w:val="000000"/>
          <w:sz w:val="30"/>
          <w:szCs w:val="30"/>
          <w:highlight w:val="none"/>
          <w:lang w:eastAsia="zh-TW"/>
        </w:rPr>
        <w:t>风车式物理分离</w:t>
      </w:r>
    </w:p>
    <w:p>
      <w:pPr>
        <w:spacing w:line="720" w:lineRule="auto"/>
        <w:ind w:firstLine="900" w:firstLineChars="300"/>
        <w:rPr>
          <w:rFonts w:hint="eastAsia" w:ascii="PMingLiU" w:hAnsi="PMingLiU" w:eastAsia="PMingLiU"/>
          <w:color w:val="000000"/>
          <w:sz w:val="30"/>
          <w:szCs w:val="30"/>
          <w:highlight w:val="none"/>
          <w:lang w:eastAsia="zh-TW"/>
        </w:rPr>
      </w:pPr>
      <w:r>
        <w:rPr>
          <w:rFonts w:hint="eastAsia" w:ascii="PMingLiU" w:hAnsi="PMingLiU" w:eastAsia="PMingLiU"/>
          <w:color w:val="000000"/>
          <w:sz w:val="30"/>
          <w:szCs w:val="30"/>
          <w:highlight w:val="none"/>
          <w:lang w:eastAsia="zh-TW"/>
        </w:rPr>
        <w:t>4、验收标准</w:t>
      </w:r>
    </w:p>
    <w:p>
      <w:pPr>
        <w:spacing w:line="720" w:lineRule="auto"/>
        <w:ind w:firstLine="900" w:firstLineChars="300"/>
        <w:rPr>
          <w:rFonts w:ascii="PMingLiU" w:hAnsi="PMingLiU" w:eastAsia="PMingLiU"/>
          <w:color w:val="000000"/>
          <w:sz w:val="30"/>
          <w:szCs w:val="30"/>
          <w:highlight w:val="none"/>
          <w:lang w:eastAsia="zh-TW"/>
        </w:rPr>
      </w:pPr>
      <w:r>
        <w:rPr>
          <w:rFonts w:hint="eastAsia" w:ascii="PMingLiU" w:hAnsi="PMingLiU" w:eastAsia="PMingLiU"/>
          <w:color w:val="000000"/>
          <w:sz w:val="30"/>
          <w:szCs w:val="30"/>
          <w:highlight w:val="none"/>
          <w:lang w:eastAsia="zh-TW"/>
        </w:rPr>
        <w:t>5、验收方法</w:t>
      </w:r>
    </w:p>
    <w:p>
      <w:pPr>
        <w:spacing w:line="720" w:lineRule="auto"/>
        <w:ind w:firstLine="900" w:firstLineChars="300"/>
        <w:rPr>
          <w:rFonts w:ascii="PMingLiU" w:hAnsi="PMingLiU" w:eastAsia="PMingLiU"/>
          <w:color w:val="000000"/>
          <w:sz w:val="30"/>
          <w:szCs w:val="30"/>
          <w:highlight w:val="none"/>
          <w:lang w:eastAsia="zh-TW"/>
        </w:rPr>
      </w:pPr>
      <w:r>
        <w:rPr>
          <w:rFonts w:ascii="PMingLiU" w:hAnsi="PMingLiU" w:eastAsia="PMingLiU"/>
          <w:color w:val="000000"/>
          <w:sz w:val="30"/>
          <w:szCs w:val="30"/>
          <w:highlight w:val="none"/>
          <w:lang w:eastAsia="zh-TW"/>
        </w:rPr>
        <w:t>6、</w:t>
      </w:r>
      <w:r>
        <w:rPr>
          <w:rFonts w:hint="eastAsia" w:ascii="PMingLiU" w:hAnsi="PMingLiU" w:eastAsia="PMingLiU"/>
          <w:color w:val="000000"/>
          <w:sz w:val="30"/>
          <w:szCs w:val="30"/>
          <w:highlight w:val="none"/>
          <w:lang w:eastAsia="zh-TW"/>
        </w:rPr>
        <w:t>双方责任与协调</w:t>
      </w:r>
    </w:p>
    <w:p>
      <w:pPr>
        <w:spacing w:line="720" w:lineRule="auto"/>
        <w:ind w:firstLine="900" w:firstLineChars="300"/>
        <w:rPr>
          <w:rFonts w:hint="eastAsia" w:ascii="PMingLiU" w:hAnsi="PMingLiU" w:eastAsia="PMingLiU"/>
          <w:color w:val="000000"/>
          <w:sz w:val="30"/>
          <w:szCs w:val="30"/>
          <w:highlight w:val="none"/>
          <w:lang w:eastAsia="zh-TW"/>
        </w:rPr>
      </w:pPr>
      <w:r>
        <w:rPr>
          <w:rFonts w:ascii="PMingLiU" w:hAnsi="PMingLiU" w:eastAsia="PMingLiU"/>
          <w:color w:val="000000"/>
          <w:sz w:val="30"/>
          <w:szCs w:val="30"/>
          <w:highlight w:val="none"/>
          <w:lang w:eastAsia="zh-TW"/>
        </w:rPr>
        <w:t>7、</w:t>
      </w:r>
      <w:r>
        <w:rPr>
          <w:rFonts w:hint="eastAsia" w:ascii="宋体" w:hAnsi="宋体"/>
          <w:color w:val="000000"/>
          <w:sz w:val="30"/>
          <w:szCs w:val="30"/>
          <w:highlight w:val="none"/>
        </w:rPr>
        <w:t>违约责任</w:t>
      </w:r>
    </w:p>
    <w:p>
      <w:pPr>
        <w:spacing w:line="720" w:lineRule="auto"/>
        <w:ind w:firstLine="900" w:firstLineChars="300"/>
        <w:rPr>
          <w:rFonts w:hint="eastAsia" w:ascii="PMingLiU" w:hAnsi="PMingLiU" w:eastAsia="PMingLiU"/>
          <w:color w:val="000000"/>
          <w:sz w:val="30"/>
          <w:szCs w:val="30"/>
          <w:highlight w:val="none"/>
          <w:lang w:eastAsia="zh-TW"/>
        </w:rPr>
      </w:pPr>
      <w:r>
        <w:rPr>
          <w:rFonts w:hint="eastAsia" w:ascii="PMingLiU" w:hAnsi="PMingLiU" w:eastAsia="PMingLiU"/>
          <w:color w:val="000000"/>
          <w:sz w:val="30"/>
          <w:szCs w:val="30"/>
          <w:highlight w:val="none"/>
          <w:lang w:eastAsia="zh-TW"/>
        </w:rPr>
        <w:t>8、承包商资质</w:t>
      </w:r>
    </w:p>
    <w:p>
      <w:pPr>
        <w:spacing w:line="720" w:lineRule="auto"/>
        <w:ind w:firstLine="900" w:firstLineChars="300"/>
        <w:rPr>
          <w:rFonts w:hint="eastAsia" w:ascii="PMingLiU" w:hAnsi="PMingLiU" w:eastAsia="PMingLiU"/>
          <w:color w:val="000000"/>
          <w:sz w:val="30"/>
          <w:szCs w:val="30"/>
          <w:highlight w:val="none"/>
          <w:lang w:eastAsia="zh-TW"/>
        </w:rPr>
      </w:pPr>
      <w:r>
        <w:rPr>
          <w:rFonts w:hint="eastAsia" w:ascii="PMingLiU" w:hAnsi="PMingLiU" w:eastAsia="PMingLiU"/>
          <w:color w:val="000000"/>
          <w:sz w:val="30"/>
          <w:szCs w:val="30"/>
          <w:highlight w:val="none"/>
          <w:lang w:eastAsia="zh-TW"/>
        </w:rPr>
        <w:t>9、安全要求</w:t>
      </w:r>
    </w:p>
    <w:p>
      <w:pPr>
        <w:rPr>
          <w:rFonts w:hint="eastAsia" w:ascii="PMingLiU" w:hAnsi="PMingLiU"/>
          <w:color w:val="000000"/>
          <w:sz w:val="28"/>
          <w:szCs w:val="28"/>
          <w:highlight w:val="none"/>
        </w:rPr>
      </w:pPr>
    </w:p>
    <w:p>
      <w:pPr>
        <w:rPr>
          <w:rFonts w:hint="eastAsia" w:ascii="PMingLiU" w:hAnsi="PMingLiU"/>
          <w:b/>
          <w:color w:val="000000"/>
          <w:sz w:val="28"/>
          <w:szCs w:val="28"/>
          <w:highlight w:val="none"/>
        </w:rPr>
      </w:pPr>
    </w:p>
    <w:p>
      <w:pPr>
        <w:rPr>
          <w:rFonts w:hint="eastAsia" w:ascii="PMingLiU" w:hAnsi="PMingLiU"/>
          <w:b/>
          <w:color w:val="000000"/>
          <w:sz w:val="28"/>
          <w:szCs w:val="28"/>
          <w:highlight w:val="none"/>
        </w:rPr>
      </w:pPr>
    </w:p>
    <w:p>
      <w:pPr>
        <w:rPr>
          <w:rFonts w:hint="eastAsia" w:ascii="PMingLiU" w:hAnsi="PMingLiU"/>
          <w:b/>
          <w:color w:val="000000"/>
          <w:sz w:val="28"/>
          <w:szCs w:val="28"/>
          <w:highlight w:val="none"/>
        </w:rPr>
      </w:pPr>
    </w:p>
    <w:p>
      <w:pPr>
        <w:pStyle w:val="2"/>
        <w:rPr>
          <w:rFonts w:hint="eastAsia" w:ascii="PMingLiU" w:hAnsi="PMingLiU"/>
          <w:b/>
          <w:color w:val="000000"/>
          <w:sz w:val="28"/>
          <w:szCs w:val="28"/>
          <w:highlight w:val="none"/>
        </w:rPr>
      </w:pPr>
    </w:p>
    <w:p>
      <w:pPr>
        <w:pStyle w:val="2"/>
        <w:rPr>
          <w:rFonts w:hint="eastAsia" w:ascii="PMingLiU" w:hAnsi="PMingLiU"/>
          <w:b/>
          <w:color w:val="000000"/>
          <w:sz w:val="28"/>
          <w:szCs w:val="28"/>
          <w:highlight w:val="none"/>
        </w:rPr>
      </w:pPr>
    </w:p>
    <w:p>
      <w:pPr>
        <w:spacing w:line="360" w:lineRule="auto"/>
        <w:rPr>
          <w:rFonts w:hint="eastAsia" w:ascii="PMingLiU" w:hAnsi="PMingLiU"/>
          <w:b/>
          <w:bCs/>
          <w:color w:val="000000"/>
          <w:sz w:val="24"/>
          <w:szCs w:val="24"/>
          <w:highlight w:val="none"/>
        </w:rPr>
      </w:pPr>
      <w:r>
        <w:rPr>
          <w:rFonts w:hint="eastAsia" w:ascii="PMingLiU" w:hAnsi="PMingLiU"/>
          <w:b/>
          <w:bCs/>
          <w:color w:val="000000"/>
          <w:sz w:val="24"/>
          <w:szCs w:val="24"/>
          <w:highlight w:val="none"/>
          <w:lang w:val="en-US" w:eastAsia="zh-CN"/>
        </w:rPr>
        <w:t>1</w:t>
      </w:r>
      <w:r>
        <w:rPr>
          <w:rFonts w:hint="eastAsia" w:ascii="PMingLiU" w:hAnsi="PMingLiU"/>
          <w:b/>
          <w:bCs/>
          <w:color w:val="000000"/>
          <w:sz w:val="24"/>
          <w:szCs w:val="24"/>
          <w:highlight w:val="none"/>
        </w:rPr>
        <w:t>、工程说明：</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1.1 工程名称  重整催化剂筛分工程</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1.2 工程地点  福建福海创芳烃团队现场</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1.3 工程概述</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 xml:space="preserve"> </w:t>
      </w:r>
      <w:r>
        <w:rPr>
          <w:rFonts w:ascii="宋体" w:hAnsi="宋体"/>
          <w:color w:val="000000"/>
          <w:sz w:val="24"/>
          <w:szCs w:val="24"/>
          <w:highlight w:val="none"/>
        </w:rPr>
        <w:t xml:space="preserve">   </w:t>
      </w:r>
      <w:r>
        <w:rPr>
          <w:rFonts w:hint="eastAsia" w:ascii="宋体" w:hAnsi="宋体"/>
          <w:color w:val="000000"/>
          <w:sz w:val="24"/>
          <w:szCs w:val="24"/>
          <w:highlight w:val="none"/>
        </w:rPr>
        <w:t>福建福海创芳烃团队计划于2022年7月份270万</w:t>
      </w:r>
      <w:r>
        <w:rPr>
          <w:rFonts w:hint="eastAsia" w:ascii="宋体" w:hAnsi="宋体"/>
          <w:sz w:val="24"/>
          <w:szCs w:val="24"/>
          <w:highlight w:val="none"/>
        </w:rPr>
        <w:t>吨/年</w:t>
      </w:r>
      <w:r>
        <w:rPr>
          <w:rFonts w:hint="eastAsia" w:ascii="宋体" w:hAnsi="宋体"/>
          <w:bCs/>
          <w:sz w:val="24"/>
          <w:szCs w:val="24"/>
          <w:highlight w:val="none"/>
        </w:rPr>
        <w:t>连续重整</w:t>
      </w:r>
      <w:r>
        <w:rPr>
          <w:rFonts w:hint="eastAsia" w:ascii="宋体" w:hAnsi="宋体"/>
          <w:sz w:val="24"/>
          <w:szCs w:val="24"/>
          <w:highlight w:val="none"/>
        </w:rPr>
        <w:t>装置停工消缺。</w:t>
      </w:r>
      <w:r>
        <w:rPr>
          <w:rFonts w:hint="eastAsia" w:ascii="宋体" w:hAnsi="宋体"/>
          <w:bCs/>
          <w:sz w:val="24"/>
          <w:szCs w:val="24"/>
          <w:highlight w:val="none"/>
        </w:rPr>
        <w:t>重整</w:t>
      </w:r>
      <w:r>
        <w:rPr>
          <w:rFonts w:hint="eastAsia" w:ascii="宋体" w:hAnsi="宋体"/>
          <w:sz w:val="24"/>
          <w:szCs w:val="24"/>
          <w:highlight w:val="none"/>
        </w:rPr>
        <w:t>反应器32-R-101、32-R-102、32-R-103、32-R-104和再生器33-R-101内卸下的混合</w:t>
      </w:r>
      <w:r>
        <w:rPr>
          <w:rFonts w:hint="eastAsia" w:ascii="宋体" w:hAnsi="宋体"/>
          <w:bCs/>
          <w:sz w:val="24"/>
          <w:szCs w:val="24"/>
          <w:highlight w:val="none"/>
        </w:rPr>
        <w:t>催化剂约185吨，这部分催化剂含有亮黑剂、侏儒球 及粉尘等。这些不合格催化剂不利于装置运行需要进行催化剂筛分处理。</w:t>
      </w:r>
    </w:p>
    <w:p>
      <w:pPr>
        <w:spacing w:line="360" w:lineRule="auto"/>
        <w:rPr>
          <w:rFonts w:ascii="宋体" w:hAnsi="宋体"/>
          <w:b/>
          <w:bCs/>
          <w:color w:val="000000"/>
          <w:sz w:val="24"/>
          <w:szCs w:val="24"/>
          <w:highlight w:val="none"/>
        </w:rPr>
      </w:pPr>
      <w:r>
        <w:rPr>
          <w:rFonts w:hint="eastAsia" w:ascii="宋体" w:hAnsi="宋体"/>
          <w:b/>
          <w:bCs/>
          <w:color w:val="000000"/>
          <w:sz w:val="24"/>
          <w:szCs w:val="24"/>
          <w:highlight w:val="none"/>
        </w:rPr>
        <w:t>2、工程范围及数量：</w:t>
      </w:r>
    </w:p>
    <w:p>
      <w:pPr>
        <w:spacing w:line="360" w:lineRule="auto"/>
        <w:rPr>
          <w:rFonts w:ascii="宋体" w:hAnsi="宋体"/>
          <w:color w:val="000000"/>
          <w:sz w:val="24"/>
          <w:szCs w:val="24"/>
          <w:highlight w:val="none"/>
        </w:rPr>
      </w:pPr>
      <w:r>
        <w:rPr>
          <w:sz w:val="24"/>
          <w:szCs w:val="24"/>
          <w:highlight w:val="none"/>
        </w:rPr>
        <w:t xml:space="preserve">2.1  </w:t>
      </w:r>
      <w:r>
        <w:rPr>
          <w:rFonts w:hint="eastAsia" w:ascii="宋体" w:hAnsi="宋体"/>
          <w:color w:val="000000"/>
          <w:sz w:val="24"/>
          <w:szCs w:val="24"/>
          <w:highlight w:val="none"/>
        </w:rPr>
        <w:t>催化剂预估工程量如下</w:t>
      </w:r>
    </w:p>
    <w:tbl>
      <w:tblPr>
        <w:tblStyle w:val="12"/>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
      <w:tblGrid>
        <w:gridCol w:w="1358"/>
        <w:gridCol w:w="1399"/>
        <w:gridCol w:w="1204"/>
        <w:gridCol w:w="2284"/>
        <w:gridCol w:w="1218"/>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450" w:hRule="atLeast"/>
        </w:trPr>
        <w:tc>
          <w:tcPr>
            <w:tcW w:w="1358" w:type="dxa"/>
            <w:tcBorders>
              <w:top w:val="single" w:color="auto" w:sz="4" w:space="0"/>
              <w:left w:val="single" w:color="auto" w:sz="4" w:space="0"/>
              <w:bottom w:val="single" w:color="auto" w:sz="4" w:space="0"/>
              <w:right w:val="single" w:color="auto" w:sz="6" w:space="0"/>
            </w:tcBorders>
            <w:vAlign w:val="center"/>
          </w:tcPr>
          <w:p>
            <w:pPr>
              <w:widowControl/>
              <w:jc w:val="center"/>
              <w:rPr>
                <w:rFonts w:ascii="仿宋_GB2312" w:eastAsia="仿宋_GB2312"/>
                <w:b/>
                <w:bCs/>
                <w:kern w:val="0"/>
                <w:szCs w:val="21"/>
                <w:highlight w:val="none"/>
              </w:rPr>
            </w:pPr>
            <w:r>
              <w:rPr>
                <w:rFonts w:hint="eastAsia" w:ascii="仿宋_GB2312" w:hAnsi="宋体" w:eastAsia="仿宋_GB2312"/>
                <w:b/>
                <w:bCs/>
                <w:kern w:val="0"/>
                <w:szCs w:val="21"/>
                <w:highlight w:val="none"/>
              </w:rPr>
              <w:t>装置</w:t>
            </w:r>
          </w:p>
        </w:tc>
        <w:tc>
          <w:tcPr>
            <w:tcW w:w="1399"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eastAsia="仿宋_GB2312"/>
                <w:b/>
                <w:bCs/>
                <w:kern w:val="0"/>
                <w:szCs w:val="21"/>
                <w:highlight w:val="none"/>
              </w:rPr>
            </w:pPr>
            <w:r>
              <w:rPr>
                <w:rFonts w:hint="eastAsia" w:ascii="仿宋_GB2312" w:hAnsi="宋体" w:eastAsia="仿宋_GB2312"/>
                <w:b/>
                <w:bCs/>
                <w:kern w:val="0"/>
                <w:szCs w:val="21"/>
                <w:highlight w:val="none"/>
              </w:rPr>
              <w:t>催化剂名称</w:t>
            </w:r>
          </w:p>
        </w:tc>
        <w:tc>
          <w:tcPr>
            <w:tcW w:w="1204"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eastAsia="仿宋_GB2312"/>
                <w:b/>
                <w:bCs/>
                <w:kern w:val="0"/>
                <w:szCs w:val="21"/>
                <w:highlight w:val="none"/>
              </w:rPr>
            </w:pPr>
            <w:r>
              <w:rPr>
                <w:rFonts w:hint="eastAsia" w:ascii="仿宋_GB2312" w:hAnsi="宋体" w:eastAsia="仿宋_GB2312"/>
                <w:b/>
                <w:bCs/>
                <w:kern w:val="0"/>
                <w:szCs w:val="21"/>
                <w:highlight w:val="none"/>
              </w:rPr>
              <w:t>数量（吨）</w:t>
            </w:r>
          </w:p>
        </w:tc>
        <w:tc>
          <w:tcPr>
            <w:tcW w:w="2284" w:type="dxa"/>
            <w:tcBorders>
              <w:top w:val="single" w:color="auto" w:sz="4" w:space="0"/>
              <w:left w:val="single" w:color="auto" w:sz="6" w:space="0"/>
              <w:bottom w:val="single" w:color="auto" w:sz="4" w:space="0"/>
              <w:right w:val="single" w:color="auto" w:sz="4" w:space="0"/>
            </w:tcBorders>
            <w:vAlign w:val="center"/>
          </w:tcPr>
          <w:p>
            <w:pPr>
              <w:widowControl/>
              <w:jc w:val="center"/>
              <w:rPr>
                <w:rFonts w:ascii="仿宋_GB2312" w:eastAsia="仿宋_GB2312"/>
                <w:b/>
                <w:kern w:val="0"/>
                <w:szCs w:val="21"/>
                <w:highlight w:val="none"/>
              </w:rPr>
            </w:pPr>
            <w:r>
              <w:rPr>
                <w:rFonts w:hint="eastAsia" w:ascii="仿宋_GB2312" w:hAnsi="宋体" w:eastAsia="仿宋_GB2312"/>
                <w:b/>
                <w:kern w:val="0"/>
                <w:szCs w:val="21"/>
                <w:highlight w:val="none"/>
              </w:rPr>
              <w:t>要求</w:t>
            </w:r>
          </w:p>
        </w:tc>
        <w:tc>
          <w:tcPr>
            <w:tcW w:w="1218" w:type="dxa"/>
            <w:tcBorders>
              <w:top w:val="single" w:color="auto" w:sz="4" w:space="0"/>
              <w:left w:val="single" w:color="auto" w:sz="6" w:space="0"/>
              <w:bottom w:val="single" w:color="auto" w:sz="4" w:space="0"/>
              <w:right w:val="single" w:color="auto" w:sz="4" w:space="0"/>
            </w:tcBorders>
            <w:vAlign w:val="center"/>
          </w:tcPr>
          <w:p>
            <w:pPr>
              <w:jc w:val="center"/>
              <w:rPr>
                <w:rFonts w:ascii="仿宋_GB2312" w:eastAsia="仿宋_GB2312"/>
                <w:b/>
                <w:bCs/>
                <w:kern w:val="0"/>
                <w:szCs w:val="21"/>
                <w:highlight w:val="none"/>
              </w:rPr>
            </w:pPr>
            <w:r>
              <w:rPr>
                <w:rFonts w:hint="eastAsia" w:ascii="仿宋_GB2312" w:hAnsi="宋体" w:eastAsia="仿宋_GB2312"/>
                <w:b/>
                <w:kern w:val="0"/>
                <w:szCs w:val="21"/>
                <w:highlight w:val="none"/>
              </w:rPr>
              <w:t>分级</w:t>
            </w:r>
            <w:r>
              <w:rPr>
                <w:rFonts w:hint="eastAsia" w:ascii="仿宋_GB2312" w:eastAsia="仿宋_GB2312"/>
                <w:b/>
                <w:bCs/>
                <w:kern w:val="0"/>
                <w:szCs w:val="21"/>
                <w:highlight w:val="none"/>
              </w:rPr>
              <w:t>时间</w:t>
            </w:r>
          </w:p>
        </w:tc>
        <w:tc>
          <w:tcPr>
            <w:tcW w:w="106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kern w:val="0"/>
                <w:szCs w:val="21"/>
                <w:highlight w:val="none"/>
              </w:rPr>
            </w:pPr>
            <w:r>
              <w:rPr>
                <w:rFonts w:hint="eastAsia" w:ascii="仿宋_GB2312" w:hAnsi="宋体" w:eastAsia="仿宋_GB2312"/>
                <w:b/>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450" w:hRule="atLeast"/>
        </w:trPr>
        <w:tc>
          <w:tcPr>
            <w:tcW w:w="1358" w:type="dxa"/>
            <w:tcBorders>
              <w:top w:val="single" w:color="auto" w:sz="4" w:space="0"/>
              <w:left w:val="single" w:color="auto" w:sz="4" w:space="0"/>
              <w:bottom w:val="single" w:color="auto" w:sz="4" w:space="0"/>
              <w:right w:val="single" w:color="auto" w:sz="6" w:space="0"/>
            </w:tcBorders>
            <w:vAlign w:val="center"/>
          </w:tcPr>
          <w:p>
            <w:pPr>
              <w:widowControl/>
              <w:jc w:val="center"/>
              <w:rPr>
                <w:rFonts w:ascii="仿宋_GB2312" w:hAnsi="宋体" w:eastAsia="仿宋_GB2312"/>
                <w:bCs/>
                <w:kern w:val="0"/>
                <w:szCs w:val="21"/>
                <w:highlight w:val="none"/>
              </w:rPr>
            </w:pPr>
            <w:r>
              <w:rPr>
                <w:rFonts w:hint="eastAsia" w:ascii="仿宋_GB2312" w:hAnsi="宋体" w:eastAsia="仿宋_GB2312"/>
                <w:bCs/>
                <w:kern w:val="0"/>
                <w:szCs w:val="21"/>
                <w:highlight w:val="none"/>
              </w:rPr>
              <w:t>连续重整</w:t>
            </w:r>
          </w:p>
        </w:tc>
        <w:tc>
          <w:tcPr>
            <w:tcW w:w="1399"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hAnsi="宋体" w:eastAsia="仿宋_GB2312"/>
                <w:bCs/>
                <w:color w:val="FF0000"/>
                <w:kern w:val="0"/>
                <w:szCs w:val="21"/>
                <w:highlight w:val="none"/>
              </w:rPr>
            </w:pPr>
            <w:r>
              <w:rPr>
                <w:rFonts w:hint="eastAsia" w:ascii="仿宋_GB2312" w:hAnsi="宋体" w:eastAsia="仿宋_GB2312" w:cs="Arial"/>
                <w:bCs/>
                <w:color w:val="000000"/>
                <w:kern w:val="0"/>
                <w:sz w:val="24"/>
                <w:highlight w:val="none"/>
              </w:rPr>
              <w:t>AR701</w:t>
            </w:r>
          </w:p>
        </w:tc>
        <w:tc>
          <w:tcPr>
            <w:tcW w:w="1204" w:type="dxa"/>
            <w:tcBorders>
              <w:top w:val="single" w:color="auto" w:sz="4" w:space="0"/>
              <w:left w:val="single" w:color="auto" w:sz="6" w:space="0"/>
              <w:bottom w:val="single" w:color="auto" w:sz="4" w:space="0"/>
              <w:right w:val="single" w:color="auto" w:sz="6" w:space="0"/>
            </w:tcBorders>
            <w:vAlign w:val="center"/>
          </w:tcPr>
          <w:p>
            <w:pPr>
              <w:widowControl/>
              <w:rPr>
                <w:rFonts w:ascii="仿宋_GB2312" w:hAnsi="宋体" w:eastAsia="仿宋_GB2312"/>
                <w:bCs/>
                <w:color w:val="000000"/>
                <w:kern w:val="0"/>
                <w:szCs w:val="21"/>
                <w:highlight w:val="none"/>
              </w:rPr>
            </w:pPr>
            <w:r>
              <w:rPr>
                <w:rFonts w:hint="eastAsia" w:ascii="仿宋_GB2312" w:hAnsi="宋体" w:eastAsia="仿宋_GB2312"/>
                <w:bCs/>
                <w:color w:val="FF0000"/>
                <w:kern w:val="0"/>
                <w:szCs w:val="21"/>
                <w:highlight w:val="none"/>
              </w:rPr>
              <w:t xml:space="preserve"> </w:t>
            </w:r>
            <w:r>
              <w:rPr>
                <w:rFonts w:hint="eastAsia" w:ascii="仿宋_GB2312" w:hAnsi="宋体" w:eastAsia="仿宋_GB2312"/>
                <w:bCs/>
                <w:color w:val="000000"/>
                <w:kern w:val="0"/>
                <w:szCs w:val="21"/>
                <w:highlight w:val="none"/>
              </w:rPr>
              <w:t xml:space="preserve">185    </w:t>
            </w:r>
          </w:p>
        </w:tc>
        <w:tc>
          <w:tcPr>
            <w:tcW w:w="2284" w:type="dxa"/>
            <w:tcBorders>
              <w:top w:val="single" w:color="auto" w:sz="4" w:space="0"/>
              <w:left w:val="single" w:color="auto" w:sz="6" w:space="0"/>
              <w:bottom w:val="single" w:color="auto" w:sz="4" w:space="0"/>
              <w:right w:val="single" w:color="auto" w:sz="4" w:space="0"/>
            </w:tcBorders>
            <w:vAlign w:val="center"/>
          </w:tcPr>
          <w:p>
            <w:pPr>
              <w:widowControl/>
              <w:jc w:val="center"/>
              <w:rPr>
                <w:rFonts w:ascii="仿宋_GB2312" w:hAnsi="宋体" w:eastAsia="仿宋_GB2312"/>
                <w:kern w:val="0"/>
                <w:szCs w:val="21"/>
                <w:highlight w:val="none"/>
              </w:rPr>
            </w:pPr>
            <w:r>
              <w:rPr>
                <w:rFonts w:hint="eastAsia" w:ascii="仿宋_GB2312" w:hAnsi="宋体" w:eastAsia="仿宋_GB2312"/>
                <w:kern w:val="0"/>
                <w:szCs w:val="21"/>
                <w:highlight w:val="none"/>
              </w:rPr>
              <w:t>风车式物理分级</w:t>
            </w:r>
          </w:p>
        </w:tc>
        <w:tc>
          <w:tcPr>
            <w:tcW w:w="1218" w:type="dxa"/>
            <w:tcBorders>
              <w:top w:val="single" w:color="auto" w:sz="4" w:space="0"/>
              <w:left w:val="single" w:color="auto" w:sz="6" w:space="0"/>
              <w:bottom w:val="single" w:color="auto" w:sz="4" w:space="0"/>
              <w:right w:val="single" w:color="auto" w:sz="4" w:space="0"/>
            </w:tcBorders>
            <w:vAlign w:val="center"/>
          </w:tcPr>
          <w:p>
            <w:pPr>
              <w:jc w:val="center"/>
              <w:rPr>
                <w:rFonts w:ascii="仿宋_GB2312" w:eastAsia="仿宋_GB2312"/>
                <w:bCs/>
                <w:kern w:val="0"/>
                <w:szCs w:val="21"/>
                <w:highlight w:val="none"/>
              </w:rPr>
            </w:pPr>
            <w:r>
              <w:rPr>
                <w:rFonts w:hint="eastAsia" w:ascii="仿宋_GB2312" w:eastAsia="仿宋_GB2312"/>
                <w:bCs/>
                <w:color w:val="000000"/>
                <w:kern w:val="0"/>
                <w:szCs w:val="21"/>
                <w:highlight w:val="none"/>
              </w:rPr>
              <w:t xml:space="preserve"> 10  </w:t>
            </w:r>
            <w:r>
              <w:rPr>
                <w:rFonts w:hint="eastAsia" w:ascii="仿宋_GB2312" w:eastAsia="仿宋_GB2312"/>
                <w:bCs/>
                <w:kern w:val="0"/>
                <w:szCs w:val="21"/>
                <w:highlight w:val="none"/>
              </w:rPr>
              <w:t>天</w:t>
            </w:r>
          </w:p>
        </w:tc>
        <w:tc>
          <w:tcPr>
            <w:tcW w:w="106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kern w:val="0"/>
                <w:szCs w:val="21"/>
                <w:highlight w:val="none"/>
              </w:rPr>
            </w:pPr>
            <w:r>
              <w:rPr>
                <w:rFonts w:hint="eastAsia" w:ascii="仿宋_GB2312" w:hAnsi="宋体" w:eastAsia="仿宋_GB2312"/>
                <w:kern w:val="0"/>
                <w:szCs w:val="21"/>
                <w:highlight w:val="none"/>
              </w:rPr>
              <w:t>现场作业</w:t>
            </w:r>
          </w:p>
        </w:tc>
      </w:tr>
    </w:tbl>
    <w:p>
      <w:pPr>
        <w:spacing w:line="360" w:lineRule="auto"/>
        <w:rPr>
          <w:sz w:val="24"/>
          <w:szCs w:val="24"/>
          <w:highlight w:val="none"/>
        </w:rPr>
      </w:pPr>
      <w:r>
        <w:rPr>
          <w:rFonts w:hint="eastAsia"/>
          <w:sz w:val="24"/>
          <w:szCs w:val="24"/>
          <w:highlight w:val="none"/>
        </w:rPr>
        <w:t>注：1.</w:t>
      </w:r>
      <w:r>
        <w:rPr>
          <w:sz w:val="24"/>
          <w:szCs w:val="24"/>
          <w:highlight w:val="none"/>
        </w:rPr>
        <w:t xml:space="preserve"> </w:t>
      </w:r>
      <w:r>
        <w:rPr>
          <w:rFonts w:hint="eastAsia"/>
          <w:sz w:val="24"/>
          <w:szCs w:val="24"/>
          <w:highlight w:val="none"/>
        </w:rPr>
        <w:t>结算筛分量以实际确认量为准。</w:t>
      </w:r>
    </w:p>
    <w:p>
      <w:pPr>
        <w:spacing w:line="360" w:lineRule="auto"/>
        <w:rPr>
          <w:rFonts w:hint="eastAsia"/>
          <w:sz w:val="24"/>
          <w:szCs w:val="24"/>
          <w:highlight w:val="none"/>
        </w:rPr>
      </w:pPr>
      <w:r>
        <w:rPr>
          <w:rFonts w:hint="eastAsia"/>
          <w:sz w:val="24"/>
          <w:szCs w:val="24"/>
          <w:highlight w:val="none"/>
        </w:rPr>
        <w:t xml:space="preserve"> </w:t>
      </w:r>
      <w:r>
        <w:rPr>
          <w:sz w:val="24"/>
          <w:szCs w:val="24"/>
          <w:highlight w:val="none"/>
        </w:rPr>
        <w:t xml:space="preserve">   2.</w:t>
      </w:r>
      <w:r>
        <w:rPr>
          <w:rFonts w:hint="eastAsia"/>
          <w:sz w:val="24"/>
          <w:szCs w:val="24"/>
          <w:highlight w:val="none"/>
        </w:rPr>
        <w:t xml:space="preserve"> 催化剂分级时间是指分级第一桶催化剂至分级完最后一桶催化剂。</w:t>
      </w:r>
    </w:p>
    <w:p>
      <w:pPr>
        <w:spacing w:line="360" w:lineRule="auto"/>
        <w:rPr>
          <w:rFonts w:ascii="宋体" w:hAnsi="宋体"/>
          <w:b/>
          <w:bCs/>
          <w:color w:val="000000"/>
          <w:sz w:val="24"/>
          <w:szCs w:val="24"/>
          <w:highlight w:val="none"/>
        </w:rPr>
      </w:pPr>
      <w:r>
        <w:rPr>
          <w:rFonts w:ascii="宋体" w:hAnsi="宋体"/>
          <w:b/>
          <w:bCs/>
          <w:color w:val="000000"/>
          <w:sz w:val="24"/>
          <w:szCs w:val="24"/>
          <w:highlight w:val="none"/>
        </w:rPr>
        <w:t>3、</w:t>
      </w:r>
      <w:r>
        <w:rPr>
          <w:rFonts w:hint="eastAsia" w:ascii="宋体" w:hAnsi="宋体"/>
          <w:b/>
          <w:bCs/>
          <w:color w:val="000000"/>
          <w:sz w:val="24"/>
          <w:szCs w:val="24"/>
          <w:highlight w:val="none"/>
        </w:rPr>
        <w:t>风车式物理分离</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3.1风车式物理分级分类要求</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3.1.1</w:t>
      </w:r>
      <w:r>
        <w:rPr>
          <w:rFonts w:hint="eastAsia" w:ascii="宋体" w:hAnsi="宋体"/>
          <w:sz w:val="24"/>
          <w:szCs w:val="24"/>
          <w:highlight w:val="none"/>
        </w:rPr>
        <w:t>催化剂中含有一定量的粉尘分离出来并</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3.1.2</w:t>
      </w:r>
      <w:r>
        <w:rPr>
          <w:rFonts w:hint="eastAsia" w:ascii="宋体" w:hAnsi="宋体"/>
          <w:sz w:val="24"/>
          <w:szCs w:val="24"/>
          <w:highlight w:val="none"/>
        </w:rPr>
        <w:t>同体积，密度不相同的催化剂──含炭高的催化剂分离出来并</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3.1.3</w:t>
      </w:r>
      <w:r>
        <w:rPr>
          <w:rFonts w:hint="eastAsia" w:ascii="宋体" w:hAnsi="宋体"/>
          <w:sz w:val="24"/>
          <w:szCs w:val="24"/>
          <w:highlight w:val="none"/>
        </w:rPr>
        <w:t>同重量，体积不相等的催化剂──Φ≦1.2mm灰白色侏儒球全部分离出来并</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3.1.4</w:t>
      </w:r>
      <w:r>
        <w:rPr>
          <w:rFonts w:hint="eastAsia" w:ascii="宋体" w:hAnsi="宋体"/>
          <w:sz w:val="24"/>
          <w:szCs w:val="24"/>
          <w:highlight w:val="none"/>
        </w:rPr>
        <w:t>同密度，体积、重量不等的催化剂──Φ＜1.4mm以下的</w:t>
      </w:r>
      <w:r>
        <w:rPr>
          <w:rFonts w:hint="eastAsia" w:ascii="宋体" w:hAnsi="宋体"/>
          <w:color w:val="000000"/>
          <w:sz w:val="24"/>
          <w:szCs w:val="24"/>
          <w:highlight w:val="none"/>
        </w:rPr>
        <w:t>低</w:t>
      </w:r>
      <w:r>
        <w:rPr>
          <w:rFonts w:hint="eastAsia" w:ascii="宋体" w:hAnsi="宋体"/>
          <w:sz w:val="24"/>
          <w:szCs w:val="24"/>
          <w:highlight w:val="none"/>
        </w:rPr>
        <w:t>炭催化剂分离出来并</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3.1.5</w:t>
      </w:r>
      <w:r>
        <w:rPr>
          <w:rFonts w:hint="eastAsia" w:ascii="宋体" w:hAnsi="宋体"/>
          <w:sz w:val="24"/>
          <w:szCs w:val="24"/>
          <w:highlight w:val="none"/>
        </w:rPr>
        <w:t>可回装颗粒Φ＞1.4mm的低炭催化剂详细</w:t>
      </w:r>
      <w:r>
        <w:rPr>
          <w:rFonts w:hint="eastAsia" w:ascii="宋体" w:hAnsi="宋体"/>
          <w:kern w:val="0"/>
          <w:sz w:val="24"/>
          <w:szCs w:val="24"/>
          <w:highlight w:val="none"/>
        </w:rPr>
        <w:t>标明标牌号</w:t>
      </w:r>
      <w:r>
        <w:rPr>
          <w:rFonts w:hint="eastAsia" w:ascii="宋体" w:hAnsi="宋体"/>
          <w:color w:val="000000"/>
          <w:sz w:val="24"/>
          <w:szCs w:val="24"/>
          <w:highlight w:val="none"/>
        </w:rPr>
        <w:t>。</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3.2风车式物理分级指标</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3.2.1可回</w:t>
      </w:r>
      <w:r>
        <w:rPr>
          <w:rFonts w:hint="eastAsia"/>
          <w:sz w:val="24"/>
          <w:szCs w:val="24"/>
          <w:highlight w:val="none"/>
        </w:rPr>
        <w:t>装</w:t>
      </w:r>
      <w:r>
        <w:rPr>
          <w:rFonts w:hint="eastAsia" w:ascii="宋体" w:hAnsi="宋体"/>
          <w:color w:val="000000"/>
          <w:sz w:val="24"/>
          <w:szCs w:val="24"/>
          <w:highlight w:val="none"/>
        </w:rPr>
        <w:t>催化剂无亮黑及黑黑剂：</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3.2.2可回</w:t>
      </w:r>
      <w:r>
        <w:rPr>
          <w:rFonts w:hint="eastAsia"/>
          <w:sz w:val="24"/>
          <w:szCs w:val="24"/>
          <w:highlight w:val="none"/>
        </w:rPr>
        <w:t>装</w:t>
      </w:r>
      <w:r>
        <w:rPr>
          <w:rFonts w:hint="eastAsia" w:ascii="宋体" w:hAnsi="宋体"/>
          <w:color w:val="000000"/>
          <w:sz w:val="24"/>
          <w:szCs w:val="24"/>
          <w:highlight w:val="none"/>
        </w:rPr>
        <w:t>催化剂</w:t>
      </w:r>
      <w:r>
        <w:rPr>
          <w:rFonts w:hint="eastAsia" w:ascii="宋体" w:hAnsi="宋体"/>
          <w:sz w:val="24"/>
          <w:szCs w:val="24"/>
          <w:highlight w:val="none"/>
        </w:rPr>
        <w:t>颗粒</w:t>
      </w:r>
      <w:r>
        <w:rPr>
          <w:rFonts w:hint="eastAsia" w:ascii="宋体" w:hAnsi="宋体"/>
          <w:color w:val="000000"/>
          <w:sz w:val="24"/>
          <w:szCs w:val="24"/>
          <w:highlight w:val="none"/>
        </w:rPr>
        <w:t>直径应大于</w:t>
      </w:r>
      <w:r>
        <w:rPr>
          <w:rFonts w:hint="eastAsia" w:ascii="宋体" w:hAnsi="宋体"/>
          <w:sz w:val="24"/>
          <w:szCs w:val="24"/>
          <w:highlight w:val="none"/>
        </w:rPr>
        <w:t>＞1.4mm</w:t>
      </w:r>
      <w:r>
        <w:rPr>
          <w:rFonts w:hint="eastAsia" w:ascii="宋体" w:hAnsi="宋体"/>
          <w:color w:val="000000"/>
          <w:sz w:val="24"/>
          <w:szCs w:val="24"/>
          <w:highlight w:val="none"/>
        </w:rPr>
        <w:t>。</w:t>
      </w:r>
    </w:p>
    <w:p>
      <w:pPr>
        <w:spacing w:line="360" w:lineRule="auto"/>
        <w:rPr>
          <w:sz w:val="24"/>
          <w:szCs w:val="24"/>
          <w:highlight w:val="none"/>
        </w:rPr>
      </w:pPr>
      <w:r>
        <w:rPr>
          <w:rFonts w:hint="eastAsia" w:ascii="宋体" w:hAnsi="宋体"/>
          <w:color w:val="000000"/>
          <w:sz w:val="24"/>
          <w:szCs w:val="24"/>
          <w:highlight w:val="none"/>
        </w:rPr>
        <w:t>3.2.3</w:t>
      </w:r>
      <w:r>
        <w:rPr>
          <w:rFonts w:hint="eastAsia" w:ascii="宋体" w:hAnsi="宋体"/>
          <w:kern w:val="0"/>
          <w:sz w:val="24"/>
          <w:szCs w:val="24"/>
          <w:highlight w:val="none"/>
        </w:rPr>
        <w:t>进行分级的重整催化剂损耗率</w:t>
      </w:r>
      <w:r>
        <w:rPr>
          <w:rFonts w:hint="eastAsia" w:ascii="宋体" w:hAnsi="宋体"/>
          <w:color w:val="000000"/>
          <w:sz w:val="24"/>
          <w:szCs w:val="24"/>
          <w:highlight w:val="none"/>
        </w:rPr>
        <w:t>应</w:t>
      </w:r>
      <w:r>
        <w:rPr>
          <w:rFonts w:hint="eastAsia" w:ascii="宋体" w:hAnsi="宋体"/>
          <w:kern w:val="0"/>
          <w:sz w:val="24"/>
          <w:szCs w:val="24"/>
          <w:highlight w:val="none"/>
        </w:rPr>
        <w:t>＜0.1%</w:t>
      </w:r>
      <w:r>
        <w:rPr>
          <w:rFonts w:hint="eastAsia"/>
          <w:sz w:val="24"/>
          <w:szCs w:val="24"/>
          <w:highlight w:val="none"/>
        </w:rPr>
        <w:t>。</w:t>
      </w:r>
    </w:p>
    <w:p>
      <w:pPr>
        <w:spacing w:line="360" w:lineRule="auto"/>
        <w:rPr>
          <w:rFonts w:hint="eastAsia" w:ascii="宋体" w:hAnsi="宋体"/>
          <w:color w:val="000000"/>
          <w:sz w:val="24"/>
          <w:szCs w:val="24"/>
          <w:highlight w:val="none"/>
        </w:rPr>
      </w:pPr>
      <w:r>
        <w:rPr>
          <w:rFonts w:ascii="宋体" w:hAnsi="宋体"/>
          <w:color w:val="000000"/>
          <w:sz w:val="24"/>
          <w:szCs w:val="24"/>
          <w:highlight w:val="none"/>
        </w:rPr>
        <w:t>3.2.4</w:t>
      </w:r>
      <w:r>
        <w:rPr>
          <w:rFonts w:hint="eastAsia" w:ascii="宋体" w:hAnsi="宋体"/>
          <w:color w:val="000000"/>
          <w:sz w:val="24"/>
          <w:szCs w:val="24"/>
          <w:highlight w:val="none"/>
        </w:rPr>
        <w:t>重整催化剂物理分级处理时间＜ 10天。</w:t>
      </w:r>
    </w:p>
    <w:p>
      <w:pPr>
        <w:spacing w:line="360" w:lineRule="auto"/>
        <w:rPr>
          <w:rFonts w:ascii="宋体" w:hAnsi="宋体"/>
          <w:b/>
          <w:bCs/>
          <w:color w:val="000000"/>
          <w:sz w:val="24"/>
          <w:szCs w:val="24"/>
          <w:highlight w:val="none"/>
        </w:rPr>
      </w:pPr>
      <w:r>
        <w:rPr>
          <w:rFonts w:hint="eastAsia" w:ascii="宋体" w:hAnsi="宋体"/>
          <w:b/>
          <w:bCs/>
          <w:color w:val="000000"/>
          <w:sz w:val="24"/>
          <w:szCs w:val="24"/>
          <w:highlight w:val="none"/>
        </w:rPr>
        <w:t>4、验收标准</w:t>
      </w:r>
    </w:p>
    <w:p>
      <w:pPr>
        <w:adjustRightInd w:val="0"/>
        <w:snapToGrid w:val="0"/>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业主/团队负责将待分级催化剂分为4个批次，由业主/团队与承包商双方共同取样（催化剂按每批取1份样品，经混合后作为标准样品保留），混合样分成三份。业主/团队与承包商双方各执一份，第三份作为发生纠纷时仲裁的依据。</w:t>
      </w:r>
    </w:p>
    <w:p>
      <w:pPr>
        <w:spacing w:line="360" w:lineRule="auto"/>
        <w:rPr>
          <w:rFonts w:ascii="宋体" w:hAnsi="宋体"/>
          <w:color w:val="000000"/>
          <w:sz w:val="24"/>
          <w:szCs w:val="24"/>
          <w:highlight w:val="none"/>
        </w:rPr>
      </w:pPr>
      <w:r>
        <w:rPr>
          <w:rFonts w:hint="eastAsia" w:ascii="宋体" w:hAnsi="宋体"/>
          <w:kern w:val="0"/>
          <w:sz w:val="24"/>
          <w:szCs w:val="24"/>
          <w:highlight w:val="none"/>
        </w:rPr>
        <w:t>催化剂物理分</w:t>
      </w:r>
      <w:r>
        <w:rPr>
          <w:rFonts w:hint="eastAsia" w:ascii="宋体" w:hAnsi="宋体"/>
          <w:sz w:val="24"/>
          <w:szCs w:val="24"/>
          <w:highlight w:val="none"/>
        </w:rPr>
        <w:t>级</w:t>
      </w:r>
      <w:r>
        <w:rPr>
          <w:rFonts w:hint="eastAsia" w:ascii="宋体" w:hAnsi="宋体"/>
          <w:kern w:val="0"/>
          <w:sz w:val="24"/>
          <w:szCs w:val="24"/>
          <w:highlight w:val="none"/>
        </w:rPr>
        <w:t>效果由业主/团队质检部进行评价。有争议时，委托有分析</w:t>
      </w:r>
      <w:r>
        <w:rPr>
          <w:rFonts w:hint="eastAsia" w:ascii="宋体" w:hAnsi="宋体"/>
          <w:color w:val="000000"/>
          <w:sz w:val="24"/>
          <w:szCs w:val="24"/>
          <w:highlight w:val="none"/>
        </w:rPr>
        <w:t>资质的第三方进行评价。</w:t>
      </w:r>
    </w:p>
    <w:p>
      <w:pPr>
        <w:spacing w:line="360" w:lineRule="auto"/>
        <w:ind w:left="398" w:leftChars="0" w:hanging="398" w:hangingChars="166"/>
        <w:rPr>
          <w:rFonts w:ascii="宋体" w:hAnsi="宋体"/>
          <w:color w:val="000000"/>
          <w:sz w:val="24"/>
          <w:szCs w:val="24"/>
          <w:highlight w:val="none"/>
        </w:rPr>
      </w:pPr>
      <w:r>
        <w:rPr>
          <w:rFonts w:hint="eastAsia" w:ascii="宋体" w:hAnsi="宋体"/>
          <w:color w:val="000000"/>
          <w:sz w:val="24"/>
          <w:szCs w:val="24"/>
          <w:highlight w:val="none"/>
        </w:rPr>
        <w:t>4.1分级后的催化剂分类包装标准：密封性好、防水、防潮，外观要清晰标明标牌号、批号、净重、日期等。</w:t>
      </w:r>
    </w:p>
    <w:p>
      <w:pPr>
        <w:spacing w:line="360" w:lineRule="auto"/>
        <w:ind w:left="398" w:leftChars="0" w:hanging="398" w:hangingChars="166"/>
        <w:rPr>
          <w:rFonts w:ascii="宋体" w:hAnsi="宋体"/>
          <w:color w:val="000000"/>
          <w:sz w:val="24"/>
          <w:szCs w:val="24"/>
          <w:highlight w:val="none"/>
        </w:rPr>
      </w:pPr>
      <w:r>
        <w:rPr>
          <w:rFonts w:hint="eastAsia" w:ascii="宋体" w:hAnsi="宋体"/>
          <w:color w:val="000000"/>
          <w:sz w:val="24"/>
          <w:szCs w:val="24"/>
          <w:highlight w:val="none"/>
        </w:rPr>
        <w:t>4.2被回收的低碳催化剂标准：颗粒直径＞1.4mm、含碳量≤7%，并标明标牌号。</w:t>
      </w:r>
    </w:p>
    <w:p>
      <w:pPr>
        <w:spacing w:line="360" w:lineRule="auto"/>
        <w:rPr>
          <w:rFonts w:ascii="宋体" w:hAnsi="宋体"/>
          <w:color w:val="000000"/>
          <w:sz w:val="24"/>
          <w:szCs w:val="24"/>
          <w:highlight w:val="none"/>
        </w:rPr>
      </w:pPr>
      <w:r>
        <w:rPr>
          <w:rFonts w:hint="eastAsia" w:ascii="宋体" w:hAnsi="宋体"/>
          <w:b/>
          <w:bCs/>
          <w:color w:val="000000"/>
          <w:sz w:val="24"/>
          <w:szCs w:val="24"/>
          <w:highlight w:val="none"/>
        </w:rPr>
        <w:t>5、验收方法：</w:t>
      </w:r>
      <w:r>
        <w:rPr>
          <w:rFonts w:hint="eastAsia" w:ascii="宋体" w:hAnsi="宋体"/>
          <w:color w:val="000000"/>
          <w:sz w:val="24"/>
          <w:szCs w:val="24"/>
          <w:highlight w:val="none"/>
        </w:rPr>
        <w:t xml:space="preserve"> </w:t>
      </w:r>
    </w:p>
    <w:p>
      <w:pPr>
        <w:spacing w:line="360" w:lineRule="auto"/>
        <w:ind w:left="360" w:leftChars="0" w:hanging="360" w:hangingChars="150"/>
        <w:rPr>
          <w:rFonts w:ascii="宋体" w:hAnsi="宋体"/>
          <w:color w:val="000000"/>
          <w:sz w:val="24"/>
          <w:szCs w:val="24"/>
          <w:highlight w:val="none"/>
        </w:rPr>
      </w:pPr>
      <w:r>
        <w:rPr>
          <w:rFonts w:hint="eastAsia" w:ascii="宋体" w:hAnsi="宋体"/>
          <w:color w:val="000000"/>
          <w:sz w:val="24"/>
          <w:szCs w:val="24"/>
          <w:highlight w:val="none"/>
        </w:rPr>
        <w:t>5.1风车式物理分级指标3.1.1的验收方法：最高碳含量是当催化剂分级处理完毕后，双方在场，由</w:t>
      </w:r>
      <w:r>
        <w:rPr>
          <w:rFonts w:hint="eastAsia" w:ascii="宋体" w:hAnsi="宋体"/>
          <w:kern w:val="0"/>
          <w:sz w:val="24"/>
          <w:szCs w:val="24"/>
          <w:highlight w:val="none"/>
        </w:rPr>
        <w:t>业主/团队</w:t>
      </w:r>
      <w:r>
        <w:rPr>
          <w:rFonts w:hint="eastAsia" w:ascii="宋体" w:hAnsi="宋体"/>
          <w:color w:val="000000"/>
          <w:sz w:val="24"/>
          <w:szCs w:val="24"/>
          <w:highlight w:val="none"/>
        </w:rPr>
        <w:t>取出2000颗催化剂，在其中选出催化剂30颗最黑的（小球）催化剂交</w:t>
      </w:r>
      <w:r>
        <w:rPr>
          <w:rFonts w:hint="eastAsia" w:ascii="宋体" w:hAnsi="宋体"/>
          <w:kern w:val="0"/>
          <w:sz w:val="24"/>
          <w:szCs w:val="24"/>
          <w:highlight w:val="none"/>
        </w:rPr>
        <w:t>业主/团队</w:t>
      </w:r>
      <w:r>
        <w:rPr>
          <w:rFonts w:hint="eastAsia" w:ascii="宋体" w:hAnsi="宋体"/>
          <w:color w:val="000000"/>
          <w:sz w:val="24"/>
          <w:szCs w:val="24"/>
          <w:highlight w:val="none"/>
        </w:rPr>
        <w:t>的质量技术中心进行碳含量测定，并以此分析数据作为验收数据。</w:t>
      </w:r>
    </w:p>
    <w:p>
      <w:pPr>
        <w:spacing w:line="360" w:lineRule="auto"/>
        <w:ind w:left="360" w:leftChars="0" w:hanging="360" w:hangingChars="150"/>
        <w:rPr>
          <w:rFonts w:ascii="宋体" w:hAnsi="宋体"/>
          <w:color w:val="000000"/>
          <w:sz w:val="24"/>
          <w:szCs w:val="24"/>
          <w:highlight w:val="none"/>
        </w:rPr>
      </w:pPr>
      <w:r>
        <w:rPr>
          <w:rFonts w:hint="eastAsia" w:ascii="宋体" w:hAnsi="宋体"/>
          <w:color w:val="000000"/>
          <w:sz w:val="24"/>
          <w:szCs w:val="24"/>
          <w:highlight w:val="none"/>
        </w:rPr>
        <w:t>5.2风车式物理分级指标3.1.2的验收方法：催化剂分级后可回装低炭催化剂中，双方在场，由</w:t>
      </w:r>
      <w:r>
        <w:rPr>
          <w:rFonts w:hint="eastAsia" w:ascii="宋体" w:hAnsi="宋体"/>
          <w:kern w:val="0"/>
          <w:sz w:val="24"/>
          <w:szCs w:val="24"/>
          <w:highlight w:val="none"/>
        </w:rPr>
        <w:t>业主/团队</w:t>
      </w:r>
      <w:r>
        <w:rPr>
          <w:rFonts w:hint="eastAsia" w:ascii="宋体" w:hAnsi="宋体"/>
          <w:color w:val="000000"/>
          <w:sz w:val="24"/>
          <w:szCs w:val="24"/>
          <w:highlight w:val="none"/>
        </w:rPr>
        <w:t>取出2000颗催化剂，在其中选出最小的催化剂用千分尺测试，若直径大于1.4mm为合格，允许1.4mm＞Φ＞1.2mm两颗，小于1.2mm匀为不合格。</w:t>
      </w:r>
    </w:p>
    <w:p>
      <w:pPr>
        <w:spacing w:line="360" w:lineRule="auto"/>
        <w:ind w:left="360" w:leftChars="0" w:hanging="360" w:hangingChars="150"/>
        <w:rPr>
          <w:rFonts w:ascii="宋体" w:hAnsi="宋体"/>
          <w:color w:val="000000"/>
          <w:sz w:val="24"/>
          <w:szCs w:val="24"/>
          <w:highlight w:val="none"/>
        </w:rPr>
      </w:pPr>
      <w:r>
        <w:rPr>
          <w:rFonts w:hint="eastAsia" w:ascii="宋体" w:hAnsi="宋体"/>
          <w:color w:val="000000"/>
          <w:sz w:val="24"/>
          <w:szCs w:val="24"/>
          <w:highlight w:val="none"/>
        </w:rPr>
        <w:t>5.3风车式物理分级指标3.1.3的验收方法：重整催化剂物理分级前后分别在</w:t>
      </w:r>
      <w:r>
        <w:rPr>
          <w:rFonts w:hint="eastAsia" w:ascii="宋体" w:hAnsi="宋体"/>
          <w:kern w:val="0"/>
          <w:sz w:val="24"/>
          <w:szCs w:val="24"/>
          <w:highlight w:val="none"/>
        </w:rPr>
        <w:t>业主/团队</w:t>
      </w:r>
      <w:r>
        <w:rPr>
          <w:rFonts w:hint="eastAsia" w:ascii="宋体" w:hAnsi="宋体"/>
          <w:color w:val="000000"/>
          <w:sz w:val="24"/>
          <w:szCs w:val="24"/>
          <w:highlight w:val="none"/>
        </w:rPr>
        <w:t>现场</w:t>
      </w:r>
      <w:r>
        <w:rPr>
          <w:rFonts w:ascii="宋体" w:hAnsi="宋体"/>
          <w:color w:val="000000"/>
          <w:sz w:val="24"/>
          <w:szCs w:val="24"/>
          <w:highlight w:val="none"/>
        </w:rPr>
        <w:t>称重认可</w:t>
      </w:r>
      <w:r>
        <w:rPr>
          <w:rFonts w:hint="eastAsia" w:ascii="宋体" w:hAnsi="宋体"/>
          <w:color w:val="000000"/>
          <w:sz w:val="24"/>
          <w:szCs w:val="24"/>
          <w:highlight w:val="none"/>
        </w:rPr>
        <w:t>，分级前后催化剂的重量差值与催化剂密度分级前的重量比值作为重整催化剂损耗率。</w:t>
      </w:r>
    </w:p>
    <w:p>
      <w:pPr>
        <w:spacing w:line="360" w:lineRule="auto"/>
        <w:ind w:left="360" w:leftChars="0" w:hanging="360" w:hangingChars="150"/>
        <w:rPr>
          <w:rFonts w:ascii="宋体" w:hAnsi="宋体"/>
          <w:color w:val="000000"/>
          <w:sz w:val="24"/>
          <w:szCs w:val="24"/>
          <w:highlight w:val="none"/>
        </w:rPr>
      </w:pPr>
      <w:r>
        <w:rPr>
          <w:rFonts w:hint="eastAsia" w:ascii="宋体" w:hAnsi="宋体"/>
          <w:color w:val="000000"/>
          <w:sz w:val="24"/>
          <w:szCs w:val="24"/>
          <w:highlight w:val="none"/>
        </w:rPr>
        <w:t>5.4风车式物理分级指标3.1.4的验收方法：重整催化剂物理分级处理时间以承包商签收</w:t>
      </w:r>
      <w:r>
        <w:rPr>
          <w:rFonts w:hint="eastAsia" w:ascii="宋体" w:hAnsi="宋体"/>
          <w:kern w:val="0"/>
          <w:sz w:val="24"/>
          <w:szCs w:val="24"/>
          <w:highlight w:val="none"/>
        </w:rPr>
        <w:t>业主/团队</w:t>
      </w:r>
      <w:r>
        <w:rPr>
          <w:rFonts w:hint="eastAsia" w:ascii="宋体" w:hAnsi="宋体"/>
          <w:color w:val="000000"/>
          <w:sz w:val="24"/>
          <w:szCs w:val="24"/>
          <w:highlight w:val="none"/>
        </w:rPr>
        <w:t>的第一批催化剂开始计时，到物理分级处理完毕</w:t>
      </w:r>
      <w:r>
        <w:rPr>
          <w:rFonts w:hint="eastAsia" w:ascii="宋体" w:hAnsi="宋体"/>
          <w:kern w:val="0"/>
          <w:sz w:val="24"/>
          <w:szCs w:val="24"/>
          <w:highlight w:val="none"/>
        </w:rPr>
        <w:t>业主/团队</w:t>
      </w:r>
      <w:r>
        <w:rPr>
          <w:rFonts w:hint="eastAsia" w:ascii="宋体" w:hAnsi="宋体"/>
          <w:color w:val="000000"/>
          <w:sz w:val="24"/>
          <w:szCs w:val="24"/>
          <w:highlight w:val="none"/>
        </w:rPr>
        <w:t>签收承包商交回的最后一批催化剂结束计时（户外除外）。</w:t>
      </w:r>
    </w:p>
    <w:p>
      <w:pPr>
        <w:spacing w:line="360" w:lineRule="auto"/>
        <w:rPr>
          <w:rFonts w:ascii="宋体" w:hAnsi="宋体"/>
          <w:b/>
          <w:bCs/>
          <w:color w:val="000000"/>
          <w:sz w:val="24"/>
          <w:szCs w:val="24"/>
          <w:highlight w:val="none"/>
        </w:rPr>
      </w:pPr>
      <w:r>
        <w:rPr>
          <w:rFonts w:hint="eastAsia" w:ascii="宋体" w:hAnsi="宋体"/>
          <w:b/>
          <w:bCs/>
          <w:color w:val="000000"/>
          <w:sz w:val="24"/>
          <w:szCs w:val="24"/>
          <w:highlight w:val="none"/>
        </w:rPr>
        <w:t>6、双方责任与协调</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6.1业主/团队责任：</w:t>
      </w:r>
    </w:p>
    <w:p>
      <w:pPr>
        <w:adjustRightInd w:val="0"/>
        <w:snapToGrid w:val="0"/>
        <w:spacing w:line="360" w:lineRule="auto"/>
        <w:ind w:firstLine="460" w:firstLineChars="192"/>
        <w:rPr>
          <w:rFonts w:ascii="宋体" w:hAnsi="宋体"/>
          <w:kern w:val="0"/>
          <w:sz w:val="24"/>
          <w:szCs w:val="24"/>
          <w:highlight w:val="none"/>
        </w:rPr>
      </w:pPr>
      <w:r>
        <w:rPr>
          <w:rFonts w:hint="eastAsia" w:ascii="宋体" w:hAnsi="宋体"/>
          <w:kern w:val="0"/>
          <w:sz w:val="24"/>
          <w:szCs w:val="24"/>
          <w:highlight w:val="none"/>
        </w:rPr>
        <w:t>6.1.1将待</w:t>
      </w:r>
      <w:r>
        <w:rPr>
          <w:rFonts w:hint="eastAsia" w:ascii="宋体" w:hAnsi="宋体"/>
          <w:bCs/>
          <w:sz w:val="24"/>
          <w:szCs w:val="24"/>
          <w:highlight w:val="none"/>
        </w:rPr>
        <w:t>风车式物理分</w:t>
      </w:r>
      <w:r>
        <w:rPr>
          <w:rFonts w:hint="eastAsia" w:ascii="宋体" w:hAnsi="宋体"/>
          <w:sz w:val="24"/>
          <w:szCs w:val="24"/>
          <w:highlight w:val="none"/>
        </w:rPr>
        <w:t>级</w:t>
      </w:r>
      <w:r>
        <w:rPr>
          <w:rFonts w:hint="eastAsia" w:ascii="宋体" w:hAnsi="宋体"/>
          <w:kern w:val="0"/>
          <w:sz w:val="24"/>
          <w:szCs w:val="24"/>
          <w:highlight w:val="none"/>
        </w:rPr>
        <w:t>催化剂运至指定的作业场所，业主/团队与承包商的技术人员共同进行待分级催化剂的现场采样。</w:t>
      </w:r>
    </w:p>
    <w:p>
      <w:pPr>
        <w:adjustRightInd w:val="0"/>
        <w:snapToGrid w:val="0"/>
        <w:spacing w:line="360" w:lineRule="auto"/>
        <w:ind w:firstLine="475" w:firstLineChars="198"/>
        <w:rPr>
          <w:rFonts w:ascii="宋体" w:hAnsi="宋体"/>
          <w:kern w:val="0"/>
          <w:sz w:val="24"/>
          <w:szCs w:val="24"/>
          <w:highlight w:val="none"/>
        </w:rPr>
      </w:pPr>
      <w:r>
        <w:rPr>
          <w:rFonts w:hint="eastAsia" w:ascii="宋体" w:hAnsi="宋体"/>
          <w:kern w:val="0"/>
          <w:sz w:val="24"/>
          <w:szCs w:val="24"/>
          <w:highlight w:val="none"/>
        </w:rPr>
        <w:t>6.1.2</w:t>
      </w:r>
      <w:r>
        <w:rPr>
          <w:rFonts w:hint="eastAsia" w:ascii="宋体" w:hAnsi="宋体"/>
          <w:color w:val="000000"/>
          <w:sz w:val="24"/>
          <w:szCs w:val="24"/>
          <w:highlight w:val="none"/>
        </w:rPr>
        <w:t>对承包商作业人员进行三级安全教育，协助承包商人员办理进入厂通行证和车辆入厂证</w:t>
      </w:r>
      <w:r>
        <w:rPr>
          <w:rFonts w:hint="eastAsia" w:ascii="宋体" w:hAnsi="宋体"/>
          <w:kern w:val="0"/>
          <w:sz w:val="24"/>
          <w:szCs w:val="24"/>
          <w:highlight w:val="none"/>
        </w:rPr>
        <w:t>。</w:t>
      </w:r>
    </w:p>
    <w:p>
      <w:pPr>
        <w:adjustRightInd w:val="0"/>
        <w:snapToGrid w:val="0"/>
        <w:spacing w:line="360" w:lineRule="auto"/>
        <w:ind w:firstLine="475" w:firstLineChars="198"/>
        <w:rPr>
          <w:rFonts w:ascii="宋体" w:hAnsi="宋体"/>
          <w:kern w:val="0"/>
          <w:sz w:val="24"/>
          <w:szCs w:val="24"/>
          <w:highlight w:val="none"/>
        </w:rPr>
      </w:pPr>
      <w:r>
        <w:rPr>
          <w:rFonts w:hint="eastAsia" w:ascii="宋体" w:hAnsi="宋体"/>
          <w:kern w:val="0"/>
          <w:sz w:val="24"/>
          <w:szCs w:val="24"/>
          <w:highlight w:val="none"/>
        </w:rPr>
        <w:t>6.1.3有权根据业主/团队的管理制度对承包商人员进行现场管理。</w:t>
      </w:r>
    </w:p>
    <w:p>
      <w:pPr>
        <w:adjustRightInd w:val="0"/>
        <w:snapToGrid w:val="0"/>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6.1.4负责对承包商的催化剂物理分</w:t>
      </w:r>
      <w:r>
        <w:rPr>
          <w:rFonts w:hint="eastAsia" w:ascii="宋体" w:hAnsi="宋体"/>
          <w:sz w:val="24"/>
          <w:szCs w:val="24"/>
          <w:highlight w:val="none"/>
        </w:rPr>
        <w:t>级</w:t>
      </w:r>
      <w:r>
        <w:rPr>
          <w:rFonts w:hint="eastAsia" w:ascii="宋体" w:hAnsi="宋体"/>
          <w:kern w:val="0"/>
          <w:sz w:val="24"/>
          <w:szCs w:val="24"/>
          <w:highlight w:val="none"/>
        </w:rPr>
        <w:t>过程进行全程监控、监督检查。</w:t>
      </w:r>
    </w:p>
    <w:p>
      <w:pPr>
        <w:adjustRightInd w:val="0"/>
        <w:snapToGrid w:val="0"/>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6.1.5提供工作地点，确定位置，安装分离设备，装置占地面积大致为50m</w:t>
      </w:r>
      <w:r>
        <w:rPr>
          <w:rFonts w:hint="eastAsia" w:ascii="宋体" w:hAnsi="宋体"/>
          <w:kern w:val="0"/>
          <w:sz w:val="24"/>
          <w:szCs w:val="24"/>
          <w:highlight w:val="none"/>
          <w:vertAlign w:val="superscript"/>
        </w:rPr>
        <w:t>2</w:t>
      </w:r>
      <w:r>
        <w:rPr>
          <w:rFonts w:hint="eastAsia" w:ascii="宋体" w:hAnsi="宋体"/>
          <w:kern w:val="0"/>
          <w:sz w:val="24"/>
          <w:szCs w:val="24"/>
          <w:highlight w:val="none"/>
        </w:rPr>
        <w:t>（仓库优先或户外搭棚）。</w:t>
      </w:r>
    </w:p>
    <w:p>
      <w:pPr>
        <w:adjustRightInd w:val="0"/>
        <w:snapToGrid w:val="0"/>
        <w:spacing w:line="360" w:lineRule="auto"/>
        <w:ind w:firstLine="460" w:firstLineChars="192"/>
        <w:rPr>
          <w:rFonts w:ascii="宋体" w:hAnsi="宋体"/>
          <w:kern w:val="0"/>
          <w:sz w:val="24"/>
          <w:szCs w:val="24"/>
          <w:highlight w:val="none"/>
        </w:rPr>
      </w:pPr>
      <w:r>
        <w:rPr>
          <w:rFonts w:hint="eastAsia" w:ascii="宋体" w:hAnsi="宋体"/>
          <w:kern w:val="0"/>
          <w:sz w:val="24"/>
          <w:szCs w:val="24"/>
          <w:highlight w:val="none"/>
        </w:rPr>
        <w:t>6.1.6配合安装该的设备，业主/团队可以协助联系吊车或叉车，但所需费用由承包商承担。</w:t>
      </w:r>
    </w:p>
    <w:p>
      <w:pPr>
        <w:adjustRightInd w:val="0"/>
        <w:snapToGrid w:val="0"/>
        <w:spacing w:line="360" w:lineRule="auto"/>
        <w:ind w:firstLine="460" w:firstLineChars="192"/>
        <w:rPr>
          <w:rFonts w:ascii="宋体" w:hAnsi="宋体"/>
          <w:kern w:val="0"/>
          <w:sz w:val="24"/>
          <w:szCs w:val="24"/>
          <w:highlight w:val="none"/>
        </w:rPr>
      </w:pPr>
      <w:r>
        <w:rPr>
          <w:rFonts w:hint="eastAsia" w:ascii="宋体" w:hAnsi="宋体"/>
          <w:kern w:val="0"/>
          <w:sz w:val="24"/>
          <w:szCs w:val="24"/>
          <w:highlight w:val="none"/>
        </w:rPr>
        <w:t>6.1.7、提供15个容器为200升空桶，分级完成后由乙方返还甲方。</w:t>
      </w:r>
    </w:p>
    <w:p>
      <w:pPr>
        <w:adjustRightInd w:val="0"/>
        <w:snapToGrid w:val="0"/>
        <w:spacing w:line="360" w:lineRule="auto"/>
        <w:ind w:firstLine="460" w:firstLineChars="192"/>
        <w:rPr>
          <w:rFonts w:ascii="宋体" w:hAnsi="宋体"/>
          <w:kern w:val="0"/>
          <w:sz w:val="24"/>
          <w:szCs w:val="24"/>
          <w:highlight w:val="none"/>
        </w:rPr>
      </w:pPr>
      <w:r>
        <w:rPr>
          <w:rFonts w:hint="eastAsia" w:ascii="宋体" w:hAnsi="宋体"/>
          <w:kern w:val="0"/>
          <w:sz w:val="24"/>
          <w:szCs w:val="24"/>
          <w:highlight w:val="none"/>
        </w:rPr>
        <w:t>6.1.8、提供三相四线电源。</w:t>
      </w:r>
    </w:p>
    <w:p>
      <w:pPr>
        <w:adjustRightInd w:val="0"/>
        <w:snapToGrid w:val="0"/>
        <w:spacing w:line="360" w:lineRule="auto"/>
        <w:ind w:firstLine="460" w:firstLineChars="192"/>
        <w:rPr>
          <w:rFonts w:ascii="宋体" w:hAnsi="宋体"/>
          <w:kern w:val="0"/>
          <w:sz w:val="24"/>
          <w:szCs w:val="24"/>
          <w:highlight w:val="none"/>
        </w:rPr>
      </w:pPr>
      <w:r>
        <w:rPr>
          <w:rFonts w:hint="eastAsia" w:ascii="宋体" w:hAnsi="宋体"/>
          <w:kern w:val="0"/>
          <w:sz w:val="24"/>
          <w:szCs w:val="24"/>
          <w:highlight w:val="none"/>
        </w:rPr>
        <w:t>6.1.9、分级出的低碳催化剂由业主/团队出具测定、分析数据报告，混合催化剂中低碳催化剂的分离效率及物料平衡报告。</w:t>
      </w:r>
    </w:p>
    <w:p>
      <w:pPr>
        <w:spacing w:line="360" w:lineRule="auto"/>
        <w:ind w:firstLine="240" w:firstLineChars="100"/>
        <w:rPr>
          <w:rFonts w:ascii="宋体" w:hAnsi="宋体"/>
          <w:color w:val="000000"/>
          <w:sz w:val="24"/>
          <w:szCs w:val="24"/>
          <w:highlight w:val="none"/>
        </w:rPr>
      </w:pPr>
      <w:r>
        <w:rPr>
          <w:rFonts w:hint="eastAsia" w:ascii="宋体" w:hAnsi="宋体"/>
          <w:color w:val="000000"/>
          <w:sz w:val="24"/>
          <w:szCs w:val="24"/>
          <w:highlight w:val="none"/>
        </w:rPr>
        <w:t>6.2承包商责任：</w:t>
      </w:r>
    </w:p>
    <w:p>
      <w:pPr>
        <w:adjustRightInd w:val="0"/>
        <w:snapToGrid w:val="0"/>
        <w:spacing w:line="360" w:lineRule="auto"/>
        <w:ind w:firstLine="460" w:firstLineChars="192"/>
        <w:rPr>
          <w:rFonts w:ascii="宋体" w:hAnsi="宋体"/>
          <w:kern w:val="0"/>
          <w:sz w:val="24"/>
          <w:szCs w:val="24"/>
          <w:highlight w:val="none"/>
        </w:rPr>
      </w:pPr>
      <w:r>
        <w:rPr>
          <w:rFonts w:hint="eastAsia" w:ascii="宋体" w:hAnsi="宋体"/>
          <w:kern w:val="0"/>
          <w:sz w:val="24"/>
          <w:szCs w:val="24"/>
          <w:highlight w:val="none"/>
        </w:rPr>
        <w:t>6.2.1在得到业主/团队通知后，48小时内携带相关设备、仪器到达指定现场。</w:t>
      </w:r>
    </w:p>
    <w:p>
      <w:pPr>
        <w:adjustRightInd w:val="0"/>
        <w:snapToGrid w:val="0"/>
        <w:spacing w:line="360" w:lineRule="auto"/>
        <w:ind w:left="976" w:leftChars="218" w:hanging="496" w:hangingChars="207"/>
        <w:rPr>
          <w:rFonts w:ascii="宋体" w:hAnsi="宋体"/>
          <w:kern w:val="0"/>
          <w:sz w:val="24"/>
          <w:szCs w:val="24"/>
          <w:highlight w:val="none"/>
        </w:rPr>
      </w:pPr>
      <w:r>
        <w:rPr>
          <w:rFonts w:hint="eastAsia" w:ascii="宋体" w:hAnsi="宋体"/>
          <w:kern w:val="0"/>
          <w:sz w:val="24"/>
          <w:szCs w:val="24"/>
          <w:highlight w:val="none"/>
        </w:rPr>
        <w:t>6.2.2根据业主/团队提供催化剂碳含量分析数据，24小时内制定出确保催化剂物理分级效果的最佳方案，提供给业主/团队留存，并保证在整个催化剂物理分级过程中严格遵守该方案，确保保质保量按时完成催化剂物理分级工作。</w:t>
      </w:r>
    </w:p>
    <w:p>
      <w:pPr>
        <w:adjustRightInd w:val="0"/>
        <w:snapToGrid w:val="0"/>
        <w:spacing w:line="360" w:lineRule="auto"/>
        <w:ind w:left="976" w:leftChars="218" w:hanging="496" w:hangingChars="207"/>
        <w:rPr>
          <w:rFonts w:ascii="宋体" w:hAnsi="宋体"/>
          <w:kern w:val="0"/>
          <w:sz w:val="24"/>
          <w:szCs w:val="24"/>
          <w:highlight w:val="none"/>
        </w:rPr>
      </w:pPr>
      <w:r>
        <w:rPr>
          <w:rFonts w:hint="eastAsia" w:ascii="宋体" w:hAnsi="宋体"/>
          <w:kern w:val="0"/>
          <w:sz w:val="24"/>
          <w:szCs w:val="24"/>
          <w:highlight w:val="none"/>
        </w:rPr>
        <w:t>6.2.3催化剂到指定作业场所后，24小时内制定出催化剂风车式物理分级统筹安排进度表﹙＜10天﹚；负责对待分催化剂进行器外风车式物理分级等工作。</w:t>
      </w:r>
    </w:p>
    <w:p>
      <w:pPr>
        <w:adjustRightInd w:val="0"/>
        <w:snapToGrid w:val="0"/>
        <w:spacing w:line="360" w:lineRule="auto"/>
        <w:ind w:left="976" w:leftChars="218" w:hanging="496" w:hangingChars="207"/>
        <w:rPr>
          <w:rFonts w:ascii="宋体" w:hAnsi="宋体"/>
          <w:kern w:val="0"/>
          <w:sz w:val="24"/>
          <w:szCs w:val="24"/>
          <w:highlight w:val="none"/>
        </w:rPr>
      </w:pPr>
      <w:r>
        <w:rPr>
          <w:rFonts w:hint="eastAsia" w:ascii="宋体" w:hAnsi="宋体"/>
          <w:kern w:val="0"/>
          <w:sz w:val="24"/>
          <w:szCs w:val="24"/>
          <w:highlight w:val="none"/>
        </w:rPr>
        <w:t>6.2.4会同业主/团队取分级后催化剂作为标准样品保留，以便必要时化验复查，样品至少保存二年。</w:t>
      </w:r>
    </w:p>
    <w:p>
      <w:pPr>
        <w:adjustRightInd w:val="0"/>
        <w:snapToGrid w:val="0"/>
        <w:spacing w:line="360" w:lineRule="auto"/>
        <w:ind w:left="976" w:leftChars="218" w:hanging="496" w:hangingChars="207"/>
        <w:rPr>
          <w:rFonts w:ascii="宋体" w:hAnsi="宋体"/>
          <w:kern w:val="0"/>
          <w:sz w:val="24"/>
          <w:szCs w:val="24"/>
          <w:highlight w:val="none"/>
        </w:rPr>
      </w:pPr>
      <w:r>
        <w:rPr>
          <w:rFonts w:hint="eastAsia" w:ascii="宋体" w:hAnsi="宋体"/>
          <w:kern w:val="0"/>
          <w:sz w:val="24"/>
          <w:szCs w:val="24"/>
          <w:highlight w:val="none"/>
        </w:rPr>
        <w:t>6.2.5与业主/团队共同负责分级现场的催化剂安保工作，及时向业主/团队通报催化剂物理分级情况。</w:t>
      </w:r>
    </w:p>
    <w:p>
      <w:pPr>
        <w:adjustRightInd w:val="0"/>
        <w:snapToGrid w:val="0"/>
        <w:spacing w:line="360" w:lineRule="auto"/>
        <w:ind w:firstLine="460" w:firstLineChars="192"/>
        <w:rPr>
          <w:rFonts w:ascii="宋体" w:hAnsi="宋体"/>
          <w:kern w:val="0"/>
          <w:sz w:val="24"/>
          <w:szCs w:val="24"/>
          <w:highlight w:val="none"/>
        </w:rPr>
      </w:pPr>
      <w:r>
        <w:rPr>
          <w:rFonts w:hint="eastAsia" w:ascii="宋体" w:hAnsi="宋体"/>
          <w:kern w:val="0"/>
          <w:sz w:val="24"/>
          <w:szCs w:val="24"/>
          <w:highlight w:val="none"/>
        </w:rPr>
        <w:t>6.2.6催化剂物理分级处理结束后，由承包商负责将分级后的场地打扫干净。</w:t>
      </w:r>
    </w:p>
    <w:p>
      <w:pPr>
        <w:adjustRightInd w:val="0"/>
        <w:snapToGrid w:val="0"/>
        <w:spacing w:line="360" w:lineRule="auto"/>
        <w:ind w:left="976" w:leftChars="218" w:hanging="496" w:hangingChars="207"/>
        <w:rPr>
          <w:rFonts w:ascii="宋体" w:hAnsi="宋体"/>
          <w:kern w:val="0"/>
          <w:sz w:val="24"/>
          <w:szCs w:val="24"/>
          <w:highlight w:val="none"/>
        </w:rPr>
      </w:pPr>
      <w:r>
        <w:rPr>
          <w:rFonts w:hint="eastAsia" w:ascii="宋体" w:hAnsi="宋体"/>
          <w:kern w:val="0"/>
          <w:sz w:val="24"/>
          <w:szCs w:val="24"/>
          <w:highlight w:val="none"/>
        </w:rPr>
        <w:t>6.2.7承包商人员在现场未经业主/团队许可严禁动用业主/团队设备，并严格遵守</w:t>
      </w:r>
      <w:r>
        <w:rPr>
          <w:rFonts w:hint="eastAsia" w:ascii="宋体" w:hAnsi="宋体"/>
          <w:kern w:val="0"/>
          <w:sz w:val="24"/>
          <w:szCs w:val="24"/>
          <w:highlight w:val="none"/>
          <w:lang w:val="en-US" w:eastAsia="zh-CN"/>
        </w:rPr>
        <w:t>甲方</w:t>
      </w:r>
      <w:r>
        <w:rPr>
          <w:rFonts w:hint="eastAsia" w:ascii="宋体" w:hAnsi="宋体"/>
          <w:kern w:val="0"/>
          <w:sz w:val="24"/>
          <w:szCs w:val="24"/>
          <w:highlight w:val="none"/>
        </w:rPr>
        <w:t>的各项管理制度。</w:t>
      </w:r>
    </w:p>
    <w:p>
      <w:pPr>
        <w:adjustRightInd w:val="0"/>
        <w:snapToGrid w:val="0"/>
        <w:spacing w:line="360" w:lineRule="auto"/>
        <w:ind w:firstLine="460" w:firstLineChars="192"/>
        <w:rPr>
          <w:rFonts w:hint="eastAsia" w:ascii="宋体" w:hAnsi="宋体"/>
          <w:kern w:val="0"/>
          <w:sz w:val="24"/>
          <w:szCs w:val="24"/>
          <w:highlight w:val="none"/>
        </w:rPr>
      </w:pPr>
      <w:r>
        <w:rPr>
          <w:rFonts w:ascii="宋体" w:hAnsi="宋体"/>
          <w:kern w:val="0"/>
          <w:sz w:val="24"/>
          <w:szCs w:val="24"/>
          <w:highlight w:val="none"/>
        </w:rPr>
        <w:t>6.2.8</w:t>
      </w:r>
      <w:r>
        <w:rPr>
          <w:rFonts w:hint="eastAsia"/>
          <w:sz w:val="24"/>
          <w:szCs w:val="24"/>
          <w:highlight w:val="none"/>
        </w:rPr>
        <w:t>筛分完成后提供催化剂筛分报告。</w:t>
      </w:r>
    </w:p>
    <w:p>
      <w:pPr>
        <w:spacing w:line="360" w:lineRule="auto"/>
        <w:rPr>
          <w:rFonts w:ascii="宋体" w:hAnsi="宋体"/>
          <w:b/>
          <w:bCs/>
          <w:color w:val="000000"/>
          <w:sz w:val="24"/>
          <w:szCs w:val="24"/>
          <w:highlight w:val="none"/>
        </w:rPr>
      </w:pPr>
      <w:r>
        <w:rPr>
          <w:rFonts w:hint="eastAsia" w:ascii="宋体" w:hAnsi="宋体"/>
          <w:b/>
          <w:bCs/>
          <w:color w:val="000000"/>
          <w:sz w:val="24"/>
          <w:szCs w:val="24"/>
          <w:highlight w:val="none"/>
        </w:rPr>
        <w:t>7、违约责任</w:t>
      </w:r>
    </w:p>
    <w:p>
      <w:pPr>
        <w:spacing w:line="360" w:lineRule="auto"/>
        <w:ind w:left="338" w:leftChars="0" w:hanging="338" w:hangingChars="141"/>
        <w:rPr>
          <w:rFonts w:ascii="宋体" w:hAnsi="宋体"/>
          <w:color w:val="000000"/>
          <w:sz w:val="24"/>
          <w:szCs w:val="24"/>
          <w:highlight w:val="none"/>
        </w:rPr>
      </w:pPr>
      <w:r>
        <w:rPr>
          <w:rFonts w:hint="eastAsia" w:ascii="宋体" w:hAnsi="宋体"/>
          <w:color w:val="000000"/>
          <w:sz w:val="24"/>
          <w:szCs w:val="24"/>
          <w:highlight w:val="none"/>
        </w:rPr>
        <w:t>7.1按照双方约定，承包商要在业主/团队开始分级催化剂后10日内完成催化剂分级工作，如因承包商风车式物理分级工期延长而影响装置开工时间，每超</w:t>
      </w:r>
      <w:r>
        <w:rPr>
          <w:rFonts w:ascii="宋体" w:hAnsi="宋体"/>
          <w:color w:val="000000"/>
          <w:sz w:val="24"/>
          <w:szCs w:val="24"/>
          <w:highlight w:val="none"/>
        </w:rPr>
        <w:t>1</w:t>
      </w:r>
      <w:r>
        <w:rPr>
          <w:rFonts w:hint="eastAsia" w:ascii="宋体" w:hAnsi="宋体"/>
          <w:color w:val="000000"/>
          <w:sz w:val="24"/>
          <w:szCs w:val="24"/>
          <w:highlight w:val="none"/>
        </w:rPr>
        <w:t>天扣除加工费总额的8</w:t>
      </w:r>
      <w:r>
        <w:rPr>
          <w:rFonts w:ascii="宋体" w:hAnsi="宋体"/>
          <w:color w:val="000000"/>
          <w:sz w:val="24"/>
          <w:szCs w:val="24"/>
          <w:highlight w:val="none"/>
        </w:rPr>
        <w:t>%</w:t>
      </w:r>
      <w:r>
        <w:rPr>
          <w:rFonts w:hint="eastAsia" w:ascii="宋体" w:hAnsi="宋体"/>
          <w:color w:val="000000"/>
          <w:sz w:val="24"/>
          <w:szCs w:val="24"/>
          <w:highlight w:val="none"/>
        </w:rPr>
        <w:t>。</w:t>
      </w:r>
    </w:p>
    <w:p>
      <w:pPr>
        <w:spacing w:line="360" w:lineRule="auto"/>
        <w:ind w:left="338" w:leftChars="0" w:hanging="338" w:hangingChars="141"/>
        <w:rPr>
          <w:rFonts w:ascii="宋体" w:hAnsi="宋体"/>
          <w:color w:val="000000"/>
          <w:sz w:val="24"/>
          <w:szCs w:val="24"/>
          <w:highlight w:val="none"/>
        </w:rPr>
      </w:pPr>
      <w:r>
        <w:rPr>
          <w:rFonts w:hint="eastAsia" w:ascii="宋体" w:hAnsi="宋体"/>
          <w:color w:val="000000"/>
          <w:sz w:val="24"/>
          <w:szCs w:val="24"/>
          <w:highlight w:val="none"/>
        </w:rPr>
        <w:t>7.2若从承包商风车式物理分级后的2000颗合格催化剂中选出30颗最黑的小球所测定的碳含量超过6%，扣减8%物理分级费用，该催化剂并进行重新分级。</w:t>
      </w:r>
    </w:p>
    <w:p>
      <w:pPr>
        <w:spacing w:line="360" w:lineRule="auto"/>
        <w:ind w:left="338" w:leftChars="0" w:hanging="338" w:hangingChars="141"/>
        <w:rPr>
          <w:rFonts w:ascii="宋体" w:hAnsi="宋体"/>
          <w:color w:val="000000"/>
          <w:sz w:val="24"/>
          <w:szCs w:val="24"/>
          <w:highlight w:val="none"/>
        </w:rPr>
      </w:pPr>
      <w:r>
        <w:rPr>
          <w:rFonts w:hint="eastAsia" w:ascii="宋体" w:hAnsi="宋体"/>
          <w:color w:val="000000"/>
          <w:sz w:val="24"/>
          <w:szCs w:val="24"/>
          <w:highlight w:val="none"/>
        </w:rPr>
        <w:t>7.3若从承包商风车式物理分级后催化剂颗粒有测定直径小于1.4mm每超5/1000颗扣减8%物理分级费用,如有Φ＜1.2mm为不合格该催化剂并进行重新分级。</w:t>
      </w:r>
    </w:p>
    <w:p>
      <w:pPr>
        <w:spacing w:line="360" w:lineRule="auto"/>
        <w:ind w:left="338" w:leftChars="0" w:hanging="338" w:hangingChars="141"/>
        <w:rPr>
          <w:rFonts w:ascii="宋体" w:hAnsi="宋体"/>
          <w:color w:val="000000"/>
          <w:sz w:val="24"/>
          <w:szCs w:val="24"/>
          <w:highlight w:val="none"/>
        </w:rPr>
      </w:pPr>
      <w:r>
        <w:rPr>
          <w:rFonts w:hint="eastAsia" w:ascii="宋体" w:hAnsi="宋体"/>
          <w:color w:val="000000"/>
          <w:sz w:val="24"/>
          <w:szCs w:val="24"/>
          <w:highlight w:val="none"/>
        </w:rPr>
        <w:t>7.4若承包商分级后的高碳催化剂中随取2000颗，然后从中选出30颗目视为最好的小球所测定碳含量不小于8%，每低0.1%，甲方将扣除8%的回收分离费用。</w:t>
      </w:r>
    </w:p>
    <w:p>
      <w:pPr>
        <w:spacing w:line="360" w:lineRule="auto"/>
        <w:ind w:left="338" w:leftChars="0" w:hanging="338" w:hangingChars="141"/>
        <w:rPr>
          <w:rFonts w:ascii="宋体" w:hAnsi="宋体"/>
          <w:color w:val="000000"/>
          <w:sz w:val="24"/>
          <w:szCs w:val="24"/>
          <w:highlight w:val="none"/>
        </w:rPr>
      </w:pPr>
      <w:r>
        <w:rPr>
          <w:rFonts w:hint="eastAsia" w:ascii="宋体" w:hAnsi="宋体"/>
          <w:color w:val="000000"/>
          <w:sz w:val="24"/>
          <w:szCs w:val="24"/>
          <w:highlight w:val="none"/>
        </w:rPr>
        <w:t>7.5加工损失率超过0.1%，超出部分由承包商按现有催化剂价值进行全额赔偿（称误差性除外）。</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加工损失率=100%×[W前-（W后1+W后2+W后3）]/W前</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其中：W前——回收前催化剂总量（千克）</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 xml:space="preserve">      W后1——回收产生的粉尘及破碎催化剂量（千克）</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 xml:space="preserve">      W后2——回收后低碳催化剂量（千克）</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 xml:space="preserve">      W后3——分离后高碳催化剂量（千克）</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7.6因业主/团队的原因造成承包商回收催化剂分级工期延长的，承包商不负责。</w:t>
      </w:r>
    </w:p>
    <w:p>
      <w:pPr>
        <w:spacing w:line="360" w:lineRule="auto"/>
        <w:rPr>
          <w:rFonts w:ascii="宋体" w:hAnsi="宋体"/>
          <w:b/>
          <w:bCs/>
          <w:color w:val="000000"/>
          <w:sz w:val="24"/>
          <w:szCs w:val="24"/>
          <w:highlight w:val="none"/>
        </w:rPr>
      </w:pPr>
      <w:r>
        <w:rPr>
          <w:rFonts w:hint="eastAsia" w:ascii="宋体" w:hAnsi="宋体"/>
          <w:b/>
          <w:bCs/>
          <w:color w:val="000000"/>
          <w:sz w:val="24"/>
          <w:szCs w:val="24"/>
          <w:highlight w:val="none"/>
        </w:rPr>
        <w:t>8、承包商资质：</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8.1 承包商要求</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8.1.1 具备有效的质量管理体系认证证书；职业健康安全管理体系认证证书；环境管理体系认证证书。</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8.1.2</w:t>
      </w:r>
      <w:r>
        <w:rPr>
          <w:rFonts w:ascii="宋体" w:hAnsi="宋体"/>
          <w:color w:val="000000"/>
          <w:sz w:val="24"/>
          <w:szCs w:val="24"/>
          <w:highlight w:val="none"/>
        </w:rPr>
        <w:t xml:space="preserve"> </w:t>
      </w:r>
      <w:r>
        <w:rPr>
          <w:color w:val="111111"/>
          <w:sz w:val="24"/>
          <w:szCs w:val="24"/>
          <w:highlight w:val="none"/>
          <w:shd w:val="clear" w:color="auto" w:fill="FFFFFF"/>
        </w:rPr>
        <w:t>2015年1月1日至今，具有</w:t>
      </w:r>
      <w:r>
        <w:rPr>
          <w:rFonts w:hint="eastAsia"/>
          <w:color w:val="111111"/>
          <w:sz w:val="24"/>
          <w:szCs w:val="24"/>
          <w:highlight w:val="none"/>
          <w:shd w:val="clear" w:color="auto" w:fill="FFFFFF"/>
        </w:rPr>
        <w:t>不少于</w:t>
      </w:r>
      <w:r>
        <w:rPr>
          <w:color w:val="111111"/>
          <w:sz w:val="24"/>
          <w:szCs w:val="24"/>
          <w:highlight w:val="none"/>
          <w:shd w:val="clear" w:color="auto" w:fill="FFFFFF"/>
        </w:rPr>
        <w:t>1</w:t>
      </w:r>
      <w:r>
        <w:rPr>
          <w:rFonts w:hint="eastAsia"/>
          <w:color w:val="111111"/>
          <w:sz w:val="24"/>
          <w:szCs w:val="24"/>
          <w:highlight w:val="none"/>
          <w:shd w:val="clear" w:color="auto" w:fill="FFFFFF"/>
        </w:rPr>
        <w:t>个重整装置重整催化剂器外筛分成功业绩且单次器外筛分量在100吨及以上（需提供合同及对应的结算签认资料与发票复印件）</w:t>
      </w:r>
      <w:r>
        <w:rPr>
          <w:rFonts w:hint="eastAsia" w:ascii="宋体" w:hAnsi="宋体"/>
          <w:color w:val="000000"/>
          <w:sz w:val="24"/>
          <w:szCs w:val="24"/>
          <w:highlight w:val="none"/>
        </w:rPr>
        <w:t>。</w:t>
      </w:r>
    </w:p>
    <w:p>
      <w:pPr>
        <w:spacing w:line="360" w:lineRule="auto"/>
        <w:rPr>
          <w:rFonts w:hint="eastAsia" w:ascii="宋体" w:hAnsi="宋体"/>
          <w:color w:val="000000"/>
          <w:sz w:val="24"/>
          <w:szCs w:val="24"/>
          <w:highlight w:val="none"/>
        </w:rPr>
      </w:pPr>
      <w:r>
        <w:rPr>
          <w:rFonts w:ascii="宋体" w:hAnsi="宋体"/>
          <w:color w:val="000000"/>
          <w:sz w:val="24"/>
          <w:szCs w:val="24"/>
          <w:highlight w:val="none"/>
        </w:rPr>
        <w:t>8.1.3</w:t>
      </w:r>
      <w:r>
        <w:rPr>
          <w:color w:val="111111"/>
          <w:sz w:val="24"/>
          <w:szCs w:val="24"/>
          <w:highlight w:val="none"/>
          <w:shd w:val="clear" w:color="auto" w:fill="FFFFFF"/>
        </w:rPr>
        <w:t>在中华人民共和国境内注册，具有独立</w:t>
      </w:r>
      <w:r>
        <w:rPr>
          <w:rFonts w:hint="eastAsia"/>
          <w:color w:val="111111"/>
          <w:sz w:val="24"/>
          <w:szCs w:val="24"/>
          <w:highlight w:val="none"/>
          <w:shd w:val="clear" w:color="auto" w:fill="FFFFFF"/>
        </w:rPr>
        <w:t>企业</w:t>
      </w:r>
      <w:r>
        <w:rPr>
          <w:color w:val="111111"/>
          <w:sz w:val="24"/>
          <w:szCs w:val="24"/>
          <w:highlight w:val="none"/>
          <w:shd w:val="clear" w:color="auto" w:fill="FFFFFF"/>
        </w:rPr>
        <w:t>法人资格。</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8.2报价要求：</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8.2.1 包商报价时应将风险包干费计入综合单价</w:t>
      </w:r>
      <w:r>
        <w:rPr>
          <w:rFonts w:ascii="宋体" w:hAnsi="宋体"/>
          <w:color w:val="000000"/>
          <w:sz w:val="24"/>
          <w:szCs w:val="24"/>
          <w:highlight w:val="none"/>
        </w:rPr>
        <w:t xml:space="preserve">。 </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8.2.2合同价款中所包含的风险范围包含：</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a.因工程项目清单有错、漏，导致工程报价不准确;</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b.因市场变化、政策性调整导致人工、机械和材料价格变化；</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c.按合同工期完工所采取的赶工措施</w:t>
      </w:r>
      <w:r>
        <w:rPr>
          <w:rFonts w:ascii="宋体" w:hAnsi="宋体"/>
          <w:color w:val="000000"/>
          <w:sz w:val="24"/>
          <w:szCs w:val="24"/>
          <w:highlight w:val="none"/>
        </w:rPr>
        <w:t>。</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8.2.3报价包括但不限于工安费用、管理费用、税金等。</w:t>
      </w:r>
    </w:p>
    <w:p>
      <w:pPr>
        <w:spacing w:line="360" w:lineRule="auto"/>
        <w:rPr>
          <w:rFonts w:hint="eastAsia" w:ascii="宋体" w:hAnsi="宋体"/>
          <w:b/>
          <w:bCs/>
          <w:color w:val="000000"/>
          <w:sz w:val="24"/>
          <w:szCs w:val="24"/>
          <w:highlight w:val="none"/>
        </w:rPr>
      </w:pPr>
      <w:r>
        <w:rPr>
          <w:rFonts w:hint="eastAsia" w:ascii="宋体" w:hAnsi="宋体"/>
          <w:b/>
          <w:bCs/>
          <w:color w:val="000000"/>
          <w:sz w:val="24"/>
          <w:szCs w:val="24"/>
          <w:highlight w:val="none"/>
        </w:rPr>
        <w:t>9、安全要求</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9.1作业人员施工前认真学习安全生产法规，作业人员无条件服从业主/团队安全检查人员指挥，遵守各项安全规章制度；</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9.2作业人员要结合施工特点，开展安全活动，并认真作好记录；危险部位的施工，要坚持班前讲安全；</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9.3在施工现场要设立醒目的安全标语牌和设置安全标志；</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9.4进入施工现场的所有人员必须戴安全帽，着装应符合有关规定，作业人员应清楚工作内容和防护措施；</w:t>
      </w:r>
    </w:p>
    <w:p>
      <w:pPr>
        <w:spacing w:line="360" w:lineRule="auto"/>
        <w:rPr>
          <w:rFonts w:hint="eastAsia" w:ascii="宋体" w:hAnsi="宋体"/>
          <w:color w:val="000000"/>
          <w:sz w:val="24"/>
          <w:szCs w:val="24"/>
          <w:highlight w:val="none"/>
        </w:rPr>
      </w:pPr>
      <w:r>
        <w:rPr>
          <w:rFonts w:hint="eastAsia" w:ascii="宋体" w:hAnsi="宋体"/>
          <w:color w:val="000000"/>
          <w:sz w:val="24"/>
          <w:szCs w:val="24"/>
          <w:highlight w:val="none"/>
        </w:rPr>
        <w:t>9.5合理安排作息时间，考虑施工人员身体承受能力；</w:t>
      </w:r>
    </w:p>
    <w:p>
      <w:pPr>
        <w:spacing w:line="360" w:lineRule="auto"/>
        <w:rPr>
          <w:rFonts w:ascii="宋体" w:hAnsi="宋体"/>
          <w:color w:val="000000"/>
          <w:sz w:val="24"/>
          <w:szCs w:val="24"/>
          <w:highlight w:val="none"/>
        </w:rPr>
      </w:pPr>
      <w:r>
        <w:rPr>
          <w:rFonts w:hint="eastAsia" w:ascii="宋体" w:hAnsi="宋体"/>
          <w:color w:val="000000"/>
          <w:sz w:val="24"/>
          <w:szCs w:val="24"/>
          <w:highlight w:val="none"/>
        </w:rPr>
        <w:t>9.6应有专职安全技术人员应每天巡视现场，及时发现施工中的不安全隐患和违章行为，及时排除险情，制止违章指挥和违章作业，监督施工中安全技术措施的执行，对发现安全隐患，保证无条件地及时整改；</w:t>
      </w:r>
    </w:p>
    <w:p>
      <w:pPr>
        <w:spacing w:line="360" w:lineRule="auto"/>
        <w:rPr>
          <w:rFonts w:hint="default" w:ascii="Times New Roman" w:hAnsi="Times New Roman" w:eastAsia="宋体" w:cs="Times New Roman"/>
          <w:b/>
          <w:bCs/>
          <w:sz w:val="24"/>
          <w:szCs w:val="24"/>
          <w:highlight w:val="none"/>
          <w:lang w:eastAsia="zh-CN"/>
        </w:rPr>
      </w:pPr>
      <w:r>
        <w:rPr>
          <w:rFonts w:hint="eastAsia" w:ascii="宋体" w:hAnsi="宋体"/>
          <w:color w:val="000000"/>
          <w:sz w:val="24"/>
          <w:szCs w:val="24"/>
          <w:highlight w:val="none"/>
        </w:rPr>
        <w:t>9.7中</w:t>
      </w:r>
      <w:r>
        <w:rPr>
          <w:rFonts w:hint="eastAsia" w:ascii="宋体" w:hAnsi="宋体"/>
          <w:color w:val="000000"/>
          <w:sz w:val="24"/>
          <w:szCs w:val="24"/>
          <w:highlight w:val="none"/>
          <w:lang w:val="en-US" w:eastAsia="zh-CN"/>
        </w:rPr>
        <w:t>选</w:t>
      </w:r>
      <w:r>
        <w:rPr>
          <w:rFonts w:hint="eastAsia" w:ascii="宋体" w:hAnsi="宋体"/>
          <w:color w:val="000000"/>
          <w:sz w:val="24"/>
          <w:szCs w:val="24"/>
          <w:highlight w:val="none"/>
        </w:rPr>
        <w:t>商须与福海创签订安全环保协议作为合同附件。</w:t>
      </w: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eastAsia" w:ascii="Times New Roman" w:hAnsi="Times New Roman" w:cs="Times New Roman"/>
          <w:b/>
          <w:bCs/>
          <w:sz w:val="24"/>
          <w:szCs w:val="24"/>
          <w:highlight w:val="none"/>
          <w:lang w:val="en-US" w:eastAsia="zh-CN"/>
        </w:rPr>
      </w:pPr>
      <w:r>
        <w:rPr>
          <w:rFonts w:hint="default" w:ascii="Times New Roman" w:hAnsi="Times New Roman" w:eastAsia="宋体" w:cs="Times New Roman"/>
          <w:b/>
          <w:bCs/>
          <w:sz w:val="24"/>
          <w:szCs w:val="24"/>
          <w:highlight w:val="none"/>
          <w:lang w:eastAsia="zh-CN"/>
        </w:rPr>
        <w:t>附件</w:t>
      </w:r>
      <w:r>
        <w:rPr>
          <w:rFonts w:hint="eastAsia" w:ascii="Times New Roman" w:hAnsi="Times New Roman" w:cs="Times New Roman"/>
          <w:b/>
          <w:bCs/>
          <w:sz w:val="24"/>
          <w:szCs w:val="24"/>
          <w:highlight w:val="none"/>
          <w:lang w:val="en-US" w:eastAsia="zh-CN"/>
        </w:rPr>
        <w:t xml:space="preserve">2                                       </w:t>
      </w:r>
    </w:p>
    <w:p>
      <w:pPr>
        <w:keepNext w:val="0"/>
        <w:keepLines w:val="0"/>
        <w:pageBreakBefore w:val="0"/>
        <w:widowControl/>
        <w:kinsoku/>
        <w:wordWrap/>
        <w:overflowPunct/>
        <w:topLinePunct w:val="0"/>
        <w:autoSpaceDE/>
        <w:autoSpaceDN/>
        <w:bidi w:val="0"/>
        <w:spacing w:line="360" w:lineRule="auto"/>
        <w:ind w:left="0" w:leftChars="0" w:firstLine="3752" w:firstLineChars="1168"/>
        <w:jc w:val="both"/>
        <w:outlineLvl w:val="9"/>
        <w:rPr>
          <w:rFonts w:hint="default" w:ascii="Times New Roman" w:hAnsi="Times New Roman" w:eastAsia="宋体" w:cs="Times New Roman"/>
          <w:b/>
          <w:bCs/>
          <w:sz w:val="32"/>
          <w:szCs w:val="32"/>
          <w:highlight w:val="none"/>
          <w:lang w:eastAsia="zh-CN"/>
        </w:rPr>
      </w:pPr>
      <w:r>
        <w:rPr>
          <w:rFonts w:hint="default" w:ascii="Times New Roman" w:hAnsi="Times New Roman" w:eastAsia="宋体" w:cs="Times New Roman"/>
          <w:b/>
          <w:bCs/>
          <w:sz w:val="32"/>
          <w:szCs w:val="32"/>
          <w:highlight w:val="none"/>
          <w:lang w:eastAsia="zh-CN"/>
        </w:rPr>
        <w:t>安全环保协议书</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甲方（委托方）：</w:t>
      </w:r>
      <w:r>
        <w:rPr>
          <w:rFonts w:hint="eastAsia" w:ascii="Times New Roman" w:hAnsi="Times New Roman" w:cs="Times New Roman"/>
          <w:sz w:val="24"/>
          <w:szCs w:val="24"/>
          <w:highlight w:val="none"/>
          <w:lang w:val="en-US" w:eastAsia="zh-CN"/>
        </w:rPr>
        <w:t>腾龙芳烃</w:t>
      </w:r>
      <w:r>
        <w:rPr>
          <w:rFonts w:hint="default" w:ascii="Times New Roman" w:hAnsi="Times New Roman" w:eastAsia="宋体" w:cs="Times New Roman"/>
          <w:sz w:val="24"/>
          <w:szCs w:val="24"/>
          <w:highlight w:val="none"/>
          <w:lang w:eastAsia="zh-CN"/>
        </w:rPr>
        <w:t xml:space="preserve">（漳州）有限公司                 </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乙方（受托方）：</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                      </w:t>
      </w:r>
    </w:p>
    <w:p>
      <w:pPr>
        <w:keepNext w:val="0"/>
        <w:keepLines w:val="0"/>
        <w:pageBreakBefore w:val="0"/>
        <w:kinsoku/>
        <w:wordWrap/>
        <w:overflowPunct/>
        <w:topLinePunct w:val="0"/>
        <w:bidi w:val="0"/>
        <w:spacing w:line="360" w:lineRule="auto"/>
        <w:ind w:firstLine="360" w:firstLineChars="15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  甲乙双方就</w:t>
      </w:r>
      <w:r>
        <w:rPr>
          <w:rFonts w:hint="default" w:ascii="Times New Roman" w:hAnsi="Times New Roman" w:eastAsia="宋体" w:cs="Times New Roman"/>
          <w:sz w:val="24"/>
          <w:szCs w:val="24"/>
          <w:highlight w:val="none"/>
          <w:u w:val="single"/>
          <w:lang w:eastAsia="zh-CN"/>
        </w:rPr>
        <w:t xml:space="preserve"> </w:t>
      </w:r>
      <w:r>
        <w:rPr>
          <w:rFonts w:hint="eastAsia" w:ascii="Times New Roman" w:hAnsi="Times New Roman" w:eastAsia="宋体" w:cs="Times New Roman"/>
          <w:sz w:val="24"/>
          <w:szCs w:val="24"/>
          <w:highlight w:val="none"/>
          <w:u w:val="single"/>
          <w:lang w:eastAsia="zh-CN"/>
        </w:rPr>
        <w:t>芳烃团队重整装置催化剂筛分</w:t>
      </w:r>
      <w:r>
        <w:rPr>
          <w:rFonts w:hint="default" w:ascii="Times New Roman" w:hAnsi="Times New Roman" w:eastAsia="宋体" w:cs="Times New Roman"/>
          <w:sz w:val="24"/>
          <w:szCs w:val="24"/>
          <w:highlight w:val="none"/>
          <w:lang w:eastAsia="zh-CN"/>
        </w:rPr>
        <w:t>工程/项目签订了</w:t>
      </w:r>
      <w:r>
        <w:rPr>
          <w:rFonts w:hint="default" w:ascii="Times New Roman" w:hAnsi="Times New Roman" w:eastAsia="宋体" w:cs="Times New Roman"/>
          <w:sz w:val="24"/>
          <w:szCs w:val="24"/>
          <w:highlight w:val="none"/>
          <w:u w:val="single"/>
          <w:lang w:eastAsia="zh-CN"/>
        </w:rPr>
        <w:t>技术服务合同</w:t>
      </w:r>
      <w:r>
        <w:rPr>
          <w:rFonts w:hint="default" w:ascii="Times New Roman" w:hAnsi="Times New Roman" w:eastAsia="宋体" w:cs="Times New Roman"/>
          <w:sz w:val="24"/>
          <w:szCs w:val="24"/>
          <w:highlight w:val="none"/>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b/>
          <w:sz w:val="24"/>
          <w:szCs w:val="24"/>
          <w:highlight w:val="none"/>
          <w:lang w:eastAsia="zh-CN"/>
        </w:rPr>
        <w:t>一、甲方的权利和义务：</w:t>
      </w:r>
    </w:p>
    <w:p>
      <w:pPr>
        <w:pStyle w:val="14"/>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1、甲方有权对乙方的资质进行审查，确认其符合且具备进厂条件，方可进厂施工。</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2、甲方有权要求乙方维护好甲方相关的安全环保设施、设备和器材。</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5、甲方有权对乙方不服从管理和严重违章者，驱除施工现场。</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6、甲方负责对乙方进行厂级和部门级安全培训教育和考核，考核合格方可办理入厂手续。</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7、甲方负责各装置的工艺处理、退料、置换、吹扫及盲板隔离工作，为本项目提供安全的施工条件。</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8、甲方应乙方要求，向乙方提供与乙方作业相关的甲方有毒有害、易燃易爆物品的数据。</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9、甲方在开工前必须对乙方进行全面的安全技术及文明施工交底。</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二、乙方的权利和义务：</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2、乙方有权对甲方安全管理工作提出合理化建议或改进措施。</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3、乙方对甲方管理人员违章指挥、强令冒险作业、有权拒绝执行。对打击和报复行为有权向上级和有关部门汇报。 </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4、乙方对危及生命安全和身体健康的施工作业条件和环境，有权提出整改建议或拒绝施工作业。</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5、乙方施工过程中在发生严重危及作业人员生命安全的不可抗拒紧急情况时，有权采取必要的避险措施，并立即向管理部门报告。</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6、乙方有权要求甲方提供相关的安全资料。</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sz w:val="24"/>
          <w:szCs w:val="24"/>
          <w:highlight w:val="none"/>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11、乙方应按《中华人民共和国劳动法》等法律、法规、规定用工，严禁使用未成年工和有职业禁忌的人员进行施工作业。 </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13、乙方需建立安全检查制度，指定专人负责现场安全监督检查工作，认真开展安全检查，发现作业过程中不安全行为、隐患、重大险情，应采取有效措施及时处理并报告甲方。</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14、发生事故时，乙方必须及时向甲方报告。同时根据指令迅速组织实施现场人员疏散和抢救工作、采取相应的措施保护好现场，并要积极配合甲方或上级有关部门对事故的调查和现场勘查。</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15、乙方进入现场的施工人员，严禁动用装置区机泵、容器、塔、加热炉等任何部位阀门，防止误开误关，造成意外事故。如确实需用，经与装置有关人员联系，同意后，由操作人员启闭阀门。</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17、</w:t>
      </w:r>
      <w:r>
        <w:rPr>
          <w:rFonts w:hint="default" w:ascii="Times New Roman" w:hAnsi="Times New Roman" w:eastAsia="宋体" w:cs="Times New Roman"/>
          <w:bCs/>
          <w:sz w:val="24"/>
          <w:szCs w:val="24"/>
          <w:highlight w:val="none"/>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Cs/>
          <w:sz w:val="24"/>
          <w:szCs w:val="24"/>
          <w:highlight w:val="none"/>
          <w:lang w:eastAsia="zh-CN"/>
        </w:rPr>
      </w:pPr>
      <w:r>
        <w:rPr>
          <w:rFonts w:hint="default" w:ascii="Times New Roman" w:hAnsi="Times New Roman" w:eastAsia="宋体" w:cs="Times New Roman"/>
          <w:bCs/>
          <w:sz w:val="24"/>
          <w:szCs w:val="24"/>
          <w:highlight w:val="none"/>
          <w:lang w:eastAsia="zh-CN"/>
        </w:rPr>
        <w:t>18、</w:t>
      </w:r>
      <w:r>
        <w:rPr>
          <w:rFonts w:hint="default" w:ascii="Times New Roman" w:hAnsi="Times New Roman" w:eastAsia="宋体" w:cs="Times New Roman"/>
          <w:sz w:val="24"/>
          <w:szCs w:val="24"/>
          <w:highlight w:val="none"/>
          <w:lang w:eastAsia="zh-CN"/>
        </w:rPr>
        <w:t>乙方</w:t>
      </w:r>
      <w:r>
        <w:rPr>
          <w:rFonts w:hint="default" w:ascii="Times New Roman" w:hAnsi="Times New Roman" w:eastAsia="宋体" w:cs="Times New Roman"/>
          <w:bCs/>
          <w:sz w:val="24"/>
          <w:szCs w:val="24"/>
          <w:highlight w:val="none"/>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default" w:ascii="Times New Roman" w:hAnsi="Times New Roman" w:eastAsia="宋体" w:cs="Times New Roman"/>
          <w:sz w:val="24"/>
          <w:szCs w:val="24"/>
          <w:highlight w:val="none"/>
          <w:lang w:eastAsia="zh-CN"/>
        </w:rPr>
        <w:t>GB 2894-2008）</w:t>
      </w:r>
      <w:r>
        <w:rPr>
          <w:rFonts w:hint="default" w:ascii="Times New Roman" w:hAnsi="Times New Roman" w:eastAsia="宋体" w:cs="Times New Roman"/>
          <w:bCs/>
          <w:sz w:val="24"/>
          <w:szCs w:val="24"/>
          <w:highlight w:val="none"/>
          <w:lang w:eastAsia="zh-CN"/>
        </w:rPr>
        <w:t>的规定。</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bCs/>
          <w:sz w:val="24"/>
          <w:szCs w:val="24"/>
          <w:highlight w:val="none"/>
          <w:lang w:eastAsia="zh-CN"/>
        </w:rPr>
        <w:t>19、</w:t>
      </w:r>
      <w:r>
        <w:rPr>
          <w:rFonts w:hint="default" w:ascii="Times New Roman" w:hAnsi="Times New Roman" w:eastAsia="宋体" w:cs="Times New Roman"/>
          <w:sz w:val="24"/>
          <w:szCs w:val="24"/>
          <w:highlight w:val="none"/>
          <w:lang w:eastAsia="zh-CN"/>
        </w:rPr>
        <w:t>乙方</w:t>
      </w:r>
      <w:r>
        <w:rPr>
          <w:rFonts w:hint="default" w:ascii="Times New Roman" w:hAnsi="Times New Roman" w:eastAsia="宋体" w:cs="Times New Roman"/>
          <w:bCs/>
          <w:sz w:val="24"/>
          <w:szCs w:val="24"/>
          <w:highlight w:val="none"/>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20、乙方施工产生的</w:t>
      </w:r>
      <w:r>
        <w:rPr>
          <w:rFonts w:hint="default" w:ascii="Times New Roman" w:hAnsi="Times New Roman" w:eastAsia="宋体" w:cs="Times New Roman"/>
          <w:bCs/>
          <w:sz w:val="24"/>
          <w:szCs w:val="24"/>
          <w:highlight w:val="none"/>
          <w:lang w:eastAsia="zh-CN"/>
        </w:rPr>
        <w:t>任何有毒、有害物质，油类，化学品，废水，生活污水及其它污染物绝不能排入雨边沟、地井或污染地表土，必须按国家及地方的相关规定进行妥善处置。</w:t>
      </w:r>
      <w:r>
        <w:rPr>
          <w:rFonts w:hint="default" w:ascii="Times New Roman" w:hAnsi="Times New Roman" w:eastAsia="宋体" w:cs="Times New Roman"/>
          <w:sz w:val="24"/>
          <w:szCs w:val="24"/>
          <w:highlight w:val="none"/>
          <w:lang w:eastAsia="zh-CN"/>
        </w:rPr>
        <w:t>产生的废物应进行鉴别，一般固废和危险废物应妥善包装、分类堆放，并及时清理。不能任意排放和丢弃。不依法合规处置固体废物，在厂外随意丢弃的，直接解除合同，清除出厂。</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22、</w:t>
      </w:r>
      <w:r>
        <w:rPr>
          <w:rFonts w:hint="default" w:ascii="Times New Roman" w:hAnsi="Times New Roman" w:eastAsia="宋体" w:cs="Times New Roman"/>
          <w:bCs/>
          <w:sz w:val="24"/>
          <w:szCs w:val="24"/>
          <w:highlight w:val="none"/>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三、违约责任及处理</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1、乙方不得转包、违法分包及挂靠等违法行为；未经福海创许可，不得将工程分包。</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2、发生安全事故时，甲乙双方均有抢险、救灾的义务，所发生的费用由责任方承担。</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4、甲方违约造成的事故，甲方承担全部责任，并按规定追究有关人员责任及上报。</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四、 不可抗力：</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 由于不可抗力造成合同项目施工作业事故及产生的损失，甲乙双方各自承担相应的损失。</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五、本协议书经双方盖章后生效。</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六、协议期限：</w:t>
      </w:r>
    </w:p>
    <w:p>
      <w:pPr>
        <w:keepNext w:val="0"/>
        <w:keepLines w:val="0"/>
        <w:pageBreakBefore w:val="0"/>
        <w:kinsoku/>
        <w:wordWrap/>
        <w:overflowPunct/>
        <w:topLinePunct w:val="0"/>
        <w:bidi w:val="0"/>
        <w:spacing w:line="360" w:lineRule="auto"/>
        <w:ind w:left="0" w:leftChars="0" w:firstLine="480" w:firstLineChars="200"/>
        <w:outlineLvl w:val="9"/>
        <w:rPr>
          <w:rFonts w:hint="default" w:ascii="Times New Roman" w:hAnsi="Times New Roman" w:eastAsia="宋体" w:cs="Times New Roman"/>
          <w:b/>
          <w:bCs/>
          <w:color w:val="000000"/>
          <w:sz w:val="24"/>
          <w:szCs w:val="24"/>
          <w:highlight w:val="none"/>
          <w:lang w:eastAsia="zh-CN"/>
        </w:rPr>
      </w:pPr>
      <w:r>
        <w:rPr>
          <w:rFonts w:hint="default" w:ascii="Times New Roman" w:hAnsi="Times New Roman" w:eastAsia="宋体" w:cs="Times New Roman"/>
          <w:sz w:val="24"/>
          <w:szCs w:val="24"/>
          <w:highlight w:val="none"/>
          <w:lang w:eastAsia="zh-CN"/>
        </w:rPr>
        <w:t>本协议期限应与主合同期限一致。如果主合同因故需要变更期限，本合同应与主同变更至相同期限。</w:t>
      </w:r>
    </w:p>
    <w:p>
      <w:pPr>
        <w:keepNext w:val="0"/>
        <w:keepLines w:val="0"/>
        <w:pageBreakBefore w:val="0"/>
        <w:kinsoku/>
        <w:wordWrap/>
        <w:overflowPunct/>
        <w:topLinePunct w:val="0"/>
        <w:bidi w:val="0"/>
        <w:spacing w:line="360" w:lineRule="auto"/>
        <w:ind w:left="0" w:leftChars="0" w:firstLine="723" w:firstLineChars="300"/>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b/>
          <w:bCs/>
          <w:color w:val="000000"/>
          <w:sz w:val="24"/>
          <w:szCs w:val="24"/>
          <w:highlight w:val="none"/>
          <w:lang w:eastAsia="zh-CN"/>
        </w:rPr>
        <w:t>以下无正文，为合同盖章页。</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p>
    <w:p>
      <w:pPr>
        <w:pStyle w:val="9"/>
        <w:keepNext w:val="0"/>
        <w:keepLines w:val="0"/>
        <w:pageBreakBefore w:val="0"/>
        <w:widowControl/>
        <w:suppressLineNumbers w:val="0"/>
        <w:kinsoku/>
        <w:wordWrap/>
        <w:overflowPunct/>
        <w:topLinePunct w:val="0"/>
        <w:bidi w:val="0"/>
        <w:spacing w:before="0" w:beforeAutospacing="0" w:after="300" w:afterAutospacing="0" w:line="360" w:lineRule="auto"/>
        <w:ind w:right="-226"/>
        <w:jc w:val="both"/>
        <w:outlineLvl w:val="9"/>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lang w:eastAsia="zh-CN"/>
        </w:rPr>
        <w:t>甲</w:t>
      </w:r>
      <w:r>
        <w:rPr>
          <w:rFonts w:hint="eastAsia" w:ascii="Times New Roman" w:hAnsi="Times New Roman" w:cs="Times New Roman"/>
          <w:b/>
          <w:bCs/>
          <w:sz w:val="24"/>
          <w:szCs w:val="24"/>
          <w:highlight w:val="none"/>
          <w:lang w:val="en-US" w:eastAsia="zh-CN"/>
        </w:rPr>
        <w:t xml:space="preserve">  </w:t>
      </w:r>
      <w:r>
        <w:rPr>
          <w:rFonts w:hint="default" w:ascii="Times New Roman" w:hAnsi="Times New Roman" w:eastAsia="宋体" w:cs="Times New Roman"/>
          <w:b/>
          <w:bCs/>
          <w:sz w:val="24"/>
          <w:szCs w:val="24"/>
          <w:highlight w:val="none"/>
          <w:lang w:eastAsia="zh-CN"/>
        </w:rPr>
        <w:t>方:</w:t>
      </w:r>
      <w:r>
        <w:rPr>
          <w:rFonts w:hint="eastAsia" w:ascii="Times New Roman" w:hAnsi="Times New Roman" w:cs="Times New Roman"/>
          <w:b/>
          <w:bCs/>
          <w:sz w:val="24"/>
          <w:szCs w:val="24"/>
          <w:highlight w:val="none"/>
          <w:lang w:val="en-US" w:eastAsia="zh-CN"/>
        </w:rPr>
        <w:t>腾龙芳烃</w:t>
      </w:r>
      <w:r>
        <w:rPr>
          <w:rFonts w:hint="default" w:ascii="Times New Roman" w:hAnsi="Times New Roman" w:eastAsia="宋体" w:cs="Times New Roman"/>
          <w:b/>
          <w:bCs/>
          <w:sz w:val="24"/>
          <w:szCs w:val="24"/>
          <w:highlight w:val="none"/>
          <w:lang w:eastAsia="zh-CN"/>
        </w:rPr>
        <w:t xml:space="preserve">（漳州）有限公司   </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cs="Times New Roman"/>
          <w:b/>
          <w:bCs/>
          <w:sz w:val="24"/>
          <w:szCs w:val="24"/>
          <w:highlight w:val="none"/>
          <w:lang w:val="en-US" w:eastAsia="zh-CN"/>
        </w:rPr>
        <w:t xml:space="preserve">         </w:t>
      </w:r>
      <w:r>
        <w:rPr>
          <w:rFonts w:hint="default" w:ascii="Times New Roman" w:hAnsi="Times New Roman" w:eastAsia="宋体" w:cs="Times New Roman"/>
          <w:b/>
          <w:bCs/>
          <w:sz w:val="24"/>
          <w:szCs w:val="24"/>
          <w:highlight w:val="none"/>
          <w:lang w:eastAsia="zh-CN"/>
        </w:rPr>
        <w:t>乙  方：</w:t>
      </w:r>
    </w:p>
    <w:p>
      <w:pPr>
        <w:keepNext w:val="0"/>
        <w:keepLines w:val="0"/>
        <w:pageBreakBefore w:val="0"/>
        <w:widowControl/>
        <w:kinsoku/>
        <w:wordWrap/>
        <w:overflowPunct/>
        <w:topLinePunct w:val="0"/>
        <w:bidi w:val="0"/>
        <w:spacing w:line="360" w:lineRule="auto"/>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lang w:eastAsia="zh-CN"/>
        </w:rPr>
        <w:t>账  号：</w:t>
      </w:r>
      <w:r>
        <w:rPr>
          <w:rFonts w:hint="default" w:ascii="Times New Roman" w:hAnsi="Times New Roman" w:eastAsia="宋体" w:cs="Times New Roman"/>
          <w:b/>
          <w:color w:val="auto"/>
          <w:sz w:val="24"/>
          <w:szCs w:val="24"/>
          <w:highlight w:val="none"/>
        </w:rPr>
        <w:t>162070100100021071</w:t>
      </w:r>
      <w:r>
        <w:rPr>
          <w:rFonts w:hint="default" w:ascii="Times New Roman" w:hAnsi="Times New Roman" w:eastAsia="宋体" w:cs="Times New Roman"/>
          <w:b/>
          <w:sz w:val="24"/>
          <w:szCs w:val="24"/>
          <w:highlight w:val="none"/>
          <w:lang w:eastAsia="zh-CN"/>
        </w:rPr>
        <w:t xml:space="preserve">               </w:t>
      </w:r>
      <w:r>
        <w:rPr>
          <w:rFonts w:hint="default" w:ascii="Times New Roman" w:hAnsi="Times New Roman" w:eastAsia="宋体" w:cs="Times New Roman"/>
          <w:b/>
          <w:sz w:val="24"/>
          <w:szCs w:val="24"/>
          <w:highlight w:val="none"/>
          <w:lang w:val="en-US" w:eastAsia="zh-CN"/>
        </w:rPr>
        <w:t xml:space="preserve">  </w:t>
      </w:r>
      <w:r>
        <w:rPr>
          <w:rFonts w:hint="default" w:ascii="Times New Roman" w:hAnsi="Times New Roman" w:eastAsia="宋体" w:cs="Times New Roman"/>
          <w:b/>
          <w:sz w:val="24"/>
          <w:szCs w:val="24"/>
          <w:highlight w:val="none"/>
          <w:lang w:eastAsia="zh-CN"/>
        </w:rPr>
        <w:t xml:space="preserve"> 账   号：</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开户行：</w:t>
      </w:r>
      <w:r>
        <w:rPr>
          <w:rFonts w:hint="default" w:ascii="Times New Roman" w:hAnsi="Times New Roman" w:eastAsia="宋体" w:cs="Times New Roman"/>
          <w:b/>
          <w:color w:val="auto"/>
          <w:sz w:val="24"/>
          <w:szCs w:val="24"/>
          <w:highlight w:val="none"/>
          <w:lang w:eastAsia="zh-CN"/>
        </w:rPr>
        <w:t>兴业银行漳州古雷支行</w:t>
      </w:r>
      <w:r>
        <w:rPr>
          <w:rFonts w:hint="default" w:ascii="Times New Roman" w:hAnsi="Times New Roman" w:eastAsia="宋体" w:cs="Times New Roman"/>
          <w:b/>
          <w:sz w:val="24"/>
          <w:szCs w:val="24"/>
          <w:highlight w:val="none"/>
        </w:rPr>
        <w:t xml:space="preserve">  </w:t>
      </w:r>
      <w:r>
        <w:rPr>
          <w:rFonts w:hint="eastAsia" w:ascii="Times New Roman" w:hAnsi="Times New Roman" w:cs="Times New Roman"/>
          <w:b/>
          <w:sz w:val="24"/>
          <w:szCs w:val="24"/>
          <w:highlight w:val="none"/>
          <w:lang w:val="en-US" w:eastAsia="zh-CN"/>
        </w:rPr>
        <w:t xml:space="preserve">  </w:t>
      </w:r>
      <w:r>
        <w:rPr>
          <w:rFonts w:hint="default" w:ascii="Times New Roman" w:hAnsi="Times New Roman" w:eastAsia="宋体" w:cs="Times New Roman"/>
          <w:b/>
          <w:sz w:val="24"/>
          <w:szCs w:val="24"/>
          <w:highlight w:val="none"/>
        </w:rPr>
        <w:t xml:space="preserve">            开户行：</w:t>
      </w:r>
    </w:p>
    <w:p>
      <w:pPr>
        <w:pStyle w:val="8"/>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 　                                       </w:t>
      </w:r>
      <w:r>
        <w:rPr>
          <w:rFonts w:hint="eastAsia"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 xml:space="preserve"> </w:t>
      </w:r>
    </w:p>
    <w:p>
      <w:pPr>
        <w:pStyle w:val="8"/>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rPr>
      </w:pPr>
      <w:r>
        <w:rPr>
          <w:rFonts w:hint="eastAsia" w:ascii="Times New Roman" w:hAnsi="Times New Roman" w:cs="Times New Roman"/>
          <w:sz w:val="24"/>
          <w:szCs w:val="24"/>
          <w:highlight w:val="none"/>
          <w:lang w:val="en-US" w:eastAsia="zh-CN"/>
        </w:rPr>
        <w:t>签订日期：</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 xml:space="preserve">年    月    日       </w:t>
      </w:r>
      <w:r>
        <w:rPr>
          <w:rFonts w:hint="default" w:ascii="Times New Roman" w:hAnsi="Times New Roman" w:eastAsia="宋体" w:cs="Times New Roman"/>
          <w:sz w:val="24"/>
          <w:szCs w:val="24"/>
          <w:highlight w:val="none"/>
          <w:lang w:val="en-US" w:eastAsia="zh-CN"/>
        </w:rPr>
        <w:t xml:space="preserve">   </w:t>
      </w:r>
      <w:r>
        <w:rPr>
          <w:rFonts w:hint="eastAsia" w:ascii="Times New Roman" w:hAnsi="Times New Roman" w:cs="Times New Roman"/>
          <w:sz w:val="24"/>
          <w:szCs w:val="24"/>
          <w:highlight w:val="none"/>
          <w:lang w:val="en-US" w:eastAsia="zh-CN"/>
        </w:rPr>
        <w:t xml:space="preserve">       签订日期： </w:t>
      </w:r>
      <w:r>
        <w:rPr>
          <w:rFonts w:hint="default" w:ascii="Times New Roman" w:hAnsi="Times New Roman" w:eastAsia="宋体" w:cs="Times New Roman"/>
          <w:sz w:val="24"/>
          <w:szCs w:val="24"/>
          <w:highlight w:val="none"/>
          <w:lang w:eastAsia="zh-CN"/>
        </w:rPr>
        <w:t xml:space="preserve">    年    月    日</w:t>
      </w:r>
    </w:p>
    <w:p>
      <w:pPr>
        <w:rPr>
          <w:highlight w:val="none"/>
        </w:rPr>
      </w:pPr>
    </w:p>
    <w:p>
      <w:pPr>
        <w:jc w:val="center"/>
        <w:rPr>
          <w:rFonts w:asciiTheme="minorEastAsia" w:hAnsiTheme="minorEastAsia" w:eastAsiaTheme="minorEastAsia"/>
        </w:rPr>
      </w:pPr>
      <w:r>
        <w:rPr>
          <w:rFonts w:asciiTheme="minorEastAsia" w:hAnsiTheme="minorEastAsia" w:eastAsiaTheme="minorEastAsia"/>
        </w:rPr>
        <w:br w:type="page"/>
      </w:r>
    </w:p>
    <w:p>
      <w:pPr>
        <w:pStyle w:val="2"/>
      </w:pPr>
      <w:r>
        <w:rPr>
          <w:rFonts w:hint="eastAsia"/>
        </w:rPr>
        <w:t>附件二</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2"/>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1440" w:firstLineChars="600"/>
        <w:rPr>
          <w:sz w:val="24"/>
          <w:lang w:eastAsia="zh-CN"/>
        </w:rPr>
      </w:pPr>
      <w:r>
        <w:rPr>
          <w:rFonts w:hint="eastAsia"/>
          <w:sz w:val="24"/>
          <w:lang w:eastAsia="zh-CN"/>
        </w:rPr>
        <w:t>职</w:t>
      </w:r>
      <w:r>
        <w:rPr>
          <w:rFonts w:hint="eastAsia"/>
          <w:sz w:val="24"/>
          <w:lang w:val="en-US" w:eastAsia="zh-CN"/>
        </w:rPr>
        <w:t xml:space="preserve"> </w:t>
      </w:r>
      <w:r>
        <w:rPr>
          <w:rFonts w:hint="eastAsia"/>
          <w:sz w:val="24"/>
          <w:lang w:eastAsia="zh-CN"/>
        </w:rPr>
        <w:t>务：</w:t>
      </w:r>
    </w:p>
    <w:p>
      <w:pPr>
        <w:spacing w:line="500" w:lineRule="exact"/>
        <w:ind w:firstLine="480" w:firstLineChars="200"/>
        <w:rPr>
          <w:sz w:val="24"/>
          <w:lang w:eastAsia="zh-CN"/>
        </w:rPr>
      </w:pPr>
      <w:r>
        <w:rPr>
          <w:rFonts w:hint="eastAsia"/>
          <w:sz w:val="24"/>
          <w:lang w:eastAsia="zh-CN"/>
        </w:rPr>
        <w:t xml:space="preserve">  </w:t>
      </w:r>
      <w:r>
        <w:rPr>
          <w:rFonts w:hint="eastAsia"/>
          <w:sz w:val="24"/>
          <w:lang w:val="en-US" w:eastAsia="zh-CN"/>
        </w:rPr>
        <w:t xml:space="preserve"> </w:t>
      </w: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snapToGrid w:val="0"/>
        <w:spacing w:line="276" w:lineRule="auto"/>
        <w:jc w:val="lef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240" w:lineRule="atLeast"/>
        <w:jc w:val="lef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w:t>
      </w:r>
      <w:r>
        <w:rPr>
          <w:rFonts w:hint="eastAsia" w:asciiTheme="minorEastAsia" w:hAnsiTheme="minorEastAsia" w:eastAsiaTheme="minorEastAsia"/>
          <w:bCs/>
          <w:sz w:val="24"/>
          <w:szCs w:val="24"/>
          <w:u w:val="single"/>
          <w:lang w:eastAsia="zh-CN"/>
        </w:rPr>
        <w:t>加</w:t>
      </w:r>
      <w:r>
        <w:rPr>
          <w:rFonts w:hint="eastAsia" w:asciiTheme="minorEastAsia" w:hAnsiTheme="minorEastAsia" w:eastAsiaTheme="minorEastAsia"/>
          <w:bCs/>
          <w:sz w:val="24"/>
          <w:szCs w:val="24"/>
          <w:u w:val="single"/>
          <w:lang w:val="en-US" w:eastAsia="zh-CN"/>
        </w:rPr>
        <w:t>芳烃团队</w:t>
      </w:r>
      <w:r>
        <w:rPr>
          <w:rFonts w:hint="eastAsia" w:asciiTheme="minorEastAsia" w:hAnsiTheme="minorEastAsia" w:eastAsiaTheme="minorEastAsia"/>
          <w:bCs/>
          <w:sz w:val="24"/>
          <w:szCs w:val="24"/>
          <w:u w:val="single"/>
          <w:lang w:eastAsia="zh-CN"/>
        </w:rPr>
        <w:t>重整装置催化剂筛</w:t>
      </w:r>
      <w:r>
        <w:rPr>
          <w:rFonts w:hint="eastAsia" w:asciiTheme="minorEastAsia" w:hAnsiTheme="minorEastAsia" w:eastAsiaTheme="minorEastAsia"/>
          <w:bCs/>
          <w:sz w:val="24"/>
          <w:szCs w:val="24"/>
          <w:u w:val="single"/>
          <w:lang w:val="en-US" w:eastAsia="zh-CN"/>
        </w:rPr>
        <w:t>分</w:t>
      </w:r>
      <w:r>
        <w:rPr>
          <w:rFonts w:hint="eastAsia" w:asciiTheme="minorEastAsia" w:hAnsiTheme="minorEastAsia" w:eastAsiaTheme="minorEastAsia"/>
          <w:bCs/>
          <w:sz w:val="24"/>
          <w:szCs w:val="24"/>
          <w:u w:val="single"/>
          <w:lang w:eastAsia="zh-CN"/>
        </w:rPr>
        <w:t>项目（项目编号：FHC-PTCG20220526005</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spacing w:line="276" w:lineRule="auto"/>
        <w:ind w:firstLine="480" w:firstLineChars="200"/>
        <w:jc w:val="lef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spacing w:line="276" w:lineRule="auto"/>
        <w:ind w:firstLine="480" w:firstLineChars="200"/>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13"/>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13"/>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ascii="Times New Roman" w:hAnsi="Times New Roman"/>
          <w:b/>
          <w:sz w:val="36"/>
          <w:szCs w:val="36"/>
        </w:rPr>
      </w:pPr>
    </w:p>
    <w:p>
      <w:pPr>
        <w:pStyle w:val="2"/>
        <w:rPr>
          <w:rFonts w:asciiTheme="minorEastAsia" w:hAnsiTheme="minorEastAsia" w:eastAsiaTheme="minorEastAsia"/>
          <w:b/>
          <w:sz w:val="36"/>
          <w:szCs w:val="36"/>
        </w:rPr>
      </w:pPr>
      <w:r>
        <w:rPr>
          <w:rFonts w:hint="eastAsia" w:ascii="Times New Roman" w:hAnsi="Times New Roman"/>
          <w:b/>
          <w:sz w:val="36"/>
          <w:szCs w:val="36"/>
        </w:rPr>
        <w:t xml:space="preserve">  </w:t>
      </w:r>
      <w:r>
        <w:rPr>
          <w:rFonts w:hint="eastAsia" w:asciiTheme="minorEastAsia" w:hAnsiTheme="minorEastAsia" w:eastAsiaTheme="minorEastAsia"/>
          <w:b/>
          <w:sz w:val="36"/>
          <w:szCs w:val="36"/>
        </w:rPr>
        <w:t>参选报价单</w:t>
      </w:r>
    </w:p>
    <w:p>
      <w:pPr>
        <w:ind w:firstLine="2891" w:firstLineChars="800"/>
        <w:rPr>
          <w:rFonts w:hint="eastAsia" w:asciiTheme="minorEastAsia" w:hAnsiTheme="minorEastAsia" w:eastAsiaTheme="minorEastAsia"/>
          <w:b/>
          <w:bCs/>
          <w:sz w:val="36"/>
          <w:lang w:eastAsia="zh-CN"/>
        </w:rPr>
      </w:pPr>
      <w:r>
        <w:rPr>
          <w:rFonts w:hint="eastAsia" w:asciiTheme="minorEastAsia" w:hAnsiTheme="minorEastAsia" w:eastAsiaTheme="minorEastAsia"/>
          <w:b/>
          <w:bCs/>
          <w:sz w:val="36"/>
          <w:lang w:eastAsia="zh-CN"/>
        </w:rPr>
        <w:t>参   选   优  惠  价</w:t>
      </w:r>
    </w:p>
    <w:p>
      <w:pPr>
        <w:pStyle w:val="2"/>
        <w:rPr>
          <w:lang w:eastAsia="zh-CN"/>
        </w:rPr>
      </w:pPr>
    </w:p>
    <w:p>
      <w:pPr>
        <w:rPr>
          <w:rFonts w:asciiTheme="minorEastAsia" w:hAnsiTheme="minorEastAsia" w:eastAsiaTheme="minorEastAsia"/>
          <w:b/>
          <w:bCs/>
          <w:sz w:val="28"/>
          <w:szCs w:val="28"/>
          <w:u w:val="single"/>
          <w:lang w:eastAsia="zh-CN"/>
        </w:rPr>
      </w:pPr>
      <w:r>
        <w:rPr>
          <w:rFonts w:hint="eastAsia" w:asciiTheme="minorEastAsia" w:hAnsiTheme="minorEastAsia" w:eastAsiaTheme="minorEastAsia"/>
          <w:b/>
          <w:bCs/>
          <w:sz w:val="28"/>
          <w:szCs w:val="28"/>
          <w:lang w:eastAsia="zh-CN"/>
        </w:rPr>
        <w:t>比选单位：</w:t>
      </w:r>
      <w:r>
        <w:rPr>
          <w:rFonts w:hint="eastAsia" w:asciiTheme="minorEastAsia" w:hAnsiTheme="minorEastAsia" w:eastAsiaTheme="minorEastAsia"/>
          <w:b/>
          <w:bCs/>
          <w:sz w:val="28"/>
          <w:szCs w:val="28"/>
          <w:u w:val="single"/>
          <w:lang w:eastAsia="zh-CN"/>
        </w:rPr>
        <w:t>福建福海创石油化工有限公司</w:t>
      </w:r>
    </w:p>
    <w:p>
      <w:pPr>
        <w:ind w:firstLine="560" w:firstLineChars="200"/>
        <w:rPr>
          <w:rFonts w:asciiTheme="minorEastAsia" w:hAnsiTheme="minorEastAsia" w:eastAsiaTheme="minorEastAsia"/>
          <w:sz w:val="28"/>
          <w:szCs w:val="28"/>
          <w:lang w:eastAsia="zh-CN"/>
        </w:rPr>
      </w:pPr>
    </w:p>
    <w:p>
      <w:pPr>
        <w:ind w:left="0" w:leftChars="0" w:firstLine="0" w:firstLineChars="0"/>
        <w:rPr>
          <w:rFonts w:hint="eastAsia" w:cs="宋体"/>
          <w:bCs/>
          <w:sz w:val="24"/>
          <w:szCs w:val="24"/>
          <w:u w:val="single"/>
          <w:lang w:eastAsia="zh-CN"/>
        </w:rPr>
      </w:pPr>
      <w:r>
        <w:rPr>
          <w:rFonts w:hint="eastAsia" w:ascii="宋体" w:hAnsi="宋体" w:eastAsia="宋体" w:cs="宋体"/>
          <w:sz w:val="24"/>
          <w:szCs w:val="24"/>
          <w:lang w:eastAsia="zh-CN"/>
        </w:rPr>
        <w:t>项目名称</w:t>
      </w:r>
      <w:r>
        <w:rPr>
          <w:rFonts w:hint="eastAsia" w:asciiTheme="minorEastAsia" w:hAnsiTheme="minorEastAsia" w:eastAsiaTheme="minorEastAsia"/>
          <w:bCs/>
          <w:sz w:val="24"/>
          <w:szCs w:val="24"/>
          <w:u w:val="single"/>
          <w:lang w:eastAsia="zh-CN"/>
        </w:rPr>
        <w:t>： 重整装置催化剂筛</w:t>
      </w:r>
      <w:r>
        <w:rPr>
          <w:rFonts w:hint="eastAsia" w:asciiTheme="minorEastAsia" w:hAnsiTheme="minorEastAsia" w:eastAsiaTheme="minorEastAsia"/>
          <w:bCs/>
          <w:sz w:val="24"/>
          <w:szCs w:val="24"/>
          <w:u w:val="single"/>
          <w:lang w:val="en-US" w:eastAsia="zh-CN"/>
        </w:rPr>
        <w:t>分工程</w:t>
      </w:r>
      <w:r>
        <w:rPr>
          <w:rFonts w:hint="eastAsia" w:asciiTheme="minorEastAsia" w:hAnsiTheme="minorEastAsia" w:eastAsiaTheme="minorEastAsia"/>
          <w:bCs/>
          <w:sz w:val="24"/>
          <w:szCs w:val="24"/>
          <w:u w:val="single"/>
          <w:lang w:eastAsia="zh-CN"/>
        </w:rPr>
        <w:t>（项目编号：</w:t>
      </w:r>
      <w:r>
        <w:rPr>
          <w:rFonts w:hint="eastAsia" w:asciiTheme="minorEastAsia" w:hAnsiTheme="minorEastAsia" w:eastAsiaTheme="minorEastAsia"/>
          <w:bCs/>
          <w:sz w:val="24"/>
          <w:szCs w:val="24"/>
          <w:u w:val="single"/>
          <w:lang w:val="en-US" w:eastAsia="zh-CN"/>
        </w:rPr>
        <w:t>FHC-PTCG20220526005)</w:t>
      </w:r>
    </w:p>
    <w:p>
      <w:pPr>
        <w:ind w:left="0" w:leftChars="0" w:firstLine="0" w:firstLineChars="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p>
    <w:p>
      <w:pPr>
        <w:pStyle w:val="2"/>
        <w:ind w:firstLine="675"/>
        <w:rPr>
          <w:rFonts w:hint="eastAsia" w:ascii="宋体" w:hAnsi="宋体" w:eastAsia="宋体" w:cs="宋体"/>
          <w:b/>
          <w:sz w:val="24"/>
          <w:szCs w:val="24"/>
        </w:rPr>
      </w:pPr>
      <w:r>
        <w:rPr>
          <w:rFonts w:hint="eastAsia" w:ascii="宋体" w:hAnsi="宋体" w:eastAsia="宋体" w:cs="宋体"/>
          <w:sz w:val="24"/>
          <w:szCs w:val="24"/>
        </w:rPr>
        <w:t>具体报价清单：</w:t>
      </w:r>
      <w:r>
        <w:rPr>
          <w:rFonts w:hint="eastAsia" w:ascii="宋体" w:hAnsi="宋体" w:eastAsia="宋体" w:cs="宋体"/>
          <w:b/>
          <w:sz w:val="24"/>
          <w:szCs w:val="24"/>
        </w:rPr>
        <w:tab/>
      </w:r>
    </w:p>
    <w:p>
      <w:pPr>
        <w:pStyle w:val="2"/>
        <w:ind w:firstLine="675"/>
        <w:rPr>
          <w:rFonts w:hint="eastAsia" w:ascii="宋体" w:hAnsi="宋体" w:eastAsia="宋体" w:cs="宋体"/>
          <w:b/>
          <w:sz w:val="24"/>
          <w:szCs w:val="24"/>
        </w:rPr>
      </w:pPr>
    </w:p>
    <w:tbl>
      <w:tblPr>
        <w:tblStyle w:val="12"/>
        <w:tblW w:w="97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
      <w:tblGrid>
        <w:gridCol w:w="1159"/>
        <w:gridCol w:w="1377"/>
        <w:gridCol w:w="1786"/>
        <w:gridCol w:w="860"/>
        <w:gridCol w:w="941"/>
        <w:gridCol w:w="1377"/>
        <w:gridCol w:w="2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488" w:hRule="atLeast"/>
        </w:trPr>
        <w:tc>
          <w:tcPr>
            <w:tcW w:w="1159" w:type="dxa"/>
            <w:tcBorders>
              <w:top w:val="single" w:color="auto" w:sz="4" w:space="0"/>
              <w:left w:val="single" w:color="auto" w:sz="4" w:space="0"/>
              <w:bottom w:val="single" w:color="auto" w:sz="4" w:space="0"/>
              <w:right w:val="single" w:color="auto" w:sz="6" w:space="0"/>
            </w:tcBorders>
            <w:vAlign w:val="center"/>
          </w:tcPr>
          <w:p>
            <w:pPr>
              <w:widowControl/>
              <w:jc w:val="center"/>
              <w:rPr>
                <w:rFonts w:ascii="仿宋_GB2312" w:eastAsia="仿宋_GB2312"/>
                <w:b/>
                <w:bCs/>
                <w:kern w:val="0"/>
                <w:szCs w:val="21"/>
                <w:highlight w:val="none"/>
              </w:rPr>
            </w:pPr>
            <w:r>
              <w:rPr>
                <w:rFonts w:hint="eastAsia" w:ascii="仿宋_GB2312" w:hAnsi="宋体" w:eastAsia="仿宋_GB2312"/>
                <w:b/>
                <w:bCs/>
                <w:kern w:val="0"/>
                <w:szCs w:val="21"/>
                <w:highlight w:val="none"/>
              </w:rPr>
              <w:t>装置</w:t>
            </w:r>
          </w:p>
        </w:tc>
        <w:tc>
          <w:tcPr>
            <w:tcW w:w="1377"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eastAsia="仿宋_GB2312"/>
                <w:b/>
                <w:bCs/>
                <w:kern w:val="0"/>
                <w:szCs w:val="21"/>
                <w:highlight w:val="none"/>
              </w:rPr>
            </w:pPr>
            <w:r>
              <w:rPr>
                <w:rFonts w:hint="eastAsia" w:ascii="仿宋_GB2312" w:hAnsi="宋体" w:eastAsia="仿宋_GB2312"/>
                <w:b/>
                <w:bCs/>
                <w:kern w:val="0"/>
                <w:szCs w:val="21"/>
                <w:highlight w:val="none"/>
              </w:rPr>
              <w:t>催化剂名称</w:t>
            </w:r>
          </w:p>
        </w:tc>
        <w:tc>
          <w:tcPr>
            <w:tcW w:w="1786"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eastAsia="仿宋_GB2312"/>
                <w:b/>
                <w:bCs/>
                <w:kern w:val="0"/>
                <w:szCs w:val="21"/>
                <w:highlight w:val="none"/>
              </w:rPr>
            </w:pPr>
            <w:r>
              <w:rPr>
                <w:rFonts w:hint="eastAsia" w:ascii="仿宋_GB2312" w:eastAsia="仿宋_GB2312"/>
                <w:b/>
                <w:kern w:val="0"/>
                <w:szCs w:val="21"/>
                <w:highlight w:val="none"/>
                <w:lang w:val="en-US" w:eastAsia="zh-CN"/>
              </w:rPr>
              <w:t>技术</w:t>
            </w:r>
            <w:r>
              <w:rPr>
                <w:rFonts w:hint="eastAsia" w:ascii="仿宋_GB2312" w:hAnsi="宋体" w:eastAsia="仿宋_GB2312"/>
                <w:b/>
                <w:kern w:val="0"/>
                <w:szCs w:val="21"/>
                <w:highlight w:val="none"/>
              </w:rPr>
              <w:t>要求</w:t>
            </w:r>
          </w:p>
        </w:tc>
        <w:tc>
          <w:tcPr>
            <w:tcW w:w="860" w:type="dxa"/>
            <w:tcBorders>
              <w:top w:val="single" w:color="auto" w:sz="4" w:space="0"/>
              <w:left w:val="single" w:color="auto" w:sz="6" w:space="0"/>
              <w:bottom w:val="single" w:color="auto" w:sz="4" w:space="0"/>
              <w:right w:val="single" w:color="auto" w:sz="6" w:space="0"/>
            </w:tcBorders>
            <w:vAlign w:val="center"/>
          </w:tcPr>
          <w:p>
            <w:pPr>
              <w:widowControl/>
              <w:jc w:val="center"/>
              <w:rPr>
                <w:rFonts w:hint="eastAsia" w:ascii="仿宋_GB2312" w:hAnsi="宋体" w:eastAsia="仿宋_GB2312"/>
                <w:b/>
                <w:bCs/>
                <w:kern w:val="0"/>
                <w:szCs w:val="21"/>
                <w:highlight w:val="none"/>
                <w:lang w:val="en-US" w:eastAsia="zh-CN"/>
              </w:rPr>
            </w:pPr>
            <w:r>
              <w:rPr>
                <w:rFonts w:hint="eastAsia" w:ascii="仿宋_GB2312" w:hAnsi="宋体" w:eastAsia="仿宋_GB2312"/>
                <w:b/>
                <w:bCs/>
                <w:kern w:val="0"/>
                <w:szCs w:val="21"/>
                <w:highlight w:val="none"/>
                <w:lang w:val="en-US" w:eastAsia="zh-CN"/>
              </w:rPr>
              <w:t>计量</w:t>
            </w:r>
          </w:p>
          <w:p>
            <w:pPr>
              <w:widowControl/>
              <w:jc w:val="center"/>
              <w:rPr>
                <w:highlight w:val="none"/>
              </w:rPr>
            </w:pPr>
            <w:r>
              <w:rPr>
                <w:rFonts w:hint="eastAsia" w:ascii="仿宋_GB2312" w:hAnsi="宋体" w:eastAsia="仿宋_GB2312"/>
                <w:b/>
                <w:bCs/>
                <w:kern w:val="0"/>
                <w:szCs w:val="21"/>
                <w:highlight w:val="none"/>
                <w:lang w:val="en-US" w:eastAsia="zh-CN"/>
              </w:rPr>
              <w:t>单位</w:t>
            </w:r>
          </w:p>
        </w:tc>
        <w:tc>
          <w:tcPr>
            <w:tcW w:w="941" w:type="dxa"/>
            <w:tcBorders>
              <w:top w:val="single" w:color="auto" w:sz="4" w:space="0"/>
              <w:left w:val="single" w:color="auto" w:sz="6" w:space="0"/>
              <w:bottom w:val="single" w:color="auto" w:sz="4" w:space="0"/>
              <w:right w:val="single" w:color="auto" w:sz="4" w:space="0"/>
            </w:tcBorders>
            <w:vAlign w:val="center"/>
          </w:tcPr>
          <w:p>
            <w:pPr>
              <w:widowControl/>
              <w:jc w:val="center"/>
              <w:rPr>
                <w:rFonts w:hint="eastAsia" w:ascii="仿宋_GB2312" w:eastAsia="仿宋_GB2312"/>
                <w:b/>
                <w:bCs/>
                <w:kern w:val="0"/>
                <w:szCs w:val="21"/>
                <w:highlight w:val="none"/>
                <w:lang w:val="en-US" w:eastAsia="zh-CN"/>
              </w:rPr>
            </w:pPr>
            <w:r>
              <w:rPr>
                <w:rFonts w:hint="eastAsia" w:ascii="仿宋_GB2312" w:eastAsia="仿宋_GB2312"/>
                <w:b/>
                <w:bCs/>
                <w:kern w:val="0"/>
                <w:szCs w:val="21"/>
                <w:highlight w:val="none"/>
                <w:lang w:val="en-US" w:eastAsia="zh-CN"/>
              </w:rPr>
              <w:t>预估</w:t>
            </w:r>
          </w:p>
          <w:p>
            <w:pPr>
              <w:widowControl/>
              <w:jc w:val="center"/>
              <w:rPr>
                <w:rFonts w:ascii="仿宋_GB2312" w:eastAsia="仿宋_GB2312"/>
                <w:b/>
                <w:kern w:val="0"/>
                <w:szCs w:val="21"/>
                <w:highlight w:val="none"/>
              </w:rPr>
            </w:pPr>
            <w:r>
              <w:rPr>
                <w:rFonts w:hint="eastAsia" w:ascii="仿宋_GB2312" w:hAnsi="宋体" w:eastAsia="仿宋_GB2312"/>
                <w:b/>
                <w:bCs/>
                <w:kern w:val="0"/>
                <w:szCs w:val="21"/>
                <w:highlight w:val="none"/>
              </w:rPr>
              <w:t>数量</w:t>
            </w:r>
          </w:p>
        </w:tc>
        <w:tc>
          <w:tcPr>
            <w:tcW w:w="1377" w:type="dxa"/>
            <w:tcBorders>
              <w:top w:val="single" w:color="auto" w:sz="4" w:space="0"/>
              <w:left w:val="single" w:color="auto" w:sz="6" w:space="0"/>
              <w:bottom w:val="single" w:color="auto" w:sz="4" w:space="0"/>
              <w:right w:val="single" w:color="auto" w:sz="4" w:space="0"/>
            </w:tcBorders>
            <w:vAlign w:val="center"/>
          </w:tcPr>
          <w:p>
            <w:pPr>
              <w:jc w:val="center"/>
              <w:rPr>
                <w:rFonts w:ascii="仿宋_GB2312" w:eastAsia="仿宋_GB2312"/>
                <w:b/>
                <w:bCs/>
                <w:kern w:val="0"/>
                <w:szCs w:val="21"/>
                <w:highlight w:val="none"/>
              </w:rPr>
            </w:pPr>
            <w:r>
              <w:rPr>
                <w:rFonts w:hint="eastAsia" w:ascii="宋体" w:hAnsi="宋体" w:eastAsia="宋体" w:cs="宋体"/>
                <w:color w:val="000000"/>
                <w:sz w:val="24"/>
                <w:szCs w:val="24"/>
                <w:lang w:val="en-US" w:eastAsia="zh-CN"/>
              </w:rPr>
              <w:t>包干</w:t>
            </w:r>
            <w:r>
              <w:rPr>
                <w:rFonts w:hint="eastAsia" w:ascii="宋体" w:hAnsi="宋体" w:eastAsia="宋体" w:cs="宋体"/>
                <w:color w:val="000000"/>
                <w:sz w:val="24"/>
                <w:szCs w:val="24"/>
              </w:rPr>
              <w:t>单价</w:t>
            </w:r>
          </w:p>
        </w:tc>
        <w:tc>
          <w:tcPr>
            <w:tcW w:w="229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kern w:val="0"/>
                <w:szCs w:val="21"/>
                <w:highlight w:val="none"/>
              </w:rPr>
            </w:pPr>
            <w:r>
              <w:rPr>
                <w:rFonts w:hint="eastAsia" w:ascii="仿宋_GB2312" w:hAnsi="宋体" w:eastAsia="仿宋_GB2312"/>
                <w:b/>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683" w:hRule="atLeast"/>
        </w:trPr>
        <w:tc>
          <w:tcPr>
            <w:tcW w:w="1159" w:type="dxa"/>
            <w:tcBorders>
              <w:top w:val="single" w:color="auto" w:sz="4" w:space="0"/>
              <w:left w:val="single" w:color="auto" w:sz="4" w:space="0"/>
              <w:bottom w:val="single" w:color="auto" w:sz="4" w:space="0"/>
              <w:right w:val="single" w:color="auto" w:sz="6" w:space="0"/>
            </w:tcBorders>
            <w:vAlign w:val="center"/>
          </w:tcPr>
          <w:p>
            <w:pPr>
              <w:widowControl/>
              <w:jc w:val="center"/>
              <w:rPr>
                <w:rFonts w:ascii="仿宋_GB2312" w:hAnsi="宋体" w:eastAsia="仿宋_GB2312"/>
                <w:bCs/>
                <w:kern w:val="0"/>
                <w:szCs w:val="21"/>
                <w:highlight w:val="none"/>
              </w:rPr>
            </w:pPr>
            <w:r>
              <w:rPr>
                <w:rFonts w:hint="eastAsia" w:ascii="仿宋_GB2312" w:hAnsi="宋体" w:eastAsia="仿宋_GB2312"/>
                <w:bCs/>
                <w:kern w:val="0"/>
                <w:szCs w:val="21"/>
                <w:highlight w:val="none"/>
              </w:rPr>
              <w:t>连续重整</w:t>
            </w:r>
          </w:p>
        </w:tc>
        <w:tc>
          <w:tcPr>
            <w:tcW w:w="1377"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hAnsi="宋体" w:eastAsia="仿宋_GB2312"/>
                <w:bCs/>
                <w:color w:val="FF0000"/>
                <w:kern w:val="0"/>
                <w:szCs w:val="21"/>
                <w:highlight w:val="none"/>
              </w:rPr>
            </w:pPr>
            <w:r>
              <w:rPr>
                <w:rFonts w:hint="eastAsia" w:ascii="仿宋_GB2312" w:hAnsi="宋体" w:eastAsia="仿宋_GB2312" w:cs="Arial"/>
                <w:bCs/>
                <w:color w:val="000000"/>
                <w:kern w:val="0"/>
                <w:sz w:val="24"/>
                <w:highlight w:val="none"/>
              </w:rPr>
              <w:t>AR701</w:t>
            </w:r>
          </w:p>
        </w:tc>
        <w:tc>
          <w:tcPr>
            <w:tcW w:w="1786" w:type="dxa"/>
            <w:tcBorders>
              <w:top w:val="single" w:color="auto" w:sz="4" w:space="0"/>
              <w:left w:val="single" w:color="auto" w:sz="6" w:space="0"/>
              <w:bottom w:val="single" w:color="auto" w:sz="4" w:space="0"/>
              <w:right w:val="single" w:color="auto" w:sz="6" w:space="0"/>
            </w:tcBorders>
            <w:vAlign w:val="center"/>
          </w:tcPr>
          <w:p>
            <w:pPr>
              <w:widowControl/>
              <w:jc w:val="center"/>
              <w:rPr>
                <w:rFonts w:ascii="仿宋_GB2312" w:hAnsi="宋体" w:eastAsia="仿宋_GB2312"/>
                <w:bCs/>
                <w:color w:val="000000"/>
                <w:kern w:val="0"/>
                <w:szCs w:val="21"/>
                <w:highlight w:val="none"/>
              </w:rPr>
            </w:pPr>
            <w:r>
              <w:rPr>
                <w:rFonts w:hint="eastAsia" w:ascii="仿宋_GB2312" w:hAnsi="宋体" w:eastAsia="仿宋_GB2312"/>
                <w:kern w:val="0"/>
                <w:szCs w:val="21"/>
                <w:highlight w:val="none"/>
              </w:rPr>
              <w:t>风车式物理分级</w:t>
            </w:r>
          </w:p>
        </w:tc>
        <w:tc>
          <w:tcPr>
            <w:tcW w:w="860" w:type="dxa"/>
            <w:tcBorders>
              <w:top w:val="single" w:color="auto" w:sz="4" w:space="0"/>
              <w:left w:val="single" w:color="auto" w:sz="6" w:space="0"/>
              <w:bottom w:val="single" w:color="auto" w:sz="4" w:space="0"/>
              <w:right w:val="single" w:color="auto" w:sz="6" w:space="0"/>
            </w:tcBorders>
            <w:vAlign w:val="center"/>
          </w:tcPr>
          <w:p>
            <w:pPr>
              <w:widowControl/>
              <w:jc w:val="center"/>
              <w:rPr>
                <w:highlight w:val="none"/>
              </w:rPr>
            </w:pPr>
            <w:r>
              <w:rPr>
                <w:rFonts w:hint="eastAsia" w:ascii="仿宋_GB2312" w:hAnsi="宋体" w:eastAsia="仿宋_GB2312"/>
                <w:b/>
                <w:bCs/>
                <w:kern w:val="0"/>
                <w:szCs w:val="21"/>
                <w:highlight w:val="none"/>
              </w:rPr>
              <w:t>吨</w:t>
            </w:r>
          </w:p>
        </w:tc>
        <w:tc>
          <w:tcPr>
            <w:tcW w:w="941" w:type="dxa"/>
            <w:tcBorders>
              <w:top w:val="single" w:color="auto" w:sz="4" w:space="0"/>
              <w:left w:val="single" w:color="auto" w:sz="6" w:space="0"/>
              <w:bottom w:val="single" w:color="auto" w:sz="4" w:space="0"/>
              <w:right w:val="single" w:color="auto" w:sz="4" w:space="0"/>
            </w:tcBorders>
            <w:vAlign w:val="center"/>
          </w:tcPr>
          <w:p>
            <w:pPr>
              <w:widowControl/>
              <w:jc w:val="center"/>
              <w:rPr>
                <w:rFonts w:ascii="仿宋_GB2312" w:hAnsi="宋体" w:eastAsia="仿宋_GB2312"/>
                <w:kern w:val="0"/>
                <w:szCs w:val="21"/>
                <w:highlight w:val="none"/>
              </w:rPr>
            </w:pPr>
            <w:r>
              <w:rPr>
                <w:rFonts w:hint="eastAsia" w:ascii="仿宋_GB2312" w:hAnsi="宋体" w:eastAsia="仿宋_GB2312"/>
                <w:bCs/>
                <w:color w:val="000000"/>
                <w:kern w:val="0"/>
                <w:szCs w:val="21"/>
                <w:highlight w:val="none"/>
              </w:rPr>
              <w:t>185</w:t>
            </w:r>
          </w:p>
        </w:tc>
        <w:tc>
          <w:tcPr>
            <w:tcW w:w="1377" w:type="dxa"/>
            <w:tcBorders>
              <w:top w:val="single" w:color="auto" w:sz="4" w:space="0"/>
              <w:left w:val="single" w:color="auto" w:sz="6" w:space="0"/>
              <w:bottom w:val="single" w:color="auto" w:sz="4" w:space="0"/>
              <w:right w:val="single" w:color="auto" w:sz="4" w:space="0"/>
            </w:tcBorders>
            <w:vAlign w:val="center"/>
          </w:tcPr>
          <w:p>
            <w:pPr>
              <w:jc w:val="center"/>
              <w:rPr>
                <w:rFonts w:ascii="仿宋_GB2312" w:eastAsia="仿宋_GB2312"/>
                <w:bCs/>
                <w:kern w:val="0"/>
                <w:szCs w:val="21"/>
                <w:highlight w:val="none"/>
              </w:rPr>
            </w:pPr>
          </w:p>
        </w:tc>
        <w:tc>
          <w:tcPr>
            <w:tcW w:w="229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kern w:val="0"/>
                <w:szCs w:val="21"/>
                <w:highlight w:val="none"/>
              </w:rPr>
            </w:pPr>
            <w:r>
              <w:rPr>
                <w:rFonts w:hint="eastAsia" w:ascii="仿宋_GB2312" w:hAnsi="宋体" w:eastAsia="仿宋_GB2312"/>
                <w:kern w:val="0"/>
                <w:szCs w:val="21"/>
                <w:highlight w:val="none"/>
              </w:rPr>
              <w:t>现场作业</w:t>
            </w:r>
            <w:r>
              <w:rPr>
                <w:rFonts w:hint="eastAsia" w:ascii="仿宋_GB2312" w:hAnsi="宋体" w:eastAsia="仿宋_GB2312"/>
                <w:kern w:val="0"/>
                <w:szCs w:val="21"/>
                <w:highlight w:val="none"/>
                <w:lang w:eastAsia="zh-CN"/>
              </w:rPr>
              <w:t>，</w:t>
            </w:r>
            <w:r>
              <w:rPr>
                <w:rFonts w:hint="eastAsia" w:ascii="仿宋_GB2312" w:hAnsi="宋体" w:eastAsia="仿宋_GB2312"/>
                <w:kern w:val="0"/>
                <w:szCs w:val="21"/>
                <w:highlight w:val="none"/>
                <w:lang w:val="en-US" w:eastAsia="zh-CN"/>
              </w:rPr>
              <w:t>具体要求详见附件发包说明</w:t>
            </w:r>
            <w:r>
              <w:rPr>
                <w:rFonts w:hint="eastAsia" w:ascii="仿宋_GB2312" w:eastAsia="仿宋_GB2312"/>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683" w:hRule="atLeast"/>
        </w:trPr>
        <w:tc>
          <w:tcPr>
            <w:tcW w:w="9791"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left="15"/>
              <w:outlineLvl w:val="0"/>
              <w:rPr>
                <w:rFonts w:hint="eastAsia" w:ascii="宋体" w:hAnsi="宋体" w:eastAsia="宋体" w:cs="宋体"/>
                <w:sz w:val="24"/>
                <w:szCs w:val="24"/>
              </w:rPr>
            </w:pPr>
            <w:r>
              <w:rPr>
                <w:rFonts w:hint="eastAsia" w:ascii="宋体" w:hAnsi="宋体" w:eastAsia="宋体" w:cs="宋体"/>
                <w:sz w:val="24"/>
                <w:szCs w:val="24"/>
              </w:rPr>
              <w:t>说明：</w:t>
            </w:r>
          </w:p>
          <w:p>
            <w:pPr>
              <w:widowControl/>
              <w:numPr>
                <w:ilvl w:val="0"/>
                <w:numId w:val="0"/>
              </w:numPr>
              <w:autoSpaceDE/>
              <w:autoSpaceDN/>
              <w:ind w:leftChars="0"/>
              <w:rPr>
                <w:rFonts w:hint="eastAsia" w:ascii="宋体" w:hAnsi="宋体" w:eastAsia="宋体" w:cs="宋体"/>
                <w:sz w:val="24"/>
                <w:szCs w:val="24"/>
                <w:lang w:eastAsia="zh-CN"/>
              </w:rPr>
            </w:pPr>
            <w:r>
              <w:rPr>
                <w:rFonts w:hint="eastAsia" w:cs="宋体"/>
                <w:sz w:val="24"/>
                <w:szCs w:val="24"/>
                <w:lang w:val="en-US" w:eastAsia="zh-CN"/>
              </w:rPr>
              <w:t xml:space="preserve">1. </w:t>
            </w:r>
            <w:r>
              <w:rPr>
                <w:rFonts w:hint="eastAsia" w:ascii="宋体" w:hAnsi="宋体" w:eastAsia="宋体" w:cs="宋体"/>
                <w:sz w:val="24"/>
                <w:szCs w:val="24"/>
                <w:lang w:eastAsia="zh-CN"/>
              </w:rPr>
              <w:t>项目地点：福建省漳州市古雷经济开发区腾龙路84号。</w:t>
            </w:r>
          </w:p>
          <w:p>
            <w:pPr>
              <w:spacing w:line="360" w:lineRule="auto"/>
              <w:rPr>
                <w:sz w:val="24"/>
                <w:szCs w:val="24"/>
                <w:highlight w:val="none"/>
              </w:rPr>
            </w:pPr>
            <w:r>
              <w:rPr>
                <w:rFonts w:hint="eastAsia"/>
                <w:sz w:val="24"/>
                <w:szCs w:val="24"/>
                <w:highlight w:val="none"/>
                <w:lang w:val="en-US" w:eastAsia="zh-CN"/>
              </w:rPr>
              <w:t>2.</w:t>
            </w:r>
            <w:r>
              <w:rPr>
                <w:sz w:val="24"/>
                <w:szCs w:val="24"/>
                <w:highlight w:val="none"/>
              </w:rPr>
              <w:t xml:space="preserve"> </w:t>
            </w:r>
            <w:r>
              <w:rPr>
                <w:rFonts w:hint="eastAsia"/>
                <w:sz w:val="24"/>
                <w:szCs w:val="24"/>
                <w:highlight w:val="none"/>
              </w:rPr>
              <w:t>结算筛分量以实际确认量为准。</w:t>
            </w:r>
          </w:p>
          <w:p>
            <w:pPr>
              <w:jc w:val="both"/>
              <w:rPr>
                <w:rFonts w:hint="eastAsia" w:ascii="仿宋_GB2312" w:hAnsi="宋体" w:eastAsia="仿宋_GB2312"/>
                <w:kern w:val="0"/>
                <w:szCs w:val="21"/>
                <w:highlight w:val="none"/>
              </w:rPr>
            </w:pPr>
            <w:r>
              <w:rPr>
                <w:rFonts w:hint="eastAsia"/>
                <w:sz w:val="24"/>
                <w:szCs w:val="24"/>
                <w:highlight w:val="none"/>
                <w:lang w:val="en-US" w:eastAsia="zh-CN"/>
              </w:rPr>
              <w:t>3.</w:t>
            </w:r>
            <w:r>
              <w:rPr>
                <w:rFonts w:hint="eastAsia"/>
                <w:sz w:val="24"/>
                <w:szCs w:val="24"/>
                <w:highlight w:val="none"/>
              </w:rPr>
              <w:t xml:space="preserve"> 催化剂分级时间是指分级第一桶催化剂至分级完最后一桶催化剂。</w:t>
            </w:r>
          </w:p>
        </w:tc>
      </w:tr>
    </w:tbl>
    <w:p>
      <w:pPr>
        <w:pStyle w:val="2"/>
        <w:ind w:firstLine="675"/>
        <w:rPr>
          <w:rFonts w:hint="eastAsia" w:ascii="宋体" w:hAnsi="宋体" w:eastAsia="宋体" w:cs="宋体"/>
          <w:b/>
          <w:sz w:val="24"/>
          <w:szCs w:val="24"/>
        </w:rPr>
      </w:pPr>
    </w:p>
    <w:p>
      <w:pPr>
        <w:pStyle w:val="2"/>
        <w:ind w:firstLine="675"/>
        <w:rPr>
          <w:rFonts w:hint="eastAsia" w:ascii="宋体" w:hAnsi="宋体" w:eastAsia="宋体" w:cs="宋体"/>
          <w:b/>
          <w:sz w:val="24"/>
          <w:szCs w:val="24"/>
        </w:rPr>
      </w:pPr>
    </w:p>
    <w:p>
      <w:pPr>
        <w:pStyle w:val="2"/>
        <w:ind w:firstLine="675"/>
        <w:rPr>
          <w:rFonts w:hint="eastAsia" w:ascii="宋体" w:hAnsi="宋体" w:eastAsia="宋体" w:cs="宋体"/>
          <w:b/>
          <w:sz w:val="24"/>
          <w:szCs w:val="24"/>
        </w:rPr>
      </w:pPr>
    </w:p>
    <w:p>
      <w:pPr>
        <w:ind w:firstLine="555"/>
        <w:rPr>
          <w:rFonts w:hint="eastAsia" w:asciiTheme="minorEastAsia" w:hAnsiTheme="minorEastAsia" w:eastAsiaTheme="minorEastAsia"/>
          <w:sz w:val="28"/>
          <w:szCs w:val="28"/>
          <w:lang w:eastAsia="zh-CN"/>
        </w:rPr>
      </w:pPr>
    </w:p>
    <w:p>
      <w:pPr>
        <w:ind w:firstLine="555"/>
        <w:rPr>
          <w:rFonts w:hint="eastAsia" w:asciiTheme="minorEastAsia" w:hAnsiTheme="minorEastAsia" w:eastAsiaTheme="minorEastAsia"/>
          <w:sz w:val="28"/>
          <w:szCs w:val="28"/>
          <w:lang w:eastAsia="zh-CN"/>
        </w:rPr>
      </w:pPr>
    </w:p>
    <w:p>
      <w:pPr>
        <w:ind w:firstLine="555"/>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参选人：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（加盖参选单位章）</w:t>
      </w:r>
    </w:p>
    <w:p>
      <w:pPr>
        <w:spacing w:line="460" w:lineRule="exact"/>
        <w:ind w:firstLine="560" w:firstLineChars="200"/>
        <w:rPr>
          <w:rFonts w:asciiTheme="minorEastAsia" w:hAnsiTheme="minorEastAsia" w:eastAsiaTheme="minorEastAsia"/>
          <w:color w:val="00B050"/>
          <w:sz w:val="28"/>
          <w:szCs w:val="28"/>
          <w:lang w:eastAsia="zh-CN"/>
        </w:rPr>
      </w:pPr>
      <w:r>
        <w:rPr>
          <w:rFonts w:hint="eastAsia" w:asciiTheme="minorEastAsia" w:hAnsiTheme="minorEastAsia" w:eastAsiaTheme="minorEastAsia"/>
          <w:sz w:val="28"/>
          <w:szCs w:val="28"/>
          <w:lang w:eastAsia="zh-CN"/>
        </w:rPr>
        <w:t>法定代表人：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（签字）</w:t>
      </w:r>
    </w:p>
    <w:p>
      <w:pPr>
        <w:spacing w:line="460" w:lineRule="exact"/>
        <w:ind w:firstLine="560" w:firstLineChars="200"/>
        <w:rPr>
          <w:rFonts w:asciiTheme="minorEastAsia" w:hAnsiTheme="minorEastAsia" w:eastAsiaTheme="minorEastAsia"/>
          <w:color w:val="C00000"/>
          <w:sz w:val="28"/>
          <w:szCs w:val="28"/>
          <w:u w:val="single"/>
          <w:lang w:eastAsia="zh-CN"/>
        </w:rPr>
      </w:pPr>
      <w:r>
        <w:rPr>
          <w:rFonts w:hint="eastAsia" w:asciiTheme="minorEastAsia" w:hAnsiTheme="minorEastAsia" w:eastAsiaTheme="minorEastAsia"/>
          <w:sz w:val="28"/>
          <w:szCs w:val="28"/>
          <w:lang w:eastAsia="zh-CN"/>
        </w:rPr>
        <w:t>或其授权委托代理人：</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lang w:eastAsia="zh-CN"/>
        </w:rPr>
        <w:t>_</w:t>
      </w:r>
      <w:r>
        <w:rPr>
          <w:rFonts w:hint="eastAsia" w:asciiTheme="minorEastAsia" w:hAnsiTheme="minorEastAsia" w:eastAsiaTheme="minorEastAsia"/>
          <w:color w:val="00B050"/>
          <w:sz w:val="28"/>
          <w:szCs w:val="28"/>
          <w:lang w:eastAsia="zh-CN"/>
        </w:rPr>
        <w:t>（签字）</w:t>
      </w:r>
    </w:p>
    <w:p>
      <w:pPr>
        <w:ind w:firstLine="560" w:firstLineChars="200"/>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编制时间： </w:t>
      </w:r>
      <w:r>
        <w:rPr>
          <w:rFonts w:hint="eastAsia" w:asciiTheme="minorEastAsia" w:hAnsiTheme="minorEastAsia" w:eastAsiaTheme="minorEastAsia"/>
          <w:sz w:val="28"/>
          <w:szCs w:val="28"/>
          <w:u w:val="single"/>
          <w:lang w:eastAsia="zh-CN"/>
        </w:rPr>
        <w:t xml:space="preserve">      年   </w:t>
      </w:r>
      <w:r>
        <w:rPr>
          <w:rFonts w:hint="eastAsia" w:asciiTheme="minorEastAsia" w:hAnsiTheme="minorEastAsia" w:eastAsiaTheme="minorEastAsia"/>
          <w:sz w:val="28"/>
          <w:szCs w:val="28"/>
          <w:u w:val="single"/>
          <w:lang w:val="en-US" w:eastAsia="zh-CN"/>
        </w:rPr>
        <w:t xml:space="preserve">   </w:t>
      </w:r>
      <w:r>
        <w:rPr>
          <w:rFonts w:hint="eastAsia" w:asciiTheme="minorEastAsia" w:hAnsiTheme="minorEastAsia" w:eastAsiaTheme="minorEastAsia"/>
          <w:sz w:val="28"/>
          <w:szCs w:val="28"/>
          <w:u w:val="single"/>
          <w:lang w:eastAsia="zh-CN"/>
        </w:rPr>
        <w:t>月</w:t>
      </w:r>
      <w:r>
        <w:rPr>
          <w:rFonts w:hint="eastAsia" w:asciiTheme="minorEastAsia" w:hAnsiTheme="minorEastAsia" w:eastAsiaTheme="minorEastAsia"/>
          <w:sz w:val="28"/>
          <w:szCs w:val="28"/>
          <w:u w:val="single"/>
          <w:lang w:val="en-US" w:eastAsia="zh-CN"/>
        </w:rPr>
        <w:t xml:space="preserve">    </w:t>
      </w:r>
      <w:r>
        <w:rPr>
          <w:rFonts w:hint="eastAsia" w:asciiTheme="minorEastAsia" w:hAnsiTheme="minorEastAsia" w:eastAsiaTheme="minorEastAsia"/>
          <w:sz w:val="28"/>
          <w:szCs w:val="28"/>
          <w:u w:val="single"/>
          <w:lang w:eastAsia="zh-CN"/>
        </w:rPr>
        <w:t xml:space="preserve">   日    </w:t>
      </w:r>
    </w:p>
    <w:p>
      <w:pPr>
        <w:pStyle w:val="2"/>
      </w:pPr>
    </w:p>
    <w:p>
      <w:pPr>
        <w:pStyle w:val="2"/>
      </w:pPr>
    </w:p>
    <w:p>
      <w:pPr>
        <w:pStyle w:val="2"/>
      </w:pPr>
    </w:p>
    <w:p>
      <w:pPr>
        <w:snapToGrid w:val="0"/>
        <w:spacing w:line="360" w:lineRule="auto"/>
        <w:jc w:val="center"/>
        <w:rPr>
          <w:rFonts w:asciiTheme="minorEastAsia" w:hAnsiTheme="minorEastAsia" w:eastAsiaTheme="minorEastAsia"/>
          <w:b/>
          <w:bCs/>
          <w:sz w:val="24"/>
          <w:szCs w:val="24"/>
          <w:lang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snapToGrid w:val="0"/>
        <w:spacing w:line="360" w:lineRule="auto"/>
        <w:jc w:val="center"/>
        <w:rPr>
          <w:rFonts w:cs="Times New Roman" w:asciiTheme="minorEastAsia" w:hAnsiTheme="minorEastAsia" w:eastAsiaTheme="minorEastAsia"/>
          <w:b/>
          <w:bCs/>
          <w:sz w:val="30"/>
          <w:szCs w:val="30"/>
          <w:lang w:eastAsia="zh-CN"/>
        </w:rPr>
      </w:pPr>
      <w:r>
        <w:rPr>
          <w:rFonts w:hint="eastAsia" w:asciiTheme="minorEastAsia" w:hAnsiTheme="minorEastAsia" w:eastAsiaTheme="minorEastAsia"/>
          <w:b/>
          <w:bCs/>
          <w:sz w:val="30"/>
          <w:szCs w:val="30"/>
          <w:lang w:eastAsia="zh-CN"/>
        </w:rPr>
        <w:t>承 诺 函</w:t>
      </w: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imes New Roman" w:hAnsi="Times New Roman" w:eastAsia="宋体" w:cs="Times New Roman"/>
          <w:sz w:val="24"/>
          <w:szCs w:val="24"/>
          <w:highlight w:val="none"/>
          <w:u w:val="single"/>
          <w:lang w:eastAsia="zh-CN"/>
        </w:rPr>
        <w:t>重整装置催化剂筛</w:t>
      </w:r>
      <w:r>
        <w:rPr>
          <w:rFonts w:hint="eastAsia" w:ascii="Times New Roman" w:hAnsi="Times New Roman" w:eastAsia="宋体" w:cs="Times New Roman"/>
          <w:sz w:val="24"/>
          <w:szCs w:val="24"/>
          <w:highlight w:val="none"/>
          <w:u w:val="single"/>
          <w:lang w:val="en-US" w:eastAsia="zh-CN"/>
        </w:rPr>
        <w:t>分工程</w:t>
      </w:r>
      <w:r>
        <w:rPr>
          <w:rFonts w:hint="eastAsia" w:asciiTheme="minorEastAsia" w:hAnsiTheme="minorEastAsia" w:eastAsiaTheme="minorEastAsia"/>
          <w:bCs/>
          <w:sz w:val="24"/>
          <w:szCs w:val="24"/>
          <w:u w:val="single"/>
          <w:lang w:eastAsia="zh-CN"/>
        </w:rPr>
        <w:t>（项目编号：</w:t>
      </w:r>
      <w:r>
        <w:rPr>
          <w:rFonts w:hint="eastAsia" w:ascii="宋体" w:hAnsi="宋体" w:eastAsia="宋体" w:cs="宋体"/>
          <w:i w:val="0"/>
          <w:iCs w:val="0"/>
          <w:sz w:val="24"/>
          <w:szCs w:val="24"/>
          <w:u w:val="single"/>
          <w:lang w:val="en-US" w:eastAsia="zh-CN"/>
        </w:rPr>
        <w:t>FHC-PTCG20220</w:t>
      </w:r>
      <w:r>
        <w:rPr>
          <w:rFonts w:hint="eastAsia" w:cs="宋体"/>
          <w:i w:val="0"/>
          <w:iCs w:val="0"/>
          <w:sz w:val="24"/>
          <w:szCs w:val="24"/>
          <w:u w:val="single"/>
          <w:lang w:val="en-US" w:eastAsia="zh-CN"/>
        </w:rPr>
        <w:t>0526005）</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imes New Roman" w:hAnsi="Times New Roman" w:eastAsia="宋体" w:cs="Times New Roman"/>
          <w:sz w:val="24"/>
          <w:szCs w:val="24"/>
          <w:highlight w:val="none"/>
          <w:u w:val="single"/>
          <w:lang w:eastAsia="zh-CN"/>
        </w:rPr>
        <w:t>重整装置催化剂筛</w:t>
      </w:r>
      <w:r>
        <w:rPr>
          <w:rFonts w:hint="eastAsia" w:ascii="Times New Roman" w:hAnsi="Times New Roman" w:eastAsia="宋体" w:cs="Times New Roman"/>
          <w:sz w:val="24"/>
          <w:szCs w:val="24"/>
          <w:highlight w:val="none"/>
          <w:u w:val="single"/>
          <w:lang w:val="en-US" w:eastAsia="zh-CN"/>
        </w:rPr>
        <w:t>分工程</w:t>
      </w:r>
      <w:r>
        <w:rPr>
          <w:rFonts w:hint="eastAsia" w:asciiTheme="minorEastAsia" w:hAnsiTheme="minorEastAsia" w:eastAsiaTheme="minorEastAsia"/>
          <w:bCs/>
          <w:sz w:val="24"/>
          <w:szCs w:val="24"/>
          <w:u w:val="single"/>
          <w:lang w:eastAsia="zh-CN"/>
        </w:rPr>
        <w:t>（项目编号：</w:t>
      </w:r>
      <w:r>
        <w:rPr>
          <w:rFonts w:hint="eastAsia" w:ascii="宋体" w:hAnsi="宋体" w:eastAsia="宋体" w:cs="宋体"/>
          <w:i w:val="0"/>
          <w:iCs w:val="0"/>
          <w:sz w:val="24"/>
          <w:szCs w:val="24"/>
          <w:u w:val="single"/>
          <w:lang w:val="en-US" w:eastAsia="zh-CN"/>
        </w:rPr>
        <w:t>FHC-PTCG20220</w:t>
      </w:r>
      <w:r>
        <w:rPr>
          <w:rFonts w:hint="eastAsia" w:cs="宋体"/>
          <w:i w:val="0"/>
          <w:iCs w:val="0"/>
          <w:sz w:val="24"/>
          <w:szCs w:val="24"/>
          <w:u w:val="single"/>
          <w:lang w:val="en-US" w:eastAsia="zh-CN"/>
        </w:rPr>
        <w:t>0526005）</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16"/>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9"/>
    <w:p/>
    <w:p>
      <w:pPr>
        <w:pStyle w:val="6"/>
        <w:spacing w:before="106"/>
        <w:ind w:left="218"/>
      </w:pPr>
    </w:p>
    <w:p/>
    <w:p/>
    <w:sectPr>
      <w:footerReference r:id="rId4" w:type="default"/>
      <w:pgSz w:w="11910" w:h="16840"/>
      <w:pgMar w:top="1500" w:right="99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script"/>
    <w:pitch w:val="default"/>
    <w:sig w:usb0="00000000" w:usb1="00000000" w:usb2="00000010" w:usb3="00000000" w:csb0="0004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E039542"/>
    <w:multiLevelType w:val="singleLevel"/>
    <w:tmpl w:val="1E039542"/>
    <w:lvl w:ilvl="0" w:tentative="0">
      <w:start w:val="3"/>
      <w:numFmt w:val="decimal"/>
      <w:suff w:val="space"/>
      <w:lvlText w:val="%1."/>
      <w:lvlJc w:val="left"/>
    </w:lvl>
  </w:abstractNum>
  <w:abstractNum w:abstractNumId="4">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5">
    <w:nsid w:val="626A3ADE"/>
    <w:multiLevelType w:val="singleLevel"/>
    <w:tmpl w:val="626A3ADE"/>
    <w:lvl w:ilvl="0" w:tentative="0">
      <w:start w:val="4"/>
      <w:numFmt w:val="chineseCounting"/>
      <w:suff w:val="nothing"/>
      <w:lvlText w:val="%1、"/>
      <w:lvlJc w:val="left"/>
    </w:lvl>
  </w:abstractNum>
  <w:abstractNum w:abstractNumId="6">
    <w:nsid w:val="62A1943C"/>
    <w:multiLevelType w:val="singleLevel"/>
    <w:tmpl w:val="62A1943C"/>
    <w:lvl w:ilvl="0" w:tentative="0">
      <w:start w:val="14"/>
      <w:numFmt w:val="chineseCounting"/>
      <w:suff w:val="space"/>
      <w:lvlText w:val="第%1条"/>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0"/>
  </w:num>
  <w:num w:numId="3">
    <w:abstractNumId w:val="7"/>
  </w:num>
  <w:num w:numId="4">
    <w:abstractNumId w:val="2"/>
  </w:num>
  <w:num w:numId="5">
    <w:abstractNumId w:val="1"/>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45005"/>
    <w:rsid w:val="03F57DFA"/>
    <w:rsid w:val="073A7FDD"/>
    <w:rsid w:val="0E363241"/>
    <w:rsid w:val="151614D2"/>
    <w:rsid w:val="27C550BD"/>
    <w:rsid w:val="35461788"/>
    <w:rsid w:val="416E6972"/>
    <w:rsid w:val="465C2D8E"/>
    <w:rsid w:val="57B424CF"/>
    <w:rsid w:val="66A805A1"/>
    <w:rsid w:val="6A3C58CB"/>
    <w:rsid w:val="6A3F194D"/>
    <w:rsid w:val="6BB45005"/>
    <w:rsid w:val="6D300287"/>
    <w:rsid w:val="6D865790"/>
    <w:rsid w:val="73B37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uiPriority w:val="0"/>
    <w:rPr>
      <w:sz w:val="24"/>
      <w:szCs w:val="24"/>
    </w:rPr>
  </w:style>
  <w:style w:type="paragraph" w:styleId="7">
    <w:name w:val="Body Text Indent"/>
    <w:basedOn w:val="1"/>
    <w:qFormat/>
    <w:uiPriority w:val="0"/>
    <w:pPr>
      <w:spacing w:after="120"/>
      <w:ind w:left="420" w:leftChars="200"/>
    </w:pPr>
  </w:style>
  <w:style w:type="paragraph" w:styleId="8">
    <w:name w:val="Plain Text"/>
    <w:basedOn w:val="1"/>
    <w:uiPriority w:val="0"/>
    <w:rPr>
      <w:rFonts w:hAnsi="Courier New" w:cs="Courier New"/>
      <w:szCs w:val="21"/>
    </w:rPr>
  </w:style>
  <w:style w:type="paragraph" w:styleId="9">
    <w:name w:val="Normal (Web)"/>
    <w:basedOn w:val="1"/>
    <w:qFormat/>
    <w:uiPriority w:val="0"/>
    <w:pPr>
      <w:widowControl/>
      <w:autoSpaceDE/>
      <w:autoSpaceDN/>
      <w:spacing w:before="100" w:beforeAutospacing="1" w:after="100" w:afterAutospacing="1"/>
    </w:pPr>
    <w:rPr>
      <w:sz w:val="24"/>
      <w:szCs w:val="24"/>
      <w:lang w:eastAsia="zh-CN"/>
    </w:rPr>
  </w:style>
  <w:style w:type="character" w:styleId="11">
    <w:name w:val="Hyperlink"/>
    <w:basedOn w:val="10"/>
    <w:qFormat/>
    <w:uiPriority w:val="0"/>
    <w:rPr>
      <w:color w:val="0000FF"/>
      <w:u w:val="single"/>
    </w:rPr>
  </w:style>
  <w:style w:type="table" w:styleId="13">
    <w:name w:val="Table Grid"/>
    <w:basedOn w:val="12"/>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4">
    <w:name w:val="List Paragraph"/>
    <w:basedOn w:val="1"/>
    <w:qFormat/>
    <w:uiPriority w:val="34"/>
    <w:pPr>
      <w:spacing w:before="206"/>
      <w:ind w:left="959" w:hanging="361"/>
    </w:pPr>
  </w:style>
  <w:style w:type="character" w:customStyle="1" w:styleId="15">
    <w:name w:val="apple-converted-space"/>
    <w:basedOn w:val="10"/>
    <w:qFormat/>
    <w:uiPriority w:val="0"/>
  </w:style>
  <w:style w:type="paragraph" w:customStyle="1" w:styleId="16">
    <w:name w:val="文档正文"/>
    <w:basedOn w:val="1"/>
    <w:qFormat/>
    <w:uiPriority w:val="0"/>
    <w:pPr>
      <w:spacing w:beforeLines="50" w:afterLines="50" w:line="360" w:lineRule="auto"/>
      <w:ind w:firstLine="560" w:firstLineChars="200"/>
    </w:pPr>
    <w:rPr>
      <w:rFonts w:cs="Arial"/>
      <w:bCs/>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26</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2022-06-09T01:12:00Z</dcterms:created>
  <dc:creator>mqhuang</dc:creator>
  <cp:lastModifiedBy>mqhuang</cp:lastModifiedBy>
  <dcterms:modified xsi:type="dcterms:W3CDTF">2022-06-10T06:38:52Z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