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w:t>
      </w:r>
      <w:r>
        <w:rPr>
          <w:rFonts w:hint="eastAsia" w:ascii="黑体" w:hAnsi="黑体" w:eastAsia="黑体"/>
          <w:b/>
          <w:sz w:val="36"/>
          <w:szCs w:val="36"/>
          <w:u w:val="single"/>
          <w:lang w:eastAsia="zh-CN"/>
        </w:rPr>
        <w:t>化工装置HAZOP风险辨识评估</w:t>
      </w:r>
      <w:r>
        <w:rPr>
          <w:rFonts w:hint="eastAsia" w:ascii="微软雅黑" w:eastAsia="微软雅黑"/>
          <w:b/>
          <w:sz w:val="36"/>
          <w:szCs w:val="36"/>
          <w:u w:val="single"/>
          <w:lang w:eastAsia="zh-CN"/>
        </w:rPr>
        <w:t xml:space="preserve">  </w:t>
      </w:r>
      <w:r>
        <w:rPr>
          <w:rFonts w:hint="eastAsia" w:ascii="微软雅黑" w:eastAsia="微软雅黑"/>
          <w:b/>
          <w:sz w:val="36"/>
          <w:szCs w:val="36"/>
          <w:lang w:eastAsia="zh-CN"/>
        </w:rPr>
        <w:t>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FHC-PTCG20220531002 </w:t>
      </w:r>
      <w:r>
        <w:rPr>
          <w:rFonts w:hint="eastAsia"/>
          <w:sz w:val="28"/>
          <w:szCs w:val="28"/>
        </w:rPr>
        <w:t>）</w:t>
      </w:r>
    </w:p>
    <w:p>
      <w:pPr>
        <w:pStyle w:val="5"/>
        <w:rPr>
          <w:rFonts w:ascii="微软雅黑"/>
          <w:b/>
          <w:sz w:val="94"/>
          <w:lang w:eastAsia="zh-CN"/>
        </w:rPr>
      </w:pPr>
    </w:p>
    <w:p>
      <w:pPr>
        <w:pStyle w:val="5"/>
        <w:rPr>
          <w:rFonts w:ascii="微软雅黑"/>
          <w:b/>
          <w:sz w:val="94"/>
          <w:lang w:eastAsia="zh-CN"/>
        </w:rPr>
      </w:pPr>
    </w:p>
    <w:p>
      <w:pPr>
        <w:pStyle w:val="5"/>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二〇二二年六月</w:t>
      </w:r>
    </w:p>
    <w:p>
      <w:pPr>
        <w:spacing w:line="271" w:lineRule="auto"/>
        <w:jc w:val="center"/>
        <w:rPr>
          <w:rFonts w:ascii="微软雅黑" w:eastAsia="微软雅黑"/>
          <w:sz w:val="32"/>
          <w:lang w:eastAsia="zh-CN"/>
        </w:rPr>
        <w:sectPr>
          <w:footerReference r:id="rId3" w:type="default"/>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5"/>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5"/>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附件5：技术偏离表</w:t>
      </w:r>
    </w:p>
    <w:p>
      <w:pPr>
        <w:spacing w:line="360" w:lineRule="auto"/>
        <w:ind w:firstLine="980" w:firstLineChars="350"/>
        <w:rPr>
          <w:color w:val="000000"/>
          <w:sz w:val="28"/>
          <w:szCs w:val="28"/>
          <w:lang w:eastAsia="zh-CN"/>
        </w:rPr>
      </w:pPr>
      <w:r>
        <w:rPr>
          <w:rFonts w:hint="eastAsia"/>
          <w:color w:val="000000"/>
          <w:sz w:val="28"/>
          <w:szCs w:val="28"/>
          <w:lang w:eastAsia="zh-CN"/>
        </w:rPr>
        <w:t>附件6：报价单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4" w:type="default"/>
          <w:pgSz w:w="11910" w:h="16840"/>
          <w:pgMar w:top="1480" w:right="1340" w:bottom="740" w:left="1240" w:header="0" w:footer="551" w:gutter="0"/>
          <w:pgNumType w:fmt="decimal"/>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line="400" w:lineRule="exact"/>
        <w:ind w:firstLine="300" w:firstLineChars="125"/>
        <w:rPr>
          <w:bCs/>
          <w:spacing w:val="-2"/>
          <w:sz w:val="24"/>
          <w:szCs w:val="24"/>
          <w:lang w:eastAsia="zh-CN"/>
        </w:rPr>
      </w:pPr>
      <w:r>
        <w:rPr>
          <w:rFonts w:hint="eastAsia"/>
          <w:bCs/>
          <w:sz w:val="24"/>
          <w:szCs w:val="24"/>
          <w:lang w:eastAsia="zh-CN"/>
        </w:rPr>
        <w:t>福建福海创石油化工有限公司拟对</w:t>
      </w:r>
      <w:r>
        <w:rPr>
          <w:rFonts w:hint="eastAsia" w:asciiTheme="majorEastAsia" w:hAnsiTheme="majorEastAsia" w:eastAsiaTheme="majorEastAsia"/>
          <w:sz w:val="24"/>
          <w:szCs w:val="24"/>
          <w:u w:val="single"/>
          <w:lang w:eastAsia="zh-CN"/>
        </w:rPr>
        <w:t>化工装置HAZOP风险辨识评估</w:t>
      </w:r>
      <w:r>
        <w:rPr>
          <w:rFonts w:hint="eastAsia"/>
          <w:bCs/>
          <w:sz w:val="24"/>
          <w:szCs w:val="24"/>
          <w:lang w:eastAsia="zh-CN"/>
        </w:rPr>
        <w:t>项目进行国内公开比选，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spacing w:line="400" w:lineRule="exact"/>
        <w:ind w:firstLine="496" w:firstLineChars="207"/>
        <w:rPr>
          <w:rFonts w:asciiTheme="majorEastAsia" w:hAnsiTheme="majorEastAsia" w:eastAsiaTheme="majorEastAsia"/>
          <w:color w:val="000000" w:themeColor="text1"/>
          <w:sz w:val="24"/>
          <w:szCs w:val="24"/>
          <w:lang w:eastAsia="zh-CN"/>
          <w14:textFill>
            <w14:solidFill>
              <w14:schemeClr w14:val="tx1"/>
            </w14:solidFill>
          </w14:textFill>
        </w:rPr>
      </w:pPr>
      <w:r>
        <w:rPr>
          <w:rFonts w:hint="eastAsia" w:asciiTheme="majorEastAsia" w:hAnsiTheme="majorEastAsia" w:eastAsiaTheme="majorEastAsia"/>
          <w:bCs/>
          <w:sz w:val="24"/>
          <w:szCs w:val="24"/>
          <w:lang w:eastAsia="zh-CN"/>
        </w:rPr>
        <w:t>1. 名  称：</w:t>
      </w:r>
      <w:r>
        <w:rPr>
          <w:rFonts w:hint="eastAsia" w:asciiTheme="majorEastAsia" w:hAnsiTheme="majorEastAsia" w:eastAsiaTheme="majorEastAsia"/>
          <w:sz w:val="24"/>
          <w:szCs w:val="24"/>
          <w:lang w:eastAsia="zh-CN"/>
        </w:rPr>
        <w:t>化工装置HAZOP风险辨识评估</w:t>
      </w:r>
      <w:r>
        <w:rPr>
          <w:rFonts w:hint="eastAsia"/>
          <w:sz w:val="24"/>
          <w:szCs w:val="24"/>
          <w:lang w:eastAsia="zh-CN"/>
        </w:rPr>
        <w:t>项目</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执行方式：</w:t>
      </w:r>
      <w:r>
        <w:rPr>
          <w:rFonts w:hint="eastAsia"/>
          <w:bCs/>
          <w:snapToGrid w:val="0"/>
          <w:spacing w:val="8"/>
          <w:sz w:val="24"/>
          <w:szCs w:val="24"/>
          <w:lang w:eastAsia="zh-CN"/>
        </w:rPr>
        <w:t>采用总价包干</w:t>
      </w:r>
      <w:r>
        <w:rPr>
          <w:rFonts w:hint="eastAsia"/>
          <w:sz w:val="24"/>
          <w:szCs w:val="24"/>
          <w:lang w:eastAsia="zh-CN"/>
        </w:rPr>
        <w:t>方式</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 主要招标及技术要求：见附件“HAZOP风险辨识发包技术说明”</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 服务时间：</w:t>
      </w:r>
      <w:r>
        <w:rPr>
          <w:rFonts w:hint="eastAsia" w:asciiTheme="majorEastAsia" w:hAnsiTheme="majorEastAsia" w:eastAsiaTheme="majorEastAsia"/>
          <w:sz w:val="24"/>
          <w:szCs w:val="24"/>
          <w:lang w:eastAsia="zh-CN"/>
        </w:rPr>
        <w:t>合同生效后45天</w:t>
      </w:r>
    </w:p>
    <w:p>
      <w:pPr>
        <w:spacing w:line="400" w:lineRule="exact"/>
        <w:ind w:firstLine="496" w:firstLineChars="207"/>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 地  点：福建省漳州市古雷开发区腾龙路84号</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1. </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参评专家须经过专业培训且取得了相应的资质证书，在行业内具有一定的工作业绩：</w:t>
      </w:r>
    </w:p>
    <w:p>
      <w:pPr>
        <w:spacing w:line="360" w:lineRule="auto"/>
        <w:ind w:left="854" w:leftChars="218" w:hanging="374" w:hangingChars="156"/>
        <w:jc w:val="both"/>
        <w:rPr>
          <w:sz w:val="24"/>
          <w:szCs w:val="24"/>
          <w:lang w:eastAsia="zh-CN"/>
        </w:rPr>
      </w:pPr>
      <w:r>
        <w:rPr>
          <w:rFonts w:hint="eastAsia"/>
          <w:sz w:val="24"/>
          <w:szCs w:val="24"/>
          <w:lang w:eastAsia="zh-CN"/>
        </w:rPr>
        <w:t>1）HAZOP风险辨识小组主席为专职（提供纳税证明及履历表加盖公章证明），需接受过正规的HAZOP培训且持有相关HAZOP培训合格证书，主持分析过大型炼油化工装置项目3家以上（需提供合同复印件证明）；</w:t>
      </w:r>
    </w:p>
    <w:p>
      <w:pPr>
        <w:pStyle w:val="2"/>
        <w:spacing w:line="360" w:lineRule="auto"/>
        <w:ind w:left="854" w:leftChars="218" w:hanging="374" w:hangingChars="156"/>
        <w:rPr>
          <w:sz w:val="24"/>
          <w:szCs w:val="24"/>
        </w:rPr>
      </w:pPr>
      <w:r>
        <w:rPr>
          <w:rFonts w:hint="eastAsia"/>
          <w:sz w:val="24"/>
          <w:szCs w:val="24"/>
        </w:rPr>
        <w:t>2）HAZOP风险辨识小组秘书须在大型炼油化工企业相关专业工作5年以上，具有3个大型炼油化工装置HAZOP分析计量经验（提供HAZOP报告的签字页原件）；</w:t>
      </w:r>
    </w:p>
    <w:p>
      <w:pPr>
        <w:pStyle w:val="2"/>
        <w:spacing w:line="360" w:lineRule="auto"/>
        <w:ind w:left="854" w:leftChars="218" w:hanging="374" w:hangingChars="156"/>
        <w:rPr>
          <w:sz w:val="24"/>
          <w:szCs w:val="24"/>
        </w:rPr>
      </w:pPr>
      <w:r>
        <w:rPr>
          <w:rFonts w:hint="eastAsia"/>
          <w:sz w:val="24"/>
          <w:szCs w:val="24"/>
        </w:rPr>
        <w:t>3）HAZOP专业工程师必须在大型炼油化工企业从事本专业工作10年以上（提供履历表及相关证明）；</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4. </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 xml:space="preserve"> 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w:t>
      </w: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u w:val="none"/>
          <w:lang w:eastAsia="zh-CN"/>
        </w:rPr>
      </w:pPr>
      <w:r>
        <w:rPr>
          <w:rFonts w:hint="eastAsia"/>
          <w:b/>
          <w:bCs/>
          <w:sz w:val="24"/>
          <w:lang w:eastAsia="zh-CN"/>
        </w:rPr>
        <w:t>三、</w:t>
      </w:r>
      <w:r>
        <w:rPr>
          <w:rFonts w:hint="eastAsia"/>
          <w:b/>
          <w:snapToGrid w:val="0"/>
          <w:color w:val="000000" w:themeColor="text1"/>
          <w:spacing w:val="8"/>
          <w:sz w:val="24"/>
          <w:szCs w:val="24"/>
          <w:lang w:eastAsia="zh-CN"/>
          <w14:textFill>
            <w14:solidFill>
              <w14:schemeClr w14:val="tx1"/>
            </w14:solidFill>
          </w14:textFill>
        </w:rPr>
        <w:t>参选文件递交的起止时间：</w:t>
      </w:r>
      <w:r>
        <w:rPr>
          <w:b/>
          <w:color w:val="0000FF"/>
          <w:sz w:val="24"/>
          <w:szCs w:val="24"/>
          <w:lang w:eastAsia="zh-CN"/>
        </w:rPr>
        <w:t>202</w:t>
      </w:r>
      <w:r>
        <w:rPr>
          <w:rFonts w:hint="eastAsia"/>
          <w:b/>
          <w:color w:val="0000FF"/>
          <w:sz w:val="24"/>
          <w:szCs w:val="24"/>
          <w:lang w:eastAsia="zh-CN"/>
        </w:rPr>
        <w:t>2年6月</w:t>
      </w:r>
      <w:r>
        <w:rPr>
          <w:rFonts w:hint="eastAsia"/>
          <w:b/>
          <w:color w:val="0000FF"/>
          <w:sz w:val="24"/>
          <w:szCs w:val="24"/>
          <w:lang w:val="en-US" w:eastAsia="zh-CN"/>
        </w:rPr>
        <w:t>07</w:t>
      </w:r>
      <w:r>
        <w:rPr>
          <w:rFonts w:hint="eastAsia"/>
          <w:b/>
          <w:color w:val="0000FF"/>
          <w:sz w:val="24"/>
          <w:szCs w:val="24"/>
          <w:lang w:eastAsia="zh-CN"/>
        </w:rPr>
        <w:t>日8时30分--6月</w:t>
      </w:r>
      <w:r>
        <w:rPr>
          <w:rFonts w:hint="eastAsia"/>
          <w:b/>
          <w:color w:val="0000FF"/>
          <w:sz w:val="24"/>
          <w:szCs w:val="24"/>
          <w:lang w:val="en-US" w:eastAsia="zh-CN"/>
        </w:rPr>
        <w:t>18</w:t>
      </w:r>
      <w:r>
        <w:rPr>
          <w:rFonts w:hint="eastAsia"/>
          <w:b/>
          <w:color w:val="0000FF"/>
          <w:sz w:val="24"/>
          <w:szCs w:val="24"/>
          <w:lang w:eastAsia="zh-CN"/>
        </w:rPr>
        <w:t>日17时30分</w:t>
      </w:r>
      <w:r>
        <w:rPr>
          <w:rFonts w:hint="eastAsia"/>
          <w:b/>
          <w:snapToGrid w:val="0"/>
          <w:color w:val="0000FF"/>
          <w:spacing w:val="8"/>
          <w:sz w:val="24"/>
          <w:szCs w:val="24"/>
          <w:lang w:eastAsia="zh-CN"/>
        </w:rPr>
        <w:t>。</w:t>
      </w:r>
      <w:r>
        <w:rPr>
          <w:rFonts w:hint="eastAsia"/>
          <w:b/>
          <w:snapToGrid w:val="0"/>
          <w:color w:val="0000FF"/>
          <w:spacing w:val="8"/>
          <w:sz w:val="24"/>
          <w:szCs w:val="24"/>
          <w:u w:val="none"/>
          <w:lang w:eastAsia="zh-CN"/>
        </w:rPr>
        <w:t>（</w:t>
      </w:r>
      <w:r>
        <w:rPr>
          <w:rFonts w:hint="eastAsia"/>
          <w:b/>
          <w:snapToGrid w:val="0"/>
          <w:color w:val="0000FF"/>
          <w:spacing w:val="8"/>
          <w:sz w:val="24"/>
          <w:szCs w:val="24"/>
          <w:u w:val="none"/>
          <w:lang w:val="en-US" w:eastAsia="zh-CN"/>
        </w:rPr>
        <w:t>共12天）</w:t>
      </w:r>
    </w:p>
    <w:p>
      <w:pPr>
        <w:tabs>
          <w:tab w:val="left" w:pos="709"/>
        </w:tabs>
        <w:spacing w:line="360" w:lineRule="auto"/>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四、参选保证金：15000元</w:t>
      </w:r>
    </w:p>
    <w:p>
      <w:pPr>
        <w:tabs>
          <w:tab w:val="left" w:pos="709"/>
        </w:tabs>
        <w:spacing w:line="360" w:lineRule="auto"/>
        <w:rPr>
          <w:sz w:val="24"/>
          <w:szCs w:val="24"/>
          <w:lang w:eastAsia="zh-CN"/>
        </w:rPr>
      </w:pPr>
      <w:r>
        <w:rPr>
          <w:rFonts w:hint="eastAsia"/>
          <w:b/>
          <w:snapToGrid w:val="0"/>
          <w:color w:val="000000" w:themeColor="text1"/>
          <w:spacing w:val="8"/>
          <w:sz w:val="24"/>
          <w:szCs w:val="24"/>
          <w:lang w:eastAsia="zh-CN"/>
          <w14:textFill>
            <w14:solidFill>
              <w14:schemeClr w14:val="tx1"/>
            </w14:solidFill>
          </w14:textFill>
        </w:rPr>
        <w:t>五、</w:t>
      </w:r>
      <w:r>
        <w:rPr>
          <w:rFonts w:hint="eastAsia"/>
          <w:b/>
          <w:bCs/>
          <w:snapToGrid w:val="0"/>
          <w:color w:val="000000" w:themeColor="text1"/>
          <w:spacing w:val="8"/>
          <w:sz w:val="24"/>
          <w:szCs w:val="24"/>
          <w:lang w:eastAsia="zh-CN"/>
          <w14:textFill>
            <w14:solidFill>
              <w14:schemeClr w14:val="tx1"/>
            </w14:solidFill>
          </w14:textFill>
        </w:rPr>
        <w:t>本公开比选采用参选文件满足要求，商务报价最低者中选的评标办法。</w:t>
      </w:r>
    </w:p>
    <w:p>
      <w:pPr>
        <w:spacing w:line="360" w:lineRule="auto"/>
        <w:ind w:firstLine="496" w:firstLineChars="207"/>
        <w:rPr>
          <w:sz w:val="24"/>
          <w:szCs w:val="24"/>
          <w:lang w:eastAsia="zh-CN"/>
        </w:rPr>
      </w:pPr>
      <w:r>
        <w:rPr>
          <w:rFonts w:hint="eastAsia"/>
          <w:sz w:val="24"/>
          <w:szCs w:val="24"/>
          <w:lang w:eastAsia="zh-CN"/>
        </w:rPr>
        <w:t>联 系 人：黄梅钦  0596-6311073    huangmq@fjpec.com.cn</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15"/>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2年06月01日</w:t>
      </w:r>
    </w:p>
    <w:p>
      <w:pPr>
        <w:pStyle w:val="3"/>
        <w:tabs>
          <w:tab w:val="left" w:pos="1262"/>
        </w:tabs>
        <w:spacing w:line="355" w:lineRule="exact"/>
        <w:ind w:left="0" w:right="108"/>
        <w:jc w:val="center"/>
        <w:rPr>
          <w:lang w:eastAsia="zh-CN"/>
        </w:rPr>
        <w:sectPr>
          <w:pgSz w:w="11910" w:h="16840"/>
          <w:pgMar w:top="1500" w:right="1020" w:bottom="740" w:left="122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5"/>
        <w:spacing w:before="3"/>
        <w:rPr>
          <w:b/>
          <w:sz w:val="26"/>
          <w:lang w:eastAsia="zh-CN"/>
        </w:rPr>
      </w:pPr>
    </w:p>
    <w:p>
      <w:pPr>
        <w:spacing w:after="240"/>
        <w:ind w:firstLine="534" w:firstLineChars="200"/>
        <w:rPr>
          <w:b/>
          <w:sz w:val="28"/>
          <w:lang w:eastAsia="zh-CN"/>
        </w:rPr>
      </w:pPr>
      <w:r>
        <w:rPr>
          <w:b/>
          <w:w w:val="95"/>
          <w:sz w:val="28"/>
          <w:lang w:eastAsia="zh-CN"/>
        </w:rPr>
        <w:t>一、比选内容</w:t>
      </w:r>
    </w:p>
    <w:p>
      <w:pPr>
        <w:pStyle w:val="5"/>
        <w:spacing w:line="360" w:lineRule="auto"/>
        <w:ind w:right="121" w:firstLine="480" w:firstLineChars="200"/>
        <w:jc w:val="both"/>
        <w:rPr>
          <w:lang w:eastAsia="zh-CN"/>
        </w:rPr>
      </w:pPr>
      <w:r>
        <w:rPr>
          <w:rFonts w:hint="eastAsia"/>
          <w:lang w:eastAsia="zh-CN"/>
        </w:rPr>
        <w:t>1.项目</w:t>
      </w:r>
      <w:r>
        <w:rPr>
          <w:lang w:eastAsia="zh-CN"/>
        </w:rPr>
        <w:t>名称：</w:t>
      </w:r>
      <w:r>
        <w:rPr>
          <w:rFonts w:hint="eastAsia" w:asciiTheme="majorEastAsia" w:hAnsiTheme="majorEastAsia" w:eastAsiaTheme="majorEastAsia"/>
          <w:lang w:eastAsia="zh-CN"/>
        </w:rPr>
        <w:t>化工装置HAZOP风险辨识评估</w:t>
      </w:r>
      <w:r>
        <w:rPr>
          <w:rFonts w:hint="eastAsia"/>
          <w:lang w:eastAsia="zh-CN"/>
        </w:rPr>
        <w:t>项目</w:t>
      </w:r>
    </w:p>
    <w:p>
      <w:pPr>
        <w:pStyle w:val="5"/>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5"/>
        <w:spacing w:line="360" w:lineRule="auto"/>
        <w:ind w:right="121"/>
        <w:jc w:val="both"/>
        <w:rPr>
          <w:lang w:eastAsia="zh-CN"/>
        </w:rPr>
      </w:pPr>
      <w:r>
        <w:rPr>
          <w:rFonts w:hint="eastAsia"/>
          <w:lang w:eastAsia="zh-CN"/>
        </w:rPr>
        <w:t xml:space="preserve">    3.承包方式：固定总价包干</w:t>
      </w:r>
    </w:p>
    <w:p>
      <w:pPr>
        <w:pStyle w:val="5"/>
        <w:spacing w:line="360" w:lineRule="auto"/>
        <w:ind w:left="724" w:leftChars="220" w:right="121" w:hanging="240" w:hangingChars="100"/>
        <w:jc w:val="both"/>
        <w:rPr>
          <w:lang w:eastAsia="zh-CN"/>
        </w:rPr>
      </w:pPr>
      <w:r>
        <w:rPr>
          <w:rFonts w:hint="eastAsia"/>
          <w:lang w:eastAsia="zh-CN"/>
        </w:rPr>
        <w:t>4.项目工作范围及要求：</w:t>
      </w:r>
      <w:r>
        <w:rPr>
          <w:rFonts w:hint="eastAsia" w:asciiTheme="majorEastAsia" w:hAnsiTheme="majorEastAsia" w:eastAsiaTheme="majorEastAsia"/>
          <w:bCs/>
          <w:lang w:eastAsia="zh-CN"/>
        </w:rPr>
        <w:t>见附件“HAZOP风险辨识发包技术说明”</w:t>
      </w:r>
    </w:p>
    <w:p>
      <w:pPr>
        <w:pStyle w:val="5"/>
        <w:spacing w:line="360" w:lineRule="auto"/>
        <w:ind w:right="121" w:firstLine="480"/>
        <w:jc w:val="both"/>
        <w:rPr>
          <w:lang w:eastAsia="zh-CN"/>
        </w:rPr>
      </w:pPr>
      <w:r>
        <w:rPr>
          <w:lang w:eastAsia="zh-CN"/>
        </w:rPr>
        <w:t>5.服务期限</w:t>
      </w:r>
      <w:r>
        <w:rPr>
          <w:rFonts w:hint="eastAsia"/>
          <w:lang w:eastAsia="zh-CN"/>
        </w:rPr>
        <w:t>：合同生效后45天</w:t>
      </w:r>
    </w:p>
    <w:p>
      <w:pPr>
        <w:pStyle w:val="5"/>
        <w:spacing w:line="360" w:lineRule="auto"/>
        <w:ind w:right="121"/>
        <w:jc w:val="both"/>
        <w:rPr>
          <w:lang w:eastAsia="zh-CN"/>
        </w:rPr>
      </w:pPr>
      <w:r>
        <w:rPr>
          <w:rFonts w:hint="eastAsia"/>
          <w:lang w:eastAsia="zh-CN"/>
        </w:rPr>
        <w:t xml:space="preserve">    </w:t>
      </w:r>
      <w:r>
        <w:rPr>
          <w:lang w:eastAsia="zh-CN"/>
        </w:rPr>
        <w:t>6</w:t>
      </w:r>
      <w:r>
        <w:rPr>
          <w:rFonts w:hint="eastAsia"/>
          <w:lang w:eastAsia="zh-CN"/>
        </w:rPr>
        <w:t>.项目联系人</w:t>
      </w:r>
    </w:p>
    <w:p>
      <w:pPr>
        <w:pStyle w:val="5"/>
        <w:spacing w:line="360" w:lineRule="auto"/>
        <w:ind w:right="121" w:firstLine="465"/>
        <w:jc w:val="both"/>
        <w:rPr>
          <w:lang w:eastAsia="zh-CN"/>
        </w:rPr>
      </w:pPr>
      <w:r>
        <w:rPr>
          <w:rFonts w:hint="eastAsia"/>
          <w:lang w:eastAsia="zh-CN"/>
        </w:rPr>
        <w:t xml:space="preserve">技术联系人：郑小军 18965863606 xjzheng@fhcpec.com.cn            </w:t>
      </w:r>
    </w:p>
    <w:p>
      <w:pPr>
        <w:pStyle w:val="5"/>
        <w:spacing w:line="360" w:lineRule="auto"/>
        <w:ind w:right="121"/>
        <w:jc w:val="both"/>
        <w:rPr>
          <w:lang w:eastAsia="zh-CN"/>
        </w:rPr>
      </w:pPr>
      <w:r>
        <w:rPr>
          <w:rFonts w:hint="eastAsia"/>
          <w:lang w:eastAsia="zh-CN"/>
        </w:rPr>
        <w:t xml:space="preserve">    商务联系人：黄梅钦 0596-6311073  huangmq@fjpec.com.cn</w:t>
      </w:r>
    </w:p>
    <w:p>
      <w:pPr>
        <w:pStyle w:val="3"/>
        <w:spacing w:before="18"/>
        <w:rPr>
          <w:lang w:eastAsia="zh-CN"/>
        </w:rPr>
      </w:pPr>
      <w:r>
        <w:rPr>
          <w:w w:val="95"/>
          <w:lang w:eastAsia="zh-CN"/>
        </w:rPr>
        <w:t>二、定义和解释</w:t>
      </w:r>
    </w:p>
    <w:p>
      <w:pPr>
        <w:pStyle w:val="5"/>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5"/>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5"/>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5"/>
        <w:spacing w:before="188"/>
        <w:ind w:left="598"/>
        <w:rPr>
          <w:lang w:eastAsia="zh-CN"/>
        </w:rPr>
      </w:pPr>
      <w:r>
        <w:rPr>
          <w:lang w:eastAsia="zh-CN"/>
        </w:rPr>
        <w:t>1.比选文件包括下列内容：</w:t>
      </w:r>
    </w:p>
    <w:p>
      <w:pPr>
        <w:pStyle w:val="5"/>
        <w:spacing w:before="105"/>
        <w:ind w:left="598"/>
        <w:rPr>
          <w:lang w:eastAsia="zh-CN"/>
        </w:rPr>
      </w:pPr>
      <w:r>
        <w:rPr>
          <w:lang w:eastAsia="zh-CN"/>
        </w:rPr>
        <w:t>比选公告、比选须知、项目内容、合同书格式、报价单、承诺函等。</w:t>
      </w:r>
    </w:p>
    <w:p>
      <w:pPr>
        <w:pStyle w:val="5"/>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5"/>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5"/>
        <w:spacing w:line="360" w:lineRule="auto"/>
        <w:ind w:left="118"/>
        <w:rPr>
          <w:lang w:eastAsia="zh-CN"/>
        </w:rPr>
      </w:pPr>
      <w:r>
        <w:rPr>
          <w:lang w:eastAsia="zh-CN"/>
        </w:rPr>
        <w:t>重要事项、格式、条款和技术规范、参数及要求等）。参选人没有按照比选文件要求提交</w:t>
      </w:r>
    </w:p>
    <w:p>
      <w:pPr>
        <w:pStyle w:val="5"/>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pgNumType w:fmt="decimal"/>
          <w:cols w:space="720" w:num="1"/>
        </w:sectPr>
      </w:pPr>
    </w:p>
    <w:p>
      <w:pPr>
        <w:pStyle w:val="3"/>
        <w:spacing w:before="97"/>
        <w:ind w:left="680"/>
        <w:rPr>
          <w:lang w:eastAsia="zh-CN"/>
        </w:rPr>
      </w:pPr>
      <w:r>
        <w:rPr>
          <w:w w:val="95"/>
          <w:lang w:eastAsia="zh-CN"/>
        </w:rPr>
        <w:t>四、比选文件的澄清</w:t>
      </w:r>
    </w:p>
    <w:p>
      <w:pPr>
        <w:pStyle w:val="5"/>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5"/>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5"/>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5"/>
        <w:spacing w:before="27" w:line="360" w:lineRule="auto"/>
        <w:ind w:firstLine="480" w:firstLineChars="200"/>
        <w:rPr>
          <w:lang w:eastAsia="zh-CN"/>
        </w:rPr>
      </w:pPr>
      <w:r>
        <w:rPr>
          <w:lang w:eastAsia="zh-CN"/>
        </w:rPr>
        <w:t>3.比选文件的修改书将构成比选文件的一部分，对参选人具有约束作用。</w:t>
      </w:r>
    </w:p>
    <w:p>
      <w:pPr>
        <w:pStyle w:val="5"/>
        <w:spacing w:before="27" w:line="360" w:lineRule="auto"/>
        <w:ind w:firstLine="480" w:firstLineChars="200"/>
        <w:rPr>
          <w:lang w:eastAsia="zh-CN"/>
        </w:rPr>
      </w:pPr>
      <w:r>
        <w:rPr>
          <w:rFonts w:hint="eastAsia"/>
          <w:lang w:eastAsia="zh-CN"/>
        </w:rPr>
        <w:t>4.比选人所作的一切有效补充、修改文件，均被视为比选文件不可分割的部分。</w:t>
      </w:r>
    </w:p>
    <w:p>
      <w:pPr>
        <w:pStyle w:val="3"/>
        <w:spacing w:line="360" w:lineRule="auto"/>
        <w:rPr>
          <w:lang w:eastAsia="zh-CN"/>
        </w:rPr>
      </w:pPr>
      <w:r>
        <w:rPr>
          <w:w w:val="95"/>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1. </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844" w:leftChars="220" w:hanging="360" w:hangingChars="15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参评专家须经过专业培训且取得了相应的资质证书(提供纳税证明及履历表加盖公章证明)，在行业内具有一定的工作业绩:</w:t>
      </w:r>
    </w:p>
    <w:p>
      <w:pPr>
        <w:pStyle w:val="2"/>
        <w:spacing w:line="360" w:lineRule="auto"/>
        <w:ind w:left="801" w:leftChars="255" w:hanging="240" w:hangingChars="100"/>
        <w:rPr>
          <w:sz w:val="24"/>
          <w:szCs w:val="24"/>
        </w:rPr>
      </w:pPr>
      <w:r>
        <w:rPr>
          <w:rFonts w:hint="eastAsia"/>
          <w:sz w:val="24"/>
          <w:szCs w:val="24"/>
        </w:rPr>
        <w:t>1） HAZOP风险辨识小组主席为专职，需接受过正规的HAZOP培训且持有相关HAZOP培训合格证书，主持分析过大型炼油化工装置项目3家以上（需提供合同复印件证明）；</w:t>
      </w:r>
    </w:p>
    <w:p>
      <w:pPr>
        <w:pStyle w:val="2"/>
        <w:spacing w:line="360" w:lineRule="auto"/>
        <w:ind w:left="801" w:leftChars="255" w:hanging="240" w:hangingChars="100"/>
        <w:rPr>
          <w:sz w:val="24"/>
          <w:szCs w:val="24"/>
        </w:rPr>
      </w:pPr>
      <w:r>
        <w:rPr>
          <w:rFonts w:hint="eastAsia"/>
          <w:sz w:val="24"/>
          <w:szCs w:val="24"/>
        </w:rPr>
        <w:t>2）HAZOP风险辨识小组秘书须在大型炼油化工企业相关专业工作5年以上，具有3个大型炼油化工装置HAZOP分析计量经验（提供HAZOP报告的签字页原件）；</w:t>
      </w:r>
    </w:p>
    <w:p>
      <w:pPr>
        <w:pStyle w:val="2"/>
        <w:spacing w:line="360" w:lineRule="auto"/>
        <w:ind w:left="801" w:leftChars="255" w:hanging="240" w:hangingChars="100"/>
        <w:rPr>
          <w:sz w:val="24"/>
          <w:szCs w:val="24"/>
        </w:rPr>
      </w:pPr>
      <w:r>
        <w:rPr>
          <w:rFonts w:hint="eastAsia"/>
          <w:sz w:val="24"/>
          <w:szCs w:val="24"/>
        </w:rPr>
        <w:t>3）HAZOP专业工程师必须在大型炼油化工企业从事本专业工作10年以上（提供履历表及相关证明）；</w:t>
      </w:r>
    </w:p>
    <w:p>
      <w:pPr>
        <w:widowControl/>
        <w:autoSpaceDE/>
        <w:autoSpaceDN/>
        <w:spacing w:line="360" w:lineRule="auto"/>
        <w:ind w:firstLine="600" w:firstLineChars="25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4. </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600" w:firstLineChars="25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 xml:space="preserve"> 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600" w:firstLineChars="25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w:t>
      </w:r>
      <w:r>
        <w:rPr>
          <w:rFonts w:asciiTheme="majorEastAsia" w:hAnsiTheme="majorEastAsia" w:eastAsiaTheme="majorEastAsia"/>
          <w:sz w:val="24"/>
          <w:szCs w:val="24"/>
          <w:lang w:eastAsia="zh-CN"/>
        </w:rPr>
        <w:t xml:space="preserve">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lang w:eastAsia="zh-CN"/>
        </w:rPr>
      </w:pPr>
      <w:r>
        <w:rPr>
          <w:w w:val="95"/>
          <w:lang w:eastAsia="zh-CN"/>
        </w:rPr>
        <w:t>七、参选保证金</w:t>
      </w:r>
    </w:p>
    <w:p>
      <w:pPr>
        <w:pStyle w:val="5"/>
        <w:spacing w:line="360" w:lineRule="auto"/>
        <w:ind w:left="720" w:leftChars="218" w:right="121" w:hanging="240" w:hangingChars="100"/>
        <w:jc w:val="both"/>
        <w:rPr>
          <w:lang w:eastAsia="zh-CN"/>
        </w:rPr>
      </w:pPr>
      <w:r>
        <w:rPr>
          <w:rFonts w:hint="eastAsia"/>
          <w:lang w:eastAsia="zh-CN"/>
        </w:rPr>
        <w:t>1.参选单位应缴纳参选保证金，保证金金额15</w:t>
      </w:r>
      <w:r>
        <w:rPr>
          <w:lang w:eastAsia="zh-CN"/>
        </w:rPr>
        <w:t>00</w:t>
      </w:r>
      <w:r>
        <w:rPr>
          <w:rFonts w:hint="eastAsia"/>
          <w:lang w:eastAsia="zh-CN"/>
        </w:rPr>
        <w:t>0元整，参选单位应按照要求从参选单位基本账户转入比选单位的账户，比选单位账户信息如下：</w:t>
      </w:r>
    </w:p>
    <w:p>
      <w:pPr>
        <w:pStyle w:val="5"/>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开户名称：福建福海创石油化工有限公司</w:t>
      </w:r>
    </w:p>
    <w:p>
      <w:pPr>
        <w:pStyle w:val="5"/>
        <w:spacing w:line="360" w:lineRule="auto"/>
        <w:ind w:right="121" w:firstLine="480"/>
        <w:jc w:val="both"/>
        <w:rPr>
          <w:lang w:eastAsia="zh-CN"/>
        </w:rPr>
      </w:pPr>
      <w:r>
        <w:rPr>
          <w:rFonts w:hint="eastAsia"/>
          <w:lang w:eastAsia="zh-CN"/>
        </w:rPr>
        <w:t>开户银行：中国银行股份有限公司漳州古雷经济开发区支行</w:t>
      </w:r>
    </w:p>
    <w:p>
      <w:pPr>
        <w:pStyle w:val="5"/>
        <w:spacing w:line="360" w:lineRule="auto"/>
        <w:ind w:right="121" w:firstLine="480"/>
        <w:jc w:val="both"/>
        <w:rPr>
          <w:lang w:eastAsia="zh-CN"/>
        </w:rPr>
      </w:pPr>
      <w:r>
        <w:rPr>
          <w:rFonts w:hint="eastAsia"/>
          <w:lang w:eastAsia="zh-CN"/>
        </w:rPr>
        <w:t>帐  号：406574816628</w:t>
      </w:r>
    </w:p>
    <w:p>
      <w:pPr>
        <w:pStyle w:val="5"/>
        <w:spacing w:line="360" w:lineRule="auto"/>
        <w:ind w:right="121"/>
        <w:jc w:val="both"/>
        <w:rPr>
          <w:lang w:eastAsia="zh-CN"/>
        </w:rPr>
      </w:pPr>
      <w:r>
        <w:rPr>
          <w:rFonts w:hint="eastAsia"/>
          <w:lang w:eastAsia="zh-CN"/>
        </w:rPr>
        <w:t xml:space="preserve">    注明用途：</w:t>
      </w:r>
      <w:r>
        <w:rPr>
          <w:rFonts w:hint="eastAsia" w:asciiTheme="majorEastAsia" w:hAnsiTheme="majorEastAsia" w:eastAsiaTheme="majorEastAsia"/>
          <w:lang w:eastAsia="zh-CN"/>
        </w:rPr>
        <w:t>化工装置HAZOP风险辨识评估</w:t>
      </w:r>
      <w:r>
        <w:rPr>
          <w:rFonts w:hint="eastAsia"/>
          <w:lang w:eastAsia="zh-CN"/>
        </w:rPr>
        <w:t>项目参选</w:t>
      </w:r>
      <w:r>
        <w:rPr>
          <w:lang w:eastAsia="zh-CN"/>
        </w:rPr>
        <w:t>保证金</w:t>
      </w:r>
    </w:p>
    <w:p>
      <w:pPr>
        <w:pStyle w:val="5"/>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5"/>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5"/>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5"/>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5"/>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4.中选者的参选保证金（无息），将在合同签订后自动转为履约保证金，将于合同周期完成后1</w:t>
      </w:r>
      <w:r>
        <w:rPr>
          <w:lang w:eastAsia="zh-CN"/>
        </w:rPr>
        <w:t>5</w:t>
      </w:r>
      <w:r>
        <w:rPr>
          <w:rFonts w:hint="eastAsia"/>
          <w:lang w:eastAsia="zh-CN"/>
        </w:rPr>
        <w:t>个工作日内，甲方无息退还履约保证金；</w:t>
      </w:r>
    </w:p>
    <w:p>
      <w:pPr>
        <w:pStyle w:val="5"/>
        <w:spacing w:line="360" w:lineRule="auto"/>
        <w:ind w:right="121"/>
        <w:jc w:val="both"/>
        <w:rPr>
          <w:lang w:eastAsia="zh-CN"/>
        </w:rPr>
      </w:pPr>
      <w:r>
        <w:rPr>
          <w:rFonts w:hint="eastAsia"/>
          <w:lang w:eastAsia="zh-CN"/>
        </w:rPr>
        <w:t xml:space="preserve">    5.如有下列情况发生，将被没收参选保证金：</w:t>
      </w:r>
    </w:p>
    <w:p>
      <w:pPr>
        <w:pStyle w:val="5"/>
        <w:spacing w:line="360" w:lineRule="auto"/>
        <w:ind w:right="121"/>
        <w:jc w:val="both"/>
        <w:rPr>
          <w:lang w:eastAsia="zh-CN"/>
        </w:rPr>
      </w:pPr>
      <w:r>
        <w:rPr>
          <w:rFonts w:hint="eastAsia"/>
          <w:lang w:eastAsia="zh-CN"/>
        </w:rPr>
        <w:t xml:space="preserve">   （1）参选单位在参选有效期内撤回参选文件；</w:t>
      </w:r>
    </w:p>
    <w:p>
      <w:pPr>
        <w:pStyle w:val="3"/>
        <w:spacing w:line="360" w:lineRule="auto"/>
        <w:ind w:left="0" w:firstLine="360" w:firstLineChars="150"/>
        <w:rPr>
          <w:b w:val="0"/>
          <w:sz w:val="24"/>
          <w:szCs w:val="24"/>
          <w:lang w:eastAsia="zh-CN"/>
        </w:rPr>
      </w:pPr>
      <w:r>
        <w:rPr>
          <w:rFonts w:hint="eastAsia"/>
          <w:b w:val="0"/>
          <w:sz w:val="24"/>
          <w:szCs w:val="24"/>
          <w:lang w:eastAsia="zh-CN"/>
        </w:rPr>
        <w:t>（2）参选单位未能按接到中标通知书后规定的时间内签定合同。</w:t>
      </w:r>
    </w:p>
    <w:p>
      <w:pPr>
        <w:pStyle w:val="3"/>
        <w:spacing w:line="360" w:lineRule="auto"/>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2022年06月    日17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119" w:leftChars="54" w:right="106" w:firstLine="834" w:firstLineChars="346"/>
        <w:rPr>
          <w:spacing w:val="-6"/>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spacing w:val="-56"/>
          <w:lang w:eastAsia="zh-CN"/>
        </w:rPr>
        <w:t>：</w:t>
      </w:r>
      <w:r>
        <w:rPr>
          <w:rFonts w:hint="eastAsia"/>
          <w:spacing w:val="-56"/>
          <w:lang w:eastAsia="zh-CN"/>
        </w:rPr>
        <w:t>黄梅钦</w:t>
      </w:r>
      <w:r>
        <w:rPr>
          <w:rFonts w:hint="eastAsia"/>
          <w:lang w:eastAsia="zh-CN"/>
        </w:rPr>
        <w:t xml:space="preserve">    </w:t>
      </w:r>
      <w:r>
        <w:rPr>
          <w:spacing w:val="-6"/>
          <w:lang w:eastAsia="zh-CN"/>
        </w:rPr>
        <w:t xml:space="preserve"> </w:t>
      </w:r>
    </w:p>
    <w:p>
      <w:pPr>
        <w:pStyle w:val="4"/>
        <w:tabs>
          <w:tab w:val="left" w:pos="6879"/>
        </w:tabs>
        <w:spacing w:line="360" w:lineRule="auto"/>
        <w:ind w:left="119" w:leftChars="54" w:right="106" w:firstLine="834" w:firstLineChars="346"/>
        <w:rPr>
          <w:lang w:eastAsia="zh-CN"/>
        </w:rPr>
      </w:pPr>
      <w:r>
        <w:rPr>
          <w:lang w:eastAsia="zh-CN"/>
        </w:rPr>
        <w:t>联系电话</w:t>
      </w:r>
      <w:r>
        <w:rPr>
          <w:spacing w:val="-4"/>
          <w:lang w:eastAsia="zh-CN"/>
        </w:rPr>
        <w:t>：</w:t>
      </w:r>
      <w:r>
        <w:rPr>
          <w:rFonts w:hint="eastAsia"/>
          <w:spacing w:val="-4"/>
          <w:lang w:eastAsia="zh-CN"/>
        </w:rPr>
        <w:t xml:space="preserve">0596-6311073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5"/>
        <w:spacing w:line="360" w:lineRule="auto"/>
        <w:ind w:firstLine="480" w:firstLineChars="200"/>
        <w:rPr>
          <w:lang w:eastAsia="zh-CN"/>
        </w:rPr>
      </w:pPr>
      <w:r>
        <w:rPr>
          <w:lang w:eastAsia="zh-CN"/>
        </w:rPr>
        <w:t>3.只允许参选人有一个参选方案，否则将被视为无效参选。</w:t>
      </w:r>
    </w:p>
    <w:p>
      <w:pPr>
        <w:pStyle w:val="5"/>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5"/>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5"/>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7"/>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75</w:t>
      </w:r>
      <w:r>
        <w:rPr>
          <w:rFonts w:hint="eastAsia"/>
          <w:b/>
          <w:bCs/>
          <w:sz w:val="24"/>
          <w:szCs w:val="24"/>
          <w:lang w:eastAsia="zh-CN"/>
        </w:rPr>
        <w:t>万元</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pgNumType w:fmt="decimal"/>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5"/>
        <w:spacing w:before="3" w:line="360" w:lineRule="auto"/>
        <w:rPr>
          <w:lang w:eastAsia="zh-CN"/>
        </w:rPr>
      </w:pPr>
    </w:p>
    <w:p>
      <w:pPr>
        <w:pStyle w:val="5"/>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5"/>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5"/>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5"/>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5"/>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5"/>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5"/>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5"/>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5"/>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5"/>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5"/>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5"/>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5"/>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6"/>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5"/>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5"/>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430488651"/>
      <w:bookmarkStart w:id="2" w:name="_Toc304357904"/>
      <w:bookmarkStart w:id="3" w:name="_Toc430492133"/>
      <w:bookmarkStart w:id="4" w:name="_Toc177186249"/>
      <w:bookmarkStart w:id="5" w:name="_Toc415567504"/>
      <w:bookmarkStart w:id="6" w:name="_Toc430489126"/>
      <w:bookmarkStart w:id="7" w:name="_Toc430488858"/>
      <w:bookmarkStart w:id="8" w:name="_Toc430422420"/>
    </w:p>
    <w:p>
      <w:pPr>
        <w:pStyle w:val="5"/>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5"/>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5"/>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5"/>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pgNumType w:fmt="decimal"/>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5"/>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5"/>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5"/>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5"/>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5"/>
        <w:spacing w:line="360" w:lineRule="auto"/>
        <w:ind w:right="121" w:firstLine="480" w:firstLineChars="200"/>
        <w:jc w:val="both"/>
        <w:rPr>
          <w:lang w:eastAsia="zh-CN"/>
        </w:rPr>
      </w:pPr>
      <w:r>
        <w:rPr>
          <w:rFonts w:hint="eastAsia"/>
          <w:lang w:eastAsia="zh-CN"/>
        </w:rPr>
        <w:t>本项目设置最高控制价</w:t>
      </w:r>
      <w:r>
        <w:rPr>
          <w:rFonts w:hint="eastAsia"/>
          <w:b/>
          <w:bCs/>
          <w:lang w:eastAsia="zh-CN"/>
        </w:rPr>
        <w:t>75</w:t>
      </w:r>
      <w:r>
        <w:rPr>
          <w:rFonts w:hint="eastAsia"/>
          <w:b/>
          <w:lang w:eastAsia="zh-CN"/>
        </w:rPr>
        <w:t>万元整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 xml:space="preserve">  。</w:t>
      </w:r>
    </w:p>
    <w:p>
      <w:pPr>
        <w:pStyle w:val="5"/>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进行商务报价的评选，商务报价未税最低者中选。</w:t>
      </w:r>
    </w:p>
    <w:p>
      <w:pPr>
        <w:pStyle w:val="5"/>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w:t>
      </w:r>
    </w:p>
    <w:p>
      <w:pPr>
        <w:pStyle w:val="5"/>
        <w:spacing w:line="360" w:lineRule="auto"/>
        <w:ind w:right="121" w:firstLine="480" w:firstLineChars="200"/>
        <w:jc w:val="both"/>
        <w:rPr>
          <w:lang w:eastAsia="zh-CN"/>
        </w:rPr>
      </w:pPr>
      <w:r>
        <w:rPr>
          <w:rFonts w:hint="eastAsia"/>
          <w:lang w:eastAsia="zh-CN"/>
        </w:rPr>
        <w:t>资格符合业主要求方可进行商务报价评选。</w:t>
      </w:r>
    </w:p>
    <w:p>
      <w:pPr>
        <w:pStyle w:val="5"/>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w:t>
      </w:r>
    </w:p>
    <w:p>
      <w:pPr>
        <w:pStyle w:val="5"/>
        <w:spacing w:line="360" w:lineRule="auto"/>
        <w:ind w:right="121" w:firstLine="480" w:firstLineChars="200"/>
        <w:jc w:val="both"/>
        <w:rPr>
          <w:lang w:eastAsia="zh-CN"/>
        </w:rPr>
      </w:pPr>
      <w:r>
        <w:rPr>
          <w:rFonts w:hint="eastAsia"/>
          <w:lang w:eastAsia="zh-CN"/>
        </w:rPr>
        <w:t>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5"/>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5"/>
        <w:spacing w:line="360" w:lineRule="auto"/>
        <w:ind w:right="121" w:firstLine="480" w:firstLineChars="200"/>
        <w:jc w:val="both"/>
        <w:rPr>
          <w:lang w:eastAsia="zh-CN"/>
        </w:rPr>
      </w:pPr>
      <w:r>
        <w:rPr>
          <w:lang w:eastAsia="zh-CN"/>
        </w:rPr>
        <w:t>2.参选文件存在重大偏差的。</w:t>
      </w:r>
    </w:p>
    <w:p>
      <w:pPr>
        <w:pStyle w:val="5"/>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5"/>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5"/>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lang w:eastAsia="zh-CN"/>
        </w:rPr>
      </w:pPr>
      <w:r>
        <w:rPr>
          <w:lang w:eastAsia="zh-CN"/>
        </w:rPr>
        <w:t>2.在开选时没有启封和读出的参选文件，在评选时将不予考虑。</w:t>
      </w:r>
    </w:p>
    <w:p>
      <w:pPr>
        <w:pStyle w:val="5"/>
        <w:spacing w:line="360" w:lineRule="auto"/>
        <w:ind w:right="121" w:firstLine="480" w:firstLineChars="200"/>
        <w:jc w:val="both"/>
        <w:rPr>
          <w:lang w:eastAsia="zh-CN"/>
        </w:rPr>
      </w:pPr>
      <w:r>
        <w:rPr>
          <w:lang w:eastAsia="zh-CN"/>
        </w:rPr>
        <w:t>3.比选人将做开选记录。</w:t>
      </w:r>
    </w:p>
    <w:p>
      <w:pPr>
        <w:pStyle w:val="5"/>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5"/>
        <w:spacing w:before="12"/>
        <w:rPr>
          <w:b/>
          <w:sz w:val="33"/>
          <w:lang w:eastAsia="zh-CN"/>
        </w:rPr>
      </w:pPr>
    </w:p>
    <w:p>
      <w:pPr>
        <w:pStyle w:val="5"/>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5"/>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5"/>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5"/>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5"/>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11"/>
          <w:rFonts w:hint="eastAsia"/>
          <w:sz w:val="24"/>
          <w:szCs w:val="24"/>
        </w:rPr>
        <w:t>福建福海创石油化工有限公司的权属子公司“腾龙芳烃（漳州）有限公司”和“翔鹭石化（漳州）有限公司”作为合同执行主体，将于中选通知书发出之日起20个工作日内与中选人完成合同签订事宜。</w:t>
      </w:r>
    </w:p>
    <w:p>
      <w:pPr>
        <w:pStyle w:val="2"/>
        <w:sectPr>
          <w:footerReference r:id="rId5" w:type="default"/>
          <w:pgSz w:w="11910" w:h="16840"/>
          <w:pgMar w:top="1500" w:right="1020" w:bottom="740" w:left="1300" w:header="0" w:footer="551" w:gutter="0"/>
          <w:pgNumType w:fmt="decimal"/>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5"/>
        <w:spacing w:before="12"/>
        <w:rPr>
          <w:b/>
          <w:sz w:val="33"/>
          <w:lang w:eastAsia="zh-CN"/>
        </w:rPr>
      </w:pPr>
    </w:p>
    <w:p>
      <w:pPr>
        <w:pStyle w:val="5"/>
        <w:spacing w:line="360" w:lineRule="auto"/>
        <w:ind w:right="108" w:firstLine="480" w:firstLineChars="20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5"/>
        <w:spacing w:before="26" w:line="360" w:lineRule="auto"/>
        <w:ind w:right="108" w:firstLine="480" w:firstLineChars="200"/>
        <w:jc w:val="both"/>
        <w:rPr>
          <w:lang w:eastAsia="zh-CN"/>
        </w:rPr>
      </w:pPr>
      <w:r>
        <w:rPr>
          <w:lang w:eastAsia="zh-CN"/>
        </w:rPr>
        <w:t>2.</w:t>
      </w:r>
      <w:r>
        <w:rPr>
          <w:spacing w:val="-2"/>
          <w:lang w:eastAsia="zh-CN"/>
        </w:rPr>
        <w:t>中选单位必须严格执行</w:t>
      </w:r>
      <w:r>
        <w:rPr>
          <w:rFonts w:hint="eastAsia"/>
          <w:spacing w:val="-2"/>
          <w:u w:val="single"/>
          <w:lang w:eastAsia="zh-CN"/>
        </w:rPr>
        <w:t xml:space="preserve"> </w:t>
      </w:r>
      <w:r>
        <w:rPr>
          <w:rFonts w:hint="eastAsia" w:asciiTheme="majorEastAsia" w:hAnsiTheme="majorEastAsia" w:eastAsiaTheme="majorEastAsia"/>
          <w:u w:val="single"/>
          <w:lang w:eastAsia="zh-CN"/>
        </w:rPr>
        <w:t>化工装置HAZOP风险辨识评估</w:t>
      </w:r>
      <w:r>
        <w:rPr>
          <w:rFonts w:hint="eastAsia"/>
          <w:u w:val="single"/>
          <w:lang w:eastAsia="zh-CN"/>
        </w:rPr>
        <w:t xml:space="preserve">项目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5"/>
        <w:spacing w:before="26" w:line="360" w:lineRule="auto"/>
        <w:ind w:right="108"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spacing w:line="321" w:lineRule="auto"/>
        <w:jc w:val="both"/>
        <w:rPr>
          <w:lang w:eastAsia="zh-CN"/>
        </w:rPr>
        <w:sectPr>
          <w:pgSz w:w="11910" w:h="16840"/>
          <w:pgMar w:top="1500" w:right="1140" w:bottom="740" w:left="1300" w:header="0" w:footer="551" w:gutter="0"/>
          <w:pgNumType w:fmt="decimal"/>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5"/>
        <w:spacing w:line="360" w:lineRule="auto"/>
        <w:ind w:left="567"/>
        <w:rPr>
          <w:lang w:eastAsia="zh-CN"/>
        </w:rPr>
      </w:pPr>
    </w:p>
    <w:p>
      <w:pPr>
        <w:pStyle w:val="5"/>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5"/>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5"/>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5"/>
        <w:spacing w:before="106" w:line="360" w:lineRule="auto"/>
        <w:ind w:left="567"/>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w:t>
      </w:r>
    </w:p>
    <w:p>
      <w:pPr>
        <w:jc w:val="center"/>
        <w:rPr>
          <w:rFonts w:asciiTheme="majorEastAsia" w:hAnsiTheme="majorEastAsia" w:eastAsiaTheme="majorEastAsia"/>
          <w:b/>
          <w:sz w:val="36"/>
          <w:szCs w:val="36"/>
          <w:lang w:eastAsia="zh-CN"/>
        </w:rPr>
      </w:pPr>
    </w:p>
    <w:p>
      <w:pPr>
        <w:jc w:val="center"/>
        <w:rPr>
          <w:b/>
          <w:sz w:val="36"/>
          <w:szCs w:val="36"/>
          <w:lang w:eastAsia="zh-CN"/>
        </w:rPr>
      </w:pPr>
      <w:r>
        <w:rPr>
          <w:rFonts w:hint="eastAsia" w:asciiTheme="majorEastAsia" w:hAnsiTheme="majorEastAsia" w:eastAsiaTheme="majorEastAsia"/>
          <w:b/>
          <w:sz w:val="36"/>
          <w:szCs w:val="36"/>
          <w:lang w:eastAsia="zh-CN"/>
        </w:rPr>
        <w:t>化工装置HAZOP风险辨识评估</w:t>
      </w:r>
      <w:r>
        <w:rPr>
          <w:rFonts w:hint="eastAsia"/>
          <w:b/>
          <w:sz w:val="36"/>
          <w:szCs w:val="36"/>
          <w:lang w:eastAsia="zh-CN"/>
        </w:rPr>
        <w:t>项目</w:t>
      </w:r>
    </w:p>
    <w:p>
      <w:pPr>
        <w:jc w:val="center"/>
        <w:rPr>
          <w:b/>
          <w:sz w:val="36"/>
          <w:szCs w:val="36"/>
          <w:lang w:eastAsia="zh-CN"/>
        </w:rPr>
      </w:pPr>
      <w:r>
        <w:rPr>
          <w:rFonts w:hint="eastAsia"/>
          <w:b/>
          <w:sz w:val="36"/>
          <w:szCs w:val="36"/>
          <w:lang w:eastAsia="zh-CN"/>
        </w:rPr>
        <w:t>技术服务合同</w:t>
      </w:r>
    </w:p>
    <w:p>
      <w:pPr>
        <w:spacing w:line="800" w:lineRule="exact"/>
        <w:jc w:val="center"/>
        <w:rPr>
          <w:sz w:val="28"/>
          <w:szCs w:val="28"/>
          <w:lang w:eastAsia="zh-CN"/>
        </w:rPr>
      </w:pPr>
      <w:r>
        <w:rPr>
          <w:rFonts w:hint="eastAsia"/>
          <w:sz w:val="28"/>
          <w:szCs w:val="28"/>
          <w:lang w:eastAsia="zh-CN"/>
        </w:rPr>
        <w:t>合同编号：</w:t>
      </w:r>
    </w:p>
    <w:p>
      <w:pPr>
        <w:spacing w:line="800" w:lineRule="exact"/>
        <w:ind w:left="1918" w:leftChars="172" w:hanging="1540" w:hangingChars="550"/>
        <w:rPr>
          <w:sz w:val="28"/>
          <w:szCs w:val="28"/>
          <w:lang w:eastAsia="zh-CN"/>
        </w:rPr>
      </w:pPr>
    </w:p>
    <w:p>
      <w:pPr>
        <w:pStyle w:val="2"/>
        <w:rPr>
          <w:sz w:val="28"/>
          <w:szCs w:val="28"/>
        </w:rPr>
      </w:pPr>
    </w:p>
    <w:p>
      <w:pPr>
        <w:pStyle w:val="2"/>
        <w:rPr>
          <w:sz w:val="28"/>
          <w:szCs w:val="28"/>
        </w:rPr>
      </w:pPr>
    </w:p>
    <w:p>
      <w:pPr>
        <w:pStyle w:val="2"/>
        <w:rPr>
          <w:sz w:val="28"/>
          <w:szCs w:val="28"/>
        </w:rPr>
      </w:pPr>
    </w:p>
    <w:p>
      <w:pPr>
        <w:spacing w:line="800" w:lineRule="exact"/>
        <w:ind w:firstLine="280" w:firstLineChars="100"/>
        <w:rPr>
          <w:sz w:val="28"/>
          <w:szCs w:val="28"/>
          <w:u w:val="single"/>
          <w:lang w:eastAsia="zh-CN"/>
        </w:rPr>
      </w:pPr>
      <w:r>
        <w:rPr>
          <w:rFonts w:hint="eastAsia"/>
          <w:sz w:val="28"/>
          <w:szCs w:val="28"/>
          <w:lang w:eastAsia="zh-CN"/>
        </w:rPr>
        <w:t>项目名称：</w:t>
      </w:r>
      <w:r>
        <w:rPr>
          <w:rFonts w:hint="eastAsia" w:asciiTheme="majorEastAsia" w:hAnsiTheme="majorEastAsia" w:eastAsiaTheme="majorEastAsia"/>
          <w:sz w:val="28"/>
          <w:szCs w:val="28"/>
          <w:u w:val="single"/>
          <w:lang w:eastAsia="zh-CN"/>
        </w:rPr>
        <w:t>化工装置HAZOP风险辨识评估</w:t>
      </w:r>
      <w:r>
        <w:rPr>
          <w:rFonts w:hint="eastAsia"/>
          <w:sz w:val="28"/>
          <w:szCs w:val="28"/>
          <w:u w:val="single"/>
          <w:lang w:eastAsia="zh-CN"/>
        </w:rPr>
        <w:t>项目</w:t>
      </w:r>
    </w:p>
    <w:p>
      <w:pPr>
        <w:pStyle w:val="2"/>
      </w:pPr>
    </w:p>
    <w:p>
      <w:pPr>
        <w:spacing w:line="800" w:lineRule="exact"/>
        <w:ind w:firstLine="280" w:firstLineChars="100"/>
        <w:rPr>
          <w:color w:val="000000"/>
          <w:sz w:val="28"/>
          <w:szCs w:val="28"/>
          <w:u w:val="single"/>
          <w:lang w:eastAsia="zh-CN"/>
        </w:rPr>
      </w:pPr>
      <w:r>
        <w:rPr>
          <w:rFonts w:hint="eastAsia"/>
          <w:sz w:val="28"/>
          <w:szCs w:val="28"/>
          <w:lang w:eastAsia="zh-CN"/>
        </w:rPr>
        <w:t>委托方（甲方）：</w:t>
      </w:r>
      <w:r>
        <w:rPr>
          <w:rFonts w:hint="eastAsia"/>
          <w:color w:val="000000"/>
          <w:sz w:val="28"/>
          <w:szCs w:val="28"/>
          <w:u w:val="single"/>
          <w:lang w:eastAsia="zh-CN"/>
        </w:rPr>
        <w:t>腾龙芳烃（漳州）有限公司</w:t>
      </w:r>
    </w:p>
    <w:p>
      <w:pPr>
        <w:spacing w:line="800" w:lineRule="exact"/>
        <w:ind w:firstLine="2520" w:firstLineChars="900"/>
        <w:rPr>
          <w:sz w:val="28"/>
          <w:szCs w:val="28"/>
          <w:u w:val="single"/>
          <w:lang w:eastAsia="zh-CN"/>
        </w:rPr>
      </w:pPr>
      <w:r>
        <w:rPr>
          <w:rFonts w:hint="eastAsia"/>
          <w:color w:val="000000"/>
          <w:sz w:val="28"/>
          <w:szCs w:val="28"/>
          <w:u w:val="single"/>
          <w:lang w:eastAsia="zh-CN"/>
        </w:rPr>
        <w:t>翔鹭石化（漳州）有限公司</w:t>
      </w:r>
    </w:p>
    <w:p>
      <w:pPr>
        <w:spacing w:line="800" w:lineRule="exact"/>
        <w:ind w:firstLine="280" w:firstLineChars="100"/>
        <w:rPr>
          <w:sz w:val="28"/>
          <w:szCs w:val="28"/>
          <w:lang w:eastAsia="zh-CN"/>
        </w:rPr>
      </w:pP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lang w:eastAsia="zh-CN"/>
        </w:rPr>
      </w:pP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eastAsia="zh-CN"/>
        </w:rPr>
        <w:t xml:space="preserve">    年    月    日</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1331" w:header="851" w:footer="992" w:gutter="0"/>
          <w:pgNumType w:fmt="decimal"/>
          <w:cols w:space="425" w:num="1"/>
          <w:docGrid w:type="lines" w:linePitch="312" w:charSpace="0"/>
        </w:sectPr>
      </w:pPr>
    </w:p>
    <w:p>
      <w:pPr>
        <w:jc w:val="center"/>
        <w:rPr>
          <w:sz w:val="44"/>
          <w:szCs w:val="44"/>
          <w:lang w:eastAsia="zh-CN"/>
        </w:rPr>
      </w:pPr>
      <w:r>
        <w:rPr>
          <w:rFonts w:hint="eastAsia"/>
          <w:sz w:val="44"/>
          <w:szCs w:val="44"/>
          <w:lang w:eastAsia="zh-CN"/>
        </w:rPr>
        <w:t>技术服务合同</w:t>
      </w:r>
    </w:p>
    <w:p>
      <w:pPr>
        <w:rPr>
          <w:sz w:val="48"/>
          <w:szCs w:val="48"/>
          <w:lang w:eastAsia="zh-CN"/>
        </w:rPr>
      </w:pPr>
    </w:p>
    <w:p>
      <w:pPr>
        <w:spacing w:line="520" w:lineRule="exact"/>
        <w:ind w:firstLine="280" w:firstLineChars="100"/>
        <w:rPr>
          <w:sz w:val="28"/>
          <w:szCs w:val="28"/>
          <w:lang w:eastAsia="zh-CN"/>
        </w:rPr>
      </w:pPr>
      <w:r>
        <w:rPr>
          <w:rFonts w:hint="eastAsia"/>
          <w:sz w:val="28"/>
          <w:szCs w:val="28"/>
          <w:lang w:eastAsia="zh-CN"/>
        </w:rPr>
        <w:t>委托方1（甲方）：</w:t>
      </w:r>
      <w:r>
        <w:rPr>
          <w:rFonts w:hint="eastAsia"/>
          <w:sz w:val="28"/>
          <w:szCs w:val="28"/>
          <w:u w:val="single"/>
          <w:lang w:eastAsia="zh-CN"/>
        </w:rPr>
        <w:t xml:space="preserve"> </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郑小军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0596-6311498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18965863606</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xjzheng@fhcpec.com.cn</w:t>
      </w:r>
      <w:r>
        <w:rPr>
          <w:sz w:val="28"/>
          <w:szCs w:val="28"/>
          <w:u w:val="single"/>
          <w:lang w:eastAsia="zh-CN"/>
        </w:rPr>
        <w:t> </w:t>
      </w:r>
      <w:r>
        <w:rPr>
          <w:rFonts w:hint="eastAsia"/>
          <w:sz w:val="28"/>
          <w:szCs w:val="28"/>
          <w:u w:val="single"/>
          <w:lang w:eastAsia="zh-CN"/>
        </w:rPr>
        <w:t xml:space="preserve"> </w:t>
      </w:r>
    </w:p>
    <w:p>
      <w:pPr>
        <w:pStyle w:val="2"/>
        <w:rPr>
          <w:sz w:val="28"/>
          <w:szCs w:val="28"/>
          <w:u w:val="single"/>
        </w:rPr>
      </w:pPr>
    </w:p>
    <w:p>
      <w:pPr>
        <w:pStyle w:val="2"/>
        <w:rPr>
          <w:sz w:val="28"/>
          <w:szCs w:val="28"/>
          <w:u w:val="single"/>
        </w:rPr>
      </w:pPr>
    </w:p>
    <w:p>
      <w:pPr>
        <w:spacing w:line="520" w:lineRule="exact"/>
        <w:ind w:firstLine="280" w:firstLineChars="100"/>
        <w:rPr>
          <w:sz w:val="28"/>
          <w:szCs w:val="28"/>
          <w:lang w:eastAsia="zh-CN"/>
        </w:rPr>
      </w:pPr>
      <w:r>
        <w:rPr>
          <w:rFonts w:hint="eastAsia"/>
          <w:sz w:val="28"/>
          <w:szCs w:val="28"/>
          <w:lang w:eastAsia="zh-CN"/>
        </w:rPr>
        <w:t>委托方2（甲方）：</w:t>
      </w:r>
      <w:r>
        <w:rPr>
          <w:rFonts w:hint="eastAsia"/>
          <w:sz w:val="28"/>
          <w:szCs w:val="28"/>
          <w:u w:val="single"/>
          <w:lang w:eastAsia="zh-CN"/>
        </w:rPr>
        <w:t xml:space="preserve"> 翔鹭石化</w:t>
      </w:r>
      <w:r>
        <w:rPr>
          <w:rFonts w:hint="eastAsia"/>
          <w:color w:val="000000"/>
          <w:sz w:val="28"/>
          <w:szCs w:val="28"/>
          <w:u w:val="single"/>
          <w:lang w:eastAsia="zh-CN"/>
        </w:rPr>
        <w:t>（漳州）有限公司</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86</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郑小军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0596-6311498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86</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18965863606</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xjzheng@fhcpec.com.cn</w:t>
      </w:r>
      <w:r>
        <w:rPr>
          <w:sz w:val="28"/>
          <w:szCs w:val="28"/>
          <w:u w:val="single"/>
          <w:lang w:eastAsia="zh-CN"/>
        </w:rPr>
        <w:t> </w:t>
      </w:r>
      <w:r>
        <w:rPr>
          <w:rFonts w:hint="eastAsia"/>
          <w:sz w:val="28"/>
          <w:szCs w:val="28"/>
          <w:u w:val="single"/>
          <w:lang w:eastAsia="zh-CN"/>
        </w:rPr>
        <w:t xml:space="preserve"> </w:t>
      </w:r>
    </w:p>
    <w:p>
      <w:pPr>
        <w:pStyle w:val="2"/>
        <w:rPr>
          <w:sz w:val="28"/>
          <w:szCs w:val="28"/>
          <w:u w:val="single"/>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360" w:lineRule="auto"/>
        <w:ind w:firstLine="480" w:firstLineChars="200"/>
        <w:rPr>
          <w:sz w:val="24"/>
          <w:lang w:eastAsia="zh-CN"/>
        </w:rPr>
      </w:pPr>
    </w:p>
    <w:p>
      <w:pPr>
        <w:pStyle w:val="2"/>
      </w:pPr>
    </w:p>
    <w:p>
      <w:pPr>
        <w:spacing w:line="360" w:lineRule="auto"/>
        <w:ind w:firstLine="480" w:firstLineChars="200"/>
        <w:rPr>
          <w:sz w:val="24"/>
          <w:u w:val="single"/>
          <w:lang w:eastAsia="zh-CN"/>
        </w:rPr>
      </w:pPr>
      <w:r>
        <w:rPr>
          <w:rFonts w:hint="eastAsia"/>
          <w:sz w:val="24"/>
          <w:lang w:eastAsia="zh-CN"/>
        </w:rPr>
        <w:t>本合同甲方委托乙方就</w:t>
      </w:r>
      <w:r>
        <w:rPr>
          <w:rFonts w:hint="eastAsia" w:asciiTheme="majorEastAsia" w:hAnsiTheme="majorEastAsia" w:eastAsiaTheme="majorEastAsia"/>
          <w:sz w:val="24"/>
          <w:szCs w:val="24"/>
          <w:u w:val="single"/>
          <w:lang w:eastAsia="zh-CN"/>
        </w:rPr>
        <w:t>化工装置HAZOP风险辨识评估</w:t>
      </w:r>
      <w:r>
        <w:rPr>
          <w:rFonts w:hint="eastAsia"/>
          <w:sz w:val="24"/>
          <w:u w:val="single"/>
          <w:lang w:eastAsia="zh-CN"/>
        </w:rPr>
        <w:t xml:space="preserve"> </w:t>
      </w:r>
      <w:r>
        <w:rPr>
          <w:rFonts w:hint="eastAsia"/>
          <w:sz w:val="24"/>
          <w:lang w:eastAsia="zh-CN"/>
        </w:rPr>
        <w:t>项目进行有偿的专项技术服务，并支付相应的技术服务报酬。双方经过平等协商，在真实、充分地表达各自意愿的基础上，根据《中华人民共和国民法典》的规定，达成如下协议，并由双方共同恪守。</w:t>
      </w:r>
    </w:p>
    <w:p>
      <w:pPr>
        <w:numPr>
          <w:ilvl w:val="0"/>
          <w:numId w:val="1"/>
        </w:numPr>
        <w:tabs>
          <w:tab w:val="left" w:pos="0"/>
          <w:tab w:val="clear" w:pos="1215"/>
        </w:tabs>
        <w:autoSpaceDE/>
        <w:autoSpaceDN/>
        <w:spacing w:line="360" w:lineRule="auto"/>
        <w:ind w:hanging="1215"/>
        <w:jc w:val="both"/>
        <w:rPr>
          <w:sz w:val="24"/>
          <w:lang w:eastAsia="zh-CN"/>
        </w:rPr>
      </w:pPr>
      <w:bookmarkStart w:id="12" w:name="_GoBack"/>
      <w:bookmarkEnd w:id="12"/>
      <w:r>
        <w:rPr>
          <w:rFonts w:hint="eastAsia"/>
          <w:sz w:val="24"/>
          <w:lang w:eastAsia="zh-CN"/>
        </w:rPr>
        <w:t>甲方委托乙方进行技术服务的内容如下：</w:t>
      </w:r>
    </w:p>
    <w:p>
      <w:pPr>
        <w:spacing w:line="360" w:lineRule="auto"/>
        <w:rPr>
          <w:sz w:val="24"/>
          <w:u w:val="single"/>
          <w:lang w:eastAsia="zh-CN"/>
        </w:rPr>
      </w:pPr>
      <w:r>
        <w:rPr>
          <w:rFonts w:hint="eastAsia"/>
          <w:sz w:val="24"/>
          <w:lang w:eastAsia="zh-CN"/>
        </w:rPr>
        <w:t>1、技术服务的目标：</w:t>
      </w:r>
      <w:r>
        <w:rPr>
          <w:rFonts w:hint="eastAsia" w:asciiTheme="majorEastAsia" w:hAnsiTheme="majorEastAsia" w:eastAsiaTheme="majorEastAsia"/>
          <w:sz w:val="24"/>
          <w:szCs w:val="24"/>
          <w:u w:val="single"/>
          <w:lang w:eastAsia="zh-CN"/>
        </w:rPr>
        <w:t>根据现行国家法律法规、标准规范，采用危险与可操作性分析技术，对甲方涉及重点监管危险化学品、重点监管危险化工工艺和维修化学品重大危险源的生产储存装置进行风险辨识分析，识别可能会导致伤害或事故的涉及缺陷，以及生产管理、工艺、安全、仪表、设备、电气、环保、经济等各方面与设计操作意图相背离可能会导致的各种不安全后果。减少人员、设备、设计造成的事故，使装置达到安、稳、长、满、优运行。</w:t>
      </w:r>
      <w:r>
        <w:rPr>
          <w:rFonts w:hint="eastAsia"/>
          <w:sz w:val="24"/>
          <w:u w:val="single"/>
          <w:lang w:eastAsia="zh-CN"/>
        </w:rPr>
        <w:t xml:space="preserve"> </w:t>
      </w:r>
    </w:p>
    <w:p>
      <w:pPr>
        <w:spacing w:line="360" w:lineRule="auto"/>
        <w:rPr>
          <w:sz w:val="24"/>
          <w:u w:val="single"/>
          <w:lang w:eastAsia="zh-CN"/>
        </w:rPr>
      </w:pPr>
      <w:r>
        <w:rPr>
          <w:rFonts w:hint="eastAsia"/>
          <w:sz w:val="24"/>
          <w:lang w:eastAsia="zh-CN"/>
        </w:rPr>
        <w:t>2、技术服务的内容：</w:t>
      </w:r>
      <w:r>
        <w:rPr>
          <w:rFonts w:hint="eastAsia"/>
          <w:sz w:val="24"/>
          <w:u w:val="single"/>
          <w:lang w:eastAsia="zh-CN"/>
        </w:rPr>
        <w:t xml:space="preserve"> </w:t>
      </w:r>
      <w:r>
        <w:rPr>
          <w:rFonts w:hint="eastAsia" w:asciiTheme="majorEastAsia" w:hAnsiTheme="majorEastAsia" w:eastAsiaTheme="majorEastAsia"/>
          <w:sz w:val="24"/>
          <w:szCs w:val="24"/>
          <w:u w:val="single"/>
          <w:lang w:eastAsia="zh-CN"/>
        </w:rPr>
        <w:t xml:space="preserve">化工装置HAZOP风险辨识评估 </w:t>
      </w:r>
    </w:p>
    <w:p>
      <w:pPr>
        <w:spacing w:line="360" w:lineRule="auto"/>
        <w:rPr>
          <w:sz w:val="24"/>
          <w:lang w:eastAsia="zh-CN"/>
        </w:rPr>
      </w:pPr>
      <w:r>
        <w:rPr>
          <w:rFonts w:hint="eastAsia"/>
          <w:sz w:val="24"/>
          <w:lang w:eastAsia="zh-CN"/>
        </w:rPr>
        <w:t>3、技术服务的方式：</w:t>
      </w:r>
      <w:r>
        <w:rPr>
          <w:rFonts w:hint="eastAsia"/>
          <w:sz w:val="24"/>
          <w:u w:val="single"/>
          <w:lang w:eastAsia="zh-CN"/>
        </w:rPr>
        <w:t xml:space="preserve"> 厂区现场服务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color w:val="000000"/>
          <w:sz w:val="24"/>
          <w:u w:val="single"/>
          <w:lang w:eastAsia="zh-CN"/>
        </w:rPr>
        <w:t>腾龙芳烃（漳州）有限公司、翔鹭石化（漳州）有限公司</w:t>
      </w:r>
      <w:r>
        <w:rPr>
          <w:rFonts w:hint="eastAsia"/>
          <w:sz w:val="24"/>
          <w:u w:val="single"/>
          <w:lang w:eastAsia="zh-CN"/>
        </w:rPr>
        <w:t xml:space="preserve"> </w:t>
      </w:r>
    </w:p>
    <w:p>
      <w:pPr>
        <w:spacing w:line="360" w:lineRule="auto"/>
        <w:rPr>
          <w:sz w:val="24"/>
          <w:lang w:eastAsia="zh-CN"/>
        </w:rPr>
      </w:pPr>
      <w:r>
        <w:rPr>
          <w:rFonts w:hint="eastAsia"/>
          <w:sz w:val="24"/>
          <w:lang w:eastAsia="zh-CN"/>
        </w:rPr>
        <w:t>2、技术服务期限：</w:t>
      </w:r>
      <w:r>
        <w:rPr>
          <w:rFonts w:hint="eastAsia"/>
          <w:sz w:val="24"/>
          <w:u w:val="single"/>
          <w:lang w:eastAsia="zh-CN"/>
        </w:rPr>
        <w:t xml:space="preserve"> 合同生效后45天完成 </w:t>
      </w:r>
    </w:p>
    <w:p>
      <w:pPr>
        <w:spacing w:line="360" w:lineRule="auto"/>
        <w:rPr>
          <w:sz w:val="24"/>
          <w:lang w:eastAsia="zh-CN"/>
        </w:rPr>
      </w:pPr>
      <w:r>
        <w:rPr>
          <w:rFonts w:hint="eastAsia"/>
          <w:sz w:val="24"/>
          <w:lang w:eastAsia="zh-CN"/>
        </w:rPr>
        <w:t>3、技术服务质量要求：</w:t>
      </w:r>
      <w:r>
        <w:rPr>
          <w:rFonts w:hint="eastAsia" w:asciiTheme="majorEastAsia" w:hAnsiTheme="majorEastAsia" w:eastAsiaTheme="majorEastAsia"/>
          <w:bCs/>
          <w:sz w:val="24"/>
          <w:szCs w:val="24"/>
          <w:u w:val="single"/>
          <w:lang w:eastAsia="zh-CN"/>
        </w:rPr>
        <w:t>见附件“HAZOP风险辨识发包技术说明”</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276" w:lineRule="auto"/>
        <w:rPr>
          <w:sz w:val="24"/>
          <w:lang w:eastAsia="zh-CN"/>
        </w:rPr>
      </w:pPr>
      <w:r>
        <w:rPr>
          <w:rFonts w:hint="eastAsia"/>
          <w:sz w:val="24"/>
          <w:lang w:eastAsia="zh-CN"/>
        </w:rPr>
        <w:t>1、提供技术资料：</w:t>
      </w:r>
    </w:p>
    <w:p>
      <w:pPr>
        <w:spacing w:line="360" w:lineRule="auto"/>
        <w:rPr>
          <w:sz w:val="24"/>
          <w:u w:val="single"/>
          <w:lang w:eastAsia="zh-CN"/>
        </w:rPr>
      </w:pPr>
      <w:r>
        <w:rPr>
          <w:rFonts w:hint="eastAsia"/>
          <w:sz w:val="24"/>
          <w:lang w:eastAsia="zh-CN"/>
        </w:rPr>
        <w:t>（1）</w:t>
      </w:r>
      <w:r>
        <w:rPr>
          <w:rFonts w:hint="eastAsia"/>
          <w:sz w:val="24"/>
          <w:u w:val="single"/>
          <w:lang w:eastAsia="zh-CN"/>
        </w:rPr>
        <w:t xml:space="preserve"> 工艺系统的P&amp;ID图、PFD图及相应的工艺手册、分析手册、操作规程、连锁清单、设备资料和仪表等方面的资料。  </w:t>
      </w:r>
    </w:p>
    <w:p>
      <w:pPr>
        <w:spacing w:line="360" w:lineRule="auto"/>
        <w:rPr>
          <w:sz w:val="24"/>
          <w:lang w:eastAsia="zh-CN"/>
        </w:rPr>
      </w:pPr>
      <w:r>
        <w:rPr>
          <w:rFonts w:hint="eastAsia"/>
          <w:sz w:val="24"/>
          <w:lang w:eastAsia="zh-CN"/>
        </w:rPr>
        <w:t>2、提供工作条件：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eastAsia="zh-CN"/>
        </w:rPr>
        <w:t>3、其他：</w:t>
      </w:r>
      <w:r>
        <w:rPr>
          <w:rFonts w:hint="eastAsia"/>
          <w:sz w:val="24"/>
          <w:u w:val="single"/>
          <w:lang w:eastAsia="zh-CN"/>
        </w:rPr>
        <w:t xml:space="preserve"> 无 </w:t>
      </w:r>
      <w:r>
        <w:rPr>
          <w:rFonts w:hint="eastAsia"/>
          <w:sz w:val="24"/>
          <w:lang w:eastAsia="zh-CN"/>
        </w:rPr>
        <w:t>。</w:t>
      </w:r>
    </w:p>
    <w:p>
      <w:pPr>
        <w:spacing w:line="360" w:lineRule="auto"/>
        <w:rPr>
          <w:rFonts w:hint="eastAsia"/>
          <w:sz w:val="24"/>
          <w:u w:val="single"/>
          <w:lang w:eastAsia="zh-CN"/>
        </w:rPr>
      </w:pPr>
      <w:r>
        <w:rPr>
          <w:rFonts w:hint="eastAsia"/>
          <w:sz w:val="24"/>
          <w:lang w:eastAsia="zh-CN"/>
        </w:rPr>
        <w:t>4、甲方提供上述工作条件和协作事项的时间及方式：</w:t>
      </w:r>
      <w:r>
        <w:rPr>
          <w:rFonts w:hint="eastAsia"/>
          <w:sz w:val="24"/>
          <w:u w:val="single"/>
          <w:lang w:eastAsia="zh-CN"/>
        </w:rPr>
        <w:t xml:space="preserve"> 甲方确定 </w:t>
      </w:r>
    </w:p>
    <w:p>
      <w:pPr>
        <w:pStyle w:val="2"/>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0" w:firstLineChars="0"/>
        <w:jc w:val="both"/>
        <w:textAlignment w:val="baseline"/>
        <w:outlineLvl w:val="9"/>
        <w:rPr>
          <w:sz w:val="24"/>
        </w:rPr>
      </w:pPr>
      <w:r>
        <w:rPr>
          <w:rFonts w:hint="eastAsia"/>
          <w:sz w:val="24"/>
        </w:rPr>
        <w:t>5、乙方确认，甲方提供的与本合同履行相关的技术资料均为甲方保密信息，乙方不得用于本合同履行之外的目的，不得披露给任何第三方，否则应按照本合同总价金额向甲方支付违约金，违约金不足以弥补甲方损失的，甲方有权追偿。</w:t>
      </w:r>
    </w:p>
    <w:p>
      <w:pPr>
        <w:keepNext w:val="0"/>
        <w:keepLines w:val="0"/>
        <w:pageBreakBefore w:val="0"/>
        <w:widowControl w:val="0"/>
        <w:kinsoku/>
        <w:wordWrap/>
        <w:overflowPunct/>
        <w:topLinePunct w:val="0"/>
        <w:autoSpaceDE w:val="0"/>
        <w:autoSpaceDN w:val="0"/>
        <w:bidi w:val="0"/>
        <w:adjustRightInd/>
        <w:snapToGrid/>
        <w:spacing w:before="0" w:beforeLines="50" w:line="360" w:lineRule="auto"/>
        <w:ind w:left="0" w:leftChars="0" w:right="0" w:rightChars="0" w:firstLine="0" w:firstLineChars="0"/>
        <w:jc w:val="left"/>
        <w:textAlignment w:val="auto"/>
        <w:outlineLvl w:val="9"/>
        <w:rPr>
          <w:sz w:val="24"/>
          <w:lang w:eastAsia="zh-CN"/>
        </w:rPr>
      </w:pPr>
      <w:r>
        <w:rPr>
          <w:rFonts w:hint="eastAsia"/>
          <w:b/>
          <w:sz w:val="28"/>
          <w:szCs w:val="28"/>
          <w:lang w:eastAsia="zh-CN"/>
        </w:rPr>
        <w:t xml:space="preserve">第四条  </w:t>
      </w:r>
      <w:r>
        <w:rPr>
          <w:rFonts w:hint="eastAsia"/>
          <w:sz w:val="24"/>
          <w:lang w:eastAsia="zh-CN"/>
        </w:rPr>
        <w:t>甲方向乙方支付技术服务报酬及支付方式为：</w:t>
      </w:r>
    </w:p>
    <w:p>
      <w:pPr>
        <w:spacing w:line="360" w:lineRule="auto"/>
        <w:rPr>
          <w:sz w:val="24"/>
          <w:lang w:eastAsia="zh-CN"/>
        </w:rPr>
      </w:pPr>
      <w:r>
        <w:rPr>
          <w:rFonts w:hint="eastAsia"/>
          <w:sz w:val="24"/>
          <w:lang w:eastAsia="zh-CN"/>
        </w:rPr>
        <w:t>1、技术服务费总额为：</w:t>
      </w:r>
      <w:r>
        <w:rPr>
          <w:rFonts w:hint="eastAsia"/>
          <w:sz w:val="24"/>
          <w:u w:val="single"/>
          <w:lang w:eastAsia="zh-CN"/>
        </w:rPr>
        <w:t>人民币                （即大写：              ）</w:t>
      </w:r>
      <w:r>
        <w:rPr>
          <w:rFonts w:hint="eastAsia"/>
          <w:sz w:val="24"/>
          <w:lang w:eastAsia="zh-CN"/>
        </w:rPr>
        <w:t>；</w:t>
      </w:r>
    </w:p>
    <w:p>
      <w:pPr>
        <w:spacing w:line="360" w:lineRule="auto"/>
        <w:rPr>
          <w:b/>
          <w:bCs/>
          <w:sz w:val="24"/>
          <w:u w:val="single"/>
          <w:lang w:eastAsia="zh-CN"/>
        </w:rPr>
      </w:pPr>
      <w:r>
        <w:rPr>
          <w:rFonts w:hint="eastAsia"/>
          <w:sz w:val="24"/>
          <w:lang w:eastAsia="zh-CN"/>
        </w:rPr>
        <w:t>2、技术服务费</w:t>
      </w:r>
      <w:r>
        <w:rPr>
          <w:rFonts w:hint="eastAsia"/>
          <w:b/>
          <w:bCs/>
          <w:sz w:val="24"/>
          <w:u w:val="single"/>
          <w:lang w:eastAsia="zh-CN"/>
        </w:rPr>
        <w:t>由甲方一次性支付给乙方。</w:t>
      </w:r>
    </w:p>
    <w:p>
      <w:pPr>
        <w:spacing w:line="360" w:lineRule="auto"/>
        <w:ind w:left="360" w:hanging="360" w:hangingChars="150"/>
        <w:rPr>
          <w:b/>
          <w:bCs/>
          <w:sz w:val="24"/>
          <w:lang w:eastAsia="zh-CN"/>
        </w:rPr>
      </w:pPr>
      <w:r>
        <w:rPr>
          <w:rFonts w:hint="eastAsia"/>
          <w:sz w:val="24"/>
          <w:lang w:eastAsia="zh-CN"/>
        </w:rPr>
        <w:t>3、付款方式：乙方按合同约定完成相应工作，提交《HAZOP报告和SIL等级评估报告》，并完成甲方审核后，甲方收到全额增值税专用发票原件后60日内付清合同约定总费用100%。乙方开具增值税专用发票之前应与甲方确认好相应开票金额及方案后方可开具。发票开具前，乙方需与甲方确认最终的开票方案，根据双方确认好的开票方案按腾龙芳烃（漳州）有限公司和翔鹭石化（漳州）有限公司两家分别开票。</w:t>
      </w: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r>
        <w:rPr>
          <w:rFonts w:hint="eastAsia" w:asciiTheme="majorEastAsia" w:hAnsiTheme="majorEastAsia" w:eastAsiaTheme="majorEastAsia"/>
          <w:bCs/>
          <w:sz w:val="24"/>
          <w:szCs w:val="24"/>
          <w:u w:val="single"/>
          <w:lang w:eastAsia="zh-CN"/>
        </w:rPr>
        <w:t>见附件“HAZOP风险辨识发包技术说明”</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提交分析评估报告书 </w:t>
      </w:r>
    </w:p>
    <w:p>
      <w:pPr>
        <w:spacing w:line="360" w:lineRule="auto"/>
        <w:rPr>
          <w:sz w:val="24"/>
          <w:u w:val="single"/>
          <w:lang w:eastAsia="zh-CN"/>
        </w:rPr>
      </w:pPr>
      <w:r>
        <w:rPr>
          <w:rFonts w:hint="eastAsia"/>
          <w:sz w:val="24"/>
          <w:lang w:eastAsia="zh-CN"/>
        </w:rPr>
        <w:t>2、技术服务工作成果的验收标准</w:t>
      </w:r>
      <w:r>
        <w:rPr>
          <w:rFonts w:hint="eastAsia"/>
          <w:sz w:val="24"/>
          <w:u w:val="single"/>
          <w:lang w:eastAsia="zh-CN"/>
        </w:rPr>
        <w:t>按国标及附件技术说明的要求，达到甲方需求。</w:t>
      </w:r>
    </w:p>
    <w:p>
      <w:pPr>
        <w:spacing w:line="360" w:lineRule="auto"/>
        <w:rPr>
          <w:sz w:val="24"/>
          <w:lang w:eastAsia="zh-CN"/>
        </w:rPr>
      </w:pPr>
      <w:r>
        <w:rPr>
          <w:rFonts w:hint="eastAsia"/>
          <w:sz w:val="24"/>
          <w:lang w:eastAsia="zh-CN"/>
        </w:rPr>
        <w:t>3、技术服务工作成果的验收方法：按国标或行业标准并符合技术说明要求规定达到甲方需求目的</w:t>
      </w:r>
    </w:p>
    <w:p>
      <w:pPr>
        <w:spacing w:line="360" w:lineRule="auto"/>
        <w:rPr>
          <w:rFonts w:hint="eastAsia"/>
          <w:sz w:val="24"/>
          <w:lang w:eastAsia="zh-CN"/>
        </w:rPr>
      </w:pPr>
      <w:r>
        <w:rPr>
          <w:rFonts w:hint="eastAsia"/>
          <w:sz w:val="24"/>
          <w:lang w:eastAsia="zh-CN"/>
        </w:rPr>
        <w:t>4、验收的时间和地点：</w:t>
      </w:r>
      <w:r>
        <w:rPr>
          <w:rFonts w:hint="eastAsia"/>
          <w:sz w:val="24"/>
          <w:u w:val="single"/>
          <w:lang w:eastAsia="zh-CN"/>
        </w:rPr>
        <w:t xml:space="preserve"> 乙方自检合格后向甲方提供书面验收要求，且提供纸质终版服务报告及相应资料，甲方通过各项检查后进行验收 </w:t>
      </w:r>
      <w:r>
        <w:rPr>
          <w:rFonts w:hint="eastAsia"/>
          <w:sz w:val="24"/>
          <w:lang w:eastAsia="zh-CN"/>
        </w:rPr>
        <w:t>。</w:t>
      </w:r>
    </w:p>
    <w:p>
      <w:pPr>
        <w:spacing w:line="520" w:lineRule="exact"/>
        <w:rPr>
          <w:sz w:val="24"/>
          <w:lang w:eastAsia="zh-CN"/>
        </w:rPr>
      </w:pPr>
      <w:r>
        <w:rPr>
          <w:rFonts w:hint="eastAsia"/>
          <w:szCs w:val="21"/>
          <w:lang w:eastAsia="zh-CN"/>
        </w:rPr>
        <w:t>5、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keepNext w:val="0"/>
        <w:keepLines w:val="0"/>
        <w:pageBreakBefore w:val="0"/>
        <w:widowControl w:val="0"/>
        <w:kinsoku/>
        <w:wordWrap/>
        <w:overflowPunct/>
        <w:topLinePunct w:val="0"/>
        <w:autoSpaceDE w:val="0"/>
        <w:autoSpaceDN w:val="0"/>
        <w:bidi w:val="0"/>
        <w:adjustRightInd/>
        <w:snapToGrid/>
        <w:spacing w:before="0" w:beforeLines="50" w:line="360" w:lineRule="auto"/>
        <w:ind w:left="0" w:leftChars="0" w:right="0" w:rightChars="0" w:firstLine="0" w:firstLineChars="0"/>
        <w:jc w:val="left"/>
        <w:textAlignment w:val="auto"/>
        <w:outlineLvl w:val="9"/>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2.因乙方技术服务人员故意或重大过失行为或违反合同约定造成甲方损失的，乙方负有赔偿责任。</w:t>
      </w:r>
    </w:p>
    <w:p>
      <w:pPr>
        <w:spacing w:line="360" w:lineRule="auto"/>
        <w:rPr>
          <w:sz w:val="24"/>
          <w:lang w:eastAsia="zh-CN"/>
        </w:rPr>
      </w:pPr>
      <w:r>
        <w:rPr>
          <w:rFonts w:hint="eastAsia"/>
          <w:sz w:val="24"/>
          <w:lang w:eastAsia="zh-CN"/>
        </w:rPr>
        <w:t>3.甲方延迟付款，按按全国银行间同业拆借中心公布的贷款市场报价利率向乙方支付利息。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5.乙方提供的技术服务不符合合同约定的，应根据甲方要求进行整改，由此造成的逾期，参照第4款执行。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郑小军18965863606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陆</w:t>
      </w:r>
      <w:r>
        <w:rPr>
          <w:rFonts w:hint="eastAsia"/>
          <w:sz w:val="24"/>
          <w:lang w:eastAsia="zh-CN"/>
        </w:rPr>
        <w:t xml:space="preserve">份，甲方持肆份，乙方持贰份，具有同等法律效力。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bookmarkStart w:id="9" w:name="OLE_LINK3"/>
      <w:r>
        <w:rPr>
          <w:rFonts w:hint="eastAsia"/>
          <w:color w:val="000000"/>
          <w:sz w:val="24"/>
          <w:lang w:eastAsia="zh-CN"/>
        </w:rPr>
        <w:t>1</w:t>
      </w:r>
      <w:bookmarkEnd w:id="9"/>
      <w:r>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sz w:val="24"/>
          <w:lang w:eastAsia="zh-CN"/>
        </w:rPr>
      </w:pPr>
      <w:r>
        <w:rPr>
          <w:rFonts w:hint="eastAsia"/>
          <w:sz w:val="24"/>
          <w:lang w:eastAsia="zh-CN"/>
        </w:rPr>
        <w:t xml:space="preserve">   附件一、</w:t>
      </w:r>
      <w:r>
        <w:rPr>
          <w:rFonts w:hint="eastAsia" w:asciiTheme="majorEastAsia" w:hAnsiTheme="majorEastAsia" w:eastAsiaTheme="majorEastAsia"/>
          <w:bCs/>
          <w:sz w:val="24"/>
          <w:szCs w:val="24"/>
          <w:lang w:eastAsia="zh-CN"/>
        </w:rPr>
        <w:t>“HAZOP风险辨识发包技术说明”</w:t>
      </w:r>
    </w:p>
    <w:p>
      <w:pPr>
        <w:spacing w:line="360" w:lineRule="auto"/>
        <w:ind w:firstLine="360" w:firstLineChars="150"/>
        <w:rPr>
          <w:rFonts w:cs="Arial"/>
          <w:sz w:val="24"/>
          <w:lang w:eastAsia="zh-CN"/>
        </w:rPr>
      </w:pPr>
      <w:r>
        <w:rPr>
          <w:rFonts w:hint="eastAsia"/>
          <w:sz w:val="24"/>
          <w:lang w:eastAsia="zh-CN"/>
        </w:rPr>
        <w:t>附件二、《</w:t>
      </w:r>
      <w:r>
        <w:rPr>
          <w:rFonts w:hint="eastAsia" w:cs="Arial"/>
          <w:sz w:val="24"/>
          <w:lang w:eastAsia="zh-CN"/>
        </w:rPr>
        <w:t>报价清单》</w:t>
      </w:r>
    </w:p>
    <w:p>
      <w:pPr>
        <w:spacing w:line="360" w:lineRule="auto"/>
        <w:ind w:firstLine="360" w:firstLineChars="150"/>
        <w:rPr>
          <w:sz w:val="24"/>
          <w:lang w:eastAsia="zh-CN"/>
        </w:rPr>
      </w:pPr>
      <w:r>
        <w:rPr>
          <w:rFonts w:hint="eastAsia"/>
          <w:sz w:val="24"/>
          <w:lang w:eastAsia="zh-CN"/>
        </w:rPr>
        <w:t>附件三、《</w:t>
      </w:r>
      <w:r>
        <w:rPr>
          <w:rFonts w:hint="eastAsia" w:cs="Arial"/>
          <w:sz w:val="24"/>
          <w:lang w:eastAsia="zh-CN"/>
        </w:rPr>
        <w:t>安全环保协议》</w:t>
      </w:r>
    </w:p>
    <w:p>
      <w:pPr>
        <w:pStyle w:val="4"/>
        <w:tabs>
          <w:tab w:val="left" w:pos="630"/>
          <w:tab w:val="left" w:pos="840"/>
        </w:tabs>
        <w:spacing w:line="360" w:lineRule="auto"/>
        <w:ind w:left="0"/>
        <w:rPr>
          <w:rFonts w:cs="Arial"/>
          <w:lang w:eastAsia="zh-CN"/>
        </w:rPr>
      </w:pPr>
      <w:r>
        <w:rPr>
          <w:rFonts w:hint="eastAsia"/>
          <w:b w:val="0"/>
          <w:lang w:eastAsia="zh-CN"/>
        </w:rPr>
        <w:t xml:space="preserve">  </w:t>
      </w:r>
    </w:p>
    <w:p>
      <w:pPr>
        <w:spacing w:line="360" w:lineRule="auto"/>
        <w:rPr>
          <w:rFonts w:cs="Arial"/>
          <w:b/>
          <w:sz w:val="24"/>
          <w:lang w:eastAsia="zh-CN"/>
        </w:rPr>
      </w:pPr>
    </w:p>
    <w:p>
      <w:pPr>
        <w:spacing w:line="360" w:lineRule="auto"/>
        <w:rPr>
          <w:rFonts w:cs="Arial"/>
          <w:b/>
          <w:sz w:val="24"/>
          <w:lang w:eastAsia="zh-CN"/>
        </w:rPr>
      </w:pPr>
      <w:r>
        <w:rPr>
          <w:rFonts w:hint="eastAsia" w:cs="Arial"/>
          <w:b/>
          <w:sz w:val="24"/>
          <w:lang w:eastAsia="zh-CN"/>
        </w:rPr>
        <w:t>（以下为签署栏，无正文）</w:t>
      </w:r>
    </w:p>
    <w:p>
      <w:pPr>
        <w:pStyle w:val="2"/>
      </w:pPr>
    </w:p>
    <w:p>
      <w:pPr>
        <w:tabs>
          <w:tab w:val="left" w:pos="2010"/>
        </w:tabs>
        <w:spacing w:line="360" w:lineRule="auto"/>
        <w:rPr>
          <w:rFonts w:cs="Arial"/>
          <w:b/>
          <w:sz w:val="24"/>
          <w:lang w:eastAsia="zh-CN"/>
        </w:rPr>
      </w:pPr>
    </w:p>
    <w:p>
      <w:pPr>
        <w:pStyle w:val="2"/>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z w:val="24"/>
          <w:lang w:eastAsia="zh-CN"/>
        </w:rPr>
      </w:pPr>
      <w:r>
        <w:rPr>
          <w:rFonts w:hint="eastAsia"/>
          <w:b/>
          <w:spacing w:val="20"/>
          <w:sz w:val="24"/>
          <w:lang w:eastAsia="zh-CN"/>
        </w:rPr>
        <w:t xml:space="preserve">腾龙芳烃（漳州）有限公司          </w:t>
      </w:r>
    </w:p>
    <w:p>
      <w:pPr>
        <w:spacing w:line="360" w:lineRule="auto"/>
        <w:ind w:right="-147" w:rightChars="-67"/>
        <w:rPr>
          <w:rFonts w:cs="Arial"/>
          <w:b/>
          <w:sz w:val="24"/>
          <w:lang w:eastAsia="zh-CN"/>
        </w:rPr>
      </w:pPr>
    </w:p>
    <w:p>
      <w:pPr>
        <w:spacing w:line="360" w:lineRule="auto"/>
        <w:ind w:left="832" w:right="-147" w:rightChars="-67" w:hanging="831" w:hangingChars="378"/>
        <w:rPr>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福建省漳州市古雷开发区腾龙路84号</w:t>
      </w:r>
      <w:r>
        <w:rPr>
          <w:rFonts w:hint="eastAsia"/>
          <w:szCs w:val="21"/>
          <w:lang w:eastAsia="zh-CN"/>
        </w:rPr>
        <w:t xml:space="preserve">     地</w:t>
      </w:r>
      <w:r>
        <w:rPr>
          <w:szCs w:val="21"/>
          <w:lang w:eastAsia="zh-CN"/>
        </w:rPr>
        <w:t xml:space="preserve"> </w:t>
      </w:r>
      <w:r>
        <w:rPr>
          <w:rFonts w:hint="eastAsia"/>
          <w:szCs w:val="21"/>
          <w:lang w:eastAsia="zh-CN"/>
        </w:rPr>
        <w:t xml:space="preserve"> 址： </w:t>
      </w:r>
      <w:r>
        <w:rPr>
          <w:rFonts w:hint="eastAsia" w:hAnsi="Courier New" w:cs="Courier New"/>
          <w:szCs w:val="21"/>
          <w:lang w:eastAsia="zh-CN"/>
        </w:rPr>
        <w:t xml:space="preserve">                                    </w:t>
      </w:r>
    </w:p>
    <w:p>
      <w:pPr>
        <w:spacing w:line="360" w:lineRule="auto"/>
        <w:ind w:left="1038" w:right="-147" w:rightChars="-67" w:hanging="1038" w:hangingChars="472"/>
        <w:rPr>
          <w:lang w:eastAsia="zh-CN"/>
        </w:rPr>
      </w:pPr>
      <w:r>
        <w:rPr>
          <w:rFonts w:hint="eastAsia"/>
          <w:szCs w:val="21"/>
          <w:lang w:eastAsia="zh-CN"/>
        </w:rPr>
        <w:t>开户行：中国农业银行股份有限公司漳浦         开户行：</w:t>
      </w:r>
      <w:r>
        <w:rPr>
          <w:rFonts w:hint="eastAsia"/>
          <w:lang w:eastAsia="zh-CN"/>
        </w:rPr>
        <w:t xml:space="preserve"> </w:t>
      </w:r>
    </w:p>
    <w:p>
      <w:pPr>
        <w:spacing w:line="360" w:lineRule="auto"/>
        <w:ind w:left="1038" w:right="-147" w:rightChars="-67" w:hanging="1038" w:hangingChars="472"/>
        <w:rPr>
          <w:lang w:eastAsia="zh-CN"/>
        </w:rPr>
      </w:pPr>
      <w:r>
        <w:rPr>
          <w:rFonts w:hint="eastAsia"/>
          <w:lang w:eastAsia="zh-CN"/>
        </w:rPr>
        <w:t xml:space="preserve">        </w:t>
      </w:r>
      <w:r>
        <w:rPr>
          <w:rFonts w:hint="eastAsia"/>
          <w:szCs w:val="21"/>
          <w:lang w:eastAsia="zh-CN"/>
        </w:rPr>
        <w:t>古雷石化支行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13641501040004550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0596-6311073                       电</w:t>
      </w:r>
      <w:r>
        <w:rPr>
          <w:szCs w:val="21"/>
          <w:lang w:eastAsia="zh-CN"/>
        </w:rPr>
        <w:t xml:space="preserve">  </w:t>
      </w:r>
      <w:r>
        <w:rPr>
          <w:rFonts w:hint="eastAsia"/>
          <w:szCs w:val="21"/>
          <w:lang w:eastAsia="zh-CN"/>
        </w:rPr>
        <w:t>话：</w:t>
      </w:r>
    </w:p>
    <w:p>
      <w:pPr>
        <w:spacing w:line="360" w:lineRule="auto"/>
        <w:ind w:right="-147" w:rightChars="-67"/>
        <w:rPr>
          <w:rFonts w:cs="Arial"/>
          <w:b/>
          <w:sz w:val="24"/>
          <w:lang w:eastAsia="zh-CN"/>
        </w:rPr>
      </w:pPr>
    </w:p>
    <w:p>
      <w:pPr>
        <w:pStyle w:val="2"/>
        <w:rPr>
          <w:rFonts w:cs="Arial"/>
          <w:b/>
          <w:sz w:val="24"/>
        </w:rPr>
      </w:pPr>
    </w:p>
    <w:p>
      <w:pPr>
        <w:pStyle w:val="2"/>
        <w:rPr>
          <w:rFonts w:cs="Arial"/>
          <w:b/>
          <w:sz w:val="24"/>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w:t>
      </w:r>
      <w:r>
        <w:rPr>
          <w:rFonts w:cs="Arial"/>
          <w:b/>
          <w:sz w:val="24"/>
          <w:lang w:eastAsia="zh-CN"/>
        </w:rPr>
        <w:t xml:space="preserve"> </w:t>
      </w:r>
    </w:p>
    <w:p>
      <w:pPr>
        <w:spacing w:line="360" w:lineRule="auto"/>
        <w:ind w:right="-147" w:rightChars="-67"/>
        <w:rPr>
          <w:b/>
          <w:sz w:val="24"/>
          <w:lang w:eastAsia="zh-CN"/>
        </w:rPr>
      </w:pPr>
      <w:r>
        <w:rPr>
          <w:rFonts w:hint="eastAsia"/>
          <w:b/>
          <w:spacing w:val="20"/>
          <w:sz w:val="24"/>
          <w:lang w:eastAsia="zh-CN"/>
        </w:rPr>
        <w:t xml:space="preserve">翔鹭石化（漳州）有限公司          </w:t>
      </w:r>
    </w:p>
    <w:p>
      <w:pPr>
        <w:spacing w:line="360" w:lineRule="auto"/>
        <w:ind w:right="-147" w:rightChars="-67"/>
        <w:rPr>
          <w:rFonts w:cs="Arial"/>
          <w:b/>
          <w:sz w:val="24"/>
          <w:lang w:eastAsia="zh-CN"/>
        </w:rPr>
      </w:pPr>
    </w:p>
    <w:p>
      <w:pPr>
        <w:spacing w:line="360" w:lineRule="auto"/>
        <w:ind w:left="832" w:right="-147" w:rightChars="-67" w:hanging="831" w:hangingChars="378"/>
        <w:rPr>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福建省漳州市古雷开发区腾龙路86号                                    </w:t>
      </w:r>
    </w:p>
    <w:p>
      <w:pPr>
        <w:spacing w:line="360" w:lineRule="auto"/>
        <w:ind w:right="-147" w:rightChars="-67"/>
        <w:rPr>
          <w:szCs w:val="21"/>
          <w:lang w:eastAsia="zh-CN"/>
        </w:rPr>
      </w:pPr>
      <w:r>
        <w:rPr>
          <w:rFonts w:hint="eastAsia"/>
          <w:szCs w:val="21"/>
          <w:lang w:eastAsia="zh-CN"/>
        </w:rPr>
        <w:t>开户行：</w:t>
      </w:r>
      <w:r>
        <w:rPr>
          <w:szCs w:val="21"/>
          <w:lang w:eastAsia="zh-CN"/>
        </w:rPr>
        <w:t>兴业银行漳州古雷支行</w:t>
      </w:r>
    </w:p>
    <w:p>
      <w:pPr>
        <w:spacing w:line="360" w:lineRule="auto"/>
        <w:ind w:right="-147" w:rightChars="-67"/>
        <w:rPr>
          <w:szCs w:val="21"/>
          <w:lang w:eastAsia="zh-CN"/>
        </w:rPr>
      </w:pPr>
      <w:r>
        <w:rPr>
          <w:rFonts w:hint="eastAsia"/>
          <w:szCs w:val="21"/>
          <w:lang w:eastAsia="zh-CN"/>
        </w:rPr>
        <w:t xml:space="preserve">帐  号： </w:t>
      </w:r>
      <w:r>
        <w:rPr>
          <w:szCs w:val="21"/>
          <w:lang w:eastAsia="zh-CN"/>
        </w:rPr>
        <w:t>162070100100021585</w:t>
      </w:r>
      <w:r>
        <w:rPr>
          <w:rFonts w:hint="eastAsia"/>
          <w:szCs w:val="21"/>
          <w:lang w:eastAsia="zh-CN"/>
        </w:rPr>
        <w:t xml:space="preserve">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 xml:space="preserve">号： 913506006765392255                 </w:t>
      </w:r>
    </w:p>
    <w:p>
      <w:pPr>
        <w:spacing w:line="360" w:lineRule="auto"/>
        <w:ind w:right="-147" w:rightChars="-67"/>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0596-6311073                       </w:t>
      </w:r>
    </w:p>
    <w:p>
      <w:pPr>
        <w:spacing w:line="520" w:lineRule="exact"/>
        <w:rPr>
          <w:sz w:val="24"/>
          <w:lang w:eastAsia="zh-CN"/>
        </w:rPr>
      </w:pPr>
      <w:r>
        <w:rPr>
          <w:rFonts w:hint="eastAsia" w:cs="Arial"/>
          <w:b/>
          <w:sz w:val="24"/>
          <w:lang w:eastAsia="zh-CN"/>
        </w:rPr>
        <w:t xml:space="preserve">       </w:t>
      </w:r>
    </w:p>
    <w:p>
      <w:pPr>
        <w:spacing w:beforeLines="50" w:line="360" w:lineRule="auto"/>
        <w:rPr>
          <w:b/>
          <w:sz w:val="32"/>
          <w:szCs w:val="32"/>
          <w:lang w:eastAsia="zh-CN"/>
        </w:rPr>
      </w:pPr>
      <w:r>
        <w:rPr>
          <w:rFonts w:hint="eastAsia"/>
          <w:sz w:val="24"/>
          <w:lang w:eastAsia="zh-CN"/>
        </w:rPr>
        <w:t>附件一</w:t>
      </w:r>
    </w:p>
    <w:p>
      <w:pPr>
        <w:spacing w:beforeLines="50" w:line="360" w:lineRule="auto"/>
        <w:jc w:val="center"/>
        <w:rPr>
          <w:b/>
          <w:sz w:val="32"/>
          <w:szCs w:val="32"/>
          <w:lang w:eastAsia="zh-CN"/>
        </w:rPr>
      </w:pPr>
      <w:r>
        <w:rPr>
          <w:rFonts w:hint="eastAsia"/>
          <w:b/>
          <w:sz w:val="32"/>
          <w:szCs w:val="32"/>
          <w:lang w:eastAsia="zh-CN"/>
        </w:rPr>
        <w:t>HAZOP风险辨识发包技术说明</w:t>
      </w:r>
    </w:p>
    <w:p>
      <w:pPr>
        <w:spacing w:beforeLines="50" w:line="360" w:lineRule="auto"/>
        <w:rPr>
          <w:b/>
          <w:lang w:eastAsia="zh-CN"/>
        </w:rPr>
      </w:pPr>
    </w:p>
    <w:p>
      <w:pPr>
        <w:numPr>
          <w:ilvl w:val="0"/>
          <w:numId w:val="2"/>
        </w:numPr>
        <w:tabs>
          <w:tab w:val="left" w:pos="426"/>
        </w:tabs>
        <w:spacing w:beforeLines="50" w:line="360" w:lineRule="auto"/>
      </w:pPr>
      <w:r>
        <w:rPr>
          <w:rFonts w:hint="eastAsia"/>
          <w:b/>
        </w:rPr>
        <w:t>项目概述</w:t>
      </w:r>
      <w:r>
        <w:rPr>
          <w:rFonts w:hint="eastAsia"/>
        </w:rPr>
        <w:t>：</w:t>
      </w:r>
    </w:p>
    <w:p>
      <w:pPr>
        <w:pStyle w:val="15"/>
        <w:spacing w:beforeLines="50" w:line="360" w:lineRule="auto"/>
        <w:ind w:left="19" w:firstLine="420" w:firstLineChars="191"/>
        <w:jc w:val="both"/>
        <w:rPr>
          <w:rFonts w:ascii="Arial" w:hAnsi="Arial" w:cs="Arial"/>
          <w:lang w:eastAsia="zh-CN"/>
        </w:rPr>
      </w:pPr>
      <w:r>
        <w:rPr>
          <w:rFonts w:hint="eastAsia" w:ascii="Arial" w:hAnsi="Arial" w:cs="Arial"/>
          <w:lang w:eastAsia="zh-CN"/>
        </w:rPr>
        <w:t>福建福海创石油化工有限公司是一家具有年产160万吨PX、450万吨PTA的大型石化企业，工厂配备有凝析油加氢装置、凝析油分离装置、加氢裂化装置、芳烃联合装置、制氢&amp;PSA装置、PTA装置及热电站、储运系统、公用工程等配套设施。为了履行安监总局《国家安全监管总局关于加强化工过程安全管理的指导意见》（安监总管三[2013]88号）等文件要求，拟对上一期HAZOP风险辨识将达到一定周期的相关装置开展新一轮风险辨识，采用危险与可操作性分析（HAZOP）技术。</w:t>
      </w:r>
    </w:p>
    <w:p>
      <w:pPr>
        <w:numPr>
          <w:ilvl w:val="0"/>
          <w:numId w:val="2"/>
        </w:numPr>
        <w:tabs>
          <w:tab w:val="left" w:pos="426"/>
        </w:tabs>
        <w:spacing w:beforeLines="50" w:line="360" w:lineRule="auto"/>
        <w:rPr>
          <w:b/>
        </w:rPr>
      </w:pPr>
      <w:r>
        <w:rPr>
          <w:rFonts w:hint="eastAsia"/>
          <w:b/>
        </w:rPr>
        <w:t>项目定义</w:t>
      </w:r>
    </w:p>
    <w:p>
      <w:pPr>
        <w:pStyle w:val="15"/>
        <w:spacing w:beforeLines="50" w:line="360" w:lineRule="auto"/>
        <w:ind w:left="433" w:leftChars="190" w:hanging="15" w:hangingChars="7"/>
        <w:jc w:val="both"/>
        <w:rPr>
          <w:lang w:eastAsia="zh-CN"/>
        </w:rPr>
      </w:pPr>
      <w:r>
        <w:rPr>
          <w:rFonts w:hint="eastAsia"/>
          <w:lang w:eastAsia="zh-CN"/>
        </w:rPr>
        <w:t>项目名称：福建福海创石油化工有限公司HAZOP风险辨识项目</w:t>
      </w:r>
    </w:p>
    <w:p>
      <w:pPr>
        <w:pStyle w:val="15"/>
        <w:spacing w:beforeLines="50" w:line="360" w:lineRule="auto"/>
        <w:ind w:left="433" w:leftChars="190" w:hanging="15" w:hangingChars="7"/>
        <w:jc w:val="both"/>
        <w:rPr>
          <w:lang w:eastAsia="zh-CN"/>
        </w:rPr>
      </w:pPr>
      <w:r>
        <w:rPr>
          <w:rFonts w:hint="eastAsia"/>
          <w:lang w:eastAsia="zh-CN"/>
        </w:rPr>
        <w:t>项目地点：福建省漳州市古雷经济开发区腾龙路84号</w:t>
      </w:r>
    </w:p>
    <w:p>
      <w:pPr>
        <w:pStyle w:val="15"/>
        <w:spacing w:beforeLines="50" w:line="360" w:lineRule="auto"/>
        <w:ind w:left="433" w:leftChars="190" w:hanging="15" w:hangingChars="7"/>
        <w:jc w:val="both"/>
        <w:rPr>
          <w:b/>
          <w:lang w:eastAsia="zh-CN"/>
        </w:rPr>
      </w:pPr>
      <w:r>
        <w:rPr>
          <w:rFonts w:hint="eastAsia"/>
          <w:lang w:eastAsia="zh-CN"/>
        </w:rPr>
        <w:t>发 包 方：</w:t>
      </w:r>
      <w:r>
        <w:rPr>
          <w:rFonts w:hint="eastAsia" w:ascii="Arial" w:hAnsi="Arial" w:cs="Arial"/>
          <w:lang w:eastAsia="zh-CN"/>
        </w:rPr>
        <w:t>福建福海创石油化工有限公司</w:t>
      </w:r>
    </w:p>
    <w:p>
      <w:pPr>
        <w:numPr>
          <w:ilvl w:val="0"/>
          <w:numId w:val="2"/>
        </w:numPr>
        <w:tabs>
          <w:tab w:val="left" w:pos="426"/>
        </w:tabs>
        <w:spacing w:beforeLines="50" w:line="360" w:lineRule="auto"/>
      </w:pPr>
      <w:r>
        <w:rPr>
          <w:rFonts w:hint="eastAsia"/>
          <w:b/>
        </w:rPr>
        <w:t>项目目标</w:t>
      </w:r>
      <w:r>
        <w:rPr>
          <w:rFonts w:hint="eastAsia"/>
        </w:rPr>
        <w:t>：</w:t>
      </w:r>
    </w:p>
    <w:p>
      <w:pPr>
        <w:pStyle w:val="15"/>
        <w:spacing w:beforeLines="50" w:line="360" w:lineRule="auto"/>
        <w:ind w:left="59" w:firstLine="380" w:firstLineChars="173"/>
        <w:jc w:val="both"/>
        <w:rPr>
          <w:lang w:eastAsia="zh-CN"/>
        </w:rPr>
      </w:pPr>
      <w:r>
        <w:rPr>
          <w:rFonts w:hint="eastAsia"/>
          <w:lang w:eastAsia="zh-CN"/>
        </w:rPr>
        <w:t>根据现行国家法律法规、标准规范，采用危险与可操作性分析（HAZOP）技术，对我公司涉及“两重点一重大”及其他生产储存装置进行风险辨识分析，识别可能会导致伤害或事故（包括财产损失、人员伤亡及伤害、环境污染和声誉影响）的设计缺陷，以及生产管理、工艺、安全、仪表、设备、电气、环保、经济等各方面与设计操作意图相背离可能会导致的各种不安全后果。分析包括正常操作、投料试车、开工、正常停工、紧急停工、维修时可能出现的危害后果，同时对人员误操作、设备故障、物料性质、环境因素等也进行了全面分析，分析范围覆盖所提供的全部P&amp;ID图及联锁逻辑清单等。对装置系统进行全面的</w:t>
      </w:r>
      <w:r>
        <w:rPr>
          <w:lang w:eastAsia="zh-CN"/>
        </w:rPr>
        <w:t>HAZOP</w:t>
      </w:r>
      <w:r>
        <w:rPr>
          <w:rFonts w:hint="eastAsia"/>
          <w:lang w:eastAsia="zh-CN"/>
        </w:rPr>
        <w:t>分析，有效地识别装置潜在的安全风险，尽可能地减少人员、设备、设计造成的事故，使装置达到安、稳、长、满、优运行。</w:t>
      </w:r>
    </w:p>
    <w:p>
      <w:pPr>
        <w:numPr>
          <w:ilvl w:val="0"/>
          <w:numId w:val="2"/>
        </w:numPr>
        <w:tabs>
          <w:tab w:val="left" w:pos="426"/>
        </w:tabs>
        <w:spacing w:beforeLines="50" w:line="360" w:lineRule="auto"/>
        <w:rPr>
          <w:rFonts w:ascii="Arial" w:hAnsi="Arial" w:cs="Arial"/>
          <w:b/>
        </w:rPr>
      </w:pPr>
      <w:r>
        <w:rPr>
          <w:rFonts w:hint="eastAsia" w:ascii="Arial" w:hAnsi="Arial" w:cs="Arial"/>
          <w:b/>
        </w:rPr>
        <w:t>风险辨识工作范围：</w:t>
      </w:r>
    </w:p>
    <w:p>
      <w:pPr>
        <w:numPr>
          <w:ilvl w:val="0"/>
          <w:numId w:val="3"/>
        </w:numPr>
        <w:tabs>
          <w:tab w:val="clear" w:pos="840"/>
        </w:tabs>
        <w:spacing w:beforeLines="50" w:line="360" w:lineRule="auto"/>
        <w:ind w:hanging="720"/>
        <w:jc w:val="both"/>
      </w:pPr>
      <w:r>
        <w:rPr>
          <w:rFonts w:hint="eastAsia"/>
        </w:rPr>
        <w:t>装置或设施清单</w:t>
      </w:r>
    </w:p>
    <w:tbl>
      <w:tblPr>
        <w:tblStyle w:val="13"/>
        <w:tblW w:w="8522" w:type="dxa"/>
        <w:jc w:val="center"/>
        <w:tblInd w:w="0" w:type="dxa"/>
        <w:tblLayout w:type="fixed"/>
        <w:tblCellMar>
          <w:top w:w="0" w:type="dxa"/>
          <w:left w:w="108" w:type="dxa"/>
          <w:bottom w:w="0" w:type="dxa"/>
          <w:right w:w="108" w:type="dxa"/>
        </w:tblCellMar>
      </w:tblPr>
      <w:tblGrid>
        <w:gridCol w:w="817"/>
        <w:gridCol w:w="2693"/>
        <w:gridCol w:w="2553"/>
        <w:gridCol w:w="1133"/>
        <w:gridCol w:w="1326"/>
      </w:tblGrid>
      <w:tr>
        <w:tblPrEx>
          <w:tblLayout w:type="fixed"/>
          <w:tblCellMar>
            <w:top w:w="0" w:type="dxa"/>
            <w:left w:w="108" w:type="dxa"/>
            <w:bottom w:w="0" w:type="dxa"/>
            <w:right w:w="108" w:type="dxa"/>
          </w:tblCellMar>
        </w:tblPrEx>
        <w:trPr>
          <w:trHeight w:val="315"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tcPr>
          <w:p>
            <w:pPr>
              <w:jc w:val="center"/>
              <w:rPr>
                <w:color w:val="000000"/>
              </w:rPr>
            </w:pPr>
            <w:r>
              <w:rPr>
                <w:rFonts w:hint="eastAsia"/>
                <w:color w:val="000000"/>
              </w:rPr>
              <w:t>序号</w:t>
            </w:r>
          </w:p>
        </w:tc>
        <w:tc>
          <w:tcPr>
            <w:tcW w:w="2693" w:type="dxa"/>
            <w:tcBorders>
              <w:top w:val="single" w:color="auto" w:sz="4" w:space="0"/>
              <w:left w:val="nil"/>
              <w:bottom w:val="single" w:color="auto" w:sz="4" w:space="0"/>
              <w:right w:val="single" w:color="auto" w:sz="4" w:space="0"/>
            </w:tcBorders>
            <w:shd w:val="clear" w:color="auto" w:fill="auto"/>
          </w:tcPr>
          <w:p>
            <w:pPr>
              <w:jc w:val="center"/>
              <w:rPr>
                <w:color w:val="000000"/>
              </w:rPr>
            </w:pPr>
            <w:r>
              <w:rPr>
                <w:rFonts w:hint="eastAsia"/>
                <w:color w:val="000000"/>
              </w:rPr>
              <w:t>装置名称</w:t>
            </w:r>
          </w:p>
        </w:tc>
        <w:tc>
          <w:tcPr>
            <w:tcW w:w="2553" w:type="dxa"/>
            <w:tcBorders>
              <w:top w:val="single" w:color="auto" w:sz="4" w:space="0"/>
              <w:left w:val="nil"/>
              <w:bottom w:val="single" w:color="auto" w:sz="4" w:space="0"/>
              <w:right w:val="single" w:color="auto" w:sz="4" w:space="0"/>
            </w:tcBorders>
            <w:shd w:val="clear" w:color="auto" w:fill="auto"/>
          </w:tcPr>
          <w:p>
            <w:pPr>
              <w:jc w:val="center"/>
              <w:rPr>
                <w:color w:val="000000"/>
              </w:rPr>
            </w:pPr>
            <w:r>
              <w:rPr>
                <w:rFonts w:hint="eastAsia"/>
                <w:color w:val="000000"/>
              </w:rPr>
              <w:t>装置规模</w:t>
            </w:r>
          </w:p>
        </w:tc>
        <w:tc>
          <w:tcPr>
            <w:tcW w:w="1133" w:type="dxa"/>
            <w:tcBorders>
              <w:top w:val="single" w:color="auto" w:sz="4" w:space="0"/>
              <w:left w:val="nil"/>
              <w:bottom w:val="single" w:color="auto" w:sz="4" w:space="0"/>
              <w:right w:val="single" w:color="auto" w:sz="4" w:space="0"/>
            </w:tcBorders>
            <w:shd w:val="clear" w:color="auto" w:fill="auto"/>
          </w:tcPr>
          <w:p>
            <w:pPr>
              <w:jc w:val="center"/>
              <w:rPr>
                <w:color w:val="000000"/>
              </w:rPr>
            </w:pPr>
            <w:r>
              <w:rPr>
                <w:color w:val="000000"/>
              </w:rPr>
              <w:t>PID /</w:t>
            </w:r>
            <w:r>
              <w:rPr>
                <w:rFonts w:hint="eastAsia"/>
                <w:color w:val="000000"/>
              </w:rPr>
              <w:t>页</w:t>
            </w:r>
          </w:p>
        </w:tc>
        <w:tc>
          <w:tcPr>
            <w:tcW w:w="1326" w:type="dxa"/>
            <w:tcBorders>
              <w:top w:val="single" w:color="auto" w:sz="4" w:space="0"/>
              <w:left w:val="nil"/>
              <w:bottom w:val="single" w:color="auto" w:sz="4" w:space="0"/>
              <w:right w:val="single" w:color="auto" w:sz="4" w:space="0"/>
            </w:tcBorders>
            <w:shd w:val="clear" w:color="auto" w:fill="auto"/>
          </w:tcPr>
          <w:p>
            <w:pPr>
              <w:jc w:val="center"/>
              <w:rPr>
                <w:color w:val="000000"/>
              </w:rPr>
            </w:pPr>
            <w:r>
              <w:rPr>
                <w:rFonts w:hint="eastAsia"/>
                <w:color w:val="000000"/>
              </w:rPr>
              <w:t>备注</w:t>
            </w:r>
          </w:p>
        </w:tc>
      </w:tr>
      <w:tr>
        <w:tblPrEx>
          <w:tblLayout w:type="fixed"/>
          <w:tblCellMar>
            <w:top w:w="0" w:type="dxa"/>
            <w:left w:w="108" w:type="dxa"/>
            <w:bottom w:w="0" w:type="dxa"/>
            <w:right w:w="108" w:type="dxa"/>
          </w:tblCellMar>
        </w:tblPrEx>
        <w:trPr>
          <w:trHeight w:val="30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胺液再生装置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color w:val="000000"/>
                <w:sz w:val="21"/>
                <w:szCs w:val="21"/>
              </w:rPr>
              <w:t>272</w:t>
            </w:r>
            <w:r>
              <w:rPr>
                <w:rFonts w:hint="eastAsia"/>
                <w:color w:val="000000"/>
                <w:sz w:val="21"/>
                <w:szCs w:val="21"/>
              </w:rPr>
              <w:t>万吨</w:t>
            </w:r>
            <w:r>
              <w:rPr>
                <w:color w:val="000000"/>
                <w:sz w:val="21"/>
                <w:szCs w:val="21"/>
              </w:rPr>
              <w:t>/</w:t>
            </w:r>
            <w:r>
              <w:rPr>
                <w:rFonts w:hint="eastAsia"/>
                <w:color w:val="000000"/>
                <w:sz w:val="21"/>
                <w:szCs w:val="21"/>
              </w:rPr>
              <w:t>年</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color w:val="000000"/>
              </w:rPr>
              <w:t>5</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color w:val="000000"/>
              </w:rPr>
              <w:t>　</w:t>
            </w:r>
          </w:p>
        </w:tc>
      </w:tr>
      <w:tr>
        <w:tblPrEx>
          <w:tblLayout w:type="fixed"/>
          <w:tblCellMar>
            <w:top w:w="0" w:type="dxa"/>
            <w:left w:w="108" w:type="dxa"/>
            <w:bottom w:w="0" w:type="dxa"/>
            <w:right w:w="108" w:type="dxa"/>
          </w:tblCellMar>
        </w:tblPrEx>
        <w:trPr>
          <w:trHeight w:val="30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2</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酸性水汽提装置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color w:val="000000"/>
                <w:sz w:val="21"/>
                <w:szCs w:val="21"/>
              </w:rPr>
              <w:t>80</w:t>
            </w:r>
            <w:r>
              <w:rPr>
                <w:rFonts w:hint="eastAsia"/>
                <w:color w:val="000000"/>
                <w:sz w:val="21"/>
                <w:szCs w:val="21"/>
              </w:rPr>
              <w:t>万吨</w:t>
            </w:r>
            <w:r>
              <w:rPr>
                <w:color w:val="000000"/>
                <w:sz w:val="21"/>
                <w:szCs w:val="21"/>
              </w:rPr>
              <w:t>/</w:t>
            </w:r>
            <w:r>
              <w:rPr>
                <w:rFonts w:hint="eastAsia"/>
                <w:color w:val="000000"/>
                <w:sz w:val="21"/>
                <w:szCs w:val="21"/>
              </w:rPr>
              <w:t>年</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color w:val="000000"/>
              </w:rPr>
              <w:t>3</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color w:val="000000"/>
              </w:rPr>
              <w:t>　</w:t>
            </w:r>
          </w:p>
        </w:tc>
      </w:tr>
      <w:tr>
        <w:tblPrEx>
          <w:tblLayout w:type="fixed"/>
          <w:tblCellMar>
            <w:top w:w="0" w:type="dxa"/>
            <w:left w:w="108" w:type="dxa"/>
            <w:bottom w:w="0" w:type="dxa"/>
            <w:right w:w="108" w:type="dxa"/>
          </w:tblCellMar>
        </w:tblPrEx>
        <w:trPr>
          <w:trHeight w:val="30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3</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厂区液硫罐区</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color w:val="000000"/>
                <w:sz w:val="21"/>
                <w:szCs w:val="21"/>
              </w:rPr>
              <w:t>2×2000m³</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color w:val="000000"/>
              </w:rPr>
              <w:t>2</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color w:val="000000"/>
              </w:rPr>
              <w:t>　</w:t>
            </w:r>
          </w:p>
        </w:tc>
      </w:tr>
      <w:tr>
        <w:tblPrEx>
          <w:tblLayout w:type="fixed"/>
          <w:tblCellMar>
            <w:top w:w="0" w:type="dxa"/>
            <w:left w:w="108" w:type="dxa"/>
            <w:bottom w:w="0" w:type="dxa"/>
            <w:right w:w="108" w:type="dxa"/>
          </w:tblCellMar>
        </w:tblPrEx>
        <w:trPr>
          <w:trHeight w:val="30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4</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凝析油加氢装置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color w:val="000000"/>
                <w:sz w:val="21"/>
                <w:szCs w:val="21"/>
              </w:rPr>
              <w:t>500</w:t>
            </w:r>
            <w:r>
              <w:rPr>
                <w:rFonts w:hint="eastAsia"/>
                <w:color w:val="000000"/>
                <w:sz w:val="21"/>
                <w:szCs w:val="21"/>
              </w:rPr>
              <w:t>万吨</w:t>
            </w:r>
            <w:r>
              <w:rPr>
                <w:color w:val="000000"/>
                <w:sz w:val="21"/>
                <w:szCs w:val="21"/>
              </w:rPr>
              <w:t>/</w:t>
            </w:r>
            <w:r>
              <w:rPr>
                <w:rFonts w:hint="eastAsia"/>
                <w:color w:val="000000"/>
                <w:sz w:val="21"/>
                <w:szCs w:val="21"/>
              </w:rPr>
              <w:t>年</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color w:val="000000"/>
              </w:rPr>
              <w:t>30</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color w:val="000000"/>
              </w:rPr>
              <w:t>　</w:t>
            </w:r>
          </w:p>
        </w:tc>
      </w:tr>
      <w:tr>
        <w:tblPrEx>
          <w:tblLayout w:type="fixed"/>
          <w:tblCellMar>
            <w:top w:w="0" w:type="dxa"/>
            <w:left w:w="108" w:type="dxa"/>
            <w:bottom w:w="0" w:type="dxa"/>
            <w:right w:w="108" w:type="dxa"/>
          </w:tblCellMar>
        </w:tblPrEx>
        <w:trPr>
          <w:trHeight w:val="30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5</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200000Nm</w:t>
            </w:r>
            <w:r>
              <w:rPr>
                <w:rFonts w:hint="eastAsia"/>
                <w:color w:val="000000"/>
                <w:sz w:val="21"/>
                <w:szCs w:val="21"/>
                <w:vertAlign w:val="superscript"/>
              </w:rPr>
              <w:t>3</w:t>
            </w:r>
            <w:r>
              <w:rPr>
                <w:rFonts w:hint="eastAsia"/>
                <w:color w:val="000000"/>
                <w:sz w:val="21"/>
                <w:szCs w:val="21"/>
              </w:rPr>
              <w:t>/h重整氢PSA</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200000Nm</w:t>
            </w:r>
            <w:r>
              <w:rPr>
                <w:rFonts w:hint="eastAsia"/>
                <w:color w:val="000000"/>
                <w:sz w:val="21"/>
                <w:szCs w:val="21"/>
                <w:vertAlign w:val="superscript"/>
              </w:rPr>
              <w:t>3</w:t>
            </w:r>
            <w:r>
              <w:rPr>
                <w:rFonts w:hint="eastAsia"/>
                <w:color w:val="000000"/>
                <w:sz w:val="21"/>
                <w:szCs w:val="21"/>
              </w:rPr>
              <w:t>/h</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4</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6</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PTA装置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422万吨</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51</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102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7</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储运装置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lang w:eastAsia="zh-CN"/>
              </w:rPr>
            </w:pPr>
            <w:r>
              <w:rPr>
                <w:rFonts w:hint="eastAsia"/>
                <w:color w:val="000000"/>
                <w:sz w:val="21"/>
                <w:szCs w:val="21"/>
                <w:lang w:eastAsia="zh-CN"/>
              </w:rPr>
              <w:t>包括储运PX罐区、PX装车台、PX厂内管廊、脱臭装置、三苯VOC处理装置</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91</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51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8</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储运装置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lang w:eastAsia="zh-CN"/>
              </w:rPr>
            </w:pPr>
            <w:r>
              <w:rPr>
                <w:rFonts w:hint="eastAsia"/>
                <w:color w:val="000000"/>
                <w:sz w:val="21"/>
                <w:szCs w:val="21"/>
                <w:lang w:eastAsia="zh-CN"/>
              </w:rPr>
              <w:t>包括储运PTA罐区、PTA装车站</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12</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9</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空压装置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50000Nm3/h</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7</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10</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制冷装置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2100m3/h</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2</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11</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循环水装置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50000m3/h</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5</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12</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制氮装置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6000Nm3/h</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6</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13</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PX污水处理装置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600m3/h</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55</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14</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水处理装置</w:t>
            </w:r>
          </w:p>
        </w:tc>
        <w:tc>
          <w:tcPr>
            <w:tcW w:w="255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140000m3/d</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54</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r>
        <w:tblPrEx>
          <w:tblLayout w:type="fixed"/>
          <w:tblCellMar>
            <w:top w:w="0" w:type="dxa"/>
            <w:left w:w="108" w:type="dxa"/>
            <w:bottom w:w="0" w:type="dxa"/>
            <w:right w:w="108" w:type="dxa"/>
          </w:tblCellMar>
        </w:tblPrEx>
        <w:trPr>
          <w:trHeight w:val="270" w:hRule="atLeast"/>
          <w:jc w:val="center"/>
        </w:trPr>
        <w:tc>
          <w:tcPr>
            <w:tcW w:w="817" w:type="dxa"/>
            <w:tcBorders>
              <w:top w:val="nil"/>
              <w:left w:val="single" w:color="auto" w:sz="4" w:space="0"/>
              <w:bottom w:val="single" w:color="auto" w:sz="4" w:space="0"/>
              <w:right w:val="single" w:color="auto" w:sz="4" w:space="0"/>
            </w:tcBorders>
            <w:shd w:val="clear" w:color="auto" w:fill="auto"/>
            <w:vAlign w:val="center"/>
          </w:tcPr>
          <w:p>
            <w:pPr>
              <w:jc w:val="right"/>
              <w:rPr>
                <w:color w:val="000000"/>
              </w:rPr>
            </w:pPr>
            <w:r>
              <w:rPr>
                <w:rFonts w:hint="eastAsia"/>
                <w:color w:val="000000"/>
              </w:rPr>
              <w:t>15</w:t>
            </w:r>
          </w:p>
        </w:tc>
        <w:tc>
          <w:tcPr>
            <w:tcW w:w="2693" w:type="dxa"/>
            <w:tcBorders>
              <w:top w:val="nil"/>
              <w:left w:val="nil"/>
              <w:bottom w:val="single" w:color="auto" w:sz="4" w:space="0"/>
              <w:right w:val="single" w:color="auto" w:sz="4" w:space="0"/>
            </w:tcBorders>
            <w:shd w:val="clear" w:color="auto" w:fill="auto"/>
            <w:vAlign w:val="center"/>
          </w:tcPr>
          <w:p>
            <w:pPr>
              <w:jc w:val="center"/>
              <w:rPr>
                <w:color w:val="000000"/>
                <w:sz w:val="21"/>
                <w:szCs w:val="21"/>
              </w:rPr>
            </w:pPr>
            <w:r>
              <w:rPr>
                <w:rFonts w:hint="eastAsia"/>
                <w:color w:val="000000"/>
                <w:sz w:val="21"/>
                <w:szCs w:val="21"/>
              </w:rPr>
              <w:t>合计</w:t>
            </w:r>
          </w:p>
        </w:tc>
        <w:tc>
          <w:tcPr>
            <w:tcW w:w="2553"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c>
          <w:tcPr>
            <w:tcW w:w="1133" w:type="dxa"/>
            <w:tcBorders>
              <w:top w:val="nil"/>
              <w:left w:val="nil"/>
              <w:bottom w:val="single" w:color="auto" w:sz="4" w:space="0"/>
              <w:right w:val="single" w:color="auto" w:sz="4" w:space="0"/>
            </w:tcBorders>
            <w:shd w:val="clear" w:color="auto" w:fill="auto"/>
            <w:vAlign w:val="center"/>
          </w:tcPr>
          <w:p>
            <w:pPr>
              <w:jc w:val="right"/>
              <w:rPr>
                <w:color w:val="000000"/>
              </w:rPr>
            </w:pPr>
            <w:r>
              <w:rPr>
                <w:rFonts w:hint="eastAsia"/>
                <w:color w:val="000000"/>
              </w:rPr>
              <w:t>327</w:t>
            </w:r>
          </w:p>
        </w:tc>
        <w:tc>
          <w:tcPr>
            <w:tcW w:w="1326" w:type="dxa"/>
            <w:tcBorders>
              <w:top w:val="nil"/>
              <w:left w:val="nil"/>
              <w:bottom w:val="single" w:color="auto" w:sz="4" w:space="0"/>
              <w:right w:val="single" w:color="auto" w:sz="4" w:space="0"/>
            </w:tcBorders>
            <w:shd w:val="clear" w:color="auto" w:fill="auto"/>
            <w:vAlign w:val="center"/>
          </w:tcPr>
          <w:p>
            <w:pPr>
              <w:rPr>
                <w:color w:val="000000"/>
              </w:rPr>
            </w:pPr>
            <w:r>
              <w:rPr>
                <w:rFonts w:hint="eastAsia"/>
                <w:color w:val="000000"/>
              </w:rPr>
              <w:t>　</w:t>
            </w:r>
          </w:p>
        </w:tc>
      </w:tr>
    </w:tbl>
    <w:p>
      <w:pPr>
        <w:numPr>
          <w:ilvl w:val="0"/>
          <w:numId w:val="3"/>
        </w:numPr>
        <w:tabs>
          <w:tab w:val="left" w:pos="-1300"/>
          <w:tab w:val="clear" w:pos="840"/>
        </w:tabs>
        <w:spacing w:beforeLines="50" w:line="360" w:lineRule="auto"/>
        <w:ind w:left="536" w:leftChars="-9" w:hanging="556" w:hangingChars="253"/>
        <w:jc w:val="both"/>
      </w:pPr>
      <w:r>
        <w:rPr>
          <w:rFonts w:hint="eastAsia"/>
        </w:rPr>
        <w:t>装置简介</w:t>
      </w:r>
    </w:p>
    <w:p>
      <w:pPr>
        <w:pStyle w:val="15"/>
        <w:spacing w:beforeLines="50" w:line="360" w:lineRule="auto"/>
        <w:ind w:left="342" w:leftChars="9" w:hanging="322" w:hangingChars="146"/>
        <w:jc w:val="both"/>
        <w:rPr>
          <w:lang w:eastAsia="zh-CN"/>
        </w:rPr>
      </w:pPr>
      <w:r>
        <w:rPr>
          <w:rFonts w:hint="eastAsia"/>
          <w:b/>
          <w:bCs/>
          <w:lang w:eastAsia="zh-CN"/>
        </w:rPr>
        <w:t xml:space="preserve">1. </w:t>
      </w:r>
      <w:r>
        <w:rPr>
          <w:rFonts w:hint="eastAsia"/>
          <w:b/>
          <w:lang w:eastAsia="zh-CN"/>
        </w:rPr>
        <w:t>胺液再生装置:</w:t>
      </w:r>
      <w:r>
        <w:rPr>
          <w:color w:val="000000"/>
          <w:sz w:val="21"/>
          <w:szCs w:val="21"/>
          <w:lang w:eastAsia="zh-CN"/>
        </w:rPr>
        <w:t>272</w:t>
      </w:r>
      <w:r>
        <w:rPr>
          <w:rFonts w:hint="eastAsia"/>
          <w:color w:val="000000"/>
          <w:sz w:val="21"/>
          <w:szCs w:val="21"/>
          <w:lang w:eastAsia="zh-CN"/>
        </w:rPr>
        <w:t>万吨</w:t>
      </w:r>
      <w:r>
        <w:rPr>
          <w:color w:val="000000"/>
          <w:sz w:val="21"/>
          <w:szCs w:val="21"/>
          <w:lang w:eastAsia="zh-CN"/>
        </w:rPr>
        <w:t>/</w:t>
      </w:r>
      <w:r>
        <w:rPr>
          <w:rFonts w:hint="eastAsia"/>
          <w:color w:val="000000"/>
          <w:sz w:val="21"/>
          <w:szCs w:val="21"/>
          <w:lang w:eastAsia="zh-CN"/>
        </w:rPr>
        <w:t>年的胺液再生装置</w:t>
      </w:r>
      <w:r>
        <w:rPr>
          <w:rFonts w:hint="eastAsia"/>
          <w:lang w:eastAsia="zh-CN"/>
        </w:rPr>
        <w:t>采用常规蒸汽汽提再生工艺，处理全厂所有脱硫单元的富胺液，再生后的贫胺液返回各生产装置脱硫单元循环使用。</w:t>
      </w:r>
    </w:p>
    <w:p>
      <w:pPr>
        <w:pStyle w:val="15"/>
        <w:spacing w:beforeLines="50" w:line="360" w:lineRule="auto"/>
        <w:ind w:left="342" w:leftChars="9" w:hanging="322" w:hangingChars="146"/>
        <w:jc w:val="both"/>
        <w:rPr>
          <w:lang w:eastAsia="zh-CN"/>
        </w:rPr>
      </w:pPr>
      <w:r>
        <w:rPr>
          <w:rFonts w:hint="eastAsia"/>
          <w:b/>
          <w:bCs/>
          <w:lang w:eastAsia="zh-CN"/>
        </w:rPr>
        <w:t>2. 酸性水汽提装置:</w:t>
      </w:r>
      <w:r>
        <w:rPr>
          <w:rFonts w:hint="eastAsia"/>
          <w:lang w:eastAsia="zh-CN"/>
        </w:rPr>
        <w:t>80万吨/年的酸性水汽提装置采用单塔低压全吹出汽提工艺，处理上游装置含硫废水，酸性气送硫磺回收单元，净化水送上游装置回用或污水处理厂。</w:t>
      </w:r>
    </w:p>
    <w:p>
      <w:pPr>
        <w:pStyle w:val="15"/>
        <w:spacing w:beforeLines="50" w:line="360" w:lineRule="auto"/>
        <w:ind w:left="342" w:leftChars="9" w:hanging="322" w:hangingChars="146"/>
        <w:jc w:val="both"/>
        <w:rPr>
          <w:lang w:eastAsia="zh-CN"/>
        </w:rPr>
      </w:pPr>
      <w:r>
        <w:rPr>
          <w:rFonts w:hint="eastAsia"/>
          <w:b/>
          <w:bCs/>
          <w:lang w:eastAsia="zh-CN"/>
        </w:rPr>
        <w:t>3. 厂区液硫罐区:</w:t>
      </w:r>
      <w:r>
        <w:rPr>
          <w:rFonts w:hint="eastAsia"/>
          <w:lang w:eastAsia="zh-CN"/>
        </w:rPr>
        <w:t>厂区液硫罐区设置液硫储罐2台，单罐容积为2000m</w:t>
      </w:r>
      <w:r>
        <w:rPr>
          <w:rFonts w:hint="eastAsia"/>
          <w:vertAlign w:val="superscript"/>
          <w:lang w:eastAsia="zh-CN"/>
        </w:rPr>
        <w:t>3</w:t>
      </w:r>
      <w:r>
        <w:rPr>
          <w:rFonts w:hint="eastAsia"/>
          <w:lang w:eastAsia="zh-CN"/>
        </w:rPr>
        <w:t>的固定顶罐，配套液硫汽车装车泵、装车位。</w:t>
      </w:r>
    </w:p>
    <w:p>
      <w:pPr>
        <w:pStyle w:val="15"/>
        <w:spacing w:beforeLines="50" w:line="360" w:lineRule="auto"/>
        <w:ind w:left="342" w:leftChars="9" w:hanging="322" w:hangingChars="146"/>
        <w:jc w:val="both"/>
        <w:rPr>
          <w:lang w:eastAsia="zh-CN"/>
        </w:rPr>
      </w:pPr>
      <w:r>
        <w:rPr>
          <w:rFonts w:hint="eastAsia"/>
          <w:b/>
          <w:bCs/>
          <w:lang w:eastAsia="zh-CN"/>
        </w:rPr>
        <w:t>4. 凝析油加氢装置:</w:t>
      </w:r>
      <w:r>
        <w:rPr>
          <w:rFonts w:hint="eastAsia"/>
          <w:lang w:eastAsia="zh-CN"/>
        </w:rPr>
        <w:t xml:space="preserve"> 500 万吨/年凝析油加氢装置采用催化加氢工艺，对凝析油进行加氢预处理,向下游供应硫含量合格的原料。装置包括加氢反应、汽提、液化气脱硫化氢、液化气回收、循环氢系统等部分。</w:t>
      </w:r>
    </w:p>
    <w:p>
      <w:pPr>
        <w:pStyle w:val="15"/>
        <w:spacing w:beforeLines="50" w:line="360" w:lineRule="auto"/>
        <w:ind w:left="342" w:leftChars="9" w:hanging="322" w:hangingChars="146"/>
        <w:jc w:val="both"/>
        <w:rPr>
          <w:lang w:eastAsia="zh-CN"/>
        </w:rPr>
      </w:pPr>
      <w:r>
        <w:rPr>
          <w:rFonts w:hint="eastAsia"/>
          <w:b/>
          <w:lang w:eastAsia="zh-CN"/>
        </w:rPr>
        <w:t>5. 重整氢PSA装置:</w:t>
      </w:r>
      <w:r>
        <w:rPr>
          <w:rFonts w:hint="eastAsia"/>
          <w:lang w:eastAsia="zh-CN"/>
        </w:rPr>
        <w:t>200000Nm</w:t>
      </w:r>
      <w:r>
        <w:rPr>
          <w:rFonts w:hint="eastAsia"/>
          <w:vertAlign w:val="superscript"/>
          <w:lang w:eastAsia="zh-CN"/>
        </w:rPr>
        <w:t>3</w:t>
      </w:r>
      <w:r>
        <w:rPr>
          <w:rFonts w:hint="eastAsia"/>
          <w:lang w:eastAsia="zh-CN"/>
        </w:rPr>
        <w:t>/h 重整氢PSA 装置采用变压吸附剂技术，生产高纯度氢气。</w:t>
      </w:r>
    </w:p>
    <w:p>
      <w:pPr>
        <w:pStyle w:val="15"/>
        <w:spacing w:beforeLines="50" w:line="360" w:lineRule="auto"/>
        <w:ind w:left="342" w:leftChars="9" w:hanging="322" w:hangingChars="146"/>
        <w:jc w:val="both"/>
        <w:rPr>
          <w:lang w:eastAsia="zh-CN"/>
        </w:rPr>
      </w:pPr>
      <w:r>
        <w:rPr>
          <w:rFonts w:hint="eastAsia"/>
          <w:b/>
          <w:lang w:eastAsia="zh-CN"/>
        </w:rPr>
        <w:t>6. PTA装置:</w:t>
      </w:r>
      <w:r>
        <w:rPr>
          <w:rFonts w:hint="eastAsia"/>
          <w:lang w:eastAsia="zh-CN"/>
        </w:rPr>
        <w:t>PTA 装置年产450 万吨精制对苯二甲酸。装置包括氧化工段、精制工段、成品包装工段。</w:t>
      </w:r>
    </w:p>
    <w:p>
      <w:pPr>
        <w:pStyle w:val="15"/>
        <w:spacing w:beforeLines="50" w:line="360" w:lineRule="auto"/>
        <w:ind w:left="342" w:leftChars="9" w:hanging="322" w:hangingChars="146"/>
        <w:jc w:val="both"/>
        <w:rPr>
          <w:lang w:eastAsia="zh-CN"/>
        </w:rPr>
      </w:pPr>
      <w:r>
        <w:rPr>
          <w:rFonts w:hint="eastAsia"/>
          <w:b/>
          <w:lang w:eastAsia="zh-CN"/>
        </w:rPr>
        <w:t>7. 储运装置:</w:t>
      </w:r>
      <w:r>
        <w:rPr>
          <w:rFonts w:hint="eastAsia"/>
          <w:lang w:eastAsia="zh-CN"/>
        </w:rPr>
        <w:t>储运装置包括储运罐区、装车台、厂内管廊、脱臭装置、三苯VOC处理装置。</w:t>
      </w:r>
    </w:p>
    <w:p>
      <w:pPr>
        <w:pStyle w:val="15"/>
        <w:spacing w:beforeLines="50" w:line="360" w:lineRule="auto"/>
        <w:ind w:left="342" w:leftChars="9" w:hanging="322" w:hangingChars="146"/>
        <w:jc w:val="both"/>
        <w:rPr>
          <w:sz w:val="24"/>
          <w:szCs w:val="24"/>
          <w:lang w:eastAsia="zh-CN"/>
        </w:rPr>
      </w:pPr>
      <w:r>
        <w:rPr>
          <w:rFonts w:hint="eastAsia"/>
          <w:b/>
          <w:lang w:eastAsia="zh-CN"/>
        </w:rPr>
        <w:t>8  空压装置:</w:t>
      </w:r>
      <w:r>
        <w:rPr>
          <w:rFonts w:hint="eastAsia"/>
          <w:sz w:val="24"/>
          <w:szCs w:val="24"/>
          <w:lang w:eastAsia="zh-CN"/>
        </w:rPr>
        <w:t>空压站装置包括压空系统、循环冷却水系统。</w:t>
      </w:r>
    </w:p>
    <w:p>
      <w:pPr>
        <w:pStyle w:val="15"/>
        <w:spacing w:beforeLines="50" w:line="360" w:lineRule="auto"/>
        <w:ind w:left="342" w:leftChars="9" w:hanging="322" w:hangingChars="146"/>
        <w:jc w:val="both"/>
        <w:rPr>
          <w:b/>
          <w:lang w:eastAsia="zh-CN"/>
        </w:rPr>
      </w:pPr>
      <w:r>
        <w:rPr>
          <w:rFonts w:hint="eastAsia"/>
          <w:b/>
          <w:lang w:eastAsia="zh-CN"/>
        </w:rPr>
        <w:t>9. 制冷装置:</w:t>
      </w:r>
      <w:r>
        <w:rPr>
          <w:rFonts w:hint="eastAsia"/>
          <w:lang w:eastAsia="zh-CN"/>
        </w:rPr>
        <w:t>制冷装置包含工艺冷冻水和空调冷冻水系统。</w:t>
      </w:r>
    </w:p>
    <w:p>
      <w:pPr>
        <w:pStyle w:val="15"/>
        <w:spacing w:beforeLines="50" w:line="360" w:lineRule="auto"/>
        <w:ind w:left="342" w:leftChars="9" w:hanging="322" w:hangingChars="146"/>
        <w:jc w:val="both"/>
        <w:rPr>
          <w:bCs/>
          <w:lang w:eastAsia="zh-CN"/>
        </w:rPr>
      </w:pPr>
      <w:r>
        <w:rPr>
          <w:rFonts w:hint="eastAsia"/>
          <w:b/>
          <w:lang w:eastAsia="zh-CN"/>
        </w:rPr>
        <w:t>10. 循环水装置:</w:t>
      </w:r>
      <w:r>
        <w:rPr>
          <w:rFonts w:hint="eastAsia"/>
          <w:bCs/>
          <w:lang w:eastAsia="zh-CN"/>
        </w:rPr>
        <w:t>循环水装置</w:t>
      </w:r>
      <w:r>
        <w:rPr>
          <w:bCs/>
          <w:lang w:eastAsia="zh-CN"/>
        </w:rPr>
        <w:t>由</w:t>
      </w:r>
      <w:r>
        <w:rPr>
          <w:rFonts w:hint="eastAsia"/>
          <w:bCs/>
          <w:lang w:eastAsia="zh-CN"/>
        </w:rPr>
        <w:t>两座</w:t>
      </w:r>
      <w:r>
        <w:rPr>
          <w:bCs/>
          <w:lang w:eastAsia="zh-CN"/>
        </w:rPr>
        <w:t>冷却塔、</w:t>
      </w:r>
      <w:r>
        <w:rPr>
          <w:rFonts w:hint="eastAsia"/>
          <w:bCs/>
          <w:lang w:eastAsia="zh-CN"/>
        </w:rPr>
        <w:t>两个</w:t>
      </w:r>
      <w:r>
        <w:rPr>
          <w:bCs/>
          <w:lang w:eastAsia="zh-CN"/>
        </w:rPr>
        <w:t>塔下水池、</w:t>
      </w:r>
      <w:r>
        <w:rPr>
          <w:rFonts w:hint="eastAsia"/>
          <w:bCs/>
          <w:lang w:eastAsia="zh-CN"/>
        </w:rPr>
        <w:t>两个</w:t>
      </w:r>
      <w:r>
        <w:rPr>
          <w:bCs/>
          <w:lang w:eastAsia="zh-CN"/>
        </w:rPr>
        <w:t>吸水池</w:t>
      </w:r>
      <w:r>
        <w:rPr>
          <w:rFonts w:hint="eastAsia"/>
          <w:bCs/>
          <w:lang w:eastAsia="zh-CN"/>
        </w:rPr>
        <w:t>、水处理加</w:t>
      </w:r>
      <w:r>
        <w:rPr>
          <w:bCs/>
          <w:lang w:eastAsia="zh-CN"/>
        </w:rPr>
        <w:t>药</w:t>
      </w:r>
      <w:r>
        <w:rPr>
          <w:rFonts w:hint="eastAsia"/>
          <w:bCs/>
          <w:lang w:eastAsia="zh-CN"/>
        </w:rPr>
        <w:t>装置</w:t>
      </w:r>
      <w:r>
        <w:rPr>
          <w:bCs/>
          <w:lang w:eastAsia="zh-CN"/>
        </w:rPr>
        <w:t>及其动力配电等组成</w:t>
      </w:r>
      <w:r>
        <w:rPr>
          <w:rFonts w:hint="eastAsia"/>
          <w:bCs/>
          <w:lang w:eastAsia="zh-CN"/>
        </w:rPr>
        <w:t>。</w:t>
      </w:r>
    </w:p>
    <w:p>
      <w:pPr>
        <w:pStyle w:val="15"/>
        <w:spacing w:beforeLines="50" w:line="360" w:lineRule="auto"/>
        <w:ind w:left="342" w:leftChars="9" w:hanging="322" w:hangingChars="146"/>
        <w:jc w:val="both"/>
        <w:rPr>
          <w:b/>
          <w:lang w:eastAsia="zh-CN"/>
        </w:rPr>
      </w:pPr>
      <w:r>
        <w:rPr>
          <w:rFonts w:hint="eastAsia"/>
          <w:b/>
          <w:lang w:eastAsia="zh-CN"/>
        </w:rPr>
        <w:t>11. 制氮装置:</w:t>
      </w:r>
      <w:r>
        <w:rPr>
          <w:rFonts w:hint="eastAsia"/>
          <w:position w:val="1"/>
          <w:lang w:eastAsia="zh-CN"/>
        </w:rPr>
        <w:t>制氮装置利用</w:t>
      </w:r>
      <w:r>
        <w:rPr>
          <w:rFonts w:hint="eastAsia"/>
          <w:spacing w:val="-1"/>
          <w:position w:val="1"/>
          <w:lang w:eastAsia="zh-CN"/>
        </w:rPr>
        <w:t>深</w:t>
      </w:r>
      <w:r>
        <w:rPr>
          <w:rFonts w:hint="eastAsia"/>
          <w:position w:val="1"/>
          <w:lang w:eastAsia="zh-CN"/>
        </w:rPr>
        <w:t>冷分离原理生产氮气。</w:t>
      </w:r>
      <w:r>
        <w:rPr>
          <w:lang w:eastAsia="zh-CN"/>
        </w:rPr>
        <w:t>采用水冷型</w:t>
      </w:r>
      <w:r>
        <w:rPr>
          <w:rFonts w:hint="eastAsia"/>
          <w:lang w:eastAsia="zh-CN"/>
        </w:rPr>
        <w:t>冷气机组</w:t>
      </w:r>
      <w:r>
        <w:rPr>
          <w:lang w:eastAsia="zh-CN"/>
        </w:rPr>
        <w:t>预冷、分子筛空气净化、单塔空气精馏、返流膨胀制冷等工艺</w:t>
      </w:r>
      <w:r>
        <w:rPr>
          <w:rFonts w:hint="eastAsia"/>
          <w:lang w:eastAsia="zh-CN"/>
        </w:rPr>
        <w:t>。</w:t>
      </w:r>
    </w:p>
    <w:p>
      <w:pPr>
        <w:pStyle w:val="15"/>
        <w:spacing w:beforeLines="50" w:line="360" w:lineRule="auto"/>
        <w:ind w:left="342" w:leftChars="9" w:hanging="322" w:hangingChars="146"/>
        <w:jc w:val="both"/>
        <w:rPr>
          <w:b/>
          <w:lang w:eastAsia="zh-CN"/>
        </w:rPr>
      </w:pPr>
      <w:r>
        <w:rPr>
          <w:rFonts w:hint="eastAsia"/>
          <w:b/>
          <w:lang w:eastAsia="zh-CN"/>
        </w:rPr>
        <w:t>12. PX污水处理装置:</w:t>
      </w:r>
      <w:r>
        <w:rPr>
          <w:rFonts w:hint="eastAsia"/>
          <w:lang w:eastAsia="zh-CN"/>
        </w:rPr>
        <w:t>PX污水处理装置包括污水处理系统（含油、含盐污水处理单元、污泥脱水单元及污油回收处理单元）、雨水监控及消防事故池系统、污水处理场臭气处理系统、含BTX废水汽提处理系统及清净废水处理与回用系统五个部分。</w:t>
      </w:r>
    </w:p>
    <w:p>
      <w:pPr>
        <w:pStyle w:val="15"/>
        <w:spacing w:beforeLines="50" w:line="360" w:lineRule="auto"/>
        <w:ind w:left="342" w:leftChars="9" w:hanging="322" w:hangingChars="146"/>
        <w:jc w:val="both"/>
        <w:rPr>
          <w:b/>
          <w:lang w:eastAsia="zh-CN"/>
        </w:rPr>
      </w:pPr>
      <w:r>
        <w:rPr>
          <w:rFonts w:hint="eastAsia"/>
          <w:b/>
          <w:lang w:eastAsia="zh-CN"/>
        </w:rPr>
        <w:t>13. 水处理装置:</w:t>
      </w:r>
      <w:r>
        <w:rPr>
          <w:rFonts w:hint="eastAsia"/>
          <w:lang w:eastAsia="zh-CN"/>
        </w:rPr>
        <w:t>水处理装置包含工业水处理及加压供水系统、除盐水系统、凝结水处理系统、生活给水系统、消防水系统五个部分。</w:t>
      </w:r>
    </w:p>
    <w:p>
      <w:pPr>
        <w:numPr>
          <w:ilvl w:val="0"/>
          <w:numId w:val="2"/>
        </w:numPr>
        <w:tabs>
          <w:tab w:val="left" w:pos="426"/>
        </w:tabs>
        <w:spacing w:beforeLines="50" w:line="360" w:lineRule="auto"/>
        <w:rPr>
          <w:rFonts w:ascii="Arial" w:hAnsi="Arial" w:cs="Arial"/>
        </w:rPr>
      </w:pPr>
      <w:r>
        <w:rPr>
          <w:rFonts w:hint="eastAsia" w:ascii="Arial" w:hAnsi="Arial" w:cs="Arial"/>
          <w:b/>
        </w:rPr>
        <w:t>工作依据及要求</w:t>
      </w:r>
      <w:r>
        <w:rPr>
          <w:rFonts w:hint="eastAsia" w:ascii="Arial" w:hAnsi="Arial" w:cs="Arial"/>
        </w:rPr>
        <w:t>：</w:t>
      </w:r>
    </w:p>
    <w:p>
      <w:pPr>
        <w:numPr>
          <w:ilvl w:val="0"/>
          <w:numId w:val="4"/>
        </w:numPr>
        <w:tabs>
          <w:tab w:val="left" w:pos="0"/>
          <w:tab w:val="clear" w:pos="840"/>
        </w:tabs>
        <w:spacing w:beforeLines="50" w:line="360" w:lineRule="auto"/>
        <w:ind w:left="0" w:firstLine="480"/>
        <w:jc w:val="both"/>
      </w:pPr>
      <w:r>
        <w:rPr>
          <w:rFonts w:hint="eastAsia"/>
          <w:lang w:eastAsia="zh-CN"/>
        </w:rPr>
        <w:t>遵循我国现行国家及地方的法律、法规、规范和行业规范、中石化标准的有关规定。</w:t>
      </w:r>
      <w:r>
        <w:rPr>
          <w:rFonts w:hint="eastAsia"/>
        </w:rPr>
        <w:t>包括但不限于：</w:t>
      </w:r>
    </w:p>
    <w:p>
      <w:pPr>
        <w:spacing w:beforeLines="50" w:line="360" w:lineRule="auto"/>
        <w:ind w:left="840"/>
        <w:jc w:val="both"/>
        <w:rPr>
          <w:lang w:eastAsia="zh-CN"/>
        </w:rPr>
      </w:pPr>
      <w:r>
        <w:rPr>
          <w:rFonts w:hint="eastAsia"/>
          <w:lang w:eastAsia="zh-CN"/>
        </w:rPr>
        <w:t>AQ/T3049-2013 危险与可操作性分析（HAZOP分析）应用导则</w:t>
      </w:r>
    </w:p>
    <w:p>
      <w:pPr>
        <w:spacing w:beforeLines="50" w:line="360" w:lineRule="auto"/>
        <w:ind w:left="840"/>
        <w:jc w:val="both"/>
        <w:rPr>
          <w:lang w:eastAsia="zh-CN"/>
        </w:rPr>
      </w:pPr>
      <w:r>
        <w:rPr>
          <w:rFonts w:hint="eastAsia"/>
          <w:lang w:eastAsia="zh-CN"/>
        </w:rPr>
        <w:t>Q/SH 0559-2013 危险与可操作性分析实施导则</w:t>
      </w:r>
    </w:p>
    <w:p>
      <w:pPr>
        <w:spacing w:beforeLines="50" w:line="360" w:lineRule="auto"/>
        <w:ind w:left="840"/>
        <w:jc w:val="both"/>
        <w:rPr>
          <w:rFonts w:ascii="Arial" w:hAnsi="Arial" w:cs="Arial"/>
          <w:color w:val="333333"/>
          <w:sz w:val="20"/>
          <w:szCs w:val="20"/>
          <w:shd w:val="clear" w:color="auto" w:fill="FFFFFF"/>
          <w:lang w:eastAsia="zh-CN"/>
        </w:rPr>
      </w:pPr>
      <w:r>
        <w:rPr>
          <w:rFonts w:hint="eastAsia"/>
          <w:lang w:eastAsia="zh-CN"/>
        </w:rPr>
        <w:t>Q/SH 0560-2013 HSE风险矩阵标准</w:t>
      </w:r>
    </w:p>
    <w:p>
      <w:pPr>
        <w:spacing w:beforeLines="50" w:line="360" w:lineRule="auto"/>
        <w:ind w:left="840"/>
        <w:jc w:val="both"/>
        <w:rPr>
          <w:lang w:eastAsia="zh-CN"/>
        </w:rPr>
      </w:pPr>
      <w:r>
        <w:rPr>
          <w:rFonts w:hint="eastAsia"/>
          <w:lang w:eastAsia="zh-CN"/>
        </w:rPr>
        <w:t>《中国石化危险与可操作性分析实施管理规定》（中国石化安[2013]258号）</w:t>
      </w:r>
    </w:p>
    <w:p>
      <w:pPr>
        <w:numPr>
          <w:ilvl w:val="0"/>
          <w:numId w:val="4"/>
        </w:numPr>
        <w:tabs>
          <w:tab w:val="left" w:pos="0"/>
          <w:tab w:val="clear" w:pos="840"/>
        </w:tabs>
        <w:spacing w:beforeLines="50" w:line="360" w:lineRule="auto"/>
        <w:ind w:left="0" w:firstLine="480"/>
        <w:jc w:val="both"/>
        <w:rPr>
          <w:lang w:eastAsia="zh-CN"/>
        </w:rPr>
      </w:pPr>
      <w:r>
        <w:rPr>
          <w:rFonts w:hint="eastAsia"/>
          <w:lang w:eastAsia="zh-CN"/>
        </w:rPr>
        <w:t>以装置或单元为单位进行风险辨识及出版HAZOP报告。</w:t>
      </w:r>
    </w:p>
    <w:p>
      <w:pPr>
        <w:numPr>
          <w:ilvl w:val="0"/>
          <w:numId w:val="4"/>
        </w:numPr>
        <w:tabs>
          <w:tab w:val="left" w:pos="0"/>
          <w:tab w:val="clear" w:pos="840"/>
        </w:tabs>
        <w:spacing w:beforeLines="50" w:line="360" w:lineRule="auto"/>
        <w:ind w:left="0" w:firstLine="480"/>
        <w:jc w:val="both"/>
        <w:rPr>
          <w:lang w:eastAsia="zh-CN"/>
        </w:rPr>
      </w:pPr>
      <w:r>
        <w:rPr>
          <w:rFonts w:hint="eastAsia"/>
          <w:lang w:eastAsia="zh-CN"/>
        </w:rPr>
        <w:t>遵循发包人要求执行的相关制度和规定。</w:t>
      </w:r>
    </w:p>
    <w:p>
      <w:pPr>
        <w:numPr>
          <w:ilvl w:val="0"/>
          <w:numId w:val="4"/>
        </w:numPr>
        <w:tabs>
          <w:tab w:val="left" w:pos="0"/>
          <w:tab w:val="clear" w:pos="840"/>
        </w:tabs>
        <w:spacing w:beforeLines="50" w:line="360" w:lineRule="auto"/>
        <w:ind w:left="0" w:firstLine="480"/>
        <w:jc w:val="both"/>
        <w:rPr>
          <w:lang w:eastAsia="zh-CN"/>
        </w:rPr>
      </w:pPr>
      <w:r>
        <w:rPr>
          <w:rFonts w:hint="eastAsia"/>
          <w:lang w:eastAsia="zh-CN"/>
        </w:rPr>
        <w:t>投标人投标时确定的HAZOP风险辨识主席，中标后不得变更，如果变更将处违约金，且合同自动作废，并赔偿发包方损失。</w:t>
      </w:r>
    </w:p>
    <w:p>
      <w:pPr>
        <w:numPr>
          <w:ilvl w:val="0"/>
          <w:numId w:val="4"/>
        </w:numPr>
        <w:tabs>
          <w:tab w:val="left" w:pos="0"/>
          <w:tab w:val="clear" w:pos="840"/>
        </w:tabs>
        <w:spacing w:beforeLines="50" w:line="360" w:lineRule="auto"/>
        <w:ind w:left="0" w:firstLine="480"/>
        <w:jc w:val="both"/>
        <w:rPr>
          <w:lang w:eastAsia="zh-CN"/>
        </w:rPr>
      </w:pPr>
      <w:r>
        <w:rPr>
          <w:rFonts w:hint="eastAsia"/>
          <w:lang w:eastAsia="zh-CN"/>
        </w:rPr>
        <w:t>投标人应针对各装置实际安排对应的风险辨识小组，执行本案各分析小组的HAZOP主席、HAZOP秘书、HAZOP专业工程师资质要求：</w:t>
      </w:r>
    </w:p>
    <w:p>
      <w:pPr>
        <w:numPr>
          <w:ilvl w:val="0"/>
          <w:numId w:val="5"/>
        </w:numPr>
        <w:spacing w:line="360" w:lineRule="auto"/>
        <w:ind w:firstLine="5"/>
        <w:jc w:val="both"/>
        <w:rPr>
          <w:lang w:eastAsia="zh-CN"/>
        </w:rPr>
      </w:pPr>
      <w:r>
        <w:rPr>
          <w:rFonts w:hint="eastAsia"/>
          <w:lang w:eastAsia="zh-CN"/>
        </w:rPr>
        <w:t>HAZOP主席工作经验要求，包括但不限于下列内容：</w:t>
      </w:r>
    </w:p>
    <w:p>
      <w:pPr>
        <w:numPr>
          <w:ilvl w:val="0"/>
          <w:numId w:val="6"/>
        </w:numPr>
        <w:spacing w:line="360" w:lineRule="auto"/>
        <w:jc w:val="both"/>
        <w:rPr>
          <w:lang w:eastAsia="zh-CN"/>
        </w:rPr>
      </w:pPr>
      <w:r>
        <w:rPr>
          <w:rFonts w:hint="eastAsia"/>
          <w:lang w:eastAsia="zh-CN"/>
        </w:rPr>
        <w:t>必须主持分析过大型炼油化工装置项目3家以上，需提供业绩合同复印件佐证；</w:t>
      </w:r>
    </w:p>
    <w:p>
      <w:pPr>
        <w:numPr>
          <w:ilvl w:val="0"/>
          <w:numId w:val="6"/>
        </w:numPr>
        <w:spacing w:line="360" w:lineRule="auto"/>
        <w:jc w:val="both"/>
        <w:rPr>
          <w:lang w:eastAsia="zh-CN"/>
        </w:rPr>
      </w:pPr>
      <w:r>
        <w:rPr>
          <w:rFonts w:hint="eastAsia"/>
          <w:lang w:eastAsia="zh-CN"/>
        </w:rPr>
        <w:t>HAZOP主席为投标方专职人员，提供纳税证明及履历表加盖公章证明；</w:t>
      </w:r>
    </w:p>
    <w:p>
      <w:pPr>
        <w:numPr>
          <w:ilvl w:val="0"/>
          <w:numId w:val="6"/>
        </w:numPr>
        <w:spacing w:line="360" w:lineRule="auto"/>
        <w:jc w:val="both"/>
        <w:rPr>
          <w:lang w:eastAsia="zh-CN"/>
        </w:rPr>
      </w:pPr>
      <w:r>
        <w:rPr>
          <w:rFonts w:hint="eastAsia"/>
          <w:lang w:eastAsia="zh-CN"/>
        </w:rPr>
        <w:t>HAZOP主席需接受过正规的HAZOP培训，且持有相关HAZOP培训合格证书。</w:t>
      </w:r>
    </w:p>
    <w:p>
      <w:pPr>
        <w:numPr>
          <w:ilvl w:val="0"/>
          <w:numId w:val="5"/>
        </w:numPr>
        <w:spacing w:line="360" w:lineRule="auto"/>
        <w:ind w:firstLine="5"/>
        <w:jc w:val="both"/>
      </w:pPr>
      <w:r>
        <w:rPr>
          <w:rFonts w:hint="eastAsia"/>
        </w:rPr>
        <w:t>HAZOP秘书要求</w:t>
      </w:r>
    </w:p>
    <w:p>
      <w:pPr>
        <w:numPr>
          <w:ilvl w:val="0"/>
          <w:numId w:val="7"/>
        </w:numPr>
        <w:spacing w:line="360" w:lineRule="auto"/>
        <w:jc w:val="both"/>
        <w:rPr>
          <w:lang w:eastAsia="zh-CN"/>
        </w:rPr>
      </w:pPr>
      <w:r>
        <w:rPr>
          <w:rFonts w:hint="eastAsia"/>
          <w:lang w:eastAsia="zh-CN"/>
        </w:rPr>
        <w:t>HAZOP秘书须在大型炼油化工企业相关专业工作经历5年以上；</w:t>
      </w:r>
    </w:p>
    <w:p>
      <w:pPr>
        <w:numPr>
          <w:ilvl w:val="0"/>
          <w:numId w:val="7"/>
        </w:numPr>
        <w:spacing w:line="360" w:lineRule="auto"/>
        <w:jc w:val="both"/>
        <w:rPr>
          <w:lang w:eastAsia="zh-CN"/>
        </w:rPr>
      </w:pPr>
      <w:r>
        <w:rPr>
          <w:rFonts w:hint="eastAsia"/>
          <w:lang w:eastAsia="zh-CN"/>
        </w:rPr>
        <w:t>须有HAZOP分析工作经验，至少3个大型炼油化工装置HAZOP分析记录经验，提供相关证明。</w:t>
      </w:r>
    </w:p>
    <w:p>
      <w:pPr>
        <w:numPr>
          <w:ilvl w:val="0"/>
          <w:numId w:val="5"/>
        </w:numPr>
        <w:spacing w:line="360" w:lineRule="auto"/>
        <w:ind w:firstLine="5"/>
        <w:jc w:val="both"/>
        <w:rPr>
          <w:lang w:eastAsia="zh-CN"/>
        </w:rPr>
      </w:pPr>
      <w:r>
        <w:rPr>
          <w:rFonts w:hint="eastAsia"/>
          <w:lang w:eastAsia="zh-CN"/>
        </w:rPr>
        <w:t>HAZOP专业工程师要求</w:t>
      </w:r>
    </w:p>
    <w:p>
      <w:pPr>
        <w:spacing w:line="360" w:lineRule="auto"/>
        <w:ind w:left="851" w:firstLine="440" w:firstLineChars="200"/>
        <w:jc w:val="both"/>
        <w:rPr>
          <w:lang w:eastAsia="zh-CN"/>
        </w:rPr>
      </w:pPr>
      <w:r>
        <w:rPr>
          <w:rFonts w:hint="eastAsia"/>
          <w:lang w:eastAsia="zh-CN"/>
        </w:rPr>
        <w:t>HAZOP专业工程师须在大型炼油化工企业从事本专业工作10年以上，提供履历表及相关证明。</w:t>
      </w:r>
    </w:p>
    <w:p>
      <w:pPr>
        <w:numPr>
          <w:ilvl w:val="0"/>
          <w:numId w:val="5"/>
        </w:numPr>
        <w:spacing w:line="360" w:lineRule="auto"/>
        <w:ind w:firstLine="5"/>
        <w:jc w:val="both"/>
        <w:rPr>
          <w:lang w:eastAsia="zh-CN"/>
        </w:rPr>
      </w:pPr>
      <w:r>
        <w:rPr>
          <w:rFonts w:hint="eastAsia"/>
          <w:lang w:eastAsia="zh-CN"/>
        </w:rPr>
        <w:t>分析方案中确定的HAZOP主席不可更换，在整个分析过程中，风险辨识小组成员应保持不变。</w:t>
      </w:r>
    </w:p>
    <w:p>
      <w:pPr>
        <w:numPr>
          <w:ilvl w:val="0"/>
          <w:numId w:val="5"/>
        </w:numPr>
        <w:spacing w:line="360" w:lineRule="auto"/>
        <w:ind w:firstLine="5"/>
        <w:jc w:val="both"/>
        <w:rPr>
          <w:lang w:eastAsia="zh-CN"/>
        </w:rPr>
      </w:pPr>
      <w:r>
        <w:rPr>
          <w:rFonts w:hint="eastAsia"/>
          <w:lang w:eastAsia="zh-CN"/>
        </w:rPr>
        <w:t>分析结果要计算出原始风险等级（不考虑安全措施的“裸风险”）、剩余风险等级（加上安全措施与建议措施后还存在风险）。</w:t>
      </w:r>
    </w:p>
    <w:p>
      <w:pPr>
        <w:numPr>
          <w:ilvl w:val="0"/>
          <w:numId w:val="5"/>
        </w:numPr>
        <w:spacing w:line="360" w:lineRule="auto"/>
        <w:ind w:firstLine="5"/>
        <w:jc w:val="both"/>
        <w:rPr>
          <w:lang w:eastAsia="zh-CN"/>
        </w:rPr>
      </w:pPr>
      <w:r>
        <w:rPr>
          <w:rFonts w:hint="eastAsia"/>
          <w:lang w:eastAsia="zh-CN"/>
        </w:rPr>
        <w:t>HAZOP建议措施要有优先原则，并不是随意提出，如：</w:t>
      </w:r>
    </w:p>
    <w:p>
      <w:pPr>
        <w:numPr>
          <w:ilvl w:val="0"/>
          <w:numId w:val="8"/>
        </w:numPr>
        <w:spacing w:line="360" w:lineRule="auto"/>
        <w:ind w:left="1276" w:hanging="283"/>
        <w:jc w:val="both"/>
        <w:rPr>
          <w:lang w:eastAsia="zh-CN"/>
        </w:rPr>
      </w:pPr>
      <w:r>
        <w:rPr>
          <w:rFonts w:hint="eastAsia"/>
          <w:lang w:eastAsia="zh-CN"/>
        </w:rPr>
        <w:t>加强现有安全措施的管理，确保好用，优先于增加新的措施；</w:t>
      </w:r>
    </w:p>
    <w:p>
      <w:pPr>
        <w:numPr>
          <w:ilvl w:val="0"/>
          <w:numId w:val="8"/>
        </w:numPr>
        <w:spacing w:line="360" w:lineRule="auto"/>
        <w:ind w:left="1276" w:hanging="283"/>
        <w:jc w:val="both"/>
        <w:rPr>
          <w:lang w:eastAsia="zh-CN"/>
        </w:rPr>
      </w:pPr>
      <w:r>
        <w:rPr>
          <w:rFonts w:hint="eastAsia"/>
          <w:lang w:eastAsia="zh-CN"/>
        </w:rPr>
        <w:t>防止措施优先于减缓措施；</w:t>
      </w:r>
    </w:p>
    <w:p>
      <w:pPr>
        <w:numPr>
          <w:ilvl w:val="0"/>
          <w:numId w:val="8"/>
        </w:numPr>
        <w:spacing w:line="360" w:lineRule="auto"/>
        <w:ind w:left="1276" w:hanging="283"/>
        <w:jc w:val="both"/>
        <w:rPr>
          <w:lang w:eastAsia="zh-CN"/>
        </w:rPr>
      </w:pPr>
      <w:r>
        <w:rPr>
          <w:rFonts w:hint="eastAsia"/>
          <w:lang w:eastAsia="zh-CN"/>
        </w:rPr>
        <w:t>常规安全措施优先于功能安全仪表。</w:t>
      </w:r>
    </w:p>
    <w:p>
      <w:pPr>
        <w:numPr>
          <w:ilvl w:val="0"/>
          <w:numId w:val="5"/>
        </w:numPr>
        <w:spacing w:line="360" w:lineRule="auto"/>
        <w:ind w:firstLine="5"/>
        <w:jc w:val="both"/>
        <w:rPr>
          <w:lang w:eastAsia="zh-CN"/>
        </w:rPr>
      </w:pPr>
      <w:r>
        <w:rPr>
          <w:rFonts w:hint="eastAsia"/>
          <w:lang w:eastAsia="zh-CN"/>
        </w:rPr>
        <w:t>为了保证HAZOP风险识别的分析质量和深度，要求对方案执行过程分析标准进行阐述，HAZOP方案包含但不限于以下内容：</w:t>
      </w:r>
    </w:p>
    <w:p>
      <w:pPr>
        <w:numPr>
          <w:ilvl w:val="0"/>
          <w:numId w:val="9"/>
        </w:numPr>
        <w:spacing w:line="360" w:lineRule="auto"/>
        <w:jc w:val="both"/>
      </w:pPr>
      <w:r>
        <w:rPr>
          <w:rFonts w:hint="eastAsia"/>
        </w:rPr>
        <w:t>划分节点的原则。</w:t>
      </w:r>
    </w:p>
    <w:p>
      <w:pPr>
        <w:numPr>
          <w:ilvl w:val="0"/>
          <w:numId w:val="9"/>
        </w:numPr>
        <w:spacing w:line="360" w:lineRule="auto"/>
        <w:jc w:val="both"/>
      </w:pPr>
      <w:r>
        <w:rPr>
          <w:rFonts w:hint="eastAsia"/>
        </w:rPr>
        <w:t>偏离选定原则。</w:t>
      </w:r>
    </w:p>
    <w:p>
      <w:pPr>
        <w:numPr>
          <w:ilvl w:val="0"/>
          <w:numId w:val="9"/>
        </w:numPr>
        <w:spacing w:line="360" w:lineRule="auto"/>
        <w:jc w:val="both"/>
        <w:rPr>
          <w:lang w:eastAsia="zh-CN"/>
        </w:rPr>
      </w:pPr>
      <w:r>
        <w:rPr>
          <w:rFonts w:hint="eastAsia"/>
          <w:lang w:eastAsia="zh-CN"/>
        </w:rPr>
        <w:t>节点内分析纳入有概念性参数，都考虑哪些。</w:t>
      </w:r>
    </w:p>
    <w:p>
      <w:pPr>
        <w:numPr>
          <w:ilvl w:val="0"/>
          <w:numId w:val="9"/>
        </w:numPr>
        <w:spacing w:line="360" w:lineRule="auto"/>
        <w:jc w:val="both"/>
        <w:rPr>
          <w:lang w:eastAsia="zh-CN"/>
        </w:rPr>
      </w:pPr>
      <w:r>
        <w:rPr>
          <w:rFonts w:hint="eastAsia"/>
          <w:lang w:eastAsia="zh-CN"/>
        </w:rPr>
        <w:t>此次HAZOP分析基于风险矩阵。明确风险等级是原始风险值（不考虑安全措施的“裸风险”），还是剩余风险值（加上安全措施与建议措施后还存在风险）。</w:t>
      </w:r>
    </w:p>
    <w:p>
      <w:pPr>
        <w:numPr>
          <w:ilvl w:val="0"/>
          <w:numId w:val="9"/>
        </w:numPr>
        <w:spacing w:line="360" w:lineRule="auto"/>
        <w:jc w:val="both"/>
      </w:pPr>
      <w:r>
        <w:rPr>
          <w:rFonts w:hint="eastAsia"/>
        </w:rPr>
        <w:t>提建议措施的原则。</w:t>
      </w:r>
    </w:p>
    <w:p>
      <w:pPr>
        <w:numPr>
          <w:ilvl w:val="0"/>
          <w:numId w:val="5"/>
        </w:numPr>
        <w:spacing w:line="360" w:lineRule="auto"/>
        <w:jc w:val="both"/>
        <w:rPr>
          <w:lang w:eastAsia="zh-CN"/>
        </w:rPr>
      </w:pPr>
      <w:r>
        <w:rPr>
          <w:rFonts w:hint="eastAsia"/>
          <w:lang w:eastAsia="zh-CN"/>
        </w:rPr>
        <w:t>HAZOP风险辨识按照AQ3049-2013《危险与可操作性分析（HAZOP分析）应用导则》的要求，对本项目各装置或设施的潜在风险进行系统地辨识，除了需对正常运行工况进行分析外，还需对非正常运行条件和不利的活动进行风险辨识，如强烈的振动、管道的水击、可能引发失效的电涌、功能失效机理等。</w:t>
      </w:r>
    </w:p>
    <w:p>
      <w:pPr>
        <w:numPr>
          <w:ilvl w:val="0"/>
          <w:numId w:val="5"/>
        </w:numPr>
        <w:spacing w:line="360" w:lineRule="auto"/>
        <w:jc w:val="both"/>
      </w:pPr>
      <w:r>
        <w:rPr>
          <w:rFonts w:hint="eastAsia"/>
          <w:lang w:eastAsia="zh-CN"/>
        </w:rPr>
        <w:t>各个节点中必须纳入概念性参数进行HAZOP风险辨识，包括但不限于下列：泄漏、仪表、采样、维护、启动停止、压力分界、静电、噪音、振动、公用工程失效、布置位置、以往事故。</w:t>
      </w:r>
      <w:r>
        <w:rPr>
          <w:rFonts w:hint="eastAsia"/>
        </w:rPr>
        <w:t>概念性参数可根据装置、设施实际具体调整。</w:t>
      </w:r>
    </w:p>
    <w:p>
      <w:pPr>
        <w:numPr>
          <w:ilvl w:val="0"/>
          <w:numId w:val="5"/>
        </w:numPr>
        <w:spacing w:line="360" w:lineRule="auto"/>
        <w:jc w:val="both"/>
        <w:rPr>
          <w:lang w:eastAsia="zh-CN"/>
        </w:rPr>
      </w:pPr>
      <w:r>
        <w:rPr>
          <w:rFonts w:hint="eastAsia"/>
          <w:lang w:eastAsia="zh-CN"/>
        </w:rPr>
        <w:t>在HAZOP风险辨识结束后，投标方HAZOP小组应将HAZOP分析报告初稿提交发包方进行沟通和交流，向发包方说明整个HAZOP分析过程和所提建议措施的依据，征询发包方的意见，并对HAZOP分析报告初稿进行进一步的修改、完善。</w:t>
      </w:r>
    </w:p>
    <w:p>
      <w:pPr>
        <w:numPr>
          <w:ilvl w:val="0"/>
          <w:numId w:val="2"/>
        </w:numPr>
        <w:tabs>
          <w:tab w:val="left" w:pos="426"/>
        </w:tabs>
        <w:spacing w:beforeLines="50" w:line="360" w:lineRule="auto"/>
        <w:rPr>
          <w:b/>
          <w:bCs/>
          <w:lang w:eastAsia="zh-CN"/>
        </w:rPr>
      </w:pPr>
      <w:r>
        <w:rPr>
          <w:rFonts w:hint="eastAsia" w:ascii="Arial" w:hAnsi="Arial" w:cs="Arial"/>
          <w:b/>
          <w:lang w:eastAsia="zh-CN"/>
        </w:rPr>
        <w:t>计划工期:</w:t>
      </w:r>
      <w:r>
        <w:rPr>
          <w:rFonts w:hint="eastAsia"/>
          <w:b/>
          <w:bCs/>
          <w:lang w:eastAsia="zh-CN"/>
        </w:rPr>
        <w:t>合同签订之日起至报告定稿，45天。</w:t>
      </w:r>
    </w:p>
    <w:p>
      <w:pPr>
        <w:numPr>
          <w:ilvl w:val="0"/>
          <w:numId w:val="2"/>
        </w:numPr>
        <w:tabs>
          <w:tab w:val="left" w:pos="426"/>
        </w:tabs>
        <w:spacing w:beforeLines="50" w:line="360" w:lineRule="auto"/>
        <w:rPr>
          <w:rFonts w:ascii="Arial" w:hAnsi="Arial" w:cs="Arial"/>
          <w:b/>
        </w:rPr>
      </w:pPr>
      <w:r>
        <w:rPr>
          <w:rFonts w:hint="eastAsia" w:ascii="Arial" w:hAnsi="Arial" w:cs="Arial"/>
          <w:b/>
        </w:rPr>
        <w:t>成果要求</w:t>
      </w:r>
    </w:p>
    <w:p>
      <w:pPr>
        <w:numPr>
          <w:ilvl w:val="0"/>
          <w:numId w:val="10"/>
        </w:numPr>
        <w:spacing w:beforeLines="50" w:line="360" w:lineRule="auto"/>
        <w:rPr>
          <w:lang w:eastAsia="zh-CN"/>
        </w:rPr>
      </w:pPr>
      <w:r>
        <w:rPr>
          <w:rFonts w:hint="eastAsia"/>
          <w:lang w:eastAsia="zh-CN"/>
        </w:rPr>
        <w:t>HAZOP报告内容要求</w:t>
      </w:r>
    </w:p>
    <w:p>
      <w:pPr>
        <w:spacing w:line="360" w:lineRule="auto"/>
        <w:ind w:left="420"/>
        <w:rPr>
          <w:lang w:eastAsia="zh-CN"/>
        </w:rPr>
      </w:pPr>
      <w:r>
        <w:rPr>
          <w:rFonts w:hint="eastAsia"/>
          <w:lang w:eastAsia="zh-CN"/>
        </w:rPr>
        <w:t>HAZOP报告内容包括但不限于：</w:t>
      </w:r>
    </w:p>
    <w:p>
      <w:pPr>
        <w:numPr>
          <w:ilvl w:val="0"/>
          <w:numId w:val="11"/>
        </w:numPr>
        <w:spacing w:line="360" w:lineRule="auto"/>
        <w:jc w:val="both"/>
        <w:rPr>
          <w:lang w:eastAsia="zh-CN"/>
        </w:rPr>
      </w:pPr>
      <w:r>
        <w:rPr>
          <w:rFonts w:hint="eastAsia"/>
          <w:lang w:eastAsia="zh-CN"/>
        </w:rPr>
        <w:t>封面，包括编制人，编制日期，版次等。</w:t>
      </w:r>
    </w:p>
    <w:p>
      <w:pPr>
        <w:numPr>
          <w:ilvl w:val="0"/>
          <w:numId w:val="11"/>
        </w:numPr>
        <w:spacing w:line="360" w:lineRule="auto"/>
        <w:jc w:val="both"/>
      </w:pPr>
      <w:r>
        <w:rPr>
          <w:rFonts w:hint="eastAsia"/>
        </w:rPr>
        <w:t>目录。</w:t>
      </w:r>
    </w:p>
    <w:p>
      <w:pPr>
        <w:numPr>
          <w:ilvl w:val="0"/>
          <w:numId w:val="11"/>
        </w:numPr>
        <w:spacing w:line="360" w:lineRule="auto"/>
        <w:jc w:val="both"/>
        <w:rPr>
          <w:lang w:eastAsia="zh-CN"/>
        </w:rPr>
      </w:pPr>
      <w:r>
        <w:rPr>
          <w:rFonts w:hint="eastAsia"/>
          <w:lang w:eastAsia="zh-CN"/>
        </w:rPr>
        <w:t>正文，至少包括：项目概述，工艺描述，HAZOP分析程序，HAZOP分析小组人员信息；分析范围、分析目标和节点划分；风险可接受标准；分析结论；建议措施说明。</w:t>
      </w:r>
    </w:p>
    <w:p>
      <w:pPr>
        <w:numPr>
          <w:ilvl w:val="0"/>
          <w:numId w:val="11"/>
        </w:numPr>
        <w:spacing w:line="360" w:lineRule="auto"/>
        <w:jc w:val="both"/>
        <w:rPr>
          <w:lang w:eastAsia="zh-CN"/>
        </w:rPr>
      </w:pPr>
      <w:r>
        <w:rPr>
          <w:rFonts w:hint="eastAsia"/>
          <w:lang w:eastAsia="zh-CN"/>
        </w:rPr>
        <w:t>附件，至少包括：技术资料清单，分析记录表。</w:t>
      </w:r>
    </w:p>
    <w:p>
      <w:pPr>
        <w:numPr>
          <w:ilvl w:val="0"/>
          <w:numId w:val="10"/>
        </w:numPr>
        <w:spacing w:beforeLines="50" w:line="360" w:lineRule="auto"/>
      </w:pPr>
      <w:r>
        <w:rPr>
          <w:rFonts w:hint="eastAsia"/>
        </w:rPr>
        <w:t>文件资料交付：</w:t>
      </w:r>
    </w:p>
    <w:p>
      <w:pPr>
        <w:numPr>
          <w:ilvl w:val="0"/>
          <w:numId w:val="12"/>
        </w:numPr>
        <w:spacing w:line="360" w:lineRule="auto"/>
        <w:jc w:val="both"/>
        <w:rPr>
          <w:lang w:eastAsia="zh-CN"/>
        </w:rPr>
      </w:pPr>
      <w:r>
        <w:rPr>
          <w:rFonts w:hint="eastAsia"/>
          <w:lang w:eastAsia="zh-CN"/>
        </w:rPr>
        <w:t>发包方应向中标方提供需要做HAZOP分析的工艺系统的</w:t>
      </w:r>
      <w:bookmarkStart w:id="10" w:name="OLE_LINK2"/>
      <w:r>
        <w:rPr>
          <w:rFonts w:hint="eastAsia"/>
          <w:lang w:eastAsia="zh-CN"/>
        </w:rPr>
        <w:t>P&amp;ID</w:t>
      </w:r>
      <w:bookmarkEnd w:id="10"/>
      <w:r>
        <w:rPr>
          <w:rFonts w:hint="eastAsia"/>
          <w:lang w:eastAsia="zh-CN"/>
        </w:rPr>
        <w:t>图、PFD图及相应的工艺手册、分析手册、操作规程、联锁清单、设备资料和仪表等方面的资料。</w:t>
      </w:r>
    </w:p>
    <w:p>
      <w:pPr>
        <w:numPr>
          <w:ilvl w:val="0"/>
          <w:numId w:val="12"/>
        </w:numPr>
        <w:spacing w:line="360" w:lineRule="auto"/>
        <w:jc w:val="both"/>
        <w:rPr>
          <w:lang w:eastAsia="zh-CN"/>
        </w:rPr>
      </w:pPr>
      <w:r>
        <w:rPr>
          <w:rFonts w:hint="eastAsia"/>
          <w:lang w:eastAsia="zh-CN"/>
        </w:rPr>
        <w:t>投标方应在签订商务合同前提供具备炼油工艺装置HAZOP分析专业资质的证书及成功案例等。</w:t>
      </w:r>
    </w:p>
    <w:p>
      <w:pPr>
        <w:numPr>
          <w:ilvl w:val="0"/>
          <w:numId w:val="12"/>
        </w:numPr>
        <w:spacing w:line="360" w:lineRule="auto"/>
        <w:jc w:val="both"/>
        <w:rPr>
          <w:lang w:eastAsia="zh-CN"/>
        </w:rPr>
      </w:pPr>
      <w:r>
        <w:rPr>
          <w:rFonts w:hint="eastAsia"/>
          <w:lang w:eastAsia="zh-CN"/>
        </w:rPr>
        <w:t>承包方应向发包方提供的资料、数据、材料或样品：</w:t>
      </w:r>
    </w:p>
    <w:p>
      <w:pPr>
        <w:pStyle w:val="15"/>
        <w:spacing w:beforeLines="50" w:line="360" w:lineRule="auto"/>
        <w:ind w:firstLine="389" w:firstLineChars="177"/>
        <w:jc w:val="both"/>
        <w:rPr>
          <w:lang w:eastAsia="zh-CN"/>
        </w:rPr>
      </w:pPr>
      <w:r>
        <w:rPr>
          <w:rFonts w:hint="eastAsia"/>
          <w:lang w:eastAsia="zh-CN"/>
        </w:rPr>
        <w:t>承包商提供HAZOP分析报告书纸质版8份（加盖公章），可编辑电子版和不可编辑电子版的只读光盘各3份。</w:t>
      </w:r>
    </w:p>
    <w:p>
      <w:pPr>
        <w:pStyle w:val="15"/>
        <w:spacing w:beforeLines="50" w:line="360" w:lineRule="auto"/>
        <w:ind w:firstLine="389" w:firstLineChars="177"/>
        <w:jc w:val="both"/>
        <w:rPr>
          <w:lang w:eastAsia="zh-CN"/>
        </w:rPr>
      </w:pPr>
      <w:r>
        <w:rPr>
          <w:rFonts w:hint="eastAsia"/>
          <w:lang w:eastAsia="zh-CN"/>
        </w:rPr>
        <w:t>报告书至少包括HAZOP工作表，建议措施汇总表（电子版），现场工作用的A1原图。</w:t>
      </w:r>
    </w:p>
    <w:p>
      <w:pPr>
        <w:numPr>
          <w:ilvl w:val="0"/>
          <w:numId w:val="2"/>
        </w:numPr>
        <w:tabs>
          <w:tab w:val="left" w:pos="426"/>
        </w:tabs>
        <w:spacing w:beforeLines="50" w:line="360" w:lineRule="auto"/>
        <w:rPr>
          <w:rFonts w:ascii="Arial" w:hAnsi="Arial" w:cs="Arial"/>
          <w:b/>
        </w:rPr>
      </w:pPr>
      <w:r>
        <w:rPr>
          <w:rFonts w:hint="eastAsia" w:ascii="Arial" w:hAnsi="Arial" w:cs="Arial"/>
          <w:b/>
        </w:rPr>
        <w:t>保密义务</w:t>
      </w:r>
    </w:p>
    <w:p>
      <w:pPr>
        <w:numPr>
          <w:ilvl w:val="0"/>
          <w:numId w:val="13"/>
        </w:numPr>
        <w:spacing w:beforeLines="50" w:line="360" w:lineRule="auto"/>
        <w:rPr>
          <w:rFonts w:ascii="Arial" w:hAnsi="Arial" w:cs="Arial"/>
        </w:rPr>
      </w:pPr>
      <w:r>
        <w:rPr>
          <w:rFonts w:hint="eastAsia" w:ascii="Arial" w:hAnsi="Arial" w:cs="Arial"/>
        </w:rPr>
        <w:t>发包人资料</w:t>
      </w:r>
    </w:p>
    <w:p>
      <w:pPr>
        <w:pStyle w:val="15"/>
        <w:spacing w:beforeLines="50" w:line="360" w:lineRule="auto"/>
        <w:ind w:firstLine="389" w:firstLineChars="177"/>
        <w:jc w:val="both"/>
        <w:rPr>
          <w:lang w:eastAsia="zh-CN"/>
        </w:rPr>
      </w:pPr>
      <w:r>
        <w:rPr>
          <w:rFonts w:hint="eastAsia"/>
          <w:lang w:eastAsia="zh-CN"/>
        </w:rPr>
        <w:t>由发包人提供给投标人的文件、资料和数据，投标方应当承担保密义务，未经发包方同意，投标方不得以任何形式向第三方透露。上述第三方不包括对该项目进行审查的政府机构和人员。一经完成合同中规定的工作，投标方应返还所有发包方提供的资料。</w:t>
      </w:r>
    </w:p>
    <w:p>
      <w:pPr>
        <w:numPr>
          <w:ilvl w:val="0"/>
          <w:numId w:val="13"/>
        </w:numPr>
        <w:spacing w:beforeLines="50" w:line="360" w:lineRule="auto"/>
        <w:rPr>
          <w:rFonts w:ascii="Arial" w:hAnsi="Arial" w:cs="Arial"/>
        </w:rPr>
      </w:pPr>
      <w:r>
        <w:rPr>
          <w:rFonts w:hint="eastAsia" w:ascii="Arial" w:hAnsi="Arial" w:cs="Arial"/>
        </w:rPr>
        <w:t>投标人资料</w:t>
      </w:r>
    </w:p>
    <w:p>
      <w:pPr>
        <w:pStyle w:val="15"/>
        <w:spacing w:beforeLines="50" w:line="360" w:lineRule="auto"/>
        <w:ind w:firstLine="389" w:firstLineChars="177"/>
        <w:jc w:val="both"/>
        <w:rPr>
          <w:lang w:eastAsia="zh-CN"/>
        </w:rPr>
      </w:pPr>
      <w:r>
        <w:rPr>
          <w:rFonts w:hint="eastAsia"/>
          <w:lang w:eastAsia="zh-CN"/>
        </w:rPr>
        <w:t>对于投标方提交的资料与报告，发包方承诺将严格保密，仅限于执行本项目需要而向第三人提供或披露;未经投标方书面同意，发包方不得将投标方提交的资料和报告提供给建设其他项目的第三方使用。</w:t>
      </w:r>
    </w:p>
    <w:p>
      <w:pPr>
        <w:spacing w:line="520" w:lineRule="exact"/>
        <w:rPr>
          <w:b/>
          <w:sz w:val="28"/>
          <w:szCs w:val="28"/>
          <w:lang w:eastAsia="zh-CN"/>
        </w:rPr>
      </w:pPr>
    </w:p>
    <w:p>
      <w:pPr>
        <w:spacing w:line="520" w:lineRule="exact"/>
        <w:rPr>
          <w:b/>
          <w:sz w:val="28"/>
          <w:szCs w:val="28"/>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spacing w:line="520" w:lineRule="exact"/>
        <w:rPr>
          <w:b/>
          <w:sz w:val="28"/>
          <w:szCs w:val="28"/>
          <w:lang w:eastAsia="zh-CN"/>
        </w:rPr>
      </w:pPr>
    </w:p>
    <w:p>
      <w:pPr>
        <w:spacing w:line="520" w:lineRule="exact"/>
        <w:rPr>
          <w:b/>
          <w:sz w:val="28"/>
          <w:szCs w:val="28"/>
          <w:lang w:eastAsia="zh-CN"/>
        </w:rPr>
      </w:pPr>
      <w:r>
        <w:rPr>
          <w:rFonts w:hint="eastAsia"/>
          <w:b/>
          <w:sz w:val="28"/>
          <w:szCs w:val="28"/>
          <w:lang w:eastAsia="zh-CN"/>
        </w:rPr>
        <w:t>附件三：</w:t>
      </w:r>
    </w:p>
    <w:p>
      <w:pPr>
        <w:pStyle w:val="7"/>
        <w:spacing w:afterLines="150"/>
        <w:ind w:left="-353" w:leftChars="-339" w:hanging="393" w:hangingChars="89"/>
        <w:jc w:val="center"/>
        <w:rPr>
          <w:rFonts w:ascii="黑体" w:hAnsi="宋体" w:eastAsia="黑体"/>
          <w:b/>
          <w:sz w:val="44"/>
          <w:szCs w:val="44"/>
          <w:lang w:eastAsia="zh-CN"/>
        </w:rPr>
      </w:pPr>
      <w:r>
        <w:rPr>
          <w:rFonts w:hint="eastAsia" w:ascii="黑体" w:hAnsi="宋体" w:eastAsia="黑体"/>
          <w:b/>
          <w:sz w:val="44"/>
          <w:szCs w:val="44"/>
          <w:lang w:eastAsia="zh-CN"/>
        </w:rPr>
        <w:t>安全环保协议书</w:t>
      </w:r>
    </w:p>
    <w:p>
      <w:pP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color w:val="000000"/>
          <w:sz w:val="21"/>
          <w:szCs w:val="21"/>
          <w:u w:val="single"/>
          <w:lang w:eastAsia="zh-CN"/>
        </w:rPr>
        <w:t xml:space="preserve">腾龙芳烃（漳州）有限公司 、翔鹭石化（漳州）有限公司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w:t>
      </w:r>
      <w:r>
        <w:rPr>
          <w:rFonts w:hint="eastAsia" w:asciiTheme="majorEastAsia" w:hAnsiTheme="majorEastAsia" w:eastAsiaTheme="majorEastAsia"/>
          <w:sz w:val="21"/>
          <w:szCs w:val="21"/>
          <w:u w:val="single"/>
          <w:lang w:eastAsia="zh-CN"/>
        </w:rPr>
        <w:t>化工装置HAZOP风险辨识评估</w:t>
      </w:r>
      <w:r>
        <w:rPr>
          <w:rFonts w:hint="eastAsia" w:asciiTheme="majorEastAsia" w:hAnsiTheme="majorEastAsia" w:eastAsiaTheme="majorEastAsia"/>
          <w:sz w:val="21"/>
          <w:szCs w:val="21"/>
          <w:lang w:eastAsia="zh-CN"/>
        </w:rPr>
        <w:t>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15"/>
        <w:tabs>
          <w:tab w:val="left" w:pos="-1300"/>
        </w:tabs>
        <w:spacing w:before="0"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1、甲方有权对乙方的资质进行审查，确认其符合且具备进厂条件，方可进厂施工。</w:t>
      </w:r>
    </w:p>
    <w:p>
      <w:pPr>
        <w:pStyle w:val="15"/>
        <w:tabs>
          <w:tab w:val="left" w:pos="-1300"/>
        </w:tabs>
        <w:spacing w:before="0"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2、甲方有权要求乙方维护好甲方相关的安全环保设施、设备和器材。</w:t>
      </w:r>
    </w:p>
    <w:p>
      <w:pPr>
        <w:tabs>
          <w:tab w:val="left" w:pos="-1300"/>
          <w:tab w:val="left" w:pos="360"/>
          <w:tab w:val="left" w:pos="840"/>
        </w:tabs>
        <w:spacing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tabs>
          <w:tab w:val="left" w:pos="-1300"/>
          <w:tab w:val="left" w:pos="360"/>
          <w:tab w:val="left" w:pos="840"/>
        </w:tabs>
        <w:spacing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1300"/>
          <w:tab w:val="left" w:pos="360"/>
          <w:tab w:val="left" w:pos="840"/>
        </w:tabs>
        <w:spacing w:line="360" w:lineRule="auto"/>
        <w:ind w:left="334" w:hanging="333" w:hangingChars="159"/>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5、甲方有权对乙方不服从管理和严重违章者，驱除施工现场。</w:t>
      </w:r>
    </w:p>
    <w:p>
      <w:pPr>
        <w:pStyle w:val="15"/>
        <w:tabs>
          <w:tab w:val="left" w:pos="-1300"/>
        </w:tabs>
        <w:spacing w:before="0" w:line="360" w:lineRule="auto"/>
        <w:ind w:left="334" w:hanging="333" w:hangingChars="159"/>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6、甲方负责对乙方进行厂级和部门级安全培训教育和考核，考核合格方可办理入厂手续。</w:t>
      </w:r>
    </w:p>
    <w:p>
      <w:pPr>
        <w:tabs>
          <w:tab w:val="left" w:pos="-1300"/>
          <w:tab w:val="left" w:pos="360"/>
          <w:tab w:val="left" w:pos="840"/>
        </w:tabs>
        <w:spacing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7、甲方负责各装置的工艺处理、退料、置换、吹扫及盲板隔离工作，为本项目提供安全的施工条件。</w:t>
      </w:r>
    </w:p>
    <w:p>
      <w:pPr>
        <w:tabs>
          <w:tab w:val="left" w:pos="360"/>
          <w:tab w:val="left" w:pos="840"/>
        </w:tabs>
        <w:spacing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8、甲方应乙方要求，向乙方提供与乙方作业相关的甲方有毒有害、易燃易爆物品的数据。</w:t>
      </w:r>
    </w:p>
    <w:p>
      <w:pPr>
        <w:tabs>
          <w:tab w:val="left" w:pos="360"/>
          <w:tab w:val="left" w:pos="840"/>
        </w:tabs>
        <w:spacing w:line="360" w:lineRule="auto"/>
        <w:ind w:left="334" w:hanging="333" w:hangingChars="15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2、乙方有权对甲方安全管理工作提出合理化建议或改进措施。</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3、乙方对甲方管理人员违章指挥、强令冒险作业、有权拒绝执行。对打击和报复行为有权向上级和有关部门汇报。 </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4、乙方对危及生命安全和身体健康的施工作业条件和环境，有权提出整改建议或拒绝施工作业。</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5、乙方施工过程中在发生严重危及作业人员生命安全的不可抗拒紧急情况时，有权采取必要的避险措施，并立即向管理部门报告。</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6、乙方有权要求甲方提供相关的安全资料。</w:t>
      </w:r>
    </w:p>
    <w:p>
      <w:pPr>
        <w:spacing w:line="360" w:lineRule="auto"/>
        <w:ind w:left="319" w:leftChars="-16" w:hanging="354" w:hangingChars="169"/>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7、</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17、</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19" w:leftChars="-16" w:hanging="354" w:hangingChars="169"/>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18、</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19" w:leftChars="-16" w:hanging="354" w:hangingChars="169"/>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22、</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三、违约责任及处理</w:t>
      </w:r>
    </w:p>
    <w:p>
      <w:pPr>
        <w:pStyle w:val="15"/>
        <w:autoSpaceDE/>
        <w:autoSpaceDN/>
        <w:spacing w:before="0" w:line="360" w:lineRule="auto"/>
        <w:ind w:left="-20" w:leftChars="-9"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1、乙方不得将工程违法转包、分包。</w:t>
      </w:r>
    </w:p>
    <w:p>
      <w:pPr>
        <w:spacing w:line="360" w:lineRule="auto"/>
        <w:ind w:left="298" w:hanging="298" w:hangingChars="14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ind w:left="298" w:hanging="298" w:hangingChars="14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298" w:hanging="298" w:hangingChars="14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ind w:left="298" w:hanging="298" w:hangingChars="14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ind w:left="298" w:hanging="298" w:hangingChars="14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298" w:hanging="298" w:hangingChars="14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b/>
          <w:bCs/>
          <w:sz w:val="21"/>
          <w:szCs w:val="21"/>
          <w:lang w:eastAsia="zh-CN"/>
        </w:rPr>
      </w:pPr>
      <w:r>
        <w:rPr>
          <w:rFonts w:hint="eastAsia" w:asciiTheme="majorEastAsia" w:hAnsiTheme="majorEastAsia" w:eastAsiaTheme="majorEastAsia"/>
          <w:b/>
          <w:bCs/>
          <w:sz w:val="21"/>
          <w:szCs w:val="21"/>
          <w:lang w:eastAsia="zh-CN"/>
        </w:rPr>
        <w:t>甲方 (章)：</w:t>
      </w:r>
      <w:r>
        <w:rPr>
          <w:rFonts w:hint="eastAsia" w:asciiTheme="majorEastAsia" w:hAnsiTheme="majorEastAsia" w:eastAsiaTheme="majorEastAsia"/>
          <w:b/>
          <w:bCs/>
          <w:color w:val="000000"/>
          <w:sz w:val="21"/>
          <w:szCs w:val="21"/>
          <w:lang w:eastAsia="zh-CN"/>
        </w:rPr>
        <w:t>腾龙芳烃（漳州）有限公司</w:t>
      </w:r>
      <w:r>
        <w:rPr>
          <w:rFonts w:hint="eastAsia" w:asciiTheme="majorEastAsia" w:hAnsiTheme="majorEastAsia" w:eastAsiaTheme="majorEastAsia"/>
          <w:b/>
          <w:bCs/>
          <w:sz w:val="21"/>
          <w:szCs w:val="21"/>
          <w:lang w:eastAsia="zh-CN"/>
        </w:rPr>
        <w:t xml:space="preserve">                乙方(章)：</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spacing w:line="276" w:lineRule="auto"/>
        <w:rPr>
          <w:rFonts w:asciiTheme="majorEastAsia" w:hAnsiTheme="majorEastAsia" w:eastAsiaTheme="majorEastAsia"/>
          <w:b/>
          <w:bCs/>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b/>
          <w:bCs/>
          <w:sz w:val="21"/>
          <w:szCs w:val="21"/>
          <w:lang w:eastAsia="zh-CN"/>
        </w:rPr>
        <w:t>甲方 (章)：翔鹭石化</w:t>
      </w:r>
      <w:r>
        <w:rPr>
          <w:rFonts w:hint="eastAsia" w:asciiTheme="majorEastAsia" w:hAnsiTheme="majorEastAsia" w:eastAsiaTheme="majorEastAsia"/>
          <w:b/>
          <w:bCs/>
          <w:color w:val="000000"/>
          <w:sz w:val="21"/>
          <w:szCs w:val="21"/>
          <w:lang w:eastAsia="zh-CN"/>
        </w:rPr>
        <w:t>（漳州）有限公司</w:t>
      </w:r>
      <w:r>
        <w:rPr>
          <w:rFonts w:hint="eastAsia" w:asciiTheme="majorEastAsia" w:hAnsiTheme="majorEastAsia" w:eastAsiaTheme="majorEastAsia"/>
          <w:b/>
          <w:bCs/>
          <w:sz w:val="21"/>
          <w:szCs w:val="21"/>
          <w:lang w:eastAsia="zh-CN"/>
        </w:rPr>
        <w:t xml:space="preserve"> </w:t>
      </w: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w:t>
      </w:r>
    </w:p>
    <w:p>
      <w:pPr>
        <w:pStyle w:val="2"/>
        <w:sectPr>
          <w:footerReference r:id="rId9" w:type="default"/>
          <w:pgSz w:w="11910" w:h="16840"/>
          <w:pgMar w:top="1040" w:right="930" w:bottom="740" w:left="1260" w:header="0" w:footer="487" w:gutter="0"/>
          <w:pgNumType w:fmt="decimal"/>
          <w:cols w:space="720" w:num="1"/>
        </w:sectPr>
      </w:pPr>
      <w:r>
        <w:rPr>
          <w:rFonts w:hint="eastAsia" w:asciiTheme="majorEastAsia" w:hAnsiTheme="majorEastAsia" w:eastAsiaTheme="majorEastAsia"/>
          <w:sz w:val="21"/>
          <w:szCs w:val="21"/>
        </w:rPr>
        <w:t xml:space="preserve">签定日期：    年    月    日    </w:t>
      </w:r>
    </w:p>
    <w:p>
      <w:pPr>
        <w:pStyle w:val="2"/>
        <w:rPr>
          <w:b/>
          <w:bCs/>
          <w:sz w:val="24"/>
          <w:szCs w:val="24"/>
        </w:rPr>
      </w:pPr>
      <w:bookmarkStart w:id="11" w:name="_Toc251742852"/>
      <w:r>
        <w:rPr>
          <w:rFonts w:hint="eastAsia"/>
          <w:b/>
          <w:bCs/>
          <w:sz w:val="24"/>
          <w:szCs w:val="24"/>
        </w:rPr>
        <w:t>附件二   参选文件范本</w:t>
      </w:r>
    </w:p>
    <w:p>
      <w:pPr>
        <w:pStyle w:val="7"/>
        <w:jc w:val="center"/>
        <w:rPr>
          <w:rFonts w:ascii="Times New Roman" w:hAnsi="Times New Roman"/>
          <w:b/>
          <w:sz w:val="52"/>
          <w:szCs w:val="52"/>
          <w:lang w:eastAsia="zh-CN"/>
        </w:rPr>
      </w:pPr>
    </w:p>
    <w:p>
      <w:pPr>
        <w:pStyle w:val="7"/>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7"/>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w:t>
      </w:r>
      <w:r>
        <w:rPr>
          <w:rFonts w:hint="eastAsia" w:asciiTheme="majorEastAsia" w:hAnsiTheme="majorEastAsia" w:eastAsiaTheme="majorEastAsia"/>
          <w:b/>
          <w:sz w:val="36"/>
          <w:szCs w:val="36"/>
          <w:u w:val="single"/>
          <w:lang w:eastAsia="zh-CN"/>
        </w:rPr>
        <w:t>化工装置HAZOP风险辨识</w:t>
      </w:r>
      <w:r>
        <w:rPr>
          <w:rFonts w:hint="eastAsia" w:ascii="微软雅黑" w:eastAsia="微软雅黑"/>
          <w:b/>
          <w:sz w:val="36"/>
          <w:szCs w:val="36"/>
          <w:u w:val="single"/>
          <w:lang w:eastAsia="zh-CN"/>
        </w:rPr>
        <w:t xml:space="preserve">  </w:t>
      </w:r>
      <w:r>
        <w:rPr>
          <w:rFonts w:hint="eastAsia" w:ascii="微软雅黑" w:eastAsia="微软雅黑"/>
          <w:b/>
          <w:sz w:val="36"/>
          <w:szCs w:val="36"/>
          <w:lang w:eastAsia="zh-CN"/>
        </w:rPr>
        <w:t>项目</w:t>
      </w:r>
    </w:p>
    <w:p>
      <w:pPr>
        <w:spacing w:line="1000"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2"/>
          <w:lang w:eastAsia="zh-CN"/>
        </w:rPr>
      </w:pPr>
    </w:p>
    <w:p>
      <w:pPr>
        <w:pStyle w:val="7"/>
        <w:rPr>
          <w:rFonts w:ascii="Times New Roman" w:hAnsi="Times New Roman"/>
          <w:b/>
          <w:bCs/>
          <w:sz w:val="32"/>
          <w:szCs w:val="36"/>
          <w:lang w:eastAsia="zh-CN"/>
        </w:rPr>
      </w:pPr>
    </w:p>
    <w:p>
      <w:pPr>
        <w:pStyle w:val="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6</w:t>
      </w:r>
      <w:r>
        <w:rPr>
          <w:rFonts w:ascii="Times New Roman" w:hAnsi="Times New Roman"/>
          <w:b/>
          <w:bCs/>
          <w:w w:val="95"/>
          <w:sz w:val="32"/>
          <w:lang w:eastAsia="zh-CN"/>
        </w:rPr>
        <w:t>月</w:t>
      </w:r>
    </w:p>
    <w:p>
      <w:pPr>
        <w:rPr>
          <w:lang w:eastAsia="zh-CN"/>
        </w:rPr>
      </w:pPr>
    </w:p>
    <w:p>
      <w:pPr>
        <w:pStyle w:val="2"/>
      </w:pPr>
    </w:p>
    <w:p>
      <w:pPr>
        <w:spacing w:line="500" w:lineRule="exact"/>
        <w:rPr>
          <w:b/>
          <w:bCs/>
          <w:sz w:val="36"/>
          <w:szCs w:val="36"/>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1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1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16"/>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16"/>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1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16"/>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p>
      <w:pPr>
        <w:spacing w:line="1000" w:lineRule="exact"/>
        <w:jc w:val="center"/>
        <w:rPr>
          <w:b/>
          <w:sz w:val="44"/>
          <w:szCs w:val="44"/>
          <w:lang w:eastAsia="zh-CN"/>
        </w:rPr>
      </w:pPr>
    </w:p>
    <w:bookmarkEnd w:id="11"/>
    <w:p>
      <w:pPr>
        <w:spacing w:before="11" w:line="360" w:lineRule="auto"/>
        <w:rPr>
          <w:b/>
          <w:bCs/>
          <w:sz w:val="24"/>
          <w:szCs w:val="24"/>
          <w:lang w:eastAsia="zh-CN"/>
        </w:rPr>
      </w:pPr>
    </w:p>
    <w:p>
      <w:pPr>
        <w:pStyle w:val="2"/>
      </w:pPr>
    </w:p>
    <w:p>
      <w:pPr>
        <w:pStyle w:val="2"/>
      </w:pPr>
    </w:p>
    <w:p>
      <w:pPr>
        <w:pStyle w:val="2"/>
      </w:pPr>
    </w:p>
    <w:p>
      <w:pPr>
        <w:pStyle w:val="2"/>
        <w:rPr>
          <w:sz w:val="24"/>
          <w:szCs w:val="24"/>
        </w:rPr>
      </w:pPr>
      <w:r>
        <w:rPr>
          <w:rFonts w:hint="eastAsia"/>
          <w:sz w:val="24"/>
          <w:szCs w:val="24"/>
        </w:rPr>
        <w:t>附件1、</w:t>
      </w:r>
    </w:p>
    <w:p>
      <w:pPr>
        <w:pStyle w:val="7"/>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ajorEastAsia" w:hAnsiTheme="majorEastAsia" w:eastAsiaTheme="majorEastAsia"/>
          <w:sz w:val="24"/>
          <w:szCs w:val="24"/>
          <w:u w:val="single"/>
          <w:lang w:eastAsia="zh-CN"/>
        </w:rPr>
        <w:t>化工装置HAZOP风险辨识评估</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2022年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4"/>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1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sz w:val="24"/>
          <w:szCs w:val="24"/>
          <w:u w:val="single"/>
          <w:lang w:eastAsia="zh-CN"/>
        </w:rPr>
        <w:t xml:space="preserve"> 化工装置HAZOP风险辨识评估 </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p>
    <w:p>
      <w:pPr>
        <w:pStyle w:val="2"/>
        <w:rPr>
          <w:sz w:val="24"/>
          <w:szCs w:val="24"/>
        </w:rPr>
      </w:pPr>
      <w:r>
        <w:rPr>
          <w:rFonts w:hint="eastAsia"/>
          <w:sz w:val="24"/>
          <w:szCs w:val="24"/>
        </w:rPr>
        <w:t>附件5、</w:t>
      </w:r>
    </w:p>
    <w:p>
      <w:pPr>
        <w:spacing w:line="500" w:lineRule="exact"/>
        <w:jc w:val="both"/>
        <w:rPr>
          <w:sz w:val="24"/>
          <w:szCs w:val="24"/>
          <w:lang w:eastAsia="zh-CN"/>
        </w:rPr>
      </w:pPr>
    </w:p>
    <w:tbl>
      <w:tblPr>
        <w:tblStyle w:val="13"/>
        <w:tblW w:w="9014" w:type="dxa"/>
        <w:tblInd w:w="392" w:type="dxa"/>
        <w:tblLayout w:type="fixed"/>
        <w:tblCellMar>
          <w:top w:w="0" w:type="dxa"/>
          <w:left w:w="108" w:type="dxa"/>
          <w:bottom w:w="0" w:type="dxa"/>
          <w:right w:w="108" w:type="dxa"/>
        </w:tblCellMar>
      </w:tblPr>
      <w:tblGrid>
        <w:gridCol w:w="1020"/>
        <w:gridCol w:w="3516"/>
        <w:gridCol w:w="3118"/>
        <w:gridCol w:w="1360"/>
      </w:tblGrid>
      <w:tr>
        <w:tblPrEx>
          <w:tblLayout w:type="fixed"/>
          <w:tblCellMar>
            <w:top w:w="0" w:type="dxa"/>
            <w:left w:w="108" w:type="dxa"/>
            <w:bottom w:w="0" w:type="dxa"/>
            <w:right w:w="108" w:type="dxa"/>
          </w:tblCellMar>
        </w:tblPrEx>
        <w:trPr>
          <w:trHeight w:val="435" w:hRule="atLeast"/>
        </w:trPr>
        <w:tc>
          <w:tcPr>
            <w:tcW w:w="9014" w:type="dxa"/>
            <w:gridSpan w:val="4"/>
            <w:tcBorders>
              <w:top w:val="nil"/>
              <w:left w:val="nil"/>
              <w:bottom w:val="nil"/>
              <w:right w:val="nil"/>
            </w:tcBorders>
            <w:shd w:val="clear" w:color="auto" w:fill="auto"/>
            <w:vAlign w:val="center"/>
          </w:tcPr>
          <w:p>
            <w:pPr>
              <w:widowControl/>
              <w:autoSpaceDE/>
              <w:autoSpaceDN/>
              <w:jc w:val="center"/>
              <w:rPr>
                <w:rFonts w:ascii="黑体" w:hAnsi="黑体" w:eastAsia="黑体" w:cs="Arial"/>
                <w:sz w:val="32"/>
                <w:szCs w:val="32"/>
                <w:lang w:eastAsia="zh-CN"/>
              </w:rPr>
            </w:pPr>
            <w:r>
              <w:rPr>
                <w:rFonts w:hint="eastAsia" w:ascii="黑体" w:hAnsi="黑体" w:eastAsia="黑体" w:cs="Arial"/>
                <w:sz w:val="32"/>
                <w:szCs w:val="32"/>
                <w:lang w:eastAsia="zh-CN"/>
              </w:rPr>
              <w:t>技术偏离表</w:t>
            </w:r>
          </w:p>
        </w:tc>
      </w:tr>
      <w:tr>
        <w:tblPrEx>
          <w:tblLayout w:type="fixed"/>
          <w:tblCellMar>
            <w:top w:w="0" w:type="dxa"/>
            <w:left w:w="108" w:type="dxa"/>
            <w:bottom w:w="0" w:type="dxa"/>
            <w:right w:w="108" w:type="dxa"/>
          </w:tblCellMar>
        </w:tblPrEx>
        <w:trPr>
          <w:trHeight w:val="270" w:hRule="atLeast"/>
        </w:trPr>
        <w:tc>
          <w:tcPr>
            <w:tcW w:w="4536" w:type="dxa"/>
            <w:gridSpan w:val="2"/>
            <w:tcBorders>
              <w:top w:val="nil"/>
              <w:left w:val="nil"/>
              <w:bottom w:val="nil"/>
              <w:right w:val="nil"/>
            </w:tcBorders>
            <w:shd w:val="clear" w:color="auto" w:fill="auto"/>
            <w:vAlign w:val="center"/>
          </w:tcPr>
          <w:p>
            <w:pPr>
              <w:widowControl/>
              <w:autoSpaceDE/>
              <w:autoSpaceDN/>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项目名称</w:t>
            </w:r>
            <w:r>
              <w:rPr>
                <w:rFonts w:cs="Arial" w:asciiTheme="majorEastAsia" w:hAnsiTheme="majorEastAsia" w:eastAsiaTheme="majorEastAsia"/>
                <w:sz w:val="24"/>
                <w:szCs w:val="24"/>
                <w:lang w:eastAsia="zh-CN"/>
              </w:rPr>
              <w:t>:</w:t>
            </w:r>
          </w:p>
        </w:tc>
        <w:tc>
          <w:tcPr>
            <w:tcW w:w="3118"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r>
      <w:tr>
        <w:tblPrEx>
          <w:tblLayout w:type="fixed"/>
          <w:tblCellMar>
            <w:top w:w="0" w:type="dxa"/>
            <w:left w:w="108" w:type="dxa"/>
            <w:bottom w:w="0" w:type="dxa"/>
            <w:right w:w="108" w:type="dxa"/>
          </w:tblCellMar>
        </w:tblPrEx>
        <w:trPr>
          <w:trHeight w:val="270" w:hRule="atLeast"/>
        </w:trPr>
        <w:tc>
          <w:tcPr>
            <w:tcW w:w="4536" w:type="dxa"/>
            <w:gridSpan w:val="2"/>
            <w:tcBorders>
              <w:top w:val="nil"/>
              <w:left w:val="nil"/>
              <w:bottom w:val="nil"/>
              <w:right w:val="nil"/>
            </w:tcBorders>
            <w:shd w:val="clear" w:color="auto" w:fill="auto"/>
            <w:vAlign w:val="center"/>
          </w:tcPr>
          <w:p>
            <w:pPr>
              <w:widowControl/>
              <w:autoSpaceDE/>
              <w:autoSpaceDN/>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发包人</w:t>
            </w:r>
            <w:r>
              <w:rPr>
                <w:rFonts w:cs="Arial" w:asciiTheme="majorEastAsia" w:hAnsiTheme="majorEastAsia" w:eastAsiaTheme="majorEastAsia"/>
                <w:sz w:val="24"/>
                <w:szCs w:val="24"/>
                <w:lang w:eastAsia="zh-CN"/>
              </w:rPr>
              <w:t>:福建福海</w:t>
            </w:r>
            <w:r>
              <w:rPr>
                <w:rFonts w:hint="eastAsia" w:cs="Arial" w:asciiTheme="majorEastAsia" w:hAnsiTheme="majorEastAsia" w:eastAsiaTheme="majorEastAsia"/>
                <w:sz w:val="24"/>
                <w:szCs w:val="24"/>
                <w:lang w:eastAsia="zh-CN"/>
              </w:rPr>
              <w:t>创石油化工有限公司</w:t>
            </w:r>
          </w:p>
        </w:tc>
        <w:tc>
          <w:tcPr>
            <w:tcW w:w="3118"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r>
      <w:tr>
        <w:tblPrEx>
          <w:tblLayout w:type="fixed"/>
          <w:tblCellMar>
            <w:top w:w="0" w:type="dxa"/>
            <w:left w:w="108" w:type="dxa"/>
            <w:bottom w:w="0" w:type="dxa"/>
            <w:right w:w="108" w:type="dxa"/>
          </w:tblCellMar>
        </w:tblPrEx>
        <w:trPr>
          <w:trHeight w:val="270" w:hRule="atLeast"/>
        </w:trPr>
        <w:tc>
          <w:tcPr>
            <w:tcW w:w="4536" w:type="dxa"/>
            <w:gridSpan w:val="2"/>
            <w:tcBorders>
              <w:top w:val="nil"/>
              <w:left w:val="nil"/>
              <w:bottom w:val="nil"/>
              <w:right w:val="nil"/>
            </w:tcBorders>
            <w:shd w:val="clear" w:color="auto" w:fill="auto"/>
            <w:vAlign w:val="center"/>
          </w:tcPr>
          <w:p>
            <w:pPr>
              <w:widowControl/>
              <w:autoSpaceDE/>
              <w:autoSpaceDN/>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请购单号</w:t>
            </w:r>
            <w:r>
              <w:rPr>
                <w:rFonts w:cs="Arial" w:asciiTheme="majorEastAsia" w:hAnsiTheme="majorEastAsia" w:eastAsiaTheme="majorEastAsia"/>
                <w:sz w:val="24"/>
                <w:szCs w:val="24"/>
                <w:lang w:eastAsia="zh-CN"/>
              </w:rPr>
              <w:t>:</w:t>
            </w:r>
          </w:p>
        </w:tc>
        <w:tc>
          <w:tcPr>
            <w:tcW w:w="3118"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r>
      <w:tr>
        <w:tblPrEx>
          <w:tblLayout w:type="fixed"/>
          <w:tblCellMar>
            <w:top w:w="0" w:type="dxa"/>
            <w:left w:w="108" w:type="dxa"/>
            <w:bottom w:w="0" w:type="dxa"/>
            <w:right w:w="108" w:type="dxa"/>
          </w:tblCellMar>
        </w:tblPrEx>
        <w:trPr>
          <w:trHeight w:val="270" w:hRule="atLeast"/>
        </w:trPr>
        <w:tc>
          <w:tcPr>
            <w:tcW w:w="4536" w:type="dxa"/>
            <w:gridSpan w:val="2"/>
            <w:tcBorders>
              <w:top w:val="nil"/>
              <w:left w:val="nil"/>
              <w:bottom w:val="nil"/>
              <w:right w:val="nil"/>
            </w:tcBorders>
            <w:shd w:val="clear" w:color="auto" w:fill="auto"/>
            <w:vAlign w:val="center"/>
          </w:tcPr>
          <w:p>
            <w:pPr>
              <w:widowControl/>
              <w:autoSpaceDE/>
              <w:autoSpaceDN/>
              <w:rPr>
                <w:rFonts w:cs="Arial" w:asciiTheme="majorEastAsia" w:hAnsiTheme="majorEastAsia" w:eastAsiaTheme="majorEastAsia"/>
                <w:sz w:val="24"/>
                <w:szCs w:val="24"/>
                <w:lang w:eastAsia="zh-CN"/>
              </w:rPr>
            </w:pPr>
            <w:r>
              <w:rPr>
                <w:rFonts w:hint="eastAsia" w:cs="Arial" w:asciiTheme="majorEastAsia" w:hAnsiTheme="majorEastAsia" w:eastAsiaTheme="majorEastAsia"/>
                <w:sz w:val="24"/>
                <w:szCs w:val="24"/>
                <w:lang w:eastAsia="zh-CN"/>
              </w:rPr>
              <w:t>招标文件名称</w:t>
            </w:r>
            <w:r>
              <w:rPr>
                <w:rFonts w:cs="Arial" w:asciiTheme="majorEastAsia" w:hAnsiTheme="majorEastAsia" w:eastAsiaTheme="majorEastAsia"/>
                <w:sz w:val="24"/>
                <w:szCs w:val="24"/>
                <w:lang w:eastAsia="zh-CN"/>
              </w:rPr>
              <w:t>:</w:t>
            </w:r>
          </w:p>
        </w:tc>
        <w:tc>
          <w:tcPr>
            <w:tcW w:w="3118"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r>
      <w:tr>
        <w:tblPrEx>
          <w:tblLayout w:type="fixed"/>
          <w:tblCellMar>
            <w:top w:w="0" w:type="dxa"/>
            <w:left w:w="108" w:type="dxa"/>
            <w:bottom w:w="0" w:type="dxa"/>
            <w:right w:w="108" w:type="dxa"/>
          </w:tblCellMar>
        </w:tblPrEx>
        <w:trPr>
          <w:trHeight w:val="285" w:hRule="atLeast"/>
        </w:trPr>
        <w:tc>
          <w:tcPr>
            <w:tcW w:w="4536" w:type="dxa"/>
            <w:gridSpan w:val="2"/>
            <w:tcBorders>
              <w:top w:val="nil"/>
              <w:left w:val="nil"/>
              <w:bottom w:val="nil"/>
              <w:right w:val="nil"/>
            </w:tcBorders>
            <w:shd w:val="clear" w:color="auto" w:fill="auto"/>
            <w:vAlign w:val="center"/>
          </w:tcPr>
          <w:p>
            <w:pPr>
              <w:widowControl/>
              <w:autoSpaceDE/>
              <w:autoSpaceDN/>
              <w:rPr>
                <w:rFonts w:cs="Arial" w:asciiTheme="majorEastAsia" w:hAnsiTheme="majorEastAsia" w:eastAsiaTheme="majorEastAsia"/>
                <w:sz w:val="24"/>
                <w:szCs w:val="24"/>
                <w:lang w:eastAsia="zh-CN"/>
              </w:rPr>
            </w:pPr>
            <w:r>
              <w:rPr>
                <w:rFonts w:cs="Arial" w:asciiTheme="majorEastAsia" w:hAnsiTheme="majorEastAsia" w:eastAsiaTheme="majorEastAsia"/>
                <w:sz w:val="24"/>
                <w:szCs w:val="24"/>
                <w:lang w:eastAsia="zh-CN"/>
              </w:rPr>
              <w:t>投</w:t>
            </w:r>
            <w:r>
              <w:rPr>
                <w:rFonts w:hint="eastAsia" w:cs="Arial" w:asciiTheme="majorEastAsia" w:hAnsiTheme="majorEastAsia" w:eastAsiaTheme="majorEastAsia"/>
                <w:sz w:val="24"/>
                <w:szCs w:val="24"/>
                <w:lang w:eastAsia="zh-CN"/>
              </w:rPr>
              <w:t>标人</w:t>
            </w:r>
            <w:r>
              <w:rPr>
                <w:rFonts w:cs="Arial" w:asciiTheme="majorEastAsia" w:hAnsiTheme="majorEastAsia" w:eastAsiaTheme="majorEastAsia"/>
                <w:sz w:val="24"/>
                <w:szCs w:val="24"/>
                <w:lang w:eastAsia="zh-CN"/>
              </w:rPr>
              <w:t>:</w:t>
            </w:r>
            <w:r>
              <w:rPr>
                <w:rFonts w:cs="Arial" w:asciiTheme="majorEastAsia" w:hAnsiTheme="majorEastAsia" w:eastAsiaTheme="majorEastAsia"/>
                <w:color w:val="FF0000"/>
                <w:sz w:val="24"/>
                <w:szCs w:val="24"/>
                <w:lang w:eastAsia="zh-CN"/>
              </w:rPr>
              <w:t>XXXXXXXX</w:t>
            </w:r>
          </w:p>
        </w:tc>
        <w:tc>
          <w:tcPr>
            <w:tcW w:w="3118"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pPr>
              <w:widowControl/>
              <w:autoSpaceDE/>
              <w:autoSpaceDN/>
              <w:rPr>
                <w:rFonts w:ascii="Arial" w:hAnsi="Arial" w:cs="Arial"/>
                <w:lang w:eastAsia="zh-CN"/>
              </w:rPr>
            </w:pPr>
          </w:p>
        </w:tc>
      </w:tr>
      <w:tr>
        <w:tblPrEx>
          <w:tblLayout w:type="fixed"/>
          <w:tblCellMar>
            <w:top w:w="0" w:type="dxa"/>
            <w:left w:w="108" w:type="dxa"/>
            <w:bottom w:w="0" w:type="dxa"/>
            <w:right w:w="108" w:type="dxa"/>
          </w:tblCellMar>
        </w:tblPrEx>
        <w:trPr>
          <w:trHeight w:val="270" w:hRule="atLeast"/>
        </w:trPr>
        <w:tc>
          <w:tcPr>
            <w:tcW w:w="1020" w:type="dxa"/>
            <w:tcBorders>
              <w:top w:val="single" w:color="auto" w:sz="8"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序</w:t>
            </w:r>
            <w:r>
              <w:rPr>
                <w:rFonts w:hint="eastAsia" w:cs="Arial"/>
                <w:sz w:val="20"/>
                <w:szCs w:val="20"/>
                <w:lang w:eastAsia="zh-CN"/>
              </w:rPr>
              <w:t>号</w:t>
            </w:r>
          </w:p>
        </w:tc>
        <w:tc>
          <w:tcPr>
            <w:tcW w:w="3516" w:type="dxa"/>
            <w:tcBorders>
              <w:top w:val="single" w:color="auto" w:sz="8" w:space="0"/>
              <w:left w:val="nil"/>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投</w:t>
            </w:r>
            <w:r>
              <w:rPr>
                <w:rFonts w:hint="eastAsia" w:cs="Arial"/>
                <w:sz w:val="20"/>
                <w:szCs w:val="20"/>
                <w:lang w:eastAsia="zh-CN"/>
              </w:rPr>
              <w:t>标人澄清或背离意见</w:t>
            </w:r>
          </w:p>
        </w:tc>
        <w:tc>
          <w:tcPr>
            <w:tcW w:w="3118" w:type="dxa"/>
            <w:tcBorders>
              <w:top w:val="single" w:color="auto" w:sz="8" w:space="0"/>
              <w:left w:val="nil"/>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hint="eastAsia" w:cs="Arial"/>
                <w:sz w:val="20"/>
                <w:szCs w:val="20"/>
                <w:lang w:eastAsia="zh-CN"/>
              </w:rPr>
              <w:t>发包人</w:t>
            </w:r>
            <w:r>
              <w:rPr>
                <w:rFonts w:ascii="Arial" w:hAnsi="Arial" w:cs="Arial"/>
                <w:sz w:val="20"/>
                <w:szCs w:val="20"/>
                <w:lang w:eastAsia="zh-CN"/>
              </w:rPr>
              <w:t>回</w:t>
            </w:r>
            <w:r>
              <w:rPr>
                <w:rFonts w:hint="eastAsia" w:cs="Arial"/>
                <w:sz w:val="20"/>
                <w:szCs w:val="20"/>
                <w:lang w:eastAsia="zh-CN"/>
              </w:rPr>
              <w:t>复</w:t>
            </w:r>
          </w:p>
        </w:tc>
        <w:tc>
          <w:tcPr>
            <w:tcW w:w="1360" w:type="dxa"/>
            <w:tcBorders>
              <w:top w:val="single" w:color="auto" w:sz="8" w:space="0"/>
              <w:left w:val="nil"/>
              <w:bottom w:val="single" w:color="auto" w:sz="4" w:space="0"/>
              <w:right w:val="single" w:color="auto" w:sz="8" w:space="0"/>
            </w:tcBorders>
            <w:shd w:val="clear" w:color="auto" w:fill="auto"/>
            <w:vAlign w:val="center"/>
          </w:tcPr>
          <w:p>
            <w:pPr>
              <w:widowControl/>
              <w:autoSpaceDE/>
              <w:autoSpaceDN/>
              <w:jc w:val="center"/>
              <w:rPr>
                <w:rFonts w:cs="Arial"/>
                <w:sz w:val="20"/>
                <w:szCs w:val="20"/>
                <w:lang w:eastAsia="zh-CN"/>
              </w:rPr>
            </w:pPr>
            <w:r>
              <w:rPr>
                <w:rFonts w:hint="eastAsia" w:cs="Arial"/>
                <w:sz w:val="20"/>
                <w:szCs w:val="20"/>
                <w:lang w:eastAsia="zh-CN"/>
              </w:rPr>
              <w:t>状态</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w:t>
            </w:r>
          </w:p>
        </w:tc>
        <w:tc>
          <w:tcPr>
            <w:tcW w:w="3516" w:type="dxa"/>
            <w:tcBorders>
              <w:top w:val="nil"/>
              <w:left w:val="nil"/>
              <w:bottom w:val="single" w:color="auto" w:sz="4" w:space="0"/>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nil"/>
              <w:left w:val="nil"/>
              <w:bottom w:val="single" w:color="auto" w:sz="4" w:space="0"/>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nil"/>
              <w:left w:val="nil"/>
              <w:bottom w:val="single" w:color="auto" w:sz="4" w:space="0"/>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2</w:t>
            </w:r>
          </w:p>
        </w:tc>
        <w:tc>
          <w:tcPr>
            <w:tcW w:w="3516" w:type="dxa"/>
            <w:tcBorders>
              <w:top w:val="nil"/>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nil"/>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nil"/>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3</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4</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5</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6</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7</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8</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9</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10</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11</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12</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13</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40" w:hRule="atLeast"/>
        </w:trPr>
        <w:tc>
          <w:tcPr>
            <w:tcW w:w="1020" w:type="dxa"/>
            <w:tcBorders>
              <w:top w:val="nil"/>
              <w:left w:val="single" w:color="auto" w:sz="8" w:space="0"/>
              <w:bottom w:val="nil"/>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14</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70" w:hRule="atLeast"/>
        </w:trPr>
        <w:tc>
          <w:tcPr>
            <w:tcW w:w="102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15</w:t>
            </w:r>
          </w:p>
        </w:tc>
        <w:tc>
          <w:tcPr>
            <w:tcW w:w="3516"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nil"/>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1360" w:type="dxa"/>
            <w:tcBorders>
              <w:top w:val="single" w:color="auto" w:sz="4" w:space="0"/>
              <w:left w:val="nil"/>
              <w:bottom w:val="nil"/>
              <w:right w:val="single" w:color="auto" w:sz="8"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285" w:hRule="atLeast"/>
        </w:trPr>
        <w:tc>
          <w:tcPr>
            <w:tcW w:w="1020" w:type="dxa"/>
            <w:tcBorders>
              <w:top w:val="nil"/>
              <w:left w:val="single" w:color="auto" w:sz="8" w:space="0"/>
              <w:bottom w:val="single" w:color="auto" w:sz="8" w:space="0"/>
              <w:right w:val="single" w:color="auto" w:sz="4"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16</w:t>
            </w:r>
          </w:p>
        </w:tc>
        <w:tc>
          <w:tcPr>
            <w:tcW w:w="3516" w:type="dxa"/>
            <w:tcBorders>
              <w:top w:val="single" w:color="auto" w:sz="4" w:space="0"/>
              <w:left w:val="nil"/>
              <w:bottom w:val="single" w:color="auto" w:sz="8" w:space="0"/>
              <w:right w:val="single" w:color="auto" w:sz="4" w:space="0"/>
            </w:tcBorders>
            <w:shd w:val="clear" w:color="auto" w:fill="auto"/>
            <w:vAlign w:val="center"/>
          </w:tcPr>
          <w:p>
            <w:pPr>
              <w:widowControl/>
              <w:autoSpaceDE/>
              <w:autoSpaceDN/>
              <w:rPr>
                <w:rFonts w:ascii="Arial" w:hAnsi="Arial" w:cs="Arial"/>
                <w:sz w:val="20"/>
                <w:szCs w:val="20"/>
                <w:lang w:eastAsia="zh-CN"/>
              </w:rPr>
            </w:pPr>
            <w:r>
              <w:rPr>
                <w:rFonts w:ascii="Arial" w:hAnsi="Arial" w:cs="Arial"/>
                <w:sz w:val="20"/>
                <w:szCs w:val="20"/>
                <w:lang w:eastAsia="zh-CN"/>
              </w:rPr>
              <w:t>　</w:t>
            </w:r>
          </w:p>
        </w:tc>
        <w:tc>
          <w:tcPr>
            <w:tcW w:w="3118" w:type="dxa"/>
            <w:tcBorders>
              <w:top w:val="single" w:color="auto" w:sz="4" w:space="0"/>
              <w:left w:val="nil"/>
              <w:bottom w:val="single" w:color="auto" w:sz="8" w:space="0"/>
              <w:right w:val="single" w:color="auto" w:sz="4" w:space="0"/>
            </w:tcBorders>
            <w:shd w:val="clear" w:color="auto" w:fill="auto"/>
            <w:vAlign w:val="center"/>
          </w:tcPr>
          <w:p>
            <w:pPr>
              <w:widowControl/>
              <w:autoSpaceDE/>
              <w:autoSpaceDN/>
              <w:rPr>
                <w:rFonts w:cs="Arial"/>
                <w:sz w:val="20"/>
                <w:szCs w:val="20"/>
                <w:lang w:eastAsia="zh-CN"/>
              </w:rPr>
            </w:pPr>
            <w:r>
              <w:rPr>
                <w:rFonts w:hint="eastAsia" w:cs="Arial"/>
                <w:sz w:val="20"/>
                <w:szCs w:val="20"/>
                <w:lang w:eastAsia="zh-CN"/>
              </w:rPr>
              <w:t>　</w:t>
            </w:r>
          </w:p>
        </w:tc>
        <w:tc>
          <w:tcPr>
            <w:tcW w:w="1360" w:type="dxa"/>
            <w:tcBorders>
              <w:top w:val="single" w:color="auto" w:sz="4" w:space="0"/>
              <w:left w:val="nil"/>
              <w:bottom w:val="single" w:color="auto" w:sz="8" w:space="0"/>
              <w:right w:val="single" w:color="auto" w:sz="8" w:space="0"/>
            </w:tcBorders>
            <w:shd w:val="clear" w:color="auto" w:fill="auto"/>
            <w:vAlign w:val="center"/>
          </w:tcPr>
          <w:p>
            <w:pPr>
              <w:widowControl/>
              <w:autoSpaceDE/>
              <w:autoSpaceDN/>
              <w:jc w:val="center"/>
              <w:rPr>
                <w:rFonts w:ascii="Arial" w:hAnsi="Arial" w:cs="Arial"/>
                <w:sz w:val="20"/>
                <w:szCs w:val="20"/>
                <w:lang w:eastAsia="zh-CN"/>
              </w:rPr>
            </w:pPr>
            <w:r>
              <w:rPr>
                <w:rFonts w:ascii="Arial" w:hAnsi="Arial" w:cs="Arial"/>
                <w:sz w:val="20"/>
                <w:szCs w:val="20"/>
                <w:lang w:eastAsia="zh-CN"/>
              </w:rPr>
              <w:t>　</w:t>
            </w:r>
          </w:p>
        </w:tc>
      </w:tr>
      <w:tr>
        <w:tblPrEx>
          <w:tblLayout w:type="fixed"/>
          <w:tblCellMar>
            <w:top w:w="0" w:type="dxa"/>
            <w:left w:w="108" w:type="dxa"/>
            <w:bottom w:w="0" w:type="dxa"/>
            <w:right w:w="108" w:type="dxa"/>
          </w:tblCellMar>
        </w:tblPrEx>
        <w:trPr>
          <w:trHeight w:val="810" w:hRule="atLeast"/>
        </w:trPr>
        <w:tc>
          <w:tcPr>
            <w:tcW w:w="1020" w:type="dxa"/>
            <w:tcBorders>
              <w:top w:val="nil"/>
              <w:left w:val="nil"/>
              <w:bottom w:val="nil"/>
              <w:right w:val="nil"/>
            </w:tcBorders>
            <w:shd w:val="clear" w:color="auto" w:fill="auto"/>
            <w:vAlign w:val="center"/>
          </w:tcPr>
          <w:p>
            <w:pPr>
              <w:widowControl/>
              <w:autoSpaceDE/>
              <w:autoSpaceDN/>
              <w:rPr>
                <w:rFonts w:ascii="Arial" w:hAnsi="Arial" w:cs="Arial"/>
                <w:sz w:val="24"/>
                <w:szCs w:val="24"/>
                <w:lang w:eastAsia="zh-CN"/>
              </w:rPr>
            </w:pPr>
            <w:r>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tcPr>
          <w:p>
            <w:pPr>
              <w:widowControl/>
              <w:autoSpaceDE/>
              <w:autoSpaceDN/>
              <w:rPr>
                <w:rFonts w:ascii="Arial" w:hAnsi="Arial" w:cs="Arial"/>
                <w:sz w:val="24"/>
                <w:szCs w:val="24"/>
                <w:lang w:eastAsia="zh-CN"/>
              </w:rPr>
            </w:pPr>
            <w:r>
              <w:rPr>
                <w:rFonts w:ascii="Arial" w:hAnsi="Arial" w:cs="Arial"/>
                <w:sz w:val="24"/>
                <w:szCs w:val="24"/>
                <w:lang w:eastAsia="zh-CN"/>
              </w:rPr>
              <w:t>若投</w:t>
            </w:r>
            <w:r>
              <w:rPr>
                <w:rFonts w:hint="eastAsia" w:cs="Arial"/>
                <w:sz w:val="24"/>
                <w:szCs w:val="24"/>
                <w:lang w:eastAsia="zh-CN"/>
              </w:rPr>
              <w:t>标人认为无技术偏离，此表应填写，声明与发包技术说明无技术偏离，作为技术方案的组成部分，返回发包人。</w:t>
            </w:r>
          </w:p>
        </w:tc>
      </w:tr>
    </w:tbl>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p>
    <w:p>
      <w:pPr>
        <w:spacing w:line="500" w:lineRule="exact"/>
        <w:jc w:val="both"/>
        <w:rPr>
          <w:sz w:val="24"/>
          <w:szCs w:val="24"/>
          <w:lang w:eastAsia="zh-CN"/>
        </w:rPr>
      </w:pPr>
      <w:r>
        <w:rPr>
          <w:rFonts w:hint="eastAsia"/>
          <w:sz w:val="24"/>
          <w:szCs w:val="24"/>
          <w:lang w:eastAsia="zh-CN"/>
        </w:rPr>
        <w:t>附件6、</w:t>
      </w:r>
    </w:p>
    <w:p>
      <w:pPr>
        <w:pStyle w:val="16"/>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16"/>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1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ajorEastAsia" w:hAnsiTheme="majorEastAsia" w:eastAsiaTheme="majorEastAsia"/>
          <w:sz w:val="24"/>
          <w:szCs w:val="24"/>
          <w:u w:val="single"/>
          <w:lang w:eastAsia="zh-CN"/>
        </w:rPr>
        <w:t xml:space="preserve">化工装置HAZOP风险辨识评估项目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spacing w:line="360" w:lineRule="auto"/>
        <w:ind w:left="1680" w:hanging="1680" w:hangingChars="700"/>
        <w:rPr>
          <w:b/>
          <w:bCs/>
          <w:sz w:val="24"/>
          <w:szCs w:val="24"/>
          <w:lang w:eastAsia="zh-CN"/>
        </w:rPr>
      </w:pPr>
      <w:r>
        <w:rPr>
          <w:rFonts w:hint="eastAsia"/>
          <w:sz w:val="24"/>
          <w:szCs w:val="24"/>
          <w:lang w:eastAsia="zh-CN"/>
        </w:rPr>
        <w:t xml:space="preserve">           2、付款方式：</w:t>
      </w:r>
      <w:r>
        <w:rPr>
          <w:rFonts w:hint="eastAsia"/>
          <w:b/>
          <w:bCs/>
          <w:sz w:val="24"/>
          <w:u w:val="single"/>
          <w:lang w:eastAsia="zh-CN"/>
        </w:rPr>
        <w:t>工作完成且提交报告后，经甲方验收合格且收到乙方合同全额增值税专用发票60日内一次性支付合同全款</w:t>
      </w:r>
      <w:r>
        <w:rPr>
          <w:rFonts w:hint="eastAsia"/>
          <w:b/>
          <w:bCs/>
          <w:sz w:val="24"/>
          <w:szCs w:val="24"/>
          <w:u w:val="single"/>
          <w:lang w:eastAsia="zh-CN"/>
        </w:rPr>
        <w:t xml:space="preserve"> </w:t>
      </w:r>
      <w:r>
        <w:rPr>
          <w:rFonts w:hint="eastAsia"/>
          <w:b/>
          <w:bCs/>
          <w:sz w:val="24"/>
          <w:szCs w:val="24"/>
          <w:lang w:eastAsia="zh-CN"/>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keepNext w:val="0"/>
        <w:keepLines w:val="0"/>
        <w:pageBreakBefore w:val="0"/>
        <w:widowControl w:val="0"/>
        <w:kinsoku/>
        <w:wordWrap/>
        <w:overflowPunct/>
        <w:topLinePunct w:val="0"/>
        <w:autoSpaceDE/>
        <w:autoSpaceDN/>
        <w:bidi w:val="0"/>
        <w:adjustRightInd w:val="0"/>
        <w:snapToGrid/>
        <w:spacing w:line="240" w:lineRule="auto"/>
        <w:ind w:right="0" w:rightChars="0"/>
        <w:jc w:val="both"/>
        <w:textAlignment w:val="baseline"/>
        <w:outlineLvl w:val="9"/>
        <w:rPr>
          <w:sz w:val="28"/>
          <w:szCs w:val="28"/>
        </w:rPr>
      </w:pPr>
      <w:r>
        <w:rPr>
          <w:rFonts w:hint="eastAsia"/>
          <w:sz w:val="28"/>
          <w:szCs w:val="28"/>
        </w:rPr>
        <w:t>报价附表</w:t>
      </w:r>
    </w:p>
    <w:p>
      <w:pPr>
        <w:pStyle w:val="2"/>
        <w:keepNext w:val="0"/>
        <w:keepLines w:val="0"/>
        <w:pageBreakBefore w:val="0"/>
        <w:widowControl w:val="0"/>
        <w:numPr>
          <w:ilvl w:val="0"/>
          <w:numId w:val="14"/>
        </w:numPr>
        <w:kinsoku/>
        <w:wordWrap/>
        <w:overflowPunct/>
        <w:topLinePunct w:val="0"/>
        <w:autoSpaceDE/>
        <w:autoSpaceDN/>
        <w:bidi w:val="0"/>
        <w:adjustRightInd w:val="0"/>
        <w:snapToGrid/>
        <w:spacing w:line="240" w:lineRule="auto"/>
        <w:ind w:right="0" w:rightChars="0"/>
        <w:jc w:val="both"/>
        <w:textAlignment w:val="baseline"/>
        <w:outlineLvl w:val="9"/>
        <w:rPr>
          <w:rFonts w:asciiTheme="majorEastAsia" w:hAnsiTheme="majorEastAsia" w:eastAsiaTheme="majorEastAsia"/>
          <w:sz w:val="28"/>
          <w:szCs w:val="28"/>
        </w:rPr>
      </w:pPr>
      <w:r>
        <w:rPr>
          <w:rFonts w:hint="eastAsia" w:asciiTheme="majorEastAsia" w:hAnsiTheme="majorEastAsia" w:eastAsiaTheme="majorEastAsia"/>
          <w:sz w:val="28"/>
          <w:szCs w:val="28"/>
        </w:rPr>
        <w:t>HAZOP风险辨识报价</w:t>
      </w:r>
    </w:p>
    <w:tbl>
      <w:tblPr>
        <w:tblStyle w:val="14"/>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3476"/>
        <w:gridCol w:w="2225"/>
        <w:gridCol w:w="2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序号</w:t>
            </w:r>
          </w:p>
        </w:tc>
        <w:tc>
          <w:tcPr>
            <w:tcW w:w="3476" w:type="dxa"/>
          </w:tcPr>
          <w:p>
            <w:pPr>
              <w:pStyle w:val="2"/>
              <w:jc w:val="center"/>
              <w:rPr>
                <w:sz w:val="24"/>
                <w:szCs w:val="24"/>
              </w:rPr>
            </w:pPr>
            <w:r>
              <w:rPr>
                <w:rFonts w:hint="eastAsia"/>
                <w:sz w:val="24"/>
                <w:szCs w:val="24"/>
              </w:rPr>
              <w:t>装置单元名称</w:t>
            </w:r>
          </w:p>
        </w:tc>
        <w:tc>
          <w:tcPr>
            <w:tcW w:w="2225" w:type="dxa"/>
          </w:tcPr>
          <w:p>
            <w:pPr>
              <w:pStyle w:val="2"/>
              <w:jc w:val="center"/>
              <w:rPr>
                <w:sz w:val="24"/>
                <w:szCs w:val="24"/>
              </w:rPr>
            </w:pPr>
            <w:r>
              <w:rPr>
                <w:rFonts w:hint="eastAsia"/>
                <w:sz w:val="24"/>
                <w:szCs w:val="24"/>
              </w:rPr>
              <w:t>价格（元）</w:t>
            </w:r>
          </w:p>
        </w:tc>
        <w:tc>
          <w:tcPr>
            <w:tcW w:w="2226" w:type="dxa"/>
          </w:tcPr>
          <w:p>
            <w:pPr>
              <w:pStyle w:val="2"/>
              <w:jc w:val="center"/>
              <w:rPr>
                <w:sz w:val="24"/>
                <w:szCs w:val="24"/>
              </w:rPr>
            </w:pPr>
            <w:r>
              <w:rPr>
                <w:rFonts w:hint="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1</w:t>
            </w:r>
          </w:p>
        </w:tc>
        <w:tc>
          <w:tcPr>
            <w:tcW w:w="3476" w:type="dxa"/>
            <w:vAlign w:val="center"/>
          </w:tcPr>
          <w:p>
            <w:pPr>
              <w:jc w:val="center"/>
              <w:rPr>
                <w:sz w:val="24"/>
                <w:szCs w:val="24"/>
              </w:rPr>
            </w:pPr>
            <w:r>
              <w:rPr>
                <w:rFonts w:hint="eastAsia"/>
                <w:color w:val="000000"/>
                <w:sz w:val="21"/>
                <w:szCs w:val="21"/>
              </w:rPr>
              <w:t>胺液再生装置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2</w:t>
            </w:r>
          </w:p>
        </w:tc>
        <w:tc>
          <w:tcPr>
            <w:tcW w:w="3476" w:type="dxa"/>
            <w:vAlign w:val="center"/>
          </w:tcPr>
          <w:p>
            <w:pPr>
              <w:jc w:val="center"/>
              <w:rPr>
                <w:sz w:val="24"/>
                <w:szCs w:val="24"/>
              </w:rPr>
            </w:pPr>
            <w:r>
              <w:rPr>
                <w:rFonts w:hint="eastAsia"/>
                <w:color w:val="000000"/>
                <w:sz w:val="21"/>
                <w:szCs w:val="21"/>
              </w:rPr>
              <w:t>酸性水汽提装置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3</w:t>
            </w:r>
          </w:p>
        </w:tc>
        <w:tc>
          <w:tcPr>
            <w:tcW w:w="3476" w:type="dxa"/>
            <w:vAlign w:val="center"/>
          </w:tcPr>
          <w:p>
            <w:pPr>
              <w:jc w:val="center"/>
              <w:rPr>
                <w:sz w:val="24"/>
                <w:szCs w:val="24"/>
              </w:rPr>
            </w:pPr>
            <w:r>
              <w:rPr>
                <w:rFonts w:hint="eastAsia"/>
                <w:color w:val="000000"/>
                <w:sz w:val="21"/>
                <w:szCs w:val="21"/>
              </w:rPr>
              <w:t>厂区液硫罐区</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4</w:t>
            </w:r>
          </w:p>
        </w:tc>
        <w:tc>
          <w:tcPr>
            <w:tcW w:w="3476" w:type="dxa"/>
            <w:vAlign w:val="center"/>
          </w:tcPr>
          <w:p>
            <w:pPr>
              <w:jc w:val="center"/>
              <w:rPr>
                <w:sz w:val="24"/>
                <w:szCs w:val="24"/>
              </w:rPr>
            </w:pPr>
            <w:r>
              <w:rPr>
                <w:rFonts w:hint="eastAsia"/>
                <w:color w:val="000000"/>
                <w:sz w:val="21"/>
                <w:szCs w:val="21"/>
              </w:rPr>
              <w:t>凝析油加氢装置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5</w:t>
            </w:r>
          </w:p>
        </w:tc>
        <w:tc>
          <w:tcPr>
            <w:tcW w:w="3476" w:type="dxa"/>
            <w:vAlign w:val="center"/>
          </w:tcPr>
          <w:p>
            <w:pPr>
              <w:jc w:val="center"/>
              <w:rPr>
                <w:sz w:val="24"/>
                <w:szCs w:val="24"/>
              </w:rPr>
            </w:pPr>
            <w:r>
              <w:rPr>
                <w:rFonts w:hint="eastAsia"/>
                <w:color w:val="000000"/>
                <w:sz w:val="21"/>
                <w:szCs w:val="21"/>
              </w:rPr>
              <w:t>200000N</w:t>
            </w:r>
            <w:r>
              <w:rPr>
                <w:rFonts w:hint="eastAsia"/>
                <w:sz w:val="21"/>
                <w:szCs w:val="21"/>
              </w:rPr>
              <w:t>m</w:t>
            </w:r>
            <w:r>
              <w:rPr>
                <w:rFonts w:hint="eastAsia"/>
                <w:sz w:val="21"/>
                <w:szCs w:val="21"/>
                <w:vertAlign w:val="superscript"/>
              </w:rPr>
              <w:t>3</w:t>
            </w:r>
            <w:r>
              <w:rPr>
                <w:rFonts w:hint="eastAsia"/>
                <w:color w:val="000000"/>
                <w:sz w:val="21"/>
                <w:szCs w:val="21"/>
              </w:rPr>
              <w:t>/h重整氢PSA</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6</w:t>
            </w:r>
          </w:p>
        </w:tc>
        <w:tc>
          <w:tcPr>
            <w:tcW w:w="3476" w:type="dxa"/>
            <w:vAlign w:val="center"/>
          </w:tcPr>
          <w:p>
            <w:pPr>
              <w:jc w:val="center"/>
              <w:rPr>
                <w:sz w:val="24"/>
                <w:szCs w:val="24"/>
              </w:rPr>
            </w:pPr>
            <w:r>
              <w:rPr>
                <w:rFonts w:hint="eastAsia"/>
                <w:color w:val="000000"/>
                <w:sz w:val="21"/>
                <w:szCs w:val="21"/>
              </w:rPr>
              <w:t>PTA装置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7</w:t>
            </w:r>
          </w:p>
        </w:tc>
        <w:tc>
          <w:tcPr>
            <w:tcW w:w="3476" w:type="dxa"/>
            <w:vAlign w:val="center"/>
          </w:tcPr>
          <w:p>
            <w:pPr>
              <w:jc w:val="center"/>
              <w:rPr>
                <w:sz w:val="24"/>
                <w:szCs w:val="24"/>
              </w:rPr>
            </w:pPr>
            <w:r>
              <w:rPr>
                <w:rFonts w:hint="eastAsia"/>
                <w:color w:val="000000"/>
                <w:sz w:val="21"/>
                <w:szCs w:val="21"/>
              </w:rPr>
              <w:t>储运装置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8</w:t>
            </w:r>
          </w:p>
        </w:tc>
        <w:tc>
          <w:tcPr>
            <w:tcW w:w="3476" w:type="dxa"/>
            <w:vAlign w:val="center"/>
          </w:tcPr>
          <w:p>
            <w:pPr>
              <w:jc w:val="center"/>
              <w:rPr>
                <w:sz w:val="24"/>
                <w:szCs w:val="24"/>
              </w:rPr>
            </w:pPr>
            <w:r>
              <w:rPr>
                <w:rFonts w:hint="eastAsia"/>
                <w:color w:val="000000"/>
                <w:sz w:val="21"/>
                <w:szCs w:val="21"/>
              </w:rPr>
              <w:t>储运装置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9</w:t>
            </w:r>
          </w:p>
        </w:tc>
        <w:tc>
          <w:tcPr>
            <w:tcW w:w="3476" w:type="dxa"/>
            <w:vAlign w:val="center"/>
          </w:tcPr>
          <w:p>
            <w:pPr>
              <w:jc w:val="center"/>
              <w:rPr>
                <w:sz w:val="24"/>
                <w:szCs w:val="24"/>
              </w:rPr>
            </w:pPr>
            <w:r>
              <w:rPr>
                <w:rFonts w:hint="eastAsia"/>
                <w:color w:val="000000"/>
                <w:sz w:val="21"/>
                <w:szCs w:val="21"/>
              </w:rPr>
              <w:t>空压装置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10</w:t>
            </w:r>
          </w:p>
        </w:tc>
        <w:tc>
          <w:tcPr>
            <w:tcW w:w="3476" w:type="dxa"/>
            <w:vAlign w:val="center"/>
          </w:tcPr>
          <w:p>
            <w:pPr>
              <w:jc w:val="center"/>
              <w:rPr>
                <w:sz w:val="24"/>
                <w:szCs w:val="24"/>
              </w:rPr>
            </w:pPr>
            <w:r>
              <w:rPr>
                <w:rFonts w:hint="eastAsia"/>
                <w:color w:val="000000"/>
                <w:sz w:val="21"/>
                <w:szCs w:val="21"/>
              </w:rPr>
              <w:t>制冷装置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11</w:t>
            </w:r>
          </w:p>
        </w:tc>
        <w:tc>
          <w:tcPr>
            <w:tcW w:w="3476" w:type="dxa"/>
            <w:vAlign w:val="center"/>
          </w:tcPr>
          <w:p>
            <w:pPr>
              <w:jc w:val="center"/>
              <w:rPr>
                <w:sz w:val="24"/>
                <w:szCs w:val="24"/>
              </w:rPr>
            </w:pPr>
            <w:r>
              <w:rPr>
                <w:rFonts w:hint="eastAsia"/>
                <w:color w:val="000000"/>
                <w:sz w:val="21"/>
                <w:szCs w:val="21"/>
              </w:rPr>
              <w:t>循环水装置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12</w:t>
            </w:r>
          </w:p>
        </w:tc>
        <w:tc>
          <w:tcPr>
            <w:tcW w:w="3476" w:type="dxa"/>
            <w:vAlign w:val="center"/>
          </w:tcPr>
          <w:p>
            <w:pPr>
              <w:jc w:val="center"/>
              <w:rPr>
                <w:sz w:val="24"/>
                <w:szCs w:val="24"/>
              </w:rPr>
            </w:pPr>
            <w:r>
              <w:rPr>
                <w:rFonts w:hint="eastAsia"/>
                <w:color w:val="000000"/>
                <w:sz w:val="21"/>
                <w:szCs w:val="21"/>
              </w:rPr>
              <w:t>制氮装置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13</w:t>
            </w:r>
          </w:p>
        </w:tc>
        <w:tc>
          <w:tcPr>
            <w:tcW w:w="3476" w:type="dxa"/>
            <w:vAlign w:val="center"/>
          </w:tcPr>
          <w:p>
            <w:pPr>
              <w:jc w:val="center"/>
              <w:rPr>
                <w:sz w:val="24"/>
                <w:szCs w:val="24"/>
              </w:rPr>
            </w:pPr>
            <w:r>
              <w:rPr>
                <w:rFonts w:hint="eastAsia"/>
                <w:color w:val="000000"/>
                <w:sz w:val="21"/>
                <w:szCs w:val="21"/>
              </w:rPr>
              <w:t>PX污水处理装置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973" w:type="dxa"/>
          </w:tcPr>
          <w:p>
            <w:pPr>
              <w:pStyle w:val="2"/>
              <w:jc w:val="center"/>
              <w:rPr>
                <w:sz w:val="24"/>
                <w:szCs w:val="24"/>
              </w:rPr>
            </w:pPr>
            <w:r>
              <w:rPr>
                <w:rFonts w:hint="eastAsia"/>
                <w:sz w:val="24"/>
                <w:szCs w:val="24"/>
              </w:rPr>
              <w:t>14</w:t>
            </w:r>
          </w:p>
        </w:tc>
        <w:tc>
          <w:tcPr>
            <w:tcW w:w="3476" w:type="dxa"/>
            <w:vAlign w:val="center"/>
          </w:tcPr>
          <w:p>
            <w:pPr>
              <w:jc w:val="center"/>
              <w:rPr>
                <w:sz w:val="24"/>
                <w:szCs w:val="24"/>
              </w:rPr>
            </w:pPr>
            <w:r>
              <w:rPr>
                <w:rFonts w:hint="eastAsia"/>
                <w:color w:val="000000"/>
                <w:sz w:val="21"/>
                <w:szCs w:val="21"/>
              </w:rPr>
              <w:t>水处理装置</w:t>
            </w:r>
          </w:p>
        </w:tc>
        <w:tc>
          <w:tcPr>
            <w:tcW w:w="2225" w:type="dxa"/>
          </w:tcPr>
          <w:p>
            <w:pPr>
              <w:pStyle w:val="2"/>
              <w:rPr>
                <w:sz w:val="24"/>
                <w:szCs w:val="24"/>
              </w:rPr>
            </w:pPr>
          </w:p>
        </w:tc>
        <w:tc>
          <w:tcPr>
            <w:tcW w:w="2226" w:type="dxa"/>
          </w:tcPr>
          <w:p>
            <w:pPr>
              <w:pStyle w:val="2"/>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trPr>
        <w:tc>
          <w:tcPr>
            <w:tcW w:w="4449" w:type="dxa"/>
            <w:gridSpan w:val="2"/>
          </w:tcPr>
          <w:p>
            <w:pPr>
              <w:pStyle w:val="2"/>
              <w:jc w:val="center"/>
              <w:rPr>
                <w:sz w:val="24"/>
                <w:szCs w:val="24"/>
              </w:rPr>
            </w:pPr>
            <w:r>
              <w:rPr>
                <w:rFonts w:hint="eastAsia"/>
                <w:sz w:val="24"/>
                <w:szCs w:val="24"/>
              </w:rPr>
              <w:t>合计</w:t>
            </w:r>
          </w:p>
        </w:tc>
        <w:tc>
          <w:tcPr>
            <w:tcW w:w="2225" w:type="dxa"/>
          </w:tcPr>
          <w:p>
            <w:pPr>
              <w:pStyle w:val="2"/>
              <w:rPr>
                <w:sz w:val="24"/>
                <w:szCs w:val="24"/>
              </w:rPr>
            </w:pPr>
          </w:p>
        </w:tc>
        <w:tc>
          <w:tcPr>
            <w:tcW w:w="2226" w:type="dxa"/>
          </w:tcPr>
          <w:p>
            <w:pPr>
              <w:pStyle w:val="2"/>
              <w:rPr>
                <w:sz w:val="24"/>
                <w:szCs w:val="24"/>
              </w:rPr>
            </w:pPr>
          </w:p>
        </w:tc>
      </w:tr>
    </w:tbl>
    <w:p/>
    <w:sectPr>
      <w:footerReference r:id="rId10" w:type="default"/>
      <w:pgSz w:w="11910" w:h="16840"/>
      <w:pgMar w:top="1280" w:right="1680" w:bottom="740"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2"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oOnFXtkAAAANAQAA&#10;DwAAAAAAAAABACAAAAAiAAAAZHJzL2Rvd25yZXYueG1sUEsBAhQAFAAAAAgAh07iQIQP7+6mAQAA&#10;LAMAAA4AAAAAAAAAAQAgAAAAKAEAAGRycy9lMm9Eb2MueG1sUEsFBgAAAAAGAAYAWQEAAEA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37</w:t>
                    </w:r>
                    <w:r>
                      <w:rPr>
                        <w:rFonts w:hint="eastAsia"/>
                        <w:lang w:eastAsia="zh-CN"/>
                      </w:rPr>
                      <w:fldChar w:fldCharType="end"/>
                    </w:r>
                    <w:r>
                      <w:rPr>
                        <w:rFonts w:hint="eastAsia"/>
                        <w:lang w:eastAsia="zh-CN"/>
                      </w:rPr>
                      <w:t xml:space="preserve"> 页</w:t>
                    </w:r>
                  </w:p>
                </w:txbxContent>
              </v:textbox>
            </v:shape>
          </w:pict>
        </mc:Fallback>
      </mc:AlternateContent>
    </w:r>
  </w:p>
  <w:p>
    <w:pPr>
      <w:pStyle w:val="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pPr>
      <w:pStyle w:val="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37</w:t>
                    </w:r>
                    <w:r>
                      <w:rPr>
                        <w:rFonts w:hint="eastAsia"/>
                        <w:lang w:eastAsia="zh-CN"/>
                      </w:rPr>
                      <w:fldChar w:fldCharType="end"/>
                    </w:r>
                    <w:r>
                      <w:rPr>
                        <w:rFonts w:hint="eastAsia"/>
                        <w:lang w:eastAsia="zh-CN"/>
                      </w:rPr>
                      <w:t xml:space="preserve"> 页</w:t>
                    </w:r>
                  </w:p>
                </w:txbxContent>
              </v:textbox>
            </v:shape>
          </w:pict>
        </mc:Fallback>
      </mc:AlternateContent>
    </w:r>
  </w:p>
  <w:p>
    <w:pPr>
      <w:pStyle w:val="5"/>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30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30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C6525"/>
    <w:multiLevelType w:val="multilevel"/>
    <w:tmpl w:val="1F8C6525"/>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8CD0AD1"/>
    <w:multiLevelType w:val="multilevel"/>
    <w:tmpl w:val="28CD0AD1"/>
    <w:lvl w:ilvl="0" w:tentative="0">
      <w:start w:val="1"/>
      <w:numFmt w:val="lowerLetter"/>
      <w:lvlText w:val="%1)"/>
      <w:lvlJc w:val="left"/>
      <w:pPr>
        <w:ind w:left="1266" w:hanging="420"/>
      </w:p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2">
    <w:nsid w:val="2A7501E2"/>
    <w:multiLevelType w:val="multilevel"/>
    <w:tmpl w:val="2A7501E2"/>
    <w:lvl w:ilvl="0" w:tentative="0">
      <w:start w:val="1"/>
      <w:numFmt w:val="chineseCountingThousand"/>
      <w:lvlText w:val="%1、"/>
      <w:lvlJc w:val="left"/>
      <w:pPr>
        <w:ind w:left="480" w:hanging="480"/>
      </w:pPr>
      <w:rPr>
        <w:rFonts w:hint="default"/>
        <w:b/>
      </w:rPr>
    </w:lvl>
    <w:lvl w:ilvl="1" w:tentative="0">
      <w:start w:val="1"/>
      <w:numFmt w:val="decimal"/>
      <w:lvlText w:val="%2."/>
      <w:lvlJc w:val="left"/>
      <w:pPr>
        <w:tabs>
          <w:tab w:val="left" w:pos="780"/>
        </w:tabs>
        <w:ind w:left="780" w:hanging="36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4">
    <w:nsid w:val="3680143A"/>
    <w:multiLevelType w:val="multilevel"/>
    <w:tmpl w:val="3680143A"/>
    <w:lvl w:ilvl="0" w:tentative="0">
      <w:start w:val="1"/>
      <w:numFmt w:val="lowerLetter"/>
      <w:lvlText w:val="%1)"/>
      <w:lvlJc w:val="left"/>
      <w:pPr>
        <w:ind w:left="1266" w:hanging="420"/>
      </w:p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5">
    <w:nsid w:val="3C2350A8"/>
    <w:multiLevelType w:val="multilevel"/>
    <w:tmpl w:val="3C2350A8"/>
    <w:lvl w:ilvl="0" w:tentative="0">
      <w:start w:val="1"/>
      <w:numFmt w:val="japaneseCounting"/>
      <w:lvlText w:val="（%1）"/>
      <w:lvlJc w:val="left"/>
      <w:pPr>
        <w:ind w:left="855" w:hanging="855"/>
      </w:pPr>
      <w:rPr>
        <w:rFonts w:hint="default" w:ascii="宋体" w:hAnsi="Calibri"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4D864DF"/>
    <w:multiLevelType w:val="multilevel"/>
    <w:tmpl w:val="44D864DF"/>
    <w:lvl w:ilvl="0" w:tentative="0">
      <w:start w:val="1"/>
      <w:numFmt w:val="decimal"/>
      <w:lvlText w:val="%1."/>
      <w:lvlJc w:val="left"/>
      <w:pPr>
        <w:ind w:left="84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5201256"/>
    <w:multiLevelType w:val="multilevel"/>
    <w:tmpl w:val="45201256"/>
    <w:lvl w:ilvl="0" w:tentative="0">
      <w:start w:val="1"/>
      <w:numFmt w:val="chineseCountingThousand"/>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54AD4695"/>
    <w:multiLevelType w:val="multilevel"/>
    <w:tmpl w:val="54AD4695"/>
    <w:lvl w:ilvl="0" w:tentative="0">
      <w:start w:val="1"/>
      <w:numFmt w:val="chineseCountingThousand"/>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5A720279"/>
    <w:multiLevelType w:val="multilevel"/>
    <w:tmpl w:val="5A720279"/>
    <w:lvl w:ilvl="0" w:tentative="0">
      <w:start w:val="1"/>
      <w:numFmt w:val="lowerLetter"/>
      <w:lvlText w:val="%1)"/>
      <w:lvlJc w:val="left"/>
      <w:pPr>
        <w:ind w:left="1266" w:hanging="420"/>
      </w:pPr>
      <w:rPr>
        <w:rFonts w:hint="eastAsia"/>
        <w:color w:val="000000"/>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10">
    <w:nsid w:val="60C81A72"/>
    <w:multiLevelType w:val="multilevel"/>
    <w:tmpl w:val="60C81A72"/>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9591E14"/>
    <w:multiLevelType w:val="multilevel"/>
    <w:tmpl w:val="79591E14"/>
    <w:lvl w:ilvl="0" w:tentative="0">
      <w:start w:val="1"/>
      <w:numFmt w:val="lowerLetter"/>
      <w:lvlText w:val="%1)"/>
      <w:lvlJc w:val="left"/>
      <w:pPr>
        <w:ind w:left="1266" w:hanging="420"/>
      </w:p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12">
    <w:nsid w:val="7A196CE4"/>
    <w:multiLevelType w:val="multilevel"/>
    <w:tmpl w:val="7A196CE4"/>
    <w:lvl w:ilvl="0" w:tentative="0">
      <w:start w:val="1"/>
      <w:numFmt w:val="chineseCountingThousand"/>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3">
    <w:nsid w:val="7DC82F92"/>
    <w:multiLevelType w:val="multilevel"/>
    <w:tmpl w:val="7DC82F92"/>
    <w:lvl w:ilvl="0" w:tentative="0">
      <w:start w:val="1"/>
      <w:numFmt w:val="chineseCountingThousand"/>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3"/>
  </w:num>
  <w:num w:numId="2">
    <w:abstractNumId w:val="2"/>
  </w:num>
  <w:num w:numId="3">
    <w:abstractNumId w:val="7"/>
  </w:num>
  <w:num w:numId="4">
    <w:abstractNumId w:val="13"/>
  </w:num>
  <w:num w:numId="5">
    <w:abstractNumId w:val="6"/>
  </w:num>
  <w:num w:numId="6">
    <w:abstractNumId w:val="1"/>
  </w:num>
  <w:num w:numId="7">
    <w:abstractNumId w:val="4"/>
  </w:num>
  <w:num w:numId="8">
    <w:abstractNumId w:val="11"/>
  </w:num>
  <w:num w:numId="9">
    <w:abstractNumId w:val="9"/>
  </w:num>
  <w:num w:numId="10">
    <w:abstractNumId w:val="8"/>
  </w:num>
  <w:num w:numId="11">
    <w:abstractNumId w:val="10"/>
  </w:num>
  <w:num w:numId="12">
    <w:abstractNumId w:val="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538BC"/>
    <w:rsid w:val="176538BC"/>
    <w:rsid w:val="5DAC5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0">
    <w:name w:val="Default Paragraph Font"/>
    <w:semiHidden/>
    <w:qFormat/>
    <w:uiPriority w:val="0"/>
  </w:style>
  <w:style w:type="table" w:default="1" w:styleId="13">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uiPriority w:val="0"/>
    <w:rPr>
      <w:sz w:val="24"/>
      <w:szCs w:val="24"/>
    </w:rPr>
  </w:style>
  <w:style w:type="paragraph" w:styleId="6">
    <w:name w:val="Body Text Indent"/>
    <w:basedOn w:val="1"/>
    <w:uiPriority w:val="0"/>
    <w:pPr>
      <w:spacing w:after="120"/>
      <w:ind w:left="420" w:leftChars="200"/>
    </w:pPr>
  </w:style>
  <w:style w:type="paragraph" w:styleId="7">
    <w:name w:val="Plain Text"/>
    <w:basedOn w:val="1"/>
    <w:qFormat/>
    <w:uiPriority w:val="0"/>
    <w:rPr>
      <w:rFonts w:hAnsi="Courier New" w:cs="Courier New"/>
      <w:szCs w:val="21"/>
    </w:rPr>
  </w:style>
  <w:style w:type="paragraph" w:styleId="8">
    <w:name w:val="footer"/>
    <w:basedOn w:val="1"/>
    <w:uiPriority w:val="0"/>
    <w:pPr>
      <w:tabs>
        <w:tab w:val="center" w:pos="4153"/>
        <w:tab w:val="right" w:pos="8306"/>
      </w:tabs>
      <w:snapToGrid w:val="0"/>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11">
    <w:name w:val="Strong"/>
    <w:qFormat/>
    <w:uiPriority w:val="0"/>
    <w:rPr>
      <w:b/>
      <w:bCs/>
    </w:rPr>
  </w:style>
  <w:style w:type="character" w:styleId="12">
    <w:name w:val="page number"/>
    <w:basedOn w:val="10"/>
    <w:qFormat/>
    <w:uiPriority w:val="0"/>
  </w:style>
  <w:style w:type="table" w:styleId="14">
    <w:name w:val="Table Grid"/>
    <w:basedOn w:val="1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列出段落1"/>
    <w:basedOn w:val="1"/>
    <w:qFormat/>
    <w:uiPriority w:val="34"/>
    <w:pPr>
      <w:spacing w:before="206"/>
      <w:ind w:left="959" w:hanging="361"/>
    </w:pPr>
  </w:style>
  <w:style w:type="paragraph" w:customStyle="1" w:styleId="16">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2</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2022-06-06T03:44:00Z</dcterms:created>
  <dc:creator>mqhuang</dc:creator>
  <cp:lastModifiedBy>mqhuang</cp:lastModifiedBy>
  <dcterms:modified xsi:type="dcterms:W3CDTF">2022-06-06T03:52:11Z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