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消泡剂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消泡剂</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0518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6</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10</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消泡剂</w:t>
      </w:r>
    </w:p>
    <w:p>
      <w:pPr>
        <w:spacing w:line="300" w:lineRule="auto"/>
        <w:jc w:val="center"/>
        <w:rPr>
          <w:bCs/>
          <w:szCs w:val="21"/>
        </w:rPr>
      </w:pPr>
      <w:r>
        <w:rPr>
          <w:rFonts w:hint="eastAsia"/>
          <w:b/>
          <w:bCs/>
          <w:sz w:val="32"/>
        </w:rPr>
        <w:t>采购比选公告</w:t>
      </w:r>
      <w:r>
        <w:rPr>
          <w:rFonts w:hint="eastAsia"/>
          <w:b/>
          <w:bCs/>
          <w:sz w:val="32"/>
          <w:lang w:eastAsia="zh-CN"/>
        </w:rPr>
        <w:t>（</w:t>
      </w:r>
      <w:r>
        <w:rPr>
          <w:rFonts w:hint="eastAsia"/>
          <w:b/>
          <w:bCs/>
          <w:sz w:val="32"/>
          <w:lang w:val="en-US" w:eastAsia="zh-CN"/>
        </w:rPr>
        <w:t>第二次公告</w:t>
      </w:r>
      <w:r>
        <w:rPr>
          <w:rFonts w:hint="eastAsia"/>
          <w:b/>
          <w:bCs/>
          <w:sz w:val="32"/>
          <w:lang w:eastAsia="zh-CN"/>
        </w:rPr>
        <w:t>）</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消泡剂</w:t>
      </w:r>
      <w:r>
        <w:rPr>
          <w:rFonts w:hint="eastAsia" w:ascii="宋体" w:hAnsi="宋体" w:cs="宋体" w:eastAsiaTheme="minorEastAsia"/>
          <w:sz w:val="24"/>
        </w:rPr>
        <w:t>，详见附件技术要求。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消泡剂</w:t>
      </w:r>
      <w:r>
        <w:rPr>
          <w:rFonts w:hint="eastAsia" w:asciiTheme="minorEastAsia" w:hAnsiTheme="minorEastAsia" w:eastAsiaTheme="minorEastAsia"/>
          <w:bCs/>
          <w:sz w:val="24"/>
        </w:rPr>
        <w:t>采购数量、质量、货期、服务等要求详见比选文件及技术要求。</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需提供投标产品近三年同类装置的销售业绩，至少提供两家业绩证明（合同或发票）</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属于中国石油化工集团有限公司或中国石油天然气集团有限公司的合格供应商。</w:t>
      </w:r>
    </w:p>
    <w:p>
      <w:pPr>
        <w:pStyle w:val="12"/>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肆仟</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21</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sz w:val="24"/>
        </w:rPr>
        <w:t>同类装置的销售业绩</w:t>
      </w:r>
      <w:r>
        <w:rPr>
          <w:rFonts w:hint="eastAsia" w:asciiTheme="minorEastAsia" w:hAnsiTheme="minorEastAsia" w:eastAsiaTheme="minorEastAsia"/>
          <w:sz w:val="24"/>
        </w:rPr>
        <w:t>，至少提供两家业绩证明（合同或发票）。</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肆仟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10</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bookmarkStart w:id="2" w:name="_GoBack"/>
      <w:bookmarkEnd w:id="2"/>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消泡剂</w:t>
      </w:r>
      <w:r>
        <w:rPr>
          <w:rFonts w:hint="eastAsia" w:ascii="宋体" w:hAnsi="宋体"/>
          <w:sz w:val="18"/>
          <w:szCs w:val="18"/>
          <w:u w:val="single"/>
        </w:rPr>
        <w:t>，详见附件技术要求。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（5）需提供投标产品近三年同类装置的销售业绩，至少提供两家业绩证明（合同或发票）。</w:t>
      </w:r>
    </w:p>
    <w:p>
      <w:pPr>
        <w:spacing w:line="320" w:lineRule="exact"/>
        <w:rPr>
          <w:rFonts w:ascii="宋体"/>
          <w:sz w:val="18"/>
          <w:szCs w:val="18"/>
        </w:rPr>
      </w:pPr>
      <w:r>
        <w:rPr>
          <w:rFonts w:hint="eastAsia" w:ascii="宋体"/>
          <w:sz w:val="18"/>
          <w:szCs w:val="18"/>
        </w:rPr>
        <w:t>（6）属于中国石油化工集团有限公司或中国石油天然气集团有限公司的合格供应商。</w:t>
      </w:r>
    </w:p>
    <w:p>
      <w:pPr>
        <w:spacing w:line="320" w:lineRule="exact"/>
        <w:rPr>
          <w:rFonts w:ascii="宋体"/>
          <w:sz w:val="18"/>
          <w:szCs w:val="18"/>
          <w:highlight w:val="none"/>
        </w:rPr>
      </w:pPr>
      <w:r>
        <w:rPr>
          <w:rFonts w:hint="eastAsia" w:ascii="宋体"/>
          <w:sz w:val="18"/>
          <w:szCs w:val="18"/>
          <w:highlight w:val="none"/>
        </w:rPr>
        <w:t>（7）参选保证金：</w:t>
      </w:r>
      <w:r>
        <w:rPr>
          <w:rFonts w:hint="eastAsia" w:ascii="宋体"/>
          <w:sz w:val="18"/>
          <w:szCs w:val="18"/>
          <w:highlight w:val="none"/>
          <w:lang w:val="en-US" w:eastAsia="zh-CN"/>
        </w:rPr>
        <w:t>肆仟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消泡剂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消泡剂</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消泡剂</w:t>
      </w:r>
      <w:r>
        <w:rPr>
          <w:rFonts w:hint="eastAsia" w:ascii="宋体" w:cs="宋体"/>
          <w:sz w:val="24"/>
        </w:rPr>
        <w:t>数量：</w:t>
      </w:r>
      <w:r>
        <w:rPr>
          <w:rFonts w:hint="eastAsia" w:ascii="宋体" w:cs="宋体"/>
          <w:sz w:val="24"/>
          <w:lang w:val="en-US" w:eastAsia="zh-CN"/>
        </w:rPr>
        <w:t>1500KG。</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质量质保及技术保证值：</w:t>
      </w:r>
    </w:p>
    <w:p>
      <w:pPr>
        <w:numPr>
          <w:ilvl w:val="0"/>
          <w:numId w:val="0"/>
        </w:numPr>
        <w:spacing w:line="360" w:lineRule="exact"/>
        <w:jc w:val="left"/>
        <w:rPr>
          <w:rFonts w:ascii="宋体" w:hAnsi="宋体" w:cs="宋体"/>
          <w:sz w:val="24"/>
        </w:rPr>
      </w:pPr>
      <w:r>
        <w:rPr>
          <w:rFonts w:hint="eastAsia" w:ascii="宋体" w:hAnsi="宋体" w:cs="宋体"/>
          <w:sz w:val="24"/>
          <w:lang w:val="en-US" w:eastAsia="zh-CN"/>
        </w:rPr>
        <w:t>2.1质量指标：</w:t>
      </w:r>
    </w:p>
    <w:tbl>
      <w:tblPr>
        <w:tblStyle w:val="11"/>
        <w:tblW w:w="6100" w:type="dxa"/>
        <w:tblInd w:w="0" w:type="dxa"/>
        <w:tblLayout w:type="fixed"/>
        <w:tblCellMar>
          <w:top w:w="0" w:type="dxa"/>
          <w:left w:w="108" w:type="dxa"/>
          <w:bottom w:w="0" w:type="dxa"/>
          <w:right w:w="108" w:type="dxa"/>
        </w:tblCellMar>
      </w:tblPr>
      <w:tblGrid>
        <w:gridCol w:w="584"/>
        <w:gridCol w:w="2131"/>
        <w:gridCol w:w="1015"/>
        <w:gridCol w:w="2370"/>
      </w:tblGrid>
      <w:tr>
        <w:tblPrEx>
          <w:tblLayout w:type="fixed"/>
          <w:tblCellMar>
            <w:top w:w="0" w:type="dxa"/>
            <w:left w:w="108" w:type="dxa"/>
            <w:bottom w:w="0" w:type="dxa"/>
            <w:right w:w="108" w:type="dxa"/>
          </w:tblCellMar>
        </w:tblPrEx>
        <w:trPr>
          <w:trHeight w:val="422" w:hRule="atLeast"/>
        </w:trPr>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131"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项      目</w:t>
            </w:r>
          </w:p>
        </w:tc>
        <w:tc>
          <w:tcPr>
            <w:tcW w:w="1015"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单   位</w:t>
            </w:r>
          </w:p>
        </w:tc>
        <w:tc>
          <w:tcPr>
            <w:tcW w:w="2370"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规   格</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硅质物质含量</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w:t>
            </w:r>
          </w:p>
        </w:tc>
        <w:tc>
          <w:tcPr>
            <w:tcW w:w="2370"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1</w:t>
            </w:r>
            <w:r>
              <w:rPr>
                <w:rFonts w:ascii="宋体" w:hAnsi="宋体"/>
                <w:bCs/>
                <w:szCs w:val="28"/>
              </w:rPr>
              <w:t>00</w:t>
            </w:r>
            <w:r>
              <w:rPr>
                <w:rFonts w:hint="eastAsia" w:ascii="宋体" w:hAnsi="宋体"/>
                <w:bCs/>
                <w:szCs w:val="28"/>
              </w:rPr>
              <w:t>%</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密度</w:t>
            </w:r>
            <w:r>
              <w:rPr>
                <w:rFonts w:ascii="宋体" w:hAnsi="宋体"/>
                <w:bCs/>
                <w:szCs w:val="28"/>
              </w:rPr>
              <w:t>(</w:t>
            </w:r>
            <w:r>
              <w:rPr>
                <w:rFonts w:hint="eastAsia" w:ascii="宋体" w:hAnsi="宋体"/>
                <w:bCs/>
                <w:szCs w:val="28"/>
              </w:rPr>
              <w:t>2</w:t>
            </w:r>
            <w:r>
              <w:rPr>
                <w:rFonts w:ascii="宋体" w:hAnsi="宋体"/>
                <w:bCs/>
                <w:szCs w:val="28"/>
              </w:rPr>
              <w:t>0</w:t>
            </w:r>
            <w:r>
              <w:rPr>
                <w:rFonts w:ascii="宋体" w:hAnsi="宋体"/>
                <w:bCs/>
                <w:szCs w:val="28"/>
              </w:rPr>
              <w:sym w:font="Symbol" w:char="F0B0"/>
            </w:r>
            <w:r>
              <w:rPr>
                <w:rFonts w:ascii="宋体" w:hAnsi="宋体"/>
                <w:bCs/>
                <w:szCs w:val="28"/>
              </w:rPr>
              <w:t>C)</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k</w:t>
            </w:r>
            <w:r>
              <w:rPr>
                <w:rFonts w:ascii="宋体" w:hAnsi="宋体"/>
                <w:bCs/>
                <w:szCs w:val="28"/>
              </w:rPr>
              <w:t>g</w:t>
            </w:r>
            <w:r>
              <w:rPr>
                <w:rFonts w:hint="eastAsia" w:ascii="宋体" w:hAnsi="宋体"/>
                <w:bCs/>
                <w:szCs w:val="28"/>
              </w:rPr>
              <w:t>/</w:t>
            </w:r>
            <w:r>
              <w:rPr>
                <w:rFonts w:ascii="宋体" w:hAnsi="宋体"/>
                <w:bCs/>
                <w:szCs w:val="28"/>
              </w:rPr>
              <w:t>m</w:t>
            </w:r>
            <w:r>
              <w:rPr>
                <w:rFonts w:ascii="宋体" w:hAnsi="宋体"/>
                <w:bCs/>
                <w:szCs w:val="28"/>
                <w:vertAlign w:val="superscript"/>
              </w:rPr>
              <w:t>3</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970</w:t>
            </w:r>
            <w:r>
              <w:rPr>
                <w:rFonts w:hint="eastAsia" w:ascii="宋体" w:hAnsi="宋体"/>
                <w:bCs/>
                <w:szCs w:val="28"/>
              </w:rPr>
              <w:t>-1000</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运动粘度</w:t>
            </w:r>
            <w:r>
              <w:rPr>
                <w:rFonts w:ascii="宋体" w:hAnsi="宋体"/>
                <w:bCs/>
                <w:szCs w:val="28"/>
              </w:rPr>
              <w:t>(</w:t>
            </w:r>
            <w:r>
              <w:rPr>
                <w:rFonts w:hint="eastAsia" w:ascii="宋体" w:hAnsi="宋体"/>
                <w:bCs/>
                <w:szCs w:val="28"/>
              </w:rPr>
              <w:t>4</w:t>
            </w:r>
            <w:r>
              <w:rPr>
                <w:rFonts w:ascii="宋体" w:hAnsi="宋体"/>
                <w:bCs/>
                <w:szCs w:val="28"/>
              </w:rPr>
              <w:t>0</w:t>
            </w:r>
            <w:r>
              <w:rPr>
                <w:rFonts w:ascii="宋体" w:hAnsi="宋体"/>
                <w:bCs/>
                <w:szCs w:val="28"/>
              </w:rPr>
              <w:sym w:font="Symbol" w:char="F0B0"/>
            </w:r>
            <w:r>
              <w:rPr>
                <w:rFonts w:ascii="宋体" w:hAnsi="宋体"/>
                <w:bCs/>
                <w:szCs w:val="28"/>
              </w:rPr>
              <w:t>C)</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mm</w:t>
            </w:r>
            <w:r>
              <w:rPr>
                <w:rFonts w:hint="eastAsia" w:ascii="宋体" w:hAnsi="宋体"/>
                <w:bCs/>
                <w:szCs w:val="28"/>
                <w:vertAlign w:val="superscript"/>
              </w:rPr>
              <w:t>2</w:t>
            </w:r>
            <w:r>
              <w:rPr>
                <w:rFonts w:hint="eastAsia" w:ascii="宋体" w:hAnsi="宋体"/>
                <w:bCs/>
                <w:szCs w:val="28"/>
              </w:rPr>
              <w:t>/s</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2</w:t>
            </w:r>
            <w:r>
              <w:rPr>
                <w:rFonts w:hint="eastAsia" w:ascii="宋体" w:hAnsi="宋体"/>
                <w:bCs/>
                <w:szCs w:val="28"/>
              </w:rPr>
              <w:t>20-</w:t>
            </w:r>
            <w:r>
              <w:rPr>
                <w:rFonts w:ascii="宋体" w:hAnsi="宋体"/>
                <w:bCs/>
                <w:szCs w:val="28"/>
              </w:rPr>
              <w:t>5</w:t>
            </w:r>
            <w:r>
              <w:rPr>
                <w:rFonts w:hint="eastAsia" w:ascii="宋体" w:hAnsi="宋体"/>
                <w:bCs/>
                <w:szCs w:val="28"/>
              </w:rPr>
              <w:t>50</w:t>
            </w:r>
          </w:p>
        </w:tc>
      </w:tr>
      <w:tr>
        <w:tblPrEx>
          <w:tblLayout w:type="fixed"/>
          <w:tblCellMar>
            <w:top w:w="0" w:type="dxa"/>
            <w:left w:w="108" w:type="dxa"/>
            <w:bottom w:w="0" w:type="dxa"/>
            <w:right w:w="108" w:type="dxa"/>
          </w:tblCellMar>
        </w:tblPrEx>
        <w:trPr>
          <w:trHeight w:val="438"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开口闪点</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以实测值为准</w:t>
            </w:r>
          </w:p>
        </w:tc>
      </w:tr>
    </w:tbl>
    <w:p>
      <w:pPr>
        <w:numPr>
          <w:ilvl w:val="0"/>
          <w:numId w:val="0"/>
        </w:numPr>
        <w:spacing w:line="312" w:lineRule="auto"/>
        <w:rPr>
          <w:rFonts w:hint="eastAsia" w:ascii="宋体" w:hAnsi="宋体"/>
          <w:sz w:val="24"/>
          <w:lang w:eastAsia="zh-CN"/>
        </w:rPr>
      </w:pPr>
      <w:r>
        <w:rPr>
          <w:rFonts w:hint="eastAsia" w:ascii="宋体" w:hAnsi="宋体"/>
          <w:sz w:val="24"/>
          <w:lang w:val="en-US" w:eastAsia="zh-CN"/>
        </w:rPr>
        <w:t>2.2</w:t>
      </w:r>
      <w:r>
        <w:rPr>
          <w:rFonts w:hint="eastAsia" w:ascii="宋体" w:hAnsi="宋体"/>
          <w:sz w:val="24"/>
        </w:rPr>
        <w:t>技术保证值</w:t>
      </w:r>
      <w:r>
        <w:rPr>
          <w:rFonts w:hint="eastAsia" w:ascii="宋体" w:hAnsi="宋体"/>
          <w:sz w:val="24"/>
          <w:lang w:eastAsia="zh-CN"/>
        </w:rPr>
        <w:t>：</w:t>
      </w:r>
    </w:p>
    <w:p>
      <w:pPr>
        <w:spacing w:line="360" w:lineRule="auto"/>
        <w:rPr>
          <w:rFonts w:ascii="Calibri" w:hAnsi="宋体"/>
          <w:color w:val="000000" w:themeColor="text1"/>
          <w:sz w:val="24"/>
        </w:rPr>
      </w:pPr>
      <w:r>
        <w:rPr>
          <w:rFonts w:hint="eastAsia"/>
          <w:sz w:val="24"/>
          <w:lang w:val="en-US" w:eastAsia="zh-CN"/>
        </w:rPr>
        <w:t>2.2</w:t>
      </w:r>
      <w:r>
        <w:rPr>
          <w:rFonts w:hint="eastAsia"/>
          <w:sz w:val="24"/>
        </w:rPr>
        <w:t>.1</w:t>
      </w:r>
      <w:r>
        <w:rPr>
          <w:rFonts w:hint="eastAsia" w:ascii="Calibri" w:hAnsi="宋体"/>
          <w:color w:val="000000"/>
          <w:sz w:val="24"/>
        </w:rPr>
        <w:t>注入量不超过抽提蒸馏塔进料</w:t>
      </w:r>
      <w:r>
        <w:rPr>
          <w:rFonts w:hint="eastAsia" w:ascii="Calibri" w:hAnsi="宋体"/>
          <w:color w:val="000000" w:themeColor="text1"/>
          <w:sz w:val="24"/>
        </w:rPr>
        <w:t>流量的</w:t>
      </w:r>
      <w:r>
        <w:rPr>
          <w:rFonts w:hint="eastAsia" w:ascii="Calibri" w:hAnsi="宋体"/>
          <w:color w:val="000000" w:themeColor="text1"/>
          <w:sz w:val="24"/>
          <w:u w:val="single"/>
        </w:rPr>
        <w:t xml:space="preserve"> </w:t>
      </w:r>
      <w:r>
        <w:rPr>
          <w:rFonts w:ascii="Calibri" w:hAnsi="宋体"/>
          <w:color w:val="000000" w:themeColor="text1"/>
          <w:sz w:val="24"/>
          <w:u w:val="single"/>
        </w:rPr>
        <w:t>50</w:t>
      </w:r>
      <w:r>
        <w:rPr>
          <w:rFonts w:hint="eastAsia" w:ascii="Calibri" w:hAnsi="宋体"/>
          <w:color w:val="000000" w:themeColor="text1"/>
          <w:sz w:val="24"/>
          <w:u w:val="single"/>
        </w:rPr>
        <w:t xml:space="preserve"> </w:t>
      </w:r>
      <w:r>
        <w:rPr>
          <w:rFonts w:hint="eastAsia" w:ascii="Calibri" w:hAnsi="宋体"/>
          <w:color w:val="000000" w:themeColor="text1"/>
          <w:sz w:val="24"/>
        </w:rPr>
        <w:t>ppm（</w:t>
      </w:r>
      <w:r>
        <w:rPr>
          <w:rFonts w:hint="eastAsia" w:ascii="Calibri" w:hAnsi="Calibri"/>
          <w:snapToGrid w:val="0"/>
          <w:color w:val="000000" w:themeColor="text1"/>
        </w:rPr>
        <w:t>含稀释</w:t>
      </w:r>
      <w:r>
        <w:rPr>
          <w:rFonts w:hint="eastAsia" w:ascii="Calibri" w:hAnsi="Calibri"/>
          <w:color w:val="000000" w:themeColor="text1"/>
        </w:rPr>
        <w:t>抽余油</w:t>
      </w:r>
      <w:r>
        <w:rPr>
          <w:rFonts w:hint="eastAsia" w:ascii="Calibri" w:hAnsi="宋体"/>
          <w:color w:val="000000" w:themeColor="text1"/>
          <w:sz w:val="24"/>
        </w:rPr>
        <w:t xml:space="preserve">）； </w:t>
      </w:r>
    </w:p>
    <w:p>
      <w:pPr>
        <w:spacing w:line="360" w:lineRule="auto"/>
        <w:rPr>
          <w:rFonts w:ascii="宋体" w:hAnsi="宋体" w:cs="宋体"/>
          <w:sz w:val="24"/>
        </w:rPr>
      </w:pPr>
      <w:r>
        <w:rPr>
          <w:rFonts w:hint="eastAsia"/>
          <w:sz w:val="24"/>
          <w:lang w:val="en-US" w:eastAsia="zh-CN"/>
        </w:rPr>
        <w:t>2.2</w:t>
      </w:r>
      <w:r>
        <w:rPr>
          <w:rFonts w:hint="eastAsia"/>
          <w:sz w:val="24"/>
        </w:rPr>
        <w:t>.2</w:t>
      </w:r>
      <w:r>
        <w:rPr>
          <w:rFonts w:hint="eastAsia"/>
          <w:sz w:val="24"/>
          <w:lang w:val="en-US" w:eastAsia="zh-CN"/>
        </w:rPr>
        <w:t>根据附件</w:t>
      </w:r>
      <w:r>
        <w:rPr>
          <w:rFonts w:hint="eastAsia" w:ascii="Calibri" w:hAnsi="宋体"/>
          <w:color w:val="000000"/>
          <w:sz w:val="24"/>
          <w:lang w:val="en-US" w:eastAsia="zh-CN"/>
        </w:rPr>
        <w:t>技术要求中的</w:t>
      </w:r>
      <w:r>
        <w:rPr>
          <w:rFonts w:hint="eastAsia" w:ascii="Calibri" w:hAnsi="宋体"/>
          <w:color w:val="000000"/>
          <w:sz w:val="24"/>
        </w:rPr>
        <w:t>工艺条件下：①确保不发生冲塔、发泡现象；②不影响溶剂环丁砜和产品的质量指标</w:t>
      </w:r>
      <w:r>
        <w:rPr>
          <w:rFonts w:hint="eastAsia" w:ascii="Calibri" w:hAnsi="宋体"/>
          <w:sz w:val="24"/>
        </w:rPr>
        <w:t>；③</w:t>
      </w:r>
      <w:r>
        <w:rPr>
          <w:rFonts w:hint="eastAsia" w:ascii="宋体" w:hAnsi="宋体"/>
          <w:color w:val="000000"/>
          <w:sz w:val="24"/>
        </w:rPr>
        <w:t>进入抽余油中的硅含量小于</w:t>
      </w:r>
      <w:r>
        <w:rPr>
          <w:rFonts w:hint="eastAsia" w:ascii="Calibri" w:hAnsi="宋体"/>
          <w:color w:val="000000"/>
          <w:sz w:val="24"/>
        </w:rPr>
        <w:t>1ppm。</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塑料桶，20KG/桶或25KG/桶</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到货时间：货物于2022年</w:t>
      </w:r>
      <w:r>
        <w:rPr>
          <w:rFonts w:hint="eastAsia" w:ascii="宋体" w:hAnsi="宋体"/>
          <w:sz w:val="24"/>
          <w:lang w:val="en-US" w:eastAsia="zh-CN"/>
        </w:rPr>
        <w:t>8月10日前具备到货条件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消泡剂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widowControl/>
        <w:jc w:val="lef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消泡剂</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1500KG。</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3、含税单价：________元/KG；含税总价：________元，税率；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4、质量指标：</w:t>
      </w:r>
    </w:p>
    <w:tbl>
      <w:tblPr>
        <w:tblStyle w:val="11"/>
        <w:tblW w:w="6100" w:type="dxa"/>
        <w:tblInd w:w="0" w:type="dxa"/>
        <w:tblLayout w:type="fixed"/>
        <w:tblCellMar>
          <w:top w:w="0" w:type="dxa"/>
          <w:left w:w="108" w:type="dxa"/>
          <w:bottom w:w="0" w:type="dxa"/>
          <w:right w:w="108" w:type="dxa"/>
        </w:tblCellMar>
      </w:tblPr>
      <w:tblGrid>
        <w:gridCol w:w="584"/>
        <w:gridCol w:w="2131"/>
        <w:gridCol w:w="1015"/>
        <w:gridCol w:w="2370"/>
      </w:tblGrid>
      <w:tr>
        <w:tblPrEx>
          <w:tblLayout w:type="fixed"/>
          <w:tblCellMar>
            <w:top w:w="0" w:type="dxa"/>
            <w:left w:w="108" w:type="dxa"/>
            <w:bottom w:w="0" w:type="dxa"/>
            <w:right w:w="108" w:type="dxa"/>
          </w:tblCellMar>
        </w:tblPrEx>
        <w:trPr>
          <w:trHeight w:val="422" w:hRule="atLeast"/>
        </w:trPr>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131"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项      目</w:t>
            </w:r>
          </w:p>
        </w:tc>
        <w:tc>
          <w:tcPr>
            <w:tcW w:w="1015"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单   位</w:t>
            </w:r>
          </w:p>
        </w:tc>
        <w:tc>
          <w:tcPr>
            <w:tcW w:w="2370"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规   格</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硅质物质含量</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w:t>
            </w:r>
          </w:p>
        </w:tc>
        <w:tc>
          <w:tcPr>
            <w:tcW w:w="2370"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1</w:t>
            </w:r>
            <w:r>
              <w:rPr>
                <w:rFonts w:ascii="宋体" w:hAnsi="宋体"/>
                <w:bCs/>
                <w:szCs w:val="28"/>
              </w:rPr>
              <w:t>00</w:t>
            </w:r>
            <w:r>
              <w:rPr>
                <w:rFonts w:hint="eastAsia" w:ascii="宋体" w:hAnsi="宋体"/>
                <w:bCs/>
                <w:szCs w:val="28"/>
              </w:rPr>
              <w:t>%</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密度</w:t>
            </w:r>
            <w:r>
              <w:rPr>
                <w:rFonts w:ascii="宋体" w:hAnsi="宋体"/>
                <w:bCs/>
                <w:szCs w:val="28"/>
              </w:rPr>
              <w:t>(</w:t>
            </w:r>
            <w:r>
              <w:rPr>
                <w:rFonts w:hint="eastAsia" w:ascii="宋体" w:hAnsi="宋体"/>
                <w:bCs/>
                <w:szCs w:val="28"/>
              </w:rPr>
              <w:t>2</w:t>
            </w:r>
            <w:r>
              <w:rPr>
                <w:rFonts w:ascii="宋体" w:hAnsi="宋体"/>
                <w:bCs/>
                <w:szCs w:val="28"/>
              </w:rPr>
              <w:t>0</w:t>
            </w:r>
            <w:r>
              <w:rPr>
                <w:rFonts w:ascii="宋体" w:hAnsi="宋体"/>
                <w:bCs/>
                <w:szCs w:val="28"/>
              </w:rPr>
              <w:sym w:font="Symbol" w:char="F0B0"/>
            </w:r>
            <w:r>
              <w:rPr>
                <w:rFonts w:ascii="宋体" w:hAnsi="宋体"/>
                <w:bCs/>
                <w:szCs w:val="28"/>
              </w:rPr>
              <w:t>C)</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k</w:t>
            </w:r>
            <w:r>
              <w:rPr>
                <w:rFonts w:ascii="宋体" w:hAnsi="宋体"/>
                <w:bCs/>
                <w:szCs w:val="28"/>
              </w:rPr>
              <w:t>g</w:t>
            </w:r>
            <w:r>
              <w:rPr>
                <w:rFonts w:hint="eastAsia" w:ascii="宋体" w:hAnsi="宋体"/>
                <w:bCs/>
                <w:szCs w:val="28"/>
              </w:rPr>
              <w:t>/</w:t>
            </w:r>
            <w:r>
              <w:rPr>
                <w:rFonts w:ascii="宋体" w:hAnsi="宋体"/>
                <w:bCs/>
                <w:szCs w:val="28"/>
              </w:rPr>
              <w:t>m</w:t>
            </w:r>
            <w:r>
              <w:rPr>
                <w:rFonts w:ascii="宋体" w:hAnsi="宋体"/>
                <w:bCs/>
                <w:szCs w:val="28"/>
                <w:vertAlign w:val="superscript"/>
              </w:rPr>
              <w:t>3</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970</w:t>
            </w:r>
            <w:r>
              <w:rPr>
                <w:rFonts w:hint="eastAsia" w:ascii="宋体" w:hAnsi="宋体"/>
                <w:bCs/>
                <w:szCs w:val="28"/>
              </w:rPr>
              <w:t>-1000</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运动粘度</w:t>
            </w:r>
            <w:r>
              <w:rPr>
                <w:rFonts w:ascii="宋体" w:hAnsi="宋体"/>
                <w:bCs/>
                <w:szCs w:val="28"/>
              </w:rPr>
              <w:t>(</w:t>
            </w:r>
            <w:r>
              <w:rPr>
                <w:rFonts w:hint="eastAsia" w:ascii="宋体" w:hAnsi="宋体"/>
                <w:bCs/>
                <w:szCs w:val="28"/>
              </w:rPr>
              <w:t>4</w:t>
            </w:r>
            <w:r>
              <w:rPr>
                <w:rFonts w:ascii="宋体" w:hAnsi="宋体"/>
                <w:bCs/>
                <w:szCs w:val="28"/>
              </w:rPr>
              <w:t>0</w:t>
            </w:r>
            <w:r>
              <w:rPr>
                <w:rFonts w:ascii="宋体" w:hAnsi="宋体"/>
                <w:bCs/>
                <w:szCs w:val="28"/>
              </w:rPr>
              <w:sym w:font="Symbol" w:char="F0B0"/>
            </w:r>
            <w:r>
              <w:rPr>
                <w:rFonts w:ascii="宋体" w:hAnsi="宋体"/>
                <w:bCs/>
                <w:szCs w:val="28"/>
              </w:rPr>
              <w:t>C)</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mm</w:t>
            </w:r>
            <w:r>
              <w:rPr>
                <w:rFonts w:hint="eastAsia" w:ascii="宋体" w:hAnsi="宋体"/>
                <w:bCs/>
                <w:szCs w:val="28"/>
                <w:vertAlign w:val="superscript"/>
              </w:rPr>
              <w:t>2</w:t>
            </w:r>
            <w:r>
              <w:rPr>
                <w:rFonts w:hint="eastAsia" w:ascii="宋体" w:hAnsi="宋体"/>
                <w:bCs/>
                <w:szCs w:val="28"/>
              </w:rPr>
              <w:t>/s</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2</w:t>
            </w:r>
            <w:r>
              <w:rPr>
                <w:rFonts w:hint="eastAsia" w:ascii="宋体" w:hAnsi="宋体"/>
                <w:bCs/>
                <w:szCs w:val="28"/>
              </w:rPr>
              <w:t>20-</w:t>
            </w:r>
            <w:r>
              <w:rPr>
                <w:rFonts w:ascii="宋体" w:hAnsi="宋体"/>
                <w:bCs/>
                <w:szCs w:val="28"/>
              </w:rPr>
              <w:t>5</w:t>
            </w:r>
            <w:r>
              <w:rPr>
                <w:rFonts w:hint="eastAsia" w:ascii="宋体" w:hAnsi="宋体"/>
                <w:bCs/>
                <w:szCs w:val="28"/>
              </w:rPr>
              <w:t>50</w:t>
            </w:r>
          </w:p>
        </w:tc>
      </w:tr>
      <w:tr>
        <w:tblPrEx>
          <w:tblLayout w:type="fixed"/>
          <w:tblCellMar>
            <w:top w:w="0" w:type="dxa"/>
            <w:left w:w="108" w:type="dxa"/>
            <w:bottom w:w="0" w:type="dxa"/>
            <w:right w:w="108" w:type="dxa"/>
          </w:tblCellMar>
        </w:tblPrEx>
        <w:trPr>
          <w:trHeight w:val="438"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开口闪点</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以实测值为准</w:t>
            </w:r>
          </w:p>
        </w:tc>
      </w:tr>
    </w:tbl>
    <w:p>
      <w:pPr>
        <w:numPr>
          <w:ilvl w:val="0"/>
          <w:numId w:val="8"/>
        </w:numPr>
        <w:spacing w:line="312" w:lineRule="auto"/>
        <w:rPr>
          <w:rFonts w:hint="eastAsia" w:ascii="宋体" w:hAnsi="宋体"/>
          <w:sz w:val="24"/>
          <w:lang w:eastAsia="zh-CN"/>
        </w:rPr>
      </w:pPr>
      <w:r>
        <w:rPr>
          <w:rFonts w:hint="eastAsia" w:ascii="宋体" w:hAnsi="宋体"/>
          <w:sz w:val="24"/>
        </w:rPr>
        <w:t>技术保证值</w:t>
      </w:r>
      <w:r>
        <w:rPr>
          <w:rFonts w:hint="eastAsia" w:ascii="宋体" w:hAnsi="宋体"/>
          <w:sz w:val="24"/>
          <w:lang w:eastAsia="zh-CN"/>
        </w:rPr>
        <w:t>：</w:t>
      </w:r>
    </w:p>
    <w:p>
      <w:pPr>
        <w:spacing w:line="360" w:lineRule="auto"/>
        <w:rPr>
          <w:rFonts w:ascii="Calibri" w:hAnsi="宋体"/>
          <w:color w:val="000000" w:themeColor="text1"/>
          <w:sz w:val="24"/>
        </w:rPr>
      </w:pPr>
      <w:r>
        <w:rPr>
          <w:rFonts w:hint="eastAsia"/>
          <w:sz w:val="24"/>
          <w:lang w:val="en-US" w:eastAsia="zh-CN"/>
        </w:rPr>
        <w:t>5</w:t>
      </w:r>
      <w:r>
        <w:rPr>
          <w:rFonts w:hint="eastAsia"/>
          <w:sz w:val="24"/>
        </w:rPr>
        <w:t>.1</w:t>
      </w:r>
      <w:r>
        <w:rPr>
          <w:rFonts w:hint="eastAsia" w:ascii="Calibri" w:hAnsi="宋体"/>
          <w:color w:val="000000"/>
          <w:sz w:val="24"/>
        </w:rPr>
        <w:t>注入量不超过抽提蒸馏塔进料</w:t>
      </w:r>
      <w:r>
        <w:rPr>
          <w:rFonts w:hint="eastAsia" w:ascii="Calibri" w:hAnsi="宋体"/>
          <w:color w:val="000000" w:themeColor="text1"/>
          <w:sz w:val="24"/>
        </w:rPr>
        <w:t>流量的</w:t>
      </w:r>
      <w:r>
        <w:rPr>
          <w:rFonts w:hint="eastAsia" w:ascii="Calibri" w:hAnsi="宋体"/>
          <w:color w:val="000000" w:themeColor="text1"/>
          <w:sz w:val="24"/>
          <w:u w:val="single"/>
        </w:rPr>
        <w:t xml:space="preserve"> </w:t>
      </w:r>
      <w:r>
        <w:rPr>
          <w:rFonts w:ascii="Calibri" w:hAnsi="宋体"/>
          <w:color w:val="000000" w:themeColor="text1"/>
          <w:sz w:val="24"/>
          <w:u w:val="single"/>
        </w:rPr>
        <w:t>50</w:t>
      </w:r>
      <w:r>
        <w:rPr>
          <w:rFonts w:hint="eastAsia" w:ascii="Calibri" w:hAnsi="宋体"/>
          <w:color w:val="000000" w:themeColor="text1"/>
          <w:sz w:val="24"/>
          <w:u w:val="single"/>
        </w:rPr>
        <w:t xml:space="preserve"> </w:t>
      </w:r>
      <w:r>
        <w:rPr>
          <w:rFonts w:hint="eastAsia" w:ascii="Calibri" w:hAnsi="宋体"/>
          <w:color w:val="000000" w:themeColor="text1"/>
          <w:sz w:val="24"/>
        </w:rPr>
        <w:t>ppm（</w:t>
      </w:r>
      <w:r>
        <w:rPr>
          <w:rFonts w:hint="eastAsia" w:ascii="Calibri" w:hAnsi="Calibri"/>
          <w:snapToGrid w:val="0"/>
          <w:color w:val="000000" w:themeColor="text1"/>
        </w:rPr>
        <w:t>含稀释</w:t>
      </w:r>
      <w:r>
        <w:rPr>
          <w:rFonts w:hint="eastAsia" w:ascii="Calibri" w:hAnsi="Calibri"/>
          <w:color w:val="000000" w:themeColor="text1"/>
        </w:rPr>
        <w:t>抽余油</w:t>
      </w:r>
      <w:r>
        <w:rPr>
          <w:rFonts w:hint="eastAsia" w:ascii="Calibri" w:hAnsi="宋体"/>
          <w:color w:val="000000" w:themeColor="text1"/>
          <w:sz w:val="24"/>
        </w:rPr>
        <w:t xml:space="preserve">）； </w:t>
      </w:r>
    </w:p>
    <w:p>
      <w:pPr>
        <w:spacing w:line="360" w:lineRule="auto"/>
        <w:rPr>
          <w:rFonts w:hint="eastAsia" w:ascii="宋体" w:hAnsi="宋体"/>
          <w:sz w:val="24"/>
          <w:lang w:eastAsia="zh-CN"/>
        </w:rPr>
      </w:pPr>
      <w:r>
        <w:rPr>
          <w:rFonts w:hint="eastAsia"/>
          <w:sz w:val="24"/>
          <w:lang w:val="en-US" w:eastAsia="zh-CN"/>
        </w:rPr>
        <w:t>5</w:t>
      </w:r>
      <w:r>
        <w:rPr>
          <w:rFonts w:hint="eastAsia"/>
          <w:sz w:val="24"/>
        </w:rPr>
        <w:t>.2</w:t>
      </w:r>
      <w:r>
        <w:rPr>
          <w:rFonts w:hint="eastAsia"/>
          <w:sz w:val="24"/>
          <w:lang w:val="en-US" w:eastAsia="zh-CN"/>
        </w:rPr>
        <w:t>根据</w:t>
      </w:r>
      <w:r>
        <w:rPr>
          <w:rFonts w:hint="eastAsia" w:ascii="Calibri" w:hAnsi="宋体"/>
          <w:color w:val="000000"/>
          <w:sz w:val="24"/>
          <w:lang w:val="en-US" w:eastAsia="zh-CN"/>
        </w:rPr>
        <w:t>技术要求中的</w:t>
      </w:r>
      <w:r>
        <w:rPr>
          <w:rFonts w:hint="eastAsia" w:ascii="Calibri" w:hAnsi="宋体"/>
          <w:color w:val="000000"/>
          <w:sz w:val="24"/>
        </w:rPr>
        <w:t>工艺条件下：①确保不发生冲塔、发泡现象；②不影响溶剂环丁砜和产品的质量指标</w:t>
      </w:r>
      <w:r>
        <w:rPr>
          <w:rFonts w:hint="eastAsia" w:ascii="Calibri" w:hAnsi="宋体"/>
          <w:sz w:val="24"/>
        </w:rPr>
        <w:t>；③</w:t>
      </w:r>
      <w:r>
        <w:rPr>
          <w:rFonts w:hint="eastAsia" w:ascii="宋体" w:hAnsi="宋体"/>
          <w:color w:val="000000"/>
          <w:sz w:val="24"/>
        </w:rPr>
        <w:t>进入抽余油中的硅含量小于</w:t>
      </w:r>
      <w:r>
        <w:rPr>
          <w:rFonts w:hint="eastAsia" w:ascii="Calibri" w:hAnsi="宋体"/>
          <w:color w:val="000000"/>
          <w:sz w:val="24"/>
        </w:rPr>
        <w:t>1ppm。</w:t>
      </w:r>
    </w:p>
    <w:p>
      <w:pPr>
        <w:numPr>
          <w:ilvl w:val="0"/>
          <w:numId w:val="8"/>
        </w:numPr>
        <w:spacing w:line="312" w:lineRule="auto"/>
        <w:rPr>
          <w:rFonts w:hint="eastAsia" w:ascii="宋体" w:hAnsi="宋体"/>
          <w:sz w:val="24"/>
          <w:lang w:val="en-US" w:eastAsia="zh-CN"/>
        </w:rPr>
      </w:pPr>
      <w:r>
        <w:rPr>
          <w:rFonts w:hint="eastAsia" w:ascii="宋体" w:hAnsi="宋体"/>
          <w:sz w:val="24"/>
        </w:rPr>
        <w:t>质量验收标准</w:t>
      </w:r>
      <w:r>
        <w:rPr>
          <w:rFonts w:hint="eastAsia" w:ascii="宋体" w:hAnsi="宋体"/>
          <w:sz w:val="24"/>
          <w:lang w:eastAsia="zh-CN"/>
        </w:rPr>
        <w:t>：</w:t>
      </w:r>
      <w:r>
        <w:rPr>
          <w:rFonts w:hint="eastAsia" w:ascii="宋体" w:hAnsi="宋体"/>
          <w:sz w:val="24"/>
          <w:lang w:val="en-US" w:eastAsia="zh-CN"/>
        </w:rPr>
        <w:t>见附件技术要求。</w:t>
      </w:r>
    </w:p>
    <w:p>
      <w:pPr>
        <w:numPr>
          <w:ilvl w:val="0"/>
          <w:numId w:val="0"/>
        </w:numPr>
        <w:spacing w:line="312" w:lineRule="auto"/>
        <w:rPr>
          <w:rFonts w:hint="eastAsia" w:ascii="宋体" w:hAnsi="宋体"/>
          <w:sz w:val="24"/>
        </w:rPr>
      </w:pPr>
      <w:r>
        <w:rPr>
          <w:rFonts w:hint="eastAsia" w:ascii="宋体" w:hAnsi="宋体"/>
          <w:sz w:val="24"/>
          <w:lang w:val="en-US" w:eastAsia="zh-CN"/>
        </w:rPr>
        <w:t>7、</w:t>
      </w:r>
      <w:r>
        <w:rPr>
          <w:rFonts w:hint="eastAsia" w:ascii="宋体" w:hAnsi="宋体"/>
          <w:sz w:val="24"/>
        </w:rPr>
        <w:t>产品的包装：</w:t>
      </w:r>
      <w:r>
        <w:rPr>
          <w:rFonts w:hint="eastAsia" w:ascii="宋体" w:hAnsi="宋体"/>
          <w:sz w:val="24"/>
          <w:lang w:val="en-US" w:eastAsia="zh-CN"/>
        </w:rPr>
        <w:t>塑料桶，20KG/桶或25KG/桶。</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9、</w:t>
      </w:r>
      <w:r>
        <w:rPr>
          <w:rFonts w:hint="eastAsia" w:ascii="宋体" w:hAnsi="宋体"/>
          <w:sz w:val="24"/>
        </w:rPr>
        <w:t>我司同意在投标前缴纳保证金</w:t>
      </w:r>
      <w:r>
        <w:rPr>
          <w:rFonts w:hint="eastAsia" w:ascii="宋体" w:hAnsi="宋体"/>
          <w:sz w:val="24"/>
          <w:lang w:val="en-US" w:eastAsia="zh-CN"/>
        </w:rPr>
        <w:t>肆仟</w:t>
      </w:r>
      <w:r>
        <w:rPr>
          <w:rFonts w:hint="eastAsia" w:ascii="宋体" w:hAnsi="宋体"/>
          <w:sz w:val="24"/>
        </w:rPr>
        <w:t>元整，若我司中选，我司同意按照要求</w:t>
      </w:r>
      <w:r>
        <w:rPr>
          <w:rFonts w:hint="eastAsia" w:ascii="宋体" w:hAnsi="宋体"/>
          <w:sz w:val="24"/>
          <w:lang w:val="en-US" w:eastAsia="zh-CN"/>
        </w:rPr>
        <w:t>转为履约保证金待履约期满后</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到货，于2022</w:t>
      </w:r>
      <w:r>
        <w:rPr>
          <w:rFonts w:hint="eastAsia" w:ascii="宋体" w:hAnsi="宋体"/>
          <w:sz w:val="24"/>
          <w:lang w:val="en-US" w:eastAsia="zh-CN"/>
        </w:rPr>
        <w:t>年8月10日前具备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全部</w:t>
      </w:r>
      <w:r>
        <w:rPr>
          <w:rFonts w:hint="eastAsia" w:ascii="宋体" w:hAnsi="宋体"/>
          <w:sz w:val="24"/>
        </w:rPr>
        <w:t>产品到货后，根据本合同</w:t>
      </w:r>
      <w:r>
        <w:rPr>
          <w:rFonts w:hint="eastAsia" w:ascii="宋体" w:hAnsi="宋体"/>
          <w:sz w:val="24"/>
          <w:lang w:val="en-US" w:eastAsia="zh-CN"/>
        </w:rPr>
        <w:t>及技术要求</w:t>
      </w:r>
      <w:r>
        <w:rPr>
          <w:rFonts w:hint="eastAsia" w:ascii="宋体" w:hAnsi="宋体"/>
          <w:sz w:val="24"/>
        </w:rPr>
        <w:t>约定的质量、数量标准验收合格后，供方提供相应金额的增值税专用发票以及结算所需的各类清单，需方收到并确认无误后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9"/>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8</w:t>
      </w:r>
      <w:r>
        <w:rPr>
          <w:rFonts w:hint="eastAsia" w:ascii="宋体" w:hAnsi="宋体"/>
          <w:sz w:val="24"/>
        </w:rPr>
        <w:t>月</w:t>
      </w:r>
      <w:r>
        <w:rPr>
          <w:rFonts w:hint="eastAsia" w:ascii="宋体" w:hAnsi="宋体"/>
          <w:sz w:val="24"/>
          <w:lang w:val="en-US" w:eastAsia="zh-CN"/>
        </w:rPr>
        <w:t>至</w:t>
      </w:r>
      <w:r>
        <w:rPr>
          <w:rFonts w:hint="eastAsia" w:ascii="宋体" w:hAnsi="宋体"/>
          <w:sz w:val="24"/>
        </w:rPr>
        <w:t>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8</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消泡剂</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0518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_见附件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产品到货后，根据本合同</w:t>
      </w:r>
      <w:r>
        <w:rPr>
          <w:rFonts w:hint="eastAsia" w:ascii="宋体" w:hAnsi="宋体"/>
          <w:b w:val="0"/>
          <w:bCs/>
          <w:szCs w:val="21"/>
          <w:lang w:val="en-US" w:eastAsia="zh-CN"/>
        </w:rPr>
        <w:t>及技术要求</w:t>
      </w:r>
      <w:r>
        <w:rPr>
          <w:rFonts w:hint="eastAsia" w:ascii="宋体" w:hAnsi="宋体"/>
          <w:b w:val="0"/>
          <w:bCs/>
          <w:szCs w:val="21"/>
        </w:rPr>
        <w:t>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一次性到货，要求于</w:t>
      </w:r>
      <w:r>
        <w:rPr>
          <w:rFonts w:hint="eastAsia" w:ascii="宋体" w:hAnsi="宋体"/>
          <w:b w:val="0"/>
          <w:bCs/>
          <w:szCs w:val="21"/>
        </w:rPr>
        <w:t>2022</w:t>
      </w:r>
      <w:r>
        <w:rPr>
          <w:rFonts w:hint="eastAsia" w:ascii="宋体" w:hAnsi="宋体"/>
          <w:b w:val="0"/>
          <w:bCs/>
          <w:szCs w:val="21"/>
          <w:lang w:val="en-US" w:eastAsia="zh-CN"/>
        </w:rPr>
        <w:t>年8月10日前具备</w:t>
      </w:r>
      <w:r>
        <w:rPr>
          <w:rFonts w:hint="eastAsia" w:ascii="宋体" w:hAnsi="宋体"/>
          <w:b w:val="0"/>
          <w:bCs/>
          <w:szCs w:val="21"/>
        </w:rPr>
        <w:t>到货</w:t>
      </w:r>
      <w:r>
        <w:rPr>
          <w:rFonts w:hint="eastAsia" w:ascii="宋体" w:hAnsi="宋体"/>
          <w:b w:val="0"/>
          <w:bCs/>
          <w:szCs w:val="21"/>
          <w:lang w:val="en-US" w:eastAsia="zh-CN"/>
        </w:rPr>
        <w:t>条件</w:t>
      </w:r>
      <w:r>
        <w:rPr>
          <w:rFonts w:hint="eastAsia" w:ascii="宋体" w:hAnsi="宋体"/>
          <w:b w:val="0"/>
          <w:bCs/>
          <w:szCs w:val="21"/>
        </w:rPr>
        <w:t>，</w:t>
      </w:r>
      <w:r>
        <w:rPr>
          <w:rFonts w:hint="eastAsia" w:ascii="宋体" w:hAnsi="宋体"/>
          <w:b w:val="0"/>
          <w:bCs/>
          <w:szCs w:val="21"/>
          <w:lang w:val="en-US" w:eastAsia="zh-CN"/>
        </w:rPr>
        <w:t>具体到货时间</w:t>
      </w:r>
      <w:r>
        <w:rPr>
          <w:rFonts w:hint="eastAsia" w:ascii="宋体" w:hAnsi="宋体"/>
          <w:b w:val="0"/>
          <w:bCs/>
          <w:szCs w:val="21"/>
        </w:rPr>
        <w:t>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5.1供方根据需方要求缴纳履约保证金，金额为人民币肆仟元整。合同履约期届满，供方按合同约定全面履约的情况下，需方于供方提交返还履约保证金申请后30天内无息返还。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w:t>
      </w:r>
    </w:p>
    <w:tbl>
      <w:tblPr>
        <w:tblStyle w:val="11"/>
        <w:tblW w:w="8580" w:type="dxa"/>
        <w:tblInd w:w="0" w:type="dxa"/>
        <w:tblLayout w:type="fixed"/>
        <w:tblCellMar>
          <w:top w:w="0" w:type="dxa"/>
          <w:left w:w="108" w:type="dxa"/>
          <w:bottom w:w="0" w:type="dxa"/>
          <w:right w:w="108" w:type="dxa"/>
        </w:tblCellMar>
      </w:tblPr>
      <w:tblGrid>
        <w:gridCol w:w="820"/>
        <w:gridCol w:w="2999"/>
        <w:gridCol w:w="1427"/>
        <w:gridCol w:w="3334"/>
      </w:tblGrid>
      <w:tr>
        <w:tblPrEx>
          <w:tblLayout w:type="fixed"/>
          <w:tblCellMar>
            <w:top w:w="0" w:type="dxa"/>
            <w:left w:w="108" w:type="dxa"/>
            <w:bottom w:w="0" w:type="dxa"/>
            <w:right w:w="108" w:type="dxa"/>
          </w:tblCellMar>
        </w:tblPrEx>
        <w:trPr>
          <w:trHeight w:val="668" w:hRule="atLeast"/>
        </w:trPr>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hint="eastAsia"/>
                <w:szCs w:val="21"/>
                <w:lang w:val="en-US" w:eastAsia="zh-CN"/>
              </w:rPr>
            </w:pPr>
            <w:r>
              <w:rPr>
                <w:rFonts w:hint="eastAsia"/>
                <w:szCs w:val="21"/>
                <w:lang w:val="en-US" w:eastAsia="zh-CN"/>
              </w:rPr>
              <w:t>序号</w:t>
            </w:r>
          </w:p>
        </w:tc>
        <w:tc>
          <w:tcPr>
            <w:tcW w:w="2999" w:type="dxa"/>
            <w:tcBorders>
              <w:top w:val="single" w:color="auto" w:sz="4" w:space="0"/>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项      目</w:t>
            </w:r>
          </w:p>
        </w:tc>
        <w:tc>
          <w:tcPr>
            <w:tcW w:w="1427" w:type="dxa"/>
            <w:tcBorders>
              <w:top w:val="single" w:color="auto" w:sz="4" w:space="0"/>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单   位</w:t>
            </w:r>
          </w:p>
        </w:tc>
        <w:tc>
          <w:tcPr>
            <w:tcW w:w="3334" w:type="dxa"/>
            <w:tcBorders>
              <w:top w:val="single" w:color="auto" w:sz="4" w:space="0"/>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规   格</w:t>
            </w:r>
          </w:p>
        </w:tc>
      </w:tr>
      <w:tr>
        <w:tblPrEx>
          <w:tblLayout w:type="fixed"/>
          <w:tblCellMar>
            <w:top w:w="0" w:type="dxa"/>
            <w:left w:w="108" w:type="dxa"/>
            <w:bottom w:w="0" w:type="dxa"/>
            <w:right w:w="108" w:type="dxa"/>
          </w:tblCellMar>
        </w:tblPrEx>
        <w:trPr>
          <w:trHeight w:val="478"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line="300" w:lineRule="exact"/>
              <w:ind w:firstLine="210" w:firstLineChars="100"/>
              <w:jc w:val="both"/>
              <w:rPr>
                <w:rFonts w:hint="eastAsia"/>
                <w:szCs w:val="21"/>
                <w:lang w:val="en-US" w:eastAsia="zh-CN"/>
              </w:rPr>
            </w:pPr>
            <w:r>
              <w:rPr>
                <w:rFonts w:hint="eastAsia"/>
                <w:szCs w:val="21"/>
                <w:lang w:val="en-US" w:eastAsia="zh-CN"/>
              </w:rPr>
              <w:t>1</w:t>
            </w:r>
          </w:p>
        </w:tc>
        <w:tc>
          <w:tcPr>
            <w:tcW w:w="2999"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硅质物质含量</w:t>
            </w:r>
          </w:p>
        </w:tc>
        <w:tc>
          <w:tcPr>
            <w:tcW w:w="1427"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w:t>
            </w:r>
          </w:p>
        </w:tc>
        <w:tc>
          <w:tcPr>
            <w:tcW w:w="3334" w:type="dxa"/>
            <w:tcBorders>
              <w:top w:val="single" w:color="auto" w:sz="4" w:space="0"/>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100%</w:t>
            </w:r>
          </w:p>
        </w:tc>
      </w:tr>
      <w:tr>
        <w:tblPrEx>
          <w:tblLayout w:type="fixed"/>
          <w:tblCellMar>
            <w:top w:w="0" w:type="dxa"/>
            <w:left w:w="108" w:type="dxa"/>
            <w:bottom w:w="0" w:type="dxa"/>
            <w:right w:w="108" w:type="dxa"/>
          </w:tblCellMar>
        </w:tblPrEx>
        <w:trPr>
          <w:trHeight w:val="668"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line="300" w:lineRule="exact"/>
              <w:ind w:firstLine="210" w:firstLineChars="100"/>
              <w:jc w:val="both"/>
              <w:rPr>
                <w:rFonts w:hint="eastAsia"/>
                <w:szCs w:val="21"/>
                <w:lang w:val="en-US" w:eastAsia="zh-CN"/>
              </w:rPr>
            </w:pPr>
            <w:r>
              <w:rPr>
                <w:rFonts w:hint="eastAsia"/>
                <w:szCs w:val="21"/>
                <w:lang w:val="en-US" w:eastAsia="zh-CN"/>
              </w:rPr>
              <w:t>2</w:t>
            </w:r>
          </w:p>
        </w:tc>
        <w:tc>
          <w:tcPr>
            <w:tcW w:w="2999"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密度(20</w:t>
            </w:r>
            <w:r>
              <w:rPr>
                <w:rFonts w:hint="eastAsia"/>
                <w:szCs w:val="21"/>
                <w:lang w:val="en-US" w:eastAsia="zh-CN"/>
              </w:rPr>
              <w:sym w:font="Symbol" w:char="F0B0"/>
            </w:r>
            <w:r>
              <w:rPr>
                <w:rFonts w:hint="eastAsia"/>
                <w:szCs w:val="21"/>
                <w:lang w:val="en-US" w:eastAsia="zh-CN"/>
              </w:rPr>
              <w:t>C)</w:t>
            </w:r>
          </w:p>
        </w:tc>
        <w:tc>
          <w:tcPr>
            <w:tcW w:w="1427"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kg/m3</w:t>
            </w:r>
          </w:p>
        </w:tc>
        <w:tc>
          <w:tcPr>
            <w:tcW w:w="3334" w:type="dxa"/>
            <w:tcBorders>
              <w:top w:val="single" w:color="auto" w:sz="4" w:space="0"/>
              <w:left w:val="nil"/>
              <w:bottom w:val="single" w:color="auto" w:sz="4" w:space="0"/>
              <w:right w:val="single" w:color="000000"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970-1000</w:t>
            </w:r>
          </w:p>
        </w:tc>
      </w:tr>
      <w:tr>
        <w:tblPrEx>
          <w:tblLayout w:type="fixed"/>
          <w:tblCellMar>
            <w:top w:w="0" w:type="dxa"/>
            <w:left w:w="108" w:type="dxa"/>
            <w:bottom w:w="0" w:type="dxa"/>
            <w:right w:w="108" w:type="dxa"/>
          </w:tblCellMar>
        </w:tblPrEx>
        <w:trPr>
          <w:trHeight w:val="668"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line="300" w:lineRule="exact"/>
              <w:ind w:firstLine="210" w:firstLineChars="100"/>
              <w:jc w:val="both"/>
              <w:rPr>
                <w:rFonts w:hint="eastAsia"/>
                <w:szCs w:val="21"/>
                <w:lang w:val="en-US" w:eastAsia="zh-CN"/>
              </w:rPr>
            </w:pPr>
            <w:r>
              <w:rPr>
                <w:rFonts w:hint="eastAsia"/>
                <w:szCs w:val="21"/>
                <w:lang w:val="en-US" w:eastAsia="zh-CN"/>
              </w:rPr>
              <w:t>3</w:t>
            </w:r>
          </w:p>
        </w:tc>
        <w:tc>
          <w:tcPr>
            <w:tcW w:w="2999"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运动粘度(40</w:t>
            </w:r>
            <w:r>
              <w:rPr>
                <w:rFonts w:hint="eastAsia"/>
                <w:szCs w:val="21"/>
                <w:lang w:val="en-US" w:eastAsia="zh-CN"/>
              </w:rPr>
              <w:sym w:font="Symbol" w:char="F0B0"/>
            </w:r>
            <w:r>
              <w:rPr>
                <w:rFonts w:hint="eastAsia"/>
                <w:szCs w:val="21"/>
                <w:lang w:val="en-US" w:eastAsia="zh-CN"/>
              </w:rPr>
              <w:t>C)</w:t>
            </w:r>
          </w:p>
        </w:tc>
        <w:tc>
          <w:tcPr>
            <w:tcW w:w="1427"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mm2/s</w:t>
            </w:r>
          </w:p>
        </w:tc>
        <w:tc>
          <w:tcPr>
            <w:tcW w:w="3334" w:type="dxa"/>
            <w:tcBorders>
              <w:top w:val="single" w:color="auto" w:sz="4" w:space="0"/>
              <w:left w:val="nil"/>
              <w:bottom w:val="single" w:color="auto" w:sz="4" w:space="0"/>
              <w:right w:val="single" w:color="000000"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220-550</w:t>
            </w:r>
          </w:p>
        </w:tc>
      </w:tr>
      <w:tr>
        <w:tblPrEx>
          <w:tblLayout w:type="fixed"/>
          <w:tblCellMar>
            <w:top w:w="0" w:type="dxa"/>
            <w:left w:w="108" w:type="dxa"/>
            <w:bottom w:w="0" w:type="dxa"/>
            <w:right w:w="108" w:type="dxa"/>
          </w:tblCellMar>
        </w:tblPrEx>
        <w:trPr>
          <w:trHeight w:val="526"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line="300" w:lineRule="exact"/>
              <w:ind w:firstLine="210" w:firstLineChars="100"/>
              <w:jc w:val="both"/>
              <w:rPr>
                <w:rFonts w:hint="eastAsia"/>
                <w:szCs w:val="21"/>
                <w:lang w:val="en-US" w:eastAsia="zh-CN"/>
              </w:rPr>
            </w:pPr>
            <w:r>
              <w:rPr>
                <w:rFonts w:hint="eastAsia"/>
                <w:szCs w:val="21"/>
                <w:lang w:val="en-US" w:eastAsia="zh-CN"/>
              </w:rPr>
              <w:t>4</w:t>
            </w:r>
          </w:p>
        </w:tc>
        <w:tc>
          <w:tcPr>
            <w:tcW w:w="2999"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开口闪点</w:t>
            </w:r>
          </w:p>
        </w:tc>
        <w:tc>
          <w:tcPr>
            <w:tcW w:w="1427"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w:t>
            </w:r>
          </w:p>
        </w:tc>
        <w:tc>
          <w:tcPr>
            <w:tcW w:w="3334" w:type="dxa"/>
            <w:tcBorders>
              <w:top w:val="single" w:color="auto" w:sz="4" w:space="0"/>
              <w:left w:val="nil"/>
              <w:bottom w:val="single" w:color="auto" w:sz="4" w:space="0"/>
              <w:right w:val="single" w:color="000000"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以实测值为准</w:t>
            </w:r>
          </w:p>
        </w:tc>
      </w:tr>
    </w:tbl>
    <w:p>
      <w:pPr>
        <w:spacing w:line="300" w:lineRule="exact"/>
        <w:ind w:firstLine="420" w:firstLineChars="200"/>
        <w:rPr>
          <w:rFonts w:hint="eastAsia"/>
          <w:szCs w:val="21"/>
          <w:lang w:val="en-US" w:eastAsia="zh-CN"/>
        </w:rPr>
      </w:pPr>
      <w:r>
        <w:rPr>
          <w:rFonts w:hint="eastAsia"/>
          <w:szCs w:val="21"/>
          <w:lang w:val="en-US" w:eastAsia="zh-CN"/>
        </w:rPr>
        <w:t>5.3 技术保证值：</w:t>
      </w:r>
    </w:p>
    <w:p>
      <w:pPr>
        <w:spacing w:line="300" w:lineRule="exact"/>
        <w:ind w:firstLine="420" w:firstLineChars="200"/>
        <w:rPr>
          <w:rFonts w:hint="eastAsia"/>
          <w:szCs w:val="21"/>
          <w:lang w:val="en-US" w:eastAsia="zh-CN"/>
        </w:rPr>
      </w:pPr>
      <w:r>
        <w:rPr>
          <w:rFonts w:hint="eastAsia"/>
          <w:szCs w:val="21"/>
          <w:lang w:val="en-US" w:eastAsia="zh-CN"/>
        </w:rPr>
        <w:t xml:space="preserve">5.3.1注入量不超过抽提蒸馏塔进料流量的 50 ppm（含稀释抽余油）； </w:t>
      </w:r>
    </w:p>
    <w:p>
      <w:pPr>
        <w:spacing w:line="300" w:lineRule="exact"/>
        <w:ind w:firstLine="420" w:firstLineChars="200"/>
        <w:rPr>
          <w:rFonts w:hint="eastAsia"/>
          <w:szCs w:val="21"/>
          <w:lang w:val="en-US" w:eastAsia="zh-CN"/>
        </w:rPr>
      </w:pPr>
      <w:r>
        <w:rPr>
          <w:rFonts w:hint="eastAsia"/>
          <w:szCs w:val="21"/>
          <w:lang w:val="en-US" w:eastAsia="zh-CN"/>
        </w:rPr>
        <w:t>5.3.2根据附件技术要求中的工艺条件下：①确保不发生冲塔、发泡现象；②不影响溶剂环丁砜和产品的质量指标；③进入抽余油中的硅含量小于1ppm。</w:t>
      </w:r>
    </w:p>
    <w:p>
      <w:pPr>
        <w:spacing w:line="300" w:lineRule="exact"/>
        <w:ind w:firstLine="420" w:firstLineChars="200"/>
        <w:rPr>
          <w:rFonts w:hint="eastAsia"/>
          <w:szCs w:val="21"/>
          <w:lang w:val="en-US" w:eastAsia="zh-CN"/>
        </w:rPr>
      </w:pPr>
      <w:r>
        <w:rPr>
          <w:rFonts w:hint="eastAsia"/>
          <w:szCs w:val="21"/>
          <w:lang w:val="en-US" w:eastAsia="zh-CN"/>
        </w:rPr>
        <w:t>5.4具体采购技术要求详见附件。</w:t>
      </w: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285A285"/>
    <w:multiLevelType w:val="singleLevel"/>
    <w:tmpl w:val="6285A285"/>
    <w:lvl w:ilvl="0" w:tentative="0">
      <w:start w:val="5"/>
      <w:numFmt w:val="decimal"/>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8"/>
  </w:num>
  <w:num w:numId="3">
    <w:abstractNumId w:val="3"/>
  </w:num>
  <w:num w:numId="4">
    <w:abstractNumId w:val="2"/>
  </w:num>
  <w:num w:numId="5">
    <w:abstractNumId w:val="4"/>
  </w:num>
  <w:num w:numId="6">
    <w:abstractNumId w:val="0"/>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773EF6"/>
    <w:rsid w:val="02D53A40"/>
    <w:rsid w:val="03033536"/>
    <w:rsid w:val="03261A08"/>
    <w:rsid w:val="032D15FD"/>
    <w:rsid w:val="032F04D8"/>
    <w:rsid w:val="03E270E3"/>
    <w:rsid w:val="03E5328D"/>
    <w:rsid w:val="042207A6"/>
    <w:rsid w:val="04675C1C"/>
    <w:rsid w:val="046E24C0"/>
    <w:rsid w:val="0546217C"/>
    <w:rsid w:val="059A34DA"/>
    <w:rsid w:val="059B734C"/>
    <w:rsid w:val="05C112E8"/>
    <w:rsid w:val="05CE4353"/>
    <w:rsid w:val="061013A0"/>
    <w:rsid w:val="064416AA"/>
    <w:rsid w:val="06A3708D"/>
    <w:rsid w:val="06AB00B1"/>
    <w:rsid w:val="06DA70D7"/>
    <w:rsid w:val="070356B5"/>
    <w:rsid w:val="077632ED"/>
    <w:rsid w:val="07817814"/>
    <w:rsid w:val="078A61DF"/>
    <w:rsid w:val="07C04CC8"/>
    <w:rsid w:val="07E878CC"/>
    <w:rsid w:val="07E87C6B"/>
    <w:rsid w:val="07FB0E0D"/>
    <w:rsid w:val="080F7CCD"/>
    <w:rsid w:val="090A2F1F"/>
    <w:rsid w:val="099447D3"/>
    <w:rsid w:val="0A3A75BC"/>
    <w:rsid w:val="0A4D0638"/>
    <w:rsid w:val="0A58515B"/>
    <w:rsid w:val="0A8B6BF2"/>
    <w:rsid w:val="0AB96449"/>
    <w:rsid w:val="0ADD75BB"/>
    <w:rsid w:val="0B35169E"/>
    <w:rsid w:val="0B4A13AC"/>
    <w:rsid w:val="0B8E420A"/>
    <w:rsid w:val="0C3D7481"/>
    <w:rsid w:val="0CF127D7"/>
    <w:rsid w:val="0CFA5163"/>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10167D42"/>
    <w:rsid w:val="105A2ADD"/>
    <w:rsid w:val="108E2EA4"/>
    <w:rsid w:val="10C613A6"/>
    <w:rsid w:val="10F1561E"/>
    <w:rsid w:val="111E4EA7"/>
    <w:rsid w:val="11715093"/>
    <w:rsid w:val="118A38B5"/>
    <w:rsid w:val="122E4A94"/>
    <w:rsid w:val="125F61EF"/>
    <w:rsid w:val="12737A03"/>
    <w:rsid w:val="12837C22"/>
    <w:rsid w:val="12CF31F9"/>
    <w:rsid w:val="12EA195B"/>
    <w:rsid w:val="12F479DF"/>
    <w:rsid w:val="1363320F"/>
    <w:rsid w:val="1387789C"/>
    <w:rsid w:val="13B74194"/>
    <w:rsid w:val="14937361"/>
    <w:rsid w:val="149868E6"/>
    <w:rsid w:val="15033088"/>
    <w:rsid w:val="150647E6"/>
    <w:rsid w:val="15101A52"/>
    <w:rsid w:val="15125849"/>
    <w:rsid w:val="15BF2E22"/>
    <w:rsid w:val="15C31A47"/>
    <w:rsid w:val="15FE1EB4"/>
    <w:rsid w:val="16172661"/>
    <w:rsid w:val="16270A04"/>
    <w:rsid w:val="165069FC"/>
    <w:rsid w:val="173B43BC"/>
    <w:rsid w:val="178C691A"/>
    <w:rsid w:val="179453BC"/>
    <w:rsid w:val="183B0D71"/>
    <w:rsid w:val="184968FC"/>
    <w:rsid w:val="185D1C5F"/>
    <w:rsid w:val="188C5585"/>
    <w:rsid w:val="18C27F65"/>
    <w:rsid w:val="18FA6BBD"/>
    <w:rsid w:val="191A3D61"/>
    <w:rsid w:val="192A2CC6"/>
    <w:rsid w:val="19F04AD4"/>
    <w:rsid w:val="1A2F6DF9"/>
    <w:rsid w:val="1A4C05AB"/>
    <w:rsid w:val="1A4F0A64"/>
    <w:rsid w:val="1AF22A1C"/>
    <w:rsid w:val="1AFD66F4"/>
    <w:rsid w:val="1B233A0E"/>
    <w:rsid w:val="1B8F7883"/>
    <w:rsid w:val="1B927AE6"/>
    <w:rsid w:val="1BC93515"/>
    <w:rsid w:val="1C1B3FE4"/>
    <w:rsid w:val="1C513BF0"/>
    <w:rsid w:val="1C8261A0"/>
    <w:rsid w:val="1CF31038"/>
    <w:rsid w:val="1D0113C9"/>
    <w:rsid w:val="1D05782C"/>
    <w:rsid w:val="1DB72E7F"/>
    <w:rsid w:val="1DDB74E0"/>
    <w:rsid w:val="1E2F61EF"/>
    <w:rsid w:val="1E3264F3"/>
    <w:rsid w:val="1E600A9D"/>
    <w:rsid w:val="1EB505E6"/>
    <w:rsid w:val="1EBD3B62"/>
    <w:rsid w:val="1F02429F"/>
    <w:rsid w:val="1F133081"/>
    <w:rsid w:val="1F590291"/>
    <w:rsid w:val="207E3421"/>
    <w:rsid w:val="208A175C"/>
    <w:rsid w:val="2090579A"/>
    <w:rsid w:val="20AF45AF"/>
    <w:rsid w:val="215846DF"/>
    <w:rsid w:val="21BD6DBB"/>
    <w:rsid w:val="22345BE0"/>
    <w:rsid w:val="22521DD3"/>
    <w:rsid w:val="227B0690"/>
    <w:rsid w:val="228E5A58"/>
    <w:rsid w:val="22A35795"/>
    <w:rsid w:val="22A62B30"/>
    <w:rsid w:val="22ED3ED6"/>
    <w:rsid w:val="23464916"/>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E0040C"/>
    <w:rsid w:val="25F3676D"/>
    <w:rsid w:val="26035576"/>
    <w:rsid w:val="274761A1"/>
    <w:rsid w:val="27937EDA"/>
    <w:rsid w:val="27CF60B0"/>
    <w:rsid w:val="27E234BC"/>
    <w:rsid w:val="28012C6B"/>
    <w:rsid w:val="280475E2"/>
    <w:rsid w:val="285B7C69"/>
    <w:rsid w:val="28B0150E"/>
    <w:rsid w:val="299A1AD2"/>
    <w:rsid w:val="29AC4DAC"/>
    <w:rsid w:val="29B80978"/>
    <w:rsid w:val="29CE07E6"/>
    <w:rsid w:val="29D17C38"/>
    <w:rsid w:val="29DA1C97"/>
    <w:rsid w:val="2A587284"/>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D2B1461"/>
    <w:rsid w:val="2DA319DC"/>
    <w:rsid w:val="2DF06759"/>
    <w:rsid w:val="2E12514F"/>
    <w:rsid w:val="2E351771"/>
    <w:rsid w:val="2EAD2321"/>
    <w:rsid w:val="2EF7551C"/>
    <w:rsid w:val="2F1F4355"/>
    <w:rsid w:val="2F210D6D"/>
    <w:rsid w:val="2F7C2C25"/>
    <w:rsid w:val="2F8E0962"/>
    <w:rsid w:val="2FA30B14"/>
    <w:rsid w:val="2FBD5AB0"/>
    <w:rsid w:val="30071591"/>
    <w:rsid w:val="30243F4A"/>
    <w:rsid w:val="30725A8E"/>
    <w:rsid w:val="30985912"/>
    <w:rsid w:val="30E60CDF"/>
    <w:rsid w:val="31183D8E"/>
    <w:rsid w:val="312B136C"/>
    <w:rsid w:val="31771119"/>
    <w:rsid w:val="31934494"/>
    <w:rsid w:val="319D55BA"/>
    <w:rsid w:val="31CE1FAB"/>
    <w:rsid w:val="31F46862"/>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F871FB"/>
    <w:rsid w:val="35FC498E"/>
    <w:rsid w:val="36417C8D"/>
    <w:rsid w:val="366436B8"/>
    <w:rsid w:val="36886515"/>
    <w:rsid w:val="368A2F91"/>
    <w:rsid w:val="368B1D4A"/>
    <w:rsid w:val="369F3C73"/>
    <w:rsid w:val="36AC3A23"/>
    <w:rsid w:val="3768338E"/>
    <w:rsid w:val="37945B49"/>
    <w:rsid w:val="379D3B99"/>
    <w:rsid w:val="37ED7F2D"/>
    <w:rsid w:val="381C0BFA"/>
    <w:rsid w:val="38227768"/>
    <w:rsid w:val="387939C8"/>
    <w:rsid w:val="38814998"/>
    <w:rsid w:val="38A94FE7"/>
    <w:rsid w:val="38BA64A1"/>
    <w:rsid w:val="39137A71"/>
    <w:rsid w:val="3955569C"/>
    <w:rsid w:val="39657C8F"/>
    <w:rsid w:val="3969383E"/>
    <w:rsid w:val="39ED2847"/>
    <w:rsid w:val="3A4967DD"/>
    <w:rsid w:val="3A5116BA"/>
    <w:rsid w:val="3A87079F"/>
    <w:rsid w:val="3A8C3BAF"/>
    <w:rsid w:val="3AD63889"/>
    <w:rsid w:val="3ADE5E05"/>
    <w:rsid w:val="3B293E28"/>
    <w:rsid w:val="3B2F7891"/>
    <w:rsid w:val="3B573FA4"/>
    <w:rsid w:val="3BD4036B"/>
    <w:rsid w:val="3C1D4BEF"/>
    <w:rsid w:val="3C1E5B01"/>
    <w:rsid w:val="3C333506"/>
    <w:rsid w:val="3C656913"/>
    <w:rsid w:val="3C94066E"/>
    <w:rsid w:val="3CFE624A"/>
    <w:rsid w:val="3D1251D3"/>
    <w:rsid w:val="3D173430"/>
    <w:rsid w:val="3D470E27"/>
    <w:rsid w:val="3D475A63"/>
    <w:rsid w:val="3E447FF5"/>
    <w:rsid w:val="3F1539A0"/>
    <w:rsid w:val="3F1E4982"/>
    <w:rsid w:val="3F516B77"/>
    <w:rsid w:val="3FEE6A4A"/>
    <w:rsid w:val="401F30A7"/>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BF0693"/>
    <w:rsid w:val="42DA60A9"/>
    <w:rsid w:val="42DC0DDB"/>
    <w:rsid w:val="43396FCF"/>
    <w:rsid w:val="43434628"/>
    <w:rsid w:val="43482915"/>
    <w:rsid w:val="4351032C"/>
    <w:rsid w:val="4355293C"/>
    <w:rsid w:val="439439C5"/>
    <w:rsid w:val="43D46D19"/>
    <w:rsid w:val="44236751"/>
    <w:rsid w:val="448C78B8"/>
    <w:rsid w:val="44CB1108"/>
    <w:rsid w:val="44E4129A"/>
    <w:rsid w:val="453F611C"/>
    <w:rsid w:val="454D6E39"/>
    <w:rsid w:val="45C94E39"/>
    <w:rsid w:val="45CD5D18"/>
    <w:rsid w:val="45D568DB"/>
    <w:rsid w:val="45E64357"/>
    <w:rsid w:val="46320679"/>
    <w:rsid w:val="46495A0E"/>
    <w:rsid w:val="464B079B"/>
    <w:rsid w:val="468077A8"/>
    <w:rsid w:val="468E6ECD"/>
    <w:rsid w:val="46EA56DB"/>
    <w:rsid w:val="476C6251"/>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C538B"/>
    <w:rsid w:val="4A532137"/>
    <w:rsid w:val="4A784075"/>
    <w:rsid w:val="4A9E208F"/>
    <w:rsid w:val="4AEC33B6"/>
    <w:rsid w:val="4B2451E8"/>
    <w:rsid w:val="4B4A24A6"/>
    <w:rsid w:val="4B945212"/>
    <w:rsid w:val="4BC2454D"/>
    <w:rsid w:val="4BF27690"/>
    <w:rsid w:val="4C204881"/>
    <w:rsid w:val="4C775DE6"/>
    <w:rsid w:val="4C82133E"/>
    <w:rsid w:val="4CA3109F"/>
    <w:rsid w:val="4D13604C"/>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53E317D"/>
    <w:rsid w:val="554D2C1E"/>
    <w:rsid w:val="556D7264"/>
    <w:rsid w:val="559230BD"/>
    <w:rsid w:val="55E907A3"/>
    <w:rsid w:val="55E92CB5"/>
    <w:rsid w:val="56325307"/>
    <w:rsid w:val="5659474A"/>
    <w:rsid w:val="56732B47"/>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E0C31"/>
    <w:rsid w:val="593259F3"/>
    <w:rsid w:val="594531C0"/>
    <w:rsid w:val="59B64E5B"/>
    <w:rsid w:val="59C41AA5"/>
    <w:rsid w:val="5A196198"/>
    <w:rsid w:val="5B416702"/>
    <w:rsid w:val="5B510FBA"/>
    <w:rsid w:val="5B5E370D"/>
    <w:rsid w:val="5B713427"/>
    <w:rsid w:val="5B8152A6"/>
    <w:rsid w:val="5B964C3B"/>
    <w:rsid w:val="5C1F20CC"/>
    <w:rsid w:val="5C4F430C"/>
    <w:rsid w:val="5C514191"/>
    <w:rsid w:val="5C8B0489"/>
    <w:rsid w:val="5D3038FF"/>
    <w:rsid w:val="5DCB432F"/>
    <w:rsid w:val="5DD6127D"/>
    <w:rsid w:val="5DD956B5"/>
    <w:rsid w:val="5DE04163"/>
    <w:rsid w:val="5E086E60"/>
    <w:rsid w:val="5E5B4B1E"/>
    <w:rsid w:val="5E806603"/>
    <w:rsid w:val="5EDC2437"/>
    <w:rsid w:val="5F0D17C2"/>
    <w:rsid w:val="5F3C0936"/>
    <w:rsid w:val="5F683B20"/>
    <w:rsid w:val="5F6A1B70"/>
    <w:rsid w:val="5F715923"/>
    <w:rsid w:val="5F74528F"/>
    <w:rsid w:val="5F905960"/>
    <w:rsid w:val="5FAD0C82"/>
    <w:rsid w:val="600E16AB"/>
    <w:rsid w:val="603C6B90"/>
    <w:rsid w:val="608B4D11"/>
    <w:rsid w:val="60B146AA"/>
    <w:rsid w:val="60E930B4"/>
    <w:rsid w:val="61034DA8"/>
    <w:rsid w:val="61391E0A"/>
    <w:rsid w:val="61716ECA"/>
    <w:rsid w:val="61EC3C39"/>
    <w:rsid w:val="62093EA3"/>
    <w:rsid w:val="6229181C"/>
    <w:rsid w:val="62293292"/>
    <w:rsid w:val="625B2CD4"/>
    <w:rsid w:val="62772330"/>
    <w:rsid w:val="62B657FF"/>
    <w:rsid w:val="62C03657"/>
    <w:rsid w:val="62F96812"/>
    <w:rsid w:val="634B6B7B"/>
    <w:rsid w:val="64383FFB"/>
    <w:rsid w:val="64834708"/>
    <w:rsid w:val="64AC0A38"/>
    <w:rsid w:val="64D45316"/>
    <w:rsid w:val="651A5C4B"/>
    <w:rsid w:val="653116C9"/>
    <w:rsid w:val="653A164C"/>
    <w:rsid w:val="65B31BCC"/>
    <w:rsid w:val="65B87A10"/>
    <w:rsid w:val="65D35C16"/>
    <w:rsid w:val="666879C6"/>
    <w:rsid w:val="66EA1E3B"/>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C26EA2"/>
    <w:rsid w:val="6AC44695"/>
    <w:rsid w:val="6B477EF6"/>
    <w:rsid w:val="6B513865"/>
    <w:rsid w:val="6B9A256C"/>
    <w:rsid w:val="6BA373FF"/>
    <w:rsid w:val="6BEB1E5F"/>
    <w:rsid w:val="6C4957FC"/>
    <w:rsid w:val="6C53730E"/>
    <w:rsid w:val="6C5534FB"/>
    <w:rsid w:val="6C61176F"/>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1C7B11"/>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CD535CF"/>
    <w:rsid w:val="7D34076E"/>
    <w:rsid w:val="7D53381A"/>
    <w:rsid w:val="7D624404"/>
    <w:rsid w:val="7DF2544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4</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2022-06-09T09:39:03Z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