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eastAsia="宋体"/>
          <w:color w:val="auto"/>
          <w:szCs w:val="21"/>
          <w:lang w:val="en-US" w:eastAsia="zh-CN"/>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：聚氯化铝</w:t>
      </w:r>
    </w:p>
    <w:p>
      <w:pPr>
        <w:widowControl/>
        <w:shd w:val="clear" w:color="auto" w:fill="FFFFFF"/>
        <w:jc w:val="center"/>
        <w:rPr>
          <w:rFonts w:hint="default" w:eastAsia="宋体"/>
          <w:color w:val="auto"/>
          <w:sz w:val="36"/>
          <w:szCs w:val="36"/>
          <w:lang w:val="en-US" w:eastAsia="zh-CN"/>
        </w:rPr>
      </w:pPr>
      <w:r>
        <w:rPr>
          <w:color w:val="auto"/>
          <w:kern w:val="0"/>
          <w:sz w:val="52"/>
          <w:szCs w:val="52"/>
          <w:shd w:val="clear" w:color="auto" w:fill="FFFFFF"/>
        </w:rPr>
        <w:t> </w:t>
      </w: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FHHY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eastAsia="zh-CN"/>
        </w:rPr>
        <w:t>聚氯化铝</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0315</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right"/>
        <w:rPr>
          <w:color w:val="auto"/>
          <w:szCs w:val="21"/>
        </w:rPr>
      </w:pPr>
      <w:r>
        <w:rPr>
          <w:rFonts w:hint="eastAsia"/>
          <w:color w:val="auto"/>
          <w:kern w:val="0"/>
          <w:sz w:val="28"/>
          <w:szCs w:val="28"/>
          <w:shd w:val="clear" w:color="auto" w:fill="FFFFFF"/>
          <w:lang w:val="en-US" w:eastAsia="zh-CN"/>
        </w:rPr>
        <w:t>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w:t>
      </w:r>
      <w:r>
        <w:rPr>
          <w:rFonts w:hint="eastAsia" w:asciiTheme="minorEastAsia" w:hAnsiTheme="minorEastAsia" w:eastAsiaTheme="minorEastAsia" w:cstheme="minorEastAsia"/>
          <w:color w:val="auto"/>
          <w:kern w:val="0"/>
          <w:sz w:val="28"/>
          <w:szCs w:val="28"/>
          <w:shd w:val="clear" w:color="auto" w:fill="FFFFFF"/>
          <w:lang w:val="en-US" w:eastAsia="zh-CN"/>
        </w:rPr>
        <w:t>3</w:t>
      </w:r>
      <w:r>
        <w:rPr>
          <w:rFonts w:hint="eastAsia" w:asciiTheme="minorEastAsia" w:hAnsiTheme="minorEastAsia" w:eastAsiaTheme="minorEastAsia" w:cstheme="minorEastAsia"/>
          <w:color w:val="auto"/>
          <w:kern w:val="0"/>
          <w:sz w:val="28"/>
          <w:szCs w:val="28"/>
          <w:shd w:val="clear" w:color="auto" w:fill="FFFFFF"/>
        </w:rPr>
        <w:t>月</w:t>
      </w:r>
      <w:r>
        <w:rPr>
          <w:rFonts w:hint="eastAsia" w:asciiTheme="minorEastAsia" w:hAnsiTheme="minorEastAsia" w:eastAsiaTheme="minorEastAsia" w:cstheme="minorEastAsia"/>
          <w:color w:val="auto"/>
          <w:kern w:val="0"/>
          <w:sz w:val="28"/>
          <w:szCs w:val="28"/>
          <w:shd w:val="clear" w:color="auto" w:fill="FFFFFF"/>
          <w:lang w:val="en-US" w:eastAsia="zh-CN"/>
        </w:rPr>
        <w:t>15</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spacing w:line="400" w:lineRule="exact"/>
        <w:jc w:val="center"/>
        <w:rPr>
          <w:rFonts w:ascii="宋体"/>
          <w:b/>
          <w:bCs/>
          <w:color w:val="auto"/>
          <w:sz w:val="36"/>
        </w:rPr>
      </w:pPr>
      <w:r>
        <w:rPr>
          <w:rFonts w:hint="eastAsia" w:ascii="宋体" w:hAnsi="宋体"/>
          <w:b/>
          <w:bCs/>
          <w:color w:val="auto"/>
          <w:sz w:val="36"/>
        </w:rPr>
        <w:t>一、比选公告</w:t>
      </w:r>
    </w:p>
    <w:p>
      <w:pPr>
        <w:spacing w:line="336" w:lineRule="auto"/>
        <w:jc w:val="center"/>
        <w:rPr>
          <w:rFonts w:hint="eastAsia"/>
          <w:b/>
          <w:bCs/>
          <w:color w:val="auto"/>
          <w:sz w:val="32"/>
          <w:lang w:eastAsia="zh-CN"/>
        </w:rPr>
      </w:pPr>
      <w:r>
        <w:rPr>
          <w:rFonts w:hint="eastAsia"/>
          <w:b/>
          <w:bCs/>
          <w:color w:val="auto"/>
          <w:sz w:val="32"/>
          <w:lang w:eastAsia="zh-CN"/>
        </w:rPr>
        <w:t>福建海裕石化有限公司</w:t>
      </w:r>
    </w:p>
    <w:p>
      <w:pPr>
        <w:spacing w:line="336" w:lineRule="auto"/>
        <w:jc w:val="center"/>
        <w:rPr>
          <w:bCs/>
          <w:color w:val="auto"/>
          <w:szCs w:val="21"/>
        </w:rPr>
      </w:pPr>
      <w:r>
        <w:rPr>
          <w:rFonts w:hint="eastAsia"/>
          <w:b/>
          <w:bCs/>
          <w:color w:val="auto"/>
          <w:sz w:val="32"/>
          <w:lang w:eastAsia="zh-CN"/>
        </w:rPr>
        <w:t>聚氯化铝</w:t>
      </w:r>
      <w:r>
        <w:rPr>
          <w:b/>
          <w:bCs/>
          <w:color w:val="auto"/>
          <w:sz w:val="32"/>
        </w:rPr>
        <w:t>采购</w:t>
      </w:r>
      <w:r>
        <w:rPr>
          <w:rFonts w:hint="eastAsia"/>
          <w:b/>
          <w:bCs/>
          <w:color w:val="auto"/>
          <w:sz w:val="32"/>
        </w:rPr>
        <w:t>比选公告</w:t>
      </w:r>
    </w:p>
    <w:p>
      <w:pPr>
        <w:spacing w:before="100" w:beforeAutospacing="1" w:after="100" w:afterAutospacing="1" w:line="336"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eastAsia="zh-CN"/>
        </w:rPr>
        <w:t>福建海裕石化有限公司</w:t>
      </w:r>
      <w:r>
        <w:rPr>
          <w:rFonts w:hint="eastAsia" w:asciiTheme="minorEastAsia" w:hAnsiTheme="minorEastAsia" w:eastAsiaTheme="minorEastAsia"/>
          <w:bCs/>
          <w:color w:val="auto"/>
          <w:sz w:val="24"/>
        </w:rPr>
        <w:t>就</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eastAsia="zh-CN"/>
        </w:rPr>
        <w:t>聚氯化铝（</w:t>
      </w:r>
      <w:r>
        <w:rPr>
          <w:rFonts w:hint="eastAsia" w:asciiTheme="minorEastAsia" w:hAnsiTheme="minorEastAsia" w:eastAsiaTheme="minorEastAsia"/>
          <w:bCs/>
          <w:color w:val="auto"/>
          <w:sz w:val="24"/>
          <w:u w:val="single"/>
        </w:rPr>
        <w:t>项目编号：</w:t>
      </w:r>
      <w:r>
        <w:rPr>
          <w:rFonts w:hint="eastAsia" w:asciiTheme="minorEastAsia" w:hAnsiTheme="minorEastAsia" w:eastAsiaTheme="minorEastAsia"/>
          <w:bCs/>
          <w:color w:val="auto"/>
          <w:sz w:val="24"/>
          <w:u w:val="single"/>
          <w:lang w:eastAsia="zh-CN"/>
        </w:rPr>
        <w:t>2022-FHHY-聚氯化铝-0315</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项目名称：</w:t>
      </w:r>
      <w:r>
        <w:rPr>
          <w:rFonts w:hint="eastAsia" w:ascii="宋体" w:hAnsi="宋体" w:cs="宋体" w:eastAsiaTheme="minorEastAsia"/>
          <w:color w:val="auto"/>
          <w:sz w:val="24"/>
          <w:lang w:eastAsia="zh-CN"/>
        </w:rPr>
        <w:t>聚氯化铝</w:t>
      </w:r>
      <w:r>
        <w:rPr>
          <w:rFonts w:hint="eastAsia" w:ascii="宋体" w:hAnsi="宋体" w:cs="宋体"/>
          <w:color w:val="auto"/>
          <w:sz w:val="24"/>
          <w:lang w:val="en-US" w:eastAsia="zh-CN"/>
        </w:rPr>
        <w:t>。</w:t>
      </w:r>
    </w:p>
    <w:p>
      <w:pPr>
        <w:pStyle w:val="11"/>
        <w:numPr>
          <w:ilvl w:val="0"/>
          <w:numId w:val="2"/>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eastAsia="zh-CN"/>
        </w:rPr>
        <w:t>聚氯化铝</w:t>
      </w:r>
      <w:r>
        <w:rPr>
          <w:rFonts w:hint="eastAsia" w:asciiTheme="minorEastAsia" w:hAnsiTheme="minorEastAsia" w:eastAsiaTheme="minorEastAsia"/>
          <w:bCs/>
          <w:color w:val="auto"/>
          <w:sz w:val="24"/>
        </w:rPr>
        <w:t>采购数量、质量、货期等要求详见比选文件。</w:t>
      </w:r>
    </w:p>
    <w:p>
      <w:pPr>
        <w:pStyle w:val="11"/>
        <w:numPr>
          <w:ilvl w:val="0"/>
          <w:numId w:val="1"/>
        </w:numPr>
        <w:spacing w:before="100" w:beforeAutospacing="1" w:after="100" w:afterAutospacing="1" w:line="336"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1"/>
        <w:numPr>
          <w:ilvl w:val="0"/>
          <w:numId w:val="3"/>
        </w:numPr>
        <w:spacing w:before="100" w:beforeAutospacing="1" w:after="100" w:afterAutospacing="1" w:line="336" w:lineRule="auto"/>
        <w:ind w:hanging="361"/>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与比选人无诉讼纠纷。</w:t>
      </w:r>
    </w:p>
    <w:p>
      <w:pPr>
        <w:pStyle w:val="11"/>
        <w:numPr>
          <w:ilvl w:val="0"/>
          <w:numId w:val="3"/>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叁万元整</w:t>
      </w:r>
      <w:r>
        <w:rPr>
          <w:rFonts w:hint="eastAsia" w:asciiTheme="minorEastAsia" w:hAnsiTheme="minorEastAsia" w:eastAsiaTheme="minorEastAsia"/>
          <w:bCs/>
          <w:color w:val="auto"/>
          <w:sz w:val="24"/>
        </w:rPr>
        <w:t>。</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w:t>
      </w:r>
      <w:r>
        <w:rPr>
          <w:rFonts w:hint="eastAsia" w:asciiTheme="majorEastAsia" w:hAnsiTheme="majorEastAsia" w:eastAsiaTheme="majorEastAsia"/>
          <w:color w:val="auto"/>
          <w:sz w:val="24"/>
          <w:lang w:val="en-US" w:eastAsia="zh-CN"/>
        </w:rPr>
        <w:t>3</w:t>
      </w:r>
      <w:r>
        <w:rPr>
          <w:rFonts w:hint="eastAsia" w:asciiTheme="majorEastAsia" w:hAnsiTheme="majorEastAsia" w:eastAsiaTheme="majorEastAsia"/>
          <w:color w:val="auto"/>
          <w:sz w:val="24"/>
        </w:rPr>
        <w:t>月</w:t>
      </w:r>
      <w:r>
        <w:rPr>
          <w:rFonts w:hint="eastAsia" w:asciiTheme="majorEastAsia" w:hAnsiTheme="majorEastAsia" w:eastAsiaTheme="majorEastAsia"/>
          <w:color w:val="auto"/>
          <w:sz w:val="24"/>
          <w:lang w:val="en-US" w:eastAsia="zh-CN"/>
        </w:rPr>
        <w:t>28</w:t>
      </w:r>
      <w:bookmarkStart w:id="2" w:name="_GoBack"/>
      <w:bookmarkEnd w:id="2"/>
      <w:r>
        <w:rPr>
          <w:rFonts w:hint="eastAsia" w:asciiTheme="majorEastAsia" w:hAnsiTheme="majorEastAsia" w:eastAsiaTheme="majorEastAsia"/>
          <w:color w:val="auto"/>
          <w:sz w:val="24"/>
        </w:rPr>
        <w:t>日（含当日）</w:t>
      </w:r>
    </w:p>
    <w:p>
      <w:pPr>
        <w:pStyle w:val="11"/>
        <w:numPr>
          <w:ilvl w:val="255"/>
          <w:numId w:val="0"/>
        </w:numPr>
        <w:spacing w:before="0" w:line="336" w:lineRule="auto"/>
        <w:ind w:left="832"/>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（2）</w:t>
      </w:r>
      <w:r>
        <w:rPr>
          <w:rFonts w:hint="eastAsia" w:asciiTheme="minorEastAsia" w:hAnsiTheme="minorEastAsia" w:eastAsiaTheme="minorEastAsia"/>
          <w:bCs/>
          <w:color w:val="auto"/>
          <w:sz w:val="24"/>
        </w:rPr>
        <w:t>证件：</w:t>
      </w:r>
      <w:r>
        <w:rPr>
          <w:rFonts w:asciiTheme="minorEastAsia" w:hAnsiTheme="minorEastAsia" w:eastAsiaTheme="minorEastAsia"/>
          <w:bCs/>
          <w:color w:val="auto"/>
          <w:sz w:val="24"/>
        </w:rPr>
        <w:t>营业执照</w:t>
      </w:r>
      <w:r>
        <w:rPr>
          <w:rFonts w:hint="eastAsia" w:asciiTheme="minorEastAsia" w:hAnsiTheme="minorEastAsia" w:eastAsiaTheme="minorEastAsia"/>
          <w:bCs/>
          <w:color w:val="auto"/>
          <w:sz w:val="24"/>
        </w:rPr>
        <w:t>、开户许可证等证件</w:t>
      </w:r>
      <w:r>
        <w:rPr>
          <w:rFonts w:asciiTheme="minorEastAsia" w:hAnsiTheme="minorEastAsia" w:eastAsiaTheme="minorEastAsia"/>
          <w:bCs/>
          <w:color w:val="auto"/>
          <w:sz w:val="24"/>
        </w:rPr>
        <w:t>（加盖单位公章的复印件）</w:t>
      </w:r>
      <w:r>
        <w:rPr>
          <w:rFonts w:hint="eastAsia" w:asciiTheme="minorEastAsia" w:hAnsiTheme="minorEastAsia" w:eastAsiaTheme="minorEastAsia"/>
          <w:bCs/>
          <w:color w:val="auto"/>
          <w:sz w:val="24"/>
        </w:rPr>
        <w:t>；</w:t>
      </w:r>
    </w:p>
    <w:p>
      <w:pPr>
        <w:pStyle w:val="11"/>
        <w:spacing w:before="0" w:line="336"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3</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叁万元整</w:t>
      </w:r>
      <w:r>
        <w:rPr>
          <w:rFonts w:hint="eastAsia" w:asciiTheme="minorEastAsia" w:hAnsiTheme="minorEastAsia" w:eastAsiaTheme="minorEastAsia"/>
          <w:bCs/>
          <w:color w:val="auto"/>
          <w:sz w:val="24"/>
        </w:rPr>
        <w:t>，如中选、该保证金转为履约保证金，如不中选，在比选结束后请联系商务联系人办理无息等额退款。</w:t>
      </w:r>
    </w:p>
    <w:p>
      <w:pPr>
        <w:ind w:firstLine="1200" w:firstLineChars="500"/>
        <w:jc w:val="both"/>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ind w:firstLine="1200" w:firstLineChars="500"/>
        <w:jc w:val="both"/>
        <w:rPr>
          <w:rFonts w:hint="eastAsia"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w:t>
      </w:r>
      <w:r>
        <w:rPr>
          <w:rFonts w:hint="eastAsia" w:cs="Times New Roman" w:asciiTheme="minorEastAsia" w:hAnsiTheme="minorEastAsia" w:eastAsiaTheme="minorEastAsia"/>
          <w:bCs/>
          <w:color w:val="auto"/>
          <w:kern w:val="2"/>
          <w:sz w:val="24"/>
          <w:szCs w:val="24"/>
          <w:lang w:val="en-US" w:eastAsia="zh-CN" w:bidi="ar-SA"/>
        </w:rPr>
        <w:t>福建海裕石化有限公司</w:t>
      </w:r>
    </w:p>
    <w:p>
      <w:pPr>
        <w:pStyle w:val="11"/>
        <w:spacing w:line="336" w:lineRule="auto"/>
        <w:ind w:left="0" w:firstLine="1200" w:firstLineChars="50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pStyle w:val="11"/>
        <w:spacing w:line="336" w:lineRule="auto"/>
        <w:ind w:left="958" w:leftChars="456" w:firstLine="307" w:firstLineChars="128"/>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1"/>
        <w:numPr>
          <w:ilvl w:val="0"/>
          <w:numId w:val="4"/>
        </w:numPr>
        <w:spacing w:before="0"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spacing w:line="336"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参选文件递交地点：</w:t>
      </w:r>
      <w:r>
        <w:rPr>
          <w:rFonts w:hint="eastAsia" w:asciiTheme="minorEastAsia" w:hAnsiTheme="minorEastAsia" w:eastAsiaTheme="minorEastAsia"/>
          <w:bCs/>
          <w:color w:val="auto"/>
          <w:sz w:val="24"/>
          <w:lang w:eastAsia="zh-CN"/>
        </w:rPr>
        <w:t>福建海裕石化有限公司</w:t>
      </w:r>
      <w:r>
        <w:rPr>
          <w:rFonts w:hint="eastAsia" w:asciiTheme="minorEastAsia" w:hAnsiTheme="minorEastAsia" w:eastAsiaTheme="minorEastAsia"/>
          <w:bCs/>
          <w:color w:val="auto"/>
          <w:sz w:val="24"/>
        </w:rPr>
        <w:t>（地址：厦门市思明区莲前街道领事馆路16号银领中心B栋4楼</w:t>
      </w:r>
      <w:r>
        <w:rPr>
          <w:rFonts w:asciiTheme="minorEastAsia" w:hAnsiTheme="minorEastAsia" w:eastAsiaTheme="minorEastAsia"/>
          <w:bCs/>
          <w:color w:val="auto"/>
          <w:sz w:val="24"/>
        </w:rPr>
        <w:t>）</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1"/>
        <w:numPr>
          <w:ilvl w:val="0"/>
          <w:numId w:val="5"/>
        </w:numPr>
        <w:spacing w:before="100" w:beforeAutospacing="1" w:after="100" w:afterAutospacing="1" w:line="336"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1"/>
        <w:spacing w:before="100" w:beforeAutospacing="1" w:after="100" w:afterAutospacing="1" w:line="336"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pStyle w:val="2"/>
        <w:snapToGrid w:val="0"/>
        <w:spacing w:before="100" w:beforeAutospacing="1" w:after="100" w:afterAutospacing="1" w:line="336" w:lineRule="auto"/>
        <w:ind w:left="412" w:firstLine="480" w:firstLineChars="200"/>
        <w:rPr>
          <w:rFonts w:cs="宋体" w:asciiTheme="minorEastAsia" w:hAnsiTheme="minorEastAsia"/>
          <w:bCs/>
          <w:color w:val="auto"/>
          <w:sz w:val="24"/>
        </w:rPr>
      </w:pPr>
      <w:r>
        <w:rPr>
          <w:rFonts w:hint="eastAsia" w:cs="宋体" w:asciiTheme="minorEastAsia" w:hAnsiTheme="minorEastAsia"/>
          <w:bCs/>
          <w:color w:val="auto"/>
          <w:sz w:val="24"/>
        </w:rPr>
        <w:t>商务联系人：李奎  电话：18405067788</w:t>
      </w:r>
      <w:r>
        <w:rPr>
          <w:rFonts w:hint="eastAsia" w:cs="宋体" w:asciiTheme="minorEastAsia" w:hAnsiTheme="minorEastAsia"/>
          <w:bCs/>
          <w:color w:val="auto"/>
          <w:sz w:val="24"/>
        </w:rPr>
        <w:tab/>
      </w:r>
      <w:r>
        <w:rPr>
          <w:rFonts w:hint="eastAsia" w:cs="宋体" w:asciiTheme="minorEastAsia" w:hAnsiTheme="minorEastAsia"/>
          <w:bCs/>
          <w:color w:val="auto"/>
          <w:sz w:val="24"/>
        </w:rPr>
        <w:t xml:space="preserve">  邮箱：</w:t>
      </w:r>
      <w:r>
        <w:rPr>
          <w:rFonts w:hint="eastAsia" w:asciiTheme="minorEastAsia" w:hAnsiTheme="minorEastAsia"/>
          <w:color w:val="auto"/>
          <w:sz w:val="24"/>
        </w:rPr>
        <w:t>wzcgb</w:t>
      </w:r>
      <w:r>
        <w:rPr>
          <w:rStyle w:val="12"/>
          <w:rFonts w:hint="eastAsia" w:ascii="Times New Roman" w:hAnsi="Times New Roman" w:eastAsia="宋体" w:cs="Times New Roman"/>
          <w:color w:val="auto"/>
        </w:rPr>
        <w:t>@fjpec.com.cn</w:t>
      </w:r>
    </w:p>
    <w:p>
      <w:pPr>
        <w:pStyle w:val="2"/>
        <w:snapToGrid w:val="0"/>
        <w:spacing w:before="100" w:beforeAutospacing="1" w:after="100" w:afterAutospacing="1" w:line="336" w:lineRule="auto"/>
        <w:ind w:left="412" w:firstLine="480" w:firstLineChars="200"/>
        <w:rPr>
          <w:rFonts w:ascii="Arial" w:hAnsi="Arial" w:eastAsia="宋体" w:cs="Arial"/>
          <w:color w:val="auto"/>
          <w:sz w:val="18"/>
          <w:szCs w:val="18"/>
        </w:rPr>
      </w:pPr>
      <w:r>
        <w:rPr>
          <w:rFonts w:hint="eastAsia" w:cs="宋体" w:asciiTheme="minorEastAsia" w:hAnsiTheme="minorEastAsia"/>
          <w:bCs/>
          <w:color w:val="auto"/>
          <w:sz w:val="24"/>
        </w:rPr>
        <w:t>技术联系人：</w:t>
      </w:r>
      <w:r>
        <w:rPr>
          <w:rFonts w:hint="eastAsia" w:cs="宋体" w:asciiTheme="minorEastAsia" w:hAnsiTheme="minorEastAsia"/>
          <w:bCs/>
          <w:color w:val="auto"/>
          <w:sz w:val="24"/>
          <w:lang w:val="en-US" w:eastAsia="zh-CN"/>
        </w:rPr>
        <w:t>周建华</w:t>
      </w:r>
      <w:r>
        <w:rPr>
          <w:rFonts w:hint="eastAsia" w:cs="宋体" w:asciiTheme="minorEastAsia" w:hAnsiTheme="minorEastAsia"/>
          <w:bCs/>
          <w:color w:val="auto"/>
          <w:sz w:val="24"/>
        </w:rPr>
        <w:t xml:space="preserve"> 电话：</w:t>
      </w:r>
      <w:r>
        <w:rPr>
          <w:rFonts w:hint="eastAsia" w:cs="宋体" w:asciiTheme="minorEastAsia" w:hAnsiTheme="minorEastAsia"/>
          <w:bCs/>
          <w:color w:val="auto"/>
          <w:sz w:val="24"/>
          <w:lang w:val="en-US" w:eastAsia="zh-CN"/>
        </w:rPr>
        <w:t>13313854017</w:t>
      </w:r>
      <w:r>
        <w:rPr>
          <w:rFonts w:hint="eastAsia" w:cs="宋体" w:asciiTheme="minorEastAsia" w:hAnsiTheme="minorEastAsia"/>
          <w:bCs/>
          <w:color w:val="auto"/>
          <w:sz w:val="24"/>
        </w:rPr>
        <w:t xml:space="preserve">  邮箱：</w:t>
      </w:r>
      <w:r>
        <w:rPr>
          <w:rFonts w:ascii="Arial" w:hAnsi="Arial" w:eastAsia="宋体" w:cs="Arial"/>
          <w:color w:val="auto"/>
          <w:sz w:val="18"/>
          <w:szCs w:val="18"/>
        </w:rPr>
        <w:fldChar w:fldCharType="begin"/>
      </w:r>
      <w:r>
        <w:rPr>
          <w:rFonts w:ascii="Arial" w:hAnsi="Arial" w:eastAsia="宋体" w:cs="Arial"/>
          <w:color w:val="auto"/>
          <w:sz w:val="18"/>
          <w:szCs w:val="18"/>
        </w:rPr>
        <w:instrText xml:space="preserve"> HYPERLINK "mailto:jhzhou@fhcpec.com.cn" </w:instrText>
      </w:r>
      <w:r>
        <w:rPr>
          <w:rFonts w:ascii="Arial" w:hAnsi="Arial" w:eastAsia="宋体" w:cs="Arial"/>
          <w:color w:val="auto"/>
          <w:sz w:val="18"/>
          <w:szCs w:val="18"/>
        </w:rPr>
        <w:fldChar w:fldCharType="separate"/>
      </w:r>
      <w:r>
        <w:rPr>
          <w:rStyle w:val="9"/>
          <w:rFonts w:ascii="Arial" w:hAnsi="Arial" w:eastAsia="宋体" w:cs="Arial"/>
          <w:color w:val="auto"/>
          <w:sz w:val="18"/>
          <w:szCs w:val="18"/>
        </w:rPr>
        <w:t>jhzhou@fhcpec.com.cn</w:t>
      </w:r>
      <w:r>
        <w:rPr>
          <w:rFonts w:ascii="Arial" w:hAnsi="Arial" w:eastAsia="宋体" w:cs="Arial"/>
          <w:color w:val="auto"/>
          <w:sz w:val="18"/>
          <w:szCs w:val="18"/>
        </w:rPr>
        <w:fldChar w:fldCharType="end"/>
      </w:r>
    </w:p>
    <w:p>
      <w:pPr>
        <w:pStyle w:val="2"/>
        <w:snapToGrid w:val="0"/>
        <w:spacing w:before="100" w:beforeAutospacing="1" w:after="100" w:afterAutospacing="1" w:line="336" w:lineRule="auto"/>
        <w:ind w:firstLine="2160" w:firstLineChars="900"/>
        <w:rPr>
          <w:rFonts w:cs="宋体" w:asciiTheme="minorEastAsia" w:hAnsiTheme="minorEastAsia"/>
          <w:bCs/>
          <w:color w:val="auto"/>
          <w:sz w:val="24"/>
        </w:rPr>
      </w:pPr>
      <w:r>
        <w:rPr>
          <w:rFonts w:hint="eastAsia" w:cs="宋体" w:asciiTheme="minorEastAsia" w:hAnsiTheme="minorEastAsia"/>
          <w:bCs/>
          <w:color w:val="auto"/>
          <w:sz w:val="24"/>
        </w:rPr>
        <w:t>陈海伟 电话：13616007156  邮箱：</w:t>
      </w:r>
      <w:r>
        <w:rPr>
          <w:rFonts w:ascii="Arial" w:hAnsi="Arial" w:eastAsia="宋体" w:cs="Arial"/>
          <w:color w:val="auto"/>
          <w:sz w:val="18"/>
          <w:szCs w:val="18"/>
        </w:rPr>
        <w:t>hwchen@fhcpec.com.cn     </w:t>
      </w:r>
    </w:p>
    <w:p>
      <w:pPr>
        <w:pStyle w:val="2"/>
        <w:snapToGrid w:val="0"/>
        <w:spacing w:before="100" w:beforeAutospacing="1" w:after="100" w:afterAutospacing="1" w:line="336" w:lineRule="auto"/>
        <w:ind w:left="412" w:firstLine="480" w:firstLineChars="200"/>
        <w:rPr>
          <w:rFonts w:cs="宋体" w:asciiTheme="minorEastAsia" w:hAnsiTheme="minorEastAsia"/>
          <w:b/>
          <w:bCs/>
          <w:color w:val="auto"/>
          <w:sz w:val="24"/>
        </w:rPr>
      </w:pPr>
      <w:r>
        <w:rPr>
          <w:rFonts w:hint="eastAsia" w:cs="宋体" w:asciiTheme="minorEastAsia" w:hAnsiTheme="minorEastAsia"/>
          <w:bCs/>
          <w:color w:val="auto"/>
          <w:sz w:val="24"/>
        </w:rPr>
        <w:t xml:space="preserve">纪检监察室电话：0596-6311774  </w:t>
      </w:r>
    </w:p>
    <w:p>
      <w:pPr>
        <w:pStyle w:val="2"/>
        <w:snapToGrid w:val="0"/>
        <w:spacing w:before="100" w:beforeAutospacing="1" w:after="100" w:afterAutospacing="1" w:line="336" w:lineRule="auto"/>
        <w:ind w:left="412" w:firstLine="480" w:firstLineChars="200"/>
        <w:rPr>
          <w:rFonts w:asciiTheme="minorEastAsia" w:hAnsiTheme="minorEastAsia"/>
          <w:bCs/>
          <w:color w:val="auto"/>
          <w:sz w:val="24"/>
        </w:rPr>
      </w:pPr>
      <w:r>
        <w:rPr>
          <w:rFonts w:hint="eastAsia" w:cs="宋体" w:asciiTheme="minorEastAsia" w:hAnsiTheme="minorEastAsia"/>
          <w:bCs/>
          <w:color w:val="auto"/>
          <w:sz w:val="24"/>
        </w:rPr>
        <w:t>联系地址：</w:t>
      </w:r>
      <w:r>
        <w:rPr>
          <w:rFonts w:hint="eastAsia" w:asciiTheme="minorEastAsia" w:hAnsiTheme="minorEastAsia"/>
          <w:bCs/>
          <w:color w:val="auto"/>
          <w:sz w:val="24"/>
        </w:rPr>
        <w:t>厦门市思明区莲前街道领事馆路16号银领中心B栋4楼</w:t>
      </w:r>
    </w:p>
    <w:p>
      <w:pPr>
        <w:pStyle w:val="2"/>
        <w:snapToGrid w:val="0"/>
        <w:spacing w:before="100" w:beforeAutospacing="1" w:after="100" w:afterAutospacing="1" w:line="336" w:lineRule="auto"/>
        <w:ind w:left="412" w:firstLine="480" w:firstLineChars="200"/>
        <w:rPr>
          <w:rFonts w:ascii="Arial" w:hAnsi="Arial" w:eastAsia="宋体" w:cs="Arial"/>
          <w:color w:val="auto"/>
          <w:sz w:val="24"/>
          <w:shd w:val="clear" w:color="auto" w:fill="FFFFFF"/>
        </w:rPr>
      </w:pPr>
      <w:r>
        <w:rPr>
          <w:rFonts w:hint="eastAsia" w:cs="宋体" w:asciiTheme="minorEastAsia" w:hAnsiTheme="minorEastAsia"/>
          <w:bCs/>
          <w:color w:val="auto"/>
          <w:sz w:val="24"/>
        </w:rPr>
        <w:t>邮    编：</w:t>
      </w:r>
      <w:r>
        <w:rPr>
          <w:rFonts w:ascii="Arial" w:hAnsi="Arial" w:eastAsia="宋体" w:cs="Arial"/>
          <w:color w:val="auto"/>
          <w:sz w:val="24"/>
          <w:shd w:val="clear" w:color="auto" w:fill="FFFFFF"/>
        </w:rPr>
        <w:t>361001</w:t>
      </w:r>
    </w:p>
    <w:p>
      <w:pPr>
        <w:pStyle w:val="2"/>
        <w:snapToGrid w:val="0"/>
        <w:spacing w:before="100" w:beforeAutospacing="1" w:after="100" w:afterAutospacing="1" w:line="336" w:lineRule="auto"/>
        <w:ind w:left="412" w:firstLine="480" w:firstLineChars="200"/>
        <w:jc w:val="right"/>
        <w:rPr>
          <w:rFonts w:asciiTheme="minorEastAsia" w:hAnsiTheme="minorEastAsia"/>
          <w:color w:val="auto"/>
          <w:sz w:val="24"/>
        </w:rPr>
      </w:pPr>
      <w:r>
        <w:rPr>
          <w:rFonts w:hint="eastAsia" w:asciiTheme="minorEastAsia" w:hAnsiTheme="minorEastAsia"/>
          <w:color w:val="auto"/>
          <w:sz w:val="24"/>
        </w:rPr>
        <w:t xml:space="preserve"> </w:t>
      </w:r>
      <w:r>
        <w:rPr>
          <w:rFonts w:hint="eastAsia" w:asciiTheme="minorEastAsia" w:hAnsiTheme="minorEastAsia"/>
          <w:color w:val="auto"/>
          <w:sz w:val="24"/>
          <w:lang w:eastAsia="zh-CN"/>
        </w:rPr>
        <w:t>福建海裕石化有限公司</w:t>
      </w:r>
      <w:r>
        <w:rPr>
          <w:rFonts w:hint="eastAsia" w:asciiTheme="minorEastAsia" w:hAnsiTheme="minorEastAsia"/>
          <w:color w:val="auto"/>
          <w:sz w:val="24"/>
        </w:rPr>
        <w:t xml:space="preserve"> </w:t>
      </w:r>
    </w:p>
    <w:p>
      <w:pPr>
        <w:spacing w:before="100" w:beforeAutospacing="1" w:after="100" w:afterAutospacing="1" w:line="336"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202</w:t>
      </w:r>
      <w:r>
        <w:rPr>
          <w:rFonts w:hint="eastAsia" w:asciiTheme="minorEastAsia" w:hAnsiTheme="minorEastAsia" w:eastAsiaTheme="minorEastAsia"/>
          <w:color w:val="auto"/>
          <w:sz w:val="24"/>
          <w:lang w:val="en-US" w:eastAsia="zh-CN"/>
        </w:rPr>
        <w:t>2</w:t>
      </w:r>
      <w:r>
        <w:rPr>
          <w:rFonts w:hint="eastAsia" w:asciiTheme="minorEastAsia" w:hAnsiTheme="minorEastAsia" w:eastAsiaTheme="minorEastAsia"/>
          <w:color w:val="auto"/>
          <w:sz w:val="24"/>
        </w:rPr>
        <w:t>年</w:t>
      </w:r>
      <w:r>
        <w:rPr>
          <w:rFonts w:hint="eastAsia" w:asciiTheme="minorEastAsia" w:hAnsiTheme="minorEastAsia" w:eastAsiaTheme="minorEastAsia"/>
          <w:color w:val="auto"/>
          <w:sz w:val="24"/>
          <w:lang w:val="en-US" w:eastAsia="zh-CN"/>
        </w:rPr>
        <w:t>3</w:t>
      </w:r>
      <w:r>
        <w:rPr>
          <w:rFonts w:hint="eastAsia" w:asciiTheme="minorEastAsia" w:hAnsiTheme="minorEastAsia" w:eastAsiaTheme="minorEastAsia"/>
          <w:color w:val="auto"/>
          <w:sz w:val="24"/>
        </w:rPr>
        <w:t>月</w:t>
      </w:r>
      <w:r>
        <w:rPr>
          <w:rFonts w:hint="eastAsia" w:asciiTheme="minorEastAsia" w:hAnsiTheme="minorEastAsia" w:eastAsiaTheme="minorEastAsia"/>
          <w:color w:val="auto"/>
          <w:sz w:val="24"/>
          <w:lang w:val="en-US" w:eastAsia="zh-CN"/>
        </w:rPr>
        <w:t>15</w:t>
      </w:r>
      <w:r>
        <w:rPr>
          <w:rFonts w:hint="eastAsia" w:asciiTheme="minorEastAsia" w:hAnsiTheme="minorEastAsia" w:eastAsiaTheme="minorEastAsia"/>
          <w:color w:val="auto"/>
          <w:sz w:val="24"/>
        </w:rPr>
        <w:t>日</w:t>
      </w: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eastAsia="zh-CN"/>
        </w:rPr>
        <w:t>聚氯化铝</w:t>
      </w:r>
      <w:r>
        <w:rPr>
          <w:rFonts w:hint="eastAsia" w:ascii="宋体" w:hAnsi="宋体"/>
          <w:color w:val="auto"/>
          <w:sz w:val="18"/>
          <w:szCs w:val="18"/>
          <w:u w:val="single"/>
        </w:rPr>
        <w:t>。</w:t>
      </w:r>
    </w:p>
    <w:p>
      <w:pPr>
        <w:pStyle w:val="14"/>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hAnsi="宋体"/>
          <w:color w:val="auto"/>
          <w:sz w:val="18"/>
          <w:szCs w:val="18"/>
        </w:rPr>
      </w:pPr>
      <w:r>
        <w:rPr>
          <w:rFonts w:hint="eastAsia" w:ascii="宋体"/>
          <w:color w:val="auto"/>
          <w:sz w:val="18"/>
          <w:szCs w:val="18"/>
        </w:rPr>
        <w:t>（4）与比选人无诉讼纠纷。</w:t>
      </w:r>
    </w:p>
    <w:p>
      <w:pPr>
        <w:spacing w:line="320" w:lineRule="exact"/>
        <w:rPr>
          <w:rFonts w:hint="eastAsia" w:ascii="宋体" w:hAnsi="宋体"/>
          <w:color w:val="auto"/>
          <w:sz w:val="18"/>
          <w:szCs w:val="18"/>
        </w:rPr>
      </w:pPr>
      <w:r>
        <w:rPr>
          <w:rFonts w:hint="eastAsia" w:ascii="宋体" w:hAnsi="宋体"/>
          <w:color w:val="auto"/>
          <w:sz w:val="18"/>
          <w:szCs w:val="18"/>
        </w:rPr>
        <w:t>（</w:t>
      </w:r>
      <w:r>
        <w:rPr>
          <w:rFonts w:hint="eastAsia" w:ascii="宋体" w:hAnsi="宋体"/>
          <w:color w:val="auto"/>
          <w:sz w:val="18"/>
          <w:szCs w:val="18"/>
          <w:lang w:val="en-US" w:eastAsia="zh-CN"/>
        </w:rPr>
        <w:t>5</w:t>
      </w:r>
      <w:r>
        <w:rPr>
          <w:rFonts w:hint="eastAsia" w:ascii="宋体" w:hAnsi="宋体"/>
          <w:color w:val="auto"/>
          <w:sz w:val="18"/>
          <w:szCs w:val="18"/>
        </w:rPr>
        <w:t>）参选保证金：</w:t>
      </w:r>
      <w:r>
        <w:rPr>
          <w:rFonts w:hint="eastAsia" w:ascii="宋体" w:hAnsi="宋体"/>
          <w:color w:val="auto"/>
          <w:sz w:val="18"/>
          <w:szCs w:val="18"/>
          <w:lang w:val="en-US" w:eastAsia="zh-CN"/>
        </w:rPr>
        <w:t>叁万元整</w:t>
      </w:r>
      <w:r>
        <w:rPr>
          <w:rFonts w:hint="eastAsia" w:ascii="宋体" w:hAnsi="宋体"/>
          <w:color w:val="auto"/>
          <w:sz w:val="18"/>
          <w:szCs w:val="18"/>
        </w:rPr>
        <w:t>。</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ascii="宋体" w:hAnsi="宋体"/>
          <w:color w:val="auto"/>
          <w:sz w:val="18"/>
          <w:szCs w:val="18"/>
        </w:rPr>
      </w:pPr>
      <w:r>
        <w:rPr>
          <w:rFonts w:hint="eastAsia" w:ascii="宋体" w:hAnsi="宋体"/>
          <w:color w:val="auto"/>
          <w:sz w:val="18"/>
          <w:szCs w:val="18"/>
        </w:rPr>
        <w:t>（6）报价单</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eastAsia="zh-CN"/>
        </w:rPr>
        <w:t>聚氯化铝</w:t>
      </w:r>
      <w:r>
        <w:rPr>
          <w:rFonts w:hint="eastAsia" w:ascii="宋体" w:hAnsi="宋体"/>
          <w:color w:val="auto"/>
          <w:sz w:val="18"/>
          <w:szCs w:val="18"/>
          <w:u w:val="single"/>
        </w:rPr>
        <w:t>的</w:t>
      </w:r>
      <w:r>
        <w:rPr>
          <w:rFonts w:hint="eastAsia" w:ascii="宋体" w:hAnsi="宋体"/>
          <w:color w:val="auto"/>
          <w:sz w:val="18"/>
          <w:szCs w:val="18"/>
        </w:rPr>
        <w:t>采购指导价格。比选会议确定指导价格之后：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1.公开比选会议期间，确定价格后，愿意以确定的价格供货的报价人立即或会后邮件扫描或传真《公开比选确认单》至我司，由采购部成员办理随后的工贸公司订单送审手续。比选数量为总数量，订单签署上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ascii="宋体"/>
          <w:color w:val="auto"/>
          <w:sz w:val="18"/>
          <w:szCs w:val="18"/>
        </w:rPr>
      </w:pPr>
      <w:r>
        <w:rPr>
          <w:rFonts w:hint="eastAsia" w:ascii="宋体" w:hAnsi="宋体"/>
          <w:color w:val="auto"/>
          <w:sz w:val="18"/>
          <w:szCs w:val="18"/>
        </w:rPr>
        <w:t>12.参选文件不退还。</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rPr>
        <w:t>3</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eastAsia="zh-CN"/>
        </w:rPr>
        <w:t>福建海裕石化有限公司</w:t>
      </w:r>
      <w:r>
        <w:rPr>
          <w:rFonts w:hint="eastAsia" w:ascii="宋体" w:hAnsi="宋体" w:cs="宋体"/>
          <w:b/>
          <w:color w:val="auto"/>
          <w:kern w:val="0"/>
          <w:sz w:val="24"/>
        </w:rPr>
        <w:t>有权选择废选。</w:t>
      </w: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eastAsia" w:ascii="宋体" w:eastAsia="宋体"/>
          <w:b/>
          <w:bCs/>
          <w:color w:val="auto"/>
          <w:sz w:val="24"/>
          <w:lang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lang w:eastAsia="zh-CN"/>
        </w:rPr>
        <w:t>2022-FHHY-聚氯化铝-0315</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eastAsia="zh-CN"/>
        </w:rPr>
        <w:t>聚氯化铝</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rPr>
        <w:t>采购数量：</w:t>
      </w:r>
      <w:r>
        <w:rPr>
          <w:rFonts w:hint="eastAsia" w:ascii="宋体" w:cs="宋体"/>
          <w:color w:val="auto"/>
          <w:sz w:val="24"/>
          <w:lang w:val="en-US" w:eastAsia="zh-CN"/>
        </w:rPr>
        <w:t>900吨</w:t>
      </w:r>
      <w:r>
        <w:rPr>
          <w:rFonts w:hint="eastAsia" w:ascii="宋体" w:cs="宋体"/>
          <w:color w:val="auto"/>
          <w:sz w:val="24"/>
        </w:rPr>
        <w:t>（数量为</w:t>
      </w:r>
      <w:r>
        <w:rPr>
          <w:rFonts w:hint="eastAsia" w:ascii="宋体" w:cs="宋体"/>
          <w:color w:val="auto"/>
          <w:sz w:val="24"/>
          <w:lang w:val="en-US" w:eastAsia="zh-CN"/>
        </w:rPr>
        <w:t>2022年第二季度</w:t>
      </w:r>
      <w:r>
        <w:rPr>
          <w:rFonts w:hint="eastAsia" w:ascii="宋体" w:cs="宋体"/>
          <w:color w:val="auto"/>
          <w:sz w:val="24"/>
        </w:rPr>
        <w:t>预估量，以实际发生量为准）。</w:t>
      </w:r>
    </w:p>
    <w:p>
      <w:pPr>
        <w:spacing w:line="360" w:lineRule="exact"/>
        <w:jc w:val="left"/>
        <w:rPr>
          <w:rFonts w:ascii="宋体" w:hAnsi="宋体" w:cs="宋体"/>
          <w:color w:val="auto"/>
          <w:sz w:val="24"/>
        </w:rPr>
      </w:pPr>
      <w:r>
        <w:rPr>
          <w:rFonts w:hint="eastAsia" w:ascii="宋体" w:hAnsi="宋体" w:cs="宋体"/>
          <w:color w:val="auto"/>
          <w:sz w:val="24"/>
        </w:rPr>
        <w:t>2.技术参数指标详见附件1《</w:t>
      </w:r>
      <w:r>
        <w:rPr>
          <w:rFonts w:hint="eastAsia" w:ascii="宋体" w:hAnsi="宋体"/>
          <w:color w:val="auto"/>
          <w:sz w:val="24"/>
          <w:lang w:eastAsia="zh-CN"/>
        </w:rPr>
        <w:t>聚氯化铝</w:t>
      </w:r>
      <w:r>
        <w:rPr>
          <w:rFonts w:hint="eastAsia" w:ascii="宋体" w:hAnsi="宋体" w:cs="宋体"/>
          <w:color w:val="auto"/>
          <w:sz w:val="24"/>
        </w:rPr>
        <w:t>质量规范》。</w:t>
      </w:r>
    </w:p>
    <w:p>
      <w:pPr>
        <w:spacing w:line="360" w:lineRule="exact"/>
        <w:jc w:val="left"/>
        <w:rPr>
          <w:rFonts w:ascii="宋体" w:cs="宋体"/>
          <w:color w:val="auto"/>
          <w:sz w:val="24"/>
        </w:rPr>
      </w:pPr>
      <w:r>
        <w:rPr>
          <w:rFonts w:hint="eastAsia" w:ascii="宋体" w:hAnsi="宋体" w:cs="宋体"/>
          <w:color w:val="auto"/>
          <w:sz w:val="24"/>
        </w:rPr>
        <w:t>3.</w:t>
      </w:r>
      <w:r>
        <w:rPr>
          <w:rFonts w:hint="eastAsia" w:ascii="宋体" w:hAnsi="宋体"/>
          <w:color w:val="auto"/>
          <w:sz w:val="24"/>
        </w:rPr>
        <w:t>到货时间：</w:t>
      </w:r>
      <w:r>
        <w:rPr>
          <w:rFonts w:hint="eastAsia" w:ascii="宋体" w:hAnsi="宋体"/>
          <w:color w:val="auto"/>
          <w:sz w:val="24"/>
          <w:lang w:val="en-US" w:eastAsia="zh-CN"/>
        </w:rPr>
        <w:t>2022年4月1日-2022年6月30日，</w:t>
      </w:r>
      <w:r>
        <w:rPr>
          <w:rFonts w:hint="eastAsia" w:ascii="宋体" w:hAnsi="宋体"/>
          <w:color w:val="auto"/>
          <w:sz w:val="24"/>
        </w:rPr>
        <w:t>具体以需方通知为准。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rPr>
        <w:t>4.报价须知：</w:t>
      </w:r>
      <w:r>
        <w:rPr>
          <w:rFonts w:hint="eastAsia" w:asciiTheme="minorEastAsia" w:hAnsiTheme="minorEastAsia" w:eastAsiaTheme="minorEastAsia"/>
          <w:bCs/>
          <w:color w:val="auto"/>
          <w:kern w:val="0"/>
          <w:sz w:val="24"/>
          <w:lang w:eastAsia="zh-CN"/>
        </w:rPr>
        <w:t>聚氯化铝</w:t>
      </w:r>
      <w:r>
        <w:rPr>
          <w:rFonts w:hint="eastAsia" w:ascii="宋体" w:hAnsi="宋体" w:cs="宋体"/>
          <w:color w:val="auto"/>
          <w:sz w:val="24"/>
        </w:rPr>
        <w:t>含税送到价。参选人需对全部比选数量进行报价。</w:t>
      </w:r>
    </w:p>
    <w:p>
      <w:pPr>
        <w:spacing w:line="360" w:lineRule="exact"/>
        <w:jc w:val="left"/>
        <w:rPr>
          <w:rFonts w:ascii="宋体" w:cs="宋体"/>
          <w:color w:val="auto"/>
          <w:sz w:val="24"/>
        </w:rPr>
      </w:pPr>
      <w:r>
        <w:rPr>
          <w:rFonts w:hint="eastAsia" w:ascii="宋体" w:hAnsi="宋体" w:cs="宋体"/>
          <w:color w:val="auto"/>
          <w:sz w:val="24"/>
        </w:rPr>
        <w:t>5.其他要求按双方签订的合同执行，关键条款重申如下：</w:t>
      </w:r>
    </w:p>
    <w:p>
      <w:pPr>
        <w:spacing w:line="350" w:lineRule="exact"/>
        <w:jc w:val="left"/>
        <w:rPr>
          <w:rFonts w:ascii="宋体" w:hAnsi="宋体" w:cs="宋体"/>
          <w:color w:val="auto"/>
          <w:sz w:val="24"/>
        </w:rPr>
      </w:pPr>
      <w:r>
        <w:rPr>
          <w:rFonts w:hint="eastAsia" w:ascii="宋体" w:hAnsi="宋体" w:cs="宋体"/>
          <w:color w:val="auto"/>
          <w:sz w:val="24"/>
        </w:rPr>
        <w:t>5</w:t>
      </w:r>
      <w:r>
        <w:rPr>
          <w:rFonts w:ascii="宋体" w:hAnsi="宋体" w:cs="宋体"/>
          <w:color w:val="auto"/>
          <w:sz w:val="24"/>
        </w:rPr>
        <w:t>.1</w:t>
      </w:r>
      <w:r>
        <w:rPr>
          <w:rFonts w:hint="eastAsia" w:ascii="宋体" w:hAnsi="宋体" w:cs="宋体"/>
          <w:color w:val="auto"/>
          <w:sz w:val="24"/>
        </w:rPr>
        <w:t>付款方式：分批到货分批付款，现汇支付。每批到货后，需方依据本合同约定的质量、数量标准验收合格后，供方提供增值税专用发票以及结算所需的各类清单，需方收到并确认无误后支付货款供方。</w:t>
      </w:r>
    </w:p>
    <w:p>
      <w:pPr>
        <w:spacing w:line="350" w:lineRule="exact"/>
        <w:jc w:val="left"/>
        <w:rPr>
          <w:rFonts w:ascii="宋体" w:hAnsi="宋体" w:cs="宋体"/>
          <w:color w:val="auto"/>
          <w:sz w:val="24"/>
        </w:rPr>
      </w:pPr>
      <w:r>
        <w:rPr>
          <w:rFonts w:hint="eastAsia" w:ascii="宋体" w:hAnsi="宋体" w:cs="宋体"/>
          <w:color w:val="auto"/>
          <w:sz w:val="24"/>
        </w:rPr>
        <w:t>5.2数量验收：以需方使用单位验收为准。</w:t>
      </w:r>
    </w:p>
    <w:p>
      <w:pPr>
        <w:numPr>
          <w:ilvl w:val="0"/>
          <w:numId w:val="7"/>
        </w:numPr>
        <w:spacing w:line="350" w:lineRule="exact"/>
        <w:jc w:val="left"/>
        <w:rPr>
          <w:rFonts w:asciiTheme="minorEastAsia" w:hAnsiTheme="minorEastAsia" w:eastAsiaTheme="minorEastAsia"/>
          <w:color w:val="auto"/>
          <w:kern w:val="0"/>
          <w:sz w:val="24"/>
        </w:rPr>
      </w:pPr>
      <w:r>
        <w:rPr>
          <w:rFonts w:hint="eastAsia" w:ascii="宋体" w:hAnsi="宋体"/>
          <w:color w:val="auto"/>
          <w:sz w:val="24"/>
        </w:rPr>
        <w:t>运输条款：</w:t>
      </w:r>
      <w:r>
        <w:rPr>
          <w:rFonts w:hint="eastAsia" w:ascii="宋体" w:hAnsi="宋体"/>
          <w:color w:val="auto"/>
          <w:sz w:val="24"/>
          <w:lang w:val="en-US" w:eastAsia="zh-CN"/>
        </w:rPr>
        <w:t>供方配送，</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rPr>
        <w:t>7.参选文件的递交</w:t>
      </w:r>
    </w:p>
    <w:p>
      <w:pPr>
        <w:spacing w:line="360" w:lineRule="exact"/>
        <w:jc w:val="left"/>
        <w:rPr>
          <w:rFonts w:ascii="宋体" w:hAnsi="宋体" w:cs="宋体"/>
          <w:color w:val="auto"/>
          <w:sz w:val="24"/>
        </w:rPr>
      </w:pPr>
      <w:r>
        <w:rPr>
          <w:rFonts w:hint="eastAsia" w:ascii="宋体" w:hAnsi="宋体" w:cs="宋体"/>
          <w:color w:val="auto"/>
          <w:sz w:val="24"/>
        </w:rPr>
        <w:t>7.1参选文件递交截止时间：见比选公告。</w:t>
      </w:r>
    </w:p>
    <w:p>
      <w:pPr>
        <w:spacing w:line="360" w:lineRule="exact"/>
        <w:jc w:val="left"/>
        <w:rPr>
          <w:rFonts w:ascii="宋体" w:hAnsi="宋体" w:cs="宋体"/>
          <w:color w:val="auto"/>
          <w:sz w:val="24"/>
        </w:rPr>
      </w:pPr>
      <w:r>
        <w:rPr>
          <w:rFonts w:hint="eastAsia" w:ascii="宋体" w:hAnsi="宋体" w:cs="宋体"/>
          <w:color w:val="auto"/>
          <w:sz w:val="24"/>
        </w:rPr>
        <w:t>7.2参选文件应密封，包含比选公告、参选规定及说明、公开比选文件、参选书、法定代表人授权书、报价单，上述六项文件一式两份并逐页盖公章。密封处盖章。</w:t>
      </w:r>
    </w:p>
    <w:p>
      <w:pPr>
        <w:spacing w:line="360" w:lineRule="exact"/>
        <w:jc w:val="left"/>
        <w:rPr>
          <w:rFonts w:hint="eastAsia" w:ascii="宋体" w:hAnsi="宋体" w:eastAsia="宋体" w:cs="宋体"/>
          <w:color w:val="auto"/>
          <w:sz w:val="24"/>
          <w:lang w:eastAsia="zh-CN"/>
        </w:rPr>
      </w:pPr>
      <w:r>
        <w:rPr>
          <w:rFonts w:hint="eastAsia" w:ascii="宋体" w:hAnsi="宋体" w:cs="宋体"/>
          <w:color w:val="auto"/>
          <w:sz w:val="24"/>
        </w:rPr>
        <w:t>7.3我公司快递联系方式：公司名称：</w:t>
      </w:r>
      <w:r>
        <w:rPr>
          <w:rFonts w:hint="eastAsia" w:ascii="宋体" w:hAnsi="宋体" w:cs="宋体"/>
          <w:color w:val="auto"/>
          <w:sz w:val="24"/>
          <w:lang w:val="en-US" w:eastAsia="zh-CN"/>
        </w:rPr>
        <w:t>福建海裕石化有限公司</w:t>
      </w:r>
    </w:p>
    <w:p>
      <w:pPr>
        <w:spacing w:line="360" w:lineRule="exact"/>
        <w:jc w:val="left"/>
        <w:rPr>
          <w:rFonts w:ascii="宋体" w:hAnsi="宋体" w:cs="宋体"/>
          <w:color w:val="auto"/>
          <w:sz w:val="24"/>
        </w:rPr>
      </w:pPr>
      <w:r>
        <w:rPr>
          <w:rFonts w:hint="eastAsia" w:ascii="宋体" w:hAnsi="宋体" w:cs="宋体"/>
          <w:color w:val="auto"/>
          <w:sz w:val="24"/>
        </w:rPr>
        <w:t>地址：福建省厦门市思明区莲前街道领事馆路16号银领中心B栋4楼 物资装备一部</w:t>
      </w:r>
    </w:p>
    <w:p>
      <w:pPr>
        <w:spacing w:line="360" w:lineRule="exact"/>
        <w:jc w:val="left"/>
        <w:rPr>
          <w:rFonts w:ascii="宋体" w:hAnsi="宋体" w:cs="宋体"/>
          <w:color w:val="auto"/>
          <w:sz w:val="24"/>
        </w:rPr>
      </w:pPr>
    </w:p>
    <w:p>
      <w:pPr>
        <w:spacing w:line="360" w:lineRule="exact"/>
        <w:jc w:val="left"/>
        <w:rPr>
          <w:rFonts w:ascii="宋体"/>
          <w:color w:val="auto"/>
          <w:sz w:val="24"/>
          <w:u w:val="single"/>
        </w:rPr>
      </w:pPr>
      <w:r>
        <w:rPr>
          <w:rFonts w:hint="eastAsia" w:ascii="宋体" w:hAnsi="宋体" w:cs="宋体"/>
          <w:color w:val="auto"/>
          <w:sz w:val="24"/>
        </w:rPr>
        <w:t>联系人：李奎  手机：18405067788</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spacing w:line="500" w:lineRule="exact"/>
        <w:rPr>
          <w:rFonts w:ascii="宋体" w:hAnsi="宋体"/>
          <w:b/>
          <w:bCs/>
          <w:color w:val="auto"/>
          <w:sz w:val="36"/>
          <w:szCs w:val="36"/>
        </w:rPr>
      </w:pPr>
    </w:p>
    <w:p>
      <w:pPr>
        <w:spacing w:line="500" w:lineRule="exact"/>
        <w:rPr>
          <w:rFonts w:ascii="宋体" w:hAnsi="宋体"/>
          <w:b/>
          <w:bCs/>
          <w:color w:val="auto"/>
          <w:sz w:val="36"/>
          <w:szCs w:val="36"/>
        </w:rPr>
      </w:pPr>
    </w:p>
    <w:p>
      <w:pPr>
        <w:widowControl/>
        <w:jc w:val="left"/>
        <w:rPr>
          <w:rFonts w:ascii="宋体" w:hAnsi="宋体"/>
          <w:b/>
          <w:bCs/>
          <w:color w:val="auto"/>
          <w:sz w:val="36"/>
          <w:szCs w:val="36"/>
        </w:rPr>
      </w:pPr>
      <w:r>
        <w:rPr>
          <w:rFonts w:ascii="宋体" w:hAns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eastAsia" w:ascii="宋体" w:eastAsia="宋体"/>
          <w:color w:val="auto"/>
          <w:sz w:val="24"/>
          <w:lang w:eastAsia="zh-CN"/>
        </w:rPr>
      </w:pPr>
      <w:r>
        <w:rPr>
          <w:rFonts w:hint="eastAsia" w:ascii="宋体" w:hAnsi="宋体"/>
          <w:color w:val="auto"/>
          <w:sz w:val="24"/>
        </w:rPr>
        <w:t>致：</w:t>
      </w:r>
      <w:r>
        <w:rPr>
          <w:rFonts w:hint="eastAsia" w:ascii="宋体" w:hAnsi="宋体"/>
          <w:color w:val="auto"/>
          <w:sz w:val="24"/>
          <w:lang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lang w:eastAsia="zh-CN"/>
        </w:rPr>
        <w:t>2022-FHHY-聚氯化铝-0315</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8"/>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lang w:eastAsia="zh-CN"/>
        </w:rPr>
        <w:t>2022-FHHY-聚氯化铝-0315</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eastAsia" w:ascii="宋体" w:eastAsia="宋体"/>
          <w:color w:val="auto"/>
          <w:sz w:val="24"/>
          <w:lang w:eastAsia="zh-CN"/>
        </w:rPr>
      </w:pPr>
      <w:r>
        <w:rPr>
          <w:rFonts w:hint="eastAsia" w:ascii="宋体" w:hAnsi="宋体"/>
          <w:color w:val="auto"/>
          <w:sz w:val="24"/>
        </w:rPr>
        <w:t>致：</w:t>
      </w:r>
      <w:r>
        <w:rPr>
          <w:rFonts w:hint="eastAsia" w:ascii="宋体" w:hAnsi="宋体"/>
          <w:color w:val="auto"/>
          <w:sz w:val="24"/>
          <w:lang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lang w:eastAsia="zh-CN"/>
        </w:rPr>
        <w:t>2022-FHHY-聚氯化铝-0315</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eastAsia="zh-CN"/>
        </w:rPr>
        <w:t>聚氯化铝</w:t>
      </w:r>
      <w:r>
        <w:rPr>
          <w:rFonts w:hint="eastAsia" w:ascii="宋体" w:hAnsi="宋体"/>
          <w:color w:val="auto"/>
          <w:sz w:val="24"/>
        </w:rPr>
        <w:t>：</w:t>
      </w:r>
    </w:p>
    <w:p>
      <w:pPr>
        <w:spacing w:line="500" w:lineRule="exact"/>
        <w:rPr>
          <w:rFonts w:ascii="宋体" w:hAnsi="宋体"/>
          <w:color w:val="auto"/>
          <w:sz w:val="24"/>
          <w:u w:val="single"/>
        </w:rPr>
      </w:pPr>
      <w:r>
        <w:rPr>
          <w:rFonts w:hint="eastAsia" w:ascii="宋体" w:hAnsi="宋体"/>
          <w:color w:val="auto"/>
          <w:sz w:val="24"/>
        </w:rPr>
        <w:t xml:space="preserve">  数量：</w:t>
      </w:r>
      <w:r>
        <w:rPr>
          <w:rFonts w:hint="eastAsia" w:ascii="宋体" w:hAnsi="宋体"/>
          <w:color w:val="auto"/>
          <w:sz w:val="24"/>
          <w:u w:val="single"/>
          <w:lang w:val="en-US" w:eastAsia="zh-CN"/>
        </w:rPr>
        <w:t>900吨</w:t>
      </w:r>
      <w:r>
        <w:rPr>
          <w:rFonts w:hint="eastAsia" w:ascii="宋体" w:cs="宋体"/>
          <w:color w:val="auto"/>
          <w:sz w:val="24"/>
        </w:rPr>
        <w:t>（数量为</w:t>
      </w:r>
      <w:r>
        <w:rPr>
          <w:rFonts w:hint="eastAsia" w:ascii="宋体" w:cs="宋体"/>
          <w:color w:val="auto"/>
          <w:sz w:val="24"/>
          <w:lang w:val="en-US" w:eastAsia="zh-CN"/>
        </w:rPr>
        <w:t>2022年第二季度</w:t>
      </w:r>
      <w:r>
        <w:rPr>
          <w:rFonts w:hint="eastAsia" w:ascii="宋体" w:cs="宋体"/>
          <w:color w:val="auto"/>
          <w:sz w:val="24"/>
        </w:rPr>
        <w:t>预估量，以实际发生量为准）</w:t>
      </w:r>
      <w:r>
        <w:rPr>
          <w:rFonts w:hint="eastAsia" w:ascii="宋体" w:hAnsi="宋体"/>
          <w:color w:val="auto"/>
          <w:sz w:val="24"/>
        </w:rPr>
        <w:t>，</w:t>
      </w:r>
    </w:p>
    <w:p>
      <w:pPr>
        <w:spacing w:line="500" w:lineRule="exact"/>
        <w:ind w:firstLine="241" w:firstLineChars="100"/>
        <w:rPr>
          <w:rFonts w:ascii="宋体" w:hAnsi="宋体"/>
          <w:b/>
          <w:bCs/>
          <w:color w:val="auto"/>
          <w:sz w:val="24"/>
          <w:u w:val="single"/>
        </w:rPr>
      </w:pPr>
      <w:r>
        <w:rPr>
          <w:rFonts w:hint="eastAsia" w:ascii="宋体" w:hAnsi="宋体"/>
          <w:b/>
          <w:bCs/>
          <w:color w:val="auto"/>
          <w:sz w:val="24"/>
        </w:rPr>
        <w:t>含税送到单价：</w:t>
      </w:r>
      <w:r>
        <w:rPr>
          <w:rFonts w:hint="eastAsia" w:ascii="宋体" w:hAnsi="宋体"/>
          <w:b/>
          <w:bCs/>
          <w:color w:val="auto"/>
          <w:sz w:val="24"/>
          <w:u w:val="single"/>
        </w:rPr>
        <w:t xml:space="preserve">        </w:t>
      </w:r>
      <w:r>
        <w:rPr>
          <w:rFonts w:hint="eastAsia" w:ascii="宋体" w:hAnsi="宋体"/>
          <w:b/>
          <w:bCs/>
          <w:color w:val="auto"/>
          <w:sz w:val="24"/>
          <w:lang w:eastAsia="zh-CN"/>
        </w:rPr>
        <w:t>元</w:t>
      </w:r>
      <w:r>
        <w:rPr>
          <w:rFonts w:hint="eastAsia" w:ascii="宋体" w:hAnsi="宋体"/>
          <w:b/>
          <w:bCs/>
          <w:color w:val="auto"/>
          <w:sz w:val="24"/>
        </w:rPr>
        <w:t>/吨，增值税税率</w:t>
      </w:r>
      <w:r>
        <w:rPr>
          <w:rFonts w:hint="eastAsia" w:ascii="宋体" w:hAnsi="宋体"/>
          <w:b/>
          <w:bCs/>
          <w:color w:val="auto"/>
          <w:sz w:val="24"/>
          <w:u w:val="single"/>
        </w:rPr>
        <w:t xml:space="preserve">  13%  。</w:t>
      </w:r>
    </w:p>
    <w:p>
      <w:pPr>
        <w:numPr>
          <w:ilvl w:val="0"/>
          <w:numId w:val="9"/>
        </w:numPr>
        <w:spacing w:line="312" w:lineRule="auto"/>
        <w:rPr>
          <w:rFonts w:ascii="宋体" w:hAnsi="宋体"/>
          <w:color w:val="auto"/>
          <w:sz w:val="24"/>
        </w:rPr>
      </w:pPr>
      <w:r>
        <w:rPr>
          <w:rFonts w:hint="eastAsia" w:ascii="宋体" w:hAnsi="宋体"/>
          <w:color w:val="auto"/>
          <w:sz w:val="24"/>
        </w:rPr>
        <w:t>质量验收标准 （详见附件1“</w:t>
      </w:r>
      <w:r>
        <w:rPr>
          <w:rFonts w:hint="eastAsia" w:ascii="宋体" w:hAnsi="宋体"/>
          <w:color w:val="auto"/>
          <w:sz w:val="24"/>
          <w:lang w:eastAsia="zh-CN"/>
        </w:rPr>
        <w:t>聚氯化铝</w:t>
      </w:r>
      <w:r>
        <w:rPr>
          <w:rFonts w:hint="eastAsia" w:ascii="宋体" w:hAnsi="宋体"/>
          <w:color w:val="auto"/>
          <w:sz w:val="24"/>
        </w:rPr>
        <w:t>质量规范”）。</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rPr>
      </w:pPr>
      <w:r>
        <w:rPr>
          <w:rFonts w:hint="eastAsia" w:ascii="宋体" w:hAnsi="宋体"/>
          <w:color w:val="auto"/>
          <w:sz w:val="24"/>
        </w:rPr>
        <w:t>我司同意在投标前缴纳保证金</w:t>
      </w:r>
      <w:r>
        <w:rPr>
          <w:rFonts w:hint="eastAsia" w:ascii="宋体" w:hAnsi="宋体"/>
          <w:color w:val="auto"/>
          <w:sz w:val="24"/>
          <w:lang w:val="en-US" w:eastAsia="zh-CN"/>
        </w:rPr>
        <w:t>叁万元整</w:t>
      </w:r>
      <w:r>
        <w:rPr>
          <w:rFonts w:hint="eastAsia" w:ascii="宋体" w:hAnsi="宋体"/>
          <w:color w:val="auto"/>
          <w:sz w:val="24"/>
          <w:lang w:eastAsia="zh-CN"/>
        </w:rPr>
        <w:t>元</w:t>
      </w:r>
      <w:r>
        <w:rPr>
          <w:rFonts w:hint="eastAsia" w:ascii="宋体" w:hAnsi="宋体"/>
          <w:color w:val="auto"/>
          <w:sz w:val="24"/>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12" w:lineRule="auto"/>
        <w:rPr>
          <w:rFonts w:ascii="宋体" w:hAnsi="宋体"/>
          <w:color w:val="auto"/>
          <w:sz w:val="24"/>
        </w:rPr>
      </w:pPr>
      <w:r>
        <w:rPr>
          <w:rFonts w:hint="eastAsia" w:ascii="宋体" w:hAnsi="宋体"/>
          <w:color w:val="auto"/>
          <w:sz w:val="24"/>
        </w:rPr>
        <w:t>三、报价及结算方式：每批产品到货后，经需方根据双方签订的合同约定的质量、数量标准验收合格后，供方提供相应金额的13%增值税专用发票以及结算所需的各类清单，需方收到并确认无误后向供方以电汇支付货款。</w:t>
      </w:r>
    </w:p>
    <w:p>
      <w:pPr>
        <w:spacing w:line="312" w:lineRule="auto"/>
        <w:rPr>
          <w:rFonts w:ascii="宋体" w:hAnsi="宋体"/>
          <w:color w:val="auto"/>
          <w:sz w:val="24"/>
        </w:rPr>
      </w:pPr>
      <w:r>
        <w:rPr>
          <w:rFonts w:hint="eastAsia" w:ascii="宋体" w:hAnsi="宋体"/>
          <w:color w:val="auto"/>
          <w:sz w:val="24"/>
        </w:rPr>
        <w:t>四、质量验收：以需方验收结果为准。详见附件1：《</w:t>
      </w:r>
      <w:r>
        <w:rPr>
          <w:rFonts w:hint="eastAsia" w:ascii="宋体" w:hAnsi="宋体"/>
          <w:color w:val="auto"/>
          <w:sz w:val="24"/>
          <w:lang w:eastAsia="zh-CN"/>
        </w:rPr>
        <w:t>聚氯化铝</w:t>
      </w:r>
      <w:r>
        <w:rPr>
          <w:rFonts w:hint="eastAsia" w:ascii="宋体" w:hAnsi="宋体"/>
          <w:color w:val="auto"/>
          <w:sz w:val="24"/>
        </w:rPr>
        <w:t>质量规范》；</w:t>
      </w:r>
    </w:p>
    <w:p>
      <w:pPr>
        <w:numPr>
          <w:ilvl w:val="0"/>
          <w:numId w:val="10"/>
        </w:numPr>
        <w:spacing w:line="312" w:lineRule="auto"/>
        <w:rPr>
          <w:rFonts w:ascii="宋体" w:hAnsi="宋体"/>
          <w:color w:val="auto"/>
          <w:sz w:val="24"/>
        </w:rPr>
      </w:pPr>
      <w:r>
        <w:rPr>
          <w:rFonts w:hint="eastAsia" w:ascii="宋体" w:hAnsi="宋体"/>
          <w:color w:val="auto"/>
          <w:sz w:val="24"/>
        </w:rPr>
        <w:t>数量验收以需方使用单位检验数量为准。</w:t>
      </w:r>
    </w:p>
    <w:p>
      <w:pPr>
        <w:spacing w:line="312" w:lineRule="auto"/>
        <w:rPr>
          <w:rFonts w:ascii="宋体" w:hAnsi="宋体"/>
          <w:color w:val="auto"/>
          <w:sz w:val="24"/>
        </w:rPr>
      </w:pPr>
      <w:r>
        <w:rPr>
          <w:rFonts w:hint="eastAsia" w:ascii="宋体" w:hAnsi="宋体"/>
          <w:color w:val="auto"/>
          <w:sz w:val="24"/>
        </w:rPr>
        <w:t>六、执行时间：2022年</w:t>
      </w:r>
      <w:r>
        <w:rPr>
          <w:rFonts w:hint="eastAsia" w:ascii="宋体" w:hAnsi="宋体"/>
          <w:color w:val="auto"/>
          <w:sz w:val="24"/>
          <w:lang w:val="en-US" w:eastAsia="zh-CN"/>
        </w:rPr>
        <w:t>4</w:t>
      </w:r>
      <w:r>
        <w:rPr>
          <w:rFonts w:hint="eastAsia" w:ascii="宋体" w:hAnsi="宋体"/>
          <w:color w:val="auto"/>
          <w:sz w:val="24"/>
        </w:rPr>
        <w:t>月1日</w:t>
      </w:r>
      <w:r>
        <w:rPr>
          <w:rFonts w:ascii="宋体" w:hAnsi="宋体"/>
          <w:color w:val="auto"/>
          <w:sz w:val="24"/>
        </w:rPr>
        <w:t>-20</w:t>
      </w:r>
      <w:r>
        <w:rPr>
          <w:rFonts w:hint="eastAsia" w:ascii="宋体" w:hAnsi="宋体"/>
          <w:color w:val="auto"/>
          <w:sz w:val="24"/>
        </w:rPr>
        <w:t>22年</w:t>
      </w:r>
      <w:r>
        <w:rPr>
          <w:rFonts w:hint="eastAsia" w:ascii="宋体" w:hAnsi="宋体"/>
          <w:color w:val="auto"/>
          <w:sz w:val="24"/>
          <w:lang w:val="en-US" w:eastAsia="zh-CN"/>
        </w:rPr>
        <w:t>6</w:t>
      </w:r>
      <w:r>
        <w:rPr>
          <w:rFonts w:hint="eastAsia" w:ascii="宋体" w:hAnsi="宋体"/>
          <w:color w:val="auto"/>
          <w:sz w:val="24"/>
        </w:rPr>
        <w:t>月3</w:t>
      </w:r>
      <w:r>
        <w:rPr>
          <w:rFonts w:hint="eastAsia" w:ascii="宋体" w:hAnsi="宋体"/>
          <w:color w:val="auto"/>
          <w:sz w:val="24"/>
          <w:lang w:val="en-US" w:eastAsia="zh-CN"/>
        </w:rPr>
        <w:t>0</w:t>
      </w:r>
      <w:r>
        <w:rPr>
          <w:rFonts w:hint="eastAsia" w:ascii="宋体" w:hAnsi="宋体"/>
          <w:color w:val="auto"/>
          <w:sz w:val="24"/>
        </w:rPr>
        <w:t>日，其它约定以双方签订合同为准。</w:t>
      </w: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lang w:eastAsia="zh-CN"/>
        </w:rPr>
        <w:t>2022-FHHY-聚氯化铝-0315</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u w:val="single"/>
        </w:rPr>
        <w:t xml:space="preserve"> （详见附件1“</w:t>
      </w:r>
      <w:r>
        <w:rPr>
          <w:rFonts w:hint="eastAsia" w:ascii="宋体" w:hAnsi="宋体"/>
          <w:color w:val="auto"/>
          <w:sz w:val="28"/>
          <w:szCs w:val="28"/>
          <w:u w:val="single"/>
          <w:lang w:eastAsia="zh-CN"/>
        </w:rPr>
        <w:t>聚氯化铝</w:t>
      </w:r>
      <w:r>
        <w:rPr>
          <w:rFonts w:hint="eastAsia" w:ascii="宋体" w:hAnsi="宋体"/>
          <w:color w:val="auto"/>
          <w:sz w:val="28"/>
          <w:szCs w:val="28"/>
          <w:u w:val="single"/>
        </w:rPr>
        <w:t>质量规范”）</w:t>
      </w:r>
      <w:bookmarkEnd w:id="1"/>
      <w:r>
        <w:rPr>
          <w:rFonts w:hint="eastAsia" w:ascii="宋体" w:hAnsi="宋体"/>
          <w:color w:val="auto"/>
          <w:sz w:val="28"/>
          <w:szCs w:val="28"/>
        </w:rPr>
        <w:t>；数量：</w:t>
      </w:r>
      <w:r>
        <w:rPr>
          <w:rFonts w:hint="eastAsia" w:ascii="宋体" w:hAnsi="宋体"/>
          <w:color w:val="auto"/>
          <w:sz w:val="28"/>
          <w:szCs w:val="28"/>
          <w:u w:val="single"/>
          <w:lang w:val="en-US" w:eastAsia="zh-CN"/>
        </w:rPr>
        <w:t>900吨</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eastAsia="zh-CN"/>
        </w:rPr>
        <w:t>聚氯化铝</w:t>
      </w:r>
      <w:r>
        <w:rPr>
          <w:rFonts w:hint="eastAsia" w:ascii="宋体" w:hAnsi="宋体"/>
          <w:color w:val="auto"/>
          <w:sz w:val="28"/>
          <w:szCs w:val="28"/>
          <w:u w:val="single"/>
        </w:rPr>
        <w:t>质量规范”）</w:t>
      </w:r>
      <w:r>
        <w:rPr>
          <w:rFonts w:hint="eastAsia" w:ascii="宋体" w:hAnsi="宋体"/>
          <w:color w:val="auto"/>
          <w:sz w:val="28"/>
          <w:szCs w:val="28"/>
        </w:rPr>
        <w:t>；数量：</w:t>
      </w:r>
      <w:r>
        <w:rPr>
          <w:rFonts w:hint="eastAsia" w:ascii="宋体" w:hAnsi="宋体"/>
          <w:color w:val="auto"/>
          <w:sz w:val="28"/>
          <w:szCs w:val="28"/>
          <w:u w:val="single"/>
          <w:lang w:val="en-US" w:eastAsia="zh-CN"/>
        </w:rPr>
        <w:t>900吨</w:t>
      </w:r>
      <w:r>
        <w:rPr>
          <w:rFonts w:hint="eastAsia" w:ascii="宋体" w:hAnsi="宋体"/>
          <w:color w:val="auto"/>
          <w:sz w:val="28"/>
          <w:szCs w:val="28"/>
        </w:rPr>
        <w:t>，含税送到单价：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/吨；合计总价：</w:t>
      </w:r>
      <w:r>
        <w:rPr>
          <w:rFonts w:hint="eastAsia" w:ascii="宋体" w:hAnsi="宋体"/>
          <w:color w:val="auto"/>
          <w:sz w:val="28"/>
          <w:szCs w:val="28"/>
          <w:u w:val="single"/>
        </w:rPr>
        <w:t xml:space="preserve">              </w:t>
      </w:r>
      <w:r>
        <w:rPr>
          <w:rFonts w:hint="eastAsia" w:ascii="宋体" w:hAnsi="宋体"/>
          <w:color w:val="auto"/>
          <w:sz w:val="28"/>
          <w:szCs w:val="28"/>
          <w:lang w:eastAsia="zh-CN"/>
        </w:rPr>
        <w:t>元</w:t>
      </w:r>
      <w:r>
        <w:rPr>
          <w:rFonts w:hint="eastAsia" w:ascii="宋体" w:hAnsi="宋体"/>
          <w:color w:val="auto"/>
          <w:sz w:val="28"/>
          <w:szCs w:val="28"/>
        </w:rPr>
        <w:t>,以汽运方式送到福建福海创石油化工有限公司，根据贵公司实际需求进度安排供货。</w:t>
      </w:r>
    </w:p>
    <w:p>
      <w:pPr>
        <w:ind w:firstLine="570"/>
        <w:rPr>
          <w:rFonts w:ascii="宋体"/>
          <w:color w:val="auto"/>
          <w:sz w:val="28"/>
          <w:szCs w:val="28"/>
        </w:rPr>
      </w:pPr>
      <w:r>
        <w:rPr>
          <w:rFonts w:hint="eastAsia" w:ascii="宋体" w:hAnsi="宋体"/>
          <w:color w:val="auto"/>
          <w:sz w:val="28"/>
          <w:szCs w:val="28"/>
        </w:rPr>
        <w:t>执行时间：2022年</w:t>
      </w:r>
      <w:r>
        <w:rPr>
          <w:rFonts w:hint="eastAsia" w:ascii="宋体" w:hAnsi="宋体"/>
          <w:color w:val="auto"/>
          <w:sz w:val="28"/>
          <w:szCs w:val="28"/>
          <w:lang w:val="en-US" w:eastAsia="zh-CN"/>
        </w:rPr>
        <w:t>4</w:t>
      </w:r>
      <w:r>
        <w:rPr>
          <w:rFonts w:hint="eastAsia" w:ascii="宋体" w:hAnsi="宋体"/>
          <w:color w:val="auto"/>
          <w:sz w:val="28"/>
          <w:szCs w:val="28"/>
        </w:rPr>
        <w:t>月1日</w:t>
      </w:r>
      <w:r>
        <w:rPr>
          <w:rFonts w:ascii="宋体" w:hAnsi="宋体"/>
          <w:color w:val="auto"/>
          <w:sz w:val="28"/>
          <w:szCs w:val="28"/>
        </w:rPr>
        <w:t>-</w:t>
      </w:r>
      <w:r>
        <w:rPr>
          <w:rFonts w:hint="eastAsia" w:ascii="宋体" w:hAnsi="宋体"/>
          <w:color w:val="auto"/>
          <w:sz w:val="28"/>
          <w:szCs w:val="28"/>
        </w:rPr>
        <w:t>2022年</w:t>
      </w:r>
      <w:r>
        <w:rPr>
          <w:rFonts w:hint="eastAsia" w:ascii="宋体" w:hAnsi="宋体"/>
          <w:color w:val="auto"/>
          <w:sz w:val="28"/>
          <w:szCs w:val="28"/>
          <w:lang w:val="en-US" w:eastAsia="zh-CN"/>
        </w:rPr>
        <w:t>6</w:t>
      </w:r>
      <w:r>
        <w:rPr>
          <w:rFonts w:hint="eastAsia" w:ascii="宋体" w:hAnsi="宋体"/>
          <w:color w:val="auto"/>
          <w:sz w:val="28"/>
          <w:szCs w:val="28"/>
        </w:rPr>
        <w:t>月3</w:t>
      </w:r>
      <w:r>
        <w:rPr>
          <w:rFonts w:hint="eastAsia" w:ascii="宋体" w:hAnsi="宋体"/>
          <w:color w:val="auto"/>
          <w:sz w:val="28"/>
          <w:szCs w:val="28"/>
          <w:lang w:val="en-US" w:eastAsia="zh-CN"/>
        </w:rPr>
        <w:t>0</w:t>
      </w:r>
      <w:r>
        <w:rPr>
          <w:rFonts w:hint="eastAsia" w:ascii="宋体" w:hAnsi="宋体"/>
          <w:color w:val="auto"/>
          <w:sz w:val="28"/>
          <w:szCs w:val="28"/>
        </w:rPr>
        <w:t>日</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ascii="宋体" w:hAnsi="宋体"/>
          <w:color w:val="auto"/>
          <w:sz w:val="28"/>
          <w:szCs w:val="28"/>
        </w:rPr>
      </w:pPr>
      <w:r>
        <w:rPr>
          <w:rFonts w:ascii="宋体" w:hAnsi="宋体"/>
          <w:color w:val="auto"/>
          <w:sz w:val="28"/>
          <w:szCs w:val="28"/>
        </w:rPr>
        <w:br w:type="page"/>
      </w:r>
    </w:p>
    <w:p>
      <w:pPr>
        <w:spacing w:line="360" w:lineRule="auto"/>
        <w:jc w:val="left"/>
        <w:rPr>
          <w:rFonts w:hint="eastAsia" w:ascii="宋体" w:hAnsi="宋体" w:cs="宋体"/>
          <w:b/>
          <w:color w:val="auto"/>
          <w:sz w:val="28"/>
          <w:szCs w:val="28"/>
        </w:rPr>
      </w:pPr>
      <w:r>
        <w:rPr>
          <w:rFonts w:hint="eastAsia" w:ascii="宋体" w:hAnsi="宋体" w:cs="宋体"/>
          <w:b/>
          <w:color w:val="auto"/>
          <w:sz w:val="28"/>
          <w:szCs w:val="28"/>
        </w:rPr>
        <w:t>附件1</w:t>
      </w:r>
    </w:p>
    <w:p>
      <w:pPr>
        <w:spacing w:before="0" w:line="460" w:lineRule="exact"/>
        <w:ind w:right="3888"/>
        <w:jc w:val="center"/>
        <w:rPr>
          <w:rFonts w:hint="eastAsia" w:ascii="宋体" w:hAnsi="宋体" w:eastAsia="宋体" w:cs="宋体"/>
          <w:color w:val="auto"/>
          <w:sz w:val="36"/>
          <w:szCs w:val="36"/>
          <w:lang w:val="en-US" w:eastAsia="zh-CN"/>
        </w:rPr>
      </w:pPr>
      <w:r>
        <w:rPr>
          <w:rFonts w:hint="eastAsia" w:ascii="宋体" w:hAnsi="宋体" w:cs="宋体"/>
          <w:color w:val="auto"/>
          <w:sz w:val="36"/>
          <w:szCs w:val="36"/>
          <w:lang w:val="en-US" w:eastAsia="zh-CN"/>
        </w:rPr>
        <w:t xml:space="preserve">                聚氯化铝</w:t>
      </w:r>
    </w:p>
    <w:p>
      <w:pPr>
        <w:pStyle w:val="3"/>
        <w:spacing w:before="289" w:line="261" w:lineRule="auto"/>
        <w:ind w:right="0"/>
        <w:jc w:val="left"/>
        <w:rPr>
          <w:color w:val="auto"/>
          <w:w w:val="99"/>
        </w:rPr>
      </w:pPr>
      <w:r>
        <w:rPr>
          <w:color w:val="auto"/>
        </w:rPr>
        <w:t>执行标准：</w:t>
      </w:r>
      <w:r>
        <w:rPr>
          <w:rFonts w:ascii="宋体" w:hAnsi="宋体" w:eastAsia="宋体" w:cs="宋体"/>
          <w:color w:val="auto"/>
        </w:rPr>
        <w:t>Q/FHC M101-2020</w:t>
      </w:r>
      <w:r>
        <w:rPr>
          <w:rFonts w:ascii="宋体" w:hAnsi="宋体" w:eastAsia="宋体" w:cs="宋体"/>
          <w:color w:val="auto"/>
          <w:spacing w:val="-1"/>
        </w:rPr>
        <w:t xml:space="preserve"> </w:t>
      </w:r>
      <w:r>
        <w:rPr>
          <w:color w:val="auto"/>
        </w:rPr>
        <w:t>聚氯化铝采购指标</w:t>
      </w:r>
      <w:r>
        <w:rPr>
          <w:color w:val="auto"/>
          <w:w w:val="99"/>
        </w:rPr>
        <w:t xml:space="preserve"> </w:t>
      </w:r>
    </w:p>
    <w:p>
      <w:pPr>
        <w:pStyle w:val="3"/>
        <w:spacing w:before="289" w:line="261" w:lineRule="auto"/>
        <w:ind w:right="0"/>
        <w:jc w:val="left"/>
        <w:rPr>
          <w:rFonts w:hint="eastAsia" w:eastAsia="宋体"/>
          <w:b w:val="0"/>
          <w:bCs w:val="0"/>
          <w:color w:val="auto"/>
          <w:lang w:val="en-US" w:eastAsia="zh-CN"/>
        </w:rPr>
      </w:pPr>
      <w:r>
        <w:rPr>
          <w:color w:val="auto"/>
        </w:rPr>
        <w:t>说明：</w:t>
      </w:r>
      <w:r>
        <w:rPr>
          <w:rFonts w:ascii="宋体" w:hAnsi="宋体" w:eastAsia="宋体" w:cs="宋体"/>
          <w:color w:val="auto"/>
        </w:rPr>
        <w:t>1</w:t>
      </w:r>
      <w:r>
        <w:rPr>
          <w:color w:val="auto"/>
        </w:rPr>
        <w:t>、液体聚氯化铝采购指标。用于</w:t>
      </w:r>
      <w:r>
        <w:rPr>
          <w:color w:val="auto"/>
          <w:spacing w:val="-73"/>
        </w:rPr>
        <w:t xml:space="preserve"> </w:t>
      </w:r>
      <w:r>
        <w:rPr>
          <w:rFonts w:ascii="宋体" w:hAnsi="宋体" w:eastAsia="宋体" w:cs="宋体"/>
          <w:color w:val="auto"/>
        </w:rPr>
        <w:t>PX</w:t>
      </w:r>
      <w:r>
        <w:rPr>
          <w:rFonts w:ascii="宋体" w:hAnsi="宋体" w:eastAsia="宋体" w:cs="宋体"/>
          <w:color w:val="auto"/>
          <w:spacing w:val="-72"/>
        </w:rPr>
        <w:t xml:space="preserve"> </w:t>
      </w:r>
      <w:r>
        <w:rPr>
          <w:color w:val="auto"/>
        </w:rPr>
        <w:t>厂和</w:t>
      </w:r>
      <w:r>
        <w:rPr>
          <w:color w:val="auto"/>
          <w:spacing w:val="-73"/>
        </w:rPr>
        <w:t xml:space="preserve"> </w:t>
      </w:r>
      <w:r>
        <w:rPr>
          <w:rFonts w:ascii="宋体" w:hAnsi="宋体" w:eastAsia="宋体" w:cs="宋体"/>
          <w:color w:val="auto"/>
        </w:rPr>
        <w:t>PTA</w:t>
      </w:r>
      <w:r>
        <w:rPr>
          <w:rFonts w:ascii="宋体" w:hAnsi="宋体" w:eastAsia="宋体" w:cs="宋体"/>
          <w:color w:val="auto"/>
          <w:spacing w:val="-72"/>
        </w:rPr>
        <w:t xml:space="preserve"> </w:t>
      </w:r>
      <w:r>
        <w:rPr>
          <w:color w:val="auto"/>
        </w:rPr>
        <w:t>厂水气团队（水处理</w:t>
      </w:r>
      <w:r>
        <w:rPr>
          <w:rFonts w:hint="eastAsia"/>
          <w:color w:val="auto"/>
          <w:lang w:val="en-US" w:eastAsia="zh-CN"/>
        </w:rPr>
        <w:t>剂）。</w:t>
      </w:r>
    </w:p>
    <w:p>
      <w:pPr>
        <w:pStyle w:val="3"/>
        <w:spacing w:line="240" w:lineRule="auto"/>
        <w:ind w:right="0" w:firstLine="720" w:firstLineChars="300"/>
        <w:jc w:val="left"/>
        <w:rPr>
          <w:b w:val="0"/>
          <w:bCs w:val="0"/>
          <w:color w:val="auto"/>
        </w:rPr>
      </w:pPr>
      <w:r>
        <w:rPr>
          <w:rFonts w:ascii="宋体" w:hAnsi="宋体" w:eastAsia="宋体" w:cs="宋体"/>
          <w:color w:val="auto"/>
        </w:rPr>
        <w:t>2</w:t>
      </w:r>
      <w:r>
        <w:rPr>
          <w:color w:val="auto"/>
        </w:rPr>
        <w:t xml:space="preserve">、参照标准 </w:t>
      </w:r>
      <w:r>
        <w:rPr>
          <w:rFonts w:ascii="宋体" w:hAnsi="宋体" w:eastAsia="宋体" w:cs="宋体"/>
          <w:color w:val="auto"/>
        </w:rPr>
        <w:t xml:space="preserve">GB/T 22627-2014 </w:t>
      </w:r>
      <w:r>
        <w:rPr>
          <w:color w:val="auto"/>
        </w:rPr>
        <w:t>水处理剂</w:t>
      </w:r>
      <w:r>
        <w:rPr>
          <w:color w:val="auto"/>
          <w:spacing w:val="-79"/>
        </w:rPr>
        <w:t xml:space="preserve"> </w:t>
      </w:r>
      <w:r>
        <w:rPr>
          <w:color w:val="auto"/>
        </w:rPr>
        <w:t>聚氯化铝。</w:t>
      </w:r>
    </w:p>
    <w:p>
      <w:pPr>
        <w:spacing w:before="2" w:line="240" w:lineRule="auto"/>
        <w:rPr>
          <w:rFonts w:ascii="宋体" w:hAnsi="宋体" w:eastAsia="宋体" w:cs="宋体"/>
          <w:b/>
          <w:bCs/>
          <w:color w:val="auto"/>
          <w:sz w:val="3"/>
          <w:szCs w:val="3"/>
        </w:rPr>
      </w:pPr>
    </w:p>
    <w:tbl>
      <w:tblPr>
        <w:tblStyle w:val="6"/>
        <w:tblW w:w="4999" w:type="pct"/>
        <w:tblInd w:w="0" w:type="dxa"/>
        <w:tblLayout w:type="autofit"/>
        <w:tblCellMar>
          <w:top w:w="0" w:type="dxa"/>
          <w:left w:w="0" w:type="dxa"/>
          <w:bottom w:w="0" w:type="dxa"/>
          <w:right w:w="0" w:type="dxa"/>
        </w:tblCellMar>
      </w:tblPr>
      <w:tblGrid>
        <w:gridCol w:w="2164"/>
        <w:gridCol w:w="797"/>
        <w:gridCol w:w="3709"/>
        <w:gridCol w:w="1644"/>
      </w:tblGrid>
      <w:tr>
        <w:tblPrEx>
          <w:tblCellMar>
            <w:top w:w="0" w:type="dxa"/>
            <w:left w:w="0" w:type="dxa"/>
            <w:bottom w:w="0" w:type="dxa"/>
            <w:right w:w="0" w:type="dxa"/>
          </w:tblCellMar>
        </w:tblPrEx>
        <w:trPr>
          <w:trHeight w:val="577" w:hRule="exact"/>
        </w:trPr>
        <w:tc>
          <w:tcPr>
            <w:tcW w:w="1780" w:type="pct"/>
            <w:gridSpan w:val="2"/>
            <w:tcBorders>
              <w:top w:val="single" w:color="000000" w:sz="4" w:space="0"/>
              <w:left w:val="single" w:color="000000" w:sz="4" w:space="0"/>
              <w:bottom w:val="single" w:color="000000" w:sz="4" w:space="0"/>
              <w:right w:val="single" w:color="000000" w:sz="4" w:space="0"/>
            </w:tcBorders>
            <w:shd w:val="clear" w:color="auto" w:fill="C1C1C1"/>
          </w:tcPr>
          <w:p>
            <w:pPr>
              <w:pStyle w:val="18"/>
              <w:spacing w:before="88" w:line="240" w:lineRule="auto"/>
              <w:ind w:left="1202" w:right="0"/>
              <w:jc w:val="left"/>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t>分析项目</w:t>
            </w:r>
          </w:p>
        </w:tc>
        <w:tc>
          <w:tcPr>
            <w:tcW w:w="2230" w:type="pct"/>
            <w:tcBorders>
              <w:top w:val="single" w:color="000000" w:sz="4" w:space="0"/>
              <w:left w:val="single" w:color="000000" w:sz="4" w:space="0"/>
              <w:bottom w:val="single" w:color="000000" w:sz="4" w:space="0"/>
              <w:right w:val="single" w:color="000000" w:sz="4" w:space="0"/>
            </w:tcBorders>
            <w:shd w:val="clear" w:color="auto" w:fill="C1C1C1"/>
          </w:tcPr>
          <w:p>
            <w:pPr>
              <w:pStyle w:val="18"/>
              <w:spacing w:before="88" w:line="240" w:lineRule="auto"/>
              <w:ind w:left="736" w:right="0"/>
              <w:jc w:val="left"/>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t>质量指标</w:t>
            </w:r>
          </w:p>
        </w:tc>
        <w:tc>
          <w:tcPr>
            <w:tcW w:w="988" w:type="pct"/>
            <w:tcBorders>
              <w:top w:val="single" w:color="000000" w:sz="4" w:space="0"/>
              <w:left w:val="single" w:color="000000" w:sz="4" w:space="0"/>
              <w:bottom w:val="single" w:color="000000" w:sz="4" w:space="0"/>
              <w:right w:val="single" w:color="000000" w:sz="4" w:space="0"/>
            </w:tcBorders>
            <w:shd w:val="clear" w:color="auto" w:fill="C1C1C1"/>
          </w:tcPr>
          <w:p>
            <w:pPr>
              <w:pStyle w:val="18"/>
              <w:spacing w:before="88" w:line="240" w:lineRule="auto"/>
              <w:ind w:left="844" w:right="0"/>
              <w:jc w:val="left"/>
              <w:rPr>
                <w:rFonts w:hint="eastAsia" w:ascii="宋体" w:hAnsi="宋体" w:eastAsia="宋体" w:cs="宋体"/>
                <w:i w:val="0"/>
                <w:iCs w:val="0"/>
                <w:color w:val="auto"/>
                <w:sz w:val="24"/>
                <w:szCs w:val="24"/>
              </w:rPr>
            </w:pPr>
            <w:r>
              <w:rPr>
                <w:rFonts w:hint="eastAsia" w:ascii="宋体" w:hAnsi="宋体" w:eastAsia="宋体" w:cs="宋体"/>
                <w:b/>
                <w:bCs/>
                <w:i w:val="0"/>
                <w:iCs w:val="0"/>
                <w:color w:val="auto"/>
                <w:sz w:val="24"/>
                <w:szCs w:val="24"/>
              </w:rPr>
              <w:t>试验方法</w:t>
            </w:r>
          </w:p>
        </w:tc>
      </w:tr>
      <w:tr>
        <w:trPr>
          <w:trHeight w:val="1633" w:hRule="exact"/>
        </w:trPr>
        <w:tc>
          <w:tcPr>
            <w:tcW w:w="1780" w:type="pct"/>
            <w:gridSpan w:val="2"/>
            <w:tcBorders>
              <w:top w:val="single" w:color="000000" w:sz="4" w:space="0"/>
              <w:left w:val="single" w:color="000000" w:sz="4" w:space="0"/>
              <w:bottom w:val="single" w:color="000000" w:sz="4" w:space="0"/>
              <w:right w:val="single" w:color="000000" w:sz="4" w:space="0"/>
            </w:tcBorders>
          </w:tcPr>
          <w:p>
            <w:pPr>
              <w:pStyle w:val="18"/>
              <w:spacing w:before="10" w:line="240" w:lineRule="auto"/>
              <w:ind w:right="0"/>
              <w:jc w:val="left"/>
              <w:rPr>
                <w:rFonts w:hint="eastAsia" w:ascii="宋体" w:hAnsi="宋体" w:eastAsia="宋体" w:cs="宋体"/>
                <w:b/>
                <w:bCs/>
                <w:i w:val="0"/>
                <w:iCs w:val="0"/>
                <w:color w:val="auto"/>
                <w:sz w:val="20"/>
                <w:szCs w:val="20"/>
              </w:rPr>
            </w:pPr>
          </w:p>
          <w:p>
            <w:pPr>
              <w:pStyle w:val="18"/>
              <w:spacing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外观</w:t>
            </w:r>
          </w:p>
        </w:tc>
        <w:tc>
          <w:tcPr>
            <w:tcW w:w="2230" w:type="pct"/>
            <w:tcBorders>
              <w:top w:val="single" w:color="000000" w:sz="4" w:space="0"/>
              <w:left w:val="single" w:color="000000" w:sz="4" w:space="0"/>
              <w:bottom w:val="single" w:color="000000" w:sz="4" w:space="0"/>
              <w:right w:val="single" w:color="000000" w:sz="4" w:space="0"/>
            </w:tcBorders>
          </w:tcPr>
          <w:p>
            <w:pPr>
              <w:pStyle w:val="18"/>
              <w:spacing w:line="273" w:lineRule="exact"/>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pacing w:val="9"/>
                <w:sz w:val="24"/>
                <w:szCs w:val="24"/>
              </w:rPr>
              <w:t>无色、浅灰色、淡黄</w:t>
            </w:r>
          </w:p>
          <w:p>
            <w:pPr>
              <w:pStyle w:val="18"/>
              <w:spacing w:before="31" w:line="310" w:lineRule="exact"/>
              <w:ind w:left="103" w:right="89"/>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pacing w:val="9"/>
                <w:sz w:val="24"/>
                <w:szCs w:val="24"/>
              </w:rPr>
              <w:t xml:space="preserve">色或棕褐色透明或半 </w:t>
            </w:r>
            <w:r>
              <w:rPr>
                <w:rFonts w:hint="eastAsia" w:ascii="宋体" w:hAnsi="宋体" w:eastAsia="宋体" w:cs="宋体"/>
                <w:i w:val="0"/>
                <w:iCs w:val="0"/>
                <w:color w:val="auto"/>
                <w:sz w:val="24"/>
                <w:szCs w:val="24"/>
              </w:rPr>
              <w:t>透明液体，无沉淀</w:t>
            </w:r>
          </w:p>
        </w:tc>
        <w:tc>
          <w:tcPr>
            <w:tcW w:w="988" w:type="pct"/>
            <w:tcBorders>
              <w:top w:val="single" w:color="000000" w:sz="4" w:space="0"/>
              <w:left w:val="single" w:color="000000" w:sz="4" w:space="0"/>
              <w:bottom w:val="single" w:color="000000" w:sz="4" w:space="0"/>
              <w:right w:val="single" w:color="000000" w:sz="4" w:space="0"/>
            </w:tcBorders>
          </w:tcPr>
          <w:p>
            <w:pPr>
              <w:pStyle w:val="18"/>
              <w:spacing w:before="10" w:line="240" w:lineRule="auto"/>
              <w:ind w:right="0"/>
              <w:jc w:val="left"/>
              <w:rPr>
                <w:rFonts w:hint="eastAsia" w:ascii="宋体" w:hAnsi="宋体" w:eastAsia="宋体" w:cs="宋体"/>
                <w:b/>
                <w:bCs/>
                <w:i w:val="0"/>
                <w:iCs w:val="0"/>
                <w:color w:val="auto"/>
                <w:sz w:val="20"/>
                <w:szCs w:val="20"/>
              </w:rPr>
            </w:pPr>
          </w:p>
          <w:p>
            <w:pPr>
              <w:pStyle w:val="18"/>
              <w:spacing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目测</w:t>
            </w:r>
          </w:p>
        </w:tc>
      </w:tr>
      <w:tr>
        <w:tblPrEx>
          <w:tblCellMar>
            <w:top w:w="0" w:type="dxa"/>
            <w:left w:w="0" w:type="dxa"/>
            <w:bottom w:w="0" w:type="dxa"/>
            <w:right w:w="0" w:type="dxa"/>
          </w:tblCellMar>
        </w:tblPrEx>
        <w:trPr>
          <w:trHeight w:val="576" w:hRule="exact"/>
        </w:trPr>
        <w:tc>
          <w:tcPr>
            <w:tcW w:w="1301" w:type="pct"/>
            <w:tcBorders>
              <w:top w:val="single" w:color="000000" w:sz="4" w:space="0"/>
              <w:left w:val="single" w:color="000000" w:sz="4" w:space="0"/>
              <w:bottom w:val="single" w:color="000000" w:sz="4" w:space="0"/>
              <w:right w:val="nil"/>
            </w:tcBorders>
          </w:tcPr>
          <w:p>
            <w:pPr>
              <w:pStyle w:val="18"/>
              <w:spacing w:before="86"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position w:val="2"/>
                <w:sz w:val="24"/>
                <w:szCs w:val="24"/>
              </w:rPr>
              <w:t>氧化铝（以</w:t>
            </w:r>
            <w:r>
              <w:rPr>
                <w:rFonts w:hint="eastAsia" w:ascii="宋体" w:hAnsi="宋体" w:eastAsia="宋体" w:cs="宋体"/>
                <w:i w:val="0"/>
                <w:iCs w:val="0"/>
                <w:color w:val="auto"/>
                <w:spacing w:val="-61"/>
                <w:position w:val="2"/>
                <w:sz w:val="24"/>
                <w:szCs w:val="24"/>
              </w:rPr>
              <w:t xml:space="preserve"> </w:t>
            </w:r>
            <w:r>
              <w:rPr>
                <w:rFonts w:hint="eastAsia" w:ascii="宋体" w:hAnsi="宋体" w:eastAsia="宋体" w:cs="宋体"/>
                <w:i w:val="0"/>
                <w:iCs w:val="0"/>
                <w:color w:val="auto"/>
                <w:spacing w:val="4"/>
                <w:position w:val="2"/>
                <w:sz w:val="24"/>
                <w:szCs w:val="24"/>
              </w:rPr>
              <w:t>Al</w:t>
            </w:r>
            <w:r>
              <w:rPr>
                <w:rFonts w:hint="eastAsia" w:ascii="宋体" w:hAnsi="宋体" w:eastAsia="宋体" w:cs="宋体"/>
                <w:i w:val="0"/>
                <w:iCs w:val="0"/>
                <w:color w:val="auto"/>
                <w:spacing w:val="4"/>
                <w:sz w:val="12"/>
                <w:szCs w:val="12"/>
              </w:rPr>
              <w:t>2</w:t>
            </w:r>
            <w:r>
              <w:rPr>
                <w:rFonts w:hint="eastAsia" w:ascii="宋体" w:hAnsi="宋体" w:eastAsia="宋体" w:cs="宋体"/>
                <w:i w:val="0"/>
                <w:iCs w:val="0"/>
                <w:color w:val="auto"/>
                <w:spacing w:val="-49"/>
                <w:sz w:val="12"/>
                <w:szCs w:val="12"/>
              </w:rPr>
              <w:t xml:space="preserve"> </w:t>
            </w:r>
            <w:r>
              <w:rPr>
                <w:rFonts w:hint="eastAsia" w:ascii="宋体" w:hAnsi="宋体" w:eastAsia="宋体" w:cs="宋体"/>
                <w:i w:val="0"/>
                <w:iCs w:val="0"/>
                <w:color w:val="auto"/>
                <w:spacing w:val="6"/>
                <w:position w:val="2"/>
                <w:sz w:val="24"/>
                <w:szCs w:val="24"/>
              </w:rPr>
              <w:t>O</w:t>
            </w:r>
            <w:r>
              <w:rPr>
                <w:rFonts w:hint="eastAsia" w:ascii="宋体" w:hAnsi="宋体" w:eastAsia="宋体" w:cs="宋体"/>
                <w:i w:val="0"/>
                <w:iCs w:val="0"/>
                <w:color w:val="auto"/>
                <w:spacing w:val="6"/>
                <w:sz w:val="12"/>
                <w:szCs w:val="12"/>
              </w:rPr>
              <w:t>3</w:t>
            </w:r>
            <w:r>
              <w:rPr>
                <w:rFonts w:hint="eastAsia" w:ascii="宋体" w:hAnsi="宋体" w:eastAsia="宋体" w:cs="宋体"/>
                <w:i w:val="0"/>
                <w:iCs w:val="0"/>
                <w:color w:val="auto"/>
                <w:spacing w:val="-45"/>
                <w:sz w:val="12"/>
                <w:szCs w:val="12"/>
              </w:rPr>
              <w:t xml:space="preserve"> </w:t>
            </w:r>
            <w:r>
              <w:rPr>
                <w:rFonts w:hint="eastAsia" w:ascii="宋体" w:hAnsi="宋体" w:eastAsia="宋体" w:cs="宋体"/>
                <w:i w:val="0"/>
                <w:iCs w:val="0"/>
                <w:color w:val="auto"/>
                <w:position w:val="2"/>
                <w:sz w:val="24"/>
                <w:szCs w:val="24"/>
              </w:rPr>
              <w:t>计）</w:t>
            </w:r>
            <w:r>
              <w:rPr>
                <w:rFonts w:hint="eastAsia" w:ascii="宋体" w:hAnsi="宋体" w:eastAsia="宋体" w:cs="宋体"/>
                <w:i w:val="0"/>
                <w:iCs w:val="0"/>
                <w:color w:val="auto"/>
                <w:position w:val="2"/>
                <w:sz w:val="21"/>
                <w:szCs w:val="21"/>
              </w:rPr>
              <w:t>w</w:t>
            </w:r>
            <w:r>
              <w:rPr>
                <w:rFonts w:hint="eastAsia" w:ascii="宋体" w:hAnsi="宋体" w:eastAsia="宋体" w:cs="宋体"/>
                <w:i w:val="0"/>
                <w:iCs w:val="0"/>
                <w:color w:val="auto"/>
                <w:position w:val="2"/>
                <w:sz w:val="24"/>
                <w:szCs w:val="24"/>
              </w:rPr>
              <w:t>/%</w:t>
            </w:r>
          </w:p>
        </w:tc>
        <w:tc>
          <w:tcPr>
            <w:tcW w:w="479" w:type="pct"/>
            <w:tcBorders>
              <w:top w:val="single" w:color="000000" w:sz="4" w:space="0"/>
              <w:left w:val="nil"/>
              <w:bottom w:val="single" w:color="000000" w:sz="4" w:space="0"/>
              <w:right w:val="single" w:color="000000" w:sz="4" w:space="0"/>
            </w:tcBorders>
          </w:tcPr>
          <w:p>
            <w:pPr>
              <w:pStyle w:val="18"/>
              <w:spacing w:before="87" w:line="240" w:lineRule="auto"/>
              <w:ind w:left="551"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w:t>
            </w:r>
          </w:p>
        </w:tc>
        <w:tc>
          <w:tcPr>
            <w:tcW w:w="2230"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10.0</w:t>
            </w:r>
          </w:p>
        </w:tc>
        <w:tc>
          <w:tcPr>
            <w:tcW w:w="988"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22627</w:t>
            </w:r>
          </w:p>
        </w:tc>
      </w:tr>
      <w:tr>
        <w:trPr>
          <w:trHeight w:val="578" w:hRule="exact"/>
        </w:trPr>
        <w:tc>
          <w:tcPr>
            <w:tcW w:w="1780" w:type="pct"/>
            <w:gridSpan w:val="2"/>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盐基度</w:t>
            </w:r>
            <w:r>
              <w:rPr>
                <w:rFonts w:hint="eastAsia" w:ascii="宋体" w:hAnsi="宋体" w:eastAsia="宋体" w:cs="宋体"/>
                <w:i w:val="0"/>
                <w:iCs w:val="0"/>
                <w:color w:val="auto"/>
                <w:spacing w:val="-62"/>
                <w:sz w:val="24"/>
                <w:szCs w:val="24"/>
              </w:rPr>
              <w:t xml:space="preserve"> </w:t>
            </w:r>
            <w:r>
              <w:rPr>
                <w:rFonts w:hint="eastAsia" w:ascii="宋体" w:hAnsi="宋体" w:eastAsia="宋体" w:cs="宋体"/>
                <w:i w:val="0"/>
                <w:iCs w:val="0"/>
                <w:color w:val="auto"/>
                <w:sz w:val="21"/>
                <w:szCs w:val="21"/>
              </w:rPr>
              <w:t>w</w:t>
            </w:r>
            <w:r>
              <w:rPr>
                <w:rFonts w:hint="eastAsia" w:ascii="宋体" w:hAnsi="宋体" w:eastAsia="宋体" w:cs="宋体"/>
                <w:i w:val="0"/>
                <w:iCs w:val="0"/>
                <w:color w:val="auto"/>
                <w:sz w:val="24"/>
                <w:szCs w:val="24"/>
              </w:rPr>
              <w:t>/%</w:t>
            </w:r>
          </w:p>
        </w:tc>
        <w:tc>
          <w:tcPr>
            <w:tcW w:w="2230"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30.0～95.0</w:t>
            </w:r>
          </w:p>
        </w:tc>
        <w:tc>
          <w:tcPr>
            <w:tcW w:w="988"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22627</w:t>
            </w:r>
          </w:p>
        </w:tc>
      </w:tr>
      <w:tr>
        <w:tblPrEx>
          <w:tblCellMar>
            <w:top w:w="0" w:type="dxa"/>
            <w:left w:w="0" w:type="dxa"/>
            <w:bottom w:w="0" w:type="dxa"/>
            <w:right w:w="0" w:type="dxa"/>
          </w:tblCellMar>
        </w:tblPrEx>
        <w:trPr>
          <w:trHeight w:val="576" w:hRule="exact"/>
        </w:trPr>
        <w:tc>
          <w:tcPr>
            <w:tcW w:w="1780" w:type="pct"/>
            <w:gridSpan w:val="2"/>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pH</w:t>
            </w:r>
            <w:r>
              <w:rPr>
                <w:rFonts w:hint="eastAsia" w:ascii="宋体" w:hAnsi="宋体" w:eastAsia="宋体" w:cs="宋体"/>
                <w:i w:val="0"/>
                <w:iCs w:val="0"/>
                <w:color w:val="auto"/>
                <w:spacing w:val="-60"/>
                <w:sz w:val="24"/>
                <w:szCs w:val="24"/>
              </w:rPr>
              <w:t xml:space="preserve"> </w:t>
            </w:r>
            <w:r>
              <w:rPr>
                <w:rFonts w:hint="eastAsia" w:ascii="宋体" w:hAnsi="宋体" w:eastAsia="宋体" w:cs="宋体"/>
                <w:i w:val="0"/>
                <w:iCs w:val="0"/>
                <w:color w:val="auto"/>
                <w:sz w:val="24"/>
                <w:szCs w:val="24"/>
              </w:rPr>
              <w:t>值（10g/L</w:t>
            </w:r>
            <w:r>
              <w:rPr>
                <w:rFonts w:hint="eastAsia" w:ascii="宋体" w:hAnsi="宋体" w:eastAsia="宋体" w:cs="宋体"/>
                <w:i w:val="0"/>
                <w:iCs w:val="0"/>
                <w:color w:val="auto"/>
                <w:spacing w:val="-60"/>
                <w:sz w:val="24"/>
                <w:szCs w:val="24"/>
              </w:rPr>
              <w:t xml:space="preserve"> </w:t>
            </w:r>
            <w:r>
              <w:rPr>
                <w:rFonts w:hint="eastAsia" w:ascii="宋体" w:hAnsi="宋体" w:eastAsia="宋体" w:cs="宋体"/>
                <w:i w:val="0"/>
                <w:iCs w:val="0"/>
                <w:color w:val="auto"/>
                <w:sz w:val="24"/>
                <w:szCs w:val="24"/>
              </w:rPr>
              <w:t>水溶液）</w:t>
            </w:r>
          </w:p>
        </w:tc>
        <w:tc>
          <w:tcPr>
            <w:tcW w:w="2230"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3.5～5.0</w:t>
            </w:r>
          </w:p>
        </w:tc>
        <w:tc>
          <w:tcPr>
            <w:tcW w:w="988" w:type="pct"/>
            <w:tcBorders>
              <w:top w:val="single" w:color="000000" w:sz="4" w:space="0"/>
              <w:left w:val="single" w:color="000000" w:sz="4" w:space="0"/>
              <w:bottom w:val="single" w:color="000000" w:sz="4" w:space="0"/>
              <w:right w:val="single" w:color="000000" w:sz="4" w:space="0"/>
            </w:tcBorders>
          </w:tcPr>
          <w:p>
            <w:pPr>
              <w:pStyle w:val="18"/>
              <w:spacing w:before="87"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22627</w:t>
            </w:r>
          </w:p>
        </w:tc>
      </w:tr>
      <w:tr>
        <w:tblPrEx>
          <w:tblCellMar>
            <w:top w:w="0" w:type="dxa"/>
            <w:left w:w="0" w:type="dxa"/>
            <w:bottom w:w="0" w:type="dxa"/>
            <w:right w:w="0" w:type="dxa"/>
          </w:tblCellMar>
        </w:tblPrEx>
        <w:trPr>
          <w:trHeight w:val="578" w:hRule="exact"/>
        </w:trPr>
        <w:tc>
          <w:tcPr>
            <w:tcW w:w="1301" w:type="pct"/>
            <w:tcBorders>
              <w:top w:val="single" w:color="000000" w:sz="4" w:space="0"/>
              <w:left w:val="single" w:color="000000" w:sz="4" w:space="0"/>
              <w:bottom w:val="single" w:color="000000" w:sz="4" w:space="0"/>
              <w:right w:val="nil"/>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不溶物</w:t>
            </w:r>
            <w:r>
              <w:rPr>
                <w:rFonts w:hint="eastAsia" w:ascii="宋体" w:hAnsi="宋体" w:eastAsia="宋体" w:cs="宋体"/>
                <w:i w:val="0"/>
                <w:iCs w:val="0"/>
                <w:color w:val="auto"/>
                <w:spacing w:val="-62"/>
                <w:sz w:val="24"/>
                <w:szCs w:val="24"/>
              </w:rPr>
              <w:t xml:space="preserve"> </w:t>
            </w:r>
            <w:r>
              <w:rPr>
                <w:rFonts w:hint="eastAsia" w:ascii="宋体" w:hAnsi="宋体" w:eastAsia="宋体" w:cs="宋体"/>
                <w:i w:val="0"/>
                <w:iCs w:val="0"/>
                <w:color w:val="auto"/>
                <w:sz w:val="21"/>
                <w:szCs w:val="21"/>
              </w:rPr>
              <w:t>w</w:t>
            </w:r>
            <w:r>
              <w:rPr>
                <w:rFonts w:hint="eastAsia" w:ascii="宋体" w:hAnsi="宋体" w:eastAsia="宋体" w:cs="宋体"/>
                <w:i w:val="0"/>
                <w:iCs w:val="0"/>
                <w:color w:val="auto"/>
                <w:sz w:val="24"/>
                <w:szCs w:val="24"/>
              </w:rPr>
              <w:t>/%</w:t>
            </w:r>
          </w:p>
        </w:tc>
        <w:tc>
          <w:tcPr>
            <w:tcW w:w="479" w:type="pct"/>
            <w:tcBorders>
              <w:top w:val="single" w:color="000000" w:sz="4" w:space="0"/>
              <w:left w:val="nil"/>
              <w:bottom w:val="single" w:color="000000" w:sz="4" w:space="0"/>
              <w:right w:val="single" w:color="000000" w:sz="4" w:space="0"/>
            </w:tcBorders>
          </w:tcPr>
          <w:p>
            <w:pPr>
              <w:pStyle w:val="18"/>
              <w:spacing w:before="89" w:line="240" w:lineRule="auto"/>
              <w:ind w:left="551"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szCs w:val="24"/>
              </w:rPr>
              <w:t>≤</w:t>
            </w:r>
          </w:p>
        </w:tc>
        <w:tc>
          <w:tcPr>
            <w:tcW w:w="2230"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0.4</w:t>
            </w:r>
          </w:p>
        </w:tc>
        <w:tc>
          <w:tcPr>
            <w:tcW w:w="988" w:type="pct"/>
            <w:tcBorders>
              <w:top w:val="single" w:color="000000" w:sz="4" w:space="0"/>
              <w:left w:val="single" w:color="000000" w:sz="4" w:space="0"/>
              <w:bottom w:val="single" w:color="000000" w:sz="4" w:space="0"/>
              <w:right w:val="single" w:color="000000" w:sz="4" w:space="0"/>
            </w:tcBorders>
          </w:tcPr>
          <w:p>
            <w:pPr>
              <w:pStyle w:val="18"/>
              <w:spacing w:before="89" w:line="240" w:lineRule="auto"/>
              <w:ind w:left="103" w:right="0"/>
              <w:jc w:val="left"/>
              <w:rPr>
                <w:rFonts w:hint="eastAsia" w:ascii="宋体" w:hAnsi="宋体" w:eastAsia="宋体" w:cs="宋体"/>
                <w:i w:val="0"/>
                <w:iCs w:val="0"/>
                <w:color w:val="auto"/>
                <w:sz w:val="24"/>
                <w:szCs w:val="24"/>
              </w:rPr>
            </w:pPr>
            <w:r>
              <w:rPr>
                <w:rFonts w:hint="eastAsia" w:ascii="宋体" w:hAnsi="宋体" w:eastAsia="宋体" w:cs="宋体"/>
                <w:i w:val="0"/>
                <w:iCs w:val="0"/>
                <w:color w:val="auto"/>
                <w:sz w:val="24"/>
              </w:rPr>
              <w:t>GB/T 22596</w:t>
            </w:r>
          </w:p>
        </w:tc>
      </w:tr>
    </w:tbl>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5C9141"/>
    <w:multiLevelType w:val="singleLevel"/>
    <w:tmpl w:val="AD5C9141"/>
    <w:lvl w:ilvl="0" w:tentative="0">
      <w:start w:val="6"/>
      <w:numFmt w:val="decimal"/>
      <w:lvlText w:val="%1."/>
      <w:lvlJc w:val="left"/>
      <w:pPr>
        <w:tabs>
          <w:tab w:val="left" w:pos="312"/>
        </w:tabs>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0"/>
  </w:num>
  <w:num w:numId="8">
    <w:abstractNumId w:val="1"/>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36AD9"/>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4575E"/>
    <w:rsid w:val="00E67462"/>
    <w:rsid w:val="00EB32DE"/>
    <w:rsid w:val="00EB6925"/>
    <w:rsid w:val="00EC5BC5"/>
    <w:rsid w:val="00EE4E5B"/>
    <w:rsid w:val="00EF050E"/>
    <w:rsid w:val="00EF5988"/>
    <w:rsid w:val="00F139DE"/>
    <w:rsid w:val="00F43CBE"/>
    <w:rsid w:val="00F564F6"/>
    <w:rsid w:val="00F66DB4"/>
    <w:rsid w:val="00F7626A"/>
    <w:rsid w:val="01AB4154"/>
    <w:rsid w:val="021D391B"/>
    <w:rsid w:val="024C0384"/>
    <w:rsid w:val="032A3140"/>
    <w:rsid w:val="032D15FD"/>
    <w:rsid w:val="032F04D8"/>
    <w:rsid w:val="03E5328D"/>
    <w:rsid w:val="042207A6"/>
    <w:rsid w:val="046E24C0"/>
    <w:rsid w:val="04A21245"/>
    <w:rsid w:val="05CE4353"/>
    <w:rsid w:val="064416AA"/>
    <w:rsid w:val="06964B9A"/>
    <w:rsid w:val="06A3708D"/>
    <w:rsid w:val="077632ED"/>
    <w:rsid w:val="090A2F1F"/>
    <w:rsid w:val="09691543"/>
    <w:rsid w:val="0A58515B"/>
    <w:rsid w:val="0A5E0098"/>
    <w:rsid w:val="0B4A13AC"/>
    <w:rsid w:val="0B4B49E0"/>
    <w:rsid w:val="0B8E420A"/>
    <w:rsid w:val="0F8C0A60"/>
    <w:rsid w:val="0FA364D6"/>
    <w:rsid w:val="0FE34343"/>
    <w:rsid w:val="1115075C"/>
    <w:rsid w:val="111E4EA7"/>
    <w:rsid w:val="11715093"/>
    <w:rsid w:val="118A38B5"/>
    <w:rsid w:val="12837C22"/>
    <w:rsid w:val="12CF31F9"/>
    <w:rsid w:val="12F210E4"/>
    <w:rsid w:val="1387789C"/>
    <w:rsid w:val="13B74194"/>
    <w:rsid w:val="15033088"/>
    <w:rsid w:val="15101A52"/>
    <w:rsid w:val="15BF2E22"/>
    <w:rsid w:val="15C31A47"/>
    <w:rsid w:val="16172661"/>
    <w:rsid w:val="16270A04"/>
    <w:rsid w:val="178C691A"/>
    <w:rsid w:val="184968FC"/>
    <w:rsid w:val="19465D33"/>
    <w:rsid w:val="1A2F6DF9"/>
    <w:rsid w:val="1AFD0A64"/>
    <w:rsid w:val="1AFD66F4"/>
    <w:rsid w:val="1B233A0E"/>
    <w:rsid w:val="1B927AE6"/>
    <w:rsid w:val="1C8261A0"/>
    <w:rsid w:val="1D0113C9"/>
    <w:rsid w:val="1D05782C"/>
    <w:rsid w:val="1DD33EEF"/>
    <w:rsid w:val="1E3264F3"/>
    <w:rsid w:val="1EBD3B62"/>
    <w:rsid w:val="1F02429F"/>
    <w:rsid w:val="207E3421"/>
    <w:rsid w:val="2090579A"/>
    <w:rsid w:val="20AF45AF"/>
    <w:rsid w:val="21BD6DBB"/>
    <w:rsid w:val="21C5033C"/>
    <w:rsid w:val="22003DA2"/>
    <w:rsid w:val="221A3813"/>
    <w:rsid w:val="22521DD3"/>
    <w:rsid w:val="23464916"/>
    <w:rsid w:val="237B661E"/>
    <w:rsid w:val="238B4E5F"/>
    <w:rsid w:val="23BF50C8"/>
    <w:rsid w:val="247C7073"/>
    <w:rsid w:val="2496308D"/>
    <w:rsid w:val="258C0EF7"/>
    <w:rsid w:val="25CB1E8B"/>
    <w:rsid w:val="264054F6"/>
    <w:rsid w:val="27CF60B0"/>
    <w:rsid w:val="27E234BC"/>
    <w:rsid w:val="280475E2"/>
    <w:rsid w:val="29085DCB"/>
    <w:rsid w:val="29B80978"/>
    <w:rsid w:val="29D17C38"/>
    <w:rsid w:val="2A53751F"/>
    <w:rsid w:val="2AC11AAE"/>
    <w:rsid w:val="2BE04E2E"/>
    <w:rsid w:val="2C3328C4"/>
    <w:rsid w:val="2D2B1461"/>
    <w:rsid w:val="2E12514F"/>
    <w:rsid w:val="2E351771"/>
    <w:rsid w:val="2F210D6D"/>
    <w:rsid w:val="30071591"/>
    <w:rsid w:val="30275B42"/>
    <w:rsid w:val="30985912"/>
    <w:rsid w:val="30E60CDF"/>
    <w:rsid w:val="312B136C"/>
    <w:rsid w:val="31CE1FAB"/>
    <w:rsid w:val="320B394B"/>
    <w:rsid w:val="322E5C7B"/>
    <w:rsid w:val="328F6057"/>
    <w:rsid w:val="32A75EF3"/>
    <w:rsid w:val="33413E8A"/>
    <w:rsid w:val="35010EDF"/>
    <w:rsid w:val="35327452"/>
    <w:rsid w:val="35FC498E"/>
    <w:rsid w:val="36215A7E"/>
    <w:rsid w:val="36417C8D"/>
    <w:rsid w:val="366436B8"/>
    <w:rsid w:val="36D729BC"/>
    <w:rsid w:val="37B92C76"/>
    <w:rsid w:val="37ED7F2D"/>
    <w:rsid w:val="38A94FE7"/>
    <w:rsid w:val="39137A71"/>
    <w:rsid w:val="391433B1"/>
    <w:rsid w:val="39657C8F"/>
    <w:rsid w:val="3969383E"/>
    <w:rsid w:val="39B95E18"/>
    <w:rsid w:val="3A4967DD"/>
    <w:rsid w:val="3A9A2FE2"/>
    <w:rsid w:val="3AD63889"/>
    <w:rsid w:val="3B293E28"/>
    <w:rsid w:val="3B532B57"/>
    <w:rsid w:val="3BD776DA"/>
    <w:rsid w:val="3C1E5B01"/>
    <w:rsid w:val="3C333506"/>
    <w:rsid w:val="3C656913"/>
    <w:rsid w:val="3CFE624A"/>
    <w:rsid w:val="3D321A44"/>
    <w:rsid w:val="3D475A63"/>
    <w:rsid w:val="3FEE6A4A"/>
    <w:rsid w:val="401F30A7"/>
    <w:rsid w:val="40831E81"/>
    <w:rsid w:val="409057BD"/>
    <w:rsid w:val="41186225"/>
    <w:rsid w:val="416F5968"/>
    <w:rsid w:val="418324AC"/>
    <w:rsid w:val="41A04200"/>
    <w:rsid w:val="41CC2295"/>
    <w:rsid w:val="42257F84"/>
    <w:rsid w:val="422D3D55"/>
    <w:rsid w:val="42515CBA"/>
    <w:rsid w:val="42680DF6"/>
    <w:rsid w:val="42DC0DDB"/>
    <w:rsid w:val="43482915"/>
    <w:rsid w:val="4351032C"/>
    <w:rsid w:val="43E44E60"/>
    <w:rsid w:val="44236751"/>
    <w:rsid w:val="448C78B8"/>
    <w:rsid w:val="44BC0EC5"/>
    <w:rsid w:val="44CB1108"/>
    <w:rsid w:val="45C94E39"/>
    <w:rsid w:val="464B079B"/>
    <w:rsid w:val="468077A8"/>
    <w:rsid w:val="468E6ECD"/>
    <w:rsid w:val="46DE637E"/>
    <w:rsid w:val="46EA56DB"/>
    <w:rsid w:val="476C6251"/>
    <w:rsid w:val="479C322F"/>
    <w:rsid w:val="47A978DA"/>
    <w:rsid w:val="48081467"/>
    <w:rsid w:val="48295411"/>
    <w:rsid w:val="493B7D23"/>
    <w:rsid w:val="497038CD"/>
    <w:rsid w:val="49730A66"/>
    <w:rsid w:val="499A66C3"/>
    <w:rsid w:val="4B4A24A6"/>
    <w:rsid w:val="4C204881"/>
    <w:rsid w:val="4C82133E"/>
    <w:rsid w:val="4D143DFB"/>
    <w:rsid w:val="4DFD6F1C"/>
    <w:rsid w:val="4E0062C6"/>
    <w:rsid w:val="4EF66C8E"/>
    <w:rsid w:val="4F477AED"/>
    <w:rsid w:val="4F4E1D81"/>
    <w:rsid w:val="4F8270FB"/>
    <w:rsid w:val="4FA265C1"/>
    <w:rsid w:val="4FAF2ACB"/>
    <w:rsid w:val="507E72C1"/>
    <w:rsid w:val="508235A6"/>
    <w:rsid w:val="50DE33C7"/>
    <w:rsid w:val="51092694"/>
    <w:rsid w:val="512F6EC2"/>
    <w:rsid w:val="513403C7"/>
    <w:rsid w:val="516E62F9"/>
    <w:rsid w:val="518B38CB"/>
    <w:rsid w:val="51D913DA"/>
    <w:rsid w:val="51E26721"/>
    <w:rsid w:val="529A77A5"/>
    <w:rsid w:val="53A82B52"/>
    <w:rsid w:val="53ED6794"/>
    <w:rsid w:val="542657F3"/>
    <w:rsid w:val="542A50A2"/>
    <w:rsid w:val="542D5399"/>
    <w:rsid w:val="54B059A5"/>
    <w:rsid w:val="55E907A3"/>
    <w:rsid w:val="56195634"/>
    <w:rsid w:val="56325307"/>
    <w:rsid w:val="5659474A"/>
    <w:rsid w:val="56732B47"/>
    <w:rsid w:val="58BD4EAA"/>
    <w:rsid w:val="58DA20C8"/>
    <w:rsid w:val="59B64E5B"/>
    <w:rsid w:val="59C41AA5"/>
    <w:rsid w:val="5A3F3998"/>
    <w:rsid w:val="5A772BA7"/>
    <w:rsid w:val="5B510FBA"/>
    <w:rsid w:val="5B5E370D"/>
    <w:rsid w:val="5B713427"/>
    <w:rsid w:val="5C8B0489"/>
    <w:rsid w:val="5CCB321D"/>
    <w:rsid w:val="5D3038FF"/>
    <w:rsid w:val="5E3D7D48"/>
    <w:rsid w:val="5E5B4B1E"/>
    <w:rsid w:val="5EDC2437"/>
    <w:rsid w:val="5F4856E5"/>
    <w:rsid w:val="5F683B20"/>
    <w:rsid w:val="5F6A1B70"/>
    <w:rsid w:val="602048CF"/>
    <w:rsid w:val="603C6B90"/>
    <w:rsid w:val="60E930B4"/>
    <w:rsid w:val="61034DA8"/>
    <w:rsid w:val="61391E0A"/>
    <w:rsid w:val="61716ECA"/>
    <w:rsid w:val="62402F3E"/>
    <w:rsid w:val="62772330"/>
    <w:rsid w:val="628F10F4"/>
    <w:rsid w:val="64383FFB"/>
    <w:rsid w:val="651A5C4B"/>
    <w:rsid w:val="653116C9"/>
    <w:rsid w:val="653762FE"/>
    <w:rsid w:val="653A164C"/>
    <w:rsid w:val="65B31BCC"/>
    <w:rsid w:val="66067D9A"/>
    <w:rsid w:val="667E7566"/>
    <w:rsid w:val="68031777"/>
    <w:rsid w:val="68885CD3"/>
    <w:rsid w:val="68F0116E"/>
    <w:rsid w:val="69085BD7"/>
    <w:rsid w:val="6960653E"/>
    <w:rsid w:val="6B9A256C"/>
    <w:rsid w:val="6BA373FF"/>
    <w:rsid w:val="6BEB1E5F"/>
    <w:rsid w:val="6C4957FC"/>
    <w:rsid w:val="6D3E0CE6"/>
    <w:rsid w:val="6D6E3F95"/>
    <w:rsid w:val="6D7A3B1D"/>
    <w:rsid w:val="6DB151E2"/>
    <w:rsid w:val="6DBF39F3"/>
    <w:rsid w:val="6E80463B"/>
    <w:rsid w:val="6F457884"/>
    <w:rsid w:val="6F8C7070"/>
    <w:rsid w:val="6FE70842"/>
    <w:rsid w:val="6FF53E70"/>
    <w:rsid w:val="701A2DBF"/>
    <w:rsid w:val="703B4D4B"/>
    <w:rsid w:val="70642ED3"/>
    <w:rsid w:val="70763652"/>
    <w:rsid w:val="70A15996"/>
    <w:rsid w:val="713779A1"/>
    <w:rsid w:val="72BE4D6E"/>
    <w:rsid w:val="72CC3F86"/>
    <w:rsid w:val="72E24278"/>
    <w:rsid w:val="73293EB8"/>
    <w:rsid w:val="73843B37"/>
    <w:rsid w:val="73AA2AB8"/>
    <w:rsid w:val="73AC377C"/>
    <w:rsid w:val="7448595E"/>
    <w:rsid w:val="745139F7"/>
    <w:rsid w:val="74A25915"/>
    <w:rsid w:val="751C4F54"/>
    <w:rsid w:val="75706FDE"/>
    <w:rsid w:val="75940C8C"/>
    <w:rsid w:val="75C940ED"/>
    <w:rsid w:val="76D15FF3"/>
    <w:rsid w:val="77550A67"/>
    <w:rsid w:val="77A85270"/>
    <w:rsid w:val="77B83BB6"/>
    <w:rsid w:val="77BA2D12"/>
    <w:rsid w:val="7856695F"/>
    <w:rsid w:val="7866427B"/>
    <w:rsid w:val="78F35BBD"/>
    <w:rsid w:val="78F732D8"/>
    <w:rsid w:val="790F1791"/>
    <w:rsid w:val="79775EC9"/>
    <w:rsid w:val="7A37206F"/>
    <w:rsid w:val="7A7E5483"/>
    <w:rsid w:val="7B6B48A2"/>
    <w:rsid w:val="7B7027FC"/>
    <w:rsid w:val="7B740622"/>
    <w:rsid w:val="7B994BC5"/>
    <w:rsid w:val="7C152DD9"/>
    <w:rsid w:val="7C520931"/>
    <w:rsid w:val="7D34076E"/>
    <w:rsid w:val="7D53381A"/>
    <w:rsid w:val="7E9B2B28"/>
    <w:rsid w:val="7EB15D7C"/>
    <w:rsid w:val="7EB910BD"/>
    <w:rsid w:val="7FF85C1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character" w:styleId="8">
    <w:name w:val="FollowedHyperlink"/>
    <w:basedOn w:val="7"/>
    <w:semiHidden/>
    <w:unhideWhenUsed/>
    <w:qFormat/>
    <w:uiPriority w:val="0"/>
    <w:rPr>
      <w:color w:val="0091F2"/>
      <w:sz w:val="18"/>
      <w:szCs w:val="18"/>
      <w:u w:val="none"/>
    </w:rPr>
  </w:style>
  <w:style w:type="character" w:styleId="9">
    <w:name w:val="Hyperlink"/>
    <w:basedOn w:val="7"/>
    <w:semiHidden/>
    <w:unhideWhenUsed/>
    <w:qFormat/>
    <w:uiPriority w:val="0"/>
    <w:rPr>
      <w:color w:val="0091F2"/>
      <w:sz w:val="18"/>
      <w:szCs w:val="18"/>
      <w:u w:val="none"/>
    </w:rPr>
  </w:style>
  <w:style w:type="character" w:styleId="10">
    <w:name w:val="HTML Code"/>
    <w:basedOn w:val="7"/>
    <w:semiHidden/>
    <w:unhideWhenUsed/>
    <w:qFormat/>
    <w:uiPriority w:val="0"/>
    <w:rPr>
      <w:rFonts w:ascii="Courier New" w:hAnsi="Courier New"/>
      <w:sz w:val="20"/>
    </w:rPr>
  </w:style>
  <w:style w:type="paragraph" w:customStyle="1" w:styleId="11">
    <w:name w:val="列表段落1"/>
    <w:basedOn w:val="1"/>
    <w:qFormat/>
    <w:uiPriority w:val="34"/>
    <w:pPr>
      <w:spacing w:before="206"/>
      <w:ind w:left="959" w:hanging="361"/>
    </w:pPr>
  </w:style>
  <w:style w:type="character" w:customStyle="1" w:styleId="12">
    <w:name w:val="cd_message"/>
    <w:basedOn w:val="7"/>
    <w:qFormat/>
    <w:uiPriority w:val="0"/>
  </w:style>
  <w:style w:type="paragraph" w:customStyle="1" w:styleId="13">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4">
    <w:name w:val="列出段落1"/>
    <w:basedOn w:val="1"/>
    <w:qFormat/>
    <w:uiPriority w:val="99"/>
    <w:pPr>
      <w:ind w:firstLine="420" w:firstLineChars="200"/>
    </w:pPr>
  </w:style>
  <w:style w:type="character" w:customStyle="1" w:styleId="15">
    <w:name w:val="页眉 字符"/>
    <w:basedOn w:val="7"/>
    <w:link w:val="5"/>
    <w:qFormat/>
    <w:uiPriority w:val="0"/>
    <w:rPr>
      <w:kern w:val="2"/>
      <w:sz w:val="18"/>
      <w:szCs w:val="18"/>
    </w:rPr>
  </w:style>
  <w:style w:type="character" w:customStyle="1" w:styleId="16">
    <w:name w:val="common_over_page_btn1"/>
    <w:basedOn w:val="7"/>
    <w:qFormat/>
    <w:uiPriority w:val="0"/>
  </w:style>
  <w:style w:type="character" w:customStyle="1" w:styleId="17">
    <w:name w:val="common_over_page_btn2"/>
    <w:basedOn w:val="7"/>
    <w:qFormat/>
    <w:uiPriority w:val="0"/>
    <w:rPr>
      <w:color w:val="999999"/>
      <w:bdr w:val="single" w:color="D4D4D4" w:sz="6" w:space="0"/>
      <w:shd w:val="clear" w:color="auto" w:fill="FFFFFF"/>
    </w:rPr>
  </w:style>
  <w:style w:type="paragraph" w:customStyle="1" w:styleId="18">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11</TotalTime>
  <ScaleCrop>false</ScaleCrop>
  <LinksUpToDate>false</LinksUpToDate>
  <CharactersWithSpaces>5441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Luky Li</cp:lastModifiedBy>
  <dcterms:modified xsi:type="dcterms:W3CDTF">2022-03-15T07:29:39Z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0CCB45109742491C9608F5CFE7FDA0D2</vt:lpwstr>
  </property>
</Properties>
</file>