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ascii="微软雅黑" w:eastAsia="微软雅黑"/>
          <w:b/>
          <w:sz w:val="52"/>
          <w:szCs w:val="22"/>
          <w:u w:val="single"/>
          <w:lang w:eastAsia="zh-CN"/>
        </w:rPr>
        <w:t>PTA厂区2022年V-522容器</w:t>
      </w:r>
      <w:r>
        <w:rPr>
          <w:rFonts w:hint="eastAsia" w:ascii="微软雅黑" w:eastAsia="微软雅黑"/>
          <w:b/>
          <w:sz w:val="52"/>
          <w:szCs w:val="22"/>
          <w:u w:val="single"/>
          <w:lang w:eastAsia="zh-CN"/>
        </w:rPr>
        <w:t>改造项目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FHC-PTCG20220309002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二〇二二年三月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b/>
          <w:bCs/>
          <w:sz w:val="32"/>
          <w:lang w:eastAsia="zh-CN"/>
        </w:rPr>
        <w:t>PTA厂区2022年V-522容器</w:t>
      </w:r>
      <w:r>
        <w:rPr>
          <w:rFonts w:hint="eastAsia"/>
          <w:b/>
          <w:bCs/>
          <w:sz w:val="32"/>
          <w:lang w:eastAsia="zh-CN"/>
        </w:rPr>
        <w:t>改造项目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color w:val="000000" w:themeColor="text1"/>
          <w:u w:val="single"/>
          <w:lang w:eastAsia="zh-CN"/>
        </w:rPr>
        <w:t>PTA厂区2022年V-522容器</w:t>
      </w:r>
      <w:r>
        <w:rPr>
          <w:rFonts w:hint="eastAsia"/>
          <w:color w:val="000000" w:themeColor="text1"/>
          <w:u w:val="single"/>
          <w:lang w:eastAsia="zh-CN"/>
        </w:rPr>
        <w:t>改造项目</w:t>
      </w:r>
      <w:r>
        <w:rPr>
          <w:color w:val="000000" w:themeColor="text1"/>
          <w:u w:val="single"/>
          <w:lang w:eastAsia="zh-CN"/>
        </w:rPr>
        <w:t>采购</w:t>
      </w:r>
      <w:r>
        <w:rPr>
          <w:rFonts w:hint="eastAsia"/>
          <w:color w:val="000000" w:themeColor="text1"/>
          <w:u w:val="single"/>
          <w:lang w:eastAsia="zh-CN"/>
        </w:rPr>
        <w:t>（项目编号：FHC-PTCG20220309002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sz w:val="24"/>
          <w:szCs w:val="24"/>
          <w:lang w:eastAsia="zh-CN"/>
        </w:rPr>
        <w:t>PTA厂区2022年V-522容器</w:t>
      </w:r>
      <w:r>
        <w:rPr>
          <w:rFonts w:hint="eastAsia"/>
          <w:sz w:val="24"/>
          <w:szCs w:val="24"/>
          <w:lang w:eastAsia="zh-CN"/>
        </w:rPr>
        <w:t>改造项目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比选项目说明：详见发包说明及清单。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比选控制价：60</w:t>
      </w:r>
      <w:r>
        <w:rPr>
          <w:sz w:val="24"/>
          <w:szCs w:val="24"/>
          <w:lang w:eastAsia="zh-CN"/>
        </w:rPr>
        <w:t>万元</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4.参选人具备三类及以上压力容器的设计、修复资质，具备现场独立的热处理能力。</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5.参选人焊接工艺评定能够覆盖</w:t>
      </w:r>
      <w:r>
        <w:rPr>
          <w:color w:val="000000" w:themeColor="text1"/>
          <w:sz w:val="24"/>
          <w:szCs w:val="24"/>
          <w:lang w:eastAsia="zh-CN"/>
        </w:rPr>
        <w:t>Q345R</w:t>
      </w:r>
      <w:r>
        <w:rPr>
          <w:rFonts w:hint="eastAsia"/>
          <w:color w:val="000000" w:themeColor="text1"/>
          <w:sz w:val="24"/>
          <w:szCs w:val="24"/>
          <w:lang w:eastAsia="zh-CN"/>
        </w:rPr>
        <w:t>以及304L材质。</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6.参选人应事先应充分了解施工条件和现场实际，提前制定应对方案措施；</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7.参选人需有PTA压力容器设计修复业绩并提供相关合同及发票；</w:t>
      </w:r>
    </w:p>
    <w:p>
      <w:pPr>
        <w:tabs>
          <w:tab w:val="left" w:pos="709"/>
        </w:tabs>
        <w:spacing w:line="360" w:lineRule="auto"/>
        <w:ind w:firstLine="480" w:firstLineChars="200"/>
        <w:rPr>
          <w:lang w:eastAsia="zh-CN"/>
        </w:rPr>
      </w:pPr>
      <w:r>
        <w:rPr>
          <w:rFonts w:hint="eastAsia"/>
          <w:sz w:val="24"/>
          <w:szCs w:val="24"/>
          <w:lang w:val="en-US" w:eastAsia="zh-CN"/>
        </w:rPr>
        <w:t>8</w:t>
      </w:r>
      <w:r>
        <w:rPr>
          <w:rFonts w:hint="eastAsia"/>
          <w:sz w:val="24"/>
          <w:szCs w:val="24"/>
          <w:lang w:eastAsia="zh-CN"/>
        </w:rPr>
        <w:t>.参选人需由法定代表人直接参选，不接受法人委托代理人参选。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（3）业绩证明。</w:t>
      </w:r>
    </w:p>
    <w:p>
      <w:pPr>
        <w:tabs>
          <w:tab w:val="left" w:pos="709"/>
        </w:tabs>
        <w:spacing w:line="360" w:lineRule="auto"/>
        <w:ind w:firstLine="482" w:firstLineChars="200"/>
        <w:rPr>
          <w:b/>
          <w:bCs/>
          <w:color w:val="000000" w:themeColor="text1"/>
          <w:sz w:val="24"/>
          <w:szCs w:val="24"/>
          <w:lang w:eastAsia="zh-CN"/>
        </w:rPr>
      </w:pPr>
      <w:r>
        <w:rPr>
          <w:rFonts w:hint="eastAsia"/>
          <w:b/>
          <w:bCs/>
          <w:color w:val="000000" w:themeColor="text1"/>
          <w:sz w:val="24"/>
          <w:szCs w:val="24"/>
          <w:lang w:eastAsia="zh-CN"/>
        </w:rPr>
        <w:t>报名邮件需写明邮件主题</w:t>
      </w:r>
      <w:r>
        <w:rPr>
          <w:b/>
          <w:bCs/>
          <w:color w:val="000000" w:themeColor="text1"/>
          <w:u w:val="single"/>
          <w:lang w:eastAsia="zh-CN"/>
        </w:rPr>
        <w:t>“福海创PTA厂区2022年V-522容器</w:t>
      </w:r>
      <w:r>
        <w:rPr>
          <w:rFonts w:hint="eastAsia"/>
          <w:b/>
          <w:bCs/>
          <w:color w:val="000000" w:themeColor="text1"/>
          <w:u w:val="single"/>
          <w:lang w:eastAsia="zh-CN"/>
        </w:rPr>
        <w:t>改造项目</w:t>
      </w:r>
      <w:r>
        <w:rPr>
          <w:b/>
          <w:bCs/>
          <w:color w:val="000000" w:themeColor="text1"/>
          <w:sz w:val="24"/>
          <w:szCs w:val="24"/>
          <w:lang w:eastAsia="zh-CN"/>
        </w:rPr>
        <w:t>”，邮件备注联系人及联系电话。</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报名成功后，参选人须与现场技术人员进行前期技术交流并勘察现场，技术交流后经比选人技术人员确认合格并签订技术</w:t>
      </w:r>
      <w:r>
        <w:rPr>
          <w:rFonts w:hint="eastAsia"/>
          <w:color w:val="000000" w:themeColor="text1"/>
          <w:sz w:val="24"/>
          <w:szCs w:val="24"/>
          <w:lang w:val="en-US" w:eastAsia="zh-CN"/>
        </w:rPr>
        <w:t>标</w:t>
      </w:r>
      <w:r>
        <w:rPr>
          <w:rFonts w:hint="eastAsia"/>
          <w:color w:val="000000" w:themeColor="text1"/>
          <w:sz w:val="24"/>
          <w:szCs w:val="24"/>
          <w:lang w:eastAsia="zh-CN"/>
        </w:rPr>
        <w:t>书后，参选人方可参与后续比选，未进行报名和技术交流确认，未签订技术</w:t>
      </w:r>
      <w:r>
        <w:rPr>
          <w:rFonts w:hint="eastAsia"/>
          <w:color w:val="000000" w:themeColor="text1"/>
          <w:sz w:val="24"/>
          <w:szCs w:val="24"/>
          <w:lang w:val="en-US" w:eastAsia="zh-CN"/>
        </w:rPr>
        <w:t>标书</w:t>
      </w:r>
      <w:r>
        <w:rPr>
          <w:rFonts w:hint="eastAsia"/>
          <w:color w:val="000000" w:themeColor="text1"/>
          <w:sz w:val="24"/>
          <w:szCs w:val="24"/>
          <w:lang w:eastAsia="zh-CN"/>
        </w:rPr>
        <w:t>的参选人不能参加比选。技术交流及技术</w:t>
      </w:r>
      <w:r>
        <w:rPr>
          <w:rFonts w:hint="eastAsia"/>
          <w:color w:val="000000" w:themeColor="text1"/>
          <w:sz w:val="24"/>
          <w:szCs w:val="24"/>
          <w:lang w:val="en-US" w:eastAsia="zh-CN"/>
        </w:rPr>
        <w:t>标书</w:t>
      </w:r>
      <w:r>
        <w:rPr>
          <w:rFonts w:hint="eastAsia"/>
          <w:color w:val="000000" w:themeColor="text1"/>
          <w:sz w:val="24"/>
          <w:szCs w:val="24"/>
          <w:lang w:eastAsia="zh-CN"/>
        </w:rPr>
        <w:t>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rFonts w:hint="eastAsia"/>
          <w:lang w:eastAsia="zh-CN"/>
        </w:rPr>
      </w:pPr>
      <w:r>
        <w:rPr>
          <w:rFonts w:hint="eastAsia"/>
          <w:b/>
          <w:snapToGrid w:val="0"/>
          <w:color w:val="000000" w:themeColor="text1"/>
          <w:spacing w:val="8"/>
          <w:sz w:val="24"/>
          <w:szCs w:val="24"/>
          <w:lang w:eastAsia="zh-CN"/>
        </w:rPr>
        <w:t>五、参选保证金</w:t>
      </w:r>
    </w:p>
    <w:p>
      <w:pPr>
        <w:pStyle w:val="20"/>
        <w:spacing w:line="360" w:lineRule="auto"/>
        <w:ind w:right="121"/>
        <w:jc w:val="both"/>
        <w:rPr>
          <w:color w:val="000000" w:themeColor="text1"/>
          <w:lang w:eastAsia="zh-CN"/>
        </w:rPr>
      </w:pPr>
      <w:r>
        <w:rPr>
          <w:rFonts w:hint="eastAsia"/>
          <w:lang w:eastAsia="zh-CN"/>
        </w:rPr>
        <w:t xml:space="preserve">    参选单位应缴纳参选保证金，保证金</w:t>
      </w:r>
      <w:r>
        <w:rPr>
          <w:rFonts w:hint="eastAsia"/>
          <w:color w:val="000000" w:themeColor="text1"/>
          <w:lang w:eastAsia="zh-CN"/>
        </w:rPr>
        <w:t>金额12000元整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注明用途：PTA厂区</w:t>
      </w:r>
      <w:r>
        <w:rPr>
          <w:color w:val="000000" w:themeColor="text1"/>
          <w:lang w:eastAsia="zh-CN"/>
        </w:rPr>
        <w:t>2022年V-522容器改造项目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商务联系人：戴小玉 电话：15259629857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2年3月</w:t>
      </w:r>
      <w:r>
        <w:rPr>
          <w:rFonts w:hint="eastAsia"/>
          <w:color w:val="000000" w:themeColor="text1"/>
          <w:sz w:val="24"/>
          <w:szCs w:val="24"/>
          <w:lang w:val="en-US" w:eastAsia="zh-CN"/>
        </w:rPr>
        <w:t>30</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w:t>
      </w:r>
      <w:r>
        <w:rPr>
          <w:color w:val="000000" w:themeColor="text1"/>
          <w:lang w:eastAsia="zh-CN"/>
        </w:rPr>
        <w:t>PTA厂区2022年V-522容器</w:t>
      </w:r>
      <w:r>
        <w:rPr>
          <w:rFonts w:hint="eastAsia"/>
          <w:color w:val="000000" w:themeColor="text1"/>
          <w:lang w:eastAsia="zh-CN"/>
        </w:rPr>
        <w:t>改造项目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color w:val="000000" w:themeColor="text1"/>
          <w:lang w:eastAsia="zh-CN"/>
        </w:rPr>
      </w:pPr>
      <w:r>
        <w:rPr>
          <w:rFonts w:hint="eastAsia"/>
          <w:color w:val="000000" w:themeColor="text1"/>
          <w:lang w:eastAsia="zh-CN"/>
        </w:rPr>
        <w:t xml:space="preserve">    4.项目工作范围及技术要求：见附件发包说明及清单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lang w:eastAsia="zh-CN"/>
        </w:rPr>
        <w:t>黄国涵</w:t>
      </w:r>
      <w:r>
        <w:rPr>
          <w:rFonts w:hint="eastAsia"/>
          <w:lang w:eastAsia="zh-CN"/>
        </w:rPr>
        <w:t xml:space="preserve"> </w:t>
      </w:r>
      <w:r>
        <w:rPr>
          <w:lang w:eastAsia="zh-CN"/>
        </w:rPr>
        <w:t>0596-6088567</w:t>
      </w:r>
      <w:r>
        <w:rPr>
          <w:rFonts w:hint="eastAsia"/>
          <w:lang w:eastAsia="zh-CN"/>
        </w:rPr>
        <w:t>/</w:t>
      </w:r>
      <w:r>
        <w:rPr>
          <w:lang w:eastAsia="zh-CN"/>
        </w:rPr>
        <w:t>13459297831</w:t>
      </w:r>
      <w:r>
        <w:rPr>
          <w:rFonts w:hint="eastAsia"/>
          <w:lang w:eastAsia="zh-CN"/>
        </w:rPr>
        <w:t>，</w:t>
      </w:r>
      <w:r>
        <w:rPr>
          <w:lang w:eastAsia="zh-CN"/>
        </w:rPr>
        <w:t>ghhuang@fhcpec.com.cn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4.参选人具备三类及以上压力容器的设计、修复资质，具备现场独立的热处理能力。</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5.参选人焊接工艺评定能够覆盖</w:t>
      </w:r>
      <w:r>
        <w:rPr>
          <w:color w:val="000000" w:themeColor="text1"/>
          <w:sz w:val="24"/>
          <w:szCs w:val="24"/>
          <w:lang w:eastAsia="zh-CN"/>
        </w:rPr>
        <w:t>Q345R</w:t>
      </w:r>
      <w:r>
        <w:rPr>
          <w:rFonts w:hint="eastAsia"/>
          <w:color w:val="000000" w:themeColor="text1"/>
          <w:sz w:val="24"/>
          <w:szCs w:val="24"/>
          <w:lang w:eastAsia="zh-CN"/>
        </w:rPr>
        <w:t>以及304L材质。</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6.参选人应事先应充分了解施工条件和现场实际，提前制定应对方案措施；</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7.参选人需有PTA压力容器设计修复业绩并提供相关合同及发票；</w:t>
      </w:r>
    </w:p>
    <w:p>
      <w:pPr>
        <w:tabs>
          <w:tab w:val="left" w:pos="709"/>
        </w:tabs>
        <w:spacing w:line="360" w:lineRule="auto"/>
        <w:ind w:firstLine="480" w:firstLineChars="200"/>
        <w:rPr>
          <w:lang w:eastAsia="zh-CN"/>
        </w:rPr>
      </w:pPr>
      <w:r>
        <w:rPr>
          <w:rFonts w:hint="eastAsia"/>
          <w:sz w:val="24"/>
          <w:szCs w:val="24"/>
          <w:lang w:val="en-US" w:eastAsia="zh-CN"/>
        </w:rPr>
        <w:t>8</w:t>
      </w:r>
      <w:r>
        <w:rPr>
          <w:rFonts w:hint="eastAsia"/>
          <w:sz w:val="24"/>
          <w:szCs w:val="24"/>
          <w:lang w:eastAsia="zh-CN"/>
        </w:rPr>
        <w:t>.参选人需由法定代表人直接参选，不接受法人委托代理人参选。</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金额12000元整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注明用途：PTA厂区</w:t>
      </w:r>
      <w:r>
        <w:rPr>
          <w:color w:val="000000" w:themeColor="text1"/>
          <w:lang w:eastAsia="zh-CN"/>
        </w:rPr>
        <w:t>2022年V-522容器改造项目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4.</w:t>
      </w:r>
      <w:r>
        <w:rPr>
          <w:rFonts w:hint="eastAsia" w:asciiTheme="majorEastAsia" w:hAnsiTheme="majorEastAsia" w:eastAsiaTheme="majorEastAsia"/>
          <w:lang w:eastAsia="zh-CN"/>
        </w:rPr>
        <w:t>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bookmarkStart w:id="4" w:name="_GoBack"/>
      <w:bookmarkEnd w:id="4"/>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w:t>
      </w:r>
      <w:r>
        <w:rPr>
          <w:rFonts w:hint="eastAsia"/>
          <w:b w:val="0"/>
          <w:color w:val="000000" w:themeColor="text1"/>
          <w:lang w:val="en-US" w:eastAsia="zh-CN"/>
        </w:rPr>
        <w:t>标书</w:t>
      </w:r>
      <w:r>
        <w:rPr>
          <w:rFonts w:hint="eastAsia"/>
          <w:b w:val="0"/>
          <w:color w:val="000000" w:themeColor="text1"/>
          <w:lang w:eastAsia="zh-CN"/>
        </w:rPr>
        <w:t>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rFonts w:hint="eastAsia"/>
          <w:b w:val="0"/>
          <w:color w:val="000000" w:themeColor="text1"/>
          <w:spacing w:val="4"/>
          <w:lang w:val="en-US" w:eastAsia="zh-CN"/>
        </w:rPr>
        <w:t>三楼设备及服务团队</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本项目设置最高控制价60万元整（含税包干总价）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b/>
          <w:color w:val="000000"/>
          <w:sz w:val="44"/>
          <w:szCs w:val="44"/>
          <w:lang w:eastAsia="zh-CN"/>
        </w:rPr>
        <w:t>PTA厂区2022年V-522容器</w:t>
      </w:r>
      <w:r>
        <w:rPr>
          <w:rFonts w:hint="eastAsia"/>
          <w:b/>
          <w:color w:val="000000"/>
          <w:sz w:val="44"/>
          <w:szCs w:val="44"/>
          <w:lang w:eastAsia="zh-CN"/>
        </w:rPr>
        <w:t>改造项目</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28"/>
        <w:gridCol w:w="1656"/>
        <w:gridCol w:w="1516"/>
        <w:gridCol w:w="680"/>
        <w:gridCol w:w="832"/>
        <w:gridCol w:w="807"/>
        <w:gridCol w:w="9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0" w:type="dxa"/>
          </w:tcPr>
          <w:p>
            <w:pPr>
              <w:widowControl/>
              <w:autoSpaceDE/>
              <w:autoSpaceDN/>
              <w:jc w:val="center"/>
              <w:rPr>
                <w:lang w:eastAsia="zh-CN"/>
              </w:rPr>
            </w:pPr>
            <w:r>
              <w:rPr>
                <w:lang w:eastAsia="zh-CN"/>
              </w:rPr>
              <w:t>序号</w:t>
            </w:r>
          </w:p>
        </w:tc>
        <w:tc>
          <w:tcPr>
            <w:tcW w:w="1528" w:type="dxa"/>
          </w:tcPr>
          <w:p>
            <w:pPr>
              <w:widowControl/>
              <w:autoSpaceDE/>
              <w:autoSpaceDN/>
              <w:jc w:val="center"/>
              <w:rPr>
                <w:lang w:eastAsia="zh-CN"/>
              </w:rPr>
            </w:pPr>
            <w:r>
              <w:rPr>
                <w:lang w:eastAsia="zh-CN"/>
              </w:rPr>
              <w:t>物品名称</w:t>
            </w:r>
          </w:p>
        </w:tc>
        <w:tc>
          <w:tcPr>
            <w:tcW w:w="1656" w:type="dxa"/>
          </w:tcPr>
          <w:p>
            <w:pPr>
              <w:widowControl/>
              <w:autoSpaceDE/>
              <w:autoSpaceDN/>
              <w:jc w:val="center"/>
              <w:rPr>
                <w:lang w:eastAsia="zh-CN"/>
              </w:rPr>
            </w:pPr>
            <w:r>
              <w:rPr>
                <w:lang w:eastAsia="zh-CN"/>
              </w:rPr>
              <w:t>规格</w:t>
            </w:r>
          </w:p>
        </w:tc>
        <w:tc>
          <w:tcPr>
            <w:tcW w:w="1516" w:type="dxa"/>
          </w:tcPr>
          <w:p>
            <w:pPr>
              <w:widowControl/>
              <w:autoSpaceDE/>
              <w:autoSpaceDN/>
              <w:jc w:val="center"/>
              <w:rPr>
                <w:lang w:eastAsia="zh-CN"/>
              </w:rPr>
            </w:pPr>
            <w:r>
              <w:rPr>
                <w:rFonts w:hint="eastAsia"/>
                <w:lang w:eastAsia="zh-CN"/>
              </w:rPr>
              <w:t>型号</w:t>
            </w:r>
          </w:p>
        </w:tc>
        <w:tc>
          <w:tcPr>
            <w:tcW w:w="680" w:type="dxa"/>
          </w:tcPr>
          <w:p>
            <w:pPr>
              <w:widowControl/>
              <w:autoSpaceDE/>
              <w:autoSpaceDN/>
              <w:jc w:val="center"/>
              <w:rPr>
                <w:lang w:eastAsia="zh-CN"/>
              </w:rPr>
            </w:pPr>
            <w:r>
              <w:rPr>
                <w:lang w:eastAsia="zh-CN"/>
              </w:rPr>
              <w:t>数量</w:t>
            </w:r>
          </w:p>
        </w:tc>
        <w:tc>
          <w:tcPr>
            <w:tcW w:w="832" w:type="dxa"/>
          </w:tcPr>
          <w:p>
            <w:pPr>
              <w:widowControl/>
              <w:autoSpaceDE/>
              <w:autoSpaceDN/>
              <w:jc w:val="center"/>
              <w:rPr>
                <w:lang w:eastAsia="zh-CN"/>
              </w:rPr>
            </w:pPr>
            <w:r>
              <w:rPr>
                <w:lang w:eastAsia="zh-CN"/>
              </w:rPr>
              <w:t>品牌</w:t>
            </w:r>
          </w:p>
        </w:tc>
        <w:tc>
          <w:tcPr>
            <w:tcW w:w="807" w:type="dxa"/>
          </w:tcPr>
          <w:p>
            <w:pPr>
              <w:widowControl/>
              <w:autoSpaceDE/>
              <w:autoSpaceDN/>
              <w:jc w:val="center"/>
              <w:rPr>
                <w:lang w:eastAsia="zh-CN"/>
              </w:rPr>
            </w:pPr>
            <w:r>
              <w:rPr>
                <w:lang w:eastAsia="zh-CN"/>
              </w:rPr>
              <w:t>单价</w:t>
            </w:r>
          </w:p>
        </w:tc>
        <w:tc>
          <w:tcPr>
            <w:tcW w:w="927" w:type="dxa"/>
          </w:tcPr>
          <w:p>
            <w:pPr>
              <w:widowControl/>
              <w:autoSpaceDE/>
              <w:autoSpaceDN/>
              <w:jc w:val="center"/>
              <w:rPr>
                <w:lang w:eastAsia="zh-CN"/>
              </w:rPr>
            </w:pPr>
            <w:r>
              <w:rPr>
                <w:lang w:eastAsia="zh-CN"/>
              </w:rPr>
              <w:t>总价</w:t>
            </w:r>
          </w:p>
        </w:tc>
        <w:tc>
          <w:tcPr>
            <w:tcW w:w="143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lang w:eastAsia="zh-CN"/>
              </w:rPr>
            </w:pPr>
            <w:r>
              <w:rPr>
                <w:rFonts w:hint="eastAsia"/>
                <w:lang w:eastAsia="zh-CN"/>
              </w:rPr>
              <w:t>1</w:t>
            </w:r>
          </w:p>
        </w:tc>
        <w:tc>
          <w:tcPr>
            <w:tcW w:w="1528" w:type="dxa"/>
            <w:vAlign w:val="center"/>
          </w:tcPr>
          <w:p>
            <w:pPr>
              <w:widowControl/>
              <w:autoSpaceDE/>
              <w:autoSpaceDN/>
              <w:jc w:val="center"/>
              <w:rPr>
                <w:lang w:eastAsia="zh-CN"/>
              </w:rPr>
            </w:pPr>
            <w:r>
              <w:rPr>
                <w:rFonts w:hint="eastAsia"/>
                <w:lang w:eastAsia="zh-CN"/>
              </w:rPr>
              <w:t>V-522容器改造</w:t>
            </w:r>
          </w:p>
        </w:tc>
        <w:tc>
          <w:tcPr>
            <w:tcW w:w="1656" w:type="dxa"/>
            <w:vAlign w:val="center"/>
          </w:tcPr>
          <w:p>
            <w:pPr>
              <w:widowControl/>
              <w:autoSpaceDE/>
              <w:autoSpaceDN/>
              <w:jc w:val="center"/>
              <w:rPr>
                <w:lang w:eastAsia="zh-CN"/>
              </w:rPr>
            </w:pPr>
          </w:p>
        </w:tc>
        <w:tc>
          <w:tcPr>
            <w:tcW w:w="1516" w:type="dxa"/>
            <w:vAlign w:val="center"/>
          </w:tcPr>
          <w:p>
            <w:pPr>
              <w:widowControl/>
              <w:autoSpaceDE/>
              <w:autoSpaceDN/>
              <w:jc w:val="center"/>
              <w:rPr>
                <w:lang w:eastAsia="zh-CN"/>
              </w:rPr>
            </w:pPr>
          </w:p>
        </w:tc>
        <w:tc>
          <w:tcPr>
            <w:tcW w:w="680" w:type="dxa"/>
            <w:vAlign w:val="center"/>
          </w:tcPr>
          <w:p>
            <w:pPr>
              <w:widowControl/>
              <w:autoSpaceDE/>
              <w:autoSpaceDN/>
              <w:jc w:val="center"/>
              <w:rPr>
                <w:lang w:eastAsia="zh-CN"/>
              </w:rPr>
            </w:pPr>
            <w:r>
              <w:rPr>
                <w:rFonts w:hint="eastAsia"/>
                <w:lang w:eastAsia="zh-CN"/>
              </w:rPr>
              <w:t>1台</w:t>
            </w:r>
          </w:p>
        </w:tc>
        <w:tc>
          <w:tcPr>
            <w:tcW w:w="832" w:type="dxa"/>
          </w:tcPr>
          <w:p>
            <w:pPr>
              <w:widowControl/>
              <w:autoSpaceDE/>
              <w:autoSpaceDN/>
              <w:jc w:val="center"/>
              <w:rPr>
                <w:lang w:eastAsia="zh-CN"/>
              </w:rPr>
            </w:pP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lang w:eastAsia="zh-CN"/>
              </w:rPr>
            </w:pPr>
            <w:r>
              <w:rPr>
                <w:rFonts w:hint="eastAsia"/>
                <w:lang w:eastAsia="zh-CN"/>
              </w:rPr>
              <w:t>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99" w:type="dxa"/>
            <w:gridSpan w:val="7"/>
          </w:tcPr>
          <w:p>
            <w:pPr>
              <w:widowControl/>
              <w:autoSpaceDE/>
              <w:autoSpaceDN/>
              <w:jc w:val="center"/>
              <w:rPr>
                <w:lang w:eastAsia="zh-CN"/>
              </w:rPr>
            </w:pPr>
            <w:r>
              <w:rPr>
                <w:lang w:eastAsia="zh-CN"/>
              </w:rPr>
              <w:t>合计</w:t>
            </w:r>
            <w:r>
              <w:rPr>
                <w:rFonts w:hint="eastAsia"/>
                <w:lang w:eastAsia="zh-CN"/>
              </w:rPr>
              <w:t>：</w:t>
            </w:r>
          </w:p>
        </w:tc>
        <w:tc>
          <w:tcPr>
            <w:tcW w:w="2366"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2.3交货时间：</w:t>
      </w:r>
      <w:r>
        <w:rPr>
          <w:rFonts w:hint="eastAsia"/>
          <w:sz w:val="24"/>
          <w:u w:val="single"/>
          <w:lang w:eastAsia="zh-CN"/>
        </w:rPr>
        <w:t>合同签订之日起20天内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w:t>
      </w:r>
      <w:r>
        <w:rPr>
          <w:sz w:val="24"/>
          <w:lang w:eastAsia="zh-CN"/>
        </w:rPr>
        <w:t>黄国涵</w:t>
      </w:r>
      <w:r>
        <w:rPr>
          <w:rFonts w:hint="eastAsia"/>
          <w:sz w:val="24"/>
          <w:lang w:eastAsia="zh-CN"/>
        </w:rPr>
        <w:t xml:space="preserve"> </w:t>
      </w:r>
      <w:r>
        <w:rPr>
          <w:sz w:val="24"/>
          <w:lang w:eastAsia="zh-CN"/>
        </w:rPr>
        <w:t>0596-6088567</w:t>
      </w:r>
      <w:r>
        <w:rPr>
          <w:rFonts w:hint="eastAsia"/>
          <w:sz w:val="24"/>
          <w:lang w:eastAsia="zh-CN"/>
        </w:rPr>
        <w:t>/</w:t>
      </w:r>
      <w:r>
        <w:rPr>
          <w:sz w:val="24"/>
          <w:lang w:eastAsia="zh-CN"/>
        </w:rPr>
        <w:t>13459297831</w:t>
      </w:r>
      <w:r>
        <w:rPr>
          <w:rFonts w:hint="eastAsia"/>
          <w:sz w:val="24"/>
          <w:lang w:eastAsia="zh-CN"/>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rFonts w:hint="eastAsia"/>
          <w:sz w:val="24"/>
          <w:u w:val="single"/>
          <w:lang w:eastAsia="zh-CN"/>
        </w:rPr>
        <w:t>60个</w:t>
      </w:r>
      <w:r>
        <w:rPr>
          <w:sz w:val="24"/>
          <w:u w:val="single"/>
          <w:lang w:eastAsia="zh-CN"/>
        </w:rPr>
        <w:t xml:space="preserve">工作日内 </w:t>
      </w:r>
      <w:r>
        <w:rPr>
          <w:rFonts w:hint="eastAsia"/>
          <w:sz w:val="24"/>
          <w:lang w:eastAsia="zh-CN"/>
        </w:rPr>
        <w:t>向乙方支付合同价款总额的</w:t>
      </w:r>
      <w:r>
        <w:rPr>
          <w:sz w:val="24"/>
          <w:u w:val="single"/>
          <w:lang w:eastAsia="zh-CN"/>
        </w:rPr>
        <w:t>90</w:t>
      </w:r>
      <w:r>
        <w:rPr>
          <w:rFonts w:hint="eastAsia"/>
          <w:sz w:val="24"/>
          <w:lang w:eastAsia="zh-CN"/>
        </w:rPr>
        <w:t>%，质量保证期期满后如无质量问题，甲方向乙方支付剩余货款。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eastAsia="zh-CN"/>
        </w:rPr>
        <w:t>60</w:t>
      </w:r>
      <w:r>
        <w:rPr>
          <w:sz w:val="24"/>
          <w:u w:val="single"/>
          <w:lang w:eastAsia="zh-CN"/>
        </w:rPr>
        <w:t xml:space="preserve">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见技术标书</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见技术标书</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见技术标书</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见技术标书</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6.4对于安装质量，乙方保证标准时、正确安装好设备，保证设备良好运行。产品调试验收的标准：按照附件技术标书的验收标准执行。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w:t>
      </w:r>
      <w:r>
        <w:rPr>
          <w:rFonts w:hint="eastAsia"/>
          <w:sz w:val="24"/>
          <w:lang w:eastAsia="zh-CN"/>
        </w:rPr>
        <w:t>技术标书</w:t>
      </w:r>
      <w:r>
        <w:rPr>
          <w:rFonts w:hint="eastAsia"/>
          <w:sz w:val="24"/>
        </w:rPr>
        <w:t>或发包说明。</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b/>
          <w:bCs/>
          <w:color w:val="auto"/>
          <w:sz w:val="32"/>
          <w:szCs w:val="32"/>
        </w:rPr>
      </w:pPr>
      <w:r>
        <w:t>附件</w:t>
      </w:r>
      <w:r>
        <w:rPr>
          <w:rFonts w:hint="eastAsia"/>
        </w:rPr>
        <w:t>1</w:t>
      </w:r>
      <w:r>
        <w:t>、</w:t>
      </w:r>
      <w:r>
        <w:rPr>
          <w:rFonts w:hint="eastAsia" w:hAnsi="宋体"/>
          <w:color w:val="auto"/>
          <w:szCs w:val="22"/>
        </w:rPr>
        <w:t>A-522中间轴承改造项目发包说明</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asciiTheme="majorEastAsia" w:hAnsiTheme="majorEastAsia" w:eastAsiaTheme="majorEastAsia"/>
                      <w:sz w:val="21"/>
                      <w:szCs w:val="21"/>
                      <w:lang w:eastAsia="zh-CN"/>
                    </w:rPr>
                    <w:t>6号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r>
                    <w:rPr>
                      <w:rFonts w:hint="eastAsia"/>
                    </w:rPr>
                    <w:t>162070100100021585</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rPr>
          <w:rFonts w:hint="eastAsia"/>
        </w:rPr>
      </w:pPr>
    </w:p>
    <w:p>
      <w:pPr>
        <w:pStyle w:val="2"/>
        <w:rPr>
          <w:rFonts w:hint="eastAsia"/>
        </w:rPr>
      </w:pPr>
    </w:p>
    <w:p>
      <w:pPr>
        <w:pStyle w:val="2"/>
        <w:rPr>
          <w:rFonts w:hint="eastAsia"/>
        </w:rPr>
      </w:pPr>
    </w:p>
    <w:p>
      <w:pPr>
        <w:pStyle w:val="2"/>
      </w:pPr>
    </w:p>
    <w:p>
      <w:pPr>
        <w:pStyle w:val="2"/>
      </w:pPr>
    </w:p>
    <w:p>
      <w:pPr>
        <w:tabs>
          <w:tab w:val="center" w:pos="4923"/>
          <w:tab w:val="right" w:pos="9525"/>
        </w:tabs>
        <w:spacing w:line="276" w:lineRule="auto"/>
        <w:ind w:firstLine="220" w:firstLineChars="100"/>
        <w:rPr>
          <w:lang w:eastAsia="zh-CN"/>
        </w:rPr>
      </w:pPr>
      <w:r>
        <w:rPr>
          <w:rFonts w:hint="eastAsia"/>
          <w:lang w:eastAsia="zh-CN"/>
        </w:rPr>
        <w:t>附件1、</w:t>
      </w:r>
    </w:p>
    <w:p>
      <w:pPr>
        <w:pStyle w:val="44"/>
        <w:rPr>
          <w:rFonts w:hint="eastAsia" w:ascii="宋体" w:hAnsi="宋体"/>
          <w:b w:val="0"/>
        </w:rPr>
      </w:pPr>
      <w:r>
        <w:rPr>
          <w:rFonts w:ascii="宋体" w:hAnsi="宋体"/>
          <w:b w:val="0"/>
        </w:rPr>
        <w:t>20</w:t>
      </w:r>
      <w:r>
        <w:rPr>
          <w:rFonts w:hint="eastAsia" w:ascii="宋体" w:hAnsi="宋体"/>
          <w:b w:val="0"/>
        </w:rPr>
        <w:t>22年V-522容器改造项目</w:t>
      </w:r>
    </w:p>
    <w:p>
      <w:pPr>
        <w:spacing w:afterLines="50"/>
        <w:jc w:val="center"/>
        <w:rPr>
          <w:rFonts w:hint="eastAsia" w:cs="Arial"/>
          <w:b/>
          <w:sz w:val="32"/>
          <w:lang w:eastAsia="zh-CN"/>
        </w:rPr>
      </w:pPr>
      <w:r>
        <w:rPr>
          <w:rFonts w:hint="eastAsia" w:cs="Arial"/>
          <w:b/>
          <w:sz w:val="32"/>
          <w:lang w:eastAsia="zh-CN"/>
        </w:rPr>
        <w:t>发 包 说 明</w:t>
      </w:r>
    </w:p>
    <w:p>
      <w:pPr>
        <w:numPr>
          <w:ilvl w:val="0"/>
          <w:numId w:val="7"/>
        </w:numPr>
        <w:autoSpaceDE/>
        <w:autoSpaceDN/>
        <w:jc w:val="both"/>
        <w:rPr>
          <w:rFonts w:cs="Arial"/>
          <w:sz w:val="21"/>
          <w:szCs w:val="21"/>
          <w:lang w:eastAsia="zh-CN"/>
        </w:rPr>
      </w:pPr>
      <w:r>
        <w:rPr>
          <w:rFonts w:cs="Arial"/>
          <w:sz w:val="21"/>
          <w:szCs w:val="21"/>
          <w:lang w:eastAsia="zh-CN"/>
        </w:rPr>
        <w:t>工程名称：20</w:t>
      </w:r>
      <w:r>
        <w:rPr>
          <w:rFonts w:hint="eastAsia" w:cs="Arial"/>
          <w:sz w:val="21"/>
          <w:szCs w:val="21"/>
          <w:lang w:eastAsia="zh-CN"/>
        </w:rPr>
        <w:t>22年V-522容器改造项目</w:t>
      </w:r>
    </w:p>
    <w:p>
      <w:pPr>
        <w:numPr>
          <w:ilvl w:val="0"/>
          <w:numId w:val="7"/>
        </w:numPr>
        <w:autoSpaceDE/>
        <w:autoSpaceDN/>
        <w:jc w:val="both"/>
        <w:rPr>
          <w:rFonts w:hint="eastAsia" w:cs="Arial"/>
          <w:sz w:val="21"/>
          <w:szCs w:val="21"/>
          <w:lang w:eastAsia="zh-CN"/>
        </w:rPr>
      </w:pPr>
      <w:r>
        <w:rPr>
          <w:rFonts w:cs="Arial"/>
          <w:sz w:val="21"/>
          <w:szCs w:val="21"/>
          <w:lang w:eastAsia="zh-CN"/>
        </w:rPr>
        <w:t>工程地点：</w:t>
      </w:r>
      <w:r>
        <w:rPr>
          <w:rFonts w:hint="eastAsia" w:cs="Arial"/>
          <w:sz w:val="21"/>
          <w:szCs w:val="21"/>
          <w:lang w:eastAsia="zh-CN"/>
        </w:rPr>
        <w:t>福建省漳州市古雷开发区腾龙路86号PTA</w:t>
      </w:r>
      <w:r>
        <w:rPr>
          <w:rFonts w:cs="Arial"/>
          <w:sz w:val="21"/>
          <w:szCs w:val="21"/>
          <w:lang w:eastAsia="zh-CN"/>
        </w:rPr>
        <w:t>厂区</w:t>
      </w:r>
    </w:p>
    <w:p>
      <w:pPr>
        <w:numPr>
          <w:ilvl w:val="0"/>
          <w:numId w:val="7"/>
        </w:numPr>
        <w:autoSpaceDE/>
        <w:autoSpaceDN/>
        <w:jc w:val="both"/>
        <w:rPr>
          <w:rFonts w:cs="Arial"/>
          <w:sz w:val="21"/>
          <w:szCs w:val="21"/>
          <w:lang w:eastAsia="zh-CN"/>
        </w:rPr>
      </w:pPr>
      <w:r>
        <w:rPr>
          <w:rFonts w:cs="Arial"/>
          <w:sz w:val="21"/>
          <w:szCs w:val="21"/>
          <w:lang w:eastAsia="zh-CN"/>
        </w:rPr>
        <w:t>甲方：</w:t>
      </w:r>
      <w:r>
        <w:rPr>
          <w:rFonts w:hint="eastAsia" w:cs="Arial"/>
          <w:sz w:val="21"/>
          <w:szCs w:val="21"/>
          <w:lang w:eastAsia="zh-CN"/>
        </w:rPr>
        <w:t>翔鹭石化（漳州）有限公司</w:t>
      </w:r>
    </w:p>
    <w:p>
      <w:pPr>
        <w:numPr>
          <w:ilvl w:val="0"/>
          <w:numId w:val="7"/>
        </w:numPr>
        <w:autoSpaceDE/>
        <w:autoSpaceDN/>
        <w:jc w:val="both"/>
        <w:rPr>
          <w:rFonts w:cs="Arial"/>
          <w:sz w:val="21"/>
          <w:szCs w:val="21"/>
        </w:rPr>
      </w:pPr>
      <w:r>
        <w:rPr>
          <w:rFonts w:cs="Arial"/>
          <w:sz w:val="21"/>
          <w:szCs w:val="21"/>
          <w:lang w:eastAsia="zh-CN"/>
        </w:rPr>
        <w:t>乙方：承包商</w:t>
      </w:r>
    </w:p>
    <w:p>
      <w:pPr>
        <w:numPr>
          <w:ilvl w:val="0"/>
          <w:numId w:val="7"/>
        </w:numPr>
        <w:autoSpaceDE/>
        <w:autoSpaceDN/>
        <w:jc w:val="both"/>
        <w:rPr>
          <w:rFonts w:cs="Arial"/>
          <w:sz w:val="21"/>
          <w:szCs w:val="21"/>
          <w:lang w:eastAsia="zh-CN"/>
        </w:rPr>
      </w:pPr>
      <w:r>
        <w:rPr>
          <w:rFonts w:cs="Arial"/>
          <w:sz w:val="21"/>
          <w:szCs w:val="21"/>
          <w:lang w:eastAsia="zh-CN"/>
        </w:rPr>
        <w:t>施工期限：</w:t>
      </w:r>
      <w:r>
        <w:rPr>
          <w:rFonts w:hint="eastAsia" w:cs="Arial"/>
          <w:sz w:val="21"/>
          <w:szCs w:val="21"/>
          <w:lang w:eastAsia="zh-CN"/>
        </w:rPr>
        <w:t>本项目为PTA工厂停车检修项目，预计作业时间为20天，具体检修时间请与PTA工厂确认，需配合其它项目施工进度的，</w:t>
      </w:r>
      <w:r>
        <w:rPr>
          <w:rFonts w:cs="Arial"/>
          <w:sz w:val="21"/>
          <w:szCs w:val="21"/>
          <w:lang w:eastAsia="zh-CN"/>
        </w:rPr>
        <w:t>乙方</w:t>
      </w:r>
      <w:r>
        <w:rPr>
          <w:rFonts w:hint="eastAsia" w:cs="Arial"/>
          <w:sz w:val="21"/>
          <w:szCs w:val="21"/>
          <w:lang w:eastAsia="zh-CN"/>
        </w:rPr>
        <w:t>须</w:t>
      </w:r>
      <w:r>
        <w:rPr>
          <w:rFonts w:cs="Arial"/>
          <w:sz w:val="21"/>
          <w:szCs w:val="21"/>
          <w:lang w:eastAsia="zh-CN"/>
        </w:rPr>
        <w:t>无条件依甲方</w:t>
      </w:r>
      <w:r>
        <w:rPr>
          <w:rFonts w:hint="eastAsia" w:cs="Arial"/>
          <w:sz w:val="21"/>
          <w:szCs w:val="21"/>
          <w:lang w:eastAsia="zh-CN"/>
        </w:rPr>
        <w:t>要求</w:t>
      </w:r>
      <w:r>
        <w:rPr>
          <w:rFonts w:cs="Arial"/>
          <w:sz w:val="21"/>
          <w:szCs w:val="21"/>
          <w:lang w:eastAsia="zh-CN"/>
        </w:rPr>
        <w:t>执行</w:t>
      </w:r>
      <w:r>
        <w:rPr>
          <w:rFonts w:hint="eastAsia" w:cs="Arial"/>
          <w:sz w:val="21"/>
          <w:szCs w:val="21"/>
          <w:lang w:eastAsia="zh-CN"/>
        </w:rPr>
        <w:t>，</w:t>
      </w:r>
      <w:r>
        <w:rPr>
          <w:rFonts w:cs="Arial"/>
          <w:sz w:val="21"/>
          <w:szCs w:val="21"/>
          <w:lang w:eastAsia="zh-CN"/>
        </w:rPr>
        <w:t>必要时须24小时加班赶工。</w:t>
      </w:r>
      <w:r>
        <w:rPr>
          <w:rFonts w:hint="eastAsia" w:cs="Arial"/>
          <w:sz w:val="21"/>
          <w:szCs w:val="21"/>
          <w:lang w:eastAsia="zh-CN"/>
        </w:rPr>
        <w:t>承揽商需勘察现场及提前进场做好施工准备。</w:t>
      </w:r>
    </w:p>
    <w:p>
      <w:pPr>
        <w:numPr>
          <w:ilvl w:val="0"/>
          <w:numId w:val="7"/>
        </w:numPr>
        <w:autoSpaceDE/>
        <w:autoSpaceDN/>
        <w:ind w:left="601" w:hanging="601"/>
        <w:jc w:val="both"/>
        <w:rPr>
          <w:rFonts w:hint="eastAsia" w:cs="Arial"/>
          <w:sz w:val="21"/>
          <w:szCs w:val="21"/>
          <w:lang w:eastAsia="zh-CN"/>
        </w:rPr>
      </w:pPr>
      <w:r>
        <w:rPr>
          <w:rFonts w:hint="eastAsia" w:cs="Arial"/>
          <w:sz w:val="21"/>
          <w:szCs w:val="21"/>
          <w:lang w:eastAsia="zh-CN"/>
        </w:rPr>
        <w:t>容器改造简介</w:t>
      </w:r>
      <w:r>
        <w:rPr>
          <w:rFonts w:cs="Arial"/>
          <w:sz w:val="21"/>
          <w:szCs w:val="21"/>
          <w:lang w:eastAsia="zh-CN"/>
        </w:rPr>
        <w:t xml:space="preserve">： </w:t>
      </w:r>
    </w:p>
    <w:p>
      <w:pPr>
        <w:tabs>
          <w:tab w:val="left" w:pos="900"/>
        </w:tabs>
        <w:ind w:left="627" w:leftChars="285"/>
        <w:rPr>
          <w:rFonts w:hint="eastAsia" w:cs="Arial"/>
          <w:sz w:val="21"/>
          <w:szCs w:val="21"/>
          <w:lang w:eastAsia="zh-CN"/>
        </w:rPr>
      </w:pPr>
      <w:r>
        <w:rPr>
          <w:rFonts w:hint="eastAsia" w:cs="Arial"/>
          <w:sz w:val="21"/>
          <w:szCs w:val="21"/>
          <w:lang w:eastAsia="zh-CN"/>
        </w:rPr>
        <w:t>V-522为</w:t>
      </w:r>
      <w:r>
        <w:rPr>
          <w:rFonts w:cs="Arial"/>
          <w:sz w:val="21"/>
          <w:szCs w:val="21"/>
          <w:lang w:eastAsia="zh-CN"/>
        </w:rPr>
        <w:t>III</w:t>
      </w:r>
      <w:r>
        <w:rPr>
          <w:rFonts w:hint="eastAsia" w:cs="Arial"/>
          <w:sz w:val="21"/>
          <w:szCs w:val="21"/>
          <w:lang w:eastAsia="zh-CN"/>
        </w:rPr>
        <w:t>类压力容器，容器内径10000mm,</w:t>
      </w:r>
      <w:r>
        <w:rPr>
          <w:rFonts w:cs="Arial"/>
          <w:sz w:val="21"/>
          <w:szCs w:val="21"/>
          <w:lang w:eastAsia="zh-CN"/>
        </w:rPr>
        <w:t xml:space="preserve"> </w:t>
      </w:r>
      <w:r>
        <w:rPr>
          <w:rFonts w:hint="eastAsia" w:cs="Arial"/>
          <w:sz w:val="21"/>
          <w:szCs w:val="21"/>
          <w:lang w:eastAsia="zh-CN"/>
        </w:rPr>
        <w:t>容器高度24260mm,筒体及封头材料Q345R+304L，筒体厚度</w:t>
      </w:r>
      <w:r>
        <w:rPr>
          <w:rFonts w:cs="Arial"/>
          <w:sz w:val="21"/>
          <w:szCs w:val="21"/>
          <w:lang w:eastAsia="zh-CN"/>
        </w:rPr>
        <w:t>1</w:t>
      </w:r>
      <w:r>
        <w:rPr>
          <w:rFonts w:hint="eastAsia" w:cs="Arial"/>
          <w:sz w:val="21"/>
          <w:szCs w:val="21"/>
          <w:lang w:eastAsia="zh-CN"/>
        </w:rPr>
        <w:t>50</w:t>
      </w:r>
      <w:r>
        <w:rPr>
          <w:rFonts w:cs="Arial"/>
          <w:sz w:val="21"/>
          <w:szCs w:val="21"/>
          <w:lang w:eastAsia="zh-CN"/>
        </w:rPr>
        <w:t>+5</w:t>
      </w:r>
      <w:r>
        <w:rPr>
          <w:rFonts w:hint="eastAsia" w:cs="Arial"/>
          <w:sz w:val="21"/>
          <w:szCs w:val="21"/>
          <w:lang w:eastAsia="zh-CN"/>
        </w:rPr>
        <w:t>mm,封头厚度</w:t>
      </w:r>
      <w:r>
        <w:rPr>
          <w:rFonts w:cs="Arial"/>
          <w:sz w:val="21"/>
          <w:szCs w:val="21"/>
          <w:lang w:eastAsia="zh-CN"/>
        </w:rPr>
        <w:t>1</w:t>
      </w:r>
      <w:r>
        <w:rPr>
          <w:rFonts w:hint="eastAsia" w:cs="Arial"/>
          <w:sz w:val="21"/>
          <w:szCs w:val="21"/>
          <w:lang w:eastAsia="zh-CN"/>
        </w:rPr>
        <w:t>5</w:t>
      </w:r>
      <w:r>
        <w:rPr>
          <w:rFonts w:cs="Arial"/>
          <w:sz w:val="21"/>
          <w:szCs w:val="21"/>
          <w:lang w:eastAsia="zh-CN"/>
        </w:rPr>
        <w:t>0+5</w:t>
      </w:r>
      <w:r>
        <w:rPr>
          <w:rFonts w:hint="eastAsia" w:cs="Arial"/>
          <w:sz w:val="21"/>
          <w:szCs w:val="21"/>
          <w:lang w:eastAsia="zh-CN"/>
        </w:rPr>
        <w:t>mm,容器容积1282M3，壳体重量8980</w:t>
      </w:r>
      <w:r>
        <w:rPr>
          <w:rFonts w:cs="Arial"/>
          <w:sz w:val="21"/>
          <w:szCs w:val="21"/>
          <w:lang w:eastAsia="zh-CN"/>
        </w:rPr>
        <w:t>00</w:t>
      </w:r>
      <w:r>
        <w:rPr>
          <w:rFonts w:hint="eastAsia" w:cs="Arial"/>
          <w:sz w:val="21"/>
          <w:szCs w:val="21"/>
          <w:lang w:eastAsia="zh-CN"/>
        </w:rPr>
        <w:t>kg。壳程设计压力3.58</w:t>
      </w:r>
      <w:r>
        <w:rPr>
          <w:rFonts w:cs="Arial"/>
          <w:sz w:val="21"/>
          <w:szCs w:val="21"/>
          <w:lang w:eastAsia="zh-CN"/>
        </w:rPr>
        <w:t>Mpa</w:t>
      </w:r>
      <w:r>
        <w:rPr>
          <w:rFonts w:hint="eastAsia" w:cs="Arial"/>
          <w:sz w:val="21"/>
          <w:szCs w:val="21"/>
          <w:lang w:eastAsia="zh-CN"/>
        </w:rPr>
        <w:t>，壳程设计温度260℃。壳程介质：PTA +水等。</w:t>
      </w:r>
    </w:p>
    <w:p>
      <w:pPr>
        <w:jc w:val="both"/>
        <w:rPr>
          <w:rFonts w:hint="eastAsia" w:cs="Arial"/>
          <w:sz w:val="21"/>
          <w:szCs w:val="21"/>
          <w:lang w:eastAsia="zh-CN"/>
        </w:rPr>
      </w:pPr>
      <w:r>
        <w:rPr>
          <w:rFonts w:hint="eastAsia" w:cs="Arial"/>
          <w:sz w:val="21"/>
          <w:szCs w:val="21"/>
          <w:lang w:eastAsia="zh-CN"/>
        </w:rPr>
        <w:t>七、相关标准规范</w:t>
      </w:r>
    </w:p>
    <w:p>
      <w:pPr>
        <w:tabs>
          <w:tab w:val="left" w:pos="540"/>
        </w:tabs>
        <w:autoSpaceDE/>
        <w:autoSpaceDN/>
        <w:adjustRightInd w:val="0"/>
        <w:snapToGrid w:val="0"/>
        <w:ind w:left="360"/>
        <w:rPr>
          <w:rFonts w:cs="Arial"/>
          <w:sz w:val="21"/>
          <w:szCs w:val="21"/>
          <w:lang w:eastAsia="zh-CN"/>
        </w:rPr>
      </w:pPr>
      <w:r>
        <w:rPr>
          <w:rFonts w:hint="eastAsia" w:cs="Arial"/>
          <w:sz w:val="21"/>
          <w:szCs w:val="21"/>
          <w:lang w:eastAsia="zh-CN"/>
        </w:rPr>
        <w:t>1、</w:t>
      </w:r>
      <w:r>
        <w:rPr>
          <w:rFonts w:cs="Arial"/>
          <w:sz w:val="21"/>
          <w:szCs w:val="21"/>
          <w:lang w:eastAsia="zh-CN"/>
        </w:rPr>
        <w:t>NB</w:t>
      </w:r>
      <w:r>
        <w:rPr>
          <w:rFonts w:hint="eastAsia" w:cs="Arial"/>
          <w:sz w:val="21"/>
          <w:szCs w:val="21"/>
          <w:lang w:eastAsia="zh-CN"/>
        </w:rPr>
        <w:t>∕</w:t>
      </w:r>
      <w:r>
        <w:rPr>
          <w:rFonts w:cs="Arial"/>
          <w:sz w:val="21"/>
          <w:szCs w:val="21"/>
          <w:lang w:eastAsia="zh-CN"/>
        </w:rPr>
        <w:t xml:space="preserve">T 47014-2011 </w:t>
      </w:r>
      <w:r>
        <w:rPr>
          <w:rFonts w:hint="eastAsia" w:cs="Arial"/>
          <w:sz w:val="21"/>
          <w:szCs w:val="21"/>
          <w:lang w:eastAsia="zh-CN"/>
        </w:rPr>
        <w:t>承压设备用焊接工艺评定</w:t>
      </w:r>
    </w:p>
    <w:p>
      <w:pPr>
        <w:tabs>
          <w:tab w:val="left" w:pos="540"/>
        </w:tabs>
        <w:autoSpaceDE/>
        <w:autoSpaceDN/>
        <w:adjustRightInd w:val="0"/>
        <w:snapToGrid w:val="0"/>
        <w:ind w:left="360"/>
        <w:rPr>
          <w:rFonts w:cs="Arial"/>
          <w:sz w:val="21"/>
          <w:szCs w:val="21"/>
          <w:lang w:eastAsia="zh-CN"/>
        </w:rPr>
      </w:pPr>
      <w:r>
        <w:rPr>
          <w:rFonts w:hint="eastAsia" w:cs="Arial"/>
          <w:sz w:val="21"/>
          <w:szCs w:val="21"/>
          <w:lang w:eastAsia="zh-CN"/>
        </w:rPr>
        <w:t>2、</w:t>
      </w:r>
      <w:r>
        <w:rPr>
          <w:rFonts w:cs="Arial"/>
          <w:sz w:val="21"/>
          <w:szCs w:val="21"/>
          <w:lang w:eastAsia="zh-CN"/>
        </w:rPr>
        <w:t>NB</w:t>
      </w:r>
      <w:r>
        <w:rPr>
          <w:rFonts w:hint="eastAsia" w:cs="Arial"/>
          <w:sz w:val="21"/>
          <w:szCs w:val="21"/>
          <w:lang w:eastAsia="zh-CN"/>
        </w:rPr>
        <w:t>∕</w:t>
      </w:r>
      <w:r>
        <w:rPr>
          <w:rFonts w:cs="Arial"/>
          <w:sz w:val="21"/>
          <w:szCs w:val="21"/>
          <w:lang w:eastAsia="zh-CN"/>
        </w:rPr>
        <w:t xml:space="preserve">T 47015-2011 </w:t>
      </w:r>
      <w:r>
        <w:rPr>
          <w:rFonts w:hint="eastAsia" w:cs="Arial"/>
          <w:sz w:val="21"/>
          <w:szCs w:val="21"/>
          <w:lang w:eastAsia="zh-CN"/>
        </w:rPr>
        <w:t>压力容器焊接规程</w:t>
      </w:r>
    </w:p>
    <w:p>
      <w:pPr>
        <w:tabs>
          <w:tab w:val="left" w:pos="540"/>
        </w:tabs>
        <w:autoSpaceDE/>
        <w:autoSpaceDN/>
        <w:adjustRightInd w:val="0"/>
        <w:snapToGrid w:val="0"/>
        <w:ind w:left="360"/>
        <w:rPr>
          <w:rFonts w:cs="Arial"/>
          <w:sz w:val="21"/>
          <w:szCs w:val="21"/>
          <w:lang w:eastAsia="zh-CN"/>
        </w:rPr>
      </w:pPr>
      <w:r>
        <w:rPr>
          <w:rFonts w:hint="eastAsia" w:cs="Arial"/>
          <w:sz w:val="21"/>
          <w:szCs w:val="21"/>
          <w:lang w:eastAsia="zh-CN"/>
        </w:rPr>
        <w:t>3、</w:t>
      </w:r>
      <w:r>
        <w:rPr>
          <w:rFonts w:cs="Arial"/>
          <w:sz w:val="21"/>
          <w:szCs w:val="21"/>
          <w:lang w:eastAsia="zh-CN"/>
        </w:rPr>
        <w:t xml:space="preserve">TSG 21-2016 </w:t>
      </w:r>
      <w:r>
        <w:rPr>
          <w:rFonts w:hint="eastAsia" w:cs="Arial"/>
          <w:sz w:val="21"/>
          <w:szCs w:val="21"/>
          <w:lang w:eastAsia="zh-CN"/>
        </w:rPr>
        <w:t>固定式压力容器安全技术监察规程</w:t>
      </w:r>
    </w:p>
    <w:p>
      <w:pPr>
        <w:autoSpaceDE/>
        <w:autoSpaceDN/>
        <w:ind w:left="360"/>
        <w:jc w:val="both"/>
        <w:rPr>
          <w:rFonts w:hint="eastAsia" w:cs="Arial"/>
          <w:sz w:val="21"/>
          <w:szCs w:val="21"/>
          <w:lang w:eastAsia="zh-CN"/>
        </w:rPr>
      </w:pPr>
      <w:r>
        <w:rPr>
          <w:rFonts w:hint="eastAsia" w:cs="Arial"/>
          <w:sz w:val="21"/>
          <w:szCs w:val="21"/>
          <w:lang w:eastAsia="zh-CN"/>
        </w:rPr>
        <w:t>4、</w:t>
      </w:r>
      <w:r>
        <w:rPr>
          <w:rFonts w:cs="Arial"/>
          <w:sz w:val="21"/>
          <w:szCs w:val="21"/>
          <w:lang w:eastAsia="zh-CN"/>
        </w:rPr>
        <w:t>TSG Z6002-2010</w:t>
      </w:r>
      <w:r>
        <w:rPr>
          <w:rFonts w:hint="eastAsia" w:cs="Arial"/>
          <w:sz w:val="21"/>
          <w:szCs w:val="21"/>
          <w:lang w:eastAsia="zh-CN"/>
        </w:rPr>
        <w:t>《特种设备焊接作业人员考核细则》</w:t>
      </w:r>
    </w:p>
    <w:p>
      <w:pPr>
        <w:autoSpaceDE/>
        <w:autoSpaceDN/>
        <w:ind w:left="360"/>
        <w:jc w:val="both"/>
        <w:rPr>
          <w:rFonts w:cs="Arial"/>
          <w:sz w:val="21"/>
          <w:szCs w:val="21"/>
          <w:lang w:eastAsia="zh-CN"/>
        </w:rPr>
      </w:pPr>
      <w:r>
        <w:rPr>
          <w:rFonts w:hint="eastAsia" w:cs="Arial"/>
          <w:sz w:val="21"/>
          <w:szCs w:val="21"/>
          <w:lang w:eastAsia="zh-CN"/>
        </w:rPr>
        <w:t>5、</w:t>
      </w:r>
      <w:r>
        <w:rPr>
          <w:rFonts w:cs="Arial"/>
          <w:sz w:val="21"/>
          <w:szCs w:val="21"/>
          <w:lang w:eastAsia="zh-CN"/>
        </w:rPr>
        <w:t>GB 150-2011</w:t>
      </w:r>
      <w:r>
        <w:rPr>
          <w:rFonts w:hint="eastAsia" w:cs="Arial"/>
          <w:sz w:val="21"/>
          <w:szCs w:val="21"/>
          <w:lang w:eastAsia="zh-CN"/>
        </w:rPr>
        <w:t>《压力容器》</w:t>
      </w:r>
    </w:p>
    <w:p>
      <w:pPr>
        <w:autoSpaceDE/>
        <w:autoSpaceDN/>
        <w:jc w:val="both"/>
        <w:rPr>
          <w:rFonts w:hint="eastAsia" w:cs="Arial"/>
          <w:sz w:val="21"/>
          <w:szCs w:val="21"/>
          <w:lang w:eastAsia="zh-CN"/>
        </w:rPr>
      </w:pPr>
      <w:r>
        <w:rPr>
          <w:rFonts w:hint="eastAsia" w:cs="Arial"/>
          <w:sz w:val="21"/>
          <w:szCs w:val="21"/>
          <w:lang w:eastAsia="zh-CN"/>
        </w:rPr>
        <w:t>八、</w:t>
      </w:r>
      <w:r>
        <w:rPr>
          <w:rFonts w:cs="Arial"/>
          <w:sz w:val="21"/>
          <w:szCs w:val="21"/>
          <w:lang w:eastAsia="zh-CN"/>
        </w:rPr>
        <w:t>本案范围：</w:t>
      </w:r>
    </w:p>
    <w:p>
      <w:pPr>
        <w:autoSpaceDE/>
        <w:autoSpaceDN/>
        <w:ind w:left="418" w:leftChars="190"/>
        <w:rPr>
          <w:rFonts w:hint="eastAsia" w:cs="Arial"/>
          <w:sz w:val="21"/>
          <w:szCs w:val="21"/>
          <w:lang w:eastAsia="zh-CN"/>
        </w:rPr>
      </w:pPr>
      <w:r>
        <w:rPr>
          <w:rFonts w:hint="eastAsia" w:cs="Arial"/>
          <w:sz w:val="21"/>
          <w:szCs w:val="21"/>
          <w:lang w:eastAsia="zh-CN"/>
        </w:rPr>
        <w:t>1、V-522中间轴承改造容器设计及施工部分，主要为在筒体靠下部处开孔3处，开孔筒壁焊接加强管台等部件，内壁加强；以及安装密封法兰。用于中间轴承的的三组拉杆通过筒壁加强。中间轴承改造在同步发包中，采用中选搅拌厂家的中间轴承拉杆加固的方案进行设计、施工，包含焊接，热处理，试压，气密，报备、售后服务等工作，采用包工包料；材质与原容器材质匹配，详见图纸；由甲方委托第三方检测单位实施检测。</w:t>
      </w:r>
    </w:p>
    <w:p>
      <w:pPr>
        <w:autoSpaceDE/>
        <w:autoSpaceDN/>
        <w:ind w:firstLine="420" w:firstLineChars="200"/>
        <w:rPr>
          <w:rFonts w:cs="Arial"/>
          <w:sz w:val="21"/>
          <w:szCs w:val="21"/>
        </w:rPr>
      </w:pPr>
      <w:r>
        <w:rPr>
          <w:rFonts w:hint="eastAsia" w:cs="Arial"/>
          <w:sz w:val="21"/>
          <w:szCs w:val="21"/>
          <w:lang w:eastAsia="zh-CN"/>
        </w:rPr>
        <w:t>2、本案采用包干，不追加。</w:t>
      </w:r>
    </w:p>
    <w:p>
      <w:pPr>
        <w:autoSpaceDE/>
        <w:autoSpaceDN/>
        <w:jc w:val="both"/>
        <w:rPr>
          <w:rFonts w:hint="eastAsia" w:cs="Arial"/>
          <w:sz w:val="21"/>
          <w:szCs w:val="21"/>
          <w:lang w:eastAsia="zh-CN"/>
        </w:rPr>
      </w:pPr>
      <w:r>
        <w:rPr>
          <w:rFonts w:hint="eastAsia" w:cs="Arial"/>
          <w:sz w:val="21"/>
          <w:szCs w:val="21"/>
          <w:lang w:eastAsia="zh-CN"/>
        </w:rPr>
        <w:t>九、资质要求：</w:t>
      </w:r>
    </w:p>
    <w:p>
      <w:pPr>
        <w:tabs>
          <w:tab w:val="left" w:pos="540"/>
        </w:tabs>
        <w:autoSpaceDE/>
        <w:autoSpaceDN/>
        <w:adjustRightInd w:val="0"/>
        <w:snapToGrid w:val="0"/>
        <w:ind w:firstLine="420" w:firstLineChars="200"/>
        <w:rPr>
          <w:rFonts w:hint="eastAsia" w:cs="Arial"/>
          <w:sz w:val="21"/>
          <w:szCs w:val="21"/>
          <w:lang w:eastAsia="zh-CN"/>
        </w:rPr>
      </w:pPr>
      <w:r>
        <w:rPr>
          <w:rFonts w:hint="eastAsia" w:cs="Arial"/>
          <w:sz w:val="21"/>
          <w:szCs w:val="21"/>
          <w:lang w:eastAsia="zh-CN"/>
        </w:rPr>
        <w:t>1.具备三类及以上压力容器的设计、修复资质；</w:t>
      </w:r>
    </w:p>
    <w:p>
      <w:pPr>
        <w:tabs>
          <w:tab w:val="left" w:pos="540"/>
        </w:tabs>
        <w:autoSpaceDE/>
        <w:autoSpaceDN/>
        <w:adjustRightInd w:val="0"/>
        <w:snapToGrid w:val="0"/>
        <w:ind w:firstLine="420" w:firstLineChars="200"/>
        <w:rPr>
          <w:rFonts w:hint="eastAsia" w:cs="Arial"/>
          <w:sz w:val="21"/>
          <w:szCs w:val="21"/>
          <w:lang w:eastAsia="zh-CN"/>
        </w:rPr>
      </w:pPr>
      <w:r>
        <w:rPr>
          <w:rFonts w:hint="eastAsia" w:cs="Arial"/>
          <w:sz w:val="21"/>
          <w:szCs w:val="21"/>
          <w:lang w:eastAsia="zh-CN"/>
        </w:rPr>
        <w:t>2.具备现场独立的热处理能力;</w:t>
      </w:r>
    </w:p>
    <w:p>
      <w:pPr>
        <w:tabs>
          <w:tab w:val="left" w:pos="540"/>
        </w:tabs>
        <w:autoSpaceDE/>
        <w:autoSpaceDN/>
        <w:adjustRightInd w:val="0"/>
        <w:snapToGrid w:val="0"/>
        <w:ind w:firstLine="420" w:firstLineChars="200"/>
        <w:rPr>
          <w:rFonts w:hint="eastAsia" w:cs="Arial"/>
          <w:sz w:val="21"/>
          <w:szCs w:val="21"/>
          <w:lang w:eastAsia="zh-CN"/>
        </w:rPr>
      </w:pPr>
      <w:r>
        <w:rPr>
          <w:rFonts w:hint="eastAsia" w:cs="Arial"/>
          <w:sz w:val="21"/>
          <w:szCs w:val="21"/>
          <w:lang w:eastAsia="zh-CN"/>
        </w:rPr>
        <w:t>3.焊接工艺评定能够覆盖</w:t>
      </w:r>
      <w:r>
        <w:rPr>
          <w:rFonts w:cs="Arial"/>
          <w:sz w:val="21"/>
          <w:szCs w:val="21"/>
          <w:lang w:eastAsia="zh-CN"/>
        </w:rPr>
        <w:t>Q345R</w:t>
      </w:r>
      <w:r>
        <w:rPr>
          <w:rFonts w:hint="eastAsia" w:cs="Arial"/>
          <w:sz w:val="21"/>
          <w:szCs w:val="21"/>
          <w:lang w:eastAsia="zh-CN"/>
        </w:rPr>
        <w:t>以及304L材质；</w:t>
      </w:r>
    </w:p>
    <w:p>
      <w:pPr>
        <w:tabs>
          <w:tab w:val="left" w:pos="540"/>
        </w:tabs>
        <w:autoSpaceDE/>
        <w:autoSpaceDN/>
        <w:adjustRightInd w:val="0"/>
        <w:snapToGrid w:val="0"/>
        <w:ind w:firstLine="420" w:firstLineChars="200"/>
        <w:rPr>
          <w:rFonts w:hint="eastAsia" w:cs="Arial"/>
          <w:sz w:val="21"/>
          <w:szCs w:val="21"/>
          <w:lang w:eastAsia="zh-CN"/>
        </w:rPr>
      </w:pPr>
      <w:r>
        <w:rPr>
          <w:rFonts w:hint="eastAsia" w:cs="Arial"/>
          <w:sz w:val="21"/>
          <w:szCs w:val="21"/>
          <w:lang w:eastAsia="zh-CN"/>
        </w:rPr>
        <w:t>4.承包商投标前应充分了解施工条件和现场实际，提前制定应对方案措施；</w:t>
      </w:r>
    </w:p>
    <w:p>
      <w:pPr>
        <w:tabs>
          <w:tab w:val="left" w:pos="540"/>
        </w:tabs>
        <w:autoSpaceDE/>
        <w:autoSpaceDN/>
        <w:adjustRightInd w:val="0"/>
        <w:snapToGrid w:val="0"/>
        <w:ind w:firstLine="420" w:firstLineChars="200"/>
        <w:rPr>
          <w:rFonts w:cs="Arial"/>
          <w:sz w:val="21"/>
          <w:szCs w:val="21"/>
          <w:lang w:eastAsia="zh-CN"/>
        </w:rPr>
      </w:pPr>
      <w:r>
        <w:rPr>
          <w:rFonts w:hint="eastAsia" w:cs="Arial"/>
          <w:sz w:val="21"/>
          <w:szCs w:val="21"/>
          <w:lang w:eastAsia="zh-CN"/>
        </w:rPr>
        <w:t>5.PTA压力容器设计修复业绩；</w:t>
      </w:r>
    </w:p>
    <w:p>
      <w:pPr>
        <w:autoSpaceDE/>
        <w:autoSpaceDN/>
        <w:jc w:val="both"/>
        <w:rPr>
          <w:rFonts w:hint="eastAsia" w:cs="Arial"/>
          <w:sz w:val="21"/>
          <w:szCs w:val="21"/>
        </w:rPr>
      </w:pPr>
      <w:r>
        <w:rPr>
          <w:rFonts w:hint="eastAsia" w:cs="Arial"/>
          <w:sz w:val="21"/>
          <w:szCs w:val="21"/>
          <w:lang w:eastAsia="zh-CN"/>
        </w:rPr>
        <w:t>十、</w:t>
      </w:r>
      <w:r>
        <w:rPr>
          <w:rFonts w:cs="Arial"/>
          <w:sz w:val="21"/>
          <w:szCs w:val="21"/>
          <w:lang w:eastAsia="zh-CN"/>
        </w:rPr>
        <w:t>本案</w:t>
      </w:r>
      <w:r>
        <w:rPr>
          <w:rFonts w:hint="eastAsia" w:cs="Arial"/>
          <w:sz w:val="21"/>
          <w:szCs w:val="21"/>
          <w:lang w:eastAsia="zh-CN"/>
        </w:rPr>
        <w:t>要求</w:t>
      </w:r>
      <w:r>
        <w:rPr>
          <w:rFonts w:cs="Arial"/>
          <w:sz w:val="21"/>
          <w:szCs w:val="21"/>
          <w:lang w:eastAsia="zh-CN"/>
        </w:rPr>
        <w:t>：</w:t>
      </w:r>
    </w:p>
    <w:p>
      <w:pPr>
        <w:numPr>
          <w:ilvl w:val="1"/>
          <w:numId w:val="7"/>
        </w:numPr>
        <w:autoSpaceDE/>
        <w:autoSpaceDN/>
        <w:ind w:left="839" w:hanging="357"/>
        <w:jc w:val="both"/>
        <w:rPr>
          <w:rFonts w:hint="eastAsia" w:cs="Arial"/>
          <w:sz w:val="21"/>
          <w:szCs w:val="21"/>
          <w:lang w:eastAsia="zh-CN"/>
        </w:rPr>
      </w:pPr>
      <w:r>
        <w:rPr>
          <w:rFonts w:hint="eastAsia" w:cs="Arial"/>
          <w:sz w:val="21"/>
          <w:szCs w:val="21"/>
          <w:lang w:eastAsia="zh-CN"/>
        </w:rPr>
        <w:t>应对罐壁搅拌拉杆开孔及罐顶液位计开孔进行核算，是否满足强度设计等；</w:t>
      </w:r>
    </w:p>
    <w:p>
      <w:pPr>
        <w:numPr>
          <w:ilvl w:val="1"/>
          <w:numId w:val="7"/>
        </w:numPr>
        <w:autoSpaceDE/>
        <w:autoSpaceDN/>
        <w:ind w:left="839" w:hanging="357"/>
        <w:jc w:val="both"/>
        <w:rPr>
          <w:rFonts w:hint="eastAsia" w:cs="Arial"/>
          <w:sz w:val="21"/>
          <w:szCs w:val="21"/>
          <w:lang w:eastAsia="zh-CN"/>
        </w:rPr>
      </w:pPr>
      <w:r>
        <w:rPr>
          <w:rFonts w:hint="eastAsia" w:cs="Arial"/>
          <w:sz w:val="21"/>
          <w:szCs w:val="21"/>
          <w:lang w:eastAsia="zh-CN"/>
        </w:rPr>
        <w:t>本案包含设计，施工，容器改造</w:t>
      </w:r>
      <w:r>
        <w:rPr>
          <w:rFonts w:hint="eastAsia"/>
          <w:sz w:val="21"/>
          <w:szCs w:val="21"/>
          <w:lang w:eastAsia="zh-CN"/>
        </w:rPr>
        <w:t>所需材料；因与</w:t>
      </w:r>
      <w:r>
        <w:rPr>
          <w:rFonts w:hint="eastAsia" w:cs="Arial"/>
          <w:sz w:val="21"/>
          <w:szCs w:val="21"/>
          <w:lang w:eastAsia="zh-CN"/>
        </w:rPr>
        <w:t>与搅拌安装厂家存在交叉配合作业，需要明确双方范围；容器厂家处理容器修复作业，搅拌安装焊接部分由搅拌安装施工单位进行，搅拌设计厂家现场指导，甲方进行协调推进；</w:t>
      </w:r>
    </w:p>
    <w:p>
      <w:pPr>
        <w:numPr>
          <w:ilvl w:val="1"/>
          <w:numId w:val="7"/>
        </w:numPr>
        <w:autoSpaceDE/>
        <w:autoSpaceDN/>
        <w:ind w:left="839" w:hanging="357"/>
        <w:jc w:val="both"/>
        <w:rPr>
          <w:rFonts w:hint="eastAsia" w:cs="Arial"/>
          <w:sz w:val="21"/>
          <w:szCs w:val="21"/>
          <w:lang w:eastAsia="zh-CN"/>
        </w:rPr>
      </w:pPr>
      <w:r>
        <w:rPr>
          <w:rFonts w:hint="eastAsia" w:cs="Arial"/>
          <w:sz w:val="21"/>
          <w:szCs w:val="21"/>
          <w:lang w:eastAsia="zh-CN"/>
        </w:rPr>
        <w:t>承揽商提供安全生产许可证、企业营业执照、资质证书、焊接工艺评定等供甲方审核；</w:t>
      </w:r>
    </w:p>
    <w:p>
      <w:pPr>
        <w:numPr>
          <w:ilvl w:val="1"/>
          <w:numId w:val="7"/>
        </w:numPr>
        <w:autoSpaceDE/>
        <w:autoSpaceDN/>
        <w:ind w:left="839" w:hanging="357"/>
        <w:jc w:val="both"/>
        <w:rPr>
          <w:rFonts w:hint="eastAsia" w:cs="Arial"/>
          <w:sz w:val="21"/>
          <w:szCs w:val="21"/>
          <w:lang w:eastAsia="zh-CN"/>
        </w:rPr>
      </w:pPr>
      <w:r>
        <w:rPr>
          <w:rFonts w:hint="eastAsia"/>
          <w:sz w:val="21"/>
          <w:szCs w:val="21"/>
          <w:lang w:eastAsia="zh-CN"/>
        </w:rPr>
        <w:t>所用施工材料之辅材如焊条（需经</w:t>
      </w:r>
      <w:r>
        <w:rPr>
          <w:rFonts w:hint="eastAsia" w:cs="Arial"/>
          <w:sz w:val="21"/>
          <w:szCs w:val="21"/>
          <w:lang w:eastAsia="zh-CN"/>
        </w:rPr>
        <w:t>福海创</w:t>
      </w:r>
      <w:r>
        <w:rPr>
          <w:rFonts w:hint="eastAsia"/>
          <w:sz w:val="21"/>
          <w:szCs w:val="21"/>
          <w:lang w:eastAsia="zh-CN"/>
        </w:rPr>
        <w:t>确认）、角向磨光机用的打磨片、切割片、乙炔、氧气等和其他消耗物品及必备工具由</w:t>
      </w:r>
      <w:r>
        <w:rPr>
          <w:rFonts w:cs="Arial"/>
          <w:sz w:val="21"/>
          <w:szCs w:val="21"/>
          <w:lang w:eastAsia="zh-CN"/>
        </w:rPr>
        <w:t>承包商</w:t>
      </w:r>
      <w:r>
        <w:rPr>
          <w:rFonts w:hint="eastAsia"/>
          <w:sz w:val="21"/>
          <w:szCs w:val="21"/>
          <w:lang w:eastAsia="zh-CN"/>
        </w:rPr>
        <w:t>自备。本案包工包料，容器改造所需的压力元件由承包商提供，并提供相应的质量证明文件。</w:t>
      </w:r>
    </w:p>
    <w:p>
      <w:pPr>
        <w:numPr>
          <w:ilvl w:val="1"/>
          <w:numId w:val="7"/>
        </w:numPr>
        <w:autoSpaceDE/>
        <w:autoSpaceDN/>
        <w:ind w:left="839" w:hanging="357"/>
        <w:jc w:val="both"/>
        <w:rPr>
          <w:rFonts w:hint="eastAsia" w:cs="Arial"/>
          <w:sz w:val="21"/>
          <w:szCs w:val="21"/>
          <w:lang w:eastAsia="zh-CN"/>
        </w:rPr>
      </w:pPr>
      <w:r>
        <w:rPr>
          <w:rFonts w:hint="eastAsia"/>
          <w:sz w:val="21"/>
          <w:szCs w:val="21"/>
          <w:lang w:eastAsia="zh-CN"/>
        </w:rPr>
        <w:t>施工所用工器具除专用工具外由</w:t>
      </w:r>
      <w:r>
        <w:rPr>
          <w:rFonts w:cs="Arial"/>
          <w:sz w:val="21"/>
          <w:szCs w:val="21"/>
          <w:lang w:eastAsia="zh-CN"/>
        </w:rPr>
        <w:t>承包商</w:t>
      </w:r>
      <w:r>
        <w:rPr>
          <w:rFonts w:hint="eastAsia"/>
          <w:sz w:val="21"/>
          <w:szCs w:val="21"/>
          <w:lang w:eastAsia="zh-CN"/>
        </w:rPr>
        <w:t>自备。如扳手、千斤顶、拉马、焊机、角向磨光机、气割工具（包括气瓶 气体 氧气表 乙炔表）吊装用具如倒链、钢丝绳、卸扣、热处理工具、试压工具等由</w:t>
      </w:r>
      <w:r>
        <w:rPr>
          <w:rFonts w:cs="Arial"/>
          <w:sz w:val="21"/>
          <w:szCs w:val="21"/>
          <w:lang w:eastAsia="zh-CN"/>
        </w:rPr>
        <w:t>承包商</w:t>
      </w:r>
      <w:r>
        <w:rPr>
          <w:rFonts w:hint="eastAsia"/>
          <w:sz w:val="21"/>
          <w:szCs w:val="21"/>
          <w:lang w:eastAsia="zh-CN"/>
        </w:rPr>
        <w:t>自备。</w:t>
      </w:r>
      <w:bookmarkStart w:id="1" w:name="OLE_LINK4"/>
      <w:bookmarkStart w:id="2" w:name="OLE_LINK3"/>
    </w:p>
    <w:p>
      <w:pPr>
        <w:numPr>
          <w:ilvl w:val="1"/>
          <w:numId w:val="7"/>
        </w:numPr>
        <w:autoSpaceDE/>
        <w:autoSpaceDN/>
        <w:ind w:left="839" w:hanging="357"/>
        <w:jc w:val="both"/>
        <w:rPr>
          <w:rFonts w:hint="eastAsia"/>
          <w:sz w:val="21"/>
          <w:szCs w:val="21"/>
          <w:lang w:eastAsia="zh-CN"/>
        </w:rPr>
      </w:pPr>
      <w:r>
        <w:rPr>
          <w:rFonts w:hint="eastAsia"/>
          <w:sz w:val="21"/>
          <w:szCs w:val="21"/>
          <w:lang w:eastAsia="zh-CN"/>
        </w:rPr>
        <w:t>施工内容包含：盲板制作、安装、拆除，焊缝的打磨、焊接；焊接修复后的热处理、水压试验、气密试验。检测工作由第三方进行。</w:t>
      </w:r>
    </w:p>
    <w:p>
      <w:pPr>
        <w:numPr>
          <w:ilvl w:val="1"/>
          <w:numId w:val="7"/>
        </w:numPr>
        <w:autoSpaceDE/>
        <w:autoSpaceDN/>
        <w:ind w:left="839" w:hanging="357"/>
        <w:jc w:val="both"/>
        <w:rPr>
          <w:rFonts w:hint="eastAsia"/>
          <w:sz w:val="21"/>
          <w:szCs w:val="21"/>
          <w:lang w:eastAsia="zh-CN"/>
        </w:rPr>
      </w:pPr>
      <w:r>
        <w:rPr>
          <w:rFonts w:hint="eastAsia"/>
          <w:sz w:val="21"/>
          <w:szCs w:val="21"/>
          <w:lang w:eastAsia="zh-CN"/>
        </w:rPr>
        <w:t>本次维修属于特种设备重大维修改造，乙方编制的设计及施工方案，需得到特检院以及甲方的认可，并报特检院进行监检，报备及检验费由乙方负责。</w:t>
      </w:r>
    </w:p>
    <w:p>
      <w:pPr>
        <w:numPr>
          <w:ilvl w:val="1"/>
          <w:numId w:val="7"/>
        </w:numPr>
        <w:autoSpaceDE/>
        <w:autoSpaceDN/>
        <w:ind w:left="839" w:hanging="357"/>
        <w:jc w:val="both"/>
        <w:rPr>
          <w:rFonts w:hint="eastAsia"/>
          <w:sz w:val="21"/>
          <w:szCs w:val="21"/>
          <w:lang w:eastAsia="zh-CN"/>
        </w:rPr>
      </w:pPr>
      <w:r>
        <w:rPr>
          <w:rFonts w:hint="eastAsia"/>
          <w:sz w:val="21"/>
          <w:szCs w:val="21"/>
          <w:lang w:eastAsia="zh-CN"/>
        </w:rPr>
        <w:t>提供施工过程资料，竣工资料，是付款的必要条件，按照福海创交工资料管理规定办理。</w:t>
      </w:r>
    </w:p>
    <w:bookmarkEnd w:id="1"/>
    <w:bookmarkEnd w:id="2"/>
    <w:p>
      <w:pPr>
        <w:numPr>
          <w:ilvl w:val="1"/>
          <w:numId w:val="7"/>
        </w:numPr>
        <w:autoSpaceDE/>
        <w:autoSpaceDN/>
        <w:ind w:left="839" w:hanging="357"/>
        <w:jc w:val="both"/>
        <w:rPr>
          <w:rFonts w:hint="eastAsia" w:cs="Arial"/>
          <w:sz w:val="21"/>
          <w:szCs w:val="21"/>
          <w:lang w:eastAsia="zh-CN"/>
        </w:rPr>
      </w:pPr>
      <w:r>
        <w:rPr>
          <w:rFonts w:cs="Arial"/>
          <w:sz w:val="21"/>
          <w:szCs w:val="21"/>
          <w:lang w:eastAsia="zh-CN"/>
        </w:rPr>
        <w:t>承包商</w:t>
      </w:r>
      <w:r>
        <w:rPr>
          <w:rFonts w:hint="eastAsia" w:cs="Arial"/>
          <w:sz w:val="21"/>
          <w:szCs w:val="21"/>
          <w:lang w:eastAsia="zh-CN"/>
        </w:rPr>
        <w:t>应在交标日之前到现场了解现场情况，如至交标日</w:t>
      </w:r>
      <w:r>
        <w:rPr>
          <w:rFonts w:cs="Arial"/>
          <w:sz w:val="21"/>
          <w:szCs w:val="21"/>
          <w:lang w:eastAsia="zh-CN"/>
        </w:rPr>
        <w:t>承包商</w:t>
      </w:r>
      <w:r>
        <w:rPr>
          <w:rFonts w:hint="eastAsia" w:cs="Arial"/>
          <w:sz w:val="21"/>
          <w:szCs w:val="21"/>
          <w:lang w:eastAsia="zh-CN"/>
        </w:rPr>
        <w:t>未到现场了解情况，我司将视为</w:t>
      </w:r>
      <w:r>
        <w:rPr>
          <w:rFonts w:cs="Arial"/>
          <w:sz w:val="21"/>
          <w:szCs w:val="21"/>
          <w:lang w:eastAsia="zh-CN"/>
        </w:rPr>
        <w:t>承包商</w:t>
      </w:r>
      <w:r>
        <w:rPr>
          <w:rFonts w:hint="eastAsia" w:cs="Arial"/>
          <w:sz w:val="21"/>
          <w:szCs w:val="21"/>
          <w:lang w:eastAsia="zh-CN"/>
        </w:rPr>
        <w:t>对现场已充分了解。中标后</w:t>
      </w:r>
      <w:r>
        <w:rPr>
          <w:rFonts w:cs="Arial"/>
          <w:sz w:val="21"/>
          <w:szCs w:val="21"/>
          <w:lang w:eastAsia="zh-CN"/>
        </w:rPr>
        <w:t>承包商</w:t>
      </w:r>
      <w:r>
        <w:rPr>
          <w:rFonts w:hint="eastAsia" w:cs="Arial"/>
          <w:sz w:val="21"/>
          <w:szCs w:val="21"/>
          <w:lang w:eastAsia="zh-CN"/>
        </w:rPr>
        <w:t>不得以现场不清为由向甲方要求追加任何费用。</w:t>
      </w:r>
    </w:p>
    <w:p>
      <w:pPr>
        <w:numPr>
          <w:ilvl w:val="1"/>
          <w:numId w:val="7"/>
        </w:numPr>
        <w:autoSpaceDE/>
        <w:autoSpaceDN/>
        <w:ind w:left="839" w:hanging="357"/>
        <w:jc w:val="both"/>
        <w:rPr>
          <w:rFonts w:hint="eastAsia" w:cs="Arial"/>
          <w:sz w:val="21"/>
          <w:szCs w:val="21"/>
          <w:lang w:eastAsia="zh-CN"/>
        </w:rPr>
      </w:pPr>
      <w:r>
        <w:rPr>
          <w:rFonts w:hint="eastAsia" w:cs="Arial"/>
          <w:sz w:val="21"/>
          <w:szCs w:val="21"/>
          <w:lang w:eastAsia="zh-CN"/>
        </w:rPr>
        <w:t>投标</w:t>
      </w:r>
      <w:r>
        <w:rPr>
          <w:rFonts w:cs="Arial"/>
          <w:sz w:val="21"/>
          <w:szCs w:val="21"/>
          <w:lang w:eastAsia="zh-CN"/>
        </w:rPr>
        <w:t>承包商</w:t>
      </w:r>
      <w:r>
        <w:rPr>
          <w:rFonts w:hint="eastAsia" w:cs="Arial"/>
          <w:sz w:val="21"/>
          <w:szCs w:val="21"/>
          <w:lang w:eastAsia="zh-CN"/>
        </w:rPr>
        <w:t>需根据每一检修项目逐一编写详细设计方案、检修方案、施工进度、人员配置（特种资质人员需提供特种资质证书）等技术标书，待技术标书经评判合格后方具备报价资格。</w:t>
      </w:r>
    </w:p>
    <w:p>
      <w:pPr>
        <w:numPr>
          <w:ilvl w:val="1"/>
          <w:numId w:val="7"/>
        </w:numPr>
        <w:autoSpaceDE/>
        <w:autoSpaceDN/>
        <w:ind w:left="839" w:hanging="357"/>
        <w:jc w:val="both"/>
        <w:rPr>
          <w:rFonts w:hint="eastAsia" w:cs="Arial"/>
          <w:sz w:val="21"/>
          <w:szCs w:val="21"/>
          <w:lang w:eastAsia="zh-CN"/>
        </w:rPr>
      </w:pPr>
      <w:r>
        <w:rPr>
          <w:rFonts w:hint="eastAsia" w:cs="Arial"/>
          <w:sz w:val="21"/>
          <w:szCs w:val="21"/>
          <w:lang w:eastAsia="zh-CN"/>
        </w:rPr>
        <w:t>工安管理：检修期间</w:t>
      </w:r>
      <w:r>
        <w:rPr>
          <w:rFonts w:cs="Arial"/>
          <w:sz w:val="21"/>
          <w:szCs w:val="21"/>
          <w:lang w:eastAsia="zh-CN"/>
        </w:rPr>
        <w:t>承包商</w:t>
      </w:r>
      <w:r>
        <w:rPr>
          <w:rFonts w:hint="eastAsia" w:cs="Arial"/>
          <w:sz w:val="21"/>
          <w:szCs w:val="21"/>
          <w:lang w:eastAsia="zh-CN"/>
        </w:rPr>
        <w:t>需配置专业安全监管人员，检修作业必须服从福海创管理相关规定。</w:t>
      </w:r>
    </w:p>
    <w:p>
      <w:pPr>
        <w:autoSpaceDE/>
        <w:autoSpaceDN/>
        <w:ind w:left="630" w:hanging="630" w:hangingChars="300"/>
        <w:jc w:val="both"/>
        <w:rPr>
          <w:rFonts w:cs="Arial"/>
          <w:sz w:val="21"/>
          <w:szCs w:val="21"/>
          <w:lang w:eastAsia="zh-CN"/>
        </w:rPr>
      </w:pPr>
      <w:r>
        <w:rPr>
          <w:rFonts w:hint="eastAsia" w:cs="Arial"/>
          <w:sz w:val="21"/>
          <w:szCs w:val="21"/>
          <w:lang w:eastAsia="zh-CN"/>
        </w:rPr>
        <w:t>十一、</w:t>
      </w:r>
      <w:r>
        <w:rPr>
          <w:rFonts w:cs="Arial"/>
          <w:sz w:val="21"/>
          <w:szCs w:val="21"/>
          <w:lang w:eastAsia="zh-CN"/>
        </w:rPr>
        <w:t>报价</w:t>
      </w:r>
      <w:r>
        <w:rPr>
          <w:rFonts w:hint="eastAsia" w:cs="Arial"/>
          <w:sz w:val="21"/>
          <w:szCs w:val="21"/>
          <w:lang w:eastAsia="zh-CN"/>
        </w:rPr>
        <w:t>要求</w:t>
      </w:r>
      <w:r>
        <w:rPr>
          <w:rFonts w:cs="Arial"/>
          <w:sz w:val="21"/>
          <w:szCs w:val="21"/>
          <w:lang w:eastAsia="zh-CN"/>
        </w:rPr>
        <w:t>：</w:t>
      </w:r>
      <w:r>
        <w:rPr>
          <w:rFonts w:hint="eastAsia" w:cs="Arial"/>
          <w:sz w:val="21"/>
          <w:szCs w:val="21"/>
          <w:lang w:eastAsia="zh-CN"/>
        </w:rPr>
        <w:t>1</w:t>
      </w:r>
      <w:r>
        <w:rPr>
          <w:rFonts w:cs="Arial"/>
          <w:sz w:val="21"/>
          <w:szCs w:val="21"/>
          <w:lang w:eastAsia="zh-CN"/>
        </w:rPr>
        <w:t>.</w:t>
      </w:r>
      <w:r>
        <w:rPr>
          <w:rFonts w:hint="eastAsia" w:cs="Arial"/>
          <w:sz w:val="21"/>
          <w:szCs w:val="21"/>
          <w:lang w:eastAsia="zh-CN"/>
        </w:rPr>
        <w:t>包商报价时应将风险包干费计入综合单价</w:t>
      </w:r>
      <w:r>
        <w:rPr>
          <w:rFonts w:cs="Arial"/>
          <w:sz w:val="21"/>
          <w:szCs w:val="21"/>
          <w:lang w:eastAsia="zh-CN"/>
        </w:rPr>
        <w:t xml:space="preserve">。 </w:t>
      </w:r>
      <w:r>
        <w:rPr>
          <w:rFonts w:hint="eastAsia" w:cs="Arial"/>
          <w:sz w:val="21"/>
          <w:szCs w:val="21"/>
          <w:lang w:eastAsia="zh-CN"/>
        </w:rPr>
        <w:t>2</w:t>
      </w:r>
      <w:r>
        <w:rPr>
          <w:rFonts w:cs="Arial"/>
          <w:sz w:val="21"/>
          <w:szCs w:val="21"/>
          <w:lang w:eastAsia="zh-CN"/>
        </w:rPr>
        <w:t>.</w:t>
      </w:r>
      <w:r>
        <w:rPr>
          <w:rFonts w:hint="eastAsia" w:cs="Arial"/>
          <w:sz w:val="21"/>
          <w:szCs w:val="21"/>
          <w:lang w:eastAsia="zh-CN"/>
        </w:rPr>
        <w:t>合同价款中所包含的风险范围包含：（1）因工程项目清单有错、漏，导致工程报价不准确</w:t>
      </w:r>
      <w:r>
        <w:rPr>
          <w:rFonts w:cs="Arial"/>
          <w:sz w:val="21"/>
          <w:szCs w:val="21"/>
          <w:lang w:eastAsia="zh-CN"/>
        </w:rPr>
        <w:t xml:space="preserve"> </w:t>
      </w:r>
      <w:r>
        <w:rPr>
          <w:rFonts w:hint="eastAsia" w:cs="Arial"/>
          <w:sz w:val="21"/>
          <w:szCs w:val="21"/>
          <w:lang w:eastAsia="zh-CN"/>
        </w:rPr>
        <w:t>；（2）因市场变化、政策性调整导致人工、机械和材料价格变化；（3）按合同工期完工所采取的赶工措施</w:t>
      </w:r>
      <w:r>
        <w:rPr>
          <w:rFonts w:cs="Arial"/>
          <w:sz w:val="21"/>
          <w:szCs w:val="21"/>
          <w:lang w:eastAsia="zh-CN"/>
        </w:rPr>
        <w:t>。</w:t>
      </w:r>
    </w:p>
    <w:p>
      <w:pPr>
        <w:autoSpaceDE/>
        <w:autoSpaceDN/>
        <w:ind w:left="630" w:hanging="630" w:hangingChars="300"/>
        <w:jc w:val="both"/>
        <w:rPr>
          <w:rFonts w:cs="Arial"/>
          <w:sz w:val="21"/>
          <w:szCs w:val="21"/>
          <w:lang w:eastAsia="zh-CN"/>
        </w:rPr>
      </w:pPr>
      <w:r>
        <w:rPr>
          <w:rFonts w:hint="eastAsia" w:cs="Arial"/>
          <w:sz w:val="21"/>
          <w:szCs w:val="21"/>
          <w:lang w:eastAsia="zh-CN"/>
        </w:rPr>
        <w:t>十二、</w:t>
      </w:r>
      <w:r>
        <w:rPr>
          <w:rFonts w:cs="Arial"/>
          <w:sz w:val="21"/>
          <w:szCs w:val="21"/>
          <w:lang w:eastAsia="zh-CN"/>
        </w:rPr>
        <w:t>报价资格：</w:t>
      </w:r>
      <w:r>
        <w:rPr>
          <w:rFonts w:hint="eastAsia" w:cs="Arial"/>
          <w:sz w:val="21"/>
          <w:szCs w:val="21"/>
          <w:lang w:eastAsia="zh-CN"/>
        </w:rPr>
        <w:t>1</w:t>
      </w:r>
      <w:r>
        <w:rPr>
          <w:rFonts w:cs="Arial"/>
          <w:sz w:val="21"/>
          <w:szCs w:val="21"/>
          <w:lang w:eastAsia="zh-CN"/>
        </w:rPr>
        <w:t>.具备</w:t>
      </w:r>
      <w:r>
        <w:rPr>
          <w:rFonts w:hint="eastAsia" w:cs="Arial"/>
          <w:sz w:val="21"/>
          <w:szCs w:val="21"/>
          <w:lang w:eastAsia="zh-CN"/>
        </w:rPr>
        <w:t>相关</w:t>
      </w:r>
      <w:r>
        <w:rPr>
          <w:rFonts w:cs="Arial"/>
          <w:sz w:val="21"/>
          <w:szCs w:val="21"/>
          <w:lang w:eastAsia="zh-CN"/>
        </w:rPr>
        <w:t>施工</w:t>
      </w:r>
      <w:r>
        <w:rPr>
          <w:rFonts w:hint="eastAsia" w:cs="Arial"/>
          <w:sz w:val="21"/>
          <w:szCs w:val="21"/>
          <w:lang w:eastAsia="zh-CN"/>
        </w:rPr>
        <w:t>业</w:t>
      </w:r>
      <w:r>
        <w:rPr>
          <w:rFonts w:cs="Arial"/>
          <w:sz w:val="21"/>
          <w:szCs w:val="21"/>
          <w:lang w:eastAsia="zh-CN"/>
        </w:rPr>
        <w:t>绩</w:t>
      </w:r>
      <w:r>
        <w:rPr>
          <w:rFonts w:hint="eastAsia" w:cs="Arial"/>
          <w:sz w:val="21"/>
          <w:szCs w:val="21"/>
          <w:lang w:eastAsia="zh-CN"/>
        </w:rPr>
        <w:t>；</w:t>
      </w:r>
      <w:r>
        <w:rPr>
          <w:rFonts w:cs="Arial"/>
          <w:sz w:val="21"/>
          <w:szCs w:val="21"/>
          <w:lang w:eastAsia="zh-CN"/>
        </w:rPr>
        <w:t xml:space="preserve"> </w:t>
      </w:r>
      <w:r>
        <w:rPr>
          <w:rFonts w:hint="eastAsia" w:cs="Arial"/>
          <w:sz w:val="21"/>
          <w:szCs w:val="21"/>
          <w:lang w:eastAsia="zh-CN"/>
        </w:rPr>
        <w:t>2</w:t>
      </w:r>
      <w:r>
        <w:rPr>
          <w:rFonts w:cs="Arial"/>
          <w:sz w:val="21"/>
          <w:szCs w:val="21"/>
          <w:lang w:eastAsia="zh-CN"/>
        </w:rPr>
        <w:t>.自备有施工机具者</w:t>
      </w:r>
      <w:r>
        <w:rPr>
          <w:rFonts w:hint="eastAsia" w:cs="Arial"/>
          <w:sz w:val="21"/>
          <w:szCs w:val="21"/>
          <w:lang w:eastAsia="zh-CN"/>
        </w:rPr>
        <w:t>；</w:t>
      </w:r>
      <w:r>
        <w:rPr>
          <w:rFonts w:cs="Arial"/>
          <w:sz w:val="21"/>
          <w:szCs w:val="21"/>
          <w:lang w:eastAsia="zh-CN"/>
        </w:rPr>
        <w:t xml:space="preserve"> </w:t>
      </w:r>
      <w:r>
        <w:rPr>
          <w:rFonts w:hint="eastAsia" w:cs="Arial"/>
          <w:sz w:val="21"/>
          <w:szCs w:val="21"/>
          <w:lang w:eastAsia="zh-CN"/>
        </w:rPr>
        <w:t>3</w:t>
      </w:r>
      <w:r>
        <w:rPr>
          <w:rFonts w:cs="Arial"/>
          <w:sz w:val="21"/>
          <w:szCs w:val="21"/>
          <w:lang w:eastAsia="zh-CN"/>
        </w:rPr>
        <w:t>.具备财物调度能力</w:t>
      </w:r>
      <w:r>
        <w:rPr>
          <w:rFonts w:hint="eastAsia" w:cs="Arial"/>
          <w:sz w:val="21"/>
          <w:szCs w:val="21"/>
          <w:lang w:eastAsia="zh-CN"/>
        </w:rPr>
        <w:t>；4.技术标书评判合格者。</w:t>
      </w:r>
    </w:p>
    <w:p>
      <w:pPr>
        <w:jc w:val="both"/>
        <w:rPr>
          <w:rFonts w:cs="Arial"/>
          <w:sz w:val="21"/>
          <w:szCs w:val="21"/>
          <w:lang w:eastAsia="zh-CN"/>
        </w:rPr>
      </w:pPr>
      <w:r>
        <w:rPr>
          <w:rFonts w:cs="Arial"/>
          <w:sz w:val="21"/>
          <w:szCs w:val="21"/>
          <w:lang w:eastAsia="zh-CN"/>
        </w:rPr>
        <w:t>十</w:t>
      </w:r>
      <w:r>
        <w:rPr>
          <w:rFonts w:hint="eastAsia" w:cs="Arial"/>
          <w:sz w:val="21"/>
          <w:szCs w:val="21"/>
          <w:lang w:eastAsia="zh-CN"/>
        </w:rPr>
        <w:t>三</w:t>
      </w:r>
      <w:r>
        <w:rPr>
          <w:rFonts w:cs="Arial"/>
          <w:sz w:val="21"/>
          <w:szCs w:val="21"/>
          <w:lang w:eastAsia="zh-CN"/>
        </w:rPr>
        <w:t>、付款办法：</w:t>
      </w:r>
    </w:p>
    <w:p>
      <w:pPr>
        <w:kinsoku w:val="0"/>
        <w:ind w:left="648" w:leftChars="178" w:right="-57" w:hanging="256" w:hangingChars="122"/>
        <w:rPr>
          <w:rFonts w:cs="Arial"/>
          <w:sz w:val="21"/>
          <w:szCs w:val="21"/>
          <w:lang w:eastAsia="zh-CN"/>
        </w:rPr>
      </w:pPr>
      <w:r>
        <w:rPr>
          <w:rFonts w:cs="Arial"/>
          <w:sz w:val="21"/>
          <w:szCs w:val="21"/>
          <w:lang w:eastAsia="zh-CN"/>
        </w:rPr>
        <w:t>1.</w:t>
      </w:r>
      <w:r>
        <w:rPr>
          <w:rFonts w:hint="eastAsia" w:cs="Arial"/>
          <w:sz w:val="21"/>
          <w:szCs w:val="21"/>
          <w:lang w:eastAsia="zh-CN"/>
        </w:rPr>
        <w:t xml:space="preserve"> </w:t>
      </w:r>
      <w:r>
        <w:rPr>
          <w:rFonts w:cs="Arial"/>
          <w:sz w:val="21"/>
          <w:szCs w:val="21"/>
          <w:lang w:eastAsia="zh-CN"/>
        </w:rPr>
        <w:t>施工</w:t>
      </w:r>
      <w:r>
        <w:rPr>
          <w:rFonts w:hint="eastAsia" w:cs="Arial"/>
          <w:sz w:val="21"/>
          <w:szCs w:val="21"/>
          <w:lang w:eastAsia="zh-CN"/>
        </w:rPr>
        <w:t>结束验收合格后支付90%工程款</w:t>
      </w:r>
      <w:r>
        <w:rPr>
          <w:rFonts w:cs="Arial"/>
          <w:sz w:val="21"/>
          <w:szCs w:val="21"/>
          <w:lang w:eastAsia="zh-CN"/>
        </w:rPr>
        <w:t>，</w:t>
      </w:r>
      <w:r>
        <w:rPr>
          <w:rFonts w:hint="eastAsia" w:cs="Arial"/>
          <w:sz w:val="21"/>
          <w:szCs w:val="21"/>
          <w:lang w:eastAsia="zh-CN"/>
        </w:rPr>
        <w:t>其余10%工程款待设备无故障运行一年后支付；</w:t>
      </w:r>
      <w:r>
        <w:rPr>
          <w:rFonts w:cs="Arial"/>
          <w:sz w:val="21"/>
          <w:szCs w:val="21"/>
          <w:lang w:eastAsia="zh-CN"/>
        </w:rPr>
        <w:t xml:space="preserve"> </w:t>
      </w:r>
    </w:p>
    <w:p>
      <w:pPr>
        <w:kinsoku w:val="0"/>
        <w:ind w:left="599" w:leftChars="177" w:right="-57" w:hanging="210" w:hangingChars="100"/>
        <w:rPr>
          <w:rFonts w:cs="Arial"/>
          <w:sz w:val="21"/>
          <w:szCs w:val="21"/>
          <w:lang w:eastAsia="zh-CN"/>
        </w:rPr>
      </w:pPr>
      <w:r>
        <w:rPr>
          <w:rFonts w:hint="eastAsia" w:cs="Arial"/>
          <w:sz w:val="21"/>
          <w:szCs w:val="21"/>
          <w:lang w:eastAsia="zh-CN"/>
        </w:rPr>
        <w:t>2</w:t>
      </w:r>
      <w:r>
        <w:rPr>
          <w:rFonts w:cs="Arial"/>
          <w:sz w:val="21"/>
          <w:szCs w:val="21"/>
          <w:lang w:eastAsia="zh-CN"/>
        </w:rPr>
        <w:t>.</w:t>
      </w:r>
      <w:r>
        <w:rPr>
          <w:rFonts w:hint="eastAsia" w:cs="Arial"/>
          <w:sz w:val="21"/>
          <w:szCs w:val="21"/>
          <w:lang w:eastAsia="zh-CN"/>
        </w:rPr>
        <w:t xml:space="preserve"> </w:t>
      </w:r>
      <w:r>
        <w:rPr>
          <w:rFonts w:cs="Arial"/>
          <w:sz w:val="21"/>
          <w:szCs w:val="21"/>
          <w:lang w:eastAsia="zh-CN"/>
        </w:rPr>
        <w:t>本案无预付款，动员费，各类奖金，全部含于合约总价中。</w:t>
      </w:r>
    </w:p>
    <w:p>
      <w:pPr>
        <w:ind w:left="630" w:hanging="630" w:hangingChars="300"/>
        <w:jc w:val="both"/>
        <w:rPr>
          <w:rFonts w:hint="eastAsia" w:cs="Arial"/>
          <w:sz w:val="21"/>
          <w:szCs w:val="21"/>
          <w:lang w:eastAsia="zh-CN"/>
        </w:rPr>
      </w:pPr>
      <w:r>
        <w:rPr>
          <w:rFonts w:cs="Arial"/>
          <w:sz w:val="21"/>
          <w:szCs w:val="21"/>
          <w:lang w:eastAsia="zh-CN"/>
        </w:rPr>
        <w:t>十</w:t>
      </w:r>
      <w:r>
        <w:rPr>
          <w:rFonts w:hint="eastAsia" w:cs="Arial"/>
          <w:sz w:val="21"/>
          <w:szCs w:val="21"/>
          <w:lang w:eastAsia="zh-CN"/>
        </w:rPr>
        <w:t>四</w:t>
      </w:r>
      <w:r>
        <w:rPr>
          <w:rFonts w:cs="Arial"/>
          <w:sz w:val="21"/>
          <w:szCs w:val="21"/>
          <w:lang w:eastAsia="zh-CN"/>
        </w:rPr>
        <w:t>、乙方负责人：得标承包商应派</w:t>
      </w:r>
      <w:r>
        <w:rPr>
          <w:rFonts w:hint="eastAsia" w:cs="Arial"/>
          <w:sz w:val="21"/>
          <w:szCs w:val="21"/>
          <w:lang w:eastAsia="zh-CN"/>
        </w:rPr>
        <w:t>有</w:t>
      </w:r>
      <w:r>
        <w:rPr>
          <w:rFonts w:cs="Arial"/>
          <w:sz w:val="21"/>
          <w:szCs w:val="21"/>
          <w:lang w:eastAsia="zh-CN"/>
        </w:rPr>
        <w:t>经验人员为项目经理，</w:t>
      </w:r>
      <w:r>
        <w:rPr>
          <w:rFonts w:hint="eastAsia" w:cs="Arial"/>
          <w:sz w:val="21"/>
          <w:szCs w:val="21"/>
          <w:lang w:eastAsia="zh-CN"/>
        </w:rPr>
        <w:t>总体负责进度、工安及施工质量</w:t>
      </w:r>
      <w:r>
        <w:rPr>
          <w:rFonts w:cs="Arial"/>
          <w:sz w:val="21"/>
          <w:szCs w:val="21"/>
          <w:lang w:eastAsia="zh-CN"/>
        </w:rPr>
        <w:t xml:space="preserve"> </w:t>
      </w:r>
      <w:r>
        <w:rPr>
          <w:rFonts w:hint="eastAsia" w:cs="Arial"/>
          <w:sz w:val="21"/>
          <w:szCs w:val="21"/>
          <w:lang w:eastAsia="zh-CN"/>
        </w:rPr>
        <w:t>。</w:t>
      </w:r>
    </w:p>
    <w:p>
      <w:pPr>
        <w:ind w:left="630" w:hanging="630" w:hangingChars="300"/>
        <w:jc w:val="both"/>
        <w:rPr>
          <w:rFonts w:hint="eastAsia" w:cs="Arial"/>
          <w:sz w:val="21"/>
          <w:szCs w:val="21"/>
          <w:lang w:eastAsia="zh-CN"/>
        </w:rPr>
      </w:pPr>
      <w:r>
        <w:rPr>
          <w:rFonts w:hint="eastAsia" w:cs="Arial"/>
          <w:sz w:val="21"/>
          <w:szCs w:val="21"/>
          <w:lang w:eastAsia="zh-CN"/>
        </w:rPr>
        <w:t>十五、施工质量要求：承揽方委派合格焊工，需经过甲方考试合格通过后，才能承担焊接施工；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无损检测的结果需符合相关规范要求。</w:t>
      </w:r>
    </w:p>
    <w:p>
      <w:pPr>
        <w:pStyle w:val="28"/>
        <w:spacing w:line="240" w:lineRule="auto"/>
        <w:ind w:left="840" w:hanging="840"/>
        <w:rPr>
          <w:rFonts w:cs="Arial"/>
          <w:sz w:val="21"/>
          <w:szCs w:val="21"/>
        </w:rPr>
      </w:pPr>
      <w:r>
        <w:rPr>
          <w:rFonts w:cs="Arial"/>
          <w:sz w:val="21"/>
          <w:szCs w:val="21"/>
        </w:rPr>
        <w:t>十</w:t>
      </w:r>
      <w:r>
        <w:rPr>
          <w:rFonts w:hint="eastAsia" w:cs="Arial"/>
          <w:sz w:val="21"/>
          <w:szCs w:val="21"/>
        </w:rPr>
        <w:t>六</w:t>
      </w:r>
      <w:r>
        <w:rPr>
          <w:rFonts w:cs="Arial"/>
          <w:sz w:val="21"/>
          <w:szCs w:val="21"/>
        </w:rPr>
        <w:t>、损害赔偿：本案实施中如损及本公司或第三人之权益时，悉由承包人支付赔偿，若受害人向本公司要求赔偿，承包人在未解决前，本公司得保留支付其应得工款。</w:t>
      </w:r>
    </w:p>
    <w:p>
      <w:pPr>
        <w:jc w:val="both"/>
        <w:rPr>
          <w:rFonts w:cs="Arial"/>
          <w:sz w:val="21"/>
          <w:szCs w:val="21"/>
        </w:rPr>
      </w:pPr>
      <w:r>
        <w:rPr>
          <w:rFonts w:hint="eastAsia" w:cs="Arial"/>
          <w:sz w:val="21"/>
          <w:szCs w:val="21"/>
          <w:lang w:eastAsia="zh-CN"/>
        </w:rPr>
        <w:t>十七</w:t>
      </w:r>
      <w:r>
        <w:rPr>
          <w:rFonts w:cs="Arial"/>
          <w:sz w:val="21"/>
          <w:szCs w:val="21"/>
          <w:lang w:eastAsia="zh-CN"/>
        </w:rPr>
        <w:t>、保    险：</w:t>
      </w:r>
    </w:p>
    <w:p>
      <w:pPr>
        <w:numPr>
          <w:ilvl w:val="0"/>
          <w:numId w:val="8"/>
        </w:numPr>
        <w:autoSpaceDE/>
        <w:autoSpaceDN/>
        <w:ind w:left="811" w:right="-57" w:hanging="357"/>
        <w:rPr>
          <w:rFonts w:cs="Arial"/>
          <w:sz w:val="21"/>
          <w:szCs w:val="21"/>
          <w:lang w:eastAsia="zh-CN"/>
        </w:rPr>
      </w:pPr>
      <w:r>
        <w:rPr>
          <w:rFonts w:cs="Arial"/>
          <w:sz w:val="21"/>
          <w:szCs w:val="21"/>
          <w:lang w:eastAsia="zh-CN"/>
        </w:rPr>
        <w:t>自</w:t>
      </w:r>
      <w:r>
        <w:rPr>
          <w:rFonts w:hint="eastAsia" w:cs="Arial"/>
          <w:sz w:val="21"/>
          <w:szCs w:val="21"/>
          <w:lang w:eastAsia="zh-CN"/>
        </w:rPr>
        <w:t>检修工具</w:t>
      </w:r>
      <w:r>
        <w:rPr>
          <w:rFonts w:cs="Arial"/>
          <w:sz w:val="21"/>
          <w:szCs w:val="21"/>
          <w:lang w:eastAsia="zh-CN"/>
        </w:rPr>
        <w:t>器材运抵工地日起，由承包商投保营造工程综合责任险（保费由承包商负责），承包商应投保其所有营造机具、人员之综合保险并提供保单正本及缴费收据</w:t>
      </w:r>
      <w:r>
        <w:rPr>
          <w:rFonts w:hint="eastAsia" w:cs="Arial"/>
          <w:sz w:val="21"/>
          <w:szCs w:val="21"/>
          <w:lang w:eastAsia="zh-CN"/>
        </w:rPr>
        <w:t>复印件</w:t>
      </w:r>
      <w:r>
        <w:rPr>
          <w:rFonts w:cs="Arial"/>
          <w:sz w:val="21"/>
          <w:szCs w:val="21"/>
          <w:lang w:eastAsia="zh-CN"/>
        </w:rPr>
        <w:t>送交甲方备查。</w:t>
      </w:r>
    </w:p>
    <w:p>
      <w:pPr>
        <w:numPr>
          <w:ilvl w:val="0"/>
          <w:numId w:val="8"/>
        </w:numPr>
        <w:autoSpaceDE/>
        <w:autoSpaceDN/>
        <w:ind w:left="811" w:right="-57" w:hanging="357"/>
        <w:rPr>
          <w:rFonts w:cs="Arial"/>
          <w:sz w:val="21"/>
          <w:szCs w:val="21"/>
          <w:lang w:eastAsia="zh-CN"/>
        </w:rPr>
      </w:pPr>
      <w:r>
        <w:rPr>
          <w:rFonts w:cs="Arial"/>
          <w:sz w:val="21"/>
          <w:szCs w:val="21"/>
          <w:lang w:eastAsia="zh-CN"/>
        </w:rPr>
        <w:t xml:space="preserve">本工程契约签妥后，承包商应自行向产物保险公司投保上列保险，保险单应以本公司指定第三人为受益人，遇有意外事故可能导致赔偿请求时，贵司应即依照保险公司规定办理，保险单上约定之自负额及超出保险赔偿金额至取得和解书为止，均应由贵司自行负责，且不得要求本公司任何给付。保险期限为自开工日起至本工程完工日且办妥保固切结手续为止。 </w:t>
      </w:r>
    </w:p>
    <w:p>
      <w:pPr>
        <w:jc w:val="both"/>
        <w:rPr>
          <w:rFonts w:cs="Arial"/>
          <w:sz w:val="21"/>
          <w:szCs w:val="21"/>
        </w:rPr>
      </w:pPr>
      <w:r>
        <w:rPr>
          <w:rFonts w:hint="eastAsia" w:cs="Arial"/>
          <w:sz w:val="21"/>
          <w:szCs w:val="21"/>
          <w:lang w:eastAsia="zh-CN"/>
        </w:rPr>
        <w:t>十八</w:t>
      </w:r>
      <w:r>
        <w:rPr>
          <w:rFonts w:cs="Arial"/>
          <w:sz w:val="21"/>
          <w:szCs w:val="21"/>
          <w:lang w:eastAsia="zh-CN"/>
        </w:rPr>
        <w:t>、其它：</w:t>
      </w:r>
    </w:p>
    <w:p>
      <w:pPr>
        <w:numPr>
          <w:ilvl w:val="0"/>
          <w:numId w:val="9"/>
        </w:numPr>
        <w:tabs>
          <w:tab w:val="left" w:pos="900"/>
          <w:tab w:val="left" w:pos="1440"/>
        </w:tabs>
        <w:autoSpaceDE/>
        <w:autoSpaceDN/>
        <w:ind w:left="1077" w:hanging="357"/>
        <w:rPr>
          <w:rFonts w:cs="Arial"/>
          <w:sz w:val="21"/>
          <w:szCs w:val="21"/>
          <w:lang w:eastAsia="zh-CN"/>
        </w:rPr>
      </w:pPr>
      <w:r>
        <w:rPr>
          <w:rFonts w:cs="Arial"/>
          <w:sz w:val="21"/>
          <w:szCs w:val="21"/>
          <w:lang w:eastAsia="zh-CN"/>
        </w:rPr>
        <w:t>投标承包商应于</w:t>
      </w:r>
      <w:r>
        <w:rPr>
          <w:rFonts w:hint="eastAsia" w:cs="Arial"/>
          <w:sz w:val="21"/>
          <w:szCs w:val="21"/>
          <w:lang w:eastAsia="zh-CN"/>
        </w:rPr>
        <w:t>投</w:t>
      </w:r>
      <w:r>
        <w:rPr>
          <w:rFonts w:cs="Arial"/>
          <w:sz w:val="21"/>
          <w:szCs w:val="21"/>
          <w:lang w:eastAsia="zh-CN"/>
        </w:rPr>
        <w:t>标前应自行赴施工地点详实勘查，配合工程上之需要或本公司认</w:t>
      </w:r>
      <w:r>
        <w:rPr>
          <w:rFonts w:hint="eastAsia" w:cs="Arial"/>
          <w:sz w:val="21"/>
          <w:szCs w:val="21"/>
          <w:lang w:eastAsia="zh-CN"/>
        </w:rPr>
        <w:t>为</w:t>
      </w:r>
      <w:r>
        <w:rPr>
          <w:rFonts w:cs="Arial"/>
          <w:sz w:val="21"/>
          <w:szCs w:val="21"/>
          <w:lang w:eastAsia="zh-CN"/>
        </w:rPr>
        <w:t>有需要夜间施工或加派人力赶工，得标承包商应配合照做并不得要求加价。</w:t>
      </w:r>
    </w:p>
    <w:p>
      <w:pPr>
        <w:numPr>
          <w:ilvl w:val="0"/>
          <w:numId w:val="9"/>
        </w:numPr>
        <w:tabs>
          <w:tab w:val="left" w:pos="900"/>
          <w:tab w:val="left" w:pos="1440"/>
        </w:tabs>
        <w:autoSpaceDE/>
        <w:autoSpaceDN/>
        <w:ind w:left="1077" w:hanging="357"/>
        <w:rPr>
          <w:rFonts w:cs="Arial"/>
          <w:sz w:val="21"/>
          <w:szCs w:val="21"/>
          <w:lang w:eastAsia="zh-CN"/>
        </w:rPr>
      </w:pPr>
      <w:r>
        <w:rPr>
          <w:rFonts w:cs="Arial"/>
          <w:sz w:val="21"/>
          <w:szCs w:val="21"/>
          <w:lang w:eastAsia="zh-CN"/>
        </w:rPr>
        <w:t>得标后承包商不得以漏项要求办理追加</w:t>
      </w:r>
      <w:r>
        <w:rPr>
          <w:rFonts w:hint="eastAsia" w:cs="Arial"/>
          <w:sz w:val="21"/>
          <w:szCs w:val="21"/>
          <w:lang w:eastAsia="zh-CN"/>
        </w:rPr>
        <w:t>，报价应按附件单项报价，如有不实施项目，则按该项目单价进行扣减</w:t>
      </w:r>
      <w:r>
        <w:rPr>
          <w:rFonts w:cs="Arial"/>
          <w:sz w:val="21"/>
          <w:szCs w:val="21"/>
          <w:lang w:eastAsia="zh-CN"/>
        </w:rPr>
        <w:t>。</w:t>
      </w:r>
    </w:p>
    <w:p>
      <w:pPr>
        <w:numPr>
          <w:ilvl w:val="0"/>
          <w:numId w:val="9"/>
        </w:numPr>
        <w:tabs>
          <w:tab w:val="left" w:pos="900"/>
          <w:tab w:val="left" w:pos="1440"/>
        </w:tabs>
        <w:autoSpaceDE/>
        <w:autoSpaceDN/>
        <w:ind w:left="1077" w:hanging="357"/>
        <w:rPr>
          <w:rFonts w:hint="eastAsia" w:cs="Arial"/>
          <w:sz w:val="21"/>
          <w:szCs w:val="21"/>
          <w:lang w:eastAsia="zh-CN"/>
        </w:rPr>
      </w:pPr>
      <w:r>
        <w:rPr>
          <w:rFonts w:cs="Arial"/>
          <w:sz w:val="21"/>
          <w:szCs w:val="21"/>
          <w:lang w:eastAsia="zh-CN"/>
        </w:rPr>
        <w:t>入厂后每日均须先开立</w:t>
      </w:r>
      <w:r>
        <w:rPr>
          <w:rFonts w:hint="eastAsia" w:cs="Arial"/>
          <w:sz w:val="21"/>
          <w:szCs w:val="21"/>
          <w:lang w:eastAsia="zh-CN"/>
        </w:rPr>
        <w:t>冷作票或动火票</w:t>
      </w:r>
      <w:r>
        <w:rPr>
          <w:rFonts w:cs="Arial"/>
          <w:sz w:val="21"/>
          <w:szCs w:val="21"/>
          <w:lang w:eastAsia="zh-CN"/>
        </w:rPr>
        <w:t>，并经</w:t>
      </w:r>
      <w:r>
        <w:rPr>
          <w:rFonts w:hint="eastAsia" w:cs="Arial"/>
          <w:sz w:val="21"/>
          <w:szCs w:val="21"/>
          <w:lang w:eastAsia="zh-CN"/>
        </w:rPr>
        <w:t>甲方之</w:t>
      </w:r>
      <w:r>
        <w:rPr>
          <w:rFonts w:cs="Arial"/>
          <w:sz w:val="21"/>
          <w:szCs w:val="21"/>
          <w:lang w:eastAsia="zh-CN"/>
        </w:rPr>
        <w:t>使用单位确认后，方可施工</w:t>
      </w:r>
      <w:r>
        <w:rPr>
          <w:rFonts w:hint="eastAsia" w:cs="Arial"/>
          <w:sz w:val="21"/>
          <w:szCs w:val="21"/>
          <w:lang w:eastAsia="zh-CN"/>
        </w:rPr>
        <w:t>。</w:t>
      </w:r>
    </w:p>
    <w:p>
      <w:pPr>
        <w:numPr>
          <w:ilvl w:val="0"/>
          <w:numId w:val="9"/>
        </w:numPr>
        <w:tabs>
          <w:tab w:val="left" w:pos="900"/>
          <w:tab w:val="left" w:pos="1440"/>
        </w:tabs>
        <w:autoSpaceDE/>
        <w:autoSpaceDN/>
        <w:ind w:left="1077" w:hanging="357"/>
        <w:rPr>
          <w:rFonts w:cs="Arial"/>
          <w:sz w:val="21"/>
          <w:szCs w:val="21"/>
          <w:lang w:eastAsia="zh-CN"/>
        </w:rPr>
      </w:pPr>
      <w:r>
        <w:rPr>
          <w:rFonts w:cs="Arial"/>
          <w:sz w:val="21"/>
          <w:szCs w:val="21"/>
          <w:lang w:eastAsia="zh-CN"/>
        </w:rPr>
        <w:t>本工程</w:t>
      </w:r>
      <w:r>
        <w:rPr>
          <w:rFonts w:hint="eastAsia" w:cs="Arial"/>
          <w:sz w:val="21"/>
          <w:szCs w:val="21"/>
          <w:lang w:eastAsia="zh-CN"/>
        </w:rPr>
        <w:t>所需临时配电箱、电源线、照明用具等均由</w:t>
      </w:r>
      <w:r>
        <w:rPr>
          <w:rFonts w:cs="Arial"/>
          <w:sz w:val="21"/>
          <w:szCs w:val="21"/>
          <w:lang w:eastAsia="zh-CN"/>
        </w:rPr>
        <w:t>承</w:t>
      </w:r>
      <w:r>
        <w:rPr>
          <w:rFonts w:hint="eastAsia" w:cs="Arial"/>
          <w:sz w:val="21"/>
          <w:szCs w:val="21"/>
          <w:lang w:eastAsia="zh-CN"/>
        </w:rPr>
        <w:t>包</w:t>
      </w:r>
      <w:r>
        <w:rPr>
          <w:rFonts w:cs="Arial"/>
          <w:sz w:val="21"/>
          <w:szCs w:val="21"/>
          <w:lang w:eastAsia="zh-CN"/>
        </w:rPr>
        <w:t>商自行</w:t>
      </w:r>
      <w:r>
        <w:rPr>
          <w:rFonts w:hint="eastAsia" w:cs="Arial"/>
          <w:sz w:val="21"/>
          <w:szCs w:val="21"/>
          <w:lang w:eastAsia="zh-CN"/>
        </w:rPr>
        <w:t>携带，甲方指定接入点，由</w:t>
      </w:r>
      <w:r>
        <w:rPr>
          <w:rFonts w:cs="Arial"/>
          <w:sz w:val="21"/>
          <w:szCs w:val="21"/>
          <w:lang w:eastAsia="zh-CN"/>
        </w:rPr>
        <w:t>承包商</w:t>
      </w:r>
      <w:r>
        <w:rPr>
          <w:rFonts w:hint="eastAsia" w:cs="Arial"/>
          <w:sz w:val="21"/>
          <w:szCs w:val="21"/>
          <w:lang w:eastAsia="zh-CN"/>
        </w:rPr>
        <w:t>具备电气资质人员接入</w:t>
      </w:r>
      <w:r>
        <w:rPr>
          <w:rFonts w:cs="Arial"/>
          <w:sz w:val="21"/>
          <w:szCs w:val="21"/>
          <w:lang w:eastAsia="zh-CN"/>
        </w:rPr>
        <w:t>。</w:t>
      </w:r>
    </w:p>
    <w:p>
      <w:pPr>
        <w:numPr>
          <w:ilvl w:val="0"/>
          <w:numId w:val="9"/>
        </w:numPr>
        <w:tabs>
          <w:tab w:val="left" w:pos="900"/>
          <w:tab w:val="left" w:pos="1440"/>
        </w:tabs>
        <w:autoSpaceDE/>
        <w:autoSpaceDN/>
        <w:ind w:left="1077" w:hanging="357"/>
        <w:rPr>
          <w:rFonts w:cs="Arial"/>
          <w:sz w:val="21"/>
          <w:szCs w:val="21"/>
          <w:lang w:eastAsia="zh-CN"/>
        </w:rPr>
      </w:pPr>
      <w:r>
        <w:rPr>
          <w:rFonts w:cs="Arial"/>
          <w:sz w:val="21"/>
          <w:szCs w:val="21"/>
          <w:lang w:eastAsia="zh-CN"/>
        </w:rPr>
        <w:t>工程施工过程中产生的民生及工程废弃物，</w:t>
      </w:r>
      <w:bookmarkStart w:id="3" w:name="OLE_LINK1"/>
      <w:r>
        <w:rPr>
          <w:rFonts w:cs="Arial"/>
          <w:sz w:val="21"/>
          <w:szCs w:val="21"/>
          <w:lang w:eastAsia="zh-CN"/>
        </w:rPr>
        <w:t>承包商</w:t>
      </w:r>
      <w:bookmarkEnd w:id="3"/>
      <w:r>
        <w:rPr>
          <w:rFonts w:cs="Arial"/>
          <w:sz w:val="21"/>
          <w:szCs w:val="21"/>
          <w:lang w:eastAsia="zh-CN"/>
        </w:rPr>
        <w:t>须清理集中</w:t>
      </w:r>
      <w:r>
        <w:rPr>
          <w:rFonts w:hint="eastAsia" w:cs="Arial"/>
          <w:sz w:val="21"/>
          <w:szCs w:val="21"/>
          <w:lang w:eastAsia="zh-CN"/>
        </w:rPr>
        <w:t>到指定地点</w:t>
      </w:r>
      <w:r>
        <w:rPr>
          <w:rFonts w:cs="Arial"/>
          <w:sz w:val="21"/>
          <w:szCs w:val="21"/>
          <w:lang w:eastAsia="zh-CN"/>
        </w:rPr>
        <w:t>。</w:t>
      </w:r>
    </w:p>
    <w:p>
      <w:pPr>
        <w:numPr>
          <w:ilvl w:val="0"/>
          <w:numId w:val="9"/>
        </w:numPr>
        <w:tabs>
          <w:tab w:val="left" w:pos="900"/>
          <w:tab w:val="left" w:pos="1440"/>
        </w:tabs>
        <w:autoSpaceDE/>
        <w:autoSpaceDN/>
        <w:ind w:left="1077" w:hanging="357"/>
        <w:rPr>
          <w:rFonts w:cs="Arial"/>
          <w:sz w:val="21"/>
          <w:szCs w:val="21"/>
          <w:lang w:eastAsia="zh-CN"/>
        </w:rPr>
      </w:pPr>
      <w:r>
        <w:rPr>
          <w:rFonts w:cs="Arial"/>
          <w:sz w:val="21"/>
          <w:szCs w:val="21"/>
          <w:lang w:eastAsia="zh-CN"/>
        </w:rPr>
        <w:t>承包商</w:t>
      </w:r>
      <w:r>
        <w:rPr>
          <w:rFonts w:hint="eastAsia" w:cs="Arial"/>
          <w:sz w:val="21"/>
          <w:szCs w:val="21"/>
          <w:lang w:eastAsia="zh-CN"/>
        </w:rPr>
        <w:t>每日施</w:t>
      </w:r>
      <w:r>
        <w:rPr>
          <w:rFonts w:cs="Arial"/>
          <w:sz w:val="21"/>
          <w:szCs w:val="21"/>
          <w:lang w:eastAsia="zh-CN"/>
        </w:rPr>
        <w:t>工完</w:t>
      </w:r>
      <w:r>
        <w:rPr>
          <w:rFonts w:hint="eastAsia" w:cs="Arial"/>
          <w:sz w:val="21"/>
          <w:szCs w:val="21"/>
          <w:lang w:eastAsia="zh-CN"/>
        </w:rPr>
        <w:t>成</w:t>
      </w:r>
      <w:r>
        <w:rPr>
          <w:rFonts w:cs="Arial"/>
          <w:sz w:val="21"/>
          <w:szCs w:val="21"/>
          <w:lang w:eastAsia="zh-CN"/>
        </w:rPr>
        <w:t>后，须清理周围环境，保证施工范围内环境清洁。</w:t>
      </w:r>
    </w:p>
    <w:p>
      <w:pPr>
        <w:numPr>
          <w:ilvl w:val="0"/>
          <w:numId w:val="9"/>
        </w:numPr>
        <w:tabs>
          <w:tab w:val="left" w:pos="900"/>
          <w:tab w:val="left" w:pos="1440"/>
        </w:tabs>
        <w:autoSpaceDE/>
        <w:autoSpaceDN/>
        <w:rPr>
          <w:rFonts w:cs="Arial"/>
          <w:sz w:val="21"/>
          <w:szCs w:val="21"/>
          <w:lang w:eastAsia="zh-CN"/>
        </w:rPr>
      </w:pPr>
      <w:r>
        <w:rPr>
          <w:rFonts w:cs="Arial"/>
          <w:sz w:val="21"/>
          <w:szCs w:val="21"/>
          <w:lang w:eastAsia="zh-CN"/>
        </w:rPr>
        <w:t>入厂作业规定依</w:t>
      </w:r>
      <w:r>
        <w:rPr>
          <w:rFonts w:hint="eastAsia" w:cs="Arial"/>
          <w:sz w:val="21"/>
          <w:szCs w:val="21"/>
          <w:lang w:eastAsia="zh-CN"/>
        </w:rPr>
        <w:t>甲方</w:t>
      </w:r>
      <w:r>
        <w:rPr>
          <w:rFonts w:cs="Arial"/>
          <w:sz w:val="21"/>
          <w:szCs w:val="21"/>
          <w:lang w:eastAsia="zh-CN"/>
        </w:rPr>
        <w:t>规定办理。</w:t>
      </w:r>
    </w:p>
    <w:p>
      <w:pPr>
        <w:tabs>
          <w:tab w:val="left" w:pos="567"/>
        </w:tabs>
        <w:ind w:left="220" w:leftChars="100" w:right="-53" w:rightChars="-24" w:firstLine="420" w:firstLineChars="200"/>
        <w:rPr>
          <w:rFonts w:hint="eastAsia" w:cs="Arial"/>
          <w:sz w:val="21"/>
          <w:szCs w:val="21"/>
          <w:lang w:eastAsia="zh-CN"/>
        </w:rPr>
      </w:pPr>
      <w:r>
        <w:rPr>
          <w:rFonts w:cs="Arial"/>
          <w:sz w:val="21"/>
          <w:szCs w:val="21"/>
          <w:lang w:eastAsia="zh-CN"/>
        </w:rPr>
        <w:t>本工程须知于订约时作为契约</w:t>
      </w:r>
      <w:r>
        <w:rPr>
          <w:rFonts w:hint="eastAsia" w:cs="Arial"/>
          <w:sz w:val="21"/>
          <w:szCs w:val="21"/>
          <w:lang w:eastAsia="zh-CN"/>
        </w:rPr>
        <w:t>附</w:t>
      </w:r>
      <w:r>
        <w:rPr>
          <w:rFonts w:cs="Arial"/>
          <w:sz w:val="21"/>
          <w:szCs w:val="21"/>
          <w:lang w:eastAsia="zh-CN"/>
        </w:rPr>
        <w:t>件之一，其各项规定，如议价时有变更或补充之处，均于议价时双方协议补充之，并以议（比）价记录为准。</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ascii="方正小标宋简体" w:hAnsi="方正小标宋简体" w:eastAsia="方正小标宋简体" w:cs="方正小标宋简体"/>
          <w:b/>
          <w:color w:val="000000" w:themeColor="text1"/>
          <w:sz w:val="44"/>
          <w:szCs w:val="44"/>
          <w:lang w:eastAsia="zh-CN"/>
        </w:rPr>
        <w:t>PTA厂区2022年V-522容器</w:t>
      </w:r>
      <w:r>
        <w:rPr>
          <w:rFonts w:hint="eastAsia" w:ascii="方正小标宋简体" w:hAnsi="方正小标宋简体" w:eastAsia="方正小标宋简体" w:cs="方正小标宋简体"/>
          <w:b/>
          <w:color w:val="000000" w:themeColor="text1"/>
          <w:sz w:val="44"/>
          <w:szCs w:val="44"/>
          <w:lang w:eastAsia="zh-CN"/>
        </w:rPr>
        <w:t>改造项目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tcPr>
          <w:p>
            <w:pPr>
              <w:spacing w:line="500" w:lineRule="exact"/>
              <w:rPr>
                <w:rFonts w:hint="default" w:eastAsia="宋体"/>
                <w:sz w:val="24"/>
                <w:lang w:val="en-US" w:eastAsia="zh-CN"/>
              </w:rPr>
            </w:pPr>
            <w:r>
              <w:rPr>
                <w:rFonts w:hint="eastAsia"/>
                <w:sz w:val="24"/>
                <w:lang w:val="en-US" w:eastAsia="zh-CN"/>
              </w:rPr>
              <w:t>业绩资质证明文件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rPr>
      </w:pPr>
    </w:p>
    <w:p>
      <w:pPr>
        <w:pStyle w:val="2"/>
        <w:rPr>
          <w:rFonts w:hint="eastAsia"/>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业绩资质证明文件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hint="eastAsia"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ascii="Times New Roman" w:hAnsi="ˎ̥"/>
          <w:color w:val="000000" w:themeColor="text1"/>
          <w:sz w:val="28"/>
          <w:szCs w:val="28"/>
          <w:u w:val="single"/>
          <w:lang w:eastAsia="zh-CN"/>
        </w:rPr>
        <w:t>PTA厂区2022年V-522容器</w:t>
      </w:r>
      <w:r>
        <w:rPr>
          <w:rFonts w:hint="eastAsia" w:ascii="Times New Roman" w:hAnsi="ˎ̥"/>
          <w:color w:val="000000" w:themeColor="text1"/>
          <w:sz w:val="28"/>
          <w:szCs w:val="28"/>
          <w:u w:val="single"/>
          <w:lang w:eastAsia="zh-CN"/>
        </w:rPr>
        <w:t>改造项目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10291"/>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b/>
                <w:bCs/>
                <w:sz w:val="24"/>
                <w:szCs w:val="24"/>
                <w:lang w:eastAsia="zh-CN"/>
              </w:rPr>
              <w:t>V-522容器</w:t>
            </w:r>
            <w:r>
              <w:rPr>
                <w:rFonts w:hint="eastAsia"/>
                <w:b/>
                <w:bCs/>
                <w:sz w:val="24"/>
                <w:szCs w:val="24"/>
                <w:lang w:eastAsia="zh-CN"/>
              </w:rPr>
              <w:t>改造项目采购价格清单</w:t>
            </w:r>
          </w:p>
          <w:tbl>
            <w:tblPr>
              <w:tblStyle w:val="4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530"/>
              <w:gridCol w:w="2071"/>
              <w:gridCol w:w="1096"/>
              <w:gridCol w:w="679"/>
              <w:gridCol w:w="829"/>
              <w:gridCol w:w="805"/>
              <w:gridCol w:w="92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pPr>
                    <w:widowControl/>
                    <w:autoSpaceDE/>
                    <w:autoSpaceDN/>
                    <w:jc w:val="center"/>
                    <w:rPr>
                      <w:lang w:eastAsia="zh-CN"/>
                    </w:rPr>
                  </w:pPr>
                  <w:r>
                    <w:rPr>
                      <w:lang w:eastAsia="zh-CN"/>
                    </w:rPr>
                    <w:t>序号</w:t>
                  </w:r>
                </w:p>
              </w:tc>
              <w:tc>
                <w:tcPr>
                  <w:tcW w:w="1530" w:type="dxa"/>
                </w:tcPr>
                <w:p>
                  <w:pPr>
                    <w:widowControl/>
                    <w:autoSpaceDE/>
                    <w:autoSpaceDN/>
                    <w:jc w:val="center"/>
                    <w:rPr>
                      <w:lang w:eastAsia="zh-CN"/>
                    </w:rPr>
                  </w:pPr>
                  <w:r>
                    <w:rPr>
                      <w:lang w:eastAsia="zh-CN"/>
                    </w:rPr>
                    <w:t>物品名称</w:t>
                  </w:r>
                </w:p>
              </w:tc>
              <w:tc>
                <w:tcPr>
                  <w:tcW w:w="2071" w:type="dxa"/>
                </w:tcPr>
                <w:p>
                  <w:pPr>
                    <w:widowControl/>
                    <w:autoSpaceDE/>
                    <w:autoSpaceDN/>
                    <w:jc w:val="center"/>
                    <w:rPr>
                      <w:lang w:eastAsia="zh-CN"/>
                    </w:rPr>
                  </w:pPr>
                  <w:r>
                    <w:rPr>
                      <w:lang w:eastAsia="zh-CN"/>
                    </w:rPr>
                    <w:t>规格</w:t>
                  </w:r>
                </w:p>
              </w:tc>
              <w:tc>
                <w:tcPr>
                  <w:tcW w:w="1096" w:type="dxa"/>
                </w:tcPr>
                <w:p>
                  <w:pPr>
                    <w:widowControl/>
                    <w:autoSpaceDE/>
                    <w:autoSpaceDN/>
                    <w:jc w:val="center"/>
                    <w:rPr>
                      <w:lang w:eastAsia="zh-CN"/>
                    </w:rPr>
                  </w:pPr>
                  <w:r>
                    <w:rPr>
                      <w:rFonts w:hint="eastAsia"/>
                      <w:lang w:eastAsia="zh-CN"/>
                    </w:rPr>
                    <w:t>型号</w:t>
                  </w:r>
                </w:p>
              </w:tc>
              <w:tc>
                <w:tcPr>
                  <w:tcW w:w="679" w:type="dxa"/>
                </w:tcPr>
                <w:p>
                  <w:pPr>
                    <w:widowControl/>
                    <w:autoSpaceDE/>
                    <w:autoSpaceDN/>
                    <w:jc w:val="center"/>
                    <w:rPr>
                      <w:lang w:eastAsia="zh-CN"/>
                    </w:rPr>
                  </w:pPr>
                  <w:r>
                    <w:rPr>
                      <w:lang w:eastAsia="zh-CN"/>
                    </w:rPr>
                    <w:t>数量</w:t>
                  </w:r>
                </w:p>
              </w:tc>
              <w:tc>
                <w:tcPr>
                  <w:tcW w:w="829" w:type="dxa"/>
                </w:tcPr>
                <w:p>
                  <w:pPr>
                    <w:widowControl/>
                    <w:autoSpaceDE/>
                    <w:autoSpaceDN/>
                    <w:jc w:val="center"/>
                    <w:rPr>
                      <w:lang w:eastAsia="zh-CN"/>
                    </w:rPr>
                  </w:pPr>
                  <w:r>
                    <w:rPr>
                      <w:lang w:eastAsia="zh-CN"/>
                    </w:rPr>
                    <w:t>品牌</w:t>
                  </w:r>
                </w:p>
              </w:tc>
              <w:tc>
                <w:tcPr>
                  <w:tcW w:w="805" w:type="dxa"/>
                </w:tcPr>
                <w:p>
                  <w:pPr>
                    <w:widowControl/>
                    <w:autoSpaceDE/>
                    <w:autoSpaceDN/>
                    <w:jc w:val="center"/>
                    <w:rPr>
                      <w:lang w:eastAsia="zh-CN"/>
                    </w:rPr>
                  </w:pPr>
                  <w:r>
                    <w:rPr>
                      <w:lang w:eastAsia="zh-CN"/>
                    </w:rPr>
                    <w:t>单价</w:t>
                  </w:r>
                </w:p>
              </w:tc>
              <w:tc>
                <w:tcPr>
                  <w:tcW w:w="924" w:type="dxa"/>
                </w:tcPr>
                <w:p>
                  <w:pPr>
                    <w:widowControl/>
                    <w:autoSpaceDE/>
                    <w:autoSpaceDN/>
                    <w:jc w:val="center"/>
                    <w:rPr>
                      <w:lang w:eastAsia="zh-CN"/>
                    </w:rPr>
                  </w:pPr>
                  <w:r>
                    <w:rPr>
                      <w:lang w:eastAsia="zh-CN"/>
                    </w:rPr>
                    <w:t>总价</w:t>
                  </w:r>
                </w:p>
              </w:tc>
              <w:tc>
                <w:tcPr>
                  <w:tcW w:w="1453"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pPr>
                    <w:widowControl/>
                    <w:autoSpaceDE/>
                    <w:autoSpaceDN/>
                    <w:jc w:val="center"/>
                    <w:rPr>
                      <w:lang w:eastAsia="zh-CN"/>
                    </w:rPr>
                  </w:pPr>
                  <w:r>
                    <w:rPr>
                      <w:rFonts w:hint="eastAsia"/>
                      <w:lang w:eastAsia="zh-CN"/>
                    </w:rPr>
                    <w:t>1</w:t>
                  </w:r>
                </w:p>
              </w:tc>
              <w:tc>
                <w:tcPr>
                  <w:tcW w:w="1530" w:type="dxa"/>
                  <w:vAlign w:val="center"/>
                </w:tcPr>
                <w:p>
                  <w:pPr>
                    <w:widowControl/>
                    <w:autoSpaceDE/>
                    <w:autoSpaceDN/>
                    <w:jc w:val="center"/>
                    <w:rPr>
                      <w:lang w:eastAsia="zh-CN"/>
                    </w:rPr>
                  </w:pPr>
                  <w:r>
                    <w:rPr>
                      <w:lang w:eastAsia="zh-CN"/>
                    </w:rPr>
                    <w:t>V-522容器</w:t>
                  </w:r>
                  <w:r>
                    <w:rPr>
                      <w:rFonts w:hint="eastAsia"/>
                      <w:lang w:eastAsia="zh-CN"/>
                    </w:rPr>
                    <w:t>改造</w:t>
                  </w:r>
                </w:p>
              </w:tc>
              <w:tc>
                <w:tcPr>
                  <w:tcW w:w="2071" w:type="dxa"/>
                  <w:vAlign w:val="center"/>
                </w:tcPr>
                <w:p>
                  <w:pPr>
                    <w:widowControl/>
                    <w:autoSpaceDE/>
                    <w:autoSpaceDN/>
                    <w:jc w:val="center"/>
                    <w:rPr>
                      <w:lang w:eastAsia="zh-CN"/>
                    </w:rPr>
                  </w:pPr>
                </w:p>
              </w:tc>
              <w:tc>
                <w:tcPr>
                  <w:tcW w:w="1096"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eastAsia="zh-CN"/>
                    </w:rPr>
                    <w:t>1台</w:t>
                  </w:r>
                </w:p>
              </w:tc>
              <w:tc>
                <w:tcPr>
                  <w:tcW w:w="829" w:type="dxa"/>
                </w:tcPr>
                <w:p>
                  <w:pPr>
                    <w:widowControl/>
                    <w:autoSpaceDE/>
                    <w:autoSpaceDN/>
                    <w:jc w:val="center"/>
                    <w:rPr>
                      <w:lang w:eastAsia="zh-CN"/>
                    </w:rPr>
                  </w:pPr>
                </w:p>
              </w:tc>
              <w:tc>
                <w:tcPr>
                  <w:tcW w:w="805" w:type="dxa"/>
                </w:tcPr>
                <w:p>
                  <w:pPr>
                    <w:widowControl/>
                    <w:autoSpaceDE/>
                    <w:autoSpaceDN/>
                    <w:jc w:val="center"/>
                    <w:rPr>
                      <w:lang w:eastAsia="zh-CN"/>
                    </w:rPr>
                  </w:pPr>
                </w:p>
              </w:tc>
              <w:tc>
                <w:tcPr>
                  <w:tcW w:w="924" w:type="dxa"/>
                </w:tcPr>
                <w:p>
                  <w:pPr>
                    <w:widowControl/>
                    <w:autoSpaceDE/>
                    <w:autoSpaceDN/>
                    <w:jc w:val="center"/>
                    <w:rPr>
                      <w:lang w:eastAsia="zh-CN"/>
                    </w:rPr>
                  </w:pPr>
                </w:p>
              </w:tc>
              <w:tc>
                <w:tcPr>
                  <w:tcW w:w="1453"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88" w:type="dxa"/>
                  <w:gridSpan w:val="7"/>
                </w:tcPr>
                <w:p>
                  <w:pPr>
                    <w:widowControl/>
                    <w:autoSpaceDE/>
                    <w:autoSpaceDN/>
                    <w:jc w:val="center"/>
                    <w:rPr>
                      <w:lang w:eastAsia="zh-CN"/>
                    </w:rPr>
                  </w:pPr>
                  <w:r>
                    <w:rPr>
                      <w:lang w:eastAsia="zh-CN"/>
                    </w:rPr>
                    <w:t>合计</w:t>
                  </w:r>
                  <w:r>
                    <w:rPr>
                      <w:rFonts w:hint="eastAsia"/>
                      <w:lang w:eastAsia="zh-CN"/>
                    </w:rPr>
                    <w:t>：</w:t>
                  </w:r>
                </w:p>
              </w:tc>
              <w:tc>
                <w:tcPr>
                  <w:tcW w:w="2377"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21</w:t>
        </w:r>
        <w:r>
          <w:rPr>
            <w:lang w:val="zh-CN" w:eastAsia="zh-CN"/>
          </w:rP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AC02E7"/>
    <w:multiLevelType w:val="multilevel"/>
    <w:tmpl w:val="0BAC02E7"/>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360"/>
      </w:pPr>
      <w:rPr>
        <w:rFonts w:hint="default"/>
      </w:rPr>
    </w:lvl>
    <w:lvl w:ilvl="2" w:tentative="0">
      <w:start w:val="1"/>
      <w:numFmt w:val="lowerLetter"/>
      <w:lvlText w:val="%3."/>
      <w:lvlJc w:val="right"/>
      <w:pPr>
        <w:tabs>
          <w:tab w:val="left" w:pos="2160"/>
        </w:tabs>
        <w:ind w:left="2160" w:hanging="480"/>
      </w:pPr>
      <w:rPr>
        <w:rFonts w:ascii="Arial" w:hAnsi="Arial" w:eastAsia="楷体_GB2312" w:cs="Arial"/>
      </w:r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2">
    <w:nsid w:val="0C9B4D6A"/>
    <w:multiLevelType w:val="multilevel"/>
    <w:tmpl w:val="0C9B4D6A"/>
    <w:lvl w:ilvl="0" w:tentative="0">
      <w:start w:val="1"/>
      <w:numFmt w:val="decimal"/>
      <w:lvlText w:val="%1."/>
      <w:lvlJc w:val="left"/>
      <w:pPr>
        <w:tabs>
          <w:tab w:val="left" w:pos="814"/>
        </w:tabs>
        <w:ind w:left="814" w:hanging="360"/>
      </w:pPr>
      <w:rPr>
        <w:rFonts w:hint="eastAsia"/>
      </w:rPr>
    </w:lvl>
    <w:lvl w:ilvl="1" w:tentative="0">
      <w:start w:val="1"/>
      <w:numFmt w:val="ideographTraditional"/>
      <w:lvlText w:val="%2、"/>
      <w:lvlJc w:val="left"/>
      <w:pPr>
        <w:tabs>
          <w:tab w:val="left" w:pos="1414"/>
        </w:tabs>
        <w:ind w:left="1414" w:hanging="480"/>
      </w:pPr>
    </w:lvl>
    <w:lvl w:ilvl="2" w:tentative="0">
      <w:start w:val="1"/>
      <w:numFmt w:val="lowerRoman"/>
      <w:lvlText w:val="%3."/>
      <w:lvlJc w:val="right"/>
      <w:pPr>
        <w:tabs>
          <w:tab w:val="left" w:pos="1894"/>
        </w:tabs>
        <w:ind w:left="1894" w:hanging="480"/>
      </w:pPr>
    </w:lvl>
    <w:lvl w:ilvl="3" w:tentative="0">
      <w:start w:val="1"/>
      <w:numFmt w:val="decimal"/>
      <w:lvlText w:val="%4."/>
      <w:lvlJc w:val="left"/>
      <w:pPr>
        <w:tabs>
          <w:tab w:val="left" w:pos="2374"/>
        </w:tabs>
        <w:ind w:left="2374" w:hanging="480"/>
      </w:pPr>
    </w:lvl>
    <w:lvl w:ilvl="4" w:tentative="0">
      <w:start w:val="1"/>
      <w:numFmt w:val="ideographTraditional"/>
      <w:lvlText w:val="%5、"/>
      <w:lvlJc w:val="left"/>
      <w:pPr>
        <w:tabs>
          <w:tab w:val="left" w:pos="2854"/>
        </w:tabs>
        <w:ind w:left="2854" w:hanging="480"/>
      </w:pPr>
    </w:lvl>
    <w:lvl w:ilvl="5" w:tentative="0">
      <w:start w:val="1"/>
      <w:numFmt w:val="lowerRoman"/>
      <w:lvlText w:val="%6."/>
      <w:lvlJc w:val="right"/>
      <w:pPr>
        <w:tabs>
          <w:tab w:val="left" w:pos="3334"/>
        </w:tabs>
        <w:ind w:left="3334" w:hanging="480"/>
      </w:pPr>
    </w:lvl>
    <w:lvl w:ilvl="6" w:tentative="0">
      <w:start w:val="1"/>
      <w:numFmt w:val="decimal"/>
      <w:lvlText w:val="%7."/>
      <w:lvlJc w:val="left"/>
      <w:pPr>
        <w:tabs>
          <w:tab w:val="left" w:pos="3814"/>
        </w:tabs>
        <w:ind w:left="3814" w:hanging="480"/>
      </w:pPr>
    </w:lvl>
    <w:lvl w:ilvl="7" w:tentative="0">
      <w:start w:val="1"/>
      <w:numFmt w:val="ideographTraditional"/>
      <w:lvlText w:val="%8、"/>
      <w:lvlJc w:val="left"/>
      <w:pPr>
        <w:tabs>
          <w:tab w:val="left" w:pos="4294"/>
        </w:tabs>
        <w:ind w:left="4294" w:hanging="480"/>
      </w:pPr>
    </w:lvl>
    <w:lvl w:ilvl="8" w:tentative="0">
      <w:start w:val="1"/>
      <w:numFmt w:val="lowerRoman"/>
      <w:lvlText w:val="%9."/>
      <w:lvlJc w:val="right"/>
      <w:pPr>
        <w:tabs>
          <w:tab w:val="left" w:pos="4774"/>
        </w:tabs>
        <w:ind w:left="4774" w:hanging="480"/>
      </w:pPr>
    </w:lvl>
  </w:abstractNum>
  <w:abstractNum w:abstractNumId="3">
    <w:nsid w:val="0FFE2432"/>
    <w:multiLevelType w:val="multilevel"/>
    <w:tmpl w:val="0FFE2432"/>
    <w:lvl w:ilvl="0" w:tentative="0">
      <w:start w:val="1"/>
      <w:numFmt w:val="taiwaneseCountingThousand"/>
      <w:lvlText w:val="%1、"/>
      <w:lvlJc w:val="left"/>
      <w:pPr>
        <w:tabs>
          <w:tab w:val="left" w:pos="600"/>
        </w:tabs>
        <w:ind w:left="600" w:hanging="600"/>
      </w:pPr>
      <w:rPr>
        <w:rFonts w:hint="eastAsia"/>
      </w:rPr>
    </w:lvl>
    <w:lvl w:ilvl="1" w:tentative="0">
      <w:start w:val="1"/>
      <w:numFmt w:val="decimal"/>
      <w:lvlText w:val="%2."/>
      <w:lvlJc w:val="left"/>
      <w:pPr>
        <w:tabs>
          <w:tab w:val="left" w:pos="840"/>
        </w:tabs>
        <w:ind w:left="840" w:hanging="360"/>
      </w:pPr>
      <w:rPr>
        <w:rFonts w:hint="eastAsia"/>
      </w:rPr>
    </w:lvl>
    <w:lvl w:ilvl="2" w:tentative="0">
      <w:start w:val="1"/>
      <w:numFmt w:val="decimal"/>
      <w:lvlText w:val="%3．"/>
      <w:lvlJc w:val="left"/>
      <w:pPr>
        <w:tabs>
          <w:tab w:val="left" w:pos="1320"/>
        </w:tabs>
        <w:ind w:left="1320" w:hanging="360"/>
      </w:pPr>
      <w:rPr>
        <w:rFonts w:hint="eastAsia"/>
      </w:rPr>
    </w:lvl>
    <w:lvl w:ilvl="3" w:tentative="0">
      <w:start w:val="1"/>
      <w:numFmt w:val="lowerLetter"/>
      <w:lvlText w:val="%4."/>
      <w:lvlJc w:val="left"/>
      <w:pPr>
        <w:tabs>
          <w:tab w:val="left" w:pos="1800"/>
        </w:tabs>
        <w:ind w:left="1800" w:hanging="360"/>
      </w:pPr>
      <w:rPr>
        <w:rFonts w:hint="default"/>
      </w:rPr>
    </w:lvl>
    <w:lvl w:ilvl="4" w:tentative="0">
      <w:start w:val="1"/>
      <w:numFmt w:val="lowerLetter"/>
      <w:lvlText w:val="%5．"/>
      <w:lvlJc w:val="left"/>
      <w:pPr>
        <w:tabs>
          <w:tab w:val="left" w:pos="2280"/>
        </w:tabs>
        <w:ind w:left="2280" w:hanging="360"/>
      </w:pPr>
      <w:rPr>
        <w:rFonts w:hint="default"/>
      </w:rPr>
    </w:lvl>
    <w:lvl w:ilvl="5" w:tentative="0">
      <w:start w:val="1"/>
      <w:numFmt w:val="decimal"/>
      <w:lvlText w:val="（%6）"/>
      <w:lvlJc w:val="left"/>
      <w:pPr>
        <w:tabs>
          <w:tab w:val="left" w:pos="1620"/>
        </w:tabs>
        <w:ind w:left="1620" w:hanging="720"/>
      </w:pPr>
      <w:rPr>
        <w:rFonts w:hint="default"/>
      </w:r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0"/>
  </w:num>
  <w:num w:numId="3">
    <w:abstractNumId w:val="4"/>
  </w:num>
  <w:num w:numId="4">
    <w:abstractNumId w:val="5"/>
  </w:num>
  <w:num w:numId="5">
    <w:abstractNumId w:val="6"/>
  </w:num>
  <w:num w:numId="6">
    <w:abstractNumId w:val="8"/>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3596"/>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6DB"/>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27BE2"/>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B506B"/>
    <w:rsid w:val="008C03C3"/>
    <w:rsid w:val="008E1769"/>
    <w:rsid w:val="008E1F3F"/>
    <w:rsid w:val="008E2155"/>
    <w:rsid w:val="008E5198"/>
    <w:rsid w:val="008F239D"/>
    <w:rsid w:val="008F3559"/>
    <w:rsid w:val="009032FB"/>
    <w:rsid w:val="00913D14"/>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17A24"/>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5800409"/>
    <w:rsid w:val="18DD4F7E"/>
    <w:rsid w:val="195B58A2"/>
    <w:rsid w:val="1E085A14"/>
    <w:rsid w:val="1FF43DDB"/>
    <w:rsid w:val="21933AA2"/>
    <w:rsid w:val="23265C4C"/>
    <w:rsid w:val="25BF356F"/>
    <w:rsid w:val="25DB0C2D"/>
    <w:rsid w:val="269469E7"/>
    <w:rsid w:val="26D07E7B"/>
    <w:rsid w:val="27EE0826"/>
    <w:rsid w:val="292A3847"/>
    <w:rsid w:val="2998140D"/>
    <w:rsid w:val="29FC3B14"/>
    <w:rsid w:val="2B11792E"/>
    <w:rsid w:val="2F323FAA"/>
    <w:rsid w:val="2F724BD0"/>
    <w:rsid w:val="30851032"/>
    <w:rsid w:val="31C54755"/>
    <w:rsid w:val="3216608C"/>
    <w:rsid w:val="34CE14C6"/>
    <w:rsid w:val="34D84CEC"/>
    <w:rsid w:val="37AF5AB7"/>
    <w:rsid w:val="3B1C3371"/>
    <w:rsid w:val="3CC23198"/>
    <w:rsid w:val="3DDF4815"/>
    <w:rsid w:val="3FE669E5"/>
    <w:rsid w:val="462A54F2"/>
    <w:rsid w:val="4A6A5207"/>
    <w:rsid w:val="4DEA0FDE"/>
    <w:rsid w:val="50F63E28"/>
    <w:rsid w:val="5221007F"/>
    <w:rsid w:val="52330C7C"/>
    <w:rsid w:val="52926B5A"/>
    <w:rsid w:val="52F74B88"/>
    <w:rsid w:val="538141BB"/>
    <w:rsid w:val="545C5E51"/>
    <w:rsid w:val="5486175B"/>
    <w:rsid w:val="57667D24"/>
    <w:rsid w:val="57CE5BC3"/>
    <w:rsid w:val="5A2D3E44"/>
    <w:rsid w:val="5A3260D4"/>
    <w:rsid w:val="5AE1516A"/>
    <w:rsid w:val="5B6A3A79"/>
    <w:rsid w:val="5C1A5F7B"/>
    <w:rsid w:val="645771F8"/>
    <w:rsid w:val="687844BC"/>
    <w:rsid w:val="6A54112D"/>
    <w:rsid w:val="6AA035AE"/>
    <w:rsid w:val="6BCB034D"/>
    <w:rsid w:val="6E0F2E14"/>
    <w:rsid w:val="6F1E141D"/>
    <w:rsid w:val="6F5354F8"/>
    <w:rsid w:val="727810B8"/>
    <w:rsid w:val="740A2BDE"/>
    <w:rsid w:val="751839E0"/>
    <w:rsid w:val="76274F93"/>
    <w:rsid w:val="766A5378"/>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5010D8-6334-4360-B57D-40A9A2466F3E}">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1987</Words>
  <Characters>11330</Characters>
  <Lines>94</Lines>
  <Paragraphs>26</Paragraphs>
  <TotalTime>0</TotalTime>
  <ScaleCrop>false</ScaleCrop>
  <LinksUpToDate>false</LinksUpToDate>
  <CharactersWithSpaces>13291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2022-03-30T01:16:50Z</dcterms:modified>
  <dc:title>公开招标文件（货物服务类）</dc:title>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