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48"/>
          <w:szCs w:val="48"/>
          <w:u w:val="single"/>
          <w:lang w:eastAsia="zh-CN"/>
        </w:rPr>
      </w:pPr>
      <w:r>
        <w:rPr>
          <w:rFonts w:hint="eastAsia" w:ascii="微软雅黑" w:eastAsia="微软雅黑"/>
          <w:b/>
          <w:sz w:val="48"/>
          <w:szCs w:val="48"/>
          <w:u w:val="single"/>
          <w:lang w:eastAsia="zh-CN"/>
        </w:rPr>
        <w:t>福建福海创石油化工有限公司</w:t>
      </w:r>
    </w:p>
    <w:p>
      <w:pPr>
        <w:spacing w:line="720" w:lineRule="auto"/>
        <w:jc w:val="center"/>
        <w:rPr>
          <w:rFonts w:ascii="微软雅黑" w:hAnsi="微软雅黑" w:eastAsia="微软雅黑"/>
          <w:b/>
          <w:sz w:val="36"/>
          <w:szCs w:val="36"/>
          <w:lang w:eastAsia="zh-CN"/>
        </w:rPr>
      </w:pPr>
    </w:p>
    <w:p>
      <w:pPr>
        <w:ind w:left="169"/>
        <w:jc w:val="center"/>
        <w:rPr>
          <w:rFonts w:ascii="微软雅黑" w:hAnsi="微软雅黑" w:eastAsia="微软雅黑"/>
          <w:b/>
          <w:bCs/>
          <w:sz w:val="36"/>
          <w:szCs w:val="36"/>
          <w:u w:val="single"/>
          <w:lang w:eastAsia="zh-CN"/>
        </w:rPr>
      </w:pPr>
      <w:r>
        <w:rPr>
          <w:rFonts w:hint="eastAsia" w:ascii="微软雅黑" w:hAnsi="微软雅黑" w:eastAsia="微软雅黑"/>
          <w:b/>
          <w:bCs/>
          <w:sz w:val="36"/>
          <w:szCs w:val="36"/>
          <w:u w:val="single"/>
          <w:lang w:eastAsia="zh-CN"/>
        </w:rPr>
        <w:t xml:space="preserve"> PTA旧包装袋采购项目</w:t>
      </w:r>
    </w:p>
    <w:p>
      <w:pPr>
        <w:pStyle w:val="17"/>
        <w:jc w:val="center"/>
        <w:rPr>
          <w:rFonts w:ascii="微软雅黑" w:eastAsia="微软雅黑"/>
          <w:b/>
          <w:sz w:val="48"/>
          <w:szCs w:val="48"/>
          <w:u w:val="single"/>
          <w:lang w:eastAsia="zh-CN"/>
        </w:rPr>
      </w:pPr>
    </w:p>
    <w:p>
      <w:pPr>
        <w:pStyle w:val="17"/>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17"/>
        <w:jc w:val="center"/>
        <w:rPr>
          <w:rFonts w:ascii="微软雅黑" w:eastAsia="微软雅黑"/>
          <w:b/>
          <w:sz w:val="48"/>
          <w:szCs w:val="48"/>
          <w:u w:val="single"/>
          <w:lang w:eastAsia="zh-CN"/>
        </w:rPr>
      </w:pPr>
    </w:p>
    <w:p>
      <w:pPr>
        <w:pStyle w:val="2"/>
        <w:jc w:val="center"/>
        <w:rPr>
          <w:b/>
          <w:bCs/>
          <w:sz w:val="28"/>
          <w:szCs w:val="28"/>
        </w:rPr>
      </w:pPr>
      <w:r>
        <w:rPr>
          <w:rFonts w:hint="eastAsia" w:hAnsi="宋体"/>
          <w:b/>
          <w:bCs/>
          <w:sz w:val="28"/>
          <w:szCs w:val="28"/>
        </w:rPr>
        <w:t>（</w:t>
      </w:r>
      <w:r>
        <w:rPr>
          <w:rFonts w:hint="eastAsia" w:hAnsi="宋体"/>
          <w:b/>
          <w:bCs/>
          <w:sz w:val="28"/>
          <w:szCs w:val="28"/>
          <w:u w:val="single"/>
        </w:rPr>
        <w:t xml:space="preserve">文件编号：FHC-PTCG20220907002 </w:t>
      </w:r>
      <w:r>
        <w:rPr>
          <w:rFonts w:hint="eastAsia"/>
          <w:b/>
          <w:bCs/>
          <w:sz w:val="28"/>
          <w:szCs w:val="28"/>
        </w:rPr>
        <w:t>）</w:t>
      </w: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二〇二二年十月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1400" w:leftChars="200" w:hanging="960" w:hangingChars="4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附件四：PTA旧包装袋采购发包说明</w:t>
      </w:r>
    </w:p>
    <w:p>
      <w:pPr>
        <w:pStyle w:val="2"/>
        <w:spacing w:line="480" w:lineRule="auto"/>
        <w:ind w:firstLine="480" w:firstLineChars="200"/>
        <w:rPr>
          <w:sz w:val="24"/>
          <w:szCs w:val="24"/>
        </w:rPr>
      </w:pPr>
    </w:p>
    <w:p>
      <w:pPr>
        <w:pStyle w:val="2"/>
        <w:spacing w:line="480" w:lineRule="auto"/>
        <w:ind w:firstLine="465"/>
        <w:rPr>
          <w:sz w:val="24"/>
          <w:szCs w:val="24"/>
        </w:rPr>
      </w:pPr>
    </w:p>
    <w:p>
      <w:pPr>
        <w:spacing w:line="480" w:lineRule="auto"/>
        <w:rPr>
          <w:sz w:val="28"/>
          <w:lang w:eastAsia="zh-CN"/>
        </w:rPr>
      </w:pPr>
    </w:p>
    <w:p>
      <w:pPr>
        <w:pStyle w:val="2"/>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17"/>
        <w:rPr>
          <w:b/>
          <w:sz w:val="28"/>
          <w:lang w:eastAsia="zh-CN"/>
        </w:rPr>
      </w:pPr>
    </w:p>
    <w:p>
      <w:pPr>
        <w:spacing w:line="312" w:lineRule="auto"/>
        <w:rPr>
          <w:rFonts w:ascii="微软雅黑" w:hAnsi="微软雅黑" w:eastAsia="微软雅黑"/>
          <w:b/>
          <w:bCs/>
          <w:sz w:val="48"/>
          <w:szCs w:val="48"/>
          <w:u w:val="single"/>
          <w:lang w:eastAsia="zh-CN"/>
        </w:rPr>
      </w:pPr>
      <w:r>
        <w:rPr>
          <w:rFonts w:hint="eastAsia"/>
          <w:lang w:eastAsia="zh-CN"/>
        </w:rPr>
        <w:t xml:space="preserve">  </w:t>
      </w:r>
      <w:r>
        <w:rPr>
          <w:rFonts w:hint="eastAsia" w:asciiTheme="minorEastAsia" w:hAnsiTheme="minorEastAsia" w:eastAsiaTheme="minorEastAsia"/>
          <w:lang w:eastAsia="zh-CN"/>
        </w:rPr>
        <w:t xml:space="preserve"> </w:t>
      </w:r>
      <w:r>
        <w:rPr>
          <w:rFonts w:hint="eastAsia" w:asciiTheme="minorEastAsia" w:hAnsiTheme="minorEastAsia" w:eastAsiaTheme="minorEastAsia"/>
          <w:sz w:val="24"/>
          <w:szCs w:val="24"/>
          <w:lang w:eastAsia="zh-CN"/>
        </w:rPr>
        <w:t xml:space="preserve"> 福建福海创石油化工有限公司</w:t>
      </w:r>
      <w:r>
        <w:rPr>
          <w:rFonts w:asciiTheme="minorEastAsia" w:hAnsiTheme="minorEastAsia" w:eastAsiaTheme="minorEastAsia"/>
          <w:sz w:val="24"/>
          <w:szCs w:val="24"/>
          <w:lang w:eastAsia="zh-CN"/>
        </w:rPr>
        <w:t>拟对本公</w:t>
      </w:r>
      <w:r>
        <w:rPr>
          <w:rFonts w:asciiTheme="minorEastAsia" w:hAnsiTheme="minorEastAsia" w:eastAsiaTheme="minorEastAsia"/>
          <w:lang w:eastAsia="zh-CN"/>
        </w:rPr>
        <w:t>司</w:t>
      </w:r>
      <w:r>
        <w:rPr>
          <w:rFonts w:hint="eastAsia" w:asciiTheme="minorEastAsia" w:hAnsiTheme="minorEastAsia" w:eastAsiaTheme="minorEastAsia"/>
          <w:sz w:val="24"/>
          <w:szCs w:val="24"/>
          <w:u w:val="single"/>
          <w:lang w:eastAsia="zh-CN"/>
        </w:rPr>
        <w:t>“PTA旧包装袋（吨袋）采购项目（项目编号：FHC-PTCG20220907002”</w:t>
      </w:r>
      <w:r>
        <w:rPr>
          <w:rFonts w:asciiTheme="minorEastAsia" w:hAnsiTheme="minorEastAsia" w:eastAsiaTheme="minorEastAsia"/>
          <w:lang w:eastAsia="zh-CN"/>
        </w:rPr>
        <w:t>进行公开比选。为了“公开、公平、公正、透明”，引导参选人进行正确参选，特制定本规定文件。</w:t>
      </w:r>
    </w:p>
    <w:p>
      <w:pPr>
        <w:pStyle w:val="17"/>
        <w:spacing w:line="312" w:lineRule="auto"/>
        <w:ind w:right="121" w:firstLine="480"/>
        <w:jc w:val="both"/>
        <w:rPr>
          <w:rFonts w:asciiTheme="minorEastAsia" w:hAnsiTheme="minorEastAsia" w:eastAsiaTheme="minorEastAsia"/>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承诺本次自主比选不存在任何障碍，保证本公告的内容不存在任何重大遗漏、虚假陈述或严重误导，并对其内容的真实性、完整性和有效性负责。</w:t>
      </w:r>
    </w:p>
    <w:p>
      <w:pPr>
        <w:tabs>
          <w:tab w:val="left" w:pos="709"/>
        </w:tabs>
        <w:spacing w:line="312" w:lineRule="auto"/>
        <w:rPr>
          <w:b/>
          <w:snapToGrid w:val="0"/>
          <w:color w:val="000000" w:themeColor="text1"/>
          <w:spacing w:val="8"/>
          <w:sz w:val="24"/>
          <w:szCs w:val="24"/>
          <w:lang w:eastAsia="zh-CN"/>
        </w:rPr>
      </w:pPr>
      <w:r>
        <w:rPr>
          <w:rFonts w:hint="eastAsia" w:asciiTheme="minorEastAsia" w:hAnsiTheme="minorEastAsia" w:eastAsiaTheme="minorEastAsia"/>
          <w:lang w:eastAsia="zh-CN"/>
        </w:rPr>
        <w:t>一、</w:t>
      </w:r>
      <w:r>
        <w:rPr>
          <w:b/>
          <w:snapToGrid w:val="0"/>
          <w:color w:val="000000" w:themeColor="text1"/>
          <w:spacing w:val="8"/>
          <w:sz w:val="24"/>
          <w:szCs w:val="24"/>
          <w:lang w:eastAsia="zh-CN"/>
        </w:rPr>
        <w:t>项目概况</w:t>
      </w:r>
    </w:p>
    <w:p>
      <w:pPr>
        <w:tabs>
          <w:tab w:val="left" w:pos="709"/>
        </w:tabs>
        <w:spacing w:line="312" w:lineRule="auto"/>
        <w:ind w:firstLine="480" w:firstLineChars="200"/>
        <w:rPr>
          <w:sz w:val="24"/>
          <w:szCs w:val="24"/>
          <w:lang w:eastAsia="zh-CN"/>
        </w:rPr>
      </w:pPr>
      <w:r>
        <w:rPr>
          <w:sz w:val="24"/>
          <w:szCs w:val="24"/>
          <w:lang w:eastAsia="zh-CN"/>
        </w:rPr>
        <w:t>1.</w:t>
      </w:r>
      <w:r>
        <w:rPr>
          <w:rFonts w:hint="eastAsia"/>
          <w:sz w:val="24"/>
          <w:szCs w:val="24"/>
          <w:lang w:eastAsia="zh-CN"/>
        </w:rPr>
        <w:t>项目名称：</w:t>
      </w:r>
      <w:r>
        <w:rPr>
          <w:rFonts w:hint="eastAsia" w:asciiTheme="minorEastAsia" w:hAnsiTheme="minorEastAsia" w:eastAsiaTheme="minorEastAsia"/>
          <w:bCs/>
          <w:sz w:val="24"/>
          <w:szCs w:val="24"/>
          <w:u w:val="single"/>
          <w:lang w:eastAsia="zh-CN"/>
        </w:rPr>
        <w:t>PTA旧包装袋（吨袋）采购</w:t>
      </w:r>
    </w:p>
    <w:p>
      <w:pPr>
        <w:tabs>
          <w:tab w:val="left" w:pos="709"/>
        </w:tabs>
        <w:spacing w:line="312"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项目比选控制价：608,000.00元（含税价）。</w:t>
      </w:r>
    </w:p>
    <w:p>
      <w:pPr>
        <w:adjustRightInd w:val="0"/>
        <w:spacing w:line="312" w:lineRule="auto"/>
        <w:ind w:left="680" w:leftChars="200" w:hanging="240" w:hanging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w:t>
      </w:r>
      <w:r>
        <w:rPr>
          <w:rFonts w:hint="eastAsia" w:asciiTheme="minorEastAsia" w:hAnsiTheme="minorEastAsia" w:eastAsiaTheme="minorEastAsia"/>
          <w:sz w:val="24"/>
          <w:szCs w:val="24"/>
          <w:lang w:eastAsia="zh-CN"/>
        </w:rPr>
        <w:t>项目履行期限：自2023年01月01日~2024年12月31日止。</w:t>
      </w:r>
    </w:p>
    <w:p>
      <w:pPr>
        <w:pStyle w:val="43"/>
        <w:spacing w:before="0" w:beforeAutospacing="0" w:after="0" w:afterAutospacing="0" w:line="312" w:lineRule="auto"/>
        <w:ind w:left="438" w:leftChars="199"/>
      </w:pPr>
      <w:r>
        <w:rPr>
          <w:rFonts w:hint="eastAsia" w:asciiTheme="minorEastAsia" w:hAnsiTheme="minorEastAsia" w:eastAsiaTheme="minorEastAsia"/>
        </w:rPr>
        <w:t>4.供货要求：分批次供货，</w:t>
      </w:r>
      <w:r>
        <w:rPr>
          <w:shd w:val="clear" w:color="auto" w:fill="FFFFFF"/>
        </w:rPr>
        <w:t>以实际订货数量进行结算。</w:t>
      </w:r>
    </w:p>
    <w:p>
      <w:pPr>
        <w:pStyle w:val="17"/>
        <w:spacing w:line="312" w:lineRule="auto"/>
        <w:ind w:right="121"/>
        <w:jc w:val="both"/>
        <w:rPr>
          <w:rFonts w:asciiTheme="minorEastAsia" w:hAnsiTheme="minorEastAsia" w:eastAsiaTheme="minorEastAsia"/>
          <w:b/>
          <w:bCs/>
          <w:lang w:eastAsia="zh-CN"/>
        </w:rPr>
      </w:pPr>
      <w:r>
        <w:rPr>
          <w:rFonts w:hint="eastAsia" w:asciiTheme="minorEastAsia" w:hAnsiTheme="minorEastAsia" w:eastAsiaTheme="minorEastAsia"/>
          <w:b/>
          <w:bCs/>
          <w:lang w:eastAsia="zh-CN"/>
        </w:rPr>
        <w:t>二</w:t>
      </w:r>
      <w:r>
        <w:rPr>
          <w:rFonts w:asciiTheme="minorEastAsia" w:hAnsiTheme="minorEastAsia" w:eastAsiaTheme="minorEastAsia"/>
          <w:b/>
          <w:bCs/>
          <w:lang w:eastAsia="zh-CN"/>
        </w:rPr>
        <w:t>、参选人资格要求：</w:t>
      </w:r>
    </w:p>
    <w:p>
      <w:pPr>
        <w:tabs>
          <w:tab w:val="left" w:pos="284"/>
          <w:tab w:val="left" w:pos="426"/>
          <w:tab w:val="left" w:pos="709"/>
        </w:tabs>
        <w:spacing w:line="312"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参选人必须具备有效的企业法人营业执照。</w:t>
      </w:r>
    </w:p>
    <w:p>
      <w:pPr>
        <w:pStyle w:val="77"/>
        <w:spacing w:line="312" w:lineRule="auto"/>
        <w:ind w:left="799" w:leftChars="218" w:hanging="319" w:hangingChars="133"/>
        <w:rPr>
          <w:color w:val="000000" w:themeColor="text1"/>
        </w:rPr>
      </w:pPr>
      <w:r>
        <w:rPr>
          <w:rFonts w:hint="eastAsia" w:asciiTheme="minorEastAsia" w:hAnsiTheme="minorEastAsia" w:eastAsiaTheme="minorEastAsia"/>
        </w:rPr>
        <w:t>2</w:t>
      </w:r>
      <w:r>
        <w:rPr>
          <w:rFonts w:asciiTheme="minorEastAsia" w:hAnsiTheme="minorEastAsia" w:eastAsiaTheme="minorEastAsia"/>
        </w:rPr>
        <w:t>.</w:t>
      </w:r>
      <w:r>
        <w:rPr>
          <w:color w:val="000000" w:themeColor="text1"/>
        </w:rPr>
        <w:t xml:space="preserve"> 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sz w:val="24"/>
          <w:szCs w:val="24"/>
        </w:rPr>
        <w:t>3.</w:t>
      </w:r>
      <w:r>
        <w:rPr>
          <w:color w:val="000000" w:themeColor="text1"/>
          <w:sz w:val="24"/>
          <w:szCs w:val="24"/>
        </w:rPr>
        <w:t xml:space="preserve"> 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43"/>
        <w:spacing w:before="0" w:beforeAutospacing="0" w:after="0" w:afterAutospacing="0" w:line="312" w:lineRule="auto"/>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三、获取比选文件及报名：</w:t>
      </w:r>
    </w:p>
    <w:p>
      <w:pPr>
        <w:pStyle w:val="43"/>
        <w:numPr>
          <w:ilvl w:val="0"/>
          <w:numId w:val="6"/>
        </w:numPr>
        <w:spacing w:before="0" w:beforeAutospacing="0" w:after="0" w:afterAutospacing="0" w:line="312" w:lineRule="auto"/>
        <w:ind w:left="805" w:leftChars="199" w:hanging="367" w:hangingChars="153"/>
        <w:textAlignment w:val="baseline"/>
        <w:rPr>
          <w:rFonts w:asciiTheme="minorEastAsia" w:hAnsiTheme="minorEastAsia" w:eastAsiaTheme="minorEastAsia"/>
          <w:iCs/>
        </w:rPr>
      </w:pPr>
      <w:r>
        <w:rPr>
          <w:rFonts w:hint="eastAsia" w:asciiTheme="minorEastAsia" w:hAnsiTheme="minorEastAsia" w:eastAsiaTheme="minorEastAsia"/>
          <w:iCs/>
        </w:rPr>
        <w:t>本项目</w:t>
      </w:r>
      <w:r>
        <w:rPr>
          <w:rFonts w:ascii="Times New Roman" w:hAnsi="Times New Roman" w:cs="Times New Roman"/>
          <w:bCs/>
        </w:rPr>
        <w:t>公示</w:t>
      </w:r>
      <w:r>
        <w:rPr>
          <w:rFonts w:hint="eastAsia" w:ascii="Times New Roman" w:hAnsi="Times New Roman" w:cs="Times New Roman"/>
          <w:bCs/>
        </w:rPr>
        <w:t>时间为12</w:t>
      </w:r>
      <w:r>
        <w:rPr>
          <w:rFonts w:ascii="Times New Roman" w:hAnsi="Times New Roman" w:cs="Times New Roman"/>
          <w:bCs/>
        </w:rPr>
        <w:t>天</w:t>
      </w:r>
      <w:r>
        <w:rPr>
          <w:rFonts w:hint="eastAsia" w:ascii="Times New Roman" w:hAnsi="Times New Roman" w:cs="Times New Roman"/>
          <w:bCs/>
        </w:rPr>
        <w:t>，</w:t>
      </w:r>
      <w:r>
        <w:rPr>
          <w:rFonts w:hint="eastAsia" w:asciiTheme="minorEastAsia" w:hAnsiTheme="minorEastAsia" w:eastAsiaTheme="minorEastAsia"/>
          <w:iCs/>
        </w:rPr>
        <w:t>请有意向参选人自行下载附件比选文件，并根据比选文件要求进行参选报价。</w:t>
      </w:r>
    </w:p>
    <w:p>
      <w:pPr>
        <w:spacing w:line="312" w:lineRule="auto"/>
        <w:ind w:left="787" w:leftChars="209" w:hanging="327" w:hangingChars="149"/>
        <w:rPr>
          <w:rFonts w:asciiTheme="majorEastAsia" w:hAnsiTheme="majorEastAsia" w:eastAsiaTheme="majorEastAsia"/>
          <w:bCs/>
          <w:sz w:val="24"/>
          <w:szCs w:val="24"/>
          <w:lang w:eastAsia="zh-CN"/>
        </w:rPr>
      </w:pPr>
      <w:r>
        <w:rPr>
          <w:rFonts w:hint="eastAsia" w:asciiTheme="minorEastAsia" w:hAnsiTheme="minorEastAsia" w:eastAsiaTheme="minorEastAsia"/>
          <w:iCs/>
          <w:lang w:eastAsia="zh-CN"/>
        </w:rPr>
        <w:t>2.</w:t>
      </w:r>
      <w:r>
        <w:rPr>
          <w:rFonts w:hint="eastAsia" w:asciiTheme="minorEastAsia" w:hAnsiTheme="minorEastAsia" w:eastAsiaTheme="minorEastAsia"/>
          <w:iCs/>
          <w:sz w:val="24"/>
          <w:szCs w:val="24"/>
          <w:lang w:eastAsia="zh-CN"/>
        </w:rPr>
        <w:t xml:space="preserve"> 有意向参选人请于公示期间进行邮件报名（须同时提交盖公章的法定代表人授权书、营业执照扫描件，相关业绩（务必真实有效，福海创有权要求投标商提供相应佐证材料包括不限于合同和发票等复印件），邮件发至：</w:t>
      </w:r>
      <w:r>
        <w:fldChar w:fldCharType="begin"/>
      </w:r>
      <w:r>
        <w:instrText xml:space="preserve"> HYPERLINK "mailto:hzji@fhcpec.com.cn" </w:instrText>
      </w:r>
      <w:r>
        <w:fldChar w:fldCharType="separate"/>
      </w:r>
      <w:r>
        <w:rPr>
          <w:rFonts w:hint="eastAsia" w:asciiTheme="minorEastAsia" w:hAnsiTheme="minorEastAsia" w:eastAsiaTheme="minorEastAsia"/>
          <w:iCs/>
          <w:sz w:val="24"/>
          <w:szCs w:val="24"/>
          <w:lang w:eastAsia="zh-CN"/>
        </w:rPr>
        <w:t>huangmq@fjpec.com.cn</w:t>
      </w:r>
      <w:r>
        <w:rPr>
          <w:rFonts w:hint="eastAsia" w:asciiTheme="minorEastAsia" w:hAnsiTheme="minorEastAsia" w:eastAsiaTheme="minorEastAsia"/>
          <w:iCs/>
          <w:sz w:val="24"/>
          <w:szCs w:val="24"/>
          <w:lang w:eastAsia="zh-CN"/>
        </w:rPr>
        <w:fldChar w:fldCharType="end"/>
      </w:r>
      <w:r>
        <w:rPr>
          <w:rFonts w:hint="eastAsia" w:asciiTheme="minorEastAsia" w:hAnsiTheme="minorEastAsia" w:eastAsiaTheme="minorEastAsia"/>
          <w:iCs/>
          <w:sz w:val="24"/>
          <w:szCs w:val="24"/>
          <w:lang w:eastAsia="zh-CN"/>
        </w:rPr>
        <w:t>。未报名的参选人不能参加本项目比选。</w:t>
      </w:r>
    </w:p>
    <w:p>
      <w:pPr>
        <w:pStyle w:val="43"/>
        <w:spacing w:before="0" w:beforeAutospacing="0" w:after="0" w:afterAutospacing="0" w:line="312" w:lineRule="auto"/>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四、参选文件递交要求地点、时间：</w:t>
      </w:r>
    </w:p>
    <w:p>
      <w:pPr>
        <w:pStyle w:val="43"/>
        <w:spacing w:before="0" w:beforeAutospacing="0" w:after="0" w:afterAutospacing="0" w:line="312"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1.参选文件递交地点：福建省漳州市漳浦县杜浔镇杜昌路9号福建福海创石油化工有限公司办公楼三楼设备及服务团队，联系人：黄梅钦 联系电话：0596-6311073。</w:t>
      </w:r>
    </w:p>
    <w:p>
      <w:pPr>
        <w:pStyle w:val="43"/>
        <w:spacing w:before="0" w:beforeAutospacing="0" w:after="0" w:afterAutospacing="0" w:line="312" w:lineRule="auto"/>
        <w:ind w:left="724" w:leftChars="220" w:hanging="240" w:hangingChars="100"/>
        <w:textAlignment w:val="baseline"/>
        <w:rPr>
          <w:color w:val="000000" w:themeColor="text1"/>
        </w:rPr>
      </w:pPr>
      <w:r>
        <w:rPr>
          <w:rFonts w:hint="eastAsia" w:asciiTheme="minorEastAsia" w:hAnsiTheme="minorEastAsia" w:eastAsiaTheme="minorEastAsia"/>
          <w:iCs/>
          <w:color w:val="333333"/>
        </w:rPr>
        <w:t>2.递交截止时间</w:t>
      </w:r>
      <w:r>
        <w:rPr>
          <w:rFonts w:hint="eastAsia"/>
          <w:color w:val="000000" w:themeColor="text1"/>
        </w:rPr>
        <w:t>（以参选文件送达时间为准）：</w:t>
      </w:r>
      <w:r>
        <w:rPr>
          <w:rFonts w:ascii="Times New Roman" w:hAnsi="Times New Roman" w:cs="Times New Roman"/>
          <w:bCs/>
        </w:rPr>
        <w:t>公示之日起</w:t>
      </w:r>
      <w:r>
        <w:rPr>
          <w:rFonts w:ascii="Times New Roman" w:hAnsi="Times New Roman" w:cs="Times New Roman"/>
          <w:b/>
        </w:rPr>
        <w:t>第</w:t>
      </w:r>
      <w:r>
        <w:rPr>
          <w:rFonts w:hint="eastAsia" w:ascii="Times New Roman" w:hAnsi="Times New Roman" w:cs="Times New Roman"/>
          <w:b/>
        </w:rPr>
        <w:t>12</w:t>
      </w:r>
      <w:r>
        <w:rPr>
          <w:rFonts w:ascii="Times New Roman" w:hAnsi="Times New Roman" w:cs="Times New Roman"/>
          <w:b/>
        </w:rPr>
        <w:t>天</w:t>
      </w:r>
      <w:r>
        <w:rPr>
          <w:rFonts w:ascii="Times New Roman" w:hAnsi="Times New Roman" w:cs="Times New Roman"/>
          <w:bCs/>
        </w:rPr>
        <w:t>即</w:t>
      </w:r>
      <w:r>
        <w:rPr>
          <w:rFonts w:ascii="Times New Roman" w:hAnsi="Times New Roman" w:cs="Times New Roman"/>
        </w:rPr>
        <w:t>2022年</w:t>
      </w:r>
      <w:r>
        <w:rPr>
          <w:rFonts w:hint="eastAsia" w:ascii="Times New Roman" w:hAnsi="Times New Roman" w:cs="Times New Roman"/>
          <w:lang w:val="en-US" w:eastAsia="zh-CN"/>
        </w:rPr>
        <w:t>11</w:t>
      </w:r>
      <w:r>
        <w:rPr>
          <w:rFonts w:ascii="Times New Roman" w:hAnsi="Times New Roman" w:cs="Times New Roman"/>
        </w:rPr>
        <w:t>月</w:t>
      </w:r>
      <w:r>
        <w:rPr>
          <w:rFonts w:hint="eastAsia" w:ascii="Times New Roman" w:hAnsi="Times New Roman" w:cs="Times New Roman"/>
          <w:lang w:val="en-US" w:eastAsia="zh-CN"/>
        </w:rPr>
        <w:t>01</w:t>
      </w:r>
      <w:r>
        <w:rPr>
          <w:rFonts w:hint="eastAsia" w:ascii="Times New Roman" w:hAnsi="Times New Roman" w:cs="Times New Roman"/>
        </w:rPr>
        <w:t xml:space="preserve"> </w:t>
      </w:r>
      <w:r>
        <w:rPr>
          <w:rFonts w:ascii="Times New Roman" w:hAnsi="Times New Roman" w:cs="Times New Roman"/>
        </w:rPr>
        <w:t>日</w:t>
      </w:r>
      <w:r>
        <w:rPr>
          <w:rFonts w:hint="eastAsia" w:ascii="Times New Roman" w:hAnsi="Times New Roman" w:cs="Times New Roman"/>
        </w:rPr>
        <w:t>17</w:t>
      </w: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0</w:t>
      </w:r>
      <w:r>
        <w:rPr>
          <w:rFonts w:hint="eastAsia" w:ascii="Times New Roman" w:hAnsi="Times New Roman" w:cs="Times New Roman"/>
        </w:rPr>
        <w:t>前</w:t>
      </w:r>
      <w:r>
        <w:rPr>
          <w:rFonts w:ascii="Times New Roman" w:hAnsi="Times New Roman" w:cs="Times New Roman"/>
          <w:bCs/>
        </w:rPr>
        <w:t>将参选文件纸质原件密封送达比选人指定地点。</w:t>
      </w:r>
    </w:p>
    <w:p>
      <w:pPr>
        <w:tabs>
          <w:tab w:val="left" w:pos="709"/>
        </w:tabs>
        <w:spacing w:line="312" w:lineRule="auto"/>
        <w:ind w:firstLine="257" w:firstLineChars="1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五、参选保证金：12000元</w:t>
      </w:r>
    </w:p>
    <w:p>
      <w:pPr>
        <w:tabs>
          <w:tab w:val="left" w:pos="709"/>
        </w:tabs>
        <w:spacing w:line="312"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本公开比选采用参选文件满足要求，商务报价最低者中选的评标办法。</w:t>
      </w:r>
    </w:p>
    <w:p>
      <w:pPr>
        <w:pStyle w:val="2"/>
        <w:spacing w:line="312" w:lineRule="auto"/>
        <w:ind w:firstLine="241" w:firstLineChars="100"/>
        <w:rPr>
          <w:rFonts w:asciiTheme="minorEastAsia" w:hAnsiTheme="minorEastAsia" w:eastAsiaTheme="minorEastAsia"/>
          <w:sz w:val="24"/>
          <w:szCs w:val="24"/>
        </w:rPr>
      </w:pPr>
      <w:r>
        <w:rPr>
          <w:rFonts w:hint="eastAsia" w:asciiTheme="minorEastAsia" w:hAnsiTheme="minorEastAsia" w:eastAsiaTheme="minorEastAsia"/>
          <w:b/>
          <w:bCs/>
          <w:sz w:val="24"/>
          <w:szCs w:val="24"/>
        </w:rPr>
        <w:t>七、</w:t>
      </w:r>
      <w:r>
        <w:rPr>
          <w:rFonts w:hint="eastAsia" w:asciiTheme="minorEastAsia" w:hAnsiTheme="minorEastAsia" w:eastAsiaTheme="minorEastAsia"/>
          <w:b/>
          <w:sz w:val="24"/>
          <w:szCs w:val="24"/>
        </w:rPr>
        <w:t>联系方式：</w:t>
      </w:r>
    </w:p>
    <w:p>
      <w:pPr>
        <w:pStyle w:val="10"/>
        <w:snapToGrid w:val="0"/>
        <w:spacing w:line="312" w:lineRule="auto"/>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商务联系人：黄梅钦  电话：0596-6311073 邮箱：</w:t>
      </w:r>
      <w:r>
        <w:rPr>
          <w:rFonts w:hint="eastAsia" w:cs="宋体" w:asciiTheme="minorEastAsia" w:hAnsiTheme="minorEastAsia" w:eastAsiaTheme="minorEastAsia"/>
          <w:bCs/>
          <w:color w:val="000000" w:themeColor="text1"/>
          <w:szCs w:val="24"/>
          <w:u w:val="single"/>
        </w:rPr>
        <w:t>huangmq@fhcpec.com.cn</w:t>
      </w:r>
    </w:p>
    <w:p>
      <w:pPr>
        <w:pStyle w:val="10"/>
        <w:snapToGrid w:val="0"/>
        <w:spacing w:line="312"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12"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288"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sz w:val="32"/>
          <w:szCs w:val="32"/>
          <w:lang w:eastAsia="zh-CN"/>
        </w:rPr>
      </w:pPr>
      <w:r>
        <w:rPr>
          <w:sz w:val="32"/>
          <w:szCs w:val="32"/>
          <w:lang w:eastAsia="zh-CN"/>
        </w:rPr>
        <w:t>第二章</w:t>
      </w:r>
      <w:r>
        <w:rPr>
          <w:sz w:val="32"/>
          <w:szCs w:val="32"/>
          <w:lang w:eastAsia="zh-CN"/>
        </w:rPr>
        <w:tab/>
      </w:r>
      <w:r>
        <w:rPr>
          <w:spacing w:val="-1"/>
          <w:w w:val="95"/>
          <w:sz w:val="32"/>
          <w:szCs w:val="32"/>
          <w:lang w:eastAsia="zh-CN"/>
        </w:rPr>
        <w:t>比选须</w:t>
      </w:r>
      <w:r>
        <w:rPr>
          <w:w w:val="95"/>
          <w:sz w:val="32"/>
          <w:szCs w:val="32"/>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tabs>
          <w:tab w:val="left" w:pos="709"/>
        </w:tabs>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1.项目名称：PTA旧包装袋（吨袋）年度采购</w:t>
      </w:r>
    </w:p>
    <w:p>
      <w:pPr>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color w:val="000000"/>
          <w:sz w:val="24"/>
          <w:szCs w:val="24"/>
          <w:lang w:eastAsia="zh-CN"/>
        </w:rPr>
        <w:t>2.项目地点：翔鹭石化（漳州）有限公司生产管理部PTA团队装置现场。</w:t>
      </w:r>
    </w:p>
    <w:p>
      <w:pPr>
        <w:pStyle w:val="77"/>
        <w:spacing w:line="360" w:lineRule="auto"/>
        <w:ind w:left="1880" w:leftChars="200" w:hanging="1440" w:hangingChars="600"/>
        <w:jc w:val="both"/>
        <w:rPr>
          <w:rFonts w:asciiTheme="minorEastAsia" w:hAnsiTheme="minorEastAsia" w:eastAsiaTheme="minorEastAsia"/>
          <w:snapToGrid w:val="0"/>
          <w:color w:val="auto"/>
        </w:rPr>
      </w:pPr>
      <w:r>
        <w:rPr>
          <w:rFonts w:hint="eastAsia" w:asciiTheme="minorEastAsia" w:hAnsiTheme="minorEastAsia" w:eastAsiaTheme="minorEastAsia"/>
        </w:rPr>
        <w:t>3.承包方式：固定单价包干，费用包含</w:t>
      </w:r>
      <w:r>
        <w:rPr>
          <w:rFonts w:hint="eastAsia" w:asciiTheme="minorEastAsia" w:hAnsiTheme="minorEastAsia" w:eastAsiaTheme="minorEastAsia"/>
          <w:snapToGrid w:val="0"/>
          <w:color w:val="auto"/>
        </w:rPr>
        <w:t>人工费、材料费、税、装卸费、运输费等相关费用等。</w:t>
      </w:r>
    </w:p>
    <w:p>
      <w:pPr>
        <w:pStyle w:val="17"/>
        <w:spacing w:line="360" w:lineRule="auto"/>
        <w:ind w:right="12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4.项目工作范围及技术要求：见附件发包说明。</w:t>
      </w:r>
    </w:p>
    <w:p>
      <w:pPr>
        <w:pStyle w:val="17"/>
        <w:spacing w:line="360" w:lineRule="auto"/>
        <w:ind w:right="12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5.项目联系人</w:t>
      </w:r>
    </w:p>
    <w:p>
      <w:pPr>
        <w:pStyle w:val="17"/>
        <w:spacing w:line="360" w:lineRule="auto"/>
        <w:ind w:right="121" w:firstLine="840" w:firstLineChars="350"/>
        <w:jc w:val="both"/>
        <w:rPr>
          <w:rFonts w:asciiTheme="minorEastAsia" w:hAnsiTheme="minorEastAsia" w:eastAsiaTheme="minorEastAsia"/>
          <w:color w:val="000000" w:themeColor="text1"/>
          <w:shd w:val="clear" w:color="auto" w:fill="FFFFFF"/>
          <w:lang w:eastAsia="zh-CN"/>
        </w:rPr>
      </w:pPr>
      <w:r>
        <w:rPr>
          <w:rFonts w:hint="eastAsia" w:asciiTheme="minorEastAsia" w:hAnsiTheme="minorEastAsia" w:eastAsiaTheme="minorEastAsia"/>
          <w:lang w:eastAsia="zh-CN"/>
        </w:rPr>
        <w:t>技术联系人：金朦晓</w:t>
      </w:r>
      <w:r>
        <w:rPr>
          <w:rFonts w:hint="eastAsia" w:asciiTheme="minorEastAsia" w:hAnsiTheme="minorEastAsia" w:eastAsiaTheme="minorEastAsia"/>
          <w:color w:val="000000" w:themeColor="text1"/>
          <w:shd w:val="clear" w:color="auto" w:fill="FFFFFF"/>
          <w:lang w:eastAsia="zh-CN"/>
        </w:rPr>
        <w:t xml:space="preserve">  0596-6088418</w:t>
      </w:r>
    </w:p>
    <w:p>
      <w:pPr>
        <w:pStyle w:val="17"/>
        <w:spacing w:line="360" w:lineRule="auto"/>
        <w:ind w:right="121" w:firstLine="840" w:firstLineChars="350"/>
        <w:jc w:val="both"/>
        <w:rPr>
          <w:rFonts w:asciiTheme="minorEastAsia" w:hAnsiTheme="minorEastAsia" w:eastAsiaTheme="minorEastAsia"/>
          <w:lang w:eastAsia="zh-CN"/>
        </w:rPr>
      </w:pPr>
      <w:r>
        <w:rPr>
          <w:rFonts w:hint="eastAsia" w:asciiTheme="minorEastAsia" w:hAnsiTheme="minorEastAsia" w:eastAsiaTheme="minorEastAsia"/>
          <w:lang w:eastAsia="zh-CN"/>
        </w:rPr>
        <w:t>商务联系人：黄梅钦  0596-6311073</w:t>
      </w:r>
    </w:p>
    <w:p>
      <w:pPr>
        <w:spacing w:before="15" w:line="360" w:lineRule="auto"/>
        <w:ind w:firstLine="401" w:firstLineChars="150"/>
        <w:rPr>
          <w:b/>
          <w:w w:val="95"/>
          <w:sz w:val="28"/>
          <w:lang w:eastAsia="zh-CN"/>
        </w:rPr>
      </w:pP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b/>
          <w:w w:val="95"/>
          <w:sz w:val="28"/>
          <w:lang w:eastAsia="zh-CN"/>
        </w:rPr>
        <w:t>六、参选人资格</w:t>
      </w:r>
    </w:p>
    <w:p>
      <w:pPr>
        <w:tabs>
          <w:tab w:val="left" w:pos="284"/>
          <w:tab w:val="left" w:pos="426"/>
          <w:tab w:val="left" w:pos="709"/>
        </w:tabs>
        <w:spacing w:line="360" w:lineRule="auto"/>
        <w:ind w:firstLine="439" w:firstLineChars="183"/>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参选人必须具备有效的企业法人营业执照。</w:t>
      </w:r>
    </w:p>
    <w:p>
      <w:pPr>
        <w:tabs>
          <w:tab w:val="left" w:pos="284"/>
          <w:tab w:val="left" w:pos="426"/>
          <w:tab w:val="left" w:pos="709"/>
        </w:tabs>
        <w:spacing w:line="360" w:lineRule="auto"/>
        <w:ind w:firstLine="402" w:firstLineChars="183"/>
        <w:rPr>
          <w:color w:val="000000" w:themeColor="text1"/>
          <w:sz w:val="24"/>
          <w:szCs w:val="24"/>
          <w:lang w:eastAsia="zh-CN"/>
        </w:rPr>
      </w:pPr>
      <w:r>
        <w:rPr>
          <w:rFonts w:hint="eastAsia" w:asciiTheme="minorEastAsia" w:hAnsiTheme="minorEastAsia" w:eastAsiaTheme="minorEastAsia"/>
          <w:lang w:eastAsia="zh-CN"/>
        </w:rPr>
        <w:t>2</w:t>
      </w:r>
      <w:r>
        <w:rPr>
          <w:rFonts w:asciiTheme="minorEastAsia" w:hAnsiTheme="minorEastAsia" w:eastAsiaTheme="minorEastAsia"/>
          <w:lang w:eastAsia="zh-CN"/>
        </w:rPr>
        <w:t>.</w:t>
      </w:r>
      <w:r>
        <w:rPr>
          <w:rFonts w:hint="eastAsia" w:asciiTheme="minorEastAsia" w:hAnsiTheme="minorEastAsia" w:eastAsiaTheme="minorEastAsia"/>
          <w:lang w:eastAsia="zh-CN"/>
        </w:rPr>
        <w:t xml:space="preserve"> </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284"/>
          <w:tab w:val="left" w:pos="426"/>
          <w:tab w:val="left" w:pos="709"/>
        </w:tabs>
        <w:spacing w:line="360" w:lineRule="auto"/>
        <w:ind w:firstLine="439" w:firstLineChars="183"/>
        <w:rPr>
          <w:color w:val="000000" w:themeColor="text1"/>
          <w:sz w:val="24"/>
          <w:szCs w:val="24"/>
          <w:lang w:eastAsia="zh-CN"/>
        </w:rPr>
      </w:pPr>
      <w:r>
        <w:rPr>
          <w:rFonts w:hint="eastAsia"/>
          <w:sz w:val="24"/>
          <w:szCs w:val="24"/>
          <w:lang w:eastAsia="zh-CN"/>
        </w:rPr>
        <w:t>3.</w:t>
      </w:r>
      <w:r>
        <w:rPr>
          <w:color w:val="000000" w:themeColor="text1"/>
          <w:sz w:val="24"/>
          <w:szCs w:val="24"/>
          <w:lang w:eastAsia="zh-CN"/>
        </w:rPr>
        <w:t xml:space="preserve"> 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284"/>
          <w:tab w:val="left" w:pos="426"/>
          <w:tab w:val="left" w:pos="709"/>
        </w:tabs>
        <w:spacing w:line="360" w:lineRule="auto"/>
        <w:ind w:firstLine="439" w:firstLineChars="183"/>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保证金金额12000元整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17"/>
        <w:spacing w:line="360" w:lineRule="auto"/>
        <w:ind w:left="448" w:leftChars="18" w:right="121" w:hanging="408" w:hangingChars="170"/>
        <w:jc w:val="both"/>
        <w:rPr>
          <w:rFonts w:asciiTheme="majorEastAsia" w:hAnsiTheme="majorEastAsia" w:eastAsiaTheme="majorEastAsia"/>
          <w:u w:val="single"/>
          <w:lang w:eastAsia="zh-CN"/>
        </w:rPr>
      </w:pPr>
      <w:r>
        <w:rPr>
          <w:rFonts w:hint="eastAsia" w:asciiTheme="majorEastAsia" w:hAnsiTheme="majorEastAsia" w:eastAsiaTheme="majorEastAsia"/>
          <w:lang w:eastAsia="zh-CN"/>
        </w:rPr>
        <w:t xml:space="preserve">    </w:t>
      </w: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inorEastAsia" w:hAnsiTheme="minorEastAsia" w:eastAsiaTheme="minorEastAsia"/>
          <w:bCs/>
          <w:u w:val="single"/>
          <w:lang w:eastAsia="zh-CN"/>
        </w:rPr>
        <w:t>PTA旧包装袋（吨袋）采购</w:t>
      </w:r>
      <w:r>
        <w:rPr>
          <w:rFonts w:hint="eastAsia" w:asciiTheme="majorEastAsia" w:hAnsiTheme="majorEastAsia" w:eastAsiaTheme="majorEastAsia"/>
          <w:u w:val="single"/>
          <w:lang w:eastAsia="zh-CN"/>
        </w:rPr>
        <w:t>参选保证金</w:t>
      </w:r>
    </w:p>
    <w:p>
      <w:pPr>
        <w:pStyle w:val="17"/>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7"/>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7"/>
        <w:numPr>
          <w:ilvl w:val="0"/>
          <w:numId w:val="7"/>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7"/>
        <w:numPr>
          <w:ilvl w:val="0"/>
          <w:numId w:val="7"/>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中选者的参选保证金（无息），将在合同签订后自动转为履约保证金，将于合同周期完成后15个工作日内，甲方无息退还履约保证金；</w:t>
      </w:r>
    </w:p>
    <w:p>
      <w:pPr>
        <w:pStyle w:val="17"/>
        <w:numPr>
          <w:ilvl w:val="0"/>
          <w:numId w:val="7"/>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7"/>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7"/>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spacing w:before="15" w:line="360" w:lineRule="auto"/>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eastAsia="zh-CN"/>
        </w:rPr>
        <w:t>2年</w:t>
      </w:r>
      <w:r>
        <w:rPr>
          <w:rFonts w:hint="eastAsia"/>
          <w:color w:val="000000" w:themeColor="text1"/>
          <w:lang w:val="en-US" w:eastAsia="zh-CN"/>
        </w:rPr>
        <w:t>11</w:t>
      </w:r>
      <w:r>
        <w:rPr>
          <w:rFonts w:hint="eastAsia"/>
          <w:color w:val="000000" w:themeColor="text1"/>
          <w:lang w:eastAsia="zh-CN"/>
        </w:rPr>
        <w:t>月</w:t>
      </w:r>
      <w:r>
        <w:rPr>
          <w:rFonts w:hint="eastAsia"/>
          <w:color w:val="000000" w:themeColor="text1"/>
          <w:lang w:val="en-US" w:eastAsia="zh-CN"/>
        </w:rPr>
        <w:t>01</w:t>
      </w:r>
      <w:r>
        <w:rPr>
          <w:rFonts w:hint="eastAsia"/>
          <w:color w:val="000000" w:themeColor="text1"/>
          <w:lang w:eastAsia="zh-CN"/>
        </w:rPr>
        <w:t>日17时30分</w:t>
      </w:r>
      <w:r>
        <w:rPr>
          <w:rFonts w:hint="eastAsia"/>
          <w:lang w:eastAsia="zh-CN"/>
        </w:rPr>
        <w:t>。</w:t>
      </w:r>
    </w:p>
    <w:p>
      <w:pPr>
        <w:pStyle w:val="4"/>
        <w:tabs>
          <w:tab w:val="left" w:pos="6879"/>
        </w:tabs>
        <w:spacing w:before="107" w:line="321" w:lineRule="auto"/>
        <w:ind w:left="723" w:right="106" w:hanging="723" w:hangingChars="300"/>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eastAsia="zh-CN"/>
        </w:rPr>
        <w:t>黄梅钦</w:t>
      </w:r>
      <w:r>
        <w:rPr>
          <w:rFonts w:hint="eastAsia"/>
          <w:lang w:eastAsia="zh-CN"/>
        </w:rPr>
        <w:t xml:space="preserve">   </w:t>
      </w:r>
      <w:r>
        <w:rPr>
          <w:lang w:eastAsia="zh-CN"/>
        </w:rPr>
        <w:t>联系电话</w:t>
      </w:r>
      <w:r>
        <w:rPr>
          <w:spacing w:val="-4"/>
          <w:lang w:eastAsia="zh-CN"/>
        </w:rPr>
        <w:t>：</w:t>
      </w:r>
      <w:r>
        <w:rPr>
          <w:rFonts w:hint="eastAsia"/>
          <w:spacing w:val="-4"/>
          <w:lang w:eastAsia="zh-CN"/>
        </w:rPr>
        <w:t>0596-6311073。</w:t>
      </w:r>
      <w:bookmarkStart w:id="10" w:name="_GoBack"/>
      <w:bookmarkEnd w:id="10"/>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afterLines="50" w:line="355" w:lineRule="exact"/>
        <w:ind w:left="3362"/>
        <w:rPr>
          <w:sz w:val="30"/>
          <w:szCs w:val="30"/>
          <w:lang w:eastAsia="zh-CN"/>
        </w:rPr>
      </w:pPr>
      <w:r>
        <w:rPr>
          <w:sz w:val="30"/>
          <w:szCs w:val="30"/>
          <w:lang w:eastAsia="zh-CN"/>
        </w:rPr>
        <w:t>第三章</w:t>
      </w:r>
      <w:r>
        <w:rPr>
          <w:sz w:val="30"/>
          <w:szCs w:val="30"/>
          <w:lang w:eastAsia="zh-CN"/>
        </w:rPr>
        <w:tab/>
      </w:r>
      <w:r>
        <w:rPr>
          <w:spacing w:val="-1"/>
          <w:w w:val="95"/>
          <w:sz w:val="30"/>
          <w:szCs w:val="30"/>
          <w:lang w:eastAsia="zh-CN"/>
        </w:rPr>
        <w:t>参选文</w:t>
      </w:r>
      <w:r>
        <w:rPr>
          <w:w w:val="95"/>
          <w:sz w:val="30"/>
          <w:szCs w:val="30"/>
          <w:lang w:eastAsia="zh-CN"/>
        </w:rPr>
        <w:t>件的编制</w:t>
      </w:r>
    </w:p>
    <w:p>
      <w:pPr>
        <w:pStyle w:val="17"/>
        <w:spacing w:line="360" w:lineRule="auto"/>
        <w:ind w:firstLine="534" w:firstLineChars="200"/>
        <w:rPr>
          <w:b/>
          <w:lang w:eastAsia="zh-CN"/>
        </w:rPr>
      </w:pPr>
      <w:r>
        <w:rPr>
          <w:rFonts w:hint="eastAsia"/>
          <w:b/>
          <w:w w:val="95"/>
          <w:sz w:val="28"/>
          <w:lang w:eastAsia="zh-CN"/>
        </w:rPr>
        <w:t xml:space="preserve">   </w:t>
      </w: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74"/>
        <w:numPr>
          <w:ilvl w:val="0"/>
          <w:numId w:val="8"/>
        </w:numPr>
        <w:spacing w:before="0"/>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17"/>
        <w:spacing w:before="186" w:line="321" w:lineRule="auto"/>
        <w:ind w:left="118" w:right="92" w:firstLine="480"/>
        <w:rPr>
          <w:lang w:eastAsia="zh-CN"/>
        </w:rPr>
      </w:pPr>
      <w:r>
        <w:rPr>
          <w:lang w:eastAsia="zh-CN"/>
        </w:rPr>
        <w:t>①参选单位营业执照税务登记证（经年检或年审合格的）等。</w:t>
      </w:r>
    </w:p>
    <w:p>
      <w:pPr>
        <w:pStyle w:val="1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1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1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1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7"/>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ind w:left="0"/>
        <w:rPr>
          <w:lang w:eastAsia="zh-CN"/>
        </w:rPr>
      </w:pPr>
      <w:r>
        <w:rPr>
          <w:w w:val="95"/>
          <w:lang w:eastAsia="zh-CN"/>
        </w:rPr>
        <w:t>二、参选书格式内容</w:t>
      </w:r>
    </w:p>
    <w:p>
      <w:pPr>
        <w:pStyle w:val="17"/>
        <w:spacing w:line="360" w:lineRule="auto"/>
        <w:ind w:firstLine="480" w:firstLineChars="200"/>
        <w:rPr>
          <w:lang w:eastAsia="zh-CN"/>
        </w:rPr>
      </w:pPr>
      <w:r>
        <w:rPr>
          <w:lang w:eastAsia="zh-CN"/>
        </w:rPr>
        <w:t>参选人应按附件二格式内容要求进行参选书的编制。</w:t>
      </w: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3"/>
        <w:ind w:left="0"/>
        <w:rPr>
          <w:lang w:eastAsia="zh-CN"/>
        </w:rPr>
      </w:pPr>
      <w:r>
        <w:rPr>
          <w:w w:val="95"/>
          <w:lang w:eastAsia="zh-CN"/>
        </w:rPr>
        <w:t>三、参选报价</w:t>
      </w:r>
    </w:p>
    <w:p>
      <w:pPr>
        <w:pStyle w:val="1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9"/>
        </w:numPr>
        <w:spacing w:before="30"/>
        <w:ind w:left="0"/>
        <w:rPr>
          <w:w w:val="95"/>
          <w:lang w:eastAsia="zh-CN"/>
        </w:rPr>
      </w:pPr>
      <w:r>
        <w:rPr>
          <w:w w:val="95"/>
          <w:lang w:eastAsia="zh-CN"/>
        </w:rPr>
        <w:t>特别说明</w:t>
      </w:r>
    </w:p>
    <w:p>
      <w:pPr>
        <w:rPr>
          <w:lang w:eastAsia="zh-CN"/>
        </w:rPr>
      </w:pPr>
    </w:p>
    <w:p>
      <w:pPr>
        <w:pStyle w:val="17"/>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7"/>
        <w:spacing w:line="360" w:lineRule="auto"/>
        <w:ind w:left="119" w:right="224" w:hanging="59"/>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7"/>
        <w:spacing w:line="360" w:lineRule="auto"/>
        <w:ind w:left="119" w:right="226" w:hanging="19"/>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3"/>
        <w:spacing w:line="360" w:lineRule="auto"/>
        <w:ind w:left="266" w:leftChars="0" w:hanging="266" w:hangingChars="120"/>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7"/>
        <w:spacing w:line="360" w:lineRule="auto"/>
        <w:ind w:left="218" w:right="226" w:hanging="218" w:hangingChars="91"/>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7"/>
        <w:spacing w:line="360" w:lineRule="auto"/>
        <w:ind w:left="220" w:leftChars="-9" w:right="227" w:hanging="24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9126"/>
      <w:bookmarkStart w:id="2" w:name="_Toc415567504"/>
      <w:bookmarkStart w:id="3" w:name="_Toc304357904"/>
      <w:bookmarkStart w:id="4" w:name="_Toc430488651"/>
      <w:bookmarkStart w:id="5" w:name="_Toc430490619"/>
      <w:bookmarkStart w:id="6" w:name="_Toc430488858"/>
      <w:bookmarkStart w:id="7" w:name="_Toc430492133"/>
      <w:bookmarkStart w:id="8" w:name="_Toc177186249"/>
    </w:p>
    <w:p>
      <w:pPr>
        <w:pStyle w:val="17"/>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7"/>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7"/>
        <w:spacing w:line="360" w:lineRule="auto"/>
        <w:ind w:left="340" w:leftChars="-9" w:right="226" w:hanging="36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sectPr>
          <w:pgSz w:w="11910" w:h="16840"/>
          <w:pgMar w:top="1500" w:right="1020" w:bottom="740" w:left="1300" w:header="0" w:footer="551" w:gutter="0"/>
          <w:cols w:space="720" w:num="1"/>
        </w:sectPr>
      </w:pPr>
    </w:p>
    <w:p>
      <w:pPr>
        <w:pStyle w:val="3"/>
        <w:tabs>
          <w:tab w:val="left" w:pos="1488"/>
        </w:tabs>
        <w:spacing w:line="355" w:lineRule="exact"/>
        <w:ind w:left="365"/>
        <w:jc w:val="center"/>
        <w:rPr>
          <w:sz w:val="32"/>
          <w:szCs w:val="32"/>
          <w:lang w:eastAsia="zh-CN"/>
        </w:rPr>
      </w:pPr>
      <w:r>
        <w:rPr>
          <w:sz w:val="32"/>
          <w:szCs w:val="32"/>
          <w:lang w:eastAsia="zh-CN"/>
        </w:rPr>
        <w:t>第四章</w:t>
      </w:r>
      <w:r>
        <w:rPr>
          <w:sz w:val="32"/>
          <w:szCs w:val="32"/>
          <w:lang w:eastAsia="zh-CN"/>
        </w:rPr>
        <w:tab/>
      </w:r>
      <w:r>
        <w:rPr>
          <w:spacing w:val="-1"/>
          <w:w w:val="95"/>
          <w:sz w:val="32"/>
          <w:szCs w:val="32"/>
          <w:lang w:eastAsia="zh-CN"/>
        </w:rPr>
        <w:t>评比规</w:t>
      </w:r>
      <w:r>
        <w:rPr>
          <w:w w:val="95"/>
          <w:sz w:val="32"/>
          <w:szCs w:val="32"/>
          <w:lang w:eastAsia="zh-CN"/>
        </w:rPr>
        <w:t>则</w:t>
      </w:r>
    </w:p>
    <w:p>
      <w:pPr>
        <w:spacing w:before="15" w:line="360" w:lineRule="auto"/>
        <w:rPr>
          <w:b/>
          <w:w w:val="95"/>
          <w:sz w:val="28"/>
          <w:lang w:eastAsia="zh-CN"/>
        </w:rPr>
      </w:pPr>
      <w:r>
        <w:rPr>
          <w:b/>
          <w:w w:val="95"/>
          <w:sz w:val="28"/>
          <w:lang w:eastAsia="zh-CN"/>
        </w:rPr>
        <w:t>一、规则</w:t>
      </w:r>
    </w:p>
    <w:p>
      <w:pPr>
        <w:pStyle w:val="17"/>
        <w:spacing w:line="360" w:lineRule="auto"/>
        <w:ind w:left="274" w:right="121" w:hanging="273" w:hangingChars="114"/>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left="36" w:right="121" w:hanging="36" w:hangingChars="15"/>
        <w:jc w:val="both"/>
        <w:rPr>
          <w:lang w:eastAsia="zh-CN"/>
        </w:rPr>
      </w:pPr>
      <w:r>
        <w:rPr>
          <w:lang w:eastAsia="zh-CN"/>
        </w:rPr>
        <w:t>2.参选人串选、相互勾结故意压低标价以排挤竞争对手的公平竞争的，其参选无效。</w:t>
      </w:r>
    </w:p>
    <w:p>
      <w:pPr>
        <w:pStyle w:val="17"/>
        <w:spacing w:line="360" w:lineRule="auto"/>
        <w:ind w:left="274" w:right="121" w:hanging="273" w:hangingChars="114"/>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1.本项目设置最高控制价608,000.00元（含税）。</w:t>
      </w:r>
    </w:p>
    <w:p>
      <w:pPr>
        <w:pStyle w:val="17"/>
        <w:spacing w:line="360" w:lineRule="auto"/>
        <w:ind w:left="480" w:leftChars="109" w:right="222" w:hanging="240" w:hangingChars="100"/>
        <w:rPr>
          <w:rFonts w:asciiTheme="minorEastAsia" w:hAnsiTheme="minorEastAsia" w:eastAsiaTheme="minorEastAsia"/>
          <w:lang w:eastAsia="zh-CN"/>
        </w:rPr>
      </w:pPr>
      <w:r>
        <w:rPr>
          <w:rFonts w:hint="eastAsia" w:asciiTheme="minorEastAsia" w:hAnsiTheme="minorEastAsia" w:eastAsiaTheme="minorEastAsia"/>
          <w:lang w:eastAsia="zh-CN"/>
        </w:rPr>
        <w:t>2.</w:t>
      </w: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未税单价最低者作为中选单位</w:t>
      </w:r>
      <w:r>
        <w:rPr>
          <w:b/>
          <w:bCs/>
          <w:lang w:eastAsia="zh-CN"/>
        </w:rPr>
        <w:t>。</w:t>
      </w:r>
    </w:p>
    <w:p>
      <w:pPr>
        <w:spacing w:before="15" w:line="360" w:lineRule="auto"/>
        <w:rPr>
          <w:b/>
          <w:w w:val="95"/>
          <w:sz w:val="28"/>
          <w:lang w:eastAsia="zh-CN"/>
        </w:rPr>
      </w:pPr>
      <w:r>
        <w:rPr>
          <w:b/>
          <w:w w:val="95"/>
          <w:sz w:val="28"/>
          <w:lang w:eastAsia="zh-CN"/>
        </w:rPr>
        <w:t>四、以下情况作废选处理</w:t>
      </w:r>
    </w:p>
    <w:p>
      <w:pPr>
        <w:pStyle w:val="17"/>
        <w:spacing w:line="360" w:lineRule="auto"/>
        <w:ind w:right="121" w:firstLine="240" w:firstLineChars="100"/>
        <w:jc w:val="both"/>
        <w:rPr>
          <w:lang w:eastAsia="zh-CN"/>
        </w:rPr>
      </w:pPr>
      <w:r>
        <w:rPr>
          <w:lang w:eastAsia="zh-CN"/>
        </w:rPr>
        <w:t>1.对比选文件提出的实质性要求和条件，参选文件未能在实质上响应的。</w:t>
      </w:r>
    </w:p>
    <w:p>
      <w:pPr>
        <w:pStyle w:val="17"/>
        <w:spacing w:line="360" w:lineRule="auto"/>
        <w:ind w:right="121" w:firstLine="240" w:firstLineChars="100"/>
        <w:jc w:val="both"/>
        <w:rPr>
          <w:lang w:eastAsia="zh-CN"/>
        </w:rPr>
      </w:pPr>
      <w:r>
        <w:rPr>
          <w:lang w:eastAsia="zh-CN"/>
        </w:rPr>
        <w:t>2.参选文件存在重大偏差的。</w:t>
      </w:r>
    </w:p>
    <w:p>
      <w:pPr>
        <w:pStyle w:val="17"/>
        <w:spacing w:line="360" w:lineRule="auto"/>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rPr>
          <w:b/>
          <w:w w:val="95"/>
          <w:sz w:val="28"/>
          <w:lang w:eastAsia="zh-CN"/>
        </w:rPr>
      </w:pPr>
      <w:r>
        <w:rPr>
          <w:b/>
          <w:w w:val="95"/>
          <w:sz w:val="28"/>
          <w:lang w:eastAsia="zh-CN"/>
        </w:rPr>
        <w:t>五、评选</w:t>
      </w:r>
    </w:p>
    <w:p>
      <w:pPr>
        <w:pStyle w:val="17"/>
        <w:spacing w:line="360" w:lineRule="auto"/>
        <w:ind w:left="242" w:leftChars="110" w:right="121"/>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240" w:firstLineChars="100"/>
        <w:jc w:val="both"/>
        <w:rPr>
          <w:lang w:eastAsia="zh-CN"/>
        </w:rPr>
      </w:pPr>
      <w:r>
        <w:rPr>
          <w:lang w:eastAsia="zh-CN"/>
        </w:rPr>
        <w:t>2.在开选时没有启封和读出的参选文件，在评选时将不予考虑。</w:t>
      </w:r>
    </w:p>
    <w:p>
      <w:pPr>
        <w:pStyle w:val="17"/>
        <w:spacing w:line="360" w:lineRule="auto"/>
        <w:ind w:right="121" w:firstLine="240" w:firstLineChars="100"/>
        <w:jc w:val="both"/>
        <w:rPr>
          <w:lang w:eastAsia="zh-CN"/>
        </w:rPr>
      </w:pPr>
      <w:r>
        <w:rPr>
          <w:lang w:eastAsia="zh-CN"/>
        </w:rPr>
        <w:t>3.比选人将做开选记录。</w:t>
      </w:r>
    </w:p>
    <w:p>
      <w:pPr>
        <w:pStyle w:val="17"/>
        <w:spacing w:line="360" w:lineRule="auto"/>
        <w:ind w:right="121" w:firstLine="120" w:firstLineChars="50"/>
        <w:jc w:val="both"/>
        <w:rPr>
          <w:lang w:eastAsia="zh-CN"/>
        </w:rPr>
      </w:pPr>
      <w:r>
        <w:rPr>
          <w:rFonts w:hint="eastAsia"/>
          <w:lang w:eastAsia="zh-CN"/>
        </w:rPr>
        <w:t>4.业主将根据评选结果与中选人签订合同。</w:t>
      </w:r>
    </w:p>
    <w:p>
      <w:pPr>
        <w:pStyle w:val="17"/>
        <w:spacing w:before="23"/>
        <w:rPr>
          <w:lang w:eastAsia="zh-CN"/>
        </w:rPr>
        <w:sectPr>
          <w:pgSz w:w="11910" w:h="16840"/>
          <w:pgMar w:top="1280" w:right="1140" w:bottom="740" w:left="1300" w:header="0" w:footer="551" w:gutter="0"/>
          <w:cols w:space="720" w:num="1"/>
        </w:sectPr>
      </w:pPr>
    </w:p>
    <w:p>
      <w:pPr>
        <w:spacing w:before="15" w:line="360" w:lineRule="auto"/>
        <w:ind w:firstLine="3205" w:firstLineChars="1200"/>
        <w:rPr>
          <w:b/>
          <w:w w:val="95"/>
          <w:sz w:val="28"/>
          <w:lang w:eastAsia="zh-CN"/>
        </w:rPr>
      </w:pPr>
      <w:r>
        <w:rPr>
          <w:b/>
          <w:w w:val="95"/>
          <w:sz w:val="28"/>
          <w:lang w:eastAsia="zh-CN"/>
        </w:rPr>
        <w:t>第五章  合同授予</w:t>
      </w:r>
    </w:p>
    <w:p>
      <w:pPr>
        <w:pStyle w:val="17"/>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7"/>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7"/>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7"/>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7"/>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47"/>
          <w:rFonts w:hint="eastAsia"/>
          <w:sz w:val="24"/>
          <w:szCs w:val="24"/>
        </w:rPr>
        <w:t>福建福海创石油化工有限公司的权属子公司“翔鹭石化（漳州）有限公司”作为合同执行主体，将于中选通知书发出之日起20日内与中选人完成合同签订事宜。</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left="785" w:leftChars="208" w:right="121" w:hanging="328" w:hangingChars="137"/>
        <w:jc w:val="both"/>
        <w:rPr>
          <w:lang w:eastAsia="zh-CN"/>
        </w:rPr>
      </w:pPr>
      <w:r>
        <w:rPr>
          <w:lang w:eastAsia="zh-CN"/>
        </w:rPr>
        <w:t>1.</w:t>
      </w:r>
      <w:r>
        <w:rPr>
          <w:rFonts w:hint="eastAsia"/>
          <w:lang w:eastAsia="zh-CN"/>
        </w:rPr>
        <w:t xml:space="preserve"> </w:t>
      </w:r>
      <w:r>
        <w:rPr>
          <w:lang w:eastAsia="zh-CN"/>
        </w:rPr>
        <w:t>中选单位要服从比选人的管理规定，不得影响比选人的生产运行，如有违反，取消中选单位的继续履行合同的资格，同时，由此给比选人造成的损失，比选人有权追究中选单位的全部责任。</w:t>
      </w:r>
    </w:p>
    <w:p>
      <w:pPr>
        <w:spacing w:afterLines="100" w:line="120" w:lineRule="auto"/>
        <w:ind w:left="758" w:leftChars="208" w:hanging="301" w:hangingChars="137"/>
        <w:jc w:val="both"/>
        <w:rPr>
          <w:highlight w:val="green"/>
          <w:lang w:eastAsia="zh-CN"/>
        </w:rPr>
      </w:pPr>
      <w:r>
        <w:rPr>
          <w:lang w:eastAsia="zh-CN"/>
        </w:rPr>
        <w:t>2.</w:t>
      </w:r>
      <w:r>
        <w:rPr>
          <w:rFonts w:hint="eastAsia"/>
          <w:lang w:eastAsia="zh-CN"/>
        </w:rPr>
        <w:t xml:space="preserve"> </w:t>
      </w:r>
      <w:r>
        <w:rPr>
          <w:lang w:eastAsia="zh-CN"/>
        </w:rPr>
        <w:t>中选单位必须严格执行</w:t>
      </w:r>
      <w:r>
        <w:rPr>
          <w:rFonts w:hint="eastAsia"/>
          <w:lang w:eastAsia="zh-CN"/>
        </w:rPr>
        <w:t>PTA旧包装袋（吨袋）</w:t>
      </w:r>
      <w:r>
        <w:rPr>
          <w:lang w:eastAsia="zh-CN"/>
        </w:rPr>
        <w:t>采购合同（详见附件一）的规定。</w:t>
      </w:r>
    </w:p>
    <w:p>
      <w:pPr>
        <w:pStyle w:val="17"/>
        <w:spacing w:line="360" w:lineRule="auto"/>
        <w:ind w:left="785" w:leftChars="208" w:right="121" w:hanging="328" w:hangingChars="137"/>
        <w:jc w:val="both"/>
        <w:rPr>
          <w:lang w:eastAsia="zh-CN"/>
        </w:rPr>
      </w:pPr>
      <w:r>
        <w:rPr>
          <w:lang w:eastAsia="zh-CN"/>
        </w:rPr>
        <w:t>3.</w:t>
      </w:r>
      <w:r>
        <w:rPr>
          <w:rFonts w:hint="eastAsia"/>
          <w:lang w:eastAsia="zh-CN"/>
        </w:rPr>
        <w:t xml:space="preserve"> </w:t>
      </w:r>
      <w:r>
        <w:rPr>
          <w:lang w:eastAsia="zh-CN"/>
        </w:rPr>
        <w:t>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80" w:firstLineChars="1100"/>
        <w:jc w:val="both"/>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spacing w:line="360" w:lineRule="auto"/>
        <w:ind w:left="215"/>
        <w:rPr>
          <w:lang w:eastAsia="zh-CN"/>
        </w:rPr>
      </w:pPr>
    </w:p>
    <w:p>
      <w:pPr>
        <w:pStyle w:val="74"/>
        <w:spacing w:line="360" w:lineRule="auto"/>
        <w:ind w:firstLine="482"/>
        <w:rPr>
          <w:b/>
          <w:sz w:val="24"/>
          <w:lang w:eastAsia="zh-CN"/>
        </w:rPr>
      </w:pPr>
      <w:r>
        <w:rPr>
          <w:b/>
          <w:color w:val="000000"/>
          <w:sz w:val="24"/>
          <w:szCs w:val="32"/>
          <w:lang w:eastAsia="zh-CN"/>
        </w:rPr>
        <w:t>附</w:t>
      </w:r>
      <w:r>
        <w:rPr>
          <w:rFonts w:hint="eastAsia"/>
          <w:b/>
          <w:color w:val="000000"/>
          <w:sz w:val="24"/>
          <w:szCs w:val="32"/>
          <w:lang w:eastAsia="zh-CN"/>
        </w:rPr>
        <w:t>图</w:t>
      </w:r>
      <w:r>
        <w:rPr>
          <w:b/>
          <w:color w:val="000000"/>
          <w:sz w:val="24"/>
          <w:szCs w:val="32"/>
          <w:lang w:eastAsia="zh-CN"/>
        </w:rPr>
        <w:t>、</w:t>
      </w:r>
      <w:r>
        <w:rPr>
          <w:rFonts w:hint="eastAsia"/>
          <w:b/>
          <w:sz w:val="24"/>
          <w:lang w:eastAsia="zh-CN"/>
        </w:rPr>
        <w:t>PTA旧包装袋采购相关要求（样袋请参照以下图片）：</w:t>
      </w:r>
    </w:p>
    <w:p>
      <w:pPr>
        <w:pStyle w:val="17"/>
        <w:spacing w:line="360" w:lineRule="auto"/>
        <w:ind w:left="215"/>
        <w:rPr>
          <w:b/>
        </w:rPr>
      </w:pPr>
      <w:r>
        <w:rPr>
          <w:b/>
          <w:lang w:eastAsia="zh-CN"/>
        </w:rPr>
        <w:drawing>
          <wp:inline distT="0" distB="0" distL="0" distR="0">
            <wp:extent cx="5950585" cy="7934325"/>
            <wp:effectExtent l="0" t="0" r="12065" b="9525"/>
            <wp:docPr id="5" name="图片 4" descr="微信图片_2020080414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200804145133.jpg"/>
                    <pic:cNvPicPr>
                      <a:picLocks noChangeAspect="1"/>
                    </pic:cNvPicPr>
                  </pic:nvPicPr>
                  <pic:blipFill>
                    <a:blip r:embed="rId6" cstate="print"/>
                    <a:stretch>
                      <a:fillRect/>
                    </a:stretch>
                  </pic:blipFill>
                  <pic:spPr>
                    <a:xfrm>
                      <a:off x="0" y="0"/>
                      <a:ext cx="5953224" cy="7937437"/>
                    </a:xfrm>
                    <a:prstGeom prst="rect">
                      <a:avLst/>
                    </a:prstGeom>
                  </pic:spPr>
                </pic:pic>
              </a:graphicData>
            </a:graphic>
          </wp:inline>
        </w:drawing>
      </w:r>
    </w:p>
    <w:p>
      <w:pPr>
        <w:pStyle w:val="17"/>
        <w:spacing w:line="360" w:lineRule="auto"/>
        <w:ind w:left="215"/>
        <w:rPr>
          <w:rFonts w:ascii="仿宋_GB2312" w:eastAsia="仿宋_GB2312" w:hAnsiTheme="majorEastAsia"/>
          <w:b/>
          <w:color w:val="000000"/>
          <w:sz w:val="28"/>
          <w:szCs w:val="28"/>
        </w:rPr>
      </w:pPr>
    </w:p>
    <w:p>
      <w:pPr>
        <w:pStyle w:val="17"/>
        <w:spacing w:line="360" w:lineRule="auto"/>
        <w:ind w:left="215"/>
        <w:rPr>
          <w:rFonts w:ascii="仿宋_GB2312" w:eastAsia="仿宋_GB2312" w:hAnsiTheme="majorEastAsia"/>
          <w:b/>
          <w:color w:val="000000"/>
          <w:sz w:val="28"/>
          <w:szCs w:val="28"/>
          <w:lang w:eastAsia="zh-CN"/>
        </w:rPr>
      </w:pPr>
    </w:p>
    <w:p>
      <w:pPr>
        <w:pStyle w:val="17"/>
        <w:rPr>
          <w:rFonts w:ascii="Times New Roman"/>
          <w:b/>
          <w:bCs/>
          <w:lang w:eastAsia="zh-CN"/>
        </w:rPr>
      </w:pPr>
      <w:r>
        <w:rPr>
          <w:rFonts w:hint="eastAsia" w:ascii="Times New Roman"/>
          <w:b/>
          <w:bCs/>
          <w:lang w:eastAsia="zh-CN"/>
        </w:rPr>
        <w:t>附件一、</w:t>
      </w:r>
    </w:p>
    <w:p>
      <w:pPr>
        <w:spacing w:afterLines="100" w:line="120" w:lineRule="auto"/>
        <w:jc w:val="center"/>
        <w:rPr>
          <w:rFonts w:ascii="Times New Roman" w:hAnsi="Times New Roman" w:cs="Times New Roman"/>
          <w:b/>
          <w:sz w:val="32"/>
          <w:szCs w:val="32"/>
          <w:lang w:eastAsia="zh-CN"/>
        </w:rPr>
      </w:pPr>
      <w:bookmarkStart w:id="9" w:name="_Toc251742852"/>
      <w:r>
        <w:rPr>
          <w:rFonts w:hint="eastAsia" w:ascii="Times New Roman" w:hAnsi="Times New Roman" w:cs="Times New Roman"/>
          <w:b/>
          <w:sz w:val="32"/>
          <w:szCs w:val="32"/>
          <w:lang w:eastAsia="zh-CN"/>
        </w:rPr>
        <w:t>PTA旧包装袋（吨袋）</w:t>
      </w:r>
      <w:r>
        <w:rPr>
          <w:rFonts w:ascii="Times New Roman" w:hAnsi="Times New Roman" w:cs="Times New Roman"/>
          <w:b/>
          <w:sz w:val="32"/>
          <w:szCs w:val="32"/>
          <w:lang w:eastAsia="zh-CN"/>
        </w:rPr>
        <w:t>采购合同</w:t>
      </w:r>
    </w:p>
    <w:tbl>
      <w:tblPr>
        <w:tblStyle w:val="58"/>
        <w:tblW w:w="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3706"/>
        <w:gridCol w:w="1575"/>
        <w:gridCol w:w="3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Pr>
          <w:p>
            <w:pPr>
              <w:spacing w:line="12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tc>
        <w:tc>
          <w:tcPr>
            <w:tcW w:w="3706" w:type="dxa"/>
          </w:tcPr>
          <w:p>
            <w:pPr>
              <w:spacing w:line="120" w:lineRule="auto"/>
              <w:rPr>
                <w:rFonts w:ascii="Times New Roman" w:hAnsi="Times New Roman" w:cs="Times New Roman"/>
                <w:sz w:val="24"/>
                <w:szCs w:val="24"/>
                <w:lang w:eastAsia="zh-CN"/>
              </w:rPr>
            </w:pPr>
          </w:p>
        </w:tc>
        <w:tc>
          <w:tcPr>
            <w:tcW w:w="1575" w:type="dxa"/>
          </w:tcPr>
          <w:p>
            <w:pPr>
              <w:spacing w:line="120" w:lineRule="auto"/>
              <w:rPr>
                <w:rFonts w:ascii="Times New Roman" w:hAnsi="Times New Roman" w:cs="Times New Roman"/>
                <w:b/>
                <w:bCs/>
                <w:sz w:val="24"/>
                <w:szCs w:val="24"/>
              </w:rPr>
            </w:pPr>
            <w:r>
              <w:rPr>
                <w:rFonts w:ascii="Times New Roman" w:hAnsi="Times New Roman" w:cs="Times New Roman"/>
                <w:b/>
                <w:bCs/>
                <w:sz w:val="24"/>
                <w:szCs w:val="24"/>
              </w:rPr>
              <w:t>合同编号：</w:t>
            </w:r>
          </w:p>
        </w:tc>
        <w:tc>
          <w:tcPr>
            <w:tcW w:w="3705" w:type="dxa"/>
          </w:tcPr>
          <w:p>
            <w:pPr>
              <w:spacing w:line="120" w:lineRule="auto"/>
              <w:rPr>
                <w:rFonts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Pr>
          <w:p>
            <w:pPr>
              <w:spacing w:line="120" w:lineRule="auto"/>
              <w:rPr>
                <w:rFonts w:ascii="Times New Roman" w:hAnsi="Times New Roman" w:cs="Times New Roman"/>
                <w:b/>
                <w:bCs/>
                <w:sz w:val="24"/>
                <w:szCs w:val="24"/>
              </w:rPr>
            </w:pPr>
            <w:r>
              <w:rPr>
                <w:rFonts w:ascii="Times New Roman" w:hAnsi="Times New Roman" w:cs="Times New Roman"/>
                <w:b/>
                <w:bCs/>
                <w:sz w:val="24"/>
                <w:szCs w:val="24"/>
              </w:rPr>
              <w:t>甲方：</w:t>
            </w:r>
          </w:p>
        </w:tc>
        <w:tc>
          <w:tcPr>
            <w:tcW w:w="3706" w:type="dxa"/>
          </w:tcPr>
          <w:p>
            <w:pPr>
              <w:spacing w:line="120" w:lineRule="auto"/>
              <w:rPr>
                <w:rFonts w:ascii="Times New Roman" w:hAnsi="Times New Roman" w:cs="Times New Roman"/>
                <w:sz w:val="24"/>
                <w:szCs w:val="24"/>
                <w:lang w:eastAsia="zh-CN"/>
              </w:rPr>
            </w:pPr>
            <w:r>
              <w:rPr>
                <w:rFonts w:ascii="Times New Roman" w:hAnsi="Times New Roman" w:cs="Times New Roman"/>
                <w:color w:val="000000"/>
                <w:sz w:val="24"/>
                <w:szCs w:val="24"/>
                <w:lang w:eastAsia="zh-CN"/>
              </w:rPr>
              <w:t>翔鹭石化（漳州）有限公司</w:t>
            </w:r>
          </w:p>
        </w:tc>
        <w:tc>
          <w:tcPr>
            <w:tcW w:w="1575" w:type="dxa"/>
          </w:tcPr>
          <w:p>
            <w:pPr>
              <w:spacing w:line="120" w:lineRule="auto"/>
              <w:rPr>
                <w:rFonts w:ascii="Times New Roman" w:hAnsi="Times New Roman" w:cs="Times New Roman"/>
                <w:b/>
                <w:bCs/>
                <w:sz w:val="24"/>
                <w:szCs w:val="24"/>
              </w:rPr>
            </w:pPr>
            <w:r>
              <w:rPr>
                <w:rFonts w:ascii="Times New Roman" w:hAnsi="Times New Roman" w:cs="Times New Roman"/>
                <w:b/>
                <w:bCs/>
                <w:sz w:val="24"/>
                <w:szCs w:val="24"/>
              </w:rPr>
              <w:t>签订地点：</w:t>
            </w:r>
          </w:p>
        </w:tc>
        <w:tc>
          <w:tcPr>
            <w:tcW w:w="3705" w:type="dxa"/>
          </w:tcPr>
          <w:p>
            <w:pPr>
              <w:spacing w:line="120" w:lineRule="auto"/>
              <w:rPr>
                <w:rFonts w:ascii="Times New Roman" w:hAnsi="Times New Roman" w:cs="Times New Roman"/>
                <w:sz w:val="24"/>
                <w:szCs w:val="24"/>
              </w:rPr>
            </w:pPr>
            <w:r>
              <w:rPr>
                <w:rFonts w:ascii="Times New Roman" w:hAnsi="Times New Roman" w:cs="Times New Roman"/>
                <w:sz w:val="24"/>
                <w:szCs w:val="24"/>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Pr>
          <w:p>
            <w:pPr>
              <w:spacing w:line="120" w:lineRule="auto"/>
              <w:rPr>
                <w:rFonts w:ascii="Times New Roman" w:hAnsi="Times New Roman" w:cs="Times New Roman"/>
                <w:b/>
                <w:bCs/>
                <w:sz w:val="24"/>
                <w:szCs w:val="24"/>
              </w:rPr>
            </w:pPr>
            <w:r>
              <w:rPr>
                <w:rFonts w:ascii="Times New Roman" w:hAnsi="Times New Roman" w:cs="Times New Roman"/>
                <w:b/>
                <w:bCs/>
                <w:sz w:val="24"/>
                <w:szCs w:val="24"/>
              </w:rPr>
              <w:t>乙方：</w:t>
            </w:r>
          </w:p>
        </w:tc>
        <w:tc>
          <w:tcPr>
            <w:tcW w:w="3706" w:type="dxa"/>
          </w:tcPr>
          <w:p>
            <w:pPr>
              <w:spacing w:line="120" w:lineRule="auto"/>
              <w:rPr>
                <w:rFonts w:ascii="Times New Roman" w:hAnsi="Times New Roman" w:cs="Times New Roman"/>
                <w:sz w:val="24"/>
                <w:szCs w:val="24"/>
              </w:rPr>
            </w:pPr>
          </w:p>
        </w:tc>
        <w:tc>
          <w:tcPr>
            <w:tcW w:w="1575" w:type="dxa"/>
          </w:tcPr>
          <w:p>
            <w:pPr>
              <w:spacing w:line="120" w:lineRule="auto"/>
              <w:rPr>
                <w:rFonts w:ascii="Times New Roman" w:hAnsi="Times New Roman" w:cs="Times New Roman"/>
                <w:b/>
                <w:bCs/>
                <w:sz w:val="24"/>
                <w:szCs w:val="24"/>
              </w:rPr>
            </w:pPr>
            <w:r>
              <w:rPr>
                <w:rFonts w:ascii="Times New Roman" w:hAnsi="Times New Roman" w:cs="Times New Roman"/>
                <w:b/>
                <w:bCs/>
                <w:sz w:val="24"/>
                <w:szCs w:val="24"/>
              </w:rPr>
              <w:t>签订日期：</w:t>
            </w:r>
          </w:p>
        </w:tc>
        <w:tc>
          <w:tcPr>
            <w:tcW w:w="3705" w:type="dxa"/>
          </w:tcPr>
          <w:p>
            <w:pPr>
              <w:spacing w:line="120" w:lineRule="auto"/>
              <w:rPr>
                <w:rFonts w:ascii="Times New Roman" w:hAnsi="Times New Roman" w:cs="Times New Roman"/>
                <w:sz w:val="24"/>
                <w:szCs w:val="24"/>
              </w:rPr>
            </w:pPr>
          </w:p>
        </w:tc>
      </w:tr>
    </w:tbl>
    <w:p>
      <w:pPr>
        <w:spacing w:line="120" w:lineRule="auto"/>
        <w:ind w:firstLine="480" w:firstLineChars="200"/>
        <w:rPr>
          <w:rFonts w:ascii="Times New Roman" w:hAnsi="Times New Roman" w:cs="Times New Roman"/>
          <w:sz w:val="24"/>
          <w:szCs w:val="24"/>
        </w:rPr>
      </w:pPr>
    </w:p>
    <w:p>
      <w:pPr>
        <w:spacing w:line="12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根据甲方采购项目需求，经双方友好协商，就甲方向乙方采购本合同第1条所列产品相关事宜，依据《中华人民共和国合同法》及其他相关法律法规规定，双方签订如下协议：</w:t>
      </w:r>
    </w:p>
    <w:p>
      <w:pPr>
        <w:pStyle w:val="74"/>
        <w:spacing w:line="120" w:lineRule="auto"/>
        <w:ind w:left="0" w:firstLine="0"/>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第一条  </w:t>
      </w:r>
      <w:r>
        <w:rPr>
          <w:rFonts w:ascii="Times New Roman" w:hAnsi="Times New Roman" w:cs="Times New Roman"/>
          <w:b/>
          <w:bCs/>
          <w:sz w:val="21"/>
          <w:szCs w:val="21"/>
          <w:lang w:eastAsia="zh-CN"/>
        </w:rPr>
        <w:t>合同标的和合同价格</w:t>
      </w:r>
    </w:p>
    <w:tbl>
      <w:tblPr>
        <w:tblStyle w:val="57"/>
        <w:tblW w:w="10128" w:type="dxa"/>
        <w:jc w:val="center"/>
        <w:tblInd w:w="93" w:type="dxa"/>
        <w:tblLayout w:type="fixed"/>
        <w:tblCellMar>
          <w:top w:w="0" w:type="dxa"/>
          <w:left w:w="108" w:type="dxa"/>
          <w:bottom w:w="0" w:type="dxa"/>
          <w:right w:w="108" w:type="dxa"/>
        </w:tblCellMar>
      </w:tblPr>
      <w:tblGrid>
        <w:gridCol w:w="700"/>
        <w:gridCol w:w="1778"/>
        <w:gridCol w:w="1500"/>
        <w:gridCol w:w="1065"/>
        <w:gridCol w:w="705"/>
        <w:gridCol w:w="1215"/>
        <w:gridCol w:w="1170"/>
        <w:gridCol w:w="1995"/>
      </w:tblGrid>
      <w:tr>
        <w:tblPrEx>
          <w:tblLayout w:type="fixed"/>
          <w:tblCellMar>
            <w:top w:w="0" w:type="dxa"/>
            <w:left w:w="108" w:type="dxa"/>
            <w:bottom w:w="0" w:type="dxa"/>
            <w:right w:w="108" w:type="dxa"/>
          </w:tblCellMar>
        </w:tblPrEx>
        <w:trPr>
          <w:trHeight w:val="820" w:hRule="atLeast"/>
          <w:jc w:val="center"/>
        </w:trPr>
        <w:tc>
          <w:tcPr>
            <w:tcW w:w="700"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序号</w:t>
            </w:r>
          </w:p>
        </w:tc>
        <w:tc>
          <w:tcPr>
            <w:tcW w:w="1778" w:type="dxa"/>
            <w:tcBorders>
              <w:top w:val="single" w:color="auto" w:sz="8" w:space="0"/>
              <w:left w:val="single" w:color="auto" w:sz="8" w:space="0"/>
              <w:bottom w:val="single" w:color="auto" w:sz="8" w:space="0"/>
              <w:right w:val="single" w:color="auto"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品名</w:t>
            </w:r>
          </w:p>
        </w:tc>
        <w:tc>
          <w:tcPr>
            <w:tcW w:w="1500" w:type="dxa"/>
            <w:tcBorders>
              <w:top w:val="single" w:color="auto" w:sz="8" w:space="0"/>
              <w:left w:val="single" w:color="auto" w:sz="8" w:space="0"/>
              <w:bottom w:val="single" w:color="000000" w:sz="8" w:space="0"/>
              <w:right w:val="single" w:color="auto"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规格</w:t>
            </w:r>
          </w:p>
        </w:tc>
        <w:tc>
          <w:tcPr>
            <w:tcW w:w="1065" w:type="dxa"/>
            <w:tcBorders>
              <w:top w:val="single" w:color="auto" w:sz="8" w:space="0"/>
              <w:left w:val="single" w:color="auto" w:sz="8" w:space="0"/>
              <w:bottom w:val="single" w:color="000000" w:sz="8" w:space="0"/>
              <w:right w:val="single" w:color="000000"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预估</w:t>
            </w:r>
          </w:p>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数量</w:t>
            </w:r>
          </w:p>
        </w:tc>
        <w:tc>
          <w:tcPr>
            <w:tcW w:w="70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单位</w:t>
            </w:r>
          </w:p>
        </w:tc>
        <w:tc>
          <w:tcPr>
            <w:tcW w:w="1215"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含税单价</w:t>
            </w:r>
          </w:p>
        </w:tc>
        <w:tc>
          <w:tcPr>
            <w:tcW w:w="1170"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含税总价</w:t>
            </w:r>
          </w:p>
        </w:tc>
        <w:tc>
          <w:tcPr>
            <w:tcW w:w="1995"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备注</w:t>
            </w:r>
          </w:p>
        </w:tc>
      </w:tr>
      <w:tr>
        <w:tblPrEx>
          <w:tblLayout w:type="fixed"/>
          <w:tblCellMar>
            <w:top w:w="0" w:type="dxa"/>
            <w:left w:w="108" w:type="dxa"/>
            <w:bottom w:w="0" w:type="dxa"/>
            <w:right w:w="108" w:type="dxa"/>
          </w:tblCellMar>
        </w:tblPrEx>
        <w:trPr>
          <w:trHeight w:val="285" w:hRule="atLeast"/>
          <w:jc w:val="center"/>
        </w:trPr>
        <w:tc>
          <w:tcPr>
            <w:tcW w:w="700" w:type="dxa"/>
            <w:tcBorders>
              <w:top w:val="nil"/>
              <w:left w:val="single" w:color="auto" w:sz="8" w:space="0"/>
              <w:bottom w:val="single" w:color="auto" w:sz="8" w:space="0"/>
              <w:right w:val="single" w:color="auto" w:sz="8" w:space="0"/>
            </w:tcBorders>
            <w:shd w:val="clear" w:color="auto" w:fill="auto"/>
            <w:vAlign w:val="center"/>
          </w:tcPr>
          <w:p>
            <w:pPr>
              <w:widowControl/>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lang w:eastAsia="zh-CN"/>
              </w:rPr>
              <w:t>1</w:t>
            </w:r>
          </w:p>
        </w:tc>
        <w:tc>
          <w:tcPr>
            <w:tcW w:w="1778" w:type="dxa"/>
            <w:tcBorders>
              <w:top w:val="nil"/>
              <w:left w:val="nil"/>
              <w:bottom w:val="single" w:color="auto" w:sz="8" w:space="0"/>
              <w:right w:val="single" w:color="auto" w:sz="8" w:space="0"/>
            </w:tcBorders>
            <w:shd w:val="clear" w:color="000000" w:fill="FFFFFF"/>
            <w:vAlign w:val="center"/>
          </w:tcPr>
          <w:p>
            <w:pPr>
              <w:widowControl/>
              <w:spacing w:line="360" w:lineRule="auto"/>
              <w:jc w:val="center"/>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PTA旧包装袋（吨袋）</w:t>
            </w:r>
          </w:p>
        </w:tc>
        <w:tc>
          <w:tcPr>
            <w:tcW w:w="1500" w:type="dxa"/>
            <w:tcBorders>
              <w:top w:val="nil"/>
              <w:left w:val="nil"/>
              <w:bottom w:val="single" w:color="auto" w:sz="8" w:space="0"/>
              <w:right w:val="single" w:color="auto" w:sz="8" w:space="0"/>
            </w:tcBorders>
            <w:shd w:val="clear" w:color="000000" w:fill="FFFFFF"/>
            <w:vAlign w:val="center"/>
          </w:tcPr>
          <w:p>
            <w:pPr>
              <w:widowControl/>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下方无出料口</w:t>
            </w:r>
          </w:p>
        </w:tc>
        <w:tc>
          <w:tcPr>
            <w:tcW w:w="1065" w:type="dxa"/>
            <w:tcBorders>
              <w:top w:val="nil"/>
              <w:left w:val="nil"/>
              <w:bottom w:val="single" w:color="auto" w:sz="8" w:space="0"/>
              <w:right w:val="single" w:color="000000" w:sz="8" w:space="0"/>
            </w:tcBorders>
            <w:shd w:val="clear" w:color="000000" w:fill="FFFFFF"/>
            <w:vAlign w:val="center"/>
          </w:tcPr>
          <w:p>
            <w:pPr>
              <w:widowControl/>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lang w:eastAsia="zh-CN"/>
              </w:rPr>
              <w:t>1</w:t>
            </w:r>
            <w:r>
              <w:rPr>
                <w:rFonts w:ascii="Times New Roman" w:hAnsi="Times New Roman" w:cs="Times New Roman"/>
                <w:color w:val="000000"/>
                <w:sz w:val="21"/>
                <w:szCs w:val="21"/>
              </w:rPr>
              <w:t>6000</w:t>
            </w:r>
          </w:p>
        </w:tc>
        <w:tc>
          <w:tcPr>
            <w:tcW w:w="70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条</w:t>
            </w:r>
          </w:p>
        </w:tc>
        <w:tc>
          <w:tcPr>
            <w:tcW w:w="1215"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jc w:val="center"/>
              <w:rPr>
                <w:rFonts w:ascii="Times New Roman" w:hAnsi="Times New Roman" w:cs="Times New Roman"/>
                <w:color w:val="000000"/>
                <w:sz w:val="21"/>
                <w:szCs w:val="21"/>
              </w:rPr>
            </w:pPr>
          </w:p>
        </w:tc>
        <w:tc>
          <w:tcPr>
            <w:tcW w:w="1170"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jc w:val="center"/>
              <w:rPr>
                <w:rFonts w:ascii="Times New Roman" w:hAnsi="Times New Roman" w:cs="Times New Roman"/>
                <w:color w:val="000000"/>
                <w:sz w:val="21"/>
                <w:szCs w:val="21"/>
              </w:rPr>
            </w:pPr>
          </w:p>
        </w:tc>
        <w:tc>
          <w:tcPr>
            <w:tcW w:w="1995"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rPr>
                <w:rFonts w:ascii="Times New Roman" w:hAnsi="Times New Roman" w:cs="Times New Roman"/>
                <w:color w:val="000000"/>
                <w:sz w:val="21"/>
                <w:szCs w:val="21"/>
                <w:lang w:eastAsia="zh-CN"/>
              </w:rPr>
            </w:pPr>
            <w:r>
              <w:rPr>
                <w:rFonts w:ascii="Times New Roman" w:hAnsi="Times New Roman" w:cs="Times New Roman"/>
                <w:sz w:val="21"/>
                <w:szCs w:val="21"/>
                <w:lang w:eastAsia="zh-CN"/>
              </w:rPr>
              <w:t>2年预估使用数量，按现场实际需求，分批次送货。</w:t>
            </w:r>
          </w:p>
        </w:tc>
      </w:tr>
      <w:tr>
        <w:tblPrEx>
          <w:tblLayout w:type="fixed"/>
          <w:tblCellMar>
            <w:top w:w="0" w:type="dxa"/>
            <w:left w:w="108" w:type="dxa"/>
            <w:bottom w:w="0" w:type="dxa"/>
            <w:right w:w="108" w:type="dxa"/>
          </w:tblCellMar>
        </w:tblPrEx>
        <w:trPr>
          <w:trHeight w:val="285" w:hRule="atLeast"/>
          <w:jc w:val="center"/>
        </w:trPr>
        <w:tc>
          <w:tcPr>
            <w:tcW w:w="10128" w:type="dxa"/>
            <w:gridSpan w:val="8"/>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60" w:lineRule="auto"/>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lang w:eastAsia="zh-CN"/>
              </w:rPr>
              <w:t>预估金额</w:t>
            </w:r>
            <w:r>
              <w:rPr>
                <w:rFonts w:ascii="Times New Roman" w:hAnsi="Times New Roman" w:cs="Times New Roman"/>
                <w:color w:val="000000"/>
                <w:sz w:val="21"/>
                <w:szCs w:val="21"/>
              </w:rPr>
              <w:t>合计：</w:t>
            </w:r>
          </w:p>
        </w:tc>
      </w:tr>
      <w:tr>
        <w:tblPrEx>
          <w:tblLayout w:type="fixed"/>
          <w:tblCellMar>
            <w:top w:w="0" w:type="dxa"/>
            <w:left w:w="108" w:type="dxa"/>
            <w:bottom w:w="0" w:type="dxa"/>
            <w:right w:w="108" w:type="dxa"/>
          </w:tblCellMar>
        </w:tblPrEx>
        <w:trPr>
          <w:trHeight w:val="285" w:hRule="atLeast"/>
          <w:jc w:val="center"/>
        </w:trPr>
        <w:tc>
          <w:tcPr>
            <w:tcW w:w="10128" w:type="dxa"/>
            <w:gridSpan w:val="8"/>
            <w:tcBorders>
              <w:top w:val="single" w:color="auto" w:sz="8" w:space="0"/>
              <w:left w:val="single" w:color="auto" w:sz="8" w:space="0"/>
              <w:bottom w:val="single" w:color="auto" w:sz="8" w:space="0"/>
              <w:right w:val="single" w:color="auto" w:sz="8" w:space="0"/>
            </w:tcBorders>
            <w:shd w:val="clear" w:color="auto" w:fill="auto"/>
            <w:vAlign w:val="center"/>
          </w:tcPr>
          <w:p>
            <w:pPr>
              <w:spacing w:beforeLines="100"/>
              <w:jc w:val="both"/>
              <w:rPr>
                <w:rFonts w:ascii="Times New Roman" w:hAnsi="Times New Roman" w:cs="Times New Roman"/>
                <w:sz w:val="21"/>
                <w:szCs w:val="21"/>
                <w:lang w:eastAsia="zh-CN"/>
              </w:rPr>
            </w:pPr>
            <w:r>
              <w:rPr>
                <w:rFonts w:ascii="Times New Roman" w:hAnsi="Times New Roman" w:cs="Times New Roman"/>
                <w:sz w:val="21"/>
                <w:szCs w:val="21"/>
                <w:lang w:eastAsia="zh-CN"/>
              </w:rPr>
              <w:t>备注：</w:t>
            </w:r>
            <w:r>
              <w:rPr>
                <w:rFonts w:hint="eastAsia" w:ascii="Times New Roman" w:hAnsi="Times New Roman" w:cs="Times New Roman"/>
                <w:sz w:val="21"/>
                <w:szCs w:val="21"/>
                <w:lang w:eastAsia="zh-CN"/>
              </w:rPr>
              <w:t xml:space="preserve">1. </w:t>
            </w:r>
            <w:r>
              <w:rPr>
                <w:rFonts w:ascii="Times New Roman" w:hAnsi="Times New Roman" w:cs="Times New Roman"/>
                <w:sz w:val="21"/>
                <w:szCs w:val="21"/>
                <w:lang w:eastAsia="zh-CN"/>
              </w:rPr>
              <w:t xml:space="preserve"> PTA旧包装袋的具体相关要求见附件《</w:t>
            </w:r>
            <w:r>
              <w:rPr>
                <w:rFonts w:hint="eastAsia" w:ascii="Times New Roman" w:hAnsi="Times New Roman" w:cs="Times New Roman"/>
                <w:sz w:val="21"/>
                <w:szCs w:val="21"/>
                <w:lang w:eastAsia="zh-CN"/>
              </w:rPr>
              <w:t>PTA 旧包装袋采购发包说明</w:t>
            </w:r>
            <w:r>
              <w:rPr>
                <w:rFonts w:ascii="Times New Roman" w:hAnsi="Times New Roman" w:cs="Times New Roman"/>
                <w:sz w:val="21"/>
                <w:szCs w:val="21"/>
                <w:lang w:eastAsia="zh-CN"/>
              </w:rPr>
              <w:t>》</w:t>
            </w:r>
            <w:r>
              <w:rPr>
                <w:rFonts w:ascii="Times New Roman" w:hAnsi="Times New Roman" w:cs="Times New Roman"/>
                <w:sz w:val="21"/>
                <w:szCs w:val="21"/>
                <w:lang w:eastAsia="zh-CN"/>
              </w:rPr>
              <w:br w:type="textWrapping"/>
            </w:r>
            <w:r>
              <w:rPr>
                <w:rFonts w:hint="eastAsia" w:ascii="Times New Roman" w:hAnsi="Times New Roman" w:cs="Times New Roman"/>
                <w:sz w:val="21"/>
                <w:szCs w:val="21"/>
                <w:lang w:eastAsia="zh-CN"/>
              </w:rPr>
              <w:t>2. 上</w:t>
            </w:r>
            <w:r>
              <w:rPr>
                <w:rFonts w:ascii="Times New Roman" w:hAnsi="Times New Roman" w:cs="Times New Roman"/>
                <w:sz w:val="21"/>
                <w:szCs w:val="21"/>
                <w:lang w:eastAsia="zh-CN"/>
              </w:rPr>
              <w:t>述金额为含税包干送到价格，包含了乙方提供本合同约定的产品及相应服务（</w:t>
            </w:r>
            <w:r>
              <w:rPr>
                <w:rFonts w:ascii="Times New Roman" w:hAnsi="Times New Roman" w:cs="Times New Roman"/>
                <w:color w:val="000000"/>
                <w:sz w:val="21"/>
                <w:szCs w:val="21"/>
                <w:lang w:eastAsia="zh-CN"/>
              </w:rPr>
              <w:t>如有</w:t>
            </w:r>
            <w:r>
              <w:rPr>
                <w:rFonts w:ascii="Times New Roman" w:hAnsi="Times New Roman" w:cs="Times New Roman"/>
                <w:sz w:val="21"/>
                <w:szCs w:val="21"/>
                <w:lang w:eastAsia="zh-CN"/>
              </w:rPr>
              <w:t>）的全部价格，除非另有约定，甲方不再承担其他费用。</w:t>
            </w:r>
          </w:p>
          <w:p>
            <w:pPr>
              <w:ind w:left="239" w:hanging="239" w:hangingChars="114"/>
              <w:rPr>
                <w:rFonts w:ascii="Times New Roman" w:hAnsi="Times New Roman" w:cs="Times New Roman"/>
                <w:color w:val="000000"/>
                <w:sz w:val="21"/>
                <w:szCs w:val="21"/>
                <w:lang w:eastAsia="zh-CN"/>
              </w:rPr>
            </w:pPr>
            <w:r>
              <w:rPr>
                <w:rFonts w:hint="eastAsia" w:ascii="Times New Roman" w:hAnsi="Times New Roman" w:cs="Times New Roman"/>
                <w:sz w:val="21"/>
                <w:szCs w:val="21"/>
                <w:lang w:eastAsia="zh-CN"/>
              </w:rPr>
              <w:t xml:space="preserve">3. </w:t>
            </w:r>
            <w:r>
              <w:rPr>
                <w:rFonts w:ascii="Times New Roman" w:hAnsi="Times New Roman" w:cs="Times New Roman"/>
                <w:sz w:val="21"/>
                <w:szCs w:val="21"/>
                <w:lang w:eastAsia="zh-CN"/>
              </w:rPr>
              <w:t>合同数量为年预估数量，预估数量不视为甲方的购买承诺，甲方可以依据实际需求增减，以甲方发出的交货计划为准，最终结算按实际交货数量进行核算。</w:t>
            </w:r>
          </w:p>
        </w:tc>
      </w:tr>
    </w:tbl>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第二条  </w:t>
      </w:r>
      <w:r>
        <w:rPr>
          <w:rFonts w:ascii="Times New Roman" w:hAnsi="Times New Roman" w:cs="Times New Roman"/>
          <w:b/>
          <w:bCs/>
          <w:sz w:val="21"/>
          <w:szCs w:val="21"/>
          <w:lang w:eastAsia="zh-CN"/>
        </w:rPr>
        <w:t>交货</w:t>
      </w:r>
    </w:p>
    <w:p>
      <w:p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交货方式：</w:t>
      </w:r>
      <w:r>
        <w:rPr>
          <w:rFonts w:ascii="Times New Roman" w:hAnsi="Times New Roman" w:cs="Times New Roman"/>
          <w:sz w:val="21"/>
          <w:szCs w:val="21"/>
          <w:u w:val="single"/>
          <w:lang w:eastAsia="zh-CN"/>
        </w:rPr>
        <w:t xml:space="preserve"> 乙方负责送到   </w:t>
      </w:r>
    </w:p>
    <w:p>
      <w:p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交货地点：</w:t>
      </w:r>
      <w:r>
        <w:rPr>
          <w:rFonts w:ascii="Times New Roman" w:hAnsi="Times New Roman" w:cs="Times New Roman"/>
          <w:sz w:val="21"/>
          <w:szCs w:val="21"/>
          <w:u w:val="single"/>
          <w:lang w:eastAsia="zh-CN"/>
        </w:rPr>
        <w:t>运送到甲方指定地点</w:t>
      </w:r>
      <w:r>
        <w:rPr>
          <w:rFonts w:ascii="Times New Roman" w:hAnsi="Times New Roman" w:cs="Times New Roman"/>
          <w:sz w:val="21"/>
          <w:szCs w:val="21"/>
          <w:lang w:eastAsia="zh-CN"/>
        </w:rPr>
        <w:t>（以甲方提供的送货清单和地址明细为准）</w:t>
      </w:r>
    </w:p>
    <w:p>
      <w:pPr>
        <w:spacing w:line="360" w:lineRule="auto"/>
        <w:ind w:left="298" w:hanging="298" w:hangingChars="142"/>
        <w:rPr>
          <w:rFonts w:ascii="Times New Roman" w:hAnsi="Times New Roman" w:cs="Times New Roman"/>
          <w:sz w:val="21"/>
          <w:szCs w:val="21"/>
          <w:u w:val="single"/>
          <w:lang w:eastAsia="zh-CN"/>
        </w:rPr>
      </w:pPr>
      <w:r>
        <w:rPr>
          <w:rFonts w:ascii="Times New Roman" w:hAnsi="Times New Roman" w:cs="Times New Roman"/>
          <w:sz w:val="21"/>
          <w:szCs w:val="21"/>
          <w:lang w:eastAsia="zh-CN"/>
        </w:rPr>
        <w:t>2.3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交货时间：</w:t>
      </w:r>
      <w:r>
        <w:rPr>
          <w:rFonts w:hint="eastAsia" w:ascii="Times New Roman" w:hAnsi="Times New Roman" w:cs="Times New Roman"/>
          <w:sz w:val="21"/>
          <w:szCs w:val="21"/>
          <w:u w:val="single"/>
          <w:lang w:val="en-US" w:eastAsia="zh-CN"/>
        </w:rPr>
        <w:t>乙方收到早方</w:t>
      </w:r>
      <w:r>
        <w:rPr>
          <w:rFonts w:hint="eastAsia" w:ascii="Times New Roman" w:hAnsi="Times New Roman" w:cs="Times New Roman"/>
          <w:sz w:val="21"/>
          <w:szCs w:val="21"/>
          <w:u w:val="single"/>
          <w:lang w:val="en-US" w:eastAsia="zh-CN"/>
        </w:rPr>
        <w:t>当批次</w:t>
      </w:r>
      <w:r>
        <w:rPr>
          <w:rFonts w:ascii="Times New Roman" w:hAnsi="Times New Roman" w:cs="Times New Roman"/>
          <w:sz w:val="21"/>
          <w:szCs w:val="21"/>
          <w:u w:val="single"/>
          <w:lang w:eastAsia="zh-CN"/>
        </w:rPr>
        <w:t>需求</w:t>
      </w:r>
      <w:r>
        <w:rPr>
          <w:rFonts w:hint="eastAsia" w:ascii="Times New Roman" w:hAnsi="Times New Roman" w:cs="Times New Roman"/>
          <w:sz w:val="21"/>
          <w:szCs w:val="21"/>
          <w:u w:val="single"/>
          <w:lang w:val="en-US" w:eastAsia="zh-CN"/>
        </w:rPr>
        <w:t>量</w:t>
      </w:r>
      <w:r>
        <w:rPr>
          <w:rFonts w:ascii="Times New Roman" w:hAnsi="Times New Roman" w:cs="Times New Roman"/>
          <w:sz w:val="21"/>
          <w:szCs w:val="21"/>
          <w:u w:val="single"/>
          <w:lang w:eastAsia="zh-CN"/>
        </w:rPr>
        <w:t>，</w:t>
      </w:r>
      <w:r>
        <w:rPr>
          <w:rFonts w:hint="eastAsia" w:ascii="Times New Roman" w:hAnsi="Times New Roman" w:cs="Times New Roman"/>
          <w:sz w:val="21"/>
          <w:szCs w:val="21"/>
          <w:u w:val="single"/>
          <w:lang w:val="en-US" w:eastAsia="zh-CN"/>
        </w:rPr>
        <w:t>须在7天内货送到现场</w:t>
      </w:r>
      <w:r>
        <w:rPr>
          <w:rFonts w:ascii="Times New Roman" w:hAnsi="Times New Roman" w:cs="Times New Roman"/>
          <w:sz w:val="21"/>
          <w:szCs w:val="21"/>
          <w:u w:val="single"/>
          <w:lang w:eastAsia="zh-CN"/>
        </w:rPr>
        <w:t xml:space="preserve">。 </w:t>
      </w:r>
    </w:p>
    <w:p>
      <w:pPr>
        <w:pStyle w:val="2"/>
      </w:pPr>
      <w:r>
        <w:rPr>
          <w:rFonts w:hint="eastAsia" w:ascii="Times New Roman" w:hAnsi="Times New Roman"/>
          <w:sz w:val="21"/>
          <w:szCs w:val="21"/>
        </w:rPr>
        <w:t>2.4 包装要求：包装袋要求采用10条/捆（或20条/捆）的供货形式，便于搬运。</w:t>
      </w:r>
    </w:p>
    <w:p>
      <w:p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hint="eastAsia" w:ascii="Times New Roman" w:hAnsi="Times New Roman" w:cs="Times New Roman"/>
          <w:sz w:val="21"/>
          <w:szCs w:val="21"/>
          <w:lang w:eastAsia="zh-CN"/>
        </w:rPr>
        <w:t xml:space="preserve">5 </w:t>
      </w:r>
      <w:r>
        <w:rPr>
          <w:rFonts w:ascii="Times New Roman" w:hAnsi="Times New Roman" w:cs="Times New Roman"/>
          <w:sz w:val="21"/>
          <w:szCs w:val="21"/>
          <w:lang w:eastAsia="zh-CN"/>
        </w:rPr>
        <w:t>乙方提供产品并承担运输过程中发生的一切费用。在产品交付给甲方之前，相关的毁损、灭失等风险均由乙方自行承担。</w:t>
      </w:r>
    </w:p>
    <w:p>
      <w:p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2.</w:t>
      </w:r>
      <w:r>
        <w:rPr>
          <w:rFonts w:hint="eastAsia" w:ascii="Times New Roman" w:hAnsi="Times New Roman" w:cs="Times New Roman"/>
          <w:sz w:val="21"/>
          <w:szCs w:val="21"/>
          <w:lang w:eastAsia="zh-CN"/>
        </w:rPr>
        <w:t xml:space="preserve">6 </w:t>
      </w:r>
      <w:r>
        <w:rPr>
          <w:rFonts w:ascii="Times New Roman" w:hAnsi="Times New Roman" w:cs="Times New Roman"/>
          <w:sz w:val="21"/>
          <w:szCs w:val="21"/>
        </w:rPr>
        <w:t>合同期限：</w:t>
      </w:r>
      <w:r>
        <w:rPr>
          <w:rFonts w:hint="eastAsia" w:ascii="Times New Roman" w:hAnsi="Times New Roman" w:cs="Times New Roman"/>
          <w:sz w:val="21"/>
          <w:szCs w:val="21"/>
          <w:lang w:eastAsia="zh-CN"/>
        </w:rPr>
        <w:t>自2023年01月01日至2024年12月31日止</w:t>
      </w:r>
      <w:r>
        <w:rPr>
          <w:rFonts w:ascii="Times New Roman" w:hAnsi="Times New Roman" w:cs="Times New Roman"/>
          <w:sz w:val="21"/>
          <w:szCs w:val="21"/>
        </w:rPr>
        <w:t>。</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第三条  </w:t>
      </w:r>
      <w:r>
        <w:rPr>
          <w:rFonts w:ascii="Times New Roman" w:hAnsi="Times New Roman" w:cs="Times New Roman"/>
          <w:b/>
          <w:bCs/>
          <w:sz w:val="21"/>
          <w:szCs w:val="21"/>
          <w:lang w:eastAsia="zh-CN"/>
        </w:rPr>
        <w:t>付款方式与条件</w:t>
      </w:r>
    </w:p>
    <w:p>
      <w:pPr>
        <w:spacing w:line="360" w:lineRule="auto"/>
        <w:ind w:left="339" w:leftChars="-7" w:hanging="354" w:hangingChars="169"/>
        <w:rPr>
          <w:rFonts w:ascii="Times New Roman" w:hAnsi="Times New Roman" w:cs="Times New Roman"/>
          <w:sz w:val="21"/>
          <w:szCs w:val="21"/>
          <w:lang w:eastAsia="zh-CN"/>
        </w:rPr>
      </w:pPr>
      <w:r>
        <w:rPr>
          <w:rFonts w:ascii="Times New Roman" w:hAnsi="Times New Roman" w:cs="Times New Roman"/>
          <w:sz w:val="21"/>
          <w:szCs w:val="21"/>
          <w:lang w:eastAsia="zh-CN"/>
        </w:rPr>
        <w:t>3.1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按供货批次结算，乙方每次交付的产品按合同约定标准经甲方验收合格后，乙方开具当批次货物全额 </w:t>
      </w:r>
      <w:r>
        <w:rPr>
          <w:rFonts w:hint="eastAsia"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增值税专用发票(乙方应根据甲方要求分别开具发票)，甲方</w:t>
      </w:r>
      <w:r>
        <w:rPr>
          <w:rFonts w:ascii="Times New Roman" w:hAnsi="Times New Roman" w:cs="Times New Roman"/>
          <w:sz w:val="21"/>
          <w:szCs w:val="21"/>
          <w:u w:val="single"/>
          <w:lang w:eastAsia="zh-CN"/>
        </w:rPr>
        <w:t xml:space="preserve"> 收到全额发票原件后30日内 </w:t>
      </w:r>
      <w:r>
        <w:rPr>
          <w:rFonts w:ascii="Times New Roman" w:hAnsi="Times New Roman" w:cs="Times New Roman"/>
          <w:sz w:val="21"/>
          <w:szCs w:val="21"/>
          <w:lang w:eastAsia="zh-CN"/>
        </w:rPr>
        <w:t>向乙方支付全额合同价款。</w:t>
      </w:r>
    </w:p>
    <w:p>
      <w:pPr>
        <w:snapToGrid w:val="0"/>
        <w:spacing w:line="360" w:lineRule="auto"/>
        <w:ind w:left="339" w:leftChars="-7" w:hanging="354" w:hangingChars="169"/>
        <w:rPr>
          <w:rFonts w:ascii="Times New Roman" w:hAnsi="Times New Roman" w:cs="Times New Roman"/>
          <w:sz w:val="21"/>
          <w:szCs w:val="21"/>
          <w:lang w:eastAsia="zh-CN"/>
        </w:rPr>
      </w:pPr>
      <w:r>
        <w:rPr>
          <w:rFonts w:ascii="Times New Roman" w:hAnsi="Times New Roman" w:cs="Times New Roman"/>
          <w:sz w:val="21"/>
          <w:szCs w:val="21"/>
          <w:lang w:eastAsia="zh-CN"/>
        </w:rPr>
        <w:t>3.2 合同总价包含</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w:t>
      </w:r>
      <w:r>
        <w:rPr>
          <w:rFonts w:ascii="Times New Roman" w:hAnsi="Times New Roman" w:cs="Times New Roman"/>
          <w:sz w:val="21"/>
          <w:szCs w:val="21"/>
          <w:lang w:eastAsia="zh-CN"/>
        </w:rPr>
        <w:t>增值税专用发票。</w:t>
      </w:r>
    </w:p>
    <w:p>
      <w:pPr>
        <w:spacing w:line="360" w:lineRule="auto"/>
        <w:ind w:left="339" w:leftChars="-7" w:hanging="354" w:hangingChars="169"/>
        <w:rPr>
          <w:rFonts w:ascii="Times New Roman" w:hAnsi="Times New Roman" w:cs="Times New Roman"/>
          <w:sz w:val="21"/>
          <w:szCs w:val="21"/>
          <w:lang w:eastAsia="zh-CN"/>
        </w:rPr>
      </w:pPr>
      <w:r>
        <w:rPr>
          <w:rFonts w:ascii="Times New Roman" w:hAnsi="Times New Roman" w:cs="Times New Roman"/>
          <w:sz w:val="21"/>
          <w:szCs w:val="21"/>
          <w:lang w:eastAsia="zh-CN"/>
        </w:rPr>
        <w:t>3.3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履约保证金：</w:t>
      </w:r>
    </w:p>
    <w:p>
      <w:pPr>
        <w:spacing w:line="360" w:lineRule="auto"/>
        <w:ind w:left="339" w:leftChars="-7" w:hanging="354" w:hangingChars="169"/>
        <w:rPr>
          <w:rFonts w:ascii="Times New Roman" w:hAnsi="Times New Roman" w:cs="Times New Roman"/>
          <w:sz w:val="21"/>
          <w:szCs w:val="21"/>
          <w:lang w:eastAsia="zh-CN"/>
        </w:rPr>
      </w:pP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合同签订后，乙方的参选保证金RMB12,000元将直接转为本合同的履约保证金，该履约保证金将于合同执行完毕后30天内，确认乙方无违约行为后甲方从原收取参选保证金账户将保证金全额无息退还。若乙方违约或发生本合同约定的其他事由的，甲方有权从履约保证金中优先扣除乙方违约金及其他应付款项。</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b/>
          <w:bCs/>
          <w:sz w:val="21"/>
          <w:szCs w:val="21"/>
          <w:lang w:eastAsia="zh-CN"/>
        </w:rPr>
        <w:t>甲方收取参选保证金的账户信息如下：</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  开户名称：福建福海创石油化工有限公司</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  开户银行：中国银行漳州古雷支行</w:t>
      </w:r>
    </w:p>
    <w:p>
      <w:pPr>
        <w:pStyle w:val="2"/>
        <w:spacing w:line="360" w:lineRule="auto"/>
        <w:ind w:firstLine="420"/>
        <w:rPr>
          <w:rFonts w:ascii="Times New Roman" w:hAnsi="Times New Roman"/>
          <w:sz w:val="21"/>
          <w:szCs w:val="21"/>
        </w:rPr>
      </w:pPr>
      <w:r>
        <w:rPr>
          <w:rFonts w:ascii="Times New Roman" w:hAnsi="Times New Roman"/>
          <w:sz w:val="21"/>
          <w:szCs w:val="21"/>
        </w:rPr>
        <w:t>帐号：406574816628</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第四条  </w:t>
      </w:r>
      <w:r>
        <w:rPr>
          <w:rFonts w:ascii="Times New Roman" w:hAnsi="Times New Roman" w:cs="Times New Roman"/>
          <w:b/>
          <w:bCs/>
          <w:sz w:val="21"/>
          <w:szCs w:val="21"/>
          <w:lang w:eastAsia="zh-CN"/>
        </w:rPr>
        <w:t>质量要求和技术标准</w:t>
      </w:r>
    </w:p>
    <w:p>
      <w:pPr>
        <w:spacing w:line="360" w:lineRule="auto"/>
        <w:ind w:left="375" w:leftChars="-7" w:hanging="390" w:hangingChars="186"/>
        <w:rPr>
          <w:rFonts w:ascii="Times New Roman" w:hAnsi="Times New Roman" w:cs="Times New Roman"/>
          <w:sz w:val="21"/>
          <w:szCs w:val="21"/>
          <w:lang w:eastAsia="zh-CN"/>
        </w:rPr>
      </w:pPr>
      <w:r>
        <w:rPr>
          <w:rFonts w:ascii="Times New Roman" w:hAnsi="Times New Roman" w:cs="Times New Roman"/>
          <w:sz w:val="21"/>
          <w:szCs w:val="21"/>
          <w:lang w:eastAsia="zh-CN"/>
        </w:rPr>
        <w:t>4.1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pPr>
        <w:spacing w:line="360" w:lineRule="auto"/>
        <w:ind w:left="375" w:leftChars="-7" w:hanging="390" w:hangingChars="186"/>
        <w:rPr>
          <w:rFonts w:ascii="Times New Roman" w:hAnsi="Times New Roman" w:cs="Times New Roman"/>
          <w:sz w:val="21"/>
          <w:szCs w:val="21"/>
          <w:lang w:eastAsia="zh-CN"/>
        </w:rPr>
      </w:pPr>
      <w:r>
        <w:rPr>
          <w:rFonts w:ascii="Times New Roman" w:hAnsi="Times New Roman" w:cs="Times New Roman"/>
          <w:sz w:val="21"/>
          <w:szCs w:val="21"/>
          <w:lang w:eastAsia="zh-CN"/>
        </w:rPr>
        <w:t>4.2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叁个月），乙方应当对其交付的产品承担质量保证责任并提供产品维保服务，所需费用由乙方承担。</w:t>
      </w:r>
      <w:r>
        <w:rPr>
          <w:rFonts w:hint="eastAsia" w:ascii="Times New Roman" w:hAnsi="Times New Roman" w:cs="Times New Roman"/>
          <w:sz w:val="21"/>
          <w:szCs w:val="21"/>
          <w:lang w:eastAsia="zh-CN"/>
        </w:rPr>
        <w:t>如在质保期内因质量问题导致甲方损失的，乙方承担赔偿责任。</w:t>
      </w:r>
    </w:p>
    <w:p>
      <w:pPr>
        <w:spacing w:line="360" w:lineRule="auto"/>
        <w:ind w:left="375" w:leftChars="-7" w:hanging="390" w:hangingChars="186"/>
        <w:rPr>
          <w:rFonts w:ascii="Times New Roman" w:hAnsi="Times New Roman" w:cs="Times New Roman"/>
          <w:sz w:val="21"/>
          <w:szCs w:val="21"/>
          <w:lang w:eastAsia="zh-CN"/>
        </w:rPr>
      </w:pPr>
      <w:r>
        <w:rPr>
          <w:rFonts w:ascii="Times New Roman" w:hAnsi="Times New Roman" w:cs="Times New Roman"/>
          <w:sz w:val="21"/>
          <w:szCs w:val="21"/>
          <w:lang w:eastAsia="zh-CN"/>
        </w:rPr>
        <w:t xml:space="preserve"> 4.3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375" w:leftChars="-7" w:hanging="390" w:hangingChars="186"/>
        <w:rPr>
          <w:rFonts w:ascii="Times New Roman" w:hAnsi="Times New Roman" w:cs="Times New Roman"/>
          <w:sz w:val="21"/>
          <w:szCs w:val="21"/>
          <w:lang w:eastAsia="zh-CN"/>
        </w:rPr>
      </w:pPr>
      <w:r>
        <w:rPr>
          <w:rFonts w:ascii="Times New Roman" w:hAnsi="Times New Roman" w:cs="Times New Roman"/>
          <w:sz w:val="21"/>
          <w:szCs w:val="21"/>
          <w:lang w:eastAsia="zh-CN"/>
        </w:rPr>
        <w:t>4.4</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乙方不按本合同约定交付产品所产生的任何费用由乙方自己承担。</w:t>
      </w:r>
    </w:p>
    <w:p>
      <w:pPr>
        <w:spacing w:line="360" w:lineRule="auto"/>
        <w:ind w:left="375" w:leftChars="-7" w:hanging="390" w:hangingChars="186"/>
        <w:rPr>
          <w:rFonts w:ascii="Times New Roman" w:hAnsi="Times New Roman" w:cs="Times New Roman"/>
          <w:sz w:val="21"/>
          <w:szCs w:val="21"/>
          <w:lang w:eastAsia="zh-CN"/>
        </w:rPr>
      </w:pPr>
      <w:r>
        <w:rPr>
          <w:rFonts w:ascii="Times New Roman" w:hAnsi="Times New Roman" w:cs="Times New Roman"/>
          <w:sz w:val="21"/>
          <w:szCs w:val="21"/>
          <w:lang w:eastAsia="zh-CN"/>
        </w:rPr>
        <w:t>4.5</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本合同项下产品交货前乙方已与甲方请购人员进行技术澄清交流，并确认甲方请购部门相应要求，包括具体款式等。乙方交货时需确保与前期甲方请购人员确认的款式相同，否则甲方有权拒收，所产生损失由乙方承担。</w:t>
      </w:r>
    </w:p>
    <w:p>
      <w:pPr>
        <w:spacing w:line="360" w:lineRule="auto"/>
        <w:rPr>
          <w:sz w:val="24"/>
          <w:lang w:eastAsia="zh-CN"/>
        </w:rPr>
      </w:pPr>
      <w:r>
        <w:rPr>
          <w:rFonts w:hint="eastAsia"/>
          <w:sz w:val="24"/>
          <w:lang w:eastAsia="zh-CN"/>
        </w:rPr>
        <w:t>4.6 包装袋基本要求：</w:t>
      </w:r>
    </w:p>
    <w:p>
      <w:pPr>
        <w:spacing w:line="360" w:lineRule="auto"/>
        <w:ind w:left="380" w:leftChars="173"/>
        <w:rPr>
          <w:sz w:val="24"/>
          <w:lang w:eastAsia="zh-CN"/>
        </w:rPr>
      </w:pPr>
      <w:r>
        <w:rPr>
          <w:rFonts w:hint="eastAsia"/>
          <w:sz w:val="24"/>
          <w:lang w:eastAsia="zh-CN"/>
        </w:rPr>
        <w:t>4.6.1 包装袋主要原料为：PP；</w:t>
      </w:r>
    </w:p>
    <w:p>
      <w:pPr>
        <w:spacing w:line="360" w:lineRule="auto"/>
        <w:ind w:left="380" w:leftChars="173"/>
        <w:rPr>
          <w:sz w:val="24"/>
          <w:lang w:eastAsia="zh-CN"/>
        </w:rPr>
      </w:pPr>
      <w:r>
        <w:rPr>
          <w:rFonts w:hint="eastAsia"/>
          <w:sz w:val="24"/>
          <w:lang w:eastAsia="zh-CN"/>
        </w:rPr>
        <w:t>4.6.2 袋体完好无破损；</w:t>
      </w:r>
    </w:p>
    <w:p>
      <w:pPr>
        <w:spacing w:line="360" w:lineRule="auto"/>
        <w:ind w:left="380" w:leftChars="173"/>
        <w:rPr>
          <w:sz w:val="24"/>
          <w:lang w:eastAsia="zh-CN"/>
        </w:rPr>
      </w:pPr>
      <w:r>
        <w:rPr>
          <w:rFonts w:hint="eastAsia"/>
          <w:sz w:val="24"/>
          <w:lang w:eastAsia="zh-CN"/>
        </w:rPr>
        <w:t>4.6.3 包装袋为近半年生产；</w:t>
      </w:r>
    </w:p>
    <w:p>
      <w:pPr>
        <w:spacing w:line="360" w:lineRule="auto"/>
        <w:ind w:left="380" w:leftChars="173"/>
        <w:rPr>
          <w:sz w:val="24"/>
          <w:lang w:eastAsia="zh-CN"/>
        </w:rPr>
      </w:pPr>
      <w:r>
        <w:rPr>
          <w:rFonts w:hint="eastAsia"/>
          <w:sz w:val="24"/>
          <w:lang w:eastAsia="zh-CN"/>
        </w:rPr>
        <w:t>4.6.4 申请规格旧包装袋:下方为封闭式，无出料口；</w:t>
      </w:r>
    </w:p>
    <w:p>
      <w:pPr>
        <w:spacing w:line="360" w:lineRule="auto"/>
        <w:ind w:left="380" w:leftChars="173"/>
        <w:rPr>
          <w:sz w:val="24"/>
          <w:lang w:eastAsia="zh-CN"/>
        </w:rPr>
      </w:pPr>
      <w:r>
        <w:rPr>
          <w:rFonts w:hint="eastAsia"/>
          <w:sz w:val="24"/>
          <w:lang w:eastAsia="zh-CN"/>
        </w:rPr>
        <w:t>4.6.5 回收的吨袋原袋装产品应为无危害及无辐射性质的产品。</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第五条  </w:t>
      </w:r>
      <w:r>
        <w:rPr>
          <w:rFonts w:ascii="Times New Roman" w:hAnsi="Times New Roman" w:cs="Times New Roman"/>
          <w:b/>
          <w:bCs/>
          <w:sz w:val="21"/>
          <w:szCs w:val="21"/>
          <w:lang w:eastAsia="zh-CN"/>
        </w:rPr>
        <w:t>安装调试、技术服务、人员培训及技术资料</w:t>
      </w:r>
    </w:p>
    <w:p>
      <w:pPr>
        <w:spacing w:line="360" w:lineRule="auto"/>
        <w:ind w:left="-1" w:leftChars="-9" w:hanging="18" w:hangingChars="9"/>
        <w:rPr>
          <w:rFonts w:ascii="Times New Roman" w:hAnsi="Times New Roman" w:cs="Times New Roman"/>
          <w:sz w:val="21"/>
          <w:szCs w:val="21"/>
          <w:lang w:eastAsia="zh-CN"/>
        </w:rPr>
      </w:pPr>
      <w:r>
        <w:rPr>
          <w:rFonts w:ascii="Times New Roman" w:hAnsi="Times New Roman" w:cs="Times New Roman"/>
          <w:sz w:val="21"/>
          <w:szCs w:val="21"/>
          <w:lang w:eastAsia="zh-CN"/>
        </w:rPr>
        <w:t>5.1乙方为甲方提供下列服务（具体以打“√”为准）</w:t>
      </w:r>
    </w:p>
    <w:p>
      <w:pPr>
        <w:numPr>
          <w:ilvl w:val="0"/>
          <w:numId w:val="10"/>
        </w:numPr>
        <w:spacing w:line="360" w:lineRule="auto"/>
        <w:ind w:left="680" w:hanging="360"/>
        <w:rPr>
          <w:rFonts w:ascii="Times New Roman" w:hAnsi="Times New Roman" w:cs="Times New Roman"/>
          <w:sz w:val="21"/>
          <w:szCs w:val="21"/>
          <w:lang w:eastAsia="zh-CN"/>
        </w:rPr>
      </w:pPr>
      <w:r>
        <w:rPr>
          <w:rFonts w:ascii="Times New Roman" w:hAnsi="Times New Roman" w:cs="Times New Roman"/>
          <w:sz w:val="21"/>
          <w:szCs w:val="21"/>
          <w:lang w:eastAsia="zh-CN"/>
        </w:rPr>
        <w:t xml:space="preserve">安装调试：乙方应在产品到货后 叁 日内试用抽检，并提请甲方进行调试验收；    </w:t>
      </w:r>
    </w:p>
    <w:p>
      <w:pPr>
        <w:numPr>
          <w:ilvl w:val="0"/>
          <w:numId w:val="11"/>
        </w:numPr>
        <w:spacing w:line="360" w:lineRule="auto"/>
        <w:ind w:left="680" w:hanging="360"/>
        <w:rPr>
          <w:rFonts w:ascii="Times New Roman" w:hAnsi="Times New Roman" w:cs="Times New Roman"/>
          <w:sz w:val="21"/>
          <w:szCs w:val="21"/>
          <w:lang w:eastAsia="zh-CN"/>
        </w:rPr>
      </w:pPr>
      <w:r>
        <w:rPr>
          <w:rFonts w:ascii="Times New Roman" w:hAnsi="Times New Roman" w:cs="Times New Roman"/>
          <w:sz w:val="21"/>
          <w:szCs w:val="21"/>
          <w:lang w:eastAsia="zh-CN"/>
        </w:rPr>
        <w:t xml:space="preserve">技术服务：乙方应向甲方免费提供工程服务和现场服务，服务人员必须是有经验的技术人员；                                                               </w:t>
      </w:r>
    </w:p>
    <w:p>
      <w:pPr>
        <w:numPr>
          <w:ilvl w:val="0"/>
          <w:numId w:val="12"/>
        </w:numPr>
        <w:spacing w:line="360" w:lineRule="auto"/>
        <w:ind w:left="680" w:hanging="360"/>
        <w:rPr>
          <w:rFonts w:ascii="Times New Roman" w:hAnsi="Times New Roman" w:cs="Times New Roman"/>
          <w:sz w:val="21"/>
          <w:szCs w:val="21"/>
          <w:lang w:eastAsia="zh-CN"/>
        </w:rPr>
      </w:pPr>
      <w:r>
        <w:rPr>
          <w:rFonts w:ascii="Times New Roman" w:hAnsi="Times New Roman" w:cs="Times New Roman"/>
          <w:sz w:val="21"/>
          <w:szCs w:val="21"/>
          <w:lang w:eastAsia="zh-CN"/>
        </w:rPr>
        <w:t>人员培训：如有需要，乙方应按甲方要求为甲方工作人员以及使用人员进行现场免费技术培训，培训人数至少3人；</w:t>
      </w:r>
    </w:p>
    <w:p>
      <w:pPr>
        <w:numPr>
          <w:ilvl w:val="0"/>
          <w:numId w:val="13"/>
        </w:numPr>
        <w:spacing w:line="360" w:lineRule="auto"/>
        <w:ind w:left="680" w:hanging="360"/>
        <w:rPr>
          <w:rFonts w:ascii="Times New Roman" w:hAnsi="Times New Roman" w:cs="Times New Roman"/>
          <w:sz w:val="21"/>
          <w:szCs w:val="21"/>
          <w:lang w:eastAsia="zh-CN"/>
        </w:rPr>
      </w:pPr>
      <w:r>
        <w:rPr>
          <w:rFonts w:ascii="Times New Roman" w:hAnsi="Times New Roman" w:cs="Times New Roman"/>
          <w:sz w:val="21"/>
          <w:szCs w:val="21"/>
          <w:lang w:eastAsia="zh-CN"/>
        </w:rPr>
        <w:t xml:space="preserve">技术资料：乙方应按甲方要求提供应用手册文件资料；增训资料等相关资料                                  </w:t>
      </w:r>
    </w:p>
    <w:p>
      <w:pPr>
        <w:spacing w:line="360" w:lineRule="auto"/>
        <w:ind w:left="420"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第六条  </w:t>
      </w:r>
      <w:r>
        <w:rPr>
          <w:rFonts w:ascii="Times New Roman" w:hAnsi="Times New Roman" w:cs="Times New Roman"/>
          <w:b/>
          <w:bCs/>
          <w:sz w:val="21"/>
          <w:szCs w:val="21"/>
          <w:lang w:eastAsia="zh-CN"/>
        </w:rPr>
        <w:t>验收</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6.1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货物的货到验收包括：型号、规格、数量、外观质量、及货物包装是否完好。</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6.2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乙方对一次开箱不合格（产品有质量故障）的产品予以换新，承担一切与之有关的费用。</w:t>
      </w:r>
    </w:p>
    <w:p>
      <w:pPr>
        <w:spacing w:line="360" w:lineRule="auto"/>
        <w:ind w:left="399" w:hanging="399" w:hangingChars="190"/>
        <w:rPr>
          <w:rFonts w:ascii="Times New Roman" w:hAnsi="Times New Roman" w:cs="Times New Roman"/>
          <w:sz w:val="21"/>
          <w:szCs w:val="21"/>
          <w:lang w:eastAsia="zh-CN"/>
        </w:rPr>
      </w:pPr>
      <w:r>
        <w:rPr>
          <w:rFonts w:ascii="Times New Roman" w:hAnsi="Times New Roman" w:cs="Times New Roman"/>
          <w:sz w:val="21"/>
          <w:szCs w:val="21"/>
          <w:lang w:eastAsia="zh-CN"/>
        </w:rPr>
        <w:t>6.3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399" w:hanging="399" w:hangingChars="190"/>
        <w:rPr>
          <w:rFonts w:ascii="Times New Roman" w:hAnsi="Times New Roman" w:cs="Times New Roman"/>
          <w:sz w:val="21"/>
          <w:szCs w:val="21"/>
          <w:lang w:eastAsia="zh-CN"/>
        </w:rPr>
      </w:pPr>
      <w:r>
        <w:rPr>
          <w:rFonts w:ascii="Times New Roman" w:hAnsi="Times New Roman" w:cs="Times New Roman"/>
          <w:sz w:val="21"/>
          <w:szCs w:val="21"/>
          <w:lang w:eastAsia="zh-CN"/>
        </w:rPr>
        <w:t>6.4</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对于安装质量，乙方保证标准时、正确安装好设备，保证设备良好运行。产品调试验收的标准：按行业通行标准、厂方出厂标准；两者要求不一致的，适用对产品更为严格的标准。</w:t>
      </w:r>
    </w:p>
    <w:p>
      <w:pPr>
        <w:spacing w:line="360" w:lineRule="auto"/>
        <w:ind w:left="399" w:hanging="399" w:hangingChars="190"/>
        <w:rPr>
          <w:rFonts w:ascii="Times New Roman" w:hAnsi="Times New Roman" w:cs="Times New Roman"/>
          <w:sz w:val="21"/>
          <w:szCs w:val="21"/>
          <w:lang w:eastAsia="zh-CN"/>
        </w:rPr>
      </w:pPr>
      <w:r>
        <w:rPr>
          <w:rFonts w:ascii="Times New Roman" w:hAnsi="Times New Roman" w:cs="Times New Roman"/>
          <w:sz w:val="21"/>
          <w:szCs w:val="21"/>
          <w:lang w:eastAsia="zh-CN"/>
        </w:rPr>
        <w:t>6.5</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调试验收结果经甲方确认后，双方代表必须按规定的验收交接单上的项目对照本合同填好验收结果并签名盖章。</w:t>
      </w:r>
    </w:p>
    <w:p>
      <w:pPr>
        <w:spacing w:line="360" w:lineRule="auto"/>
        <w:ind w:left="399" w:hanging="399" w:hangingChars="190"/>
        <w:rPr>
          <w:rFonts w:ascii="Times New Roman" w:hAnsi="Times New Roman" w:cs="Times New Roman"/>
          <w:sz w:val="21"/>
          <w:szCs w:val="21"/>
          <w:lang w:eastAsia="zh-CN"/>
        </w:rPr>
      </w:pPr>
      <w:r>
        <w:rPr>
          <w:rFonts w:ascii="Times New Roman" w:hAnsi="Times New Roman" w:cs="Times New Roman"/>
          <w:sz w:val="21"/>
          <w:szCs w:val="21"/>
          <w:lang w:eastAsia="zh-CN"/>
        </w:rPr>
        <w:t xml:space="preserve">6.6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第七条  </w:t>
      </w:r>
      <w:r>
        <w:rPr>
          <w:rFonts w:ascii="Times New Roman" w:hAnsi="Times New Roman" w:cs="Times New Roman"/>
          <w:b/>
          <w:bCs/>
          <w:sz w:val="21"/>
          <w:szCs w:val="21"/>
          <w:lang w:eastAsia="zh-CN"/>
        </w:rPr>
        <w:t>质量保证</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除本合同另有约定外，本合同产品售。后服务按厂家标准提供有关质量保证和售后服务的承诺执行，国家有规定的按国家规定执行。</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第八条  </w:t>
      </w:r>
      <w:r>
        <w:rPr>
          <w:rFonts w:ascii="Times New Roman" w:hAnsi="Times New Roman" w:cs="Times New Roman"/>
          <w:b/>
          <w:bCs/>
          <w:sz w:val="21"/>
          <w:szCs w:val="21"/>
          <w:lang w:eastAsia="zh-CN"/>
        </w:rPr>
        <w:t>违约责任</w:t>
      </w:r>
    </w:p>
    <w:p>
      <w:pPr>
        <w:spacing w:line="360" w:lineRule="auto"/>
        <w:ind w:left="338" w:hanging="338" w:hangingChars="161"/>
        <w:rPr>
          <w:rFonts w:ascii="Times New Roman" w:hAnsi="Times New Roman" w:cs="Times New Roman"/>
          <w:sz w:val="21"/>
          <w:szCs w:val="21"/>
          <w:lang w:eastAsia="zh-CN"/>
        </w:rPr>
      </w:pPr>
      <w:r>
        <w:rPr>
          <w:rFonts w:ascii="Times New Roman" w:hAnsi="Times New Roman" w:cs="Times New Roman"/>
          <w:sz w:val="21"/>
          <w:szCs w:val="21"/>
          <w:lang w:eastAsia="zh-CN"/>
        </w:rPr>
        <w:t>8.1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乙方逾期交货的，每日按照逾期交货数量总额的</w:t>
      </w:r>
      <w:r>
        <w:rPr>
          <w:rFonts w:ascii="Times New Roman" w:hAnsi="Times New Roman" w:cs="Times New Roman"/>
          <w:sz w:val="21"/>
          <w:szCs w:val="21"/>
          <w:u w:val="single"/>
          <w:lang w:eastAsia="zh-CN"/>
        </w:rPr>
        <w:t xml:space="preserve"> 0.1  </w:t>
      </w:r>
      <w:r>
        <w:rPr>
          <w:rFonts w:ascii="Times New Roman" w:hAnsi="Times New Roman" w:cs="Times New Roman"/>
          <w:sz w:val="21"/>
          <w:szCs w:val="21"/>
          <w:lang w:eastAsia="zh-CN"/>
        </w:rPr>
        <w:t>%向甲方支付违约金，逾期超过</w:t>
      </w:r>
      <w:r>
        <w:rPr>
          <w:rFonts w:ascii="Times New Roman" w:hAnsi="Times New Roman" w:cs="Times New Roman"/>
          <w:sz w:val="21"/>
          <w:szCs w:val="21"/>
          <w:u w:val="single"/>
          <w:lang w:eastAsia="zh-CN"/>
        </w:rPr>
        <w:t xml:space="preserve">  20 </w:t>
      </w:r>
      <w:r>
        <w:rPr>
          <w:rFonts w:ascii="Times New Roman" w:hAnsi="Times New Roman" w:cs="Times New Roman"/>
          <w:sz w:val="21"/>
          <w:szCs w:val="21"/>
          <w:lang w:eastAsia="zh-CN"/>
        </w:rPr>
        <w:t>日的，甲方还有权解除合同，并要求乙方一次性支付合同</w:t>
      </w:r>
      <w:r>
        <w:rPr>
          <w:rFonts w:hint="eastAsia" w:ascii="Times New Roman" w:hAnsi="Times New Roman" w:cs="Times New Roman"/>
          <w:sz w:val="21"/>
          <w:szCs w:val="21"/>
          <w:lang w:eastAsia="zh-CN"/>
        </w:rPr>
        <w:t>预估</w:t>
      </w:r>
      <w:r>
        <w:rPr>
          <w:rFonts w:ascii="Times New Roman" w:hAnsi="Times New Roman" w:cs="Times New Roman"/>
          <w:sz w:val="21"/>
          <w:szCs w:val="21"/>
          <w:lang w:eastAsia="zh-CN"/>
        </w:rPr>
        <w:t>总额</w:t>
      </w:r>
      <w:r>
        <w:rPr>
          <w:rFonts w:ascii="Times New Roman" w:hAnsi="Times New Roman" w:cs="Times New Roman"/>
          <w:sz w:val="21"/>
          <w:szCs w:val="21"/>
          <w:u w:val="single"/>
          <w:lang w:eastAsia="zh-CN"/>
        </w:rPr>
        <w:t xml:space="preserve"> 20  </w:t>
      </w:r>
      <w:r>
        <w:rPr>
          <w:rFonts w:ascii="Times New Roman" w:hAnsi="Times New Roman" w:cs="Times New Roman"/>
          <w:sz w:val="21"/>
          <w:szCs w:val="21"/>
          <w:lang w:eastAsia="zh-CN"/>
        </w:rPr>
        <w:t>%的违约金。乙方部分交货、交货不合格的，均按照逾期交货处理，甲方可从履约保证金或者应付给乙方的货款中直接扣除。</w:t>
      </w:r>
    </w:p>
    <w:p>
      <w:pPr>
        <w:spacing w:line="360" w:lineRule="auto"/>
        <w:ind w:left="338" w:hanging="338" w:hangingChars="161"/>
        <w:rPr>
          <w:rFonts w:ascii="Times New Roman" w:hAnsi="Times New Roman" w:cs="Times New Roman"/>
          <w:sz w:val="21"/>
          <w:szCs w:val="21"/>
          <w:lang w:eastAsia="zh-CN"/>
        </w:rPr>
      </w:pPr>
      <w:r>
        <w:rPr>
          <w:rFonts w:ascii="Times New Roman" w:hAnsi="Times New Roman" w:cs="Times New Roman"/>
          <w:sz w:val="21"/>
          <w:szCs w:val="21"/>
          <w:lang w:eastAsia="zh-CN"/>
        </w:rPr>
        <w:t>8.2 乙方交付的产品经甲方验收不合格的，每次应向甲方支付违约金人民币</w:t>
      </w:r>
      <w:r>
        <w:rPr>
          <w:rFonts w:ascii="Times New Roman" w:hAnsi="Times New Roman" w:cs="Times New Roman"/>
          <w:sz w:val="21"/>
          <w:szCs w:val="21"/>
          <w:u w:val="single"/>
          <w:lang w:eastAsia="zh-CN"/>
        </w:rPr>
        <w:t xml:space="preserve"> 1000 </w:t>
      </w:r>
      <w:r>
        <w:rPr>
          <w:rFonts w:ascii="Times New Roman" w:hAnsi="Times New Roman" w:cs="Times New Roman"/>
          <w:sz w:val="21"/>
          <w:szCs w:val="21"/>
          <w:lang w:eastAsia="zh-CN"/>
        </w:rPr>
        <w:t>元，并应根据甲方要求进行修理、更换或采取其他补救措施。累计</w:t>
      </w:r>
      <w:r>
        <w:rPr>
          <w:rFonts w:ascii="Times New Roman" w:hAnsi="Times New Roman" w:cs="Times New Roman"/>
          <w:sz w:val="21"/>
          <w:szCs w:val="21"/>
          <w:u w:val="single"/>
          <w:lang w:eastAsia="zh-CN"/>
        </w:rPr>
        <w:t xml:space="preserve"> 叁  </w:t>
      </w:r>
      <w:r>
        <w:rPr>
          <w:rFonts w:ascii="Times New Roman" w:hAnsi="Times New Roman" w:cs="Times New Roman"/>
          <w:sz w:val="21"/>
          <w:szCs w:val="21"/>
          <w:lang w:eastAsia="zh-CN"/>
        </w:rPr>
        <w:t>次验收不合格的，甲方还有权解除合同、拒绝支付任何费用。</w:t>
      </w:r>
    </w:p>
    <w:p>
      <w:pPr>
        <w:spacing w:line="360" w:lineRule="auto"/>
        <w:ind w:left="433" w:hanging="432" w:hangingChars="206"/>
        <w:rPr>
          <w:rFonts w:ascii="Times New Roman" w:hAnsi="Times New Roman" w:cs="Times New Roman"/>
          <w:sz w:val="21"/>
          <w:szCs w:val="21"/>
          <w:lang w:eastAsia="zh-CN"/>
        </w:rPr>
      </w:pPr>
      <w:r>
        <w:rPr>
          <w:rFonts w:ascii="Times New Roman" w:hAnsi="Times New Roman" w:cs="Times New Roman"/>
          <w:sz w:val="21"/>
          <w:szCs w:val="21"/>
          <w:lang w:eastAsia="zh-CN"/>
        </w:rPr>
        <w:t xml:space="preserve">8.3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甲方无故逾期付款的，按照</w:t>
      </w:r>
      <w:r>
        <w:rPr>
          <w:rFonts w:hint="eastAsia"/>
          <w:sz w:val="24"/>
          <w:szCs w:val="24"/>
          <w:lang w:eastAsia="zh-CN"/>
        </w:rPr>
        <w:t>银行间同业拆借中心公布的贷款市场报价利率向乙方支付利息</w:t>
      </w:r>
      <w:r>
        <w:rPr>
          <w:rFonts w:hint="eastAsia"/>
          <w:sz w:val="24"/>
          <w:lang w:eastAsia="zh-CN"/>
        </w:rPr>
        <w:t>。</w:t>
      </w:r>
    </w:p>
    <w:p>
      <w:pPr>
        <w:spacing w:line="360" w:lineRule="auto"/>
        <w:ind w:left="338" w:hanging="338" w:hangingChars="161"/>
        <w:rPr>
          <w:rFonts w:ascii="Times New Roman" w:hAnsi="Times New Roman" w:cs="Times New Roman"/>
          <w:sz w:val="21"/>
          <w:szCs w:val="21"/>
          <w:lang w:eastAsia="zh-CN"/>
        </w:rPr>
      </w:pPr>
      <w:r>
        <w:rPr>
          <w:rFonts w:ascii="Times New Roman" w:hAnsi="Times New Roman" w:cs="Times New Roman"/>
          <w:sz w:val="21"/>
          <w:szCs w:val="21"/>
          <w:lang w:eastAsia="zh-CN"/>
        </w:rPr>
        <w:t xml:space="preserve">8.4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一方的违约行为给对方造成的损失超过本合同约定的违约金数额的，超出部分，违约方应予以赔偿。</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第九条  </w:t>
      </w:r>
      <w:r>
        <w:rPr>
          <w:rFonts w:ascii="Times New Roman" w:hAnsi="Times New Roman" w:cs="Times New Roman"/>
          <w:b/>
          <w:bCs/>
          <w:sz w:val="21"/>
          <w:szCs w:val="21"/>
          <w:lang w:eastAsia="zh-CN"/>
        </w:rPr>
        <w:t>法律的适用及争议解决方式</w:t>
      </w:r>
    </w:p>
    <w:p>
      <w:pPr>
        <w:spacing w:line="360" w:lineRule="auto"/>
        <w:ind w:left="338" w:leftChars="-36" w:hanging="417" w:hangingChars="199"/>
        <w:rPr>
          <w:rFonts w:ascii="Times New Roman" w:hAnsi="Times New Roman" w:cs="Times New Roman"/>
          <w:sz w:val="21"/>
          <w:szCs w:val="21"/>
          <w:lang w:eastAsia="zh-CN"/>
        </w:rPr>
      </w:pPr>
      <w:r>
        <w:rPr>
          <w:rFonts w:ascii="Times New Roman" w:hAnsi="Times New Roman" w:cs="Times New Roman"/>
          <w:sz w:val="21"/>
          <w:szCs w:val="21"/>
          <w:lang w:eastAsia="zh-CN"/>
        </w:rPr>
        <w:t>9.1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本合同的效力、解释及履行均适用中华人民共和国法律。</w:t>
      </w:r>
    </w:p>
    <w:p>
      <w:pPr>
        <w:spacing w:line="360" w:lineRule="auto"/>
        <w:ind w:left="338" w:leftChars="-36" w:hanging="417" w:hangingChars="199"/>
        <w:rPr>
          <w:rFonts w:ascii="Times New Roman" w:hAnsi="Times New Roman" w:cs="Times New Roman"/>
          <w:sz w:val="21"/>
          <w:szCs w:val="21"/>
          <w:lang w:eastAsia="zh-CN"/>
        </w:rPr>
      </w:pPr>
      <w:r>
        <w:rPr>
          <w:rFonts w:ascii="Times New Roman" w:hAnsi="Times New Roman" w:cs="Times New Roman"/>
          <w:sz w:val="21"/>
          <w:szCs w:val="21"/>
          <w:lang w:eastAsia="zh-CN"/>
        </w:rPr>
        <w:t>9.2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因本合同履行过程中引起的任何争议，双方应及时友好协商解决。协商不成的，向甲方所在地的人民法院提起诉讼。</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第十条  </w:t>
      </w:r>
      <w:r>
        <w:rPr>
          <w:rFonts w:ascii="Times New Roman" w:hAnsi="Times New Roman" w:cs="Times New Roman"/>
          <w:b/>
          <w:bCs/>
          <w:sz w:val="21"/>
          <w:szCs w:val="21"/>
          <w:lang w:eastAsia="zh-CN"/>
        </w:rPr>
        <w:t xml:space="preserve"> 合同变更与解除： </w:t>
      </w:r>
    </w:p>
    <w:p>
      <w:pPr>
        <w:spacing w:line="360" w:lineRule="auto"/>
        <w:ind w:left="337" w:leftChars="-45"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10.1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除本合同另有约定或法律规定外，非经双方协商一致，任何一方均不得擅自变更或解除合同。合同变更或解除须采取书面形式。</w:t>
      </w:r>
    </w:p>
    <w:p>
      <w:pPr>
        <w:pStyle w:val="27"/>
        <w:spacing w:line="400" w:lineRule="exact"/>
        <w:ind w:left="337" w:leftChars="-45" w:hanging="436" w:hangingChars="208"/>
        <w:rPr>
          <w:rFonts w:ascii="Times New Roman" w:hAnsi="Times New Roman" w:cs="Times New Roman"/>
          <w:sz w:val="21"/>
          <w:lang w:eastAsia="zh-CN"/>
        </w:rPr>
      </w:pPr>
      <w:r>
        <w:rPr>
          <w:rFonts w:ascii="Times New Roman" w:hAnsi="Times New Roman" w:cs="Times New Roman"/>
          <w:sz w:val="21"/>
          <w:lang w:eastAsia="zh-CN"/>
        </w:rPr>
        <w:t>10.2</w:t>
      </w:r>
      <w:r>
        <w:rPr>
          <w:rFonts w:hint="eastAsia" w:ascii="Times New Roman" w:hAnsi="Times New Roman" w:cs="Times New Roman"/>
          <w:sz w:val="21"/>
          <w:lang w:eastAsia="zh-CN"/>
        </w:rPr>
        <w:t xml:space="preserve"> </w:t>
      </w:r>
      <w:r>
        <w:rPr>
          <w:rFonts w:ascii="Times New Roman" w:hAnsi="Times New Roman" w:cs="Times New Roman"/>
          <w:sz w:val="21"/>
          <w:lang w:eastAsia="zh-CN"/>
        </w:rPr>
        <w:t xml:space="preserve">双方确定，甲方指定 </w:t>
      </w:r>
      <w:r>
        <w:rPr>
          <w:rFonts w:ascii="Times New Roman" w:hAnsi="Times New Roman" w:cs="Times New Roman"/>
          <w:sz w:val="21"/>
          <w:u w:val="single"/>
          <w:lang w:eastAsia="zh-CN"/>
        </w:rPr>
        <w:t xml:space="preserve">  金朦晓0596-6088418  </w:t>
      </w:r>
      <w:r>
        <w:rPr>
          <w:rFonts w:ascii="Times New Roman" w:hAnsi="Times New Roman" w:cs="Times New Roman"/>
          <w:sz w:val="21"/>
          <w:lang w:eastAsia="zh-CN"/>
        </w:rPr>
        <w:t xml:space="preserve">为甲方项目联系人，乙方指定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为乙方项目联系人。一方变更项目联系人的，应当及时以书面形式通知另一方。未及时通知并影响本合同履行或造成损失的，应承担相应的责任。</w:t>
      </w:r>
    </w:p>
    <w:p>
      <w:pPr>
        <w:spacing w:line="360" w:lineRule="auto"/>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 xml:space="preserve">第十一条  </w:t>
      </w:r>
      <w:r>
        <w:rPr>
          <w:rFonts w:ascii="Times New Roman" w:hAnsi="Times New Roman" w:cs="Times New Roman"/>
          <w:b/>
          <w:bCs/>
          <w:sz w:val="21"/>
          <w:szCs w:val="21"/>
          <w:lang w:eastAsia="zh-CN"/>
        </w:rPr>
        <w:t>通知</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14"/>
        </w:numPr>
        <w:spacing w:line="360" w:lineRule="auto"/>
        <w:rPr>
          <w:rFonts w:ascii="Times New Roman" w:hAnsi="Times New Roman" w:cs="Times New Roman"/>
          <w:sz w:val="21"/>
          <w:szCs w:val="21"/>
          <w:lang w:eastAsia="zh-CN"/>
        </w:rPr>
      </w:pPr>
      <w:r>
        <w:rPr>
          <w:rFonts w:hint="eastAsia" w:ascii="Times New Roman" w:hAnsi="Times New Roman" w:cs="Times New Roman"/>
          <w:b/>
          <w:bCs/>
          <w:sz w:val="21"/>
          <w:szCs w:val="21"/>
          <w:lang w:eastAsia="zh-CN"/>
        </w:rPr>
        <w:t xml:space="preserve"> </w:t>
      </w:r>
      <w:r>
        <w:rPr>
          <w:rFonts w:ascii="Times New Roman" w:hAnsi="Times New Roman" w:cs="Times New Roman"/>
          <w:sz w:val="21"/>
          <w:szCs w:val="21"/>
          <w:lang w:eastAsia="zh-CN"/>
        </w:rPr>
        <w:t>本合同一式伍份，经双方签订后生效，甲方执肆份、乙方执壹份，具有同等效力。</w:t>
      </w:r>
    </w:p>
    <w:p>
      <w:pPr>
        <w:pStyle w:val="2"/>
      </w:pPr>
    </w:p>
    <w:p>
      <w:pPr>
        <w:spacing w:line="360" w:lineRule="auto"/>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以下无正文</w:t>
      </w:r>
    </w:p>
    <w:p>
      <w:pPr>
        <w:pStyle w:val="2"/>
      </w:pPr>
    </w:p>
    <w:p>
      <w:pPr>
        <w:pStyle w:val="2"/>
        <w:rPr>
          <w:rFonts w:ascii="Times New Roman" w:hAnsi="Times New Roman"/>
          <w:sz w:val="21"/>
          <w:szCs w:val="21"/>
        </w:rPr>
      </w:pPr>
    </w:p>
    <w:p>
      <w:pPr>
        <w:pStyle w:val="2"/>
        <w:rPr>
          <w:rFonts w:ascii="Times New Roman" w:hAnsi="Times New Roman"/>
          <w:sz w:val="21"/>
          <w:szCs w:val="21"/>
        </w:rPr>
      </w:pPr>
    </w:p>
    <w:tbl>
      <w:tblPr>
        <w:tblStyle w:val="58"/>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01"/>
        <w:gridCol w:w="4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甲方：翔鹭石化（漳州）有限公司</w:t>
            </w:r>
          </w:p>
        </w:tc>
        <w:tc>
          <w:tcPr>
            <w:tcW w:w="4580" w:type="dxa"/>
            <w:vAlign w:val="center"/>
          </w:tcPr>
          <w:p>
            <w:pPr>
              <w:spacing w:line="360" w:lineRule="auto"/>
              <w:ind w:left="118" w:leftChars="54"/>
              <w:rPr>
                <w:rFonts w:ascii="Times New Roman" w:hAnsi="Times New Roman" w:cs="Times New Roman"/>
                <w:b/>
                <w:bCs/>
                <w:sz w:val="24"/>
                <w:szCs w:val="24"/>
              </w:rPr>
            </w:pPr>
            <w:r>
              <w:rPr>
                <w:rFonts w:ascii="Times New Roman" w:hAnsi="Times New Roman" w:cs="Times New Roman"/>
                <w:b/>
                <w:bCs/>
                <w:sz w:val="24"/>
                <w:szCs w:val="24"/>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lang w:eastAsia="zh-CN"/>
              </w:rPr>
            </w:pPr>
            <w:r>
              <w:rPr>
                <w:rFonts w:ascii="Times New Roman" w:hAnsi="Times New Roman" w:cs="Times New Roman"/>
                <w:sz w:val="24"/>
                <w:szCs w:val="24"/>
                <w:lang w:eastAsia="zh-CN"/>
              </w:rPr>
              <w:t>地址：</w:t>
            </w:r>
            <w:r>
              <w:rPr>
                <w:rFonts w:ascii="Times New Roman" w:hAnsi="Times New Roman" w:cs="Times New Roman"/>
                <w:sz w:val="21"/>
                <w:szCs w:val="21"/>
                <w:lang w:eastAsia="zh-CN"/>
              </w:rPr>
              <w:t>福建省漳州市漳州古雷经济开发区腾龙路86号</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邮编：363216</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传真：</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电子邮箱：</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 xml:space="preserve">电子邮箱：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委托代理人：</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 xml:space="preserve">委托代理人：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电话：</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 xml:space="preserve">开户银行： </w:t>
            </w: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jc w:val="center"/>
        </w:trPr>
        <w:tc>
          <w:tcPr>
            <w:tcW w:w="5201" w:type="dxa"/>
            <w:vAlign w:val="center"/>
          </w:tcPr>
          <w:p>
            <w:pPr>
              <w:spacing w:line="360" w:lineRule="auto"/>
              <w:ind w:left="8" w:leftChars="-27" w:hanging="67" w:hangingChars="28"/>
              <w:rPr>
                <w:rFonts w:ascii="Times New Roman" w:hAnsi="Times New Roman" w:cs="Times New Roman"/>
                <w:sz w:val="24"/>
                <w:szCs w:val="24"/>
              </w:rPr>
            </w:pPr>
            <w:r>
              <w:rPr>
                <w:rFonts w:ascii="Times New Roman" w:hAnsi="Times New Roman" w:cs="Times New Roman"/>
                <w:sz w:val="24"/>
                <w:szCs w:val="24"/>
              </w:rPr>
              <w:t>账号：</w:t>
            </w:r>
          </w:p>
          <w:p>
            <w:pPr>
              <w:spacing w:line="360" w:lineRule="auto"/>
              <w:ind w:left="8" w:leftChars="-27" w:hanging="67" w:hangingChars="28"/>
              <w:rPr>
                <w:rFonts w:ascii="Times New Roman" w:hAnsi="Times New Roman" w:cs="Times New Roman"/>
                <w:sz w:val="24"/>
                <w:szCs w:val="24"/>
              </w:rPr>
            </w:pPr>
          </w:p>
        </w:tc>
        <w:tc>
          <w:tcPr>
            <w:tcW w:w="4580" w:type="dxa"/>
            <w:vAlign w:val="center"/>
          </w:tcPr>
          <w:p>
            <w:pPr>
              <w:spacing w:line="360" w:lineRule="auto"/>
              <w:ind w:left="118" w:leftChars="54"/>
              <w:rPr>
                <w:rFonts w:ascii="Times New Roman" w:hAnsi="Times New Roman" w:cs="Times New Roman"/>
                <w:sz w:val="24"/>
                <w:szCs w:val="24"/>
              </w:rPr>
            </w:pPr>
            <w:r>
              <w:rPr>
                <w:rFonts w:ascii="Times New Roman" w:hAnsi="Times New Roman" w:cs="Times New Roman"/>
                <w:sz w:val="24"/>
                <w:szCs w:val="24"/>
              </w:rPr>
              <w:t>账号：</w:t>
            </w:r>
          </w:p>
        </w:tc>
      </w:tr>
    </w:tbl>
    <w:p>
      <w:pPr>
        <w:jc w:val="center"/>
        <w:rPr>
          <w:rFonts w:ascii="Times New Roman" w:hAnsi="Times New Roman" w:cs="Times New Roman"/>
          <w:b/>
          <w:sz w:val="21"/>
          <w:szCs w:val="21"/>
        </w:rPr>
      </w:pPr>
    </w:p>
    <w:p>
      <w:pPr>
        <w:jc w:val="center"/>
        <w:rPr>
          <w:rFonts w:ascii="Times New Roman" w:hAnsi="Times New Roman" w:cs="Times New Roman"/>
          <w:b/>
          <w:sz w:val="21"/>
          <w:szCs w:val="21"/>
        </w:rPr>
      </w:pPr>
    </w:p>
    <w:p>
      <w:pPr>
        <w:jc w:val="center"/>
        <w:rPr>
          <w:ins w:id="0" w:author="mqhuang" w:date="2022-10-21T10:18:18Z"/>
          <w:b/>
          <w:sz w:val="30"/>
          <w:szCs w:val="30"/>
        </w:rPr>
      </w:pPr>
    </w:p>
    <w:p>
      <w:pPr>
        <w:pStyle w:val="2"/>
      </w:pPr>
    </w:p>
    <w:p>
      <w:pPr>
        <w:jc w:val="center"/>
        <w:rPr>
          <w:b/>
          <w:sz w:val="30"/>
          <w:szCs w:val="30"/>
          <w:lang w:eastAsia="zh-CN"/>
        </w:rPr>
      </w:pPr>
      <w:r>
        <w:rPr>
          <w:rFonts w:hint="eastAsia"/>
          <w:b/>
          <w:sz w:val="30"/>
          <w:szCs w:val="30"/>
          <w:lang w:eastAsia="zh-CN"/>
        </w:rPr>
        <w:t>PTA 旧包装袋采购发包说明</w:t>
      </w:r>
    </w:p>
    <w:p>
      <w:pPr>
        <w:numPr>
          <w:ilvl w:val="0"/>
          <w:numId w:val="15"/>
        </w:numPr>
        <w:spacing w:line="360" w:lineRule="auto"/>
        <w:rPr>
          <w:sz w:val="24"/>
          <w:lang w:eastAsia="zh-CN"/>
        </w:rPr>
      </w:pPr>
      <w:r>
        <w:rPr>
          <w:rFonts w:hint="eastAsia"/>
          <w:b/>
          <w:sz w:val="24"/>
          <w:lang w:eastAsia="zh-CN"/>
        </w:rPr>
        <w:t>项目名称：</w:t>
      </w:r>
      <w:r>
        <w:rPr>
          <w:rFonts w:hint="eastAsia"/>
          <w:sz w:val="24"/>
          <w:lang w:eastAsia="zh-CN"/>
        </w:rPr>
        <w:t>PTA旧包装袋采购</w:t>
      </w:r>
    </w:p>
    <w:p>
      <w:pPr>
        <w:numPr>
          <w:ilvl w:val="0"/>
          <w:numId w:val="15"/>
        </w:numPr>
        <w:spacing w:line="360" w:lineRule="auto"/>
        <w:rPr>
          <w:sz w:val="24"/>
        </w:rPr>
      </w:pPr>
      <w:r>
        <w:rPr>
          <w:rFonts w:hint="eastAsia"/>
          <w:b/>
          <w:sz w:val="24"/>
        </w:rPr>
        <w:t>采购内容：</w:t>
      </w:r>
    </w:p>
    <w:p>
      <w:pPr>
        <w:spacing w:line="360" w:lineRule="auto"/>
        <w:ind w:firstLine="480" w:firstLineChars="200"/>
        <w:rPr>
          <w:sz w:val="24"/>
          <w:lang w:eastAsia="zh-CN"/>
        </w:rPr>
      </w:pPr>
      <w:r>
        <w:rPr>
          <w:rFonts w:hint="eastAsia"/>
          <w:sz w:val="24"/>
          <w:lang w:eastAsia="zh-CN"/>
        </w:rPr>
        <w:t>本次包装袋采购将用于：PTA团队落地PTA粉、催化剂更换、检修废弃垃圾等使用；</w:t>
      </w:r>
    </w:p>
    <w:p>
      <w:pPr>
        <w:spacing w:line="360" w:lineRule="auto"/>
        <w:ind w:firstLine="480" w:firstLineChars="200"/>
        <w:rPr>
          <w:sz w:val="24"/>
        </w:rPr>
      </w:pPr>
      <w:r>
        <w:rPr>
          <w:rFonts w:hint="eastAsia"/>
          <w:sz w:val="24"/>
          <w:lang w:eastAsia="zh-CN"/>
        </w:rPr>
        <w:t>计划每年需要下方无出料口的旧包装袋16000条,以实际到货量结算。</w:t>
      </w:r>
      <w:r>
        <w:rPr>
          <w:rFonts w:hint="eastAsia"/>
          <w:sz w:val="24"/>
        </w:rPr>
        <w:t>合约申请2年。</w:t>
      </w:r>
    </w:p>
    <w:p>
      <w:pPr>
        <w:numPr>
          <w:ilvl w:val="0"/>
          <w:numId w:val="15"/>
        </w:numPr>
        <w:spacing w:line="360" w:lineRule="auto"/>
        <w:rPr>
          <w:sz w:val="24"/>
        </w:rPr>
      </w:pPr>
      <w:r>
        <w:rPr>
          <w:rFonts w:hint="eastAsia"/>
          <w:b/>
          <w:sz w:val="24"/>
        </w:rPr>
        <w:t>交货地点：</w:t>
      </w:r>
    </w:p>
    <w:p>
      <w:pPr>
        <w:spacing w:line="360" w:lineRule="auto"/>
        <w:ind w:firstLine="480" w:firstLineChars="200"/>
        <w:rPr>
          <w:sz w:val="24"/>
          <w:lang w:eastAsia="zh-CN"/>
        </w:rPr>
      </w:pPr>
      <w:r>
        <w:rPr>
          <w:rFonts w:hint="eastAsia"/>
          <w:sz w:val="24"/>
          <w:lang w:eastAsia="zh-CN"/>
        </w:rPr>
        <w:t>生产管理部PTA团队装置现场。</w:t>
      </w:r>
    </w:p>
    <w:p>
      <w:pPr>
        <w:spacing w:line="360" w:lineRule="auto"/>
        <w:rPr>
          <w:b/>
          <w:sz w:val="24"/>
          <w:lang w:eastAsia="zh-CN"/>
        </w:rPr>
      </w:pPr>
      <w:r>
        <w:rPr>
          <w:rFonts w:hint="eastAsia"/>
          <w:bCs/>
          <w:sz w:val="24"/>
          <w:lang w:eastAsia="zh-CN"/>
        </w:rPr>
        <w:t>四、</w:t>
      </w:r>
      <w:r>
        <w:rPr>
          <w:rFonts w:hint="eastAsia"/>
          <w:b/>
          <w:sz w:val="24"/>
          <w:lang w:eastAsia="zh-CN"/>
        </w:rPr>
        <w:t>包装和运输：</w:t>
      </w:r>
    </w:p>
    <w:p>
      <w:pPr>
        <w:spacing w:line="360" w:lineRule="auto"/>
        <w:ind w:firstLine="480"/>
        <w:rPr>
          <w:sz w:val="24"/>
          <w:lang w:eastAsia="zh-CN"/>
        </w:rPr>
      </w:pPr>
      <w:r>
        <w:rPr>
          <w:rFonts w:hint="eastAsia"/>
          <w:sz w:val="24"/>
          <w:lang w:eastAsia="zh-CN"/>
        </w:rPr>
        <w:t>本次采购的包装袋要求采用10条/捆（或20条/捆）的供货形式，便于搬运。</w:t>
      </w:r>
    </w:p>
    <w:p>
      <w:pPr>
        <w:spacing w:line="360" w:lineRule="auto"/>
        <w:ind w:firstLine="480"/>
        <w:rPr>
          <w:sz w:val="24"/>
          <w:lang w:eastAsia="zh-CN"/>
        </w:rPr>
      </w:pPr>
      <w:r>
        <w:rPr>
          <w:rFonts w:hint="eastAsia"/>
          <w:sz w:val="24"/>
          <w:lang w:eastAsia="zh-CN"/>
        </w:rPr>
        <w:t>供货商按公司要求的供货时间和数量，交货至指定的装置仓库。</w:t>
      </w:r>
    </w:p>
    <w:p>
      <w:pPr>
        <w:numPr>
          <w:ilvl w:val="0"/>
          <w:numId w:val="16"/>
        </w:numPr>
        <w:spacing w:line="360" w:lineRule="auto"/>
        <w:rPr>
          <w:sz w:val="24"/>
        </w:rPr>
      </w:pPr>
      <w:r>
        <w:rPr>
          <w:rFonts w:hint="eastAsia"/>
          <w:sz w:val="24"/>
        </w:rPr>
        <w:t>包装袋基本要求</w:t>
      </w:r>
    </w:p>
    <w:p>
      <w:pPr>
        <w:numPr>
          <w:ilvl w:val="0"/>
          <w:numId w:val="17"/>
        </w:numPr>
        <w:spacing w:line="360" w:lineRule="auto"/>
        <w:ind w:left="417" w:leftChars="181" w:hanging="19" w:hangingChars="8"/>
        <w:rPr>
          <w:sz w:val="24"/>
          <w:lang w:eastAsia="zh-CN"/>
        </w:rPr>
      </w:pPr>
      <w:r>
        <w:rPr>
          <w:rFonts w:hint="eastAsia"/>
          <w:sz w:val="24"/>
          <w:lang w:eastAsia="zh-CN"/>
        </w:rPr>
        <w:t>包装袋主要原料为：PP；</w:t>
      </w:r>
    </w:p>
    <w:p>
      <w:pPr>
        <w:numPr>
          <w:ilvl w:val="0"/>
          <w:numId w:val="17"/>
        </w:numPr>
        <w:spacing w:line="360" w:lineRule="auto"/>
        <w:ind w:left="417" w:leftChars="181" w:hanging="19" w:hangingChars="8"/>
        <w:rPr>
          <w:sz w:val="24"/>
        </w:rPr>
      </w:pPr>
      <w:r>
        <w:rPr>
          <w:rFonts w:hint="eastAsia"/>
          <w:sz w:val="24"/>
        </w:rPr>
        <w:t>袋体完好无破损；</w:t>
      </w:r>
    </w:p>
    <w:p>
      <w:pPr>
        <w:numPr>
          <w:ilvl w:val="0"/>
          <w:numId w:val="17"/>
        </w:numPr>
        <w:spacing w:line="360" w:lineRule="auto"/>
        <w:ind w:left="417" w:leftChars="181" w:hanging="19" w:hangingChars="8"/>
        <w:rPr>
          <w:sz w:val="24"/>
          <w:lang w:eastAsia="zh-CN"/>
        </w:rPr>
      </w:pPr>
      <w:r>
        <w:rPr>
          <w:rFonts w:hint="eastAsia"/>
          <w:sz w:val="24"/>
        </w:rPr>
        <w:t>包装袋为近半年生产；</w:t>
      </w:r>
    </w:p>
    <w:p>
      <w:pPr>
        <w:numPr>
          <w:ilvl w:val="0"/>
          <w:numId w:val="17"/>
        </w:numPr>
        <w:spacing w:line="360" w:lineRule="auto"/>
        <w:ind w:left="417" w:leftChars="181" w:hanging="19" w:hangingChars="8"/>
        <w:rPr>
          <w:sz w:val="24"/>
          <w:lang w:eastAsia="zh-CN"/>
        </w:rPr>
      </w:pPr>
      <w:r>
        <w:rPr>
          <w:rFonts w:hint="eastAsia"/>
          <w:sz w:val="24"/>
          <w:lang w:eastAsia="zh-CN"/>
        </w:rPr>
        <w:t>申请规格旧包装袋:下方为封闭式，无出料口；</w:t>
      </w:r>
    </w:p>
    <w:p>
      <w:pPr>
        <w:numPr>
          <w:ilvl w:val="0"/>
          <w:numId w:val="17"/>
        </w:numPr>
        <w:spacing w:line="360" w:lineRule="auto"/>
        <w:ind w:left="417" w:leftChars="181" w:hanging="19" w:hangingChars="8"/>
        <w:rPr>
          <w:sz w:val="24"/>
          <w:lang w:eastAsia="zh-CN"/>
        </w:rPr>
      </w:pPr>
      <w:r>
        <w:rPr>
          <w:rFonts w:hint="eastAsia"/>
          <w:sz w:val="24"/>
          <w:lang w:eastAsia="zh-CN"/>
        </w:rPr>
        <w:t>回收的吨袋原袋装产品应为无危害及无辐射性质的产品。</w:t>
      </w:r>
    </w:p>
    <w:p>
      <w:pPr>
        <w:pStyle w:val="27"/>
        <w:spacing w:line="360" w:lineRule="auto"/>
        <w:rPr>
          <w:rFonts w:hAnsi="宋体"/>
          <w:lang w:eastAsia="zh-CN"/>
        </w:rPr>
      </w:pPr>
    </w:p>
    <w:p>
      <w:pPr>
        <w:jc w:val="center"/>
        <w:rPr>
          <w:b/>
          <w:sz w:val="44"/>
          <w:szCs w:val="44"/>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hAnsi="宋体" w:cs="宋体"/>
          <w:b/>
          <w:sz w:val="44"/>
          <w:szCs w:val="44"/>
          <w:lang w:eastAsia="zh-CN"/>
        </w:rPr>
        <w:t>化</w:t>
      </w:r>
      <w:r>
        <w:rPr>
          <w:rFonts w:hint="eastAsia" w:ascii="方正小标宋简体" w:hAnsi="方正小标宋简体" w:eastAsia="方正小标宋简体" w:cs="方正小标宋简体"/>
          <w:b/>
          <w:sz w:val="44"/>
          <w:szCs w:val="44"/>
          <w:lang w:eastAsia="zh-CN"/>
        </w:rPr>
        <w:t>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36"/>
          <w:szCs w:val="36"/>
          <w:lang w:eastAsia="zh-CN"/>
        </w:rPr>
      </w:pPr>
    </w:p>
    <w:p>
      <w:pPr>
        <w:spacing w:line="1000" w:lineRule="exact"/>
        <w:jc w:val="center"/>
        <w:rPr>
          <w:b/>
          <w:bCs/>
          <w:sz w:val="44"/>
          <w:szCs w:val="44"/>
          <w:lang w:eastAsia="zh-CN"/>
        </w:rPr>
      </w:pPr>
      <w:r>
        <w:rPr>
          <w:rFonts w:hint="eastAsia"/>
          <w:b/>
          <w:bCs/>
          <w:sz w:val="44"/>
          <w:szCs w:val="44"/>
          <w:lang w:eastAsia="zh-CN"/>
        </w:rPr>
        <w:t>PTA 旧包装袋采购项目</w:t>
      </w:r>
    </w:p>
    <w:p>
      <w:pPr>
        <w:spacing w:line="1000" w:lineRule="exact"/>
        <w:jc w:val="center"/>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10</w:t>
      </w:r>
      <w:r>
        <w:rPr>
          <w:rFonts w:ascii="Times New Roman" w:hAnsi="Times New Roman"/>
          <w:b/>
          <w:bCs/>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p>
    <w:p>
      <w:pPr>
        <w:spacing w:line="960" w:lineRule="exact"/>
        <w:jc w:val="center"/>
        <w:rPr>
          <w:b/>
          <w:i/>
          <w:iCs/>
          <w:color w:val="C00000"/>
          <w:sz w:val="36"/>
          <w:szCs w:val="36"/>
          <w:lang w:eastAsia="zh-CN"/>
        </w:rPr>
      </w:pPr>
    </w:p>
    <w:p>
      <w:pPr>
        <w:spacing w:line="960" w:lineRule="exact"/>
        <w:jc w:val="center"/>
        <w:rPr>
          <w:b/>
          <w:i/>
          <w:iCs/>
          <w:color w:val="C00000"/>
          <w:sz w:val="36"/>
          <w:szCs w:val="36"/>
          <w:lang w:eastAsia="zh-CN"/>
        </w:rPr>
      </w:pPr>
      <w:r>
        <w:rPr>
          <w:rFonts w:hint="eastAsia"/>
          <w:b/>
          <w:i/>
          <w:iCs/>
          <w:color w:val="C00000"/>
          <w:sz w:val="36"/>
          <w:szCs w:val="36"/>
          <w:lang w:eastAsia="zh-CN"/>
        </w:rPr>
        <w:t>参选文件编写说明</w:t>
      </w:r>
    </w:p>
    <w:p>
      <w:pPr>
        <w:spacing w:line="960" w:lineRule="exact"/>
        <w:jc w:val="center"/>
        <w:rPr>
          <w:b/>
          <w:i/>
          <w:iCs/>
          <w:color w:val="C00000"/>
          <w:sz w:val="36"/>
          <w:szCs w:val="36"/>
          <w:u w:val="double"/>
          <w:lang w:eastAsia="zh-CN"/>
        </w:rPr>
      </w:pPr>
      <w:r>
        <w:rPr>
          <w:rFonts w:hint="eastAsia"/>
          <w:b/>
          <w:i/>
          <w:iCs/>
          <w:color w:val="C00000"/>
          <w:sz w:val="36"/>
          <w:szCs w:val="36"/>
          <w:u w:val="double"/>
          <w:lang w:eastAsia="zh-CN"/>
        </w:rPr>
        <w:t>（本页无须打印）</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6"/>
        <w:spacing w:beforeLines="0" w:afterLines="0"/>
        <w:ind w:left="316" w:hanging="316" w:hangingChars="113"/>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line="240" w:lineRule="auto"/>
        <w:ind w:left="319" w:hanging="319" w:hangingChars="114"/>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left="319" w:hanging="319" w:hangingChars="114"/>
        <w:rPr>
          <w:lang w:eastAsia="zh-CN"/>
        </w:rPr>
      </w:pPr>
      <w:r>
        <w:rPr>
          <w:rFonts w:hint="eastAsia" w:cs="Times New Roman"/>
          <w:color w:val="C00000"/>
          <w:lang w:eastAsia="zh-CN"/>
        </w:rPr>
        <w:t>8、以下文件中红色字体部分，打印时请删除。</w:t>
      </w:r>
    </w:p>
    <w:p>
      <w:pPr>
        <w:spacing w:line="1000" w:lineRule="exact"/>
        <w:jc w:val="center"/>
        <w:rPr>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spacing w:line="500" w:lineRule="exact"/>
        <w:jc w:val="center"/>
        <w:rPr>
          <w:b/>
          <w:bCs/>
          <w:sz w:val="36"/>
          <w:szCs w:val="36"/>
        </w:rPr>
      </w:pPr>
    </w:p>
    <w:p>
      <w:pPr>
        <w:spacing w:line="500" w:lineRule="exact"/>
        <w:jc w:val="center"/>
        <w:rPr>
          <w:b/>
          <w:bCs/>
          <w:sz w:val="36"/>
          <w:szCs w:val="36"/>
        </w:rPr>
      </w:pPr>
    </w:p>
    <w:p>
      <w:pPr>
        <w:spacing w:line="500" w:lineRule="exact"/>
        <w:jc w:val="center"/>
        <w:rPr>
          <w:b/>
          <w:bCs/>
          <w:sz w:val="36"/>
          <w:szCs w:val="36"/>
        </w:rPr>
      </w:pPr>
    </w:p>
    <w:p>
      <w:pPr>
        <w:spacing w:line="500" w:lineRule="exact"/>
        <w:jc w:val="center"/>
        <w:rPr>
          <w:b/>
          <w:bCs/>
          <w:sz w:val="36"/>
          <w:szCs w:val="36"/>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2年4月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6"/>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pStyle w:val="2"/>
        <w:rPr>
          <w:rFonts w:ascii="Times New Roman" w:hAnsi="Times New Roman"/>
          <w:b/>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附件三：</w:t>
      </w: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ind w:firstLine="280" w:firstLineChars="100"/>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致：福建福海创石油化工有限公司</w:t>
      </w:r>
    </w:p>
    <w:p>
      <w:pPr>
        <w:spacing w:line="360" w:lineRule="auto"/>
        <w:ind w:left="479" w:leftChars="218" w:firstLine="480" w:firstLineChars="200"/>
        <w:rPr>
          <w:rStyle w:val="213"/>
          <w:sz w:val="24"/>
          <w:szCs w:val="24"/>
          <w:lang w:eastAsia="zh-CN"/>
        </w:rPr>
      </w:pPr>
      <w:r>
        <w:rPr>
          <w:rStyle w:val="213"/>
          <w:rFonts w:hint="eastAsia"/>
          <w:sz w:val="24"/>
          <w:szCs w:val="24"/>
          <w:lang w:eastAsia="zh-CN"/>
        </w:rPr>
        <w:t xml:space="preserve">在充分研究福建福海创石油化工有限公司PTA 旧包装袋采购发包比选文件的全部内容后，我方愿以以下报价，严格按照自主比选文件的要求，交付本项目并维修其中的任何缺陷。 </w:t>
      </w:r>
    </w:p>
    <w:tbl>
      <w:tblPr>
        <w:tblStyle w:val="57"/>
        <w:tblW w:w="10180" w:type="dxa"/>
        <w:jc w:val="center"/>
        <w:tblInd w:w="93" w:type="dxa"/>
        <w:tblLayout w:type="fixed"/>
        <w:tblCellMar>
          <w:top w:w="0" w:type="dxa"/>
          <w:left w:w="108" w:type="dxa"/>
          <w:bottom w:w="0" w:type="dxa"/>
          <w:right w:w="108" w:type="dxa"/>
        </w:tblCellMar>
      </w:tblPr>
      <w:tblGrid>
        <w:gridCol w:w="700"/>
        <w:gridCol w:w="1585"/>
        <w:gridCol w:w="1155"/>
        <w:gridCol w:w="1290"/>
        <w:gridCol w:w="750"/>
        <w:gridCol w:w="1365"/>
        <w:gridCol w:w="1365"/>
        <w:gridCol w:w="1970"/>
      </w:tblGrid>
      <w:tr>
        <w:tblPrEx>
          <w:tblLayout w:type="fixed"/>
          <w:tblCellMar>
            <w:top w:w="0" w:type="dxa"/>
            <w:left w:w="108" w:type="dxa"/>
            <w:bottom w:w="0" w:type="dxa"/>
            <w:right w:w="108" w:type="dxa"/>
          </w:tblCellMar>
        </w:tblPrEx>
        <w:trPr>
          <w:trHeight w:val="860" w:hRule="atLeast"/>
          <w:jc w:val="center"/>
        </w:trPr>
        <w:tc>
          <w:tcPr>
            <w:tcW w:w="7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60" w:lineRule="auto"/>
              <w:jc w:val="center"/>
              <w:rPr>
                <w:rFonts w:cs="Arial"/>
                <w:b/>
                <w:bCs/>
              </w:rPr>
            </w:pPr>
            <w:r>
              <w:rPr>
                <w:rFonts w:hint="eastAsia" w:cs="Arial"/>
                <w:b/>
                <w:bCs/>
              </w:rPr>
              <w:t>序号</w:t>
            </w:r>
          </w:p>
        </w:tc>
        <w:tc>
          <w:tcPr>
            <w:tcW w:w="1585"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spacing w:line="360" w:lineRule="auto"/>
              <w:jc w:val="center"/>
              <w:rPr>
                <w:rFonts w:cs="Arial"/>
                <w:b/>
                <w:bCs/>
                <w:color w:val="000000"/>
              </w:rPr>
            </w:pPr>
            <w:r>
              <w:rPr>
                <w:rFonts w:cs="Arial"/>
                <w:b/>
                <w:bCs/>
                <w:color w:val="000000"/>
              </w:rPr>
              <w:t>品名</w:t>
            </w:r>
          </w:p>
        </w:tc>
        <w:tc>
          <w:tcPr>
            <w:tcW w:w="1155" w:type="dxa"/>
            <w:tcBorders>
              <w:top w:val="single" w:color="auto" w:sz="8" w:space="0"/>
              <w:left w:val="single" w:color="auto" w:sz="8" w:space="0"/>
              <w:bottom w:val="single" w:color="000000" w:sz="8" w:space="0"/>
              <w:right w:val="single" w:color="auto" w:sz="8" w:space="0"/>
            </w:tcBorders>
            <w:shd w:val="clear" w:color="000000" w:fill="FFFFFF"/>
            <w:vAlign w:val="center"/>
          </w:tcPr>
          <w:p>
            <w:pPr>
              <w:widowControl/>
              <w:spacing w:line="360" w:lineRule="auto"/>
              <w:jc w:val="center"/>
              <w:rPr>
                <w:rFonts w:cs="Arial"/>
                <w:b/>
                <w:bCs/>
                <w:color w:val="000000"/>
              </w:rPr>
            </w:pPr>
            <w:r>
              <w:rPr>
                <w:rFonts w:cs="Arial"/>
                <w:b/>
                <w:bCs/>
                <w:color w:val="000000"/>
              </w:rPr>
              <w:t>规格</w:t>
            </w:r>
          </w:p>
        </w:tc>
        <w:tc>
          <w:tcPr>
            <w:tcW w:w="1290" w:type="dxa"/>
            <w:tcBorders>
              <w:top w:val="single" w:color="auto" w:sz="8" w:space="0"/>
              <w:left w:val="single" w:color="auto" w:sz="8" w:space="0"/>
              <w:bottom w:val="single" w:color="000000" w:sz="8" w:space="0"/>
              <w:right w:val="single" w:color="000000" w:sz="8" w:space="0"/>
            </w:tcBorders>
            <w:shd w:val="clear" w:color="000000" w:fill="FFFFFF"/>
            <w:vAlign w:val="center"/>
          </w:tcPr>
          <w:p>
            <w:pPr>
              <w:widowControl/>
              <w:spacing w:line="360" w:lineRule="auto"/>
              <w:jc w:val="center"/>
              <w:rPr>
                <w:rFonts w:cs="Arial"/>
                <w:b/>
                <w:bCs/>
                <w:sz w:val="24"/>
              </w:rPr>
            </w:pPr>
            <w:r>
              <w:rPr>
                <w:rFonts w:cs="Arial"/>
                <w:b/>
                <w:bCs/>
                <w:sz w:val="24"/>
              </w:rPr>
              <w:t>预估数量</w:t>
            </w:r>
          </w:p>
        </w:tc>
        <w:tc>
          <w:tcPr>
            <w:tcW w:w="750"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spacing w:line="360" w:lineRule="auto"/>
              <w:jc w:val="center"/>
              <w:rPr>
                <w:rFonts w:cs="Arial"/>
                <w:b/>
                <w:bCs/>
                <w:color w:val="000000"/>
              </w:rPr>
            </w:pPr>
            <w:r>
              <w:rPr>
                <w:rFonts w:cs="Arial"/>
                <w:b/>
                <w:bCs/>
                <w:color w:val="000000"/>
              </w:rPr>
              <w:t>单位</w:t>
            </w:r>
          </w:p>
        </w:tc>
        <w:tc>
          <w:tcPr>
            <w:tcW w:w="1365"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cs="Arial"/>
                <w:b/>
                <w:bCs/>
                <w:color w:val="000000"/>
              </w:rPr>
            </w:pPr>
            <w:r>
              <w:rPr>
                <w:rFonts w:cs="Arial"/>
                <w:b/>
                <w:bCs/>
                <w:color w:val="000000"/>
              </w:rPr>
              <w:t>含税单价</w:t>
            </w:r>
          </w:p>
        </w:tc>
        <w:tc>
          <w:tcPr>
            <w:tcW w:w="1365"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cs="Arial"/>
                <w:b/>
                <w:bCs/>
                <w:color w:val="000000"/>
              </w:rPr>
            </w:pPr>
            <w:r>
              <w:rPr>
                <w:rFonts w:cs="Arial"/>
                <w:b/>
                <w:bCs/>
                <w:color w:val="000000"/>
              </w:rPr>
              <w:t>含税总价</w:t>
            </w:r>
          </w:p>
        </w:tc>
        <w:tc>
          <w:tcPr>
            <w:tcW w:w="1970" w:type="dxa"/>
            <w:tcBorders>
              <w:top w:val="single" w:color="000000" w:sz="8" w:space="0"/>
              <w:left w:val="nil"/>
              <w:bottom w:val="single" w:color="000000" w:sz="8" w:space="0"/>
              <w:right w:val="single" w:color="000000" w:sz="8" w:space="0"/>
            </w:tcBorders>
            <w:shd w:val="clear" w:color="000000" w:fill="FFFFFF"/>
            <w:vAlign w:val="center"/>
          </w:tcPr>
          <w:p>
            <w:pPr>
              <w:spacing w:line="360" w:lineRule="auto"/>
              <w:jc w:val="center"/>
              <w:rPr>
                <w:rFonts w:cs="Arial"/>
                <w:b/>
                <w:bCs/>
                <w:color w:val="000000"/>
              </w:rPr>
            </w:pPr>
            <w:r>
              <w:rPr>
                <w:rFonts w:cs="Arial"/>
                <w:b/>
                <w:bCs/>
                <w:color w:val="000000"/>
              </w:rPr>
              <w:t>备注</w:t>
            </w:r>
          </w:p>
        </w:tc>
      </w:tr>
      <w:tr>
        <w:tblPrEx>
          <w:tblLayout w:type="fixed"/>
          <w:tblCellMar>
            <w:top w:w="0" w:type="dxa"/>
            <w:left w:w="108" w:type="dxa"/>
            <w:bottom w:w="0" w:type="dxa"/>
            <w:right w:w="108" w:type="dxa"/>
          </w:tblCellMar>
        </w:tblPrEx>
        <w:trPr>
          <w:trHeight w:val="285" w:hRule="atLeast"/>
          <w:jc w:val="center"/>
        </w:trPr>
        <w:tc>
          <w:tcPr>
            <w:tcW w:w="700" w:type="dxa"/>
            <w:tcBorders>
              <w:top w:val="nil"/>
              <w:left w:val="single" w:color="auto" w:sz="8" w:space="0"/>
              <w:bottom w:val="single" w:color="auto" w:sz="8" w:space="0"/>
              <w:right w:val="single" w:color="auto" w:sz="8" w:space="0"/>
            </w:tcBorders>
            <w:shd w:val="clear" w:color="auto" w:fill="auto"/>
            <w:vAlign w:val="center"/>
          </w:tcPr>
          <w:p>
            <w:pPr>
              <w:widowControl/>
              <w:spacing w:line="360" w:lineRule="auto"/>
              <w:jc w:val="center"/>
              <w:rPr>
                <w:rFonts w:cs="Arial"/>
                <w:color w:val="000000"/>
                <w:szCs w:val="21"/>
              </w:rPr>
            </w:pPr>
            <w:r>
              <w:rPr>
                <w:rFonts w:cs="Arial"/>
                <w:color w:val="000000"/>
                <w:szCs w:val="21"/>
              </w:rPr>
              <w:t>2</w:t>
            </w:r>
          </w:p>
        </w:tc>
        <w:tc>
          <w:tcPr>
            <w:tcW w:w="1585" w:type="dxa"/>
            <w:tcBorders>
              <w:top w:val="nil"/>
              <w:left w:val="nil"/>
              <w:bottom w:val="single" w:color="auto" w:sz="8" w:space="0"/>
              <w:right w:val="single" w:color="auto" w:sz="8" w:space="0"/>
            </w:tcBorders>
            <w:shd w:val="clear" w:color="000000" w:fill="FFFFFF"/>
            <w:vAlign w:val="center"/>
          </w:tcPr>
          <w:p>
            <w:pPr>
              <w:widowControl/>
              <w:spacing w:line="360" w:lineRule="auto"/>
              <w:jc w:val="center"/>
              <w:rPr>
                <w:rFonts w:cs="Arial"/>
                <w:color w:val="000000"/>
                <w:szCs w:val="21"/>
                <w:lang w:eastAsia="zh-CN"/>
              </w:rPr>
            </w:pPr>
            <w:r>
              <w:rPr>
                <w:rFonts w:hint="eastAsia" w:cs="Arial"/>
                <w:color w:val="000000"/>
                <w:szCs w:val="21"/>
                <w:lang w:eastAsia="zh-CN"/>
              </w:rPr>
              <w:t>PTA旧包装袋（吨袋）</w:t>
            </w:r>
          </w:p>
        </w:tc>
        <w:tc>
          <w:tcPr>
            <w:tcW w:w="1155" w:type="dxa"/>
            <w:tcBorders>
              <w:top w:val="nil"/>
              <w:left w:val="nil"/>
              <w:bottom w:val="single" w:color="auto" w:sz="8" w:space="0"/>
              <w:right w:val="single" w:color="auto" w:sz="8" w:space="0"/>
            </w:tcBorders>
            <w:shd w:val="clear" w:color="000000" w:fill="FFFFFF"/>
            <w:vAlign w:val="center"/>
          </w:tcPr>
          <w:p>
            <w:pPr>
              <w:widowControl/>
              <w:spacing w:line="360" w:lineRule="auto"/>
              <w:jc w:val="center"/>
              <w:rPr>
                <w:rFonts w:cs="Arial"/>
                <w:color w:val="000000"/>
                <w:szCs w:val="21"/>
              </w:rPr>
            </w:pPr>
            <w:r>
              <w:rPr>
                <w:rFonts w:hint="eastAsia" w:cs="Arial"/>
                <w:color w:val="000000"/>
                <w:szCs w:val="21"/>
              </w:rPr>
              <w:t>下方无出料口</w:t>
            </w:r>
          </w:p>
        </w:tc>
        <w:tc>
          <w:tcPr>
            <w:tcW w:w="1290" w:type="dxa"/>
            <w:tcBorders>
              <w:top w:val="nil"/>
              <w:left w:val="nil"/>
              <w:bottom w:val="single" w:color="auto" w:sz="8" w:space="0"/>
              <w:right w:val="single" w:color="000000" w:sz="8" w:space="0"/>
            </w:tcBorders>
            <w:shd w:val="clear" w:color="000000" w:fill="FFFFFF"/>
            <w:vAlign w:val="center"/>
          </w:tcPr>
          <w:p>
            <w:pPr>
              <w:widowControl/>
              <w:spacing w:line="360" w:lineRule="auto"/>
              <w:jc w:val="center"/>
              <w:rPr>
                <w:rFonts w:cs="Arial"/>
                <w:color w:val="000000"/>
                <w:szCs w:val="21"/>
              </w:rPr>
            </w:pPr>
            <w:r>
              <w:rPr>
                <w:rFonts w:hint="eastAsia" w:cs="Arial"/>
                <w:color w:val="000000"/>
                <w:szCs w:val="21"/>
                <w:lang w:eastAsia="zh-CN"/>
              </w:rPr>
              <w:t>1</w:t>
            </w:r>
            <w:r>
              <w:rPr>
                <w:rFonts w:hint="eastAsia" w:cs="Arial"/>
                <w:color w:val="000000"/>
                <w:szCs w:val="21"/>
              </w:rPr>
              <w:t>6000</w:t>
            </w:r>
          </w:p>
        </w:tc>
        <w:tc>
          <w:tcPr>
            <w:tcW w:w="750"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360" w:lineRule="auto"/>
              <w:jc w:val="center"/>
              <w:rPr>
                <w:rFonts w:cs="Arial"/>
                <w:color w:val="000000"/>
                <w:szCs w:val="21"/>
              </w:rPr>
            </w:pPr>
            <w:r>
              <w:rPr>
                <w:rFonts w:cs="Arial"/>
                <w:color w:val="000000"/>
                <w:szCs w:val="21"/>
              </w:rPr>
              <w:t>条</w:t>
            </w:r>
          </w:p>
        </w:tc>
        <w:tc>
          <w:tcPr>
            <w:tcW w:w="1365"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jc w:val="center"/>
              <w:rPr>
                <w:rFonts w:cs="Arial"/>
                <w:color w:val="000000"/>
                <w:szCs w:val="21"/>
              </w:rPr>
            </w:pPr>
          </w:p>
        </w:tc>
        <w:tc>
          <w:tcPr>
            <w:tcW w:w="1365"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jc w:val="center"/>
              <w:rPr>
                <w:rFonts w:cs="Arial"/>
                <w:color w:val="000000"/>
                <w:szCs w:val="21"/>
              </w:rPr>
            </w:pPr>
          </w:p>
        </w:tc>
        <w:tc>
          <w:tcPr>
            <w:tcW w:w="1970" w:type="dxa"/>
            <w:tcBorders>
              <w:top w:val="single" w:color="000000" w:sz="8" w:space="0"/>
              <w:left w:val="nil"/>
              <w:bottom w:val="single" w:color="000000" w:sz="8" w:space="0"/>
              <w:right w:val="single" w:color="000000" w:sz="8" w:space="0"/>
            </w:tcBorders>
            <w:shd w:val="clear" w:color="000000" w:fill="FFFFFF"/>
            <w:vAlign w:val="center"/>
          </w:tcPr>
          <w:p>
            <w:pPr>
              <w:widowControl/>
              <w:spacing w:line="360" w:lineRule="auto"/>
              <w:jc w:val="center"/>
              <w:rPr>
                <w:rFonts w:cs="Arial"/>
                <w:color w:val="000000"/>
                <w:szCs w:val="21"/>
                <w:lang w:eastAsia="zh-CN"/>
              </w:rPr>
            </w:pPr>
            <w:r>
              <w:rPr>
                <w:rFonts w:hint="eastAsia" w:cs="Arial"/>
                <w:color w:val="000000"/>
                <w:szCs w:val="21"/>
                <w:lang w:eastAsia="zh-CN"/>
              </w:rPr>
              <w:t>2年预估使用量，</w:t>
            </w:r>
          </w:p>
          <w:p>
            <w:pPr>
              <w:widowControl/>
              <w:spacing w:line="360" w:lineRule="auto"/>
              <w:jc w:val="center"/>
              <w:rPr>
                <w:rFonts w:cs="Arial"/>
                <w:color w:val="000000"/>
                <w:szCs w:val="21"/>
                <w:lang w:eastAsia="zh-CN"/>
              </w:rPr>
            </w:pPr>
            <w:r>
              <w:rPr>
                <w:rFonts w:hint="eastAsia" w:cs="Arial"/>
                <w:color w:val="000000"/>
                <w:szCs w:val="21"/>
                <w:lang w:eastAsia="zh-CN"/>
              </w:rPr>
              <w:t>分批次送货</w:t>
            </w:r>
          </w:p>
        </w:tc>
      </w:tr>
      <w:tr>
        <w:tblPrEx>
          <w:tblLayout w:type="fixed"/>
          <w:tblCellMar>
            <w:top w:w="0" w:type="dxa"/>
            <w:left w:w="108" w:type="dxa"/>
            <w:bottom w:w="0" w:type="dxa"/>
            <w:right w:w="108" w:type="dxa"/>
          </w:tblCellMar>
        </w:tblPrEx>
        <w:trPr>
          <w:trHeight w:val="285" w:hRule="atLeast"/>
          <w:jc w:val="center"/>
        </w:trPr>
        <w:tc>
          <w:tcPr>
            <w:tcW w:w="10180" w:type="dxa"/>
            <w:gridSpan w:val="8"/>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60" w:lineRule="auto"/>
              <w:rPr>
                <w:rFonts w:cs="Arial"/>
                <w:color w:val="000000"/>
              </w:rPr>
            </w:pPr>
            <w:r>
              <w:rPr>
                <w:rFonts w:hint="eastAsia" w:cs="Arial"/>
                <w:color w:val="000000"/>
                <w:lang w:eastAsia="zh-CN"/>
              </w:rPr>
              <w:t xml:space="preserve">          </w:t>
            </w:r>
            <w:r>
              <w:rPr>
                <w:rFonts w:cs="Arial"/>
                <w:color w:val="000000"/>
              </w:rPr>
              <w:t>总合计：</w:t>
            </w:r>
          </w:p>
        </w:tc>
      </w:tr>
      <w:tr>
        <w:tblPrEx>
          <w:tblLayout w:type="fixed"/>
          <w:tblCellMar>
            <w:top w:w="0" w:type="dxa"/>
            <w:left w:w="108" w:type="dxa"/>
            <w:bottom w:w="0" w:type="dxa"/>
            <w:right w:w="108" w:type="dxa"/>
          </w:tblCellMar>
        </w:tblPrEx>
        <w:trPr>
          <w:trHeight w:val="285" w:hRule="atLeast"/>
          <w:jc w:val="center"/>
        </w:trPr>
        <w:tc>
          <w:tcPr>
            <w:tcW w:w="10180" w:type="dxa"/>
            <w:gridSpan w:val="8"/>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60" w:lineRule="auto"/>
              <w:rPr>
                <w:lang w:eastAsia="zh-CN"/>
              </w:rPr>
            </w:pPr>
            <w:r>
              <w:rPr>
                <w:rFonts w:hint="eastAsia"/>
                <w:lang w:eastAsia="zh-CN"/>
              </w:rPr>
              <w:t>备注：</w:t>
            </w:r>
          </w:p>
          <w:p>
            <w:pPr>
              <w:widowControl/>
              <w:spacing w:line="360" w:lineRule="auto"/>
              <w:rPr>
                <w:lang w:eastAsia="zh-CN"/>
              </w:rPr>
            </w:pPr>
            <w:r>
              <w:rPr>
                <w:rFonts w:hint="eastAsia"/>
                <w:lang w:eastAsia="zh-CN"/>
              </w:rPr>
              <w:t>1.包装袋要求采用10条/捆（或20条/捆）的供货形式；</w:t>
            </w:r>
          </w:p>
          <w:p>
            <w:pPr>
              <w:numPr>
                <w:ilvl w:val="0"/>
                <w:numId w:val="18"/>
              </w:numPr>
              <w:spacing w:line="360" w:lineRule="auto"/>
              <w:rPr>
                <w:lang w:eastAsia="zh-CN"/>
              </w:rPr>
            </w:pPr>
            <w:r>
              <w:rPr>
                <w:rFonts w:hint="eastAsia"/>
                <w:lang w:eastAsia="zh-CN"/>
              </w:rPr>
              <w:t>包装袋基本要求：①包装袋主要原料为：PP；②袋体完好无破损；③包装袋为近半年生产；④申请规格旧包装袋:下方为封闭式，无出料口；⑤回收的吨袋原袋装产品应为无危害及无辐射性质的产品。</w:t>
            </w:r>
          </w:p>
        </w:tc>
      </w:tr>
    </w:tbl>
    <w:p>
      <w:pPr>
        <w:spacing w:beforeLines="100" w:line="360" w:lineRule="auto"/>
        <w:ind w:left="319" w:leftChars="14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说明：  1、请参选人按照比选文件要求提供相关材料，否则视为报价无效。</w:t>
      </w:r>
    </w:p>
    <w:p>
      <w:pPr>
        <w:spacing w:line="360" w:lineRule="auto"/>
        <w:ind w:left="319" w:leftChars="14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2、以上报价包含________%增值税专用发票。</w:t>
      </w:r>
    </w:p>
    <w:p>
      <w:pPr>
        <w:spacing w:line="360" w:lineRule="auto"/>
        <w:ind w:left="319" w:leftChars="14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3、货时间：合同签订后每批次叫货</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天送达至指定地点。（请务必填写最短工期）</w:t>
      </w:r>
    </w:p>
    <w:p>
      <w:pPr>
        <w:spacing w:line="360" w:lineRule="auto"/>
        <w:ind w:left="319" w:leftChars="14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4、以上报价金额已含发票税费、实行包工包料（包含现场安装的人工费、保险费、税费）、运输费、材料费、售后服务等所有费用。</w:t>
      </w:r>
    </w:p>
    <w:p>
      <w:pPr>
        <w:pStyle w:val="74"/>
        <w:spacing w:line="360" w:lineRule="auto"/>
        <w:ind w:left="360" w:firstLine="0"/>
        <w:rPr>
          <w:color w:val="FF0000"/>
          <w:szCs w:val="21"/>
          <w:lang w:eastAsia="zh-CN"/>
        </w:rPr>
      </w:pPr>
    </w:p>
    <w:p>
      <w:pPr>
        <w:ind w:left="4044" w:leftChars="1836" w:right="1920" w:hanging="5"/>
        <w:rPr>
          <w:sz w:val="24"/>
          <w:szCs w:val="24"/>
          <w:lang w:eastAsia="zh-CN"/>
        </w:rPr>
      </w:pPr>
      <w:r>
        <w:rPr>
          <w:rFonts w:hint="eastAsia"/>
          <w:sz w:val="24"/>
          <w:szCs w:val="24"/>
          <w:lang w:eastAsia="zh-CN"/>
        </w:rPr>
        <w:t>报价单位（盖章）：</w:t>
      </w:r>
    </w:p>
    <w:p>
      <w:pPr>
        <w:ind w:left="4044" w:leftChars="1836" w:right="1920" w:hanging="5"/>
        <w:rPr>
          <w:sz w:val="24"/>
          <w:szCs w:val="24"/>
          <w:lang w:eastAsia="zh-CN"/>
        </w:rPr>
      </w:pPr>
    </w:p>
    <w:p>
      <w:pPr>
        <w:ind w:left="4044" w:leftChars="1836" w:right="960" w:hanging="5"/>
        <w:rPr>
          <w:sz w:val="24"/>
          <w:szCs w:val="24"/>
          <w:lang w:eastAsia="zh-CN"/>
        </w:rPr>
      </w:pPr>
      <w:r>
        <w:rPr>
          <w:rFonts w:hint="eastAsia"/>
          <w:sz w:val="24"/>
          <w:szCs w:val="24"/>
          <w:lang w:eastAsia="zh-CN"/>
        </w:rPr>
        <w:t>法定代表或其委托代理人（签字）：</w:t>
      </w:r>
    </w:p>
    <w:p>
      <w:pPr>
        <w:spacing w:line="460" w:lineRule="exact"/>
        <w:ind w:firstLine="560" w:firstLineChars="200"/>
        <w:jc w:val="right"/>
        <w:rPr>
          <w:color w:val="00B050"/>
          <w:sz w:val="28"/>
          <w:lang w:eastAsia="zh-CN"/>
        </w:rPr>
      </w:pPr>
    </w:p>
    <w:p>
      <w:pPr>
        <w:ind w:left="4044" w:leftChars="1836" w:right="960" w:hanging="5"/>
        <w:rPr>
          <w:sz w:val="24"/>
          <w:szCs w:val="24"/>
          <w:lang w:eastAsia="zh-CN"/>
        </w:rPr>
      </w:pPr>
      <w:r>
        <w:rPr>
          <w:rFonts w:hint="eastAsia"/>
          <w:sz w:val="24"/>
          <w:szCs w:val="24"/>
          <w:lang w:eastAsia="zh-CN"/>
        </w:rPr>
        <w:t>或其授权委托代理人：        （签字）</w:t>
      </w:r>
    </w:p>
    <w:p>
      <w:pPr>
        <w:ind w:left="4044" w:leftChars="1836" w:right="960" w:hanging="5"/>
        <w:rPr>
          <w:sz w:val="24"/>
          <w:szCs w:val="24"/>
          <w:lang w:eastAsia="zh-CN"/>
        </w:rPr>
      </w:pPr>
    </w:p>
    <w:p>
      <w:pPr>
        <w:ind w:left="4044" w:leftChars="1836" w:right="960" w:hanging="5"/>
        <w:rPr>
          <w:sz w:val="24"/>
          <w:szCs w:val="24"/>
          <w:lang w:eastAsia="zh-CN"/>
        </w:rPr>
      </w:pPr>
      <w:r>
        <w:rPr>
          <w:rFonts w:hint="eastAsia"/>
          <w:sz w:val="24"/>
          <w:szCs w:val="24"/>
          <w:lang w:eastAsia="zh-CN"/>
        </w:rPr>
        <w:t>编制时间：       年   月   日</w:t>
      </w:r>
    </w:p>
    <w:p>
      <w:pPr>
        <w:pStyle w:val="2"/>
      </w:pPr>
    </w:p>
    <w:p>
      <w:pPr>
        <w:ind w:left="4044" w:leftChars="1836" w:right="960" w:hanging="5"/>
        <w:rPr>
          <w:sz w:val="24"/>
          <w:szCs w:val="24"/>
          <w:lang w:eastAsia="zh-CN"/>
        </w:rPr>
      </w:pPr>
    </w:p>
    <w:p>
      <w:pPr>
        <w:rPr>
          <w:szCs w:val="21"/>
          <w:lang w:eastAsia="zh-CN"/>
        </w:rPr>
      </w:pPr>
    </w:p>
    <w:p>
      <w:pPr>
        <w:spacing w:line="440" w:lineRule="exact"/>
        <w:jc w:val="center"/>
        <w:rPr>
          <w:rFonts w:ascii="仿宋_GB2312" w:eastAsia="仿宋_GB2312" w:hAnsiTheme="majorEastAsia"/>
          <w:b/>
          <w:color w:val="000000"/>
          <w:sz w:val="28"/>
          <w:szCs w:val="28"/>
          <w:lang w:eastAsia="zh-CN"/>
        </w:rPr>
        <w:sectPr>
          <w:pgSz w:w="11906" w:h="16838"/>
          <w:pgMar w:top="720" w:right="1106" w:bottom="720" w:left="1120" w:header="851" w:footer="992" w:gutter="0"/>
          <w:cols w:space="720" w:num="1"/>
          <w:docGrid w:type="linesAndChars" w:linePitch="312" w:charSpace="0"/>
        </w:sectPr>
      </w:pPr>
    </w:p>
    <w:bookmarkEnd w:id="9"/>
    <w:p>
      <w:pPr>
        <w:pStyle w:val="2"/>
        <w:rPr>
          <w:sz w:val="28"/>
          <w:szCs w:val="28"/>
        </w:rPr>
      </w:pPr>
      <w:r>
        <w:rPr>
          <w:rFonts w:hint="eastAsia"/>
          <w:sz w:val="28"/>
          <w:szCs w:val="28"/>
        </w:rPr>
        <w:t>附件四：</w:t>
      </w:r>
    </w:p>
    <w:p>
      <w:pPr>
        <w:jc w:val="center"/>
        <w:rPr>
          <w:b/>
          <w:sz w:val="30"/>
          <w:szCs w:val="30"/>
          <w:lang w:eastAsia="zh-CN"/>
        </w:rPr>
      </w:pPr>
      <w:r>
        <w:rPr>
          <w:rFonts w:hint="eastAsia"/>
          <w:b/>
          <w:sz w:val="30"/>
          <w:szCs w:val="30"/>
          <w:lang w:eastAsia="zh-CN"/>
        </w:rPr>
        <w:t>PTA 旧包装袋采购发包说明</w:t>
      </w:r>
    </w:p>
    <w:p>
      <w:pPr>
        <w:numPr>
          <w:ilvl w:val="0"/>
          <w:numId w:val="15"/>
        </w:numPr>
        <w:spacing w:line="360" w:lineRule="auto"/>
        <w:rPr>
          <w:sz w:val="24"/>
          <w:lang w:eastAsia="zh-CN"/>
        </w:rPr>
      </w:pPr>
      <w:r>
        <w:rPr>
          <w:rFonts w:hint="eastAsia"/>
          <w:b/>
          <w:sz w:val="24"/>
          <w:lang w:eastAsia="zh-CN"/>
        </w:rPr>
        <w:t>项目名称：</w:t>
      </w:r>
      <w:r>
        <w:rPr>
          <w:rFonts w:hint="eastAsia"/>
          <w:sz w:val="24"/>
          <w:lang w:eastAsia="zh-CN"/>
        </w:rPr>
        <w:t>PTA旧包装袋采购</w:t>
      </w:r>
    </w:p>
    <w:p>
      <w:pPr>
        <w:numPr>
          <w:ilvl w:val="0"/>
          <w:numId w:val="15"/>
        </w:numPr>
        <w:spacing w:line="360" w:lineRule="auto"/>
        <w:rPr>
          <w:sz w:val="24"/>
        </w:rPr>
      </w:pPr>
      <w:r>
        <w:rPr>
          <w:rFonts w:hint="eastAsia"/>
          <w:b/>
          <w:sz w:val="24"/>
        </w:rPr>
        <w:t>采购内容：</w:t>
      </w:r>
    </w:p>
    <w:p>
      <w:pPr>
        <w:spacing w:line="360" w:lineRule="auto"/>
        <w:ind w:firstLine="480" w:firstLineChars="200"/>
        <w:rPr>
          <w:sz w:val="24"/>
          <w:lang w:eastAsia="zh-CN"/>
        </w:rPr>
      </w:pPr>
      <w:r>
        <w:rPr>
          <w:rFonts w:hint="eastAsia"/>
          <w:sz w:val="24"/>
          <w:lang w:eastAsia="zh-CN"/>
        </w:rPr>
        <w:t>本次包装袋采购将用于：PTA团队落地PTA粉、催化剂更换、检修废弃垃圾等使用；</w:t>
      </w:r>
    </w:p>
    <w:p>
      <w:pPr>
        <w:spacing w:line="360" w:lineRule="auto"/>
        <w:ind w:firstLine="480" w:firstLineChars="200"/>
        <w:rPr>
          <w:sz w:val="24"/>
        </w:rPr>
      </w:pPr>
      <w:r>
        <w:rPr>
          <w:rFonts w:hint="eastAsia"/>
          <w:sz w:val="24"/>
          <w:lang w:eastAsia="zh-CN"/>
        </w:rPr>
        <w:t>计划每年需要下方无出料口的旧包装袋16000条,以实际到货量结算。</w:t>
      </w:r>
      <w:r>
        <w:rPr>
          <w:rFonts w:hint="eastAsia"/>
          <w:sz w:val="24"/>
        </w:rPr>
        <w:t>合约申请2年。</w:t>
      </w:r>
    </w:p>
    <w:p>
      <w:pPr>
        <w:numPr>
          <w:ilvl w:val="0"/>
          <w:numId w:val="15"/>
        </w:numPr>
        <w:spacing w:line="360" w:lineRule="auto"/>
        <w:rPr>
          <w:sz w:val="24"/>
        </w:rPr>
      </w:pPr>
      <w:r>
        <w:rPr>
          <w:rFonts w:hint="eastAsia"/>
          <w:b/>
          <w:sz w:val="24"/>
        </w:rPr>
        <w:t>交货地点：</w:t>
      </w:r>
    </w:p>
    <w:p>
      <w:pPr>
        <w:spacing w:line="360" w:lineRule="auto"/>
        <w:ind w:firstLine="480" w:firstLineChars="200"/>
        <w:rPr>
          <w:sz w:val="24"/>
          <w:lang w:eastAsia="zh-CN"/>
        </w:rPr>
      </w:pPr>
      <w:r>
        <w:rPr>
          <w:rFonts w:hint="eastAsia"/>
          <w:sz w:val="24"/>
          <w:lang w:eastAsia="zh-CN"/>
        </w:rPr>
        <w:t>生产管理部PTA团队装置现场。</w:t>
      </w:r>
    </w:p>
    <w:p>
      <w:pPr>
        <w:spacing w:line="360" w:lineRule="auto"/>
        <w:rPr>
          <w:b/>
          <w:sz w:val="24"/>
          <w:lang w:eastAsia="zh-CN"/>
        </w:rPr>
      </w:pPr>
      <w:r>
        <w:rPr>
          <w:rFonts w:hint="eastAsia"/>
          <w:bCs/>
          <w:sz w:val="24"/>
          <w:lang w:eastAsia="zh-CN"/>
        </w:rPr>
        <w:t>四、</w:t>
      </w:r>
      <w:r>
        <w:rPr>
          <w:rFonts w:hint="eastAsia"/>
          <w:b/>
          <w:sz w:val="24"/>
          <w:lang w:eastAsia="zh-CN"/>
        </w:rPr>
        <w:t>包装和运输：</w:t>
      </w:r>
    </w:p>
    <w:p>
      <w:pPr>
        <w:spacing w:line="360" w:lineRule="auto"/>
        <w:ind w:firstLine="480"/>
        <w:rPr>
          <w:sz w:val="24"/>
          <w:lang w:eastAsia="zh-CN"/>
        </w:rPr>
      </w:pPr>
      <w:r>
        <w:rPr>
          <w:rFonts w:hint="eastAsia"/>
          <w:sz w:val="24"/>
          <w:lang w:eastAsia="zh-CN"/>
        </w:rPr>
        <w:t>本次采购的包装袋要求采用10条/捆（或20条/捆）的供货形式，便于搬运。</w:t>
      </w:r>
    </w:p>
    <w:p>
      <w:pPr>
        <w:spacing w:line="360" w:lineRule="auto"/>
        <w:ind w:firstLine="480"/>
        <w:rPr>
          <w:sz w:val="24"/>
          <w:lang w:eastAsia="zh-CN"/>
        </w:rPr>
      </w:pPr>
      <w:r>
        <w:rPr>
          <w:rFonts w:hint="eastAsia"/>
          <w:sz w:val="24"/>
          <w:lang w:eastAsia="zh-CN"/>
        </w:rPr>
        <w:t>供货商按公司要求的供货时间和数量，交货至指定的装置仓库。</w:t>
      </w:r>
    </w:p>
    <w:p>
      <w:pPr>
        <w:numPr>
          <w:ilvl w:val="0"/>
          <w:numId w:val="16"/>
        </w:numPr>
        <w:spacing w:line="360" w:lineRule="auto"/>
        <w:rPr>
          <w:sz w:val="24"/>
        </w:rPr>
      </w:pPr>
      <w:r>
        <w:rPr>
          <w:rFonts w:hint="eastAsia"/>
          <w:sz w:val="24"/>
        </w:rPr>
        <w:t>包装袋基本要求</w:t>
      </w:r>
    </w:p>
    <w:p>
      <w:pPr>
        <w:numPr>
          <w:ilvl w:val="0"/>
          <w:numId w:val="19"/>
        </w:numPr>
        <w:spacing w:line="360" w:lineRule="auto"/>
        <w:ind w:left="480" w:firstLine="300"/>
        <w:rPr>
          <w:sz w:val="24"/>
          <w:lang w:eastAsia="zh-CN"/>
        </w:rPr>
      </w:pPr>
      <w:r>
        <w:rPr>
          <w:rFonts w:hint="eastAsia"/>
          <w:sz w:val="24"/>
          <w:lang w:eastAsia="zh-CN"/>
        </w:rPr>
        <w:t>包装袋主要原料为：PP；</w:t>
      </w:r>
    </w:p>
    <w:p>
      <w:pPr>
        <w:numPr>
          <w:ilvl w:val="0"/>
          <w:numId w:val="19"/>
        </w:numPr>
        <w:spacing w:line="360" w:lineRule="auto"/>
        <w:ind w:left="480" w:firstLine="300"/>
        <w:rPr>
          <w:sz w:val="24"/>
        </w:rPr>
      </w:pPr>
      <w:r>
        <w:rPr>
          <w:rFonts w:hint="eastAsia"/>
          <w:sz w:val="24"/>
        </w:rPr>
        <w:t>袋体完好无破损；</w:t>
      </w:r>
    </w:p>
    <w:p>
      <w:pPr>
        <w:numPr>
          <w:ilvl w:val="0"/>
          <w:numId w:val="19"/>
        </w:numPr>
        <w:spacing w:line="360" w:lineRule="auto"/>
        <w:ind w:left="480" w:firstLine="300"/>
        <w:rPr>
          <w:sz w:val="24"/>
        </w:rPr>
      </w:pPr>
      <w:r>
        <w:rPr>
          <w:rFonts w:hint="eastAsia"/>
          <w:sz w:val="24"/>
        </w:rPr>
        <w:t>包装袋为近半年生产；</w:t>
      </w:r>
    </w:p>
    <w:p>
      <w:pPr>
        <w:numPr>
          <w:ilvl w:val="0"/>
          <w:numId w:val="19"/>
        </w:numPr>
        <w:spacing w:line="360" w:lineRule="auto"/>
        <w:ind w:left="480" w:firstLine="300"/>
        <w:rPr>
          <w:sz w:val="24"/>
          <w:lang w:eastAsia="zh-CN"/>
        </w:rPr>
      </w:pPr>
      <w:r>
        <w:rPr>
          <w:rFonts w:hint="eastAsia"/>
          <w:sz w:val="24"/>
          <w:lang w:eastAsia="zh-CN"/>
        </w:rPr>
        <w:t>申请规格旧包装袋:下方为封闭式，无出料口；</w:t>
      </w:r>
    </w:p>
    <w:p>
      <w:pPr>
        <w:numPr>
          <w:ilvl w:val="0"/>
          <w:numId w:val="19"/>
        </w:numPr>
        <w:spacing w:line="360" w:lineRule="auto"/>
        <w:ind w:left="480" w:firstLine="300"/>
        <w:rPr>
          <w:sz w:val="24"/>
          <w:lang w:eastAsia="zh-CN"/>
        </w:rPr>
      </w:pPr>
      <w:r>
        <w:rPr>
          <w:rFonts w:hint="eastAsia"/>
          <w:sz w:val="24"/>
          <w:lang w:eastAsia="zh-CN"/>
        </w:rPr>
        <w:t>回收的吨袋原袋装产品应为无危害及无辐射性质的产品。</w:t>
      </w:r>
      <w:r>
        <w:rPr>
          <w:sz w:val="21"/>
          <w:szCs w:val="21"/>
          <w:shd w:val="clear" w:color="auto" w:fill="D2D2D2"/>
          <w:lang w:eastAsia="zh-CN"/>
        </w:rPr>
        <w:br w:type="textWrapping"/>
      </w:r>
      <w:r>
        <w:rPr>
          <w:rFonts w:hint="eastAsia"/>
          <w:sz w:val="24"/>
          <w:lang w:eastAsia="zh-CN"/>
        </w:rPr>
        <w:t xml:space="preserve"> </w:t>
      </w:r>
    </w:p>
    <w:p>
      <w:pPr>
        <w:pStyle w:val="2"/>
        <w:spacing w:line="360" w:lineRule="auto"/>
        <w:rPr>
          <w:rFonts w:asciiTheme="minorEastAsia" w:hAnsiTheme="minorEastAsia" w:eastAsiaTheme="minorEastAsia"/>
          <w:sz w:val="24"/>
          <w:szCs w:val="24"/>
        </w:rPr>
      </w:pPr>
    </w:p>
    <w:sectPr>
      <w:pgSz w:w="11906" w:h="16838"/>
      <w:pgMar w:top="1418" w:right="1215" w:bottom="1120" w:left="137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g6cVe2QAAAA0BAAAPAAAAAAAA&#10;AAEAIAAAACIAAABkcnMvZG93bnJldi54bWxQSwECFAAUAAAACACHTuJAz8NR/58BAAAmAwAADgAA&#10;AAAAAAABACAAAAAoAQAAZHJzL2Uyb0RvYy54bWxQSwUGAAAAAAYABgBZAQAAOQ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YvZTB2QAAAA0BAAAPAAAAAAAA&#10;AAEAIAAAACIAAABkcnMvZG93bnJldi54bWxQSwECFAAUAAAACACHTuJAKhFn058BAAAmAwAADgAA&#10;AAAAAAABACAAAAAoAQAAZHJzL2Uyb0RvYy54bWxQSwUGAAAAAAYABgBZAQAAOQ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A967D7"/>
    <w:multiLevelType w:val="multilevel"/>
    <w:tmpl w:val="0CA967D7"/>
    <w:lvl w:ilvl="0" w:tentative="0">
      <w:start w:val="5"/>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26A3ADE"/>
    <w:multiLevelType w:val="singleLevel"/>
    <w:tmpl w:val="626A3ADE"/>
    <w:lvl w:ilvl="0" w:tentative="0">
      <w:start w:val="4"/>
      <w:numFmt w:val="chineseCounting"/>
      <w:suff w:val="nothing"/>
      <w:lvlText w:val="%1、"/>
      <w:lvlJc w:val="left"/>
    </w:lvl>
  </w:abstractNum>
  <w:abstractNum w:abstractNumId="8">
    <w:nsid w:val="632AD4CB"/>
    <w:multiLevelType w:val="singleLevel"/>
    <w:tmpl w:val="632AD4CB"/>
    <w:lvl w:ilvl="0" w:tentative="0">
      <w:start w:val="3"/>
      <w:numFmt w:val="decimal"/>
      <w:suff w:val="nothing"/>
      <w:lvlText w:val="%1."/>
      <w:lvlJc w:val="left"/>
    </w:lvl>
  </w:abstractNum>
  <w:abstractNum w:abstractNumId="9">
    <w:nsid w:val="6344CB43"/>
    <w:multiLevelType w:val="singleLevel"/>
    <w:tmpl w:val="6344CB43"/>
    <w:lvl w:ilvl="0" w:tentative="0">
      <w:start w:val="1"/>
      <w:numFmt w:val="decimal"/>
      <w:suff w:val="space"/>
      <w:lvlText w:val="%1."/>
      <w:lvlJc w:val="left"/>
    </w:lvl>
  </w:abstractNum>
  <w:abstractNum w:abstractNumId="10">
    <w:nsid w:val="6344E0A1"/>
    <w:multiLevelType w:val="singleLevel"/>
    <w:tmpl w:val="6344E0A1"/>
    <w:lvl w:ilvl="0" w:tentative="0">
      <w:start w:val="1"/>
      <w:numFmt w:val="bullet"/>
      <w:lvlText w:val=""/>
      <w:lvlJc w:val="left"/>
      <w:pPr>
        <w:ind w:left="420" w:hanging="420"/>
      </w:pPr>
      <w:rPr>
        <w:rFonts w:hint="default" w:ascii="Wingdings" w:hAnsi="Wingdings"/>
      </w:rPr>
    </w:lvl>
  </w:abstractNum>
  <w:abstractNum w:abstractNumId="11">
    <w:nsid w:val="6344E0C3"/>
    <w:multiLevelType w:val="singleLevel"/>
    <w:tmpl w:val="6344E0C3"/>
    <w:lvl w:ilvl="0" w:tentative="0">
      <w:start w:val="1"/>
      <w:numFmt w:val="bullet"/>
      <w:lvlText w:val=""/>
      <w:lvlJc w:val="left"/>
      <w:pPr>
        <w:ind w:left="420" w:hanging="420"/>
      </w:pPr>
      <w:rPr>
        <w:rFonts w:hint="default" w:ascii="Wingdings" w:hAnsi="Wingdings"/>
      </w:rPr>
    </w:lvl>
  </w:abstractNum>
  <w:abstractNum w:abstractNumId="12">
    <w:nsid w:val="6344E0FF"/>
    <w:multiLevelType w:val="singleLevel"/>
    <w:tmpl w:val="6344E0FF"/>
    <w:lvl w:ilvl="0" w:tentative="0">
      <w:start w:val="1"/>
      <w:numFmt w:val="bullet"/>
      <w:lvlText w:val=""/>
      <w:lvlJc w:val="left"/>
      <w:pPr>
        <w:ind w:left="420" w:hanging="420"/>
      </w:pPr>
      <w:rPr>
        <w:rFonts w:hint="default" w:ascii="Wingdings" w:hAnsi="Wingdings"/>
      </w:rPr>
    </w:lvl>
  </w:abstractNum>
  <w:abstractNum w:abstractNumId="13">
    <w:nsid w:val="6344E113"/>
    <w:multiLevelType w:val="singleLevel"/>
    <w:tmpl w:val="6344E113"/>
    <w:lvl w:ilvl="0" w:tentative="0">
      <w:start w:val="1"/>
      <w:numFmt w:val="bullet"/>
      <w:lvlText w:val=""/>
      <w:lvlJc w:val="left"/>
      <w:pPr>
        <w:ind w:left="420" w:hanging="420"/>
      </w:pPr>
      <w:rPr>
        <w:rFonts w:hint="default" w:ascii="Wingdings" w:hAnsi="Wingdings"/>
      </w:rPr>
    </w:lvl>
  </w:abstractNum>
  <w:abstractNum w:abstractNumId="14">
    <w:nsid w:val="63451CF2"/>
    <w:multiLevelType w:val="singleLevel"/>
    <w:tmpl w:val="63451CF2"/>
    <w:lvl w:ilvl="0" w:tentative="0">
      <w:start w:val="1"/>
      <w:numFmt w:val="decimal"/>
      <w:suff w:val="nothing"/>
      <w:lvlText w:val="%1、"/>
      <w:lvlJc w:val="left"/>
    </w:lvl>
  </w:abstractNum>
  <w:abstractNum w:abstractNumId="15">
    <w:nsid w:val="63454091"/>
    <w:multiLevelType w:val="singleLevel"/>
    <w:tmpl w:val="63454091"/>
    <w:lvl w:ilvl="0" w:tentative="0">
      <w:start w:val="12"/>
      <w:numFmt w:val="chineseCounting"/>
      <w:suff w:val="space"/>
      <w:lvlText w:val="第%1条"/>
      <w:lvlJc w:val="left"/>
    </w:lvl>
  </w:abstractNum>
  <w:abstractNum w:abstractNumId="16">
    <w:nsid w:val="63462F64"/>
    <w:multiLevelType w:val="singleLevel"/>
    <w:tmpl w:val="63462F64"/>
    <w:lvl w:ilvl="0" w:tentative="0">
      <w:start w:val="2"/>
      <w:numFmt w:val="decimal"/>
      <w:suff w:val="nothing"/>
      <w:lvlText w:val="%1."/>
      <w:lvlJc w:val="left"/>
    </w:lvl>
  </w:abstractNum>
  <w:abstractNum w:abstractNumId="17">
    <w:nsid w:val="6C780011"/>
    <w:multiLevelType w:val="multilevel"/>
    <w:tmpl w:val="6C780011"/>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8">
    <w:nsid w:val="7B1F265C"/>
    <w:multiLevelType w:val="multilevel"/>
    <w:tmpl w:val="7B1F265C"/>
    <w:lvl w:ilvl="0" w:tentative="0">
      <w:start w:val="1"/>
      <w:numFmt w:val="japaneseCounting"/>
      <w:lvlText w:val="%1、"/>
      <w:lvlJc w:val="left"/>
      <w:pPr>
        <w:tabs>
          <w:tab w:val="left" w:pos="480"/>
        </w:tabs>
        <w:ind w:left="480" w:hanging="480"/>
      </w:pPr>
      <w:rPr>
        <w:rFonts w:hint="default"/>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6"/>
  </w:num>
  <w:num w:numId="3">
    <w:abstractNumId w:val="3"/>
  </w:num>
  <w:num w:numId="4">
    <w:abstractNumId w:val="4"/>
  </w:num>
  <w:num w:numId="5">
    <w:abstractNumId w:val="5"/>
  </w:num>
  <w:num w:numId="6">
    <w:abstractNumId w:val="9"/>
  </w:num>
  <w:num w:numId="7">
    <w:abstractNumId w:val="8"/>
  </w:num>
  <w:num w:numId="8">
    <w:abstractNumId w:val="2"/>
  </w:num>
  <w:num w:numId="9">
    <w:abstractNumId w:val="7"/>
  </w:num>
  <w:num w:numId="10">
    <w:abstractNumId w:val="10"/>
  </w:num>
  <w:num w:numId="11">
    <w:abstractNumId w:val="11"/>
  </w:num>
  <w:num w:numId="12">
    <w:abstractNumId w:val="12"/>
  </w:num>
  <w:num w:numId="13">
    <w:abstractNumId w:val="13"/>
  </w:num>
  <w:num w:numId="14">
    <w:abstractNumId w:val="15"/>
  </w:num>
  <w:num w:numId="15">
    <w:abstractNumId w:val="18"/>
  </w:num>
  <w:num w:numId="16">
    <w:abstractNumId w:val="1"/>
  </w:num>
  <w:num w:numId="17">
    <w:abstractNumId w:val="14"/>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9FA"/>
    <w:rsid w:val="00004C5E"/>
    <w:rsid w:val="000162F9"/>
    <w:rsid w:val="00025717"/>
    <w:rsid w:val="000277D1"/>
    <w:rsid w:val="000367ED"/>
    <w:rsid w:val="00037D7F"/>
    <w:rsid w:val="0004223C"/>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092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62D5"/>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27685"/>
    <w:rsid w:val="00E308E3"/>
    <w:rsid w:val="00E3205C"/>
    <w:rsid w:val="00E35382"/>
    <w:rsid w:val="00E37D62"/>
    <w:rsid w:val="00E410EA"/>
    <w:rsid w:val="00E50F7B"/>
    <w:rsid w:val="00E54F65"/>
    <w:rsid w:val="00E56799"/>
    <w:rsid w:val="00E61261"/>
    <w:rsid w:val="00E6494A"/>
    <w:rsid w:val="00E739AE"/>
    <w:rsid w:val="00E80BDD"/>
    <w:rsid w:val="00E85991"/>
    <w:rsid w:val="00E90058"/>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4780"/>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531"/>
    <w:rsid w:val="00FE1DB9"/>
    <w:rsid w:val="00FE65F9"/>
    <w:rsid w:val="00FF0727"/>
    <w:rsid w:val="00FF49E8"/>
    <w:rsid w:val="00FF5F83"/>
    <w:rsid w:val="0367315B"/>
    <w:rsid w:val="061139E5"/>
    <w:rsid w:val="06F50B00"/>
    <w:rsid w:val="076E1278"/>
    <w:rsid w:val="08D1141D"/>
    <w:rsid w:val="0B296DE2"/>
    <w:rsid w:val="0B491837"/>
    <w:rsid w:val="0C3C6E7F"/>
    <w:rsid w:val="0CD60C2F"/>
    <w:rsid w:val="0D752E80"/>
    <w:rsid w:val="0F602838"/>
    <w:rsid w:val="0F823819"/>
    <w:rsid w:val="100D453C"/>
    <w:rsid w:val="10294AA3"/>
    <w:rsid w:val="10E40CA0"/>
    <w:rsid w:val="133F61BD"/>
    <w:rsid w:val="136130D9"/>
    <w:rsid w:val="17EC1AD0"/>
    <w:rsid w:val="18DD4F7E"/>
    <w:rsid w:val="193A2AEE"/>
    <w:rsid w:val="195B58A2"/>
    <w:rsid w:val="19EA0667"/>
    <w:rsid w:val="1E085A14"/>
    <w:rsid w:val="1FF43DDB"/>
    <w:rsid w:val="21933AA2"/>
    <w:rsid w:val="238A1FE8"/>
    <w:rsid w:val="25BF356F"/>
    <w:rsid w:val="25DB0C2D"/>
    <w:rsid w:val="269469E7"/>
    <w:rsid w:val="285F2F9F"/>
    <w:rsid w:val="29FC3B14"/>
    <w:rsid w:val="2B11792E"/>
    <w:rsid w:val="31C54755"/>
    <w:rsid w:val="3216608C"/>
    <w:rsid w:val="34CE14C6"/>
    <w:rsid w:val="34D84CEC"/>
    <w:rsid w:val="36C946A1"/>
    <w:rsid w:val="37AF5AB7"/>
    <w:rsid w:val="38550717"/>
    <w:rsid w:val="3A035843"/>
    <w:rsid w:val="3B1C3371"/>
    <w:rsid w:val="3CC23198"/>
    <w:rsid w:val="3D2E2724"/>
    <w:rsid w:val="3DDF4815"/>
    <w:rsid w:val="3E4004BE"/>
    <w:rsid w:val="3E6D5EC7"/>
    <w:rsid w:val="3FE669E5"/>
    <w:rsid w:val="42B74772"/>
    <w:rsid w:val="46177B8E"/>
    <w:rsid w:val="470273DC"/>
    <w:rsid w:val="47C71CD0"/>
    <w:rsid w:val="50F63E28"/>
    <w:rsid w:val="5221007F"/>
    <w:rsid w:val="52926B5A"/>
    <w:rsid w:val="545C5E51"/>
    <w:rsid w:val="5486175B"/>
    <w:rsid w:val="56195EAE"/>
    <w:rsid w:val="57667D24"/>
    <w:rsid w:val="57CE5BC3"/>
    <w:rsid w:val="5AE1516A"/>
    <w:rsid w:val="5B6A3A79"/>
    <w:rsid w:val="5C1A5F7B"/>
    <w:rsid w:val="5CA936EB"/>
    <w:rsid w:val="5D992CCF"/>
    <w:rsid w:val="607F185A"/>
    <w:rsid w:val="621C5782"/>
    <w:rsid w:val="626437C6"/>
    <w:rsid w:val="645771F8"/>
    <w:rsid w:val="68B32B34"/>
    <w:rsid w:val="6A54112D"/>
    <w:rsid w:val="6AA035AE"/>
    <w:rsid w:val="6D92554F"/>
    <w:rsid w:val="6D9D5EEE"/>
    <w:rsid w:val="6E0F2E14"/>
    <w:rsid w:val="6F1E141D"/>
    <w:rsid w:val="6F5354F8"/>
    <w:rsid w:val="6F680AD9"/>
    <w:rsid w:val="70FB2A2C"/>
    <w:rsid w:val="71857A23"/>
    <w:rsid w:val="72A0005C"/>
    <w:rsid w:val="740A2BDE"/>
    <w:rsid w:val="751839E0"/>
    <w:rsid w:val="76274F93"/>
    <w:rsid w:val="78A80E8F"/>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2"/>
    <w:qFormat/>
    <w:uiPriority w:val="0"/>
    <w:pPr>
      <w:widowControl/>
    </w:pPr>
    <w:rPr>
      <w:b/>
      <w:bCs/>
      <w:sz w:val="24"/>
      <w:szCs w:val="24"/>
    </w:rPr>
  </w:style>
  <w:style w:type="paragraph" w:styleId="14">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101"/>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9"/>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0"/>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71"/>
    <w:qFormat/>
    <w:uiPriority w:val="0"/>
    <w:pPr>
      <w:tabs>
        <w:tab w:val="center" w:pos="4153"/>
        <w:tab w:val="right" w:pos="8306"/>
      </w:tabs>
      <w:snapToGrid w:val="0"/>
    </w:pPr>
    <w:rPr>
      <w:sz w:val="18"/>
      <w:szCs w:val="18"/>
    </w:rPr>
  </w:style>
  <w:style w:type="paragraph" w:styleId="33">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TML Definition"/>
    <w:basedOn w:val="46"/>
    <w:unhideWhenUsed/>
    <w:qFormat/>
    <w:uiPriority w:val="0"/>
  </w:style>
  <w:style w:type="character" w:styleId="52">
    <w:name w:val="HTML Variable"/>
    <w:basedOn w:val="46"/>
    <w:unhideWhenUsed/>
    <w:qFormat/>
    <w:uiPriority w:val="0"/>
  </w:style>
  <w:style w:type="character" w:styleId="53">
    <w:name w:val="Hyperlink"/>
    <w:basedOn w:val="46"/>
    <w:qFormat/>
    <w:uiPriority w:val="0"/>
    <w:rPr>
      <w:color w:val="0000FF" w:themeColor="hyperlink"/>
      <w:u w:val="single"/>
    </w:rPr>
  </w:style>
  <w:style w:type="character" w:styleId="54">
    <w:name w:val="HTML Code"/>
    <w:basedOn w:val="46"/>
    <w:unhideWhenUsed/>
    <w:qFormat/>
    <w:uiPriority w:val="0"/>
    <w:rPr>
      <w:rFonts w:ascii="Courier New" w:hAnsi="Courier New"/>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0"/>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cs="宋体"/>
      <w:b/>
      <w:bCs/>
      <w:sz w:val="28"/>
      <w:szCs w:val="28"/>
      <w:lang w:eastAsia="en-US"/>
    </w:rPr>
  </w:style>
  <w:style w:type="character" w:customStyle="1" w:styleId="60">
    <w:name w:val="标题 2 Char"/>
    <w:basedOn w:val="46"/>
    <w:link w:val="4"/>
    <w:qFormat/>
    <w:uiPriority w:val="0"/>
    <w:rPr>
      <w:rFonts w:ascii="宋体" w:hAnsi="宋体" w:cs="宋体"/>
      <w:b/>
      <w:bCs/>
      <w:sz w:val="24"/>
      <w:szCs w:val="24"/>
      <w:lang w:eastAsia="en-US"/>
    </w:rPr>
  </w:style>
  <w:style w:type="character" w:customStyle="1" w:styleId="61">
    <w:name w:val="标题 3 Char"/>
    <w:basedOn w:val="46"/>
    <w:link w:val="5"/>
    <w:qFormat/>
    <w:uiPriority w:val="0"/>
    <w:rPr>
      <w:b/>
      <w:bCs/>
      <w:kern w:val="2"/>
      <w:sz w:val="32"/>
      <w:szCs w:val="32"/>
    </w:rPr>
  </w:style>
  <w:style w:type="character" w:customStyle="1" w:styleId="62">
    <w:name w:val="标题 4 Char"/>
    <w:basedOn w:val="46"/>
    <w:link w:val="6"/>
    <w:qFormat/>
    <w:uiPriority w:val="0"/>
    <w:rPr>
      <w:b/>
      <w:kern w:val="2"/>
      <w:sz w:val="24"/>
      <w:szCs w:val="24"/>
    </w:rPr>
  </w:style>
  <w:style w:type="character" w:customStyle="1" w:styleId="63">
    <w:name w:val="标题 5 Char"/>
    <w:basedOn w:val="46"/>
    <w:link w:val="7"/>
    <w:qFormat/>
    <w:uiPriority w:val="0"/>
    <w:rPr>
      <w:b/>
      <w:bCs/>
      <w:kern w:val="2"/>
      <w:sz w:val="28"/>
      <w:szCs w:val="28"/>
    </w:rPr>
  </w:style>
  <w:style w:type="character" w:customStyle="1" w:styleId="64">
    <w:name w:val="标题 6 Char"/>
    <w:basedOn w:val="46"/>
    <w:link w:val="8"/>
    <w:qFormat/>
    <w:uiPriority w:val="0"/>
    <w:rPr>
      <w:b/>
      <w:sz w:val="24"/>
    </w:rPr>
  </w:style>
  <w:style w:type="character" w:customStyle="1" w:styleId="65">
    <w:name w:val="正文缩进 Char"/>
    <w:basedOn w:val="46"/>
    <w:link w:val="10"/>
    <w:qFormat/>
    <w:uiPriority w:val="0"/>
    <w:rPr>
      <w:sz w:val="24"/>
    </w:rPr>
  </w:style>
  <w:style w:type="character" w:customStyle="1" w:styleId="66">
    <w:name w:val="标题 7 Char"/>
    <w:basedOn w:val="46"/>
    <w:link w:val="9"/>
    <w:qFormat/>
    <w:uiPriority w:val="0"/>
    <w:rPr>
      <w:b/>
      <w:kern w:val="2"/>
      <w:sz w:val="24"/>
    </w:rPr>
  </w:style>
  <w:style w:type="character" w:customStyle="1" w:styleId="67">
    <w:name w:val="标题 8 Char"/>
    <w:basedOn w:val="46"/>
    <w:link w:val="11"/>
    <w:qFormat/>
    <w:uiPriority w:val="0"/>
    <w:rPr>
      <w:rFonts w:ascii="Arial" w:hAnsi="Arial" w:eastAsia="黑体"/>
      <w:kern w:val="2"/>
      <w:sz w:val="24"/>
    </w:rPr>
  </w:style>
  <w:style w:type="character" w:customStyle="1" w:styleId="68">
    <w:name w:val="标题 9 Char"/>
    <w:basedOn w:val="46"/>
    <w:link w:val="12"/>
    <w:qFormat/>
    <w:uiPriority w:val="0"/>
    <w:rPr>
      <w:rFonts w:ascii="Arial" w:hAnsi="Arial" w:eastAsia="黑体"/>
      <w:kern w:val="2"/>
      <w:sz w:val="21"/>
    </w:rPr>
  </w:style>
  <w:style w:type="character" w:customStyle="1" w:styleId="69">
    <w:name w:val="正文文本 Char1"/>
    <w:basedOn w:val="46"/>
    <w:link w:val="17"/>
    <w:qFormat/>
    <w:uiPriority w:val="0"/>
    <w:rPr>
      <w:rFonts w:ascii="宋体" w:hAnsi="宋体" w:cs="宋体"/>
      <w:sz w:val="24"/>
      <w:szCs w:val="24"/>
      <w:lang w:eastAsia="en-US"/>
    </w:rPr>
  </w:style>
  <w:style w:type="character" w:customStyle="1" w:styleId="70">
    <w:name w:val="纯文本 Char"/>
    <w:basedOn w:val="46"/>
    <w:link w:val="27"/>
    <w:qFormat/>
    <w:uiPriority w:val="0"/>
    <w:rPr>
      <w:rFonts w:ascii="宋体" w:hAnsi="Courier New" w:cs="Courier New"/>
      <w:sz w:val="22"/>
      <w:szCs w:val="21"/>
      <w:lang w:eastAsia="en-US"/>
    </w:rPr>
  </w:style>
  <w:style w:type="character" w:customStyle="1" w:styleId="71">
    <w:name w:val="页脚 Char"/>
    <w:basedOn w:val="46"/>
    <w:link w:val="32"/>
    <w:qFormat/>
    <w:uiPriority w:val="99"/>
    <w:rPr>
      <w:rFonts w:ascii="宋体" w:hAnsi="宋体" w:cs="宋体"/>
      <w:sz w:val="18"/>
      <w:szCs w:val="18"/>
      <w:lang w:eastAsia="en-US"/>
    </w:rPr>
  </w:style>
  <w:style w:type="character" w:customStyle="1" w:styleId="72">
    <w:name w:val="页眉 Char"/>
    <w:basedOn w:val="46"/>
    <w:link w:val="33"/>
    <w:qFormat/>
    <w:uiPriority w:val="0"/>
    <w:rPr>
      <w:rFonts w:ascii="宋体" w:hAnsi="宋体" w:cs="宋体"/>
      <w:sz w:val="18"/>
      <w:szCs w:val="22"/>
      <w:lang w:eastAsia="en-US"/>
    </w:rPr>
  </w:style>
  <w:style w:type="table" w:customStyle="1" w:styleId="73">
    <w:name w:val="Table Normal"/>
    <w:unhideWhenUsed/>
    <w:qFormat/>
    <w:uiPriority w:val="2"/>
    <w:tblPr>
      <w:tblLayout w:type="fixed"/>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6"/>
    <w:link w:val="22"/>
    <w:qFormat/>
    <w:uiPriority w:val="0"/>
    <w:rPr>
      <w:b/>
      <w:kern w:val="2"/>
      <w:sz w:val="21"/>
    </w:rPr>
  </w:style>
  <w:style w:type="character" w:customStyle="1" w:styleId="80">
    <w:name w:val="普通(网站) Char"/>
    <w:basedOn w:val="46"/>
    <w:link w:val="43"/>
    <w:qFormat/>
    <w:locked/>
    <w:uiPriority w:val="0"/>
    <w:rPr>
      <w:rFonts w:ascii="宋体" w:hAnsi="宋体" w:cs="宋体"/>
      <w:sz w:val="24"/>
      <w:szCs w:val="24"/>
    </w:rPr>
  </w:style>
  <w:style w:type="character" w:customStyle="1" w:styleId="81">
    <w:name w:val="xdrichtextbox2"/>
    <w:basedOn w:val="46"/>
    <w:qFormat/>
    <w:uiPriority w:val="0"/>
    <w:rPr>
      <w:color w:val="0000FF"/>
      <w:sz w:val="18"/>
      <w:szCs w:val="18"/>
      <w:u w:val="none"/>
      <w:bdr w:val="single" w:color="DCDCDC" w:sz="8" w:space="0"/>
      <w:shd w:val="clear" w:color="auto" w:fill="FFFFFF"/>
    </w:rPr>
  </w:style>
  <w:style w:type="character" w:customStyle="1" w:styleId="82">
    <w:name w:val="apple-converted-space"/>
    <w:basedOn w:val="46"/>
    <w:qFormat/>
    <w:uiPriority w:val="0"/>
  </w:style>
  <w:style w:type="character" w:customStyle="1" w:styleId="83">
    <w:name w:val="无间隔 Char"/>
    <w:basedOn w:val="46"/>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6"/>
    <w:link w:val="14"/>
    <w:qFormat/>
    <w:uiPriority w:val="0"/>
    <w:rPr>
      <w:kern w:val="2"/>
      <w:sz w:val="21"/>
    </w:rPr>
  </w:style>
  <w:style w:type="character" w:customStyle="1" w:styleId="86">
    <w:name w:val="批注框文本 Char"/>
    <w:basedOn w:val="46"/>
    <w:link w:val="31"/>
    <w:qFormat/>
    <w:uiPriority w:val="0"/>
    <w:rPr>
      <w:kern w:val="2"/>
      <w:sz w:val="18"/>
      <w:szCs w:val="18"/>
    </w:rPr>
  </w:style>
  <w:style w:type="character" w:customStyle="1" w:styleId="87">
    <w:name w:val="正文文本缩进 3 Char"/>
    <w:basedOn w:val="46"/>
    <w:link w:val="37"/>
    <w:qFormat/>
    <w:uiPriority w:val="0"/>
    <w:rPr>
      <w:kern w:val="2"/>
      <w:sz w:val="28"/>
    </w:rPr>
  </w:style>
  <w:style w:type="character" w:customStyle="1" w:styleId="88">
    <w:name w:val="正文文本缩进 2 Char"/>
    <w:basedOn w:val="46"/>
    <w:link w:val="30"/>
    <w:qFormat/>
    <w:uiPriority w:val="0"/>
    <w:rPr>
      <w:rFonts w:ascii="宋体" w:hAnsi="宋体"/>
      <w:iCs/>
      <w:kern w:val="2"/>
      <w:sz w:val="24"/>
      <w:szCs w:val="24"/>
    </w:rPr>
  </w:style>
  <w:style w:type="character" w:customStyle="1" w:styleId="89">
    <w:name w:val="正文文本 Char"/>
    <w:basedOn w:val="46"/>
    <w:qFormat/>
    <w:uiPriority w:val="0"/>
    <w:rPr>
      <w:rFonts w:eastAsia="宋体"/>
      <w:sz w:val="24"/>
      <w:szCs w:val="24"/>
      <w:lang w:val="en-US" w:eastAsia="zh-CN" w:bidi="ar-SA"/>
    </w:rPr>
  </w:style>
  <w:style w:type="character" w:customStyle="1" w:styleId="90">
    <w:name w:val="en1"/>
    <w:basedOn w:val="46"/>
    <w:qFormat/>
    <w:uiPriority w:val="0"/>
    <w:rPr>
      <w:b/>
      <w:bCs/>
      <w:color w:val="154C7F"/>
      <w:sz w:val="24"/>
      <w:szCs w:val="24"/>
    </w:rPr>
  </w:style>
  <w:style w:type="character" w:customStyle="1" w:styleId="91">
    <w:name w:val="font01"/>
    <w:basedOn w:val="46"/>
    <w:qFormat/>
    <w:uiPriority w:val="0"/>
    <w:rPr>
      <w:rFonts w:hint="eastAsia" w:ascii="宋体" w:hAnsi="宋体" w:eastAsia="宋体" w:cs="宋体"/>
      <w:color w:val="000000"/>
      <w:sz w:val="20"/>
      <w:szCs w:val="20"/>
      <w:u w:val="none"/>
    </w:rPr>
  </w:style>
  <w:style w:type="character" w:customStyle="1" w:styleId="92">
    <w:name w:val="标题 Char"/>
    <w:basedOn w:val="46"/>
    <w:link w:val="45"/>
    <w:qFormat/>
    <w:uiPriority w:val="0"/>
    <w:rPr>
      <w:rFonts w:ascii="Arial" w:hAnsi="Arial" w:cs="Arial"/>
      <w:b/>
      <w:bCs/>
      <w:sz w:val="44"/>
      <w:szCs w:val="32"/>
    </w:rPr>
  </w:style>
  <w:style w:type="character" w:customStyle="1" w:styleId="93">
    <w:name w:val="正文文本缩进 Char"/>
    <w:basedOn w:val="46"/>
    <w:link w:val="23"/>
    <w:qFormat/>
    <w:uiPriority w:val="0"/>
    <w:rPr>
      <w:i/>
      <w:iCs/>
      <w:kern w:val="2"/>
      <w:sz w:val="21"/>
    </w:rPr>
  </w:style>
  <w:style w:type="character" w:customStyle="1" w:styleId="94">
    <w:name w:val="正文文本 3 Char"/>
    <w:basedOn w:val="46"/>
    <w:link w:val="21"/>
    <w:qFormat/>
    <w:uiPriority w:val="0"/>
    <w:rPr>
      <w:color w:val="0000FF"/>
      <w:kern w:val="2"/>
      <w:sz w:val="24"/>
      <w:szCs w:val="24"/>
    </w:rPr>
  </w:style>
  <w:style w:type="character" w:customStyle="1" w:styleId="95">
    <w:name w:val="font11"/>
    <w:basedOn w:val="46"/>
    <w:qFormat/>
    <w:uiPriority w:val="0"/>
    <w:rPr>
      <w:rFonts w:hint="default" w:ascii="Times New Roman" w:hAnsi="Times New Roman" w:cs="Times New Roman"/>
      <w:color w:val="000000"/>
      <w:sz w:val="20"/>
      <w:szCs w:val="20"/>
      <w:u w:val="none"/>
    </w:rPr>
  </w:style>
  <w:style w:type="character" w:customStyle="1" w:styleId="96">
    <w:name w:val="glossaryitem"/>
    <w:basedOn w:val="46"/>
    <w:qFormat/>
    <w:uiPriority w:val="0"/>
    <w:rPr>
      <w:u w:val="none"/>
    </w:rPr>
  </w:style>
  <w:style w:type="character" w:customStyle="1" w:styleId="97">
    <w:name w:val="HTML 预设格式 Char"/>
    <w:basedOn w:val="46"/>
    <w:link w:val="42"/>
    <w:qFormat/>
    <w:uiPriority w:val="0"/>
    <w:rPr>
      <w:rFonts w:ascii="Arial Unicode MS" w:hAnsi="Arial Unicode MS" w:eastAsia="Courier New" w:cs="Courier New"/>
    </w:rPr>
  </w:style>
  <w:style w:type="character" w:customStyle="1" w:styleId="98">
    <w:name w:val="文档结构图 Char"/>
    <w:basedOn w:val="46"/>
    <w:link w:val="20"/>
    <w:qFormat/>
    <w:uiPriority w:val="0"/>
    <w:rPr>
      <w:rFonts w:ascii="宋体"/>
      <w:sz w:val="28"/>
      <w:shd w:val="clear" w:color="auto" w:fill="000080"/>
    </w:rPr>
  </w:style>
  <w:style w:type="character" w:customStyle="1" w:styleId="99">
    <w:name w:val="日期 Char"/>
    <w:basedOn w:val="46"/>
    <w:link w:val="29"/>
    <w:qFormat/>
    <w:uiPriority w:val="0"/>
    <w:rPr>
      <w:kern w:val="2"/>
      <w:sz w:val="21"/>
      <w:szCs w:val="24"/>
    </w:rPr>
  </w:style>
  <w:style w:type="character" w:customStyle="1" w:styleId="100">
    <w:name w:val="正文文本 2 Char"/>
    <w:basedOn w:val="46"/>
    <w:link w:val="40"/>
    <w:qFormat/>
    <w:uiPriority w:val="0"/>
    <w:rPr>
      <w:kern w:val="2"/>
      <w:sz w:val="21"/>
      <w:szCs w:val="24"/>
    </w:rPr>
  </w:style>
  <w:style w:type="character" w:customStyle="1" w:styleId="101">
    <w:name w:val="正文首行缩进 Char"/>
    <w:basedOn w:val="89"/>
    <w:link w:val="16"/>
    <w:qFormat/>
    <w:uiPriority w:val="0"/>
    <w:rPr>
      <w:rFonts w:eastAsia="宋体"/>
      <w:sz w:val="21"/>
      <w:szCs w:val="21"/>
      <w:lang w:val="en-US" w:eastAsia="zh-CN" w:bidi="ar-SA"/>
    </w:rPr>
  </w:style>
  <w:style w:type="character" w:customStyle="1" w:styleId="102">
    <w:name w:val="批注主题 Char"/>
    <w:basedOn w:val="85"/>
    <w:link w:val="13"/>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6"/>
    <w:link w:val="41"/>
    <w:qFormat/>
    <w:uiPriority w:val="0"/>
    <w:rPr>
      <w:rFonts w:ascii="Arial" w:hAnsi="Arial" w:cs="Arial"/>
      <w:kern w:val="2"/>
      <w:sz w:val="24"/>
      <w:szCs w:val="24"/>
      <w:shd w:val="pct20" w:color="auto" w:fill="auto"/>
    </w:rPr>
  </w:style>
  <w:style w:type="character" w:customStyle="1" w:styleId="107">
    <w:name w:val="正文文本 3 Char1"/>
    <w:basedOn w:val="46"/>
    <w:qFormat/>
    <w:uiPriority w:val="0"/>
    <w:rPr>
      <w:rFonts w:ascii="宋体" w:hAnsi="宋体" w:cs="宋体"/>
      <w:sz w:val="16"/>
      <w:szCs w:val="16"/>
      <w:lang w:eastAsia="en-US"/>
    </w:rPr>
  </w:style>
  <w:style w:type="paragraph" w:customStyle="1" w:styleId="108">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6"/>
    <w:qFormat/>
    <w:uiPriority w:val="0"/>
    <w:rPr>
      <w:rFonts w:ascii="宋体" w:hAnsi="宋体" w:cs="宋体"/>
      <w:sz w:val="22"/>
      <w:szCs w:val="22"/>
      <w:lang w:eastAsia="en-US"/>
    </w:rPr>
  </w:style>
  <w:style w:type="character" w:customStyle="1" w:styleId="111">
    <w:name w:val="批注文字 Char1"/>
    <w:basedOn w:val="46"/>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6"/>
    <w:qFormat/>
    <w:uiPriority w:val="0"/>
    <w:rPr>
      <w:rFonts w:ascii="宋体" w:hAnsi="宋体" w:cs="宋体"/>
      <w:sz w:val="18"/>
      <w:szCs w:val="18"/>
      <w:lang w:eastAsia="en-US"/>
    </w:rPr>
  </w:style>
  <w:style w:type="character" w:customStyle="1" w:styleId="116">
    <w:name w:val="日期 Char1"/>
    <w:basedOn w:val="46"/>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6"/>
    <w:uiPriority w:val="0"/>
    <w:rPr>
      <w:rFonts w:ascii="Courier New" w:hAnsi="Courier New" w:cs="Courier New"/>
      <w:lang w:eastAsia="en-US"/>
    </w:rPr>
  </w:style>
  <w:style w:type="character" w:customStyle="1" w:styleId="121">
    <w:name w:val="正文文本缩进 Char1"/>
    <w:basedOn w:val="46"/>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6"/>
    <w:qFormat/>
    <w:uiPriority w:val="0"/>
    <w:rPr>
      <w:rFonts w:ascii="宋体" w:hAnsi="宋体" w:cs="宋体"/>
      <w:sz w:val="22"/>
      <w:szCs w:val="22"/>
      <w:lang w:eastAsia="en-US"/>
    </w:rPr>
  </w:style>
  <w:style w:type="character" w:customStyle="1" w:styleId="129">
    <w:name w:val="标题 Char1"/>
    <w:basedOn w:val="46"/>
    <w:qFormat/>
    <w:uiPriority w:val="0"/>
    <w:rPr>
      <w:rFonts w:asciiTheme="majorHAnsi" w:hAnsiTheme="majorHAnsi" w:cstheme="majorBidi"/>
      <w:b/>
      <w:bCs/>
      <w:sz w:val="32"/>
      <w:szCs w:val="32"/>
      <w:lang w:eastAsia="en-US"/>
    </w:rPr>
  </w:style>
  <w:style w:type="character" w:customStyle="1" w:styleId="130">
    <w:name w:val="正文文本缩进 3 Char1"/>
    <w:basedOn w:val="46"/>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6"/>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6"/>
    <w:qFormat/>
    <w:uiPriority w:val="0"/>
  </w:style>
  <w:style w:type="character" w:customStyle="1" w:styleId="207">
    <w:name w:val="xdrichtextbox3"/>
    <w:basedOn w:val="46"/>
    <w:qFormat/>
    <w:uiPriority w:val="0"/>
    <w:rPr>
      <w:color w:val="auto"/>
      <w:u w:val="none"/>
      <w:bdr w:val="single" w:color="DCDCDC" w:sz="8" w:space="0"/>
      <w:shd w:val="clear" w:color="auto" w:fill="FFFFFF"/>
    </w:rPr>
  </w:style>
  <w:style w:type="character" w:customStyle="1" w:styleId="208">
    <w:name w:val="xdrichtextbox"/>
    <w:basedOn w:val="46"/>
    <w:qFormat/>
    <w:uiPriority w:val="0"/>
  </w:style>
  <w:style w:type="character" w:customStyle="1" w:styleId="209">
    <w:name w:val="biggerthanmax"/>
    <w:basedOn w:val="46"/>
    <w:uiPriority w:val="0"/>
    <w:rPr>
      <w:shd w:val="clear" w:color="auto" w:fill="FFFF00"/>
    </w:rPr>
  </w:style>
  <w:style w:type="character" w:customStyle="1" w:styleId="210">
    <w:name w:val="edit_class"/>
    <w:basedOn w:val="46"/>
    <w:qFormat/>
    <w:uiPriority w:val="0"/>
  </w:style>
  <w:style w:type="character" w:customStyle="1" w:styleId="211">
    <w:name w:val="design_class"/>
    <w:basedOn w:val="46"/>
    <w:uiPriority w:val="0"/>
  </w:style>
  <w:style w:type="character" w:customStyle="1" w:styleId="212">
    <w:name w:val="active"/>
    <w:basedOn w:val="46"/>
    <w:uiPriority w:val="0"/>
    <w:rPr>
      <w:shd w:val="clear" w:color="auto" w:fill="EC3535"/>
    </w:rPr>
  </w:style>
  <w:style w:type="character" w:customStyle="1" w:styleId="213">
    <w:name w:val="awspan"/>
    <w:basedOn w:val="46"/>
    <w:uiPriority w:val="0"/>
  </w:style>
  <w:style w:type="character" w:customStyle="1" w:styleId="214">
    <w:name w:val="button"/>
    <w:basedOn w:val="46"/>
    <w:uiPriority w:val="0"/>
  </w:style>
  <w:style w:type="character" w:customStyle="1" w:styleId="215">
    <w:name w:val="w32"/>
    <w:basedOn w:val="46"/>
    <w:uiPriority w:val="0"/>
  </w:style>
  <w:style w:type="character" w:customStyle="1" w:styleId="216">
    <w:name w:val="drapbtn"/>
    <w:basedOn w:val="46"/>
    <w:uiPriority w:val="0"/>
  </w:style>
  <w:style w:type="character" w:customStyle="1" w:styleId="217">
    <w:name w:val="hilite6"/>
    <w:basedOn w:val="46"/>
    <w:uiPriority w:val="0"/>
    <w:rPr>
      <w:color w:val="FFFFFF"/>
      <w:shd w:val="clear" w:color="auto" w:fill="666666"/>
    </w:rPr>
  </w:style>
  <w:style w:type="character" w:customStyle="1" w:styleId="218">
    <w:name w:val="layui-layer-tabnow"/>
    <w:basedOn w:val="46"/>
    <w:uiPriority w:val="0"/>
    <w:rPr>
      <w:bdr w:val="single" w:color="CCCCCC" w:sz="6" w:space="0"/>
      <w:shd w:val="clear" w:color="auto" w:fill="FFFFFF"/>
    </w:rPr>
  </w:style>
  <w:style w:type="character" w:customStyle="1" w:styleId="219">
    <w:name w:val="active2"/>
    <w:basedOn w:val="46"/>
    <w:uiPriority w:val="0"/>
    <w:rPr>
      <w:color w:val="00FF00"/>
      <w:shd w:val="clear" w:color="auto" w:fill="111111"/>
    </w:rPr>
  </w:style>
  <w:style w:type="character" w:customStyle="1" w:styleId="220">
    <w:name w:val="first-child"/>
    <w:basedOn w:val="46"/>
    <w:uiPriority w:val="0"/>
  </w:style>
  <w:style w:type="character" w:customStyle="1" w:styleId="221">
    <w:name w:val="cdropleft"/>
    <w:basedOn w:val="46"/>
    <w:uiPriority w:val="0"/>
  </w:style>
  <w:style w:type="character" w:customStyle="1" w:styleId="222">
    <w:name w:val="cdropright"/>
    <w:basedOn w:val="46"/>
    <w:uiPriority w:val="0"/>
  </w:style>
  <w:style w:type="character" w:customStyle="1" w:styleId="223">
    <w:name w:val="choosename"/>
    <w:basedOn w:val="46"/>
    <w:uiPriority w:val="0"/>
  </w:style>
  <w:style w:type="character" w:customStyle="1" w:styleId="224">
    <w:name w:val="hover"/>
    <w:basedOn w:val="46"/>
    <w:uiPriority w:val="0"/>
    <w:rPr>
      <w:color w:val="FFFFFF"/>
    </w:rPr>
  </w:style>
  <w:style w:type="character" w:customStyle="1" w:styleId="225">
    <w:name w:val="hilite"/>
    <w:basedOn w:val="46"/>
    <w:uiPriority w:val="0"/>
    <w:rPr>
      <w:color w:val="FFFFFF"/>
      <w:shd w:val="clear" w:color="auto" w:fill="666666"/>
    </w:rPr>
  </w:style>
  <w:style w:type="character" w:customStyle="1" w:styleId="226">
    <w:name w:val="active5"/>
    <w:basedOn w:val="46"/>
    <w:uiPriority w:val="0"/>
    <w:rPr>
      <w:color w:val="00FF00"/>
      <w:shd w:val="clear" w:color="auto" w:fill="111111"/>
    </w:rPr>
  </w:style>
  <w:style w:type="character" w:customStyle="1" w:styleId="227">
    <w:name w:val="active6"/>
    <w:basedOn w:val="46"/>
    <w:uiPriority w:val="0"/>
    <w:rPr>
      <w:shd w:val="clear" w:color="auto" w:fill="EC3535"/>
    </w:rPr>
  </w:style>
  <w:style w:type="character" w:customStyle="1" w:styleId="228">
    <w:name w:val="xdrichtextbox4"/>
    <w:basedOn w:val="46"/>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64716E-0F24-463E-AEC2-E0F7773FC7B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2062</Words>
  <Characters>11756</Characters>
  <Lines>97</Lines>
  <Paragraphs>27</Paragraphs>
  <TotalTime>9</TotalTime>
  <ScaleCrop>false</ScaleCrop>
  <LinksUpToDate>false</LinksUpToDate>
  <CharactersWithSpaces>13791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2022-10-21T02:25:41Z</dcterms:modified>
  <dc:title>公开招标文件（货物服务类）</dc:title>
  <cp:revision>398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E52164AC5F3E4056B497A0E25708665E</vt:lpwstr>
  </property>
</Properties>
</file>