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spacing w:before="5"/>
        <w:rPr>
          <w:rFonts w:ascii="Times New Roman"/>
          <w:sz w:val="20"/>
        </w:rPr>
      </w:pPr>
    </w:p>
    <w:p>
      <w:pPr>
        <w:spacing w:line="788" w:lineRule="exact"/>
        <w:ind w:left="167"/>
        <w:jc w:val="center"/>
        <w:rPr>
          <w:rFonts w:ascii="微软雅黑" w:eastAsia="微软雅黑"/>
          <w:b/>
          <w:sz w:val="36"/>
          <w:szCs w:val="36"/>
          <w:lang w:eastAsia="zh-CN"/>
        </w:rPr>
      </w:pPr>
      <w:r>
        <w:rPr>
          <w:rFonts w:hint="eastAsia" w:ascii="微软雅黑" w:eastAsia="微软雅黑"/>
          <w:b/>
          <w:sz w:val="36"/>
          <w:szCs w:val="36"/>
          <w:lang w:eastAsia="zh-CN"/>
        </w:rPr>
        <w:t>福建福海创石油化工有限公司</w:t>
      </w:r>
    </w:p>
    <w:p>
      <w:pPr>
        <w:pStyle w:val="2"/>
        <w:rPr>
          <w:sz w:val="36"/>
          <w:szCs w:val="36"/>
        </w:rPr>
      </w:pPr>
    </w:p>
    <w:p>
      <w:pPr>
        <w:spacing w:before="38"/>
        <w:ind w:left="172"/>
        <w:jc w:val="center"/>
        <w:rPr>
          <w:rFonts w:ascii="微软雅黑" w:eastAsia="微软雅黑"/>
          <w:b/>
          <w:sz w:val="36"/>
          <w:szCs w:val="36"/>
          <w:lang w:eastAsia="zh-CN"/>
        </w:rPr>
      </w:pPr>
      <w:r>
        <w:rPr>
          <w:rFonts w:hint="eastAsia" w:ascii="微软雅黑" w:eastAsia="微软雅黑"/>
          <w:b/>
          <w:sz w:val="36"/>
          <w:szCs w:val="36"/>
          <w:lang w:eastAsia="zh-CN"/>
        </w:rPr>
        <w:t>南部热源点一期工程可行性研究及项目申请发包</w:t>
      </w:r>
    </w:p>
    <w:p>
      <w:pPr>
        <w:pStyle w:val="7"/>
        <w:rPr>
          <w:rFonts w:ascii="微软雅黑"/>
          <w:b/>
          <w:sz w:val="68"/>
          <w:lang w:eastAsia="zh-CN"/>
        </w:rPr>
      </w:pPr>
    </w:p>
    <w:p>
      <w:pPr>
        <w:pStyle w:val="7"/>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w:t>
      </w:r>
      <w:r>
        <w:rPr>
          <w:rFonts w:hint="eastAsia"/>
          <w:sz w:val="28"/>
          <w:szCs w:val="28"/>
          <w:u w:val="single"/>
        </w:rPr>
        <w:t xml:space="preserve"> FHC-PTCG20210324001 </w:t>
      </w:r>
      <w:r>
        <w:rPr>
          <w:rFonts w:hint="eastAsia"/>
          <w:sz w:val="28"/>
          <w:szCs w:val="28"/>
        </w:rPr>
        <w:t>）</w:t>
      </w:r>
    </w:p>
    <w:p>
      <w:pPr>
        <w:pStyle w:val="7"/>
        <w:rPr>
          <w:rFonts w:ascii="微软雅黑"/>
          <w:b/>
          <w:sz w:val="94"/>
          <w:lang w:eastAsia="zh-CN"/>
        </w:rPr>
      </w:pPr>
    </w:p>
    <w:p>
      <w:pPr>
        <w:pStyle w:val="7"/>
        <w:spacing w:before="7"/>
        <w:rPr>
          <w:rFonts w:ascii="微软雅黑"/>
          <w:b/>
          <w:sz w:val="74"/>
          <w:lang w:eastAsia="zh-CN"/>
        </w:rPr>
      </w:pP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福建福海创石油化工有限公司编制2021 年  04  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7"/>
        <w:rPr>
          <w:rFonts w:ascii="黑体"/>
          <w:sz w:val="20"/>
          <w:lang w:eastAsia="zh-CN"/>
        </w:rPr>
      </w:pPr>
    </w:p>
    <w:p>
      <w:pPr>
        <w:pStyle w:val="7"/>
        <w:rPr>
          <w:rFonts w:ascii="黑体"/>
          <w:sz w:val="20"/>
          <w:lang w:eastAsia="zh-CN"/>
        </w:rPr>
      </w:pPr>
    </w:p>
    <w:p>
      <w:pPr>
        <w:pStyle w:val="7"/>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7"/>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7"/>
        <w:rPr>
          <w:sz w:val="28"/>
          <w:lang w:eastAsia="zh-CN"/>
        </w:rPr>
      </w:pPr>
    </w:p>
    <w:p>
      <w:pPr>
        <w:pStyle w:val="7"/>
        <w:rPr>
          <w:sz w:val="28"/>
          <w:lang w:eastAsia="zh-CN"/>
        </w:rPr>
      </w:pPr>
    </w:p>
    <w:p>
      <w:pPr>
        <w:pStyle w:val="7"/>
        <w:rPr>
          <w:sz w:val="28"/>
          <w:lang w:eastAsia="zh-CN"/>
        </w:rPr>
      </w:pPr>
    </w:p>
    <w:p>
      <w:pPr>
        <w:pStyle w:val="7"/>
        <w:rPr>
          <w:sz w:val="28"/>
          <w:lang w:eastAsia="zh-CN"/>
        </w:rPr>
      </w:pPr>
    </w:p>
    <w:p>
      <w:pPr>
        <w:pStyle w:val="7"/>
        <w:spacing w:before="10"/>
        <w:rPr>
          <w:sz w:val="35"/>
          <w:lang w:eastAsia="zh-CN"/>
        </w:rPr>
      </w:pPr>
    </w:p>
    <w:p>
      <w:pPr>
        <w:spacing w:line="408" w:lineRule="auto"/>
        <w:ind w:left="220" w:leftChars="100" w:right="103"/>
        <w:rPr>
          <w:sz w:val="28"/>
          <w:lang w:eastAsia="zh-CN"/>
        </w:rPr>
      </w:pPr>
      <w:r>
        <w:rPr>
          <w:sz w:val="28"/>
          <w:lang w:eastAsia="zh-CN"/>
        </w:rPr>
        <w:t>附件一</w:t>
      </w:r>
      <w:r>
        <w:rPr>
          <w:rFonts w:hint="eastAsia"/>
          <w:sz w:val="28"/>
          <w:lang w:eastAsia="zh-CN"/>
        </w:rPr>
        <w:t>：合同条款</w:t>
      </w:r>
    </w:p>
    <w:p>
      <w:pPr>
        <w:spacing w:line="408" w:lineRule="auto"/>
        <w:ind w:left="220" w:leftChars="100" w:right="103"/>
        <w:rPr>
          <w:sz w:val="28"/>
          <w:lang w:eastAsia="zh-CN"/>
        </w:rPr>
      </w:pPr>
      <w:r>
        <w:rPr>
          <w:sz w:val="28"/>
          <w:lang w:eastAsia="zh-CN"/>
        </w:rPr>
        <w:t>附件二：参选文件（范本）</w:t>
      </w:r>
    </w:p>
    <w:p>
      <w:pPr>
        <w:spacing w:line="408" w:lineRule="auto"/>
        <w:rPr>
          <w:sz w:val="28"/>
          <w:lang w:eastAsia="zh-CN"/>
        </w:rPr>
        <w:sectPr>
          <w:footerReference r:id="rId3" w:type="default"/>
          <w:pgSz w:w="11910" w:h="16840"/>
          <w:pgMar w:top="1480" w:right="1340" w:bottom="740" w:left="1680" w:header="0" w:footer="551" w:gutter="0"/>
          <w:pgNumType w:start="1"/>
          <w:cols w:space="720" w:num="1"/>
        </w:sectPr>
      </w:pPr>
    </w:p>
    <w:p>
      <w:pPr>
        <w:tabs>
          <w:tab w:val="left" w:pos="1272"/>
        </w:tabs>
        <w:ind w:left="11"/>
        <w:jc w:val="center"/>
        <w:rPr>
          <w:b/>
          <w:w w:val="95"/>
          <w:sz w:val="28"/>
          <w:lang w:eastAsia="zh-CN"/>
        </w:rPr>
      </w:pPr>
      <w:r>
        <w:rPr>
          <w:b/>
          <w:sz w:val="28"/>
          <w:lang w:eastAsia="zh-CN"/>
        </w:rPr>
        <w:t>第一章</w:t>
      </w:r>
      <w:r>
        <w:rPr>
          <w:b/>
          <w:sz w:val="28"/>
          <w:lang w:eastAsia="zh-CN"/>
        </w:rPr>
        <w:tab/>
      </w:r>
      <w:r>
        <w:rPr>
          <w:b/>
          <w:spacing w:val="-1"/>
          <w:w w:val="95"/>
          <w:sz w:val="28"/>
          <w:lang w:eastAsia="zh-CN"/>
        </w:rPr>
        <w:t>比选公</w:t>
      </w:r>
      <w:r>
        <w:rPr>
          <w:b/>
          <w:w w:val="95"/>
          <w:sz w:val="28"/>
          <w:lang w:eastAsia="zh-CN"/>
        </w:rPr>
        <w:t>告</w:t>
      </w:r>
    </w:p>
    <w:p>
      <w:pPr>
        <w:ind w:left="170" w:firstLine="480" w:firstLineChars="200"/>
        <w:rPr>
          <w:sz w:val="24"/>
          <w:szCs w:val="24"/>
          <w:lang w:eastAsia="zh-CN"/>
        </w:rPr>
      </w:pPr>
      <w:r>
        <w:rPr>
          <w:sz w:val="24"/>
          <w:szCs w:val="24"/>
          <w:lang w:eastAsia="zh-CN"/>
        </w:rPr>
        <w:t>福建福海创石油化工有限公司拟对本公司</w:t>
      </w:r>
      <w:r>
        <w:rPr>
          <w:rFonts w:hint="eastAsia" w:asciiTheme="majorEastAsia" w:hAnsiTheme="majorEastAsia" w:eastAsiaTheme="majorEastAsia"/>
          <w:sz w:val="24"/>
          <w:szCs w:val="24"/>
          <w:u w:val="single"/>
          <w:lang w:eastAsia="zh-CN"/>
        </w:rPr>
        <w:t xml:space="preserve"> </w:t>
      </w:r>
      <w:r>
        <w:rPr>
          <w:rFonts w:hint="eastAsia" w:asciiTheme="majorEastAsia" w:hAnsiTheme="majorEastAsia" w:eastAsiaTheme="majorEastAsia"/>
          <w:b/>
          <w:sz w:val="24"/>
          <w:szCs w:val="24"/>
          <w:u w:val="single"/>
          <w:lang w:eastAsia="zh-CN"/>
        </w:rPr>
        <w:t>南部热源点一期工程可行性研究及项目申请</w:t>
      </w:r>
      <w:r>
        <w:rPr>
          <w:rFonts w:hint="eastAsia" w:asciiTheme="majorEastAsia" w:hAnsiTheme="majorEastAsia" w:eastAsiaTheme="majorEastAsia"/>
          <w:sz w:val="24"/>
          <w:szCs w:val="24"/>
          <w:u w:val="single"/>
          <w:lang w:eastAsia="zh-CN"/>
        </w:rPr>
        <w:t xml:space="preserve"> </w:t>
      </w:r>
      <w:r>
        <w:rPr>
          <w:sz w:val="24"/>
          <w:szCs w:val="24"/>
          <w:lang w:eastAsia="zh-CN"/>
        </w:rPr>
        <w:t>进行公开比选。为了“公开、公平、公正、透明”，引导参选人进行正确参选，特制定本规定文件。福建福海创石油化工有限公司承诺本次自主比选不存在任何障碍，保证本公告内容不存在任何重大遗漏、虚假陈述或严重误导，并对其内容的真实性、完整性和有效性负责。</w:t>
      </w:r>
    </w:p>
    <w:p>
      <w:pPr>
        <w:autoSpaceDE/>
        <w:autoSpaceDN/>
        <w:ind w:firstLine="472" w:firstLineChars="196"/>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一、项目概况</w:t>
      </w:r>
    </w:p>
    <w:p>
      <w:pPr>
        <w:autoSpaceDE/>
        <w:autoSpaceDN/>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项目名称：</w:t>
      </w:r>
      <w:r>
        <w:rPr>
          <w:rFonts w:hint="eastAsia" w:asciiTheme="majorEastAsia" w:hAnsiTheme="majorEastAsia" w:eastAsiaTheme="majorEastAsia"/>
          <w:bCs/>
          <w:sz w:val="24"/>
          <w:szCs w:val="24"/>
          <w:u w:val="single"/>
          <w:lang w:eastAsia="zh-CN"/>
        </w:rPr>
        <w:t xml:space="preserve"> 南部热源点一期工程可行性研究及项目申请 </w:t>
      </w:r>
    </w:p>
    <w:p>
      <w:pPr>
        <w:autoSpaceDE/>
        <w:autoSpaceDN/>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项目简要说明：</w:t>
      </w:r>
      <w:r>
        <w:rPr>
          <w:rFonts w:hint="eastAsia"/>
          <w:sz w:val="24"/>
          <w:szCs w:val="24"/>
          <w:lang w:eastAsia="zh-CN"/>
        </w:rPr>
        <w:t>针对本工程的建设条件和热负荷情况进行充分的分析和论证，提出建设设想及建设方案，并进行工程的投资估算及经济效益分析、风险分析等</w:t>
      </w:r>
      <w:r>
        <w:rPr>
          <w:sz w:val="24"/>
          <w:szCs w:val="24"/>
          <w:lang w:eastAsia="zh-CN"/>
        </w:rPr>
        <w:t>。</w:t>
      </w:r>
    </w:p>
    <w:p>
      <w:pPr>
        <w:pStyle w:val="4"/>
        <w:spacing w:before="24"/>
        <w:ind w:left="0" w:firstLine="480" w:firstLineChars="200"/>
        <w:rPr>
          <w:lang w:eastAsia="zh-CN"/>
        </w:rPr>
      </w:pPr>
      <w:r>
        <w:rPr>
          <w:rFonts w:hint="eastAsia" w:asciiTheme="majorEastAsia" w:hAnsiTheme="majorEastAsia" w:eastAsiaTheme="majorEastAsia"/>
          <w:b w:val="0"/>
          <w:lang w:eastAsia="zh-CN"/>
        </w:rPr>
        <w:t>3. 比选控制价：99万元</w:t>
      </w:r>
    </w:p>
    <w:p>
      <w:pPr>
        <w:pStyle w:val="4"/>
        <w:spacing w:before="24"/>
        <w:ind w:left="0" w:firstLine="359" w:firstLineChars="149"/>
        <w:rPr>
          <w:lang w:eastAsia="zh-CN"/>
        </w:rPr>
      </w:pPr>
      <w:r>
        <w:rPr>
          <w:rFonts w:hint="eastAsia"/>
          <w:lang w:eastAsia="zh-CN"/>
        </w:rPr>
        <w:t>二</w:t>
      </w:r>
      <w:r>
        <w:rPr>
          <w:lang w:eastAsia="zh-CN"/>
        </w:rPr>
        <w:t>、参选人资格要求：</w:t>
      </w:r>
    </w:p>
    <w:p>
      <w:pPr>
        <w:ind w:firstLine="480" w:firstLineChars="200"/>
        <w:rPr>
          <w:sz w:val="24"/>
          <w:szCs w:val="24"/>
          <w:lang w:eastAsia="zh-CN"/>
        </w:rPr>
      </w:pPr>
      <w:r>
        <w:rPr>
          <w:rFonts w:hint="eastAsia"/>
          <w:sz w:val="24"/>
          <w:szCs w:val="24"/>
          <w:lang w:eastAsia="zh-CN"/>
        </w:rPr>
        <w:t xml:space="preserve">1. </w:t>
      </w:r>
      <w:r>
        <w:rPr>
          <w:rFonts w:hint="eastAsia" w:asciiTheme="majorEastAsia" w:hAnsiTheme="majorEastAsia" w:eastAsiaTheme="majorEastAsia"/>
          <w:sz w:val="24"/>
          <w:szCs w:val="24"/>
          <w:lang w:eastAsia="zh-CN"/>
        </w:rPr>
        <w:t>必须具有中华人民共和国独立法人资格，</w:t>
      </w:r>
      <w:r>
        <w:rPr>
          <w:rFonts w:hint="eastAsia"/>
          <w:sz w:val="24"/>
          <w:szCs w:val="24"/>
          <w:lang w:eastAsia="zh-CN"/>
        </w:rPr>
        <w:t>具备有效的企业法人营业执照；</w:t>
      </w:r>
    </w:p>
    <w:p>
      <w:pPr>
        <w:ind w:firstLine="480" w:firstLineChars="200"/>
        <w:rPr>
          <w:sz w:val="24"/>
          <w:szCs w:val="24"/>
          <w:lang w:eastAsia="zh-CN"/>
        </w:rPr>
      </w:pPr>
      <w:r>
        <w:rPr>
          <w:rFonts w:hint="eastAsia"/>
          <w:sz w:val="24"/>
          <w:szCs w:val="24"/>
          <w:lang w:eastAsia="zh-CN"/>
        </w:rPr>
        <w:t xml:space="preserve">2. </w:t>
      </w:r>
      <w:r>
        <w:rPr>
          <w:rFonts w:hint="eastAsia"/>
          <w:sz w:val="24"/>
          <w:lang w:eastAsia="zh-CN"/>
        </w:rPr>
        <w:t>参选方应具有建设主管部门颁发的电力工程设计资质甲级及以上资质、工程勘察甲级及以上资质</w:t>
      </w:r>
      <w:r>
        <w:rPr>
          <w:rFonts w:hint="eastAsia"/>
          <w:sz w:val="24"/>
          <w:szCs w:val="24"/>
          <w:lang w:eastAsia="zh-CN"/>
        </w:rPr>
        <w:t>；</w:t>
      </w:r>
    </w:p>
    <w:p>
      <w:pPr>
        <w:ind w:firstLine="480" w:firstLineChars="200"/>
        <w:rPr>
          <w:sz w:val="24"/>
          <w:szCs w:val="24"/>
          <w:lang w:eastAsia="zh-CN"/>
        </w:rPr>
      </w:pPr>
      <w:r>
        <w:rPr>
          <w:rFonts w:hint="eastAsia"/>
          <w:sz w:val="24"/>
          <w:szCs w:val="24"/>
          <w:lang w:eastAsia="zh-CN"/>
        </w:rPr>
        <w:t xml:space="preserve">3. </w:t>
      </w:r>
      <w:r>
        <w:rPr>
          <w:rFonts w:hint="eastAsia"/>
          <w:sz w:val="24"/>
          <w:lang w:eastAsia="zh-CN"/>
        </w:rPr>
        <w:t>近五年内承担过同类工程设计或</w:t>
      </w:r>
      <w:r>
        <w:rPr>
          <w:sz w:val="24"/>
          <w:lang w:eastAsia="zh-CN"/>
        </w:rPr>
        <w:t>EPC业绩</w:t>
      </w:r>
      <w:r>
        <w:rPr>
          <w:rFonts w:hint="eastAsia"/>
          <w:sz w:val="24"/>
          <w:lang w:eastAsia="zh-CN"/>
        </w:rPr>
        <w:t>，并有良好的履约记录</w:t>
      </w:r>
      <w:r>
        <w:rPr>
          <w:rFonts w:hint="eastAsia"/>
          <w:sz w:val="24"/>
          <w:szCs w:val="24"/>
          <w:lang w:eastAsia="zh-CN"/>
        </w:rPr>
        <w:t>；</w:t>
      </w:r>
    </w:p>
    <w:p>
      <w:pPr>
        <w:pStyle w:val="2"/>
        <w:spacing w:line="360" w:lineRule="auto"/>
        <w:ind w:firstLine="465"/>
        <w:rPr>
          <w:sz w:val="24"/>
          <w:szCs w:val="24"/>
        </w:rPr>
      </w:pPr>
      <w:r>
        <w:rPr>
          <w:rFonts w:hint="eastAsia"/>
          <w:sz w:val="24"/>
          <w:szCs w:val="24"/>
        </w:rPr>
        <w:t xml:space="preserve">4. </w:t>
      </w:r>
      <w:r>
        <w:rPr>
          <w:rFonts w:hint="eastAsia" w:hAnsi="宋体"/>
          <w:sz w:val="24"/>
        </w:rPr>
        <w:t>近三年内无设计质量事故，无被相关行政部门处罚记录</w:t>
      </w:r>
      <w:r>
        <w:rPr>
          <w:rFonts w:hint="eastAsia"/>
          <w:sz w:val="24"/>
          <w:szCs w:val="24"/>
        </w:rPr>
        <w:t>；</w:t>
      </w:r>
    </w:p>
    <w:p>
      <w:pPr>
        <w:pStyle w:val="2"/>
        <w:spacing w:line="360" w:lineRule="auto"/>
        <w:ind w:firstLine="465"/>
        <w:rPr>
          <w:sz w:val="24"/>
          <w:szCs w:val="24"/>
        </w:rPr>
      </w:pPr>
      <w:r>
        <w:rPr>
          <w:rFonts w:hint="eastAsia"/>
          <w:sz w:val="24"/>
          <w:szCs w:val="24"/>
        </w:rPr>
        <w:t xml:space="preserve">5. </w:t>
      </w:r>
      <w:r>
        <w:rPr>
          <w:rFonts w:hint="eastAsia" w:hAnsi="宋体"/>
          <w:sz w:val="24"/>
        </w:rPr>
        <w:t>参选方应提供相关设计业绩（附相关服务业绩证明）；</w:t>
      </w:r>
    </w:p>
    <w:p>
      <w:pPr>
        <w:pStyle w:val="2"/>
        <w:spacing w:line="360" w:lineRule="auto"/>
        <w:ind w:firstLine="465"/>
        <w:rPr>
          <w:sz w:val="24"/>
          <w:szCs w:val="24"/>
        </w:rPr>
      </w:pPr>
      <w:r>
        <w:rPr>
          <w:rFonts w:hint="eastAsia"/>
          <w:sz w:val="24"/>
          <w:szCs w:val="24"/>
        </w:rPr>
        <w:t xml:space="preserve">6. </w:t>
      </w:r>
      <w:r>
        <w:rPr>
          <w:rFonts w:hint="eastAsia" w:hAnsi="宋体"/>
          <w:sz w:val="24"/>
        </w:rPr>
        <w:t>报告应满足安全、适用、经济、满足本项目电力设计使用功能的要求，并经当地主管部门认可、审批通过；</w:t>
      </w:r>
    </w:p>
    <w:p>
      <w:pPr>
        <w:widowControl/>
        <w:autoSpaceDE/>
        <w:autoSpaceDN/>
        <w:ind w:firstLine="480" w:firstLineChars="200"/>
        <w:jc w:val="both"/>
        <w:rPr>
          <w:rFonts w:asciiTheme="majorEastAsia" w:hAnsiTheme="majorEastAsia" w:eastAsiaTheme="majorEastAsia"/>
          <w:sz w:val="24"/>
          <w:szCs w:val="24"/>
          <w:lang w:eastAsia="zh-CN"/>
        </w:rPr>
      </w:pPr>
      <w:r>
        <w:rPr>
          <w:rFonts w:hint="eastAsia"/>
          <w:sz w:val="24"/>
          <w:szCs w:val="24"/>
          <w:lang w:eastAsia="zh-CN"/>
        </w:rPr>
        <w:t xml:space="preserve">7. </w:t>
      </w:r>
      <w:r>
        <w:rPr>
          <w:rFonts w:asciiTheme="majorEastAsia" w:hAnsiTheme="majorEastAsia" w:eastAsiaTheme="majorEastAsia"/>
          <w:sz w:val="24"/>
          <w:szCs w:val="24"/>
          <w:lang w:eastAsia="zh-CN"/>
        </w:rPr>
        <w:t>没有失信黑名单记录（以最高院失信被执行人系统发布信息为准）；</w:t>
      </w:r>
    </w:p>
    <w:p>
      <w:pPr>
        <w:pStyle w:val="2"/>
        <w:spacing w:line="360" w:lineRule="auto"/>
        <w:ind w:firstLine="465"/>
        <w:rPr>
          <w:sz w:val="24"/>
          <w:szCs w:val="24"/>
        </w:rPr>
      </w:pPr>
      <w:r>
        <w:rPr>
          <w:rFonts w:hint="eastAsia" w:asciiTheme="majorEastAsia" w:hAnsiTheme="majorEastAsia" w:eastAsiaTheme="majorEastAsia"/>
          <w:sz w:val="24"/>
          <w:szCs w:val="24"/>
        </w:rPr>
        <w:t xml:space="preserve">8. </w:t>
      </w:r>
      <w:r>
        <w:rPr>
          <w:rFonts w:asciiTheme="majorEastAsia" w:hAnsiTheme="majorEastAsia" w:eastAsiaTheme="majorEastAsia"/>
          <w:sz w:val="24"/>
          <w:szCs w:val="24"/>
        </w:rPr>
        <w:t>与</w:t>
      </w:r>
      <w:r>
        <w:rPr>
          <w:rFonts w:hint="eastAsia" w:asciiTheme="majorEastAsia" w:hAnsiTheme="majorEastAsia" w:eastAsiaTheme="majorEastAsia"/>
          <w:sz w:val="24"/>
          <w:szCs w:val="24"/>
        </w:rPr>
        <w:t>比选人</w:t>
      </w:r>
      <w:r>
        <w:rPr>
          <w:rFonts w:asciiTheme="majorEastAsia" w:hAnsiTheme="majorEastAsia" w:eastAsiaTheme="majorEastAsia"/>
          <w:sz w:val="24"/>
          <w:szCs w:val="24"/>
        </w:rPr>
        <w:t>无诉讼纠纷</w:t>
      </w:r>
      <w:r>
        <w:rPr>
          <w:rFonts w:hint="eastAsia" w:asciiTheme="majorEastAsia" w:hAnsiTheme="majorEastAsia" w:eastAsiaTheme="majorEastAsia"/>
          <w:sz w:val="24"/>
          <w:szCs w:val="24"/>
        </w:rPr>
        <w:t>；</w:t>
      </w:r>
    </w:p>
    <w:p>
      <w:pPr>
        <w:ind w:firstLine="480" w:firstLineChars="200"/>
        <w:rPr>
          <w:sz w:val="24"/>
          <w:szCs w:val="24"/>
          <w:lang w:eastAsia="zh-CN"/>
        </w:rPr>
      </w:pPr>
      <w:r>
        <w:rPr>
          <w:rFonts w:hint="eastAsia"/>
          <w:sz w:val="24"/>
          <w:szCs w:val="24"/>
          <w:lang w:eastAsia="zh-CN"/>
        </w:rPr>
        <w:t>9. 本项目不接受联合体参选，不允许分包。</w:t>
      </w:r>
    </w:p>
    <w:p>
      <w:pPr>
        <w:pStyle w:val="24"/>
        <w:autoSpaceDE/>
        <w:autoSpaceDN/>
        <w:spacing w:before="0"/>
        <w:ind w:left="119" w:leftChars="54" w:firstLine="378" w:firstLineChars="147"/>
        <w:jc w:val="both"/>
        <w:rPr>
          <w:rFonts w:asciiTheme="majorEastAsia" w:hAnsiTheme="majorEastAsia" w:eastAsiaTheme="majorEastAsia"/>
          <w:b/>
          <w:bCs/>
          <w:sz w:val="24"/>
          <w:szCs w:val="24"/>
          <w:lang w:eastAsia="zh-CN"/>
        </w:rPr>
      </w:pPr>
      <w:r>
        <w:rPr>
          <w:rFonts w:hint="eastAsia"/>
          <w:b/>
          <w:snapToGrid w:val="0"/>
          <w:spacing w:val="8"/>
          <w:sz w:val="24"/>
          <w:szCs w:val="24"/>
          <w:lang w:eastAsia="zh-CN"/>
        </w:rPr>
        <w:t>三、</w:t>
      </w:r>
      <w:r>
        <w:rPr>
          <w:rFonts w:hint="eastAsia" w:asciiTheme="majorEastAsia" w:hAnsiTheme="majorEastAsia" w:eastAsiaTheme="majorEastAsia"/>
          <w:b/>
          <w:bCs/>
          <w:sz w:val="24"/>
          <w:szCs w:val="24"/>
          <w:lang w:eastAsia="zh-CN"/>
        </w:rPr>
        <w:t>报名要求</w:t>
      </w:r>
    </w:p>
    <w:p>
      <w:pPr>
        <w:autoSpaceDE/>
        <w:autoSpaceDN/>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报名时间：</w:t>
      </w:r>
      <w:r>
        <w:rPr>
          <w:rFonts w:hint="eastAsia" w:asciiTheme="majorEastAsia" w:hAnsiTheme="majorEastAsia" w:eastAsiaTheme="majorEastAsia"/>
          <w:sz w:val="24"/>
          <w:szCs w:val="24"/>
          <w:lang w:eastAsia="zh-CN"/>
        </w:rPr>
        <w:t>2021年4月</w:t>
      </w:r>
      <w:r>
        <w:rPr>
          <w:rFonts w:hint="eastAsia" w:asciiTheme="majorEastAsia" w:hAnsiTheme="majorEastAsia" w:eastAsiaTheme="majorEastAsia"/>
          <w:sz w:val="24"/>
          <w:szCs w:val="24"/>
          <w:lang w:val="en-US" w:eastAsia="zh-CN"/>
        </w:rPr>
        <w:t>15</w:t>
      </w:r>
      <w:r>
        <w:rPr>
          <w:rFonts w:hint="eastAsia" w:asciiTheme="majorEastAsia" w:hAnsiTheme="majorEastAsia" w:eastAsiaTheme="majorEastAsia"/>
          <w:sz w:val="24"/>
          <w:szCs w:val="24"/>
          <w:lang w:eastAsia="zh-CN"/>
        </w:rPr>
        <w:t>日至</w:t>
      </w:r>
      <w:r>
        <w:rPr>
          <w:rFonts w:hint="eastAsia" w:asciiTheme="majorEastAsia" w:hAnsiTheme="majorEastAsia" w:eastAsiaTheme="majorEastAsia"/>
          <w:sz w:val="24"/>
          <w:szCs w:val="24"/>
          <w:lang w:val="en-US" w:eastAsia="zh-CN"/>
        </w:rPr>
        <w:t>19</w:t>
      </w:r>
      <w:bookmarkStart w:id="44" w:name="_GoBack"/>
      <w:bookmarkEnd w:id="44"/>
      <w:r>
        <w:rPr>
          <w:rFonts w:hint="eastAsia" w:asciiTheme="majorEastAsia" w:hAnsiTheme="majorEastAsia" w:eastAsiaTheme="majorEastAsia"/>
          <w:sz w:val="24"/>
          <w:szCs w:val="24"/>
          <w:lang w:eastAsia="zh-CN"/>
        </w:rPr>
        <w:t>日（共5天）</w:t>
      </w:r>
    </w:p>
    <w:p>
      <w:pPr>
        <w:autoSpaceDE/>
        <w:autoSpaceDN/>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报名方式：</w:t>
      </w:r>
    </w:p>
    <w:p>
      <w:pPr>
        <w:autoSpaceDE/>
        <w:autoSpaceDN/>
        <w:ind w:left="484" w:leftChars="220" w:firstLine="360" w:firstLineChars="15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邮件报名（须同时提交盖公章的法定代表人授权书及营业执照扫描件），邮件发至：</w:t>
      </w:r>
      <w:r>
        <w:fldChar w:fldCharType="begin"/>
      </w:r>
      <w:r>
        <w:instrText xml:space="preserve"> HYPERLINK "mailto:hzji@fhcpec.com.cn" </w:instrText>
      </w:r>
      <w:r>
        <w:fldChar w:fldCharType="separate"/>
      </w:r>
      <w:r>
        <w:rPr>
          <w:rStyle w:val="21"/>
          <w:rFonts w:hint="eastAsia" w:asciiTheme="majorEastAsia" w:hAnsiTheme="majorEastAsia" w:eastAsiaTheme="majorEastAsia"/>
          <w:sz w:val="24"/>
          <w:szCs w:val="24"/>
          <w:lang w:eastAsia="zh-CN"/>
        </w:rPr>
        <w:t>hzji@fhcpec.com.cn</w:t>
      </w:r>
      <w:r>
        <w:rPr>
          <w:rStyle w:val="21"/>
          <w:rFonts w:hint="eastAsia" w:asciiTheme="majorEastAsia" w:hAnsiTheme="majorEastAsia" w:eastAsiaTheme="majorEastAsia"/>
          <w:sz w:val="24"/>
          <w:szCs w:val="24"/>
          <w:lang w:eastAsia="zh-CN"/>
        </w:rPr>
        <w:fldChar w:fldCharType="end"/>
      </w:r>
      <w:r>
        <w:rPr>
          <w:rFonts w:hint="eastAsia" w:asciiTheme="majorEastAsia" w:hAnsiTheme="majorEastAsia" w:eastAsiaTheme="majorEastAsia"/>
          <w:bCs/>
          <w:sz w:val="24"/>
          <w:szCs w:val="24"/>
          <w:lang w:eastAsia="zh-CN"/>
        </w:rPr>
        <w:t>。未报名的参选人不能参加本项目比选。</w:t>
      </w:r>
    </w:p>
    <w:p>
      <w:pPr>
        <w:ind w:firstLine="840" w:firstLineChars="350"/>
        <w:rPr>
          <w:b/>
          <w:snapToGrid w:val="0"/>
          <w:spacing w:val="8"/>
          <w:sz w:val="24"/>
          <w:szCs w:val="24"/>
          <w:lang w:eastAsia="zh-CN"/>
        </w:rPr>
      </w:pPr>
      <w:r>
        <w:rPr>
          <w:rFonts w:hint="eastAsia" w:asciiTheme="majorEastAsia" w:hAnsiTheme="majorEastAsia" w:eastAsiaTheme="majorEastAsia"/>
          <w:bCs/>
          <w:sz w:val="24"/>
          <w:szCs w:val="24"/>
          <w:lang w:eastAsia="zh-CN"/>
        </w:rPr>
        <w:t>2)需到达现场进行技术交流并勘察现场，签订技术协议书。</w:t>
      </w:r>
    </w:p>
    <w:p>
      <w:pPr>
        <w:pStyle w:val="24"/>
        <w:numPr>
          <w:ilvl w:val="0"/>
          <w:numId w:val="1"/>
        </w:numPr>
        <w:autoSpaceDE/>
        <w:autoSpaceDN/>
        <w:spacing w:before="0"/>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参选文件递交要求</w:t>
      </w:r>
    </w:p>
    <w:p>
      <w:pPr>
        <w:autoSpaceDE/>
        <w:autoSpaceDN/>
        <w:ind w:firstLine="840" w:firstLineChars="35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参选文件递交地点：福建省漳州市漳浦县杜浔镇杜昌路9号</w:t>
      </w:r>
    </w:p>
    <w:p>
      <w:pPr>
        <w:autoSpaceDE/>
        <w:autoSpaceDN/>
        <w:ind w:firstLine="840" w:firstLineChars="35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递交截止时间：报名截止时间延后1个工作日</w:t>
      </w:r>
    </w:p>
    <w:p>
      <w:pPr>
        <w:pStyle w:val="24"/>
        <w:numPr>
          <w:ilvl w:val="0"/>
          <w:numId w:val="1"/>
        </w:numPr>
        <w:autoSpaceDE/>
        <w:autoSpaceDN/>
        <w:spacing w:before="0"/>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联系方式</w:t>
      </w:r>
    </w:p>
    <w:p>
      <w:pPr>
        <w:pStyle w:val="5"/>
        <w:snapToGrid w:val="0"/>
        <w:spacing w:line="360" w:lineRule="auto"/>
        <w:ind w:left="412" w:firstLine="480" w:firstLineChars="200"/>
        <w:rPr>
          <w:rFonts w:cs="宋体" w:asciiTheme="majorEastAsia" w:hAnsiTheme="majorEastAsia" w:eastAsiaTheme="majorEastAsia"/>
          <w:bCs/>
          <w:sz w:val="24"/>
          <w:szCs w:val="24"/>
        </w:rPr>
      </w:pPr>
      <w:r>
        <w:rPr>
          <w:rFonts w:hint="eastAsia" w:cs="宋体" w:asciiTheme="majorEastAsia" w:hAnsiTheme="majorEastAsia" w:eastAsiaTheme="majorEastAsia"/>
          <w:bCs/>
          <w:sz w:val="24"/>
          <w:szCs w:val="24"/>
        </w:rPr>
        <w:t>商务联系人：纪先生  电话：0596-6311823  邮箱：hzji@fhcpec.com.cn</w:t>
      </w:r>
    </w:p>
    <w:p>
      <w:pPr>
        <w:pStyle w:val="5"/>
        <w:snapToGrid w:val="0"/>
        <w:spacing w:line="360" w:lineRule="auto"/>
        <w:ind w:left="412" w:firstLine="480" w:firstLineChars="200"/>
        <w:rPr>
          <w:rFonts w:cs="宋体" w:asciiTheme="majorEastAsia" w:hAnsiTheme="majorEastAsia" w:eastAsiaTheme="majorEastAsia"/>
          <w:bCs/>
          <w:sz w:val="24"/>
          <w:szCs w:val="24"/>
        </w:rPr>
      </w:pPr>
      <w:r>
        <w:rPr>
          <w:rFonts w:hint="eastAsia" w:cs="宋体" w:asciiTheme="majorEastAsia" w:hAnsiTheme="majorEastAsia" w:eastAsiaTheme="majorEastAsia"/>
          <w:bCs/>
          <w:sz w:val="24"/>
          <w:szCs w:val="24"/>
        </w:rPr>
        <w:t>纪检监察室电话：0596-6311774  邮箱：</w:t>
      </w:r>
      <w:r>
        <w:fldChar w:fldCharType="begin"/>
      </w:r>
      <w:r>
        <w:instrText xml:space="preserve"> HYPERLINK "mailto:fhcjc@fhcpec.com.cn" </w:instrText>
      </w:r>
      <w:r>
        <w:fldChar w:fldCharType="separate"/>
      </w:r>
      <w:r>
        <w:rPr>
          <w:rStyle w:val="21"/>
          <w:rFonts w:hint="eastAsia" w:asciiTheme="majorEastAsia" w:hAnsiTheme="majorEastAsia" w:eastAsiaTheme="majorEastAsia"/>
          <w:sz w:val="24"/>
        </w:rPr>
        <w:t>fhcjc</w:t>
      </w:r>
      <w:r>
        <w:rPr>
          <w:rStyle w:val="21"/>
          <w:rFonts w:asciiTheme="majorEastAsia" w:hAnsiTheme="majorEastAsia" w:eastAsiaTheme="majorEastAsia"/>
          <w:sz w:val="24"/>
        </w:rPr>
        <w:t>@fhcpec.com.cn</w:t>
      </w:r>
      <w:r>
        <w:rPr>
          <w:rStyle w:val="21"/>
          <w:rFonts w:asciiTheme="majorEastAsia" w:hAnsiTheme="majorEastAsia" w:eastAsiaTheme="majorEastAsia"/>
          <w:sz w:val="24"/>
        </w:rPr>
        <w:fldChar w:fldCharType="end"/>
      </w:r>
    </w:p>
    <w:p>
      <w:pPr>
        <w:pStyle w:val="5"/>
        <w:snapToGrid w:val="0"/>
        <w:spacing w:line="360" w:lineRule="auto"/>
        <w:ind w:left="412" w:firstLine="480" w:firstLineChars="200"/>
        <w:rPr>
          <w:rFonts w:cs="宋体" w:asciiTheme="majorEastAsia" w:hAnsiTheme="majorEastAsia" w:eastAsiaTheme="majorEastAsia"/>
          <w:b/>
          <w:bCs/>
          <w:sz w:val="24"/>
          <w:szCs w:val="24"/>
        </w:rPr>
      </w:pPr>
      <w:r>
        <w:rPr>
          <w:rFonts w:hint="eastAsia" w:cs="宋体" w:asciiTheme="majorEastAsia" w:hAnsiTheme="majorEastAsia" w:eastAsiaTheme="majorEastAsia"/>
          <w:bCs/>
          <w:sz w:val="24"/>
          <w:szCs w:val="24"/>
        </w:rPr>
        <w:t>联系地址：漳州市漳浦县杜浔镇杜昌路9号</w:t>
      </w:r>
    </w:p>
    <w:p>
      <w:pPr>
        <w:tabs>
          <w:tab w:val="left" w:pos="1272"/>
        </w:tabs>
        <w:ind w:left="9"/>
        <w:jc w:val="center"/>
        <w:rPr>
          <w:sz w:val="24"/>
          <w:szCs w:val="24"/>
          <w:lang w:eastAsia="zh-CN"/>
        </w:rPr>
      </w:pPr>
      <w:r>
        <w:rPr>
          <w:rFonts w:hint="eastAsia"/>
          <w:sz w:val="24"/>
          <w:szCs w:val="24"/>
          <w:lang w:eastAsia="zh-CN"/>
        </w:rPr>
        <w:t>福建福海创石油化工有限公司</w:t>
      </w:r>
    </w:p>
    <w:p>
      <w:pPr>
        <w:spacing w:line="324" w:lineRule="auto"/>
        <w:ind w:firstLine="4200" w:firstLineChars="1750"/>
        <w:rPr>
          <w:sz w:val="24"/>
          <w:szCs w:val="24"/>
          <w:lang w:eastAsia="zh-CN"/>
        </w:rPr>
      </w:pPr>
      <w:r>
        <w:rPr>
          <w:rFonts w:hint="eastAsia"/>
          <w:sz w:val="24"/>
          <w:szCs w:val="24"/>
          <w:lang w:eastAsia="zh-CN"/>
        </w:rPr>
        <w:t>2021.04.15</w:t>
      </w:r>
    </w:p>
    <w:p>
      <w:pPr>
        <w:pStyle w:val="3"/>
        <w:tabs>
          <w:tab w:val="left" w:pos="1262"/>
        </w:tabs>
        <w:spacing w:line="355" w:lineRule="exact"/>
        <w:ind w:left="0" w:right="108"/>
        <w:jc w:val="center"/>
        <w:rPr>
          <w:lang w:eastAsia="zh-CN"/>
        </w:rPr>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ind w:left="680"/>
        <w:rPr>
          <w:rFonts w:asciiTheme="majorEastAsia" w:hAnsiTheme="majorEastAsia" w:eastAsiaTheme="majorEastAsia"/>
          <w:b/>
          <w:sz w:val="24"/>
          <w:szCs w:val="24"/>
          <w:lang w:eastAsia="zh-CN"/>
        </w:rPr>
      </w:pPr>
      <w:r>
        <w:rPr>
          <w:rFonts w:asciiTheme="majorEastAsia" w:hAnsiTheme="majorEastAsia" w:eastAsiaTheme="majorEastAsia"/>
          <w:b/>
          <w:w w:val="95"/>
          <w:sz w:val="24"/>
          <w:szCs w:val="24"/>
          <w:lang w:eastAsia="zh-CN"/>
        </w:rPr>
        <w:t>一、比选内容</w:t>
      </w:r>
    </w:p>
    <w:p>
      <w:pPr>
        <w:pStyle w:val="7"/>
        <w:ind w:left="595"/>
        <w:rPr>
          <w:rFonts w:asciiTheme="majorEastAsia" w:hAnsiTheme="majorEastAsia" w:eastAsiaTheme="majorEastAsia"/>
          <w:u w:val="single"/>
          <w:lang w:eastAsia="zh-CN"/>
        </w:rPr>
      </w:pPr>
      <w:r>
        <w:rPr>
          <w:rFonts w:asciiTheme="majorEastAsia" w:hAnsiTheme="majorEastAsia" w:eastAsiaTheme="majorEastAsia"/>
          <w:lang w:eastAsia="zh-CN"/>
        </w:rPr>
        <w:t>(一)</w:t>
      </w:r>
      <w:r>
        <w:rPr>
          <w:rFonts w:hint="eastAsia" w:asciiTheme="majorEastAsia" w:hAnsiTheme="majorEastAsia" w:eastAsiaTheme="majorEastAsia"/>
          <w:lang w:eastAsia="zh-CN"/>
        </w:rPr>
        <w:t>项目</w:t>
      </w:r>
      <w:r>
        <w:rPr>
          <w:rFonts w:asciiTheme="majorEastAsia" w:hAnsiTheme="majorEastAsia" w:eastAsiaTheme="majorEastAsia"/>
          <w:lang w:eastAsia="zh-CN"/>
        </w:rPr>
        <w:t>名称：</w:t>
      </w:r>
      <w:r>
        <w:rPr>
          <w:rFonts w:hint="eastAsia" w:asciiTheme="majorEastAsia" w:hAnsiTheme="majorEastAsia" w:eastAsiaTheme="majorEastAsia"/>
          <w:b/>
          <w:bCs/>
          <w:u w:val="single"/>
          <w:lang w:eastAsia="zh-CN"/>
        </w:rPr>
        <w:t>南部热源点一期工程可行性研究及项目申请</w:t>
      </w:r>
      <w:r>
        <w:rPr>
          <w:rFonts w:hint="eastAsia" w:asciiTheme="majorEastAsia" w:hAnsiTheme="majorEastAsia" w:eastAsiaTheme="majorEastAsia"/>
          <w:b/>
          <w:u w:val="single"/>
          <w:lang w:eastAsia="zh-CN"/>
        </w:rPr>
        <w:t xml:space="preserve">  </w:t>
      </w:r>
    </w:p>
    <w:p>
      <w:pPr>
        <w:pStyle w:val="7"/>
        <w:ind w:left="598"/>
        <w:rPr>
          <w:rFonts w:asciiTheme="majorEastAsia" w:hAnsiTheme="majorEastAsia" w:eastAsiaTheme="majorEastAsia"/>
          <w:lang w:eastAsia="zh-CN"/>
        </w:rPr>
      </w:pPr>
      <w:r>
        <w:rPr>
          <w:rFonts w:asciiTheme="majorEastAsia" w:hAnsiTheme="majorEastAsia" w:eastAsiaTheme="majorEastAsia"/>
          <w:lang w:eastAsia="zh-CN"/>
        </w:rPr>
        <w:t>(二)</w:t>
      </w:r>
      <w:r>
        <w:rPr>
          <w:rFonts w:hint="eastAsia" w:asciiTheme="majorEastAsia" w:hAnsiTheme="majorEastAsia" w:eastAsiaTheme="majorEastAsia"/>
          <w:lang w:eastAsia="zh-CN"/>
        </w:rPr>
        <w:t>项目</w:t>
      </w:r>
      <w:r>
        <w:rPr>
          <w:rFonts w:asciiTheme="majorEastAsia" w:hAnsiTheme="majorEastAsia" w:eastAsiaTheme="majorEastAsia"/>
          <w:lang w:eastAsia="zh-CN"/>
        </w:rPr>
        <w:t>地点：</w:t>
      </w:r>
      <w:r>
        <w:rPr>
          <w:rFonts w:hint="eastAsia" w:asciiTheme="majorEastAsia" w:hAnsiTheme="majorEastAsia" w:eastAsiaTheme="majorEastAsia"/>
          <w:b/>
          <w:u w:val="single"/>
          <w:lang w:eastAsia="zh-CN"/>
        </w:rPr>
        <w:t xml:space="preserve">漳州市漳浦县古雷开发区 </w:t>
      </w:r>
    </w:p>
    <w:p>
      <w:pPr>
        <w:pStyle w:val="7"/>
        <w:ind w:left="595"/>
        <w:rPr>
          <w:rFonts w:asciiTheme="majorEastAsia" w:hAnsiTheme="majorEastAsia" w:eastAsiaTheme="majorEastAsia"/>
          <w:lang w:eastAsia="zh-CN"/>
        </w:rPr>
      </w:pPr>
      <w:r>
        <w:rPr>
          <w:rFonts w:asciiTheme="majorEastAsia" w:hAnsiTheme="majorEastAsia" w:eastAsiaTheme="majorEastAsia"/>
          <w:lang w:eastAsia="zh-CN"/>
        </w:rPr>
        <w:t>(三)</w:t>
      </w:r>
      <w:r>
        <w:rPr>
          <w:rFonts w:hint="eastAsia" w:asciiTheme="majorEastAsia" w:hAnsiTheme="majorEastAsia" w:eastAsiaTheme="majorEastAsia"/>
          <w:lang w:eastAsia="zh-CN"/>
        </w:rPr>
        <w:t>承包方式：</w:t>
      </w:r>
      <w:r>
        <w:rPr>
          <w:rFonts w:hint="eastAsia" w:asciiTheme="majorEastAsia" w:hAnsiTheme="majorEastAsia" w:eastAsiaTheme="majorEastAsia"/>
          <w:b/>
          <w:u w:val="single"/>
          <w:lang w:eastAsia="zh-CN"/>
        </w:rPr>
        <w:t>本项目采用包干总价的方式。</w:t>
      </w:r>
    </w:p>
    <w:p>
      <w:pPr>
        <w:pStyle w:val="7"/>
        <w:ind w:left="598"/>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eastAsia="zh-CN"/>
        </w:rPr>
        <w:t>四</w:t>
      </w:r>
      <w:r>
        <w:rPr>
          <w:rFonts w:asciiTheme="majorEastAsia" w:hAnsiTheme="majorEastAsia" w:eastAsiaTheme="majorEastAsia"/>
          <w:lang w:eastAsia="zh-CN"/>
        </w:rPr>
        <w:t>)比选范围：</w:t>
      </w:r>
    </w:p>
    <w:p>
      <w:pPr>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1.项目概况：</w:t>
      </w:r>
      <w:r>
        <w:rPr>
          <w:rFonts w:hint="eastAsia" w:asciiTheme="majorEastAsia" w:hAnsiTheme="majorEastAsia" w:eastAsiaTheme="majorEastAsia"/>
          <w:snapToGrid w:val="0"/>
          <w:spacing w:val="8"/>
          <w:sz w:val="24"/>
          <w:szCs w:val="24"/>
          <w:u w:val="single"/>
          <w:lang w:eastAsia="zh-CN"/>
        </w:rPr>
        <w:t xml:space="preserve">见附件“技术规范书” </w:t>
      </w:r>
    </w:p>
    <w:p>
      <w:pPr>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2.比选范围及内容：</w:t>
      </w:r>
    </w:p>
    <w:p>
      <w:pPr>
        <w:ind w:firstLine="720" w:firstLineChars="3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本次比选范围内的可行性研究内容要求如下：</w:t>
      </w:r>
    </w:p>
    <w:p>
      <w:pPr>
        <w:ind w:firstLine="720" w:firstLineChars="3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1）将对南部热源点一期工程进行可行性研究报告编写服务。</w:t>
      </w:r>
    </w:p>
    <w:p>
      <w:pPr>
        <w:ind w:firstLine="720" w:firstLineChars="3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2）需针对本项目的改造条件和热负荷情况进行充分的分析和论证，提出改造设想及改造方案，并进行工程的投资估算及经济效益分析、风险等。</w:t>
      </w:r>
    </w:p>
    <w:p>
      <w:pPr>
        <w:ind w:firstLine="480" w:firstLineChars="200"/>
        <w:rPr>
          <w:sz w:val="24"/>
          <w:lang w:eastAsia="zh-CN"/>
        </w:rPr>
      </w:pPr>
      <w:r>
        <w:rPr>
          <w:rFonts w:hint="eastAsia" w:asciiTheme="majorEastAsia" w:hAnsiTheme="majorEastAsia" w:eastAsiaTheme="majorEastAsia"/>
          <w:sz w:val="24"/>
          <w:szCs w:val="24"/>
          <w:lang w:eastAsia="zh-CN"/>
        </w:rPr>
        <w:t>3.</w:t>
      </w:r>
      <w:r>
        <w:rPr>
          <w:rFonts w:hint="eastAsia"/>
          <w:sz w:val="24"/>
          <w:lang w:eastAsia="zh-CN"/>
        </w:rPr>
        <w:t xml:space="preserve"> 除非合同另有规定，均须遵守最新的国家标准</w:t>
      </w:r>
      <w:r>
        <w:rPr>
          <w:sz w:val="24"/>
          <w:lang w:eastAsia="zh-CN"/>
        </w:rPr>
        <w:t>(GB)</w:t>
      </w:r>
      <w:r>
        <w:rPr>
          <w:rFonts w:hint="eastAsia"/>
          <w:sz w:val="24"/>
          <w:lang w:eastAsia="zh-CN"/>
        </w:rPr>
        <w:t>、国家电力行业标准(</w:t>
      </w:r>
      <w:r>
        <w:rPr>
          <w:sz w:val="24"/>
          <w:lang w:eastAsia="zh-CN"/>
        </w:rPr>
        <w:t>DL</w:t>
      </w:r>
      <w:r>
        <w:rPr>
          <w:rFonts w:hint="eastAsia"/>
          <w:sz w:val="24"/>
          <w:lang w:eastAsia="zh-CN"/>
        </w:rPr>
        <w:t>)、国际电工委员会</w:t>
      </w:r>
      <w:r>
        <w:rPr>
          <w:sz w:val="24"/>
          <w:lang w:eastAsia="zh-CN"/>
        </w:rPr>
        <w:t>(IEC)</w:t>
      </w:r>
      <w:r>
        <w:rPr>
          <w:rFonts w:hint="eastAsia"/>
          <w:sz w:val="24"/>
          <w:lang w:eastAsia="zh-CN"/>
        </w:rPr>
        <w:t>标准及国际单位制</w:t>
      </w:r>
      <w:r>
        <w:rPr>
          <w:sz w:val="24"/>
          <w:lang w:eastAsia="zh-CN"/>
        </w:rPr>
        <w:t>(SI)</w:t>
      </w:r>
      <w:r>
        <w:rPr>
          <w:rFonts w:hint="eastAsia"/>
          <w:sz w:val="24"/>
          <w:lang w:eastAsia="zh-CN"/>
        </w:rPr>
        <w:t>标准。当上述标准不一致时，按技术条款要求高的标准执行。</w:t>
      </w:r>
    </w:p>
    <w:p>
      <w:pPr>
        <w:snapToGrid w:val="0"/>
        <w:ind w:left="-106" w:leftChars="-48" w:firstLine="720" w:firstLineChars="300"/>
        <w:rPr>
          <w:sz w:val="24"/>
          <w:lang w:eastAsia="zh-CN"/>
        </w:rPr>
      </w:pPr>
      <w:r>
        <w:rPr>
          <w:rFonts w:hint="eastAsia"/>
          <w:sz w:val="24"/>
          <w:lang w:eastAsia="zh-CN"/>
        </w:rPr>
        <w:t>DL/T5375-2018   《火力发电厂可行性研究报告内容深度规定》</w:t>
      </w:r>
    </w:p>
    <w:p>
      <w:pPr>
        <w:snapToGrid w:val="0"/>
        <w:ind w:left="-106" w:leftChars="-48" w:firstLine="720" w:firstLineChars="300"/>
        <w:rPr>
          <w:sz w:val="24"/>
          <w:lang w:eastAsia="zh-CN"/>
        </w:rPr>
      </w:pPr>
      <w:r>
        <w:rPr>
          <w:rFonts w:hint="eastAsia"/>
          <w:sz w:val="24"/>
          <w:lang w:eastAsia="zh-CN"/>
        </w:rPr>
        <w:t>GB</w:t>
      </w:r>
      <w:r>
        <w:rPr>
          <w:sz w:val="24"/>
          <w:lang w:eastAsia="zh-CN"/>
        </w:rPr>
        <w:t>500</w:t>
      </w:r>
      <w:r>
        <w:rPr>
          <w:rFonts w:hint="eastAsia"/>
          <w:sz w:val="24"/>
          <w:lang w:eastAsia="zh-CN"/>
        </w:rPr>
        <w:t>49</w:t>
      </w:r>
      <w:r>
        <w:rPr>
          <w:sz w:val="24"/>
          <w:lang w:eastAsia="zh-CN"/>
        </w:rPr>
        <w:t>-</w:t>
      </w:r>
      <w:r>
        <w:rPr>
          <w:rFonts w:hint="eastAsia"/>
          <w:sz w:val="24"/>
          <w:lang w:eastAsia="zh-CN"/>
        </w:rPr>
        <w:t>2011</w:t>
      </w:r>
      <w:r>
        <w:rPr>
          <w:rFonts w:hint="eastAsia"/>
          <w:sz w:val="24"/>
          <w:lang w:eastAsia="zh-CN"/>
        </w:rPr>
        <w:tab/>
      </w:r>
      <w:r>
        <w:rPr>
          <w:rFonts w:hint="eastAsia"/>
          <w:sz w:val="24"/>
          <w:lang w:eastAsia="zh-CN"/>
        </w:rPr>
        <w:t xml:space="preserve">   《小型火力发电厂设计规范》</w:t>
      </w:r>
    </w:p>
    <w:p>
      <w:pPr>
        <w:snapToGrid w:val="0"/>
        <w:ind w:left="-106" w:leftChars="-48" w:firstLine="720" w:firstLineChars="300"/>
        <w:rPr>
          <w:sz w:val="24"/>
          <w:lang w:eastAsia="zh-CN"/>
        </w:rPr>
      </w:pPr>
      <w:r>
        <w:rPr>
          <w:rFonts w:hint="eastAsia"/>
          <w:sz w:val="24"/>
          <w:lang w:eastAsia="zh-CN"/>
        </w:rPr>
        <w:t>发改能源〔2016〕617号  《热电联产管理办法》</w:t>
      </w:r>
    </w:p>
    <w:p>
      <w:pPr>
        <w:ind w:firstLine="600" w:firstLineChars="250"/>
        <w:rPr>
          <w:rFonts w:asciiTheme="majorEastAsia" w:hAnsiTheme="majorEastAsia" w:eastAsiaTheme="majorEastAsia"/>
          <w:sz w:val="24"/>
          <w:szCs w:val="24"/>
          <w:lang w:eastAsia="zh-CN"/>
        </w:rPr>
      </w:pPr>
      <w:r>
        <w:rPr>
          <w:rFonts w:hint="eastAsia"/>
          <w:sz w:val="24"/>
          <w:lang w:eastAsia="zh-CN"/>
        </w:rPr>
        <w:t xml:space="preserve">国家能源局 </w:t>
      </w:r>
      <w:r>
        <w:rPr>
          <w:sz w:val="24"/>
          <w:lang w:eastAsia="zh-CN"/>
        </w:rPr>
        <w:t>国能安全〔</w:t>
      </w:r>
      <w:r>
        <w:rPr>
          <w:rFonts w:hint="eastAsia"/>
          <w:sz w:val="24"/>
          <w:lang w:eastAsia="zh-CN"/>
        </w:rPr>
        <w:t>2014〕161号《防止电力生产事故的二十五项重点要求》</w:t>
      </w:r>
    </w:p>
    <w:p>
      <w:pPr>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4. 成果提交要求：</w:t>
      </w:r>
    </w:p>
    <w:p>
      <w:pPr>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见附件“技术规范书”</w:t>
      </w:r>
    </w:p>
    <w:p>
      <w:pPr>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5.工期要求</w:t>
      </w:r>
      <w:r>
        <w:rPr>
          <w:rFonts w:asciiTheme="majorEastAsia" w:hAnsiTheme="majorEastAsia" w:eastAsiaTheme="majorEastAsia"/>
          <w:sz w:val="24"/>
          <w:szCs w:val="24"/>
          <w:lang w:eastAsia="zh-CN"/>
        </w:rPr>
        <w:t>：</w:t>
      </w:r>
    </w:p>
    <w:p>
      <w:pPr>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 xml:space="preserve">5.1、合同签订后60天完成可研报告并通过专家评审； </w:t>
      </w:r>
    </w:p>
    <w:p>
      <w:pPr>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5.2、资料提供齐全后20天内完成项目申请报告。</w:t>
      </w:r>
    </w:p>
    <w:p>
      <w:pPr>
        <w:widowControl/>
        <w:tabs>
          <w:tab w:val="left" w:pos="0"/>
          <w:tab w:val="left" w:pos="993"/>
          <w:tab w:val="left" w:pos="1134"/>
        </w:tabs>
        <w:autoSpaceDE/>
        <w:autoSpaceDN/>
        <w:ind w:firstLine="480" w:firstLineChars="200"/>
        <w:jc w:val="both"/>
        <w:rPr>
          <w:rFonts w:asciiTheme="majorEastAsia" w:hAnsiTheme="majorEastAsia" w:eastAsiaTheme="majorEastAsia"/>
          <w:spacing w:val="-10"/>
          <w:sz w:val="24"/>
          <w:szCs w:val="24"/>
          <w:lang w:eastAsia="zh-CN"/>
        </w:rPr>
      </w:pPr>
      <w:r>
        <w:rPr>
          <w:rFonts w:hint="eastAsia" w:asciiTheme="majorEastAsia" w:hAnsiTheme="majorEastAsia" w:eastAsiaTheme="majorEastAsia"/>
          <w:sz w:val="24"/>
          <w:szCs w:val="24"/>
          <w:lang w:eastAsia="zh-CN"/>
        </w:rPr>
        <w:t>6.控制价：</w:t>
      </w:r>
      <w:r>
        <w:rPr>
          <w:rFonts w:hint="eastAsia" w:asciiTheme="majorEastAsia" w:hAnsiTheme="majorEastAsia" w:eastAsiaTheme="majorEastAsia"/>
          <w:b/>
          <w:spacing w:val="-10"/>
          <w:sz w:val="24"/>
          <w:szCs w:val="24"/>
          <w:lang w:eastAsia="zh-CN"/>
        </w:rPr>
        <w:t>本项目最高限价为人民币</w:t>
      </w:r>
      <w:r>
        <w:rPr>
          <w:rFonts w:hint="eastAsia" w:asciiTheme="majorEastAsia" w:hAnsiTheme="majorEastAsia" w:eastAsiaTheme="majorEastAsia"/>
          <w:b/>
          <w:color w:val="FF0000"/>
          <w:spacing w:val="-10"/>
          <w:sz w:val="24"/>
          <w:szCs w:val="24"/>
          <w:lang w:eastAsia="zh-CN"/>
        </w:rPr>
        <w:t>99万元</w:t>
      </w:r>
      <w:r>
        <w:rPr>
          <w:rFonts w:hint="eastAsia" w:asciiTheme="majorEastAsia" w:hAnsiTheme="majorEastAsia" w:eastAsiaTheme="majorEastAsia"/>
          <w:spacing w:val="-10"/>
          <w:sz w:val="24"/>
          <w:szCs w:val="24"/>
          <w:lang w:eastAsia="zh-CN"/>
        </w:rPr>
        <w:t>。参选人在比选文件中填报的投标总价高于最高限价的，视为未实质性响应招标文件要求，其报价将被视为无效报价。</w:t>
      </w:r>
    </w:p>
    <w:p>
      <w:pPr>
        <w:pStyle w:val="3"/>
        <w:spacing w:before="18"/>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二、定义和解释</w:t>
      </w:r>
    </w:p>
    <w:p>
      <w:pPr>
        <w:pStyle w:val="7"/>
        <w:ind w:left="598"/>
        <w:rPr>
          <w:rFonts w:asciiTheme="majorEastAsia" w:hAnsiTheme="majorEastAsia" w:eastAsiaTheme="majorEastAsia"/>
          <w:lang w:eastAsia="zh-CN"/>
        </w:rPr>
      </w:pPr>
      <w:r>
        <w:rPr>
          <w:rFonts w:asciiTheme="majorEastAsia" w:hAnsiTheme="majorEastAsia" w:eastAsiaTheme="majorEastAsia"/>
          <w:lang w:eastAsia="zh-CN"/>
        </w:rPr>
        <w:t>1.“比选人”系</w:t>
      </w: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有限公司，即业主方。</w:t>
      </w:r>
    </w:p>
    <w:p>
      <w:pPr>
        <w:pStyle w:val="7"/>
        <w:ind w:left="118" w:right="222" w:firstLine="480"/>
        <w:rPr>
          <w:rFonts w:asciiTheme="majorEastAsia" w:hAnsiTheme="majorEastAsia" w:eastAsiaTheme="majorEastAsia"/>
          <w:lang w:eastAsia="zh-CN"/>
        </w:rPr>
      </w:pPr>
      <w:r>
        <w:rPr>
          <w:rFonts w:asciiTheme="majorEastAsia" w:hAnsiTheme="majorEastAsia" w:eastAsiaTheme="majorEastAsia"/>
          <w:spacing w:val="-11"/>
          <w:lang w:eastAsia="zh-CN"/>
        </w:rPr>
        <w:t>2</w:t>
      </w:r>
      <w:r>
        <w:rPr>
          <w:rFonts w:asciiTheme="majorEastAsia" w:hAnsiTheme="majorEastAsia" w:eastAsiaTheme="majorEastAsia"/>
          <w:spacing w:val="-10"/>
          <w:lang w:eastAsia="zh-CN"/>
        </w:rPr>
        <w:t>.“参选人”系指向比选人报名并接受邀请，领取比选文件，且已经提交或准备提交本次参选文件的法人。</w:t>
      </w:r>
    </w:p>
    <w:p>
      <w:pPr>
        <w:pStyle w:val="7"/>
        <w:ind w:left="118" w:right="222" w:firstLine="480"/>
        <w:rPr>
          <w:rFonts w:asciiTheme="majorEastAsia" w:hAnsiTheme="majorEastAsia" w:eastAsiaTheme="majorEastAsia"/>
          <w:lang w:eastAsia="zh-CN"/>
        </w:rPr>
      </w:pPr>
      <w:r>
        <w:rPr>
          <w:rFonts w:asciiTheme="majorEastAsia" w:hAnsiTheme="majorEastAsia" w:eastAsiaTheme="majorEastAsia"/>
          <w:spacing w:val="-14"/>
          <w:lang w:eastAsia="zh-CN"/>
        </w:rPr>
        <w:t>3</w:t>
      </w:r>
      <w:r>
        <w:rPr>
          <w:rFonts w:asciiTheme="majorEastAsia" w:hAnsiTheme="majorEastAsia" w:eastAsia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hint="eastAsia" w:asciiTheme="majorEastAsia" w:hAnsiTheme="majorEastAsia" w:eastAsiaTheme="majorEastAsia"/>
          <w:spacing w:val="-10"/>
          <w:lang w:eastAsia="zh-CN"/>
        </w:rPr>
        <w:t>二</w:t>
      </w:r>
      <w:r>
        <w:rPr>
          <w:rFonts w:asciiTheme="majorEastAsia" w:hAnsiTheme="majorEastAsia" w:eastAsiaTheme="majorEastAsia"/>
          <w:spacing w:val="-10"/>
          <w:lang w:eastAsia="zh-CN"/>
        </w:rPr>
        <w:t>。</w:t>
      </w:r>
    </w:p>
    <w:p>
      <w:pPr>
        <w:pStyle w:val="3"/>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三、比选文件组成</w:t>
      </w:r>
    </w:p>
    <w:p>
      <w:pPr>
        <w:pStyle w:val="7"/>
        <w:ind w:left="598"/>
        <w:rPr>
          <w:rFonts w:asciiTheme="majorEastAsia" w:hAnsiTheme="majorEastAsia" w:eastAsiaTheme="majorEastAsia"/>
          <w:lang w:eastAsia="zh-CN"/>
        </w:rPr>
      </w:pPr>
      <w:r>
        <w:rPr>
          <w:rFonts w:asciiTheme="majorEastAsia" w:hAnsiTheme="majorEastAsia" w:eastAsiaTheme="majorEastAsia"/>
          <w:lang w:eastAsia="zh-CN"/>
        </w:rPr>
        <w:t>1.比选文件包括下列内容：</w:t>
      </w:r>
    </w:p>
    <w:p>
      <w:pPr>
        <w:pStyle w:val="7"/>
        <w:ind w:left="598"/>
        <w:rPr>
          <w:rFonts w:asciiTheme="majorEastAsia" w:hAnsiTheme="majorEastAsia" w:eastAsiaTheme="majorEastAsia"/>
          <w:lang w:eastAsia="zh-CN"/>
        </w:rPr>
      </w:pPr>
      <w:r>
        <w:rPr>
          <w:rFonts w:asciiTheme="majorEastAsia" w:hAnsiTheme="majorEastAsia" w:eastAsiaTheme="majorEastAsia"/>
          <w:lang w:eastAsia="zh-CN"/>
        </w:rPr>
        <w:t>比选公告、比选须知、项目内容、合同书格式、报价单、承诺函等。</w:t>
      </w:r>
    </w:p>
    <w:p>
      <w:pPr>
        <w:pStyle w:val="7"/>
        <w:ind w:left="118" w:right="212" w:firstLine="480"/>
        <w:rPr>
          <w:rFonts w:asciiTheme="majorEastAsia" w:hAnsiTheme="majorEastAsia" w:eastAsiaTheme="majorEastAsia"/>
          <w:lang w:eastAsia="zh-CN"/>
        </w:rPr>
      </w:pPr>
      <w:r>
        <w:rPr>
          <w:rFonts w:asciiTheme="majorEastAsia" w:hAnsiTheme="majorEastAsia" w:eastAsiaTheme="majorEastAsia"/>
          <w:lang w:eastAsia="zh-CN"/>
        </w:rPr>
        <w:t>2.比选文件除 1 中内容外，比选人在比选期间发出的书面文件和其他修改或补充函件，均是比选文件不可分割的组成部分。</w:t>
      </w:r>
    </w:p>
    <w:p>
      <w:pPr>
        <w:pStyle w:val="7"/>
        <w:spacing w:before="26"/>
        <w:ind w:left="598"/>
        <w:rPr>
          <w:rFonts w:asciiTheme="majorEastAsia" w:hAnsiTheme="majorEastAsia" w:eastAsiaTheme="majorEastAsia"/>
          <w:lang w:eastAsia="zh-CN"/>
        </w:rPr>
      </w:pPr>
      <w:r>
        <w:rPr>
          <w:rFonts w:asciiTheme="majorEastAsia" w:hAnsiTheme="majorEastAsia" w:eastAsiaTheme="majorEastAsia"/>
          <w:lang w:eastAsia="zh-CN"/>
        </w:rPr>
        <w:t>3.</w:t>
      </w:r>
      <w:r>
        <w:rPr>
          <w:rFonts w:asciiTheme="majorEastAsia" w:hAnsiTheme="majorEastAsia" w:eastAsiaTheme="majorEastAsia"/>
          <w:spacing w:val="-12"/>
          <w:lang w:eastAsia="zh-CN"/>
        </w:rPr>
        <w:t>参选人应认真阅读、并充分理解比选文件的全部内容</w:t>
      </w:r>
      <w:r>
        <w:rPr>
          <w:rFonts w:asciiTheme="majorEastAsia" w:hAnsiTheme="majorEastAsia" w:eastAsiaTheme="majorEastAsia"/>
          <w:lang w:eastAsia="zh-CN"/>
        </w:rPr>
        <w:t>（</w:t>
      </w:r>
      <w:r>
        <w:rPr>
          <w:rFonts w:asciiTheme="majorEastAsia" w:hAnsiTheme="majorEastAsia" w:eastAsiaTheme="majorEastAsia"/>
          <w:spacing w:val="-9"/>
          <w:lang w:eastAsia="zh-CN"/>
        </w:rPr>
        <w:t>包括所有的补充、修改内容、</w:t>
      </w:r>
    </w:p>
    <w:p>
      <w:pPr>
        <w:pStyle w:val="7"/>
        <w:ind w:left="118"/>
        <w:rPr>
          <w:rFonts w:asciiTheme="majorEastAsia" w:hAnsiTheme="majorEastAsia" w:eastAsiaTheme="majorEastAsia"/>
          <w:lang w:eastAsia="zh-CN"/>
        </w:rPr>
      </w:pPr>
      <w:r>
        <w:rPr>
          <w:rFonts w:asciiTheme="majorEastAsia" w:hAnsiTheme="majorEastAsia" w:eastAsiaTheme="majorEastAsia"/>
          <w:lang w:eastAsia="zh-CN"/>
        </w:rPr>
        <w:t>重要事项、格式、条款和技术规范、参数及要求等）。参选人没有按照比选文件要求提交</w:t>
      </w:r>
    </w:p>
    <w:p>
      <w:pPr>
        <w:pStyle w:val="7"/>
        <w:ind w:left="118" w:right="-49"/>
        <w:rPr>
          <w:rFonts w:asciiTheme="majorEastAsia" w:hAnsiTheme="majorEastAsia" w:eastAsiaTheme="majorEastAsia"/>
          <w:spacing w:val="-10"/>
          <w:lang w:eastAsia="zh-CN"/>
        </w:rPr>
      </w:pPr>
      <w:r>
        <w:rPr>
          <w:rFonts w:asciiTheme="majorEastAsia" w:hAnsiTheme="majorEastAsia" w:eastAsiaTheme="majorEastAsia"/>
          <w:spacing w:val="-10"/>
          <w:lang w:eastAsia="zh-CN"/>
        </w:rPr>
        <w:t>全部资料，或者没有对比选文件在各方面都做出实质性响应是参选人的风险，有可能导致其参选被拒绝，或被认定为无效参选或被确定为参选无效。</w:t>
      </w:r>
    </w:p>
    <w:p>
      <w:pPr>
        <w:pStyle w:val="3"/>
        <w:ind w:left="0" w:firstLine="458" w:firstLineChars="20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四、比选文件的澄清</w:t>
      </w:r>
    </w:p>
    <w:p>
      <w:pPr>
        <w:pStyle w:val="7"/>
        <w:ind w:left="118" w:right="92" w:firstLine="480"/>
        <w:rPr>
          <w:rFonts w:asciiTheme="majorEastAsia" w:hAnsiTheme="majorEastAsia" w:eastAsiaTheme="majorEastAsia"/>
          <w:lang w:eastAsia="zh-CN"/>
        </w:rPr>
      </w:pPr>
      <w:r>
        <w:rPr>
          <w:rFonts w:asciiTheme="majorEastAsia" w:hAnsiTheme="majorEastAsia" w:eastAsiaTheme="majorEastAsia"/>
          <w:spacing w:val="-9"/>
          <w:lang w:eastAsia="zh-CN"/>
        </w:rPr>
        <w:t>参选人获取比选文件后，应仔细检查比选文件的所有内容，如有残缺等问题应在获得</w:t>
      </w:r>
      <w:r>
        <w:rPr>
          <w:rFonts w:asciiTheme="majorEastAsia" w:hAnsiTheme="majorEastAsia" w:eastAsiaTheme="majorEastAsia"/>
          <w:spacing w:val="-20"/>
          <w:lang w:eastAsia="zh-CN"/>
        </w:rPr>
        <w:t>比选文件</w:t>
      </w:r>
      <w:r>
        <w:rPr>
          <w:rFonts w:asciiTheme="majorEastAsia" w:hAnsiTheme="majorEastAsia" w:eastAsiaTheme="majorEastAsia"/>
          <w:spacing w:val="-20"/>
          <w:u w:val="single"/>
          <w:lang w:eastAsia="zh-CN"/>
        </w:rPr>
        <w:t xml:space="preserve"> </w:t>
      </w:r>
      <w:r>
        <w:rPr>
          <w:rFonts w:asciiTheme="majorEastAsia" w:hAnsiTheme="majorEastAsia" w:eastAsiaTheme="majorEastAsia"/>
          <w:u w:val="single"/>
          <w:lang w:eastAsia="zh-CN"/>
        </w:rPr>
        <w:t>3</w:t>
      </w:r>
      <w:r>
        <w:rPr>
          <w:rFonts w:asciiTheme="majorEastAsia" w:hAnsiTheme="majorEastAsia" w:eastAsiaTheme="majorEastAsia"/>
          <w:spacing w:val="-13"/>
          <w:u w:val="single"/>
          <w:lang w:eastAsia="zh-CN"/>
        </w:rPr>
        <w:t xml:space="preserve"> </w:t>
      </w:r>
      <w:r>
        <w:rPr>
          <w:rFonts w:asciiTheme="majorEastAsia" w:hAnsiTheme="majorEastAsia" w:eastAsiaTheme="majorEastAsia"/>
          <w:spacing w:val="-13"/>
          <w:lang w:eastAsia="zh-CN"/>
        </w:rPr>
        <w:t>日内向比选人提出。参选人若对比选文件有任何疑问，应在参选截止时间前</w:t>
      </w:r>
      <w:r>
        <w:rPr>
          <w:rFonts w:asciiTheme="majorEastAsia" w:hAnsiTheme="majorEastAsia" w:eastAsiaTheme="majorEastAsia"/>
          <w:spacing w:val="-13"/>
          <w:u w:val="single"/>
          <w:lang w:eastAsia="zh-CN"/>
        </w:rPr>
        <w:t xml:space="preserve"> </w:t>
      </w:r>
      <w:r>
        <w:rPr>
          <w:rFonts w:asciiTheme="majorEastAsia" w:hAnsiTheme="majorEastAsia" w:eastAsiaTheme="majorEastAsia"/>
          <w:u w:val="single"/>
          <w:lang w:eastAsia="zh-CN"/>
        </w:rPr>
        <w:t xml:space="preserve">5 </w:t>
      </w:r>
      <w:r>
        <w:rPr>
          <w:rFonts w:asciiTheme="majorEastAsia" w:hAnsiTheme="majorEastAsia" w:eastAsiaTheme="majorEastAsia"/>
          <w:spacing w:val="-10"/>
          <w:lang w:eastAsia="zh-CN"/>
        </w:rPr>
        <w:t>日，按参选须知载明的地址以书面形式</w:t>
      </w:r>
      <w:r>
        <w:rPr>
          <w:rFonts w:asciiTheme="majorEastAsia" w:hAnsiTheme="majorEastAsia" w:eastAsiaTheme="majorEastAsia"/>
          <w:spacing w:val="-3"/>
          <w:lang w:eastAsia="zh-CN"/>
        </w:rPr>
        <w:t>（</w:t>
      </w:r>
      <w:r>
        <w:rPr>
          <w:rFonts w:asciiTheme="majorEastAsia" w:hAnsiTheme="majorEastAsia" w:eastAsiaTheme="majorEastAsia"/>
          <w:spacing w:val="-10"/>
          <w:lang w:eastAsia="zh-CN"/>
        </w:rPr>
        <w:t>包括书面、电子邮件下同</w:t>
      </w:r>
      <w:r>
        <w:rPr>
          <w:rFonts w:asciiTheme="majorEastAsia" w:hAnsiTheme="majorEastAsia" w:eastAsiaTheme="majorEastAsia"/>
          <w:spacing w:val="-49"/>
          <w:lang w:eastAsia="zh-CN"/>
        </w:rPr>
        <w:t>）</w:t>
      </w:r>
      <w:r>
        <w:rPr>
          <w:rFonts w:asciiTheme="majorEastAsia" w:hAnsiTheme="majorEastAsia" w:eastAsiaTheme="majorEastAsia"/>
          <w:lang w:eastAsia="zh-CN"/>
        </w:rPr>
        <w:t>通知到比选人。</w:t>
      </w:r>
      <w:r>
        <w:rPr>
          <w:rFonts w:asciiTheme="majorEastAsia" w:hAnsiTheme="majorEastAsia" w:eastAsiaTheme="majorEastAsia"/>
          <w:spacing w:val="-4"/>
          <w:lang w:eastAsia="zh-CN"/>
        </w:rPr>
        <w:t>比选人将视情况确定采用适当方式予以澄清或以书面形式予以答复，澄清文件作为比选文件的组成部分，具有约束作用。</w:t>
      </w:r>
    </w:p>
    <w:p>
      <w:pPr>
        <w:pStyle w:val="3"/>
        <w:ind w:left="0" w:firstLine="458" w:firstLineChars="20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五、比选文件的修改、补充</w:t>
      </w:r>
    </w:p>
    <w:p>
      <w:pPr>
        <w:pStyle w:val="7"/>
        <w:ind w:left="118" w:right="226" w:firstLine="480"/>
        <w:jc w:val="both"/>
        <w:rPr>
          <w:rFonts w:asciiTheme="majorEastAsia" w:hAnsiTheme="majorEastAsia" w:eastAsiaTheme="majorEastAsia"/>
          <w:lang w:eastAsia="zh-CN"/>
        </w:rPr>
      </w:pPr>
      <w:r>
        <w:rPr>
          <w:rFonts w:asciiTheme="majorEastAsia" w:hAnsiTheme="majorEastAsia" w:eastAsiaTheme="majorEastAsia"/>
          <w:lang w:eastAsia="zh-CN"/>
        </w:rPr>
        <w:t>1.在参选截止日期前，比选人可主动地或依据参选人要求澄清的问题而修改比选文</w:t>
      </w:r>
      <w:r>
        <w:rPr>
          <w:rFonts w:asciiTheme="majorEastAsia" w:hAnsiTheme="majorEastAsia" w:eastAsiaTheme="majorEastAsia"/>
          <w:spacing w:val="-10"/>
          <w:lang w:eastAsia="zh-CN"/>
        </w:rPr>
        <w:t>件，并以书面形式通知所有报名参加比选项目的每一参选人，对方在收到该通知后应立即</w:t>
      </w:r>
      <w:r>
        <w:rPr>
          <w:rFonts w:asciiTheme="majorEastAsia" w:hAnsiTheme="majorEastAsia" w:eastAsiaTheme="majorEastAsia"/>
          <w:spacing w:val="-2"/>
          <w:lang w:eastAsia="zh-CN"/>
        </w:rPr>
        <w:t>以书面形式予以确认；参选人未按规定时间予以确认或未按规定时间地点领取书面文件的，视比选通知已收到。</w:t>
      </w:r>
    </w:p>
    <w:p>
      <w:pPr>
        <w:pStyle w:val="7"/>
        <w:spacing w:before="27"/>
        <w:ind w:left="118" w:right="222" w:firstLine="480"/>
        <w:rPr>
          <w:rFonts w:asciiTheme="majorEastAsia" w:hAnsiTheme="majorEastAsia" w:eastAsiaTheme="majorEastAsia"/>
          <w:lang w:eastAsia="zh-CN"/>
        </w:rPr>
      </w:pPr>
      <w:r>
        <w:rPr>
          <w:rFonts w:asciiTheme="majorEastAsia" w:hAnsiTheme="majorEastAsia" w:eastAsiaTheme="majorEastAsia"/>
          <w:lang w:eastAsia="zh-CN"/>
        </w:rPr>
        <w:t>2.</w:t>
      </w:r>
      <w:r>
        <w:rPr>
          <w:rFonts w:asciiTheme="majorEastAsia" w:hAnsiTheme="majorEastAsia" w:eastAsiaTheme="majorEastAsia"/>
          <w:spacing w:val="-5"/>
          <w:lang w:eastAsia="zh-CN"/>
        </w:rPr>
        <w:t>为使参选人在准备参选文件时有合理的时间考虑比选文件的修改，比选人可酌情推迟参选截止时间和开评时间，并以书面形式通知已获得比选文件的每一参选人。</w:t>
      </w:r>
    </w:p>
    <w:p>
      <w:pPr>
        <w:pStyle w:val="7"/>
        <w:spacing w:before="27"/>
        <w:ind w:left="598"/>
        <w:rPr>
          <w:rFonts w:asciiTheme="majorEastAsia" w:hAnsiTheme="majorEastAsia" w:eastAsiaTheme="majorEastAsia"/>
          <w:lang w:eastAsia="zh-CN"/>
        </w:rPr>
      </w:pPr>
      <w:r>
        <w:rPr>
          <w:rFonts w:asciiTheme="majorEastAsia" w:hAnsiTheme="majorEastAsia" w:eastAsiaTheme="majorEastAsia"/>
          <w:lang w:eastAsia="zh-CN"/>
        </w:rPr>
        <w:t>3.比选文件的修改书将构成比选文件的一部分，对参选人具有约束作用。</w:t>
      </w:r>
    </w:p>
    <w:p>
      <w:pPr>
        <w:pStyle w:val="7"/>
        <w:spacing w:before="27"/>
        <w:ind w:left="598"/>
        <w:rPr>
          <w:rFonts w:asciiTheme="majorEastAsia" w:hAnsiTheme="majorEastAsia" w:eastAsiaTheme="majorEastAsia"/>
          <w:lang w:eastAsia="zh-CN"/>
        </w:rPr>
      </w:pPr>
      <w:r>
        <w:rPr>
          <w:rFonts w:hint="eastAsia" w:asciiTheme="majorEastAsia" w:hAnsiTheme="majorEastAsia" w:eastAsiaTheme="majorEastAsia"/>
          <w:lang w:eastAsia="zh-CN"/>
        </w:rPr>
        <w:t>4.比选人所作的一切有效补充、修改文件，均被视为比选文件不可分割的部分。</w:t>
      </w:r>
    </w:p>
    <w:p>
      <w:pPr>
        <w:pStyle w:val="3"/>
        <w:ind w:left="0" w:firstLine="458" w:firstLineChars="20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六、参选人资格</w:t>
      </w:r>
    </w:p>
    <w:p>
      <w:pPr>
        <w:ind w:firstLine="480" w:firstLineChars="200"/>
        <w:rPr>
          <w:sz w:val="24"/>
          <w:szCs w:val="24"/>
          <w:lang w:eastAsia="zh-CN"/>
        </w:rPr>
      </w:pPr>
      <w:r>
        <w:rPr>
          <w:rFonts w:hint="eastAsia"/>
          <w:sz w:val="24"/>
          <w:szCs w:val="24"/>
          <w:lang w:eastAsia="zh-CN"/>
        </w:rPr>
        <w:t xml:space="preserve">1. </w:t>
      </w:r>
      <w:r>
        <w:rPr>
          <w:rFonts w:hint="eastAsia" w:asciiTheme="majorEastAsia" w:hAnsiTheme="majorEastAsia" w:eastAsiaTheme="majorEastAsia"/>
          <w:sz w:val="24"/>
          <w:szCs w:val="24"/>
          <w:lang w:eastAsia="zh-CN"/>
        </w:rPr>
        <w:t>必须具有中华人民共和国独立法人资格，</w:t>
      </w:r>
      <w:r>
        <w:rPr>
          <w:rFonts w:hint="eastAsia"/>
          <w:sz w:val="24"/>
          <w:szCs w:val="24"/>
          <w:lang w:eastAsia="zh-CN"/>
        </w:rPr>
        <w:t>具备有效的企业法人营业执照；</w:t>
      </w:r>
    </w:p>
    <w:p>
      <w:pPr>
        <w:ind w:firstLine="480" w:firstLineChars="200"/>
        <w:rPr>
          <w:sz w:val="24"/>
          <w:szCs w:val="24"/>
          <w:lang w:eastAsia="zh-CN"/>
        </w:rPr>
      </w:pPr>
      <w:r>
        <w:rPr>
          <w:rFonts w:hint="eastAsia"/>
          <w:sz w:val="24"/>
          <w:szCs w:val="24"/>
          <w:lang w:eastAsia="zh-CN"/>
        </w:rPr>
        <w:t xml:space="preserve">2. </w:t>
      </w:r>
      <w:r>
        <w:rPr>
          <w:rFonts w:hint="eastAsia"/>
          <w:sz w:val="24"/>
          <w:lang w:eastAsia="zh-CN"/>
        </w:rPr>
        <w:t>参选方应具有建设主管部门颁发的电力工程设计资质甲级及以上资质、工程勘察甲级及以上资质</w:t>
      </w:r>
      <w:r>
        <w:rPr>
          <w:rFonts w:hint="eastAsia"/>
          <w:sz w:val="24"/>
          <w:szCs w:val="24"/>
          <w:lang w:eastAsia="zh-CN"/>
        </w:rPr>
        <w:t>；</w:t>
      </w:r>
    </w:p>
    <w:p>
      <w:pPr>
        <w:ind w:firstLine="480" w:firstLineChars="200"/>
        <w:rPr>
          <w:sz w:val="24"/>
          <w:szCs w:val="24"/>
          <w:lang w:eastAsia="zh-CN"/>
        </w:rPr>
      </w:pPr>
      <w:r>
        <w:rPr>
          <w:rFonts w:hint="eastAsia"/>
          <w:sz w:val="24"/>
          <w:szCs w:val="24"/>
          <w:lang w:eastAsia="zh-CN"/>
        </w:rPr>
        <w:t xml:space="preserve">3. </w:t>
      </w:r>
      <w:r>
        <w:rPr>
          <w:rFonts w:hint="eastAsia"/>
          <w:sz w:val="24"/>
          <w:lang w:eastAsia="zh-CN"/>
        </w:rPr>
        <w:t>近五年内承担过同类工程设计或</w:t>
      </w:r>
      <w:r>
        <w:rPr>
          <w:sz w:val="24"/>
          <w:lang w:eastAsia="zh-CN"/>
        </w:rPr>
        <w:t>EPC业绩</w:t>
      </w:r>
      <w:r>
        <w:rPr>
          <w:rFonts w:hint="eastAsia"/>
          <w:sz w:val="24"/>
          <w:lang w:eastAsia="zh-CN"/>
        </w:rPr>
        <w:t>，并有良好的履约记录</w:t>
      </w:r>
      <w:r>
        <w:rPr>
          <w:rFonts w:hint="eastAsia"/>
          <w:sz w:val="24"/>
          <w:szCs w:val="24"/>
          <w:lang w:eastAsia="zh-CN"/>
        </w:rPr>
        <w:t>；</w:t>
      </w:r>
    </w:p>
    <w:p>
      <w:pPr>
        <w:pStyle w:val="2"/>
        <w:spacing w:line="360" w:lineRule="auto"/>
        <w:ind w:firstLine="465"/>
        <w:rPr>
          <w:sz w:val="24"/>
          <w:szCs w:val="24"/>
        </w:rPr>
      </w:pPr>
      <w:r>
        <w:rPr>
          <w:rFonts w:hint="eastAsia"/>
          <w:sz w:val="24"/>
          <w:szCs w:val="24"/>
        </w:rPr>
        <w:t xml:space="preserve">4. </w:t>
      </w:r>
      <w:r>
        <w:rPr>
          <w:rFonts w:hint="eastAsia" w:hAnsi="宋体"/>
          <w:sz w:val="24"/>
        </w:rPr>
        <w:t>近三年内无设计质量事故，无被相关行政部门处罚记录</w:t>
      </w:r>
      <w:r>
        <w:rPr>
          <w:rFonts w:hint="eastAsia"/>
          <w:sz w:val="24"/>
          <w:szCs w:val="24"/>
        </w:rPr>
        <w:t>；</w:t>
      </w:r>
    </w:p>
    <w:p>
      <w:pPr>
        <w:pStyle w:val="2"/>
        <w:spacing w:line="360" w:lineRule="auto"/>
        <w:ind w:firstLine="465"/>
        <w:rPr>
          <w:sz w:val="24"/>
          <w:szCs w:val="24"/>
        </w:rPr>
      </w:pPr>
      <w:r>
        <w:rPr>
          <w:rFonts w:hint="eastAsia"/>
          <w:sz w:val="24"/>
          <w:szCs w:val="24"/>
        </w:rPr>
        <w:t xml:space="preserve">5. </w:t>
      </w:r>
      <w:r>
        <w:rPr>
          <w:rFonts w:hint="eastAsia" w:hAnsi="宋体"/>
          <w:sz w:val="24"/>
        </w:rPr>
        <w:t>参选方应提供相关设计业绩（附相关服务业绩证明）；</w:t>
      </w:r>
    </w:p>
    <w:p>
      <w:pPr>
        <w:pStyle w:val="2"/>
        <w:spacing w:line="360" w:lineRule="auto"/>
        <w:ind w:firstLine="465"/>
        <w:rPr>
          <w:sz w:val="24"/>
          <w:szCs w:val="24"/>
        </w:rPr>
      </w:pPr>
      <w:r>
        <w:rPr>
          <w:rFonts w:hint="eastAsia"/>
          <w:sz w:val="24"/>
          <w:szCs w:val="24"/>
        </w:rPr>
        <w:t xml:space="preserve">6. </w:t>
      </w:r>
      <w:r>
        <w:rPr>
          <w:rFonts w:hint="eastAsia" w:hAnsi="宋体"/>
          <w:sz w:val="24"/>
        </w:rPr>
        <w:t>报告应满足安全、适用、经济、满足本项目电力设计使用功能的要求，并经当地主管部门认可、审批通过；</w:t>
      </w:r>
    </w:p>
    <w:p>
      <w:pPr>
        <w:widowControl/>
        <w:autoSpaceDE/>
        <w:autoSpaceDN/>
        <w:ind w:firstLine="480" w:firstLineChars="200"/>
        <w:jc w:val="both"/>
        <w:rPr>
          <w:rFonts w:asciiTheme="majorEastAsia" w:hAnsiTheme="majorEastAsia" w:eastAsiaTheme="majorEastAsia"/>
          <w:sz w:val="24"/>
          <w:szCs w:val="24"/>
          <w:lang w:eastAsia="zh-CN"/>
        </w:rPr>
      </w:pPr>
      <w:r>
        <w:rPr>
          <w:rFonts w:hint="eastAsia"/>
          <w:sz w:val="24"/>
          <w:szCs w:val="24"/>
          <w:lang w:eastAsia="zh-CN"/>
        </w:rPr>
        <w:t xml:space="preserve">7. </w:t>
      </w:r>
      <w:r>
        <w:rPr>
          <w:rFonts w:asciiTheme="majorEastAsia" w:hAnsiTheme="majorEastAsia" w:eastAsiaTheme="majorEastAsia"/>
          <w:sz w:val="24"/>
          <w:szCs w:val="24"/>
          <w:lang w:eastAsia="zh-CN"/>
        </w:rPr>
        <w:t>没有失信黑名单记录（以最高院失信被执行人系统发布信息为准）；</w:t>
      </w:r>
    </w:p>
    <w:p>
      <w:pPr>
        <w:pStyle w:val="2"/>
        <w:spacing w:line="360" w:lineRule="auto"/>
        <w:ind w:firstLine="465"/>
        <w:rPr>
          <w:sz w:val="24"/>
          <w:szCs w:val="24"/>
        </w:rPr>
      </w:pPr>
      <w:r>
        <w:rPr>
          <w:rFonts w:hint="eastAsia" w:asciiTheme="majorEastAsia" w:hAnsiTheme="majorEastAsia" w:eastAsiaTheme="majorEastAsia"/>
          <w:sz w:val="24"/>
          <w:szCs w:val="24"/>
        </w:rPr>
        <w:t xml:space="preserve">8. </w:t>
      </w:r>
      <w:r>
        <w:rPr>
          <w:rFonts w:asciiTheme="majorEastAsia" w:hAnsiTheme="majorEastAsia" w:eastAsiaTheme="majorEastAsia"/>
          <w:sz w:val="24"/>
          <w:szCs w:val="24"/>
        </w:rPr>
        <w:t>与</w:t>
      </w:r>
      <w:r>
        <w:rPr>
          <w:rFonts w:hint="eastAsia" w:asciiTheme="majorEastAsia" w:hAnsiTheme="majorEastAsia" w:eastAsiaTheme="majorEastAsia"/>
          <w:sz w:val="24"/>
          <w:szCs w:val="24"/>
        </w:rPr>
        <w:t>比选人</w:t>
      </w:r>
      <w:r>
        <w:rPr>
          <w:rFonts w:asciiTheme="majorEastAsia" w:hAnsiTheme="majorEastAsia" w:eastAsiaTheme="majorEastAsia"/>
          <w:sz w:val="24"/>
          <w:szCs w:val="24"/>
        </w:rPr>
        <w:t>无诉讼纠纷</w:t>
      </w:r>
      <w:r>
        <w:rPr>
          <w:rFonts w:hint="eastAsia" w:asciiTheme="majorEastAsia" w:hAnsiTheme="majorEastAsia" w:eastAsiaTheme="majorEastAsia"/>
          <w:sz w:val="24"/>
          <w:szCs w:val="24"/>
        </w:rPr>
        <w:t>。</w:t>
      </w:r>
    </w:p>
    <w:p>
      <w:pPr>
        <w:pStyle w:val="3"/>
        <w:ind w:left="0" w:firstLine="480" w:firstLineChars="200"/>
        <w:rPr>
          <w:rFonts w:asciiTheme="majorEastAsia" w:hAnsiTheme="majorEastAsia" w:eastAsiaTheme="majorEastAsia"/>
          <w:b w:val="0"/>
          <w:bCs w:val="0"/>
          <w:sz w:val="24"/>
          <w:szCs w:val="24"/>
          <w:lang w:eastAsia="zh-CN"/>
        </w:rPr>
      </w:pPr>
      <w:r>
        <w:rPr>
          <w:rFonts w:hint="eastAsia"/>
          <w:b w:val="0"/>
          <w:sz w:val="24"/>
          <w:szCs w:val="24"/>
          <w:lang w:eastAsia="zh-CN"/>
        </w:rPr>
        <w:t>9. 本项目不接受联合体参选，不允许分包。</w:t>
      </w:r>
    </w:p>
    <w:p>
      <w:pPr>
        <w:pStyle w:val="3"/>
        <w:ind w:left="0" w:firstLine="458" w:firstLineChars="20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七、参选保证金</w:t>
      </w:r>
    </w:p>
    <w:p>
      <w:pPr>
        <w:widowControl/>
        <w:autoSpaceDE/>
        <w:autoSpaceDN/>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1、参选保证金的金额为：人民币贰万元整（20000.00元）；</w:t>
      </w:r>
    </w:p>
    <w:p>
      <w:pPr>
        <w:widowControl/>
        <w:autoSpaceDE/>
        <w:autoSpaceDN/>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2、参选保证金提交的时间：应在参选文件递交截止时间之前汇达指定账户；</w:t>
      </w:r>
    </w:p>
    <w:p>
      <w:pPr>
        <w:widowControl/>
        <w:autoSpaceDE/>
        <w:autoSpaceDN/>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3、参选保证金提交的方式：</w:t>
      </w:r>
      <w:r>
        <w:rPr>
          <w:rFonts w:hint="eastAsia" w:cs="Arial" w:asciiTheme="majorEastAsia" w:hAnsiTheme="majorEastAsia" w:eastAsiaTheme="majorEastAsia"/>
          <w:color w:val="333333"/>
          <w:sz w:val="24"/>
          <w:szCs w:val="24"/>
          <w:u w:val="single"/>
          <w:lang w:eastAsia="zh-CN"/>
        </w:rPr>
        <w:t>应从参选人基本账户以电汇或银行转账方式提交（以款项到达时间为准），并应在电汇或银行转账单上注明为本项目的参选保证金；</w:t>
      </w:r>
    </w:p>
    <w:p>
      <w:pPr>
        <w:widowControl/>
        <w:autoSpaceDE/>
        <w:autoSpaceDN/>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4、参选保证金指定账户：</w:t>
      </w:r>
    </w:p>
    <w:p>
      <w:pPr>
        <w:widowControl/>
        <w:autoSpaceDE/>
        <w:autoSpaceDN/>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开户银行：腾龙芳烃（漳州）有限公司 </w:t>
      </w:r>
    </w:p>
    <w:p>
      <w:pPr>
        <w:widowControl/>
        <w:autoSpaceDE/>
        <w:autoSpaceDN/>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开户名称：兴业银行漳州古雷支行</w:t>
      </w:r>
    </w:p>
    <w:p>
      <w:pPr>
        <w:widowControl/>
        <w:autoSpaceDE/>
        <w:autoSpaceDN/>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帐   号：1620 7010 0100 0210 71</w:t>
      </w:r>
    </w:p>
    <w:p>
      <w:pPr>
        <w:widowControl/>
        <w:autoSpaceDE/>
        <w:autoSpaceDN/>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注明用途：</w:t>
      </w:r>
      <w:r>
        <w:rPr>
          <w:rFonts w:hint="eastAsia" w:asciiTheme="majorEastAsia" w:hAnsiTheme="majorEastAsia" w:eastAsiaTheme="majorEastAsia"/>
          <w:b/>
          <w:bCs/>
          <w:sz w:val="24"/>
          <w:szCs w:val="24"/>
          <w:lang w:eastAsia="zh-CN"/>
        </w:rPr>
        <w:t>南部热源点一期工程可行性研究及</w:t>
      </w:r>
      <w:r>
        <w:rPr>
          <w:rFonts w:hint="eastAsia" w:asciiTheme="majorEastAsia" w:hAnsiTheme="majorEastAsia" w:eastAsiaTheme="majorEastAsia"/>
          <w:b/>
          <w:sz w:val="24"/>
          <w:szCs w:val="24"/>
          <w:lang w:eastAsia="zh-CN"/>
        </w:rPr>
        <w:t>项目申请</w:t>
      </w:r>
      <w:r>
        <w:rPr>
          <w:rFonts w:hint="eastAsia" w:cs="Arial" w:asciiTheme="majorEastAsia" w:hAnsiTheme="majorEastAsia" w:eastAsiaTheme="majorEastAsia"/>
          <w:b/>
          <w:color w:val="333333"/>
          <w:sz w:val="24"/>
          <w:szCs w:val="24"/>
          <w:lang w:eastAsia="zh-CN"/>
        </w:rPr>
        <w:t>参选保证金</w:t>
      </w:r>
    </w:p>
    <w:p>
      <w:pPr>
        <w:widowControl/>
        <w:autoSpaceDE/>
        <w:autoSpaceDN/>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参选保证金有效期：90日历天。</w:t>
      </w:r>
    </w:p>
    <w:p>
      <w:pPr>
        <w:widowControl/>
        <w:autoSpaceDE/>
        <w:autoSpaceDN/>
        <w:ind w:firstLine="480"/>
        <w:jc w:val="both"/>
        <w:rPr>
          <w:rFonts w:cs="Arial" w:asciiTheme="majorEastAsia" w:hAnsiTheme="majorEastAsia" w:eastAsiaTheme="majorEastAsia"/>
          <w:color w:val="333333"/>
          <w:sz w:val="24"/>
          <w:szCs w:val="24"/>
          <w:u w:val="single"/>
          <w:lang w:eastAsia="zh-CN"/>
        </w:rPr>
      </w:pPr>
      <w:r>
        <w:rPr>
          <w:rFonts w:hint="eastAsia" w:cs="Arial" w:asciiTheme="majorEastAsia" w:hAnsiTheme="majorEastAsia" w:eastAsiaTheme="majorEastAsia"/>
          <w:color w:val="333333"/>
          <w:sz w:val="24"/>
          <w:szCs w:val="24"/>
          <w:u w:val="single"/>
          <w:lang w:eastAsia="zh-CN"/>
        </w:rPr>
        <w:t>注：开户许可证上账号应与参选保证金转账回单上账号一致，否则视为未按规定提交参选保证金,所造成的一切后果由参选人自行负责。</w:t>
      </w:r>
    </w:p>
    <w:p>
      <w:pPr>
        <w:pStyle w:val="7"/>
        <w:ind w:right="121" w:firstLine="480" w:firstLineChars="200"/>
        <w:jc w:val="both"/>
        <w:rPr>
          <w:lang w:eastAsia="zh-CN"/>
        </w:rPr>
      </w:pPr>
      <w:r>
        <w:rPr>
          <w:rFonts w:hint="eastAsia"/>
          <w:lang w:eastAsia="zh-CN"/>
        </w:rPr>
        <w:t>5.对于未能按要求提交保证金的参选文件，比选单位可以视为不符合上面比选要求而予以拒绝；</w:t>
      </w:r>
    </w:p>
    <w:p>
      <w:pPr>
        <w:pStyle w:val="7"/>
        <w:ind w:right="121" w:firstLine="480" w:firstLineChars="200"/>
        <w:jc w:val="both"/>
        <w:rPr>
          <w:lang w:eastAsia="zh-CN"/>
        </w:rPr>
      </w:pPr>
      <w:r>
        <w:rPr>
          <w:rFonts w:hint="eastAsia"/>
          <w:lang w:eastAsia="zh-CN"/>
        </w:rPr>
        <w:t>6.</w:t>
      </w:r>
      <w:r>
        <w:rPr>
          <w:rFonts w:hint="eastAsia"/>
          <w:spacing w:val="8"/>
          <w:lang w:eastAsia="zh-CN"/>
        </w:rPr>
        <w:t xml:space="preserve"> 本项目比选结束后，未中选的参选人其所递交的参选保证金将于本项目合同签订后退回至参选人</w:t>
      </w:r>
      <w:r>
        <w:rPr>
          <w:rFonts w:hint="eastAsia"/>
          <w:lang w:eastAsia="zh-CN"/>
        </w:rPr>
        <w:t>基本账户</w:t>
      </w:r>
      <w:r>
        <w:rPr>
          <w:rFonts w:hint="eastAsia"/>
          <w:spacing w:val="8"/>
          <w:lang w:eastAsia="zh-CN"/>
        </w:rPr>
        <w:t>（无息）</w:t>
      </w:r>
      <w:r>
        <w:rPr>
          <w:rFonts w:hint="eastAsia"/>
          <w:lang w:eastAsia="zh-CN"/>
        </w:rPr>
        <w:t>，最迟不超过规定的比选有效期满后的20天；</w:t>
      </w:r>
    </w:p>
    <w:p>
      <w:pPr>
        <w:pStyle w:val="7"/>
        <w:ind w:right="121" w:firstLine="480" w:firstLineChars="200"/>
        <w:jc w:val="both"/>
        <w:rPr>
          <w:color w:val="000000" w:themeColor="text1"/>
          <w:lang w:eastAsia="zh-CN"/>
        </w:rPr>
      </w:pPr>
      <w:r>
        <w:rPr>
          <w:rFonts w:hint="eastAsia"/>
          <w:lang w:eastAsia="zh-CN"/>
        </w:rPr>
        <w:t>7.中选者的参选保证金（无息），将在合同签订后自动转为履约保证金，将于合同周期完成后1</w:t>
      </w:r>
      <w:r>
        <w:rPr>
          <w:lang w:eastAsia="zh-CN"/>
        </w:rPr>
        <w:t>5</w:t>
      </w:r>
      <w:r>
        <w:rPr>
          <w:rFonts w:hint="eastAsia"/>
          <w:lang w:eastAsia="zh-CN"/>
        </w:rPr>
        <w:t>个工作日内，甲方无息退还履约保证金；</w:t>
      </w:r>
    </w:p>
    <w:p>
      <w:pPr>
        <w:pStyle w:val="7"/>
        <w:ind w:right="121" w:firstLine="480" w:firstLineChars="200"/>
        <w:jc w:val="both"/>
        <w:rPr>
          <w:lang w:eastAsia="zh-CN"/>
        </w:rPr>
      </w:pPr>
      <w:r>
        <w:rPr>
          <w:rFonts w:hint="eastAsia"/>
          <w:lang w:eastAsia="zh-CN"/>
        </w:rPr>
        <w:t>8.如有下列情况发生，将被没收参选保证金：</w:t>
      </w:r>
    </w:p>
    <w:p>
      <w:pPr>
        <w:pStyle w:val="7"/>
        <w:ind w:right="121"/>
        <w:jc w:val="both"/>
        <w:rPr>
          <w:lang w:eastAsia="zh-CN"/>
        </w:rPr>
      </w:pPr>
      <w:r>
        <w:rPr>
          <w:rFonts w:hint="eastAsia"/>
          <w:lang w:eastAsia="zh-CN"/>
        </w:rPr>
        <w:t xml:space="preserve">   （1）参选单位在参选有效期内撤回参选文件；</w:t>
      </w:r>
    </w:p>
    <w:p>
      <w:pPr>
        <w:pStyle w:val="7"/>
        <w:ind w:right="-49" w:firstLine="360" w:firstLineChars="150"/>
        <w:rPr>
          <w:rFonts w:asciiTheme="majorEastAsia" w:hAnsiTheme="majorEastAsia" w:eastAsiaTheme="majorEastAsia"/>
          <w:lang w:eastAsia="zh-CN"/>
        </w:rPr>
      </w:pPr>
      <w:r>
        <w:rPr>
          <w:rFonts w:hint="eastAsia"/>
          <w:lang w:eastAsia="zh-CN"/>
        </w:rPr>
        <w:t>（2）参选单位未能按接到中标通知书后规定的时间内签定合同。</w:t>
      </w:r>
    </w:p>
    <w:p>
      <w:pPr>
        <w:pStyle w:val="7"/>
        <w:ind w:right="-49" w:firstLine="458" w:firstLineChars="200"/>
        <w:rPr>
          <w:rFonts w:asciiTheme="majorEastAsia" w:hAnsiTheme="majorEastAsia" w:eastAsiaTheme="majorEastAsia"/>
          <w:b/>
          <w:w w:val="95"/>
          <w:lang w:eastAsia="zh-CN"/>
        </w:rPr>
      </w:pPr>
      <w:r>
        <w:rPr>
          <w:rFonts w:asciiTheme="majorEastAsia" w:hAnsiTheme="majorEastAsia" w:eastAsiaTheme="majorEastAsia"/>
          <w:b/>
          <w:w w:val="95"/>
          <w:lang w:eastAsia="zh-CN"/>
        </w:rPr>
        <w:t>八、参选文件的递交</w:t>
      </w:r>
    </w:p>
    <w:p>
      <w:pPr>
        <w:pStyle w:val="4"/>
        <w:tabs>
          <w:tab w:val="left" w:pos="6879"/>
        </w:tabs>
        <w:ind w:left="0" w:right="106" w:firstLine="472" w:firstLineChars="196"/>
        <w:rPr>
          <w:lang w:eastAsia="zh-CN"/>
        </w:rPr>
      </w:pPr>
      <w:r>
        <w:rPr>
          <w:lang w:eastAsia="zh-CN"/>
        </w:rPr>
        <w:t>1.参选文件递交的截止时间：</w:t>
      </w:r>
      <w:r>
        <w:rPr>
          <w:rFonts w:hint="eastAsia"/>
          <w:lang w:eastAsia="zh-CN"/>
        </w:rPr>
        <w:t>见比选公告</w:t>
      </w:r>
    </w:p>
    <w:p>
      <w:pPr>
        <w:pStyle w:val="4"/>
        <w:tabs>
          <w:tab w:val="left" w:pos="6879"/>
        </w:tabs>
        <w:ind w:left="0" w:right="106" w:firstLine="472" w:firstLineChars="196"/>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漳州市漳浦县杜浔镇杜昌路9号</w:t>
      </w:r>
    </w:p>
    <w:p>
      <w:pPr>
        <w:pStyle w:val="4"/>
        <w:tabs>
          <w:tab w:val="left" w:pos="6879"/>
        </w:tabs>
        <w:ind w:left="119" w:leftChars="54" w:right="106" w:firstLine="834" w:firstLineChars="346"/>
        <w:rPr>
          <w:spacing w:val="-4"/>
          <w:lang w:eastAsia="zh-CN"/>
        </w:rPr>
      </w:pPr>
      <w:r>
        <w:rPr>
          <w:rFonts w:hint="eastAsia"/>
          <w:lang w:eastAsia="zh-CN"/>
        </w:rPr>
        <w:t>商务</w:t>
      </w:r>
      <w:r>
        <w:rPr>
          <w:lang w:eastAsia="zh-CN"/>
        </w:rPr>
        <w:t>联系人</w:t>
      </w:r>
      <w:r>
        <w:rPr>
          <w:spacing w:val="-56"/>
          <w:lang w:eastAsia="zh-CN"/>
        </w:rPr>
        <w:t>：</w:t>
      </w:r>
      <w:r>
        <w:rPr>
          <w:rFonts w:hint="eastAsia"/>
          <w:lang w:eastAsia="zh-CN"/>
        </w:rPr>
        <w:t xml:space="preserve">纪捍政    </w:t>
      </w:r>
      <w:r>
        <w:rPr>
          <w:spacing w:val="-6"/>
          <w:lang w:eastAsia="zh-CN"/>
        </w:rPr>
        <w:t xml:space="preserve"> </w:t>
      </w:r>
      <w:r>
        <w:rPr>
          <w:lang w:eastAsia="zh-CN"/>
        </w:rPr>
        <w:t>电话</w:t>
      </w:r>
      <w:r>
        <w:rPr>
          <w:spacing w:val="-4"/>
          <w:lang w:eastAsia="zh-CN"/>
        </w:rPr>
        <w:t>：</w:t>
      </w:r>
      <w:r>
        <w:rPr>
          <w:rFonts w:hint="eastAsia"/>
          <w:spacing w:val="-4"/>
          <w:lang w:eastAsia="zh-CN"/>
        </w:rPr>
        <w:t>0596-6311823</w:t>
      </w:r>
    </w:p>
    <w:p>
      <w:pPr>
        <w:pStyle w:val="4"/>
        <w:tabs>
          <w:tab w:val="left" w:pos="6879"/>
        </w:tabs>
        <w:ind w:left="119" w:leftChars="54" w:right="106" w:firstLine="806" w:firstLineChars="346"/>
        <w:rPr>
          <w:spacing w:val="-6"/>
          <w:lang w:eastAsia="zh-CN"/>
        </w:rPr>
      </w:pPr>
      <w:r>
        <w:rPr>
          <w:rFonts w:hint="eastAsia"/>
          <w:spacing w:val="-4"/>
          <w:lang w:eastAsia="zh-CN"/>
        </w:rPr>
        <w:t xml:space="preserve">技术联系人：邱衍新     电话：0596-6311822 </w:t>
      </w:r>
    </w:p>
    <w:p>
      <w:pPr>
        <w:ind w:left="598" w:leftChars="272" w:firstLine="236" w:firstLineChars="98"/>
        <w:rPr>
          <w:b/>
          <w:sz w:val="24"/>
          <w:lang w:eastAsia="zh-CN"/>
        </w:rPr>
      </w:pPr>
      <w:r>
        <w:rPr>
          <w:b/>
          <w:sz w:val="24"/>
          <w:lang w:eastAsia="zh-CN"/>
        </w:rPr>
        <w:t>注：请使用顺丰快递或中国邮政 EMS 快递，其他快递不能保证送达目的地。</w:t>
      </w:r>
    </w:p>
    <w:p>
      <w:pPr>
        <w:pStyle w:val="7"/>
        <w:ind w:firstLine="480" w:firstLineChars="200"/>
        <w:rPr>
          <w:lang w:eastAsia="zh-CN"/>
        </w:rPr>
      </w:pPr>
      <w:r>
        <w:rPr>
          <w:lang w:eastAsia="zh-CN"/>
        </w:rPr>
        <w:t>3.只允许参选人有一个参选方案，否则将被视为无效参选。</w:t>
      </w:r>
    </w:p>
    <w:p>
      <w:pPr>
        <w:pStyle w:val="7"/>
        <w:ind w:right="106" w:firstLine="480" w:firstLineChars="20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pPr>
        <w:pStyle w:val="7"/>
        <w:spacing w:before="21"/>
        <w:ind w:right="106" w:firstLine="480" w:firstLineChars="200"/>
        <w:jc w:val="both"/>
        <w:rPr>
          <w:lang w:eastAsia="zh-CN"/>
        </w:rPr>
      </w:pPr>
      <w:r>
        <w:rPr>
          <w:lang w:eastAsia="zh-CN"/>
        </w:rPr>
        <w:t>5.</w:t>
      </w:r>
      <w:r>
        <w:rPr>
          <w:spacing w:val="-9"/>
          <w:lang w:eastAsia="zh-CN"/>
        </w:rPr>
        <w:t>参选人收到比选文件后，如有疑问要澄清，请以书面形式在规定时间内报比选人汇总。</w:t>
      </w:r>
    </w:p>
    <w:p>
      <w:pPr>
        <w:pStyle w:val="7"/>
        <w:ind w:right="-49" w:firstLine="480" w:firstLineChars="200"/>
        <w:rPr>
          <w:rFonts w:asciiTheme="majorEastAsia" w:hAnsiTheme="majorEastAsia" w:eastAsiaTheme="majorEastAsia"/>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3"/>
        <w:ind w:left="0" w:firstLine="458" w:firstLineChars="200"/>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九</w:t>
      </w:r>
      <w:r>
        <w:rPr>
          <w:rFonts w:asciiTheme="majorEastAsia" w:hAnsiTheme="majorEastAsia" w:eastAsiaTheme="majorEastAsia"/>
          <w:w w:val="95"/>
          <w:sz w:val="24"/>
          <w:szCs w:val="24"/>
          <w:lang w:eastAsia="zh-CN"/>
        </w:rPr>
        <w:t>、</w:t>
      </w:r>
      <w:r>
        <w:rPr>
          <w:rFonts w:hint="eastAsia" w:asciiTheme="majorEastAsia" w:hAnsiTheme="majorEastAsia" w:eastAsiaTheme="majorEastAsia"/>
          <w:w w:val="95"/>
          <w:sz w:val="24"/>
          <w:szCs w:val="24"/>
          <w:lang w:eastAsia="zh-CN"/>
        </w:rPr>
        <w:t>异议</w:t>
      </w:r>
    </w:p>
    <w:p>
      <w:pPr>
        <w:pStyle w:val="9"/>
        <w:tabs>
          <w:tab w:val="left" w:pos="0"/>
          <w:tab w:val="left" w:pos="567"/>
          <w:tab w:val="left" w:pos="993"/>
          <w:tab w:val="left" w:pos="1135"/>
        </w:tabs>
        <w:ind w:firstLine="482"/>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9"/>
        <w:tabs>
          <w:tab w:val="left" w:pos="0"/>
          <w:tab w:val="left" w:pos="567"/>
          <w:tab w:val="left" w:pos="993"/>
          <w:tab w:val="left" w:pos="1135"/>
        </w:tabs>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9"/>
        <w:tabs>
          <w:tab w:val="left" w:pos="0"/>
          <w:tab w:val="left" w:pos="567"/>
          <w:tab w:val="left" w:pos="993"/>
          <w:tab w:val="left" w:pos="1135"/>
        </w:tabs>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9"/>
        <w:tabs>
          <w:tab w:val="left" w:pos="0"/>
          <w:tab w:val="left" w:pos="567"/>
          <w:tab w:val="left" w:pos="993"/>
          <w:tab w:val="left" w:pos="1135"/>
        </w:tabs>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9"/>
        <w:tabs>
          <w:tab w:val="left" w:pos="0"/>
          <w:tab w:val="left" w:pos="567"/>
          <w:tab w:val="left" w:pos="993"/>
          <w:tab w:val="left" w:pos="1135"/>
        </w:tabs>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9"/>
        <w:tabs>
          <w:tab w:val="left" w:pos="0"/>
          <w:tab w:val="left" w:pos="567"/>
          <w:tab w:val="left" w:pos="993"/>
          <w:tab w:val="left" w:pos="1135"/>
        </w:tabs>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9"/>
        <w:tabs>
          <w:tab w:val="left" w:pos="0"/>
          <w:tab w:val="left" w:pos="567"/>
          <w:tab w:val="left" w:pos="993"/>
          <w:tab w:val="left" w:pos="1135"/>
        </w:tabs>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9"/>
        <w:tabs>
          <w:tab w:val="left" w:pos="0"/>
          <w:tab w:val="left" w:pos="567"/>
          <w:tab w:val="left" w:pos="993"/>
          <w:tab w:val="left" w:pos="1135"/>
        </w:tabs>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9"/>
        <w:tabs>
          <w:tab w:val="left" w:pos="0"/>
          <w:tab w:val="left" w:pos="567"/>
          <w:tab w:val="left" w:pos="993"/>
          <w:tab w:val="left" w:pos="1135"/>
        </w:tabs>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9"/>
        <w:tabs>
          <w:tab w:val="left" w:pos="0"/>
          <w:tab w:val="left" w:pos="567"/>
          <w:tab w:val="left" w:pos="993"/>
          <w:tab w:val="left" w:pos="1135"/>
        </w:tabs>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（1）</w:t>
      </w:r>
      <w:r>
        <w:rPr>
          <w:rFonts w:hint="eastAsia" w:cs="宋体" w:asciiTheme="majorEastAsia" w:hAnsiTheme="majorEastAsia" w:eastAsiaTheme="majorEastAsia"/>
          <w:bCs/>
          <w:sz w:val="24"/>
          <w:szCs w:val="24"/>
          <w:lang w:eastAsia="zh-CN"/>
        </w:rPr>
        <w:t>对比选结果有异议的异议人不是本项目的参与者，或者与本项目无任何利害关系；</w:t>
      </w:r>
    </w:p>
    <w:p>
      <w:pPr>
        <w:pStyle w:val="9"/>
        <w:tabs>
          <w:tab w:val="left" w:pos="0"/>
          <w:tab w:val="left" w:pos="567"/>
          <w:tab w:val="left" w:pos="993"/>
          <w:tab w:val="left" w:pos="1135"/>
        </w:tabs>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9"/>
        <w:tabs>
          <w:tab w:val="left" w:pos="0"/>
          <w:tab w:val="left" w:pos="567"/>
          <w:tab w:val="left" w:pos="993"/>
          <w:tab w:val="left" w:pos="1135"/>
        </w:tabs>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pStyle w:val="7"/>
        <w:ind w:right="-49" w:firstLine="600" w:firstLineChars="250"/>
        <w:rPr>
          <w:rFonts w:asciiTheme="majorEastAsia" w:hAnsiTheme="majorEastAsia" w:eastAsiaTheme="majorEastAsia"/>
          <w:spacing w:val="-9"/>
          <w:lang w:eastAsia="zh-CN"/>
        </w:rPr>
      </w:pPr>
      <w:r>
        <w:rPr>
          <w:rFonts w:hint="eastAsia" w:asciiTheme="majorEastAsia" w:hAnsiTheme="majorEastAsia" w:eastAsiaTheme="majorEastAsia"/>
          <w:bCs/>
          <w:color w:val="000000"/>
          <w:lang w:eastAsia="zh-CN"/>
        </w:rPr>
        <w:t>（4）</w:t>
      </w:r>
      <w:r>
        <w:rPr>
          <w:rFonts w:hint="eastAsia" w:asciiTheme="majorEastAsia" w:hAnsiTheme="majorEastAsia" w:eastAsiaTheme="majorEastAsia"/>
          <w:bCs/>
          <w:lang w:eastAsia="zh-CN"/>
        </w:rPr>
        <w:t>超过异议时效的。</w:t>
      </w:r>
    </w:p>
    <w:p>
      <w:pPr>
        <w:pStyle w:val="4"/>
        <w:spacing w:after="240"/>
        <w:ind w:left="0" w:firstLine="458" w:firstLineChars="200"/>
        <w:rPr>
          <w:rFonts w:asciiTheme="majorEastAsia" w:hAnsiTheme="majorEastAsia" w:eastAsiaTheme="majorEastAsia"/>
          <w:lang w:eastAsia="zh-CN"/>
        </w:rPr>
      </w:pPr>
      <w:r>
        <w:rPr>
          <w:rFonts w:hint="eastAsia" w:asciiTheme="majorEastAsia" w:hAnsiTheme="majorEastAsia" w:eastAsiaTheme="majorEastAsia"/>
          <w:w w:val="95"/>
          <w:lang w:eastAsia="zh-CN"/>
        </w:rPr>
        <w:t>十</w:t>
      </w:r>
      <w:r>
        <w:rPr>
          <w:rFonts w:asciiTheme="majorEastAsia" w:hAnsiTheme="majorEastAsia" w:eastAsiaTheme="majorEastAsia"/>
          <w:w w:val="95"/>
          <w:lang w:eastAsia="zh-CN"/>
        </w:rPr>
        <w:t>、</w:t>
      </w:r>
      <w:r>
        <w:rPr>
          <w:rFonts w:hint="eastAsia" w:asciiTheme="majorEastAsia" w:hAnsiTheme="majorEastAsia" w:eastAsiaTheme="majorEastAsia"/>
          <w:lang w:eastAsia="zh-CN"/>
        </w:rPr>
        <w:t>最高控制价及投标报价要求</w:t>
      </w:r>
    </w:p>
    <w:p>
      <w:pPr>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1、本项目最高限价为人民币99万元。参选人所填报的参选总价高于本项目最高限价的，其参选将被评标委员会予以否决</w:t>
      </w:r>
      <w:r>
        <w:rPr>
          <w:rFonts w:hint="eastAsia" w:asciiTheme="majorEastAsia" w:hAnsiTheme="majorEastAsia" w:eastAsiaTheme="majorEastAsia"/>
          <w:sz w:val="24"/>
          <w:szCs w:val="24"/>
          <w:lang w:eastAsia="zh-CN"/>
        </w:rPr>
        <w:t>。</w:t>
      </w:r>
    </w:p>
    <w:p>
      <w:pPr>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参选人应以完成本比选文件“技术规范书”所述的所有内容所涉及的全部费用进行报价。中标后，参选报价不予调整。参选人在填报参选报价单时，应充分考虑合同实施过程中因人力成本的增加、国家宏观调控、经济环境变化等因素所产生费用的增加。比选文件中要求列入参选的费用，漏（缺）报的视同已含在参选总价中。</w:t>
      </w:r>
    </w:p>
    <w:p>
      <w:pPr>
        <w:pStyle w:val="2"/>
        <w:spacing w:line="360" w:lineRule="auto"/>
        <w:ind w:firstLine="472" w:firstLineChars="200"/>
        <w:rPr>
          <w:rFonts w:asciiTheme="majorEastAsia" w:hAnsiTheme="majorEastAsia" w:eastAsiaTheme="majorEastAsia"/>
          <w:sz w:val="24"/>
          <w:szCs w:val="24"/>
        </w:rPr>
      </w:pPr>
      <w:r>
        <w:rPr>
          <w:rFonts w:hint="eastAsia" w:asciiTheme="majorEastAsia" w:hAnsiTheme="majorEastAsia" w:eastAsiaTheme="majorEastAsia"/>
          <w:bCs/>
          <w:spacing w:val="-2"/>
          <w:sz w:val="24"/>
          <w:szCs w:val="24"/>
        </w:rPr>
        <w:t>备注：如依据我国法律法规及税收政策，本合同项下服务所涉及的增值税税率发生调整，双方一致同意按照调整后的增值税税率相应调整合同价款。</w:t>
      </w:r>
    </w:p>
    <w:p>
      <w:pPr>
        <w:pStyle w:val="7"/>
        <w:ind w:right="-49"/>
        <w:rPr>
          <w:lang w:eastAsia="zh-CN"/>
        </w:rPr>
        <w:sectPr>
          <w:pgSz w:w="11910" w:h="16840"/>
          <w:pgMar w:top="1500" w:right="102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ind w:left="538"/>
        <w:rPr>
          <w:b/>
          <w:sz w:val="24"/>
          <w:szCs w:val="24"/>
          <w:lang w:eastAsia="zh-CN"/>
        </w:rPr>
      </w:pPr>
      <w:r>
        <w:rPr>
          <w:b/>
          <w:w w:val="95"/>
          <w:sz w:val="24"/>
          <w:szCs w:val="24"/>
          <w:lang w:eastAsia="zh-CN"/>
        </w:rPr>
        <w:t>一、参选文件的组成：</w:t>
      </w:r>
    </w:p>
    <w:p>
      <w:pPr>
        <w:pStyle w:val="7"/>
        <w:ind w:left="118" w:right="92" w:firstLine="480"/>
        <w:rPr>
          <w:lang w:eastAsia="zh-CN"/>
        </w:rPr>
      </w:pPr>
      <w:r>
        <w:rPr>
          <w:lang w:eastAsia="zh-CN"/>
        </w:rPr>
        <w:t>①参选单位企业概况（企业简介、经营状况</w:t>
      </w:r>
      <w:r>
        <w:rPr>
          <w:rFonts w:hint="eastAsia"/>
          <w:lang w:eastAsia="zh-CN"/>
        </w:rPr>
        <w:t>、业绩情况（如有相关业绩需提供相应合同盖章页）</w:t>
      </w:r>
      <w:r>
        <w:rPr>
          <w:lang w:eastAsia="zh-CN"/>
        </w:rPr>
        <w:t>）、营业执照、资质证书、组织机构代码证、税务登记证（经年检或年审合格的）等</w:t>
      </w:r>
      <w:r>
        <w:rPr>
          <w:rFonts w:hint="eastAsia"/>
          <w:lang w:eastAsia="zh-CN"/>
        </w:rPr>
        <w:t>，以及</w:t>
      </w:r>
      <w:r>
        <w:rPr>
          <w:spacing w:val="-5"/>
          <w:lang w:eastAsia="zh-CN"/>
        </w:rPr>
        <w:t>其他可以证明参选单位具有类似</w:t>
      </w:r>
      <w:r>
        <w:rPr>
          <w:rFonts w:hint="eastAsia"/>
          <w:spacing w:val="-5"/>
          <w:lang w:eastAsia="zh-CN"/>
        </w:rPr>
        <w:t>项目</w:t>
      </w:r>
      <w:r>
        <w:rPr>
          <w:spacing w:val="-5"/>
          <w:lang w:eastAsia="zh-CN"/>
        </w:rPr>
        <w:t>良好业绩的相关材料；凡弄虚作假的，一经查实，比选人有权取消其中选资格。</w:t>
      </w:r>
    </w:p>
    <w:p>
      <w:pPr>
        <w:pStyle w:val="7"/>
        <w:ind w:left="118" w:right="92" w:firstLine="480"/>
        <w:rPr>
          <w:lang w:eastAsia="zh-CN"/>
        </w:rPr>
      </w:pPr>
      <w:r>
        <w:rPr>
          <w:spacing w:val="-7"/>
          <w:lang w:eastAsia="zh-CN"/>
        </w:rPr>
        <w:t>②</w:t>
      </w:r>
      <w:r>
        <w:rPr>
          <w:rFonts w:hint="eastAsia"/>
          <w:spacing w:val="-7"/>
          <w:lang w:eastAsia="zh-CN"/>
        </w:rPr>
        <w:t>参选人资格要求中所有的资质材料。（</w:t>
      </w:r>
      <w:r>
        <w:rPr>
          <w:rFonts w:hint="eastAsia"/>
          <w:b/>
          <w:spacing w:val="-7"/>
          <w:lang w:eastAsia="zh-CN"/>
        </w:rPr>
        <w:t>参选人需根据发包说明编制相关方案，以及工作计划安排等内容。</w:t>
      </w:r>
      <w:r>
        <w:rPr>
          <w:rFonts w:hint="eastAsia"/>
          <w:spacing w:val="-7"/>
          <w:lang w:eastAsia="zh-CN"/>
        </w:rPr>
        <w:t>）</w:t>
      </w:r>
    </w:p>
    <w:p>
      <w:pPr>
        <w:pStyle w:val="7"/>
        <w:ind w:left="118" w:right="222" w:firstLine="480"/>
        <w:rPr>
          <w:lang w:eastAsia="zh-CN"/>
        </w:rPr>
      </w:pPr>
      <w:r>
        <w:rPr>
          <w:spacing w:val="-6"/>
          <w:lang w:eastAsia="zh-CN"/>
        </w:rPr>
        <w:t>③参选单位出具业务联系人的授权代表证明，业务联系人或被授权代表变更时应取得相应的具有法律效力的证明材料。</w:t>
      </w:r>
    </w:p>
    <w:p>
      <w:pPr>
        <w:pStyle w:val="7"/>
        <w:ind w:left="595"/>
        <w:rPr>
          <w:lang w:eastAsia="zh-CN"/>
        </w:rPr>
      </w:pPr>
      <w:r>
        <w:rPr>
          <w:lang w:eastAsia="zh-CN"/>
        </w:rPr>
        <w:t>④提供参选报价表(详见附件)。</w:t>
      </w:r>
    </w:p>
    <w:p>
      <w:pPr>
        <w:pStyle w:val="7"/>
        <w:spacing w:before="26"/>
        <w:ind w:firstLine="480" w:firstLineChars="200"/>
        <w:rPr>
          <w:b/>
          <w:lang w:eastAsia="zh-CN"/>
        </w:rPr>
      </w:pPr>
      <w:r>
        <w:rPr>
          <w:lang w:eastAsia="zh-CN"/>
        </w:rPr>
        <w:t>⑤以上①至</w:t>
      </w:r>
      <w:r>
        <w:rPr>
          <w:spacing w:val="-6"/>
          <w:lang w:eastAsia="zh-CN"/>
        </w:rPr>
        <w:t>③</w:t>
      </w:r>
      <w:r>
        <w:rPr>
          <w:lang w:eastAsia="zh-CN"/>
        </w:rPr>
        <w:t>项内容</w:t>
      </w:r>
      <w:r>
        <w:rPr>
          <w:rFonts w:hint="eastAsia"/>
          <w:b/>
          <w:bCs/>
          <w:lang w:eastAsia="zh-CN"/>
        </w:rPr>
        <w:t>装订</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7"/>
        <w:ind w:firstLine="602" w:firstLineChars="250"/>
        <w:rPr>
          <w:lang w:eastAsia="zh-CN"/>
        </w:rPr>
      </w:pPr>
      <w:r>
        <w:rPr>
          <w:rFonts w:hint="eastAsia"/>
          <w:b/>
          <w:lang w:eastAsia="zh-CN"/>
        </w:rPr>
        <w:t>注：需提供参选文件及报价表电子版一份（盖章PDF版），报价表须独立盖章密封</w:t>
      </w:r>
    </w:p>
    <w:p>
      <w:pPr>
        <w:pStyle w:val="3"/>
        <w:ind w:left="680"/>
        <w:rPr>
          <w:sz w:val="24"/>
          <w:szCs w:val="24"/>
          <w:lang w:eastAsia="zh-CN"/>
        </w:rPr>
      </w:pPr>
      <w:r>
        <w:rPr>
          <w:w w:val="95"/>
          <w:sz w:val="24"/>
          <w:szCs w:val="24"/>
          <w:lang w:eastAsia="zh-CN"/>
        </w:rPr>
        <w:t>二、参选书格式内容</w:t>
      </w:r>
    </w:p>
    <w:p>
      <w:pPr>
        <w:pStyle w:val="7"/>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7"/>
        <w:ind w:left="598"/>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w:t>
      </w:r>
    </w:p>
    <w:p>
      <w:pPr>
        <w:pStyle w:val="3"/>
        <w:rPr>
          <w:sz w:val="24"/>
          <w:szCs w:val="24"/>
          <w:lang w:eastAsia="zh-CN"/>
        </w:rPr>
      </w:pPr>
      <w:r>
        <w:rPr>
          <w:w w:val="95"/>
          <w:sz w:val="24"/>
          <w:szCs w:val="24"/>
          <w:lang w:eastAsia="zh-CN"/>
        </w:rPr>
        <w:t>三、参选报价</w:t>
      </w:r>
    </w:p>
    <w:p>
      <w:pPr>
        <w:pStyle w:val="7"/>
        <w:ind w:left="118" w:right="222" w:firstLine="477"/>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3"/>
        <w:rPr>
          <w:sz w:val="24"/>
          <w:szCs w:val="24"/>
          <w:lang w:eastAsia="zh-CN"/>
        </w:rPr>
      </w:pPr>
      <w:r>
        <w:rPr>
          <w:w w:val="95"/>
          <w:sz w:val="24"/>
          <w:szCs w:val="24"/>
          <w:lang w:eastAsia="zh-CN"/>
        </w:rPr>
        <w:t>四、特别说明</w:t>
      </w:r>
    </w:p>
    <w:p>
      <w:pPr>
        <w:pStyle w:val="7"/>
        <w:ind w:left="119" w:leftChars="54" w:right="222" w:firstLine="480" w:firstLineChars="20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7"/>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7"/>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8"/>
        <w:spacing w:after="0"/>
        <w:ind w:left="0" w:leftChars="0" w:firstLine="435" w:firstLineChars="196"/>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7"/>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7"/>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30422420"/>
      <w:bookmarkStart w:id="1" w:name="_Toc415567504"/>
      <w:bookmarkStart w:id="2" w:name="_Toc430488858"/>
      <w:bookmarkStart w:id="3" w:name="_Toc430488651"/>
      <w:bookmarkStart w:id="4" w:name="_Toc177186249"/>
      <w:bookmarkStart w:id="5" w:name="_Toc304357904"/>
      <w:bookmarkStart w:id="6" w:name="_Toc430489126"/>
      <w:bookmarkStart w:id="7" w:name="_Toc430490619"/>
      <w:bookmarkStart w:id="8" w:name="_Toc430492133"/>
    </w:p>
    <w:p>
      <w:pPr>
        <w:pStyle w:val="7"/>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ind w:firstLine="480" w:firstLineChars="200"/>
        <w:rPr>
          <w:rFonts w:cs="黑体"/>
          <w:b/>
          <w:sz w:val="24"/>
          <w:szCs w:val="24"/>
          <w:lang w:eastAsia="zh-CN"/>
        </w:rPr>
      </w:pPr>
      <w:r>
        <w:rPr>
          <w:rFonts w:hint="eastAsia"/>
          <w:sz w:val="24"/>
          <w:szCs w:val="24"/>
          <w:lang w:eastAsia="zh-CN"/>
        </w:rPr>
        <w:t>7.1 参选人应在参选文件所附的参选报价表上写明参选项目的参选总价。</w:t>
      </w:r>
    </w:p>
    <w:p>
      <w:pPr>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参选人对项目内容只允许有一个报价，比选人不接受有任何选择的报价。</w:t>
      </w:r>
    </w:p>
    <w:p>
      <w:pPr>
        <w:pStyle w:val="7"/>
        <w:ind w:right="226" w:firstLine="480"/>
        <w:jc w:val="both"/>
        <w:rPr>
          <w:lang w:eastAsia="zh-CN"/>
        </w:rPr>
      </w:pPr>
      <w:r>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7"/>
        <w:ind w:right="226" w:firstLine="480"/>
        <w:jc w:val="both"/>
        <w:rPr>
          <w:lang w:eastAsia="zh-CN"/>
        </w:rPr>
      </w:pPr>
      <w:r>
        <w:rPr>
          <w:rFonts w:hint="eastAsia"/>
          <w:lang w:eastAsia="zh-CN"/>
        </w:rPr>
        <w:t>8. 参选人必须提交证明其有资格进行参选和有能力履行合同的资格证明文件，作为参选文件的一部分。</w:t>
      </w:r>
    </w:p>
    <w:p>
      <w:pPr>
        <w:ind w:firstLine="480" w:firstLineChars="200"/>
        <w:rPr>
          <w:sz w:val="24"/>
          <w:szCs w:val="24"/>
          <w:lang w:eastAsia="zh-CN"/>
        </w:rPr>
      </w:pPr>
      <w:r>
        <w:rPr>
          <w:rFonts w:hint="eastAsia"/>
          <w:sz w:val="24"/>
          <w:szCs w:val="24"/>
          <w:lang w:eastAsia="zh-CN"/>
        </w:rPr>
        <w:t>9.参选文件的正本和副本均需打（复）印或使用不褪色的蓝、黑墨水笔书写，字迹应清晰易于辨认，并应在投标文件封面上清楚的注明“正本”或“副本”。正本与副本如有不一致之处，则以正本为准。</w:t>
      </w:r>
    </w:p>
    <w:p>
      <w:pPr>
        <w:pStyle w:val="7"/>
        <w:ind w:right="226" w:firstLine="480"/>
        <w:jc w:val="both"/>
        <w:rPr>
          <w:lang w:eastAsia="zh-CN"/>
        </w:rPr>
      </w:pPr>
      <w:r>
        <w:rPr>
          <w:rFonts w:hint="eastAsia"/>
          <w:lang w:eastAsia="zh-CN"/>
        </w:rPr>
        <w:t>10. 参选文件正本应按要求由经正式授权的参选人代表签字并加盖参选人公章。副本可以用复印件。</w:t>
      </w:r>
    </w:p>
    <w:p>
      <w:pPr>
        <w:spacing w:line="357"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pStyle w:val="3"/>
        <w:ind w:left="539"/>
        <w:rPr>
          <w:sz w:val="24"/>
          <w:szCs w:val="24"/>
          <w:lang w:eastAsia="zh-CN"/>
        </w:rPr>
      </w:pPr>
      <w:r>
        <w:rPr>
          <w:rFonts w:hint="eastAsia"/>
          <w:w w:val="95"/>
          <w:sz w:val="24"/>
          <w:szCs w:val="24"/>
          <w:lang w:eastAsia="zh-CN"/>
        </w:rPr>
        <w:t>一、</w:t>
      </w:r>
      <w:r>
        <w:rPr>
          <w:w w:val="95"/>
          <w:sz w:val="24"/>
          <w:szCs w:val="24"/>
          <w:lang w:eastAsia="zh-CN"/>
        </w:rPr>
        <w:t>评选</w:t>
      </w:r>
    </w:p>
    <w:p>
      <w:pPr>
        <w:pStyle w:val="7"/>
        <w:ind w:firstLine="480" w:firstLineChars="20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w:t>
      </w:r>
      <w:r>
        <w:rPr>
          <w:rFonts w:hint="eastAsia"/>
          <w:spacing w:val="-5"/>
          <w:lang w:eastAsia="zh-CN"/>
        </w:rPr>
        <w:t>小组</w:t>
      </w:r>
      <w:r>
        <w:rPr>
          <w:spacing w:val="-5"/>
          <w:lang w:eastAsia="zh-CN"/>
        </w:rPr>
        <w:t>负责。</w:t>
      </w:r>
    </w:p>
    <w:p>
      <w:pPr>
        <w:pStyle w:val="7"/>
        <w:spacing w:before="23"/>
        <w:ind w:left="1" w:firstLine="480" w:firstLineChars="200"/>
        <w:rPr>
          <w:lang w:eastAsia="zh-CN"/>
        </w:rPr>
      </w:pPr>
      <w:r>
        <w:rPr>
          <w:lang w:eastAsia="zh-CN"/>
        </w:rPr>
        <w:t>2.在开选时有启封和没</w:t>
      </w:r>
      <w:r>
        <w:rPr>
          <w:rFonts w:hint="eastAsia"/>
          <w:lang w:eastAsia="zh-CN"/>
        </w:rPr>
        <w:t>公章</w:t>
      </w:r>
      <w:r>
        <w:rPr>
          <w:lang w:eastAsia="zh-CN"/>
        </w:rPr>
        <w:t>的参选文件，在评选时将不予考虑。</w:t>
      </w:r>
    </w:p>
    <w:p>
      <w:pPr>
        <w:pStyle w:val="7"/>
        <w:ind w:left="1" w:firstLine="480" w:firstLineChars="200"/>
        <w:rPr>
          <w:lang w:eastAsia="zh-CN"/>
        </w:rPr>
      </w:pPr>
      <w:r>
        <w:rPr>
          <w:lang w:eastAsia="zh-CN"/>
        </w:rPr>
        <w:t>3.比选人将做开选记录</w:t>
      </w:r>
    </w:p>
    <w:p>
      <w:pPr>
        <w:spacing w:before="15"/>
        <w:ind w:left="680"/>
        <w:rPr>
          <w:b/>
          <w:sz w:val="24"/>
          <w:szCs w:val="24"/>
          <w:lang w:eastAsia="zh-CN"/>
        </w:rPr>
      </w:pPr>
      <w:r>
        <w:rPr>
          <w:rFonts w:hint="eastAsia"/>
          <w:b/>
          <w:w w:val="95"/>
          <w:sz w:val="24"/>
          <w:szCs w:val="24"/>
          <w:lang w:eastAsia="zh-CN"/>
        </w:rPr>
        <w:t>二</w:t>
      </w:r>
      <w:r>
        <w:rPr>
          <w:b/>
          <w:w w:val="95"/>
          <w:sz w:val="24"/>
          <w:szCs w:val="24"/>
          <w:lang w:eastAsia="zh-CN"/>
        </w:rPr>
        <w:t>、规则：</w:t>
      </w:r>
    </w:p>
    <w:p>
      <w:pPr>
        <w:snapToGrid w:val="0"/>
        <w:ind w:firstLine="660" w:firstLineChars="300"/>
        <w:rPr>
          <w:spacing w:val="-2"/>
          <w:sz w:val="24"/>
          <w:szCs w:val="24"/>
          <w:lang w:eastAsia="zh-CN"/>
        </w:rPr>
      </w:pPr>
      <w:r>
        <w:rPr>
          <w:lang w:eastAsia="zh-CN"/>
        </w:rPr>
        <w:t>1.</w:t>
      </w:r>
      <w:r>
        <w:rPr>
          <w:rFonts w:hint="eastAsia"/>
          <w:spacing w:val="-2"/>
          <w:sz w:val="24"/>
          <w:szCs w:val="24"/>
          <w:lang w:eastAsia="zh-CN"/>
        </w:rPr>
        <w:t xml:space="preserve"> 本项目评标采用综合评分法，评标小组将对通过资格及实质响应性审查的各合格参选人，根据以下标准和方法进行评议和评分，最低报价不作为中选的保证。</w:t>
      </w:r>
    </w:p>
    <w:p>
      <w:pPr>
        <w:tabs>
          <w:tab w:val="left" w:pos="825"/>
        </w:tabs>
        <w:snapToGrid w:val="0"/>
        <w:ind w:firstLine="439" w:firstLineChars="182"/>
        <w:rPr>
          <w:b/>
          <w:sz w:val="24"/>
          <w:szCs w:val="24"/>
          <w:u w:val="single"/>
          <w:lang w:eastAsia="zh-CN"/>
        </w:rPr>
      </w:pPr>
      <w:r>
        <w:rPr>
          <w:rFonts w:hint="eastAsia"/>
          <w:b/>
          <w:sz w:val="24"/>
          <w:szCs w:val="24"/>
          <w:u w:val="single"/>
          <w:lang w:eastAsia="zh-CN"/>
        </w:rPr>
        <w:t>评标小组按照先技术，后商务报价的顺序进行评议并评分，权重比为5:5。</w:t>
      </w:r>
    </w:p>
    <w:p>
      <w:pPr>
        <w:tabs>
          <w:tab w:val="left" w:pos="8205"/>
        </w:tabs>
        <w:snapToGrid w:val="0"/>
        <w:ind w:firstLine="708" w:firstLineChars="300"/>
        <w:rPr>
          <w:spacing w:val="-2"/>
          <w:sz w:val="24"/>
          <w:szCs w:val="24"/>
          <w:lang w:eastAsia="zh-CN"/>
        </w:rPr>
      </w:pPr>
      <w:r>
        <w:rPr>
          <w:rFonts w:hint="eastAsia"/>
          <w:spacing w:val="-2"/>
          <w:sz w:val="24"/>
          <w:szCs w:val="24"/>
          <w:lang w:eastAsia="zh-CN"/>
        </w:rPr>
        <w:t>1.3 评分办法</w:t>
      </w:r>
      <w:r>
        <w:rPr>
          <w:spacing w:val="-2"/>
          <w:sz w:val="24"/>
          <w:szCs w:val="24"/>
          <w:lang w:eastAsia="zh-CN"/>
        </w:rPr>
        <w:tab/>
      </w:r>
    </w:p>
    <w:p>
      <w:pPr>
        <w:snapToGrid w:val="0"/>
        <w:ind w:firstLine="708" w:firstLineChars="300"/>
        <w:rPr>
          <w:spacing w:val="-2"/>
          <w:sz w:val="24"/>
          <w:szCs w:val="24"/>
          <w:lang w:eastAsia="zh-CN"/>
        </w:rPr>
      </w:pPr>
      <w:r>
        <w:rPr>
          <w:rFonts w:hint="eastAsia"/>
          <w:spacing w:val="-2"/>
          <w:sz w:val="24"/>
          <w:szCs w:val="24"/>
          <w:lang w:eastAsia="zh-CN"/>
        </w:rPr>
        <w:t xml:space="preserve">1.1.1评分采用百分制，各专项所占分值见下表： </w:t>
      </w:r>
    </w:p>
    <w:tbl>
      <w:tblPr>
        <w:tblStyle w:val="16"/>
        <w:tblW w:w="8789"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5162"/>
        <w:gridCol w:w="29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709" w:type="dxa"/>
            <w:vAlign w:val="center"/>
          </w:tcPr>
          <w:p>
            <w:pPr>
              <w:snapToGrid w:val="0"/>
              <w:spacing w:line="400" w:lineRule="atLeast"/>
              <w:jc w:val="center"/>
              <w:rPr>
                <w:sz w:val="21"/>
                <w:szCs w:val="21"/>
              </w:rPr>
            </w:pPr>
            <w:r>
              <w:rPr>
                <w:rFonts w:hint="eastAsia"/>
                <w:sz w:val="21"/>
                <w:szCs w:val="21"/>
              </w:rPr>
              <w:t>序号</w:t>
            </w:r>
          </w:p>
        </w:tc>
        <w:tc>
          <w:tcPr>
            <w:tcW w:w="5162" w:type="dxa"/>
            <w:vAlign w:val="center"/>
          </w:tcPr>
          <w:p>
            <w:pPr>
              <w:snapToGrid w:val="0"/>
              <w:spacing w:line="400" w:lineRule="atLeast"/>
              <w:jc w:val="center"/>
              <w:rPr>
                <w:sz w:val="21"/>
                <w:szCs w:val="21"/>
              </w:rPr>
            </w:pPr>
            <w:r>
              <w:rPr>
                <w:rFonts w:hint="eastAsia"/>
                <w:sz w:val="21"/>
                <w:szCs w:val="21"/>
              </w:rPr>
              <w:t>评分项目</w:t>
            </w:r>
          </w:p>
        </w:tc>
        <w:tc>
          <w:tcPr>
            <w:tcW w:w="2918" w:type="dxa"/>
            <w:vAlign w:val="center"/>
          </w:tcPr>
          <w:p>
            <w:pPr>
              <w:snapToGrid w:val="0"/>
              <w:spacing w:line="400" w:lineRule="atLeast"/>
              <w:jc w:val="center"/>
              <w:rPr>
                <w:sz w:val="21"/>
                <w:szCs w:val="21"/>
              </w:rPr>
            </w:pPr>
            <w:r>
              <w:rPr>
                <w:rFonts w:hint="eastAsia"/>
                <w:sz w:val="21"/>
                <w:szCs w:val="21"/>
              </w:rPr>
              <w:t>分数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709" w:type="dxa"/>
            <w:vAlign w:val="center"/>
          </w:tcPr>
          <w:p>
            <w:pPr>
              <w:snapToGrid w:val="0"/>
              <w:spacing w:line="400" w:lineRule="atLeast"/>
              <w:jc w:val="center"/>
              <w:rPr>
                <w:sz w:val="21"/>
                <w:szCs w:val="21"/>
              </w:rPr>
            </w:pPr>
            <w:r>
              <w:rPr>
                <w:rFonts w:hint="eastAsia"/>
                <w:sz w:val="21"/>
                <w:szCs w:val="21"/>
              </w:rPr>
              <w:t>1</w:t>
            </w:r>
          </w:p>
        </w:tc>
        <w:tc>
          <w:tcPr>
            <w:tcW w:w="5162" w:type="dxa"/>
            <w:vAlign w:val="center"/>
          </w:tcPr>
          <w:p>
            <w:pPr>
              <w:snapToGrid w:val="0"/>
              <w:spacing w:line="400" w:lineRule="atLeast"/>
              <w:jc w:val="center"/>
              <w:rPr>
                <w:sz w:val="21"/>
                <w:szCs w:val="21"/>
              </w:rPr>
            </w:pPr>
            <w:r>
              <w:rPr>
                <w:rFonts w:hint="eastAsia"/>
                <w:spacing w:val="-2"/>
                <w:sz w:val="21"/>
                <w:szCs w:val="21"/>
              </w:rPr>
              <w:t>技术部分</w:t>
            </w:r>
          </w:p>
        </w:tc>
        <w:tc>
          <w:tcPr>
            <w:tcW w:w="2918" w:type="dxa"/>
            <w:vAlign w:val="center"/>
          </w:tcPr>
          <w:p>
            <w:pPr>
              <w:snapToGrid w:val="0"/>
              <w:spacing w:line="400" w:lineRule="atLeast"/>
              <w:jc w:val="center"/>
              <w:rPr>
                <w:sz w:val="21"/>
                <w:szCs w:val="21"/>
              </w:rPr>
            </w:pPr>
            <w:r>
              <w:rPr>
                <w:rFonts w:hint="eastAsia"/>
                <w:sz w:val="21"/>
                <w:szCs w:val="21"/>
                <w:lang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709" w:type="dxa"/>
            <w:vAlign w:val="center"/>
          </w:tcPr>
          <w:p>
            <w:pPr>
              <w:snapToGrid w:val="0"/>
              <w:spacing w:line="400" w:lineRule="atLeast"/>
              <w:jc w:val="center"/>
              <w:rPr>
                <w:sz w:val="21"/>
                <w:szCs w:val="21"/>
              </w:rPr>
            </w:pPr>
            <w:r>
              <w:rPr>
                <w:rFonts w:hint="eastAsia"/>
                <w:sz w:val="21"/>
                <w:szCs w:val="21"/>
              </w:rPr>
              <w:t>2</w:t>
            </w:r>
          </w:p>
        </w:tc>
        <w:tc>
          <w:tcPr>
            <w:tcW w:w="5162" w:type="dxa"/>
            <w:vAlign w:val="center"/>
          </w:tcPr>
          <w:p>
            <w:pPr>
              <w:snapToGrid w:val="0"/>
              <w:spacing w:line="400" w:lineRule="atLeast"/>
              <w:jc w:val="center"/>
              <w:rPr>
                <w:sz w:val="21"/>
                <w:szCs w:val="21"/>
              </w:rPr>
            </w:pPr>
            <w:r>
              <w:rPr>
                <w:rFonts w:hint="eastAsia"/>
                <w:spacing w:val="-2"/>
                <w:sz w:val="21"/>
                <w:szCs w:val="21"/>
              </w:rPr>
              <w:t>商务部分</w:t>
            </w:r>
          </w:p>
        </w:tc>
        <w:tc>
          <w:tcPr>
            <w:tcW w:w="2918" w:type="dxa"/>
            <w:vAlign w:val="center"/>
          </w:tcPr>
          <w:p>
            <w:pPr>
              <w:snapToGrid w:val="0"/>
              <w:spacing w:line="400" w:lineRule="atLeast"/>
              <w:jc w:val="center"/>
              <w:rPr>
                <w:sz w:val="21"/>
                <w:szCs w:val="21"/>
              </w:rPr>
            </w:pPr>
            <w:r>
              <w:rPr>
                <w:rFonts w:hint="eastAsia"/>
                <w:sz w:val="21"/>
                <w:szCs w:val="21"/>
                <w:lang w:eastAsia="zh-CN"/>
              </w:rPr>
              <w:t>5</w:t>
            </w:r>
            <w:r>
              <w:rPr>
                <w:rFonts w:hint="eastAsia"/>
                <w:sz w:val="21"/>
                <w:szCs w:val="21"/>
              </w:rPr>
              <w:t>0</w:t>
            </w:r>
          </w:p>
        </w:tc>
      </w:tr>
    </w:tbl>
    <w:p>
      <w:pPr>
        <w:snapToGrid w:val="0"/>
        <w:spacing w:line="420" w:lineRule="atLeast"/>
        <w:ind w:firstLine="708" w:firstLineChars="300"/>
        <w:rPr>
          <w:spacing w:val="-2"/>
          <w:sz w:val="24"/>
          <w:szCs w:val="24"/>
          <w:lang w:eastAsia="zh-CN"/>
        </w:rPr>
      </w:pPr>
      <w:r>
        <w:rPr>
          <w:rFonts w:hint="eastAsia"/>
          <w:spacing w:val="-2"/>
          <w:sz w:val="24"/>
          <w:szCs w:val="24"/>
          <w:lang w:eastAsia="zh-CN"/>
        </w:rPr>
        <w:t>1.1.2评分细则</w:t>
      </w:r>
    </w:p>
    <w:tbl>
      <w:tblPr>
        <w:tblStyle w:val="16"/>
        <w:tblW w:w="9418" w:type="dxa"/>
        <w:tblInd w:w="392" w:type="dxa"/>
        <w:tblLayout w:type="autofit"/>
        <w:tblCellMar>
          <w:top w:w="0" w:type="dxa"/>
          <w:left w:w="108" w:type="dxa"/>
          <w:bottom w:w="0" w:type="dxa"/>
          <w:right w:w="108" w:type="dxa"/>
        </w:tblCellMar>
      </w:tblPr>
      <w:tblGrid>
        <w:gridCol w:w="709"/>
        <w:gridCol w:w="708"/>
        <w:gridCol w:w="1418"/>
        <w:gridCol w:w="567"/>
        <w:gridCol w:w="6016"/>
      </w:tblGrid>
      <w:tr>
        <w:tblPrEx>
          <w:tblCellMar>
            <w:top w:w="0" w:type="dxa"/>
            <w:left w:w="108" w:type="dxa"/>
            <w:bottom w:w="0" w:type="dxa"/>
            <w:right w:w="108" w:type="dxa"/>
          </w:tblCellMar>
        </w:tblPrEx>
        <w:trPr>
          <w:trHeight w:val="465" w:hRule="atLeast"/>
        </w:trPr>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utoSpaceDE/>
              <w:autoSpaceDN/>
              <w:jc w:val="center"/>
              <w:rPr>
                <w:b/>
                <w:bCs/>
                <w:color w:val="000000"/>
                <w:sz w:val="21"/>
                <w:szCs w:val="21"/>
                <w:lang w:eastAsia="zh-CN"/>
              </w:rPr>
            </w:pPr>
            <w:r>
              <w:rPr>
                <w:rFonts w:hint="eastAsia"/>
                <w:b/>
                <w:bCs/>
                <w:color w:val="000000"/>
                <w:sz w:val="21"/>
                <w:szCs w:val="21"/>
                <w:lang w:eastAsia="zh-CN"/>
              </w:rPr>
              <w:t>序号</w:t>
            </w:r>
          </w:p>
        </w:tc>
        <w:tc>
          <w:tcPr>
            <w:tcW w:w="708" w:type="dxa"/>
            <w:tcBorders>
              <w:top w:val="single" w:color="auto" w:sz="4" w:space="0"/>
              <w:left w:val="nil"/>
              <w:bottom w:val="single" w:color="auto" w:sz="4" w:space="0"/>
              <w:right w:val="single" w:color="auto" w:sz="4" w:space="0"/>
            </w:tcBorders>
            <w:shd w:val="clear" w:color="auto" w:fill="auto"/>
            <w:noWrap/>
            <w:vAlign w:val="center"/>
          </w:tcPr>
          <w:p>
            <w:pPr>
              <w:widowControl/>
              <w:autoSpaceDE/>
              <w:autoSpaceDN/>
              <w:jc w:val="center"/>
              <w:rPr>
                <w:b/>
                <w:bCs/>
                <w:color w:val="000000"/>
                <w:sz w:val="21"/>
                <w:szCs w:val="21"/>
                <w:lang w:eastAsia="zh-CN"/>
              </w:rPr>
            </w:pPr>
            <w:r>
              <w:rPr>
                <w:rFonts w:hint="eastAsia"/>
                <w:b/>
                <w:bCs/>
                <w:color w:val="000000"/>
                <w:sz w:val="21"/>
                <w:szCs w:val="21"/>
                <w:lang w:eastAsia="zh-CN"/>
              </w:rPr>
              <w:t>　</w:t>
            </w:r>
          </w:p>
        </w:tc>
        <w:tc>
          <w:tcPr>
            <w:tcW w:w="1418" w:type="dxa"/>
            <w:tcBorders>
              <w:top w:val="single" w:color="auto" w:sz="4" w:space="0"/>
              <w:left w:val="nil"/>
              <w:bottom w:val="single" w:color="auto" w:sz="4" w:space="0"/>
              <w:right w:val="single" w:color="auto" w:sz="4" w:space="0"/>
            </w:tcBorders>
            <w:shd w:val="clear" w:color="auto" w:fill="auto"/>
            <w:noWrap/>
            <w:vAlign w:val="center"/>
          </w:tcPr>
          <w:p>
            <w:pPr>
              <w:widowControl/>
              <w:autoSpaceDE/>
              <w:autoSpaceDN/>
              <w:jc w:val="center"/>
              <w:rPr>
                <w:b/>
                <w:bCs/>
                <w:color w:val="000000"/>
                <w:sz w:val="21"/>
                <w:szCs w:val="21"/>
                <w:lang w:eastAsia="zh-CN"/>
              </w:rPr>
            </w:pPr>
            <w:r>
              <w:rPr>
                <w:rFonts w:hint="eastAsia"/>
                <w:b/>
                <w:bCs/>
                <w:color w:val="000000"/>
                <w:sz w:val="21"/>
                <w:szCs w:val="21"/>
                <w:lang w:eastAsia="zh-CN"/>
              </w:rPr>
              <w:t>评审项目</w:t>
            </w:r>
          </w:p>
        </w:tc>
        <w:tc>
          <w:tcPr>
            <w:tcW w:w="567" w:type="dxa"/>
            <w:tcBorders>
              <w:top w:val="single" w:color="auto" w:sz="4" w:space="0"/>
              <w:left w:val="nil"/>
              <w:bottom w:val="single" w:color="auto" w:sz="4" w:space="0"/>
              <w:right w:val="single" w:color="auto" w:sz="4" w:space="0"/>
            </w:tcBorders>
            <w:shd w:val="clear" w:color="auto" w:fill="auto"/>
            <w:noWrap/>
            <w:vAlign w:val="center"/>
          </w:tcPr>
          <w:p>
            <w:pPr>
              <w:widowControl/>
              <w:autoSpaceDE/>
              <w:autoSpaceDN/>
              <w:jc w:val="center"/>
              <w:rPr>
                <w:b/>
                <w:bCs/>
                <w:color w:val="000000"/>
                <w:sz w:val="21"/>
                <w:szCs w:val="21"/>
                <w:lang w:eastAsia="zh-CN"/>
              </w:rPr>
            </w:pPr>
            <w:r>
              <w:rPr>
                <w:rFonts w:hint="eastAsia"/>
                <w:b/>
                <w:bCs/>
                <w:color w:val="000000"/>
                <w:sz w:val="21"/>
                <w:szCs w:val="21"/>
                <w:lang w:eastAsia="zh-CN"/>
              </w:rPr>
              <w:t>分值</w:t>
            </w:r>
          </w:p>
        </w:tc>
        <w:tc>
          <w:tcPr>
            <w:tcW w:w="6016" w:type="dxa"/>
            <w:tcBorders>
              <w:top w:val="single" w:color="auto" w:sz="4" w:space="0"/>
              <w:left w:val="nil"/>
              <w:bottom w:val="single" w:color="auto" w:sz="4" w:space="0"/>
              <w:right w:val="single" w:color="auto" w:sz="4" w:space="0"/>
            </w:tcBorders>
            <w:shd w:val="clear" w:color="auto" w:fill="auto"/>
            <w:noWrap/>
            <w:vAlign w:val="center"/>
          </w:tcPr>
          <w:p>
            <w:pPr>
              <w:widowControl/>
              <w:autoSpaceDE/>
              <w:autoSpaceDN/>
              <w:jc w:val="center"/>
              <w:rPr>
                <w:b/>
                <w:bCs/>
                <w:color w:val="000000"/>
                <w:sz w:val="21"/>
                <w:szCs w:val="21"/>
                <w:lang w:eastAsia="zh-CN"/>
              </w:rPr>
            </w:pPr>
            <w:r>
              <w:rPr>
                <w:rFonts w:hint="eastAsia"/>
                <w:b/>
                <w:bCs/>
                <w:color w:val="000000"/>
                <w:sz w:val="21"/>
                <w:szCs w:val="21"/>
                <w:lang w:eastAsia="zh-CN"/>
              </w:rPr>
              <w:t>评分细则</w:t>
            </w:r>
          </w:p>
        </w:tc>
      </w:tr>
      <w:tr>
        <w:tblPrEx>
          <w:tblCellMar>
            <w:top w:w="0" w:type="dxa"/>
            <w:left w:w="108" w:type="dxa"/>
            <w:bottom w:w="0" w:type="dxa"/>
            <w:right w:w="108" w:type="dxa"/>
          </w:tblCellMar>
        </w:tblPrEx>
        <w:trPr>
          <w:trHeight w:val="979" w:hRule="atLeast"/>
        </w:trPr>
        <w:tc>
          <w:tcPr>
            <w:tcW w:w="709" w:type="dxa"/>
            <w:vMerge w:val="restart"/>
            <w:tcBorders>
              <w:top w:val="nil"/>
              <w:left w:val="single" w:color="auto" w:sz="4" w:space="0"/>
              <w:right w:val="single" w:color="auto" w:sz="4" w:space="0"/>
            </w:tcBorders>
            <w:shd w:val="clear" w:color="auto" w:fill="auto"/>
            <w:noWrap/>
            <w:vAlign w:val="center"/>
          </w:tcPr>
          <w:p>
            <w:pPr>
              <w:widowControl/>
              <w:autoSpaceDE/>
              <w:autoSpaceDN/>
              <w:jc w:val="center"/>
              <w:rPr>
                <w:color w:val="000000"/>
                <w:sz w:val="21"/>
                <w:szCs w:val="21"/>
                <w:lang w:eastAsia="zh-CN"/>
              </w:rPr>
            </w:pPr>
            <w:r>
              <w:rPr>
                <w:rFonts w:hint="eastAsia"/>
                <w:color w:val="000000"/>
                <w:sz w:val="21"/>
                <w:szCs w:val="21"/>
                <w:lang w:eastAsia="zh-CN"/>
              </w:rPr>
              <w:t>1</w:t>
            </w:r>
          </w:p>
        </w:tc>
        <w:tc>
          <w:tcPr>
            <w:tcW w:w="708" w:type="dxa"/>
            <w:vMerge w:val="restart"/>
            <w:tcBorders>
              <w:top w:val="nil"/>
              <w:left w:val="single" w:color="auto" w:sz="4" w:space="0"/>
              <w:right w:val="single" w:color="auto" w:sz="4" w:space="0"/>
            </w:tcBorders>
            <w:shd w:val="clear" w:color="auto" w:fill="auto"/>
            <w:noWrap/>
            <w:vAlign w:val="center"/>
          </w:tcPr>
          <w:p>
            <w:pPr>
              <w:jc w:val="center"/>
              <w:rPr>
                <w:color w:val="000000"/>
                <w:sz w:val="21"/>
                <w:szCs w:val="21"/>
                <w:lang w:eastAsia="zh-CN"/>
              </w:rPr>
            </w:pPr>
            <w:r>
              <w:rPr>
                <w:rFonts w:hint="eastAsia"/>
                <w:color w:val="000000"/>
                <w:sz w:val="21"/>
                <w:szCs w:val="21"/>
                <w:lang w:eastAsia="zh-CN"/>
              </w:rPr>
              <w:t>技术部分</w:t>
            </w:r>
          </w:p>
        </w:tc>
        <w:tc>
          <w:tcPr>
            <w:tcW w:w="1418" w:type="dxa"/>
            <w:tcBorders>
              <w:top w:val="nil"/>
              <w:left w:val="nil"/>
              <w:bottom w:val="single" w:color="auto" w:sz="4" w:space="0"/>
              <w:right w:val="single" w:color="auto" w:sz="4" w:space="0"/>
            </w:tcBorders>
            <w:shd w:val="clear" w:color="auto" w:fill="auto"/>
            <w:noWrap/>
            <w:vAlign w:val="center"/>
          </w:tcPr>
          <w:p>
            <w:pPr>
              <w:widowControl/>
              <w:autoSpaceDE/>
              <w:autoSpaceDN/>
              <w:rPr>
                <w:color w:val="000000"/>
                <w:sz w:val="21"/>
                <w:szCs w:val="21"/>
                <w:lang w:eastAsia="zh-CN"/>
              </w:rPr>
            </w:pPr>
            <w:r>
              <w:rPr>
                <w:rFonts w:hint="eastAsia"/>
                <w:color w:val="000000"/>
                <w:sz w:val="21"/>
                <w:szCs w:val="21"/>
                <w:lang w:eastAsia="zh-CN"/>
              </w:rPr>
              <w:t>资质</w:t>
            </w:r>
          </w:p>
        </w:tc>
        <w:tc>
          <w:tcPr>
            <w:tcW w:w="567"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color w:val="000000"/>
                <w:sz w:val="21"/>
                <w:szCs w:val="21"/>
                <w:lang w:eastAsia="zh-CN"/>
              </w:rPr>
            </w:pPr>
            <w:r>
              <w:rPr>
                <w:rFonts w:hint="eastAsia"/>
                <w:color w:val="000000"/>
                <w:sz w:val="21"/>
                <w:szCs w:val="21"/>
                <w:lang w:eastAsia="zh-CN"/>
              </w:rPr>
              <w:t>5</w:t>
            </w:r>
          </w:p>
        </w:tc>
        <w:tc>
          <w:tcPr>
            <w:tcW w:w="6016" w:type="dxa"/>
            <w:tcBorders>
              <w:top w:val="nil"/>
              <w:left w:val="nil"/>
              <w:bottom w:val="single" w:color="auto" w:sz="4" w:space="0"/>
              <w:right w:val="single" w:color="auto" w:sz="4" w:space="0"/>
            </w:tcBorders>
            <w:shd w:val="clear" w:color="auto" w:fill="auto"/>
            <w:vAlign w:val="center"/>
          </w:tcPr>
          <w:p>
            <w:pPr>
              <w:widowControl/>
              <w:autoSpaceDE/>
              <w:autoSpaceDN/>
              <w:spacing w:line="240" w:lineRule="atLeast"/>
              <w:rPr>
                <w:color w:val="000000"/>
                <w:sz w:val="21"/>
                <w:szCs w:val="21"/>
                <w:lang w:eastAsia="zh-CN"/>
              </w:rPr>
            </w:pPr>
            <w:r>
              <w:rPr>
                <w:rFonts w:hint="eastAsia"/>
                <w:color w:val="000000"/>
                <w:sz w:val="21"/>
                <w:szCs w:val="21"/>
                <w:lang w:eastAsia="zh-CN"/>
              </w:rPr>
              <w:t>资质要求：工程设计电力行业甲级及以上、工程勘察专业类甲级及以上。</w:t>
            </w:r>
          </w:p>
          <w:p>
            <w:pPr>
              <w:widowControl/>
              <w:autoSpaceDE/>
              <w:autoSpaceDN/>
              <w:spacing w:line="240" w:lineRule="atLeast"/>
              <w:rPr>
                <w:color w:val="000000"/>
                <w:sz w:val="21"/>
                <w:szCs w:val="21"/>
                <w:lang w:eastAsia="zh-CN"/>
              </w:rPr>
            </w:pPr>
            <w:r>
              <w:rPr>
                <w:rFonts w:hint="eastAsia"/>
                <w:color w:val="000000"/>
                <w:sz w:val="21"/>
                <w:szCs w:val="21"/>
                <w:lang w:eastAsia="zh-CN"/>
              </w:rPr>
              <w:t>评分标准：符合标准得</w:t>
            </w:r>
            <w:r>
              <w:rPr>
                <w:color w:val="000000"/>
                <w:sz w:val="21"/>
                <w:szCs w:val="21"/>
                <w:lang w:eastAsia="zh-CN"/>
              </w:rPr>
              <w:t>5分</w:t>
            </w:r>
          </w:p>
          <w:p>
            <w:pPr>
              <w:widowControl/>
              <w:autoSpaceDE/>
              <w:autoSpaceDN/>
              <w:spacing w:line="240" w:lineRule="atLeast"/>
              <w:rPr>
                <w:color w:val="000000"/>
                <w:sz w:val="21"/>
                <w:szCs w:val="21"/>
                <w:lang w:eastAsia="zh-CN"/>
              </w:rPr>
            </w:pPr>
            <w:r>
              <w:rPr>
                <w:rFonts w:hint="eastAsia"/>
                <w:color w:val="000000"/>
                <w:sz w:val="21"/>
                <w:szCs w:val="21"/>
                <w:lang w:eastAsia="zh-CN"/>
              </w:rPr>
              <w:t>证明材料：相关资质证书复印件。</w:t>
            </w:r>
          </w:p>
        </w:tc>
      </w:tr>
      <w:tr>
        <w:tblPrEx>
          <w:tblCellMar>
            <w:top w:w="0" w:type="dxa"/>
            <w:left w:w="108" w:type="dxa"/>
            <w:bottom w:w="0" w:type="dxa"/>
            <w:right w:w="108" w:type="dxa"/>
          </w:tblCellMar>
        </w:tblPrEx>
        <w:trPr>
          <w:trHeight w:val="675" w:hRule="atLeast"/>
        </w:trPr>
        <w:tc>
          <w:tcPr>
            <w:tcW w:w="709" w:type="dxa"/>
            <w:vMerge w:val="continue"/>
            <w:tcBorders>
              <w:left w:val="single" w:color="auto" w:sz="4" w:space="0"/>
              <w:right w:val="single" w:color="auto" w:sz="4" w:space="0"/>
            </w:tcBorders>
            <w:vAlign w:val="center"/>
          </w:tcPr>
          <w:p>
            <w:pPr>
              <w:widowControl/>
              <w:autoSpaceDE/>
              <w:autoSpaceDN/>
              <w:rPr>
                <w:color w:val="000000"/>
                <w:sz w:val="21"/>
                <w:szCs w:val="21"/>
                <w:lang w:eastAsia="zh-CN"/>
              </w:rPr>
            </w:pPr>
          </w:p>
        </w:tc>
        <w:tc>
          <w:tcPr>
            <w:tcW w:w="708" w:type="dxa"/>
            <w:vMerge w:val="continue"/>
            <w:tcBorders>
              <w:left w:val="single" w:color="auto" w:sz="4" w:space="0"/>
              <w:right w:val="single" w:color="auto" w:sz="4" w:space="0"/>
            </w:tcBorders>
            <w:vAlign w:val="center"/>
          </w:tcPr>
          <w:p>
            <w:pPr>
              <w:jc w:val="center"/>
              <w:rPr>
                <w:color w:val="000000"/>
                <w:sz w:val="21"/>
                <w:szCs w:val="21"/>
                <w:lang w:eastAsia="zh-CN"/>
              </w:rPr>
            </w:pPr>
          </w:p>
        </w:tc>
        <w:tc>
          <w:tcPr>
            <w:tcW w:w="1418" w:type="dxa"/>
            <w:tcBorders>
              <w:top w:val="nil"/>
              <w:left w:val="nil"/>
              <w:bottom w:val="single" w:color="auto" w:sz="4" w:space="0"/>
              <w:right w:val="single" w:color="auto" w:sz="4" w:space="0"/>
            </w:tcBorders>
            <w:shd w:val="clear" w:color="auto" w:fill="auto"/>
            <w:noWrap/>
            <w:vAlign w:val="center"/>
          </w:tcPr>
          <w:p>
            <w:pPr>
              <w:widowControl/>
              <w:autoSpaceDE/>
              <w:autoSpaceDN/>
              <w:rPr>
                <w:color w:val="000000"/>
                <w:sz w:val="21"/>
                <w:szCs w:val="21"/>
                <w:lang w:eastAsia="zh-CN"/>
              </w:rPr>
            </w:pPr>
            <w:r>
              <w:rPr>
                <w:rFonts w:hint="eastAsia"/>
                <w:color w:val="000000"/>
                <w:sz w:val="21"/>
                <w:szCs w:val="21"/>
                <w:lang w:eastAsia="zh-CN"/>
              </w:rPr>
              <w:t>体系认证</w:t>
            </w:r>
          </w:p>
        </w:tc>
        <w:tc>
          <w:tcPr>
            <w:tcW w:w="567"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color w:val="000000"/>
                <w:sz w:val="21"/>
                <w:szCs w:val="21"/>
                <w:lang w:eastAsia="zh-CN"/>
              </w:rPr>
            </w:pPr>
            <w:r>
              <w:rPr>
                <w:rFonts w:hint="eastAsia"/>
                <w:color w:val="000000"/>
                <w:sz w:val="21"/>
                <w:szCs w:val="21"/>
                <w:lang w:eastAsia="zh-CN"/>
              </w:rPr>
              <w:t>1.5</w:t>
            </w:r>
          </w:p>
        </w:tc>
        <w:tc>
          <w:tcPr>
            <w:tcW w:w="6016" w:type="dxa"/>
            <w:tcBorders>
              <w:top w:val="nil"/>
              <w:left w:val="nil"/>
              <w:bottom w:val="single" w:color="auto" w:sz="4" w:space="0"/>
              <w:right w:val="single" w:color="auto" w:sz="4" w:space="0"/>
            </w:tcBorders>
            <w:shd w:val="clear" w:color="auto" w:fill="auto"/>
            <w:vAlign w:val="center"/>
          </w:tcPr>
          <w:p>
            <w:pPr>
              <w:widowControl/>
              <w:autoSpaceDE/>
              <w:autoSpaceDN/>
              <w:spacing w:line="240" w:lineRule="atLeast"/>
              <w:rPr>
                <w:color w:val="000000"/>
                <w:sz w:val="21"/>
                <w:szCs w:val="21"/>
                <w:lang w:eastAsia="zh-CN"/>
              </w:rPr>
            </w:pPr>
            <w:r>
              <w:rPr>
                <w:rFonts w:hint="eastAsia"/>
                <w:color w:val="000000"/>
                <w:sz w:val="21"/>
                <w:szCs w:val="21"/>
                <w:lang w:eastAsia="zh-CN"/>
              </w:rPr>
              <w:t>体系认证内容：质量管理体系认证、环境管理体系认证、职业健康安全管理体系认证。</w:t>
            </w:r>
          </w:p>
          <w:p>
            <w:pPr>
              <w:widowControl/>
              <w:autoSpaceDE/>
              <w:autoSpaceDN/>
              <w:spacing w:line="240" w:lineRule="atLeast"/>
              <w:rPr>
                <w:color w:val="000000"/>
                <w:sz w:val="21"/>
                <w:szCs w:val="21"/>
                <w:lang w:eastAsia="zh-CN"/>
              </w:rPr>
            </w:pPr>
            <w:r>
              <w:rPr>
                <w:rFonts w:hint="eastAsia"/>
                <w:color w:val="000000"/>
                <w:sz w:val="21"/>
                <w:szCs w:val="21"/>
                <w:lang w:eastAsia="zh-CN"/>
              </w:rPr>
              <w:t>评分标准：每项</w:t>
            </w:r>
            <w:r>
              <w:rPr>
                <w:color w:val="000000"/>
                <w:sz w:val="21"/>
                <w:szCs w:val="21"/>
                <w:lang w:eastAsia="zh-CN"/>
              </w:rPr>
              <w:t>0.5分，满分1.5分。</w:t>
            </w:r>
          </w:p>
          <w:p>
            <w:pPr>
              <w:widowControl/>
              <w:autoSpaceDE/>
              <w:autoSpaceDN/>
              <w:spacing w:line="240" w:lineRule="atLeast"/>
              <w:rPr>
                <w:color w:val="000000"/>
                <w:sz w:val="21"/>
                <w:szCs w:val="21"/>
                <w:lang w:eastAsia="zh-CN"/>
              </w:rPr>
            </w:pPr>
            <w:r>
              <w:rPr>
                <w:rFonts w:hint="eastAsia"/>
                <w:color w:val="000000"/>
                <w:sz w:val="21"/>
                <w:szCs w:val="21"/>
                <w:lang w:eastAsia="zh-CN"/>
              </w:rPr>
              <w:t>证明材料：相关证明材料复印件。</w:t>
            </w:r>
          </w:p>
        </w:tc>
      </w:tr>
      <w:tr>
        <w:tblPrEx>
          <w:tblCellMar>
            <w:top w:w="0" w:type="dxa"/>
            <w:left w:w="108" w:type="dxa"/>
            <w:bottom w:w="0" w:type="dxa"/>
            <w:right w:w="108" w:type="dxa"/>
          </w:tblCellMar>
        </w:tblPrEx>
        <w:trPr>
          <w:trHeight w:val="675" w:hRule="atLeast"/>
        </w:trPr>
        <w:tc>
          <w:tcPr>
            <w:tcW w:w="709" w:type="dxa"/>
            <w:vMerge w:val="continue"/>
            <w:tcBorders>
              <w:left w:val="single" w:color="auto" w:sz="4" w:space="0"/>
              <w:right w:val="single" w:color="auto" w:sz="4" w:space="0"/>
            </w:tcBorders>
            <w:vAlign w:val="center"/>
          </w:tcPr>
          <w:p>
            <w:pPr>
              <w:widowControl/>
              <w:autoSpaceDE/>
              <w:autoSpaceDN/>
              <w:rPr>
                <w:color w:val="000000"/>
                <w:sz w:val="21"/>
                <w:szCs w:val="21"/>
                <w:lang w:eastAsia="zh-CN"/>
              </w:rPr>
            </w:pPr>
          </w:p>
        </w:tc>
        <w:tc>
          <w:tcPr>
            <w:tcW w:w="708" w:type="dxa"/>
            <w:vMerge w:val="continue"/>
            <w:tcBorders>
              <w:left w:val="single" w:color="auto" w:sz="4" w:space="0"/>
              <w:right w:val="single" w:color="auto" w:sz="4" w:space="0"/>
            </w:tcBorders>
            <w:vAlign w:val="center"/>
          </w:tcPr>
          <w:p>
            <w:pPr>
              <w:jc w:val="center"/>
              <w:rPr>
                <w:color w:val="000000"/>
                <w:sz w:val="21"/>
                <w:szCs w:val="21"/>
                <w:lang w:eastAsia="zh-CN"/>
              </w:rPr>
            </w:pPr>
          </w:p>
        </w:tc>
        <w:tc>
          <w:tcPr>
            <w:tcW w:w="1418" w:type="dxa"/>
            <w:tcBorders>
              <w:top w:val="nil"/>
              <w:left w:val="nil"/>
              <w:bottom w:val="single" w:color="auto" w:sz="4" w:space="0"/>
              <w:right w:val="single" w:color="auto" w:sz="4" w:space="0"/>
            </w:tcBorders>
            <w:shd w:val="clear" w:color="auto" w:fill="auto"/>
            <w:noWrap/>
            <w:vAlign w:val="center"/>
          </w:tcPr>
          <w:p>
            <w:pPr>
              <w:widowControl/>
              <w:autoSpaceDE/>
              <w:autoSpaceDN/>
              <w:rPr>
                <w:color w:val="000000"/>
                <w:sz w:val="21"/>
                <w:szCs w:val="21"/>
                <w:lang w:eastAsia="zh-CN"/>
              </w:rPr>
            </w:pPr>
            <w:r>
              <w:rPr>
                <w:rFonts w:hint="eastAsia"/>
                <w:color w:val="000000"/>
                <w:sz w:val="21"/>
                <w:szCs w:val="21"/>
                <w:lang w:eastAsia="zh-CN"/>
              </w:rPr>
              <w:t>项目负责人资历和业绩</w:t>
            </w:r>
          </w:p>
        </w:tc>
        <w:tc>
          <w:tcPr>
            <w:tcW w:w="567"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color w:val="000000"/>
                <w:sz w:val="21"/>
                <w:szCs w:val="21"/>
                <w:lang w:eastAsia="zh-CN"/>
              </w:rPr>
            </w:pPr>
            <w:r>
              <w:rPr>
                <w:rFonts w:hint="eastAsia"/>
                <w:color w:val="000000"/>
                <w:sz w:val="21"/>
                <w:szCs w:val="21"/>
                <w:lang w:eastAsia="zh-CN"/>
              </w:rPr>
              <w:t>3</w:t>
            </w:r>
          </w:p>
        </w:tc>
        <w:tc>
          <w:tcPr>
            <w:tcW w:w="6016" w:type="dxa"/>
            <w:tcBorders>
              <w:top w:val="nil"/>
              <w:left w:val="nil"/>
              <w:bottom w:val="single" w:color="auto" w:sz="4" w:space="0"/>
              <w:right w:val="single" w:color="auto" w:sz="4" w:space="0"/>
            </w:tcBorders>
            <w:shd w:val="clear" w:color="auto" w:fill="auto"/>
            <w:vAlign w:val="center"/>
          </w:tcPr>
          <w:p>
            <w:pPr>
              <w:widowControl/>
              <w:autoSpaceDE/>
              <w:autoSpaceDN/>
              <w:spacing w:line="240" w:lineRule="atLeast"/>
              <w:rPr>
                <w:color w:val="000000"/>
                <w:sz w:val="21"/>
                <w:szCs w:val="21"/>
                <w:lang w:eastAsia="zh-CN"/>
              </w:rPr>
            </w:pPr>
            <w:r>
              <w:rPr>
                <w:rFonts w:hint="eastAsia"/>
                <w:color w:val="000000"/>
                <w:sz w:val="21"/>
                <w:szCs w:val="21"/>
                <w:lang w:eastAsia="zh-CN"/>
              </w:rPr>
              <w:t>资历业绩要求：本项目负责人（项目经理）的个人简历，具有注册公用设备工程师（热能动力）执业资格，详细说明近</w:t>
            </w:r>
            <w:r>
              <w:rPr>
                <w:color w:val="000000"/>
                <w:sz w:val="21"/>
                <w:szCs w:val="21"/>
                <w:lang w:eastAsia="zh-CN"/>
              </w:rPr>
              <w:t>10年承接的类似工程设计项目。</w:t>
            </w:r>
          </w:p>
          <w:p>
            <w:pPr>
              <w:widowControl/>
              <w:autoSpaceDE/>
              <w:autoSpaceDN/>
              <w:spacing w:line="240" w:lineRule="atLeast"/>
              <w:rPr>
                <w:color w:val="000000"/>
                <w:sz w:val="21"/>
                <w:szCs w:val="21"/>
                <w:lang w:eastAsia="zh-CN"/>
              </w:rPr>
            </w:pPr>
            <w:r>
              <w:rPr>
                <w:rFonts w:hint="eastAsia"/>
                <w:color w:val="000000"/>
                <w:sz w:val="21"/>
                <w:szCs w:val="21"/>
                <w:lang w:eastAsia="zh-CN"/>
              </w:rPr>
              <w:t>评分标准：对提供的本项目负责人（项目经理）承接类似工程设计项目，</w:t>
            </w:r>
            <w:r>
              <w:rPr>
                <w:color w:val="000000"/>
                <w:sz w:val="21"/>
                <w:szCs w:val="21"/>
                <w:lang w:eastAsia="zh-CN"/>
              </w:rPr>
              <w:t>5个及以上3分；2-4个2分；1-2个1分；没有0分。</w:t>
            </w:r>
          </w:p>
          <w:p>
            <w:pPr>
              <w:widowControl/>
              <w:autoSpaceDE/>
              <w:autoSpaceDN/>
              <w:spacing w:line="240" w:lineRule="atLeast"/>
              <w:rPr>
                <w:color w:val="000000"/>
                <w:sz w:val="21"/>
                <w:szCs w:val="21"/>
                <w:lang w:eastAsia="zh-CN"/>
              </w:rPr>
            </w:pPr>
            <w:r>
              <w:rPr>
                <w:rFonts w:hint="eastAsia"/>
                <w:color w:val="000000"/>
                <w:sz w:val="21"/>
                <w:szCs w:val="21"/>
                <w:lang w:eastAsia="zh-CN"/>
              </w:rPr>
              <w:t>证明材料：相关证明材料复印件。</w:t>
            </w:r>
          </w:p>
        </w:tc>
      </w:tr>
      <w:tr>
        <w:tblPrEx>
          <w:tblCellMar>
            <w:top w:w="0" w:type="dxa"/>
            <w:left w:w="108" w:type="dxa"/>
            <w:bottom w:w="0" w:type="dxa"/>
            <w:right w:w="108" w:type="dxa"/>
          </w:tblCellMar>
        </w:tblPrEx>
        <w:trPr>
          <w:trHeight w:val="690" w:hRule="atLeast"/>
        </w:trPr>
        <w:tc>
          <w:tcPr>
            <w:tcW w:w="709" w:type="dxa"/>
            <w:vMerge w:val="continue"/>
            <w:tcBorders>
              <w:left w:val="single" w:color="auto" w:sz="4" w:space="0"/>
              <w:right w:val="single" w:color="auto" w:sz="4" w:space="0"/>
            </w:tcBorders>
            <w:vAlign w:val="center"/>
          </w:tcPr>
          <w:p>
            <w:pPr>
              <w:widowControl/>
              <w:autoSpaceDE/>
              <w:autoSpaceDN/>
              <w:rPr>
                <w:color w:val="000000"/>
                <w:sz w:val="21"/>
                <w:szCs w:val="21"/>
                <w:lang w:eastAsia="zh-CN"/>
              </w:rPr>
            </w:pPr>
          </w:p>
        </w:tc>
        <w:tc>
          <w:tcPr>
            <w:tcW w:w="708" w:type="dxa"/>
            <w:vMerge w:val="continue"/>
            <w:tcBorders>
              <w:left w:val="single" w:color="auto" w:sz="4" w:space="0"/>
              <w:right w:val="single" w:color="auto" w:sz="4" w:space="0"/>
            </w:tcBorders>
            <w:vAlign w:val="center"/>
          </w:tcPr>
          <w:p>
            <w:pPr>
              <w:jc w:val="center"/>
              <w:rPr>
                <w:color w:val="000000"/>
                <w:sz w:val="21"/>
                <w:szCs w:val="21"/>
                <w:lang w:eastAsia="zh-CN"/>
              </w:rPr>
            </w:pPr>
          </w:p>
        </w:tc>
        <w:tc>
          <w:tcPr>
            <w:tcW w:w="1418" w:type="dxa"/>
            <w:tcBorders>
              <w:top w:val="nil"/>
              <w:left w:val="nil"/>
              <w:bottom w:val="single" w:color="auto" w:sz="4" w:space="0"/>
              <w:right w:val="single" w:color="auto" w:sz="4" w:space="0"/>
            </w:tcBorders>
            <w:shd w:val="clear" w:color="auto" w:fill="auto"/>
            <w:vAlign w:val="center"/>
          </w:tcPr>
          <w:p>
            <w:pPr>
              <w:widowControl/>
              <w:autoSpaceDE/>
              <w:autoSpaceDN/>
              <w:rPr>
                <w:color w:val="000000"/>
                <w:sz w:val="21"/>
                <w:szCs w:val="21"/>
                <w:lang w:eastAsia="zh-CN"/>
              </w:rPr>
            </w:pPr>
            <w:r>
              <w:rPr>
                <w:rFonts w:hint="eastAsia"/>
                <w:color w:val="000000"/>
                <w:sz w:val="21"/>
                <w:szCs w:val="21"/>
                <w:lang w:eastAsia="zh-CN"/>
              </w:rPr>
              <w:t>设计管理机构设置</w:t>
            </w:r>
          </w:p>
        </w:tc>
        <w:tc>
          <w:tcPr>
            <w:tcW w:w="567"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color w:val="000000"/>
                <w:sz w:val="21"/>
                <w:szCs w:val="21"/>
                <w:lang w:eastAsia="zh-CN"/>
              </w:rPr>
            </w:pPr>
            <w:r>
              <w:rPr>
                <w:rFonts w:hint="eastAsia"/>
                <w:color w:val="000000"/>
                <w:sz w:val="21"/>
                <w:szCs w:val="21"/>
                <w:lang w:eastAsia="zh-CN"/>
              </w:rPr>
              <w:t>5.5</w:t>
            </w:r>
          </w:p>
        </w:tc>
        <w:tc>
          <w:tcPr>
            <w:tcW w:w="6016" w:type="dxa"/>
            <w:tcBorders>
              <w:top w:val="nil"/>
              <w:left w:val="nil"/>
              <w:bottom w:val="single" w:color="auto" w:sz="4" w:space="0"/>
              <w:right w:val="single" w:color="auto" w:sz="4" w:space="0"/>
            </w:tcBorders>
            <w:shd w:val="clear" w:color="auto" w:fill="auto"/>
            <w:vAlign w:val="center"/>
          </w:tcPr>
          <w:p>
            <w:pPr>
              <w:widowControl/>
              <w:autoSpaceDE/>
              <w:autoSpaceDN/>
              <w:spacing w:line="240" w:lineRule="atLeast"/>
              <w:rPr>
                <w:color w:val="000000"/>
                <w:sz w:val="21"/>
                <w:szCs w:val="21"/>
                <w:lang w:eastAsia="zh-CN"/>
              </w:rPr>
            </w:pPr>
            <w:r>
              <w:rPr>
                <w:rFonts w:hint="eastAsia"/>
                <w:color w:val="000000"/>
                <w:sz w:val="21"/>
                <w:szCs w:val="21"/>
                <w:lang w:eastAsia="zh-CN"/>
              </w:rPr>
              <w:t>机构设置要求：本项目经理（项目负责人）可兼任本项目</w:t>
            </w:r>
            <w:r>
              <w:rPr>
                <w:color w:val="000000"/>
                <w:sz w:val="21"/>
                <w:szCs w:val="21"/>
                <w:lang w:eastAsia="zh-CN"/>
              </w:rPr>
              <w:t xml:space="preserve">1个专业的负责人；主要设计人员应以本项目为主，确保项目设计进度。                          </w:t>
            </w:r>
          </w:p>
          <w:p>
            <w:pPr>
              <w:widowControl/>
              <w:autoSpaceDE/>
              <w:autoSpaceDN/>
              <w:spacing w:line="240" w:lineRule="atLeast"/>
              <w:rPr>
                <w:color w:val="000000"/>
                <w:sz w:val="21"/>
                <w:szCs w:val="21"/>
                <w:lang w:eastAsia="zh-CN"/>
              </w:rPr>
            </w:pPr>
            <w:r>
              <w:rPr>
                <w:rFonts w:hint="eastAsia"/>
                <w:color w:val="000000"/>
                <w:sz w:val="21"/>
                <w:szCs w:val="21"/>
                <w:lang w:eastAsia="zh-CN"/>
              </w:rPr>
              <w:t>评分标准：中高级专业技术职称或注册资格人员占</w:t>
            </w:r>
            <w:r>
              <w:rPr>
                <w:color w:val="000000"/>
                <w:sz w:val="21"/>
                <w:szCs w:val="21"/>
                <w:lang w:eastAsia="zh-CN"/>
              </w:rPr>
              <w:t>(80%-100%]  5.5分；(60%-80%]  3.5分；  (30%-60%]  1.5分；(0-30%]    0.5分；专业不完整0分。 （某一专业负责人同时具备高级职称与注册资格证书的按一项计）</w:t>
            </w:r>
          </w:p>
          <w:p>
            <w:pPr>
              <w:widowControl/>
              <w:autoSpaceDE/>
              <w:autoSpaceDN/>
              <w:spacing w:line="240" w:lineRule="atLeast"/>
              <w:rPr>
                <w:color w:val="000000"/>
                <w:sz w:val="21"/>
                <w:szCs w:val="21"/>
                <w:lang w:eastAsia="zh-CN"/>
              </w:rPr>
            </w:pPr>
            <w:r>
              <w:rPr>
                <w:rFonts w:hint="eastAsia"/>
                <w:color w:val="000000"/>
                <w:sz w:val="21"/>
                <w:szCs w:val="21"/>
                <w:lang w:eastAsia="zh-CN"/>
              </w:rPr>
              <w:t>注：专业配套完整即专业负责人至少包括锅炉、汽机、输煤、除灰、化水、环保、建筑、结构、热控、暖通、水工、总图、给水排水消防、电气、通信、电力系统、技经。</w:t>
            </w:r>
          </w:p>
          <w:p>
            <w:pPr>
              <w:widowControl/>
              <w:autoSpaceDE/>
              <w:autoSpaceDN/>
              <w:spacing w:line="240" w:lineRule="atLeast"/>
              <w:rPr>
                <w:color w:val="000000"/>
                <w:sz w:val="21"/>
                <w:szCs w:val="21"/>
                <w:lang w:eastAsia="zh-CN"/>
              </w:rPr>
            </w:pPr>
            <w:r>
              <w:rPr>
                <w:rFonts w:hint="eastAsia"/>
                <w:color w:val="000000"/>
                <w:sz w:val="21"/>
                <w:szCs w:val="21"/>
                <w:lang w:eastAsia="zh-CN"/>
              </w:rPr>
              <w:t>证明材料：提供为本项目服务人员组织架构及相关资质证明材料复印件。</w:t>
            </w:r>
          </w:p>
        </w:tc>
      </w:tr>
      <w:tr>
        <w:tblPrEx>
          <w:tblCellMar>
            <w:top w:w="0" w:type="dxa"/>
            <w:left w:w="108" w:type="dxa"/>
            <w:bottom w:w="0" w:type="dxa"/>
            <w:right w:w="108" w:type="dxa"/>
          </w:tblCellMar>
        </w:tblPrEx>
        <w:trPr>
          <w:trHeight w:val="690" w:hRule="atLeast"/>
        </w:trPr>
        <w:tc>
          <w:tcPr>
            <w:tcW w:w="709" w:type="dxa"/>
            <w:vMerge w:val="continue"/>
            <w:tcBorders>
              <w:left w:val="single" w:color="auto" w:sz="4" w:space="0"/>
              <w:right w:val="single" w:color="auto" w:sz="4" w:space="0"/>
            </w:tcBorders>
            <w:shd w:val="clear" w:color="auto" w:fill="auto"/>
            <w:noWrap/>
            <w:vAlign w:val="center"/>
          </w:tcPr>
          <w:p>
            <w:pPr>
              <w:widowControl/>
              <w:autoSpaceDE/>
              <w:autoSpaceDN/>
              <w:jc w:val="center"/>
              <w:rPr>
                <w:color w:val="000000"/>
                <w:sz w:val="21"/>
                <w:szCs w:val="21"/>
                <w:lang w:eastAsia="zh-CN"/>
              </w:rPr>
            </w:pPr>
          </w:p>
        </w:tc>
        <w:tc>
          <w:tcPr>
            <w:tcW w:w="708" w:type="dxa"/>
            <w:vMerge w:val="continue"/>
            <w:tcBorders>
              <w:left w:val="single" w:color="auto" w:sz="4" w:space="0"/>
              <w:right w:val="single" w:color="auto" w:sz="4" w:space="0"/>
            </w:tcBorders>
            <w:shd w:val="clear" w:color="auto" w:fill="auto"/>
            <w:noWrap/>
            <w:vAlign w:val="center"/>
          </w:tcPr>
          <w:p>
            <w:pPr>
              <w:widowControl/>
              <w:autoSpaceDE/>
              <w:autoSpaceDN/>
              <w:jc w:val="center"/>
              <w:rPr>
                <w:color w:val="000000"/>
                <w:sz w:val="21"/>
                <w:szCs w:val="21"/>
                <w:lang w:eastAsia="zh-CN"/>
              </w:rPr>
            </w:pPr>
          </w:p>
        </w:tc>
        <w:tc>
          <w:tcPr>
            <w:tcW w:w="1418" w:type="dxa"/>
            <w:tcBorders>
              <w:top w:val="nil"/>
              <w:left w:val="nil"/>
              <w:bottom w:val="single" w:color="auto" w:sz="4" w:space="0"/>
              <w:right w:val="single" w:color="auto" w:sz="4" w:space="0"/>
            </w:tcBorders>
            <w:shd w:val="clear" w:color="auto" w:fill="auto"/>
            <w:vAlign w:val="center"/>
          </w:tcPr>
          <w:p>
            <w:pPr>
              <w:widowControl/>
              <w:autoSpaceDE/>
              <w:autoSpaceDN/>
              <w:jc w:val="both"/>
              <w:rPr>
                <w:color w:val="000000"/>
                <w:sz w:val="21"/>
                <w:szCs w:val="21"/>
                <w:lang w:eastAsia="zh-CN"/>
              </w:rPr>
            </w:pPr>
            <w:r>
              <w:rPr>
                <w:rFonts w:hint="eastAsia"/>
                <w:color w:val="000000"/>
                <w:sz w:val="21"/>
                <w:szCs w:val="21"/>
                <w:lang w:eastAsia="zh-CN"/>
              </w:rPr>
              <w:t>背压机组设计或</w:t>
            </w:r>
            <w:r>
              <w:rPr>
                <w:color w:val="000000"/>
                <w:sz w:val="21"/>
                <w:szCs w:val="21"/>
                <w:lang w:eastAsia="zh-CN"/>
              </w:rPr>
              <w:t>EPC总承包业绩</w:t>
            </w:r>
          </w:p>
        </w:tc>
        <w:tc>
          <w:tcPr>
            <w:tcW w:w="567"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sz w:val="21"/>
                <w:szCs w:val="21"/>
                <w:lang w:eastAsia="zh-CN"/>
              </w:rPr>
            </w:pPr>
            <w:r>
              <w:rPr>
                <w:rFonts w:hint="eastAsia"/>
                <w:color w:val="000000"/>
                <w:sz w:val="21"/>
                <w:szCs w:val="21"/>
                <w:lang w:eastAsia="zh-CN"/>
              </w:rPr>
              <w:t>15</w:t>
            </w:r>
          </w:p>
        </w:tc>
        <w:tc>
          <w:tcPr>
            <w:tcW w:w="6016" w:type="dxa"/>
            <w:tcBorders>
              <w:top w:val="nil"/>
              <w:left w:val="nil"/>
              <w:bottom w:val="single" w:color="auto" w:sz="4" w:space="0"/>
              <w:right w:val="single" w:color="auto" w:sz="4" w:space="0"/>
            </w:tcBorders>
            <w:shd w:val="clear" w:color="auto" w:fill="auto"/>
            <w:vAlign w:val="center"/>
          </w:tcPr>
          <w:p>
            <w:pPr>
              <w:widowControl/>
              <w:autoSpaceDE/>
              <w:autoSpaceDN/>
              <w:spacing w:line="240" w:lineRule="atLeast"/>
              <w:jc w:val="both"/>
              <w:rPr>
                <w:color w:val="000000"/>
                <w:sz w:val="21"/>
                <w:szCs w:val="21"/>
                <w:lang w:eastAsia="zh-CN"/>
              </w:rPr>
            </w:pPr>
            <w:r>
              <w:rPr>
                <w:rFonts w:hint="eastAsia"/>
                <w:color w:val="000000"/>
                <w:sz w:val="21"/>
                <w:szCs w:val="21"/>
                <w:lang w:eastAsia="zh-CN"/>
              </w:rPr>
              <w:t>业绩要求：</w:t>
            </w:r>
            <w:r>
              <w:rPr>
                <w:color w:val="000000"/>
                <w:sz w:val="21"/>
                <w:szCs w:val="21"/>
                <w:lang w:eastAsia="zh-CN"/>
              </w:rPr>
              <w:t>2016年4月1日至投标截止时间前7日，投标人每具有1项化工、石化、煤化工自备热电站规模单台容量410t/h以上锅炉的工程设计或EPC总承包业绩</w:t>
            </w:r>
          </w:p>
          <w:p>
            <w:pPr>
              <w:widowControl/>
              <w:autoSpaceDE/>
              <w:autoSpaceDN/>
              <w:spacing w:line="240" w:lineRule="atLeast"/>
              <w:jc w:val="both"/>
              <w:rPr>
                <w:color w:val="000000"/>
                <w:sz w:val="21"/>
                <w:szCs w:val="21"/>
                <w:lang w:eastAsia="zh-CN"/>
              </w:rPr>
            </w:pPr>
            <w:r>
              <w:rPr>
                <w:rFonts w:hint="eastAsia"/>
                <w:color w:val="000000"/>
                <w:sz w:val="21"/>
                <w:szCs w:val="21"/>
                <w:lang w:eastAsia="zh-CN"/>
              </w:rPr>
              <w:t>评分标准：</w:t>
            </w:r>
            <w:r>
              <w:rPr>
                <w:color w:val="000000"/>
                <w:sz w:val="21"/>
                <w:szCs w:val="21"/>
                <w:lang w:eastAsia="zh-CN"/>
              </w:rPr>
              <w:t>410t/h-670t/h每具有1项得1分，670t/h以上每具有1项得3分，满分15分。</w:t>
            </w:r>
          </w:p>
          <w:p>
            <w:pPr>
              <w:widowControl/>
              <w:autoSpaceDE/>
              <w:autoSpaceDN/>
              <w:spacing w:line="240" w:lineRule="atLeast"/>
              <w:jc w:val="both"/>
              <w:rPr>
                <w:color w:val="000000"/>
                <w:sz w:val="21"/>
                <w:szCs w:val="21"/>
                <w:lang w:eastAsia="zh-CN"/>
              </w:rPr>
            </w:pPr>
            <w:r>
              <w:rPr>
                <w:rFonts w:hint="eastAsia"/>
                <w:color w:val="000000"/>
                <w:sz w:val="21"/>
                <w:szCs w:val="21"/>
                <w:lang w:eastAsia="zh-CN"/>
              </w:rPr>
              <w:t>证明材料：合同复印件，包括合同封面页、设计内容页、签订日期及双方盖章页等能够证明上述业绩要求的材料。</w:t>
            </w:r>
          </w:p>
        </w:tc>
      </w:tr>
      <w:tr>
        <w:tblPrEx>
          <w:tblCellMar>
            <w:top w:w="0" w:type="dxa"/>
            <w:left w:w="108" w:type="dxa"/>
            <w:bottom w:w="0" w:type="dxa"/>
            <w:right w:w="108" w:type="dxa"/>
          </w:tblCellMar>
        </w:tblPrEx>
        <w:trPr>
          <w:trHeight w:val="690" w:hRule="atLeast"/>
        </w:trPr>
        <w:tc>
          <w:tcPr>
            <w:tcW w:w="709" w:type="dxa"/>
            <w:vMerge w:val="continue"/>
            <w:tcBorders>
              <w:left w:val="single" w:color="auto" w:sz="4" w:space="0"/>
              <w:bottom w:val="single" w:color="auto" w:sz="4" w:space="0"/>
              <w:right w:val="single" w:color="auto" w:sz="4" w:space="0"/>
            </w:tcBorders>
            <w:shd w:val="clear" w:color="auto" w:fill="auto"/>
            <w:noWrap/>
            <w:vAlign w:val="center"/>
          </w:tcPr>
          <w:p>
            <w:pPr>
              <w:widowControl/>
              <w:autoSpaceDE/>
              <w:autoSpaceDN/>
              <w:jc w:val="center"/>
              <w:rPr>
                <w:color w:val="000000"/>
                <w:sz w:val="21"/>
                <w:szCs w:val="21"/>
                <w:lang w:eastAsia="zh-CN"/>
              </w:rPr>
            </w:pPr>
          </w:p>
        </w:tc>
        <w:tc>
          <w:tcPr>
            <w:tcW w:w="708" w:type="dxa"/>
            <w:vMerge w:val="continue"/>
            <w:tcBorders>
              <w:left w:val="single" w:color="auto" w:sz="4" w:space="0"/>
              <w:bottom w:val="single" w:color="auto" w:sz="4" w:space="0"/>
              <w:right w:val="single" w:color="auto" w:sz="4" w:space="0"/>
            </w:tcBorders>
            <w:shd w:val="clear" w:color="auto" w:fill="auto"/>
            <w:noWrap/>
            <w:vAlign w:val="center"/>
          </w:tcPr>
          <w:p>
            <w:pPr>
              <w:widowControl/>
              <w:autoSpaceDE/>
              <w:autoSpaceDN/>
              <w:jc w:val="center"/>
              <w:rPr>
                <w:color w:val="000000"/>
                <w:sz w:val="21"/>
                <w:szCs w:val="21"/>
                <w:lang w:eastAsia="zh-CN"/>
              </w:rPr>
            </w:pPr>
          </w:p>
        </w:tc>
        <w:tc>
          <w:tcPr>
            <w:tcW w:w="1418" w:type="dxa"/>
            <w:tcBorders>
              <w:top w:val="nil"/>
              <w:left w:val="nil"/>
              <w:bottom w:val="single" w:color="auto" w:sz="4" w:space="0"/>
              <w:right w:val="single" w:color="auto" w:sz="4" w:space="0"/>
            </w:tcBorders>
            <w:shd w:val="clear" w:color="auto" w:fill="auto"/>
            <w:vAlign w:val="center"/>
          </w:tcPr>
          <w:p>
            <w:pPr>
              <w:widowControl/>
              <w:autoSpaceDE/>
              <w:autoSpaceDN/>
              <w:jc w:val="both"/>
              <w:rPr>
                <w:color w:val="000000"/>
                <w:sz w:val="21"/>
                <w:szCs w:val="21"/>
                <w:lang w:eastAsia="zh-CN"/>
              </w:rPr>
            </w:pPr>
            <w:r>
              <w:rPr>
                <w:rFonts w:hint="eastAsia"/>
                <w:color w:val="000000"/>
                <w:sz w:val="21"/>
                <w:szCs w:val="21"/>
                <w:lang w:eastAsia="zh-CN"/>
              </w:rPr>
              <w:t>技术方案</w:t>
            </w:r>
          </w:p>
        </w:tc>
        <w:tc>
          <w:tcPr>
            <w:tcW w:w="567"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sz w:val="21"/>
                <w:szCs w:val="21"/>
                <w:lang w:eastAsia="zh-CN"/>
              </w:rPr>
            </w:pPr>
            <w:r>
              <w:rPr>
                <w:rFonts w:hint="eastAsia"/>
                <w:color w:val="000000"/>
                <w:sz w:val="21"/>
                <w:szCs w:val="21"/>
                <w:lang w:eastAsia="zh-CN"/>
              </w:rPr>
              <w:t>20</w:t>
            </w:r>
          </w:p>
        </w:tc>
        <w:tc>
          <w:tcPr>
            <w:tcW w:w="6016" w:type="dxa"/>
            <w:tcBorders>
              <w:top w:val="nil"/>
              <w:left w:val="nil"/>
              <w:bottom w:val="single" w:color="auto" w:sz="4" w:space="0"/>
              <w:right w:val="single" w:color="auto" w:sz="4" w:space="0"/>
            </w:tcBorders>
            <w:shd w:val="clear" w:color="auto" w:fill="auto"/>
            <w:vAlign w:val="center"/>
          </w:tcPr>
          <w:p>
            <w:pPr>
              <w:widowControl/>
              <w:autoSpaceDE/>
              <w:autoSpaceDN/>
              <w:spacing w:line="240" w:lineRule="atLeast"/>
              <w:jc w:val="both"/>
              <w:rPr>
                <w:color w:val="000000"/>
                <w:sz w:val="21"/>
                <w:szCs w:val="21"/>
                <w:lang w:eastAsia="zh-CN"/>
              </w:rPr>
            </w:pPr>
            <w:r>
              <w:rPr>
                <w:rFonts w:hint="eastAsia"/>
                <w:color w:val="000000"/>
                <w:sz w:val="21"/>
                <w:szCs w:val="21"/>
                <w:lang w:eastAsia="zh-CN"/>
              </w:rPr>
              <w:t>方案要求：针对本工程的建设条件和热负荷情况进行充分的分析和论证，提出建设设想及建设方案，并进行工程的投资估算及经济效益分析、风险分析等。</w:t>
            </w:r>
          </w:p>
          <w:p>
            <w:pPr>
              <w:widowControl/>
              <w:autoSpaceDE/>
              <w:autoSpaceDN/>
              <w:spacing w:line="240" w:lineRule="atLeast"/>
              <w:jc w:val="both"/>
              <w:rPr>
                <w:color w:val="000000"/>
                <w:sz w:val="21"/>
                <w:szCs w:val="21"/>
                <w:lang w:eastAsia="zh-CN"/>
              </w:rPr>
            </w:pPr>
            <w:r>
              <w:rPr>
                <w:rFonts w:hint="eastAsia"/>
                <w:color w:val="000000"/>
                <w:sz w:val="21"/>
                <w:szCs w:val="21"/>
                <w:lang w:eastAsia="zh-CN"/>
              </w:rPr>
              <w:t>评分标准：方案好</w:t>
            </w:r>
            <w:r>
              <w:rPr>
                <w:color w:val="000000"/>
                <w:sz w:val="21"/>
                <w:szCs w:val="21"/>
                <w:lang w:eastAsia="zh-CN"/>
              </w:rPr>
              <w:t>15-20分；方案较好10-15分；方案一般0-10分。</w:t>
            </w:r>
          </w:p>
        </w:tc>
      </w:tr>
      <w:tr>
        <w:tblPrEx>
          <w:tblCellMar>
            <w:top w:w="0" w:type="dxa"/>
            <w:left w:w="108" w:type="dxa"/>
            <w:bottom w:w="0" w:type="dxa"/>
            <w:right w:w="108" w:type="dxa"/>
          </w:tblCellMar>
        </w:tblPrEx>
        <w:trPr>
          <w:trHeight w:val="84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autoSpaceDE/>
              <w:autoSpaceDN/>
              <w:jc w:val="center"/>
              <w:rPr>
                <w:color w:val="000000"/>
                <w:sz w:val="21"/>
                <w:szCs w:val="21"/>
                <w:lang w:eastAsia="zh-CN"/>
              </w:rPr>
            </w:pPr>
            <w:r>
              <w:rPr>
                <w:rFonts w:hint="eastAsia"/>
                <w:color w:val="000000"/>
                <w:sz w:val="21"/>
                <w:szCs w:val="21"/>
                <w:lang w:eastAsia="zh-CN"/>
              </w:rPr>
              <w:t>2</w:t>
            </w:r>
          </w:p>
        </w:tc>
        <w:tc>
          <w:tcPr>
            <w:tcW w:w="708"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color w:val="000000"/>
                <w:sz w:val="21"/>
                <w:szCs w:val="21"/>
                <w:lang w:eastAsia="zh-CN"/>
              </w:rPr>
            </w:pPr>
            <w:r>
              <w:rPr>
                <w:rFonts w:hint="eastAsia"/>
                <w:color w:val="000000"/>
                <w:sz w:val="21"/>
                <w:szCs w:val="21"/>
                <w:lang w:eastAsia="zh-CN"/>
              </w:rPr>
              <w:t>商务部分</w:t>
            </w:r>
          </w:p>
        </w:tc>
        <w:tc>
          <w:tcPr>
            <w:tcW w:w="1418" w:type="dxa"/>
            <w:tcBorders>
              <w:top w:val="nil"/>
              <w:left w:val="nil"/>
              <w:bottom w:val="single" w:color="auto" w:sz="4" w:space="0"/>
              <w:right w:val="single" w:color="auto" w:sz="4" w:space="0"/>
            </w:tcBorders>
            <w:shd w:val="clear" w:color="auto" w:fill="auto"/>
            <w:noWrap/>
            <w:vAlign w:val="center"/>
          </w:tcPr>
          <w:p>
            <w:pPr>
              <w:widowControl/>
              <w:autoSpaceDE/>
              <w:autoSpaceDN/>
              <w:rPr>
                <w:color w:val="000000"/>
                <w:sz w:val="21"/>
                <w:szCs w:val="21"/>
                <w:lang w:eastAsia="zh-CN"/>
              </w:rPr>
            </w:pPr>
            <w:r>
              <w:rPr>
                <w:rFonts w:hint="eastAsia"/>
                <w:color w:val="000000"/>
                <w:sz w:val="21"/>
                <w:szCs w:val="21"/>
                <w:lang w:eastAsia="zh-CN"/>
              </w:rPr>
              <w:t>报价</w:t>
            </w:r>
          </w:p>
        </w:tc>
        <w:tc>
          <w:tcPr>
            <w:tcW w:w="567"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color w:val="000000"/>
                <w:sz w:val="21"/>
                <w:szCs w:val="21"/>
                <w:lang w:eastAsia="zh-CN"/>
              </w:rPr>
            </w:pPr>
            <w:r>
              <w:rPr>
                <w:rFonts w:hint="eastAsia"/>
                <w:color w:val="000000"/>
                <w:sz w:val="21"/>
                <w:szCs w:val="21"/>
                <w:lang w:eastAsia="zh-CN"/>
              </w:rPr>
              <w:t>50</w:t>
            </w:r>
          </w:p>
        </w:tc>
        <w:tc>
          <w:tcPr>
            <w:tcW w:w="6016" w:type="dxa"/>
            <w:tcBorders>
              <w:top w:val="nil"/>
              <w:left w:val="nil"/>
              <w:bottom w:val="single" w:color="auto" w:sz="4" w:space="0"/>
              <w:right w:val="single" w:color="auto" w:sz="4" w:space="0"/>
            </w:tcBorders>
            <w:shd w:val="clear" w:color="auto" w:fill="auto"/>
            <w:vAlign w:val="center"/>
          </w:tcPr>
          <w:p>
            <w:pPr>
              <w:widowControl/>
              <w:autoSpaceDE/>
              <w:autoSpaceDN/>
              <w:spacing w:line="240" w:lineRule="atLeast"/>
              <w:jc w:val="both"/>
              <w:rPr>
                <w:color w:val="000000"/>
                <w:sz w:val="21"/>
                <w:szCs w:val="21"/>
                <w:lang w:eastAsia="zh-CN"/>
              </w:rPr>
            </w:pPr>
            <w:r>
              <w:rPr>
                <w:color w:val="000000"/>
                <w:sz w:val="21"/>
                <w:szCs w:val="21"/>
                <w:lang w:eastAsia="zh-CN"/>
              </w:rPr>
              <w:t>1：价格得分满分M=50分，价格得分计算规则为：</w:t>
            </w:r>
          </w:p>
          <w:p>
            <w:pPr>
              <w:widowControl/>
              <w:autoSpaceDE/>
              <w:autoSpaceDN/>
              <w:spacing w:line="240" w:lineRule="atLeast"/>
              <w:jc w:val="both"/>
              <w:rPr>
                <w:color w:val="000000"/>
                <w:sz w:val="21"/>
                <w:szCs w:val="21"/>
                <w:lang w:eastAsia="zh-CN"/>
              </w:rPr>
            </w:pPr>
            <w:r>
              <w:rPr>
                <w:rFonts w:hint="eastAsia"/>
                <w:color w:val="000000"/>
                <w:sz w:val="21"/>
                <w:szCs w:val="21"/>
                <w:lang w:eastAsia="zh-CN"/>
              </w:rPr>
              <w:t>投标报价为固定总价，最高限价为：</w:t>
            </w:r>
            <w:r>
              <w:rPr>
                <w:color w:val="000000"/>
                <w:sz w:val="21"/>
                <w:szCs w:val="21"/>
                <w:lang w:eastAsia="zh-CN"/>
              </w:rPr>
              <w:t>99万元</w:t>
            </w:r>
          </w:p>
          <w:p>
            <w:pPr>
              <w:widowControl/>
              <w:autoSpaceDE/>
              <w:autoSpaceDN/>
              <w:spacing w:line="240" w:lineRule="atLeast"/>
              <w:jc w:val="both"/>
              <w:rPr>
                <w:color w:val="000000"/>
                <w:sz w:val="21"/>
                <w:szCs w:val="21"/>
                <w:lang w:eastAsia="zh-CN"/>
              </w:rPr>
            </w:pPr>
            <w:r>
              <w:rPr>
                <w:rFonts w:hint="eastAsia"/>
                <w:color w:val="000000"/>
                <w:sz w:val="21"/>
                <w:szCs w:val="21"/>
                <w:lang w:eastAsia="zh-CN"/>
              </w:rPr>
              <w:t>投标人的报价应控制在招标人设定的最高限价（含）以下，高于最高限价的报价，作无效处理；</w:t>
            </w:r>
            <w:r>
              <w:rPr>
                <w:color w:val="000000"/>
                <w:sz w:val="21"/>
                <w:szCs w:val="21"/>
                <w:lang w:eastAsia="zh-CN"/>
              </w:rPr>
              <w:t xml:space="preserve"> </w:t>
            </w:r>
          </w:p>
          <w:p>
            <w:pPr>
              <w:widowControl/>
              <w:autoSpaceDE/>
              <w:autoSpaceDN/>
              <w:spacing w:line="240" w:lineRule="atLeast"/>
              <w:jc w:val="both"/>
              <w:rPr>
                <w:color w:val="000000"/>
                <w:sz w:val="21"/>
                <w:szCs w:val="21"/>
                <w:lang w:eastAsia="zh-CN"/>
              </w:rPr>
            </w:pPr>
            <w:r>
              <w:rPr>
                <w:color w:val="000000"/>
                <w:sz w:val="21"/>
                <w:szCs w:val="21"/>
                <w:lang w:eastAsia="zh-CN"/>
              </w:rPr>
              <w:t>2：评标基准价的确定：评标基准价指招标人</w:t>
            </w:r>
            <w:r>
              <w:rPr>
                <w:rFonts w:hint="eastAsia"/>
                <w:color w:val="000000"/>
                <w:sz w:val="21"/>
                <w:szCs w:val="21"/>
                <w:lang w:eastAsia="zh-CN"/>
              </w:rPr>
              <w:t>在</w:t>
            </w:r>
            <w:r>
              <w:rPr>
                <w:color w:val="000000"/>
                <w:sz w:val="21"/>
                <w:szCs w:val="21"/>
                <w:lang w:eastAsia="zh-CN"/>
              </w:rPr>
              <w:t>最高限价（含）以下</w:t>
            </w:r>
            <w:r>
              <w:rPr>
                <w:rFonts w:hint="eastAsia"/>
                <w:color w:val="000000"/>
                <w:sz w:val="21"/>
                <w:szCs w:val="21"/>
                <w:lang w:eastAsia="zh-CN"/>
              </w:rPr>
              <w:t>的</w:t>
            </w:r>
            <w:r>
              <w:rPr>
                <w:color w:val="000000"/>
                <w:sz w:val="21"/>
                <w:szCs w:val="21"/>
                <w:lang w:eastAsia="zh-CN"/>
              </w:rPr>
              <w:t xml:space="preserve">有效报价的所有资格、符合性审查均合格的投标人投标报价的平均值。 </w:t>
            </w:r>
          </w:p>
          <w:p>
            <w:pPr>
              <w:widowControl/>
              <w:autoSpaceDE/>
              <w:autoSpaceDN/>
              <w:spacing w:line="240" w:lineRule="atLeast"/>
              <w:jc w:val="both"/>
              <w:rPr>
                <w:color w:val="000000"/>
                <w:sz w:val="21"/>
                <w:szCs w:val="21"/>
                <w:lang w:eastAsia="zh-CN"/>
              </w:rPr>
            </w:pPr>
            <w:r>
              <w:rPr>
                <w:color w:val="000000"/>
                <w:sz w:val="21"/>
                <w:szCs w:val="21"/>
                <w:lang w:eastAsia="zh-CN"/>
              </w:rPr>
              <w:t>3：（1）投标人的投标报价等于评标基准价的得50分；</w:t>
            </w:r>
          </w:p>
          <w:p>
            <w:pPr>
              <w:widowControl/>
              <w:autoSpaceDE/>
              <w:autoSpaceDN/>
              <w:spacing w:line="240" w:lineRule="atLeast"/>
              <w:jc w:val="both"/>
              <w:rPr>
                <w:color w:val="000000"/>
                <w:sz w:val="21"/>
                <w:szCs w:val="21"/>
                <w:lang w:eastAsia="zh-CN"/>
              </w:rPr>
            </w:pPr>
            <w:r>
              <w:rPr>
                <w:rFonts w:hint="eastAsia"/>
                <w:color w:val="000000"/>
                <w:sz w:val="21"/>
                <w:szCs w:val="21"/>
                <w:lang w:eastAsia="zh-CN"/>
              </w:rPr>
              <w:t>（</w:t>
            </w:r>
            <w:r>
              <w:rPr>
                <w:color w:val="000000"/>
                <w:sz w:val="21"/>
                <w:szCs w:val="21"/>
                <w:lang w:eastAsia="zh-CN"/>
              </w:rPr>
              <w:t>2）偏离评标基准价的，每低于评标基准价1个百分点的扣0.5分，即商务标得分=50-[（评标基准价-投标报价）/评标基准价]×100×0.5；</w:t>
            </w:r>
          </w:p>
          <w:p>
            <w:pPr>
              <w:widowControl/>
              <w:autoSpaceDE/>
              <w:autoSpaceDN/>
              <w:spacing w:line="240" w:lineRule="atLeast"/>
              <w:jc w:val="both"/>
              <w:rPr>
                <w:color w:val="000000"/>
                <w:sz w:val="21"/>
                <w:szCs w:val="21"/>
                <w:lang w:eastAsia="zh-CN"/>
              </w:rPr>
            </w:pPr>
            <w:r>
              <w:rPr>
                <w:color w:val="000000"/>
                <w:sz w:val="21"/>
                <w:szCs w:val="21"/>
                <w:lang w:eastAsia="zh-CN"/>
              </w:rPr>
              <w:t>3.偏离评标基准价的，每高于评标基准价1个百分点的扣1分，即商务标得分=50-[（投标报价-评标基准价）/评标基准价]×100×1；</w:t>
            </w:r>
          </w:p>
          <w:p>
            <w:pPr>
              <w:widowControl/>
              <w:autoSpaceDE/>
              <w:autoSpaceDN/>
              <w:spacing w:line="240" w:lineRule="atLeast"/>
              <w:jc w:val="both"/>
              <w:rPr>
                <w:color w:val="000000"/>
                <w:sz w:val="21"/>
                <w:szCs w:val="21"/>
                <w:lang w:eastAsia="zh-CN"/>
              </w:rPr>
            </w:pPr>
            <w:r>
              <w:rPr>
                <w:color w:val="000000"/>
                <w:sz w:val="21"/>
                <w:szCs w:val="21"/>
                <w:lang w:eastAsia="zh-CN"/>
              </w:rPr>
              <w:t>4.投标报价得分小数点后保留两位，小数点后第三位四舍五入</w:t>
            </w:r>
          </w:p>
        </w:tc>
      </w:tr>
    </w:tbl>
    <w:p>
      <w:pPr>
        <w:pStyle w:val="7"/>
        <w:spacing w:before="35" w:line="276" w:lineRule="auto"/>
        <w:ind w:left="598"/>
        <w:rPr>
          <w:lang w:eastAsia="zh-CN"/>
        </w:rPr>
      </w:pPr>
      <w:r>
        <w:rPr>
          <w:lang w:eastAsia="zh-CN"/>
        </w:rPr>
        <w:t>2.参选人串选、相互勾结故意压低标价以排挤竞争对手的公平竞争的，其参选无效。</w:t>
      </w:r>
    </w:p>
    <w:p>
      <w:pPr>
        <w:pStyle w:val="7"/>
        <w:spacing w:before="153"/>
        <w:ind w:left="118" w:right="-28" w:firstLine="480"/>
        <w:rPr>
          <w:lang w:eastAsia="zh-CN"/>
        </w:rPr>
      </w:pPr>
      <w:r>
        <w:rPr>
          <w:lang w:eastAsia="zh-CN"/>
        </w:rPr>
        <w:t>3.</w:t>
      </w:r>
      <w:r>
        <w:rPr>
          <w:spacing w:val="-8"/>
          <w:lang w:eastAsia="zh-CN"/>
        </w:rPr>
        <w:t>替补候选人的设定与使用：在合同签订前，比选单位发现参选人的参选报价或供货</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w:t>
      </w:r>
      <w:r>
        <w:rPr>
          <w:lang w:eastAsia="zh-CN"/>
        </w:rPr>
        <w:t>并将依法</w:t>
      </w:r>
      <w:r>
        <w:rPr>
          <w:rFonts w:hint="eastAsia"/>
          <w:lang w:eastAsia="zh-CN"/>
        </w:rPr>
        <w:t>确定后续排名的中选候选人，或重新进行比选</w:t>
      </w:r>
      <w:r>
        <w:rPr>
          <w:lang w:eastAsia="zh-CN"/>
        </w:rPr>
        <w:t>。</w:t>
      </w:r>
    </w:p>
    <w:p>
      <w:pPr>
        <w:pStyle w:val="3"/>
        <w:spacing w:before="83"/>
        <w:rPr>
          <w:sz w:val="24"/>
          <w:szCs w:val="24"/>
          <w:lang w:eastAsia="zh-CN"/>
        </w:rPr>
      </w:pPr>
      <w:r>
        <w:rPr>
          <w:rFonts w:hint="eastAsia"/>
          <w:w w:val="95"/>
          <w:sz w:val="24"/>
          <w:szCs w:val="24"/>
          <w:lang w:eastAsia="zh-CN"/>
        </w:rPr>
        <w:t>三</w:t>
      </w:r>
      <w:r>
        <w:rPr>
          <w:w w:val="95"/>
          <w:sz w:val="24"/>
          <w:szCs w:val="24"/>
          <w:lang w:eastAsia="zh-CN"/>
        </w:rPr>
        <w:t>、资格审查：</w:t>
      </w:r>
    </w:p>
    <w:p>
      <w:pPr>
        <w:pStyle w:val="7"/>
        <w:spacing w:before="211"/>
        <w:ind w:left="118" w:right="226" w:firstLine="480"/>
        <w:jc w:val="both"/>
        <w:rPr>
          <w:lang w:eastAsia="zh-CN"/>
        </w:rPr>
      </w:pPr>
      <w:r>
        <w:rPr>
          <w:spacing w:val="-5"/>
          <w:lang w:eastAsia="zh-CN"/>
        </w:rPr>
        <w:t>由比选人依法组建的评选</w:t>
      </w:r>
      <w:r>
        <w:rPr>
          <w:rFonts w:hint="eastAsia"/>
          <w:spacing w:val="-5"/>
          <w:lang w:eastAsia="zh-CN"/>
        </w:rPr>
        <w:t>小组</w:t>
      </w:r>
      <w:r>
        <w:rPr>
          <w:spacing w:val="-5"/>
          <w:lang w:eastAsia="zh-CN"/>
        </w:rPr>
        <w:t>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w:t>
      </w:r>
      <w:r>
        <w:rPr>
          <w:rFonts w:hint="eastAsia"/>
          <w:spacing w:val="-18"/>
          <w:lang w:eastAsia="zh-CN"/>
        </w:rPr>
        <w:t>小组</w:t>
      </w:r>
      <w:r>
        <w:rPr>
          <w:spacing w:val="-18"/>
          <w:lang w:eastAsia="zh-CN"/>
        </w:rPr>
        <w:t>予以否决。</w:t>
      </w:r>
    </w:p>
    <w:p>
      <w:pPr>
        <w:spacing w:before="83"/>
        <w:ind w:left="598"/>
        <w:rPr>
          <w:b/>
          <w:sz w:val="24"/>
          <w:szCs w:val="24"/>
          <w:lang w:eastAsia="zh-CN"/>
        </w:rPr>
      </w:pPr>
      <w:r>
        <w:rPr>
          <w:rFonts w:hint="eastAsia"/>
          <w:w w:val="95"/>
          <w:sz w:val="24"/>
          <w:szCs w:val="24"/>
          <w:lang w:eastAsia="zh-CN"/>
        </w:rPr>
        <w:t>四</w:t>
      </w:r>
      <w:r>
        <w:rPr>
          <w:w w:val="95"/>
          <w:sz w:val="24"/>
          <w:szCs w:val="24"/>
          <w:lang w:eastAsia="zh-CN"/>
        </w:rPr>
        <w:t>、</w:t>
      </w:r>
      <w:r>
        <w:rPr>
          <w:b/>
          <w:w w:val="95"/>
          <w:sz w:val="24"/>
          <w:szCs w:val="24"/>
          <w:lang w:eastAsia="zh-CN"/>
        </w:rPr>
        <w:t>评选办法：</w:t>
      </w:r>
    </w:p>
    <w:p>
      <w:pPr>
        <w:pStyle w:val="7"/>
        <w:spacing w:before="210"/>
        <w:ind w:left="120" w:right="222" w:firstLine="520"/>
        <w:rPr>
          <w:lang w:eastAsia="zh-CN"/>
        </w:rPr>
      </w:pPr>
      <w:r>
        <w:rPr>
          <w:lang w:eastAsia="zh-CN"/>
        </w:rPr>
        <w:t>评选</w:t>
      </w:r>
      <w:r>
        <w:rPr>
          <w:rFonts w:hint="eastAsia"/>
          <w:lang w:eastAsia="zh-CN"/>
        </w:rPr>
        <w:t>小组</w:t>
      </w:r>
      <w:r>
        <w:rPr>
          <w:lang w:eastAsia="zh-CN"/>
        </w:rPr>
        <w:t>将对通过资格审查</w:t>
      </w:r>
      <w:r>
        <w:rPr>
          <w:rFonts w:hint="eastAsia"/>
          <w:lang w:eastAsia="zh-CN"/>
        </w:rPr>
        <w:t>合格</w:t>
      </w:r>
      <w:r>
        <w:rPr>
          <w:lang w:eastAsia="zh-CN"/>
        </w:rPr>
        <w:t>的各参选人</w:t>
      </w:r>
      <w:r>
        <w:rPr>
          <w:rFonts w:hint="eastAsia"/>
          <w:lang w:eastAsia="zh-CN"/>
        </w:rPr>
        <w:t>的综合评分，综合得分最高者作为第一候选人。</w:t>
      </w:r>
    </w:p>
    <w:p>
      <w:pPr>
        <w:spacing w:before="15"/>
        <w:ind w:left="638"/>
        <w:rPr>
          <w:b/>
          <w:sz w:val="24"/>
          <w:szCs w:val="24"/>
          <w:lang w:eastAsia="zh-CN"/>
        </w:rPr>
      </w:pPr>
      <w:r>
        <w:rPr>
          <w:rFonts w:hint="eastAsia"/>
          <w:b/>
          <w:w w:val="95"/>
          <w:sz w:val="24"/>
          <w:szCs w:val="24"/>
          <w:lang w:eastAsia="zh-CN"/>
        </w:rPr>
        <w:t>五</w:t>
      </w:r>
      <w:r>
        <w:rPr>
          <w:b/>
          <w:w w:val="95"/>
          <w:sz w:val="24"/>
          <w:szCs w:val="24"/>
          <w:lang w:eastAsia="zh-CN"/>
        </w:rPr>
        <w:t>、以下情况作废选处理：</w:t>
      </w:r>
    </w:p>
    <w:p>
      <w:pPr>
        <w:pStyle w:val="7"/>
        <w:ind w:left="698"/>
        <w:rPr>
          <w:lang w:eastAsia="zh-CN"/>
        </w:rPr>
      </w:pPr>
      <w:r>
        <w:rPr>
          <w:lang w:eastAsia="zh-CN"/>
        </w:rPr>
        <w:t>1.对比选文件提出的实质性要求和条件，参选文件未能在实质上响应的。</w:t>
      </w:r>
    </w:p>
    <w:p>
      <w:pPr>
        <w:pStyle w:val="7"/>
        <w:ind w:left="698"/>
        <w:rPr>
          <w:lang w:eastAsia="zh-CN"/>
        </w:rPr>
      </w:pPr>
      <w:r>
        <w:rPr>
          <w:lang w:eastAsia="zh-CN"/>
        </w:rPr>
        <w:t>2.参选文件存在重大偏差的。</w:t>
      </w:r>
    </w:p>
    <w:p>
      <w:pPr>
        <w:pStyle w:val="7"/>
        <w:ind w:left="698"/>
        <w:rPr>
          <w:lang w:eastAsia="zh-CN"/>
        </w:rPr>
      </w:pPr>
      <w:r>
        <w:rPr>
          <w:rFonts w:hint="eastAsia"/>
          <w:lang w:eastAsia="zh-CN"/>
        </w:rPr>
        <w:t>3</w:t>
      </w:r>
      <w:r>
        <w:rPr>
          <w:lang w:eastAsia="zh-CN"/>
        </w:rPr>
        <w:t>.违反规定影响开选评选工作或采取其他方式对比选人施加影响的。</w:t>
      </w:r>
    </w:p>
    <w:p>
      <w:pPr>
        <w:pStyle w:val="3"/>
        <w:tabs>
          <w:tab w:val="left" w:pos="1632"/>
        </w:tabs>
        <w:ind w:left="367" w:leftChars="167" w:firstLine="360" w:firstLineChars="150"/>
        <w:jc w:val="both"/>
        <w:rPr>
          <w:b w:val="0"/>
          <w:sz w:val="24"/>
          <w:szCs w:val="24"/>
          <w:lang w:eastAsia="zh-CN"/>
        </w:rPr>
      </w:pPr>
      <w:r>
        <w:rPr>
          <w:rFonts w:hint="eastAsia"/>
          <w:b w:val="0"/>
          <w:sz w:val="24"/>
          <w:szCs w:val="24"/>
          <w:lang w:eastAsia="zh-CN"/>
        </w:rPr>
        <w:t>4</w:t>
      </w:r>
      <w:r>
        <w:rPr>
          <w:b w:val="0"/>
          <w:sz w:val="24"/>
          <w:szCs w:val="24"/>
          <w:lang w:eastAsia="zh-CN"/>
        </w:rPr>
        <w:t>.参选人串标、相互勾结故意压低标价以排挤竞争对手的公平竞争的，其参选无效。</w:t>
      </w:r>
    </w:p>
    <w:p>
      <w:pPr>
        <w:pStyle w:val="3"/>
        <w:tabs>
          <w:tab w:val="left" w:pos="1632"/>
        </w:tabs>
        <w:ind w:left="367" w:firstLine="3373" w:firstLineChars="1200"/>
        <w:jc w:val="both"/>
        <w:rPr>
          <w:lang w:eastAsia="zh-CN"/>
        </w:rPr>
      </w:pPr>
    </w:p>
    <w:p>
      <w:pPr>
        <w:ind w:firstLine="343" w:firstLineChars="150"/>
        <w:rPr>
          <w:b/>
          <w:w w:val="95"/>
          <w:sz w:val="24"/>
          <w:szCs w:val="24"/>
          <w:lang w:eastAsia="zh-CN"/>
        </w:rPr>
      </w:pPr>
    </w:p>
    <w:p>
      <w:pPr>
        <w:ind w:firstLine="343" w:firstLineChars="150"/>
        <w:rPr>
          <w:b/>
          <w:w w:val="95"/>
          <w:sz w:val="24"/>
          <w:szCs w:val="24"/>
          <w:lang w:eastAsia="zh-CN"/>
        </w:rPr>
      </w:pPr>
    </w:p>
    <w:p>
      <w:pPr>
        <w:ind w:firstLine="343" w:firstLineChars="150"/>
        <w:rPr>
          <w:b/>
          <w:w w:val="95"/>
          <w:sz w:val="24"/>
          <w:szCs w:val="24"/>
          <w:lang w:eastAsia="zh-CN"/>
        </w:rPr>
      </w:pPr>
    </w:p>
    <w:p>
      <w:pPr>
        <w:ind w:firstLine="343" w:firstLineChars="150"/>
        <w:rPr>
          <w:b/>
          <w:w w:val="95"/>
          <w:sz w:val="24"/>
          <w:szCs w:val="24"/>
          <w:lang w:eastAsia="zh-CN"/>
        </w:rPr>
      </w:pPr>
    </w:p>
    <w:p>
      <w:pPr>
        <w:pStyle w:val="7"/>
        <w:spacing w:before="23"/>
        <w:ind w:left="598"/>
        <w:rPr>
          <w:lang w:eastAsia="zh-CN"/>
        </w:rPr>
        <w:sectPr>
          <w:pgSz w:w="11910" w:h="16840"/>
          <w:pgMar w:top="1500" w:right="1140" w:bottom="740" w:left="1300" w:header="0" w:footer="551" w:gutter="0"/>
          <w:cols w:space="720" w:num="1"/>
        </w:sectPr>
      </w:pPr>
    </w:p>
    <w:p>
      <w:pPr>
        <w:pStyle w:val="3"/>
        <w:tabs>
          <w:tab w:val="left" w:pos="1632"/>
        </w:tabs>
        <w:spacing w:line="355" w:lineRule="exact"/>
        <w:ind w:left="367" w:firstLine="3373" w:firstLineChars="1200"/>
        <w:jc w:val="both"/>
        <w:rPr>
          <w:lang w:eastAsia="zh-CN"/>
        </w:rPr>
      </w:pPr>
      <w:r>
        <w:rPr>
          <w:lang w:eastAsia="zh-CN"/>
        </w:rPr>
        <w:t>第五章</w:t>
      </w:r>
      <w:r>
        <w:rPr>
          <w:lang w:eastAsia="zh-CN"/>
        </w:rPr>
        <w:tab/>
      </w:r>
      <w:r>
        <w:rPr>
          <w:spacing w:val="-1"/>
          <w:w w:val="95"/>
          <w:lang w:eastAsia="zh-CN"/>
        </w:rPr>
        <w:t>合同授</w:t>
      </w:r>
      <w:r>
        <w:rPr>
          <w:w w:val="95"/>
          <w:lang w:eastAsia="zh-CN"/>
        </w:rPr>
        <w:t>予</w:t>
      </w:r>
    </w:p>
    <w:p>
      <w:pPr>
        <w:pStyle w:val="7"/>
        <w:rPr>
          <w:b/>
          <w:sz w:val="28"/>
          <w:lang w:eastAsia="zh-CN"/>
        </w:rPr>
      </w:pPr>
    </w:p>
    <w:p>
      <w:pPr>
        <w:pStyle w:val="7"/>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7"/>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7"/>
        <w:ind w:right="226"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 xml:space="preserve">中选通知对比选人和参选人具有法律效力。中选单位需在比选人通知中选后 </w:t>
      </w:r>
      <w:r>
        <w:rPr>
          <w:lang w:eastAsia="zh-CN"/>
        </w:rPr>
        <w:t>1</w:t>
      </w:r>
      <w:r>
        <w:rPr>
          <w:rFonts w:hint="eastAsia"/>
          <w:lang w:eastAsia="zh-CN"/>
        </w:rPr>
        <w:t>5</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7"/>
        <w:spacing w:before="24"/>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7"/>
        <w:spacing w:before="24"/>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7"/>
        <w:spacing w:before="24"/>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spacing w:line="360" w:lineRule="auto"/>
        <w:ind w:firstLine="437"/>
        <w:rPr>
          <w:rFonts w:hAnsi="宋体" w:cs="宋体"/>
          <w:bCs/>
          <w:sz w:val="24"/>
          <w:szCs w:val="24"/>
        </w:rPr>
      </w:pPr>
      <w:r>
        <w:rPr>
          <w:rFonts w:hint="eastAsia"/>
          <w:sz w:val="24"/>
          <w:szCs w:val="24"/>
        </w:rPr>
        <w:t xml:space="preserve">8. </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2"/>
        <w:spacing w:line="360" w:lineRule="auto"/>
        <w:ind w:firstLine="437"/>
        <w:rPr>
          <w:sz w:val="24"/>
          <w:szCs w:val="24"/>
        </w:rPr>
      </w:pPr>
      <w:r>
        <w:rPr>
          <w:rFonts w:hint="eastAsia"/>
          <w:sz w:val="24"/>
          <w:szCs w:val="24"/>
        </w:rPr>
        <w:t>9.</w:t>
      </w:r>
      <w:r>
        <w:rPr>
          <w:rFonts w:hint="eastAsia"/>
        </w:rPr>
        <w:t xml:space="preserve"> </w:t>
      </w:r>
      <w:r>
        <w:rPr>
          <w:rStyle w:val="19"/>
          <w:rFonts w:hint="eastAsia"/>
          <w:sz w:val="24"/>
          <w:szCs w:val="24"/>
        </w:rPr>
        <w:t>福建福海创石油化工有限公司的权属子公司“腾龙芳烃（漳州）有限公司”作为合同执行主体，将于中选通知书发出之日起20日内与中选人完成合同签订事宜。</w:t>
      </w:r>
    </w:p>
    <w:p>
      <w:pPr>
        <w:spacing w:line="321" w:lineRule="auto"/>
        <w:jc w:val="both"/>
        <w:rPr>
          <w:lang w:eastAsia="zh-CN"/>
        </w:rPr>
        <w:sectPr>
          <w:footerReference r:id="rId4" w:type="default"/>
          <w:pgSz w:w="11910" w:h="16840"/>
          <w:pgMar w:top="1500" w:right="1020" w:bottom="740" w:left="1300" w:header="0" w:footer="551" w:gutter="0"/>
          <w:pgNumType w:start="10"/>
          <w:cols w:space="720" w:num="1"/>
        </w:sectPr>
      </w:pPr>
    </w:p>
    <w:p>
      <w:pPr>
        <w:pStyle w:val="3"/>
        <w:tabs>
          <w:tab w:val="left" w:pos="4344"/>
        </w:tabs>
        <w:spacing w:line="355" w:lineRule="exact"/>
        <w:ind w:left="3082"/>
        <w:rPr>
          <w:lang w:eastAsia="zh-CN"/>
        </w:rPr>
      </w:pPr>
      <w:r>
        <w:rPr>
          <w:lang w:eastAsia="zh-CN"/>
        </w:rPr>
        <w:t>第六章</w:t>
      </w:r>
      <w:r>
        <w:rPr>
          <w:lang w:eastAsia="zh-CN"/>
        </w:rPr>
        <w:tab/>
      </w:r>
      <w:r>
        <w:rPr>
          <w:spacing w:val="-1"/>
          <w:w w:val="95"/>
          <w:lang w:eastAsia="zh-CN"/>
        </w:rPr>
        <w:t>中选后相关</w:t>
      </w:r>
      <w:r>
        <w:rPr>
          <w:w w:val="95"/>
          <w:lang w:eastAsia="zh-CN"/>
        </w:rPr>
        <w:t>履约要求</w:t>
      </w:r>
    </w:p>
    <w:p>
      <w:pPr>
        <w:pStyle w:val="7"/>
        <w:rPr>
          <w:b/>
          <w:sz w:val="28"/>
          <w:lang w:eastAsia="zh-CN"/>
        </w:rPr>
      </w:pPr>
    </w:p>
    <w:p>
      <w:pPr>
        <w:pStyle w:val="7"/>
        <w:spacing w:before="12"/>
        <w:rPr>
          <w:b/>
          <w:sz w:val="33"/>
          <w:lang w:eastAsia="zh-CN"/>
        </w:rPr>
      </w:pPr>
    </w:p>
    <w:p>
      <w:pPr>
        <w:pStyle w:val="7"/>
        <w:ind w:right="108" w:firstLine="480" w:firstLineChars="20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pPr>
        <w:pStyle w:val="7"/>
        <w:spacing w:before="26"/>
        <w:ind w:right="108" w:firstLine="480" w:firstLineChars="200"/>
        <w:jc w:val="both"/>
        <w:rPr>
          <w:lang w:eastAsia="zh-CN"/>
        </w:rPr>
      </w:pPr>
      <w:r>
        <w:rPr>
          <w:lang w:eastAsia="zh-CN"/>
        </w:rPr>
        <w:t>2.</w:t>
      </w:r>
      <w:r>
        <w:rPr>
          <w:spacing w:val="-2"/>
          <w:lang w:eastAsia="zh-CN"/>
        </w:rPr>
        <w:t>中选单位必须严格执行</w:t>
      </w:r>
      <w:r>
        <w:rPr>
          <w:rFonts w:hint="eastAsia" w:asciiTheme="majorEastAsia" w:hAnsiTheme="majorEastAsia" w:eastAsiaTheme="majorEastAsia"/>
          <w:b/>
          <w:bCs/>
          <w:lang w:eastAsia="zh-CN"/>
        </w:rPr>
        <w:t>南部热源点一期工程可行性研究及</w:t>
      </w:r>
      <w:r>
        <w:rPr>
          <w:rFonts w:hint="eastAsia" w:asciiTheme="majorEastAsia" w:hAnsiTheme="majorEastAsia" w:eastAsiaTheme="majorEastAsia"/>
          <w:b/>
          <w:lang w:eastAsia="zh-CN"/>
        </w:rPr>
        <w:t>项目申请</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pPr>
        <w:pStyle w:val="7"/>
        <w:spacing w:before="26"/>
        <w:ind w:right="108" w:firstLine="480" w:firstLineChars="20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spacing w:line="321" w:lineRule="auto"/>
        <w:jc w:val="both"/>
        <w:rPr>
          <w:lang w:eastAsia="zh-CN"/>
        </w:rPr>
        <w:sectPr>
          <w:pgSz w:w="11910" w:h="16840"/>
          <w:pgMar w:top="1500" w:right="1140" w:bottom="740" w:left="1300" w:header="0" w:footer="551" w:gutter="0"/>
          <w:cols w:space="720" w:num="1"/>
        </w:sectPr>
      </w:pPr>
    </w:p>
    <w:p>
      <w:pPr>
        <w:pStyle w:val="3"/>
        <w:tabs>
          <w:tab w:val="left" w:pos="1912"/>
        </w:tabs>
        <w:spacing w:line="355" w:lineRule="exact"/>
        <w:ind w:left="647" w:firstLine="3092" w:firstLineChars="1100"/>
        <w:jc w:val="both"/>
        <w:rPr>
          <w:lang w:eastAsia="zh-CN"/>
        </w:rPr>
      </w:pPr>
      <w:r>
        <w:rPr>
          <w:lang w:eastAsia="zh-CN"/>
        </w:rPr>
        <w:t>第七章</w:t>
      </w:r>
      <w:r>
        <w:rPr>
          <w:lang w:eastAsia="zh-CN"/>
        </w:rPr>
        <w:tab/>
      </w:r>
      <w:r>
        <w:rPr>
          <w:spacing w:val="-1"/>
          <w:w w:val="95"/>
          <w:lang w:eastAsia="zh-CN"/>
        </w:rPr>
        <w:t>其</w:t>
      </w:r>
      <w:r>
        <w:rPr>
          <w:w w:val="95"/>
          <w:lang w:eastAsia="zh-CN"/>
        </w:rPr>
        <w:t>它</w:t>
      </w:r>
    </w:p>
    <w:p>
      <w:pPr>
        <w:pStyle w:val="7"/>
        <w:rPr>
          <w:b/>
          <w:sz w:val="28"/>
          <w:lang w:eastAsia="zh-CN"/>
        </w:rPr>
      </w:pPr>
    </w:p>
    <w:p>
      <w:pPr>
        <w:pStyle w:val="7"/>
        <w:spacing w:before="12"/>
        <w:rPr>
          <w:b/>
          <w:sz w:val="33"/>
          <w:lang w:eastAsia="zh-CN"/>
        </w:rPr>
      </w:pPr>
    </w:p>
    <w:p>
      <w:pPr>
        <w:pStyle w:val="7"/>
        <w:ind w:left="218"/>
        <w:rPr>
          <w:lang w:eastAsia="zh-CN"/>
        </w:rPr>
      </w:pPr>
      <w:r>
        <w:rPr>
          <w:lang w:eastAsia="zh-CN"/>
        </w:rPr>
        <w:t>1.参选人的参选文件无论其是否中选，均不退回。</w:t>
      </w:r>
    </w:p>
    <w:p>
      <w:pPr>
        <w:pStyle w:val="7"/>
        <w:spacing w:before="108"/>
        <w:ind w:left="218"/>
        <w:rPr>
          <w:lang w:eastAsia="zh-CN"/>
        </w:rPr>
      </w:pPr>
      <w:r>
        <w:rPr>
          <w:lang w:eastAsia="zh-CN"/>
        </w:rPr>
        <w:t>2.比选人郑重承诺：参选人所提交的参选文件及相关资料不向第三方泄露。</w:t>
      </w:r>
    </w:p>
    <w:p>
      <w:pPr>
        <w:pStyle w:val="7"/>
        <w:spacing w:before="106"/>
        <w:ind w:left="218"/>
        <w:rPr>
          <w:lang w:eastAsia="zh-CN"/>
        </w:rPr>
      </w:pPr>
      <w:r>
        <w:rPr>
          <w:lang w:eastAsia="zh-CN"/>
        </w:rPr>
        <w:t>3.本比选文件的解释权归福建福海创石油化工有限公司。</w:t>
      </w:r>
    </w:p>
    <w:p>
      <w:pPr>
        <w:pStyle w:val="7"/>
        <w:spacing w:before="106"/>
        <w:ind w:left="218"/>
        <w:rPr>
          <w:lang w:eastAsia="zh-CN"/>
        </w:rPr>
      </w:pPr>
      <w:r>
        <w:rPr>
          <w:lang w:eastAsia="zh-CN"/>
        </w:rPr>
        <w:br w:type="page"/>
      </w:r>
    </w:p>
    <w:p>
      <w:pPr>
        <w:pStyle w:val="7"/>
        <w:rPr>
          <w:rFonts w:ascii="Times New Roman"/>
          <w:b/>
          <w:bCs/>
          <w:lang w:eastAsia="zh-CN"/>
        </w:rPr>
      </w:pPr>
      <w:bookmarkStart w:id="9" w:name="_Toc251742852"/>
      <w:r>
        <w:rPr>
          <w:rFonts w:hint="eastAsia" w:ascii="Times New Roman"/>
          <w:b/>
          <w:bCs/>
          <w:lang w:eastAsia="zh-CN"/>
        </w:rPr>
        <w:t>附件一</w:t>
      </w:r>
    </w:p>
    <w:p>
      <w:pPr>
        <w:pStyle w:val="9"/>
        <w:spacing w:line="400" w:lineRule="exact"/>
        <w:jc w:val="center"/>
        <w:rPr>
          <w:rFonts w:hAnsi="宋体"/>
          <w:b/>
          <w:sz w:val="36"/>
          <w:szCs w:val="36"/>
          <w:lang w:eastAsia="zh-CN"/>
        </w:rPr>
      </w:pPr>
      <w:r>
        <w:rPr>
          <w:rFonts w:hint="eastAsia" w:hAnsi="宋体"/>
          <w:b/>
          <w:sz w:val="36"/>
          <w:szCs w:val="36"/>
          <w:lang w:eastAsia="zh-CN"/>
        </w:rPr>
        <w:t>技术服务合同</w:t>
      </w:r>
    </w:p>
    <w:p>
      <w:pPr>
        <w:pStyle w:val="9"/>
        <w:spacing w:line="400" w:lineRule="exact"/>
        <w:jc w:val="center"/>
        <w:rPr>
          <w:rFonts w:hAnsi="宋体"/>
          <w:sz w:val="24"/>
          <w:szCs w:val="24"/>
          <w:lang w:eastAsia="zh-CN"/>
        </w:rPr>
      </w:pPr>
    </w:p>
    <w:p>
      <w:pPr>
        <w:pStyle w:val="9"/>
        <w:jc w:val="center"/>
        <w:rPr>
          <w:rFonts w:hAnsi="宋体"/>
          <w:sz w:val="24"/>
          <w:szCs w:val="24"/>
          <w:lang w:eastAsia="zh-CN"/>
        </w:rPr>
      </w:pPr>
      <w:r>
        <w:rPr>
          <w:rFonts w:hint="eastAsia" w:hAnsi="宋体"/>
          <w:sz w:val="24"/>
          <w:szCs w:val="24"/>
          <w:lang w:eastAsia="zh-CN"/>
        </w:rPr>
        <w:t>合同编号：</w:t>
      </w:r>
    </w:p>
    <w:p>
      <w:pPr>
        <w:pStyle w:val="9"/>
        <w:jc w:val="center"/>
        <w:rPr>
          <w:rFonts w:hAnsi="宋体"/>
          <w:sz w:val="24"/>
          <w:szCs w:val="24"/>
          <w:lang w:eastAsia="zh-CN"/>
        </w:rPr>
      </w:pPr>
      <w:r>
        <w:rPr>
          <w:rFonts w:hint="eastAsia" w:hAnsi="宋体"/>
          <w:sz w:val="24"/>
          <w:szCs w:val="24"/>
          <w:lang w:eastAsia="zh-CN"/>
        </w:rPr>
        <w:t>签订时间：</w:t>
      </w:r>
    </w:p>
    <w:p>
      <w:pPr>
        <w:pStyle w:val="9"/>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委托方（甲方）</w:t>
      </w:r>
      <w:r>
        <w:rPr>
          <w:rFonts w:hint="eastAsia" w:asciiTheme="minorEastAsia" w:hAnsiTheme="minorEastAsia" w:eastAsiaTheme="minorEastAsia"/>
          <w:sz w:val="24"/>
          <w:szCs w:val="24"/>
          <w:lang w:eastAsia="zh-CN"/>
        </w:rPr>
        <w:t>：腾龙芳烃（漳州）有限公司</w:t>
      </w:r>
    </w:p>
    <w:p>
      <w:pPr>
        <w:pStyle w:val="9"/>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住  所  地：</w:t>
      </w:r>
      <w:r>
        <w:rPr>
          <w:rFonts w:hint="eastAsia" w:asciiTheme="minorEastAsia" w:hAnsiTheme="minorEastAsia" w:eastAsiaTheme="minorEastAsia"/>
          <w:sz w:val="24"/>
          <w:szCs w:val="24"/>
          <w:lang w:eastAsia="zh-CN"/>
        </w:rPr>
        <w:t>福建省漳州市古雷开发区腾龙路86号</w:t>
      </w:r>
    </w:p>
    <w:p>
      <w:pPr>
        <w:pStyle w:val="9"/>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项目联系人</w:t>
      </w:r>
      <w:r>
        <w:rPr>
          <w:rFonts w:hint="eastAsia" w:asciiTheme="minorEastAsia" w:hAnsiTheme="minorEastAsia" w:eastAsiaTheme="minorEastAsia"/>
          <w:sz w:val="24"/>
          <w:szCs w:val="24"/>
          <w:lang w:eastAsia="zh-CN"/>
        </w:rPr>
        <w:t>：邱衍新</w:t>
      </w:r>
    </w:p>
    <w:p>
      <w:pPr>
        <w:pStyle w:val="9"/>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通讯地址</w:t>
      </w:r>
      <w:r>
        <w:rPr>
          <w:rFonts w:hint="eastAsia" w:asciiTheme="minorEastAsia" w:hAnsiTheme="minorEastAsia" w:eastAsiaTheme="minorEastAsia"/>
          <w:sz w:val="24"/>
          <w:szCs w:val="24"/>
          <w:lang w:eastAsia="zh-CN"/>
        </w:rPr>
        <w:t>：福建省漳州市漳浦县古雷经济开发区腾龙路86号</w:t>
      </w:r>
    </w:p>
    <w:p>
      <w:pPr>
        <w:pStyle w:val="9"/>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电    话</w:t>
      </w:r>
      <w:r>
        <w:rPr>
          <w:rFonts w:hint="eastAsia" w:asciiTheme="minorEastAsia" w:hAnsiTheme="minorEastAsia" w:eastAsiaTheme="minorEastAsia"/>
          <w:sz w:val="24"/>
          <w:szCs w:val="24"/>
          <w:lang w:eastAsia="zh-CN"/>
        </w:rPr>
        <w:t>：</w:t>
      </w:r>
      <w:r>
        <w:rPr>
          <w:rFonts w:hint="eastAsia"/>
          <w:sz w:val="24"/>
          <w:szCs w:val="24"/>
          <w:shd w:val="clear" w:color="auto" w:fill="FFFFFF"/>
          <w:lang w:eastAsia="zh-CN"/>
        </w:rPr>
        <w:t>18060282370</w:t>
      </w:r>
    </w:p>
    <w:p>
      <w:pPr>
        <w:pStyle w:val="9"/>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电子信箱</w:t>
      </w:r>
      <w:r>
        <w:rPr>
          <w:rFonts w:hint="eastAsia" w:asciiTheme="minorEastAsia" w:hAnsiTheme="minorEastAsia" w:eastAsiaTheme="minorEastAsia"/>
          <w:sz w:val="24"/>
          <w:szCs w:val="24"/>
          <w:lang w:eastAsia="zh-CN"/>
        </w:rPr>
        <w:t>：yxqiu@fhcpec.com.cn</w:t>
      </w:r>
    </w:p>
    <w:p>
      <w:pPr>
        <w:pStyle w:val="9"/>
        <w:rPr>
          <w:rFonts w:asciiTheme="minorEastAsia" w:hAnsiTheme="minorEastAsia" w:eastAsiaTheme="minorEastAsia"/>
          <w:sz w:val="24"/>
          <w:szCs w:val="24"/>
          <w:lang w:eastAsia="zh-CN"/>
        </w:rPr>
      </w:pPr>
    </w:p>
    <w:p>
      <w:pPr>
        <w:pStyle w:val="9"/>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受托方（乙方）</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lang w:eastAsia="zh-CN"/>
        </w:rPr>
        <w:tab/>
      </w:r>
    </w:p>
    <w:p>
      <w:pPr>
        <w:pStyle w:val="9"/>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住  所  地</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lang w:eastAsia="zh-CN"/>
        </w:rPr>
        <w:tab/>
      </w:r>
    </w:p>
    <w:p>
      <w:pPr>
        <w:pStyle w:val="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项目联系人：</w:t>
      </w:r>
      <w:r>
        <w:rPr>
          <w:rFonts w:asciiTheme="minorEastAsia" w:hAnsiTheme="minorEastAsia" w:eastAsiaTheme="minorEastAsia"/>
          <w:sz w:val="24"/>
          <w:szCs w:val="24"/>
          <w:lang w:eastAsia="zh-CN"/>
        </w:rPr>
        <w:t xml:space="preserve"> </w:t>
      </w:r>
    </w:p>
    <w:p>
      <w:pPr>
        <w:pStyle w:val="9"/>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通讯地址</w:t>
      </w:r>
      <w:r>
        <w:rPr>
          <w:rFonts w:hint="eastAsia" w:asciiTheme="minorEastAsia" w:hAnsiTheme="minorEastAsia" w:eastAsiaTheme="minorEastAsia"/>
          <w:sz w:val="24"/>
          <w:szCs w:val="24"/>
          <w:lang w:eastAsia="zh-CN"/>
        </w:rPr>
        <w:t>：</w:t>
      </w:r>
      <w:r>
        <w:rPr>
          <w:rFonts w:asciiTheme="minorEastAsia" w:hAnsiTheme="minorEastAsia" w:eastAsiaTheme="minorEastAsia"/>
          <w:sz w:val="24"/>
          <w:szCs w:val="24"/>
          <w:lang w:eastAsia="zh-CN"/>
        </w:rPr>
        <w:t xml:space="preserve"> </w:t>
      </w:r>
    </w:p>
    <w:p>
      <w:pPr>
        <w:pStyle w:val="9"/>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电    话</w:t>
      </w:r>
      <w:r>
        <w:rPr>
          <w:rFonts w:hint="eastAsia" w:asciiTheme="minorEastAsia" w:hAnsiTheme="minorEastAsia" w:eastAsiaTheme="minorEastAsia"/>
          <w:sz w:val="24"/>
          <w:szCs w:val="24"/>
          <w:lang w:eastAsia="zh-CN"/>
        </w:rPr>
        <w:t>：</w:t>
      </w:r>
    </w:p>
    <w:p>
      <w:pPr>
        <w:pStyle w:val="9"/>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电子信箱</w:t>
      </w:r>
      <w:r>
        <w:rPr>
          <w:rFonts w:hint="eastAsia" w:asciiTheme="minorEastAsia" w:hAnsiTheme="minorEastAsia" w:eastAsiaTheme="minorEastAsia"/>
          <w:sz w:val="24"/>
          <w:szCs w:val="24"/>
          <w:lang w:eastAsia="zh-CN"/>
        </w:rPr>
        <w:t>：</w:t>
      </w:r>
    </w:p>
    <w:p>
      <w:pPr>
        <w:pStyle w:val="9"/>
        <w:rPr>
          <w:rFonts w:cs="黑体" w:asciiTheme="majorEastAsia" w:hAnsiTheme="majorEastAsia" w:eastAsiaTheme="majorEastAsia"/>
          <w:sz w:val="24"/>
          <w:u w:val="single"/>
          <w:lang w:eastAsia="zh-CN"/>
        </w:rPr>
      </w:pPr>
      <w:r>
        <w:rPr>
          <w:rFonts w:hint="eastAsia" w:asciiTheme="minorEastAsia" w:hAnsiTheme="minorEastAsia" w:eastAsiaTheme="minorEastAsia"/>
          <w:sz w:val="24"/>
          <w:szCs w:val="24"/>
          <w:lang w:eastAsia="zh-CN"/>
        </w:rPr>
        <w:t xml:space="preserve">    </w:t>
      </w:r>
      <w:r>
        <w:rPr>
          <w:rFonts w:hint="eastAsia" w:asciiTheme="minorEastAsia" w:hAnsiTheme="minorEastAsia" w:eastAsiaTheme="minorEastAsia"/>
          <w:sz w:val="24"/>
          <w:lang w:eastAsia="zh-CN"/>
        </w:rPr>
        <w:t>本合同由甲方委托乙方就</w:t>
      </w:r>
      <w:r>
        <w:rPr>
          <w:rFonts w:hint="eastAsia" w:asciiTheme="majorEastAsia" w:hAnsiTheme="majorEastAsia" w:eastAsiaTheme="majorEastAsia"/>
          <w:bCs/>
          <w:sz w:val="24"/>
          <w:szCs w:val="24"/>
          <w:u w:val="single"/>
          <w:lang w:eastAsia="zh-CN"/>
        </w:rPr>
        <w:t>南部热源点一期工程可行性研究及</w:t>
      </w:r>
      <w:r>
        <w:rPr>
          <w:rFonts w:hint="eastAsia" w:asciiTheme="minorEastAsia" w:hAnsiTheme="minorEastAsia" w:eastAsiaTheme="minorEastAsia"/>
          <w:sz w:val="24"/>
          <w:u w:val="single"/>
          <w:lang w:eastAsia="zh-CN"/>
        </w:rPr>
        <w:t>项目申请</w:t>
      </w:r>
      <w:r>
        <w:rPr>
          <w:rFonts w:hint="eastAsia" w:asciiTheme="minorEastAsia" w:hAnsiTheme="minorEastAsia" w:eastAsiaTheme="minorEastAsia"/>
          <w:sz w:val="24"/>
          <w:lang w:eastAsia="zh-CN"/>
        </w:rPr>
        <w:t>进行技术服务，并支付技术服务报酬。双方经过平等协商，在真实、充分地表达各自意愿的基础上，根据《中华人民共和国民法典》的规定，达成如下协议，并由双方共同恪守。</w:t>
      </w:r>
    </w:p>
    <w:p>
      <w:pPr>
        <w:pStyle w:val="9"/>
        <w:rPr>
          <w:rFonts w:asciiTheme="minorEastAsia" w:hAnsiTheme="minorEastAsia" w:eastAsiaTheme="minorEastAsia"/>
          <w:sz w:val="24"/>
          <w:szCs w:val="24"/>
          <w:lang w:eastAsia="zh-CN"/>
        </w:rPr>
      </w:pPr>
      <w:r>
        <w:rPr>
          <w:rFonts w:hint="eastAsia" w:asciiTheme="minorEastAsia" w:hAnsiTheme="minorEastAsia" w:eastAsiaTheme="minorEastAsia"/>
          <w:b/>
          <w:sz w:val="24"/>
          <w:szCs w:val="24"/>
          <w:lang w:eastAsia="zh-CN"/>
        </w:rPr>
        <w:t>第一条</w:t>
      </w:r>
      <w:r>
        <w:rPr>
          <w:rFonts w:hint="eastAsia" w:asciiTheme="minorEastAsia" w:hAnsiTheme="minorEastAsia" w:eastAsiaTheme="minorEastAsia"/>
          <w:sz w:val="24"/>
          <w:szCs w:val="24"/>
          <w:lang w:eastAsia="zh-CN"/>
        </w:rPr>
        <w:t>　乙方进行技术服务的内容、要求、方式：</w:t>
      </w:r>
    </w:p>
    <w:p>
      <w:pPr>
        <w:pStyle w:val="9"/>
        <w:ind w:left="2760" w:hanging="2760" w:hangingChars="115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1.技术服务内容：</w:t>
      </w:r>
      <w:r>
        <w:rPr>
          <w:rFonts w:hint="eastAsia" w:asciiTheme="minorEastAsia" w:hAnsiTheme="minorEastAsia" w:eastAsiaTheme="minorEastAsia"/>
          <w:sz w:val="24"/>
          <w:u w:val="single"/>
          <w:lang w:eastAsia="zh-CN"/>
        </w:rPr>
        <w:t>南部热源点一期工程</w:t>
      </w:r>
      <w:r>
        <w:rPr>
          <w:rFonts w:hint="eastAsia"/>
          <w:sz w:val="24"/>
          <w:szCs w:val="24"/>
          <w:u w:val="single"/>
          <w:lang w:eastAsia="zh-CN"/>
        </w:rPr>
        <w:t>可行性研究及</w:t>
      </w:r>
      <w:r>
        <w:rPr>
          <w:rFonts w:hint="eastAsia" w:asciiTheme="minorEastAsia" w:hAnsiTheme="minorEastAsia" w:eastAsiaTheme="minorEastAsia"/>
          <w:sz w:val="24"/>
          <w:u w:val="single"/>
          <w:lang w:eastAsia="zh-CN"/>
        </w:rPr>
        <w:t>项目申请</w:t>
      </w:r>
      <w:r>
        <w:rPr>
          <w:rFonts w:hint="eastAsia" w:asciiTheme="minorEastAsia" w:hAnsiTheme="minorEastAsia" w:eastAsiaTheme="minorEastAsia"/>
          <w:sz w:val="24"/>
          <w:szCs w:val="24"/>
          <w:u w:val="single"/>
          <w:lang w:eastAsia="zh-CN"/>
        </w:rPr>
        <w:t xml:space="preserve"> </w:t>
      </w:r>
    </w:p>
    <w:p>
      <w:pPr>
        <w:pStyle w:val="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2.技术服务要求：</w:t>
      </w:r>
      <w:r>
        <w:rPr>
          <w:rFonts w:hint="eastAsia" w:asciiTheme="minorEastAsia" w:hAnsiTheme="minorEastAsia" w:eastAsiaTheme="minorEastAsia"/>
          <w:sz w:val="24"/>
          <w:szCs w:val="24"/>
          <w:u w:val="single"/>
          <w:lang w:eastAsia="zh-CN"/>
        </w:rPr>
        <w:t xml:space="preserve"> 详见附件“技术协议书”  </w:t>
      </w:r>
    </w:p>
    <w:p>
      <w:pPr>
        <w:pStyle w:val="9"/>
        <w:rPr>
          <w:rFonts w:asciiTheme="minorEastAsia" w:hAnsiTheme="minorEastAsia" w:eastAsiaTheme="minorEastAsia"/>
          <w:sz w:val="24"/>
          <w:szCs w:val="24"/>
          <w:lang w:eastAsia="zh-CN"/>
        </w:rPr>
      </w:pPr>
      <w:r>
        <w:rPr>
          <w:rFonts w:hint="eastAsia" w:asciiTheme="minorEastAsia" w:hAnsiTheme="minorEastAsia" w:eastAsiaTheme="minorEastAsia"/>
          <w:b/>
          <w:sz w:val="24"/>
          <w:szCs w:val="24"/>
          <w:lang w:eastAsia="zh-CN"/>
        </w:rPr>
        <w:t>第二条</w:t>
      </w:r>
      <w:r>
        <w:rPr>
          <w:rFonts w:hint="eastAsia" w:asciiTheme="minorEastAsia" w:hAnsiTheme="minorEastAsia" w:eastAsiaTheme="minorEastAsia"/>
          <w:sz w:val="24"/>
          <w:szCs w:val="24"/>
          <w:lang w:eastAsia="zh-CN"/>
        </w:rPr>
        <w:t xml:space="preserve"> 乙方按照下列要求进行本合同项目的技术咨询工作：</w:t>
      </w:r>
    </w:p>
    <w:p>
      <w:pPr>
        <w:pStyle w:val="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1.技术服务地点：</w:t>
      </w:r>
      <w:r>
        <w:rPr>
          <w:rFonts w:hint="eastAsia" w:asciiTheme="minorEastAsia" w:hAnsiTheme="minorEastAsia" w:eastAsiaTheme="minorEastAsia"/>
          <w:sz w:val="24"/>
          <w:szCs w:val="24"/>
          <w:u w:val="single"/>
          <w:lang w:eastAsia="zh-CN"/>
        </w:rPr>
        <w:t xml:space="preserve"> 腾龙芳烃（漳州）有限公司  </w:t>
      </w:r>
    </w:p>
    <w:p>
      <w:pPr>
        <w:rPr>
          <w:rFonts w:asciiTheme="majorEastAsia" w:hAnsiTheme="majorEastAsia" w:eastAsiaTheme="majorEastAsia"/>
          <w:sz w:val="24"/>
          <w:szCs w:val="24"/>
          <w:lang w:eastAsia="zh-CN"/>
        </w:rPr>
      </w:pPr>
      <w:r>
        <w:rPr>
          <w:rFonts w:hint="eastAsia" w:asciiTheme="minorEastAsia" w:hAnsiTheme="minorEastAsia" w:eastAsiaTheme="minorEastAsia"/>
          <w:sz w:val="24"/>
          <w:szCs w:val="24"/>
          <w:lang w:eastAsia="zh-CN"/>
        </w:rPr>
        <w:t>2.技术服务期限：</w:t>
      </w:r>
      <w:r>
        <w:rPr>
          <w:rFonts w:hint="eastAsia" w:asciiTheme="majorEastAsia" w:hAnsiTheme="majorEastAsia" w:eastAsiaTheme="majorEastAsia"/>
          <w:sz w:val="24"/>
          <w:szCs w:val="24"/>
          <w:lang w:eastAsia="zh-CN"/>
        </w:rPr>
        <w:t xml:space="preserve">1）合同签订后60天完成可研报告并通过专家评审； </w:t>
      </w:r>
    </w:p>
    <w:p>
      <w:pPr>
        <w:pStyle w:val="9"/>
        <w:ind w:firstLine="1920" w:firstLineChars="800"/>
        <w:rPr>
          <w:rFonts w:asciiTheme="minorEastAsia" w:hAnsiTheme="minorEastAsia" w:eastAsiaTheme="minorEastAsia"/>
          <w:sz w:val="24"/>
          <w:szCs w:val="24"/>
          <w:lang w:eastAsia="zh-CN"/>
        </w:rPr>
      </w:pPr>
      <w:r>
        <w:rPr>
          <w:rFonts w:hint="eastAsia" w:asciiTheme="majorEastAsia" w:hAnsiTheme="majorEastAsia" w:eastAsiaTheme="majorEastAsia"/>
          <w:sz w:val="24"/>
          <w:szCs w:val="24"/>
          <w:lang w:eastAsia="zh-CN"/>
        </w:rPr>
        <w:t>2）资料提供齐全后20天内完成项目申请报告。</w:t>
      </w:r>
      <w:r>
        <w:rPr>
          <w:rFonts w:hint="eastAsia" w:asciiTheme="minorEastAsia" w:hAnsiTheme="minorEastAsia" w:eastAsiaTheme="minorEastAsia"/>
          <w:sz w:val="24"/>
          <w:szCs w:val="24"/>
          <w:u w:val="single"/>
          <w:lang w:eastAsia="zh-CN"/>
        </w:rPr>
        <w:t xml:space="preserve"> </w:t>
      </w:r>
    </w:p>
    <w:p>
      <w:pPr>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3.技术服务进度：</w:t>
      </w:r>
    </w:p>
    <w:p>
      <w:pPr>
        <w:rPr>
          <w:sz w:val="24"/>
          <w:szCs w:val="28"/>
          <w:lang w:eastAsia="zh-CN"/>
        </w:rPr>
      </w:pPr>
      <w:r>
        <w:rPr>
          <w:rFonts w:hint="eastAsia"/>
          <w:sz w:val="24"/>
          <w:szCs w:val="28"/>
          <w:lang w:eastAsia="zh-CN"/>
        </w:rPr>
        <w:t xml:space="preserve">1）合同签订后45天内提供可行性研究设计初稿； </w:t>
      </w:r>
    </w:p>
    <w:p>
      <w:pPr>
        <w:rPr>
          <w:sz w:val="24"/>
          <w:szCs w:val="28"/>
          <w:lang w:eastAsia="zh-CN"/>
        </w:rPr>
      </w:pPr>
      <w:r>
        <w:rPr>
          <w:rFonts w:hint="eastAsia"/>
          <w:sz w:val="24"/>
          <w:szCs w:val="28"/>
          <w:lang w:eastAsia="zh-CN"/>
        </w:rPr>
        <w:t>2）专家评审后15天内提供可行性研究文件正式文件。</w:t>
      </w:r>
    </w:p>
    <w:p>
      <w:pPr>
        <w:rPr>
          <w:sz w:val="24"/>
          <w:lang w:eastAsia="zh-CN"/>
        </w:rPr>
      </w:pPr>
      <w:r>
        <w:rPr>
          <w:rFonts w:hint="eastAsia" w:asciiTheme="minorEastAsia" w:hAnsiTheme="minorEastAsia" w:eastAsiaTheme="minorEastAsia"/>
          <w:sz w:val="24"/>
          <w:szCs w:val="24"/>
          <w:lang w:eastAsia="zh-CN"/>
        </w:rPr>
        <w:t>4、技术服务质量要求：</w:t>
      </w:r>
      <w:r>
        <w:rPr>
          <w:rFonts w:hint="eastAsia"/>
          <w:sz w:val="24"/>
          <w:lang w:eastAsia="zh-CN"/>
        </w:rPr>
        <w:t>除非合同另有规定，均须遵守最新的国家标准</w:t>
      </w:r>
      <w:r>
        <w:rPr>
          <w:sz w:val="24"/>
          <w:lang w:eastAsia="zh-CN"/>
        </w:rPr>
        <w:t>(GB)</w:t>
      </w:r>
      <w:r>
        <w:rPr>
          <w:rFonts w:hint="eastAsia"/>
          <w:sz w:val="24"/>
          <w:lang w:eastAsia="zh-CN"/>
        </w:rPr>
        <w:t>、国家电力行业标准(</w:t>
      </w:r>
      <w:r>
        <w:rPr>
          <w:sz w:val="24"/>
          <w:lang w:eastAsia="zh-CN"/>
        </w:rPr>
        <w:t>DL</w:t>
      </w:r>
      <w:r>
        <w:rPr>
          <w:rFonts w:hint="eastAsia"/>
          <w:sz w:val="24"/>
          <w:lang w:eastAsia="zh-CN"/>
        </w:rPr>
        <w:t>)、国际电工委员会</w:t>
      </w:r>
      <w:r>
        <w:rPr>
          <w:sz w:val="24"/>
          <w:lang w:eastAsia="zh-CN"/>
        </w:rPr>
        <w:t>(IEC)</w:t>
      </w:r>
      <w:r>
        <w:rPr>
          <w:rFonts w:hint="eastAsia"/>
          <w:sz w:val="24"/>
          <w:lang w:eastAsia="zh-CN"/>
        </w:rPr>
        <w:t>标准及国际单位制</w:t>
      </w:r>
      <w:r>
        <w:rPr>
          <w:sz w:val="24"/>
          <w:lang w:eastAsia="zh-CN"/>
        </w:rPr>
        <w:t>(SI)</w:t>
      </w:r>
      <w:r>
        <w:rPr>
          <w:rFonts w:hint="eastAsia"/>
          <w:sz w:val="24"/>
          <w:lang w:eastAsia="zh-CN"/>
        </w:rPr>
        <w:t>标准。当上述标准不一致时，按技术条款要求高的标准执行。</w:t>
      </w:r>
    </w:p>
    <w:p>
      <w:pPr>
        <w:snapToGrid w:val="0"/>
        <w:ind w:firstLine="360" w:firstLineChars="150"/>
        <w:rPr>
          <w:sz w:val="24"/>
          <w:lang w:eastAsia="zh-CN"/>
        </w:rPr>
      </w:pPr>
      <w:r>
        <w:rPr>
          <w:rFonts w:hint="eastAsia"/>
          <w:sz w:val="24"/>
          <w:lang w:eastAsia="zh-CN"/>
        </w:rPr>
        <w:t>DL/T5375-2018     《火力发电厂可行性研究报告内容深度规定》</w:t>
      </w:r>
    </w:p>
    <w:p>
      <w:pPr>
        <w:snapToGrid w:val="0"/>
        <w:ind w:firstLine="360" w:firstLineChars="150"/>
        <w:rPr>
          <w:sz w:val="24"/>
          <w:lang w:eastAsia="zh-CN"/>
        </w:rPr>
      </w:pPr>
      <w:r>
        <w:rPr>
          <w:rFonts w:hint="eastAsia"/>
          <w:sz w:val="24"/>
          <w:lang w:eastAsia="zh-CN"/>
        </w:rPr>
        <w:t>GB</w:t>
      </w:r>
      <w:r>
        <w:rPr>
          <w:sz w:val="24"/>
          <w:lang w:eastAsia="zh-CN"/>
        </w:rPr>
        <w:t>500</w:t>
      </w:r>
      <w:r>
        <w:rPr>
          <w:rFonts w:hint="eastAsia"/>
          <w:sz w:val="24"/>
          <w:lang w:eastAsia="zh-CN"/>
        </w:rPr>
        <w:t>49</w:t>
      </w:r>
      <w:r>
        <w:rPr>
          <w:sz w:val="24"/>
          <w:lang w:eastAsia="zh-CN"/>
        </w:rPr>
        <w:t>-</w:t>
      </w:r>
      <w:r>
        <w:rPr>
          <w:rFonts w:hint="eastAsia"/>
          <w:sz w:val="24"/>
          <w:lang w:eastAsia="zh-CN"/>
        </w:rPr>
        <w:t>2011</w:t>
      </w:r>
      <w:r>
        <w:rPr>
          <w:rFonts w:hint="eastAsia"/>
          <w:sz w:val="24"/>
          <w:lang w:eastAsia="zh-CN"/>
        </w:rPr>
        <w:tab/>
      </w:r>
      <w:r>
        <w:rPr>
          <w:rFonts w:hint="eastAsia"/>
          <w:sz w:val="24"/>
          <w:lang w:eastAsia="zh-CN"/>
        </w:rPr>
        <w:t xml:space="preserve">   《小型火力发电厂设计规范》</w:t>
      </w:r>
    </w:p>
    <w:p>
      <w:pPr>
        <w:snapToGrid w:val="0"/>
        <w:ind w:firstLine="360" w:firstLineChars="150"/>
        <w:rPr>
          <w:sz w:val="24"/>
          <w:lang w:eastAsia="zh-CN"/>
        </w:rPr>
      </w:pPr>
      <w:r>
        <w:rPr>
          <w:rFonts w:hint="eastAsia"/>
          <w:sz w:val="24"/>
          <w:lang w:eastAsia="zh-CN"/>
        </w:rPr>
        <w:t>发改能源〔2016〕617号  《热电联产管理办法》</w:t>
      </w:r>
    </w:p>
    <w:p>
      <w:pPr>
        <w:ind w:firstLine="360" w:firstLineChars="150"/>
        <w:rPr>
          <w:rFonts w:asciiTheme="minorEastAsia" w:hAnsiTheme="minorEastAsia" w:eastAsiaTheme="minorEastAsia"/>
          <w:sz w:val="24"/>
          <w:szCs w:val="24"/>
          <w:u w:val="single"/>
          <w:lang w:eastAsia="zh-CN"/>
        </w:rPr>
      </w:pPr>
      <w:r>
        <w:rPr>
          <w:rFonts w:hint="eastAsia"/>
          <w:sz w:val="24"/>
          <w:lang w:eastAsia="zh-CN"/>
        </w:rPr>
        <w:t xml:space="preserve">国家能源局 </w:t>
      </w:r>
      <w:r>
        <w:rPr>
          <w:sz w:val="24"/>
          <w:lang w:eastAsia="zh-CN"/>
        </w:rPr>
        <w:t>国能安全〔</w:t>
      </w:r>
      <w:r>
        <w:rPr>
          <w:rFonts w:hint="eastAsia"/>
          <w:sz w:val="24"/>
          <w:lang w:eastAsia="zh-CN"/>
        </w:rPr>
        <w:t>2014〕161号《防止电力生产事故的二十五项重点要求》</w:t>
      </w:r>
    </w:p>
    <w:p>
      <w:pPr>
        <w:pStyle w:val="9"/>
        <w:rPr>
          <w:rFonts w:asciiTheme="minorEastAsia" w:hAnsiTheme="minorEastAsia" w:eastAsiaTheme="minorEastAsia"/>
          <w:sz w:val="24"/>
          <w:szCs w:val="24"/>
          <w:lang w:eastAsia="zh-CN"/>
        </w:rPr>
      </w:pPr>
      <w:r>
        <w:rPr>
          <w:rFonts w:hint="eastAsia" w:asciiTheme="minorEastAsia" w:hAnsiTheme="minorEastAsia" w:eastAsiaTheme="minorEastAsia"/>
          <w:b/>
          <w:sz w:val="24"/>
          <w:szCs w:val="24"/>
          <w:lang w:eastAsia="zh-CN"/>
        </w:rPr>
        <w:t>第三条</w:t>
      </w:r>
      <w:r>
        <w:rPr>
          <w:rFonts w:hint="eastAsia" w:asciiTheme="minorEastAsia" w:hAnsiTheme="minorEastAsia" w:eastAsiaTheme="minorEastAsia"/>
          <w:sz w:val="24"/>
          <w:szCs w:val="24"/>
          <w:lang w:eastAsia="zh-CN"/>
        </w:rPr>
        <w:t xml:space="preserve"> 为保证乙方有效进行技术咨询工作，甲方应当向乙方提供下列协作事项：</w:t>
      </w:r>
    </w:p>
    <w:p>
      <w:pPr>
        <w:pStyle w:val="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提供技术资料：</w:t>
      </w:r>
      <w:r>
        <w:rPr>
          <w:rFonts w:hint="eastAsia" w:asciiTheme="minorEastAsia" w:hAnsiTheme="minorEastAsia" w:eastAsiaTheme="minorEastAsia"/>
          <w:sz w:val="24"/>
          <w:szCs w:val="24"/>
          <w:u w:val="single"/>
          <w:lang w:eastAsia="zh-CN"/>
        </w:rPr>
        <w:t xml:space="preserve">   详见附件技术协议要求   </w:t>
      </w:r>
      <w:r>
        <w:rPr>
          <w:rFonts w:hint="eastAsia" w:asciiTheme="minorEastAsia" w:hAnsiTheme="minorEastAsia" w:eastAsiaTheme="minorEastAsia"/>
          <w:sz w:val="24"/>
          <w:szCs w:val="24"/>
          <w:lang w:eastAsia="zh-CN"/>
        </w:rPr>
        <w:t xml:space="preserve"> </w:t>
      </w:r>
    </w:p>
    <w:p>
      <w:pPr>
        <w:pStyle w:val="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提供工作条件：</w:t>
      </w:r>
      <w:r>
        <w:rPr>
          <w:rFonts w:hint="eastAsia" w:asciiTheme="minorEastAsia" w:hAnsiTheme="minorEastAsia" w:eastAsiaTheme="minorEastAsia"/>
          <w:sz w:val="24"/>
          <w:szCs w:val="24"/>
          <w:u w:val="single"/>
          <w:lang w:eastAsia="zh-CN"/>
        </w:rPr>
        <w:t xml:space="preserve">   详见附件技术协议要求   </w:t>
      </w:r>
    </w:p>
    <w:p>
      <w:pPr>
        <w:pStyle w:val="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其他：</w:t>
      </w:r>
      <w:r>
        <w:rPr>
          <w:rFonts w:hint="eastAsia" w:asciiTheme="minorEastAsia" w:hAnsiTheme="minorEastAsia" w:eastAsiaTheme="minorEastAsia"/>
          <w:sz w:val="24"/>
          <w:szCs w:val="24"/>
          <w:u w:val="single"/>
          <w:lang w:eastAsia="zh-CN"/>
        </w:rPr>
        <w:t xml:space="preserve">  无  </w:t>
      </w:r>
    </w:p>
    <w:p>
      <w:pPr>
        <w:pStyle w:val="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甲方提供上述协作事项的时间及方式：</w:t>
      </w:r>
      <w:r>
        <w:rPr>
          <w:rFonts w:hint="eastAsia" w:asciiTheme="minorEastAsia" w:hAnsiTheme="minorEastAsia" w:eastAsiaTheme="minorEastAsia"/>
          <w:sz w:val="24"/>
          <w:szCs w:val="24"/>
          <w:u w:val="single"/>
          <w:lang w:eastAsia="zh-CN"/>
        </w:rPr>
        <w:t xml:space="preserve">  甲方负责    </w:t>
      </w:r>
    </w:p>
    <w:p>
      <w:pPr>
        <w:pStyle w:val="9"/>
        <w:rPr>
          <w:rFonts w:asciiTheme="minorEastAsia" w:hAnsiTheme="minorEastAsia" w:eastAsiaTheme="minorEastAsia"/>
          <w:sz w:val="24"/>
          <w:szCs w:val="24"/>
          <w:lang w:eastAsia="zh-CN"/>
        </w:rPr>
      </w:pPr>
      <w:r>
        <w:rPr>
          <w:rFonts w:hint="eastAsia" w:asciiTheme="minorEastAsia" w:hAnsiTheme="minorEastAsia" w:eastAsiaTheme="minorEastAsia"/>
          <w:b/>
          <w:sz w:val="24"/>
          <w:szCs w:val="24"/>
          <w:lang w:eastAsia="zh-CN"/>
        </w:rPr>
        <w:t>第四条</w:t>
      </w:r>
      <w:r>
        <w:rPr>
          <w:rFonts w:hint="eastAsia" w:asciiTheme="minorEastAsia" w:hAnsiTheme="minorEastAsia" w:eastAsiaTheme="minorEastAsia"/>
          <w:sz w:val="24"/>
          <w:szCs w:val="24"/>
          <w:lang w:eastAsia="zh-CN"/>
        </w:rPr>
        <w:t xml:space="preserve"> 甲方向乙方支付技术服务报酬及支付方式为：</w:t>
      </w:r>
    </w:p>
    <w:p>
      <w:pPr>
        <w:pStyle w:val="9"/>
        <w:autoSpaceDE/>
        <w:autoSpaceDN/>
        <w:rPr>
          <w:rFonts w:asciiTheme="minorEastAsia" w:hAnsiTheme="minorEastAsia" w:eastAsiaTheme="minorEastAsia"/>
          <w:sz w:val="24"/>
          <w:szCs w:val="24"/>
          <w:u w:val="single"/>
          <w:lang w:eastAsia="zh-CN"/>
        </w:rPr>
      </w:pPr>
      <w:r>
        <w:rPr>
          <w:rFonts w:hint="eastAsia" w:asciiTheme="minorEastAsia" w:hAnsiTheme="minorEastAsia" w:eastAsiaTheme="minorEastAsia"/>
          <w:sz w:val="24"/>
          <w:szCs w:val="24"/>
          <w:lang w:eastAsia="zh-CN"/>
        </w:rPr>
        <w:t>1、技术服务报酬总价款为：</w:t>
      </w:r>
      <w:r>
        <w:rPr>
          <w:rFonts w:asciiTheme="minorEastAsia" w:hAnsiTheme="minorEastAsia" w:eastAsiaTheme="minorEastAsia"/>
          <w:sz w:val="24"/>
          <w:szCs w:val="24"/>
          <w:lang w:eastAsia="zh-CN"/>
        </w:rPr>
        <w:t>人民币</w:t>
      </w:r>
      <w:r>
        <w:rPr>
          <w:rFonts w:hint="eastAsia"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元整（￥</w:t>
      </w:r>
      <w:r>
        <w:rPr>
          <w:rFonts w:hint="eastAsia"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元）税率</w:t>
      </w:r>
      <w:r>
        <w:rPr>
          <w:rFonts w:hint="eastAsia" w:asciiTheme="minorEastAsia" w:hAnsiTheme="minorEastAsia" w:eastAsiaTheme="minorEastAsia"/>
          <w:sz w:val="24"/>
          <w:szCs w:val="24"/>
          <w:u w:val="single"/>
          <w:lang w:eastAsia="zh-CN"/>
        </w:rPr>
        <w:t xml:space="preserve">    %</w:t>
      </w:r>
    </w:p>
    <w:p>
      <w:pPr>
        <w:pStyle w:val="24"/>
        <w:widowControl/>
        <w:spacing w:before="0"/>
        <w:ind w:left="0" w:firstLine="480"/>
        <w:rPr>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本合同的技术服务费为包干制，</w:t>
      </w:r>
      <w:r>
        <w:rPr>
          <w:rFonts w:hint="eastAsia" w:asciiTheme="minorEastAsia" w:hAnsiTheme="minorEastAsia" w:eastAsiaTheme="minorEastAsia"/>
          <w:sz w:val="24"/>
          <w:lang w:eastAsia="zh-CN"/>
        </w:rPr>
        <w:t>费用包括乙方工作涉及到的劳务费、管理费、工具费、劳保费、所有税费、各种保险、安全费用、利润、食宿费、加班费、饮用水、办公费、运输费、耗材费及合同涉及到的所有风险、责任、义务等费用</w:t>
      </w:r>
      <w:r>
        <w:rPr>
          <w:rFonts w:hint="eastAsia" w:asciiTheme="minorEastAsia" w:hAnsiTheme="minorEastAsia" w:eastAsiaTheme="minorEastAsia"/>
          <w:color w:val="000000"/>
          <w:sz w:val="24"/>
          <w:lang w:eastAsia="zh-CN"/>
        </w:rPr>
        <w:t>。乙方根据实际需要增加或者减少工程人员数量，本合同总价不变。</w:t>
      </w:r>
    </w:p>
    <w:p>
      <w:pPr>
        <w:pStyle w:val="24"/>
        <w:widowControl/>
        <w:spacing w:before="0"/>
        <w:ind w:left="0" w:firstLine="0"/>
        <w:rPr>
          <w:rFonts w:asciiTheme="minorEastAsia" w:hAnsiTheme="minorEastAsia" w:eastAsiaTheme="minorEastAsia"/>
          <w:color w:val="000000"/>
          <w:sz w:val="24"/>
          <w:szCs w:val="24"/>
          <w:lang w:eastAsia="zh-CN"/>
        </w:rPr>
      </w:pPr>
      <w:r>
        <w:rPr>
          <w:rFonts w:hint="eastAsia"/>
          <w:sz w:val="24"/>
          <w:szCs w:val="24"/>
          <w:lang w:eastAsia="zh-CN"/>
        </w:rPr>
        <w:t>2、</w:t>
      </w:r>
      <w:r>
        <w:rPr>
          <w:rFonts w:hint="eastAsia" w:asciiTheme="minorEastAsia" w:hAnsiTheme="minorEastAsia" w:eastAsiaTheme="minorEastAsia"/>
          <w:sz w:val="24"/>
          <w:szCs w:val="24"/>
          <w:lang w:eastAsia="zh-CN"/>
        </w:rPr>
        <w:t>具体支付方式和时间分配如下：</w:t>
      </w:r>
    </w:p>
    <w:p>
      <w:pPr>
        <w:pStyle w:val="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1）预付款：无；</w:t>
      </w:r>
    </w:p>
    <w:p>
      <w:pPr>
        <w:pStyle w:val="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2）进度款：工作完成提交</w:t>
      </w:r>
      <w:r>
        <w:rPr>
          <w:rFonts w:hint="eastAsia"/>
          <w:sz w:val="24"/>
          <w:szCs w:val="28"/>
          <w:lang w:eastAsia="zh-CN"/>
        </w:rPr>
        <w:t>可行性研究初稿</w:t>
      </w:r>
      <w:r>
        <w:rPr>
          <w:rFonts w:hint="eastAsia" w:asciiTheme="minorEastAsia" w:hAnsiTheme="minorEastAsia" w:eastAsiaTheme="minorEastAsia"/>
          <w:sz w:val="24"/>
          <w:szCs w:val="24"/>
          <w:lang w:eastAsia="zh-CN"/>
        </w:rPr>
        <w:t>，并经甲方验收合格后，甲方收到乙方全额增值税专用发票15个工作日内，支付合同总价的80%作为进度款。</w:t>
      </w:r>
    </w:p>
    <w:p>
      <w:pPr>
        <w:pStyle w:val="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3）验收款：</w:t>
      </w:r>
      <w:r>
        <w:rPr>
          <w:rFonts w:hint="eastAsia"/>
          <w:sz w:val="24"/>
          <w:szCs w:val="28"/>
          <w:lang w:eastAsia="zh-CN"/>
        </w:rPr>
        <w:t>专家评审后15天内提供可行性研究文件正式文件及申请报告书，甲方支付合同总价的20%作为验收款；</w:t>
      </w:r>
    </w:p>
    <w:p>
      <w:pPr>
        <w:pStyle w:val="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4）乙方应在甲方付款期限届满</w:t>
      </w:r>
      <w:r>
        <w:rPr>
          <w:rFonts w:hint="eastAsia" w:asciiTheme="minorEastAsia" w:hAnsiTheme="minorEastAsia" w:eastAsiaTheme="minorEastAsia"/>
          <w:sz w:val="24"/>
          <w:szCs w:val="24"/>
          <w:u w:val="single"/>
          <w:lang w:eastAsia="zh-CN"/>
        </w:rPr>
        <w:t xml:space="preserve"> 15</w:t>
      </w:r>
      <w:r>
        <w:rPr>
          <w:rFonts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日前提供相应的</w:t>
      </w:r>
      <w:r>
        <w:rPr>
          <w:rFonts w:hint="eastAsia"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%增值税专用发票，否则甲方有权顺延付款。上述技术服务及咨询报酬直接支付至乙方指定的下列账号：</w:t>
      </w:r>
    </w:p>
    <w:p>
      <w:pPr>
        <w:pStyle w:val="9"/>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乙方开户银行： </w:t>
      </w:r>
      <w:r>
        <w:rPr>
          <w:rFonts w:hint="eastAsia"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 xml:space="preserve">    </w:t>
      </w:r>
    </w:p>
    <w:p>
      <w:pPr>
        <w:pStyle w:val="9"/>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公 司  名 称：</w:t>
      </w:r>
      <w:r>
        <w:rPr>
          <w:rFonts w:hint="eastAsia" w:asciiTheme="minorEastAsia" w:hAnsiTheme="minorEastAsia" w:eastAsiaTheme="minorEastAsia"/>
          <w:sz w:val="24"/>
          <w:szCs w:val="24"/>
          <w:u w:val="single"/>
          <w:lang w:eastAsia="zh-CN"/>
        </w:rPr>
        <w:t xml:space="preserve">                     </w:t>
      </w:r>
    </w:p>
    <w:p>
      <w:pPr>
        <w:pStyle w:val="9"/>
        <w:ind w:firstLine="480" w:firstLineChars="200"/>
        <w:rPr>
          <w:rFonts w:asciiTheme="minorEastAsia" w:hAnsiTheme="minorEastAsia" w:eastAsiaTheme="minorEastAsia"/>
          <w:sz w:val="24"/>
          <w:szCs w:val="24"/>
          <w:u w:val="single"/>
          <w:lang w:eastAsia="zh-CN"/>
        </w:rPr>
      </w:pPr>
      <w:r>
        <w:rPr>
          <w:rFonts w:hint="eastAsia" w:asciiTheme="minorEastAsia" w:hAnsiTheme="minorEastAsia" w:eastAsiaTheme="minorEastAsia"/>
          <w:sz w:val="24"/>
          <w:szCs w:val="24"/>
          <w:lang w:eastAsia="zh-CN"/>
        </w:rPr>
        <w:t>账        号：</w:t>
      </w:r>
      <w:r>
        <w:rPr>
          <w:rFonts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u w:val="single"/>
          <w:lang w:eastAsia="zh-CN"/>
        </w:rPr>
        <w:t xml:space="preserve">                   </w:t>
      </w:r>
    </w:p>
    <w:p>
      <w:pPr>
        <w:pStyle w:val="9"/>
        <w:rPr>
          <w:rFonts w:asciiTheme="minorEastAsia" w:hAnsiTheme="minorEastAsia" w:eastAsiaTheme="minorEastAsia"/>
          <w:sz w:val="24"/>
          <w:szCs w:val="24"/>
          <w:lang w:eastAsia="zh-CN"/>
        </w:rPr>
      </w:pPr>
      <w:r>
        <w:rPr>
          <w:rFonts w:hint="eastAsia" w:asciiTheme="minorEastAsia" w:hAnsiTheme="minorEastAsia" w:eastAsiaTheme="minorEastAsia"/>
          <w:b/>
          <w:sz w:val="24"/>
          <w:szCs w:val="24"/>
          <w:lang w:eastAsia="zh-CN"/>
        </w:rPr>
        <w:t>第五条</w:t>
      </w:r>
      <w:r>
        <w:rPr>
          <w:rFonts w:hint="eastAsia" w:asciiTheme="minorEastAsia" w:hAnsiTheme="minorEastAsia" w:eastAsiaTheme="minorEastAsia"/>
          <w:sz w:val="24"/>
          <w:szCs w:val="24"/>
          <w:lang w:eastAsia="zh-CN"/>
        </w:rPr>
        <w:t xml:space="preserve"> 双方确定因履行本合同应遵守的保密义务如下：</w:t>
      </w:r>
    </w:p>
    <w:p>
      <w:pPr>
        <w:pStyle w:val="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甲方：</w:t>
      </w:r>
    </w:p>
    <w:p>
      <w:pPr>
        <w:pStyle w:val="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1.保密内容：乙方提供的资料，服务咨询报告及该服务咨询报告的附件资料除外。</w:t>
      </w:r>
    </w:p>
    <w:p>
      <w:pPr>
        <w:pStyle w:val="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2.涉密人员范围：甲方及甲方工作人员 </w:t>
      </w:r>
    </w:p>
    <w:p>
      <w:pPr>
        <w:pStyle w:val="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3.泄密责任：按本合同约定及国家有关保密法的规定执行 </w:t>
      </w:r>
    </w:p>
    <w:p>
      <w:pPr>
        <w:pStyle w:val="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乙方：</w:t>
      </w:r>
    </w:p>
    <w:p>
      <w:pPr>
        <w:pStyle w:val="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1.保密内容：甲方提供的资料以及乙方在提供本合同约定服务过程中知悉的甲方技术信息、经营信息、生产工艺、操作流程等。 </w:t>
      </w:r>
    </w:p>
    <w:p>
      <w:pPr>
        <w:pStyle w:val="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2.涉密人员范围：乙方及乙方工作人员 </w:t>
      </w:r>
    </w:p>
    <w:p>
      <w:pPr>
        <w:pStyle w:val="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3.泄密责任：按本合同约定及国家有关保密法的规定执行 </w:t>
      </w:r>
    </w:p>
    <w:p>
      <w:pPr>
        <w:pStyle w:val="9"/>
        <w:rPr>
          <w:rFonts w:asciiTheme="minorEastAsia" w:hAnsiTheme="minorEastAsia" w:eastAsiaTheme="minorEastAsia"/>
          <w:sz w:val="24"/>
          <w:szCs w:val="24"/>
          <w:lang w:eastAsia="zh-CN"/>
        </w:rPr>
      </w:pPr>
      <w:r>
        <w:rPr>
          <w:rFonts w:hint="eastAsia" w:asciiTheme="minorEastAsia" w:hAnsiTheme="minorEastAsia" w:eastAsiaTheme="minorEastAsia"/>
          <w:b/>
          <w:sz w:val="24"/>
          <w:szCs w:val="24"/>
          <w:lang w:eastAsia="zh-CN"/>
        </w:rPr>
        <w:t>第六条</w:t>
      </w:r>
      <w:r>
        <w:rPr>
          <w:rFonts w:hint="eastAsia" w:asciiTheme="minorEastAsia" w:hAnsiTheme="minorEastAsia" w:eastAsiaTheme="minorEastAsia"/>
          <w:sz w:val="24"/>
          <w:szCs w:val="24"/>
          <w:lang w:eastAsia="zh-CN"/>
        </w:rPr>
        <w:t xml:space="preserve"> 本合同的变更必须由双方协商一致，并以书面形式确定。</w:t>
      </w:r>
    </w:p>
    <w:p>
      <w:pPr>
        <w:pStyle w:val="9"/>
        <w:rPr>
          <w:rFonts w:asciiTheme="minorEastAsia" w:hAnsiTheme="minorEastAsia" w:eastAsiaTheme="minorEastAsia"/>
          <w:sz w:val="24"/>
          <w:szCs w:val="24"/>
          <w:lang w:eastAsia="zh-CN"/>
        </w:rPr>
      </w:pPr>
      <w:r>
        <w:rPr>
          <w:rFonts w:hint="eastAsia" w:asciiTheme="minorEastAsia" w:hAnsiTheme="minorEastAsia" w:eastAsiaTheme="minorEastAsia"/>
          <w:b/>
          <w:sz w:val="24"/>
          <w:szCs w:val="24"/>
          <w:lang w:eastAsia="zh-CN"/>
        </w:rPr>
        <w:t>第七条</w:t>
      </w:r>
      <w:r>
        <w:rPr>
          <w:rFonts w:hint="eastAsia" w:asciiTheme="minorEastAsia" w:hAnsiTheme="minorEastAsia" w:eastAsiaTheme="minorEastAsia"/>
          <w:sz w:val="24"/>
          <w:szCs w:val="24"/>
          <w:lang w:eastAsia="zh-CN"/>
        </w:rPr>
        <w:t xml:space="preserve"> 双方确定，按以下标准和方式对乙方提交的技术服务工作成果进行验收：</w:t>
      </w:r>
    </w:p>
    <w:p>
      <w:pPr>
        <w:pStyle w:val="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1、乙方提交技术服务工作成果的形式：</w:t>
      </w:r>
      <w:r>
        <w:rPr>
          <w:rFonts w:hint="eastAsia" w:asciiTheme="minorEastAsia" w:hAnsiTheme="minorEastAsia" w:eastAsiaTheme="minorEastAsia"/>
          <w:sz w:val="24"/>
          <w:szCs w:val="24"/>
          <w:u w:val="single"/>
          <w:lang w:eastAsia="zh-CN"/>
        </w:rPr>
        <w:t>南部热源点一期工程</w:t>
      </w:r>
      <w:r>
        <w:rPr>
          <w:rFonts w:hint="eastAsia"/>
          <w:sz w:val="24"/>
          <w:szCs w:val="28"/>
          <w:u w:val="single"/>
          <w:lang w:eastAsia="zh-CN"/>
        </w:rPr>
        <w:t>可行性研究报告及项目申请报告</w:t>
      </w:r>
      <w:r>
        <w:rPr>
          <w:rFonts w:asciiTheme="minorEastAsia" w:hAnsiTheme="minorEastAsia" w:eastAsiaTheme="minorEastAsia"/>
          <w:sz w:val="24"/>
          <w:szCs w:val="24"/>
          <w:u w:val="single"/>
          <w:lang w:eastAsia="zh-CN"/>
        </w:rPr>
        <w:t xml:space="preserve"> </w:t>
      </w:r>
    </w:p>
    <w:p>
      <w:pPr>
        <w:pStyle w:val="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2、技术服务工作成果的验收标准：</w:t>
      </w:r>
    </w:p>
    <w:p>
      <w:pPr>
        <w:rPr>
          <w:sz w:val="24"/>
          <w:szCs w:val="24"/>
          <w:lang w:eastAsia="zh-CN"/>
        </w:rPr>
      </w:pPr>
      <w:r>
        <w:rPr>
          <w:rFonts w:hint="eastAsia"/>
          <w:sz w:val="24"/>
          <w:szCs w:val="24"/>
          <w:lang w:eastAsia="zh-CN"/>
        </w:rPr>
        <w:t>按现行国家标准（GB）、行业标准（DL）要求的规范、规程等执行。</w:t>
      </w:r>
    </w:p>
    <w:p>
      <w:pPr>
        <w:pStyle w:val="2"/>
        <w:spacing w:line="360" w:lineRule="auto"/>
        <w:ind w:firstLine="600" w:firstLineChars="250"/>
        <w:rPr>
          <w:rFonts w:hAnsi="宋体"/>
          <w:sz w:val="24"/>
          <w:szCs w:val="24"/>
        </w:rPr>
      </w:pPr>
      <w:r>
        <w:rPr>
          <w:rFonts w:hint="eastAsia"/>
          <w:sz w:val="24"/>
          <w:szCs w:val="24"/>
        </w:rPr>
        <w:t xml:space="preserve">DL/T5375-2008 </w:t>
      </w:r>
      <w:r>
        <w:rPr>
          <w:rFonts w:hint="eastAsia" w:hAnsi="宋体"/>
          <w:sz w:val="24"/>
          <w:szCs w:val="24"/>
        </w:rPr>
        <w:t>《火力发电厂可行性研究报告内容深度规定》</w:t>
      </w:r>
    </w:p>
    <w:p>
      <w:pPr>
        <w:pStyle w:val="2"/>
        <w:spacing w:line="360" w:lineRule="auto"/>
        <w:ind w:firstLine="600" w:firstLineChars="250"/>
        <w:rPr>
          <w:rFonts w:hAnsi="宋体"/>
          <w:sz w:val="24"/>
          <w:szCs w:val="24"/>
        </w:rPr>
      </w:pPr>
      <w:r>
        <w:rPr>
          <w:rFonts w:hint="eastAsia" w:hAnsi="宋体"/>
          <w:sz w:val="24"/>
          <w:szCs w:val="24"/>
        </w:rPr>
        <w:t>GB50660-2011 《大中型火力发电厂设计规范》</w:t>
      </w:r>
    </w:p>
    <w:p>
      <w:pPr>
        <w:ind w:left="605" w:leftChars="275"/>
        <w:rPr>
          <w:sz w:val="24"/>
          <w:lang w:eastAsia="zh-CN"/>
        </w:rPr>
      </w:pPr>
      <w:r>
        <w:rPr>
          <w:rFonts w:hint="eastAsia"/>
          <w:sz w:val="24"/>
          <w:szCs w:val="24"/>
          <w:lang w:eastAsia="zh-CN"/>
        </w:rPr>
        <w:t>国家能源局（2014年4月15日）“防止电力生产事故的二十五项重点要求”</w:t>
      </w:r>
    </w:p>
    <w:p>
      <w:pPr>
        <w:pStyle w:val="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3、验收地点：</w:t>
      </w:r>
      <w:r>
        <w:rPr>
          <w:rFonts w:hint="eastAsia" w:asciiTheme="minorEastAsia" w:hAnsiTheme="minorEastAsia" w:eastAsiaTheme="minorEastAsia"/>
          <w:sz w:val="24"/>
          <w:szCs w:val="24"/>
          <w:u w:val="single"/>
          <w:lang w:eastAsia="zh-CN"/>
        </w:rPr>
        <w:t xml:space="preserve">  腾龙芳烃（漳州）有限公司</w:t>
      </w:r>
      <w:r>
        <w:rPr>
          <w:rFonts w:asciiTheme="minorEastAsia" w:hAnsiTheme="minorEastAsia" w:eastAsiaTheme="minorEastAsia"/>
          <w:sz w:val="24"/>
          <w:szCs w:val="24"/>
          <w:u w:val="single"/>
          <w:lang w:eastAsia="zh-CN"/>
        </w:rPr>
        <w:t xml:space="preserve">  </w:t>
      </w:r>
    </w:p>
    <w:p>
      <w:pPr>
        <w:rPr>
          <w:rFonts w:asciiTheme="minorEastAsia" w:hAnsiTheme="minorEastAsia" w:eastAsiaTheme="minorEastAsia"/>
          <w:sz w:val="24"/>
          <w:lang w:eastAsia="zh-CN"/>
        </w:rPr>
      </w:pPr>
      <w:r>
        <w:rPr>
          <w:rFonts w:hint="eastAsia" w:asciiTheme="minorEastAsia" w:hAnsiTheme="minorEastAsia" w:eastAsiaTheme="minorEastAsia"/>
          <w:sz w:val="24"/>
          <w:lang w:eastAsia="zh-CN"/>
        </w:rPr>
        <w:t>4、双方确认，甲方的验收仅作为付款依据，不代表甲方对乙方工作成果的最终认可。在技术服务成果运用过程中，如有证据表明乙方存在弄虚作假等违反合同约定的情形，甲方仍有权要求乙方承担由此造成的损失和法律后果。</w:t>
      </w:r>
    </w:p>
    <w:p>
      <w:pPr>
        <w:tabs>
          <w:tab w:val="left" w:pos="2010"/>
        </w:tabs>
        <w:rPr>
          <w:sz w:val="24"/>
          <w:lang w:eastAsia="zh-CN"/>
        </w:rPr>
      </w:pPr>
      <w:r>
        <w:rPr>
          <w:rFonts w:hint="eastAsia"/>
          <w:sz w:val="24"/>
          <w:lang w:eastAsia="zh-CN"/>
        </w:rPr>
        <w:t>5. 乙方在本合同签订之日，交纳的参选保证金自动转为履约保证金</w:t>
      </w:r>
      <w:r>
        <w:rPr>
          <w:sz w:val="24"/>
          <w:lang w:eastAsia="zh-CN"/>
        </w:rPr>
        <w:t>。乙方违约或发生本</w:t>
      </w:r>
      <w:r>
        <w:rPr>
          <w:rFonts w:hint="eastAsia"/>
          <w:sz w:val="24"/>
          <w:lang w:eastAsia="zh-CN"/>
        </w:rPr>
        <w:t>合同</w:t>
      </w:r>
      <w:r>
        <w:rPr>
          <w:sz w:val="24"/>
          <w:lang w:eastAsia="zh-CN"/>
        </w:rPr>
        <w:t>约定的其他事由的，甲方有权从履行保证金中优先扣除乙方违约金及其他应付款项；由此造成履约保证金不足的，乙方应在5日内补足，逾期每日按照应缴金额的千分之一支付违约金。</w:t>
      </w:r>
    </w:p>
    <w:p>
      <w:pPr>
        <w:pStyle w:val="2"/>
        <w:spacing w:line="360" w:lineRule="auto"/>
      </w:pPr>
      <w:r>
        <w:rPr>
          <w:rFonts w:hint="eastAsia"/>
          <w:sz w:val="24"/>
          <w:szCs w:val="24"/>
        </w:rPr>
        <w:t xml:space="preserve"> 6. 履约保证金在乙方全面履行完毕本合同义务后</w:t>
      </w:r>
      <w:r>
        <w:rPr>
          <w:sz w:val="24"/>
          <w:szCs w:val="24"/>
        </w:rPr>
        <w:t>30天内无息退还。但履约保证金退还后发现任何应由乙方承担责任的行为或事件的，乙方仍应承担责任。</w:t>
      </w:r>
    </w:p>
    <w:p>
      <w:pPr>
        <w:pStyle w:val="9"/>
        <w:rPr>
          <w:rFonts w:asciiTheme="minorEastAsia" w:hAnsiTheme="minorEastAsia" w:eastAsiaTheme="minorEastAsia"/>
          <w:sz w:val="24"/>
          <w:szCs w:val="24"/>
          <w:lang w:eastAsia="zh-CN"/>
        </w:rPr>
      </w:pPr>
      <w:r>
        <w:rPr>
          <w:rFonts w:hint="eastAsia" w:asciiTheme="minorEastAsia" w:hAnsiTheme="minorEastAsia" w:eastAsiaTheme="minorEastAsia"/>
          <w:b/>
          <w:sz w:val="24"/>
          <w:szCs w:val="24"/>
          <w:lang w:eastAsia="zh-CN"/>
        </w:rPr>
        <w:t>第八条</w:t>
      </w:r>
      <w:r>
        <w:rPr>
          <w:rFonts w:hint="eastAsia" w:asciiTheme="minorEastAsia" w:hAnsiTheme="minorEastAsia" w:eastAsiaTheme="minorEastAsia"/>
          <w:sz w:val="24"/>
          <w:szCs w:val="24"/>
          <w:lang w:eastAsia="zh-CN"/>
        </w:rPr>
        <w:t xml:space="preserve"> 双方确定，甲方指定</w:t>
      </w:r>
      <w:r>
        <w:rPr>
          <w:rFonts w:hint="eastAsia" w:asciiTheme="minorEastAsia" w:hAnsiTheme="minorEastAsia" w:eastAsiaTheme="minorEastAsia"/>
          <w:sz w:val="24"/>
          <w:szCs w:val="24"/>
          <w:u w:val="single"/>
          <w:lang w:eastAsia="zh-CN"/>
        </w:rPr>
        <w:t xml:space="preserve"> 邱衍新</w:t>
      </w:r>
      <w:r>
        <w:rPr>
          <w:rFonts w:hint="eastAsia"/>
          <w:sz w:val="24"/>
          <w:szCs w:val="24"/>
          <w:u w:val="single"/>
          <w:shd w:val="clear" w:color="auto" w:fill="FFFFFF"/>
          <w:lang w:eastAsia="zh-CN"/>
        </w:rPr>
        <w:t>18060282370</w:t>
      </w:r>
      <w:r>
        <w:rPr>
          <w:rFonts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为甲方项目联系人，乙方指定</w:t>
      </w:r>
      <w:r>
        <w:rPr>
          <w:rFonts w:hint="eastAsia"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为乙方项目联系人。项目联系人承担以下责任：</w:t>
      </w:r>
    </w:p>
    <w:p>
      <w:pPr>
        <w:pStyle w:val="9"/>
        <w:ind w:firstLine="480" w:firstLineChars="200"/>
        <w:rPr>
          <w:rFonts w:asciiTheme="minorEastAsia" w:hAnsiTheme="minorEastAsia" w:eastAsiaTheme="minorEastAsia"/>
          <w:sz w:val="24"/>
          <w:szCs w:val="24"/>
          <w:u w:val="single"/>
          <w:lang w:eastAsia="zh-CN"/>
        </w:rPr>
      </w:pPr>
      <w:r>
        <w:rPr>
          <w:rFonts w:hint="eastAsia" w:asciiTheme="minorEastAsia" w:hAnsiTheme="minorEastAsia" w:eastAsiaTheme="minorEastAsia"/>
          <w:sz w:val="24"/>
          <w:szCs w:val="24"/>
          <w:u w:val="single"/>
          <w:lang w:eastAsia="zh-CN"/>
        </w:rPr>
        <w:t xml:space="preserve">   </w:t>
      </w:r>
      <w:r>
        <w:rPr>
          <w:rFonts w:hint="eastAsia" w:hAnsi="宋体" w:cs="宋体"/>
          <w:sz w:val="24"/>
          <w:u w:val="single"/>
          <w:lang w:eastAsia="zh-CN"/>
        </w:rPr>
        <w:t>联系具体项目进度并实施</w:t>
      </w:r>
      <w:r>
        <w:rPr>
          <w:rFonts w:asciiTheme="minorEastAsia" w:hAnsiTheme="minorEastAsia" w:eastAsiaTheme="minorEastAsia"/>
          <w:sz w:val="24"/>
          <w:szCs w:val="24"/>
          <w:u w:val="single"/>
          <w:lang w:eastAsia="zh-CN"/>
        </w:rPr>
        <w:t xml:space="preserve">     </w:t>
      </w:r>
    </w:p>
    <w:p>
      <w:pPr>
        <w:pStyle w:val="9"/>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一方变更项目联系人的，应当及时以书面形式通知另一方。未及时通知并影响本合同履行或造成损失的，应承担相应的责任。</w:t>
      </w:r>
    </w:p>
    <w:p>
      <w:pPr>
        <w:pStyle w:val="9"/>
        <w:rPr>
          <w:rFonts w:asciiTheme="minorEastAsia" w:hAnsiTheme="minorEastAsia" w:eastAsiaTheme="minorEastAsia"/>
          <w:sz w:val="24"/>
          <w:szCs w:val="24"/>
          <w:lang w:eastAsia="zh-CN"/>
        </w:rPr>
      </w:pPr>
      <w:r>
        <w:rPr>
          <w:rFonts w:hint="eastAsia" w:asciiTheme="minorEastAsia" w:hAnsiTheme="minorEastAsia" w:eastAsiaTheme="minorEastAsia"/>
          <w:b/>
          <w:sz w:val="24"/>
          <w:szCs w:val="24"/>
          <w:lang w:eastAsia="zh-CN"/>
        </w:rPr>
        <w:t>第九条</w:t>
      </w:r>
      <w:r>
        <w:rPr>
          <w:rFonts w:hint="eastAsia" w:asciiTheme="minorEastAsia" w:hAnsiTheme="minorEastAsia" w:eastAsiaTheme="minorEastAsia"/>
          <w:sz w:val="24"/>
          <w:szCs w:val="24"/>
          <w:lang w:eastAsia="zh-CN"/>
        </w:rPr>
        <w:t xml:space="preserve"> 甲乙方的责任和义务</w:t>
      </w:r>
    </w:p>
    <w:p>
      <w:pPr>
        <w:pStyle w:val="9"/>
        <w:autoSpaceDE/>
        <w:autoSpaceDN/>
        <w:ind w:firstLine="720" w:firstLineChars="3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详见附件“技术协议”</w:t>
      </w:r>
    </w:p>
    <w:p>
      <w:pPr>
        <w:pStyle w:val="9"/>
        <w:rPr>
          <w:rFonts w:asciiTheme="minorEastAsia" w:hAnsiTheme="minorEastAsia" w:eastAsiaTheme="minorEastAsia"/>
          <w:sz w:val="24"/>
          <w:szCs w:val="24"/>
          <w:lang w:eastAsia="zh-CN"/>
        </w:rPr>
      </w:pPr>
      <w:r>
        <w:rPr>
          <w:rFonts w:hint="eastAsia" w:asciiTheme="minorEastAsia" w:hAnsiTheme="minorEastAsia" w:eastAsiaTheme="minorEastAsia"/>
          <w:b/>
          <w:sz w:val="24"/>
          <w:szCs w:val="24"/>
          <w:lang w:eastAsia="zh-CN"/>
        </w:rPr>
        <w:t>第十条</w:t>
      </w:r>
      <w:r>
        <w:rPr>
          <w:rFonts w:hint="eastAsia" w:asciiTheme="minorEastAsia" w:hAnsiTheme="minorEastAsia" w:eastAsiaTheme="minorEastAsia"/>
          <w:sz w:val="24"/>
          <w:szCs w:val="24"/>
          <w:lang w:eastAsia="zh-CN"/>
        </w:rPr>
        <w:t xml:space="preserve">  保险</w:t>
      </w:r>
    </w:p>
    <w:p>
      <w:pPr>
        <w:pStyle w:val="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除非合同另有规定，在本合同项目的执行过程中，甲方对乙方的人身死亡或伤残，或财产的损失或损害不予赔偿。甲方也不对乙方与此有关的索赔、损害、赔偿及诉讼等费用和其他开支承担责任。</w:t>
      </w:r>
    </w:p>
    <w:p>
      <w:pPr>
        <w:pStyle w:val="9"/>
        <w:rPr>
          <w:rFonts w:asciiTheme="minorEastAsia" w:hAnsiTheme="minorEastAsia" w:eastAsiaTheme="minorEastAsia"/>
          <w:sz w:val="24"/>
          <w:szCs w:val="24"/>
          <w:lang w:eastAsia="zh-CN"/>
        </w:rPr>
      </w:pPr>
      <w:r>
        <w:rPr>
          <w:rFonts w:hint="eastAsia" w:asciiTheme="minorEastAsia" w:hAnsiTheme="minorEastAsia" w:eastAsiaTheme="minorEastAsia"/>
          <w:b/>
          <w:sz w:val="24"/>
          <w:szCs w:val="24"/>
          <w:lang w:eastAsia="zh-CN"/>
        </w:rPr>
        <w:t>第十一条</w:t>
      </w:r>
      <w:r>
        <w:rPr>
          <w:rFonts w:hint="eastAsia" w:asciiTheme="minorEastAsia" w:hAnsiTheme="minorEastAsia" w:eastAsiaTheme="minorEastAsia"/>
          <w:sz w:val="24"/>
          <w:szCs w:val="24"/>
          <w:lang w:eastAsia="zh-CN"/>
        </w:rPr>
        <w:t xml:space="preserve">  违约责任</w:t>
      </w:r>
    </w:p>
    <w:p>
      <w:pPr>
        <w:rPr>
          <w:rStyle w:val="53"/>
          <w:rFonts w:asciiTheme="minorEastAsia" w:hAnsiTheme="minorEastAsia" w:eastAsiaTheme="minorEastAsia"/>
          <w:sz w:val="24"/>
          <w:lang w:eastAsia="zh-CN"/>
        </w:rPr>
      </w:pPr>
      <w:r>
        <w:rPr>
          <w:rStyle w:val="53"/>
          <w:rFonts w:hint="eastAsia" w:asciiTheme="minorEastAsia" w:hAnsiTheme="minorEastAsia" w:eastAsiaTheme="minorEastAsia"/>
          <w:color w:val="000000"/>
          <w:sz w:val="24"/>
          <w:lang w:eastAsia="zh-CN"/>
        </w:rPr>
        <w:t>1．乙方逾期提交可研报告的，每日应向甲方支付违约金为合同价格的</w:t>
      </w:r>
      <w:r>
        <w:rPr>
          <w:rStyle w:val="53"/>
          <w:rFonts w:hint="eastAsia" w:asciiTheme="minorEastAsia" w:hAnsiTheme="minorEastAsia" w:eastAsiaTheme="minorEastAsia"/>
          <w:color w:val="000000"/>
          <w:sz w:val="24"/>
          <w:u w:val="single"/>
          <w:lang w:eastAsia="zh-CN"/>
        </w:rPr>
        <w:t>1‰</w:t>
      </w:r>
      <w:r>
        <w:rPr>
          <w:rStyle w:val="53"/>
          <w:rFonts w:hint="eastAsia" w:asciiTheme="minorEastAsia" w:hAnsiTheme="minorEastAsia" w:eastAsiaTheme="minorEastAsia"/>
          <w:color w:val="000000"/>
          <w:sz w:val="24"/>
          <w:lang w:eastAsia="zh-CN"/>
        </w:rPr>
        <w:t>，逾期超过</w:t>
      </w:r>
      <w:r>
        <w:rPr>
          <w:rFonts w:hint="eastAsia" w:asciiTheme="minorEastAsia" w:hAnsiTheme="minorEastAsia" w:eastAsiaTheme="minorEastAsia"/>
          <w:sz w:val="24"/>
          <w:u w:val="single"/>
          <w:lang w:eastAsia="zh-CN"/>
        </w:rPr>
        <w:t xml:space="preserve"> 15</w:t>
      </w:r>
      <w:r>
        <w:rPr>
          <w:rFonts w:asciiTheme="minorEastAsia" w:hAnsiTheme="minorEastAsia" w:eastAsiaTheme="minorEastAsia"/>
          <w:sz w:val="24"/>
          <w:u w:val="single"/>
          <w:lang w:eastAsia="zh-CN"/>
        </w:rPr>
        <w:t xml:space="preserve"> </w:t>
      </w:r>
      <w:r>
        <w:rPr>
          <w:rStyle w:val="53"/>
          <w:rFonts w:hint="eastAsia" w:asciiTheme="minorEastAsia" w:hAnsiTheme="minorEastAsia" w:eastAsiaTheme="minorEastAsia"/>
          <w:color w:val="000000"/>
          <w:sz w:val="24"/>
          <w:lang w:eastAsia="zh-CN"/>
        </w:rPr>
        <w:t>日的，甲方还有权解除本合同，乙方还需支付甲方合同总</w:t>
      </w:r>
      <w:r>
        <w:rPr>
          <w:rStyle w:val="53"/>
          <w:rFonts w:hint="eastAsia" w:asciiTheme="minorEastAsia" w:hAnsiTheme="minorEastAsia" w:eastAsiaTheme="minorEastAsia"/>
          <w:sz w:val="24"/>
          <w:lang w:eastAsia="zh-CN"/>
        </w:rPr>
        <w:t>额</w:t>
      </w:r>
      <w:r>
        <w:rPr>
          <w:rStyle w:val="53"/>
          <w:rFonts w:asciiTheme="minorEastAsia" w:hAnsiTheme="minorEastAsia" w:eastAsiaTheme="minorEastAsia"/>
          <w:sz w:val="24"/>
          <w:u w:val="single"/>
          <w:lang w:eastAsia="zh-CN"/>
        </w:rPr>
        <w:t>5</w:t>
      </w:r>
      <w:r>
        <w:rPr>
          <w:rStyle w:val="53"/>
          <w:rFonts w:hint="eastAsia" w:asciiTheme="minorEastAsia" w:hAnsiTheme="minorEastAsia" w:eastAsiaTheme="minorEastAsia"/>
          <w:sz w:val="24"/>
          <w:u w:val="single"/>
          <w:lang w:eastAsia="zh-CN"/>
        </w:rPr>
        <w:t>%</w:t>
      </w:r>
      <w:r>
        <w:rPr>
          <w:rStyle w:val="53"/>
          <w:rFonts w:hint="eastAsia" w:asciiTheme="minorEastAsia" w:hAnsiTheme="minorEastAsia" w:eastAsiaTheme="minorEastAsia"/>
          <w:sz w:val="24"/>
          <w:lang w:eastAsia="zh-CN"/>
        </w:rPr>
        <w:t>的违约金。</w:t>
      </w:r>
    </w:p>
    <w:p>
      <w:pPr>
        <w:pStyle w:val="9"/>
        <w:rPr>
          <w:rStyle w:val="53"/>
          <w:rFonts w:asciiTheme="minorEastAsia" w:hAnsiTheme="minorEastAsia" w:eastAsiaTheme="minorEastAsia"/>
          <w:sz w:val="24"/>
          <w:szCs w:val="24"/>
          <w:lang w:eastAsia="zh-CN"/>
        </w:rPr>
      </w:pPr>
      <w:r>
        <w:rPr>
          <w:rStyle w:val="53"/>
          <w:rFonts w:hint="eastAsia" w:asciiTheme="minorEastAsia" w:hAnsiTheme="minorEastAsia" w:eastAsiaTheme="minorEastAsia"/>
          <w:sz w:val="24"/>
          <w:szCs w:val="24"/>
          <w:lang w:eastAsia="zh-CN"/>
        </w:rPr>
        <w:t>2．乙方提交的试验报告不符合合同约定的，应在甲方指定期限内修改完善直至符合合同约定为止，由此造成逾期提交的，按照第1款约定执行。</w:t>
      </w:r>
    </w:p>
    <w:p>
      <w:pPr>
        <w:pStyle w:val="9"/>
        <w:rPr>
          <w:rStyle w:val="53"/>
          <w:rFonts w:asciiTheme="minorEastAsia" w:hAnsiTheme="minorEastAsia" w:eastAsiaTheme="minorEastAsia"/>
          <w:sz w:val="24"/>
          <w:szCs w:val="24"/>
          <w:lang w:eastAsia="zh-CN"/>
        </w:rPr>
      </w:pPr>
      <w:r>
        <w:rPr>
          <w:rStyle w:val="53"/>
          <w:rFonts w:hint="eastAsia" w:asciiTheme="minorEastAsia" w:hAnsiTheme="minorEastAsia" w:eastAsiaTheme="minorEastAsia"/>
          <w:sz w:val="24"/>
          <w:szCs w:val="24"/>
          <w:lang w:eastAsia="zh-CN"/>
        </w:rPr>
        <w:t>3．任何一方违反保密义务的，应向对方支付违约金人民币</w:t>
      </w:r>
      <w:r>
        <w:rPr>
          <w:rFonts w:hint="eastAsia" w:asciiTheme="minorEastAsia" w:hAnsiTheme="minorEastAsia" w:eastAsiaTheme="minorEastAsia"/>
          <w:sz w:val="24"/>
          <w:szCs w:val="24"/>
          <w:u w:val="single"/>
          <w:lang w:eastAsia="zh-CN"/>
        </w:rPr>
        <w:t xml:space="preserve"> 壹万</w:t>
      </w:r>
      <w:r>
        <w:rPr>
          <w:rFonts w:asciiTheme="minorEastAsia" w:hAnsiTheme="minorEastAsia" w:eastAsiaTheme="minorEastAsia"/>
          <w:sz w:val="24"/>
          <w:szCs w:val="24"/>
          <w:u w:val="single"/>
          <w:lang w:eastAsia="zh-CN"/>
        </w:rPr>
        <w:t xml:space="preserve"> </w:t>
      </w:r>
      <w:r>
        <w:rPr>
          <w:rStyle w:val="53"/>
          <w:rFonts w:hint="eastAsia" w:asciiTheme="minorEastAsia" w:hAnsiTheme="minorEastAsia" w:eastAsiaTheme="minorEastAsia"/>
          <w:sz w:val="24"/>
          <w:szCs w:val="24"/>
          <w:lang w:eastAsia="zh-CN"/>
        </w:rPr>
        <w:t>元；并赔偿由此给对方造成的损失。</w:t>
      </w:r>
    </w:p>
    <w:p>
      <w:pPr>
        <w:pStyle w:val="9"/>
        <w:rPr>
          <w:rStyle w:val="53"/>
          <w:rFonts w:asciiTheme="minorEastAsia" w:hAnsiTheme="minorEastAsia" w:eastAsiaTheme="minorEastAsia"/>
          <w:sz w:val="24"/>
          <w:szCs w:val="24"/>
          <w:lang w:eastAsia="zh-CN"/>
        </w:rPr>
      </w:pPr>
      <w:r>
        <w:rPr>
          <w:rStyle w:val="53"/>
          <w:rFonts w:hint="eastAsia" w:asciiTheme="minorEastAsia" w:hAnsiTheme="minorEastAsia" w:eastAsiaTheme="minorEastAsia"/>
          <w:sz w:val="24"/>
          <w:szCs w:val="24"/>
          <w:lang w:eastAsia="zh-CN"/>
        </w:rPr>
        <w:t>4、任何一方无正当理由单方解除合同的，应向对方支付合同总额</w:t>
      </w:r>
      <w:r>
        <w:rPr>
          <w:rStyle w:val="53"/>
          <w:rFonts w:hint="eastAsia" w:asciiTheme="minorEastAsia" w:hAnsiTheme="minorEastAsia" w:eastAsiaTheme="minorEastAsia"/>
          <w:sz w:val="24"/>
          <w:szCs w:val="24"/>
          <w:u w:val="single"/>
          <w:lang w:eastAsia="zh-CN"/>
        </w:rPr>
        <w:t>5%</w:t>
      </w:r>
      <w:r>
        <w:rPr>
          <w:rStyle w:val="53"/>
          <w:rFonts w:hint="eastAsia" w:asciiTheme="minorEastAsia" w:hAnsiTheme="minorEastAsia" w:eastAsiaTheme="minorEastAsia"/>
          <w:sz w:val="24"/>
          <w:szCs w:val="24"/>
          <w:lang w:eastAsia="zh-CN"/>
        </w:rPr>
        <w:t>的违约金，并赔偿对方的损失。</w:t>
      </w:r>
    </w:p>
    <w:p>
      <w:pPr>
        <w:pStyle w:val="9"/>
        <w:rPr>
          <w:rStyle w:val="53"/>
          <w:rFonts w:asciiTheme="minorEastAsia" w:hAnsiTheme="minorEastAsia" w:eastAsiaTheme="minorEastAsia"/>
          <w:sz w:val="24"/>
          <w:szCs w:val="24"/>
          <w:lang w:eastAsia="zh-CN"/>
        </w:rPr>
      </w:pPr>
      <w:r>
        <w:rPr>
          <w:rStyle w:val="53"/>
          <w:rFonts w:hint="eastAsia" w:asciiTheme="minorEastAsia" w:hAnsiTheme="minorEastAsia" w:eastAsiaTheme="minorEastAsia"/>
          <w:sz w:val="24"/>
          <w:szCs w:val="24"/>
          <w:lang w:eastAsia="zh-CN"/>
        </w:rPr>
        <w:t>5、若乙方在履行合同过程中存在弄虚作假的情形，甲方有权单方解除合同，乙方支付甲方合同总额</w:t>
      </w:r>
      <w:r>
        <w:rPr>
          <w:rStyle w:val="53"/>
          <w:rFonts w:hint="eastAsia" w:asciiTheme="minorEastAsia" w:hAnsiTheme="minorEastAsia" w:eastAsiaTheme="minorEastAsia"/>
          <w:sz w:val="24"/>
          <w:szCs w:val="24"/>
          <w:u w:val="single"/>
          <w:lang w:eastAsia="zh-CN"/>
        </w:rPr>
        <w:t>5%</w:t>
      </w:r>
      <w:r>
        <w:rPr>
          <w:rStyle w:val="53"/>
          <w:rFonts w:hint="eastAsia" w:asciiTheme="minorEastAsia" w:hAnsiTheme="minorEastAsia" w:eastAsiaTheme="minorEastAsia"/>
          <w:sz w:val="24"/>
          <w:szCs w:val="24"/>
          <w:lang w:eastAsia="zh-CN"/>
        </w:rPr>
        <w:t>的违约金。</w:t>
      </w:r>
    </w:p>
    <w:p>
      <w:pPr>
        <w:pStyle w:val="9"/>
        <w:rPr>
          <w:rStyle w:val="53"/>
          <w:rFonts w:asciiTheme="minorEastAsia" w:hAnsiTheme="minorEastAsia" w:eastAsiaTheme="minorEastAsia"/>
          <w:color w:val="000000"/>
          <w:sz w:val="24"/>
          <w:szCs w:val="24"/>
          <w:lang w:eastAsia="zh-CN"/>
        </w:rPr>
      </w:pPr>
      <w:r>
        <w:rPr>
          <w:rStyle w:val="53"/>
          <w:rFonts w:hint="eastAsia" w:asciiTheme="minorEastAsia" w:hAnsiTheme="minorEastAsia" w:eastAsiaTheme="minorEastAsia"/>
          <w:sz w:val="24"/>
          <w:szCs w:val="24"/>
          <w:lang w:eastAsia="zh-CN"/>
        </w:rPr>
        <w:t>6、乙方进入甲方现场服务期间，因不可归责于甲方的原因造成甲方、</w:t>
      </w:r>
      <w:r>
        <w:rPr>
          <w:rStyle w:val="53"/>
          <w:rFonts w:hint="eastAsia" w:asciiTheme="minorEastAsia" w:hAnsiTheme="minorEastAsia" w:eastAsiaTheme="minorEastAsia"/>
          <w:color w:val="000000"/>
          <w:sz w:val="24"/>
          <w:szCs w:val="24"/>
          <w:lang w:eastAsia="zh-CN"/>
        </w:rPr>
        <w:t>乙方或任何第三方人身财产损失的，由乙方承担全部责任。</w:t>
      </w:r>
    </w:p>
    <w:p>
      <w:pPr>
        <w:pStyle w:val="9"/>
        <w:rPr>
          <w:rFonts w:asciiTheme="minorEastAsia" w:hAnsiTheme="minorEastAsia" w:eastAsiaTheme="minorEastAsia"/>
          <w:sz w:val="24"/>
          <w:szCs w:val="24"/>
          <w:lang w:eastAsia="zh-CN"/>
        </w:rPr>
      </w:pPr>
      <w:r>
        <w:rPr>
          <w:rFonts w:hint="eastAsia" w:asciiTheme="minorEastAsia" w:hAnsiTheme="minorEastAsia" w:eastAsiaTheme="minorEastAsia"/>
          <w:b/>
          <w:sz w:val="24"/>
          <w:szCs w:val="24"/>
          <w:lang w:eastAsia="zh-CN"/>
        </w:rPr>
        <w:t>第十二条</w:t>
      </w:r>
      <w:r>
        <w:rPr>
          <w:rFonts w:hint="eastAsia" w:asciiTheme="minorEastAsia" w:hAnsiTheme="minorEastAsia" w:eastAsiaTheme="minorEastAsia"/>
          <w:sz w:val="24"/>
          <w:szCs w:val="24"/>
          <w:lang w:eastAsia="zh-CN"/>
        </w:rPr>
        <w:t xml:space="preserve"> 双方因履行本合同而发生的争议，可协商、调解解决，也可直接采取下列第</w:t>
      </w:r>
      <w:r>
        <w:rPr>
          <w:rFonts w:hint="eastAsia" w:asciiTheme="minorEastAsia" w:hAnsiTheme="minorEastAsia" w:eastAsiaTheme="minorEastAsia"/>
          <w:sz w:val="24"/>
          <w:szCs w:val="24"/>
          <w:u w:val="single"/>
          <w:lang w:eastAsia="zh-CN"/>
        </w:rPr>
        <w:t xml:space="preserve">  2</w:t>
      </w:r>
      <w:r>
        <w:rPr>
          <w:rFonts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种方式解决：</w:t>
      </w:r>
    </w:p>
    <w:p>
      <w:pPr>
        <w:pStyle w:val="9"/>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1．向</w:t>
      </w:r>
      <w:r>
        <w:rPr>
          <w:rFonts w:hint="eastAsia" w:asciiTheme="minorEastAsia" w:hAnsiTheme="minorEastAsia" w:eastAsiaTheme="minorEastAsia"/>
          <w:sz w:val="24"/>
          <w:szCs w:val="24"/>
          <w:u w:val="single"/>
          <w:lang w:eastAsia="zh-CN"/>
        </w:rPr>
        <w:t xml:space="preserve">    </w:t>
      </w:r>
      <w:r>
        <w:rPr>
          <w:rFonts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仲裁委员会申请仲裁；</w:t>
      </w:r>
    </w:p>
    <w:p>
      <w:pPr>
        <w:pStyle w:val="9"/>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2．向甲方所在地人民法院提起诉讼。</w:t>
      </w:r>
    </w:p>
    <w:p>
      <w:pPr>
        <w:pStyle w:val="9"/>
        <w:rPr>
          <w:rFonts w:asciiTheme="minorEastAsia" w:hAnsiTheme="minorEastAsia" w:eastAsiaTheme="minorEastAsia"/>
          <w:sz w:val="24"/>
          <w:szCs w:val="24"/>
          <w:lang w:eastAsia="zh-CN"/>
        </w:rPr>
      </w:pPr>
      <w:r>
        <w:rPr>
          <w:rFonts w:hint="eastAsia" w:asciiTheme="minorEastAsia" w:hAnsiTheme="minorEastAsia" w:eastAsiaTheme="minorEastAsia"/>
          <w:b/>
          <w:sz w:val="24"/>
          <w:szCs w:val="24"/>
          <w:lang w:eastAsia="zh-CN"/>
        </w:rPr>
        <w:t>第十三条</w:t>
      </w:r>
      <w:r>
        <w:rPr>
          <w:rFonts w:hint="eastAsia" w:asciiTheme="minorEastAsia" w:hAnsiTheme="minorEastAsia" w:eastAsiaTheme="minorEastAsia"/>
          <w:sz w:val="24"/>
          <w:szCs w:val="24"/>
          <w:lang w:eastAsia="zh-CN"/>
        </w:rPr>
        <w:t xml:space="preserve"> 其他</w:t>
      </w:r>
    </w:p>
    <w:p>
      <w:pPr>
        <w:pStyle w:val="9"/>
        <w:ind w:firstLine="480" w:firstLineChars="200"/>
        <w:rPr>
          <w:rStyle w:val="53"/>
          <w:rFonts w:asciiTheme="minorEastAsia" w:hAnsiTheme="minorEastAsia" w:eastAsiaTheme="minorEastAsia"/>
          <w:color w:val="000000"/>
          <w:sz w:val="24"/>
          <w:szCs w:val="24"/>
          <w:lang w:eastAsia="zh-CN"/>
        </w:rPr>
      </w:pPr>
      <w:r>
        <w:rPr>
          <w:rStyle w:val="53"/>
          <w:rFonts w:hint="eastAsia" w:asciiTheme="minorEastAsia" w:hAnsiTheme="minorEastAsia" w:eastAsiaTheme="minorEastAsia"/>
          <w:color w:val="000000"/>
          <w:sz w:val="24"/>
          <w:szCs w:val="24"/>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9"/>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乙方提交的试验报告及其所包含的技术成果的所有权归甲方所有，甲方在此基础上可以进行技术创新和改进并对创新和改进的结果享有知识产权。乙方不得自用或将试验报告提供给第三方使用，如有违反按照泄密处理。</w:t>
      </w:r>
    </w:p>
    <w:p>
      <w:pPr>
        <w:pStyle w:val="9"/>
        <w:rPr>
          <w:rFonts w:asciiTheme="minorEastAsia" w:hAnsiTheme="minorEastAsia" w:eastAsiaTheme="minorEastAsia"/>
          <w:sz w:val="24"/>
          <w:szCs w:val="24"/>
          <w:lang w:eastAsia="zh-CN"/>
        </w:rPr>
      </w:pPr>
      <w:r>
        <w:rPr>
          <w:rFonts w:hint="eastAsia" w:asciiTheme="minorEastAsia" w:hAnsiTheme="minorEastAsia" w:eastAsiaTheme="minorEastAsia"/>
          <w:b/>
          <w:sz w:val="24"/>
          <w:szCs w:val="24"/>
          <w:lang w:eastAsia="zh-CN"/>
        </w:rPr>
        <w:t>第十四条</w:t>
      </w:r>
      <w:r>
        <w:rPr>
          <w:rFonts w:hint="eastAsia" w:asciiTheme="minorEastAsia" w:hAnsiTheme="minorEastAsia" w:eastAsiaTheme="minorEastAsia"/>
          <w:sz w:val="24"/>
          <w:szCs w:val="24"/>
          <w:lang w:eastAsia="zh-CN"/>
        </w:rPr>
        <w:t xml:space="preserve"> 本合同经双方盖章后生效。本合同一式</w:t>
      </w:r>
      <w:r>
        <w:rPr>
          <w:rFonts w:hint="eastAsia" w:asciiTheme="minorEastAsia" w:hAnsiTheme="minorEastAsia" w:eastAsiaTheme="minorEastAsia"/>
          <w:sz w:val="24"/>
          <w:szCs w:val="24"/>
          <w:u w:val="single"/>
          <w:lang w:eastAsia="zh-CN"/>
        </w:rPr>
        <w:t xml:space="preserve"> 陆</w:t>
      </w:r>
      <w:r>
        <w:rPr>
          <w:rFonts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份，甲方执</w:t>
      </w:r>
      <w:r>
        <w:rPr>
          <w:rFonts w:hint="eastAsia" w:asciiTheme="minorEastAsia" w:hAnsiTheme="minorEastAsia" w:eastAsiaTheme="minorEastAsia"/>
          <w:sz w:val="24"/>
          <w:szCs w:val="24"/>
          <w:u w:val="single"/>
          <w:lang w:eastAsia="zh-CN"/>
        </w:rPr>
        <w:t xml:space="preserve"> 肆</w:t>
      </w:r>
      <w:r>
        <w:rPr>
          <w:rFonts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份，乙方执</w:t>
      </w:r>
      <w:r>
        <w:rPr>
          <w:rFonts w:hint="eastAsia" w:asciiTheme="minorEastAsia" w:hAnsiTheme="minorEastAsia" w:eastAsiaTheme="minorEastAsia"/>
          <w:sz w:val="24"/>
          <w:szCs w:val="24"/>
          <w:u w:val="single"/>
          <w:lang w:eastAsia="zh-CN"/>
        </w:rPr>
        <w:t xml:space="preserve"> 贰</w:t>
      </w:r>
      <w:r>
        <w:rPr>
          <w:rFonts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份，具有同等法律效力。</w:t>
      </w:r>
    </w:p>
    <w:p>
      <w:pPr>
        <w:tabs>
          <w:tab w:val="left" w:pos="2010"/>
        </w:tabs>
        <w:spacing w:line="520" w:lineRule="exact"/>
        <w:rPr>
          <w:sz w:val="24"/>
          <w:lang w:eastAsia="zh-CN"/>
        </w:rPr>
      </w:pPr>
      <w:r>
        <w:rPr>
          <w:rFonts w:hint="eastAsia"/>
          <w:b/>
          <w:sz w:val="24"/>
          <w:lang w:eastAsia="zh-CN"/>
        </w:rPr>
        <w:t>第十五条</w:t>
      </w:r>
      <w:r>
        <w:rPr>
          <w:rFonts w:hint="eastAsia"/>
          <w:sz w:val="24"/>
          <w:lang w:eastAsia="zh-CN"/>
        </w:rPr>
        <w:t xml:space="preserve"> .附件及双方往来的有效书面文件与合同共同具备法律效力。</w:t>
      </w:r>
    </w:p>
    <w:p>
      <w:pPr>
        <w:tabs>
          <w:tab w:val="left" w:pos="2010"/>
        </w:tabs>
        <w:spacing w:line="520" w:lineRule="exact"/>
        <w:ind w:firstLine="360" w:firstLineChars="150"/>
        <w:rPr>
          <w:sz w:val="24"/>
          <w:lang w:eastAsia="zh-CN"/>
        </w:rPr>
      </w:pPr>
      <w:r>
        <w:rPr>
          <w:rFonts w:hint="eastAsia"/>
          <w:sz w:val="24"/>
          <w:lang w:eastAsia="zh-CN"/>
        </w:rPr>
        <w:t>本合同未尽事宜，如需更改经双方协商后可另签补充协议。</w:t>
      </w:r>
    </w:p>
    <w:p>
      <w:pPr>
        <w:tabs>
          <w:tab w:val="left" w:pos="2010"/>
        </w:tabs>
        <w:rPr>
          <w:sz w:val="24"/>
          <w:szCs w:val="24"/>
          <w:lang w:eastAsia="zh-CN"/>
        </w:rPr>
      </w:pPr>
      <w:r>
        <w:rPr>
          <w:rFonts w:hint="eastAsia"/>
          <w:sz w:val="24"/>
          <w:lang w:eastAsia="zh-CN"/>
        </w:rPr>
        <w:t>附件1、</w:t>
      </w:r>
      <w:r>
        <w:rPr>
          <w:rFonts w:hint="eastAsia"/>
          <w:sz w:val="24"/>
          <w:szCs w:val="24"/>
          <w:lang w:eastAsia="zh-CN"/>
        </w:rPr>
        <w:t>技术规范书</w:t>
      </w:r>
    </w:p>
    <w:p>
      <w:pPr>
        <w:tabs>
          <w:tab w:val="left" w:pos="2010"/>
        </w:tabs>
        <w:rPr>
          <w:sz w:val="24"/>
          <w:lang w:eastAsia="zh-CN"/>
        </w:rPr>
      </w:pPr>
      <w:r>
        <w:rPr>
          <w:rFonts w:hint="eastAsia"/>
          <w:sz w:val="24"/>
          <w:lang w:eastAsia="zh-CN"/>
        </w:rPr>
        <w:t>附件2、价格清单</w:t>
      </w:r>
    </w:p>
    <w:p>
      <w:pPr>
        <w:tabs>
          <w:tab w:val="left" w:pos="2010"/>
        </w:tabs>
        <w:rPr>
          <w:sz w:val="24"/>
          <w:lang w:eastAsia="zh-CN"/>
        </w:rPr>
      </w:pPr>
      <w:r>
        <w:rPr>
          <w:rFonts w:hint="eastAsia"/>
          <w:sz w:val="24"/>
          <w:lang w:eastAsia="zh-CN"/>
        </w:rPr>
        <w:t>附件3、安全环保协议</w:t>
      </w:r>
    </w:p>
    <w:p>
      <w:pPr>
        <w:tabs>
          <w:tab w:val="left" w:pos="2010"/>
        </w:tabs>
        <w:rPr>
          <w:rFonts w:cs="Arial"/>
          <w:sz w:val="24"/>
          <w:lang w:eastAsia="zh-CN"/>
        </w:rPr>
      </w:pPr>
      <w:r>
        <w:rPr>
          <w:rFonts w:hint="eastAsia" w:cs="Arial"/>
          <w:sz w:val="24"/>
          <w:lang w:eastAsia="zh-CN"/>
        </w:rPr>
        <w:t>附件4、</w:t>
      </w:r>
      <w:r>
        <w:rPr>
          <w:rFonts w:hint="eastAsia"/>
          <w:snapToGrid w:val="0"/>
          <w:sz w:val="24"/>
          <w:szCs w:val="24"/>
          <w:lang w:eastAsia="zh-CN"/>
        </w:rPr>
        <w:t>建设项目廉洁从业承诺书</w:t>
      </w:r>
    </w:p>
    <w:p>
      <w:pPr>
        <w:tabs>
          <w:tab w:val="left" w:pos="2010"/>
        </w:tabs>
        <w:ind w:firstLine="964" w:firstLineChars="400"/>
        <w:rPr>
          <w:sz w:val="24"/>
          <w:lang w:eastAsia="zh-CN"/>
        </w:rPr>
      </w:pPr>
      <w:r>
        <w:rPr>
          <w:rFonts w:hint="eastAsia" w:cs="Arial"/>
          <w:b/>
          <w:sz w:val="24"/>
          <w:lang w:eastAsia="zh-CN"/>
        </w:rPr>
        <w:t>（以下为签署栏，无正文）</w:t>
      </w:r>
    </w:p>
    <w:p>
      <w:pPr>
        <w:ind w:right="-147" w:rightChars="-67"/>
        <w:rPr>
          <w:rFonts w:cs="Arial"/>
          <w:b/>
          <w:sz w:val="24"/>
          <w:lang w:eastAsia="zh-CN"/>
        </w:rPr>
      </w:pPr>
      <w:r>
        <w:rPr>
          <w:rFonts w:hint="eastAsia" w:cs="Arial"/>
          <w:b/>
          <w:sz w:val="24"/>
          <w:lang w:eastAsia="zh-CN"/>
        </w:rPr>
        <w:t>甲方</w:t>
      </w:r>
      <w:r>
        <w:rPr>
          <w:rFonts w:cs="Arial"/>
          <w:b/>
          <w:sz w:val="24"/>
          <w:lang w:eastAsia="zh-CN"/>
        </w:rPr>
        <w:t>：</w:t>
      </w:r>
      <w:r>
        <w:rPr>
          <w:rFonts w:hint="eastAsia" w:cs="Arial"/>
          <w:b/>
          <w:sz w:val="24"/>
          <w:lang w:eastAsia="zh-CN"/>
        </w:rPr>
        <w:t xml:space="preserve">                                    乙方：</w:t>
      </w:r>
      <w:r>
        <w:rPr>
          <w:rFonts w:cs="Arial"/>
          <w:b/>
          <w:sz w:val="24"/>
          <w:lang w:eastAsia="zh-CN"/>
        </w:rPr>
        <w:t xml:space="preserve"> </w:t>
      </w:r>
    </w:p>
    <w:p>
      <w:pPr>
        <w:ind w:right="-147" w:rightChars="-67"/>
        <w:rPr>
          <w:b/>
          <w:sz w:val="24"/>
          <w:lang w:eastAsia="zh-CN"/>
        </w:rPr>
      </w:pPr>
      <w:r>
        <w:rPr>
          <w:rFonts w:hint="eastAsia"/>
          <w:b/>
          <w:spacing w:val="20"/>
          <w:sz w:val="24"/>
          <w:lang w:eastAsia="zh-CN"/>
        </w:rPr>
        <w:t xml:space="preserve">腾龙芳烃（漳州）有限公司          </w:t>
      </w:r>
    </w:p>
    <w:p>
      <w:pPr>
        <w:ind w:right="-147" w:rightChars="-67"/>
        <w:rPr>
          <w:szCs w:val="21"/>
          <w:lang w:eastAsia="zh-CN"/>
        </w:rPr>
      </w:pPr>
      <w:r>
        <w:rPr>
          <w:rFonts w:cs="Arial"/>
          <w:b/>
          <w:sz w:val="24"/>
          <w:lang w:eastAsia="zh-CN"/>
        </w:rPr>
        <w:br w:type="textWrapping"/>
      </w:r>
      <w:r>
        <w:rPr>
          <w:rFonts w:hint="eastAsia"/>
          <w:szCs w:val="21"/>
          <w:lang w:eastAsia="zh-CN"/>
        </w:rPr>
        <w:t>地</w:t>
      </w:r>
      <w:r>
        <w:rPr>
          <w:szCs w:val="21"/>
          <w:lang w:eastAsia="zh-CN"/>
        </w:rPr>
        <w:t xml:space="preserve">  </w:t>
      </w:r>
      <w:r>
        <w:rPr>
          <w:rFonts w:hint="eastAsia"/>
          <w:szCs w:val="21"/>
          <w:lang w:eastAsia="zh-CN"/>
        </w:rPr>
        <w:t>址：</w:t>
      </w:r>
      <w:r>
        <w:rPr>
          <w:rFonts w:hint="eastAsia" w:hAnsi="Courier New" w:cs="Courier New"/>
          <w:szCs w:val="21"/>
          <w:lang w:eastAsia="zh-CN"/>
        </w:rPr>
        <w:t>福建省漳州市古雷港经济开发区</w:t>
      </w:r>
      <w:r>
        <w:rPr>
          <w:rFonts w:hint="eastAsia"/>
          <w:szCs w:val="21"/>
          <w:lang w:eastAsia="zh-CN"/>
        </w:rPr>
        <w:t xml:space="preserve">          地</w:t>
      </w:r>
      <w:r>
        <w:rPr>
          <w:szCs w:val="21"/>
          <w:lang w:eastAsia="zh-CN"/>
        </w:rPr>
        <w:t xml:space="preserve"> </w:t>
      </w:r>
      <w:r>
        <w:rPr>
          <w:rFonts w:hint="eastAsia"/>
          <w:szCs w:val="21"/>
          <w:lang w:eastAsia="zh-CN"/>
        </w:rPr>
        <w:t xml:space="preserve"> 址：</w:t>
      </w:r>
    </w:p>
    <w:p>
      <w:pPr>
        <w:ind w:right="-147" w:rightChars="-67"/>
        <w:rPr>
          <w:szCs w:val="21"/>
          <w:lang w:eastAsia="zh-CN"/>
        </w:rPr>
      </w:pPr>
      <w:r>
        <w:rPr>
          <w:rFonts w:hint="eastAsia"/>
          <w:szCs w:val="21"/>
          <w:lang w:eastAsia="zh-CN"/>
        </w:rPr>
        <w:t xml:space="preserve">          </w:t>
      </w:r>
      <w:r>
        <w:rPr>
          <w:szCs w:val="21"/>
          <w:lang w:eastAsia="zh-CN"/>
        </w:rPr>
        <w:t xml:space="preserve"> </w:t>
      </w:r>
      <w:r>
        <w:rPr>
          <w:rFonts w:hint="eastAsia" w:hAnsi="Courier New" w:cs="Courier New"/>
          <w:szCs w:val="21"/>
          <w:lang w:eastAsia="zh-CN"/>
        </w:rPr>
        <w:t>腾龙路84号</w:t>
      </w:r>
    </w:p>
    <w:p>
      <w:pPr>
        <w:ind w:left="1038" w:right="-147" w:rightChars="-67" w:hanging="1038" w:hangingChars="472"/>
        <w:rPr>
          <w:szCs w:val="21"/>
          <w:lang w:eastAsia="zh-CN"/>
        </w:rPr>
      </w:pPr>
      <w:r>
        <w:rPr>
          <w:rFonts w:hint="eastAsia"/>
          <w:szCs w:val="21"/>
          <w:lang w:eastAsia="zh-CN"/>
        </w:rPr>
        <w:t xml:space="preserve">开户行：兴业银行漳州古雷支行                 开户行：                                </w:t>
      </w:r>
    </w:p>
    <w:p>
      <w:pPr>
        <w:ind w:right="-147" w:rightChars="-67"/>
        <w:rPr>
          <w:szCs w:val="21"/>
          <w:lang w:eastAsia="zh-CN"/>
        </w:rPr>
      </w:pPr>
      <w:r>
        <w:rPr>
          <w:rFonts w:hint="eastAsia"/>
          <w:szCs w:val="21"/>
          <w:lang w:eastAsia="zh-CN"/>
        </w:rPr>
        <w:t>帐</w:t>
      </w:r>
      <w:r>
        <w:rPr>
          <w:szCs w:val="21"/>
          <w:lang w:eastAsia="zh-CN"/>
        </w:rPr>
        <w:t xml:space="preserve">  </w:t>
      </w:r>
      <w:r>
        <w:rPr>
          <w:rFonts w:hint="eastAsia"/>
          <w:szCs w:val="21"/>
          <w:lang w:eastAsia="zh-CN"/>
        </w:rPr>
        <w:t>号： 162070100100021071                    帐</w:t>
      </w:r>
      <w:r>
        <w:rPr>
          <w:szCs w:val="21"/>
          <w:lang w:eastAsia="zh-CN"/>
        </w:rPr>
        <w:t xml:space="preserve">  </w:t>
      </w:r>
      <w:r>
        <w:rPr>
          <w:rFonts w:hint="eastAsia"/>
          <w:szCs w:val="21"/>
          <w:lang w:eastAsia="zh-CN"/>
        </w:rPr>
        <w:t xml:space="preserve">号： </w:t>
      </w:r>
    </w:p>
    <w:p>
      <w:pPr>
        <w:ind w:right="-147" w:rightChars="-67"/>
        <w:rPr>
          <w:lang w:eastAsia="zh-CN"/>
        </w:rPr>
      </w:pPr>
      <w:r>
        <w:rPr>
          <w:rFonts w:hint="eastAsia"/>
          <w:szCs w:val="21"/>
          <w:lang w:eastAsia="zh-CN"/>
        </w:rPr>
        <w:t>税</w:t>
      </w:r>
      <w:r>
        <w:rPr>
          <w:szCs w:val="21"/>
          <w:lang w:eastAsia="zh-CN"/>
        </w:rPr>
        <w:t xml:space="preserve">  </w:t>
      </w:r>
      <w:r>
        <w:rPr>
          <w:rFonts w:hint="eastAsia"/>
          <w:szCs w:val="21"/>
          <w:lang w:eastAsia="zh-CN"/>
        </w:rPr>
        <w:t>号： 91350600717866709A</w:t>
      </w:r>
      <w:r>
        <w:rPr>
          <w:rFonts w:hint="eastAsia"/>
          <w:lang w:eastAsia="zh-CN"/>
        </w:rPr>
        <w:t xml:space="preserve"> </w:t>
      </w:r>
      <w:r>
        <w:rPr>
          <w:rFonts w:hint="eastAsia"/>
          <w:szCs w:val="21"/>
          <w:lang w:eastAsia="zh-CN"/>
        </w:rPr>
        <w:t xml:space="preserve">                  税</w:t>
      </w:r>
      <w:r>
        <w:rPr>
          <w:szCs w:val="21"/>
          <w:lang w:eastAsia="zh-CN"/>
        </w:rPr>
        <w:t xml:space="preserve"> </w:t>
      </w:r>
      <w:r>
        <w:rPr>
          <w:rFonts w:hint="eastAsia"/>
          <w:szCs w:val="21"/>
          <w:lang w:eastAsia="zh-CN"/>
        </w:rPr>
        <w:t xml:space="preserve"> 号： </w:t>
      </w:r>
    </w:p>
    <w:p>
      <w:pPr>
        <w:ind w:right="-147" w:rightChars="-67"/>
        <w:rPr>
          <w:szCs w:val="21"/>
          <w:lang w:eastAsia="zh-CN"/>
        </w:rPr>
      </w:pPr>
      <w:r>
        <w:rPr>
          <w:rFonts w:hint="eastAsia"/>
          <w:szCs w:val="21"/>
          <w:lang w:eastAsia="zh-CN"/>
        </w:rPr>
        <w:t>电</w:t>
      </w:r>
      <w:r>
        <w:rPr>
          <w:szCs w:val="21"/>
          <w:lang w:eastAsia="zh-CN"/>
        </w:rPr>
        <w:t xml:space="preserve">  </w:t>
      </w:r>
      <w:r>
        <w:rPr>
          <w:rFonts w:hint="eastAsia"/>
          <w:szCs w:val="21"/>
          <w:lang w:eastAsia="zh-CN"/>
        </w:rPr>
        <w:t>话：  0596-6311083                        电</w:t>
      </w:r>
      <w:r>
        <w:rPr>
          <w:szCs w:val="21"/>
          <w:lang w:eastAsia="zh-CN"/>
        </w:rPr>
        <w:t xml:space="preserve">  </w:t>
      </w:r>
      <w:r>
        <w:rPr>
          <w:rFonts w:hint="eastAsia"/>
          <w:szCs w:val="21"/>
          <w:lang w:eastAsia="zh-CN"/>
        </w:rPr>
        <w:t>话：</w:t>
      </w:r>
      <w:r>
        <w:rPr>
          <w:rFonts w:hint="eastAsia"/>
          <w:bCs/>
          <w:szCs w:val="21"/>
          <w:lang w:eastAsia="zh-CN"/>
        </w:rPr>
        <w:t xml:space="preserve"> </w:t>
      </w:r>
    </w:p>
    <w:p>
      <w:pPr>
        <w:pStyle w:val="2"/>
        <w:rPr>
          <w:b/>
          <w:sz w:val="28"/>
          <w:szCs w:val="28"/>
        </w:rPr>
      </w:pPr>
    </w:p>
    <w:p>
      <w:pPr>
        <w:pStyle w:val="2"/>
      </w:pPr>
    </w:p>
    <w:p>
      <w:pPr>
        <w:pStyle w:val="2"/>
      </w:pPr>
    </w:p>
    <w:p>
      <w:pPr>
        <w:pStyle w:val="2"/>
        <w:rPr>
          <w:b/>
          <w:sz w:val="28"/>
          <w:szCs w:val="28"/>
        </w:rPr>
      </w:pPr>
      <w:r>
        <w:rPr>
          <w:rFonts w:hint="eastAsia"/>
          <w:b/>
          <w:sz w:val="28"/>
          <w:szCs w:val="28"/>
        </w:rPr>
        <w:t>附件1：</w:t>
      </w:r>
    </w:p>
    <w:p>
      <w:pPr>
        <w:jc w:val="center"/>
        <w:rPr>
          <w:b/>
          <w:sz w:val="36"/>
          <w:szCs w:val="36"/>
          <w:lang w:eastAsia="zh-CN"/>
        </w:rPr>
      </w:pPr>
      <w:r>
        <w:rPr>
          <w:rFonts w:hint="eastAsia"/>
          <w:b/>
          <w:sz w:val="36"/>
          <w:szCs w:val="36"/>
          <w:lang w:eastAsia="zh-CN"/>
        </w:rPr>
        <w:t>福建福海创石油化工有限公司</w:t>
      </w:r>
    </w:p>
    <w:p>
      <w:pPr>
        <w:jc w:val="center"/>
        <w:rPr>
          <w:b/>
          <w:sz w:val="36"/>
          <w:szCs w:val="36"/>
          <w:lang w:eastAsia="zh-CN"/>
        </w:rPr>
      </w:pPr>
    </w:p>
    <w:p>
      <w:pPr>
        <w:jc w:val="center"/>
        <w:rPr>
          <w:b/>
          <w:sz w:val="36"/>
          <w:szCs w:val="36"/>
          <w:lang w:eastAsia="zh-CN"/>
        </w:rPr>
      </w:pPr>
      <w:r>
        <w:rPr>
          <w:rFonts w:hint="eastAsia"/>
          <w:b/>
          <w:sz w:val="36"/>
          <w:szCs w:val="36"/>
          <w:lang w:eastAsia="zh-CN"/>
        </w:rPr>
        <w:t>南部热源点一期工程可研阶段</w:t>
      </w:r>
    </w:p>
    <w:p>
      <w:pPr>
        <w:jc w:val="center"/>
        <w:rPr>
          <w:b/>
          <w:sz w:val="52"/>
          <w:szCs w:val="52"/>
          <w:lang w:eastAsia="zh-CN"/>
        </w:rPr>
      </w:pPr>
    </w:p>
    <w:p>
      <w:pPr>
        <w:jc w:val="center"/>
        <w:rPr>
          <w:b/>
          <w:sz w:val="52"/>
          <w:szCs w:val="52"/>
        </w:rPr>
      </w:pPr>
      <w:r>
        <w:rPr>
          <w:rFonts w:hint="eastAsia"/>
          <w:b/>
          <w:sz w:val="52"/>
          <w:szCs w:val="52"/>
        </w:rPr>
        <w:t>技术规范书</w:t>
      </w:r>
    </w:p>
    <w:p/>
    <w:p/>
    <w:p/>
    <w:p/>
    <w:p/>
    <w:p>
      <w:pPr>
        <w:jc w:val="center"/>
        <w:rPr>
          <w:b/>
          <w:sz w:val="32"/>
        </w:rPr>
      </w:pPr>
    </w:p>
    <w:p>
      <w:pPr>
        <w:jc w:val="center"/>
        <w:rPr>
          <w:b/>
          <w:sz w:val="32"/>
        </w:rPr>
      </w:pPr>
    </w:p>
    <w:p>
      <w:pPr>
        <w:jc w:val="center"/>
        <w:rPr>
          <w:b/>
          <w:sz w:val="32"/>
        </w:rPr>
      </w:pPr>
    </w:p>
    <w:p>
      <w:pPr>
        <w:jc w:val="center"/>
        <w:rPr>
          <w:b/>
          <w:sz w:val="32"/>
        </w:rPr>
      </w:pPr>
    </w:p>
    <w:p>
      <w:pPr>
        <w:jc w:val="center"/>
        <w:rPr>
          <w:b/>
          <w:sz w:val="32"/>
          <w:lang w:eastAsia="zh-CN"/>
        </w:rPr>
      </w:pPr>
    </w:p>
    <w:p>
      <w:pPr>
        <w:pStyle w:val="2"/>
      </w:pPr>
    </w:p>
    <w:p>
      <w:pPr>
        <w:pStyle w:val="2"/>
      </w:pPr>
    </w:p>
    <w:p>
      <w:pPr>
        <w:pStyle w:val="2"/>
      </w:pPr>
    </w:p>
    <w:p>
      <w:pPr>
        <w:pStyle w:val="2"/>
      </w:pPr>
    </w:p>
    <w:p>
      <w:pPr>
        <w:jc w:val="center"/>
        <w:rPr>
          <w:b/>
          <w:sz w:val="32"/>
        </w:rPr>
      </w:pPr>
    </w:p>
    <w:p>
      <w:pPr>
        <w:jc w:val="center"/>
        <w:rPr>
          <w:b/>
          <w:sz w:val="32"/>
        </w:rPr>
      </w:pPr>
      <w:r>
        <w:rPr>
          <w:rFonts w:hint="eastAsia"/>
          <w:b/>
          <w:sz w:val="32"/>
        </w:rPr>
        <w:t>2021年0</w:t>
      </w:r>
      <w:r>
        <w:rPr>
          <w:rFonts w:hint="eastAsia"/>
          <w:b/>
          <w:sz w:val="32"/>
          <w:lang w:eastAsia="zh-CN"/>
        </w:rPr>
        <w:t>4</w:t>
      </w:r>
      <w:r>
        <w:rPr>
          <w:rFonts w:hint="eastAsia"/>
          <w:b/>
          <w:sz w:val="32"/>
        </w:rPr>
        <w:t>月</w:t>
      </w:r>
    </w:p>
    <w:p>
      <w:pPr>
        <w:jc w:val="center"/>
        <w:rPr>
          <w:b/>
          <w:sz w:val="32"/>
        </w:rPr>
      </w:pPr>
    </w:p>
    <w:p>
      <w:pPr>
        <w:pStyle w:val="3"/>
        <w:keepNext/>
        <w:keepLines/>
        <w:numPr>
          <w:ilvl w:val="0"/>
          <w:numId w:val="2"/>
        </w:numPr>
        <w:autoSpaceDE/>
        <w:autoSpaceDN/>
        <w:jc w:val="both"/>
        <w:rPr>
          <w:sz w:val="32"/>
          <w:szCs w:val="32"/>
        </w:rPr>
      </w:pPr>
      <w:r>
        <w:rPr>
          <w:rFonts w:hint="eastAsia"/>
          <w:sz w:val="32"/>
          <w:szCs w:val="32"/>
        </w:rPr>
        <w:t>总则</w:t>
      </w:r>
    </w:p>
    <w:p>
      <w:pPr>
        <w:rPr>
          <w:sz w:val="24"/>
          <w:szCs w:val="24"/>
          <w:lang w:eastAsia="zh-CN"/>
        </w:rPr>
      </w:pPr>
      <w:r>
        <w:rPr>
          <w:rFonts w:hint="eastAsia"/>
          <w:sz w:val="24"/>
          <w:szCs w:val="24"/>
          <w:lang w:eastAsia="zh-CN"/>
        </w:rPr>
        <w:t xml:space="preserve">1. </w:t>
      </w:r>
      <w:r>
        <w:rPr>
          <w:rFonts w:hint="eastAsia" w:asciiTheme="minorEastAsia" w:hAnsiTheme="minorEastAsia"/>
          <w:sz w:val="24"/>
          <w:szCs w:val="24"/>
          <w:lang w:eastAsia="zh-CN"/>
        </w:rPr>
        <w:t>本文件适用于福建福海创石油化工有限公司</w:t>
      </w:r>
      <w:bookmarkStart w:id="10" w:name="_Toc164177375"/>
      <w:bookmarkStart w:id="11" w:name="_Toc268274670"/>
      <w:bookmarkStart w:id="12" w:name="_Toc164179622"/>
      <w:r>
        <w:rPr>
          <w:rFonts w:hint="eastAsia" w:asciiTheme="minorEastAsia" w:hAnsiTheme="minorEastAsia"/>
          <w:sz w:val="24"/>
          <w:szCs w:val="24"/>
          <w:lang w:eastAsia="zh-CN"/>
        </w:rPr>
        <w:t>南部热源点一期工程可研阶段</w:t>
      </w:r>
      <w:r>
        <w:rPr>
          <w:rFonts w:asciiTheme="minorEastAsia" w:hAnsiTheme="minorEastAsia"/>
          <w:sz w:val="24"/>
          <w:szCs w:val="24"/>
          <w:lang w:eastAsia="zh-CN"/>
        </w:rPr>
        <w:t>。本次招标范围为</w:t>
      </w:r>
      <w:bookmarkEnd w:id="10"/>
      <w:bookmarkEnd w:id="11"/>
      <w:bookmarkEnd w:id="12"/>
      <w:r>
        <w:rPr>
          <w:rFonts w:hint="eastAsia" w:asciiTheme="minorEastAsia" w:hAnsiTheme="minorEastAsia"/>
          <w:sz w:val="24"/>
          <w:szCs w:val="24"/>
          <w:lang w:eastAsia="zh-CN"/>
        </w:rPr>
        <w:t>南部热源点一期工程可行性研究及项目申请报告编写服务。</w:t>
      </w:r>
    </w:p>
    <w:p>
      <w:pPr>
        <w:rPr>
          <w:sz w:val="24"/>
          <w:szCs w:val="24"/>
          <w:lang w:eastAsia="zh-CN"/>
        </w:rPr>
      </w:pPr>
      <w:bookmarkStart w:id="13" w:name="_Toc164177376"/>
      <w:bookmarkStart w:id="14" w:name="_Toc164179623"/>
      <w:bookmarkStart w:id="15" w:name="_Toc268274671"/>
      <w:r>
        <w:rPr>
          <w:rFonts w:hint="eastAsia"/>
          <w:sz w:val="24"/>
          <w:szCs w:val="24"/>
          <w:lang w:eastAsia="zh-CN"/>
        </w:rPr>
        <w:t xml:space="preserve">2. </w:t>
      </w:r>
      <w:r>
        <w:rPr>
          <w:sz w:val="24"/>
          <w:szCs w:val="24"/>
          <w:lang w:eastAsia="zh-CN"/>
        </w:rPr>
        <w:t>投标方</w:t>
      </w:r>
      <w:r>
        <w:rPr>
          <w:rFonts w:hint="eastAsia"/>
          <w:sz w:val="24"/>
          <w:szCs w:val="24"/>
          <w:lang w:eastAsia="zh-CN"/>
        </w:rPr>
        <w:t>需针对本工程的建设条件和热负荷情况进行充分的分析和论证，提出建设设想及建设方案，并进行工程的投资估算及经济效益分析、风险分析等</w:t>
      </w:r>
      <w:r>
        <w:rPr>
          <w:sz w:val="24"/>
          <w:szCs w:val="24"/>
          <w:lang w:eastAsia="zh-CN"/>
        </w:rPr>
        <w:t>。</w:t>
      </w:r>
      <w:bookmarkEnd w:id="13"/>
      <w:bookmarkEnd w:id="14"/>
      <w:bookmarkEnd w:id="15"/>
    </w:p>
    <w:p>
      <w:pPr>
        <w:rPr>
          <w:sz w:val="24"/>
          <w:szCs w:val="24"/>
          <w:lang w:eastAsia="zh-CN"/>
        </w:rPr>
      </w:pPr>
      <w:bookmarkStart w:id="16" w:name="_Toc164177377"/>
      <w:bookmarkStart w:id="17" w:name="_Toc164179624"/>
      <w:bookmarkStart w:id="18" w:name="_Toc268274672"/>
      <w:r>
        <w:rPr>
          <w:rFonts w:hint="eastAsia"/>
          <w:sz w:val="24"/>
          <w:szCs w:val="24"/>
          <w:lang w:eastAsia="zh-CN"/>
        </w:rPr>
        <w:t xml:space="preserve">3. </w:t>
      </w:r>
      <w:r>
        <w:rPr>
          <w:sz w:val="24"/>
          <w:szCs w:val="24"/>
          <w:lang w:eastAsia="zh-CN"/>
        </w:rPr>
        <w:t>本规范书对投标方首要条件是其</w:t>
      </w:r>
      <w:r>
        <w:rPr>
          <w:rFonts w:hint="eastAsia"/>
          <w:sz w:val="24"/>
          <w:szCs w:val="24"/>
          <w:lang w:eastAsia="zh-CN"/>
        </w:rPr>
        <w:t>具有石化行业或电力系统相关业绩</w:t>
      </w:r>
      <w:r>
        <w:rPr>
          <w:sz w:val="24"/>
          <w:szCs w:val="24"/>
          <w:lang w:eastAsia="zh-CN"/>
        </w:rPr>
        <w:t>并成功运行</w:t>
      </w:r>
      <w:r>
        <w:rPr>
          <w:rFonts w:hint="eastAsia"/>
          <w:sz w:val="24"/>
          <w:szCs w:val="24"/>
          <w:lang w:eastAsia="zh-CN"/>
        </w:rPr>
        <w:t>三</w:t>
      </w:r>
      <w:r>
        <w:rPr>
          <w:sz w:val="24"/>
          <w:szCs w:val="24"/>
          <w:lang w:eastAsia="zh-CN"/>
        </w:rPr>
        <w:t>年</w:t>
      </w:r>
      <w:r>
        <w:rPr>
          <w:rFonts w:hint="eastAsia"/>
          <w:sz w:val="24"/>
          <w:szCs w:val="24"/>
          <w:lang w:eastAsia="zh-CN"/>
        </w:rPr>
        <w:t>以上</w:t>
      </w:r>
      <w:r>
        <w:rPr>
          <w:sz w:val="24"/>
          <w:szCs w:val="24"/>
          <w:lang w:eastAsia="zh-CN"/>
        </w:rPr>
        <w:t>，</w:t>
      </w:r>
      <w:r>
        <w:rPr>
          <w:rFonts w:hint="eastAsia"/>
          <w:sz w:val="24"/>
          <w:szCs w:val="24"/>
          <w:lang w:eastAsia="zh-CN"/>
        </w:rPr>
        <w:t>有母管制热电厂设计经验，且在福建省内有成功运行的经验，</w:t>
      </w:r>
      <w:r>
        <w:rPr>
          <w:sz w:val="24"/>
          <w:szCs w:val="24"/>
          <w:lang w:eastAsia="zh-CN"/>
        </w:rPr>
        <w:t>以证明</w:t>
      </w:r>
      <w:r>
        <w:rPr>
          <w:rFonts w:hint="eastAsia"/>
          <w:sz w:val="24"/>
          <w:szCs w:val="24"/>
          <w:lang w:eastAsia="zh-CN"/>
        </w:rPr>
        <w:t>其设计方案</w:t>
      </w:r>
      <w:r>
        <w:rPr>
          <w:sz w:val="24"/>
          <w:szCs w:val="24"/>
          <w:lang w:eastAsia="zh-CN"/>
        </w:rPr>
        <w:t>安全可靠。投标方应提供同类型</w:t>
      </w:r>
      <w:r>
        <w:rPr>
          <w:rFonts w:hint="eastAsia"/>
          <w:sz w:val="24"/>
          <w:szCs w:val="24"/>
          <w:lang w:eastAsia="zh-CN"/>
        </w:rPr>
        <w:t>设计</w:t>
      </w:r>
      <w:r>
        <w:rPr>
          <w:sz w:val="24"/>
          <w:szCs w:val="24"/>
          <w:lang w:eastAsia="zh-CN"/>
        </w:rPr>
        <w:t>业绩资料。</w:t>
      </w:r>
      <w:bookmarkEnd w:id="16"/>
      <w:bookmarkEnd w:id="17"/>
      <w:r>
        <w:rPr>
          <w:rFonts w:hint="eastAsia"/>
          <w:sz w:val="24"/>
          <w:szCs w:val="24"/>
          <w:lang w:eastAsia="zh-CN"/>
        </w:rPr>
        <w:t>如发现有失实情况，招标方有权拒绝该投标。</w:t>
      </w:r>
      <w:bookmarkEnd w:id="18"/>
    </w:p>
    <w:p>
      <w:pPr>
        <w:rPr>
          <w:sz w:val="24"/>
          <w:szCs w:val="24"/>
          <w:lang w:eastAsia="zh-CN"/>
        </w:rPr>
      </w:pPr>
      <w:bookmarkStart w:id="19" w:name="_Toc164179625"/>
      <w:bookmarkStart w:id="20" w:name="_Toc164177378"/>
      <w:bookmarkStart w:id="21" w:name="_Toc268274673"/>
      <w:r>
        <w:rPr>
          <w:rFonts w:hint="eastAsia"/>
          <w:sz w:val="24"/>
          <w:szCs w:val="24"/>
          <w:lang w:eastAsia="zh-CN"/>
        </w:rPr>
        <w:t xml:space="preserve">4. </w:t>
      </w:r>
      <w:r>
        <w:rPr>
          <w:sz w:val="24"/>
          <w:szCs w:val="24"/>
          <w:lang w:eastAsia="zh-CN"/>
        </w:rPr>
        <w:t>本规范书提出的是最低限度的技术要求，并未对一切技术细节作出规定，也未充分引述有关标准和协议条文，投标方提供的</w:t>
      </w:r>
      <w:r>
        <w:rPr>
          <w:rFonts w:hint="eastAsia"/>
          <w:sz w:val="24"/>
          <w:szCs w:val="24"/>
          <w:lang w:eastAsia="zh-CN"/>
        </w:rPr>
        <w:t>设计图纸及资料</w:t>
      </w:r>
      <w:r>
        <w:rPr>
          <w:sz w:val="24"/>
          <w:szCs w:val="24"/>
          <w:lang w:eastAsia="zh-CN"/>
        </w:rPr>
        <w:t>必须执行国家强制性标准和相关工业标准，并保证提供符合本规范书要求的优质产品。</w:t>
      </w:r>
      <w:bookmarkEnd w:id="19"/>
      <w:bookmarkEnd w:id="20"/>
      <w:bookmarkEnd w:id="21"/>
      <w:r>
        <w:rPr>
          <w:rFonts w:hint="eastAsia"/>
          <w:sz w:val="24"/>
          <w:szCs w:val="24"/>
          <w:lang w:eastAsia="zh-CN"/>
        </w:rPr>
        <w:t>同时必须满足国家有关安全、环保等强制性标准和规范的要求。</w:t>
      </w:r>
    </w:p>
    <w:p>
      <w:pPr>
        <w:rPr>
          <w:sz w:val="24"/>
          <w:szCs w:val="24"/>
          <w:lang w:eastAsia="zh-CN"/>
        </w:rPr>
      </w:pPr>
      <w:bookmarkStart w:id="22" w:name="_Toc164177379"/>
      <w:bookmarkStart w:id="23" w:name="_Toc164179626"/>
      <w:bookmarkStart w:id="24" w:name="_Toc268274674"/>
      <w:r>
        <w:rPr>
          <w:rFonts w:hint="eastAsia"/>
          <w:sz w:val="24"/>
          <w:szCs w:val="24"/>
          <w:lang w:eastAsia="zh-CN"/>
        </w:rPr>
        <w:t xml:space="preserve">5. </w:t>
      </w:r>
      <w:r>
        <w:rPr>
          <w:sz w:val="24"/>
          <w:szCs w:val="24"/>
          <w:lang w:eastAsia="zh-CN"/>
        </w:rPr>
        <w:t>本</w:t>
      </w:r>
      <w:bookmarkStart w:id="25" w:name="_Toc72821885"/>
      <w:r>
        <w:rPr>
          <w:sz w:val="24"/>
          <w:szCs w:val="24"/>
          <w:lang w:eastAsia="zh-CN"/>
        </w:rPr>
        <w:t>规范书所使用的标准如遇与</w:t>
      </w:r>
      <w:bookmarkEnd w:id="25"/>
      <w:r>
        <w:rPr>
          <w:sz w:val="24"/>
          <w:szCs w:val="24"/>
          <w:lang w:eastAsia="zh-CN"/>
        </w:rPr>
        <w:t>投标方执行的标准发生矛盾时，按较高标准执行。</w:t>
      </w:r>
      <w:bookmarkEnd w:id="22"/>
      <w:bookmarkEnd w:id="23"/>
      <w:r>
        <w:rPr>
          <w:sz w:val="24"/>
          <w:szCs w:val="24"/>
          <w:lang w:eastAsia="zh-CN"/>
        </w:rPr>
        <w:t>若本招标文件前后有不一致的地方，应以有利于设备安全运行、工程质量为原则，由招标方确认</w:t>
      </w:r>
      <w:r>
        <w:rPr>
          <w:rFonts w:hint="eastAsia"/>
          <w:sz w:val="24"/>
          <w:szCs w:val="24"/>
          <w:lang w:eastAsia="zh-CN"/>
        </w:rPr>
        <w:t>。</w:t>
      </w:r>
      <w:bookmarkEnd w:id="24"/>
    </w:p>
    <w:p>
      <w:pPr>
        <w:rPr>
          <w:sz w:val="24"/>
          <w:szCs w:val="24"/>
          <w:lang w:eastAsia="zh-CN"/>
        </w:rPr>
      </w:pPr>
      <w:bookmarkStart w:id="26" w:name="_Toc164177380"/>
      <w:bookmarkStart w:id="27" w:name="_Toc268274675"/>
      <w:bookmarkStart w:id="28" w:name="_Toc164179627"/>
      <w:r>
        <w:rPr>
          <w:rFonts w:hint="eastAsia"/>
          <w:sz w:val="24"/>
          <w:szCs w:val="24"/>
          <w:lang w:eastAsia="zh-CN"/>
        </w:rPr>
        <w:t>6</w:t>
      </w:r>
      <w:bookmarkEnd w:id="26"/>
      <w:bookmarkEnd w:id="27"/>
      <w:bookmarkEnd w:id="28"/>
      <w:r>
        <w:rPr>
          <w:rFonts w:hint="eastAsia"/>
          <w:sz w:val="24"/>
          <w:szCs w:val="24"/>
          <w:lang w:eastAsia="zh-CN"/>
        </w:rPr>
        <w:t>．投标方的投标文件应按招标文件的内容进行逐条响应。</w:t>
      </w:r>
      <w:r>
        <w:rPr>
          <w:sz w:val="24"/>
          <w:szCs w:val="24"/>
          <w:lang w:eastAsia="zh-CN"/>
        </w:rPr>
        <w:t>投标方对招标文件的偏差（无论多少或者微小）都要以书面形式清楚地写进</w:t>
      </w:r>
      <w:r>
        <w:rPr>
          <w:rFonts w:hint="eastAsia"/>
          <w:sz w:val="24"/>
          <w:szCs w:val="24"/>
          <w:lang w:eastAsia="zh-CN"/>
        </w:rPr>
        <w:t>本规范书</w:t>
      </w:r>
      <w:r>
        <w:rPr>
          <w:sz w:val="24"/>
          <w:szCs w:val="24"/>
          <w:lang w:eastAsia="zh-CN"/>
        </w:rPr>
        <w:t>中的差异表，否则招标方将认为投标方完全接受和同意本技术规范的要求。</w:t>
      </w:r>
      <w:r>
        <w:rPr>
          <w:rFonts w:hint="eastAsia"/>
          <w:sz w:val="24"/>
          <w:szCs w:val="24"/>
          <w:lang w:eastAsia="zh-CN"/>
        </w:rPr>
        <w:t>如有其它需要说明的问题需另外说明。</w:t>
      </w:r>
    </w:p>
    <w:p>
      <w:pPr>
        <w:rPr>
          <w:sz w:val="24"/>
          <w:szCs w:val="24"/>
          <w:lang w:eastAsia="zh-CN"/>
        </w:rPr>
      </w:pPr>
      <w:bookmarkStart w:id="29" w:name="_Toc164177381"/>
      <w:bookmarkStart w:id="30" w:name="_Toc164179628"/>
      <w:bookmarkStart w:id="31" w:name="_Toc268274676"/>
      <w:r>
        <w:rPr>
          <w:rFonts w:hint="eastAsia"/>
          <w:sz w:val="24"/>
          <w:szCs w:val="24"/>
          <w:lang w:eastAsia="zh-CN"/>
        </w:rPr>
        <w:t>7．</w:t>
      </w:r>
      <w:r>
        <w:rPr>
          <w:sz w:val="24"/>
          <w:szCs w:val="24"/>
          <w:lang w:eastAsia="zh-CN"/>
        </w:rPr>
        <w:t>以本规范书和双方确认的澄清文件为基础编制的技术协议书将作为采购合同的附件，与合同正文具有同等效力。</w:t>
      </w:r>
      <w:bookmarkEnd w:id="29"/>
      <w:bookmarkEnd w:id="30"/>
      <w:bookmarkEnd w:id="31"/>
    </w:p>
    <w:p>
      <w:pPr>
        <w:rPr>
          <w:sz w:val="24"/>
          <w:szCs w:val="24"/>
          <w:lang w:eastAsia="zh-CN"/>
        </w:rPr>
      </w:pPr>
      <w:bookmarkStart w:id="32" w:name="_Toc164177382"/>
      <w:bookmarkStart w:id="33" w:name="_Toc164179629"/>
      <w:bookmarkStart w:id="34" w:name="_Toc268274677"/>
      <w:r>
        <w:rPr>
          <w:rFonts w:hint="eastAsia"/>
          <w:sz w:val="24"/>
          <w:szCs w:val="24"/>
          <w:lang w:eastAsia="zh-CN"/>
        </w:rPr>
        <w:t>8</w:t>
      </w:r>
      <w:bookmarkEnd w:id="32"/>
      <w:bookmarkEnd w:id="33"/>
      <w:bookmarkEnd w:id="34"/>
      <w:r>
        <w:rPr>
          <w:rFonts w:hint="eastAsia"/>
          <w:sz w:val="24"/>
          <w:szCs w:val="24"/>
          <w:lang w:eastAsia="zh-CN"/>
        </w:rPr>
        <w:t>．</w:t>
      </w:r>
      <w:r>
        <w:rPr>
          <w:sz w:val="24"/>
          <w:szCs w:val="24"/>
          <w:lang w:eastAsia="zh-CN"/>
        </w:rPr>
        <w:t xml:space="preserve">在签订合同之后，招标方保留对技术协议书提出补充要求和修改的权利，投标方应予以配合。若提出修改，具体项目和条件由招投标双方共同商定。 </w:t>
      </w:r>
    </w:p>
    <w:p>
      <w:pPr>
        <w:rPr>
          <w:sz w:val="24"/>
          <w:szCs w:val="24"/>
          <w:lang w:eastAsia="zh-CN"/>
        </w:rPr>
      </w:pPr>
      <w:bookmarkStart w:id="35" w:name="_Toc268274680"/>
      <w:bookmarkStart w:id="36" w:name="_Toc164177385"/>
      <w:bookmarkStart w:id="37" w:name="_Toc164179632"/>
      <w:r>
        <w:rPr>
          <w:rFonts w:hint="eastAsia"/>
          <w:sz w:val="24"/>
          <w:szCs w:val="24"/>
          <w:lang w:eastAsia="zh-CN"/>
        </w:rPr>
        <w:t>9．</w:t>
      </w:r>
      <w:r>
        <w:rPr>
          <w:sz w:val="24"/>
          <w:szCs w:val="24"/>
          <w:lang w:eastAsia="zh-CN"/>
        </w:rPr>
        <w:t>投标方应保证</w:t>
      </w:r>
      <w:r>
        <w:rPr>
          <w:rFonts w:hint="eastAsia"/>
          <w:sz w:val="24"/>
          <w:szCs w:val="24"/>
          <w:lang w:eastAsia="zh-CN"/>
        </w:rPr>
        <w:t>设计选择的设备</w:t>
      </w:r>
      <w:r>
        <w:rPr>
          <w:sz w:val="24"/>
          <w:szCs w:val="24"/>
          <w:lang w:eastAsia="zh-CN"/>
        </w:rPr>
        <w:t>适应安装地高湿度、高盐雾环境条件。投标方对</w:t>
      </w:r>
      <w:r>
        <w:rPr>
          <w:rFonts w:hint="eastAsia"/>
          <w:sz w:val="24"/>
          <w:szCs w:val="24"/>
          <w:lang w:eastAsia="zh-CN"/>
        </w:rPr>
        <w:t>设计文件</w:t>
      </w:r>
      <w:r>
        <w:rPr>
          <w:sz w:val="24"/>
          <w:szCs w:val="24"/>
          <w:lang w:eastAsia="zh-CN"/>
        </w:rPr>
        <w:t>负有全部技术责任，</w:t>
      </w:r>
      <w:r>
        <w:rPr>
          <w:rFonts w:hint="eastAsia"/>
          <w:sz w:val="24"/>
          <w:szCs w:val="24"/>
          <w:lang w:eastAsia="zh-CN"/>
        </w:rPr>
        <w:t>招标</w:t>
      </w:r>
      <w:r>
        <w:rPr>
          <w:sz w:val="24"/>
          <w:szCs w:val="24"/>
          <w:lang w:eastAsia="zh-CN"/>
        </w:rPr>
        <w:t>方对</w:t>
      </w:r>
      <w:r>
        <w:rPr>
          <w:rFonts w:hint="eastAsia"/>
          <w:sz w:val="24"/>
          <w:szCs w:val="24"/>
          <w:lang w:eastAsia="zh-CN"/>
        </w:rPr>
        <w:t>投标</w:t>
      </w:r>
      <w:r>
        <w:rPr>
          <w:sz w:val="24"/>
          <w:szCs w:val="24"/>
          <w:lang w:eastAsia="zh-CN"/>
        </w:rPr>
        <w:t>方图纸和文件的审核及确认，并不意味着免除或转移</w:t>
      </w:r>
      <w:r>
        <w:rPr>
          <w:rFonts w:hint="eastAsia"/>
          <w:sz w:val="24"/>
          <w:szCs w:val="24"/>
          <w:lang w:eastAsia="zh-CN"/>
        </w:rPr>
        <w:t>投标</w:t>
      </w:r>
      <w:r>
        <w:rPr>
          <w:sz w:val="24"/>
          <w:szCs w:val="24"/>
          <w:lang w:eastAsia="zh-CN"/>
        </w:rPr>
        <w:t>方的责任。</w:t>
      </w:r>
      <w:r>
        <w:rPr>
          <w:rFonts w:hint="eastAsia"/>
          <w:sz w:val="24"/>
          <w:szCs w:val="24"/>
          <w:lang w:eastAsia="zh-CN"/>
        </w:rPr>
        <w:t>投标</w:t>
      </w:r>
      <w:r>
        <w:rPr>
          <w:sz w:val="24"/>
          <w:szCs w:val="24"/>
          <w:lang w:eastAsia="zh-CN"/>
        </w:rPr>
        <w:t>方仍在合同范围内对其所提供的设计、设备和服务负责</w:t>
      </w:r>
      <w:r>
        <w:rPr>
          <w:rFonts w:hint="eastAsia"/>
          <w:sz w:val="24"/>
          <w:szCs w:val="24"/>
          <w:lang w:eastAsia="zh-CN"/>
        </w:rPr>
        <w:t>。</w:t>
      </w:r>
      <w:bookmarkEnd w:id="35"/>
      <w:bookmarkEnd w:id="36"/>
      <w:bookmarkEnd w:id="37"/>
    </w:p>
    <w:p>
      <w:pPr>
        <w:rPr>
          <w:sz w:val="24"/>
          <w:szCs w:val="24"/>
          <w:lang w:eastAsia="zh-CN"/>
        </w:rPr>
      </w:pPr>
      <w:r>
        <w:rPr>
          <w:rFonts w:hint="eastAsia"/>
          <w:sz w:val="24"/>
          <w:szCs w:val="24"/>
          <w:lang w:eastAsia="zh-CN"/>
        </w:rPr>
        <w:t>10．</w:t>
      </w:r>
      <w:r>
        <w:rPr>
          <w:rFonts w:hint="eastAsia"/>
          <w:kern w:val="44"/>
          <w:sz w:val="24"/>
          <w:szCs w:val="24"/>
          <w:lang w:eastAsia="zh-CN"/>
        </w:rPr>
        <w:t>本规范书中涉及有关商务方面的内容，如与招标文件的商务部分有矛盾时，以商务部分为准。</w:t>
      </w:r>
    </w:p>
    <w:p>
      <w:pPr>
        <w:rPr>
          <w:sz w:val="24"/>
          <w:szCs w:val="24"/>
          <w:lang w:eastAsia="zh-CN"/>
        </w:rPr>
      </w:pPr>
      <w:bookmarkStart w:id="38" w:name="_Toc164177387"/>
      <w:bookmarkStart w:id="39" w:name="_Toc164179634"/>
      <w:bookmarkStart w:id="40" w:name="_Toc268274682"/>
      <w:r>
        <w:rPr>
          <w:rFonts w:hint="eastAsia"/>
          <w:sz w:val="24"/>
          <w:szCs w:val="24"/>
          <w:lang w:eastAsia="zh-CN"/>
        </w:rPr>
        <w:t xml:space="preserve">11． </w:t>
      </w:r>
      <w:r>
        <w:rPr>
          <w:sz w:val="24"/>
          <w:szCs w:val="24"/>
          <w:lang w:eastAsia="zh-CN"/>
        </w:rPr>
        <w:t>为便于评标工作，投标方提交的所有投标文件的电子版应采用可编辑电子文件</w:t>
      </w:r>
      <w:r>
        <w:rPr>
          <w:rFonts w:hint="eastAsia"/>
          <w:sz w:val="24"/>
          <w:szCs w:val="24"/>
          <w:lang w:eastAsia="zh-CN"/>
        </w:rPr>
        <w:t>，使用语言为中文</w:t>
      </w:r>
      <w:bookmarkEnd w:id="38"/>
      <w:bookmarkEnd w:id="39"/>
      <w:bookmarkEnd w:id="40"/>
      <w:r>
        <w:rPr>
          <w:rFonts w:hint="eastAsia"/>
          <w:sz w:val="24"/>
          <w:szCs w:val="24"/>
          <w:lang w:eastAsia="zh-CN"/>
        </w:rPr>
        <w:t>，</w:t>
      </w:r>
      <w:r>
        <w:rPr>
          <w:sz w:val="24"/>
          <w:szCs w:val="24"/>
          <w:lang w:eastAsia="zh-CN"/>
        </w:rPr>
        <w:t>投标方在投标文件中所提的技术数据应以表格的形式列出。</w:t>
      </w:r>
      <w:r>
        <w:rPr>
          <w:rFonts w:hint="eastAsia"/>
          <w:sz w:val="24"/>
          <w:szCs w:val="24"/>
          <w:lang w:eastAsia="zh-CN"/>
        </w:rPr>
        <w:t>工程联系文件、技术资料、图纸、计算、仪表刻度和文件中的计量单位均采用法定计量单位。</w:t>
      </w:r>
    </w:p>
    <w:p>
      <w:pPr>
        <w:pStyle w:val="3"/>
        <w:keepNext/>
        <w:keepLines/>
        <w:numPr>
          <w:ilvl w:val="0"/>
          <w:numId w:val="2"/>
        </w:numPr>
        <w:autoSpaceDE/>
        <w:autoSpaceDN/>
        <w:jc w:val="both"/>
        <w:rPr>
          <w:sz w:val="32"/>
          <w:szCs w:val="32"/>
          <w:lang w:eastAsia="zh-CN"/>
        </w:rPr>
      </w:pPr>
      <w:r>
        <w:rPr>
          <w:rFonts w:hint="eastAsia"/>
          <w:sz w:val="32"/>
          <w:szCs w:val="32"/>
          <w:lang w:eastAsia="zh-CN"/>
        </w:rPr>
        <w:t>工程概况及设备运行环境条件</w:t>
      </w:r>
    </w:p>
    <w:p>
      <w:pPr>
        <w:pStyle w:val="4"/>
        <w:keepNext/>
        <w:keepLines/>
        <w:numPr>
          <w:ilvl w:val="0"/>
          <w:numId w:val="3"/>
        </w:numPr>
        <w:autoSpaceDE/>
        <w:autoSpaceDN/>
        <w:jc w:val="both"/>
        <w:rPr>
          <w:sz w:val="28"/>
        </w:rPr>
      </w:pPr>
      <w:bookmarkStart w:id="41" w:name="_Toc162615114"/>
      <w:r>
        <w:rPr>
          <w:sz w:val="28"/>
        </w:rPr>
        <w:t>工程简介</w:t>
      </w:r>
      <w:bookmarkEnd w:id="41"/>
    </w:p>
    <w:p>
      <w:pPr>
        <w:snapToGrid w:val="0"/>
        <w:ind w:firstLine="480" w:firstLineChars="200"/>
        <w:rPr>
          <w:sz w:val="24"/>
          <w:szCs w:val="24"/>
          <w:lang w:eastAsia="zh-CN"/>
        </w:rPr>
      </w:pPr>
      <w:r>
        <w:rPr>
          <w:rFonts w:hint="eastAsia"/>
          <w:sz w:val="24"/>
          <w:lang w:eastAsia="zh-CN"/>
        </w:rPr>
        <w:t>福海创</w:t>
      </w:r>
      <w:r>
        <w:rPr>
          <w:sz w:val="24"/>
          <w:lang w:eastAsia="zh-CN"/>
        </w:rPr>
        <w:t>热电厂以供热为主，并根据以热定电，灵活调整的原则</w:t>
      </w:r>
      <w:r>
        <w:rPr>
          <w:rFonts w:hint="eastAsia"/>
          <w:sz w:val="24"/>
          <w:lang w:eastAsia="zh-CN"/>
        </w:rPr>
        <w:t>。目前已建成</w:t>
      </w:r>
      <w:r>
        <w:rPr>
          <w:sz w:val="24"/>
          <w:lang w:eastAsia="zh-CN"/>
        </w:rPr>
        <w:t>4×</w:t>
      </w:r>
      <w:r>
        <w:rPr>
          <w:rFonts w:hint="eastAsia"/>
          <w:sz w:val="24"/>
          <w:lang w:eastAsia="zh-CN"/>
        </w:rPr>
        <w:t>67</w:t>
      </w:r>
      <w:r>
        <w:rPr>
          <w:sz w:val="24"/>
          <w:szCs w:val="24"/>
          <w:lang w:eastAsia="zh-CN"/>
        </w:rPr>
        <w:t>0t/h+3×1</w:t>
      </w:r>
      <w:r>
        <w:rPr>
          <w:rFonts w:hint="eastAsia"/>
          <w:sz w:val="24"/>
          <w:szCs w:val="24"/>
          <w:lang w:eastAsia="zh-CN"/>
        </w:rPr>
        <w:t>5</w:t>
      </w:r>
      <w:r>
        <w:rPr>
          <w:sz w:val="24"/>
          <w:szCs w:val="24"/>
          <w:lang w:eastAsia="zh-CN"/>
        </w:rPr>
        <w:t>0MW燃煤供热机组。</w:t>
      </w:r>
    </w:p>
    <w:p>
      <w:pPr>
        <w:snapToGrid w:val="0"/>
        <w:ind w:firstLine="480" w:firstLineChars="200"/>
        <w:rPr>
          <w:sz w:val="24"/>
          <w:lang w:eastAsia="zh-CN"/>
        </w:rPr>
      </w:pPr>
      <w:r>
        <w:rPr>
          <w:rFonts w:hint="eastAsia"/>
          <w:sz w:val="24"/>
          <w:lang w:eastAsia="zh-CN"/>
        </w:rPr>
        <w:t>热电厂工程装设4台上海锅炉厂生产的超高压参数自然循环、四角切向燃烧方式，单炉膛，无再热，平衡通风，露天布置，固态排渣，全钢构架，全悬吊结构，回转式空气预热器，“</w:t>
      </w:r>
      <w:r>
        <w:rPr>
          <w:sz w:val="24"/>
        </w:rPr>
        <w:sym w:font="Symbol" w:char="F050"/>
      </w:r>
      <w:r>
        <w:rPr>
          <w:rFonts w:hint="eastAsia"/>
          <w:sz w:val="24"/>
          <w:lang w:eastAsia="zh-CN"/>
        </w:rPr>
        <w:t>”型布置汽包锅炉。锅炉型号：</w:t>
      </w:r>
      <w:r>
        <w:rPr>
          <w:sz w:val="24"/>
          <w:lang w:eastAsia="zh-CN"/>
        </w:rPr>
        <w:t>SG-670/13.7- M</w:t>
      </w:r>
      <w:r>
        <w:rPr>
          <w:rFonts w:hint="eastAsia"/>
          <w:sz w:val="24"/>
          <w:lang w:eastAsia="zh-CN"/>
        </w:rPr>
        <w:t>3001。锅炉额定工况蒸汽压力为13.7MPa，在燃用设计煤种或校核煤种、额定给水温度、过热蒸汽温度、压力为额定值、蒸汽品质合格条件下，锅炉最大连续蒸发量不小于</w:t>
      </w:r>
      <w:r>
        <w:rPr>
          <w:sz w:val="24"/>
          <w:lang w:eastAsia="zh-CN"/>
        </w:rPr>
        <w:t>670t/h</w:t>
      </w:r>
      <w:r>
        <w:rPr>
          <w:rFonts w:hint="eastAsia"/>
          <w:sz w:val="24"/>
          <w:lang w:eastAsia="zh-CN"/>
        </w:rPr>
        <w:t>。</w:t>
      </w:r>
    </w:p>
    <w:p>
      <w:pPr>
        <w:snapToGrid w:val="0"/>
        <w:ind w:firstLine="480" w:firstLineChars="200"/>
        <w:rPr>
          <w:sz w:val="24"/>
          <w:lang w:eastAsia="zh-CN"/>
        </w:rPr>
      </w:pPr>
      <w:r>
        <w:rPr>
          <w:rFonts w:hint="eastAsia"/>
          <w:sz w:val="24"/>
          <w:lang w:eastAsia="zh-CN"/>
        </w:rPr>
        <w:t>四台锅炉对应配置三台</w:t>
      </w:r>
      <w:r>
        <w:rPr>
          <w:sz w:val="24"/>
          <w:lang w:eastAsia="zh-CN"/>
        </w:rPr>
        <w:t>型号</w:t>
      </w:r>
      <w:r>
        <w:rPr>
          <w:rFonts w:hint="eastAsia"/>
          <w:sz w:val="24"/>
          <w:lang w:eastAsia="zh-CN"/>
        </w:rPr>
        <w:t>为</w:t>
      </w:r>
      <w:r>
        <w:rPr>
          <w:sz w:val="24"/>
          <w:lang w:eastAsia="zh-CN"/>
        </w:rPr>
        <w:t>C150-12.</w:t>
      </w:r>
      <w:r>
        <w:rPr>
          <w:rFonts w:hint="eastAsia"/>
          <w:sz w:val="24"/>
          <w:lang w:eastAsia="zh-CN"/>
        </w:rPr>
        <w:t>5</w:t>
      </w:r>
      <w:r>
        <w:rPr>
          <w:sz w:val="24"/>
          <w:lang w:eastAsia="zh-CN"/>
        </w:rPr>
        <w:t>/</w:t>
      </w:r>
      <w:r>
        <w:rPr>
          <w:rFonts w:hint="eastAsia"/>
          <w:sz w:val="24"/>
          <w:lang w:eastAsia="zh-CN"/>
        </w:rPr>
        <w:t>4.3抽汽凝汽式汽轮发电机组，发电机为空冷式发电机。</w:t>
      </w:r>
      <w:r>
        <w:rPr>
          <w:sz w:val="24"/>
          <w:lang w:eastAsia="zh-CN"/>
        </w:rPr>
        <w:t>本汽轮机为南京汽轮电机</w:t>
      </w:r>
      <w:r>
        <w:rPr>
          <w:rFonts w:hint="eastAsia"/>
          <w:sz w:val="24"/>
          <w:lang w:eastAsia="zh-CN"/>
        </w:rPr>
        <w:t>集团</w:t>
      </w:r>
      <w:r>
        <w:rPr>
          <w:sz w:val="24"/>
          <w:lang w:eastAsia="zh-CN"/>
        </w:rPr>
        <w:t>公司制造的超高压冲动</w:t>
      </w:r>
      <w:r>
        <w:rPr>
          <w:rFonts w:hint="eastAsia"/>
          <w:sz w:val="24"/>
          <w:lang w:eastAsia="zh-CN"/>
        </w:rPr>
        <w:t>式</w:t>
      </w:r>
      <w:r>
        <w:rPr>
          <w:sz w:val="24"/>
          <w:lang w:eastAsia="zh-CN"/>
        </w:rPr>
        <w:t>、单轴双缸双排汽、抽汽凝汽式汽轮机。</w:t>
      </w:r>
      <w:r>
        <w:rPr>
          <w:rFonts w:hint="eastAsia"/>
          <w:sz w:val="24"/>
          <w:lang w:eastAsia="zh-CN"/>
        </w:rPr>
        <w:t>采用</w:t>
      </w:r>
      <w:r>
        <w:rPr>
          <w:sz w:val="24"/>
          <w:lang w:eastAsia="zh-CN"/>
        </w:rPr>
        <w:t>热电联供</w:t>
      </w:r>
      <w:r>
        <w:rPr>
          <w:rFonts w:hint="eastAsia"/>
          <w:sz w:val="24"/>
          <w:lang w:eastAsia="zh-CN"/>
        </w:rPr>
        <w:t>方式</w:t>
      </w:r>
      <w:r>
        <w:rPr>
          <w:sz w:val="24"/>
          <w:lang w:eastAsia="zh-CN"/>
        </w:rPr>
        <w:t>，</w:t>
      </w:r>
      <w:r>
        <w:rPr>
          <w:rFonts w:hint="eastAsia"/>
          <w:sz w:val="24"/>
          <w:lang w:eastAsia="zh-CN"/>
        </w:rPr>
        <w:t>能</w:t>
      </w:r>
      <w:r>
        <w:rPr>
          <w:sz w:val="24"/>
          <w:lang w:eastAsia="zh-CN"/>
        </w:rPr>
        <w:t>满足基本负荷和调峰要求</w:t>
      </w:r>
      <w:r>
        <w:rPr>
          <w:rFonts w:hint="eastAsia"/>
          <w:sz w:val="24"/>
          <w:lang w:eastAsia="zh-CN"/>
        </w:rPr>
        <w:t>。</w:t>
      </w:r>
      <w:r>
        <w:rPr>
          <w:sz w:val="24"/>
          <w:lang w:eastAsia="zh-CN"/>
        </w:rPr>
        <w:t>高</w:t>
      </w:r>
      <w:r>
        <w:rPr>
          <w:rFonts w:hint="eastAsia"/>
          <w:sz w:val="24"/>
          <w:lang w:eastAsia="zh-CN"/>
        </w:rPr>
        <w:t>压缸及</w:t>
      </w:r>
      <w:r>
        <w:rPr>
          <w:sz w:val="24"/>
          <w:lang w:eastAsia="zh-CN"/>
        </w:rPr>
        <w:t>低压缸</w:t>
      </w:r>
      <w:r>
        <w:rPr>
          <w:rFonts w:hint="eastAsia"/>
          <w:sz w:val="24"/>
          <w:lang w:eastAsia="zh-CN"/>
        </w:rPr>
        <w:t>均</w:t>
      </w:r>
      <w:r>
        <w:rPr>
          <w:sz w:val="24"/>
          <w:lang w:eastAsia="zh-CN"/>
        </w:rPr>
        <w:t>为双层缸</w:t>
      </w:r>
      <w:r>
        <w:rPr>
          <w:rFonts w:hint="eastAsia"/>
          <w:sz w:val="24"/>
          <w:lang w:eastAsia="zh-CN"/>
        </w:rPr>
        <w:t>结构</w:t>
      </w:r>
      <w:r>
        <w:rPr>
          <w:sz w:val="24"/>
          <w:lang w:eastAsia="zh-CN"/>
        </w:rPr>
        <w:t>，</w:t>
      </w:r>
      <w:r>
        <w:rPr>
          <w:rFonts w:hint="eastAsia"/>
          <w:sz w:val="24"/>
          <w:lang w:eastAsia="zh-CN"/>
        </w:rPr>
        <w:t>2个</w:t>
      </w:r>
      <w:r>
        <w:rPr>
          <w:sz w:val="24"/>
          <w:lang w:eastAsia="zh-CN"/>
        </w:rPr>
        <w:t>高压主汽阀</w:t>
      </w:r>
      <w:r>
        <w:rPr>
          <w:rFonts w:hint="eastAsia"/>
          <w:sz w:val="24"/>
          <w:lang w:eastAsia="zh-CN"/>
        </w:rPr>
        <w:t>布置</w:t>
      </w:r>
      <w:r>
        <w:rPr>
          <w:sz w:val="24"/>
          <w:lang w:eastAsia="zh-CN"/>
        </w:rPr>
        <w:t>在汽缸两侧，</w:t>
      </w:r>
      <w:r>
        <w:rPr>
          <w:rFonts w:hint="eastAsia"/>
          <w:sz w:val="24"/>
          <w:lang w:eastAsia="zh-CN"/>
        </w:rPr>
        <w:t>4</w:t>
      </w:r>
      <w:r>
        <w:rPr>
          <w:sz w:val="24"/>
          <w:lang w:eastAsia="zh-CN"/>
        </w:rPr>
        <w:t>个调节阀</w:t>
      </w:r>
      <w:r>
        <w:rPr>
          <w:rFonts w:hint="eastAsia"/>
          <w:sz w:val="24"/>
          <w:lang w:eastAsia="zh-CN"/>
        </w:rPr>
        <w:t>分别</w:t>
      </w:r>
      <w:r>
        <w:rPr>
          <w:sz w:val="24"/>
          <w:lang w:eastAsia="zh-CN"/>
        </w:rPr>
        <w:t>挂在高压外缸进汽部位。高压进汽</w:t>
      </w:r>
      <w:r>
        <w:rPr>
          <w:rFonts w:hint="eastAsia"/>
          <w:sz w:val="24"/>
          <w:lang w:eastAsia="zh-CN"/>
        </w:rPr>
        <w:t>口位于</w:t>
      </w:r>
      <w:r>
        <w:rPr>
          <w:sz w:val="24"/>
          <w:lang w:eastAsia="zh-CN"/>
        </w:rPr>
        <w:t>汽缸前部，高压前</w:t>
      </w:r>
      <w:r>
        <w:rPr>
          <w:rFonts w:hint="eastAsia"/>
          <w:sz w:val="24"/>
          <w:lang w:eastAsia="zh-CN"/>
        </w:rPr>
        <w:t>六</w:t>
      </w:r>
      <w:r>
        <w:rPr>
          <w:sz w:val="24"/>
          <w:lang w:eastAsia="zh-CN"/>
        </w:rPr>
        <w:t>级装于高压内缸，高压进汽通过高压</w:t>
      </w:r>
      <w:r>
        <w:rPr>
          <w:rFonts w:hint="eastAsia"/>
          <w:sz w:val="24"/>
          <w:lang w:eastAsia="zh-CN"/>
        </w:rPr>
        <w:t>进汽</w:t>
      </w:r>
      <w:r>
        <w:rPr>
          <w:sz w:val="24"/>
          <w:lang w:eastAsia="zh-CN"/>
        </w:rPr>
        <w:t>插管进入高压内缸。</w:t>
      </w:r>
      <w:r>
        <w:rPr>
          <w:rFonts w:hint="eastAsia"/>
          <w:sz w:val="24"/>
          <w:lang w:eastAsia="zh-CN"/>
        </w:rPr>
        <w:t>4.3</w:t>
      </w:r>
      <w:r>
        <w:rPr>
          <w:sz w:val="24"/>
          <w:lang w:eastAsia="zh-CN"/>
        </w:rPr>
        <w:t>MPa.a工业抽汽</w:t>
      </w:r>
      <w:r>
        <w:rPr>
          <w:rFonts w:hint="eastAsia"/>
          <w:sz w:val="24"/>
          <w:lang w:eastAsia="zh-CN"/>
        </w:rPr>
        <w:t>口位于高压缸</w:t>
      </w:r>
      <w:r>
        <w:rPr>
          <w:sz w:val="24"/>
          <w:lang w:eastAsia="zh-CN"/>
        </w:rPr>
        <w:t>第</w:t>
      </w:r>
      <w:r>
        <w:rPr>
          <w:rFonts w:hint="eastAsia"/>
          <w:sz w:val="24"/>
          <w:lang w:eastAsia="zh-CN"/>
        </w:rPr>
        <w:t>6</w:t>
      </w:r>
      <w:r>
        <w:rPr>
          <w:sz w:val="24"/>
          <w:lang w:eastAsia="zh-CN"/>
        </w:rPr>
        <w:t>级</w:t>
      </w:r>
      <w:r>
        <w:rPr>
          <w:rFonts w:hint="eastAsia"/>
          <w:sz w:val="24"/>
          <w:lang w:eastAsia="zh-CN"/>
        </w:rPr>
        <w:t>级</w:t>
      </w:r>
      <w:r>
        <w:rPr>
          <w:sz w:val="24"/>
          <w:lang w:eastAsia="zh-CN"/>
        </w:rPr>
        <w:t>后，高压缸排汽</w:t>
      </w:r>
      <w:r>
        <w:rPr>
          <w:rFonts w:hint="eastAsia"/>
          <w:sz w:val="24"/>
          <w:lang w:eastAsia="zh-CN"/>
        </w:rPr>
        <w:t>口位于</w:t>
      </w:r>
      <w:r>
        <w:rPr>
          <w:sz w:val="24"/>
          <w:lang w:eastAsia="zh-CN"/>
        </w:rPr>
        <w:t>高压缸上半</w:t>
      </w:r>
      <w:r>
        <w:rPr>
          <w:rFonts w:hint="eastAsia"/>
          <w:sz w:val="24"/>
          <w:lang w:eastAsia="zh-CN"/>
        </w:rPr>
        <w:t>后侧</w:t>
      </w:r>
      <w:r>
        <w:rPr>
          <w:sz w:val="24"/>
          <w:lang w:eastAsia="zh-CN"/>
        </w:rPr>
        <w:t>，</w:t>
      </w:r>
      <w:r>
        <w:rPr>
          <w:rFonts w:hint="eastAsia"/>
          <w:sz w:val="24"/>
          <w:lang w:eastAsia="zh-CN"/>
        </w:rPr>
        <w:t>高压</w:t>
      </w:r>
      <w:r>
        <w:rPr>
          <w:sz w:val="24"/>
          <w:lang w:eastAsia="zh-CN"/>
        </w:rPr>
        <w:t>排汽通过二根连通管进入低压缸中部，低压缸前后对称正反向流动，排汽进入下面凝汽器。供热抽汽通过第</w:t>
      </w:r>
      <w:r>
        <w:rPr>
          <w:rFonts w:hint="eastAsia"/>
          <w:sz w:val="24"/>
          <w:lang w:eastAsia="zh-CN"/>
        </w:rPr>
        <w:t>7</w:t>
      </w:r>
      <w:r>
        <w:rPr>
          <w:sz w:val="24"/>
          <w:lang w:eastAsia="zh-CN"/>
        </w:rPr>
        <w:t>级</w:t>
      </w:r>
      <w:r>
        <w:rPr>
          <w:rFonts w:hint="eastAsia"/>
          <w:sz w:val="24"/>
          <w:lang w:eastAsia="zh-CN"/>
        </w:rPr>
        <w:t>提阀</w:t>
      </w:r>
      <w:r>
        <w:rPr>
          <w:sz w:val="24"/>
          <w:lang w:eastAsia="zh-CN"/>
        </w:rPr>
        <w:t>控制实现可调。</w:t>
      </w:r>
    </w:p>
    <w:p>
      <w:pPr>
        <w:snapToGrid w:val="0"/>
        <w:ind w:firstLine="480" w:firstLineChars="200"/>
        <w:rPr>
          <w:sz w:val="24"/>
          <w:lang w:eastAsia="zh-CN"/>
        </w:rPr>
      </w:pPr>
      <w:r>
        <w:rPr>
          <w:rFonts w:hint="eastAsia"/>
          <w:sz w:val="24"/>
          <w:lang w:eastAsia="zh-CN"/>
        </w:rPr>
        <w:t>全厂用电负荷主要由热电厂3台发电机组供给，以热定电，经平衡后富余电量上网，不足部分由地方电网提供。热电厂设计装机容量为3台15</w:t>
      </w:r>
      <w:r>
        <w:rPr>
          <w:sz w:val="24"/>
          <w:lang w:eastAsia="zh-CN"/>
        </w:rPr>
        <w:t>0</w:t>
      </w:r>
      <w:r>
        <w:rPr>
          <w:rFonts w:hint="eastAsia"/>
          <w:sz w:val="24"/>
          <w:lang w:eastAsia="zh-CN"/>
        </w:rPr>
        <w:t>MW抽凝发电机组，发电机组接自2</w:t>
      </w:r>
      <w:r>
        <w:rPr>
          <w:sz w:val="24"/>
          <w:lang w:eastAsia="zh-CN"/>
        </w:rPr>
        <w:t>20</w:t>
      </w:r>
      <w:r>
        <w:rPr>
          <w:rFonts w:hint="eastAsia"/>
          <w:sz w:val="24"/>
          <w:lang w:eastAsia="zh-CN"/>
        </w:rPr>
        <w:t>KV总降压变电站2</w:t>
      </w:r>
      <w:r>
        <w:rPr>
          <w:sz w:val="24"/>
          <w:lang w:eastAsia="zh-CN"/>
        </w:rPr>
        <w:t>20</w:t>
      </w:r>
      <w:r>
        <w:rPr>
          <w:rFonts w:hint="eastAsia"/>
          <w:sz w:val="24"/>
          <w:lang w:eastAsia="zh-CN"/>
        </w:rPr>
        <w:t>kV母线与外电网并网运行。总降压变电站从220kV油田变接入2回220kV线路，线路采用单塔单回。2</w:t>
      </w:r>
      <w:r>
        <w:rPr>
          <w:sz w:val="24"/>
          <w:lang w:eastAsia="zh-CN"/>
        </w:rPr>
        <w:t>20</w:t>
      </w:r>
      <w:r>
        <w:rPr>
          <w:rFonts w:hint="eastAsia"/>
          <w:sz w:val="24"/>
          <w:lang w:eastAsia="zh-CN"/>
        </w:rPr>
        <w:t>kV的电气主接线采用双母线分段形式。建设3个发变间隔，4个主变间隔，2个220kV线路间隔。其中4台主变（供给PX、PTA装置）采用有载调压双绕组变压器（220kV/35kV），其中PX装置装设2台220kV/35kV 180MVA变压器，PTA装置装设2台220kV/35kV  75MVA变压器。总降压站35kV电气主接线采用单母线分段环形接线的形式。</w:t>
      </w:r>
      <w:r>
        <w:rPr>
          <w:sz w:val="24"/>
          <w:lang w:eastAsia="zh-CN"/>
        </w:rPr>
        <w:t>厂区供电电压等级分为：</w:t>
      </w:r>
      <w:r>
        <w:rPr>
          <w:rFonts w:hint="eastAsia"/>
          <w:sz w:val="24"/>
          <w:lang w:eastAsia="zh-CN"/>
        </w:rPr>
        <w:t>220kV、35kV、10kV、0.38kV、0.22kV。现有PX装置满负荷运行用电负荷为130MW/h左右。</w:t>
      </w:r>
    </w:p>
    <w:p>
      <w:pPr>
        <w:snapToGrid w:val="0"/>
        <w:ind w:firstLine="480" w:firstLineChars="200"/>
        <w:rPr>
          <w:sz w:val="24"/>
          <w:lang w:eastAsia="zh-CN"/>
        </w:rPr>
      </w:pPr>
      <w:r>
        <w:rPr>
          <w:rFonts w:hint="eastAsia"/>
          <w:sz w:val="24"/>
          <w:lang w:eastAsia="zh-CN"/>
        </w:rPr>
        <w:t>电厂供热参数分三级，分别为P=9.8MPa,T=330℃；P=4.3MPa,T=382℃；P=2.3MPa,T=230℃。三个供热等级，经电厂南、北侧减温减压器后向用户供汽，满足各类用户用汽需求。南、北侧供热管道环网运行。9.8MPa供热南、北侧共有四路减温减压器，北侧两路双减额定流量为230t/h，正常运行一用一备；南侧两路双减额定流量为300t/h，正常运行一用一备。4.3MPa供热正常运行由汽轮机一段抽汽供汽，主蒸汽母管经减温减压后作为4.3MPa母管备用汽源，备用汽源南、北侧共有三路减温减压器，北侧两路双减额定流量为350t/h；南侧一路双减额定流量为300t/h；4.3MPa供热正常汽源和备用汽源经一抽母管分南、北侧向PX、PTA供汽；供PX北侧管道接口设计流量为500 t/h，南侧管道接口设计流量为102 t/h。供PTA北侧管道接口设计流量为350 t/h，南侧管道接口设计流量为125 t/h。一抽母管经减温减压后供PX2.3MPa用汽，2.3MPa供热南、北侧共有四路减温减压器，北侧两路双减额定流量为210t/h，正常运行一用一备；南侧两路双减额定流量为120t/h，正常运行一用一备。</w:t>
      </w:r>
    </w:p>
    <w:p>
      <w:pPr>
        <w:snapToGrid w:val="0"/>
        <w:ind w:firstLine="480" w:firstLineChars="200"/>
        <w:rPr>
          <w:sz w:val="24"/>
          <w:lang w:eastAsia="zh-CN"/>
        </w:rPr>
      </w:pPr>
      <w:r>
        <w:rPr>
          <w:rFonts w:hint="eastAsia"/>
          <w:sz w:val="24"/>
          <w:lang w:eastAsia="zh-CN"/>
        </w:rPr>
        <w:t>为了解决中沙古雷乙烯项目中芒果项目必需的乙烯原料需求，拓宽福海创公司原油种类，提高市场谈判能力，消除生产装置规模不匹配的瓶颈，缓解PTA原料不足的问题，福海创公司拟实施</w:t>
      </w:r>
      <w:r>
        <w:rPr>
          <w:sz w:val="24"/>
          <w:lang w:eastAsia="zh-CN"/>
        </w:rPr>
        <w:t>原料适应性技改</w:t>
      </w:r>
      <w:r>
        <w:rPr>
          <w:rFonts w:hint="eastAsia"/>
          <w:sz w:val="24"/>
          <w:lang w:eastAsia="zh-CN"/>
        </w:rPr>
        <w:t>项目。根据原料适应性项目可研报告提供的蒸汽平衡表，原料适应性项目、芒果项目及企业搬迁项目等项目一旦投入生产后，我司热负荷需求将达到2817.1t/h，其中：12.5MPa（9.8MPa）需要836.7t/h；4.0MPa需要1285.1t/h；2.0MPa需要252.5t/h；1.2MPa需要423.3t/h；0.45MPa需要19.5t/h。热电厂现有4*670t/h+3*150MW机组，最大供热能力为1150t/h， 2021年开始拟将两台抽凝机组改造为抽背机组，改造方案详见附件，最大供热能力可提高至1500t/h，但仍无法满足2817.1t/h的供热需求，存在1317.1t/h的供热缺口。故需在热电厂南侧预留地新建锅炉及汽轮发电机组，以满足今后供热需求。</w:t>
      </w:r>
    </w:p>
    <w:p>
      <w:pPr>
        <w:snapToGrid w:val="0"/>
        <w:ind w:firstLine="480" w:firstLineChars="200"/>
        <w:rPr>
          <w:sz w:val="24"/>
        </w:rPr>
      </w:pPr>
      <w:r>
        <w:rPr>
          <w:rFonts w:hint="eastAsia"/>
          <w:sz w:val="24"/>
        </w:rPr>
        <w:t>热负荷表</w:t>
      </w:r>
    </w:p>
    <w:tbl>
      <w:tblPr>
        <w:tblStyle w:val="16"/>
        <w:tblpPr w:leftFromText="180" w:rightFromText="180" w:vertAnchor="text" w:horzAnchor="margin" w:tblpY="299"/>
        <w:tblW w:w="8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3"/>
        <w:gridCol w:w="1007"/>
        <w:gridCol w:w="992"/>
        <w:gridCol w:w="1134"/>
        <w:gridCol w:w="1134"/>
        <w:gridCol w:w="1134"/>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1653" w:type="dxa"/>
          </w:tcPr>
          <w:p>
            <w:pPr>
              <w:pStyle w:val="24"/>
              <w:adjustRightInd w:val="0"/>
              <w:snapToGrid w:val="0"/>
              <w:spacing w:line="300" w:lineRule="auto"/>
              <w:ind w:left="0" w:firstLine="0"/>
              <w:rPr>
                <w:sz w:val="21"/>
                <w:szCs w:val="21"/>
              </w:rPr>
            </w:pPr>
            <w:r>
              <w:rPr>
                <w:rFonts w:hint="eastAsia"/>
                <w:sz w:val="21"/>
                <w:szCs w:val="21"/>
              </w:rPr>
              <w:t>蒸汽等级</w:t>
            </w:r>
          </w:p>
        </w:tc>
        <w:tc>
          <w:tcPr>
            <w:tcW w:w="1007" w:type="dxa"/>
            <w:vAlign w:val="center"/>
          </w:tcPr>
          <w:p>
            <w:pPr>
              <w:adjustRightInd w:val="0"/>
              <w:snapToGrid w:val="0"/>
              <w:spacing w:line="240" w:lineRule="atLeast"/>
              <w:jc w:val="both"/>
              <w:rPr>
                <w:sz w:val="21"/>
                <w:szCs w:val="21"/>
              </w:rPr>
            </w:pPr>
            <w:r>
              <w:rPr>
                <w:rFonts w:hint="eastAsia"/>
                <w:sz w:val="21"/>
                <w:szCs w:val="21"/>
              </w:rPr>
              <w:t>9.8</w:t>
            </w:r>
            <w:r>
              <w:rPr>
                <w:sz w:val="21"/>
                <w:szCs w:val="21"/>
              </w:rPr>
              <w:t>MPa</w:t>
            </w:r>
            <w:r>
              <w:rPr>
                <w:rFonts w:hint="eastAsia"/>
                <w:sz w:val="21"/>
                <w:szCs w:val="21"/>
              </w:rPr>
              <w:t xml:space="preserve"> 330℃</w:t>
            </w:r>
          </w:p>
        </w:tc>
        <w:tc>
          <w:tcPr>
            <w:tcW w:w="992" w:type="dxa"/>
            <w:vAlign w:val="center"/>
          </w:tcPr>
          <w:p>
            <w:pPr>
              <w:adjustRightInd w:val="0"/>
              <w:snapToGrid w:val="0"/>
              <w:spacing w:line="240" w:lineRule="atLeast"/>
              <w:jc w:val="both"/>
              <w:rPr>
                <w:sz w:val="21"/>
                <w:szCs w:val="21"/>
              </w:rPr>
            </w:pPr>
            <w:r>
              <w:rPr>
                <w:sz w:val="21"/>
                <w:szCs w:val="21"/>
              </w:rPr>
              <w:t>4.</w:t>
            </w:r>
            <w:r>
              <w:rPr>
                <w:rFonts w:hint="eastAsia"/>
                <w:sz w:val="21"/>
                <w:szCs w:val="21"/>
              </w:rPr>
              <w:t>3</w:t>
            </w:r>
            <w:r>
              <w:rPr>
                <w:sz w:val="21"/>
                <w:szCs w:val="21"/>
              </w:rPr>
              <w:t>MPa</w:t>
            </w:r>
            <w:r>
              <w:rPr>
                <w:rFonts w:hint="eastAsia"/>
                <w:sz w:val="21"/>
                <w:szCs w:val="21"/>
              </w:rPr>
              <w:t xml:space="preserve"> 375℃</w:t>
            </w:r>
          </w:p>
        </w:tc>
        <w:tc>
          <w:tcPr>
            <w:tcW w:w="1134" w:type="dxa"/>
            <w:vAlign w:val="center"/>
          </w:tcPr>
          <w:p>
            <w:pPr>
              <w:adjustRightInd w:val="0"/>
              <w:snapToGrid w:val="0"/>
              <w:spacing w:line="240" w:lineRule="atLeast"/>
              <w:jc w:val="both"/>
              <w:rPr>
                <w:sz w:val="21"/>
                <w:szCs w:val="21"/>
              </w:rPr>
            </w:pPr>
            <w:r>
              <w:rPr>
                <w:sz w:val="21"/>
                <w:szCs w:val="21"/>
              </w:rPr>
              <w:t>2.</w:t>
            </w:r>
            <w:r>
              <w:rPr>
                <w:rFonts w:hint="eastAsia"/>
                <w:sz w:val="21"/>
                <w:szCs w:val="21"/>
              </w:rPr>
              <w:t>3</w:t>
            </w:r>
            <w:r>
              <w:rPr>
                <w:sz w:val="21"/>
                <w:szCs w:val="21"/>
              </w:rPr>
              <w:t>MPa</w:t>
            </w:r>
            <w:r>
              <w:rPr>
                <w:rFonts w:hint="eastAsia"/>
                <w:sz w:val="21"/>
                <w:szCs w:val="21"/>
              </w:rPr>
              <w:t xml:space="preserve"> 230℃</w:t>
            </w:r>
          </w:p>
        </w:tc>
        <w:tc>
          <w:tcPr>
            <w:tcW w:w="1134" w:type="dxa"/>
            <w:vAlign w:val="center"/>
          </w:tcPr>
          <w:p>
            <w:pPr>
              <w:adjustRightInd w:val="0"/>
              <w:snapToGrid w:val="0"/>
              <w:spacing w:line="240" w:lineRule="atLeast"/>
              <w:jc w:val="both"/>
              <w:rPr>
                <w:sz w:val="21"/>
                <w:szCs w:val="21"/>
              </w:rPr>
            </w:pPr>
            <w:r>
              <w:rPr>
                <w:sz w:val="21"/>
                <w:szCs w:val="21"/>
              </w:rPr>
              <w:t>1.2MPa</w:t>
            </w:r>
            <w:r>
              <w:rPr>
                <w:rFonts w:hint="eastAsia"/>
                <w:sz w:val="21"/>
                <w:szCs w:val="21"/>
              </w:rPr>
              <w:t xml:space="preserve"> 210℃</w:t>
            </w:r>
          </w:p>
        </w:tc>
        <w:tc>
          <w:tcPr>
            <w:tcW w:w="1134" w:type="dxa"/>
            <w:vAlign w:val="center"/>
          </w:tcPr>
          <w:p>
            <w:pPr>
              <w:adjustRightInd w:val="0"/>
              <w:snapToGrid w:val="0"/>
              <w:spacing w:line="240" w:lineRule="atLeast"/>
              <w:jc w:val="both"/>
              <w:rPr>
                <w:sz w:val="21"/>
                <w:szCs w:val="21"/>
              </w:rPr>
            </w:pPr>
            <w:r>
              <w:rPr>
                <w:sz w:val="21"/>
                <w:szCs w:val="21"/>
              </w:rPr>
              <w:t>0.45MPa</w:t>
            </w:r>
            <w:r>
              <w:rPr>
                <w:rFonts w:hint="eastAsia"/>
                <w:sz w:val="21"/>
                <w:szCs w:val="21"/>
              </w:rPr>
              <w:t xml:space="preserve"> 155℃</w:t>
            </w:r>
          </w:p>
        </w:tc>
        <w:tc>
          <w:tcPr>
            <w:tcW w:w="1276" w:type="dxa"/>
            <w:vAlign w:val="center"/>
          </w:tcPr>
          <w:p>
            <w:pPr>
              <w:pStyle w:val="24"/>
              <w:adjustRightInd w:val="0"/>
              <w:snapToGrid w:val="0"/>
              <w:spacing w:line="300" w:lineRule="auto"/>
              <w:ind w:left="34" w:firstLine="0"/>
              <w:jc w:val="both"/>
              <w:rPr>
                <w:sz w:val="21"/>
                <w:szCs w:val="21"/>
              </w:rPr>
            </w:pPr>
            <w:r>
              <w:rPr>
                <w:rFonts w:hint="eastAsia"/>
                <w:sz w:val="21"/>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1653" w:type="dxa"/>
          </w:tcPr>
          <w:p>
            <w:pPr>
              <w:adjustRightInd w:val="0"/>
              <w:snapToGrid w:val="0"/>
              <w:spacing w:line="300" w:lineRule="auto"/>
              <w:rPr>
                <w:sz w:val="21"/>
                <w:szCs w:val="21"/>
              </w:rPr>
            </w:pPr>
            <w:r>
              <w:rPr>
                <w:rFonts w:hint="eastAsia"/>
                <w:sz w:val="21"/>
                <w:szCs w:val="21"/>
              </w:rPr>
              <w:t>蒸汽量（t/h）</w:t>
            </w:r>
          </w:p>
        </w:tc>
        <w:tc>
          <w:tcPr>
            <w:tcW w:w="1007" w:type="dxa"/>
            <w:vAlign w:val="center"/>
          </w:tcPr>
          <w:p>
            <w:pPr>
              <w:adjustRightInd w:val="0"/>
              <w:snapToGrid w:val="0"/>
              <w:spacing w:line="300" w:lineRule="auto"/>
              <w:jc w:val="both"/>
              <w:rPr>
                <w:sz w:val="21"/>
                <w:szCs w:val="21"/>
              </w:rPr>
            </w:pPr>
            <w:r>
              <w:rPr>
                <w:rFonts w:hint="eastAsia"/>
                <w:sz w:val="21"/>
                <w:szCs w:val="21"/>
              </w:rPr>
              <w:t>836.7</w:t>
            </w:r>
          </w:p>
        </w:tc>
        <w:tc>
          <w:tcPr>
            <w:tcW w:w="992" w:type="dxa"/>
            <w:vAlign w:val="center"/>
          </w:tcPr>
          <w:p>
            <w:pPr>
              <w:adjustRightInd w:val="0"/>
              <w:snapToGrid w:val="0"/>
              <w:spacing w:line="300" w:lineRule="auto"/>
              <w:jc w:val="both"/>
              <w:rPr>
                <w:sz w:val="21"/>
                <w:szCs w:val="21"/>
              </w:rPr>
            </w:pPr>
            <w:r>
              <w:rPr>
                <w:rFonts w:hint="eastAsia"/>
                <w:sz w:val="21"/>
                <w:szCs w:val="21"/>
              </w:rPr>
              <w:t>1285.1</w:t>
            </w:r>
          </w:p>
        </w:tc>
        <w:tc>
          <w:tcPr>
            <w:tcW w:w="1134" w:type="dxa"/>
            <w:vAlign w:val="center"/>
          </w:tcPr>
          <w:p>
            <w:pPr>
              <w:adjustRightInd w:val="0"/>
              <w:snapToGrid w:val="0"/>
              <w:spacing w:line="300" w:lineRule="auto"/>
              <w:jc w:val="both"/>
              <w:rPr>
                <w:sz w:val="21"/>
                <w:szCs w:val="21"/>
              </w:rPr>
            </w:pPr>
            <w:r>
              <w:rPr>
                <w:rFonts w:hint="eastAsia"/>
                <w:sz w:val="21"/>
                <w:szCs w:val="21"/>
              </w:rPr>
              <w:t>252.5</w:t>
            </w:r>
          </w:p>
        </w:tc>
        <w:tc>
          <w:tcPr>
            <w:tcW w:w="1134" w:type="dxa"/>
            <w:vAlign w:val="center"/>
          </w:tcPr>
          <w:p>
            <w:pPr>
              <w:adjustRightInd w:val="0"/>
              <w:snapToGrid w:val="0"/>
              <w:spacing w:line="300" w:lineRule="auto"/>
              <w:jc w:val="both"/>
              <w:rPr>
                <w:sz w:val="21"/>
                <w:szCs w:val="21"/>
              </w:rPr>
            </w:pPr>
            <w:r>
              <w:rPr>
                <w:rFonts w:hint="eastAsia"/>
                <w:sz w:val="21"/>
                <w:szCs w:val="21"/>
              </w:rPr>
              <w:t>423.3</w:t>
            </w:r>
          </w:p>
        </w:tc>
        <w:tc>
          <w:tcPr>
            <w:tcW w:w="1134" w:type="dxa"/>
            <w:vAlign w:val="center"/>
          </w:tcPr>
          <w:p>
            <w:pPr>
              <w:adjustRightInd w:val="0"/>
              <w:snapToGrid w:val="0"/>
              <w:spacing w:line="300" w:lineRule="auto"/>
              <w:jc w:val="both"/>
              <w:rPr>
                <w:sz w:val="21"/>
                <w:szCs w:val="21"/>
              </w:rPr>
            </w:pPr>
            <w:r>
              <w:rPr>
                <w:rFonts w:hint="eastAsia"/>
                <w:sz w:val="21"/>
                <w:szCs w:val="21"/>
              </w:rPr>
              <w:t>19.5</w:t>
            </w:r>
          </w:p>
        </w:tc>
        <w:tc>
          <w:tcPr>
            <w:tcW w:w="1276" w:type="dxa"/>
            <w:vAlign w:val="center"/>
          </w:tcPr>
          <w:p>
            <w:pPr>
              <w:adjustRightInd w:val="0"/>
              <w:snapToGrid w:val="0"/>
              <w:spacing w:line="300" w:lineRule="auto"/>
              <w:jc w:val="both"/>
              <w:rPr>
                <w:sz w:val="21"/>
                <w:szCs w:val="21"/>
              </w:rPr>
            </w:pPr>
            <w:r>
              <w:rPr>
                <w:rFonts w:hint="eastAsia"/>
                <w:sz w:val="21"/>
                <w:szCs w:val="21"/>
              </w:rPr>
              <w:t>2817.1</w:t>
            </w:r>
          </w:p>
        </w:tc>
      </w:tr>
    </w:tbl>
    <w:p>
      <w:pPr>
        <w:pStyle w:val="4"/>
        <w:keepNext/>
        <w:keepLines/>
        <w:numPr>
          <w:ilvl w:val="0"/>
          <w:numId w:val="3"/>
        </w:numPr>
        <w:autoSpaceDE/>
        <w:autoSpaceDN/>
        <w:jc w:val="both"/>
        <w:rPr>
          <w:sz w:val="28"/>
        </w:rPr>
      </w:pPr>
      <w:bookmarkStart w:id="42" w:name="_Toc162615115"/>
      <w:r>
        <w:rPr>
          <w:sz w:val="28"/>
        </w:rPr>
        <w:t>厂址条件</w:t>
      </w:r>
      <w:bookmarkEnd w:id="42"/>
    </w:p>
    <w:p>
      <w:pPr>
        <w:ind w:firstLine="480" w:firstLineChars="200"/>
        <w:rPr>
          <w:sz w:val="24"/>
          <w:lang w:eastAsia="zh-CN"/>
        </w:rPr>
      </w:pPr>
      <w:r>
        <w:rPr>
          <w:rFonts w:hint="eastAsia"/>
          <w:sz w:val="24"/>
          <w:lang w:eastAsia="zh-CN"/>
        </w:rPr>
        <w:t>福海创公司</w:t>
      </w:r>
      <w:r>
        <w:rPr>
          <w:sz w:val="24"/>
          <w:lang w:eastAsia="zh-CN"/>
        </w:rPr>
        <w:t>位于漳州古雷港口经济区</w:t>
      </w:r>
      <w:r>
        <w:rPr>
          <w:rFonts w:hint="eastAsia"/>
          <w:sz w:val="24"/>
          <w:lang w:eastAsia="zh-CN"/>
        </w:rPr>
        <w:t>（</w:t>
      </w:r>
      <w:r>
        <w:rPr>
          <w:sz w:val="24"/>
          <w:lang w:eastAsia="zh-CN"/>
        </w:rPr>
        <w:t>位于福建省南端，东经117°30′～117°45′，北纬23°25′～24°</w:t>
      </w:r>
      <w:r>
        <w:rPr>
          <w:rFonts w:hint="eastAsia"/>
          <w:sz w:val="24"/>
          <w:lang w:eastAsia="zh-CN"/>
        </w:rPr>
        <w:t>）</w:t>
      </w:r>
      <w:r>
        <w:rPr>
          <w:sz w:val="24"/>
          <w:lang w:eastAsia="zh-CN"/>
        </w:rPr>
        <w:t>，古雷区域东临浮头湾、台湾海峡，西靠东山湾，面对东山县、云霄县，三面环海。水路至厦门77海里，至汕头73海里，至台湾澎湖98海里；陆路至漳州112km，至厦门138km，至汕头146km。沈海高速公路从规划区北面穿过并设有互通口；国道324线、漳州沿海大通道和规划建设的厦深铁路横贯规划区北面，区位和交通条件优越。</w:t>
      </w:r>
    </w:p>
    <w:p>
      <w:pPr>
        <w:pStyle w:val="4"/>
        <w:keepNext/>
        <w:keepLines/>
        <w:numPr>
          <w:ilvl w:val="0"/>
          <w:numId w:val="3"/>
        </w:numPr>
        <w:autoSpaceDE/>
        <w:autoSpaceDN/>
        <w:jc w:val="both"/>
        <w:rPr>
          <w:sz w:val="28"/>
        </w:rPr>
      </w:pPr>
      <w:bookmarkStart w:id="43" w:name="_Toc162615116"/>
      <w:r>
        <w:rPr>
          <w:sz w:val="28"/>
        </w:rPr>
        <w:t>气象条件</w:t>
      </w:r>
      <w:bookmarkEnd w:id="43"/>
    </w:p>
    <w:p>
      <w:pPr>
        <w:ind w:firstLine="480" w:firstLineChars="200"/>
        <w:rPr>
          <w:sz w:val="24"/>
          <w:lang w:eastAsia="zh-CN"/>
        </w:rPr>
      </w:pPr>
      <w:r>
        <w:rPr>
          <w:sz w:val="24"/>
          <w:lang w:eastAsia="zh-CN"/>
        </w:rPr>
        <w:t>本项目所在地属南亚热带季风性气候，冬无严寒，夏无酷暑。年平均气温为21.3℃；年平均降水1327.4mm，雨季集中在5~8月；多年平均湿度为80%；常年主导风向为东北风；7~9月受台风影响频率最高。</w:t>
      </w:r>
    </w:p>
    <w:p>
      <w:pPr>
        <w:ind w:firstLine="480" w:firstLineChars="200"/>
        <w:rPr>
          <w:sz w:val="24"/>
          <w:lang w:eastAsia="zh-CN"/>
        </w:rPr>
      </w:pPr>
      <w:r>
        <w:rPr>
          <w:sz w:val="24"/>
          <w:lang w:eastAsia="zh-CN"/>
        </w:rPr>
        <w:t>气象台位置：东山县（“城关建国楼”117°30’，E；23°47’，N），1952～1980年实测统计资料：</w:t>
      </w:r>
    </w:p>
    <w:p>
      <w:pPr>
        <w:ind w:firstLine="480" w:firstLineChars="200"/>
        <w:rPr>
          <w:sz w:val="24"/>
        </w:rPr>
      </w:pPr>
      <w:r>
        <w:rPr>
          <w:sz w:val="24"/>
        </w:rPr>
        <w:t>1）气温</w:t>
      </w:r>
    </w:p>
    <w:tbl>
      <w:tblPr>
        <w:tblStyle w:val="17"/>
        <w:tblW w:w="0" w:type="auto"/>
        <w:tblInd w:w="46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04"/>
        <w:gridCol w:w="44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85" w:type="dxa"/>
            <w:vAlign w:val="center"/>
          </w:tcPr>
          <w:p>
            <w:pPr>
              <w:rPr>
                <w:sz w:val="24"/>
              </w:rPr>
            </w:pPr>
            <w:r>
              <w:rPr>
                <w:rFonts w:hint="eastAsia"/>
                <w:sz w:val="24"/>
              </w:rPr>
              <w:t>年平均大气温度</w:t>
            </w:r>
          </w:p>
        </w:tc>
        <w:tc>
          <w:tcPr>
            <w:tcW w:w="4575" w:type="dxa"/>
            <w:vAlign w:val="center"/>
          </w:tcPr>
          <w:p>
            <w:pPr>
              <w:rPr>
                <w:sz w:val="24"/>
              </w:rPr>
            </w:pPr>
            <w:r>
              <w:rPr>
                <w:sz w:val="24"/>
              </w:rPr>
              <w:t>21.3</w:t>
            </w:r>
            <w:r>
              <w:rPr>
                <w:rFonts w:hint="eastAsia"/>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85" w:type="dxa"/>
            <w:vAlign w:val="center"/>
          </w:tcPr>
          <w:p>
            <w:pPr>
              <w:rPr>
                <w:sz w:val="24"/>
              </w:rPr>
            </w:pPr>
            <w:r>
              <w:rPr>
                <w:rFonts w:hint="eastAsia"/>
                <w:sz w:val="24"/>
              </w:rPr>
              <w:t>最高月平均气温</w:t>
            </w:r>
          </w:p>
        </w:tc>
        <w:tc>
          <w:tcPr>
            <w:tcW w:w="4575" w:type="dxa"/>
            <w:vAlign w:val="center"/>
          </w:tcPr>
          <w:p>
            <w:pPr>
              <w:rPr>
                <w:sz w:val="24"/>
              </w:rPr>
            </w:pPr>
            <w:r>
              <w:rPr>
                <w:sz w:val="24"/>
              </w:rPr>
              <w:t>28.8</w:t>
            </w:r>
            <w:r>
              <w:rPr>
                <w:rFonts w:hint="eastAsia"/>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85" w:type="dxa"/>
            <w:vAlign w:val="center"/>
          </w:tcPr>
          <w:p>
            <w:pPr>
              <w:rPr>
                <w:sz w:val="24"/>
              </w:rPr>
            </w:pPr>
            <w:r>
              <w:rPr>
                <w:rFonts w:hint="eastAsia"/>
                <w:sz w:val="24"/>
              </w:rPr>
              <w:t>极端最高气温</w:t>
            </w:r>
          </w:p>
        </w:tc>
        <w:tc>
          <w:tcPr>
            <w:tcW w:w="4575" w:type="dxa"/>
            <w:vAlign w:val="center"/>
          </w:tcPr>
          <w:p>
            <w:pPr>
              <w:rPr>
                <w:sz w:val="24"/>
              </w:rPr>
            </w:pPr>
            <w:r>
              <w:rPr>
                <w:sz w:val="24"/>
              </w:rPr>
              <w:t>38.2</w:t>
            </w:r>
            <w:r>
              <w:rPr>
                <w:rFonts w:hint="eastAsia"/>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85" w:type="dxa"/>
            <w:vAlign w:val="center"/>
          </w:tcPr>
          <w:p>
            <w:pPr>
              <w:rPr>
                <w:sz w:val="24"/>
              </w:rPr>
            </w:pPr>
            <w:r>
              <w:rPr>
                <w:rFonts w:hint="eastAsia"/>
                <w:sz w:val="24"/>
              </w:rPr>
              <w:t>最低月平均气温</w:t>
            </w:r>
          </w:p>
        </w:tc>
        <w:tc>
          <w:tcPr>
            <w:tcW w:w="4575" w:type="dxa"/>
            <w:vAlign w:val="center"/>
          </w:tcPr>
          <w:p>
            <w:pPr>
              <w:rPr>
                <w:sz w:val="24"/>
              </w:rPr>
            </w:pPr>
            <w:r>
              <w:rPr>
                <w:sz w:val="24"/>
              </w:rPr>
              <w:t>12.1</w:t>
            </w:r>
            <w:r>
              <w:rPr>
                <w:rFonts w:hint="eastAsia"/>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85" w:type="dxa"/>
            <w:vAlign w:val="center"/>
          </w:tcPr>
          <w:p>
            <w:pPr>
              <w:rPr>
                <w:sz w:val="24"/>
              </w:rPr>
            </w:pPr>
            <w:r>
              <w:rPr>
                <w:rFonts w:hint="eastAsia"/>
                <w:sz w:val="24"/>
              </w:rPr>
              <w:t>极端最低气温</w:t>
            </w:r>
          </w:p>
        </w:tc>
        <w:tc>
          <w:tcPr>
            <w:tcW w:w="4575" w:type="dxa"/>
            <w:vAlign w:val="center"/>
          </w:tcPr>
          <w:p>
            <w:pPr>
              <w:rPr>
                <w:sz w:val="24"/>
              </w:rPr>
            </w:pPr>
            <w:r>
              <w:rPr>
                <w:sz w:val="24"/>
              </w:rPr>
              <w:t>4.7</w:t>
            </w:r>
            <w:r>
              <w:rPr>
                <w:rFonts w:hint="eastAsia"/>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85" w:type="dxa"/>
            <w:vAlign w:val="center"/>
          </w:tcPr>
          <w:p>
            <w:pPr>
              <w:spacing w:line="240" w:lineRule="atLeast"/>
              <w:rPr>
                <w:sz w:val="24"/>
                <w:lang w:eastAsia="zh-CN"/>
              </w:rPr>
            </w:pPr>
            <w:r>
              <w:rPr>
                <w:rFonts w:hint="eastAsia"/>
                <w:sz w:val="24"/>
                <w:lang w:eastAsia="zh-CN"/>
              </w:rPr>
              <w:t>最热月的日最高大气温度的平均值</w:t>
            </w:r>
          </w:p>
        </w:tc>
        <w:tc>
          <w:tcPr>
            <w:tcW w:w="4575" w:type="dxa"/>
            <w:vAlign w:val="center"/>
          </w:tcPr>
          <w:p>
            <w:pPr>
              <w:rPr>
                <w:sz w:val="24"/>
              </w:rPr>
            </w:pPr>
            <w:r>
              <w:rPr>
                <w:sz w:val="24"/>
              </w:rPr>
              <w:t>31.6</w:t>
            </w:r>
            <w:r>
              <w:rPr>
                <w:rFonts w:hint="eastAsia"/>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85" w:type="dxa"/>
            <w:vAlign w:val="center"/>
          </w:tcPr>
          <w:p>
            <w:pPr>
              <w:rPr>
                <w:sz w:val="24"/>
              </w:rPr>
            </w:pPr>
            <w:r>
              <w:rPr>
                <w:rFonts w:hint="eastAsia"/>
                <w:sz w:val="24"/>
              </w:rPr>
              <w:t>年最高气温日数</w:t>
            </w:r>
          </w:p>
        </w:tc>
        <w:tc>
          <w:tcPr>
            <w:tcW w:w="4575" w:type="dxa"/>
            <w:vAlign w:val="center"/>
          </w:tcPr>
          <w:p>
            <w:pPr>
              <w:rPr>
                <w:sz w:val="24"/>
              </w:rPr>
            </w:pPr>
            <w:r>
              <w:rPr>
                <w:sz w:val="24"/>
              </w:rPr>
              <w:t>≥30</w:t>
            </w:r>
            <w:r>
              <w:rPr>
                <w:rFonts w:hint="eastAsia"/>
                <w:sz w:val="24"/>
              </w:rPr>
              <w:t>℃，平均每年</w:t>
            </w:r>
            <w:r>
              <w:rPr>
                <w:sz w:val="24"/>
              </w:rPr>
              <w:t>81d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85" w:type="dxa"/>
            <w:vAlign w:val="center"/>
          </w:tcPr>
          <w:p>
            <w:pPr>
              <w:rPr>
                <w:sz w:val="24"/>
              </w:rPr>
            </w:pPr>
          </w:p>
        </w:tc>
        <w:tc>
          <w:tcPr>
            <w:tcW w:w="4575" w:type="dxa"/>
            <w:vAlign w:val="center"/>
          </w:tcPr>
          <w:p>
            <w:pPr>
              <w:rPr>
                <w:sz w:val="24"/>
              </w:rPr>
            </w:pPr>
            <w:r>
              <w:rPr>
                <w:sz w:val="24"/>
              </w:rPr>
              <w:t>≥35</w:t>
            </w:r>
            <w:r>
              <w:rPr>
                <w:rFonts w:hint="eastAsia"/>
                <w:sz w:val="24"/>
              </w:rPr>
              <w:t>℃，平均每年</w:t>
            </w:r>
            <w:r>
              <w:rPr>
                <w:sz w:val="24"/>
              </w:rPr>
              <w:t>0.65d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85" w:type="dxa"/>
            <w:vAlign w:val="center"/>
          </w:tcPr>
          <w:p>
            <w:pPr>
              <w:rPr>
                <w:sz w:val="24"/>
              </w:rPr>
            </w:pPr>
            <w:r>
              <w:rPr>
                <w:rFonts w:hint="eastAsia"/>
                <w:sz w:val="24"/>
              </w:rPr>
              <w:t>无霜期</w:t>
            </w:r>
          </w:p>
        </w:tc>
        <w:tc>
          <w:tcPr>
            <w:tcW w:w="4575" w:type="dxa"/>
            <w:vAlign w:val="center"/>
          </w:tcPr>
          <w:p>
            <w:pPr>
              <w:rPr>
                <w:sz w:val="24"/>
              </w:rPr>
            </w:pPr>
            <w:r>
              <w:rPr>
                <w:sz w:val="24"/>
              </w:rPr>
              <w:t>365</w:t>
            </w:r>
            <w:r>
              <w:rPr>
                <w:rFonts w:hint="eastAsia"/>
                <w:sz w:val="24"/>
              </w:rPr>
              <w:t>天</w:t>
            </w:r>
            <w:r>
              <w:rPr>
                <w:sz w:val="24"/>
              </w:rPr>
              <w:t>/</w:t>
            </w:r>
            <w:r>
              <w:rPr>
                <w:rFonts w:hint="eastAsia"/>
                <w:sz w:val="24"/>
              </w:rPr>
              <w:t>年</w:t>
            </w:r>
          </w:p>
        </w:tc>
      </w:tr>
    </w:tbl>
    <w:p>
      <w:pPr>
        <w:ind w:firstLine="480" w:firstLineChars="200"/>
        <w:rPr>
          <w:sz w:val="24"/>
        </w:rPr>
      </w:pPr>
      <w:r>
        <w:rPr>
          <w:sz w:val="24"/>
        </w:rPr>
        <w:t>2）降水</w:t>
      </w:r>
    </w:p>
    <w:tbl>
      <w:tblPr>
        <w:tblStyle w:val="17"/>
        <w:tblW w:w="0" w:type="auto"/>
        <w:tblInd w:w="46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11"/>
        <w:gridCol w:w="44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87" w:type="dxa"/>
            <w:vAlign w:val="center"/>
          </w:tcPr>
          <w:p>
            <w:pPr>
              <w:rPr>
                <w:sz w:val="24"/>
              </w:rPr>
            </w:pPr>
            <w:r>
              <w:rPr>
                <w:rFonts w:hint="eastAsia"/>
                <w:sz w:val="24"/>
              </w:rPr>
              <w:t>多年平均年降水量</w:t>
            </w:r>
          </w:p>
        </w:tc>
        <w:tc>
          <w:tcPr>
            <w:tcW w:w="4573" w:type="dxa"/>
            <w:vAlign w:val="center"/>
          </w:tcPr>
          <w:p>
            <w:pPr>
              <w:rPr>
                <w:sz w:val="24"/>
              </w:rPr>
            </w:pPr>
            <w:r>
              <w:rPr>
                <w:sz w:val="24"/>
              </w:rPr>
              <w:t>1327.4</w:t>
            </w:r>
            <w:r>
              <w:rPr>
                <w:rFonts w:hint="eastAsia"/>
                <w:sz w:val="24"/>
              </w:rPr>
              <w:t>毫米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87" w:type="dxa"/>
            <w:vAlign w:val="center"/>
          </w:tcPr>
          <w:p>
            <w:pPr>
              <w:rPr>
                <w:sz w:val="24"/>
              </w:rPr>
            </w:pPr>
            <w:r>
              <w:rPr>
                <w:rFonts w:hint="eastAsia"/>
                <w:sz w:val="24"/>
              </w:rPr>
              <w:t>历年最多年降水量</w:t>
            </w:r>
          </w:p>
        </w:tc>
        <w:tc>
          <w:tcPr>
            <w:tcW w:w="4573" w:type="dxa"/>
            <w:vAlign w:val="center"/>
          </w:tcPr>
          <w:p>
            <w:pPr>
              <w:rPr>
                <w:sz w:val="24"/>
              </w:rPr>
            </w:pPr>
            <w:r>
              <w:rPr>
                <w:sz w:val="24"/>
              </w:rPr>
              <w:t>2125.6</w:t>
            </w:r>
            <w:r>
              <w:rPr>
                <w:rFonts w:hint="eastAsia"/>
                <w:sz w:val="24"/>
              </w:rPr>
              <w:t>毫米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87" w:type="dxa"/>
            <w:vAlign w:val="center"/>
          </w:tcPr>
          <w:p>
            <w:pPr>
              <w:rPr>
                <w:sz w:val="24"/>
              </w:rPr>
            </w:pPr>
            <w:r>
              <w:rPr>
                <w:rFonts w:hint="eastAsia"/>
                <w:sz w:val="24"/>
              </w:rPr>
              <w:t>历年最少年降水量</w:t>
            </w:r>
          </w:p>
        </w:tc>
        <w:tc>
          <w:tcPr>
            <w:tcW w:w="4573" w:type="dxa"/>
            <w:vAlign w:val="center"/>
          </w:tcPr>
          <w:p>
            <w:pPr>
              <w:rPr>
                <w:sz w:val="24"/>
              </w:rPr>
            </w:pPr>
            <w:r>
              <w:rPr>
                <w:sz w:val="24"/>
              </w:rPr>
              <w:t>788.8</w:t>
            </w:r>
            <w:r>
              <w:rPr>
                <w:rFonts w:hint="eastAsia"/>
                <w:sz w:val="24"/>
              </w:rPr>
              <w:t>毫米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87" w:type="dxa"/>
            <w:vAlign w:val="center"/>
          </w:tcPr>
          <w:p>
            <w:pPr>
              <w:rPr>
                <w:sz w:val="24"/>
              </w:rPr>
            </w:pPr>
            <w:r>
              <w:rPr>
                <w:rFonts w:hint="eastAsia"/>
                <w:sz w:val="24"/>
              </w:rPr>
              <w:t>历年最多月降水量</w:t>
            </w:r>
          </w:p>
        </w:tc>
        <w:tc>
          <w:tcPr>
            <w:tcW w:w="4573" w:type="dxa"/>
            <w:vAlign w:val="center"/>
          </w:tcPr>
          <w:p>
            <w:pPr>
              <w:rPr>
                <w:sz w:val="24"/>
              </w:rPr>
            </w:pPr>
            <w:r>
              <w:rPr>
                <w:sz w:val="24"/>
              </w:rPr>
              <w:t>676.2</w:t>
            </w:r>
            <w:r>
              <w:rPr>
                <w:rFonts w:hint="eastAsia"/>
                <w:sz w:val="24"/>
              </w:rPr>
              <w:t>毫米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87" w:type="dxa"/>
            <w:vAlign w:val="center"/>
          </w:tcPr>
          <w:p>
            <w:pPr>
              <w:rPr>
                <w:sz w:val="24"/>
              </w:rPr>
            </w:pPr>
            <w:r>
              <w:rPr>
                <w:rFonts w:hint="eastAsia"/>
                <w:sz w:val="24"/>
              </w:rPr>
              <w:t>历年最多日降水量</w:t>
            </w:r>
          </w:p>
        </w:tc>
        <w:tc>
          <w:tcPr>
            <w:tcW w:w="4573" w:type="dxa"/>
            <w:vAlign w:val="center"/>
          </w:tcPr>
          <w:p>
            <w:pPr>
              <w:rPr>
                <w:sz w:val="24"/>
              </w:rPr>
            </w:pPr>
            <w:r>
              <w:rPr>
                <w:sz w:val="24"/>
              </w:rPr>
              <w:t>310.5</w:t>
            </w:r>
            <w:r>
              <w:rPr>
                <w:rFonts w:hint="eastAsia"/>
                <w:sz w:val="24"/>
              </w:rPr>
              <w:t>毫米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87" w:type="dxa"/>
            <w:vAlign w:val="center"/>
          </w:tcPr>
          <w:p>
            <w:pPr>
              <w:rPr>
                <w:sz w:val="24"/>
              </w:rPr>
            </w:pPr>
            <w:r>
              <w:rPr>
                <w:rFonts w:hint="eastAsia"/>
                <w:sz w:val="24"/>
              </w:rPr>
              <w:t>年平均降水日数</w:t>
            </w:r>
          </w:p>
        </w:tc>
        <w:tc>
          <w:tcPr>
            <w:tcW w:w="4573" w:type="dxa"/>
            <w:vAlign w:val="center"/>
          </w:tcPr>
          <w:p>
            <w:pPr>
              <w:rPr>
                <w:sz w:val="24"/>
              </w:rPr>
            </w:pPr>
            <w:r>
              <w:rPr>
                <w:sz w:val="24"/>
              </w:rPr>
              <w:t>103.7</w:t>
            </w:r>
            <w:r>
              <w:rPr>
                <w:rFonts w:hint="eastAsia"/>
                <w:sz w:val="24"/>
              </w:rPr>
              <w:t>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87" w:type="dxa"/>
            <w:vAlign w:val="center"/>
          </w:tcPr>
          <w:p>
            <w:pPr>
              <w:rPr>
                <w:sz w:val="24"/>
              </w:rPr>
            </w:pPr>
            <w:r>
              <w:rPr>
                <w:rFonts w:hint="eastAsia"/>
                <w:sz w:val="24"/>
              </w:rPr>
              <w:t>全年</w:t>
            </w:r>
            <w:r>
              <w:rPr>
                <w:sz w:val="24"/>
              </w:rPr>
              <w:t>≥25</w:t>
            </w:r>
            <w:r>
              <w:rPr>
                <w:rFonts w:hint="eastAsia"/>
                <w:sz w:val="24"/>
              </w:rPr>
              <w:t>毫米降水日数</w:t>
            </w:r>
          </w:p>
        </w:tc>
        <w:tc>
          <w:tcPr>
            <w:tcW w:w="4573" w:type="dxa"/>
            <w:vAlign w:val="center"/>
          </w:tcPr>
          <w:p>
            <w:pPr>
              <w:rPr>
                <w:sz w:val="24"/>
              </w:rPr>
            </w:pPr>
            <w:r>
              <w:rPr>
                <w:rFonts w:hint="eastAsia"/>
                <w:sz w:val="24"/>
              </w:rPr>
              <w:t>平均为</w:t>
            </w:r>
            <w:r>
              <w:rPr>
                <w:sz w:val="24"/>
              </w:rPr>
              <w:t>18</w:t>
            </w:r>
            <w:r>
              <w:rPr>
                <w:rFonts w:hint="eastAsia"/>
                <w:sz w:val="24"/>
              </w:rPr>
              <w:t>天</w:t>
            </w:r>
            <w:r>
              <w:rPr>
                <w:sz w:val="24"/>
              </w:rPr>
              <w:t>(2003</w:t>
            </w:r>
            <w:r>
              <w:rPr>
                <w:rFonts w:hint="eastAsia"/>
                <w:sz w:val="24"/>
              </w:rPr>
              <w:t>年</w:t>
            </w:r>
            <w:r>
              <w:rPr>
                <w:sz w:val="24"/>
              </w:rPr>
              <w:t>~2007</w:t>
            </w:r>
            <w:r>
              <w:rPr>
                <w:rFonts w:hint="eastAsia"/>
                <w:sz w:val="24"/>
              </w:rPr>
              <w:t>年</w:t>
            </w:r>
            <w:r>
              <w:rPr>
                <w:sz w:val="24"/>
              </w:rPr>
              <w:t>)</w:t>
            </w:r>
          </w:p>
        </w:tc>
      </w:tr>
    </w:tbl>
    <w:p>
      <w:pPr>
        <w:ind w:firstLine="480" w:firstLineChars="200"/>
        <w:rPr>
          <w:sz w:val="24"/>
        </w:rPr>
      </w:pPr>
      <w:r>
        <w:rPr>
          <w:sz w:val="24"/>
        </w:rPr>
        <w:t>3）风</w:t>
      </w:r>
    </w:p>
    <w:tbl>
      <w:tblPr>
        <w:tblStyle w:val="17"/>
        <w:tblW w:w="0" w:type="auto"/>
        <w:tblInd w:w="46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783"/>
        <w:gridCol w:w="45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64" w:type="dxa"/>
            <w:vAlign w:val="center"/>
          </w:tcPr>
          <w:p>
            <w:pPr>
              <w:rPr>
                <w:sz w:val="24"/>
              </w:rPr>
            </w:pPr>
            <w:r>
              <w:rPr>
                <w:rFonts w:hint="eastAsia"/>
                <w:sz w:val="24"/>
              </w:rPr>
              <w:t>多年平均风速</w:t>
            </w:r>
          </w:p>
        </w:tc>
        <w:tc>
          <w:tcPr>
            <w:tcW w:w="4596" w:type="dxa"/>
            <w:vAlign w:val="center"/>
          </w:tcPr>
          <w:p>
            <w:pPr>
              <w:rPr>
                <w:sz w:val="24"/>
              </w:rPr>
            </w:pPr>
            <w:r>
              <w:rPr>
                <w:sz w:val="24"/>
              </w:rPr>
              <w:t>5.5</w:t>
            </w:r>
            <w:r>
              <w:rPr>
                <w:rFonts w:hint="eastAsia"/>
                <w:sz w:val="24"/>
              </w:rPr>
              <w:t>米</w:t>
            </w:r>
            <w:r>
              <w:rPr>
                <w:sz w:val="24"/>
              </w:rPr>
              <w:t>/</w:t>
            </w:r>
            <w:r>
              <w:rPr>
                <w:rFonts w:hint="eastAsia"/>
                <w:sz w:val="24"/>
              </w:rPr>
              <w:t>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64" w:type="dxa"/>
            <w:vAlign w:val="center"/>
          </w:tcPr>
          <w:p>
            <w:pPr>
              <w:rPr>
                <w:sz w:val="24"/>
              </w:rPr>
            </w:pPr>
            <w:r>
              <w:rPr>
                <w:rFonts w:hint="eastAsia"/>
                <w:sz w:val="24"/>
              </w:rPr>
              <w:t>夏季平均风速</w:t>
            </w:r>
          </w:p>
        </w:tc>
        <w:tc>
          <w:tcPr>
            <w:tcW w:w="4596" w:type="dxa"/>
            <w:vAlign w:val="center"/>
          </w:tcPr>
          <w:p>
            <w:pPr>
              <w:rPr>
                <w:sz w:val="24"/>
                <w:lang w:eastAsia="zh-CN"/>
              </w:rPr>
            </w:pPr>
            <w:r>
              <w:rPr>
                <w:sz w:val="24"/>
                <w:lang w:eastAsia="zh-CN"/>
              </w:rPr>
              <w:t>3.9</w:t>
            </w:r>
            <w:r>
              <w:rPr>
                <w:rFonts w:hint="eastAsia"/>
                <w:sz w:val="24"/>
                <w:lang w:eastAsia="zh-CN"/>
              </w:rPr>
              <w:t>米</w:t>
            </w:r>
            <w:r>
              <w:rPr>
                <w:sz w:val="24"/>
                <w:lang w:eastAsia="zh-CN"/>
              </w:rPr>
              <w:t>/</w:t>
            </w:r>
            <w:r>
              <w:rPr>
                <w:rFonts w:hint="eastAsia"/>
                <w:sz w:val="24"/>
                <w:lang w:eastAsia="zh-CN"/>
              </w:rPr>
              <w:t>秒（</w:t>
            </w:r>
            <w:r>
              <w:rPr>
                <w:sz w:val="24"/>
                <w:lang w:eastAsia="zh-CN"/>
              </w:rPr>
              <w:t>10m</w:t>
            </w:r>
            <w:r>
              <w:rPr>
                <w:rFonts w:hint="eastAsia"/>
                <w:sz w:val="24"/>
                <w:lang w:eastAsia="zh-CN"/>
              </w:rPr>
              <w:t>高处平均风速）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64" w:type="dxa"/>
            <w:vAlign w:val="center"/>
          </w:tcPr>
          <w:p>
            <w:pPr>
              <w:rPr>
                <w:sz w:val="24"/>
              </w:rPr>
            </w:pPr>
            <w:r>
              <w:rPr>
                <w:rFonts w:hint="eastAsia"/>
                <w:sz w:val="24"/>
              </w:rPr>
              <w:t>冬季平均风速</w:t>
            </w:r>
          </w:p>
        </w:tc>
        <w:tc>
          <w:tcPr>
            <w:tcW w:w="4596" w:type="dxa"/>
            <w:vAlign w:val="center"/>
          </w:tcPr>
          <w:p>
            <w:pPr>
              <w:rPr>
                <w:sz w:val="24"/>
                <w:lang w:eastAsia="zh-CN"/>
              </w:rPr>
            </w:pPr>
            <w:r>
              <w:rPr>
                <w:sz w:val="24"/>
                <w:lang w:eastAsia="zh-CN"/>
              </w:rPr>
              <w:t>6.9</w:t>
            </w:r>
            <w:r>
              <w:rPr>
                <w:rFonts w:hint="eastAsia"/>
                <w:sz w:val="24"/>
                <w:lang w:eastAsia="zh-CN"/>
              </w:rPr>
              <w:t>米</w:t>
            </w:r>
            <w:r>
              <w:rPr>
                <w:sz w:val="24"/>
                <w:lang w:eastAsia="zh-CN"/>
              </w:rPr>
              <w:t>/</w:t>
            </w:r>
            <w:r>
              <w:rPr>
                <w:rFonts w:hint="eastAsia"/>
                <w:sz w:val="24"/>
                <w:lang w:eastAsia="zh-CN"/>
              </w:rPr>
              <w:t>秒（</w:t>
            </w:r>
            <w:r>
              <w:rPr>
                <w:sz w:val="24"/>
                <w:lang w:eastAsia="zh-CN"/>
              </w:rPr>
              <w:t>10m</w:t>
            </w:r>
            <w:r>
              <w:rPr>
                <w:rFonts w:hint="eastAsia"/>
                <w:sz w:val="24"/>
                <w:lang w:eastAsia="zh-CN"/>
              </w:rPr>
              <w:t>高处平均风速）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64" w:type="dxa"/>
            <w:vAlign w:val="center"/>
          </w:tcPr>
          <w:p>
            <w:pPr>
              <w:rPr>
                <w:sz w:val="24"/>
              </w:rPr>
            </w:pPr>
            <w:r>
              <w:rPr>
                <w:rFonts w:hint="eastAsia"/>
                <w:sz w:val="24"/>
              </w:rPr>
              <w:t>基本风压值</w:t>
            </w:r>
          </w:p>
        </w:tc>
        <w:tc>
          <w:tcPr>
            <w:tcW w:w="4596" w:type="dxa"/>
            <w:vAlign w:val="center"/>
          </w:tcPr>
          <w:p>
            <w:pPr>
              <w:rPr>
                <w:sz w:val="24"/>
              </w:rPr>
            </w:pPr>
            <w:r>
              <w:rPr>
                <w:rFonts w:hint="eastAsia"/>
                <w:sz w:val="24"/>
              </w:rPr>
              <w:t>不小于1.2</w:t>
            </w:r>
            <w:r>
              <w:rPr>
                <w:sz w:val="24"/>
              </w:rPr>
              <w:t>kN/m2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3864" w:type="dxa"/>
            <w:vAlign w:val="center"/>
          </w:tcPr>
          <w:p>
            <w:pPr>
              <w:rPr>
                <w:sz w:val="24"/>
              </w:rPr>
            </w:pPr>
          </w:p>
        </w:tc>
        <w:tc>
          <w:tcPr>
            <w:tcW w:w="4596" w:type="dxa"/>
            <w:vAlign w:val="center"/>
          </w:tcPr>
          <w:p>
            <w:pPr>
              <w:spacing w:line="240" w:lineRule="atLeast"/>
              <w:rPr>
                <w:sz w:val="24"/>
                <w:lang w:eastAsia="zh-CN"/>
              </w:rPr>
            </w:pPr>
            <w:r>
              <w:rPr>
                <w:rFonts w:hint="eastAsia"/>
                <w:sz w:val="24"/>
                <w:lang w:eastAsia="zh-CN"/>
              </w:rPr>
              <w:t>注：设计单位可按1.2</w:t>
            </w:r>
            <w:r>
              <w:rPr>
                <w:sz w:val="24"/>
                <w:lang w:eastAsia="zh-CN"/>
              </w:rPr>
              <w:t>kN/m2</w:t>
            </w:r>
            <w:r>
              <w:rPr>
                <w:rFonts w:hint="eastAsia"/>
                <w:sz w:val="24"/>
                <w:lang w:eastAsia="zh-CN"/>
              </w:rPr>
              <w:t>设计，但需考虑建设项目实际情况和建筑结构荷载规范</w:t>
            </w:r>
            <w:r>
              <w:rPr>
                <w:sz w:val="24"/>
                <w:lang w:eastAsia="zh-CN"/>
              </w:rPr>
              <w:t>GB50009-2001</w:t>
            </w:r>
            <w:r>
              <w:rPr>
                <w:rFonts w:hint="eastAsia"/>
                <w:sz w:val="24"/>
                <w:lang w:eastAsia="zh-CN"/>
              </w:rPr>
              <w:t>（</w:t>
            </w:r>
            <w:r>
              <w:rPr>
                <w:sz w:val="24"/>
                <w:lang w:eastAsia="zh-CN"/>
              </w:rPr>
              <w:t>2006</w:t>
            </w:r>
            <w:r>
              <w:rPr>
                <w:rFonts w:hint="eastAsia"/>
                <w:sz w:val="24"/>
                <w:lang w:eastAsia="zh-CN"/>
              </w:rPr>
              <w:t>版）等有关设计规范适当调整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64" w:type="dxa"/>
            <w:vAlign w:val="center"/>
          </w:tcPr>
          <w:p>
            <w:pPr>
              <w:rPr>
                <w:sz w:val="24"/>
              </w:rPr>
            </w:pPr>
            <w:r>
              <w:rPr>
                <w:rFonts w:hint="eastAsia"/>
                <w:sz w:val="24"/>
              </w:rPr>
              <w:t>主导风向</w:t>
            </w:r>
          </w:p>
        </w:tc>
        <w:tc>
          <w:tcPr>
            <w:tcW w:w="4596" w:type="dxa"/>
            <w:vAlign w:val="center"/>
          </w:tcPr>
          <w:p>
            <w:pPr>
              <w:rPr>
                <w:sz w:val="24"/>
              </w:rPr>
            </w:pPr>
            <w:r>
              <w:rPr>
                <w:rFonts w:hint="eastAsia"/>
                <w:sz w:val="24"/>
              </w:rPr>
              <w:t>东北，北北东</w:t>
            </w:r>
          </w:p>
        </w:tc>
      </w:tr>
    </w:tbl>
    <w:p>
      <w:pPr>
        <w:ind w:firstLine="480" w:firstLineChars="200"/>
        <w:rPr>
          <w:sz w:val="24"/>
        </w:rPr>
      </w:pPr>
      <w:r>
        <w:rPr>
          <w:sz w:val="24"/>
        </w:rPr>
        <w:t>4）台风</w:t>
      </w:r>
    </w:p>
    <w:tbl>
      <w:tblPr>
        <w:tblStyle w:val="17"/>
        <w:tblW w:w="0" w:type="auto"/>
        <w:tblInd w:w="46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11"/>
        <w:gridCol w:w="44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88" w:type="dxa"/>
            <w:vAlign w:val="center"/>
          </w:tcPr>
          <w:p>
            <w:pPr>
              <w:rPr>
                <w:sz w:val="24"/>
              </w:rPr>
            </w:pPr>
            <w:r>
              <w:rPr>
                <w:rFonts w:hint="eastAsia"/>
                <w:sz w:val="24"/>
              </w:rPr>
              <w:t>年台风次数</w:t>
            </w:r>
          </w:p>
        </w:tc>
        <w:tc>
          <w:tcPr>
            <w:tcW w:w="4572" w:type="dxa"/>
            <w:vAlign w:val="center"/>
          </w:tcPr>
          <w:p>
            <w:pPr>
              <w:rPr>
                <w:sz w:val="24"/>
              </w:rPr>
            </w:pPr>
            <w:r>
              <w:rPr>
                <w:sz w:val="24"/>
              </w:rPr>
              <w:t>5.9</w:t>
            </w:r>
            <w:r>
              <w:rPr>
                <w:rFonts w:hint="eastAsia"/>
                <w:sz w:val="24"/>
              </w:rPr>
              <w:t>次</w:t>
            </w:r>
            <w:r>
              <w:rPr>
                <w:sz w:val="24"/>
              </w:rPr>
              <w:t>/</w:t>
            </w:r>
            <w:r>
              <w:rPr>
                <w:rFonts w:hint="eastAsia"/>
                <w:sz w:val="24"/>
              </w:rPr>
              <w:t>年平均（</w:t>
            </w:r>
            <w:r>
              <w:rPr>
                <w:sz w:val="24"/>
              </w:rPr>
              <w:t>1951</w:t>
            </w:r>
            <w:r>
              <w:rPr>
                <w:rFonts w:hint="eastAsia"/>
                <w:sz w:val="24"/>
              </w:rPr>
              <w:t>年</w:t>
            </w:r>
            <w:r>
              <w:rPr>
                <w:sz w:val="24"/>
              </w:rPr>
              <w:t>~2000</w:t>
            </w:r>
            <w:r>
              <w:rPr>
                <w:rFonts w:hint="eastAsia"/>
                <w:sz w:val="24"/>
              </w:rPr>
              <w:t>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88" w:type="dxa"/>
            <w:vAlign w:val="center"/>
          </w:tcPr>
          <w:p>
            <w:pPr>
              <w:spacing w:line="240" w:lineRule="atLeast"/>
              <w:rPr>
                <w:sz w:val="24"/>
                <w:lang w:eastAsia="zh-CN"/>
              </w:rPr>
            </w:pPr>
            <w:r>
              <w:rPr>
                <w:rFonts w:hint="eastAsia"/>
                <w:sz w:val="24"/>
                <w:lang w:eastAsia="zh-CN"/>
              </w:rPr>
              <w:t>最大瞬间风速（东山近</w:t>
            </w:r>
            <w:r>
              <w:rPr>
                <w:sz w:val="24"/>
                <w:lang w:eastAsia="zh-CN"/>
              </w:rPr>
              <w:t>20</w:t>
            </w:r>
            <w:r>
              <w:rPr>
                <w:rFonts w:hint="eastAsia"/>
                <w:sz w:val="24"/>
                <w:lang w:eastAsia="zh-CN"/>
              </w:rPr>
              <w:t>年资料）</w:t>
            </w:r>
          </w:p>
        </w:tc>
        <w:tc>
          <w:tcPr>
            <w:tcW w:w="4572" w:type="dxa"/>
            <w:vAlign w:val="center"/>
          </w:tcPr>
          <w:p>
            <w:pPr>
              <w:rPr>
                <w:sz w:val="24"/>
              </w:rPr>
            </w:pPr>
            <w:r>
              <w:rPr>
                <w:sz w:val="24"/>
              </w:rPr>
              <w:t>48m/s</w:t>
            </w:r>
            <w:r>
              <w:rPr>
                <w:rFonts w:hint="eastAsia"/>
                <w:sz w:val="24"/>
              </w:rPr>
              <w:t>（</w:t>
            </w:r>
            <w:r>
              <w:rPr>
                <w:sz w:val="24"/>
              </w:rPr>
              <w:t>1980</w:t>
            </w:r>
            <w:r>
              <w:rPr>
                <w:rFonts w:hint="eastAsia"/>
                <w:sz w:val="24"/>
              </w:rPr>
              <w:t>年</w:t>
            </w:r>
            <w:r>
              <w:rPr>
                <w:sz w:val="24"/>
              </w:rPr>
              <w:t>9</w:t>
            </w:r>
            <w:r>
              <w:rPr>
                <w:rFonts w:hint="eastAsia"/>
                <w:sz w:val="24"/>
              </w:rPr>
              <w:t>月</w:t>
            </w:r>
            <w:r>
              <w:rPr>
                <w:sz w:val="24"/>
              </w:rPr>
              <w:t>19</w:t>
            </w:r>
            <w:r>
              <w:rPr>
                <w:rFonts w:hint="eastAsia"/>
                <w:sz w:val="24"/>
              </w:rPr>
              <w:t>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88" w:type="dxa"/>
            <w:vAlign w:val="center"/>
          </w:tcPr>
          <w:p>
            <w:pPr>
              <w:rPr>
                <w:sz w:val="24"/>
              </w:rPr>
            </w:pPr>
          </w:p>
        </w:tc>
        <w:tc>
          <w:tcPr>
            <w:tcW w:w="4572" w:type="dxa"/>
            <w:vAlign w:val="center"/>
          </w:tcPr>
          <w:p>
            <w:pPr>
              <w:rPr>
                <w:sz w:val="24"/>
              </w:rPr>
            </w:pPr>
            <w:r>
              <w:rPr>
                <w:sz w:val="24"/>
              </w:rPr>
              <w:t>37.6m/s</w:t>
            </w:r>
            <w:r>
              <w:rPr>
                <w:rFonts w:hint="eastAsia"/>
                <w:sz w:val="24"/>
              </w:rPr>
              <w:t>（</w:t>
            </w:r>
            <w:r>
              <w:rPr>
                <w:sz w:val="24"/>
              </w:rPr>
              <w:t>2006</w:t>
            </w:r>
            <w:r>
              <w:rPr>
                <w:rFonts w:hint="eastAsia"/>
                <w:sz w:val="24"/>
              </w:rPr>
              <w:t>年</w:t>
            </w:r>
            <w:r>
              <w:rPr>
                <w:sz w:val="24"/>
              </w:rPr>
              <w:t>5</w:t>
            </w:r>
            <w:r>
              <w:rPr>
                <w:rFonts w:hint="eastAsia"/>
                <w:sz w:val="24"/>
              </w:rPr>
              <w:t>月</w:t>
            </w:r>
            <w:r>
              <w:rPr>
                <w:sz w:val="24"/>
              </w:rPr>
              <w:t>17</w:t>
            </w:r>
            <w:r>
              <w:rPr>
                <w:rFonts w:hint="eastAsia"/>
                <w:sz w:val="24"/>
              </w:rPr>
              <w:t>日）</w:t>
            </w:r>
          </w:p>
        </w:tc>
      </w:tr>
    </w:tbl>
    <w:p>
      <w:pPr>
        <w:ind w:firstLine="480" w:firstLineChars="200"/>
        <w:rPr>
          <w:sz w:val="24"/>
        </w:rPr>
      </w:pPr>
      <w:r>
        <w:rPr>
          <w:sz w:val="24"/>
        </w:rPr>
        <w:t>5）雾</w:t>
      </w:r>
    </w:p>
    <w:tbl>
      <w:tblPr>
        <w:tblStyle w:val="17"/>
        <w:tblW w:w="0" w:type="auto"/>
        <w:tblInd w:w="46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12"/>
        <w:gridCol w:w="44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88" w:type="dxa"/>
            <w:vAlign w:val="center"/>
          </w:tcPr>
          <w:p>
            <w:pPr>
              <w:rPr>
                <w:sz w:val="24"/>
              </w:rPr>
            </w:pPr>
            <w:r>
              <w:rPr>
                <w:rFonts w:hint="eastAsia"/>
                <w:sz w:val="24"/>
              </w:rPr>
              <w:t>多年平均雾日数</w:t>
            </w:r>
          </w:p>
        </w:tc>
        <w:tc>
          <w:tcPr>
            <w:tcW w:w="4572" w:type="dxa"/>
            <w:vAlign w:val="center"/>
          </w:tcPr>
          <w:p>
            <w:pPr>
              <w:rPr>
                <w:sz w:val="24"/>
              </w:rPr>
            </w:pPr>
            <w:r>
              <w:rPr>
                <w:sz w:val="24"/>
              </w:rPr>
              <w:t>22.5</w:t>
            </w:r>
            <w:r>
              <w:rPr>
                <w:rFonts w:hint="eastAsia"/>
                <w:sz w:val="24"/>
              </w:rPr>
              <w:t>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88" w:type="dxa"/>
            <w:vAlign w:val="center"/>
          </w:tcPr>
          <w:p>
            <w:pPr>
              <w:rPr>
                <w:sz w:val="24"/>
              </w:rPr>
            </w:pPr>
            <w:r>
              <w:rPr>
                <w:rFonts w:hint="eastAsia"/>
                <w:sz w:val="24"/>
              </w:rPr>
              <w:t>最多年雾日数</w:t>
            </w:r>
          </w:p>
        </w:tc>
        <w:tc>
          <w:tcPr>
            <w:tcW w:w="4572" w:type="dxa"/>
            <w:vAlign w:val="center"/>
          </w:tcPr>
          <w:p>
            <w:pPr>
              <w:rPr>
                <w:sz w:val="24"/>
              </w:rPr>
            </w:pPr>
            <w:r>
              <w:rPr>
                <w:sz w:val="24"/>
              </w:rPr>
              <w:t>39</w:t>
            </w:r>
            <w:r>
              <w:rPr>
                <w:rFonts w:hint="eastAsia"/>
                <w:sz w:val="24"/>
              </w:rPr>
              <w:t>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88" w:type="dxa"/>
            <w:vAlign w:val="center"/>
          </w:tcPr>
          <w:p>
            <w:pPr>
              <w:rPr>
                <w:sz w:val="24"/>
              </w:rPr>
            </w:pPr>
            <w:r>
              <w:rPr>
                <w:rFonts w:hint="eastAsia"/>
                <w:sz w:val="24"/>
              </w:rPr>
              <w:t>多雾月份</w:t>
            </w:r>
          </w:p>
        </w:tc>
        <w:tc>
          <w:tcPr>
            <w:tcW w:w="4572" w:type="dxa"/>
            <w:vAlign w:val="center"/>
          </w:tcPr>
          <w:p>
            <w:pPr>
              <w:rPr>
                <w:sz w:val="24"/>
              </w:rPr>
            </w:pPr>
            <w:r>
              <w:rPr>
                <w:sz w:val="24"/>
              </w:rPr>
              <w:t>2~4</w:t>
            </w:r>
            <w:r>
              <w:rPr>
                <w:rFonts w:hint="eastAsia"/>
                <w:sz w:val="24"/>
              </w:rPr>
              <w:t>月</w:t>
            </w:r>
          </w:p>
        </w:tc>
      </w:tr>
    </w:tbl>
    <w:p>
      <w:pPr>
        <w:ind w:firstLine="480" w:firstLineChars="200"/>
        <w:rPr>
          <w:sz w:val="24"/>
        </w:rPr>
      </w:pPr>
      <w:r>
        <w:rPr>
          <w:sz w:val="24"/>
        </w:rPr>
        <w:t>6）相对湿度</w:t>
      </w:r>
    </w:p>
    <w:tbl>
      <w:tblPr>
        <w:tblStyle w:val="17"/>
        <w:tblW w:w="0" w:type="auto"/>
        <w:tblInd w:w="46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27"/>
        <w:gridCol w:w="1067"/>
        <w:gridCol w:w="34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97" w:type="dxa"/>
            <w:vAlign w:val="center"/>
          </w:tcPr>
          <w:p>
            <w:pPr>
              <w:rPr>
                <w:sz w:val="24"/>
              </w:rPr>
            </w:pPr>
            <w:r>
              <w:rPr>
                <w:rFonts w:hint="eastAsia"/>
                <w:sz w:val="24"/>
              </w:rPr>
              <w:t>多年平均相对湿度</w:t>
            </w:r>
          </w:p>
        </w:tc>
        <w:tc>
          <w:tcPr>
            <w:tcW w:w="4563" w:type="dxa"/>
            <w:gridSpan w:val="2"/>
            <w:vAlign w:val="center"/>
          </w:tcPr>
          <w:p>
            <w:pPr>
              <w:rPr>
                <w:sz w:val="24"/>
              </w:rPr>
            </w:pPr>
            <w:r>
              <w:rPr>
                <w:sz w:val="24"/>
              </w:rPr>
              <w:t>80</w:t>
            </w:r>
            <w:r>
              <w:rPr>
                <w:rFonts w:hint="eastAsia"/>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97" w:type="dxa"/>
            <w:vAlign w:val="center"/>
          </w:tcPr>
          <w:p>
            <w:pPr>
              <w:rPr>
                <w:sz w:val="24"/>
              </w:rPr>
            </w:pPr>
            <w:r>
              <w:rPr>
                <w:rFonts w:hint="eastAsia"/>
                <w:sz w:val="24"/>
              </w:rPr>
              <w:t>夏季相对湿度</w:t>
            </w:r>
          </w:p>
        </w:tc>
        <w:tc>
          <w:tcPr>
            <w:tcW w:w="4563" w:type="dxa"/>
            <w:gridSpan w:val="2"/>
            <w:vAlign w:val="center"/>
          </w:tcPr>
          <w:p>
            <w:pPr>
              <w:rPr>
                <w:sz w:val="24"/>
              </w:rPr>
            </w:pPr>
            <w:r>
              <w:rPr>
                <w:sz w:val="24"/>
              </w:rPr>
              <w:t>85.7</w:t>
            </w:r>
            <w:r>
              <w:rPr>
                <w:rFonts w:hint="eastAsia"/>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97" w:type="dxa"/>
            <w:vAlign w:val="center"/>
          </w:tcPr>
          <w:p>
            <w:pPr>
              <w:rPr>
                <w:sz w:val="24"/>
              </w:rPr>
            </w:pPr>
            <w:r>
              <w:rPr>
                <w:rFonts w:hint="eastAsia"/>
                <w:sz w:val="24"/>
              </w:rPr>
              <w:t>冬季相对湿度</w:t>
            </w:r>
          </w:p>
        </w:tc>
        <w:tc>
          <w:tcPr>
            <w:tcW w:w="4563" w:type="dxa"/>
            <w:gridSpan w:val="2"/>
            <w:vAlign w:val="center"/>
          </w:tcPr>
          <w:p>
            <w:pPr>
              <w:rPr>
                <w:sz w:val="24"/>
              </w:rPr>
            </w:pPr>
            <w:r>
              <w:rPr>
                <w:sz w:val="24"/>
              </w:rPr>
              <w:t>77.3</w:t>
            </w:r>
            <w:r>
              <w:rPr>
                <w:rFonts w:hint="eastAsia"/>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97" w:type="dxa"/>
            <w:vAlign w:val="center"/>
          </w:tcPr>
          <w:p>
            <w:pPr>
              <w:rPr>
                <w:sz w:val="24"/>
                <w:lang w:eastAsia="zh-CN"/>
              </w:rPr>
            </w:pPr>
            <w:r>
              <w:rPr>
                <w:rFonts w:hint="eastAsia"/>
                <w:sz w:val="24"/>
                <w:lang w:eastAsia="zh-CN"/>
              </w:rPr>
              <w:t>夏天最热时间相对湿度</w:t>
            </w:r>
          </w:p>
        </w:tc>
        <w:tc>
          <w:tcPr>
            <w:tcW w:w="4563" w:type="dxa"/>
            <w:gridSpan w:val="2"/>
            <w:vAlign w:val="center"/>
          </w:tcPr>
          <w:p>
            <w:pPr>
              <w:rPr>
                <w:sz w:val="24"/>
              </w:rPr>
            </w:pPr>
            <w:r>
              <w:rPr>
                <w:sz w:val="24"/>
              </w:rPr>
              <w:t>75</w:t>
            </w:r>
            <w:r>
              <w:rPr>
                <w:rFonts w:hint="eastAsia"/>
                <w:sz w:val="24"/>
              </w:rPr>
              <w:t>％</w:t>
            </w:r>
            <w:r>
              <w:rPr>
                <w:sz w:val="24"/>
              </w:rPr>
              <w:t>(13</w:t>
            </w:r>
            <w:r>
              <w:rPr>
                <w:rFonts w:hint="eastAsia"/>
                <w:sz w:val="24"/>
              </w:rPr>
              <w:t>～</w:t>
            </w:r>
            <w:r>
              <w:rPr>
                <w:sz w:val="24"/>
              </w:rPr>
              <w:t>14</w:t>
            </w:r>
            <w:r>
              <w:rPr>
                <w:rFonts w:hint="eastAsia"/>
                <w:sz w:val="24"/>
              </w:rPr>
              <w:t>时</w:t>
            </w:r>
            <w:r>
              <w:rPr>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97" w:type="dxa"/>
            <w:vAlign w:val="center"/>
          </w:tcPr>
          <w:p>
            <w:pPr>
              <w:rPr>
                <w:sz w:val="24"/>
              </w:rPr>
            </w:pPr>
            <w:r>
              <w:rPr>
                <w:rFonts w:hint="eastAsia"/>
                <w:sz w:val="24"/>
              </w:rPr>
              <w:t>最大相对湿度</w:t>
            </w:r>
          </w:p>
        </w:tc>
        <w:tc>
          <w:tcPr>
            <w:tcW w:w="4563" w:type="dxa"/>
            <w:gridSpan w:val="2"/>
            <w:vAlign w:val="center"/>
          </w:tcPr>
          <w:p>
            <w:pPr>
              <w:rPr>
                <w:sz w:val="24"/>
              </w:rPr>
            </w:pPr>
            <w:r>
              <w:rPr>
                <w:sz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97" w:type="dxa"/>
            <w:vAlign w:val="center"/>
          </w:tcPr>
          <w:p>
            <w:pPr>
              <w:rPr>
                <w:sz w:val="24"/>
              </w:rPr>
            </w:pPr>
            <w:r>
              <w:rPr>
                <w:rFonts w:hint="eastAsia"/>
                <w:sz w:val="24"/>
              </w:rPr>
              <w:t>最热月平均相对湿度</w:t>
            </w:r>
          </w:p>
        </w:tc>
        <w:tc>
          <w:tcPr>
            <w:tcW w:w="4563" w:type="dxa"/>
            <w:gridSpan w:val="2"/>
            <w:vAlign w:val="center"/>
          </w:tcPr>
          <w:p>
            <w:pPr>
              <w:rPr>
                <w:sz w:val="24"/>
              </w:rPr>
            </w:pPr>
            <w:r>
              <w:rPr>
                <w:sz w:val="24"/>
              </w:rPr>
              <w:t>98% / 26.8%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87" w:type="dxa"/>
            <w:gridSpan w:val="2"/>
            <w:vAlign w:val="center"/>
          </w:tcPr>
          <w:p>
            <w:pPr>
              <w:spacing w:line="240" w:lineRule="atLeast"/>
              <w:rPr>
                <w:sz w:val="24"/>
                <w:lang w:eastAsia="zh-CN"/>
              </w:rPr>
            </w:pPr>
            <w:r>
              <w:rPr>
                <w:sz w:val="24"/>
                <w:lang w:eastAsia="zh-CN"/>
              </w:rPr>
              <w:t>2003~2007</w:t>
            </w:r>
            <w:r>
              <w:rPr>
                <w:rFonts w:hint="eastAsia"/>
                <w:sz w:val="24"/>
                <w:lang w:eastAsia="zh-CN"/>
              </w:rPr>
              <w:t>年最热月</w:t>
            </w:r>
            <w:r>
              <w:rPr>
                <w:sz w:val="24"/>
                <w:lang w:eastAsia="zh-CN"/>
              </w:rPr>
              <w:t>(7~9</w:t>
            </w:r>
            <w:r>
              <w:rPr>
                <w:rFonts w:hint="eastAsia"/>
                <w:sz w:val="24"/>
                <w:lang w:eastAsia="zh-CN"/>
              </w:rPr>
              <w:t>月</w:t>
            </w:r>
            <w:r>
              <w:rPr>
                <w:sz w:val="24"/>
                <w:lang w:eastAsia="zh-CN"/>
              </w:rPr>
              <w:t>)</w:t>
            </w:r>
            <w:r>
              <w:rPr>
                <w:rFonts w:hint="eastAsia"/>
                <w:sz w:val="24"/>
                <w:lang w:eastAsia="zh-CN"/>
              </w:rPr>
              <w:t>的平均相对湿度</w:t>
            </w:r>
          </w:p>
        </w:tc>
        <w:tc>
          <w:tcPr>
            <w:tcW w:w="3473" w:type="dxa"/>
            <w:vAlign w:val="center"/>
          </w:tcPr>
          <w:p>
            <w:pPr>
              <w:rPr>
                <w:sz w:val="24"/>
              </w:rPr>
            </w:pPr>
            <w:r>
              <w:rPr>
                <w:sz w:val="24"/>
              </w:rPr>
              <w:t>79%</w:t>
            </w:r>
          </w:p>
        </w:tc>
      </w:tr>
    </w:tbl>
    <w:p>
      <w:pPr>
        <w:ind w:firstLine="480" w:firstLineChars="200"/>
        <w:rPr>
          <w:sz w:val="24"/>
        </w:rPr>
      </w:pPr>
      <w:r>
        <w:rPr>
          <w:sz w:val="24"/>
        </w:rPr>
        <w:t>7）气压</w:t>
      </w:r>
    </w:p>
    <w:tbl>
      <w:tblPr>
        <w:tblStyle w:val="17"/>
        <w:tblW w:w="0" w:type="auto"/>
        <w:tblInd w:w="46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793"/>
        <w:gridCol w:w="45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76" w:type="dxa"/>
            <w:vAlign w:val="center"/>
          </w:tcPr>
          <w:p>
            <w:pPr>
              <w:rPr>
                <w:sz w:val="24"/>
              </w:rPr>
            </w:pPr>
            <w:r>
              <w:rPr>
                <w:rFonts w:hint="eastAsia"/>
                <w:sz w:val="24"/>
              </w:rPr>
              <w:t>年平均气压</w:t>
            </w:r>
          </w:p>
        </w:tc>
        <w:tc>
          <w:tcPr>
            <w:tcW w:w="4584" w:type="dxa"/>
            <w:vAlign w:val="center"/>
          </w:tcPr>
          <w:p>
            <w:pPr>
              <w:rPr>
                <w:sz w:val="24"/>
              </w:rPr>
            </w:pPr>
            <w:r>
              <w:rPr>
                <w:sz w:val="24"/>
              </w:rPr>
              <w:t>1007.6hPa</w:t>
            </w:r>
          </w:p>
        </w:tc>
      </w:tr>
    </w:tbl>
    <w:p>
      <w:pPr>
        <w:ind w:firstLine="480" w:firstLineChars="200"/>
        <w:rPr>
          <w:sz w:val="24"/>
        </w:rPr>
      </w:pPr>
      <w:r>
        <w:rPr>
          <w:sz w:val="24"/>
        </w:rPr>
        <w:t>8）蒸发量</w:t>
      </w:r>
    </w:p>
    <w:tbl>
      <w:tblPr>
        <w:tblStyle w:val="17"/>
        <w:tblW w:w="0" w:type="auto"/>
        <w:tblInd w:w="46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05"/>
        <w:gridCol w:w="449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84" w:type="dxa"/>
            <w:vAlign w:val="center"/>
          </w:tcPr>
          <w:p>
            <w:pPr>
              <w:rPr>
                <w:sz w:val="24"/>
              </w:rPr>
            </w:pPr>
            <w:r>
              <w:rPr>
                <w:rFonts w:hint="eastAsia"/>
                <w:sz w:val="24"/>
              </w:rPr>
              <w:t>年平均蒸发量</w:t>
            </w:r>
          </w:p>
        </w:tc>
        <w:tc>
          <w:tcPr>
            <w:tcW w:w="4576" w:type="dxa"/>
            <w:vAlign w:val="center"/>
          </w:tcPr>
          <w:p>
            <w:pPr>
              <w:rPr>
                <w:sz w:val="24"/>
              </w:rPr>
            </w:pPr>
            <w:r>
              <w:rPr>
                <w:sz w:val="24"/>
              </w:rPr>
              <w:t>1658.2</w:t>
            </w:r>
            <w:r>
              <w:rPr>
                <w:rFonts w:hint="eastAsia"/>
                <w:sz w:val="24"/>
              </w:rPr>
              <w:t>毫米</w:t>
            </w:r>
          </w:p>
        </w:tc>
      </w:tr>
    </w:tbl>
    <w:p>
      <w:pPr>
        <w:ind w:firstLine="480" w:firstLineChars="200"/>
        <w:rPr>
          <w:sz w:val="24"/>
        </w:rPr>
      </w:pPr>
      <w:r>
        <w:rPr>
          <w:sz w:val="24"/>
        </w:rPr>
        <w:t>9）地震</w:t>
      </w:r>
    </w:p>
    <w:tbl>
      <w:tblPr>
        <w:tblStyle w:val="17"/>
        <w:tblW w:w="0" w:type="auto"/>
        <w:tblInd w:w="46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09"/>
        <w:gridCol w:w="44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86" w:type="dxa"/>
            <w:vAlign w:val="center"/>
          </w:tcPr>
          <w:p>
            <w:pPr>
              <w:rPr>
                <w:sz w:val="24"/>
              </w:rPr>
            </w:pPr>
            <w:r>
              <w:rPr>
                <w:rFonts w:hint="eastAsia"/>
                <w:sz w:val="24"/>
              </w:rPr>
              <w:t>地震设防烈度</w:t>
            </w:r>
          </w:p>
        </w:tc>
        <w:tc>
          <w:tcPr>
            <w:tcW w:w="4574" w:type="dxa"/>
            <w:vAlign w:val="center"/>
          </w:tcPr>
          <w:p>
            <w:pPr>
              <w:rPr>
                <w:sz w:val="24"/>
              </w:rPr>
            </w:pPr>
            <w:r>
              <w:rPr>
                <w:sz w:val="24"/>
              </w:rPr>
              <w:t>7</w:t>
            </w:r>
            <w:r>
              <w:rPr>
                <w:rFonts w:hint="eastAsia"/>
                <w:sz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86" w:type="dxa"/>
            <w:vAlign w:val="center"/>
          </w:tcPr>
          <w:p>
            <w:pPr>
              <w:rPr>
                <w:sz w:val="24"/>
              </w:rPr>
            </w:pPr>
            <w:r>
              <w:rPr>
                <w:rFonts w:hint="eastAsia"/>
                <w:sz w:val="24"/>
              </w:rPr>
              <w:t>地震基本加速度</w:t>
            </w:r>
          </w:p>
        </w:tc>
        <w:tc>
          <w:tcPr>
            <w:tcW w:w="4574" w:type="dxa"/>
            <w:vAlign w:val="center"/>
          </w:tcPr>
          <w:p>
            <w:pPr>
              <w:rPr>
                <w:sz w:val="24"/>
              </w:rPr>
            </w:pPr>
            <w:r>
              <w:rPr>
                <w:sz w:val="24"/>
              </w:rPr>
              <w:t>0.15g</w:t>
            </w:r>
          </w:p>
        </w:tc>
      </w:tr>
    </w:tbl>
    <w:p>
      <w:pPr>
        <w:ind w:firstLine="480" w:firstLineChars="200"/>
        <w:rPr>
          <w:sz w:val="24"/>
        </w:rPr>
      </w:pPr>
      <w:r>
        <w:rPr>
          <w:sz w:val="24"/>
        </w:rPr>
        <w:t>10）暴雨强度公式：</w:t>
      </w:r>
    </w:p>
    <w:tbl>
      <w:tblPr>
        <w:tblStyle w:val="17"/>
        <w:tblW w:w="0" w:type="auto"/>
        <w:tblInd w:w="46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40"/>
        <w:gridCol w:w="44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460" w:type="dxa"/>
            <w:gridSpan w:val="2"/>
            <w:vAlign w:val="center"/>
          </w:tcPr>
          <w:p>
            <w:pPr>
              <w:jc w:val="center"/>
              <w:rPr>
                <w:sz w:val="24"/>
              </w:rPr>
            </w:pPr>
            <w:r>
              <w:rPr>
                <w:sz w:val="24"/>
              </w:rPr>
              <w:t>q = 2003.515×(1 + 0.568lgTe)/ (t + 6.187) 0.659（L/S·ha）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904" w:type="dxa"/>
            <w:vAlign w:val="center"/>
          </w:tcPr>
          <w:p>
            <w:pPr>
              <w:rPr>
                <w:sz w:val="24"/>
                <w:lang w:eastAsia="zh-CN"/>
              </w:rPr>
            </w:pPr>
            <w:r>
              <w:rPr>
                <w:sz w:val="24"/>
                <w:lang w:eastAsia="zh-CN"/>
              </w:rPr>
              <w:t>其中：Te-设计重现期（a）</w:t>
            </w:r>
          </w:p>
        </w:tc>
        <w:tc>
          <w:tcPr>
            <w:tcW w:w="4556" w:type="dxa"/>
            <w:vAlign w:val="center"/>
          </w:tcPr>
          <w:p>
            <w:pPr>
              <w:rPr>
                <w:sz w:val="24"/>
                <w:lang w:eastAsia="zh-CN"/>
              </w:rPr>
            </w:pPr>
          </w:p>
        </w:tc>
      </w:tr>
    </w:tbl>
    <w:p>
      <w:pPr>
        <w:pStyle w:val="3"/>
        <w:keepNext/>
        <w:keepLines/>
        <w:numPr>
          <w:ilvl w:val="0"/>
          <w:numId w:val="2"/>
        </w:numPr>
        <w:autoSpaceDE/>
        <w:autoSpaceDN/>
        <w:jc w:val="both"/>
        <w:rPr>
          <w:sz w:val="32"/>
        </w:rPr>
      </w:pPr>
      <w:r>
        <w:rPr>
          <w:rFonts w:hint="eastAsia"/>
          <w:sz w:val="32"/>
        </w:rPr>
        <w:t>技术标准（不限于此）</w:t>
      </w:r>
    </w:p>
    <w:p>
      <w:pPr>
        <w:ind w:firstLine="480" w:firstLineChars="200"/>
        <w:rPr>
          <w:sz w:val="24"/>
          <w:lang w:eastAsia="zh-CN"/>
        </w:rPr>
      </w:pPr>
      <w:r>
        <w:rPr>
          <w:rFonts w:hint="eastAsia"/>
          <w:sz w:val="24"/>
          <w:lang w:eastAsia="zh-CN"/>
        </w:rPr>
        <w:t>设计文件及文件中所涉及的附件和设备应符合相应的标准规范或法规的最新版本或其修正本的要求</w:t>
      </w:r>
      <w:r>
        <w:rPr>
          <w:sz w:val="24"/>
          <w:lang w:eastAsia="zh-CN"/>
        </w:rPr>
        <w:t xml:space="preserve">, </w:t>
      </w:r>
      <w:r>
        <w:rPr>
          <w:rFonts w:hint="eastAsia"/>
          <w:sz w:val="24"/>
          <w:lang w:eastAsia="zh-CN"/>
        </w:rPr>
        <w:t>除非另有特别说明，将包括投标期内有效的任何修正和补充。</w:t>
      </w:r>
    </w:p>
    <w:p>
      <w:pPr>
        <w:ind w:firstLine="480" w:firstLineChars="200"/>
        <w:rPr>
          <w:sz w:val="24"/>
          <w:lang w:eastAsia="zh-CN"/>
        </w:rPr>
      </w:pPr>
      <w:r>
        <w:rPr>
          <w:rFonts w:hint="eastAsia"/>
          <w:sz w:val="24"/>
          <w:lang w:eastAsia="zh-CN"/>
        </w:rPr>
        <w:t>除非合同另有规定，均须遵守最新的国家标准</w:t>
      </w:r>
      <w:r>
        <w:rPr>
          <w:sz w:val="24"/>
          <w:lang w:eastAsia="zh-CN"/>
        </w:rPr>
        <w:t>(GB)</w:t>
      </w:r>
      <w:r>
        <w:rPr>
          <w:rFonts w:hint="eastAsia"/>
          <w:sz w:val="24"/>
          <w:lang w:eastAsia="zh-CN"/>
        </w:rPr>
        <w:t>、国家电力行业标准(</w:t>
      </w:r>
      <w:r>
        <w:rPr>
          <w:sz w:val="24"/>
          <w:lang w:eastAsia="zh-CN"/>
        </w:rPr>
        <w:t>DL</w:t>
      </w:r>
      <w:r>
        <w:rPr>
          <w:rFonts w:hint="eastAsia"/>
          <w:sz w:val="24"/>
          <w:lang w:eastAsia="zh-CN"/>
        </w:rPr>
        <w:t>)、国际电工委员会</w:t>
      </w:r>
      <w:r>
        <w:rPr>
          <w:sz w:val="24"/>
          <w:lang w:eastAsia="zh-CN"/>
        </w:rPr>
        <w:t>(IEC)</w:t>
      </w:r>
      <w:r>
        <w:rPr>
          <w:rFonts w:hint="eastAsia"/>
          <w:sz w:val="24"/>
          <w:lang w:eastAsia="zh-CN"/>
        </w:rPr>
        <w:t>标准及国际单位制</w:t>
      </w:r>
      <w:r>
        <w:rPr>
          <w:sz w:val="24"/>
          <w:lang w:eastAsia="zh-CN"/>
        </w:rPr>
        <w:t>(SI)</w:t>
      </w:r>
      <w:r>
        <w:rPr>
          <w:rFonts w:hint="eastAsia"/>
          <w:sz w:val="24"/>
          <w:lang w:eastAsia="zh-CN"/>
        </w:rPr>
        <w:t>标准。当上述标准不一致时，按技术条款要求高的标准执行。</w:t>
      </w:r>
    </w:p>
    <w:p>
      <w:pPr>
        <w:snapToGrid w:val="0"/>
        <w:ind w:left="-105" w:firstLine="480"/>
        <w:rPr>
          <w:sz w:val="24"/>
          <w:lang w:eastAsia="zh-CN"/>
        </w:rPr>
      </w:pPr>
      <w:r>
        <w:rPr>
          <w:rFonts w:hint="eastAsia"/>
          <w:sz w:val="24"/>
          <w:lang w:eastAsia="zh-CN"/>
        </w:rPr>
        <w:t>DL/T5375-2018</w:t>
      </w:r>
      <w:r>
        <w:rPr>
          <w:rFonts w:hint="eastAsia"/>
          <w:sz w:val="24"/>
          <w:lang w:eastAsia="zh-CN"/>
        </w:rPr>
        <w:tab/>
      </w:r>
      <w:r>
        <w:rPr>
          <w:rFonts w:hint="eastAsia"/>
          <w:sz w:val="24"/>
          <w:lang w:eastAsia="zh-CN"/>
        </w:rPr>
        <w:tab/>
      </w:r>
      <w:r>
        <w:rPr>
          <w:rFonts w:hint="eastAsia"/>
          <w:sz w:val="24"/>
          <w:lang w:eastAsia="zh-CN"/>
        </w:rPr>
        <w:t>《火力发电厂可行性研究报告内容深度规定》</w:t>
      </w:r>
    </w:p>
    <w:p>
      <w:pPr>
        <w:snapToGrid w:val="0"/>
        <w:ind w:left="-105" w:firstLine="480"/>
        <w:rPr>
          <w:sz w:val="24"/>
          <w:lang w:eastAsia="zh-CN"/>
        </w:rPr>
      </w:pPr>
      <w:r>
        <w:rPr>
          <w:rFonts w:hint="eastAsia"/>
          <w:sz w:val="24"/>
          <w:lang w:eastAsia="zh-CN"/>
        </w:rPr>
        <w:t>GB</w:t>
      </w:r>
      <w:r>
        <w:rPr>
          <w:sz w:val="24"/>
          <w:lang w:eastAsia="zh-CN"/>
        </w:rPr>
        <w:t>500</w:t>
      </w:r>
      <w:r>
        <w:rPr>
          <w:rFonts w:hint="eastAsia"/>
          <w:sz w:val="24"/>
          <w:lang w:eastAsia="zh-CN"/>
        </w:rPr>
        <w:t>49</w:t>
      </w:r>
      <w:r>
        <w:rPr>
          <w:sz w:val="24"/>
          <w:lang w:eastAsia="zh-CN"/>
        </w:rPr>
        <w:t>-</w:t>
      </w:r>
      <w:r>
        <w:rPr>
          <w:rFonts w:hint="eastAsia"/>
          <w:sz w:val="24"/>
          <w:lang w:eastAsia="zh-CN"/>
        </w:rPr>
        <w:t>2011</w:t>
      </w:r>
      <w:r>
        <w:rPr>
          <w:rFonts w:hint="eastAsia"/>
          <w:sz w:val="24"/>
          <w:lang w:eastAsia="zh-CN"/>
        </w:rPr>
        <w:tab/>
      </w:r>
      <w:r>
        <w:rPr>
          <w:rFonts w:hint="eastAsia"/>
          <w:sz w:val="24"/>
          <w:lang w:eastAsia="zh-CN"/>
        </w:rPr>
        <w:t xml:space="preserve">   《小型火力发电厂设计规范》</w:t>
      </w:r>
    </w:p>
    <w:p>
      <w:pPr>
        <w:snapToGrid w:val="0"/>
        <w:ind w:left="-105" w:firstLine="480"/>
        <w:rPr>
          <w:sz w:val="24"/>
          <w:lang w:eastAsia="zh-CN"/>
        </w:rPr>
      </w:pPr>
      <w:r>
        <w:rPr>
          <w:rFonts w:hint="eastAsia"/>
          <w:sz w:val="24"/>
          <w:lang w:eastAsia="zh-CN"/>
        </w:rPr>
        <w:t>发改能源〔2016〕617号  《热电联产管理办法》</w:t>
      </w:r>
    </w:p>
    <w:p>
      <w:pPr>
        <w:widowControl/>
        <w:wordWrap w:val="0"/>
        <w:ind w:firstLine="424" w:firstLineChars="177"/>
        <w:rPr>
          <w:sz w:val="24"/>
          <w:lang w:eastAsia="zh-CN"/>
        </w:rPr>
      </w:pPr>
      <w:r>
        <w:rPr>
          <w:rFonts w:hint="eastAsia"/>
          <w:sz w:val="24"/>
          <w:lang w:eastAsia="zh-CN"/>
        </w:rPr>
        <w:t xml:space="preserve">国家能源局 </w:t>
      </w:r>
      <w:r>
        <w:rPr>
          <w:sz w:val="24"/>
          <w:lang w:eastAsia="zh-CN"/>
        </w:rPr>
        <w:t>国能安全〔</w:t>
      </w:r>
      <w:r>
        <w:rPr>
          <w:rFonts w:hint="eastAsia"/>
          <w:sz w:val="24"/>
          <w:lang w:eastAsia="zh-CN"/>
        </w:rPr>
        <w:t>2014〕161号《防止电力生产事故的二十五项重点要求》</w:t>
      </w:r>
    </w:p>
    <w:p>
      <w:pPr>
        <w:pStyle w:val="59"/>
        <w:adjustRightInd/>
        <w:spacing w:line="360" w:lineRule="auto"/>
        <w:ind w:firstLine="360" w:firstLineChars="150"/>
        <w:jc w:val="left"/>
        <w:rPr>
          <w:rFonts w:ascii="Times New Roman"/>
          <w:kern w:val="2"/>
          <w:szCs w:val="24"/>
        </w:rPr>
      </w:pPr>
      <w:r>
        <w:rPr>
          <w:rFonts w:hint="eastAsia" w:ascii="Times New Roman"/>
          <w:kern w:val="2"/>
          <w:szCs w:val="24"/>
        </w:rPr>
        <w:t>这些标准提出了最基本要求，如果根据投标方的意见并经用户接受，使用优于或更为经济的设计或材料，并能使投标方设备良好的、连续的在本规范所规定的条件下运行时，则这些标准也可以由投标方超越。</w:t>
      </w:r>
    </w:p>
    <w:p>
      <w:pPr>
        <w:ind w:firstLine="480" w:firstLineChars="200"/>
        <w:rPr>
          <w:rFonts w:ascii="Times New Roman" w:hAnsi="Times New Roman" w:cs="Times New Roman"/>
          <w:sz w:val="24"/>
          <w:szCs w:val="24"/>
        </w:rPr>
      </w:pPr>
      <w:r>
        <w:rPr>
          <w:rFonts w:hint="eastAsia" w:ascii="Times New Roman" w:hAnsi="Times New Roman" w:cs="Times New Roman"/>
          <w:sz w:val="24"/>
          <w:szCs w:val="24"/>
          <w:lang w:eastAsia="zh-CN"/>
        </w:rPr>
        <w:t>当标准、规范之间出现矛盾时，投标方应将矛盾情况提交用户，以便在开始生产前制定解决方案。如果投标方选用本协议书上规定以外的标准时，则需提交这种替换标准供审查和分析，仅在投标方已证明替换标准相当或优于协议规定的标准，并从招标方处获得书面认可后才能使用。</w:t>
      </w:r>
      <w:r>
        <w:rPr>
          <w:rFonts w:hint="eastAsia" w:ascii="Times New Roman" w:hAnsi="Times New Roman" w:cs="Times New Roman"/>
          <w:sz w:val="24"/>
          <w:szCs w:val="24"/>
        </w:rPr>
        <w:t>提供审查的标准应为中文版本。</w:t>
      </w:r>
    </w:p>
    <w:p>
      <w:pPr>
        <w:pStyle w:val="3"/>
        <w:keepNext/>
        <w:keepLines/>
        <w:numPr>
          <w:ilvl w:val="0"/>
          <w:numId w:val="2"/>
        </w:numPr>
        <w:autoSpaceDE/>
        <w:autoSpaceDN/>
        <w:jc w:val="both"/>
        <w:rPr>
          <w:sz w:val="32"/>
          <w:szCs w:val="32"/>
        </w:rPr>
      </w:pPr>
      <w:r>
        <w:rPr>
          <w:rFonts w:hint="eastAsia"/>
          <w:sz w:val="32"/>
          <w:szCs w:val="32"/>
        </w:rPr>
        <w:t>工程范围</w:t>
      </w:r>
    </w:p>
    <w:p>
      <w:pPr>
        <w:pStyle w:val="24"/>
        <w:numPr>
          <w:ilvl w:val="0"/>
          <w:numId w:val="4"/>
        </w:numPr>
        <w:autoSpaceDE/>
        <w:autoSpaceDN/>
        <w:snapToGrid w:val="0"/>
        <w:spacing w:before="0"/>
        <w:jc w:val="both"/>
        <w:rPr>
          <w:rFonts w:ascii="Times New Roman" w:hAnsi="Times New Roman" w:cs="Times New Roman"/>
          <w:sz w:val="24"/>
          <w:szCs w:val="24"/>
          <w:lang w:eastAsia="zh-CN"/>
        </w:rPr>
      </w:pPr>
      <w:r>
        <w:rPr>
          <w:rFonts w:hint="eastAsia" w:ascii="Times New Roman" w:hAnsi="Times New Roman" w:cs="Times New Roman"/>
          <w:sz w:val="24"/>
          <w:szCs w:val="24"/>
          <w:lang w:eastAsia="zh-CN"/>
        </w:rPr>
        <w:t>工程</w:t>
      </w:r>
      <w:r>
        <w:rPr>
          <w:rFonts w:ascii="Times New Roman" w:hAnsi="Times New Roman" w:cs="Times New Roman"/>
          <w:sz w:val="24"/>
          <w:szCs w:val="24"/>
          <w:lang w:eastAsia="zh-CN"/>
        </w:rPr>
        <w:t xml:space="preserve">范围： </w:t>
      </w:r>
      <w:r>
        <w:rPr>
          <w:rFonts w:hint="eastAsia" w:ascii="Times New Roman" w:hAnsi="Times New Roman" w:cs="Times New Roman"/>
          <w:sz w:val="24"/>
          <w:szCs w:val="24"/>
          <w:lang w:eastAsia="zh-CN"/>
        </w:rPr>
        <w:t>2台燃煤锅炉配2台抽汽背压式汽轮发电机组及配套设施包括燃料贮运系统、热力系统、燃烧系统、电气系统、控制系统、水工系统、消防系统、除灰渣系统、厂区供热管网、炉后烟气处理及其废水处理等环保系统、采暖通风工程、压缩空气系统和相应的土建工程等。</w:t>
      </w:r>
    </w:p>
    <w:p>
      <w:pPr>
        <w:pStyle w:val="24"/>
        <w:numPr>
          <w:ilvl w:val="0"/>
          <w:numId w:val="4"/>
        </w:numPr>
        <w:autoSpaceDE/>
        <w:autoSpaceDN/>
        <w:snapToGrid w:val="0"/>
        <w:spacing w:before="0"/>
        <w:jc w:val="both"/>
        <w:rPr>
          <w:rFonts w:ascii="Times New Roman" w:hAnsi="Times New Roman" w:cs="Times New Roman"/>
          <w:sz w:val="24"/>
          <w:szCs w:val="24"/>
          <w:lang w:eastAsia="zh-CN"/>
        </w:rPr>
      </w:pPr>
      <w:r>
        <w:rPr>
          <w:rFonts w:hint="eastAsia" w:ascii="Times New Roman" w:hAnsi="Times New Roman" w:cs="Times New Roman"/>
          <w:sz w:val="24"/>
          <w:szCs w:val="24"/>
          <w:lang w:eastAsia="zh-CN"/>
        </w:rPr>
        <w:t>工作范围：1) 投标方负责完成古雷南部供热项目可研及</w:t>
      </w:r>
      <w:r>
        <w:rPr>
          <w:rFonts w:hint="eastAsia" w:asciiTheme="minorEastAsia" w:hAnsiTheme="minorEastAsia"/>
          <w:sz w:val="24"/>
          <w:szCs w:val="24"/>
          <w:lang w:eastAsia="zh-CN"/>
        </w:rPr>
        <w:t>项目申请报告编写</w:t>
      </w:r>
      <w:r>
        <w:rPr>
          <w:rFonts w:hint="eastAsia" w:ascii="Times New Roman" w:hAnsi="Times New Roman" w:cs="Times New Roman"/>
          <w:sz w:val="24"/>
          <w:szCs w:val="24"/>
          <w:lang w:eastAsia="zh-CN"/>
        </w:rPr>
        <w:t>工作；2)</w:t>
      </w:r>
      <w:r>
        <w:rPr>
          <w:rFonts w:hint="eastAsia"/>
          <w:lang w:eastAsia="zh-CN"/>
        </w:rPr>
        <w:t xml:space="preserve"> </w:t>
      </w:r>
      <w:r>
        <w:rPr>
          <w:rFonts w:hint="eastAsia" w:ascii="Times New Roman" w:hAnsi="Times New Roman" w:cs="Times New Roman"/>
          <w:sz w:val="24"/>
          <w:szCs w:val="24"/>
          <w:lang w:eastAsia="zh-CN"/>
        </w:rPr>
        <w:t>投标方负责项目可研报告及项目报批过程中的专家评审会及相关费用。</w:t>
      </w:r>
    </w:p>
    <w:p>
      <w:pPr>
        <w:pStyle w:val="24"/>
        <w:numPr>
          <w:ilvl w:val="0"/>
          <w:numId w:val="4"/>
        </w:numPr>
        <w:autoSpaceDE/>
        <w:autoSpaceDN/>
        <w:snapToGrid w:val="0"/>
        <w:spacing w:before="0"/>
        <w:jc w:val="both"/>
        <w:rPr>
          <w:rFonts w:ascii="Times New Roman" w:hAnsi="Times New Roman" w:cs="Times New Roman"/>
          <w:sz w:val="24"/>
          <w:szCs w:val="24"/>
          <w:lang w:eastAsia="zh-CN"/>
        </w:rPr>
      </w:pPr>
      <w:r>
        <w:rPr>
          <w:rFonts w:hint="eastAsia" w:ascii="Times New Roman" w:hAnsi="Times New Roman" w:cs="Times New Roman"/>
          <w:sz w:val="24"/>
          <w:szCs w:val="24"/>
          <w:lang w:eastAsia="zh-CN"/>
        </w:rPr>
        <w:t>可研内容（包括但不限于以下内容）：</w:t>
      </w:r>
    </w:p>
    <w:p>
      <w:pPr>
        <w:pStyle w:val="24"/>
        <w:numPr>
          <w:ilvl w:val="0"/>
          <w:numId w:val="5"/>
        </w:numPr>
        <w:autoSpaceDE/>
        <w:autoSpaceDN/>
        <w:snapToGrid w:val="0"/>
        <w:spacing w:before="0"/>
        <w:jc w:val="both"/>
        <w:rPr>
          <w:rFonts w:ascii="Times New Roman" w:hAnsi="Times New Roman" w:cs="Times New Roman"/>
          <w:sz w:val="24"/>
          <w:szCs w:val="24"/>
        </w:rPr>
      </w:pPr>
      <w:r>
        <w:rPr>
          <w:rFonts w:hint="eastAsia" w:ascii="Times New Roman" w:hAnsi="Times New Roman" w:cs="Times New Roman"/>
          <w:sz w:val="24"/>
          <w:szCs w:val="24"/>
        </w:rPr>
        <w:t>电力系统；</w:t>
      </w:r>
    </w:p>
    <w:p>
      <w:pPr>
        <w:pStyle w:val="24"/>
        <w:numPr>
          <w:ilvl w:val="0"/>
          <w:numId w:val="5"/>
        </w:numPr>
        <w:autoSpaceDE/>
        <w:autoSpaceDN/>
        <w:snapToGrid w:val="0"/>
        <w:spacing w:before="0"/>
        <w:jc w:val="both"/>
        <w:rPr>
          <w:rFonts w:ascii="Times New Roman" w:hAnsi="Times New Roman" w:cs="Times New Roman"/>
          <w:sz w:val="24"/>
          <w:szCs w:val="24"/>
        </w:rPr>
      </w:pPr>
      <w:r>
        <w:rPr>
          <w:rFonts w:hint="eastAsia" w:ascii="Times New Roman" w:hAnsi="Times New Roman" w:cs="Times New Roman"/>
          <w:sz w:val="24"/>
          <w:szCs w:val="24"/>
        </w:rPr>
        <w:t>热负荷分析；</w:t>
      </w:r>
    </w:p>
    <w:p>
      <w:pPr>
        <w:pStyle w:val="24"/>
        <w:numPr>
          <w:ilvl w:val="0"/>
          <w:numId w:val="5"/>
        </w:numPr>
        <w:autoSpaceDE/>
        <w:autoSpaceDN/>
        <w:snapToGrid w:val="0"/>
        <w:spacing w:before="0"/>
        <w:jc w:val="both"/>
        <w:rPr>
          <w:rFonts w:ascii="Times New Roman" w:hAnsi="Times New Roman" w:cs="Times New Roman"/>
          <w:sz w:val="24"/>
          <w:szCs w:val="24"/>
        </w:rPr>
      </w:pPr>
      <w:r>
        <w:rPr>
          <w:rFonts w:hint="eastAsia" w:ascii="Times New Roman" w:hAnsi="Times New Roman" w:cs="Times New Roman"/>
          <w:sz w:val="24"/>
          <w:szCs w:val="24"/>
        </w:rPr>
        <w:t>燃料来源；</w:t>
      </w:r>
    </w:p>
    <w:p>
      <w:pPr>
        <w:pStyle w:val="24"/>
        <w:numPr>
          <w:ilvl w:val="0"/>
          <w:numId w:val="5"/>
        </w:numPr>
        <w:autoSpaceDE/>
        <w:autoSpaceDN/>
        <w:snapToGrid w:val="0"/>
        <w:spacing w:before="0"/>
        <w:jc w:val="both"/>
        <w:rPr>
          <w:rFonts w:ascii="Times New Roman" w:hAnsi="Times New Roman" w:cs="Times New Roman"/>
          <w:sz w:val="24"/>
          <w:szCs w:val="24"/>
        </w:rPr>
      </w:pPr>
      <w:r>
        <w:rPr>
          <w:rFonts w:hint="eastAsia" w:ascii="Times New Roman" w:hAnsi="Times New Roman" w:cs="Times New Roman"/>
          <w:sz w:val="24"/>
          <w:szCs w:val="24"/>
        </w:rPr>
        <w:t>厂址条件；</w:t>
      </w:r>
    </w:p>
    <w:p>
      <w:pPr>
        <w:pStyle w:val="24"/>
        <w:numPr>
          <w:ilvl w:val="0"/>
          <w:numId w:val="5"/>
        </w:numPr>
        <w:autoSpaceDE/>
        <w:autoSpaceDN/>
        <w:snapToGrid w:val="0"/>
        <w:spacing w:before="0"/>
        <w:jc w:val="both"/>
        <w:rPr>
          <w:rFonts w:ascii="Times New Roman" w:hAnsi="Times New Roman" w:cs="Times New Roman"/>
          <w:sz w:val="24"/>
          <w:szCs w:val="24"/>
          <w:lang w:eastAsia="zh-CN"/>
        </w:rPr>
      </w:pPr>
      <w:r>
        <w:rPr>
          <w:rFonts w:hint="eastAsia" w:ascii="Times New Roman" w:hAnsi="Times New Roman" w:cs="Times New Roman"/>
          <w:sz w:val="24"/>
          <w:szCs w:val="24"/>
          <w:lang w:eastAsia="zh-CN"/>
        </w:rPr>
        <w:t>智慧电厂（考虑机组未来先进性，减少人力资源）</w:t>
      </w:r>
    </w:p>
    <w:p>
      <w:pPr>
        <w:pStyle w:val="24"/>
        <w:numPr>
          <w:ilvl w:val="0"/>
          <w:numId w:val="5"/>
        </w:numPr>
        <w:autoSpaceDE/>
        <w:autoSpaceDN/>
        <w:snapToGrid w:val="0"/>
        <w:spacing w:before="0"/>
        <w:jc w:val="both"/>
        <w:rPr>
          <w:rFonts w:ascii="Times New Roman" w:hAnsi="Times New Roman" w:cs="Times New Roman"/>
          <w:sz w:val="24"/>
          <w:szCs w:val="24"/>
        </w:rPr>
      </w:pPr>
      <w:r>
        <w:rPr>
          <w:rFonts w:hint="eastAsia" w:ascii="Times New Roman" w:hAnsi="Times New Roman" w:cs="Times New Roman"/>
          <w:sz w:val="24"/>
          <w:szCs w:val="24"/>
        </w:rPr>
        <w:t>工程方案设想；</w:t>
      </w:r>
    </w:p>
    <w:p>
      <w:pPr>
        <w:pStyle w:val="24"/>
        <w:numPr>
          <w:ilvl w:val="0"/>
          <w:numId w:val="5"/>
        </w:numPr>
        <w:autoSpaceDE/>
        <w:autoSpaceDN/>
        <w:snapToGrid w:val="0"/>
        <w:spacing w:before="0"/>
        <w:jc w:val="both"/>
        <w:rPr>
          <w:rFonts w:ascii="Times New Roman" w:hAnsi="Times New Roman" w:cs="Times New Roman"/>
          <w:sz w:val="24"/>
          <w:szCs w:val="24"/>
        </w:rPr>
      </w:pPr>
      <w:r>
        <w:rPr>
          <w:rFonts w:ascii="Times New Roman" w:hAnsi="Times New Roman" w:cs="Times New Roman"/>
          <w:sz w:val="24"/>
          <w:szCs w:val="24"/>
        </w:rPr>
        <w:t>环境保护与水土保持</w:t>
      </w:r>
      <w:r>
        <w:rPr>
          <w:rFonts w:hint="eastAsia" w:ascii="Times New Roman" w:hAnsi="Times New Roman" w:cs="Times New Roman"/>
          <w:sz w:val="24"/>
          <w:szCs w:val="24"/>
        </w:rPr>
        <w:t>；</w:t>
      </w:r>
    </w:p>
    <w:p>
      <w:pPr>
        <w:pStyle w:val="24"/>
        <w:numPr>
          <w:ilvl w:val="0"/>
          <w:numId w:val="5"/>
        </w:numPr>
        <w:autoSpaceDE/>
        <w:autoSpaceDN/>
        <w:snapToGrid w:val="0"/>
        <w:spacing w:before="0"/>
        <w:jc w:val="both"/>
        <w:rPr>
          <w:rFonts w:ascii="Times New Roman" w:hAnsi="Times New Roman" w:cs="Times New Roman"/>
          <w:sz w:val="24"/>
          <w:szCs w:val="24"/>
        </w:rPr>
      </w:pPr>
      <w:r>
        <w:rPr>
          <w:rFonts w:hint="eastAsia" w:ascii="Times New Roman" w:hAnsi="Times New Roman" w:cs="Times New Roman"/>
          <w:sz w:val="24"/>
          <w:szCs w:val="24"/>
        </w:rPr>
        <w:t>综合利用；</w:t>
      </w:r>
    </w:p>
    <w:p>
      <w:pPr>
        <w:pStyle w:val="24"/>
        <w:numPr>
          <w:ilvl w:val="0"/>
          <w:numId w:val="5"/>
        </w:numPr>
        <w:autoSpaceDE/>
        <w:autoSpaceDN/>
        <w:snapToGrid w:val="0"/>
        <w:spacing w:before="0"/>
        <w:jc w:val="both"/>
        <w:rPr>
          <w:rFonts w:ascii="Times New Roman" w:hAnsi="Times New Roman" w:cs="Times New Roman"/>
          <w:sz w:val="24"/>
          <w:szCs w:val="24"/>
        </w:rPr>
      </w:pPr>
      <w:r>
        <w:rPr>
          <w:rFonts w:ascii="Times New Roman" w:hAnsi="Times New Roman" w:cs="Times New Roman"/>
          <w:sz w:val="24"/>
          <w:szCs w:val="24"/>
        </w:rPr>
        <w:t>劳动安全与职业卫生</w:t>
      </w:r>
      <w:r>
        <w:rPr>
          <w:rFonts w:hint="eastAsia" w:ascii="Times New Roman" w:hAnsi="Times New Roman" w:cs="Times New Roman"/>
          <w:sz w:val="24"/>
          <w:szCs w:val="24"/>
        </w:rPr>
        <w:t>；</w:t>
      </w:r>
    </w:p>
    <w:p>
      <w:pPr>
        <w:pStyle w:val="24"/>
        <w:numPr>
          <w:ilvl w:val="0"/>
          <w:numId w:val="5"/>
        </w:numPr>
        <w:autoSpaceDE/>
        <w:autoSpaceDN/>
        <w:snapToGrid w:val="0"/>
        <w:spacing w:before="0"/>
        <w:jc w:val="both"/>
        <w:rPr>
          <w:rFonts w:ascii="Times New Roman" w:hAnsi="Times New Roman" w:cs="Times New Roman"/>
          <w:sz w:val="24"/>
          <w:szCs w:val="24"/>
        </w:rPr>
      </w:pPr>
      <w:r>
        <w:rPr>
          <w:rFonts w:ascii="Times New Roman" w:hAnsi="Times New Roman" w:cs="Times New Roman"/>
          <w:sz w:val="24"/>
          <w:szCs w:val="24"/>
        </w:rPr>
        <w:t>资源利用</w:t>
      </w:r>
      <w:r>
        <w:rPr>
          <w:rFonts w:hint="eastAsia" w:ascii="Times New Roman" w:hAnsi="Times New Roman" w:cs="Times New Roman"/>
          <w:sz w:val="24"/>
          <w:szCs w:val="24"/>
        </w:rPr>
        <w:t>；</w:t>
      </w:r>
    </w:p>
    <w:p>
      <w:pPr>
        <w:pStyle w:val="24"/>
        <w:numPr>
          <w:ilvl w:val="0"/>
          <w:numId w:val="5"/>
        </w:numPr>
        <w:autoSpaceDE/>
        <w:autoSpaceDN/>
        <w:snapToGrid w:val="0"/>
        <w:spacing w:before="0"/>
        <w:jc w:val="both"/>
        <w:rPr>
          <w:rFonts w:ascii="Times New Roman" w:hAnsi="Times New Roman" w:cs="Times New Roman"/>
          <w:sz w:val="24"/>
          <w:szCs w:val="24"/>
        </w:rPr>
      </w:pPr>
      <w:r>
        <w:rPr>
          <w:rFonts w:ascii="Times New Roman" w:hAnsi="Times New Roman" w:cs="Times New Roman"/>
          <w:sz w:val="24"/>
          <w:szCs w:val="24"/>
        </w:rPr>
        <w:t>节能分析</w:t>
      </w:r>
      <w:r>
        <w:rPr>
          <w:rFonts w:hint="eastAsia" w:ascii="Times New Roman" w:hAnsi="Times New Roman" w:cs="Times New Roman"/>
          <w:sz w:val="24"/>
          <w:szCs w:val="24"/>
        </w:rPr>
        <w:t>；</w:t>
      </w:r>
    </w:p>
    <w:p>
      <w:pPr>
        <w:pStyle w:val="24"/>
        <w:numPr>
          <w:ilvl w:val="0"/>
          <w:numId w:val="5"/>
        </w:numPr>
        <w:autoSpaceDE/>
        <w:autoSpaceDN/>
        <w:snapToGrid w:val="0"/>
        <w:spacing w:before="0"/>
        <w:jc w:val="both"/>
        <w:rPr>
          <w:rFonts w:ascii="Times New Roman" w:hAnsi="Times New Roman" w:cs="Times New Roman"/>
          <w:sz w:val="24"/>
          <w:szCs w:val="24"/>
        </w:rPr>
      </w:pPr>
      <w:r>
        <w:rPr>
          <w:rFonts w:ascii="Times New Roman" w:hAnsi="Times New Roman" w:cs="Times New Roman"/>
          <w:sz w:val="24"/>
          <w:szCs w:val="24"/>
        </w:rPr>
        <w:t>抗灾能力评价</w:t>
      </w:r>
      <w:r>
        <w:rPr>
          <w:rFonts w:hint="eastAsia" w:ascii="Times New Roman" w:hAnsi="Times New Roman" w:cs="Times New Roman"/>
          <w:sz w:val="24"/>
          <w:szCs w:val="24"/>
        </w:rPr>
        <w:t>；</w:t>
      </w:r>
    </w:p>
    <w:p>
      <w:pPr>
        <w:pStyle w:val="24"/>
        <w:numPr>
          <w:ilvl w:val="0"/>
          <w:numId w:val="5"/>
        </w:numPr>
        <w:autoSpaceDE/>
        <w:autoSpaceDN/>
        <w:snapToGrid w:val="0"/>
        <w:spacing w:before="0"/>
        <w:jc w:val="both"/>
        <w:rPr>
          <w:rFonts w:ascii="Times New Roman" w:hAnsi="Times New Roman" w:cs="Times New Roman"/>
          <w:sz w:val="24"/>
          <w:szCs w:val="24"/>
        </w:rPr>
      </w:pPr>
      <w:r>
        <w:rPr>
          <w:rFonts w:ascii="Times New Roman" w:hAnsi="Times New Roman" w:cs="Times New Roman"/>
          <w:sz w:val="24"/>
          <w:szCs w:val="24"/>
        </w:rPr>
        <w:t>人力资源配置</w:t>
      </w:r>
      <w:r>
        <w:rPr>
          <w:rFonts w:hint="eastAsia" w:ascii="Times New Roman" w:hAnsi="Times New Roman" w:cs="Times New Roman"/>
          <w:sz w:val="24"/>
          <w:szCs w:val="24"/>
        </w:rPr>
        <w:t>；</w:t>
      </w:r>
    </w:p>
    <w:p>
      <w:pPr>
        <w:pStyle w:val="24"/>
        <w:numPr>
          <w:ilvl w:val="0"/>
          <w:numId w:val="5"/>
        </w:numPr>
        <w:autoSpaceDE/>
        <w:autoSpaceDN/>
        <w:snapToGrid w:val="0"/>
        <w:spacing w:before="0"/>
        <w:jc w:val="both"/>
        <w:rPr>
          <w:rFonts w:ascii="Times New Roman" w:hAnsi="Times New Roman" w:cs="Times New Roman"/>
          <w:sz w:val="24"/>
          <w:szCs w:val="24"/>
          <w:lang w:eastAsia="zh-CN"/>
        </w:rPr>
      </w:pPr>
      <w:r>
        <w:rPr>
          <w:rFonts w:ascii="Times New Roman" w:hAnsi="Times New Roman" w:cs="Times New Roman"/>
          <w:sz w:val="24"/>
          <w:szCs w:val="24"/>
          <w:lang w:eastAsia="zh-CN"/>
        </w:rPr>
        <w:t>项目实施的条件和建设进度及工期</w:t>
      </w:r>
      <w:r>
        <w:rPr>
          <w:rFonts w:hint="eastAsia" w:ascii="Times New Roman" w:hAnsi="Times New Roman" w:cs="Times New Roman"/>
          <w:sz w:val="24"/>
          <w:szCs w:val="24"/>
          <w:lang w:eastAsia="zh-CN"/>
        </w:rPr>
        <w:t>；</w:t>
      </w:r>
    </w:p>
    <w:p>
      <w:pPr>
        <w:pStyle w:val="24"/>
        <w:numPr>
          <w:ilvl w:val="0"/>
          <w:numId w:val="5"/>
        </w:numPr>
        <w:autoSpaceDE/>
        <w:autoSpaceDN/>
        <w:snapToGrid w:val="0"/>
        <w:spacing w:before="0"/>
        <w:jc w:val="both"/>
        <w:rPr>
          <w:rFonts w:ascii="Times New Roman" w:hAnsi="Times New Roman" w:cs="Times New Roman"/>
          <w:sz w:val="24"/>
          <w:szCs w:val="24"/>
          <w:lang w:eastAsia="zh-CN"/>
        </w:rPr>
      </w:pPr>
      <w:r>
        <w:rPr>
          <w:rFonts w:ascii="Times New Roman" w:hAnsi="Times New Roman" w:cs="Times New Roman"/>
          <w:sz w:val="24"/>
          <w:szCs w:val="24"/>
          <w:lang w:eastAsia="zh-CN"/>
        </w:rPr>
        <w:t>投资估算</w:t>
      </w:r>
      <w:r>
        <w:rPr>
          <w:rFonts w:hint="eastAsia" w:ascii="Times New Roman" w:hAnsi="Times New Roman" w:cs="Times New Roman"/>
          <w:sz w:val="24"/>
          <w:szCs w:val="24"/>
          <w:lang w:eastAsia="zh-CN"/>
        </w:rPr>
        <w:t>、</w:t>
      </w:r>
      <w:r>
        <w:rPr>
          <w:rFonts w:ascii="Times New Roman" w:hAnsi="Times New Roman" w:cs="Times New Roman"/>
          <w:sz w:val="24"/>
          <w:szCs w:val="24"/>
          <w:lang w:eastAsia="zh-CN"/>
        </w:rPr>
        <w:t>融资方案及财务分析</w:t>
      </w:r>
      <w:r>
        <w:rPr>
          <w:rFonts w:hint="eastAsia" w:ascii="Times New Roman" w:hAnsi="Times New Roman" w:cs="Times New Roman"/>
          <w:sz w:val="24"/>
          <w:szCs w:val="24"/>
          <w:lang w:eastAsia="zh-CN"/>
        </w:rPr>
        <w:t>；</w:t>
      </w:r>
    </w:p>
    <w:p>
      <w:pPr>
        <w:pStyle w:val="24"/>
        <w:numPr>
          <w:ilvl w:val="0"/>
          <w:numId w:val="5"/>
        </w:numPr>
        <w:autoSpaceDE/>
        <w:autoSpaceDN/>
        <w:snapToGrid w:val="0"/>
        <w:spacing w:before="0"/>
        <w:jc w:val="both"/>
        <w:rPr>
          <w:rFonts w:ascii="Times New Roman" w:hAnsi="Times New Roman" w:cs="Times New Roman"/>
          <w:sz w:val="24"/>
          <w:szCs w:val="24"/>
        </w:rPr>
      </w:pPr>
      <w:r>
        <w:rPr>
          <w:rFonts w:ascii="Times New Roman" w:hAnsi="Times New Roman" w:cs="Times New Roman"/>
          <w:sz w:val="24"/>
          <w:szCs w:val="24"/>
        </w:rPr>
        <w:t>经济与社会影响分析</w:t>
      </w:r>
      <w:r>
        <w:rPr>
          <w:rFonts w:hint="eastAsia" w:ascii="Times New Roman" w:hAnsi="Times New Roman" w:cs="Times New Roman"/>
          <w:sz w:val="24"/>
          <w:szCs w:val="24"/>
        </w:rPr>
        <w:t>；</w:t>
      </w:r>
    </w:p>
    <w:p>
      <w:pPr>
        <w:pStyle w:val="24"/>
        <w:numPr>
          <w:ilvl w:val="0"/>
          <w:numId w:val="5"/>
        </w:numPr>
        <w:autoSpaceDE/>
        <w:autoSpaceDN/>
        <w:snapToGrid w:val="0"/>
        <w:spacing w:before="0"/>
        <w:jc w:val="both"/>
        <w:rPr>
          <w:rFonts w:ascii="Times New Roman" w:hAnsi="Times New Roman" w:cs="Times New Roman"/>
          <w:sz w:val="24"/>
          <w:szCs w:val="24"/>
        </w:rPr>
      </w:pPr>
      <w:r>
        <w:rPr>
          <w:rFonts w:ascii="Times New Roman" w:hAnsi="Times New Roman" w:cs="Times New Roman"/>
          <w:sz w:val="24"/>
          <w:szCs w:val="24"/>
        </w:rPr>
        <w:t>风险分析</w:t>
      </w:r>
      <w:r>
        <w:rPr>
          <w:rFonts w:hint="eastAsia" w:ascii="Times New Roman" w:hAnsi="Times New Roman" w:cs="Times New Roman"/>
          <w:sz w:val="24"/>
          <w:szCs w:val="24"/>
        </w:rPr>
        <w:t>；</w:t>
      </w:r>
    </w:p>
    <w:p>
      <w:pPr>
        <w:pStyle w:val="24"/>
        <w:numPr>
          <w:ilvl w:val="0"/>
          <w:numId w:val="5"/>
        </w:numPr>
        <w:autoSpaceDE/>
        <w:autoSpaceDN/>
        <w:snapToGrid w:val="0"/>
        <w:spacing w:before="0"/>
        <w:jc w:val="both"/>
        <w:rPr>
          <w:rFonts w:ascii="Times New Roman" w:hAnsi="Times New Roman" w:cs="Times New Roman"/>
          <w:sz w:val="24"/>
          <w:szCs w:val="24"/>
        </w:rPr>
      </w:pPr>
      <w:r>
        <w:rPr>
          <w:rFonts w:hint="eastAsia" w:ascii="Times New Roman" w:hAnsi="Times New Roman" w:cs="Times New Roman"/>
          <w:sz w:val="24"/>
          <w:szCs w:val="24"/>
        </w:rPr>
        <w:t>结论与建议</w:t>
      </w:r>
    </w:p>
    <w:p>
      <w:pPr>
        <w:pStyle w:val="24"/>
        <w:numPr>
          <w:ilvl w:val="0"/>
          <w:numId w:val="5"/>
        </w:numPr>
        <w:autoSpaceDE/>
        <w:autoSpaceDN/>
        <w:snapToGrid w:val="0"/>
        <w:spacing w:before="0"/>
        <w:ind w:left="714" w:hanging="357"/>
        <w:jc w:val="both"/>
        <w:rPr>
          <w:rFonts w:ascii="Times New Roman" w:hAnsi="Times New Roman" w:cs="Times New Roman"/>
          <w:sz w:val="24"/>
          <w:szCs w:val="24"/>
          <w:lang w:eastAsia="zh-CN"/>
        </w:rPr>
      </w:pPr>
      <w:r>
        <w:rPr>
          <w:rFonts w:hint="eastAsia" w:ascii="Times New Roman" w:hAnsi="Times New Roman" w:cs="Times New Roman"/>
          <w:sz w:val="24"/>
          <w:szCs w:val="24"/>
          <w:lang w:eastAsia="zh-CN"/>
        </w:rPr>
        <w:t>其他可能涉及到的相关内容。</w:t>
      </w:r>
      <w:r>
        <w:rPr>
          <w:rFonts w:ascii="Times New Roman" w:hAnsi="Times New Roman" w:cs="Times New Roman"/>
          <w:sz w:val="24"/>
          <w:szCs w:val="24"/>
          <w:lang w:eastAsia="zh-CN"/>
        </w:rPr>
        <w:t xml:space="preserve"> </w:t>
      </w:r>
    </w:p>
    <w:p>
      <w:pPr>
        <w:pStyle w:val="3"/>
        <w:keepNext/>
        <w:keepLines/>
        <w:numPr>
          <w:ilvl w:val="0"/>
          <w:numId w:val="2"/>
        </w:numPr>
        <w:autoSpaceDE/>
        <w:autoSpaceDN/>
        <w:jc w:val="both"/>
        <w:rPr>
          <w:sz w:val="32"/>
          <w:szCs w:val="32"/>
        </w:rPr>
      </w:pPr>
      <w:r>
        <w:rPr>
          <w:rFonts w:hint="eastAsia"/>
          <w:sz w:val="32"/>
          <w:szCs w:val="32"/>
        </w:rPr>
        <w:t>技术要求：</w:t>
      </w:r>
    </w:p>
    <w:p>
      <w:pPr>
        <w:pStyle w:val="4"/>
        <w:keepNext/>
        <w:keepLines/>
        <w:numPr>
          <w:ilvl w:val="0"/>
          <w:numId w:val="6"/>
        </w:numPr>
        <w:autoSpaceDE/>
        <w:autoSpaceDN/>
        <w:jc w:val="both"/>
        <w:rPr>
          <w:sz w:val="28"/>
        </w:rPr>
      </w:pPr>
      <w:r>
        <w:rPr>
          <w:rFonts w:hint="eastAsia"/>
          <w:sz w:val="28"/>
        </w:rPr>
        <w:t>总的要求：</w:t>
      </w:r>
    </w:p>
    <w:p>
      <w:pPr>
        <w:ind w:left="376" w:leftChars="171" w:firstLine="480" w:firstLineChars="200"/>
        <w:rPr>
          <w:sz w:val="24"/>
          <w:lang w:eastAsia="zh-CN"/>
        </w:rPr>
      </w:pPr>
      <w:r>
        <w:rPr>
          <w:rFonts w:hint="eastAsia"/>
          <w:sz w:val="24"/>
          <w:lang w:eastAsia="zh-CN"/>
        </w:rPr>
        <w:t>通过新建机组，提高供热能力，符合供热规划和热电联产规划要求，满足我司近期供热需要，同时，在热负荷富余情况下，立足本期，考虑远景，可对外供热，统筹规划，实现热电厂效益最大化。</w:t>
      </w:r>
    </w:p>
    <w:p>
      <w:pPr>
        <w:pStyle w:val="4"/>
        <w:keepNext/>
        <w:keepLines/>
        <w:numPr>
          <w:ilvl w:val="0"/>
          <w:numId w:val="6"/>
        </w:numPr>
        <w:autoSpaceDE/>
        <w:autoSpaceDN/>
        <w:jc w:val="both"/>
        <w:rPr>
          <w:sz w:val="28"/>
        </w:rPr>
      </w:pPr>
      <w:r>
        <w:rPr>
          <w:rFonts w:hint="eastAsia"/>
          <w:sz w:val="28"/>
        </w:rPr>
        <w:t>主要性能指标：</w:t>
      </w:r>
    </w:p>
    <w:p>
      <w:pPr>
        <w:pStyle w:val="24"/>
        <w:numPr>
          <w:ilvl w:val="0"/>
          <w:numId w:val="7"/>
        </w:numPr>
        <w:tabs>
          <w:tab w:val="left" w:pos="426"/>
        </w:tabs>
        <w:autoSpaceDE/>
        <w:autoSpaceDN/>
        <w:spacing w:before="0"/>
        <w:ind w:left="170" w:hanging="170"/>
        <w:jc w:val="both"/>
        <w:rPr>
          <w:sz w:val="24"/>
        </w:rPr>
      </w:pPr>
      <w:r>
        <w:rPr>
          <w:rFonts w:hint="eastAsia"/>
          <w:sz w:val="24"/>
        </w:rPr>
        <w:t>设计方案的可行性：</w:t>
      </w:r>
    </w:p>
    <w:p>
      <w:pPr>
        <w:pStyle w:val="24"/>
        <w:tabs>
          <w:tab w:val="left" w:pos="426"/>
        </w:tabs>
        <w:spacing w:before="0"/>
        <w:ind w:left="178" w:leftChars="81" w:firstLine="482"/>
        <w:rPr>
          <w:sz w:val="24"/>
          <w:lang w:eastAsia="zh-CN"/>
        </w:rPr>
      </w:pPr>
      <w:r>
        <w:rPr>
          <w:rFonts w:hint="eastAsia"/>
          <w:sz w:val="24"/>
          <w:lang w:eastAsia="zh-CN"/>
        </w:rPr>
        <w:t>设计方案必须与热电厂一期背压机技改工程相结合，统筹考虑二期扩建工程项目，出具的图纸符合现场实际情况，并控制施工难度，图纸具有可执行性。</w:t>
      </w:r>
    </w:p>
    <w:p>
      <w:pPr>
        <w:pStyle w:val="24"/>
        <w:numPr>
          <w:ilvl w:val="0"/>
          <w:numId w:val="7"/>
        </w:numPr>
        <w:tabs>
          <w:tab w:val="left" w:pos="426"/>
        </w:tabs>
        <w:autoSpaceDE/>
        <w:autoSpaceDN/>
        <w:spacing w:before="0"/>
        <w:jc w:val="both"/>
        <w:rPr>
          <w:sz w:val="24"/>
        </w:rPr>
      </w:pPr>
      <w:r>
        <w:rPr>
          <w:rFonts w:hint="eastAsia"/>
          <w:sz w:val="24"/>
        </w:rPr>
        <w:t>设计方案的经济性：</w:t>
      </w:r>
    </w:p>
    <w:p>
      <w:pPr>
        <w:pStyle w:val="24"/>
        <w:tabs>
          <w:tab w:val="left" w:pos="426"/>
        </w:tabs>
        <w:ind w:left="360" w:firstLine="0"/>
        <w:rPr>
          <w:sz w:val="24"/>
          <w:lang w:eastAsia="zh-CN"/>
        </w:rPr>
      </w:pPr>
      <w:r>
        <w:rPr>
          <w:rFonts w:hint="eastAsia"/>
          <w:sz w:val="24"/>
          <w:lang w:eastAsia="zh-CN"/>
        </w:rPr>
        <w:t xml:space="preserve">    设计方案必须是经过比选确定的最优方案，其投资符合委托方实际情况，其回报率也应符合委托方要求。</w:t>
      </w:r>
    </w:p>
    <w:p>
      <w:pPr>
        <w:pStyle w:val="24"/>
        <w:numPr>
          <w:ilvl w:val="0"/>
          <w:numId w:val="7"/>
        </w:numPr>
        <w:tabs>
          <w:tab w:val="left" w:pos="426"/>
        </w:tabs>
        <w:autoSpaceDE/>
        <w:autoSpaceDN/>
        <w:spacing w:before="0"/>
        <w:jc w:val="both"/>
        <w:rPr>
          <w:sz w:val="24"/>
        </w:rPr>
      </w:pPr>
      <w:r>
        <w:rPr>
          <w:rFonts w:hint="eastAsia"/>
          <w:sz w:val="24"/>
        </w:rPr>
        <w:t>设计方案的可靠性：</w:t>
      </w:r>
    </w:p>
    <w:p>
      <w:pPr>
        <w:pStyle w:val="24"/>
        <w:tabs>
          <w:tab w:val="left" w:pos="426"/>
        </w:tabs>
        <w:spacing w:before="0"/>
        <w:ind w:left="357" w:firstLine="0"/>
        <w:rPr>
          <w:sz w:val="24"/>
          <w:lang w:eastAsia="zh-CN"/>
        </w:rPr>
      </w:pPr>
      <w:r>
        <w:rPr>
          <w:rFonts w:hint="eastAsia"/>
          <w:sz w:val="24"/>
          <w:lang w:eastAsia="zh-CN"/>
        </w:rPr>
        <w:t xml:space="preserve">    设计方案应经专业人员讨论确认，保证其可靠性，设计方负责设计方案、图纸等上报相关监督管理部门审批同意。</w:t>
      </w:r>
    </w:p>
    <w:p>
      <w:pPr>
        <w:pStyle w:val="24"/>
        <w:numPr>
          <w:ilvl w:val="0"/>
          <w:numId w:val="7"/>
        </w:numPr>
        <w:tabs>
          <w:tab w:val="left" w:pos="426"/>
        </w:tabs>
        <w:autoSpaceDE/>
        <w:autoSpaceDN/>
        <w:spacing w:before="0"/>
        <w:jc w:val="both"/>
        <w:rPr>
          <w:sz w:val="24"/>
          <w:szCs w:val="24"/>
        </w:rPr>
      </w:pPr>
      <w:r>
        <w:rPr>
          <w:rFonts w:hint="eastAsia"/>
          <w:sz w:val="24"/>
          <w:szCs w:val="24"/>
        </w:rPr>
        <w:t>设计方案的安全性：</w:t>
      </w:r>
    </w:p>
    <w:p>
      <w:pPr>
        <w:pStyle w:val="24"/>
        <w:tabs>
          <w:tab w:val="left" w:pos="426"/>
        </w:tabs>
        <w:spacing w:before="0"/>
        <w:ind w:left="357" w:firstLine="0"/>
        <w:rPr>
          <w:sz w:val="24"/>
          <w:szCs w:val="24"/>
          <w:lang w:eastAsia="zh-CN"/>
        </w:rPr>
      </w:pPr>
      <w:r>
        <w:rPr>
          <w:rFonts w:hint="eastAsia"/>
          <w:sz w:val="24"/>
          <w:szCs w:val="24"/>
          <w:lang w:eastAsia="zh-CN"/>
        </w:rPr>
        <w:t xml:space="preserve">    设计方案应保证改造后设备的安全稳定运行，另因热电厂在石化厂区内，其安全性要充分考虑石化行业的特点，满足防火、防爆、环境保护、劳动安全和职业卫生的要求，并要考虑设计方案可能涉及到安全环保内容。</w:t>
      </w:r>
    </w:p>
    <w:p>
      <w:pPr>
        <w:pStyle w:val="4"/>
        <w:keepNext/>
        <w:keepLines/>
        <w:numPr>
          <w:ilvl w:val="0"/>
          <w:numId w:val="6"/>
        </w:numPr>
        <w:autoSpaceDE/>
        <w:autoSpaceDN/>
        <w:jc w:val="both"/>
        <w:rPr>
          <w:sz w:val="28"/>
        </w:rPr>
      </w:pPr>
      <w:r>
        <w:rPr>
          <w:rFonts w:hint="eastAsia"/>
          <w:sz w:val="28"/>
        </w:rPr>
        <w:t>工作要求：</w:t>
      </w:r>
    </w:p>
    <w:p>
      <w:pPr>
        <w:adjustRightInd w:val="0"/>
        <w:ind w:firstLine="480" w:firstLineChars="200"/>
        <w:rPr>
          <w:sz w:val="24"/>
          <w:lang w:eastAsia="zh-CN"/>
        </w:rPr>
      </w:pPr>
      <w:r>
        <w:rPr>
          <w:sz w:val="24"/>
          <w:lang w:eastAsia="zh-CN"/>
        </w:rPr>
        <w:t>严格执行技术大纲内容，主动配合委托方在设计过程中各方面的协调工作，处理好各相关单位和人员的关系。服务于全过程</w:t>
      </w:r>
      <w:r>
        <w:rPr>
          <w:rFonts w:hint="eastAsia"/>
          <w:sz w:val="24"/>
          <w:lang w:eastAsia="zh-CN"/>
        </w:rPr>
        <w:t>，</w:t>
      </w:r>
      <w:r>
        <w:rPr>
          <w:sz w:val="24"/>
          <w:lang w:eastAsia="zh-CN"/>
        </w:rPr>
        <w:t>及时做好各类质量信息的收集、汇总、分析和反馈。</w:t>
      </w:r>
    </w:p>
    <w:p>
      <w:pPr>
        <w:pStyle w:val="24"/>
        <w:numPr>
          <w:ilvl w:val="1"/>
          <w:numId w:val="8"/>
        </w:numPr>
        <w:autoSpaceDE/>
        <w:autoSpaceDN/>
        <w:adjustRightInd w:val="0"/>
        <w:spacing w:before="0"/>
        <w:ind w:left="851" w:hanging="425"/>
        <w:jc w:val="both"/>
        <w:rPr>
          <w:sz w:val="24"/>
        </w:rPr>
      </w:pPr>
      <w:r>
        <w:rPr>
          <w:sz w:val="24"/>
        </w:rPr>
        <w:t>质量目标：</w:t>
      </w:r>
    </w:p>
    <w:p>
      <w:pPr>
        <w:adjustRightInd w:val="0"/>
        <w:ind w:firstLine="480" w:firstLineChars="200"/>
        <w:rPr>
          <w:sz w:val="24"/>
          <w:lang w:eastAsia="zh-CN"/>
        </w:rPr>
      </w:pPr>
      <w:r>
        <w:rPr>
          <w:sz w:val="24"/>
          <w:lang w:eastAsia="zh-CN"/>
        </w:rPr>
        <w:t>按照国家有关标准、规程规范的要求，</w:t>
      </w:r>
      <w:r>
        <w:rPr>
          <w:rFonts w:hint="eastAsia"/>
          <w:sz w:val="24"/>
          <w:lang w:eastAsia="zh-CN"/>
        </w:rPr>
        <w:t>提供的数据准确可靠，结论正确</w:t>
      </w:r>
      <w:r>
        <w:rPr>
          <w:sz w:val="24"/>
          <w:lang w:eastAsia="zh-CN"/>
        </w:rPr>
        <w:t>。</w:t>
      </w:r>
    </w:p>
    <w:p>
      <w:pPr>
        <w:adjustRightInd w:val="0"/>
        <w:ind w:firstLine="480" w:firstLineChars="200"/>
        <w:rPr>
          <w:sz w:val="24"/>
          <w:lang w:eastAsia="zh-CN"/>
        </w:rPr>
      </w:pPr>
      <w:r>
        <w:rPr>
          <w:sz w:val="24"/>
          <w:lang w:eastAsia="zh-CN"/>
        </w:rPr>
        <w:t>在保证</w:t>
      </w:r>
      <w:r>
        <w:rPr>
          <w:rFonts w:hint="eastAsia"/>
          <w:sz w:val="24"/>
          <w:lang w:eastAsia="zh-CN"/>
        </w:rPr>
        <w:t>热电厂</w:t>
      </w:r>
      <w:r>
        <w:rPr>
          <w:sz w:val="24"/>
          <w:lang w:eastAsia="zh-CN"/>
        </w:rPr>
        <w:t>安全可靠运行的前提下，体现可靠性、经济性、合理性和先进性。贯彻以经济效益为中心，</w:t>
      </w:r>
      <w:r>
        <w:rPr>
          <w:rFonts w:hint="eastAsia"/>
          <w:sz w:val="24"/>
          <w:lang w:eastAsia="zh-CN"/>
        </w:rPr>
        <w:t>以供热安全为重点，符合国情和满足可持续发展要求，以合理的投资，获取最佳的经济效益和社会效益</w:t>
      </w:r>
      <w:r>
        <w:rPr>
          <w:sz w:val="24"/>
          <w:lang w:eastAsia="zh-CN"/>
        </w:rPr>
        <w:t>。具体内容为：</w:t>
      </w:r>
    </w:p>
    <w:p>
      <w:pPr>
        <w:adjustRightInd w:val="0"/>
        <w:ind w:firstLine="480" w:firstLineChars="200"/>
        <w:rPr>
          <w:sz w:val="24"/>
          <w:lang w:eastAsia="zh-CN"/>
        </w:rPr>
      </w:pPr>
      <w:r>
        <w:rPr>
          <w:rFonts w:hint="eastAsia"/>
          <w:sz w:val="24"/>
          <w:lang w:eastAsia="zh-CN"/>
        </w:rPr>
        <w:t>①</w:t>
      </w:r>
      <w:r>
        <w:rPr>
          <w:sz w:val="24"/>
          <w:lang w:eastAsia="zh-CN"/>
        </w:rPr>
        <w:t>应从国家产业政策、电力电量平衡、热负荷需求、地区环境质量</w:t>
      </w:r>
      <w:r>
        <w:rPr>
          <w:rFonts w:hint="eastAsia"/>
          <w:sz w:val="24"/>
          <w:lang w:eastAsia="zh-CN"/>
        </w:rPr>
        <w:t>，</w:t>
      </w:r>
      <w:r>
        <w:rPr>
          <w:sz w:val="24"/>
          <w:lang w:eastAsia="zh-CN"/>
        </w:rPr>
        <w:t>以及能源、煤炭和水资源、利用总量控制等方面论证项目建设的必要性和可行性；</w:t>
      </w:r>
    </w:p>
    <w:p>
      <w:pPr>
        <w:adjustRightInd w:val="0"/>
        <w:ind w:firstLine="480" w:firstLineChars="200"/>
        <w:rPr>
          <w:sz w:val="24"/>
          <w:lang w:eastAsia="zh-CN"/>
        </w:rPr>
      </w:pPr>
      <w:r>
        <w:rPr>
          <w:rFonts w:hint="eastAsia"/>
          <w:sz w:val="24"/>
          <w:lang w:eastAsia="zh-CN"/>
        </w:rPr>
        <w:t>②</w:t>
      </w:r>
      <w:r>
        <w:rPr>
          <w:sz w:val="24"/>
          <w:lang w:eastAsia="zh-CN"/>
        </w:rPr>
        <w:t>应落实环境保护、水土保持、土地利用、接入系统、热负荷、燃料、水源、交通运输、贮灰场、区域稳定及岩土工程、脱硫吸收剂和脱硝还原剂、脱硫副产品处置等建厂外部条件，并进行必要的方案比较；</w:t>
      </w:r>
    </w:p>
    <w:p>
      <w:pPr>
        <w:adjustRightInd w:val="0"/>
        <w:ind w:firstLine="480" w:firstLineChars="200"/>
        <w:rPr>
          <w:sz w:val="24"/>
          <w:lang w:eastAsia="zh-CN"/>
        </w:rPr>
      </w:pPr>
      <w:r>
        <w:rPr>
          <w:rFonts w:hint="eastAsia"/>
          <w:sz w:val="24"/>
          <w:lang w:eastAsia="zh-CN"/>
        </w:rPr>
        <w:t>③</w:t>
      </w:r>
      <w:r>
        <w:rPr>
          <w:sz w:val="24"/>
          <w:lang w:eastAsia="zh-CN"/>
        </w:rPr>
        <w:t>应对厂址的总体规划、厂区总平面规划布置以及各工艺系统提出工程方案设想，以满足投资估算和财务评价的要求；</w:t>
      </w:r>
    </w:p>
    <w:p>
      <w:pPr>
        <w:adjustRightInd w:val="0"/>
        <w:ind w:firstLine="480" w:firstLineChars="200"/>
        <w:rPr>
          <w:sz w:val="24"/>
          <w:lang w:eastAsia="zh-CN"/>
        </w:rPr>
      </w:pPr>
      <w:r>
        <w:rPr>
          <w:rFonts w:hint="eastAsia"/>
          <w:sz w:val="24"/>
          <w:lang w:eastAsia="zh-CN"/>
        </w:rPr>
        <w:t>④</w:t>
      </w:r>
      <w:r>
        <w:rPr>
          <w:sz w:val="24"/>
          <w:lang w:eastAsia="zh-CN"/>
        </w:rPr>
        <w:t>应论证并提出主设备技术条件，以满足主设备招标的要求</w:t>
      </w:r>
      <w:r>
        <w:rPr>
          <w:rFonts w:hint="eastAsia"/>
          <w:sz w:val="24"/>
          <w:lang w:eastAsia="zh-CN"/>
        </w:rPr>
        <w:t>，并</w:t>
      </w:r>
      <w:r>
        <w:rPr>
          <w:sz w:val="24"/>
          <w:lang w:eastAsia="zh-CN"/>
        </w:rPr>
        <w:t>做到系统、设备选型合理、高效，降低运行能耗</w:t>
      </w:r>
      <w:r>
        <w:rPr>
          <w:rFonts w:hint="eastAsia"/>
          <w:sz w:val="24"/>
          <w:lang w:eastAsia="zh-CN"/>
        </w:rPr>
        <w:t>，</w:t>
      </w:r>
      <w:r>
        <w:rPr>
          <w:sz w:val="24"/>
          <w:lang w:eastAsia="zh-CN"/>
        </w:rPr>
        <w:t>自动化水平先进适用；</w:t>
      </w:r>
    </w:p>
    <w:p>
      <w:pPr>
        <w:adjustRightInd w:val="0"/>
        <w:ind w:firstLine="480" w:firstLineChars="200"/>
        <w:rPr>
          <w:sz w:val="24"/>
          <w:lang w:eastAsia="zh-CN"/>
        </w:rPr>
      </w:pPr>
      <w:r>
        <w:rPr>
          <w:rFonts w:hint="eastAsia"/>
          <w:sz w:val="24"/>
          <w:lang w:eastAsia="zh-CN"/>
        </w:rPr>
        <w:t>⑤</w:t>
      </w:r>
      <w:r>
        <w:rPr>
          <w:sz w:val="24"/>
          <w:lang w:eastAsia="zh-CN"/>
        </w:rPr>
        <w:t>投资估算应能满足控制概算的要求，节约工程投资，并进行造价分析；</w:t>
      </w:r>
    </w:p>
    <w:p>
      <w:pPr>
        <w:adjustRightInd w:val="0"/>
        <w:ind w:firstLine="480" w:firstLineChars="200"/>
        <w:rPr>
          <w:sz w:val="24"/>
          <w:lang w:eastAsia="zh-CN"/>
        </w:rPr>
      </w:pPr>
      <w:r>
        <w:rPr>
          <w:rFonts w:hint="eastAsia"/>
          <w:sz w:val="24"/>
          <w:lang w:eastAsia="zh-CN"/>
        </w:rPr>
        <w:t>⑥</w:t>
      </w:r>
      <w:r>
        <w:rPr>
          <w:sz w:val="24"/>
          <w:lang w:eastAsia="zh-CN"/>
        </w:rPr>
        <w:t>财务分析所需的原始资料应切合实际，以此确定相应上网参考电价估算值；利用外资项目的财务分析指标，还应符合国家规定的有关利用外资项目的技术经济政策；</w:t>
      </w:r>
    </w:p>
    <w:p>
      <w:pPr>
        <w:adjustRightInd w:val="0"/>
        <w:ind w:firstLine="480" w:firstLineChars="200"/>
        <w:rPr>
          <w:sz w:val="24"/>
          <w:lang w:eastAsia="zh-CN"/>
        </w:rPr>
      </w:pPr>
      <w:r>
        <w:rPr>
          <w:rFonts w:hint="eastAsia" w:asciiTheme="minorEastAsia" w:hAnsiTheme="minorEastAsia"/>
          <w:sz w:val="24"/>
          <w:lang w:eastAsia="zh-CN"/>
        </w:rPr>
        <w:t>⑦</w:t>
      </w:r>
      <w:r>
        <w:rPr>
          <w:sz w:val="24"/>
          <w:lang w:eastAsia="zh-CN"/>
        </w:rPr>
        <w:t>应说明合理利用资源情况，并进行节能分析、抗灾能力评价、风险分析和经济与社会影响分析；</w:t>
      </w:r>
    </w:p>
    <w:p>
      <w:pPr>
        <w:adjustRightInd w:val="0"/>
        <w:ind w:firstLine="480" w:firstLineChars="200"/>
        <w:rPr>
          <w:sz w:val="24"/>
          <w:lang w:eastAsia="zh-CN"/>
        </w:rPr>
      </w:pPr>
      <w:r>
        <w:rPr>
          <w:rFonts w:hint="eastAsia" w:asciiTheme="minorEastAsia" w:hAnsiTheme="minorEastAsia"/>
          <w:sz w:val="24"/>
          <w:lang w:eastAsia="zh-CN"/>
        </w:rPr>
        <w:t>⑧</w:t>
      </w:r>
      <w:r>
        <w:rPr>
          <w:sz w:val="24"/>
          <w:lang w:eastAsia="zh-CN"/>
        </w:rPr>
        <w:t>应结合项目社会稳定风险分析及评估意见，说明项目建设风险等级、防范与化解措施；</w:t>
      </w:r>
    </w:p>
    <w:p>
      <w:pPr>
        <w:adjustRightInd w:val="0"/>
        <w:ind w:firstLine="480" w:firstLineChars="200"/>
        <w:rPr>
          <w:sz w:val="24"/>
          <w:lang w:eastAsia="zh-CN"/>
        </w:rPr>
      </w:pPr>
      <w:r>
        <w:rPr>
          <w:rFonts w:hint="eastAsia" w:asciiTheme="minorEastAsia" w:hAnsiTheme="minorEastAsia"/>
          <w:sz w:val="24"/>
          <w:lang w:eastAsia="zh-CN"/>
        </w:rPr>
        <w:t>⑨应</w:t>
      </w:r>
      <w:r>
        <w:rPr>
          <w:rFonts w:hint="eastAsia"/>
          <w:sz w:val="24"/>
          <w:lang w:eastAsia="zh-CN"/>
        </w:rPr>
        <w:t>充分考虑现有装置与新建设备、系统的互用性，结合原有总平面布置，原有生产系统布置，和原有生产管理经验等方面的特点统筹考虑，不应设置重复的系统、设备或设施，提高运行安全性。</w:t>
      </w:r>
    </w:p>
    <w:p>
      <w:pPr>
        <w:adjustRightInd w:val="0"/>
        <w:ind w:firstLine="480" w:firstLineChars="200"/>
        <w:rPr>
          <w:sz w:val="24"/>
          <w:lang w:eastAsia="zh-CN"/>
        </w:rPr>
      </w:pPr>
      <w:r>
        <w:rPr>
          <w:rFonts w:hint="eastAsia" w:asciiTheme="minorEastAsia" w:hAnsiTheme="minorEastAsia"/>
          <w:sz w:val="24"/>
          <w:lang w:eastAsia="zh-CN"/>
        </w:rPr>
        <w:t>⑩</w:t>
      </w:r>
      <w:r>
        <w:rPr>
          <w:rFonts w:hint="eastAsia"/>
          <w:sz w:val="24"/>
          <w:lang w:eastAsia="zh-CN"/>
        </w:rPr>
        <w:t>设备</w:t>
      </w:r>
      <w:r>
        <w:rPr>
          <w:sz w:val="24"/>
          <w:lang w:eastAsia="zh-CN"/>
        </w:rPr>
        <w:t>投产后达到：运行安全、可靠、经济，并维修方便；保证不因设计原因造成</w:t>
      </w:r>
      <w:r>
        <w:rPr>
          <w:rFonts w:hint="eastAsia"/>
          <w:sz w:val="24"/>
          <w:lang w:eastAsia="zh-CN"/>
        </w:rPr>
        <w:t>设备</w:t>
      </w:r>
      <w:r>
        <w:rPr>
          <w:sz w:val="24"/>
          <w:lang w:eastAsia="zh-CN"/>
        </w:rPr>
        <w:t>投产后需进行完善化工作和技改工作，保证不因设计原因造成非计划停运，保证不因设计原因造成提前大修。</w:t>
      </w:r>
    </w:p>
    <w:p>
      <w:pPr>
        <w:pStyle w:val="24"/>
        <w:numPr>
          <w:ilvl w:val="1"/>
          <w:numId w:val="8"/>
        </w:numPr>
        <w:autoSpaceDE/>
        <w:autoSpaceDN/>
        <w:adjustRightInd w:val="0"/>
        <w:spacing w:before="0"/>
        <w:ind w:left="851" w:hanging="425"/>
        <w:jc w:val="both"/>
        <w:rPr>
          <w:sz w:val="24"/>
        </w:rPr>
      </w:pPr>
      <w:r>
        <w:rPr>
          <w:sz w:val="24"/>
        </w:rPr>
        <w:t>设计</w:t>
      </w:r>
      <w:r>
        <w:rPr>
          <w:rFonts w:hint="eastAsia"/>
          <w:sz w:val="24"/>
        </w:rPr>
        <w:t>方责任</w:t>
      </w:r>
      <w:r>
        <w:rPr>
          <w:sz w:val="24"/>
        </w:rPr>
        <w:t>：</w:t>
      </w:r>
    </w:p>
    <w:p>
      <w:pPr>
        <w:adjustRightInd w:val="0"/>
        <w:ind w:firstLine="480" w:firstLineChars="200"/>
        <w:rPr>
          <w:sz w:val="24"/>
          <w:lang w:eastAsia="zh-CN"/>
        </w:rPr>
      </w:pPr>
      <w:r>
        <w:rPr>
          <w:sz w:val="24"/>
          <w:lang w:eastAsia="zh-CN"/>
        </w:rPr>
        <w:t>全面加强与委托方的沟通，将</w:t>
      </w:r>
      <w:r>
        <w:rPr>
          <w:rFonts w:hint="eastAsia"/>
          <w:sz w:val="24"/>
          <w:lang w:eastAsia="zh-CN"/>
        </w:rPr>
        <w:t>热电厂汽轮机改造</w:t>
      </w:r>
      <w:r>
        <w:rPr>
          <w:sz w:val="24"/>
          <w:lang w:eastAsia="zh-CN"/>
        </w:rPr>
        <w:t>成一个安全可靠、经济适用、高效环保。设计方目标明确、措施得力</w:t>
      </w:r>
      <w:r>
        <w:rPr>
          <w:rFonts w:hint="eastAsia"/>
          <w:sz w:val="24"/>
          <w:lang w:eastAsia="zh-CN"/>
        </w:rPr>
        <w:t>，</w:t>
      </w:r>
      <w:r>
        <w:rPr>
          <w:sz w:val="24"/>
          <w:lang w:eastAsia="zh-CN"/>
        </w:rPr>
        <w:t>为委托方提供满意的设计成果。</w:t>
      </w:r>
    </w:p>
    <w:p>
      <w:pPr>
        <w:pStyle w:val="60"/>
        <w:widowControl w:val="0"/>
        <w:numPr>
          <w:ilvl w:val="0"/>
          <w:numId w:val="9"/>
        </w:numPr>
        <w:adjustRightInd w:val="0"/>
        <w:ind w:left="0" w:firstLine="480"/>
        <w:jc w:val="both"/>
        <w:rPr>
          <w:sz w:val="24"/>
          <w:szCs w:val="24"/>
        </w:rPr>
      </w:pPr>
      <w:r>
        <w:rPr>
          <w:sz w:val="24"/>
          <w:szCs w:val="24"/>
        </w:rPr>
        <w:t>全力提供优质的设计产品、提供优质的全过程技术服务；对工程寿命期的设计质量终身负责。</w:t>
      </w:r>
    </w:p>
    <w:p>
      <w:pPr>
        <w:pStyle w:val="60"/>
        <w:widowControl w:val="0"/>
        <w:numPr>
          <w:ilvl w:val="0"/>
          <w:numId w:val="9"/>
        </w:numPr>
        <w:adjustRightInd w:val="0"/>
        <w:ind w:left="0" w:firstLine="480"/>
        <w:jc w:val="both"/>
        <w:rPr>
          <w:sz w:val="24"/>
          <w:szCs w:val="24"/>
        </w:rPr>
      </w:pPr>
      <w:r>
        <w:rPr>
          <w:sz w:val="24"/>
          <w:szCs w:val="24"/>
        </w:rPr>
        <w:t>建立设计项目经理（设总）负责的全过程设计、服务组织体系，做到设计水平、产品质量及交付进度与工程进度总体一致和紧密衔接，让委托方满意最大化；服务态度、服务内容、服务行为规范化；服务计划、服务组织制度化；服务工作及时、周到、主动，让委托方满意。</w:t>
      </w:r>
    </w:p>
    <w:p>
      <w:pPr>
        <w:pStyle w:val="60"/>
        <w:widowControl w:val="0"/>
        <w:numPr>
          <w:ilvl w:val="0"/>
          <w:numId w:val="9"/>
        </w:numPr>
        <w:adjustRightInd w:val="0"/>
        <w:ind w:left="0" w:firstLine="480"/>
        <w:jc w:val="both"/>
        <w:rPr>
          <w:sz w:val="24"/>
          <w:szCs w:val="24"/>
        </w:rPr>
      </w:pPr>
      <w:r>
        <w:rPr>
          <w:sz w:val="24"/>
          <w:szCs w:val="24"/>
        </w:rPr>
        <w:t>严格履行合同规定的责任和义务。按合同规定进行设计的组织和实施，保证设计质量和工期。</w:t>
      </w:r>
    </w:p>
    <w:p>
      <w:pPr>
        <w:pStyle w:val="60"/>
        <w:widowControl w:val="0"/>
        <w:numPr>
          <w:ilvl w:val="0"/>
          <w:numId w:val="9"/>
        </w:numPr>
        <w:adjustRightInd w:val="0"/>
        <w:ind w:left="0" w:firstLine="480"/>
        <w:jc w:val="both"/>
        <w:rPr>
          <w:sz w:val="24"/>
          <w:szCs w:val="24"/>
        </w:rPr>
      </w:pPr>
      <w:r>
        <w:rPr>
          <w:sz w:val="24"/>
          <w:szCs w:val="24"/>
        </w:rPr>
        <w:t>保持设计服务的完整性、连续性，对设计质量、综合技术全面负责，做好工程设计、协调、善后服务等工作。在工程设计中</w:t>
      </w:r>
      <w:r>
        <w:rPr>
          <w:rFonts w:hint="eastAsia"/>
          <w:sz w:val="24"/>
          <w:szCs w:val="24"/>
        </w:rPr>
        <w:t>、</w:t>
      </w:r>
      <w:r>
        <w:rPr>
          <w:sz w:val="24"/>
          <w:szCs w:val="24"/>
        </w:rPr>
        <w:t>与承包商谈判中贯彻委托方的意图和技术原则，并协调技术问题</w:t>
      </w:r>
      <w:r>
        <w:rPr>
          <w:rFonts w:hint="eastAsia"/>
          <w:sz w:val="24"/>
          <w:szCs w:val="24"/>
        </w:rPr>
        <w:t>。</w:t>
      </w:r>
    </w:p>
    <w:p>
      <w:pPr>
        <w:pStyle w:val="60"/>
        <w:widowControl w:val="0"/>
        <w:numPr>
          <w:ilvl w:val="0"/>
          <w:numId w:val="9"/>
        </w:numPr>
        <w:adjustRightInd w:val="0"/>
        <w:ind w:left="0" w:firstLine="480"/>
        <w:jc w:val="both"/>
        <w:rPr>
          <w:sz w:val="24"/>
          <w:szCs w:val="24"/>
        </w:rPr>
      </w:pPr>
      <w:r>
        <w:rPr>
          <w:sz w:val="24"/>
          <w:szCs w:val="24"/>
        </w:rPr>
        <w:t>在设计服务过程中，认真听取委托方的意见，持续改进设计和服务工作。在不违背国家政策及技术原则的前提下，对委托方根据工作需要所作的决定，积极支持并贯彻，并尽职尽责、努力工作、严守机密。与委托方密切配合，实现工程质量零缺陷，工程质量零危险，服务质量零抱怨。</w:t>
      </w:r>
    </w:p>
    <w:p>
      <w:pPr>
        <w:pStyle w:val="60"/>
        <w:widowControl w:val="0"/>
        <w:numPr>
          <w:ilvl w:val="0"/>
          <w:numId w:val="9"/>
        </w:numPr>
        <w:adjustRightInd w:val="0"/>
        <w:ind w:left="0" w:firstLine="480"/>
        <w:jc w:val="both"/>
        <w:rPr>
          <w:sz w:val="24"/>
          <w:szCs w:val="24"/>
        </w:rPr>
      </w:pPr>
      <w:r>
        <w:rPr>
          <w:sz w:val="24"/>
          <w:szCs w:val="24"/>
        </w:rPr>
        <w:t>明确以项目为中心的指导思想。充分理解委托方当前和未来的需要，满足委托方并争取超越委托方期望。工程的全部设计、服务工作，均以实现委托方满意为最终目标。设计方将主动对委托方的要求予以识别，包括委托方指明的及未指明但预期或规定为精品工程必须的内容，主动汇总和归纳从</w:t>
      </w:r>
      <w:r>
        <w:rPr>
          <w:rFonts w:hint="eastAsia"/>
          <w:sz w:val="24"/>
          <w:szCs w:val="24"/>
        </w:rPr>
        <w:t>委托方</w:t>
      </w:r>
      <w:r>
        <w:rPr>
          <w:sz w:val="24"/>
          <w:szCs w:val="24"/>
        </w:rPr>
        <w:t>回馈的缺陷和建议，有针对性扎实地予以改进提高。</w:t>
      </w:r>
    </w:p>
    <w:p>
      <w:pPr>
        <w:pStyle w:val="60"/>
        <w:widowControl w:val="0"/>
        <w:numPr>
          <w:ilvl w:val="0"/>
          <w:numId w:val="9"/>
        </w:numPr>
        <w:adjustRightInd w:val="0"/>
        <w:ind w:left="0" w:firstLine="480"/>
        <w:jc w:val="both"/>
        <w:rPr>
          <w:sz w:val="24"/>
          <w:szCs w:val="24"/>
        </w:rPr>
      </w:pPr>
      <w:r>
        <w:rPr>
          <w:sz w:val="24"/>
          <w:szCs w:val="24"/>
        </w:rPr>
        <w:t>深入优化技术方案，严格执行国家、地方和电力行业的各种规范和规定，优质完成工程的各阶段设计文件，提供优秀勘测设计成品。如果以上规范、规定和要求出现重叠、交叉或矛盾，设计方将首先和委托方研究、讨论，若无重大原则问题一般将采用标准高的规范和要求。为确保工程的精品水平，我公司将集中优秀的管理及技术专家，对各系统方案的设计进行策划和指导，并参与各设计阶段的评审、验证和确认。</w:t>
      </w:r>
    </w:p>
    <w:p>
      <w:pPr>
        <w:pStyle w:val="24"/>
        <w:numPr>
          <w:ilvl w:val="1"/>
          <w:numId w:val="8"/>
        </w:numPr>
        <w:autoSpaceDE/>
        <w:autoSpaceDN/>
        <w:adjustRightInd w:val="0"/>
        <w:spacing w:before="0"/>
        <w:ind w:left="851" w:hanging="425"/>
        <w:jc w:val="both"/>
        <w:rPr>
          <w:sz w:val="24"/>
        </w:rPr>
      </w:pPr>
      <w:r>
        <w:rPr>
          <w:rFonts w:hint="eastAsia"/>
          <w:sz w:val="24"/>
        </w:rPr>
        <w:t>委托方责任</w:t>
      </w:r>
      <w:r>
        <w:rPr>
          <w:sz w:val="24"/>
        </w:rPr>
        <w:t>：</w:t>
      </w:r>
    </w:p>
    <w:p>
      <w:pPr>
        <w:pStyle w:val="60"/>
        <w:widowControl w:val="0"/>
        <w:adjustRightInd w:val="0"/>
        <w:ind w:firstLineChars="0"/>
        <w:jc w:val="both"/>
        <w:rPr>
          <w:sz w:val="24"/>
          <w:szCs w:val="24"/>
        </w:rPr>
      </w:pPr>
      <w:r>
        <w:rPr>
          <w:sz w:val="24"/>
          <w:szCs w:val="24"/>
        </w:rPr>
        <w:fldChar w:fldCharType="begin"/>
      </w:r>
      <w:r>
        <w:rPr>
          <w:sz w:val="24"/>
          <w:szCs w:val="24"/>
        </w:rPr>
        <w:instrText xml:space="preserve"> </w:instrText>
      </w:r>
      <w:r>
        <w:rPr>
          <w:rFonts w:hint="eastAsia"/>
          <w:sz w:val="24"/>
          <w:szCs w:val="24"/>
        </w:rPr>
        <w:instrText xml:space="preserve">= 1 \* GB3</w:instrText>
      </w:r>
      <w:r>
        <w:rPr>
          <w:sz w:val="24"/>
          <w:szCs w:val="24"/>
        </w:rPr>
        <w:instrText xml:space="preserve"> </w:instrText>
      </w:r>
      <w:r>
        <w:rPr>
          <w:sz w:val="24"/>
          <w:szCs w:val="24"/>
        </w:rPr>
        <w:fldChar w:fldCharType="separate"/>
      </w:r>
      <w:r>
        <w:rPr>
          <w:rFonts w:hint="eastAsia"/>
          <w:sz w:val="24"/>
          <w:szCs w:val="24"/>
        </w:rPr>
        <w:t>①</w:t>
      </w:r>
      <w:r>
        <w:rPr>
          <w:sz w:val="24"/>
          <w:szCs w:val="24"/>
        </w:rPr>
        <w:fldChar w:fldCharType="end"/>
      </w:r>
      <w:r>
        <w:rPr>
          <w:rFonts w:hint="eastAsia"/>
          <w:sz w:val="24"/>
          <w:szCs w:val="24"/>
        </w:rPr>
        <w:t>根据投标方要求，提供热电厂相关资料；</w:t>
      </w:r>
    </w:p>
    <w:p>
      <w:pPr>
        <w:pStyle w:val="60"/>
        <w:widowControl w:val="0"/>
        <w:adjustRightInd w:val="0"/>
        <w:ind w:firstLineChars="0"/>
        <w:jc w:val="both"/>
        <w:rPr>
          <w:sz w:val="24"/>
          <w:szCs w:val="24"/>
        </w:rPr>
      </w:pPr>
      <w:r>
        <w:rPr>
          <w:sz w:val="24"/>
          <w:szCs w:val="24"/>
        </w:rPr>
        <w:fldChar w:fldCharType="begin"/>
      </w:r>
      <w:r>
        <w:rPr>
          <w:sz w:val="24"/>
          <w:szCs w:val="24"/>
        </w:rPr>
        <w:instrText xml:space="preserve"> </w:instrText>
      </w:r>
      <w:r>
        <w:rPr>
          <w:rFonts w:hint="eastAsia"/>
          <w:sz w:val="24"/>
          <w:szCs w:val="24"/>
        </w:rPr>
        <w:instrText xml:space="preserve">= 2 \* GB3</w:instrText>
      </w:r>
      <w:r>
        <w:rPr>
          <w:sz w:val="24"/>
          <w:szCs w:val="24"/>
        </w:rPr>
        <w:instrText xml:space="preserve"> </w:instrText>
      </w:r>
      <w:r>
        <w:rPr>
          <w:sz w:val="24"/>
          <w:szCs w:val="24"/>
        </w:rPr>
        <w:fldChar w:fldCharType="separate"/>
      </w:r>
      <w:r>
        <w:rPr>
          <w:rFonts w:hint="eastAsia"/>
          <w:sz w:val="24"/>
          <w:szCs w:val="24"/>
        </w:rPr>
        <w:t>②</w:t>
      </w:r>
      <w:r>
        <w:rPr>
          <w:sz w:val="24"/>
          <w:szCs w:val="24"/>
        </w:rPr>
        <w:fldChar w:fldCharType="end"/>
      </w:r>
      <w:r>
        <w:rPr>
          <w:rFonts w:hint="eastAsia"/>
          <w:sz w:val="24"/>
          <w:szCs w:val="24"/>
        </w:rPr>
        <w:t>因勘察等原因，投标方需入厂实地察看时，委托方需帮助投标方办理入厂手续</w:t>
      </w:r>
    </w:p>
    <w:p>
      <w:pPr>
        <w:pStyle w:val="60"/>
        <w:widowControl w:val="0"/>
        <w:adjustRightInd w:val="0"/>
        <w:ind w:firstLineChars="0"/>
        <w:jc w:val="both"/>
        <w:rPr>
          <w:sz w:val="24"/>
          <w:szCs w:val="24"/>
        </w:rPr>
      </w:pPr>
      <w:r>
        <w:rPr>
          <w:sz w:val="24"/>
          <w:szCs w:val="24"/>
        </w:rPr>
        <w:fldChar w:fldCharType="begin"/>
      </w:r>
      <w:r>
        <w:rPr>
          <w:sz w:val="24"/>
          <w:szCs w:val="24"/>
        </w:rPr>
        <w:instrText xml:space="preserve"> </w:instrText>
      </w:r>
      <w:r>
        <w:rPr>
          <w:rFonts w:hint="eastAsia"/>
          <w:sz w:val="24"/>
          <w:szCs w:val="24"/>
        </w:rPr>
        <w:instrText xml:space="preserve">= 3 \* GB3</w:instrText>
      </w:r>
      <w:r>
        <w:rPr>
          <w:sz w:val="24"/>
          <w:szCs w:val="24"/>
        </w:rPr>
        <w:instrText xml:space="preserve"> </w:instrText>
      </w:r>
      <w:r>
        <w:rPr>
          <w:sz w:val="24"/>
          <w:szCs w:val="24"/>
        </w:rPr>
        <w:fldChar w:fldCharType="separate"/>
      </w:r>
      <w:r>
        <w:rPr>
          <w:rFonts w:hint="eastAsia"/>
          <w:sz w:val="24"/>
          <w:szCs w:val="24"/>
        </w:rPr>
        <w:t>③</w:t>
      </w:r>
      <w:r>
        <w:rPr>
          <w:sz w:val="24"/>
          <w:szCs w:val="24"/>
        </w:rPr>
        <w:fldChar w:fldCharType="end"/>
      </w:r>
      <w:r>
        <w:rPr>
          <w:rFonts w:hint="eastAsia"/>
          <w:sz w:val="24"/>
          <w:szCs w:val="24"/>
        </w:rPr>
        <w:t>其他需要配合投标方的事宜（技术人员对接、协调工作）</w:t>
      </w:r>
    </w:p>
    <w:p>
      <w:pPr>
        <w:pStyle w:val="4"/>
        <w:keepNext/>
        <w:keepLines/>
        <w:numPr>
          <w:ilvl w:val="0"/>
          <w:numId w:val="6"/>
        </w:numPr>
        <w:autoSpaceDE/>
        <w:autoSpaceDN/>
        <w:jc w:val="both"/>
        <w:rPr>
          <w:sz w:val="28"/>
        </w:rPr>
      </w:pPr>
      <w:r>
        <w:rPr>
          <w:rFonts w:hint="eastAsia"/>
          <w:sz w:val="28"/>
        </w:rPr>
        <w:t>资质要求：</w:t>
      </w:r>
      <w:r>
        <w:rPr>
          <w:sz w:val="28"/>
        </w:rPr>
        <w:t xml:space="preserve"> </w:t>
      </w:r>
    </w:p>
    <w:p>
      <w:pPr>
        <w:numPr>
          <w:ilvl w:val="0"/>
          <w:numId w:val="10"/>
        </w:numPr>
        <w:autoSpaceDE/>
        <w:autoSpaceDN/>
        <w:ind w:left="426" w:hanging="142"/>
        <w:jc w:val="both"/>
        <w:rPr>
          <w:sz w:val="24"/>
          <w:lang w:eastAsia="zh-CN"/>
        </w:rPr>
      </w:pPr>
      <w:r>
        <w:rPr>
          <w:rFonts w:hint="eastAsia"/>
          <w:sz w:val="24"/>
          <w:lang w:eastAsia="zh-CN"/>
        </w:rPr>
        <w:t>投标方应具有建设主管部门颁发的电力工程设计资质甲级及以上资质、工程勘察甲级及以上资质；</w:t>
      </w:r>
    </w:p>
    <w:p>
      <w:pPr>
        <w:numPr>
          <w:ilvl w:val="0"/>
          <w:numId w:val="10"/>
        </w:numPr>
        <w:autoSpaceDE/>
        <w:autoSpaceDN/>
        <w:ind w:left="284" w:firstLine="0"/>
        <w:jc w:val="both"/>
        <w:rPr>
          <w:sz w:val="24"/>
          <w:lang w:eastAsia="zh-CN"/>
        </w:rPr>
      </w:pPr>
      <w:r>
        <w:rPr>
          <w:rFonts w:hint="eastAsia"/>
          <w:sz w:val="24"/>
          <w:lang w:eastAsia="zh-CN"/>
        </w:rPr>
        <w:t>近五年内承担过同类工程设计或</w:t>
      </w:r>
      <w:r>
        <w:rPr>
          <w:sz w:val="24"/>
          <w:lang w:eastAsia="zh-CN"/>
        </w:rPr>
        <w:t>EPC业绩</w:t>
      </w:r>
      <w:r>
        <w:rPr>
          <w:rFonts w:hint="eastAsia"/>
          <w:sz w:val="24"/>
          <w:lang w:eastAsia="zh-CN"/>
        </w:rPr>
        <w:t>，并有良好的履约记录；</w:t>
      </w:r>
    </w:p>
    <w:p>
      <w:pPr>
        <w:numPr>
          <w:ilvl w:val="0"/>
          <w:numId w:val="10"/>
        </w:numPr>
        <w:autoSpaceDE/>
        <w:autoSpaceDN/>
        <w:ind w:left="284" w:firstLine="0"/>
        <w:jc w:val="both"/>
        <w:rPr>
          <w:sz w:val="24"/>
          <w:lang w:eastAsia="zh-CN"/>
        </w:rPr>
      </w:pPr>
      <w:r>
        <w:rPr>
          <w:rFonts w:hint="eastAsia"/>
          <w:sz w:val="24"/>
          <w:lang w:eastAsia="zh-CN"/>
        </w:rPr>
        <w:t>近三年内无设计质量事故，无被相关行政部门处罚记录；</w:t>
      </w:r>
    </w:p>
    <w:p>
      <w:pPr>
        <w:numPr>
          <w:ilvl w:val="0"/>
          <w:numId w:val="10"/>
        </w:numPr>
        <w:autoSpaceDE/>
        <w:autoSpaceDN/>
        <w:ind w:left="284" w:firstLine="0"/>
        <w:jc w:val="both"/>
        <w:rPr>
          <w:sz w:val="24"/>
          <w:lang w:eastAsia="zh-CN"/>
        </w:rPr>
      </w:pPr>
      <w:r>
        <w:rPr>
          <w:rFonts w:hint="eastAsia"/>
          <w:sz w:val="24"/>
          <w:lang w:eastAsia="zh-CN"/>
        </w:rPr>
        <w:t>投标单位应能提供相关设计业绩（附相关服务业绩证明）；</w:t>
      </w:r>
    </w:p>
    <w:p>
      <w:pPr>
        <w:numPr>
          <w:ilvl w:val="0"/>
          <w:numId w:val="10"/>
        </w:numPr>
        <w:autoSpaceDE/>
        <w:autoSpaceDN/>
        <w:ind w:left="284" w:firstLine="0"/>
        <w:jc w:val="both"/>
        <w:rPr>
          <w:sz w:val="24"/>
          <w:lang w:eastAsia="zh-CN"/>
        </w:rPr>
      </w:pPr>
      <w:r>
        <w:rPr>
          <w:rFonts w:hint="eastAsia"/>
          <w:sz w:val="24"/>
          <w:lang w:eastAsia="zh-CN"/>
        </w:rPr>
        <w:t>报告应满足安全、适用、经济、满足本项目电力设计使用功能的要求，并经当地主管部门认可、审批通过。</w:t>
      </w:r>
    </w:p>
    <w:p>
      <w:pPr>
        <w:pStyle w:val="3"/>
        <w:keepNext/>
        <w:keepLines/>
        <w:numPr>
          <w:ilvl w:val="0"/>
          <w:numId w:val="2"/>
        </w:numPr>
        <w:autoSpaceDE/>
        <w:autoSpaceDN/>
        <w:jc w:val="both"/>
        <w:rPr>
          <w:sz w:val="32"/>
          <w:szCs w:val="32"/>
        </w:rPr>
      </w:pPr>
      <w:r>
        <w:rPr>
          <w:rFonts w:hint="eastAsia"/>
          <w:sz w:val="32"/>
          <w:szCs w:val="32"/>
        </w:rPr>
        <w:t>附件</w:t>
      </w:r>
    </w:p>
    <w:p>
      <w:pPr>
        <w:pStyle w:val="24"/>
        <w:spacing w:before="0"/>
        <w:ind w:left="357" w:firstLine="0"/>
        <w:rPr>
          <w:rFonts w:ascii="Times New Roman" w:hAnsi="Times New Roman" w:cs="Times New Roman"/>
          <w:sz w:val="24"/>
          <w:szCs w:val="24"/>
          <w:lang w:eastAsia="zh-CN"/>
        </w:rPr>
      </w:pPr>
      <w:r>
        <w:rPr>
          <w:rFonts w:hint="eastAsia" w:ascii="Times New Roman" w:hAnsi="Times New Roman" w:cs="Times New Roman"/>
          <w:sz w:val="24"/>
          <w:szCs w:val="24"/>
          <w:lang w:eastAsia="zh-CN"/>
        </w:rPr>
        <w:t>附件1：福海创蒸汽负荷表</w:t>
      </w:r>
    </w:p>
    <w:p>
      <w:pPr>
        <w:pStyle w:val="24"/>
        <w:spacing w:before="0"/>
        <w:ind w:left="357" w:firstLine="0"/>
        <w:rPr>
          <w:rFonts w:ascii="Times New Roman" w:hAnsi="Times New Roman" w:cs="Times New Roman"/>
          <w:sz w:val="24"/>
          <w:szCs w:val="24"/>
          <w:lang w:eastAsia="zh-CN"/>
        </w:rPr>
      </w:pPr>
      <w:r>
        <w:rPr>
          <w:rFonts w:hint="eastAsia" w:ascii="Times New Roman" w:hAnsi="Times New Roman" w:cs="Times New Roman"/>
          <w:sz w:val="24"/>
          <w:szCs w:val="24"/>
          <w:lang w:eastAsia="zh-CN"/>
        </w:rPr>
        <w:t>附件2：热电厂平面布置图</w:t>
      </w:r>
    </w:p>
    <w:p>
      <w:pPr>
        <w:pStyle w:val="24"/>
        <w:spacing w:before="0"/>
        <w:ind w:left="357" w:firstLine="0"/>
        <w:rPr>
          <w:rFonts w:ascii="Times New Roman" w:hAnsi="Times New Roman" w:cs="Times New Roman"/>
          <w:sz w:val="24"/>
          <w:szCs w:val="24"/>
          <w:lang w:eastAsia="zh-CN"/>
        </w:rPr>
      </w:pPr>
      <w:r>
        <w:rPr>
          <w:rFonts w:hint="eastAsia" w:ascii="Times New Roman" w:hAnsi="Times New Roman" w:cs="Times New Roman"/>
          <w:sz w:val="24"/>
          <w:szCs w:val="24"/>
          <w:lang w:eastAsia="zh-CN"/>
        </w:rPr>
        <w:t>附件3：永福院初设总说明（现有装置）</w:t>
      </w:r>
    </w:p>
    <w:p>
      <w:pPr>
        <w:pStyle w:val="24"/>
        <w:spacing w:before="0"/>
        <w:ind w:left="357" w:firstLine="0"/>
        <w:rPr>
          <w:rFonts w:ascii="Times New Roman" w:hAnsi="Times New Roman" w:cs="Times New Roman"/>
          <w:sz w:val="24"/>
          <w:szCs w:val="24"/>
          <w:lang w:eastAsia="zh-CN"/>
        </w:rPr>
      </w:pPr>
      <w:r>
        <w:rPr>
          <w:rFonts w:hint="eastAsia" w:ascii="Times New Roman" w:hAnsi="Times New Roman" w:cs="Times New Roman"/>
          <w:sz w:val="24"/>
          <w:szCs w:val="24"/>
          <w:lang w:eastAsia="zh-CN"/>
        </w:rPr>
        <w:t>附件4：永福院施工图总说明（现有装置）</w:t>
      </w:r>
    </w:p>
    <w:p>
      <w:pPr>
        <w:pStyle w:val="24"/>
        <w:spacing w:before="0"/>
        <w:ind w:left="357" w:firstLine="0"/>
        <w:rPr>
          <w:rFonts w:ascii="Times New Roman" w:hAnsi="Times New Roman" w:cs="Times New Roman"/>
          <w:sz w:val="24"/>
          <w:szCs w:val="24"/>
          <w:lang w:eastAsia="zh-CN"/>
        </w:rPr>
      </w:pPr>
      <w:r>
        <w:rPr>
          <w:rFonts w:ascii="Times New Roman" w:hAnsi="Times New Roman" w:cs="Times New Roman"/>
          <w:sz w:val="24"/>
          <w:szCs w:val="24"/>
          <w:lang w:eastAsia="zh-CN"/>
        </w:rPr>
        <w:t>附件5</w:t>
      </w:r>
      <w:r>
        <w:rPr>
          <w:rFonts w:hint="eastAsia" w:ascii="Times New Roman" w:hAnsi="Times New Roman" w:cs="Times New Roman"/>
          <w:sz w:val="24"/>
          <w:szCs w:val="24"/>
          <w:lang w:eastAsia="zh-CN"/>
        </w:rPr>
        <w:t>：中环院施工图总说明（现有装置）</w:t>
      </w:r>
    </w:p>
    <w:p>
      <w:pPr>
        <w:pStyle w:val="24"/>
        <w:spacing w:before="0"/>
        <w:ind w:left="357" w:firstLine="0"/>
        <w:rPr>
          <w:lang w:eastAsia="zh-CN"/>
        </w:rPr>
      </w:pPr>
      <w:r>
        <w:rPr>
          <w:rFonts w:ascii="Times New Roman" w:hAnsi="Times New Roman" w:cs="Times New Roman"/>
          <w:sz w:val="24"/>
          <w:szCs w:val="24"/>
          <w:lang w:eastAsia="zh-CN"/>
        </w:rPr>
        <w:t>附件6</w:t>
      </w:r>
      <w:r>
        <w:rPr>
          <w:rFonts w:hint="eastAsia" w:ascii="Times New Roman" w:hAnsi="Times New Roman" w:cs="Times New Roman"/>
          <w:sz w:val="24"/>
          <w:szCs w:val="24"/>
          <w:lang w:eastAsia="zh-CN"/>
        </w:rPr>
        <w:t>：热电厂汽轮机改造工程可研报告</w:t>
      </w:r>
    </w:p>
    <w:p>
      <w:pPr>
        <w:pStyle w:val="2"/>
        <w:rPr>
          <w:b/>
          <w:sz w:val="28"/>
          <w:szCs w:val="28"/>
        </w:rPr>
      </w:pPr>
    </w:p>
    <w:p>
      <w:pPr>
        <w:pStyle w:val="2"/>
        <w:rPr>
          <w:b/>
          <w:sz w:val="28"/>
          <w:szCs w:val="28"/>
        </w:rPr>
      </w:pPr>
    </w:p>
    <w:p>
      <w:pPr>
        <w:pStyle w:val="2"/>
        <w:rPr>
          <w:b/>
          <w:sz w:val="28"/>
          <w:szCs w:val="28"/>
        </w:rPr>
      </w:pPr>
      <w:r>
        <w:rPr>
          <w:rFonts w:hint="eastAsia"/>
          <w:b/>
          <w:sz w:val="28"/>
          <w:szCs w:val="28"/>
        </w:rPr>
        <w:t>附件2：</w:t>
      </w:r>
    </w:p>
    <w:p>
      <w:pPr>
        <w:pStyle w:val="2"/>
        <w:rPr>
          <w:b/>
          <w:sz w:val="28"/>
          <w:szCs w:val="28"/>
        </w:rPr>
      </w:pPr>
    </w:p>
    <w:p>
      <w:pPr>
        <w:pStyle w:val="2"/>
        <w:rPr>
          <w:b/>
          <w:sz w:val="28"/>
          <w:szCs w:val="28"/>
        </w:rPr>
      </w:pPr>
      <w:r>
        <w:rPr>
          <w:rFonts w:hint="eastAsia"/>
          <w:b/>
          <w:sz w:val="28"/>
          <w:szCs w:val="28"/>
        </w:rPr>
        <w:t xml:space="preserve">                 价格清单</w:t>
      </w:r>
    </w:p>
    <w:p>
      <w:pPr>
        <w:pStyle w:val="2"/>
      </w:pPr>
    </w:p>
    <w:p>
      <w:pPr>
        <w:pStyle w:val="2"/>
        <w:rPr>
          <w:b/>
          <w:sz w:val="28"/>
          <w:szCs w:val="28"/>
        </w:rPr>
      </w:pPr>
      <w:r>
        <w:rPr>
          <w:rFonts w:hint="eastAsia"/>
          <w:b/>
          <w:sz w:val="28"/>
          <w:szCs w:val="28"/>
        </w:rPr>
        <w:t>附件3：</w:t>
      </w:r>
    </w:p>
    <w:p>
      <w:pPr>
        <w:pStyle w:val="9"/>
        <w:spacing w:afterLines="150" w:line="276" w:lineRule="auto"/>
        <w:ind w:left="-424" w:leftChars="-339" w:hanging="322" w:hangingChars="89"/>
        <w:jc w:val="center"/>
        <w:rPr>
          <w:rFonts w:ascii="黑体" w:hAnsi="宋体" w:eastAsia="黑体"/>
          <w:b/>
          <w:sz w:val="36"/>
          <w:szCs w:val="36"/>
          <w:lang w:eastAsia="zh-CN"/>
        </w:rPr>
      </w:pPr>
      <w:r>
        <w:rPr>
          <w:rFonts w:hint="eastAsia" w:ascii="黑体" w:hAnsi="宋体" w:eastAsia="黑体"/>
          <w:b/>
          <w:sz w:val="36"/>
          <w:szCs w:val="36"/>
          <w:lang w:eastAsia="zh-CN"/>
        </w:rPr>
        <w:t>安全环保协议书</w:t>
      </w:r>
    </w:p>
    <w:p>
      <w:pPr>
        <w:rPr>
          <w:szCs w:val="21"/>
          <w:lang w:eastAsia="zh-CN"/>
        </w:rPr>
      </w:pPr>
      <w:r>
        <w:rPr>
          <w:rFonts w:hint="eastAsia"/>
          <w:szCs w:val="21"/>
          <w:lang w:eastAsia="zh-CN"/>
        </w:rPr>
        <w:t>发包单位（以下简称甲方）：</w:t>
      </w:r>
      <w:r>
        <w:rPr>
          <w:rFonts w:hint="eastAsia"/>
          <w:szCs w:val="21"/>
          <w:u w:val="single"/>
          <w:lang w:eastAsia="zh-CN"/>
        </w:rPr>
        <w:t xml:space="preserve"> 腾龙芳烃（漳州）有限公司  </w:t>
      </w:r>
      <w:r>
        <w:rPr>
          <w:rFonts w:hint="eastAsia"/>
          <w:szCs w:val="21"/>
          <w:lang w:eastAsia="zh-CN"/>
        </w:rPr>
        <w:t xml:space="preserve">   </w:t>
      </w:r>
    </w:p>
    <w:p>
      <w:pPr>
        <w:rPr>
          <w:szCs w:val="21"/>
          <w:lang w:eastAsia="zh-CN"/>
        </w:rPr>
      </w:pPr>
      <w:r>
        <w:rPr>
          <w:rFonts w:hint="eastAsia"/>
          <w:szCs w:val="21"/>
          <w:lang w:eastAsia="zh-CN"/>
        </w:rPr>
        <w:t>承包单位（以下简称乙方）：</w:t>
      </w:r>
      <w:r>
        <w:rPr>
          <w:rFonts w:hint="eastAsia"/>
          <w:szCs w:val="21"/>
          <w:u w:val="single"/>
          <w:lang w:eastAsia="zh-CN"/>
        </w:rPr>
        <w:t xml:space="preserve">                           </w:t>
      </w:r>
      <w:r>
        <w:rPr>
          <w:rFonts w:hint="eastAsia"/>
          <w:szCs w:val="21"/>
          <w:lang w:eastAsia="zh-CN"/>
        </w:rPr>
        <w:t xml:space="preserve">    </w:t>
      </w:r>
    </w:p>
    <w:p>
      <w:pPr>
        <w:rPr>
          <w:rFonts w:asciiTheme="majorEastAsia" w:hAnsiTheme="majorEastAsia" w:eastAsiaTheme="majorEastAsia"/>
          <w:kern w:val="59"/>
          <w:sz w:val="24"/>
          <w:szCs w:val="24"/>
          <w:lang w:eastAsia="zh-CN"/>
        </w:rPr>
      </w:pPr>
      <w:r>
        <w:rPr>
          <w:rFonts w:hint="eastAsia"/>
          <w:szCs w:val="21"/>
          <w:lang w:eastAsia="zh-CN"/>
        </w:rPr>
        <w:t xml:space="preserve">    双方就</w:t>
      </w:r>
      <w:r>
        <w:rPr>
          <w:rFonts w:hint="eastAsia"/>
          <w:szCs w:val="21"/>
          <w:u w:val="single"/>
          <w:lang w:eastAsia="zh-CN"/>
        </w:rPr>
        <w:t xml:space="preserve"> </w:t>
      </w:r>
      <w:r>
        <w:rPr>
          <w:rFonts w:hint="eastAsia"/>
          <w:kern w:val="59"/>
          <w:u w:val="single"/>
          <w:lang w:eastAsia="zh-CN"/>
        </w:rPr>
        <w:t>南部热源点一期工程可行性研究及项目申请</w:t>
      </w:r>
      <w:r>
        <w:rPr>
          <w:rFonts w:hint="eastAsia"/>
          <w:szCs w:val="21"/>
          <w:u w:val="single"/>
          <w:lang w:eastAsia="zh-CN"/>
        </w:rPr>
        <w:t xml:space="preserve"> </w:t>
      </w:r>
      <w:r>
        <w:rPr>
          <w:rFonts w:hint="eastAsia"/>
          <w:szCs w:val="21"/>
          <w:lang w:eastAsia="zh-CN"/>
        </w:rPr>
        <w:t>项目签订了</w:t>
      </w:r>
      <w:r>
        <w:rPr>
          <w:rFonts w:hint="eastAsia"/>
          <w:szCs w:val="21"/>
          <w:u w:val="single"/>
          <w:lang w:eastAsia="zh-CN"/>
        </w:rPr>
        <w:t xml:space="preserve">服务 </w:t>
      </w:r>
      <w:r>
        <w:rPr>
          <w:rFonts w:hint="eastAsia"/>
          <w:szCs w:val="21"/>
          <w:lang w:eastAsia="zh-CN"/>
        </w:rPr>
        <w:t>合同，为进一步明确甲乙双方在项目承包合同履行过程中的权利和义务及责任，保障人身安全和企业财产安全，依据《中华人民共和国安全生产法》、《中华人民共和国环境保护法》等相关法规及腾龙芳烃（漳州）有限公司HSE管理制度，经双方协商，双方自愿签订本安全环保协议，作为主合同的附件。</w:t>
      </w:r>
    </w:p>
    <w:p>
      <w:pPr>
        <w:ind w:left="1"/>
        <w:rPr>
          <w:szCs w:val="21"/>
          <w:lang w:eastAsia="zh-CN"/>
        </w:rPr>
      </w:pPr>
      <w:r>
        <w:rPr>
          <w:rFonts w:hint="eastAsia"/>
          <w:b/>
          <w:szCs w:val="21"/>
          <w:lang w:eastAsia="zh-CN"/>
        </w:rPr>
        <w:t>一、甲方的权利和义务：</w:t>
      </w:r>
    </w:p>
    <w:p>
      <w:pPr>
        <w:rPr>
          <w:szCs w:val="21"/>
          <w:lang w:eastAsia="zh-CN"/>
        </w:rPr>
      </w:pPr>
      <w:r>
        <w:rPr>
          <w:rFonts w:hint="eastAsia"/>
          <w:szCs w:val="21"/>
          <w:lang w:eastAsia="zh-CN"/>
        </w:rPr>
        <w:t>1、 甲方有权对乙方的资质进行审查，确认其符合且具备进厂条件，方可进厂施工。</w:t>
      </w:r>
    </w:p>
    <w:p>
      <w:pPr>
        <w:rPr>
          <w:szCs w:val="21"/>
          <w:lang w:eastAsia="zh-CN"/>
        </w:rPr>
      </w:pPr>
      <w:r>
        <w:rPr>
          <w:rFonts w:hint="eastAsia"/>
          <w:szCs w:val="21"/>
          <w:lang w:eastAsia="zh-CN"/>
        </w:rPr>
        <w:t>2、 甲方有权要求乙方维护好甲方相关的安全环保设施、设备和器材。</w:t>
      </w:r>
    </w:p>
    <w:p>
      <w:pPr>
        <w:tabs>
          <w:tab w:val="left" w:pos="360"/>
          <w:tab w:val="left" w:pos="840"/>
        </w:tabs>
        <w:rPr>
          <w:szCs w:val="21"/>
          <w:lang w:eastAsia="zh-CN"/>
        </w:rPr>
      </w:pPr>
      <w:r>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rPr>
          <w:szCs w:val="21"/>
          <w:lang w:eastAsia="zh-CN"/>
        </w:rPr>
      </w:pPr>
      <w:r>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rPr>
          <w:color w:val="FF0000"/>
          <w:szCs w:val="21"/>
          <w:lang w:eastAsia="zh-CN"/>
        </w:rPr>
      </w:pPr>
      <w:r>
        <w:rPr>
          <w:rFonts w:hint="eastAsia"/>
          <w:szCs w:val="21"/>
          <w:lang w:eastAsia="zh-CN"/>
        </w:rPr>
        <w:t>5、 甲方有权对乙方不服从管理和严重违章者，驱除施工现场。</w:t>
      </w:r>
    </w:p>
    <w:p>
      <w:pPr>
        <w:rPr>
          <w:b/>
          <w:szCs w:val="21"/>
          <w:lang w:eastAsia="zh-CN"/>
        </w:rPr>
      </w:pPr>
      <w:r>
        <w:rPr>
          <w:rFonts w:hint="eastAsia"/>
          <w:szCs w:val="21"/>
          <w:lang w:eastAsia="zh-CN"/>
        </w:rPr>
        <w:t>6、 甲方负责对乙方进行厂级和部门级安全培训教育考核，考核合格方可办理入厂手续。</w:t>
      </w:r>
    </w:p>
    <w:p>
      <w:pPr>
        <w:tabs>
          <w:tab w:val="left" w:pos="360"/>
          <w:tab w:val="left" w:pos="840"/>
        </w:tabs>
        <w:rPr>
          <w:szCs w:val="21"/>
          <w:lang w:eastAsia="zh-CN"/>
        </w:rPr>
      </w:pPr>
      <w:r>
        <w:rPr>
          <w:rFonts w:hint="eastAsia"/>
          <w:szCs w:val="21"/>
          <w:lang w:eastAsia="zh-CN"/>
        </w:rPr>
        <w:t>7、 甲方负责各装置的工艺处理、退料、置换、及吹扫隔离工作，为本项目提供安全的施工条件。</w:t>
      </w:r>
    </w:p>
    <w:p>
      <w:pPr>
        <w:tabs>
          <w:tab w:val="left" w:pos="360"/>
          <w:tab w:val="left" w:pos="840"/>
        </w:tabs>
        <w:rPr>
          <w:szCs w:val="21"/>
          <w:lang w:eastAsia="zh-CN"/>
        </w:rPr>
      </w:pPr>
      <w:r>
        <w:rPr>
          <w:rFonts w:hint="eastAsia"/>
          <w:szCs w:val="21"/>
          <w:lang w:eastAsia="zh-CN"/>
        </w:rPr>
        <w:t>8、 甲方应乙方要求，向乙方提供与乙方作业相关的甲方有毒有害、易燃易爆物品数据</w:t>
      </w:r>
      <w:r>
        <w:rPr>
          <w:rFonts w:hint="eastAsia"/>
          <w:sz w:val="32"/>
          <w:szCs w:val="32"/>
          <w:lang w:eastAsia="zh-CN"/>
        </w:rPr>
        <w:t>。</w:t>
      </w:r>
    </w:p>
    <w:p>
      <w:pPr>
        <w:tabs>
          <w:tab w:val="left" w:pos="360"/>
          <w:tab w:val="left" w:pos="840"/>
        </w:tabs>
        <w:rPr>
          <w:szCs w:val="21"/>
          <w:lang w:eastAsia="zh-CN"/>
        </w:rPr>
      </w:pPr>
      <w:r>
        <w:rPr>
          <w:rFonts w:hint="eastAsia"/>
          <w:szCs w:val="21"/>
          <w:lang w:eastAsia="zh-CN"/>
        </w:rPr>
        <w:t>9、 甲方在开工前必须对乙方进行全面的安全技术及文明施工交底。</w:t>
      </w:r>
    </w:p>
    <w:p>
      <w:pPr>
        <w:ind w:left="1"/>
        <w:rPr>
          <w:b/>
          <w:szCs w:val="21"/>
          <w:lang w:eastAsia="zh-CN"/>
        </w:rPr>
      </w:pPr>
      <w:r>
        <w:rPr>
          <w:rFonts w:hint="eastAsia"/>
          <w:b/>
          <w:szCs w:val="21"/>
          <w:lang w:eastAsia="zh-CN"/>
        </w:rPr>
        <w:t>二、乙方的权利和义务：</w:t>
      </w:r>
    </w:p>
    <w:p>
      <w:pPr>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rPr>
          <w:szCs w:val="21"/>
          <w:lang w:eastAsia="zh-CN"/>
        </w:rPr>
      </w:pPr>
      <w:r>
        <w:rPr>
          <w:rFonts w:hint="eastAsia"/>
          <w:szCs w:val="21"/>
          <w:lang w:eastAsia="zh-CN"/>
        </w:rPr>
        <w:t>2、  乙方有权对甲方安全管理工作提出合理化建议或改进措施。</w:t>
      </w:r>
    </w:p>
    <w:p>
      <w:pPr>
        <w:rPr>
          <w:szCs w:val="21"/>
          <w:lang w:eastAsia="zh-CN"/>
        </w:rPr>
      </w:pPr>
      <w:r>
        <w:rPr>
          <w:rFonts w:hint="eastAsia"/>
          <w:szCs w:val="21"/>
          <w:lang w:eastAsia="zh-CN"/>
        </w:rPr>
        <w:t xml:space="preserve">3、 乙方对甲方管理人员违章指挥、强令冒险作业、有权拒绝执行。对打击和报复行为有权向上级和有关部门汇报。 </w:t>
      </w:r>
    </w:p>
    <w:p>
      <w:pPr>
        <w:rPr>
          <w:szCs w:val="21"/>
          <w:lang w:eastAsia="zh-CN"/>
        </w:rPr>
      </w:pPr>
      <w:r>
        <w:rPr>
          <w:rFonts w:hint="eastAsia"/>
          <w:szCs w:val="21"/>
          <w:lang w:eastAsia="zh-CN"/>
        </w:rPr>
        <w:t>4、 乙方对危及生命安全和身体健康的施工作业条件和环境，有权提出整改建议或拒绝施工作业。</w:t>
      </w:r>
    </w:p>
    <w:p>
      <w:pPr>
        <w:rPr>
          <w:szCs w:val="21"/>
          <w:lang w:eastAsia="zh-CN"/>
        </w:rPr>
      </w:pPr>
      <w:r>
        <w:rPr>
          <w:rFonts w:hint="eastAsia"/>
          <w:szCs w:val="21"/>
          <w:lang w:eastAsia="zh-CN"/>
        </w:rPr>
        <w:t>5、 乙方施工过程中在发生严重危及作业人员生命安全的不可抗拒紧急情况时，有权采取必要的避险措施，并立即向管理部门报告。</w:t>
      </w:r>
    </w:p>
    <w:p>
      <w:pPr>
        <w:rPr>
          <w:szCs w:val="21"/>
          <w:lang w:eastAsia="zh-CN"/>
        </w:rPr>
      </w:pPr>
      <w:r>
        <w:rPr>
          <w:rFonts w:hint="eastAsia"/>
          <w:szCs w:val="21"/>
          <w:lang w:eastAsia="zh-CN"/>
        </w:rPr>
        <w:t>6、 乙方有权要求甲方提供相关的安全资料。</w:t>
      </w:r>
    </w:p>
    <w:p>
      <w:pPr>
        <w:rPr>
          <w:b/>
          <w:szCs w:val="21"/>
          <w:lang w:eastAsia="zh-CN"/>
        </w:rPr>
      </w:pPr>
      <w:r>
        <w:rPr>
          <w:rFonts w:hint="eastAsia"/>
          <w:szCs w:val="21"/>
          <w:lang w:eastAsia="zh-CN"/>
        </w:rPr>
        <w:t xml:space="preserve">7、 </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hint="eastAsia" w:cs="Arial"/>
          <w:lang w:eastAsia="zh-CN"/>
        </w:rPr>
        <w:t>并佩戴明显标志；编制和实施各安全环保施工方案和专项应急预案。</w:t>
      </w:r>
    </w:p>
    <w:p>
      <w:pPr>
        <w:rPr>
          <w:szCs w:val="21"/>
          <w:lang w:eastAsia="zh-CN"/>
        </w:rPr>
      </w:pPr>
      <w:r>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rPr>
          <w:szCs w:val="21"/>
          <w:lang w:eastAsia="zh-CN"/>
        </w:rPr>
      </w:pPr>
      <w:r>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rPr>
          <w:szCs w:val="21"/>
          <w:lang w:eastAsia="zh-CN"/>
        </w:rPr>
      </w:pPr>
      <w:r>
        <w:rPr>
          <w:rFonts w:hint="eastAsia"/>
          <w:szCs w:val="21"/>
          <w:lang w:eastAsia="zh-CN"/>
        </w:rPr>
        <w:t>11、乙方应按《中华人民共和国劳动法》等法律、法规、规定用工，严禁使用未成年工和有职业禁忌的人员进行施工作业。</w:t>
      </w:r>
      <w:r>
        <w:rPr>
          <w:szCs w:val="21"/>
          <w:lang w:eastAsia="zh-CN"/>
        </w:rPr>
        <w:t xml:space="preserve"> </w:t>
      </w:r>
    </w:p>
    <w:p>
      <w:pPr>
        <w:rPr>
          <w:szCs w:val="21"/>
          <w:lang w:eastAsia="zh-CN"/>
        </w:rPr>
      </w:pPr>
      <w:r>
        <w:rPr>
          <w:rFonts w:hint="eastAsia"/>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pPr>
        <w:rPr>
          <w:szCs w:val="21"/>
          <w:lang w:eastAsia="zh-CN"/>
        </w:rPr>
      </w:pPr>
      <w:r>
        <w:rPr>
          <w:rFonts w:hint="eastAsia"/>
          <w:szCs w:val="21"/>
          <w:lang w:eastAsia="zh-CN"/>
        </w:rPr>
        <w:t>13、 乙方建立安全检查制度，指定专人负责现场安全监督检查工作，认真开展安全检查，发现作业过程中不安全行为、隐患、重大险情，应采取有效措施及时处理并报告甲方。</w:t>
      </w:r>
    </w:p>
    <w:p>
      <w:pPr>
        <w:rPr>
          <w:szCs w:val="21"/>
          <w:lang w:eastAsia="zh-CN"/>
        </w:rPr>
      </w:pPr>
      <w:r>
        <w:rPr>
          <w:rFonts w:hint="eastAsia"/>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pPr>
        <w:rPr>
          <w:szCs w:val="21"/>
          <w:lang w:eastAsia="zh-CN"/>
        </w:rPr>
      </w:pPr>
      <w:r>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pPr>
        <w:rPr>
          <w:szCs w:val="21"/>
          <w:lang w:eastAsia="zh-CN"/>
        </w:rPr>
      </w:pPr>
      <w:r>
        <w:rPr>
          <w:rFonts w:hint="eastAsia"/>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rPr>
          <w:szCs w:val="21"/>
          <w:lang w:eastAsia="zh-CN"/>
        </w:rPr>
      </w:pPr>
      <w:r>
        <w:rPr>
          <w:rFonts w:hint="eastAsia"/>
          <w:szCs w:val="21"/>
          <w:lang w:eastAsia="zh-CN"/>
        </w:rPr>
        <w:t xml:space="preserve">17、 </w:t>
      </w:r>
      <w:r>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rPr>
          <w:bCs/>
          <w:lang w:eastAsia="zh-CN"/>
        </w:rPr>
      </w:pPr>
      <w:r>
        <w:rPr>
          <w:rFonts w:hint="eastAsia"/>
          <w:bCs/>
          <w:lang w:eastAsia="zh-CN"/>
        </w:rPr>
        <w:t xml:space="preserve">18、 </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pPr>
        <w:rPr>
          <w:szCs w:val="21"/>
          <w:lang w:eastAsia="zh-CN"/>
        </w:rPr>
      </w:pPr>
      <w:r>
        <w:rPr>
          <w:rFonts w:hint="eastAsia"/>
          <w:bCs/>
          <w:lang w:eastAsia="zh-CN"/>
        </w:rPr>
        <w:t>19、</w:t>
      </w:r>
      <w:r>
        <w:rPr>
          <w:rFonts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rPr>
          <w:szCs w:val="21"/>
          <w:lang w:eastAsia="zh-CN"/>
        </w:rPr>
      </w:pPr>
      <w:r>
        <w:rPr>
          <w:rFonts w:hint="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p>
    <w:p>
      <w:pPr>
        <w:rPr>
          <w:sz w:val="24"/>
          <w:lang w:eastAsia="zh-CN"/>
        </w:rPr>
      </w:pPr>
      <w:r>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rPr>
          <w:szCs w:val="21"/>
          <w:lang w:eastAsia="zh-CN"/>
        </w:rPr>
      </w:pPr>
      <w:r>
        <w:rPr>
          <w:rFonts w:hint="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ind w:left="1"/>
        <w:rPr>
          <w:b/>
          <w:szCs w:val="21"/>
        </w:rPr>
      </w:pPr>
      <w:r>
        <w:rPr>
          <w:rFonts w:hint="eastAsia"/>
          <w:b/>
          <w:szCs w:val="21"/>
        </w:rPr>
        <w:t>三、违约责任及处理</w:t>
      </w:r>
    </w:p>
    <w:p>
      <w:pPr>
        <w:pStyle w:val="24"/>
        <w:numPr>
          <w:ilvl w:val="0"/>
          <w:numId w:val="11"/>
        </w:numPr>
        <w:autoSpaceDE/>
        <w:autoSpaceDN/>
        <w:spacing w:before="0"/>
        <w:jc w:val="both"/>
        <w:rPr>
          <w:b/>
          <w:szCs w:val="21"/>
          <w:lang w:eastAsia="zh-CN"/>
        </w:rPr>
      </w:pPr>
      <w:r>
        <w:rPr>
          <w:rFonts w:hint="eastAsia"/>
          <w:szCs w:val="21"/>
          <w:lang w:eastAsia="zh-CN"/>
        </w:rPr>
        <w:t>乙方不得将工程违法转包、分包。</w:t>
      </w:r>
    </w:p>
    <w:p>
      <w:pPr>
        <w:rPr>
          <w:szCs w:val="21"/>
          <w:lang w:eastAsia="zh-CN"/>
        </w:rPr>
      </w:pPr>
      <w:r>
        <w:rPr>
          <w:rFonts w:hint="eastAsia"/>
          <w:szCs w:val="21"/>
          <w:lang w:eastAsia="zh-CN"/>
        </w:rPr>
        <w:t>2、发生安全事故时，甲乙双方均有抢险、救灾的义务，所发生的费用由责任方承担。</w:t>
      </w:r>
    </w:p>
    <w:p>
      <w:pPr>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rPr>
          <w:szCs w:val="21"/>
          <w:lang w:eastAsia="zh-CN"/>
        </w:rPr>
      </w:pPr>
      <w:r>
        <w:rPr>
          <w:rFonts w:hint="eastAsia"/>
          <w:szCs w:val="21"/>
          <w:lang w:eastAsia="zh-CN"/>
        </w:rPr>
        <w:t>4、甲方违约造成的事故，甲方承担全部责任，并按规定追究有关人员责任及上报。</w:t>
      </w:r>
    </w:p>
    <w:p>
      <w:pPr>
        <w:rPr>
          <w:szCs w:val="21"/>
          <w:lang w:eastAsia="zh-CN"/>
        </w:rPr>
      </w:pPr>
      <w:r>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pPr>
        <w:tabs>
          <w:tab w:val="left" w:pos="360"/>
          <w:tab w:val="left" w:pos="840"/>
        </w:tabs>
        <w:rPr>
          <w:color w:val="FF0000"/>
          <w:szCs w:val="21"/>
          <w:lang w:eastAsia="zh-CN"/>
        </w:rPr>
      </w:pPr>
      <w:r>
        <w:rPr>
          <w:rFonts w:hint="eastAsia"/>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pPr>
        <w:rPr>
          <w:color w:val="FF0000"/>
          <w:szCs w:val="21"/>
          <w:lang w:eastAsia="zh-CN"/>
        </w:rPr>
      </w:pPr>
      <w:r>
        <w:rPr>
          <w:rFonts w:hint="eastAsia"/>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pPr>
        <w:ind w:left="1"/>
        <w:rPr>
          <w:b/>
          <w:szCs w:val="21"/>
          <w:lang w:eastAsia="zh-CN"/>
        </w:rPr>
      </w:pPr>
      <w:r>
        <w:rPr>
          <w:rFonts w:hint="eastAsia"/>
          <w:b/>
          <w:szCs w:val="21"/>
          <w:lang w:eastAsia="zh-CN"/>
        </w:rPr>
        <w:t>四、 不可抗力：</w:t>
      </w:r>
    </w:p>
    <w:p>
      <w:pPr>
        <w:rPr>
          <w:szCs w:val="21"/>
          <w:lang w:eastAsia="zh-CN"/>
        </w:rPr>
      </w:pPr>
      <w:r>
        <w:rPr>
          <w:rFonts w:hint="eastAsia"/>
          <w:szCs w:val="21"/>
          <w:lang w:eastAsia="zh-CN"/>
        </w:rPr>
        <w:t xml:space="preserve"> 由于不可抗力造成合同项目施工作业事故及产生的损失，甲乙双方各自承担相应的损失。</w:t>
      </w:r>
    </w:p>
    <w:p>
      <w:pPr>
        <w:ind w:left="1"/>
        <w:rPr>
          <w:szCs w:val="21"/>
          <w:lang w:eastAsia="zh-CN"/>
        </w:rPr>
      </w:pPr>
      <w:r>
        <w:rPr>
          <w:rFonts w:hint="eastAsia"/>
          <w:b/>
          <w:szCs w:val="21"/>
          <w:lang w:eastAsia="zh-CN"/>
        </w:rPr>
        <w:t>五、</w:t>
      </w:r>
      <w:r>
        <w:rPr>
          <w:rFonts w:hint="eastAsia"/>
          <w:szCs w:val="21"/>
          <w:lang w:eastAsia="zh-CN"/>
        </w:rPr>
        <w:t>本协议书一式6份，甲方执4份，乙方执2份。</w:t>
      </w:r>
    </w:p>
    <w:p>
      <w:pPr>
        <w:ind w:left="1"/>
        <w:rPr>
          <w:szCs w:val="21"/>
          <w:lang w:eastAsia="zh-CN"/>
        </w:rPr>
      </w:pPr>
      <w:r>
        <w:rPr>
          <w:rFonts w:hint="eastAsia"/>
          <w:b/>
          <w:szCs w:val="21"/>
          <w:lang w:eastAsia="zh-CN"/>
        </w:rPr>
        <w:t>六、</w:t>
      </w:r>
      <w:r>
        <w:rPr>
          <w:rFonts w:hint="eastAsia"/>
          <w:szCs w:val="21"/>
          <w:lang w:eastAsia="zh-CN"/>
        </w:rPr>
        <w:t>本协议书经双方盖章后生效。</w:t>
      </w:r>
    </w:p>
    <w:p>
      <w:pPr>
        <w:ind w:left="1"/>
        <w:rPr>
          <w:b/>
          <w:szCs w:val="21"/>
          <w:lang w:eastAsia="zh-CN"/>
        </w:rPr>
      </w:pPr>
      <w:r>
        <w:rPr>
          <w:rFonts w:hint="eastAsia"/>
          <w:b/>
          <w:szCs w:val="21"/>
          <w:lang w:eastAsia="zh-CN"/>
        </w:rPr>
        <w:t>七、协议期限：</w:t>
      </w:r>
    </w:p>
    <w:p>
      <w:pPr>
        <w:rPr>
          <w:szCs w:val="21"/>
          <w:lang w:eastAsia="zh-CN"/>
        </w:rPr>
      </w:pPr>
      <w:r>
        <w:rPr>
          <w:rFonts w:hint="eastAsia"/>
          <w:szCs w:val="21"/>
          <w:lang w:eastAsia="zh-CN"/>
        </w:rPr>
        <w:t>本协议期限应与主合同期限一致。如果主合同因故需要变更期限，本合同应与主同变更至相同期限。</w:t>
      </w:r>
    </w:p>
    <w:p>
      <w:pPr>
        <w:ind w:left="-105"/>
        <w:rPr>
          <w:szCs w:val="21"/>
          <w:lang w:eastAsia="zh-CN"/>
        </w:rPr>
      </w:pPr>
      <w:r>
        <w:rPr>
          <w:rFonts w:hint="eastAsia"/>
          <w:szCs w:val="21"/>
          <w:lang w:eastAsia="zh-CN"/>
        </w:rPr>
        <w:t>（以下无正文）</w:t>
      </w:r>
    </w:p>
    <w:p>
      <w:pPr>
        <w:spacing w:line="276" w:lineRule="auto"/>
        <w:rPr>
          <w:szCs w:val="21"/>
          <w:lang w:eastAsia="zh-CN"/>
        </w:rPr>
      </w:pPr>
    </w:p>
    <w:p>
      <w:pPr>
        <w:spacing w:line="276" w:lineRule="auto"/>
        <w:rPr>
          <w:szCs w:val="21"/>
          <w:lang w:eastAsia="zh-CN"/>
        </w:rPr>
      </w:pPr>
      <w:r>
        <w:rPr>
          <w:rFonts w:hint="eastAsia"/>
          <w:szCs w:val="21"/>
          <w:lang w:eastAsia="zh-CN"/>
        </w:rPr>
        <w:t>甲方 (章)：                                  乙方(章)：</w:t>
      </w:r>
    </w:p>
    <w:p>
      <w:pPr>
        <w:spacing w:line="276" w:lineRule="auto"/>
        <w:rPr>
          <w:szCs w:val="21"/>
          <w:lang w:eastAsia="zh-CN"/>
        </w:rPr>
      </w:pPr>
    </w:p>
    <w:p>
      <w:pPr>
        <w:spacing w:line="276" w:lineRule="auto"/>
        <w:rPr>
          <w:szCs w:val="21"/>
          <w:lang w:eastAsia="zh-CN"/>
        </w:rPr>
      </w:pPr>
      <w:r>
        <w:rPr>
          <w:rFonts w:hint="eastAsia"/>
          <w:szCs w:val="21"/>
          <w:lang w:eastAsia="zh-CN"/>
        </w:rPr>
        <w:t xml:space="preserve">腾龙芳烃（漳州）有限公司                       </w:t>
      </w:r>
    </w:p>
    <w:p>
      <w:pPr>
        <w:spacing w:line="276" w:lineRule="auto"/>
        <w:rPr>
          <w:szCs w:val="21"/>
          <w:lang w:eastAsia="zh-CN"/>
        </w:rPr>
      </w:pPr>
    </w:p>
    <w:p>
      <w:pPr>
        <w:spacing w:line="276" w:lineRule="auto"/>
        <w:rPr>
          <w:szCs w:val="21"/>
          <w:lang w:eastAsia="zh-CN"/>
        </w:rPr>
      </w:pPr>
      <w:r>
        <w:rPr>
          <w:rFonts w:hint="eastAsia"/>
          <w:szCs w:val="21"/>
          <w:lang w:eastAsia="zh-CN"/>
        </w:rPr>
        <w:t>签定日期：    年    月    日                   年    月    日</w:t>
      </w:r>
    </w:p>
    <w:p>
      <w:pPr>
        <w:rPr>
          <w:rFonts w:ascii="Times New Roman" w:hAnsi="Times New Roman" w:cs="Times New Roman"/>
          <w:sz w:val="24"/>
          <w:szCs w:val="24"/>
          <w:lang w:eastAsia="zh-CN"/>
        </w:rPr>
      </w:pPr>
    </w:p>
    <w:p>
      <w:pPr>
        <w:spacing w:line="300" w:lineRule="exact"/>
        <w:rPr>
          <w:sz w:val="32"/>
          <w:szCs w:val="32"/>
          <w:lang w:eastAsia="zh-CN"/>
        </w:rPr>
      </w:pPr>
    </w:p>
    <w:p>
      <w:pPr>
        <w:spacing w:line="300" w:lineRule="exact"/>
        <w:rPr>
          <w:b/>
          <w:sz w:val="28"/>
          <w:szCs w:val="28"/>
          <w:lang w:eastAsia="zh-CN"/>
        </w:rPr>
      </w:pPr>
      <w:r>
        <w:rPr>
          <w:rFonts w:hint="eastAsia"/>
          <w:b/>
          <w:sz w:val="28"/>
          <w:szCs w:val="28"/>
          <w:lang w:eastAsia="zh-CN"/>
        </w:rPr>
        <w:t>附件4：</w:t>
      </w:r>
    </w:p>
    <w:p>
      <w:pPr>
        <w:ind w:left="2891" w:right="11" w:hanging="2891" w:hangingChars="800"/>
        <w:jc w:val="center"/>
        <w:rPr>
          <w:snapToGrid w:val="0"/>
          <w:sz w:val="36"/>
          <w:szCs w:val="36"/>
          <w:lang w:eastAsia="zh-CN"/>
        </w:rPr>
      </w:pPr>
      <w:r>
        <w:rPr>
          <w:rFonts w:hint="eastAsia"/>
          <w:b/>
          <w:snapToGrid w:val="0"/>
          <w:sz w:val="36"/>
          <w:szCs w:val="36"/>
          <w:lang w:eastAsia="zh-CN"/>
        </w:rPr>
        <w:t>建设项目廉洁从业承诺书</w:t>
      </w:r>
    </w:p>
    <w:p>
      <w:pPr>
        <w:rPr>
          <w:color w:val="000000"/>
          <w:sz w:val="21"/>
          <w:szCs w:val="21"/>
          <w:lang w:eastAsia="zh-CN"/>
        </w:rPr>
      </w:pPr>
      <w:r>
        <w:rPr>
          <w:rFonts w:hint="eastAsia"/>
          <w:snapToGrid w:val="0"/>
          <w:sz w:val="21"/>
          <w:szCs w:val="21"/>
          <w:lang w:eastAsia="zh-CN"/>
        </w:rPr>
        <w:t>项目名称：</w:t>
      </w:r>
      <w:r>
        <w:rPr>
          <w:rFonts w:hint="eastAsia"/>
          <w:kern w:val="59"/>
          <w:sz w:val="21"/>
          <w:szCs w:val="21"/>
          <w:u w:val="single"/>
          <w:lang w:eastAsia="zh-CN"/>
        </w:rPr>
        <w:t>南部热源点一期工程可行性研究及项目申请</w:t>
      </w:r>
      <w:r>
        <w:rPr>
          <w:rFonts w:hint="eastAsia"/>
          <w:sz w:val="21"/>
          <w:szCs w:val="21"/>
          <w:lang w:eastAsia="zh-CN"/>
        </w:rPr>
        <w:t>项目</w:t>
      </w:r>
    </w:p>
    <w:p>
      <w:pPr>
        <w:rPr>
          <w:snapToGrid w:val="0"/>
          <w:sz w:val="21"/>
          <w:szCs w:val="21"/>
          <w:lang w:eastAsia="zh-CN"/>
        </w:rPr>
      </w:pPr>
      <w:r>
        <w:rPr>
          <w:rFonts w:hint="eastAsia"/>
          <w:snapToGrid w:val="0"/>
          <w:sz w:val="21"/>
          <w:szCs w:val="21"/>
          <w:lang w:eastAsia="zh-CN"/>
        </w:rPr>
        <w:t>项目地址：</w:t>
      </w:r>
      <w:r>
        <w:rPr>
          <w:rFonts w:hint="eastAsia"/>
          <w:sz w:val="21"/>
          <w:szCs w:val="21"/>
          <w:lang w:eastAsia="zh-CN"/>
        </w:rPr>
        <w:t>漳州市古雷经济开发区腾龙路84</w:t>
      </w:r>
      <w:r>
        <w:rPr>
          <w:sz w:val="21"/>
          <w:szCs w:val="21"/>
          <w:lang w:eastAsia="zh-CN"/>
        </w:rPr>
        <w:t>号</w:t>
      </w:r>
    </w:p>
    <w:p>
      <w:pPr>
        <w:ind w:left="1920" w:right="11" w:hanging="1920"/>
        <w:outlineLvl w:val="0"/>
        <w:rPr>
          <w:snapToGrid w:val="0"/>
          <w:sz w:val="21"/>
          <w:szCs w:val="21"/>
          <w:lang w:val="zh-CN" w:eastAsia="zh-CN"/>
        </w:rPr>
      </w:pPr>
      <w:r>
        <w:rPr>
          <w:rFonts w:hint="eastAsia"/>
          <w:snapToGrid w:val="0"/>
          <w:sz w:val="21"/>
          <w:szCs w:val="21"/>
          <w:lang w:val="zh-CN" w:eastAsia="zh-CN"/>
        </w:rPr>
        <w:t>甲方：</w:t>
      </w:r>
      <w:r>
        <w:rPr>
          <w:rFonts w:hint="eastAsia"/>
          <w:snapToGrid w:val="0"/>
          <w:sz w:val="21"/>
          <w:szCs w:val="21"/>
          <w:lang w:eastAsia="zh-CN"/>
        </w:rPr>
        <w:t xml:space="preserve">腾龙芳烃（漳州）有限公司  </w:t>
      </w:r>
    </w:p>
    <w:p>
      <w:pPr>
        <w:ind w:left="1920" w:right="11" w:hanging="1920"/>
        <w:outlineLvl w:val="0"/>
        <w:rPr>
          <w:snapToGrid w:val="0"/>
          <w:sz w:val="21"/>
          <w:szCs w:val="21"/>
          <w:lang w:val="zh-CN" w:eastAsia="zh-CN"/>
        </w:rPr>
      </w:pPr>
      <w:r>
        <w:rPr>
          <w:rFonts w:hint="eastAsia"/>
          <w:snapToGrid w:val="0"/>
          <w:sz w:val="21"/>
          <w:szCs w:val="21"/>
          <w:lang w:val="zh-CN" w:eastAsia="zh-CN"/>
        </w:rPr>
        <w:t>乙方：</w:t>
      </w:r>
      <w:r>
        <w:rPr>
          <w:snapToGrid w:val="0"/>
          <w:sz w:val="21"/>
          <w:szCs w:val="21"/>
          <w:lang w:val="zh-CN" w:eastAsia="zh-CN"/>
        </w:rPr>
        <w:t xml:space="preserve"> </w:t>
      </w:r>
    </w:p>
    <w:p>
      <w:pPr>
        <w:ind w:firstLine="420" w:firstLineChars="200"/>
        <w:rPr>
          <w:snapToGrid w:val="0"/>
          <w:sz w:val="21"/>
          <w:szCs w:val="21"/>
          <w:lang w:eastAsia="zh-CN"/>
        </w:rPr>
      </w:pPr>
      <w:r>
        <w:rPr>
          <w:rFonts w:hint="eastAsia"/>
          <w:snapToGrid w:val="0"/>
          <w:sz w:val="21"/>
          <w:szCs w:val="21"/>
          <w:lang w:eastAsia="zh-CN"/>
        </w:rPr>
        <w:t>为加强工程建设中的廉政建设，规范工程建设项目承发包双方的各项活动，防止发生各种商业贿赂、谋取不正当利益等违法违纪和腐败行为，保护国家、集体和当事人合法权益，根据国家有关工程建设法律法规和廉政建设责任制规定，特订立本建设项目廉洁工程承诺书。</w:t>
      </w:r>
    </w:p>
    <w:p>
      <w:pPr>
        <w:pStyle w:val="8"/>
        <w:adjustRightInd w:val="0"/>
        <w:spacing w:after="0"/>
        <w:ind w:left="418" w:leftChars="190"/>
        <w:outlineLvl w:val="0"/>
        <w:rPr>
          <w:b/>
          <w:snapToGrid w:val="0"/>
          <w:sz w:val="21"/>
          <w:szCs w:val="21"/>
          <w:lang w:eastAsia="zh-CN"/>
        </w:rPr>
      </w:pPr>
      <w:r>
        <w:rPr>
          <w:b/>
          <w:bCs/>
          <w:snapToGrid w:val="0"/>
          <w:sz w:val="21"/>
          <w:szCs w:val="21"/>
          <w:lang w:eastAsia="zh-CN"/>
        </w:rPr>
        <w:t>第一条 甲乙</w:t>
      </w:r>
      <w:r>
        <w:rPr>
          <w:b/>
          <w:snapToGrid w:val="0"/>
          <w:sz w:val="21"/>
          <w:szCs w:val="21"/>
          <w:lang w:eastAsia="zh-CN"/>
        </w:rPr>
        <w:t>双方的责任和义务</w:t>
      </w:r>
    </w:p>
    <w:p>
      <w:pPr>
        <w:rPr>
          <w:snapToGrid w:val="0"/>
          <w:sz w:val="21"/>
          <w:szCs w:val="21"/>
          <w:lang w:eastAsia="zh-CN"/>
        </w:rPr>
      </w:pPr>
      <w:r>
        <w:rPr>
          <w:rFonts w:hint="eastAsia"/>
          <w:snapToGrid w:val="0"/>
          <w:sz w:val="21"/>
          <w:szCs w:val="21"/>
          <w:lang w:eastAsia="zh-CN"/>
        </w:rPr>
        <w:t>（一）严格遵守国家关于市场准入、项目招标投标、工程施工、工程验收、结算和市场活动等有关法律、法规、相关政策，以及廉政建设的各项约定。</w:t>
      </w:r>
    </w:p>
    <w:p>
      <w:pPr>
        <w:rPr>
          <w:snapToGrid w:val="0"/>
          <w:sz w:val="21"/>
          <w:szCs w:val="21"/>
          <w:lang w:eastAsia="zh-CN"/>
        </w:rPr>
      </w:pPr>
      <w:r>
        <w:rPr>
          <w:rFonts w:hint="eastAsia"/>
          <w:snapToGrid w:val="0"/>
          <w:sz w:val="21"/>
          <w:szCs w:val="21"/>
          <w:lang w:eastAsia="zh-CN"/>
        </w:rPr>
        <w:t>（二）严格执行建设工程项目承发包合同文件，自觉按合同办事。</w:t>
      </w:r>
    </w:p>
    <w:p>
      <w:pPr>
        <w:rPr>
          <w:snapToGrid w:val="0"/>
          <w:sz w:val="21"/>
          <w:szCs w:val="21"/>
          <w:lang w:eastAsia="zh-CN"/>
        </w:rPr>
      </w:pPr>
      <w:r>
        <w:rPr>
          <w:rFonts w:hint="eastAsia"/>
          <w:snapToGrid w:val="0"/>
          <w:sz w:val="21"/>
          <w:szCs w:val="21"/>
          <w:lang w:eastAsia="zh-CN"/>
        </w:rPr>
        <w:t>（三）业务活动必须坚持公开、公平、公正、诚信、透明的原则（除法律法规另有规定者外），不得为获取不正当的利益，损害国家、集体和对方利益，不得违反国家、省市和甲方有关工程建设管理的规章制度，弄虚作假，搞权钱交易、权色交易、权权交易。</w:t>
      </w:r>
    </w:p>
    <w:p>
      <w:pPr>
        <w:rPr>
          <w:snapToGrid w:val="0"/>
          <w:sz w:val="21"/>
          <w:szCs w:val="21"/>
          <w:lang w:eastAsia="zh-CN"/>
        </w:rPr>
      </w:pPr>
      <w:r>
        <w:rPr>
          <w:rFonts w:hint="eastAsia"/>
          <w:snapToGrid w:val="0"/>
          <w:sz w:val="21"/>
          <w:szCs w:val="21"/>
          <w:lang w:eastAsia="zh-CN"/>
        </w:rPr>
        <w:t>（四）发现对方在工程管理活动中存在违规、违纪、违法行为的，应及时提醒对方，情节严重的，有权向对方监督部门或上级纪检监察机关、检察机关、建设主管部门举报、反映。</w:t>
      </w:r>
    </w:p>
    <w:p>
      <w:pPr>
        <w:rPr>
          <w:snapToGrid w:val="0"/>
          <w:sz w:val="21"/>
          <w:szCs w:val="21"/>
          <w:lang w:eastAsia="zh-CN"/>
        </w:rPr>
      </w:pPr>
      <w:r>
        <w:rPr>
          <w:rFonts w:hint="eastAsia"/>
          <w:snapToGrid w:val="0"/>
          <w:sz w:val="21"/>
          <w:szCs w:val="21"/>
          <w:lang w:eastAsia="zh-CN"/>
        </w:rPr>
        <w:t>（五）对于举报事项，双方应积极主动，相互配合，认真调查、核实有关情况，及时将调查结果向对方通报，并不得对对方及其工作人员进行打击报复。</w:t>
      </w:r>
    </w:p>
    <w:p>
      <w:pPr>
        <w:ind w:firstLine="422" w:firstLineChars="200"/>
        <w:outlineLvl w:val="0"/>
        <w:rPr>
          <w:b/>
          <w:snapToGrid w:val="0"/>
          <w:sz w:val="21"/>
          <w:szCs w:val="21"/>
          <w:lang w:eastAsia="zh-CN"/>
        </w:rPr>
      </w:pPr>
      <w:r>
        <w:rPr>
          <w:rFonts w:hint="eastAsia"/>
          <w:b/>
          <w:bCs/>
          <w:snapToGrid w:val="0"/>
          <w:sz w:val="21"/>
          <w:szCs w:val="21"/>
          <w:lang w:eastAsia="zh-CN"/>
        </w:rPr>
        <w:t xml:space="preserve">第二条 </w:t>
      </w:r>
      <w:r>
        <w:rPr>
          <w:rFonts w:hint="eastAsia"/>
          <w:b/>
          <w:snapToGrid w:val="0"/>
          <w:sz w:val="21"/>
          <w:szCs w:val="21"/>
          <w:lang w:eastAsia="zh-CN"/>
        </w:rPr>
        <w:t>甲方承诺</w:t>
      </w:r>
    </w:p>
    <w:p>
      <w:pPr>
        <w:ind w:firstLine="420" w:firstLineChars="200"/>
        <w:rPr>
          <w:snapToGrid w:val="0"/>
          <w:sz w:val="21"/>
          <w:szCs w:val="21"/>
          <w:lang w:eastAsia="zh-CN"/>
        </w:rPr>
      </w:pPr>
      <w:r>
        <w:rPr>
          <w:rFonts w:hint="eastAsia"/>
          <w:snapToGrid w:val="0"/>
          <w:sz w:val="21"/>
          <w:szCs w:val="21"/>
          <w:lang w:eastAsia="zh-CN"/>
        </w:rPr>
        <w:t>甲方领导干部和从事该工程建设的管理人员，在工程建设实施过程中遵守以下规定：</w:t>
      </w:r>
    </w:p>
    <w:p>
      <w:pPr>
        <w:rPr>
          <w:snapToGrid w:val="0"/>
          <w:sz w:val="21"/>
          <w:szCs w:val="21"/>
          <w:lang w:eastAsia="zh-CN"/>
        </w:rPr>
      </w:pPr>
      <w:r>
        <w:rPr>
          <w:rFonts w:hint="eastAsia"/>
          <w:snapToGrid w:val="0"/>
          <w:sz w:val="21"/>
          <w:szCs w:val="21"/>
          <w:lang w:eastAsia="zh-CN"/>
        </w:rPr>
        <w:t>（一）不准向乙方和相关单位或个人索取钱物或接受回扣、礼金、各种有价证券、信用卡和好处费、感谢费以及其它支付凭证等。</w:t>
      </w:r>
    </w:p>
    <w:p>
      <w:pPr>
        <w:rPr>
          <w:snapToGrid w:val="0"/>
          <w:sz w:val="21"/>
          <w:szCs w:val="21"/>
          <w:lang w:eastAsia="zh-CN"/>
        </w:rPr>
      </w:pPr>
      <w:r>
        <w:rPr>
          <w:rFonts w:hint="eastAsia"/>
          <w:snapToGrid w:val="0"/>
          <w:sz w:val="21"/>
          <w:szCs w:val="21"/>
          <w:lang w:eastAsia="zh-CN"/>
        </w:rPr>
        <w:t>（二）不准接受可能影响公正执行公务的乙方和相关单位或个人的礼物馈赠、宴请、各种形式俱乐部会员资格、高消费娱乐活动。</w:t>
      </w:r>
    </w:p>
    <w:p>
      <w:pPr>
        <w:rPr>
          <w:snapToGrid w:val="0"/>
          <w:sz w:val="21"/>
          <w:szCs w:val="21"/>
          <w:lang w:eastAsia="zh-CN"/>
        </w:rPr>
      </w:pPr>
      <w:r>
        <w:rPr>
          <w:rFonts w:hint="eastAsia"/>
          <w:snapToGrid w:val="0"/>
          <w:sz w:val="21"/>
          <w:szCs w:val="21"/>
          <w:lang w:eastAsia="zh-CN"/>
        </w:rPr>
        <w:t>（三）不准在乙方和相关单位报销任何应由甲方或个人负担的费用。</w:t>
      </w:r>
    </w:p>
    <w:p>
      <w:pPr>
        <w:rPr>
          <w:snapToGrid w:val="0"/>
          <w:sz w:val="21"/>
          <w:szCs w:val="21"/>
          <w:lang w:eastAsia="zh-CN"/>
        </w:rPr>
      </w:pPr>
      <w:r>
        <w:rPr>
          <w:rFonts w:hint="eastAsia"/>
          <w:snapToGrid w:val="0"/>
          <w:sz w:val="21"/>
          <w:szCs w:val="21"/>
          <w:lang w:eastAsia="zh-CN"/>
        </w:rPr>
        <w:t>（四）不准要求、暗示或接受乙方和相关单位或个人为自己、配偶、子女、其他亲属朋友及身边工作人员的装修住房、婚丧嫁娶、工作安排、学习培训、经商办企业以及出国（境）、旅游、度假等支付费用。</w:t>
      </w:r>
    </w:p>
    <w:p>
      <w:pPr>
        <w:rPr>
          <w:snapToGrid w:val="0"/>
          <w:sz w:val="21"/>
          <w:szCs w:val="21"/>
          <w:lang w:eastAsia="zh-CN"/>
        </w:rPr>
      </w:pPr>
      <w:r>
        <w:rPr>
          <w:rFonts w:hint="eastAsia"/>
          <w:snapToGrid w:val="0"/>
          <w:sz w:val="21"/>
          <w:szCs w:val="21"/>
          <w:lang w:eastAsia="zh-CN"/>
        </w:rPr>
        <w:t>（五）不准向乙方介绍或为配偶、子女、其他亲属朋友及身边工作人员参与同甲方项目工程合同有关的设备、材料、工程分包、劳务等经济活动。</w:t>
      </w:r>
    </w:p>
    <w:p>
      <w:pPr>
        <w:rPr>
          <w:snapToGrid w:val="0"/>
          <w:sz w:val="21"/>
          <w:szCs w:val="21"/>
          <w:lang w:eastAsia="zh-CN"/>
        </w:rPr>
      </w:pPr>
      <w:r>
        <w:rPr>
          <w:rFonts w:hint="eastAsia"/>
          <w:snapToGrid w:val="0"/>
          <w:sz w:val="21"/>
          <w:szCs w:val="21"/>
          <w:lang w:eastAsia="zh-CN"/>
        </w:rPr>
        <w:t>（六）不得以任何理由向乙方和相关单位推荐分包单位和要求或暗示乙方购买项目工程合同规定以外的材料、设备等。</w:t>
      </w:r>
    </w:p>
    <w:p>
      <w:pPr>
        <w:ind w:firstLine="422" w:firstLineChars="200"/>
        <w:outlineLvl w:val="0"/>
        <w:rPr>
          <w:b/>
          <w:snapToGrid w:val="0"/>
          <w:sz w:val="21"/>
          <w:szCs w:val="21"/>
          <w:lang w:eastAsia="zh-CN"/>
        </w:rPr>
      </w:pPr>
      <w:r>
        <w:rPr>
          <w:rFonts w:hint="eastAsia"/>
          <w:b/>
          <w:bCs/>
          <w:snapToGrid w:val="0"/>
          <w:sz w:val="21"/>
          <w:szCs w:val="21"/>
          <w:lang w:eastAsia="zh-CN"/>
        </w:rPr>
        <w:t xml:space="preserve">第三条 </w:t>
      </w:r>
      <w:r>
        <w:rPr>
          <w:rFonts w:hint="eastAsia"/>
          <w:b/>
          <w:snapToGrid w:val="0"/>
          <w:sz w:val="21"/>
          <w:szCs w:val="21"/>
          <w:lang w:eastAsia="zh-CN"/>
        </w:rPr>
        <w:t>乙方承诺</w:t>
      </w:r>
    </w:p>
    <w:p>
      <w:pPr>
        <w:ind w:firstLine="420" w:firstLineChars="200"/>
        <w:rPr>
          <w:snapToGrid w:val="0"/>
          <w:sz w:val="21"/>
          <w:szCs w:val="21"/>
          <w:lang w:eastAsia="zh-CN"/>
        </w:rPr>
      </w:pPr>
      <w:r>
        <w:rPr>
          <w:rFonts w:hint="eastAsia"/>
          <w:snapToGrid w:val="0"/>
          <w:sz w:val="21"/>
          <w:szCs w:val="21"/>
          <w:lang w:eastAsia="zh-CN"/>
        </w:rPr>
        <w:t>与甲方保持正常的业务交往，按照有关法律法规、程序和合同约定开展业务工作，严格执行工程建设的有关方针、政策，尤其是有关建筑施工安装的强制性标准和规范，以及甲方有关工程项目建设管理规定和办法，并遵守以下规定：</w:t>
      </w:r>
    </w:p>
    <w:p>
      <w:pPr>
        <w:rPr>
          <w:snapToGrid w:val="0"/>
          <w:sz w:val="21"/>
          <w:szCs w:val="21"/>
          <w:lang w:eastAsia="zh-CN"/>
        </w:rPr>
      </w:pPr>
      <w:r>
        <w:rPr>
          <w:rFonts w:hint="eastAsia"/>
          <w:snapToGrid w:val="0"/>
          <w:sz w:val="21"/>
          <w:szCs w:val="21"/>
          <w:lang w:eastAsia="zh-CN"/>
        </w:rPr>
        <w:t>（一）不准以任何理由向甲方及与本合同工程有利益关系的单位或个人行贿或赠送回扣、礼金、各种有价证券、信用卡和好处费、感谢费以及其它支付凭证等。</w:t>
      </w:r>
    </w:p>
    <w:p>
      <w:pPr>
        <w:rPr>
          <w:snapToGrid w:val="0"/>
          <w:sz w:val="21"/>
          <w:szCs w:val="21"/>
          <w:lang w:eastAsia="zh-CN"/>
        </w:rPr>
      </w:pPr>
      <w:r>
        <w:rPr>
          <w:rFonts w:hint="eastAsia"/>
          <w:snapToGrid w:val="0"/>
          <w:sz w:val="21"/>
          <w:szCs w:val="21"/>
          <w:lang w:eastAsia="zh-CN"/>
        </w:rPr>
        <w:t>（二）不准以任何理由为甲方、相关单位或个人组织有可能影响公正执行公务的宴请、各种形式俱乐部及高消费娱乐等活动。</w:t>
      </w:r>
    </w:p>
    <w:p>
      <w:pPr>
        <w:rPr>
          <w:snapToGrid w:val="0"/>
          <w:sz w:val="21"/>
          <w:szCs w:val="21"/>
          <w:lang w:eastAsia="zh-CN"/>
        </w:rPr>
      </w:pPr>
      <w:r>
        <w:rPr>
          <w:rFonts w:hint="eastAsia"/>
          <w:snapToGrid w:val="0"/>
          <w:sz w:val="21"/>
          <w:szCs w:val="21"/>
          <w:lang w:eastAsia="zh-CN"/>
        </w:rPr>
        <w:t>（三）不准以任何理由为甲方和相关单位或个人报销应由对方或个人支付的费用。</w:t>
      </w:r>
    </w:p>
    <w:p>
      <w:pPr>
        <w:rPr>
          <w:snapToGrid w:val="0"/>
          <w:sz w:val="21"/>
          <w:szCs w:val="21"/>
          <w:lang w:eastAsia="zh-CN"/>
        </w:rPr>
      </w:pPr>
      <w:r>
        <w:rPr>
          <w:rFonts w:hint="eastAsia"/>
          <w:snapToGrid w:val="0"/>
          <w:sz w:val="21"/>
          <w:szCs w:val="21"/>
          <w:lang w:eastAsia="zh-CN"/>
        </w:rPr>
        <w:t>（四）不准暗示或要求为甲方和相关单位人员及其配偶、子女、其他亲属朋友及身边工作人员的装修住房、婚丧嫁娶、工作安排、学习培训、经商办企业以及出国（境）、旅游、度假提供方便和支付费用。</w:t>
      </w:r>
    </w:p>
    <w:p>
      <w:pPr>
        <w:rPr>
          <w:snapToGrid w:val="0"/>
          <w:sz w:val="21"/>
          <w:szCs w:val="21"/>
          <w:lang w:eastAsia="zh-CN"/>
        </w:rPr>
      </w:pPr>
      <w:r>
        <w:rPr>
          <w:rFonts w:hint="eastAsia"/>
          <w:snapToGrid w:val="0"/>
          <w:sz w:val="21"/>
          <w:szCs w:val="21"/>
          <w:lang w:eastAsia="zh-CN"/>
        </w:rPr>
        <w:t>（五）不准介绍和安排甲方和相关单位人员及其配偶、子女、其他亲属朋友及身边工作人员参与同甲方工程项目有关的设备、材料、工程分包、劳务等经济活动。</w:t>
      </w:r>
    </w:p>
    <w:p>
      <w:pPr>
        <w:ind w:firstLine="422" w:firstLineChars="200"/>
        <w:outlineLvl w:val="0"/>
        <w:rPr>
          <w:b/>
          <w:snapToGrid w:val="0"/>
          <w:sz w:val="21"/>
          <w:szCs w:val="21"/>
          <w:lang w:eastAsia="zh-CN"/>
        </w:rPr>
      </w:pPr>
      <w:r>
        <w:rPr>
          <w:rFonts w:hint="eastAsia"/>
          <w:b/>
          <w:bCs/>
          <w:snapToGrid w:val="0"/>
          <w:sz w:val="21"/>
          <w:szCs w:val="21"/>
          <w:lang w:eastAsia="zh-CN"/>
        </w:rPr>
        <w:t xml:space="preserve">第四条 </w:t>
      </w:r>
      <w:r>
        <w:rPr>
          <w:rFonts w:hint="eastAsia"/>
          <w:b/>
          <w:snapToGrid w:val="0"/>
          <w:sz w:val="21"/>
          <w:szCs w:val="21"/>
          <w:lang w:eastAsia="zh-CN"/>
        </w:rPr>
        <w:t>违约责任</w:t>
      </w:r>
    </w:p>
    <w:p>
      <w:pPr>
        <w:rPr>
          <w:snapToGrid w:val="0"/>
          <w:sz w:val="21"/>
          <w:szCs w:val="21"/>
          <w:lang w:eastAsia="zh-CN"/>
        </w:rPr>
      </w:pPr>
      <w:r>
        <w:rPr>
          <w:rFonts w:hint="eastAsia"/>
          <w:snapToGrid w:val="0"/>
          <w:sz w:val="21"/>
          <w:szCs w:val="21"/>
          <w:lang w:eastAsia="zh-CN"/>
        </w:rPr>
        <w:t>（一）甲方工作人员有违反本承诺书第一、第二条行为的，按照管理权限，依据有关法律法规和规定给予党纪、政纪处分或组织处理；涉嫌犯罪的，移交司法机关追究刑事责任；给乙方单位造成经济损失的，应予以赔偿。</w:t>
      </w:r>
    </w:p>
    <w:p>
      <w:pPr>
        <w:rPr>
          <w:snapToGrid w:val="0"/>
          <w:sz w:val="21"/>
          <w:szCs w:val="21"/>
          <w:lang w:eastAsia="zh-CN"/>
        </w:rPr>
      </w:pPr>
      <w:r>
        <w:rPr>
          <w:rFonts w:hint="eastAsia"/>
          <w:snapToGrid w:val="0"/>
          <w:sz w:val="21"/>
          <w:szCs w:val="21"/>
          <w:lang w:eastAsia="zh-CN"/>
        </w:rPr>
        <w:t>（二）乙方工作人员有违反本承诺书第一、三条行为的，甲方有权终止该工程建设项目合同的执行，由此造成的一切损失均由乙方承担，同时有权向建设主管部门或纪检监察机关、检察机关报告，列入市建设局和市人民检察院黑名单并予公布。</w:t>
      </w:r>
    </w:p>
    <w:p>
      <w:pPr>
        <w:outlineLvl w:val="0"/>
        <w:rPr>
          <w:snapToGrid w:val="0"/>
          <w:sz w:val="21"/>
          <w:szCs w:val="21"/>
          <w:lang w:eastAsia="zh-CN"/>
        </w:rPr>
      </w:pPr>
      <w:r>
        <w:rPr>
          <w:rFonts w:hint="eastAsia"/>
          <w:b/>
          <w:bCs/>
          <w:snapToGrid w:val="0"/>
          <w:sz w:val="21"/>
          <w:szCs w:val="21"/>
          <w:lang w:eastAsia="zh-CN"/>
        </w:rPr>
        <w:t>第五条 直接责任人、监督部门及举报电话</w:t>
      </w:r>
    </w:p>
    <w:p>
      <w:pPr>
        <w:rPr>
          <w:snapToGrid w:val="0"/>
          <w:sz w:val="21"/>
          <w:szCs w:val="21"/>
          <w:lang w:eastAsia="zh-CN"/>
        </w:rPr>
      </w:pPr>
      <w:r>
        <w:rPr>
          <w:rFonts w:hint="eastAsia"/>
          <w:snapToGrid w:val="0"/>
          <w:sz w:val="21"/>
          <w:szCs w:val="21"/>
          <w:lang w:eastAsia="zh-CN"/>
        </w:rPr>
        <w:t>（一）甲方本合同工程廉洁工程直接责任人：</w:t>
      </w:r>
      <w:r>
        <w:rPr>
          <w:rFonts w:hint="eastAsia"/>
          <w:snapToGrid w:val="0"/>
          <w:sz w:val="21"/>
          <w:szCs w:val="21"/>
          <w:u w:val="single"/>
          <w:lang w:eastAsia="zh-CN"/>
        </w:rPr>
        <w:t xml:space="preserve">_   </w:t>
      </w:r>
      <w:r>
        <w:rPr>
          <w:rFonts w:hint="eastAsia"/>
          <w:snapToGrid w:val="0"/>
          <w:sz w:val="21"/>
          <w:szCs w:val="21"/>
          <w:lang w:eastAsia="zh-CN"/>
        </w:rPr>
        <w:t>_，职务：_</w:t>
      </w:r>
      <w:r>
        <w:rPr>
          <w:rFonts w:hint="eastAsia"/>
          <w:snapToGrid w:val="0"/>
          <w:sz w:val="21"/>
          <w:szCs w:val="21"/>
          <w:u w:val="single"/>
          <w:lang w:eastAsia="zh-CN"/>
        </w:rPr>
        <w:t xml:space="preserve">   </w:t>
      </w:r>
      <w:r>
        <w:rPr>
          <w:rFonts w:hint="eastAsia"/>
          <w:snapToGrid w:val="0"/>
          <w:sz w:val="21"/>
          <w:szCs w:val="21"/>
          <w:lang w:eastAsia="zh-CN"/>
        </w:rPr>
        <w:t>_；监督部门：纪检监察室，举报电话/电子邮箱：</w:t>
      </w:r>
      <w:r>
        <w:rPr>
          <w:rFonts w:hint="eastAsia"/>
          <w:snapToGrid w:val="0"/>
          <w:sz w:val="21"/>
          <w:szCs w:val="21"/>
          <w:u w:val="single"/>
          <w:lang w:eastAsia="zh-CN"/>
        </w:rPr>
        <w:t xml:space="preserve"> </w:t>
      </w:r>
      <w:r>
        <w:rPr>
          <w:rFonts w:hint="eastAsia" w:cs="Helvetica"/>
          <w:color w:val="333333"/>
          <w:sz w:val="21"/>
          <w:szCs w:val="21"/>
          <w:u w:val="single"/>
          <w:lang w:eastAsia="zh-CN"/>
        </w:rPr>
        <w:t>0596-6311774</w:t>
      </w:r>
      <w:r>
        <w:rPr>
          <w:rFonts w:hint="eastAsia"/>
          <w:snapToGrid w:val="0"/>
          <w:sz w:val="21"/>
          <w:szCs w:val="21"/>
          <w:u w:val="single"/>
          <w:lang w:eastAsia="zh-CN"/>
        </w:rPr>
        <w:t xml:space="preserve"> </w:t>
      </w:r>
      <w:r>
        <w:rPr>
          <w:rFonts w:hint="eastAsia"/>
          <w:snapToGrid w:val="0"/>
          <w:sz w:val="21"/>
          <w:szCs w:val="21"/>
          <w:lang w:eastAsia="zh-CN"/>
        </w:rPr>
        <w:t xml:space="preserve">/ </w:t>
      </w:r>
      <w:r>
        <w:fldChar w:fldCharType="begin"/>
      </w:r>
      <w:r>
        <w:instrText xml:space="preserve"> HYPERLINK "http://www.gcpo.com.cn" </w:instrText>
      </w:r>
      <w:r>
        <w:fldChar w:fldCharType="separate"/>
      </w:r>
      <w:r>
        <w:fldChar w:fldCharType="end"/>
      </w:r>
      <w:r>
        <w:rPr>
          <w:rFonts w:hint="eastAsia"/>
          <w:snapToGrid w:val="0"/>
          <w:sz w:val="21"/>
          <w:szCs w:val="21"/>
          <w:u w:val="single"/>
          <w:lang w:eastAsia="zh-CN"/>
        </w:rPr>
        <w:t xml:space="preserve"> fhcjc@fhcpec.com.cn </w:t>
      </w:r>
      <w:r>
        <w:rPr>
          <w:rFonts w:hint="eastAsia"/>
          <w:snapToGrid w:val="0"/>
          <w:sz w:val="21"/>
          <w:szCs w:val="21"/>
          <w:lang w:eastAsia="zh-CN"/>
        </w:rPr>
        <w:t>（纪委书记信箱）。</w:t>
      </w:r>
    </w:p>
    <w:p>
      <w:pPr>
        <w:rPr>
          <w:snapToGrid w:val="0"/>
          <w:sz w:val="21"/>
          <w:szCs w:val="21"/>
          <w:lang w:eastAsia="zh-CN"/>
        </w:rPr>
      </w:pPr>
      <w:r>
        <w:rPr>
          <w:rFonts w:hint="eastAsia"/>
          <w:snapToGrid w:val="0"/>
          <w:sz w:val="21"/>
          <w:szCs w:val="21"/>
          <w:lang w:eastAsia="zh-CN"/>
        </w:rPr>
        <w:t>（二）乙方本合同工程廉洁工程直接责任人：_</w:t>
      </w:r>
      <w:r>
        <w:rPr>
          <w:rFonts w:hint="eastAsia"/>
          <w:snapToGrid w:val="0"/>
          <w:sz w:val="21"/>
          <w:szCs w:val="21"/>
          <w:u w:val="single"/>
          <w:lang w:eastAsia="zh-CN"/>
        </w:rPr>
        <w:t xml:space="preserve">   </w:t>
      </w:r>
      <w:r>
        <w:rPr>
          <w:rFonts w:hint="eastAsia"/>
          <w:snapToGrid w:val="0"/>
          <w:sz w:val="21"/>
          <w:szCs w:val="21"/>
          <w:lang w:eastAsia="zh-CN"/>
        </w:rPr>
        <w:t>_，职务：_</w:t>
      </w:r>
      <w:r>
        <w:rPr>
          <w:rFonts w:hint="eastAsia"/>
          <w:snapToGrid w:val="0"/>
          <w:sz w:val="21"/>
          <w:szCs w:val="21"/>
          <w:u w:val="single"/>
          <w:lang w:eastAsia="zh-CN"/>
        </w:rPr>
        <w:t xml:space="preserve">   </w:t>
      </w:r>
      <w:r>
        <w:rPr>
          <w:rFonts w:hint="eastAsia"/>
          <w:snapToGrid w:val="0"/>
          <w:sz w:val="21"/>
          <w:szCs w:val="21"/>
          <w:lang w:eastAsia="zh-CN"/>
        </w:rPr>
        <w:t>__，职称：________；主管/监督部门：________，举报电话：________。</w:t>
      </w:r>
    </w:p>
    <w:p>
      <w:pPr>
        <w:ind w:firstLine="422" w:firstLineChars="200"/>
        <w:outlineLvl w:val="0"/>
        <w:rPr>
          <w:snapToGrid w:val="0"/>
          <w:sz w:val="21"/>
          <w:szCs w:val="21"/>
          <w:lang w:eastAsia="zh-CN"/>
        </w:rPr>
      </w:pPr>
      <w:r>
        <w:rPr>
          <w:rFonts w:hint="eastAsia"/>
          <w:b/>
          <w:bCs/>
          <w:snapToGrid w:val="0"/>
          <w:sz w:val="21"/>
          <w:szCs w:val="21"/>
          <w:lang w:eastAsia="zh-CN"/>
        </w:rPr>
        <w:t xml:space="preserve">第六条  </w:t>
      </w:r>
      <w:r>
        <w:rPr>
          <w:rFonts w:hint="eastAsia"/>
          <w:snapToGrid w:val="0"/>
          <w:sz w:val="21"/>
          <w:szCs w:val="21"/>
          <w:lang w:eastAsia="zh-CN"/>
        </w:rPr>
        <w:t>本承诺书作为工程合同的附件，与工程合同具有同等法律效力。经双方签署后立即生效。</w:t>
      </w:r>
    </w:p>
    <w:p>
      <w:pPr>
        <w:ind w:firstLine="422" w:firstLineChars="200"/>
        <w:outlineLvl w:val="0"/>
        <w:rPr>
          <w:snapToGrid w:val="0"/>
          <w:sz w:val="21"/>
          <w:szCs w:val="21"/>
          <w:lang w:eastAsia="zh-CN"/>
        </w:rPr>
      </w:pPr>
      <w:r>
        <w:rPr>
          <w:rFonts w:hint="eastAsia"/>
          <w:b/>
          <w:bCs/>
          <w:snapToGrid w:val="0"/>
          <w:sz w:val="21"/>
          <w:szCs w:val="21"/>
          <w:lang w:eastAsia="zh-CN"/>
        </w:rPr>
        <w:t xml:space="preserve">第七条 </w:t>
      </w:r>
      <w:r>
        <w:rPr>
          <w:rFonts w:hint="eastAsia"/>
          <w:snapToGrid w:val="0"/>
          <w:sz w:val="21"/>
          <w:szCs w:val="21"/>
          <w:lang w:eastAsia="zh-CN"/>
        </w:rPr>
        <w:t>本承诺书一式_</w:t>
      </w:r>
      <w:r>
        <w:rPr>
          <w:snapToGrid w:val="0"/>
          <w:sz w:val="21"/>
          <w:szCs w:val="21"/>
          <w:lang w:eastAsia="zh-CN"/>
        </w:rPr>
        <w:t>6</w:t>
      </w:r>
      <w:r>
        <w:rPr>
          <w:rFonts w:hint="eastAsia"/>
          <w:snapToGrid w:val="0"/>
          <w:sz w:val="21"/>
          <w:szCs w:val="21"/>
          <w:lang w:eastAsia="zh-CN"/>
        </w:rPr>
        <w:t>_份，甲方执_</w:t>
      </w:r>
      <w:r>
        <w:rPr>
          <w:snapToGrid w:val="0"/>
          <w:sz w:val="21"/>
          <w:szCs w:val="21"/>
          <w:lang w:eastAsia="zh-CN"/>
        </w:rPr>
        <w:t>4</w:t>
      </w:r>
      <w:r>
        <w:rPr>
          <w:rFonts w:hint="eastAsia"/>
          <w:snapToGrid w:val="0"/>
          <w:sz w:val="21"/>
          <w:szCs w:val="21"/>
          <w:lang w:eastAsia="zh-CN"/>
        </w:rPr>
        <w:t>__份，乙方执__</w:t>
      </w:r>
      <w:r>
        <w:rPr>
          <w:snapToGrid w:val="0"/>
          <w:sz w:val="21"/>
          <w:szCs w:val="21"/>
          <w:lang w:eastAsia="zh-CN"/>
        </w:rPr>
        <w:t>2</w:t>
      </w:r>
      <w:r>
        <w:rPr>
          <w:rFonts w:hint="eastAsia"/>
          <w:snapToGrid w:val="0"/>
          <w:sz w:val="21"/>
          <w:szCs w:val="21"/>
          <w:lang w:eastAsia="zh-CN"/>
        </w:rPr>
        <w:t>_份，有效期为双方签署之日起至所属工程项目竣工结算完毕时止。</w:t>
      </w:r>
    </w:p>
    <w:p>
      <w:pPr>
        <w:rPr>
          <w:sz w:val="21"/>
          <w:szCs w:val="21"/>
          <w:lang w:eastAsia="zh-CN"/>
        </w:rPr>
      </w:pPr>
      <w:r>
        <w:rPr>
          <w:rFonts w:hint="eastAsia"/>
          <w:sz w:val="21"/>
          <w:szCs w:val="21"/>
          <w:lang w:eastAsia="zh-CN"/>
        </w:rPr>
        <w:t>甲方（名称）：</w:t>
      </w:r>
      <w:r>
        <w:rPr>
          <w:sz w:val="21"/>
          <w:szCs w:val="21"/>
          <w:lang w:eastAsia="zh-CN"/>
        </w:rPr>
        <w:tab/>
      </w:r>
      <w:r>
        <w:rPr>
          <w:rFonts w:hint="eastAsia"/>
          <w:sz w:val="21"/>
          <w:szCs w:val="21"/>
          <w:lang w:eastAsia="zh-CN"/>
        </w:rPr>
        <w:t xml:space="preserve">                     乙方（名称）：</w:t>
      </w:r>
    </w:p>
    <w:p>
      <w:pPr>
        <w:rPr>
          <w:sz w:val="21"/>
          <w:szCs w:val="21"/>
          <w:lang w:eastAsia="zh-CN"/>
        </w:rPr>
      </w:pPr>
      <w:r>
        <w:rPr>
          <w:rFonts w:hint="eastAsia"/>
          <w:spacing w:val="-2"/>
          <w:sz w:val="21"/>
          <w:szCs w:val="21"/>
          <w:lang w:eastAsia="zh-CN"/>
        </w:rPr>
        <w:t>腾龙芳烃（漳州）有限公司</w:t>
      </w:r>
      <w:r>
        <w:rPr>
          <w:rFonts w:hint="eastAsia"/>
          <w:sz w:val="21"/>
          <w:szCs w:val="21"/>
          <w:lang w:eastAsia="zh-CN"/>
        </w:rPr>
        <w:t xml:space="preserve">   </w:t>
      </w:r>
      <w:r>
        <w:rPr>
          <w:sz w:val="21"/>
          <w:szCs w:val="21"/>
          <w:lang w:eastAsia="zh-CN"/>
        </w:rPr>
        <w:t xml:space="preserve">    </w:t>
      </w:r>
      <w:r>
        <w:rPr>
          <w:rFonts w:hint="eastAsia"/>
          <w:sz w:val="21"/>
          <w:szCs w:val="21"/>
          <w:lang w:eastAsia="zh-CN"/>
        </w:rPr>
        <w:t xml:space="preserve">   </w:t>
      </w:r>
    </w:p>
    <w:p>
      <w:pPr>
        <w:ind w:left="4200" w:hanging="4200" w:hangingChars="2000"/>
        <w:rPr>
          <w:sz w:val="21"/>
          <w:szCs w:val="21"/>
          <w:lang w:eastAsia="zh-CN"/>
        </w:rPr>
      </w:pPr>
      <w:r>
        <w:rPr>
          <w:rFonts w:hint="eastAsia"/>
          <w:sz w:val="21"/>
          <w:szCs w:val="21"/>
          <w:lang w:eastAsia="zh-CN"/>
        </w:rPr>
        <w:t>地址：漳州</w:t>
      </w:r>
      <w:r>
        <w:rPr>
          <w:sz w:val="21"/>
          <w:szCs w:val="21"/>
          <w:lang w:eastAsia="zh-CN"/>
        </w:rPr>
        <w:t>市古雷经济开发区腾龙路</w:t>
      </w:r>
      <w:r>
        <w:rPr>
          <w:rFonts w:hint="eastAsia"/>
          <w:sz w:val="21"/>
          <w:szCs w:val="21"/>
          <w:lang w:eastAsia="zh-CN"/>
        </w:rPr>
        <w:t>84</w:t>
      </w:r>
      <w:r>
        <w:rPr>
          <w:sz w:val="21"/>
          <w:szCs w:val="21"/>
          <w:lang w:eastAsia="zh-CN"/>
        </w:rPr>
        <w:t xml:space="preserve">号 </w:t>
      </w:r>
      <w:r>
        <w:rPr>
          <w:rFonts w:hint="eastAsia"/>
          <w:sz w:val="21"/>
          <w:szCs w:val="21"/>
          <w:lang w:eastAsia="zh-CN"/>
        </w:rPr>
        <w:t xml:space="preserve"> 地址：</w:t>
      </w:r>
      <w:r>
        <w:rPr>
          <w:sz w:val="21"/>
          <w:szCs w:val="21"/>
          <w:lang w:eastAsia="zh-CN"/>
        </w:rPr>
        <w:t xml:space="preserve"> </w:t>
      </w:r>
    </w:p>
    <w:p>
      <w:pPr>
        <w:rPr>
          <w:sz w:val="21"/>
          <w:szCs w:val="21"/>
        </w:rPr>
      </w:pPr>
      <w:r>
        <w:rPr>
          <w:rFonts w:hint="eastAsia"/>
          <w:sz w:val="21"/>
          <w:szCs w:val="21"/>
        </w:rPr>
        <w:t>日期：</w:t>
      </w:r>
      <w:r>
        <w:rPr>
          <w:sz w:val="21"/>
          <w:szCs w:val="21"/>
        </w:rPr>
        <w:t xml:space="preserve"> </w:t>
      </w:r>
      <w:r>
        <w:rPr>
          <w:sz w:val="21"/>
          <w:szCs w:val="21"/>
          <w:u w:val="single"/>
        </w:rPr>
        <w:t xml:space="preserve"> 202</w:t>
      </w:r>
      <w:r>
        <w:rPr>
          <w:rFonts w:hint="eastAsia"/>
          <w:sz w:val="21"/>
          <w:szCs w:val="21"/>
          <w:u w:val="single"/>
          <w:lang w:eastAsia="zh-CN"/>
        </w:rPr>
        <w:t>1</w:t>
      </w:r>
      <w:r>
        <w:rPr>
          <w:sz w:val="21"/>
          <w:szCs w:val="21"/>
          <w:u w:val="single"/>
        </w:rPr>
        <w:t xml:space="preserve"> </w:t>
      </w:r>
      <w:r>
        <w:rPr>
          <w:rFonts w:hint="eastAsia"/>
          <w:sz w:val="21"/>
          <w:szCs w:val="21"/>
        </w:rPr>
        <w:t>年</w:t>
      </w:r>
      <w:r>
        <w:rPr>
          <w:sz w:val="21"/>
          <w:szCs w:val="21"/>
          <w:u w:val="single"/>
        </w:rPr>
        <w:t xml:space="preserve"> </w:t>
      </w:r>
      <w:r>
        <w:rPr>
          <w:rFonts w:hint="eastAsia"/>
          <w:sz w:val="21"/>
          <w:szCs w:val="21"/>
          <w:u w:val="single"/>
        </w:rPr>
        <w:t xml:space="preserve">  </w:t>
      </w:r>
      <w:r>
        <w:rPr>
          <w:rFonts w:hint="eastAsia"/>
          <w:sz w:val="21"/>
          <w:szCs w:val="21"/>
        </w:rPr>
        <w:t>月</w:t>
      </w:r>
      <w:r>
        <w:rPr>
          <w:sz w:val="21"/>
          <w:szCs w:val="21"/>
          <w:u w:val="single"/>
        </w:rPr>
        <w:t xml:space="preserve">   </w:t>
      </w:r>
      <w:r>
        <w:rPr>
          <w:rFonts w:hint="eastAsia"/>
          <w:sz w:val="21"/>
          <w:szCs w:val="21"/>
        </w:rPr>
        <w:t>日</w:t>
      </w:r>
      <w:r>
        <w:rPr>
          <w:sz w:val="21"/>
          <w:szCs w:val="21"/>
        </w:rPr>
        <w:tab/>
      </w:r>
      <w:r>
        <w:rPr>
          <w:rFonts w:hint="eastAsia"/>
          <w:sz w:val="21"/>
          <w:szCs w:val="21"/>
        </w:rPr>
        <w:t xml:space="preserve">           日期：  </w:t>
      </w:r>
      <w:r>
        <w:rPr>
          <w:sz w:val="21"/>
          <w:szCs w:val="21"/>
          <w:u w:val="single"/>
        </w:rPr>
        <w:t xml:space="preserve"> 202</w:t>
      </w:r>
      <w:r>
        <w:rPr>
          <w:rFonts w:hint="eastAsia"/>
          <w:sz w:val="21"/>
          <w:szCs w:val="21"/>
          <w:u w:val="single"/>
          <w:lang w:eastAsia="zh-CN"/>
        </w:rPr>
        <w:t>1</w:t>
      </w:r>
      <w:r>
        <w:rPr>
          <w:sz w:val="21"/>
          <w:szCs w:val="21"/>
          <w:u w:val="single"/>
        </w:rPr>
        <w:t xml:space="preserve"> </w:t>
      </w:r>
      <w:r>
        <w:rPr>
          <w:rFonts w:hint="eastAsia"/>
          <w:sz w:val="21"/>
          <w:szCs w:val="21"/>
        </w:rPr>
        <w:t>年</w:t>
      </w:r>
      <w:r>
        <w:rPr>
          <w:sz w:val="21"/>
          <w:szCs w:val="21"/>
          <w:u w:val="single"/>
        </w:rPr>
        <w:t xml:space="preserve"> </w:t>
      </w:r>
      <w:r>
        <w:rPr>
          <w:rFonts w:hint="eastAsia"/>
          <w:sz w:val="21"/>
          <w:szCs w:val="21"/>
          <w:u w:val="single"/>
        </w:rPr>
        <w:t xml:space="preserve"> </w:t>
      </w:r>
      <w:r>
        <w:rPr>
          <w:sz w:val="21"/>
          <w:szCs w:val="21"/>
          <w:u w:val="single"/>
        </w:rPr>
        <w:t xml:space="preserve"> </w:t>
      </w:r>
      <w:r>
        <w:rPr>
          <w:rFonts w:hint="eastAsia"/>
          <w:sz w:val="21"/>
          <w:szCs w:val="21"/>
        </w:rPr>
        <w:t>月</w:t>
      </w:r>
      <w:r>
        <w:rPr>
          <w:sz w:val="21"/>
          <w:szCs w:val="21"/>
          <w:u w:val="single"/>
        </w:rPr>
        <w:t xml:space="preserve">  </w:t>
      </w:r>
      <w:r>
        <w:rPr>
          <w:rFonts w:hint="eastAsia"/>
          <w:sz w:val="21"/>
          <w:szCs w:val="21"/>
          <w:u w:val="single"/>
        </w:rPr>
        <w:t xml:space="preserve"> </w:t>
      </w:r>
      <w:r>
        <w:rPr>
          <w:rFonts w:hint="eastAsia"/>
          <w:sz w:val="21"/>
          <w:szCs w:val="21"/>
        </w:rPr>
        <w:t>日</w:t>
      </w:r>
    </w:p>
    <w:p>
      <w:pPr>
        <w:rPr>
          <w:sz w:val="21"/>
          <w:szCs w:val="21"/>
          <w:lang w:eastAsia="zh-CN"/>
        </w:rPr>
      </w:pPr>
      <w:r>
        <w:rPr>
          <w:rFonts w:hint="eastAsia"/>
          <w:sz w:val="21"/>
          <w:szCs w:val="21"/>
          <w:lang w:eastAsia="zh-CN"/>
        </w:rPr>
        <w:t>盖章（单位公章）：</w:t>
      </w:r>
      <w:r>
        <w:rPr>
          <w:sz w:val="21"/>
          <w:szCs w:val="21"/>
          <w:u w:val="single"/>
          <w:lang w:eastAsia="zh-CN"/>
        </w:rPr>
        <w:t xml:space="preserve">        </w:t>
      </w:r>
      <w:r>
        <w:rPr>
          <w:sz w:val="21"/>
          <w:szCs w:val="21"/>
          <w:lang w:eastAsia="zh-CN"/>
        </w:rPr>
        <w:t xml:space="preserve">        </w:t>
      </w:r>
      <w:r>
        <w:rPr>
          <w:rFonts w:hint="eastAsia"/>
          <w:sz w:val="21"/>
          <w:szCs w:val="21"/>
          <w:lang w:eastAsia="zh-CN"/>
        </w:rPr>
        <w:t xml:space="preserve">     </w:t>
      </w:r>
      <w:r>
        <w:rPr>
          <w:sz w:val="21"/>
          <w:szCs w:val="21"/>
          <w:lang w:eastAsia="zh-CN"/>
        </w:rPr>
        <w:t xml:space="preserve"> </w:t>
      </w:r>
      <w:r>
        <w:rPr>
          <w:rFonts w:hint="eastAsia"/>
          <w:sz w:val="21"/>
          <w:szCs w:val="21"/>
          <w:lang w:eastAsia="zh-CN"/>
        </w:rPr>
        <w:t>盖章（单位公章）：</w:t>
      </w:r>
      <w:r>
        <w:rPr>
          <w:sz w:val="21"/>
          <w:szCs w:val="21"/>
          <w:lang w:eastAsia="zh-CN"/>
        </w:rPr>
        <w:t xml:space="preserve"> </w:t>
      </w:r>
      <w:r>
        <w:rPr>
          <w:sz w:val="21"/>
          <w:szCs w:val="21"/>
          <w:u w:val="single"/>
          <w:lang w:eastAsia="zh-CN"/>
        </w:rPr>
        <w:t xml:space="preserve">         </w:t>
      </w:r>
    </w:p>
    <w:p>
      <w:pPr>
        <w:pStyle w:val="2"/>
        <w:rPr>
          <w:b/>
          <w:bCs/>
          <w:sz w:val="28"/>
          <w:szCs w:val="28"/>
        </w:rPr>
      </w:pPr>
      <w:r>
        <w:br w:type="column"/>
      </w:r>
      <w:r>
        <w:rPr>
          <w:rFonts w:hint="eastAsia"/>
          <w:b/>
          <w:bCs/>
          <w:sz w:val="28"/>
          <w:szCs w:val="28"/>
        </w:rPr>
        <w:t>附件二参选文件范本</w:t>
      </w:r>
    </w:p>
    <w:p>
      <w:pPr>
        <w:pStyle w:val="9"/>
        <w:jc w:val="center"/>
        <w:rPr>
          <w:rFonts w:ascii="Times New Roman" w:hAnsi="Times New Roman"/>
          <w:b/>
          <w:sz w:val="52"/>
          <w:szCs w:val="52"/>
          <w:lang w:eastAsia="zh-CN"/>
        </w:rPr>
      </w:pPr>
    </w:p>
    <w:p>
      <w:pPr>
        <w:pStyle w:val="9"/>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spacing w:before="38"/>
        <w:ind w:left="172"/>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 xml:space="preserve"> </w:t>
      </w:r>
      <w:r>
        <w:rPr>
          <w:rFonts w:ascii="方正小标宋简体" w:hAnsi="方正小标宋简体" w:eastAsia="方正小标宋简体" w:cs="方正小标宋简体"/>
          <w:b/>
          <w:sz w:val="44"/>
          <w:szCs w:val="44"/>
          <w:lang w:eastAsia="zh-CN"/>
        </w:rPr>
        <w:t xml:space="preserve"> </w:t>
      </w:r>
      <w:r>
        <w:rPr>
          <w:rFonts w:hint="eastAsia" w:ascii="方正小标宋简体" w:hAnsi="方正小标宋简体" w:eastAsia="方正小标宋简体" w:cs="方正小标宋简体"/>
          <w:b/>
          <w:sz w:val="44"/>
          <w:szCs w:val="44"/>
          <w:lang w:eastAsia="zh-CN"/>
        </w:rPr>
        <w:t>南部热源点一期工程可行性研究阶段</w:t>
      </w:r>
    </w:p>
    <w:p>
      <w:pPr>
        <w:spacing w:before="38"/>
        <w:ind w:left="172"/>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及项目申请技术发包项目</w:t>
      </w:r>
    </w:p>
    <w:p>
      <w:pPr>
        <w:spacing w:before="38"/>
        <w:ind w:left="172"/>
        <w:jc w:val="center"/>
        <w:rPr>
          <w:rFonts w:ascii="微软雅黑" w:eastAsia="微软雅黑"/>
          <w:b/>
          <w:sz w:val="52"/>
          <w:lang w:eastAsia="zh-CN"/>
        </w:rPr>
      </w:pPr>
    </w:p>
    <w:p>
      <w:pPr>
        <w:spacing w:line="1000" w:lineRule="exact"/>
        <w:jc w:val="center"/>
        <w:rPr>
          <w:rFonts w:ascii="方正小标宋简体" w:hAnsi="方正小标宋简体" w:eastAsia="方正小标宋简体" w:cs="方正小标宋简体"/>
          <w:b/>
          <w:sz w:val="44"/>
          <w:szCs w:val="44"/>
          <w:lang w:eastAsia="zh-CN"/>
        </w:rPr>
      </w:pPr>
    </w:p>
    <w:p>
      <w:pPr>
        <w:spacing w:line="1000" w:lineRule="exact"/>
        <w:jc w:val="center"/>
        <w:rPr>
          <w:b/>
          <w:sz w:val="44"/>
          <w:szCs w:val="44"/>
          <w:lang w:eastAsia="zh-CN"/>
        </w:rPr>
      </w:pPr>
    </w:p>
    <w:p>
      <w:pPr>
        <w:spacing w:line="1000" w:lineRule="exact"/>
        <w:jc w:val="center"/>
        <w:rPr>
          <w:b/>
          <w:sz w:val="44"/>
          <w:szCs w:val="44"/>
          <w:lang w:eastAsia="zh-CN"/>
        </w:rPr>
      </w:pP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9"/>
        <w:rPr>
          <w:rFonts w:ascii="Times New Roman" w:hAnsi="Times New Roman"/>
          <w:lang w:eastAsia="zh-CN"/>
        </w:rPr>
      </w:pPr>
    </w:p>
    <w:p>
      <w:pPr>
        <w:pStyle w:val="9"/>
        <w:rPr>
          <w:rFonts w:ascii="Times New Roman" w:hAnsi="Times New Roman"/>
          <w:lang w:eastAsia="zh-CN"/>
        </w:rPr>
      </w:pPr>
    </w:p>
    <w:p>
      <w:pPr>
        <w:pStyle w:val="9"/>
        <w:rPr>
          <w:rFonts w:ascii="Times New Roman" w:hAnsi="Times New Roman"/>
          <w:b/>
          <w:bCs/>
          <w:sz w:val="32"/>
          <w:szCs w:val="32"/>
          <w:lang w:eastAsia="zh-CN"/>
        </w:rPr>
      </w:pPr>
    </w:p>
    <w:p>
      <w:pPr>
        <w:pStyle w:val="9"/>
        <w:rPr>
          <w:rFonts w:ascii="Times New Roman" w:hAnsi="Times New Roman"/>
          <w:b/>
          <w:bCs/>
          <w:sz w:val="32"/>
          <w:szCs w:val="32"/>
          <w:lang w:eastAsia="zh-CN"/>
        </w:rPr>
      </w:pPr>
    </w:p>
    <w:p>
      <w:pPr>
        <w:pStyle w:val="9"/>
        <w:rPr>
          <w:rFonts w:ascii="Times New Roman" w:hAnsi="Times New Roman"/>
          <w:b/>
          <w:bCs/>
          <w:sz w:val="32"/>
          <w:szCs w:val="32"/>
          <w:lang w:eastAsia="zh-CN"/>
        </w:rPr>
      </w:pPr>
    </w:p>
    <w:p>
      <w:pPr>
        <w:pStyle w:val="9"/>
        <w:rPr>
          <w:rFonts w:ascii="Times New Roman" w:hAnsi="Times New Roman"/>
          <w:b/>
          <w:bCs/>
          <w:sz w:val="32"/>
          <w:szCs w:val="36"/>
          <w:lang w:eastAsia="zh-CN"/>
        </w:rPr>
      </w:pPr>
    </w:p>
    <w:p>
      <w:pPr>
        <w:pStyle w:val="9"/>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p>
    <w:p>
      <w:pPr>
        <w:pStyle w:val="9"/>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2021 </w:t>
      </w:r>
      <w:r>
        <w:rPr>
          <w:rFonts w:ascii="Times New Roman" w:hAnsi="Times New Roman"/>
          <w:b/>
          <w:bCs/>
          <w:w w:val="95"/>
          <w:sz w:val="32"/>
          <w:lang w:eastAsia="zh-CN"/>
        </w:rPr>
        <w:t>年</w:t>
      </w:r>
      <w:r>
        <w:rPr>
          <w:rFonts w:hint="eastAsia" w:ascii="Times New Roman" w:hAnsi="Times New Roman"/>
          <w:b/>
          <w:bCs/>
          <w:w w:val="95"/>
          <w:sz w:val="32"/>
          <w:lang w:eastAsia="zh-CN"/>
        </w:rPr>
        <w:t>04</w:t>
      </w:r>
      <w:r>
        <w:rPr>
          <w:rFonts w:ascii="Times New Roman" w:hAnsi="Times New Roman"/>
          <w:b/>
          <w:bCs/>
          <w:w w:val="95"/>
          <w:sz w:val="32"/>
          <w:lang w:eastAsia="zh-CN"/>
        </w:rPr>
        <w:t>月</w:t>
      </w:r>
    </w:p>
    <w:p>
      <w:pPr>
        <w:rPr>
          <w:lang w:eastAsia="zh-CN"/>
        </w:rPr>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2"/>
      </w:pPr>
    </w:p>
    <w:p>
      <w:pPr>
        <w:pStyle w:val="26"/>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1．参选人应按规定，向比选人递交参选文件，正本一份、副本一份，当正本与副本有不一致时，以正本为准。</w:t>
      </w:r>
    </w:p>
    <w:p>
      <w:pPr>
        <w:pStyle w:val="26"/>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纸胶装、平装。所有参选文件应增加统一外层包封。</w:t>
      </w:r>
    </w:p>
    <w:p>
      <w:pPr>
        <w:pStyle w:val="26"/>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3.提交参选文件时提供两个包装，商务参选文件（报价单）一个包装、技术参选文件一个包装</w:t>
      </w:r>
      <w:r>
        <w:rPr>
          <w:rFonts w:cs="Times New Roman"/>
          <w:bCs w:val="0"/>
          <w:color w:val="C00000"/>
          <w:sz w:val="24"/>
          <w:szCs w:val="24"/>
          <w:lang w:eastAsia="zh-CN"/>
        </w:rPr>
        <w:t>,</w:t>
      </w:r>
      <w:r>
        <w:rPr>
          <w:rFonts w:hint="eastAsia" w:cs="Times New Roman"/>
          <w:bCs w:val="0"/>
          <w:color w:val="C00000"/>
          <w:sz w:val="24"/>
          <w:szCs w:val="24"/>
          <w:lang w:eastAsia="zh-CN"/>
        </w:rPr>
        <w:t>封口处均需加盖骑缝章。</w:t>
      </w:r>
    </w:p>
    <w:p>
      <w:pPr>
        <w:pStyle w:val="26"/>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4.凡因参选文件不按规定填写，或填写不清晰、不完整、或密封不合要求而引起的一切后果，由参选人自行负责。</w:t>
      </w:r>
    </w:p>
    <w:p>
      <w:pPr>
        <w:pStyle w:val="26"/>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26"/>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 w:val="24"/>
          <w:szCs w:val="24"/>
          <w:lang w:eastAsia="zh-CN"/>
        </w:rPr>
      </w:pPr>
      <w:r>
        <w:rPr>
          <w:rFonts w:ascii="Calibri"/>
          <w:sz w:val="24"/>
          <w:szCs w:val="24"/>
        </w:rPr>
        <w:pict>
          <v:shape id="_x0000_s1026" o:spid="_x0000_s1026" o:spt="202" type="#_x0000_t202" style="position:absolute;left:0pt;margin-left:5.25pt;margin-top:0.5pt;height:119.1pt;width:363.2pt;z-index:251658240;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 w:val="24"/>
          <w:szCs w:val="24"/>
          <w:lang w:eastAsia="zh-CN"/>
        </w:rPr>
      </w:pPr>
    </w:p>
    <w:p>
      <w:pPr>
        <w:rPr>
          <w:sz w:val="24"/>
          <w:szCs w:val="24"/>
          <w:lang w:eastAsia="zh-CN"/>
        </w:rPr>
      </w:pPr>
    </w:p>
    <w:p>
      <w:pPr>
        <w:rPr>
          <w:sz w:val="24"/>
          <w:szCs w:val="24"/>
          <w:lang w:eastAsia="zh-CN"/>
        </w:rPr>
      </w:pPr>
    </w:p>
    <w:p>
      <w:pPr>
        <w:rPr>
          <w:sz w:val="24"/>
          <w:szCs w:val="24"/>
          <w:lang w:eastAsia="zh-CN"/>
        </w:rPr>
      </w:pPr>
    </w:p>
    <w:p>
      <w:pPr>
        <w:rPr>
          <w:sz w:val="24"/>
          <w:szCs w:val="24"/>
          <w:lang w:eastAsia="zh-CN"/>
        </w:rPr>
      </w:pPr>
    </w:p>
    <w:p>
      <w:pPr>
        <w:pStyle w:val="26"/>
        <w:spacing w:beforeLines="0" w:afterLines="0" w:line="240" w:lineRule="auto"/>
        <w:ind w:firstLine="530" w:firstLineChars="221"/>
        <w:rPr>
          <w:rFonts w:cs="Times New Roman"/>
          <w:bCs w:val="0"/>
          <w:color w:val="C00000"/>
          <w:sz w:val="24"/>
          <w:szCs w:val="24"/>
          <w:lang w:eastAsia="zh-CN"/>
        </w:rPr>
      </w:pPr>
    </w:p>
    <w:p>
      <w:pPr>
        <w:pStyle w:val="26"/>
        <w:spacing w:beforeLines="0" w:afterLines="0" w:line="240" w:lineRule="auto"/>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26"/>
        <w:spacing w:beforeLines="0" w:afterLines="0" w:line="240" w:lineRule="auto"/>
        <w:ind w:firstLine="530" w:firstLineChars="221"/>
        <w:rPr>
          <w:rFonts w:cs="Times New Roman"/>
          <w:b/>
          <w:color w:val="C00000"/>
          <w:lang w:eastAsia="zh-CN"/>
        </w:rPr>
      </w:pPr>
      <w:r>
        <w:rPr>
          <w:rFonts w:hint="eastAsia" w:cs="Times New Roman"/>
          <w:color w:val="C00000"/>
          <w:sz w:val="24"/>
          <w:szCs w:val="24"/>
          <w:lang w:eastAsia="zh-CN"/>
        </w:rPr>
        <w:t>8、以下文件中红色字体部分，打印时请删除。</w:t>
      </w:r>
    </w:p>
    <w:p>
      <w:pPr>
        <w:spacing w:line="1000" w:lineRule="exact"/>
        <w:jc w:val="center"/>
        <w:rPr>
          <w:b/>
          <w:sz w:val="44"/>
          <w:szCs w:val="44"/>
          <w:lang w:eastAsia="zh-CN"/>
        </w:rPr>
      </w:pPr>
    </w:p>
    <w:p>
      <w:pPr>
        <w:widowControl/>
        <w:autoSpaceDE/>
        <w:autoSpaceDN/>
        <w:rPr>
          <w:b/>
          <w:sz w:val="44"/>
          <w:szCs w:val="44"/>
          <w:lang w:eastAsia="zh-CN"/>
        </w:rPr>
      </w:pPr>
      <w:r>
        <w:rPr>
          <w:b/>
          <w:sz w:val="44"/>
          <w:szCs w:val="44"/>
          <w:lang w:eastAsia="zh-CN"/>
        </w:rPr>
        <w:br w:type="page"/>
      </w:r>
    </w:p>
    <w:p>
      <w:pPr>
        <w:pStyle w:val="2"/>
        <w:rPr>
          <w:sz w:val="24"/>
          <w:szCs w:val="24"/>
        </w:rPr>
      </w:pPr>
      <w:r>
        <w:rPr>
          <w:rFonts w:hint="eastAsia"/>
          <w:sz w:val="24"/>
          <w:szCs w:val="24"/>
        </w:rPr>
        <w:t>附件1、</w:t>
      </w:r>
    </w:p>
    <w:p>
      <w:pPr>
        <w:pStyle w:val="9"/>
        <w:jc w:val="center"/>
        <w:rPr>
          <w:rFonts w:ascii="Times New Roman" w:hAnsi="Times New Roman"/>
          <w:b/>
          <w:sz w:val="52"/>
          <w:szCs w:val="52"/>
          <w:lang w:eastAsia="zh-CN"/>
        </w:rPr>
      </w:pPr>
    </w:p>
    <w:p>
      <w:pPr>
        <w:ind w:firstLine="480" w:firstLineChars="200"/>
        <w:rPr>
          <w:color w:val="000000"/>
          <w:sz w:val="24"/>
          <w:szCs w:val="24"/>
          <w:lang w:eastAsia="zh-CN"/>
        </w:rPr>
      </w:pPr>
      <w:r>
        <w:rPr>
          <w:rFonts w:hint="eastAsia"/>
          <w:color w:val="000000"/>
          <w:sz w:val="24"/>
          <w:szCs w:val="24"/>
          <w:lang w:eastAsia="zh-CN"/>
        </w:rPr>
        <w:t>1、参选单位企业概况（包含但不限于企业简介、营业执照、开户许可证、资质证书、拟投入本项目的人员信息、以往承揽类似业绩的合同等其他可以证明参选人具有良好业绩的相关材料，凡弄虚作假的，一经查实，比选人有权取消其中选资格）。</w:t>
      </w:r>
    </w:p>
    <w:p>
      <w:pPr>
        <w:pStyle w:val="2"/>
        <w:spacing w:line="360" w:lineRule="auto"/>
        <w:rPr>
          <w:sz w:val="24"/>
          <w:szCs w:val="24"/>
        </w:rPr>
      </w:pPr>
      <w:r>
        <w:rPr>
          <w:rFonts w:hint="eastAsia"/>
          <w:sz w:val="24"/>
          <w:szCs w:val="24"/>
        </w:rPr>
        <w:t xml:space="preserve">    2、参选单位针对本项目提出的施工方案书（根据技术规范书中产品目标、内容及技术性能要求编制）。</w:t>
      </w:r>
    </w:p>
    <w:p>
      <w:pPr>
        <w:rPr>
          <w:color w:val="000000"/>
          <w:sz w:val="24"/>
          <w:szCs w:val="24"/>
          <w:lang w:eastAsia="zh-CN"/>
        </w:rPr>
      </w:pPr>
    </w:p>
    <w:p>
      <w:pPr>
        <w:spacing w:line="520" w:lineRule="exact"/>
        <w:rPr>
          <w:i/>
          <w:color w:val="FF0000"/>
          <w:sz w:val="28"/>
          <w:szCs w:val="28"/>
          <w:lang w:eastAsia="zh-CN"/>
        </w:rPr>
      </w:pPr>
      <w:r>
        <w:rPr>
          <w:rFonts w:hint="eastAsia"/>
          <w:i/>
          <w:color w:val="FF0000"/>
          <w:sz w:val="28"/>
          <w:szCs w:val="28"/>
          <w:lang w:eastAsia="zh-CN"/>
        </w:rPr>
        <w:t>本部分内容由参选单位自行编制，不做格式要求。</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sz w:val="24"/>
          <w:szCs w:val="24"/>
        </w:rPr>
      </w:pPr>
    </w:p>
    <w:p>
      <w:pPr>
        <w:pStyle w:val="2"/>
        <w:rPr>
          <w:sz w:val="24"/>
          <w:szCs w:val="24"/>
        </w:rPr>
      </w:pPr>
      <w:r>
        <w:rPr>
          <w:rFonts w:hint="eastAsia"/>
          <w:sz w:val="24"/>
          <w:szCs w:val="24"/>
        </w:rPr>
        <w:t>附件2、</w:t>
      </w: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参  选  人：</w:t>
      </w:r>
      <w:r>
        <w:rPr>
          <w:rFonts w:hint="eastAsia" w:hAnsi="宋体"/>
          <w:color w:val="00B050"/>
          <w:kern w:val="2"/>
          <w:sz w:val="28"/>
          <w:szCs w:val="28"/>
        </w:rPr>
        <w:t>（单位名称）</w:t>
      </w:r>
    </w:p>
    <w:p>
      <w:pPr>
        <w:pStyle w:val="2"/>
        <w:ind w:firstLine="3240" w:firstLineChars="1350"/>
        <w:jc w:val="left"/>
        <w:rPr>
          <w:rFonts w:ascii="Times New Roman" w:hAnsi="Times New Roman"/>
          <w:kern w:val="2"/>
          <w:sz w:val="24"/>
          <w:szCs w:val="24"/>
        </w:rPr>
      </w:pPr>
      <w:r>
        <w:rPr>
          <w:rFonts w:hint="eastAsia" w:ascii="Times New Roman" w:hAnsi="Times New Roman"/>
          <w:kern w:val="2"/>
          <w:sz w:val="24"/>
          <w:szCs w:val="24"/>
        </w:rPr>
        <w:t>法定代表人：</w:t>
      </w:r>
    </w:p>
    <w:p>
      <w:pPr>
        <w:pStyle w:val="2"/>
        <w:jc w:val="center"/>
      </w:pPr>
    </w:p>
    <w:p>
      <w:pPr>
        <w:spacing w:line="500" w:lineRule="exact"/>
        <w:jc w:val="both"/>
        <w:rPr>
          <w:b/>
          <w:bCs/>
          <w:sz w:val="36"/>
          <w:szCs w:val="36"/>
          <w:lang w:eastAsia="zh-CN"/>
        </w:rPr>
      </w:pPr>
      <w:r>
        <w:rPr>
          <w:rFonts w:hint="eastAsia"/>
          <w:sz w:val="24"/>
          <w:szCs w:val="24"/>
          <w:lang w:eastAsia="zh-CN"/>
        </w:rPr>
        <w:t>附件3、</w:t>
      </w: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kern w:val="59"/>
          <w:sz w:val="24"/>
          <w:szCs w:val="24"/>
          <w:u w:val="single"/>
          <w:lang w:eastAsia="zh-CN"/>
        </w:rPr>
        <w:t>南部热源点一期工程可行性研究及项目申请</w:t>
      </w:r>
      <w:r>
        <w:rPr>
          <w:rFonts w:hint="eastAsia"/>
          <w:sz w:val="24"/>
          <w:lang w:eastAsia="zh-CN"/>
        </w:rPr>
        <w:t>项目公开自主比选，以本公司名义参与报价、合同执行并处理与之有关的其他事务，相关责任及后果由本公司承担。</w:t>
      </w:r>
    </w:p>
    <w:p>
      <w:pPr>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2021年  月   日</w:t>
      </w:r>
      <w:r>
        <w:rPr>
          <w:rFonts w:hint="eastAsia"/>
          <w:sz w:val="24"/>
          <w:lang w:eastAsia="zh-CN"/>
        </w:rPr>
        <w:t>生效，本授权书有效期至此次报价，以及合同履行完毕时止。</w:t>
      </w:r>
    </w:p>
    <w:p>
      <w:pPr>
        <w:ind w:firstLine="480" w:firstLineChars="200"/>
        <w:rPr>
          <w:sz w:val="24"/>
          <w:szCs w:val="24"/>
          <w:lang w:eastAsia="zh-CN"/>
        </w:rPr>
      </w:pPr>
      <w:r>
        <w:rPr>
          <w:rFonts w:hint="eastAsia"/>
          <w:sz w:val="24"/>
          <w:szCs w:val="24"/>
          <w:lang w:eastAsia="zh-CN"/>
        </w:rPr>
        <w:t>代理人无转委托权，特此委托。</w:t>
      </w:r>
    </w:p>
    <w:p>
      <w:pPr>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3" w:type="dxa"/>
          </w:tcPr>
          <w:p>
            <w:pPr>
              <w:rPr>
                <w:color w:val="000000"/>
                <w:szCs w:val="21"/>
                <w:lang w:eastAsia="zh-CN"/>
              </w:rPr>
            </w:pPr>
          </w:p>
          <w:p>
            <w:pPr>
              <w:jc w:val="center"/>
              <w:rPr>
                <w:color w:val="000000"/>
                <w:szCs w:val="21"/>
              </w:rPr>
            </w:pPr>
            <w:r>
              <w:rPr>
                <w:rFonts w:hint="eastAsia"/>
                <w:color w:val="000000"/>
                <w:szCs w:val="21"/>
              </w:rPr>
              <w:t>（正面）</w:t>
            </w:r>
          </w:p>
          <w:p>
            <w:pPr>
              <w:rPr>
                <w:color w:val="000000"/>
                <w:szCs w:val="21"/>
                <w:lang w:eastAsia="zh-CN"/>
              </w:rPr>
            </w:pPr>
          </w:p>
        </w:tc>
        <w:tc>
          <w:tcPr>
            <w:tcW w:w="4643" w:type="dxa"/>
          </w:tcPr>
          <w:p>
            <w:pPr>
              <w:rPr>
                <w:color w:val="000000"/>
                <w:szCs w:val="21"/>
                <w:lang w:eastAsia="zh-CN"/>
              </w:rPr>
            </w:pPr>
          </w:p>
          <w:p>
            <w:pPr>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ind w:firstLine="480" w:firstLineChars="200"/>
        <w:rPr>
          <w:color w:val="000000"/>
          <w:sz w:val="24"/>
          <w:szCs w:val="24"/>
          <w:lang w:eastAsia="zh-CN"/>
        </w:rPr>
      </w:pPr>
    </w:p>
    <w:p>
      <w:pPr>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ind w:firstLine="480" w:firstLineChars="200"/>
        <w:rPr>
          <w:color w:val="000000"/>
          <w:sz w:val="24"/>
          <w:szCs w:val="24"/>
          <w:lang w:eastAsia="zh-CN"/>
        </w:rPr>
      </w:pPr>
      <w:r>
        <w:rPr>
          <w:rFonts w:hint="eastAsia"/>
          <w:color w:val="000000"/>
          <w:sz w:val="24"/>
          <w:szCs w:val="24"/>
          <w:lang w:eastAsia="zh-CN"/>
        </w:rPr>
        <w:t>附：代理人身份证明</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643" w:type="dxa"/>
          </w:tcPr>
          <w:p>
            <w:pPr>
              <w:rPr>
                <w:color w:val="000000"/>
                <w:szCs w:val="21"/>
                <w:lang w:eastAsia="zh-CN"/>
              </w:rPr>
            </w:pPr>
          </w:p>
          <w:p>
            <w:pPr>
              <w:jc w:val="center"/>
              <w:rPr>
                <w:color w:val="000000"/>
                <w:szCs w:val="21"/>
              </w:rPr>
            </w:pPr>
            <w:r>
              <w:rPr>
                <w:rFonts w:hint="eastAsia"/>
                <w:color w:val="000000"/>
                <w:szCs w:val="21"/>
              </w:rPr>
              <w:t>（正面）</w:t>
            </w:r>
          </w:p>
          <w:p>
            <w:pPr>
              <w:rPr>
                <w:color w:val="000000"/>
                <w:szCs w:val="21"/>
                <w:lang w:eastAsia="zh-CN"/>
              </w:rPr>
            </w:pPr>
          </w:p>
        </w:tc>
        <w:tc>
          <w:tcPr>
            <w:tcW w:w="4643" w:type="dxa"/>
          </w:tcPr>
          <w:p>
            <w:pPr>
              <w:rPr>
                <w:color w:val="000000"/>
                <w:szCs w:val="21"/>
                <w:lang w:eastAsia="zh-CN"/>
              </w:rPr>
            </w:pPr>
          </w:p>
          <w:p>
            <w:pPr>
              <w:jc w:val="center"/>
              <w:rPr>
                <w:color w:val="000000"/>
                <w:szCs w:val="21"/>
              </w:rPr>
            </w:pPr>
            <w:r>
              <w:rPr>
                <w:rFonts w:hint="eastAsia"/>
                <w:color w:val="000000"/>
                <w:szCs w:val="21"/>
              </w:rPr>
              <w:t>（反面）</w:t>
            </w:r>
          </w:p>
        </w:tc>
      </w:tr>
    </w:tbl>
    <w:p>
      <w:pPr>
        <w:pStyle w:val="2"/>
        <w:rPr>
          <w:color w:val="0000FF"/>
          <w:kern w:val="2"/>
        </w:rPr>
      </w:pPr>
    </w:p>
    <w:p>
      <w:pPr>
        <w:pStyle w:val="2"/>
        <w:jc w:val="center"/>
        <w:rPr>
          <w:color w:val="0000FF"/>
          <w:kern w:val="2"/>
        </w:rPr>
      </w:pPr>
    </w:p>
    <w:p>
      <w:pPr>
        <w:spacing w:line="500" w:lineRule="exact"/>
        <w:jc w:val="both"/>
        <w:rPr>
          <w:sz w:val="24"/>
          <w:szCs w:val="24"/>
          <w:lang w:eastAsia="zh-CN"/>
        </w:rPr>
      </w:pPr>
      <w:r>
        <w:rPr>
          <w:rFonts w:hint="eastAsia"/>
          <w:sz w:val="24"/>
          <w:szCs w:val="24"/>
          <w:lang w:eastAsia="zh-CN"/>
        </w:rPr>
        <w:t>附件4、</w:t>
      </w:r>
    </w:p>
    <w:p>
      <w:pPr>
        <w:pStyle w:val="2"/>
      </w:pPr>
    </w:p>
    <w:p>
      <w:pPr>
        <w:pStyle w:val="2"/>
      </w:pPr>
    </w:p>
    <w:p>
      <w:pPr>
        <w:pStyle w:val="26"/>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我公司对</w:t>
      </w:r>
      <w:r>
        <w:rPr>
          <w:rFonts w:hint="eastAsia"/>
          <w:kern w:val="59"/>
          <w:sz w:val="24"/>
          <w:szCs w:val="24"/>
          <w:u w:val="single"/>
          <w:lang w:eastAsia="zh-CN"/>
        </w:rPr>
        <w:t>南部热源点一期工程可行性研究及项目申请</w:t>
      </w:r>
      <w:r>
        <w:rPr>
          <w:rFonts w:hint="eastAsia"/>
          <w:sz w:val="24"/>
          <w:lang w:eastAsia="zh-CN"/>
        </w:rPr>
        <w:t>项目招标文件中有关要求完全响应，完全满足供应商合格条件。如我公司能在本次中选，我公司郑重承诺如下：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rPr>
          <w:sz w:val="24"/>
          <w:szCs w:val="24"/>
          <w:lang w:eastAsia="zh-CN"/>
        </w:rPr>
      </w:pPr>
      <w:r>
        <w:rPr>
          <w:sz w:val="24"/>
          <w:szCs w:val="24"/>
          <w:lang w:eastAsia="zh-CN"/>
        </w:rPr>
        <w:t xml:space="preserve">               </w:t>
      </w:r>
    </w:p>
    <w:p>
      <w:pPr>
        <w:rPr>
          <w:color w:val="000000"/>
          <w:sz w:val="24"/>
          <w:szCs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26"/>
        <w:spacing w:beforeLines="0" w:afterLines="0" w:line="240" w:lineRule="auto"/>
        <w:ind w:firstLine="0" w:firstLineChars="0"/>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pStyle w:val="26"/>
        <w:spacing w:beforeLines="0" w:afterLines="0" w:line="240" w:lineRule="auto"/>
        <w:ind w:firstLine="413" w:firstLineChars="147"/>
        <w:rPr>
          <w:rFonts w:ascii="Times New Roman" w:hAnsi="Times New Roman" w:cs="Times New Roman"/>
          <w:b/>
          <w:lang w:eastAsia="zh-CN"/>
        </w:rPr>
      </w:pPr>
      <w:r>
        <w:rPr>
          <w:rFonts w:hint="eastAsia" w:ascii="Times New Roman" w:hAnsi="Times New Roman" w:cs="Times New Roman"/>
          <w:b/>
          <w:color w:val="FF0000"/>
          <w:lang w:eastAsia="zh-CN"/>
        </w:rPr>
        <w:t>（注：本报价单和附表需单独密封）</w:t>
      </w:r>
    </w:p>
    <w:p>
      <w:pPr>
        <w:ind w:firstLine="1970" w:firstLineChars="545"/>
        <w:rPr>
          <w:b/>
          <w:bCs/>
          <w:sz w:val="36"/>
          <w:lang w:eastAsia="zh-CN"/>
        </w:rPr>
      </w:pPr>
      <w:r>
        <w:rPr>
          <w:rFonts w:hint="eastAsia"/>
          <w:b/>
          <w:bCs/>
          <w:sz w:val="36"/>
          <w:lang w:eastAsia="zh-CN"/>
        </w:rPr>
        <w:t xml:space="preserve">   报  价  单</w:t>
      </w:r>
    </w:p>
    <w:p>
      <w:pPr>
        <w:ind w:firstLine="480" w:firstLineChars="200"/>
        <w:rPr>
          <w:sz w:val="24"/>
          <w:szCs w:val="24"/>
          <w:u w:val="single"/>
          <w:lang w:eastAsia="zh-CN"/>
        </w:rPr>
      </w:pPr>
      <w:r>
        <w:rPr>
          <w:rFonts w:hint="eastAsia"/>
          <w:sz w:val="24"/>
          <w:szCs w:val="24"/>
          <w:lang w:eastAsia="zh-CN"/>
        </w:rPr>
        <w:t>参选单位：</w:t>
      </w:r>
      <w:r>
        <w:rPr>
          <w:sz w:val="24"/>
          <w:szCs w:val="24"/>
          <w:lang w:eastAsia="zh-CN"/>
        </w:rPr>
        <w:t xml:space="preserve"> ____________________</w:t>
      </w:r>
    </w:p>
    <w:p>
      <w:pPr>
        <w:ind w:firstLine="480" w:firstLineChars="200"/>
        <w:rPr>
          <w:sz w:val="24"/>
          <w:szCs w:val="24"/>
          <w:u w:val="single"/>
          <w:lang w:eastAsia="zh-CN"/>
        </w:rPr>
      </w:pPr>
      <w:r>
        <w:rPr>
          <w:rFonts w:hint="eastAsia"/>
          <w:sz w:val="24"/>
          <w:szCs w:val="24"/>
          <w:lang w:eastAsia="zh-CN"/>
        </w:rPr>
        <w:t>项目名称：</w:t>
      </w:r>
      <w:r>
        <w:rPr>
          <w:rFonts w:hint="eastAsia"/>
          <w:sz w:val="24"/>
          <w:szCs w:val="24"/>
          <w:u w:val="single"/>
          <w:lang w:eastAsia="zh-CN"/>
        </w:rPr>
        <w:t>南部热源点一期工程</w:t>
      </w:r>
      <w:r>
        <w:rPr>
          <w:rFonts w:hint="eastAsia"/>
          <w:bCs/>
          <w:sz w:val="24"/>
          <w:szCs w:val="24"/>
          <w:u w:val="single"/>
          <w:lang w:eastAsia="zh-CN"/>
        </w:rPr>
        <w:t>可行性研究及项目申请发包</w:t>
      </w:r>
      <w:r>
        <w:rPr>
          <w:rFonts w:hint="eastAsia" w:asciiTheme="majorEastAsia" w:hAnsiTheme="majorEastAsia" w:eastAsiaTheme="majorEastAsia"/>
          <w:sz w:val="24"/>
          <w:szCs w:val="24"/>
          <w:u w:val="single"/>
          <w:lang w:eastAsia="zh-CN"/>
        </w:rPr>
        <w:t>项目</w:t>
      </w:r>
    </w:p>
    <w:p>
      <w:pPr>
        <w:ind w:firstLine="480" w:firstLineChars="200"/>
        <w:rPr>
          <w:sz w:val="24"/>
          <w:szCs w:val="24"/>
          <w:lang w:eastAsia="zh-CN"/>
        </w:rPr>
      </w:pPr>
      <w:r>
        <w:rPr>
          <w:rFonts w:hint="eastAsia"/>
          <w:sz w:val="24"/>
          <w:szCs w:val="24"/>
          <w:lang w:eastAsia="zh-CN"/>
        </w:rPr>
        <w:t>参选报价：</w:t>
      </w:r>
    </w:p>
    <w:p>
      <w:pPr>
        <w:ind w:firstLine="1320" w:firstLineChars="550"/>
        <w:rPr>
          <w:b/>
          <w:color w:val="00B050"/>
          <w:sz w:val="24"/>
          <w:szCs w:val="24"/>
          <w:u w:val="single"/>
          <w:lang w:eastAsia="zh-CN"/>
        </w:rPr>
      </w:pPr>
      <w:r>
        <w:rPr>
          <w:rFonts w:hint="eastAsia"/>
          <w:sz w:val="24"/>
          <w:szCs w:val="24"/>
          <w:lang w:eastAsia="zh-CN"/>
        </w:rPr>
        <w:t xml:space="preserve">报价: </w:t>
      </w:r>
      <w:r>
        <w:rPr>
          <w:rFonts w:hint="eastAsia"/>
          <w:sz w:val="24"/>
          <w:szCs w:val="24"/>
          <w:u w:val="single"/>
          <w:lang w:eastAsia="zh-CN"/>
        </w:rPr>
        <w:t xml:space="preserve">         </w:t>
      </w:r>
      <w:r>
        <w:rPr>
          <w:rFonts w:hint="eastAsia"/>
          <w:sz w:val="24"/>
          <w:szCs w:val="24"/>
          <w:lang w:eastAsia="zh-CN"/>
        </w:rPr>
        <w:t>元 （见附表）</w:t>
      </w:r>
    </w:p>
    <w:p>
      <w:pPr>
        <w:pStyle w:val="2"/>
        <w:spacing w:line="360" w:lineRule="auto"/>
        <w:rPr>
          <w:sz w:val="24"/>
          <w:szCs w:val="24"/>
        </w:rPr>
      </w:pPr>
      <w:r>
        <w:rPr>
          <w:rFonts w:hint="eastAsia"/>
          <w:sz w:val="24"/>
          <w:szCs w:val="24"/>
        </w:rPr>
        <w:t xml:space="preserve">      注： 1、价格为含税价，税率：</w:t>
      </w:r>
      <w:r>
        <w:rPr>
          <w:rFonts w:hint="eastAsia"/>
          <w:sz w:val="24"/>
          <w:szCs w:val="24"/>
          <w:u w:val="single"/>
        </w:rPr>
        <w:t xml:space="preserve">  6  %  </w:t>
      </w:r>
      <w:r>
        <w:rPr>
          <w:rFonts w:hint="eastAsia"/>
          <w:sz w:val="24"/>
          <w:szCs w:val="24"/>
        </w:rPr>
        <w:t xml:space="preserve"> ；</w:t>
      </w:r>
    </w:p>
    <w:p>
      <w:pPr>
        <w:pStyle w:val="9"/>
        <w:rPr>
          <w:sz w:val="24"/>
          <w:szCs w:val="24"/>
          <w:lang w:eastAsia="zh-CN"/>
        </w:rPr>
      </w:pPr>
      <w:r>
        <w:rPr>
          <w:rFonts w:hint="eastAsia"/>
          <w:sz w:val="24"/>
          <w:szCs w:val="24"/>
          <w:lang w:eastAsia="zh-CN"/>
        </w:rPr>
        <w:t xml:space="preserve">           2、付款方式：按照比选文件中要求执行</w:t>
      </w:r>
    </w:p>
    <w:p>
      <w:pPr>
        <w:pStyle w:val="9"/>
        <w:ind w:firstLine="720" w:firstLineChars="3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1）预付款：无；</w:t>
      </w:r>
    </w:p>
    <w:p>
      <w:pPr>
        <w:pStyle w:val="9"/>
        <w:ind w:firstLine="720" w:firstLineChars="3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2）进度款：工作完成提交</w:t>
      </w:r>
      <w:r>
        <w:rPr>
          <w:rFonts w:hint="eastAsia"/>
          <w:sz w:val="24"/>
          <w:szCs w:val="24"/>
          <w:lang w:eastAsia="zh-CN"/>
        </w:rPr>
        <w:t>可行性研究初稿</w:t>
      </w:r>
      <w:r>
        <w:rPr>
          <w:rFonts w:hint="eastAsia" w:asciiTheme="minorEastAsia" w:hAnsiTheme="minorEastAsia" w:eastAsiaTheme="minorEastAsia"/>
          <w:sz w:val="24"/>
          <w:szCs w:val="24"/>
          <w:lang w:eastAsia="zh-CN"/>
        </w:rPr>
        <w:t>，并经甲方验收合格后，甲方收到乙方全额增值税专用发票15个工作日内，支付合同总价的80%作为进度款。</w:t>
      </w:r>
    </w:p>
    <w:p>
      <w:pPr>
        <w:pStyle w:val="2"/>
        <w:spacing w:line="360" w:lineRule="auto"/>
        <w:ind w:firstLine="720" w:firstLineChars="300"/>
        <w:rPr>
          <w:sz w:val="24"/>
          <w:szCs w:val="24"/>
        </w:rPr>
      </w:pPr>
      <w:r>
        <w:rPr>
          <w:rFonts w:hint="eastAsia" w:asciiTheme="minorEastAsia" w:hAnsiTheme="minorEastAsia" w:eastAsiaTheme="minorEastAsia"/>
          <w:sz w:val="24"/>
          <w:szCs w:val="24"/>
        </w:rPr>
        <w:t>3）验收款：</w:t>
      </w:r>
      <w:r>
        <w:rPr>
          <w:rFonts w:hint="eastAsia"/>
          <w:sz w:val="24"/>
          <w:szCs w:val="24"/>
        </w:rPr>
        <w:t>专家评审后15天内提供可行性研究文件正式文件及申请报告书，甲方支付合同总价的20%作为验收款；</w:t>
      </w:r>
    </w:p>
    <w:p>
      <w:pPr>
        <w:pStyle w:val="2"/>
        <w:spacing w:line="360" w:lineRule="auto"/>
        <w:rPr>
          <w:sz w:val="24"/>
          <w:szCs w:val="24"/>
          <w:u w:val="single"/>
        </w:rPr>
      </w:pPr>
      <w:r>
        <w:rPr>
          <w:rFonts w:hint="eastAsia"/>
          <w:sz w:val="24"/>
          <w:szCs w:val="24"/>
        </w:rPr>
        <w:t xml:space="preserve">           3、服务期限：</w:t>
      </w:r>
      <w:r>
        <w:rPr>
          <w:rFonts w:hint="eastAsia"/>
          <w:sz w:val="24"/>
          <w:szCs w:val="24"/>
          <w:u w:val="single"/>
        </w:rPr>
        <w:t xml:space="preserve">                 </w:t>
      </w: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pStyle w:val="2"/>
        <w:spacing w:line="360" w:lineRule="auto"/>
        <w:ind w:firstLine="451" w:firstLineChars="188"/>
        <w:jc w:val="center"/>
        <w:rPr>
          <w:rFonts w:hAnsi="宋体" w:cs="宋体"/>
          <w:kern w:val="2"/>
          <w:sz w:val="24"/>
          <w:szCs w:val="24"/>
        </w:rPr>
      </w:pPr>
      <w:r>
        <w:rPr>
          <w:rFonts w:hint="eastAsia" w:hAnsi="宋体" w:cs="宋体"/>
          <w:kern w:val="2"/>
          <w:sz w:val="24"/>
          <w:szCs w:val="24"/>
        </w:rPr>
        <w:t>参选人：</w:t>
      </w:r>
      <w:r>
        <w:rPr>
          <w:rFonts w:hint="eastAsia" w:hAnsi="宋体" w:cs="宋体"/>
          <w:color w:val="00B050"/>
          <w:kern w:val="2"/>
          <w:sz w:val="24"/>
          <w:szCs w:val="24"/>
        </w:rPr>
        <w:t>（盖单位公章）</w:t>
      </w:r>
    </w:p>
    <w:p>
      <w:pPr>
        <w:pStyle w:val="2"/>
        <w:spacing w:line="360" w:lineRule="auto"/>
        <w:ind w:firstLine="451" w:firstLineChars="188"/>
        <w:jc w:val="center"/>
        <w:rPr>
          <w:rFonts w:hAnsi="宋体" w:cs="宋体"/>
          <w:kern w:val="2"/>
          <w:sz w:val="28"/>
          <w:szCs w:val="28"/>
        </w:rPr>
      </w:pPr>
      <w:r>
        <w:rPr>
          <w:rFonts w:hint="eastAsia" w:hAnsi="宋体" w:cs="宋体"/>
          <w:kern w:val="2"/>
          <w:sz w:val="24"/>
          <w:szCs w:val="24"/>
        </w:rPr>
        <w:t>年  月  日</w:t>
      </w:r>
    </w:p>
    <w:bookmarkEnd w:id="9"/>
    <w:p>
      <w:pPr>
        <w:pStyle w:val="7"/>
        <w:spacing w:line="360" w:lineRule="atLeast"/>
        <w:ind w:left="218"/>
        <w:rPr>
          <w:sz w:val="28"/>
          <w:szCs w:val="28"/>
          <w:lang w:eastAsia="zh-CN"/>
        </w:rPr>
      </w:pPr>
      <w:r>
        <w:rPr>
          <w:rFonts w:hint="eastAsia"/>
          <w:sz w:val="28"/>
          <w:szCs w:val="28"/>
          <w:lang w:eastAsia="zh-CN"/>
        </w:rPr>
        <w:t>附表：</w:t>
      </w:r>
    </w:p>
    <w:tbl>
      <w:tblPr>
        <w:tblStyle w:val="17"/>
        <w:tblW w:w="0" w:type="auto"/>
        <w:tblInd w:w="2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1"/>
        <w:gridCol w:w="3260"/>
        <w:gridCol w:w="1128"/>
        <w:gridCol w:w="1709"/>
        <w:gridCol w:w="17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41" w:type="dxa"/>
            <w:vAlign w:val="center"/>
          </w:tcPr>
          <w:p>
            <w:pPr>
              <w:pStyle w:val="7"/>
              <w:spacing w:line="360" w:lineRule="atLeast"/>
              <w:jc w:val="center"/>
              <w:rPr>
                <w:lang w:eastAsia="zh-CN"/>
              </w:rPr>
            </w:pPr>
            <w:r>
              <w:rPr>
                <w:rFonts w:hint="eastAsia"/>
                <w:lang w:eastAsia="zh-CN"/>
              </w:rPr>
              <w:t>序号</w:t>
            </w:r>
          </w:p>
        </w:tc>
        <w:tc>
          <w:tcPr>
            <w:tcW w:w="3260" w:type="dxa"/>
            <w:vAlign w:val="center"/>
          </w:tcPr>
          <w:p>
            <w:pPr>
              <w:pStyle w:val="7"/>
              <w:spacing w:line="360" w:lineRule="atLeast"/>
              <w:jc w:val="center"/>
              <w:rPr>
                <w:lang w:eastAsia="zh-CN"/>
              </w:rPr>
            </w:pPr>
            <w:r>
              <w:rPr>
                <w:rFonts w:hint="eastAsia"/>
                <w:lang w:eastAsia="zh-CN"/>
              </w:rPr>
              <w:t>名称</w:t>
            </w:r>
          </w:p>
        </w:tc>
        <w:tc>
          <w:tcPr>
            <w:tcW w:w="1128" w:type="dxa"/>
            <w:vAlign w:val="center"/>
          </w:tcPr>
          <w:p>
            <w:pPr>
              <w:pStyle w:val="7"/>
              <w:spacing w:line="360" w:lineRule="atLeast"/>
              <w:jc w:val="center"/>
              <w:rPr>
                <w:lang w:eastAsia="zh-CN"/>
              </w:rPr>
            </w:pPr>
            <w:r>
              <w:rPr>
                <w:rFonts w:hint="eastAsia"/>
                <w:lang w:eastAsia="zh-CN"/>
              </w:rPr>
              <w:t>数量</w:t>
            </w:r>
          </w:p>
        </w:tc>
        <w:tc>
          <w:tcPr>
            <w:tcW w:w="1709" w:type="dxa"/>
            <w:vAlign w:val="center"/>
          </w:tcPr>
          <w:p>
            <w:pPr>
              <w:pStyle w:val="7"/>
              <w:spacing w:line="360" w:lineRule="atLeast"/>
              <w:jc w:val="center"/>
              <w:rPr>
                <w:lang w:eastAsia="zh-CN"/>
              </w:rPr>
            </w:pPr>
            <w:r>
              <w:rPr>
                <w:rFonts w:hint="eastAsia"/>
                <w:lang w:eastAsia="zh-CN"/>
              </w:rPr>
              <w:t>价格（元）</w:t>
            </w:r>
          </w:p>
        </w:tc>
        <w:tc>
          <w:tcPr>
            <w:tcW w:w="1710" w:type="dxa"/>
            <w:vAlign w:val="center"/>
          </w:tcPr>
          <w:p>
            <w:pPr>
              <w:pStyle w:val="7"/>
              <w:spacing w:line="360" w:lineRule="atLeast"/>
              <w:jc w:val="center"/>
              <w:rPr>
                <w:lang w:eastAsia="zh-CN"/>
              </w:rPr>
            </w:pPr>
            <w:r>
              <w:rPr>
                <w:rFonts w:hint="eastAsia"/>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vAlign w:val="center"/>
          </w:tcPr>
          <w:p>
            <w:pPr>
              <w:pStyle w:val="7"/>
              <w:spacing w:line="360" w:lineRule="atLeast"/>
              <w:jc w:val="center"/>
              <w:rPr>
                <w:lang w:eastAsia="zh-CN"/>
              </w:rPr>
            </w:pPr>
            <w:r>
              <w:rPr>
                <w:rFonts w:hint="eastAsia"/>
                <w:lang w:eastAsia="zh-CN"/>
              </w:rPr>
              <w:t>1</w:t>
            </w:r>
          </w:p>
        </w:tc>
        <w:tc>
          <w:tcPr>
            <w:tcW w:w="3260" w:type="dxa"/>
            <w:vAlign w:val="center"/>
          </w:tcPr>
          <w:p>
            <w:pPr>
              <w:pStyle w:val="7"/>
              <w:spacing w:line="360" w:lineRule="atLeast"/>
              <w:jc w:val="center"/>
              <w:rPr>
                <w:rFonts w:asciiTheme="majorEastAsia" w:hAnsiTheme="majorEastAsia" w:eastAsiaTheme="majorEastAsia"/>
                <w:lang w:eastAsia="zh-CN"/>
              </w:rPr>
            </w:pPr>
            <w:r>
              <w:rPr>
                <w:rFonts w:hint="eastAsia" w:asciiTheme="majorEastAsia" w:hAnsiTheme="majorEastAsia" w:eastAsiaTheme="majorEastAsia"/>
                <w:shd w:val="clear" w:color="auto" w:fill="FFFFFF"/>
                <w:lang w:eastAsia="zh-CN"/>
              </w:rPr>
              <w:t>南部热源点一期工程可行性研究报告</w:t>
            </w:r>
          </w:p>
        </w:tc>
        <w:tc>
          <w:tcPr>
            <w:tcW w:w="1128" w:type="dxa"/>
            <w:vAlign w:val="center"/>
          </w:tcPr>
          <w:p>
            <w:pPr>
              <w:pStyle w:val="7"/>
              <w:spacing w:line="360" w:lineRule="atLeast"/>
              <w:jc w:val="center"/>
              <w:rPr>
                <w:lang w:eastAsia="zh-CN"/>
              </w:rPr>
            </w:pPr>
            <w:r>
              <w:rPr>
                <w:rFonts w:hint="eastAsia"/>
                <w:lang w:eastAsia="zh-CN"/>
              </w:rPr>
              <w:t>1</w:t>
            </w:r>
          </w:p>
        </w:tc>
        <w:tc>
          <w:tcPr>
            <w:tcW w:w="1709" w:type="dxa"/>
            <w:vAlign w:val="center"/>
          </w:tcPr>
          <w:p>
            <w:pPr>
              <w:pStyle w:val="7"/>
              <w:spacing w:line="360" w:lineRule="atLeast"/>
              <w:jc w:val="center"/>
              <w:rPr>
                <w:lang w:eastAsia="zh-CN"/>
              </w:rPr>
            </w:pPr>
          </w:p>
        </w:tc>
        <w:tc>
          <w:tcPr>
            <w:tcW w:w="1710" w:type="dxa"/>
            <w:vAlign w:val="center"/>
          </w:tcPr>
          <w:p>
            <w:pPr>
              <w:pStyle w:val="7"/>
              <w:spacing w:line="360" w:lineRule="atLeast"/>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vAlign w:val="center"/>
          </w:tcPr>
          <w:p>
            <w:pPr>
              <w:pStyle w:val="7"/>
              <w:spacing w:line="360" w:lineRule="atLeast"/>
              <w:jc w:val="center"/>
              <w:rPr>
                <w:lang w:eastAsia="zh-CN"/>
              </w:rPr>
            </w:pPr>
            <w:r>
              <w:rPr>
                <w:rFonts w:hint="eastAsia"/>
                <w:lang w:eastAsia="zh-CN"/>
              </w:rPr>
              <w:t>2</w:t>
            </w:r>
          </w:p>
        </w:tc>
        <w:tc>
          <w:tcPr>
            <w:tcW w:w="3260" w:type="dxa"/>
            <w:vAlign w:val="center"/>
          </w:tcPr>
          <w:p>
            <w:pPr>
              <w:pStyle w:val="7"/>
              <w:spacing w:line="360" w:lineRule="atLeast"/>
              <w:jc w:val="center"/>
              <w:rPr>
                <w:rFonts w:asciiTheme="majorEastAsia" w:hAnsiTheme="majorEastAsia" w:eastAsiaTheme="majorEastAsia"/>
                <w:lang w:eastAsia="zh-CN"/>
              </w:rPr>
            </w:pPr>
            <w:r>
              <w:rPr>
                <w:rFonts w:hint="eastAsia" w:asciiTheme="majorEastAsia" w:hAnsiTheme="majorEastAsia" w:eastAsiaTheme="majorEastAsia"/>
                <w:shd w:val="clear" w:color="auto" w:fill="FFFFFF"/>
                <w:lang w:eastAsia="zh-CN"/>
              </w:rPr>
              <w:t>南部热源点一期工程项目申请报告</w:t>
            </w:r>
          </w:p>
        </w:tc>
        <w:tc>
          <w:tcPr>
            <w:tcW w:w="1128" w:type="dxa"/>
            <w:vAlign w:val="center"/>
          </w:tcPr>
          <w:p>
            <w:pPr>
              <w:pStyle w:val="7"/>
              <w:spacing w:line="360" w:lineRule="atLeast"/>
              <w:jc w:val="center"/>
              <w:rPr>
                <w:lang w:eastAsia="zh-CN"/>
              </w:rPr>
            </w:pPr>
            <w:r>
              <w:rPr>
                <w:rFonts w:hint="eastAsia"/>
                <w:lang w:eastAsia="zh-CN"/>
              </w:rPr>
              <w:t>1</w:t>
            </w:r>
          </w:p>
        </w:tc>
        <w:tc>
          <w:tcPr>
            <w:tcW w:w="1709" w:type="dxa"/>
            <w:vAlign w:val="center"/>
          </w:tcPr>
          <w:p>
            <w:pPr>
              <w:pStyle w:val="7"/>
              <w:spacing w:line="360" w:lineRule="atLeast"/>
              <w:jc w:val="center"/>
              <w:rPr>
                <w:lang w:eastAsia="zh-CN"/>
              </w:rPr>
            </w:pPr>
          </w:p>
        </w:tc>
        <w:tc>
          <w:tcPr>
            <w:tcW w:w="1710" w:type="dxa"/>
            <w:vAlign w:val="center"/>
          </w:tcPr>
          <w:p>
            <w:pPr>
              <w:pStyle w:val="7"/>
              <w:spacing w:line="360" w:lineRule="atLeast"/>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741" w:type="dxa"/>
            <w:vAlign w:val="center"/>
          </w:tcPr>
          <w:p>
            <w:pPr>
              <w:pStyle w:val="7"/>
              <w:spacing w:line="360" w:lineRule="atLeast"/>
              <w:jc w:val="center"/>
              <w:rPr>
                <w:lang w:eastAsia="zh-CN"/>
              </w:rPr>
            </w:pPr>
          </w:p>
        </w:tc>
        <w:tc>
          <w:tcPr>
            <w:tcW w:w="3260" w:type="dxa"/>
            <w:vAlign w:val="center"/>
          </w:tcPr>
          <w:p>
            <w:pPr>
              <w:pStyle w:val="7"/>
              <w:spacing w:line="360" w:lineRule="atLeast"/>
              <w:jc w:val="center"/>
              <w:rPr>
                <w:lang w:eastAsia="zh-CN"/>
              </w:rPr>
            </w:pPr>
            <w:r>
              <w:rPr>
                <w:rFonts w:hint="eastAsia"/>
                <w:lang w:eastAsia="zh-CN"/>
              </w:rPr>
              <w:t>合计：</w:t>
            </w:r>
          </w:p>
        </w:tc>
        <w:tc>
          <w:tcPr>
            <w:tcW w:w="4547" w:type="dxa"/>
            <w:gridSpan w:val="3"/>
            <w:vAlign w:val="center"/>
          </w:tcPr>
          <w:p>
            <w:pPr>
              <w:pStyle w:val="7"/>
              <w:spacing w:line="360" w:lineRule="atLeast"/>
              <w:jc w:val="center"/>
              <w:rPr>
                <w:lang w:eastAsia="zh-CN"/>
              </w:rPr>
            </w:pPr>
          </w:p>
        </w:tc>
      </w:tr>
    </w:tbl>
    <w:p>
      <w:pPr>
        <w:pStyle w:val="7"/>
        <w:spacing w:line="360" w:lineRule="atLeast"/>
        <w:ind w:left="218"/>
        <w:rPr>
          <w:sz w:val="28"/>
          <w:szCs w:val="28"/>
          <w:lang w:eastAsia="zh-CN"/>
        </w:rPr>
      </w:pPr>
    </w:p>
    <w:sectPr>
      <w:footerReference r:id="rId5"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Helvetica">
    <w:altName w:val="Arial"/>
    <w:panose1 w:val="020B0604020202020204"/>
    <w:charset w:val="00"/>
    <w:family w:val="swiss"/>
    <w:pitch w:val="default"/>
    <w:sig w:usb0="00000000" w:usb1="00000000" w:usb2="00000000" w:usb3="00000000" w:csb0="0000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89266"/>
      <w:docPartObj>
        <w:docPartGallery w:val="AutoText"/>
      </w:docPartObj>
    </w:sdtPr>
    <w:sdtContent>
      <w:sdt>
        <w:sdtPr>
          <w:id w:val="98381352"/>
          <w:docPartObj>
            <w:docPartGallery w:val="AutoText"/>
          </w:docPartObj>
        </w:sdtPr>
        <w:sdtContent>
          <w:p>
            <w:pPr>
              <w:pStyle w:val="11"/>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14</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48</w:t>
            </w:r>
            <w:r>
              <w:rPr>
                <w:b/>
                <w:sz w:val="24"/>
                <w:szCs w:val="24"/>
              </w:rPr>
              <w:fldChar w:fldCharType="end"/>
            </w:r>
          </w:p>
        </w:sdtContent>
      </w:sdt>
    </w:sdtContent>
  </w:sdt>
  <w:p>
    <w:pPr>
      <w:pStyle w:val="7"/>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8240;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784711"/>
      <w:docPartObj>
        <w:docPartGallery w:val="AutoText"/>
      </w:docPartObj>
    </w:sdtPr>
    <w:sdtContent>
      <w:sdt>
        <w:sdtPr>
          <w:id w:val="10784710"/>
          <w:docPartObj>
            <w:docPartGallery w:val="AutoText"/>
          </w:docPartObj>
        </w:sdtPr>
        <w:sdtContent>
          <w:p>
            <w:pPr>
              <w:pStyle w:val="11"/>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35</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48</w:t>
            </w:r>
            <w:r>
              <w:rPr>
                <w:b/>
                <w:sz w:val="24"/>
                <w:szCs w:val="24"/>
              </w:rPr>
              <w:fldChar w:fldCharType="end"/>
            </w:r>
          </w:p>
        </w:sdtContent>
      </w:sdt>
    </w:sdtContent>
  </w:sdt>
  <w:p>
    <w:pPr>
      <w:pStyle w:val="7"/>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multilevel"/>
    <w:tmpl w:val="0000000C"/>
    <w:lvl w:ilvl="0" w:tentative="0">
      <w:start w:val="1"/>
      <w:numFmt w:val="decimalEnclosedCircle"/>
      <w:lvlText w:val="%1"/>
      <w:lvlJc w:val="left"/>
      <w:pPr>
        <w:ind w:left="600" w:hanging="360"/>
      </w:pPr>
      <w:rPr>
        <w:rFonts w:hint="default" w:cs="Times New Roman"/>
      </w:rPr>
    </w:lvl>
    <w:lvl w:ilvl="1" w:tentative="0">
      <w:start w:val="1"/>
      <w:numFmt w:val="lowerLetter"/>
      <w:lvlText w:val="%2)"/>
      <w:lvlJc w:val="left"/>
      <w:pPr>
        <w:ind w:left="1080" w:hanging="420"/>
      </w:pPr>
      <w:rPr>
        <w:rFonts w:cs="Times New Roman"/>
      </w:rPr>
    </w:lvl>
    <w:lvl w:ilvl="2" w:tentative="0">
      <w:start w:val="1"/>
      <w:numFmt w:val="lowerRoman"/>
      <w:lvlText w:val="%3."/>
      <w:lvlJc w:val="right"/>
      <w:pPr>
        <w:ind w:left="1500" w:hanging="420"/>
      </w:pPr>
      <w:rPr>
        <w:rFonts w:cs="Times New Roman"/>
      </w:rPr>
    </w:lvl>
    <w:lvl w:ilvl="3" w:tentative="0">
      <w:start w:val="1"/>
      <w:numFmt w:val="decimal"/>
      <w:lvlText w:val="%4."/>
      <w:lvlJc w:val="left"/>
      <w:pPr>
        <w:ind w:left="1920" w:hanging="420"/>
      </w:pPr>
      <w:rPr>
        <w:rFonts w:cs="Times New Roman"/>
      </w:rPr>
    </w:lvl>
    <w:lvl w:ilvl="4" w:tentative="0">
      <w:start w:val="1"/>
      <w:numFmt w:val="lowerLetter"/>
      <w:lvlText w:val="%5)"/>
      <w:lvlJc w:val="left"/>
      <w:pPr>
        <w:ind w:left="2340" w:hanging="420"/>
      </w:pPr>
      <w:rPr>
        <w:rFonts w:cs="Times New Roman"/>
      </w:rPr>
    </w:lvl>
    <w:lvl w:ilvl="5" w:tentative="0">
      <w:start w:val="1"/>
      <w:numFmt w:val="lowerRoman"/>
      <w:lvlText w:val="%6."/>
      <w:lvlJc w:val="right"/>
      <w:pPr>
        <w:ind w:left="2760" w:hanging="420"/>
      </w:pPr>
      <w:rPr>
        <w:rFonts w:cs="Times New Roman"/>
      </w:rPr>
    </w:lvl>
    <w:lvl w:ilvl="6" w:tentative="0">
      <w:start w:val="1"/>
      <w:numFmt w:val="decimal"/>
      <w:lvlText w:val="%7."/>
      <w:lvlJc w:val="left"/>
      <w:pPr>
        <w:ind w:left="3180" w:hanging="420"/>
      </w:pPr>
      <w:rPr>
        <w:rFonts w:cs="Times New Roman"/>
      </w:rPr>
    </w:lvl>
    <w:lvl w:ilvl="7" w:tentative="0">
      <w:start w:val="1"/>
      <w:numFmt w:val="lowerLetter"/>
      <w:lvlText w:val="%8)"/>
      <w:lvlJc w:val="left"/>
      <w:pPr>
        <w:ind w:left="3600" w:hanging="420"/>
      </w:pPr>
      <w:rPr>
        <w:rFonts w:cs="Times New Roman"/>
      </w:rPr>
    </w:lvl>
    <w:lvl w:ilvl="8" w:tentative="0">
      <w:start w:val="1"/>
      <w:numFmt w:val="lowerRoman"/>
      <w:lvlText w:val="%9."/>
      <w:lvlJc w:val="right"/>
      <w:pPr>
        <w:ind w:left="4020" w:hanging="420"/>
      </w:pPr>
      <w:rPr>
        <w:rFonts w:cs="Times New Roman"/>
      </w:rPr>
    </w:lvl>
  </w:abstractNum>
  <w:abstractNum w:abstractNumId="1">
    <w:nsid w:val="11396E37"/>
    <w:multiLevelType w:val="multilevel"/>
    <w:tmpl w:val="11396E37"/>
    <w:lvl w:ilvl="0" w:tentative="0">
      <w:start w:val="1"/>
      <w:numFmt w:val="decimal"/>
      <w:lvlText w:val="%1)"/>
      <w:lvlJc w:val="left"/>
      <w:pPr>
        <w:ind w:left="360" w:hanging="36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8104BC9"/>
    <w:multiLevelType w:val="multilevel"/>
    <w:tmpl w:val="18104BC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6BC2B6D"/>
    <w:multiLevelType w:val="multilevel"/>
    <w:tmpl w:val="26BC2B6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82A0B62"/>
    <w:multiLevelType w:val="multilevel"/>
    <w:tmpl w:val="282A0B62"/>
    <w:lvl w:ilvl="0" w:tentative="0">
      <w:start w:val="4"/>
      <w:numFmt w:val="japaneseCounting"/>
      <w:lvlText w:val="%1、"/>
      <w:lvlJc w:val="left"/>
      <w:pPr>
        <w:ind w:left="1310" w:hanging="720"/>
      </w:pPr>
      <w:rPr>
        <w:rFonts w:hint="default"/>
      </w:rPr>
    </w:lvl>
    <w:lvl w:ilvl="1" w:tentative="0">
      <w:start w:val="1"/>
      <w:numFmt w:val="lowerLetter"/>
      <w:lvlText w:val="%2)"/>
      <w:lvlJc w:val="left"/>
      <w:pPr>
        <w:ind w:left="1430" w:hanging="420"/>
      </w:pPr>
    </w:lvl>
    <w:lvl w:ilvl="2" w:tentative="0">
      <w:start w:val="1"/>
      <w:numFmt w:val="lowerRoman"/>
      <w:lvlText w:val="%3."/>
      <w:lvlJc w:val="right"/>
      <w:pPr>
        <w:ind w:left="1850" w:hanging="420"/>
      </w:pPr>
    </w:lvl>
    <w:lvl w:ilvl="3" w:tentative="0">
      <w:start w:val="1"/>
      <w:numFmt w:val="decimal"/>
      <w:lvlText w:val="%4."/>
      <w:lvlJc w:val="left"/>
      <w:pPr>
        <w:ind w:left="2270" w:hanging="420"/>
      </w:pPr>
    </w:lvl>
    <w:lvl w:ilvl="4" w:tentative="0">
      <w:start w:val="1"/>
      <w:numFmt w:val="lowerLetter"/>
      <w:lvlText w:val="%5)"/>
      <w:lvlJc w:val="left"/>
      <w:pPr>
        <w:ind w:left="2690" w:hanging="420"/>
      </w:pPr>
    </w:lvl>
    <w:lvl w:ilvl="5" w:tentative="0">
      <w:start w:val="1"/>
      <w:numFmt w:val="lowerRoman"/>
      <w:lvlText w:val="%6."/>
      <w:lvlJc w:val="right"/>
      <w:pPr>
        <w:ind w:left="3110" w:hanging="420"/>
      </w:pPr>
    </w:lvl>
    <w:lvl w:ilvl="6" w:tentative="0">
      <w:start w:val="1"/>
      <w:numFmt w:val="decimal"/>
      <w:lvlText w:val="%7."/>
      <w:lvlJc w:val="left"/>
      <w:pPr>
        <w:ind w:left="3530" w:hanging="420"/>
      </w:pPr>
    </w:lvl>
    <w:lvl w:ilvl="7" w:tentative="0">
      <w:start w:val="1"/>
      <w:numFmt w:val="lowerLetter"/>
      <w:lvlText w:val="%8)"/>
      <w:lvlJc w:val="left"/>
      <w:pPr>
        <w:ind w:left="3950" w:hanging="420"/>
      </w:pPr>
    </w:lvl>
    <w:lvl w:ilvl="8" w:tentative="0">
      <w:start w:val="1"/>
      <w:numFmt w:val="lowerRoman"/>
      <w:lvlText w:val="%9."/>
      <w:lvlJc w:val="right"/>
      <w:pPr>
        <w:ind w:left="4370" w:hanging="420"/>
      </w:pPr>
    </w:lvl>
  </w:abstractNum>
  <w:abstractNum w:abstractNumId="5">
    <w:nsid w:val="2B033FA2"/>
    <w:multiLevelType w:val="multilevel"/>
    <w:tmpl w:val="2B033FA2"/>
    <w:lvl w:ilvl="0" w:tentative="0">
      <w:start w:val="1"/>
      <w:numFmt w:val="decimal"/>
      <w:lvlText w:val="%1、"/>
      <w:lvlJc w:val="left"/>
      <w:pPr>
        <w:ind w:left="360" w:hanging="360"/>
      </w:pPr>
      <w:rPr>
        <w:rFonts w:hint="default"/>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C771C7D"/>
    <w:multiLevelType w:val="multilevel"/>
    <w:tmpl w:val="2C771C7D"/>
    <w:lvl w:ilvl="0" w:tentative="0">
      <w:start w:val="1"/>
      <w:numFmt w:val="chineseCountingThousand"/>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46C40BF6"/>
    <w:multiLevelType w:val="multilevel"/>
    <w:tmpl w:val="46C40BF6"/>
    <w:lvl w:ilvl="0" w:tentative="0">
      <w:start w:val="1"/>
      <w:numFmt w:val="decimal"/>
      <w:lvlText w:val="%1."/>
      <w:lvlJc w:val="left"/>
      <w:pPr>
        <w:ind w:left="420" w:hanging="420"/>
      </w:pPr>
    </w:lvl>
    <w:lvl w:ilvl="1" w:tentative="0">
      <w:start w:val="1"/>
      <w:numFmt w:val="decimal"/>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668549AA"/>
    <w:multiLevelType w:val="multilevel"/>
    <w:tmpl w:val="668549AA"/>
    <w:lvl w:ilvl="0" w:tentative="0">
      <w:start w:val="1"/>
      <w:numFmt w:val="decimal"/>
      <w:lvlText w:val="%1)"/>
      <w:lvlJc w:val="left"/>
      <w:pPr>
        <w:ind w:left="720" w:hanging="360"/>
      </w:pPr>
      <w:rPr>
        <w:rFonts w:hint="eastAsia"/>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9">
    <w:nsid w:val="701D4C7A"/>
    <w:multiLevelType w:val="multilevel"/>
    <w:tmpl w:val="701D4C7A"/>
    <w:lvl w:ilvl="0" w:tentative="0">
      <w:start w:val="1"/>
      <w:numFmt w:val="decimal"/>
      <w:lvlText w:val="%1)"/>
      <w:lvlJc w:val="left"/>
      <w:pPr>
        <w:ind w:left="900" w:hanging="420"/>
      </w:pPr>
    </w:lvl>
    <w:lvl w:ilvl="1" w:tentative="0">
      <w:start w:val="1"/>
      <w:numFmt w:val="decimal"/>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0">
    <w:nsid w:val="714A698A"/>
    <w:multiLevelType w:val="multilevel"/>
    <w:tmpl w:val="714A698A"/>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4"/>
  </w:num>
  <w:num w:numId="2">
    <w:abstractNumId w:val="6"/>
  </w:num>
  <w:num w:numId="3">
    <w:abstractNumId w:val="3"/>
  </w:num>
  <w:num w:numId="4">
    <w:abstractNumId w:val="2"/>
  </w:num>
  <w:num w:numId="5">
    <w:abstractNumId w:val="8"/>
  </w:num>
  <w:num w:numId="6">
    <w:abstractNumId w:val="7"/>
  </w:num>
  <w:num w:numId="7">
    <w:abstractNumId w:val="1"/>
  </w:num>
  <w:num w:numId="8">
    <w:abstractNumId w:val="9"/>
  </w:num>
  <w:num w:numId="9">
    <w:abstractNumId w:val="0"/>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hdrShapeDefaults>
    <o:shapelayout v:ext="edit">
      <o:idmap v:ext="edit" data="2,3"/>
    </o:shapelayout>
  </w:hdrShapeDefaults>
  <w:compat>
    <w:ulTrailSpace/>
    <w:useFELayout/>
    <w:compatSetting w:name="compatibilityMode" w:uri="http://schemas.microsoft.com/office/word" w:val="12"/>
  </w:compat>
  <w:rsids>
    <w:rsidRoot w:val="00967702"/>
    <w:rsid w:val="00000DD4"/>
    <w:rsid w:val="00011407"/>
    <w:rsid w:val="0001646D"/>
    <w:rsid w:val="00036F9A"/>
    <w:rsid w:val="0005617A"/>
    <w:rsid w:val="00056334"/>
    <w:rsid w:val="000679D6"/>
    <w:rsid w:val="00071B25"/>
    <w:rsid w:val="00072774"/>
    <w:rsid w:val="00080812"/>
    <w:rsid w:val="000914CE"/>
    <w:rsid w:val="00096304"/>
    <w:rsid w:val="00096FA0"/>
    <w:rsid w:val="00097881"/>
    <w:rsid w:val="000A0820"/>
    <w:rsid w:val="000A0B41"/>
    <w:rsid w:val="000B0660"/>
    <w:rsid w:val="0015691F"/>
    <w:rsid w:val="0015730E"/>
    <w:rsid w:val="00193817"/>
    <w:rsid w:val="001A3E35"/>
    <w:rsid w:val="001A4283"/>
    <w:rsid w:val="001B0034"/>
    <w:rsid w:val="001B698B"/>
    <w:rsid w:val="001D3581"/>
    <w:rsid w:val="001F0CEE"/>
    <w:rsid w:val="001F35BB"/>
    <w:rsid w:val="0020750C"/>
    <w:rsid w:val="00214E06"/>
    <w:rsid w:val="00217FB9"/>
    <w:rsid w:val="00220E3C"/>
    <w:rsid w:val="00227556"/>
    <w:rsid w:val="002323C2"/>
    <w:rsid w:val="0025561A"/>
    <w:rsid w:val="00260CCA"/>
    <w:rsid w:val="00274096"/>
    <w:rsid w:val="00275301"/>
    <w:rsid w:val="002814C9"/>
    <w:rsid w:val="0028464C"/>
    <w:rsid w:val="0028648A"/>
    <w:rsid w:val="00292A4F"/>
    <w:rsid w:val="002B21E2"/>
    <w:rsid w:val="002C2335"/>
    <w:rsid w:val="002C4D01"/>
    <w:rsid w:val="002C50B1"/>
    <w:rsid w:val="002D31F1"/>
    <w:rsid w:val="002E4DA5"/>
    <w:rsid w:val="002E787B"/>
    <w:rsid w:val="002F23FF"/>
    <w:rsid w:val="002F5451"/>
    <w:rsid w:val="002F781F"/>
    <w:rsid w:val="00315A3D"/>
    <w:rsid w:val="00322549"/>
    <w:rsid w:val="00344A4E"/>
    <w:rsid w:val="00354A2A"/>
    <w:rsid w:val="003569D4"/>
    <w:rsid w:val="00361FCC"/>
    <w:rsid w:val="00365EBB"/>
    <w:rsid w:val="00383BF7"/>
    <w:rsid w:val="003850AC"/>
    <w:rsid w:val="00385255"/>
    <w:rsid w:val="00391B4E"/>
    <w:rsid w:val="003921AC"/>
    <w:rsid w:val="003B2198"/>
    <w:rsid w:val="003B4EC5"/>
    <w:rsid w:val="003C21C9"/>
    <w:rsid w:val="003D0571"/>
    <w:rsid w:val="003D678E"/>
    <w:rsid w:val="003F0053"/>
    <w:rsid w:val="003F43B1"/>
    <w:rsid w:val="0040417A"/>
    <w:rsid w:val="004102A6"/>
    <w:rsid w:val="004109C6"/>
    <w:rsid w:val="00427728"/>
    <w:rsid w:val="004442E7"/>
    <w:rsid w:val="00447C71"/>
    <w:rsid w:val="00451042"/>
    <w:rsid w:val="00457500"/>
    <w:rsid w:val="00460D79"/>
    <w:rsid w:val="0047282D"/>
    <w:rsid w:val="0047773A"/>
    <w:rsid w:val="004826C0"/>
    <w:rsid w:val="004835AF"/>
    <w:rsid w:val="004849FD"/>
    <w:rsid w:val="00492047"/>
    <w:rsid w:val="004B1066"/>
    <w:rsid w:val="004B144F"/>
    <w:rsid w:val="004B1DD8"/>
    <w:rsid w:val="004C3AF4"/>
    <w:rsid w:val="004C6BF7"/>
    <w:rsid w:val="004D34F3"/>
    <w:rsid w:val="004D3571"/>
    <w:rsid w:val="004D5630"/>
    <w:rsid w:val="004E1FBD"/>
    <w:rsid w:val="004F3B24"/>
    <w:rsid w:val="00500FC0"/>
    <w:rsid w:val="00505A38"/>
    <w:rsid w:val="00514188"/>
    <w:rsid w:val="00515FEE"/>
    <w:rsid w:val="00527BB2"/>
    <w:rsid w:val="00535736"/>
    <w:rsid w:val="00552A74"/>
    <w:rsid w:val="00553A22"/>
    <w:rsid w:val="00557069"/>
    <w:rsid w:val="005709F6"/>
    <w:rsid w:val="005742D0"/>
    <w:rsid w:val="00585A33"/>
    <w:rsid w:val="00586FE6"/>
    <w:rsid w:val="00587FE3"/>
    <w:rsid w:val="00595F8F"/>
    <w:rsid w:val="00596C39"/>
    <w:rsid w:val="005A5310"/>
    <w:rsid w:val="005B4BA0"/>
    <w:rsid w:val="005B50B3"/>
    <w:rsid w:val="005D0B52"/>
    <w:rsid w:val="005D1B67"/>
    <w:rsid w:val="005D47FB"/>
    <w:rsid w:val="005D58C4"/>
    <w:rsid w:val="005E5C97"/>
    <w:rsid w:val="005F141D"/>
    <w:rsid w:val="005F261C"/>
    <w:rsid w:val="006046FB"/>
    <w:rsid w:val="0061544E"/>
    <w:rsid w:val="00633387"/>
    <w:rsid w:val="00636649"/>
    <w:rsid w:val="00646EC8"/>
    <w:rsid w:val="00653120"/>
    <w:rsid w:val="0066438C"/>
    <w:rsid w:val="00667F1D"/>
    <w:rsid w:val="0067550B"/>
    <w:rsid w:val="006773E6"/>
    <w:rsid w:val="00684DAC"/>
    <w:rsid w:val="006937BE"/>
    <w:rsid w:val="006A2CC5"/>
    <w:rsid w:val="006A36AF"/>
    <w:rsid w:val="006B2672"/>
    <w:rsid w:val="006B2863"/>
    <w:rsid w:val="006B28E9"/>
    <w:rsid w:val="006C4ED8"/>
    <w:rsid w:val="006E07D8"/>
    <w:rsid w:val="006E5F75"/>
    <w:rsid w:val="006E72DD"/>
    <w:rsid w:val="007108B9"/>
    <w:rsid w:val="007212E4"/>
    <w:rsid w:val="00723977"/>
    <w:rsid w:val="00735199"/>
    <w:rsid w:val="007531B8"/>
    <w:rsid w:val="0076017A"/>
    <w:rsid w:val="00764FA8"/>
    <w:rsid w:val="00766668"/>
    <w:rsid w:val="007815E0"/>
    <w:rsid w:val="00785D1B"/>
    <w:rsid w:val="007947F9"/>
    <w:rsid w:val="007A235C"/>
    <w:rsid w:val="007A5D50"/>
    <w:rsid w:val="007B6101"/>
    <w:rsid w:val="007B6F0A"/>
    <w:rsid w:val="007C1B01"/>
    <w:rsid w:val="007C79EE"/>
    <w:rsid w:val="007D398A"/>
    <w:rsid w:val="00804E85"/>
    <w:rsid w:val="00824119"/>
    <w:rsid w:val="00835E9C"/>
    <w:rsid w:val="00855BA1"/>
    <w:rsid w:val="00861D75"/>
    <w:rsid w:val="008671DE"/>
    <w:rsid w:val="008702B4"/>
    <w:rsid w:val="00872EC2"/>
    <w:rsid w:val="00875AF4"/>
    <w:rsid w:val="00876BD4"/>
    <w:rsid w:val="008A191D"/>
    <w:rsid w:val="008B3F8D"/>
    <w:rsid w:val="008B7944"/>
    <w:rsid w:val="008D126B"/>
    <w:rsid w:val="008E107A"/>
    <w:rsid w:val="008E17CD"/>
    <w:rsid w:val="008F0413"/>
    <w:rsid w:val="008F5317"/>
    <w:rsid w:val="008F7AE5"/>
    <w:rsid w:val="009013B6"/>
    <w:rsid w:val="0090206D"/>
    <w:rsid w:val="009312CA"/>
    <w:rsid w:val="00932015"/>
    <w:rsid w:val="009421B0"/>
    <w:rsid w:val="009428FE"/>
    <w:rsid w:val="00951102"/>
    <w:rsid w:val="0095556D"/>
    <w:rsid w:val="00955B5E"/>
    <w:rsid w:val="00956747"/>
    <w:rsid w:val="00967702"/>
    <w:rsid w:val="00981E93"/>
    <w:rsid w:val="00983954"/>
    <w:rsid w:val="009947C4"/>
    <w:rsid w:val="009B6212"/>
    <w:rsid w:val="009C0F2F"/>
    <w:rsid w:val="009C2DD0"/>
    <w:rsid w:val="009C5294"/>
    <w:rsid w:val="009D51FB"/>
    <w:rsid w:val="009F25C2"/>
    <w:rsid w:val="009F5B1F"/>
    <w:rsid w:val="00A016A8"/>
    <w:rsid w:val="00A0663A"/>
    <w:rsid w:val="00A13C33"/>
    <w:rsid w:val="00A13E67"/>
    <w:rsid w:val="00A26F27"/>
    <w:rsid w:val="00A3071D"/>
    <w:rsid w:val="00A372FD"/>
    <w:rsid w:val="00A42218"/>
    <w:rsid w:val="00A4425C"/>
    <w:rsid w:val="00A51DBD"/>
    <w:rsid w:val="00A72525"/>
    <w:rsid w:val="00A9677B"/>
    <w:rsid w:val="00AA0ED3"/>
    <w:rsid w:val="00AA7284"/>
    <w:rsid w:val="00AB7A1A"/>
    <w:rsid w:val="00AD23CF"/>
    <w:rsid w:val="00AD246B"/>
    <w:rsid w:val="00AD7833"/>
    <w:rsid w:val="00AE3D6C"/>
    <w:rsid w:val="00AF1527"/>
    <w:rsid w:val="00AF1AA4"/>
    <w:rsid w:val="00B016E6"/>
    <w:rsid w:val="00B169F6"/>
    <w:rsid w:val="00B26F91"/>
    <w:rsid w:val="00B35AE9"/>
    <w:rsid w:val="00B40916"/>
    <w:rsid w:val="00B42F6B"/>
    <w:rsid w:val="00B44FC3"/>
    <w:rsid w:val="00B54AC6"/>
    <w:rsid w:val="00B63148"/>
    <w:rsid w:val="00B7354F"/>
    <w:rsid w:val="00B740DE"/>
    <w:rsid w:val="00B914C4"/>
    <w:rsid w:val="00B95390"/>
    <w:rsid w:val="00BA6F1C"/>
    <w:rsid w:val="00BB0BE1"/>
    <w:rsid w:val="00BC74FB"/>
    <w:rsid w:val="00BD05C2"/>
    <w:rsid w:val="00BF21AF"/>
    <w:rsid w:val="00C00630"/>
    <w:rsid w:val="00C10D4E"/>
    <w:rsid w:val="00C31868"/>
    <w:rsid w:val="00C344E2"/>
    <w:rsid w:val="00C40813"/>
    <w:rsid w:val="00C47989"/>
    <w:rsid w:val="00C52299"/>
    <w:rsid w:val="00C67700"/>
    <w:rsid w:val="00C67890"/>
    <w:rsid w:val="00C67897"/>
    <w:rsid w:val="00C721A6"/>
    <w:rsid w:val="00C74B28"/>
    <w:rsid w:val="00C95FDD"/>
    <w:rsid w:val="00CA4F31"/>
    <w:rsid w:val="00CB2773"/>
    <w:rsid w:val="00CB2E01"/>
    <w:rsid w:val="00CB3337"/>
    <w:rsid w:val="00CB5AC9"/>
    <w:rsid w:val="00CC034A"/>
    <w:rsid w:val="00CC0DB2"/>
    <w:rsid w:val="00CC5C3D"/>
    <w:rsid w:val="00CE08FB"/>
    <w:rsid w:val="00CF78A1"/>
    <w:rsid w:val="00D11B76"/>
    <w:rsid w:val="00D16B99"/>
    <w:rsid w:val="00D201C8"/>
    <w:rsid w:val="00D22A6E"/>
    <w:rsid w:val="00D2565F"/>
    <w:rsid w:val="00D418CF"/>
    <w:rsid w:val="00D52B1C"/>
    <w:rsid w:val="00D62EAC"/>
    <w:rsid w:val="00D65FBC"/>
    <w:rsid w:val="00D749CB"/>
    <w:rsid w:val="00D87A95"/>
    <w:rsid w:val="00D947D8"/>
    <w:rsid w:val="00DA20C9"/>
    <w:rsid w:val="00DA3CA7"/>
    <w:rsid w:val="00DA6512"/>
    <w:rsid w:val="00DB061F"/>
    <w:rsid w:val="00DC4B21"/>
    <w:rsid w:val="00DC4EE8"/>
    <w:rsid w:val="00DD0909"/>
    <w:rsid w:val="00DD56C2"/>
    <w:rsid w:val="00DF062C"/>
    <w:rsid w:val="00DF1BFD"/>
    <w:rsid w:val="00DF7A10"/>
    <w:rsid w:val="00E15F12"/>
    <w:rsid w:val="00E165C7"/>
    <w:rsid w:val="00E3279B"/>
    <w:rsid w:val="00E36DAF"/>
    <w:rsid w:val="00E47EF8"/>
    <w:rsid w:val="00E5138B"/>
    <w:rsid w:val="00E57297"/>
    <w:rsid w:val="00E607BF"/>
    <w:rsid w:val="00E61853"/>
    <w:rsid w:val="00E62C5E"/>
    <w:rsid w:val="00E70394"/>
    <w:rsid w:val="00E77813"/>
    <w:rsid w:val="00E92DDC"/>
    <w:rsid w:val="00ED1BF8"/>
    <w:rsid w:val="00EE6090"/>
    <w:rsid w:val="00EF2696"/>
    <w:rsid w:val="00F0678C"/>
    <w:rsid w:val="00F22509"/>
    <w:rsid w:val="00F322B9"/>
    <w:rsid w:val="00F40AD6"/>
    <w:rsid w:val="00F54418"/>
    <w:rsid w:val="00F6409E"/>
    <w:rsid w:val="00F67994"/>
    <w:rsid w:val="00F701B4"/>
    <w:rsid w:val="00F74A7A"/>
    <w:rsid w:val="00F8634D"/>
    <w:rsid w:val="00F963AF"/>
    <w:rsid w:val="00F96FF0"/>
    <w:rsid w:val="00F976D3"/>
    <w:rsid w:val="00FA36C5"/>
    <w:rsid w:val="00FA7916"/>
    <w:rsid w:val="00FB0A0B"/>
    <w:rsid w:val="00FB45D7"/>
    <w:rsid w:val="00FC18DD"/>
    <w:rsid w:val="00FC37B1"/>
    <w:rsid w:val="00FD4B68"/>
    <w:rsid w:val="00FD7AB3"/>
    <w:rsid w:val="00FF396F"/>
    <w:rsid w:val="00FF797A"/>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425734"/>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line="360" w:lineRule="auto"/>
    </w:pPr>
    <w:rPr>
      <w:rFonts w:ascii="宋体" w:hAnsi="宋体" w:eastAsia="宋体" w:cs="宋体"/>
      <w:sz w:val="22"/>
      <w:szCs w:val="22"/>
      <w:lang w:val="en-US" w:eastAsia="en-US" w:bidi="ar-SA"/>
    </w:rPr>
  </w:style>
  <w:style w:type="paragraph" w:styleId="3">
    <w:name w:val="heading 1"/>
    <w:basedOn w:val="1"/>
    <w:next w:val="1"/>
    <w:link w:val="34"/>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character" w:default="1" w:styleId="18">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customStyle="1" w:styleId="2">
    <w:name w:val="正文1"/>
    <w:link w:val="58"/>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5">
    <w:name w:val="Normal Indent"/>
    <w:basedOn w:val="1"/>
    <w:link w:val="30"/>
    <w:qFormat/>
    <w:uiPriority w:val="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6">
    <w:name w:val="annotation text"/>
    <w:basedOn w:val="1"/>
    <w:link w:val="32"/>
    <w:unhideWhenUsed/>
    <w:qFormat/>
    <w:uiPriority w:val="99"/>
    <w:pPr>
      <w:autoSpaceDE/>
      <w:autoSpaceDN/>
    </w:pPr>
    <w:rPr>
      <w:rFonts w:ascii="Times New Roman" w:hAnsi="Times New Roman" w:cs="Times New Roman"/>
      <w:kern w:val="2"/>
      <w:sz w:val="21"/>
      <w:szCs w:val="24"/>
      <w:lang w:eastAsia="zh-CN"/>
    </w:rPr>
  </w:style>
  <w:style w:type="paragraph" w:styleId="7">
    <w:name w:val="Body Text"/>
    <w:basedOn w:val="1"/>
    <w:link w:val="35"/>
    <w:qFormat/>
    <w:uiPriority w:val="1"/>
    <w:rPr>
      <w:sz w:val="24"/>
      <w:szCs w:val="24"/>
    </w:rPr>
  </w:style>
  <w:style w:type="paragraph" w:styleId="8">
    <w:name w:val="Body Text Indent"/>
    <w:basedOn w:val="1"/>
    <w:link w:val="56"/>
    <w:qFormat/>
    <w:uiPriority w:val="0"/>
    <w:pPr>
      <w:spacing w:after="120"/>
      <w:ind w:left="420" w:leftChars="200"/>
    </w:pPr>
  </w:style>
  <w:style w:type="paragraph" w:styleId="9">
    <w:name w:val="Plain Text"/>
    <w:basedOn w:val="1"/>
    <w:link w:val="28"/>
    <w:qFormat/>
    <w:uiPriority w:val="0"/>
    <w:rPr>
      <w:rFonts w:hAnsi="Courier New" w:cs="Courier New"/>
      <w:szCs w:val="21"/>
    </w:rPr>
  </w:style>
  <w:style w:type="paragraph" w:styleId="10">
    <w:name w:val="Balloon Text"/>
    <w:basedOn w:val="1"/>
    <w:link w:val="29"/>
    <w:qFormat/>
    <w:uiPriority w:val="99"/>
    <w:rPr>
      <w:sz w:val="18"/>
      <w:szCs w:val="18"/>
    </w:rPr>
  </w:style>
  <w:style w:type="paragraph" w:styleId="11">
    <w:name w:val="footer"/>
    <w:basedOn w:val="1"/>
    <w:link w:val="27"/>
    <w:qFormat/>
    <w:uiPriority w:val="99"/>
    <w:pPr>
      <w:tabs>
        <w:tab w:val="center" w:pos="4153"/>
        <w:tab w:val="right" w:pos="8306"/>
      </w:tabs>
      <w:snapToGrid w:val="0"/>
    </w:pPr>
    <w:rPr>
      <w:sz w:val="18"/>
      <w:szCs w:val="18"/>
    </w:rPr>
  </w:style>
  <w:style w:type="paragraph" w:styleId="12">
    <w:name w:val="header"/>
    <w:basedOn w:val="1"/>
    <w:link w:val="3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3">
    <w:name w:val="Normal (Web)"/>
    <w:basedOn w:val="1"/>
    <w:unhideWhenUsed/>
    <w:qFormat/>
    <w:uiPriority w:val="99"/>
    <w:pPr>
      <w:widowControl/>
      <w:autoSpaceDE/>
      <w:autoSpaceDN/>
      <w:spacing w:before="100" w:beforeAutospacing="1" w:after="100" w:afterAutospacing="1"/>
    </w:pPr>
    <w:rPr>
      <w:sz w:val="24"/>
      <w:szCs w:val="24"/>
      <w:lang w:eastAsia="zh-CN"/>
    </w:rPr>
  </w:style>
  <w:style w:type="paragraph" w:styleId="14">
    <w:name w:val="Title"/>
    <w:basedOn w:val="1"/>
    <w:next w:val="1"/>
    <w:link w:val="54"/>
    <w:qFormat/>
    <w:uiPriority w:val="10"/>
    <w:pPr>
      <w:autoSpaceDE/>
      <w:autoSpaceDN/>
      <w:spacing w:before="240" w:after="60"/>
      <w:jc w:val="center"/>
      <w:outlineLvl w:val="0"/>
    </w:pPr>
    <w:rPr>
      <w:rFonts w:ascii="Cambria" w:hAnsi="Cambria" w:cs="Times New Roman"/>
      <w:b/>
      <w:bCs/>
      <w:kern w:val="2"/>
      <w:sz w:val="32"/>
      <w:szCs w:val="32"/>
      <w:lang w:eastAsia="zh-CN"/>
    </w:rPr>
  </w:style>
  <w:style w:type="paragraph" w:styleId="15">
    <w:name w:val="annotation subject"/>
    <w:basedOn w:val="6"/>
    <w:next w:val="6"/>
    <w:link w:val="33"/>
    <w:unhideWhenUsed/>
    <w:qFormat/>
    <w:uiPriority w:val="99"/>
    <w:rPr>
      <w:b/>
      <w:bCs/>
    </w:r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22"/>
    <w:rPr>
      <w:b/>
      <w:bCs/>
    </w:rPr>
  </w:style>
  <w:style w:type="character" w:styleId="20">
    <w:name w:val="FollowedHyperlink"/>
    <w:qFormat/>
    <w:uiPriority w:val="99"/>
    <w:rPr>
      <w:color w:val="800080"/>
      <w:u w:val="single"/>
    </w:rPr>
  </w:style>
  <w:style w:type="character" w:styleId="21">
    <w:name w:val="Hyperlink"/>
    <w:basedOn w:val="18"/>
    <w:qFormat/>
    <w:uiPriority w:val="99"/>
    <w:rPr>
      <w:color w:val="0000FF"/>
      <w:u w:val="single"/>
    </w:rPr>
  </w:style>
  <w:style w:type="character" w:styleId="22">
    <w:name w:val="annotation reference"/>
    <w:basedOn w:val="18"/>
    <w:unhideWhenUsed/>
    <w:qFormat/>
    <w:uiPriority w:val="99"/>
    <w:rPr>
      <w:sz w:val="21"/>
      <w:szCs w:val="21"/>
    </w:rPr>
  </w:style>
  <w:style w:type="table" w:customStyle="1" w:styleId="23">
    <w:name w:val="Table Normal"/>
    <w:semiHidden/>
    <w:unhideWhenUsed/>
    <w:qFormat/>
    <w:uiPriority w:val="2"/>
    <w:tblPr>
      <w:tblCellMar>
        <w:top w:w="0" w:type="dxa"/>
        <w:left w:w="0" w:type="dxa"/>
        <w:bottom w:w="0" w:type="dxa"/>
        <w:right w:w="0" w:type="dxa"/>
      </w:tblCellMar>
    </w:tblPr>
  </w:style>
  <w:style w:type="paragraph" w:styleId="24">
    <w:name w:val="List Paragraph"/>
    <w:basedOn w:val="1"/>
    <w:qFormat/>
    <w:uiPriority w:val="34"/>
    <w:pPr>
      <w:spacing w:before="206"/>
      <w:ind w:left="959" w:hanging="361"/>
    </w:pPr>
  </w:style>
  <w:style w:type="paragraph" w:customStyle="1" w:styleId="25">
    <w:name w:val="Table Paragraph"/>
    <w:basedOn w:val="1"/>
    <w:qFormat/>
    <w:uiPriority w:val="1"/>
  </w:style>
  <w:style w:type="paragraph" w:customStyle="1" w:styleId="26">
    <w:name w:val="文档正文"/>
    <w:basedOn w:val="1"/>
    <w:qFormat/>
    <w:uiPriority w:val="0"/>
    <w:pPr>
      <w:spacing w:beforeLines="50" w:afterLines="50"/>
      <w:ind w:firstLine="560" w:firstLineChars="200"/>
    </w:pPr>
    <w:rPr>
      <w:rFonts w:cs="Arial"/>
      <w:bCs/>
      <w:sz w:val="28"/>
      <w:szCs w:val="28"/>
    </w:rPr>
  </w:style>
  <w:style w:type="character" w:customStyle="1" w:styleId="27">
    <w:name w:val="页脚 Char"/>
    <w:basedOn w:val="18"/>
    <w:link w:val="11"/>
    <w:qFormat/>
    <w:uiPriority w:val="99"/>
    <w:rPr>
      <w:rFonts w:ascii="宋体" w:hAnsi="宋体" w:cs="宋体"/>
      <w:sz w:val="18"/>
      <w:szCs w:val="18"/>
      <w:lang w:eastAsia="en-US"/>
    </w:rPr>
  </w:style>
  <w:style w:type="character" w:customStyle="1" w:styleId="28">
    <w:name w:val="纯文本 Char"/>
    <w:basedOn w:val="18"/>
    <w:link w:val="9"/>
    <w:uiPriority w:val="0"/>
    <w:rPr>
      <w:rFonts w:ascii="宋体" w:hAnsi="Courier New" w:cs="Courier New"/>
      <w:sz w:val="22"/>
      <w:szCs w:val="21"/>
      <w:lang w:eastAsia="en-US"/>
    </w:rPr>
  </w:style>
  <w:style w:type="character" w:customStyle="1" w:styleId="29">
    <w:name w:val="批注框文本 Char"/>
    <w:basedOn w:val="18"/>
    <w:link w:val="10"/>
    <w:uiPriority w:val="99"/>
    <w:rPr>
      <w:rFonts w:ascii="宋体" w:hAnsi="宋体" w:cs="宋体"/>
      <w:sz w:val="18"/>
      <w:szCs w:val="18"/>
      <w:lang w:eastAsia="en-US"/>
    </w:rPr>
  </w:style>
  <w:style w:type="character" w:customStyle="1" w:styleId="30">
    <w:name w:val="正文缩进 Char"/>
    <w:link w:val="5"/>
    <w:qFormat/>
    <w:uiPriority w:val="0"/>
    <w:rPr>
      <w:kern w:val="2"/>
      <w:sz w:val="21"/>
    </w:rPr>
  </w:style>
  <w:style w:type="character" w:customStyle="1" w:styleId="31">
    <w:name w:val="页眉 Char"/>
    <w:basedOn w:val="18"/>
    <w:link w:val="12"/>
    <w:qFormat/>
    <w:uiPriority w:val="0"/>
    <w:rPr>
      <w:rFonts w:ascii="宋体" w:hAnsi="宋体" w:cs="宋体"/>
      <w:sz w:val="18"/>
      <w:szCs w:val="22"/>
      <w:lang w:eastAsia="en-US"/>
    </w:rPr>
  </w:style>
  <w:style w:type="character" w:customStyle="1" w:styleId="32">
    <w:name w:val="批注文字 Char"/>
    <w:basedOn w:val="18"/>
    <w:link w:val="6"/>
    <w:qFormat/>
    <w:uiPriority w:val="99"/>
    <w:rPr>
      <w:kern w:val="2"/>
      <w:sz w:val="21"/>
      <w:szCs w:val="24"/>
    </w:rPr>
  </w:style>
  <w:style w:type="character" w:customStyle="1" w:styleId="33">
    <w:name w:val="批注主题 Char"/>
    <w:basedOn w:val="32"/>
    <w:link w:val="15"/>
    <w:qFormat/>
    <w:uiPriority w:val="99"/>
    <w:rPr>
      <w:b/>
      <w:bCs/>
    </w:rPr>
  </w:style>
  <w:style w:type="character" w:customStyle="1" w:styleId="34">
    <w:name w:val="标题 1 Char"/>
    <w:basedOn w:val="18"/>
    <w:link w:val="3"/>
    <w:qFormat/>
    <w:uiPriority w:val="0"/>
    <w:rPr>
      <w:rFonts w:ascii="宋体" w:hAnsi="宋体" w:cs="宋体"/>
      <w:b/>
      <w:bCs/>
      <w:sz w:val="28"/>
      <w:szCs w:val="28"/>
      <w:lang w:eastAsia="en-US"/>
    </w:rPr>
  </w:style>
  <w:style w:type="character" w:customStyle="1" w:styleId="35">
    <w:name w:val="正文文本 Char"/>
    <w:basedOn w:val="18"/>
    <w:link w:val="7"/>
    <w:qFormat/>
    <w:uiPriority w:val="0"/>
    <w:rPr>
      <w:rFonts w:ascii="宋体" w:hAnsi="宋体" w:cs="宋体"/>
      <w:sz w:val="24"/>
      <w:szCs w:val="24"/>
      <w:lang w:eastAsia="en-US"/>
    </w:rPr>
  </w:style>
  <w:style w:type="character" w:customStyle="1" w:styleId="36">
    <w:name w:val="xdrichtextbox2"/>
    <w:basedOn w:val="18"/>
    <w:qFormat/>
    <w:uiPriority w:val="0"/>
    <w:rPr>
      <w:color w:val="0000FF"/>
      <w:sz w:val="18"/>
      <w:szCs w:val="18"/>
      <w:u w:val="none"/>
      <w:bdr w:val="single" w:color="DCDCDC" w:sz="8" w:space="0"/>
      <w:shd w:val="clear" w:color="auto" w:fill="FFFFFF"/>
    </w:rPr>
  </w:style>
  <w:style w:type="paragraph" w:customStyle="1" w:styleId="37">
    <w:name w:val="font0"/>
    <w:basedOn w:val="1"/>
    <w:qFormat/>
    <w:uiPriority w:val="0"/>
    <w:pPr>
      <w:widowControl/>
      <w:autoSpaceDE/>
      <w:autoSpaceDN/>
      <w:spacing w:before="100" w:beforeAutospacing="1" w:after="100" w:afterAutospacing="1"/>
    </w:pPr>
    <w:rPr>
      <w:color w:val="000000"/>
      <w:lang w:eastAsia="zh-CN"/>
    </w:rPr>
  </w:style>
  <w:style w:type="paragraph" w:customStyle="1" w:styleId="38">
    <w:name w:val="font5"/>
    <w:basedOn w:val="1"/>
    <w:qFormat/>
    <w:uiPriority w:val="0"/>
    <w:pPr>
      <w:widowControl/>
      <w:autoSpaceDE/>
      <w:autoSpaceDN/>
      <w:spacing w:before="100" w:beforeAutospacing="1" w:after="100" w:afterAutospacing="1"/>
    </w:pPr>
    <w:rPr>
      <w:color w:val="000000"/>
      <w:sz w:val="24"/>
      <w:szCs w:val="24"/>
      <w:lang w:eastAsia="zh-CN"/>
    </w:rPr>
  </w:style>
  <w:style w:type="paragraph" w:customStyle="1" w:styleId="39">
    <w:name w:val="xl67"/>
    <w:basedOn w:val="1"/>
    <w:qFormat/>
    <w:uiPriority w:val="0"/>
    <w:pPr>
      <w:widowControl/>
      <w:autoSpaceDE/>
      <w:autoSpaceDN/>
      <w:spacing w:before="100" w:beforeAutospacing="1" w:after="100" w:afterAutospacing="1"/>
    </w:pPr>
    <w:rPr>
      <w:sz w:val="24"/>
      <w:szCs w:val="24"/>
      <w:lang w:eastAsia="zh-CN"/>
    </w:rPr>
  </w:style>
  <w:style w:type="paragraph" w:customStyle="1" w:styleId="40">
    <w:name w:val="xl68"/>
    <w:basedOn w:val="1"/>
    <w:qFormat/>
    <w:uiPriority w:val="0"/>
    <w:pPr>
      <w:widowControl/>
      <w:autoSpaceDE/>
      <w:autoSpaceDN/>
      <w:spacing w:before="100" w:beforeAutospacing="1" w:after="100" w:afterAutospacing="1"/>
    </w:pPr>
    <w:rPr>
      <w:b/>
      <w:bCs/>
      <w:sz w:val="24"/>
      <w:szCs w:val="24"/>
      <w:lang w:eastAsia="zh-CN"/>
    </w:rPr>
  </w:style>
  <w:style w:type="paragraph" w:customStyle="1" w:styleId="41">
    <w:name w:val="xl69"/>
    <w:basedOn w:val="1"/>
    <w:qFormat/>
    <w:uiPriority w:val="0"/>
    <w:pPr>
      <w:widowControl/>
      <w:shd w:val="clear" w:color="000000" w:fill="FFFFFF"/>
      <w:autoSpaceDE/>
      <w:autoSpaceDN/>
      <w:spacing w:before="100" w:beforeAutospacing="1" w:after="100" w:afterAutospacing="1"/>
      <w:jc w:val="center"/>
    </w:pPr>
    <w:rPr>
      <w:sz w:val="24"/>
      <w:szCs w:val="24"/>
      <w:lang w:eastAsia="zh-CN"/>
    </w:rPr>
  </w:style>
  <w:style w:type="paragraph" w:customStyle="1" w:styleId="42">
    <w:name w:val="xl70"/>
    <w:basedOn w:val="1"/>
    <w:qFormat/>
    <w:uiPriority w:val="0"/>
    <w:pPr>
      <w:widowControl/>
      <w:shd w:val="clear" w:color="000000" w:fill="FFFFFF"/>
      <w:autoSpaceDE/>
      <w:autoSpaceDN/>
      <w:spacing w:before="100" w:beforeAutospacing="1" w:after="100" w:afterAutospacing="1"/>
      <w:jc w:val="center"/>
    </w:pPr>
    <w:rPr>
      <w:sz w:val="24"/>
      <w:szCs w:val="24"/>
      <w:lang w:eastAsia="zh-CN"/>
    </w:rPr>
  </w:style>
  <w:style w:type="paragraph" w:customStyle="1" w:styleId="43">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utoSpaceDE/>
      <w:autoSpaceDN/>
      <w:spacing w:before="100" w:beforeAutospacing="1" w:after="100" w:afterAutospacing="1"/>
      <w:jc w:val="center"/>
    </w:pPr>
    <w:rPr>
      <w:b/>
      <w:bCs/>
      <w:sz w:val="24"/>
      <w:szCs w:val="24"/>
      <w:lang w:eastAsia="zh-CN"/>
    </w:rPr>
  </w:style>
  <w:style w:type="paragraph" w:customStyle="1" w:styleId="44">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utoSpaceDE/>
      <w:autoSpaceDN/>
      <w:spacing w:before="100" w:beforeAutospacing="1" w:after="100" w:afterAutospacing="1"/>
      <w:jc w:val="center"/>
    </w:pPr>
    <w:rPr>
      <w:b/>
      <w:bCs/>
      <w:sz w:val="24"/>
      <w:szCs w:val="24"/>
      <w:lang w:eastAsia="zh-CN"/>
    </w:rPr>
  </w:style>
  <w:style w:type="paragraph" w:customStyle="1" w:styleId="45">
    <w:name w:val="xl7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utoSpaceDE/>
      <w:autoSpaceDN/>
      <w:spacing w:before="100" w:beforeAutospacing="1" w:after="100" w:afterAutospacing="1"/>
      <w:jc w:val="center"/>
    </w:pPr>
    <w:rPr>
      <w:color w:val="000000"/>
      <w:sz w:val="24"/>
      <w:szCs w:val="24"/>
      <w:lang w:eastAsia="zh-CN"/>
    </w:rPr>
  </w:style>
  <w:style w:type="paragraph" w:customStyle="1" w:styleId="46">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utoSpaceDE/>
      <w:autoSpaceDN/>
      <w:spacing w:before="100" w:beforeAutospacing="1" w:after="100" w:afterAutospacing="1"/>
      <w:jc w:val="center"/>
    </w:pPr>
    <w:rPr>
      <w:sz w:val="24"/>
      <w:szCs w:val="24"/>
      <w:lang w:eastAsia="zh-CN"/>
    </w:rPr>
  </w:style>
  <w:style w:type="paragraph" w:customStyle="1" w:styleId="47">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utoSpaceDE/>
      <w:autoSpaceDN/>
      <w:spacing w:before="100" w:beforeAutospacing="1" w:after="100" w:afterAutospacing="1"/>
      <w:jc w:val="center"/>
    </w:pPr>
    <w:rPr>
      <w:sz w:val="24"/>
      <w:szCs w:val="24"/>
      <w:lang w:eastAsia="zh-CN"/>
    </w:rPr>
  </w:style>
  <w:style w:type="paragraph" w:customStyle="1" w:styleId="48">
    <w:name w:val="xl76"/>
    <w:basedOn w:val="1"/>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pPr>
    <w:rPr>
      <w:sz w:val="24"/>
      <w:szCs w:val="24"/>
      <w:lang w:eastAsia="zh-CN"/>
    </w:rPr>
  </w:style>
  <w:style w:type="paragraph" w:customStyle="1" w:styleId="49">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utoSpaceDE/>
      <w:autoSpaceDN/>
      <w:spacing w:before="100" w:beforeAutospacing="1" w:after="100" w:afterAutospacing="1"/>
      <w:jc w:val="center"/>
    </w:pPr>
    <w:rPr>
      <w:color w:val="000000"/>
      <w:sz w:val="24"/>
      <w:szCs w:val="24"/>
      <w:lang w:eastAsia="zh-CN"/>
    </w:rPr>
  </w:style>
  <w:style w:type="paragraph" w:customStyle="1" w:styleId="50">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utoSpaceDE/>
      <w:autoSpaceDN/>
      <w:spacing w:before="100" w:beforeAutospacing="1" w:after="100" w:afterAutospacing="1"/>
      <w:jc w:val="center"/>
    </w:pPr>
    <w:rPr>
      <w:sz w:val="24"/>
      <w:szCs w:val="24"/>
      <w:lang w:eastAsia="zh-CN"/>
    </w:rPr>
  </w:style>
  <w:style w:type="paragraph" w:customStyle="1" w:styleId="51">
    <w:name w:val="xl79"/>
    <w:basedOn w:val="1"/>
    <w:qFormat/>
    <w:uiPriority w:val="0"/>
    <w:pPr>
      <w:widowControl/>
      <w:pBdr>
        <w:bottom w:val="single" w:color="auto" w:sz="4" w:space="0"/>
      </w:pBdr>
      <w:shd w:val="clear" w:color="000000" w:fill="FFFFFF"/>
      <w:autoSpaceDE/>
      <w:autoSpaceDN/>
      <w:spacing w:before="100" w:beforeAutospacing="1" w:after="100" w:afterAutospacing="1"/>
    </w:pPr>
    <w:rPr>
      <w:rFonts w:ascii="黑体" w:eastAsia="黑体"/>
      <w:b/>
      <w:bCs/>
      <w:sz w:val="36"/>
      <w:szCs w:val="36"/>
      <w:lang w:eastAsia="zh-CN"/>
    </w:rPr>
  </w:style>
  <w:style w:type="character" w:customStyle="1" w:styleId="52">
    <w:name w:val="wz141"/>
    <w:qFormat/>
    <w:uiPriority w:val="0"/>
    <w:rPr>
      <w:rFonts w:hint="default" w:ascii="Arial" w:hAnsi="Arial" w:cs="Arial"/>
      <w:color w:val="000000"/>
      <w:sz w:val="21"/>
      <w:szCs w:val="21"/>
    </w:rPr>
  </w:style>
  <w:style w:type="character" w:customStyle="1" w:styleId="53">
    <w:name w:val="apple-converted-space"/>
    <w:basedOn w:val="18"/>
    <w:qFormat/>
    <w:uiPriority w:val="0"/>
  </w:style>
  <w:style w:type="character" w:customStyle="1" w:styleId="54">
    <w:name w:val="标题 Char"/>
    <w:basedOn w:val="18"/>
    <w:link w:val="14"/>
    <w:qFormat/>
    <w:uiPriority w:val="10"/>
    <w:rPr>
      <w:rFonts w:ascii="Cambria" w:hAnsi="Cambria"/>
      <w:b/>
      <w:bCs/>
      <w:kern w:val="2"/>
      <w:sz w:val="32"/>
      <w:szCs w:val="32"/>
    </w:rPr>
  </w:style>
  <w:style w:type="character" w:customStyle="1" w:styleId="55">
    <w:name w:val="纯文本 Char1"/>
    <w:qFormat/>
    <w:uiPriority w:val="0"/>
    <w:rPr>
      <w:rFonts w:ascii="宋体" w:hAnsi="Courier New" w:cs="Courier New"/>
      <w:sz w:val="22"/>
      <w:szCs w:val="21"/>
      <w:lang w:eastAsia="en-US"/>
    </w:rPr>
  </w:style>
  <w:style w:type="character" w:customStyle="1" w:styleId="56">
    <w:name w:val="正文文本缩进 Char"/>
    <w:basedOn w:val="18"/>
    <w:link w:val="8"/>
    <w:qFormat/>
    <w:uiPriority w:val="0"/>
    <w:rPr>
      <w:rFonts w:ascii="宋体" w:hAnsi="宋体" w:cs="宋体"/>
      <w:sz w:val="22"/>
      <w:szCs w:val="22"/>
      <w:lang w:eastAsia="en-US"/>
    </w:rPr>
  </w:style>
  <w:style w:type="character" w:customStyle="1" w:styleId="57">
    <w:name w:val="标题 2 Char"/>
    <w:basedOn w:val="18"/>
    <w:link w:val="4"/>
    <w:qFormat/>
    <w:uiPriority w:val="0"/>
    <w:rPr>
      <w:rFonts w:ascii="宋体" w:hAnsi="宋体" w:cs="宋体"/>
      <w:b/>
      <w:bCs/>
      <w:sz w:val="24"/>
      <w:szCs w:val="24"/>
      <w:lang w:eastAsia="en-US"/>
    </w:rPr>
  </w:style>
  <w:style w:type="character" w:customStyle="1" w:styleId="58">
    <w:name w:val="正文1 Char"/>
    <w:basedOn w:val="18"/>
    <w:link w:val="2"/>
    <w:qFormat/>
    <w:locked/>
    <w:uiPriority w:val="0"/>
    <w:rPr>
      <w:rFonts w:ascii="宋体" w:hAnsi="Calibri"/>
      <w:sz w:val="34"/>
      <w:szCs w:val="22"/>
    </w:rPr>
  </w:style>
  <w:style w:type="paragraph" w:customStyle="1" w:styleId="59">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60">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3076"/>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90DE0E0-3E10-4547-BF7F-0F9269CD191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48</Pages>
  <Words>4486</Words>
  <Characters>25575</Characters>
  <Lines>213</Lines>
  <Paragraphs>60</Paragraphs>
  <TotalTime>356</TotalTime>
  <ScaleCrop>false</ScaleCrop>
  <LinksUpToDate>false</LinksUpToDate>
  <CharactersWithSpaces>30001</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2021-04-02T03:09:00Z</dcterms:created>
  <dc:creator>CGC</dc:creator>
  <cp:lastModifiedBy>潘骏</cp:lastModifiedBy>
  <cp:lastPrinted>2019-10-12T01:19:00Z</cp:lastPrinted>
  <dcterms:modified xsi:type="dcterms:W3CDTF">2021-04-15T03:38:52Z</dcterms:modified>
  <dc:title>公开招标文件（货物服务类）</dc:title>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2052-11.1.0.10314</vt:lpwstr>
  </property>
</Properties>
</file>