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bookmarkStart w:id="2" w:name="_GoBack"/>
      <w:bookmarkEnd w:id="2"/>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rFonts w:hint="default" w:eastAsia="宋体"/>
          <w:color w:val="auto"/>
          <w:szCs w:val="21"/>
          <w:lang w:val="en-US" w:eastAsia="zh-CN"/>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：聚氯化铝</w:t>
      </w:r>
    </w:p>
    <w:p>
      <w:pPr>
        <w:widowControl/>
        <w:shd w:val="clear" w:color="auto" w:fill="FFFFFF"/>
        <w:jc w:val="center"/>
        <w:rPr>
          <w:rFonts w:hint="eastAsia" w:eastAsia="宋体"/>
          <w:color w:val="auto"/>
          <w:sz w:val="36"/>
          <w:szCs w:val="36"/>
          <w:lang w:val="en-US" w:eastAsia="zh-CN"/>
        </w:rPr>
      </w:pPr>
      <w:r>
        <w:rPr>
          <w:color w:val="auto"/>
          <w:kern w:val="0"/>
          <w:sz w:val="52"/>
          <w:szCs w:val="52"/>
          <w:shd w:val="clear" w:color="auto" w:fill="FFFFFF"/>
        </w:rPr>
        <w:t> </w:t>
      </w:r>
      <w:r>
        <w:rPr>
          <w:rFonts w:hint="eastAsia" w:ascii="宋体" w:hAnsi="宋体" w:cs="宋体"/>
          <w:color w:val="auto"/>
          <w:kern w:val="0"/>
          <w:sz w:val="36"/>
          <w:szCs w:val="36"/>
          <w:shd w:val="clear" w:color="auto" w:fill="FFFFFF"/>
        </w:rPr>
        <w:t>项目编号：2021-(ZZ)GM-</w:t>
      </w:r>
      <w:r>
        <w:rPr>
          <w:rFonts w:hint="eastAsia" w:ascii="宋体" w:hAnsi="宋体" w:cs="宋体"/>
          <w:color w:val="auto"/>
          <w:kern w:val="0"/>
          <w:sz w:val="36"/>
          <w:szCs w:val="36"/>
          <w:shd w:val="clear" w:color="auto" w:fill="FFFFFF"/>
          <w:lang w:eastAsia="zh-CN"/>
        </w:rPr>
        <w:t>聚氯化铝</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eastAsia="zh-CN"/>
        </w:rPr>
        <w:t>1215</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right"/>
        <w:rPr>
          <w:color w:val="auto"/>
          <w:szCs w:val="21"/>
        </w:rPr>
      </w:pPr>
      <w:r>
        <w:rPr>
          <w:rFonts w:hint="eastAsia" w:ascii="宋体" w:hAnsi="宋体" w:cs="宋体"/>
          <w:color w:val="auto"/>
          <w:kern w:val="0"/>
          <w:sz w:val="28"/>
          <w:szCs w:val="28"/>
          <w:shd w:val="clear" w:color="auto" w:fill="FFFFFF"/>
        </w:rPr>
        <w:t>福化工贸（漳州）有限公司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2021年1</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15</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spacing w:line="336" w:lineRule="auto"/>
        <w:jc w:val="center"/>
        <w:rPr>
          <w:b/>
          <w:bCs/>
          <w:color w:val="auto"/>
          <w:sz w:val="32"/>
        </w:rPr>
      </w:pPr>
      <w:r>
        <w:rPr>
          <w:rFonts w:hint="eastAsia"/>
          <w:b/>
          <w:bCs/>
          <w:color w:val="auto"/>
          <w:sz w:val="32"/>
        </w:rPr>
        <w:t>福化工贸（漳州）有限公司</w:t>
      </w:r>
    </w:p>
    <w:p>
      <w:pPr>
        <w:spacing w:line="336" w:lineRule="auto"/>
        <w:jc w:val="center"/>
        <w:rPr>
          <w:bCs/>
          <w:color w:val="auto"/>
          <w:szCs w:val="21"/>
        </w:rPr>
      </w:pPr>
      <w:r>
        <w:rPr>
          <w:rFonts w:hint="eastAsia"/>
          <w:b/>
          <w:bCs/>
          <w:color w:val="auto"/>
          <w:sz w:val="32"/>
          <w:lang w:eastAsia="zh-CN"/>
        </w:rPr>
        <w:t>聚氯化铝</w:t>
      </w:r>
      <w:r>
        <w:rPr>
          <w:b/>
          <w:bCs/>
          <w:color w:val="auto"/>
          <w:sz w:val="32"/>
        </w:rPr>
        <w:t>采购</w:t>
      </w:r>
      <w:r>
        <w:rPr>
          <w:rFonts w:hint="eastAsia"/>
          <w:b/>
          <w:bCs/>
          <w:color w:val="auto"/>
          <w:sz w:val="32"/>
        </w:rPr>
        <w:t>比选公告</w:t>
      </w:r>
    </w:p>
    <w:p>
      <w:pPr>
        <w:spacing w:before="100" w:beforeAutospacing="1" w:after="100" w:afterAutospacing="1" w:line="336"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福化工贸（漳州）有限公司就</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聚氯化铝（</w:t>
      </w:r>
      <w:r>
        <w:rPr>
          <w:rFonts w:hint="eastAsia" w:asciiTheme="minorEastAsia" w:hAnsiTheme="minorEastAsia" w:eastAsiaTheme="minorEastAsia"/>
          <w:bCs/>
          <w:color w:val="auto"/>
          <w:sz w:val="24"/>
          <w:u w:val="single"/>
        </w:rPr>
        <w:t>项目编号：2021-FH(ZZ)GM-</w:t>
      </w:r>
      <w:r>
        <w:rPr>
          <w:rFonts w:hint="eastAsia" w:asciiTheme="minorEastAsia" w:hAnsiTheme="minorEastAsia" w:eastAsiaTheme="minorEastAsia"/>
          <w:bCs/>
          <w:color w:val="auto"/>
          <w:sz w:val="24"/>
          <w:u w:val="single"/>
          <w:lang w:eastAsia="zh-CN"/>
        </w:rPr>
        <w:t>聚氯化铝</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1215</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项目名称：</w:t>
      </w:r>
      <w:r>
        <w:rPr>
          <w:rFonts w:hint="eastAsia" w:ascii="宋体" w:hAnsi="宋体" w:cs="宋体" w:eastAsiaTheme="minorEastAsia"/>
          <w:color w:val="auto"/>
          <w:sz w:val="24"/>
          <w:lang w:eastAsia="zh-CN"/>
        </w:rPr>
        <w:t>聚氯化铝</w:t>
      </w:r>
      <w:r>
        <w:rPr>
          <w:rFonts w:hint="eastAsia" w:ascii="宋体" w:hAnsi="宋体" w:cs="宋体"/>
          <w:color w:val="auto"/>
          <w:sz w:val="24"/>
          <w:lang w:val="en-US" w:eastAsia="zh-CN"/>
        </w:rPr>
        <w:t>。</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Theme="minorEastAsia" w:hAnsiTheme="minorEastAsia" w:eastAsiaTheme="minorEastAsia"/>
          <w:bCs/>
          <w:color w:val="auto"/>
          <w:sz w:val="24"/>
          <w:lang w:eastAsia="zh-CN"/>
        </w:rPr>
        <w:t>聚氯化铝</w:t>
      </w:r>
      <w:r>
        <w:rPr>
          <w:rFonts w:hint="eastAsia" w:asciiTheme="minorEastAsia" w:hAnsiTheme="minorEastAsia" w:eastAsiaTheme="minorEastAsia"/>
          <w:bCs/>
          <w:color w:val="auto"/>
          <w:sz w:val="24"/>
        </w:rPr>
        <w:t>采购数量、质量、货期等要求详见比选文件。</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1"/>
        <w:numPr>
          <w:ilvl w:val="0"/>
          <w:numId w:val="3"/>
        </w:numPr>
        <w:spacing w:before="100" w:beforeAutospacing="1" w:after="100" w:afterAutospacing="1" w:line="336" w:lineRule="auto"/>
        <w:ind w:hanging="361"/>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与比选人无诉讼纠纷。</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叁万伍仟</w:t>
      </w:r>
      <w:r>
        <w:rPr>
          <w:rFonts w:hint="eastAsia" w:asciiTheme="minorEastAsia" w:hAnsiTheme="minorEastAsia" w:eastAsiaTheme="minorEastAsia"/>
          <w:bCs/>
          <w:color w:val="auto"/>
          <w:sz w:val="24"/>
          <w:lang w:val="en-US" w:eastAsia="zh-CN"/>
        </w:rPr>
        <w:t>元</w:t>
      </w:r>
      <w:r>
        <w:rPr>
          <w:rFonts w:hint="eastAsia" w:asciiTheme="minorEastAsia" w:hAnsiTheme="minorEastAsia" w:eastAsiaTheme="minorEastAsia"/>
          <w:bCs/>
          <w:color w:val="auto"/>
          <w:sz w:val="24"/>
          <w:lang w:val="en-US" w:eastAsia="zh-CN"/>
        </w:rPr>
        <w:t>整</w:t>
      </w:r>
      <w:r>
        <w:rPr>
          <w:rFonts w:hint="eastAsia" w:asciiTheme="minorEastAsia" w:hAnsiTheme="minorEastAsia" w:eastAsiaTheme="minorEastAsia"/>
          <w:bCs/>
          <w:color w:val="auto"/>
          <w:sz w:val="24"/>
        </w:rPr>
        <w:t>。</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获取比选文件</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021</w:t>
      </w:r>
      <w:r>
        <w:rPr>
          <w:rFonts w:hint="eastAsia" w:asciiTheme="majorEastAsia" w:hAnsiTheme="majorEastAsia" w:eastAsiaTheme="majorEastAsia"/>
          <w:color w:val="auto"/>
          <w:sz w:val="24"/>
        </w:rPr>
        <w:t>年1</w:t>
      </w:r>
      <w:r>
        <w:rPr>
          <w:rFonts w:asciiTheme="majorEastAsia" w:hAnsiTheme="majorEastAsia" w:eastAsiaTheme="majorEastAsia"/>
          <w:color w:val="auto"/>
          <w:sz w:val="24"/>
        </w:rPr>
        <w:t>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27</w:t>
      </w:r>
      <w:r>
        <w:rPr>
          <w:rFonts w:hint="eastAsia" w:asciiTheme="majorEastAsia" w:hAnsiTheme="majorEastAsia" w:eastAsiaTheme="majorEastAsia"/>
          <w:color w:val="auto"/>
          <w:sz w:val="24"/>
        </w:rPr>
        <w:t>日（含当日）</w:t>
      </w:r>
    </w:p>
    <w:p>
      <w:pPr>
        <w:pStyle w:val="11"/>
        <w:numPr>
          <w:ilvl w:val="255"/>
          <w:numId w:val="0"/>
        </w:numPr>
        <w:spacing w:before="0" w:line="336" w:lineRule="auto"/>
        <w:ind w:left="832"/>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（2）</w:t>
      </w:r>
      <w:r>
        <w:rPr>
          <w:rFonts w:hint="eastAsia" w:asciiTheme="minorEastAsia" w:hAnsiTheme="minorEastAsia" w:eastAsiaTheme="minorEastAsia"/>
          <w:bCs/>
          <w:color w:val="auto"/>
          <w:sz w:val="24"/>
        </w:rPr>
        <w:t>证件：</w:t>
      </w:r>
      <w:r>
        <w:rPr>
          <w:rFonts w:asciiTheme="minorEastAsia" w:hAnsiTheme="minorEastAsia" w:eastAsiaTheme="minorEastAsia"/>
          <w:bCs/>
          <w:color w:val="auto"/>
          <w:sz w:val="24"/>
        </w:rPr>
        <w:t>营业执照</w:t>
      </w:r>
      <w:r>
        <w:rPr>
          <w:rFonts w:hint="eastAsia" w:asciiTheme="minorEastAsia" w:hAnsiTheme="minorEastAsia" w:eastAsiaTheme="minorEastAsia"/>
          <w:bCs/>
          <w:color w:val="auto"/>
          <w:sz w:val="24"/>
        </w:rPr>
        <w:t>、开户许可证等证件</w:t>
      </w:r>
      <w:r>
        <w:rPr>
          <w:rFonts w:asciiTheme="minorEastAsia" w:hAnsiTheme="minorEastAsia" w:eastAsiaTheme="minorEastAsia"/>
          <w:bCs/>
          <w:color w:val="auto"/>
          <w:sz w:val="24"/>
        </w:rPr>
        <w:t>（加盖单位公章的复印件）</w:t>
      </w:r>
      <w:r>
        <w:rPr>
          <w:rFonts w:hint="eastAsia" w:asciiTheme="minorEastAsia" w:hAnsiTheme="minorEastAsia" w:eastAsiaTheme="minorEastAsia"/>
          <w:bCs/>
          <w:color w:val="auto"/>
          <w:sz w:val="24"/>
        </w:rPr>
        <w:t>；</w:t>
      </w:r>
    </w:p>
    <w:p>
      <w:pPr>
        <w:pStyle w:val="11"/>
        <w:spacing w:before="0" w:line="336"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rPr>
        <w:t>）保证金汇款银行水单：投标单位需缴纳投标保证金：</w:t>
      </w:r>
      <w:r>
        <w:rPr>
          <w:rFonts w:hint="eastAsia" w:asciiTheme="minorEastAsia" w:hAnsiTheme="minorEastAsia" w:eastAsiaTheme="minorEastAsia"/>
          <w:bCs/>
          <w:color w:val="auto"/>
          <w:sz w:val="24"/>
          <w:lang w:val="en-US" w:eastAsia="zh-CN"/>
        </w:rPr>
        <w:t>叁万伍仟</w:t>
      </w:r>
      <w:r>
        <w:rPr>
          <w:rFonts w:hint="eastAsia" w:asciiTheme="minorEastAsia" w:hAnsiTheme="minorEastAsia" w:eastAsiaTheme="minorEastAsia"/>
          <w:bCs/>
          <w:color w:val="auto"/>
          <w:sz w:val="24"/>
          <w:lang w:val="en-US" w:eastAsia="zh-CN"/>
        </w:rPr>
        <w:t>元</w:t>
      </w:r>
      <w:r>
        <w:rPr>
          <w:rFonts w:hint="eastAsia" w:asciiTheme="minorEastAsia" w:hAnsiTheme="minorEastAsia" w:eastAsiaTheme="minorEastAsia"/>
          <w:bCs/>
          <w:color w:val="auto"/>
          <w:sz w:val="24"/>
          <w:lang w:val="en-US" w:eastAsia="zh-CN"/>
        </w:rPr>
        <w:t>整</w:t>
      </w:r>
      <w:r>
        <w:rPr>
          <w:rFonts w:hint="eastAsia" w:asciiTheme="minorEastAsia" w:hAnsiTheme="minorEastAsia" w:eastAsiaTheme="minorEastAsia"/>
          <w:bCs/>
          <w:color w:val="auto"/>
          <w:sz w:val="24"/>
        </w:rPr>
        <w:t>，如中选、该保证金转为履约保证金，如不中选，在比选结束后请联系商务联系人办理无息等额退款。</w:t>
      </w:r>
    </w:p>
    <w:p>
      <w:pPr>
        <w:ind w:firstLine="1200" w:firstLineChars="500"/>
        <w:jc w:val="both"/>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ind w:firstLine="1200" w:firstLineChars="500"/>
        <w:jc w:val="both"/>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w:t>
      </w:r>
      <w:r>
        <w:rPr>
          <w:rFonts w:hint="eastAsia" w:cs="Times New Roman" w:asciiTheme="minorEastAsia" w:hAnsiTheme="minorEastAsia" w:eastAsiaTheme="minorEastAsia"/>
          <w:bCs/>
          <w:color w:val="auto"/>
          <w:kern w:val="2"/>
          <w:sz w:val="24"/>
          <w:szCs w:val="24"/>
          <w:lang w:val="en-US" w:eastAsia="zh-CN" w:bidi="ar-SA"/>
        </w:rPr>
        <w:t>福化工贸（漳州）有限公司</w:t>
      </w:r>
    </w:p>
    <w:p>
      <w:pPr>
        <w:pStyle w:val="11"/>
        <w:spacing w:line="336" w:lineRule="auto"/>
        <w:ind w:left="0" w:firstLine="1200" w:firstLineChars="50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开户银行：兴业银行股份有限公司漳州古雷支行</w:t>
      </w:r>
    </w:p>
    <w:p>
      <w:pPr>
        <w:pStyle w:val="11"/>
        <w:spacing w:line="336" w:lineRule="auto"/>
        <w:ind w:left="958" w:leftChars="456" w:firstLine="307" w:firstLineChars="128"/>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账    号：1620701  001  00016883</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四、参选文件递交要求</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参选文件递交地点：福化工贸（漳州）有限公司（地址：厦门市思明区莲前街道领事馆路16号银领中心B栋4楼</w:t>
      </w:r>
      <w:r>
        <w:rPr>
          <w:rFonts w:asciiTheme="minorEastAsia" w:hAnsiTheme="minorEastAsia" w:eastAsiaTheme="minorEastAsia"/>
          <w:bCs/>
          <w:color w:val="auto"/>
          <w:sz w:val="24"/>
        </w:rPr>
        <w:t>）</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w:t>
      </w:r>
      <w:r>
        <w:rPr>
          <w:rFonts w:hint="eastAsia" w:asciiTheme="majorEastAsia" w:hAnsiTheme="majorEastAsia" w:eastAsiaTheme="majorEastAsia"/>
          <w:bCs/>
          <w:color w:val="auto"/>
          <w:sz w:val="24"/>
        </w:rPr>
        <w:t>报名截止时间延后2个工作日</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ajorEastAsia" w:hAnsiTheme="majorEastAsia" w:eastAsiaTheme="majorEastAsia"/>
          <w:bCs/>
          <w:color w:val="auto"/>
          <w:sz w:val="24"/>
        </w:rPr>
        <w:t>特别声明：（1）参选人必须对全部物资进行参选，不得部分参选，否则其比选文件将被拒绝。（2）未进行登记报名的参选人，其递交的参选文件将被拒收。</w:t>
      </w:r>
    </w:p>
    <w:p>
      <w:pPr>
        <w:pStyle w:val="11"/>
        <w:spacing w:before="100" w:beforeAutospacing="1" w:after="100" w:afterAutospacing="1" w:line="336"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商务联系人：李奎  电话：18405067788</w:t>
      </w:r>
      <w:r>
        <w:rPr>
          <w:rFonts w:hint="eastAsia" w:cs="宋体" w:asciiTheme="minorEastAsia" w:hAnsiTheme="minorEastAsia"/>
          <w:bCs/>
          <w:color w:val="auto"/>
          <w:sz w:val="24"/>
        </w:rPr>
        <w:tab/>
      </w:r>
      <w:r>
        <w:rPr>
          <w:rFonts w:hint="eastAsia" w:cs="宋体" w:asciiTheme="minorEastAsia" w:hAnsiTheme="minorEastAsia"/>
          <w:bCs/>
          <w:color w:val="auto"/>
          <w:sz w:val="24"/>
        </w:rPr>
        <w:t xml:space="preserve">  邮箱：</w:t>
      </w:r>
      <w:r>
        <w:rPr>
          <w:rFonts w:hint="eastAsia" w:asciiTheme="minorEastAsia" w:hAnsiTheme="minorEastAsia"/>
          <w:color w:val="auto"/>
          <w:sz w:val="24"/>
        </w:rPr>
        <w:t>wzcgb</w:t>
      </w:r>
      <w:r>
        <w:rPr>
          <w:rStyle w:val="12"/>
          <w:rFonts w:hint="eastAsia" w:ascii="Times New Roman" w:hAnsi="Times New Roman" w:eastAsia="宋体" w:cs="Times New Roman"/>
          <w:color w:val="auto"/>
        </w:rPr>
        <w:t>@fjpec.com.cn</w:t>
      </w:r>
    </w:p>
    <w:p>
      <w:pPr>
        <w:pStyle w:val="2"/>
        <w:snapToGrid w:val="0"/>
        <w:spacing w:before="100" w:beforeAutospacing="1" w:after="100" w:afterAutospacing="1" w:line="336" w:lineRule="auto"/>
        <w:ind w:left="412" w:firstLine="480" w:firstLineChars="200"/>
        <w:rPr>
          <w:rFonts w:ascii="Arial" w:hAnsi="Arial" w:eastAsia="宋体" w:cs="Arial"/>
          <w:color w:val="auto"/>
          <w:sz w:val="18"/>
          <w:szCs w:val="18"/>
        </w:rPr>
      </w:pPr>
      <w:r>
        <w:rPr>
          <w:rFonts w:hint="eastAsia" w:cs="宋体" w:asciiTheme="minorEastAsia" w:hAnsiTheme="minorEastAsia"/>
          <w:bCs/>
          <w:color w:val="auto"/>
          <w:sz w:val="24"/>
        </w:rPr>
        <w:t>技术联系人：</w:t>
      </w:r>
      <w:r>
        <w:rPr>
          <w:rFonts w:hint="eastAsia" w:cs="宋体" w:asciiTheme="minorEastAsia" w:hAnsiTheme="minorEastAsia"/>
          <w:bCs/>
          <w:color w:val="auto"/>
          <w:sz w:val="24"/>
          <w:lang w:val="en-US" w:eastAsia="zh-CN"/>
        </w:rPr>
        <w:t>周建华</w:t>
      </w:r>
      <w:r>
        <w:rPr>
          <w:rFonts w:hint="eastAsia" w:cs="宋体" w:asciiTheme="minorEastAsia" w:hAnsiTheme="minorEastAsia"/>
          <w:bCs/>
          <w:color w:val="auto"/>
          <w:sz w:val="24"/>
        </w:rPr>
        <w:t xml:space="preserve"> 电话：</w:t>
      </w:r>
      <w:r>
        <w:rPr>
          <w:rFonts w:hint="eastAsia" w:cs="宋体" w:asciiTheme="minorEastAsia" w:hAnsiTheme="minorEastAsia"/>
          <w:bCs/>
          <w:color w:val="auto"/>
          <w:sz w:val="24"/>
          <w:lang w:val="en-US" w:eastAsia="zh-CN"/>
        </w:rPr>
        <w:t>13313854017</w:t>
      </w:r>
      <w:r>
        <w:rPr>
          <w:rFonts w:hint="eastAsia" w:cs="宋体" w:asciiTheme="minorEastAsia" w:hAnsiTheme="minorEastAsia"/>
          <w:bCs/>
          <w:color w:val="auto"/>
          <w:sz w:val="24"/>
        </w:rPr>
        <w:t xml:space="preserve">  邮箱：</w:t>
      </w:r>
      <w:r>
        <w:rPr>
          <w:rFonts w:ascii="Arial" w:hAnsi="Arial" w:eastAsia="宋体" w:cs="Arial"/>
          <w:color w:val="auto"/>
          <w:sz w:val="18"/>
          <w:szCs w:val="18"/>
        </w:rPr>
        <w:fldChar w:fldCharType="begin"/>
      </w:r>
      <w:r>
        <w:rPr>
          <w:rFonts w:ascii="Arial" w:hAnsi="Arial" w:eastAsia="宋体" w:cs="Arial"/>
          <w:color w:val="auto"/>
          <w:sz w:val="18"/>
          <w:szCs w:val="18"/>
        </w:rPr>
        <w:instrText xml:space="preserve"> HYPERLINK "mailto:jhzhou@fhcpec.com.cn" </w:instrText>
      </w:r>
      <w:r>
        <w:rPr>
          <w:rFonts w:ascii="Arial" w:hAnsi="Arial" w:eastAsia="宋体" w:cs="Arial"/>
          <w:color w:val="auto"/>
          <w:sz w:val="18"/>
          <w:szCs w:val="18"/>
        </w:rPr>
        <w:fldChar w:fldCharType="separate"/>
      </w:r>
      <w:r>
        <w:rPr>
          <w:rStyle w:val="9"/>
          <w:rFonts w:ascii="Arial" w:hAnsi="Arial" w:eastAsia="宋体" w:cs="Arial"/>
          <w:color w:val="auto"/>
          <w:sz w:val="18"/>
          <w:szCs w:val="18"/>
        </w:rPr>
        <w:t>jhzhou@fhcpec.com.cn</w:t>
      </w:r>
      <w:r>
        <w:rPr>
          <w:rFonts w:ascii="Arial" w:hAnsi="Arial" w:eastAsia="宋体" w:cs="Arial"/>
          <w:color w:val="auto"/>
          <w:sz w:val="18"/>
          <w:szCs w:val="18"/>
        </w:rPr>
        <w:fldChar w:fldCharType="end"/>
      </w:r>
    </w:p>
    <w:p>
      <w:pPr>
        <w:pStyle w:val="2"/>
        <w:snapToGrid w:val="0"/>
        <w:spacing w:before="100" w:beforeAutospacing="1" w:after="100" w:afterAutospacing="1" w:line="336" w:lineRule="auto"/>
        <w:ind w:firstLine="2160" w:firstLineChars="900"/>
        <w:rPr>
          <w:rFonts w:cs="宋体" w:asciiTheme="minorEastAsia" w:hAnsiTheme="minorEastAsia"/>
          <w:bCs/>
          <w:color w:val="auto"/>
          <w:sz w:val="24"/>
        </w:rPr>
      </w:pPr>
      <w:r>
        <w:rPr>
          <w:rFonts w:hint="eastAsia" w:cs="宋体" w:asciiTheme="minorEastAsia" w:hAnsiTheme="minorEastAsia"/>
          <w:bCs/>
          <w:color w:val="auto"/>
          <w:sz w:val="24"/>
        </w:rPr>
        <w:t>陈海伟 电话：13616007156  邮箱：</w:t>
      </w:r>
      <w:r>
        <w:rPr>
          <w:rFonts w:ascii="Arial" w:hAnsi="Arial" w:eastAsia="宋体" w:cs="Arial"/>
          <w:color w:val="auto"/>
          <w:sz w:val="18"/>
          <w:szCs w:val="18"/>
        </w:rPr>
        <w:t>hwchen@fhcpec.com.cn     </w:t>
      </w:r>
    </w:p>
    <w:p>
      <w:pPr>
        <w:pStyle w:val="2"/>
        <w:snapToGrid w:val="0"/>
        <w:spacing w:before="100" w:beforeAutospacing="1" w:after="100" w:afterAutospacing="1" w:line="336" w:lineRule="auto"/>
        <w:ind w:left="412" w:firstLine="480" w:firstLineChars="200"/>
        <w:rPr>
          <w:rFonts w:cs="宋体" w:asciiTheme="minorEastAsia" w:hAnsiTheme="minorEastAsia"/>
          <w:b/>
          <w:bCs/>
          <w:color w:val="auto"/>
          <w:sz w:val="24"/>
        </w:rPr>
      </w:pPr>
      <w:r>
        <w:rPr>
          <w:rFonts w:hint="eastAsia" w:cs="宋体" w:asciiTheme="minorEastAsia" w:hAnsiTheme="minorEastAsia"/>
          <w:bCs/>
          <w:color w:val="auto"/>
          <w:sz w:val="24"/>
        </w:rPr>
        <w:t>纪检监察室电话：0596-6311774  邮箱：</w:t>
      </w:r>
      <w:r>
        <w:rPr>
          <w:rFonts w:hint="eastAsia" w:cs="Helvetica" w:asciiTheme="minorEastAsia" w:hAnsiTheme="minorEastAsia"/>
          <w:color w:val="auto"/>
        </w:rPr>
        <w:t>：</w:t>
      </w:r>
      <w:r>
        <w:rPr>
          <w:color w:val="auto"/>
        </w:rPr>
        <w:t>fhcjc@fhcpec.com.cn</w:t>
      </w:r>
    </w:p>
    <w:p>
      <w:pPr>
        <w:pStyle w:val="2"/>
        <w:snapToGrid w:val="0"/>
        <w:spacing w:before="100" w:beforeAutospacing="1" w:after="100" w:afterAutospacing="1" w:line="336" w:lineRule="auto"/>
        <w:ind w:left="412" w:firstLine="480" w:firstLineChars="200"/>
        <w:rPr>
          <w:rFonts w:asciiTheme="minorEastAsia" w:hAnsiTheme="minorEastAsia"/>
          <w:bCs/>
          <w:color w:val="auto"/>
          <w:sz w:val="24"/>
        </w:rPr>
      </w:pPr>
      <w:r>
        <w:rPr>
          <w:rFonts w:hint="eastAsia" w:cs="宋体" w:asciiTheme="minorEastAsia" w:hAnsiTheme="minorEastAsia"/>
          <w:bCs/>
          <w:color w:val="auto"/>
          <w:sz w:val="24"/>
        </w:rPr>
        <w:t>联系地址：</w:t>
      </w:r>
      <w:r>
        <w:rPr>
          <w:rFonts w:hint="eastAsia" w:asciiTheme="minorEastAsia" w:hAnsiTheme="minorEastAsia"/>
          <w:bCs/>
          <w:color w:val="auto"/>
          <w:sz w:val="24"/>
        </w:rPr>
        <w:t>厦门市思明区莲前街道领事馆路16号银领中心B栋4楼</w:t>
      </w:r>
    </w:p>
    <w:p>
      <w:pPr>
        <w:pStyle w:val="2"/>
        <w:snapToGrid w:val="0"/>
        <w:spacing w:before="100" w:beforeAutospacing="1" w:after="100" w:afterAutospacing="1" w:line="336" w:lineRule="auto"/>
        <w:ind w:left="412" w:firstLine="480" w:firstLineChars="200"/>
        <w:rPr>
          <w:rFonts w:ascii="Arial" w:hAnsi="Arial" w:eastAsia="宋体" w:cs="Arial"/>
          <w:color w:val="auto"/>
          <w:sz w:val="24"/>
          <w:shd w:val="clear" w:color="auto" w:fill="FFFFFF"/>
        </w:rPr>
      </w:pPr>
      <w:r>
        <w:rPr>
          <w:rFonts w:hint="eastAsia" w:cs="宋体" w:asciiTheme="minorEastAsia" w:hAnsiTheme="minorEastAsia"/>
          <w:bCs/>
          <w:color w:val="auto"/>
          <w:sz w:val="24"/>
        </w:rPr>
        <w:t>邮    编：</w:t>
      </w:r>
      <w:r>
        <w:rPr>
          <w:rFonts w:ascii="Arial" w:hAnsi="Arial" w:eastAsia="宋体" w:cs="Arial"/>
          <w:color w:val="auto"/>
          <w:sz w:val="24"/>
          <w:shd w:val="clear" w:color="auto" w:fill="FFFFFF"/>
        </w:rPr>
        <w:t>361001</w:t>
      </w:r>
    </w:p>
    <w:p>
      <w:pPr>
        <w:pStyle w:val="2"/>
        <w:snapToGrid w:val="0"/>
        <w:spacing w:before="100" w:beforeAutospacing="1" w:after="100" w:afterAutospacing="1" w:line="336" w:lineRule="auto"/>
        <w:ind w:left="412" w:firstLine="480" w:firstLineChars="200"/>
        <w:jc w:val="right"/>
        <w:rPr>
          <w:rFonts w:asciiTheme="minorEastAsia" w:hAnsiTheme="minorEastAsia"/>
          <w:color w:val="auto"/>
          <w:sz w:val="24"/>
        </w:rPr>
      </w:pPr>
      <w:r>
        <w:rPr>
          <w:rFonts w:hint="eastAsia" w:asciiTheme="minorEastAsia" w:hAnsiTheme="minorEastAsia"/>
          <w:color w:val="auto"/>
          <w:sz w:val="24"/>
        </w:rPr>
        <w:t xml:space="preserve"> 福化工贸（漳州）有限公司 </w:t>
      </w:r>
    </w:p>
    <w:p>
      <w:pPr>
        <w:spacing w:before="100" w:beforeAutospacing="1" w:after="100" w:afterAutospacing="1" w:line="336"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2021年1</w:t>
      </w: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月</w:t>
      </w:r>
      <w:r>
        <w:rPr>
          <w:rFonts w:hint="eastAsia" w:asciiTheme="minorEastAsia" w:hAnsiTheme="minorEastAsia" w:eastAsiaTheme="minorEastAsia"/>
          <w:color w:val="auto"/>
          <w:sz w:val="24"/>
          <w:lang w:val="en-US" w:eastAsia="zh-CN"/>
        </w:rPr>
        <w:t>15</w:t>
      </w:r>
      <w:r>
        <w:rPr>
          <w:rFonts w:hint="eastAsia" w:asciiTheme="minorEastAsia" w:hAnsiTheme="minorEastAsia" w:eastAsiaTheme="minorEastAsia"/>
          <w:color w:val="auto"/>
          <w:sz w:val="24"/>
        </w:rPr>
        <w:t>日</w:t>
      </w: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eastAsia="zh-CN"/>
        </w:rPr>
        <w:t>聚氯化铝</w:t>
      </w:r>
      <w:r>
        <w:rPr>
          <w:rFonts w:hint="eastAsia" w:ascii="宋体" w:hAnsi="宋体"/>
          <w:color w:val="auto"/>
          <w:sz w:val="18"/>
          <w:szCs w:val="18"/>
          <w:u w:val="single"/>
        </w:rPr>
        <w:t>。</w:t>
      </w:r>
    </w:p>
    <w:p>
      <w:pPr>
        <w:pStyle w:val="14"/>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hAnsi="宋体"/>
          <w:color w:val="auto"/>
          <w:sz w:val="18"/>
          <w:szCs w:val="18"/>
        </w:rPr>
      </w:pPr>
      <w:r>
        <w:rPr>
          <w:rFonts w:hint="eastAsia" w:ascii="宋体"/>
          <w:color w:val="auto"/>
          <w:sz w:val="18"/>
          <w:szCs w:val="18"/>
        </w:rPr>
        <w:t>（4）与比选人无诉讼纠纷。</w:t>
      </w:r>
    </w:p>
    <w:p>
      <w:pPr>
        <w:spacing w:line="320" w:lineRule="exact"/>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val="en-US" w:eastAsia="zh-CN"/>
        </w:rPr>
        <w:t>5</w:t>
      </w:r>
      <w:r>
        <w:rPr>
          <w:rFonts w:hint="eastAsia" w:ascii="宋体" w:hAnsi="宋体"/>
          <w:color w:val="auto"/>
          <w:sz w:val="18"/>
          <w:szCs w:val="18"/>
        </w:rPr>
        <w:t>）参选保证金：</w:t>
      </w:r>
      <w:r>
        <w:rPr>
          <w:rFonts w:hint="eastAsia" w:ascii="宋体" w:hAnsi="宋体"/>
          <w:color w:val="auto"/>
          <w:sz w:val="18"/>
          <w:szCs w:val="18"/>
          <w:lang w:val="en-US" w:eastAsia="zh-CN"/>
        </w:rPr>
        <w:t>叁万伍仟</w:t>
      </w:r>
      <w:r>
        <w:rPr>
          <w:rFonts w:hint="eastAsia" w:ascii="宋体" w:hAnsi="宋体"/>
          <w:color w:val="auto"/>
          <w:sz w:val="18"/>
          <w:szCs w:val="18"/>
          <w:lang w:val="en-US" w:eastAsia="zh-CN"/>
        </w:rPr>
        <w:t>元</w:t>
      </w:r>
      <w:r>
        <w:rPr>
          <w:rFonts w:hint="eastAsia" w:ascii="宋体" w:hAnsi="宋体"/>
          <w:color w:val="auto"/>
          <w:sz w:val="18"/>
          <w:szCs w:val="18"/>
          <w:lang w:val="en-US" w:eastAsia="zh-CN"/>
        </w:rPr>
        <w:t>整</w:t>
      </w:r>
      <w:r>
        <w:rPr>
          <w:rFonts w:hint="eastAsia" w:ascii="宋体" w:hAnsi="宋体"/>
          <w:color w:val="auto"/>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eastAsia="zh-CN"/>
        </w:rPr>
        <w:t>聚氯化铝</w:t>
      </w:r>
      <w:r>
        <w:rPr>
          <w:rFonts w:hint="eastAsia" w:ascii="宋体" w:hAnsi="宋体"/>
          <w:color w:val="auto"/>
          <w:sz w:val="18"/>
          <w:szCs w:val="18"/>
          <w:u w:val="single"/>
        </w:rPr>
        <w:t>的</w:t>
      </w:r>
      <w:r>
        <w:rPr>
          <w:rFonts w:hint="eastAsia" w:ascii="宋体" w:hAnsi="宋体"/>
          <w:color w:val="auto"/>
          <w:sz w:val="18"/>
          <w:szCs w:val="18"/>
        </w:rPr>
        <w:t>采购指导价格。比选会议确定指导价格之后：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ascii="宋体"/>
          <w:color w:val="auto"/>
          <w:sz w:val="18"/>
          <w:szCs w:val="18"/>
        </w:rPr>
      </w:pPr>
      <w:r>
        <w:rPr>
          <w:rFonts w:hint="eastAsia" w:ascii="宋体" w:hAnsi="宋体"/>
          <w:color w:val="auto"/>
          <w:sz w:val="18"/>
          <w:szCs w:val="18"/>
        </w:rPr>
        <w:t>12.参选文件不退还。</w:t>
      </w:r>
    </w:p>
    <w:p>
      <w:pPr>
        <w:spacing w:line="320" w:lineRule="exact"/>
        <w:rPr>
          <w:rFonts w:ascii="宋体" w:hAnsi="宋体"/>
          <w:b/>
          <w:bCs/>
          <w:color w:val="auto"/>
          <w:sz w:val="36"/>
          <w:szCs w:val="36"/>
        </w:rPr>
      </w:pPr>
      <w:r>
        <w:rPr>
          <w:rFonts w:ascii="宋体" w:hAnsi="宋体"/>
          <w:color w:val="auto"/>
          <w:sz w:val="18"/>
          <w:szCs w:val="18"/>
        </w:rPr>
        <w:t>1</w:t>
      </w:r>
      <w:r>
        <w:rPr>
          <w:rFonts w:hint="eastAsia" w:ascii="宋体" w:hAnsi="宋体"/>
          <w:color w:val="auto"/>
          <w:sz w:val="18"/>
          <w:szCs w:val="18"/>
        </w:rPr>
        <w:t>3</w:t>
      </w:r>
      <w:r>
        <w:rPr>
          <w:rFonts w:ascii="宋体" w:hAnsi="宋体"/>
          <w:color w:val="auto"/>
          <w:sz w:val="18"/>
          <w:szCs w:val="18"/>
        </w:rPr>
        <w:t>.</w:t>
      </w:r>
      <w:r>
        <w:rPr>
          <w:rFonts w:hint="eastAsia" w:ascii="宋体" w:hAnsi="宋体" w:cs="宋体"/>
          <w:b/>
          <w:color w:val="auto"/>
          <w:kern w:val="0"/>
          <w:sz w:val="24"/>
        </w:rPr>
        <w:t>若报价偏离市场行情，福化工贸（漳州）有限公司有权选择废选。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Theme="minorEastAsia"/>
          <w:b/>
          <w:bCs/>
          <w:color w:val="auto"/>
          <w:sz w:val="24"/>
          <w:lang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聚氯化铝</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1215</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eastAsia="zh-CN"/>
        </w:rPr>
        <w:t>聚氯化铝</w:t>
      </w:r>
      <w:r>
        <w:rPr>
          <w:rFonts w:hint="eastAsia" w:ascii="宋体" w:hAnsi="宋体"/>
          <w:color w:val="auto"/>
          <w:sz w:val="28"/>
          <w:szCs w:val="28"/>
        </w:rPr>
        <w:t>，具体要求如下：</w:t>
      </w:r>
      <w:r>
        <w:rPr>
          <w:rFonts w:ascii="宋体"/>
          <w:color w:val="auto"/>
          <w:sz w:val="28"/>
          <w:szCs w:val="28"/>
        </w:rPr>
        <w:tab/>
      </w:r>
    </w:p>
    <w:p>
      <w:pPr>
        <w:numPr>
          <w:ilvl w:val="0"/>
          <w:numId w:val="6"/>
        </w:numPr>
        <w:spacing w:line="360" w:lineRule="exact"/>
        <w:jc w:val="left"/>
        <w:rPr>
          <w:rFonts w:ascii="宋体" w:hAnsi="宋体" w:cs="宋体"/>
          <w:color w:val="auto"/>
          <w:sz w:val="24"/>
        </w:rPr>
      </w:pPr>
      <w:r>
        <w:rPr>
          <w:rFonts w:hint="eastAsia" w:ascii="宋体" w:cs="宋体"/>
          <w:color w:val="auto"/>
          <w:sz w:val="24"/>
        </w:rPr>
        <w:t>采购数量：</w:t>
      </w:r>
      <w:r>
        <w:rPr>
          <w:rFonts w:hint="eastAsia" w:ascii="宋体" w:cs="宋体"/>
          <w:color w:val="auto"/>
          <w:sz w:val="24"/>
          <w:lang w:val="en-US" w:eastAsia="zh-CN"/>
        </w:rPr>
        <w:t>1000吨</w:t>
      </w:r>
      <w:r>
        <w:rPr>
          <w:rFonts w:hint="eastAsia" w:ascii="宋体" w:cs="宋体"/>
          <w:color w:val="auto"/>
          <w:sz w:val="24"/>
        </w:rPr>
        <w:t>（数量为</w:t>
      </w:r>
      <w:r>
        <w:rPr>
          <w:rFonts w:hint="eastAsia" w:ascii="宋体" w:cs="宋体"/>
          <w:color w:val="auto"/>
          <w:sz w:val="24"/>
          <w:lang w:val="en-US" w:eastAsia="zh-CN"/>
        </w:rPr>
        <w:t>2022年第一季度</w:t>
      </w:r>
      <w:r>
        <w:rPr>
          <w:rFonts w:hint="eastAsia" w:ascii="宋体" w:cs="宋体"/>
          <w:color w:val="auto"/>
          <w:sz w:val="24"/>
        </w:rPr>
        <w:t>预估量，以实际发生量为准）。</w:t>
      </w:r>
    </w:p>
    <w:p>
      <w:pPr>
        <w:spacing w:line="360" w:lineRule="exact"/>
        <w:jc w:val="left"/>
        <w:rPr>
          <w:rFonts w:ascii="宋体" w:hAnsi="宋体" w:cs="宋体"/>
          <w:color w:val="auto"/>
          <w:sz w:val="24"/>
        </w:rPr>
      </w:pPr>
      <w:r>
        <w:rPr>
          <w:rFonts w:hint="eastAsia" w:ascii="宋体" w:hAnsi="宋体" w:cs="宋体"/>
          <w:color w:val="auto"/>
          <w:sz w:val="24"/>
        </w:rPr>
        <w:t>2.技术参数指标详见附件1《</w:t>
      </w:r>
      <w:r>
        <w:rPr>
          <w:rFonts w:hint="eastAsia" w:ascii="宋体" w:hAnsi="宋体"/>
          <w:color w:val="auto"/>
          <w:sz w:val="24"/>
          <w:lang w:eastAsia="zh-CN"/>
        </w:rPr>
        <w:t>聚氯化铝</w:t>
      </w:r>
      <w:r>
        <w:rPr>
          <w:rFonts w:hint="eastAsia" w:ascii="宋体" w:hAnsi="宋体" w:cs="宋体"/>
          <w:color w:val="auto"/>
          <w:sz w:val="24"/>
        </w:rPr>
        <w:t>质量规范》。</w:t>
      </w:r>
    </w:p>
    <w:p>
      <w:pPr>
        <w:spacing w:line="360" w:lineRule="exact"/>
        <w:jc w:val="left"/>
        <w:rPr>
          <w:rFonts w:ascii="宋体" w:cs="宋体"/>
          <w:color w:val="auto"/>
          <w:sz w:val="24"/>
        </w:rPr>
      </w:pPr>
      <w:r>
        <w:rPr>
          <w:rFonts w:hint="eastAsia" w:ascii="宋体" w:hAnsi="宋体" w:cs="宋体"/>
          <w:color w:val="auto"/>
          <w:sz w:val="24"/>
        </w:rPr>
        <w:t>3.</w:t>
      </w:r>
      <w:r>
        <w:rPr>
          <w:rFonts w:hint="eastAsia" w:ascii="宋体" w:hAnsi="宋体"/>
          <w:color w:val="auto"/>
          <w:sz w:val="24"/>
        </w:rPr>
        <w:t>到货时间：</w:t>
      </w:r>
      <w:r>
        <w:rPr>
          <w:rFonts w:hint="eastAsia" w:ascii="宋体" w:hAnsi="宋体"/>
          <w:color w:val="auto"/>
          <w:sz w:val="24"/>
          <w:lang w:val="en-US" w:eastAsia="zh-CN"/>
        </w:rPr>
        <w:t>2022年1月1日-2022年3月31日，</w:t>
      </w:r>
      <w:r>
        <w:rPr>
          <w:rFonts w:hint="eastAsia" w:ascii="宋体" w:hAnsi="宋体"/>
          <w:color w:val="auto"/>
          <w:sz w:val="24"/>
        </w:rPr>
        <w:t>具体以需方通知为准。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rPr>
        <w:t>4.报价须知：</w:t>
      </w:r>
      <w:r>
        <w:rPr>
          <w:rFonts w:hint="eastAsia" w:asciiTheme="minorEastAsia" w:hAnsiTheme="minorEastAsia" w:eastAsiaTheme="minorEastAsia"/>
          <w:bCs/>
          <w:color w:val="auto"/>
          <w:kern w:val="0"/>
          <w:sz w:val="24"/>
          <w:lang w:eastAsia="zh-CN"/>
        </w:rPr>
        <w:t>聚氯化铝</w:t>
      </w:r>
      <w:r>
        <w:rPr>
          <w:rFonts w:hint="eastAsia" w:ascii="宋体" w:hAnsi="宋体" w:cs="宋体"/>
          <w:color w:val="auto"/>
          <w:sz w:val="24"/>
        </w:rPr>
        <w:t>含税送到价。参选人需对全部比选数量进行报价。</w:t>
      </w:r>
    </w:p>
    <w:p>
      <w:pPr>
        <w:spacing w:line="360" w:lineRule="exact"/>
        <w:jc w:val="left"/>
        <w:rPr>
          <w:rFonts w:ascii="宋体" w:cs="宋体"/>
          <w:color w:val="auto"/>
          <w:sz w:val="24"/>
        </w:rPr>
      </w:pPr>
      <w:r>
        <w:rPr>
          <w:rFonts w:hint="eastAsia" w:ascii="宋体" w:hAnsi="宋体" w:cs="宋体"/>
          <w:color w:val="auto"/>
          <w:sz w:val="24"/>
        </w:rPr>
        <w:t>5.其他要求按双方签订的合同执行，关键条款重申如下：</w:t>
      </w:r>
    </w:p>
    <w:p>
      <w:pPr>
        <w:spacing w:line="350" w:lineRule="exact"/>
        <w:jc w:val="left"/>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color w:val="auto"/>
          <w:sz w:val="24"/>
        </w:rPr>
      </w:pPr>
      <w:r>
        <w:rPr>
          <w:rFonts w:hint="eastAsia" w:ascii="宋体" w:hAnsi="宋体" w:cs="宋体"/>
          <w:color w:val="auto"/>
          <w:sz w:val="24"/>
        </w:rPr>
        <w:t>5.2数量验收：以需方使用单位验收为准。</w:t>
      </w:r>
    </w:p>
    <w:p>
      <w:pPr>
        <w:numPr>
          <w:ilvl w:val="0"/>
          <w:numId w:val="7"/>
        </w:numPr>
        <w:spacing w:line="350" w:lineRule="exact"/>
        <w:jc w:val="left"/>
        <w:rPr>
          <w:rFonts w:asciiTheme="minorEastAsia" w:hAnsiTheme="minorEastAsia" w:eastAsiaTheme="minorEastAsia"/>
          <w:color w:val="auto"/>
          <w:kern w:val="0"/>
          <w:sz w:val="24"/>
        </w:rPr>
      </w:pP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rPr>
        <w:t>7.参选文件的递交</w:t>
      </w:r>
    </w:p>
    <w:p>
      <w:pPr>
        <w:spacing w:line="360" w:lineRule="exact"/>
        <w:jc w:val="left"/>
        <w:rPr>
          <w:rFonts w:ascii="宋体" w:hAnsi="宋体" w:cs="宋体"/>
          <w:color w:val="auto"/>
          <w:sz w:val="24"/>
        </w:rPr>
      </w:pPr>
      <w:r>
        <w:rPr>
          <w:rFonts w:hint="eastAsia" w:ascii="宋体" w:hAnsi="宋体" w:cs="宋体"/>
          <w:color w:val="auto"/>
          <w:sz w:val="24"/>
        </w:rPr>
        <w:t>7.1参选文件递交截止时间：见比选公告。</w:t>
      </w:r>
    </w:p>
    <w:p>
      <w:pPr>
        <w:spacing w:line="360" w:lineRule="exact"/>
        <w:jc w:val="left"/>
        <w:rPr>
          <w:rFonts w:ascii="宋体" w:hAnsi="宋体" w:cs="宋体"/>
          <w:color w:val="auto"/>
          <w:sz w:val="24"/>
        </w:rPr>
      </w:pPr>
      <w:r>
        <w:rPr>
          <w:rFonts w:hint="eastAsia" w:ascii="宋体" w:hAnsi="宋体" w:cs="宋体"/>
          <w:color w:val="auto"/>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color w:val="auto"/>
          <w:sz w:val="24"/>
        </w:rPr>
      </w:pPr>
      <w:r>
        <w:rPr>
          <w:rFonts w:hint="eastAsia" w:ascii="宋体" w:hAnsi="宋体" w:cs="宋体"/>
          <w:color w:val="auto"/>
          <w:sz w:val="24"/>
        </w:rPr>
        <w:t>7.3我公司快递联系方式：公司名称：福化工贸(漳州）有限公司</w:t>
      </w:r>
    </w:p>
    <w:p>
      <w:pPr>
        <w:spacing w:line="360" w:lineRule="exact"/>
        <w:jc w:val="left"/>
        <w:rPr>
          <w:rFonts w:ascii="宋体" w:hAnsi="宋体" w:cs="宋体"/>
          <w:color w:val="auto"/>
          <w:sz w:val="24"/>
        </w:rPr>
      </w:pPr>
      <w:r>
        <w:rPr>
          <w:rFonts w:hint="eastAsia" w:ascii="宋体" w:hAnsi="宋体" w:cs="宋体"/>
          <w:color w:val="auto"/>
          <w:sz w:val="24"/>
        </w:rPr>
        <w:t>地址：福建省厦门市思明区莲前街道领事馆路16号银领中心B栋4楼 物资装备一部</w:t>
      </w:r>
    </w:p>
    <w:p>
      <w:pPr>
        <w:spacing w:line="360" w:lineRule="exact"/>
        <w:jc w:val="left"/>
        <w:rPr>
          <w:rFonts w:ascii="宋体" w:hAnsi="宋体" w:cs="宋体"/>
          <w:color w:val="auto"/>
          <w:sz w:val="24"/>
        </w:rPr>
      </w:pPr>
    </w:p>
    <w:p>
      <w:pPr>
        <w:spacing w:line="360" w:lineRule="exact"/>
        <w:jc w:val="left"/>
        <w:rPr>
          <w:rFonts w:ascii="宋体"/>
          <w:color w:val="auto"/>
          <w:sz w:val="24"/>
          <w:u w:val="single"/>
        </w:rPr>
      </w:pPr>
      <w:r>
        <w:rPr>
          <w:rFonts w:hint="eastAsia" w:ascii="宋体" w:hAnsi="宋体" w:cs="宋体"/>
          <w:color w:val="auto"/>
          <w:sz w:val="24"/>
        </w:rPr>
        <w:t>联系人：李奎  手机：18405067788</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ascii="宋体"/>
          <w:color w:val="auto"/>
          <w:sz w:val="24"/>
        </w:rPr>
      </w:pPr>
      <w:r>
        <w:rPr>
          <w:rFonts w:hint="eastAsia" w:ascii="宋体" w:hAnsi="宋体"/>
          <w:color w:val="auto"/>
          <w:sz w:val="24"/>
        </w:rPr>
        <w:t>致：福化工贸（漳州）有限公司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聚氯化铝</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1215</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聚氯化铝</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1215</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致：福化工贸（漳州）有限公司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聚氯化铝</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1215</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eastAsia="zh-CN"/>
        </w:rPr>
        <w:t>聚氯化铝</w:t>
      </w:r>
      <w:r>
        <w:rPr>
          <w:rFonts w:hint="eastAsia" w:ascii="宋体" w:hAnsi="宋体"/>
          <w:color w:val="auto"/>
          <w:sz w:val="24"/>
        </w:rPr>
        <w:t>：</w:t>
      </w:r>
    </w:p>
    <w:p>
      <w:pPr>
        <w:spacing w:line="500" w:lineRule="exact"/>
        <w:rPr>
          <w:rFonts w:ascii="宋体" w:hAnsi="宋体"/>
          <w:color w:val="auto"/>
          <w:sz w:val="24"/>
          <w:u w:val="single"/>
        </w:rPr>
      </w:pPr>
      <w:r>
        <w:rPr>
          <w:rFonts w:hint="eastAsia" w:ascii="宋体" w:hAnsi="宋体"/>
          <w:color w:val="auto"/>
          <w:sz w:val="24"/>
        </w:rPr>
        <w:t xml:space="preserve">  数量：</w:t>
      </w:r>
      <w:r>
        <w:rPr>
          <w:rFonts w:hint="eastAsia" w:ascii="宋体" w:hAnsi="宋体"/>
          <w:color w:val="auto"/>
          <w:sz w:val="24"/>
          <w:u w:val="single"/>
          <w:lang w:val="en-US" w:eastAsia="zh-CN"/>
        </w:rPr>
        <w:t>1000</w:t>
      </w:r>
      <w:r>
        <w:rPr>
          <w:rFonts w:hint="eastAsia" w:ascii="宋体" w:cs="宋体"/>
          <w:color w:val="auto"/>
          <w:sz w:val="24"/>
          <w:u w:val="single"/>
        </w:rPr>
        <w:t>吨</w:t>
      </w:r>
      <w:r>
        <w:rPr>
          <w:rFonts w:hint="eastAsia" w:ascii="宋体" w:cs="宋体"/>
          <w:color w:val="auto"/>
          <w:sz w:val="24"/>
        </w:rPr>
        <w:t>（数量为</w:t>
      </w:r>
      <w:r>
        <w:rPr>
          <w:rFonts w:hint="eastAsia" w:ascii="宋体" w:cs="宋体"/>
          <w:color w:val="auto"/>
          <w:sz w:val="24"/>
          <w:lang w:val="en-US" w:eastAsia="zh-CN"/>
        </w:rPr>
        <w:t>2022年第一季度</w:t>
      </w:r>
      <w:r>
        <w:rPr>
          <w:rFonts w:hint="eastAsia" w:ascii="宋体" w:cs="宋体"/>
          <w:color w:val="auto"/>
          <w:sz w:val="24"/>
        </w:rPr>
        <w:t>预估量，以实际发生量为准）</w:t>
      </w:r>
      <w:r>
        <w:rPr>
          <w:rFonts w:hint="eastAsia" w:ascii="宋体" w:hAnsi="宋体"/>
          <w:color w:val="auto"/>
          <w:sz w:val="24"/>
        </w:rPr>
        <w:t>，</w:t>
      </w:r>
    </w:p>
    <w:p>
      <w:pPr>
        <w:spacing w:line="500" w:lineRule="exact"/>
        <w:ind w:firstLine="241" w:firstLineChars="100"/>
        <w:rPr>
          <w:rFonts w:ascii="宋体" w:hAnsi="宋体"/>
          <w:b/>
          <w:bCs/>
          <w:color w:val="auto"/>
          <w:sz w:val="24"/>
          <w:u w:val="single"/>
        </w:rPr>
      </w:pPr>
      <w:r>
        <w:rPr>
          <w:rFonts w:hint="eastAsia" w:ascii="宋体" w:hAnsi="宋体"/>
          <w:b/>
          <w:bCs/>
          <w:color w:val="auto"/>
          <w:sz w:val="24"/>
        </w:rPr>
        <w:t>含税送到单价：</w:t>
      </w:r>
      <w:r>
        <w:rPr>
          <w:rFonts w:hint="eastAsia" w:ascii="宋体" w:hAnsi="宋体"/>
          <w:b/>
          <w:bCs/>
          <w:color w:val="auto"/>
          <w:sz w:val="24"/>
          <w:u w:val="single"/>
        </w:rPr>
        <w:t xml:space="preserve">        </w:t>
      </w:r>
      <w:r>
        <w:rPr>
          <w:rFonts w:hint="eastAsia" w:ascii="宋体" w:hAnsi="宋体"/>
          <w:b/>
          <w:bCs/>
          <w:color w:val="auto"/>
          <w:sz w:val="24"/>
          <w:lang w:eastAsia="zh-CN"/>
        </w:rPr>
        <w:t>元</w:t>
      </w:r>
      <w:r>
        <w:rPr>
          <w:rFonts w:hint="eastAsia" w:ascii="宋体" w:hAnsi="宋体"/>
          <w:b/>
          <w:bCs/>
          <w:color w:val="auto"/>
          <w:sz w:val="24"/>
        </w:rPr>
        <w:t>/吨，增值税税率</w:t>
      </w:r>
      <w:r>
        <w:rPr>
          <w:rFonts w:hint="eastAsia" w:ascii="宋体" w:hAnsi="宋体"/>
          <w:b/>
          <w:bCs/>
          <w:color w:val="auto"/>
          <w:sz w:val="24"/>
          <w:u w:val="single"/>
        </w:rPr>
        <w:t xml:space="preserve">  13%  。</w:t>
      </w:r>
    </w:p>
    <w:p>
      <w:pPr>
        <w:numPr>
          <w:ilvl w:val="0"/>
          <w:numId w:val="9"/>
        </w:numPr>
        <w:spacing w:line="312" w:lineRule="auto"/>
        <w:rPr>
          <w:rFonts w:ascii="宋体" w:hAnsi="宋体"/>
          <w:color w:val="auto"/>
          <w:sz w:val="24"/>
        </w:rPr>
      </w:pPr>
      <w:r>
        <w:rPr>
          <w:rFonts w:hint="eastAsia" w:ascii="宋体" w:hAnsi="宋体"/>
          <w:color w:val="auto"/>
          <w:sz w:val="24"/>
        </w:rPr>
        <w:t>质量验收标准 （详见附件1“</w:t>
      </w:r>
      <w:r>
        <w:rPr>
          <w:rFonts w:hint="eastAsia" w:ascii="宋体" w:hAnsi="宋体"/>
          <w:color w:val="auto"/>
          <w:sz w:val="24"/>
          <w:lang w:eastAsia="zh-CN"/>
        </w:rPr>
        <w:t>聚氯化铝</w:t>
      </w:r>
      <w:r>
        <w:rPr>
          <w:rFonts w:hint="eastAsia" w:ascii="宋体" w:hAnsi="宋体"/>
          <w:color w:val="auto"/>
          <w:sz w:val="24"/>
        </w:rPr>
        <w:t>质量规范”）。</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9"/>
        </w:numPr>
        <w:spacing w:line="312" w:lineRule="auto"/>
        <w:rPr>
          <w:rFonts w:ascii="宋体" w:hAnsi="宋体"/>
          <w:color w:val="auto"/>
          <w:sz w:val="24"/>
        </w:rPr>
      </w:pPr>
      <w:r>
        <w:rPr>
          <w:rFonts w:hint="eastAsia" w:ascii="宋体" w:hAnsi="宋体"/>
          <w:color w:val="auto"/>
          <w:sz w:val="24"/>
        </w:rPr>
        <w:t>我司同意在投标前缴纳保证金</w:t>
      </w:r>
      <w:r>
        <w:rPr>
          <w:rFonts w:hint="eastAsia" w:ascii="宋体" w:hAnsi="宋体"/>
          <w:color w:val="auto"/>
          <w:sz w:val="24"/>
          <w:lang w:val="en-US" w:eastAsia="zh-CN"/>
        </w:rPr>
        <w:t>叁万伍仟</w:t>
      </w:r>
      <w:r>
        <w:rPr>
          <w:rFonts w:hint="eastAsia" w:ascii="宋体" w:hAnsi="宋体"/>
          <w:color w:val="auto"/>
          <w:sz w:val="24"/>
          <w:lang w:val="en-US" w:eastAsia="zh-CN"/>
        </w:rPr>
        <w:t>元</w:t>
      </w:r>
      <w:r>
        <w:rPr>
          <w:rFonts w:hint="eastAsia" w:ascii="宋体" w:hAnsi="宋体"/>
          <w:color w:val="auto"/>
          <w:sz w:val="24"/>
          <w:lang w:val="en-US" w:eastAsia="zh-CN"/>
        </w:rPr>
        <w:t>整</w:t>
      </w:r>
      <w:r>
        <w:rPr>
          <w:rFonts w:hint="eastAsia" w:ascii="宋体" w:hAnsi="宋体"/>
          <w:color w:val="auto"/>
          <w:sz w:val="24"/>
          <w:lang w:eastAsia="zh-CN"/>
        </w:rPr>
        <w:t>元</w:t>
      </w:r>
      <w:r>
        <w:rPr>
          <w:rFonts w:hint="eastAsia" w:ascii="宋体" w:hAnsi="宋体"/>
          <w:color w:val="auto"/>
          <w:sz w:val="24"/>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具体以需方通知为准。</w:t>
      </w:r>
    </w:p>
    <w:p>
      <w:pPr>
        <w:spacing w:line="312" w:lineRule="auto"/>
        <w:rPr>
          <w:rFonts w:ascii="宋体" w:hAnsi="宋体"/>
          <w:color w:val="auto"/>
          <w:sz w:val="24"/>
        </w:rPr>
      </w:pPr>
      <w:r>
        <w:rPr>
          <w:rFonts w:hint="eastAsia" w:ascii="宋体" w:hAnsi="宋体"/>
          <w:color w:val="auto"/>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auto"/>
          <w:sz w:val="24"/>
        </w:rPr>
      </w:pPr>
      <w:r>
        <w:rPr>
          <w:rFonts w:hint="eastAsia" w:ascii="宋体" w:hAnsi="宋体"/>
          <w:color w:val="auto"/>
          <w:sz w:val="24"/>
        </w:rPr>
        <w:t>四、质量验收：以需方验收结果为准。详见附件1：《</w:t>
      </w:r>
      <w:r>
        <w:rPr>
          <w:rFonts w:hint="eastAsia" w:ascii="宋体" w:hAnsi="宋体"/>
          <w:color w:val="auto"/>
          <w:sz w:val="24"/>
          <w:lang w:eastAsia="zh-CN"/>
        </w:rPr>
        <w:t>聚氯化铝</w:t>
      </w:r>
      <w:r>
        <w:rPr>
          <w:rFonts w:hint="eastAsia" w:ascii="宋体" w:hAnsi="宋体"/>
          <w:color w:val="auto"/>
          <w:sz w:val="24"/>
        </w:rPr>
        <w:t>质量规范》；</w:t>
      </w:r>
    </w:p>
    <w:p>
      <w:pPr>
        <w:numPr>
          <w:ilvl w:val="0"/>
          <w:numId w:val="10"/>
        </w:numPr>
        <w:spacing w:line="312" w:lineRule="auto"/>
        <w:rPr>
          <w:rFonts w:ascii="宋体" w:hAnsi="宋体"/>
          <w:color w:val="auto"/>
          <w:sz w:val="24"/>
        </w:rPr>
      </w:pPr>
      <w:r>
        <w:rPr>
          <w:rFonts w:hint="eastAsia" w:ascii="宋体" w:hAnsi="宋体"/>
          <w:color w:val="auto"/>
          <w:sz w:val="24"/>
        </w:rPr>
        <w:t>数量验收以需方使用单位检验数量为准。</w:t>
      </w:r>
    </w:p>
    <w:p>
      <w:pPr>
        <w:spacing w:line="312" w:lineRule="auto"/>
        <w:rPr>
          <w:rFonts w:ascii="宋体" w:hAnsi="宋体"/>
          <w:color w:val="auto"/>
          <w:sz w:val="24"/>
        </w:rPr>
      </w:pPr>
      <w:r>
        <w:rPr>
          <w:rFonts w:hint="eastAsia" w:ascii="宋体" w:hAnsi="宋体"/>
          <w:color w:val="auto"/>
          <w:sz w:val="24"/>
        </w:rPr>
        <w:t>六、执行时间：2022年1月1日</w:t>
      </w:r>
      <w:r>
        <w:rPr>
          <w:rFonts w:ascii="宋体" w:hAnsi="宋体"/>
          <w:color w:val="auto"/>
          <w:sz w:val="24"/>
        </w:rPr>
        <w:t>-20</w:t>
      </w:r>
      <w:r>
        <w:rPr>
          <w:rFonts w:hint="eastAsia" w:ascii="宋体" w:hAnsi="宋体"/>
          <w:color w:val="auto"/>
          <w:sz w:val="24"/>
        </w:rPr>
        <w:t>22年</w:t>
      </w:r>
      <w:r>
        <w:rPr>
          <w:rFonts w:hint="eastAsia" w:ascii="宋体" w:hAnsi="宋体"/>
          <w:color w:val="auto"/>
          <w:sz w:val="24"/>
          <w:lang w:val="en-US" w:eastAsia="zh-CN"/>
        </w:rPr>
        <w:t>3</w:t>
      </w:r>
      <w:r>
        <w:rPr>
          <w:rFonts w:hint="eastAsia" w:ascii="宋体" w:hAnsi="宋体"/>
          <w:color w:val="auto"/>
          <w:sz w:val="24"/>
        </w:rPr>
        <w:t>月31日，其它约定以双方签订合同为准。</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rPr>
        <w:t>福化工贸（漳州）有限公司：</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4"/>
          <w:u w:val="single"/>
        </w:rPr>
        <w:t>2021-FH(ZZ)GM-</w:t>
      </w:r>
      <w:r>
        <w:rPr>
          <w:rFonts w:hint="eastAsia" w:asciiTheme="minorEastAsia" w:hAnsiTheme="minorEastAsia" w:eastAsiaTheme="minorEastAsia"/>
          <w:bCs/>
          <w:color w:val="auto"/>
          <w:sz w:val="24"/>
          <w:u w:val="single"/>
          <w:lang w:eastAsia="zh-CN"/>
        </w:rPr>
        <w:t>聚氯化铝</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1215</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u w:val="single"/>
        </w:rPr>
        <w:t xml:space="preserve"> （详见附件1“</w:t>
      </w:r>
      <w:r>
        <w:rPr>
          <w:rFonts w:hint="eastAsia" w:ascii="宋体" w:hAnsi="宋体"/>
          <w:color w:val="auto"/>
          <w:sz w:val="28"/>
          <w:szCs w:val="28"/>
          <w:u w:val="single"/>
          <w:lang w:eastAsia="zh-CN"/>
        </w:rPr>
        <w:t>聚氯化铝</w:t>
      </w:r>
      <w:r>
        <w:rPr>
          <w:rFonts w:hint="eastAsia" w:ascii="宋体" w:hAnsi="宋体"/>
          <w:color w:val="auto"/>
          <w:sz w:val="28"/>
          <w:szCs w:val="28"/>
          <w:u w:val="single"/>
        </w:rPr>
        <w:t>质量规范”）</w:t>
      </w:r>
      <w:bookmarkEnd w:id="1"/>
      <w:r>
        <w:rPr>
          <w:rFonts w:hint="eastAsia" w:ascii="宋体" w:hAnsi="宋体"/>
          <w:color w:val="auto"/>
          <w:sz w:val="28"/>
          <w:szCs w:val="28"/>
        </w:rPr>
        <w:t>；数量：</w:t>
      </w:r>
      <w:r>
        <w:rPr>
          <w:rFonts w:hint="eastAsia" w:ascii="宋体" w:hAnsi="宋体"/>
          <w:color w:val="auto"/>
          <w:sz w:val="28"/>
          <w:szCs w:val="28"/>
          <w:u w:val="single"/>
          <w:lang w:val="en-US" w:eastAsia="zh-CN"/>
        </w:rPr>
        <w:t>1000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eastAsia="zh-CN"/>
        </w:rPr>
        <w:t>聚氯化铝</w:t>
      </w:r>
      <w:r>
        <w:rPr>
          <w:rFonts w:hint="eastAsia" w:ascii="宋体" w:hAnsi="宋体"/>
          <w:color w:val="auto"/>
          <w:sz w:val="28"/>
          <w:szCs w:val="28"/>
          <w:u w:val="single"/>
        </w:rPr>
        <w:t>质量规范”）</w:t>
      </w:r>
      <w:r>
        <w:rPr>
          <w:rFonts w:hint="eastAsia" w:ascii="宋体" w:hAnsi="宋体"/>
          <w:color w:val="auto"/>
          <w:sz w:val="28"/>
          <w:szCs w:val="28"/>
        </w:rPr>
        <w:t>；数量：</w:t>
      </w:r>
      <w:r>
        <w:rPr>
          <w:rFonts w:hint="eastAsia" w:ascii="宋体" w:hAnsi="宋体"/>
          <w:color w:val="auto"/>
          <w:sz w:val="28"/>
          <w:szCs w:val="28"/>
          <w:u w:val="single"/>
          <w:lang w:val="en-US" w:eastAsia="zh-CN"/>
        </w:rPr>
        <w:t>1000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ascii="宋体"/>
          <w:color w:val="auto"/>
          <w:sz w:val="28"/>
          <w:szCs w:val="28"/>
        </w:rPr>
      </w:pPr>
      <w:r>
        <w:rPr>
          <w:rFonts w:hint="eastAsia" w:ascii="宋体" w:hAnsi="宋体"/>
          <w:color w:val="auto"/>
          <w:sz w:val="28"/>
          <w:szCs w:val="28"/>
        </w:rPr>
        <w:t>执行时间：2022年1月1日</w:t>
      </w:r>
      <w:r>
        <w:rPr>
          <w:rFonts w:ascii="宋体" w:hAnsi="宋体"/>
          <w:color w:val="auto"/>
          <w:sz w:val="28"/>
          <w:szCs w:val="28"/>
        </w:rPr>
        <w:t>-</w:t>
      </w:r>
      <w:r>
        <w:rPr>
          <w:rFonts w:hint="eastAsia" w:ascii="宋体" w:hAnsi="宋体"/>
          <w:color w:val="auto"/>
          <w:sz w:val="28"/>
          <w:szCs w:val="28"/>
        </w:rPr>
        <w:t>2022年</w:t>
      </w:r>
      <w:r>
        <w:rPr>
          <w:rFonts w:hint="eastAsia" w:ascii="宋体" w:hAnsi="宋体"/>
          <w:color w:val="auto"/>
          <w:sz w:val="28"/>
          <w:szCs w:val="28"/>
          <w:lang w:val="en-US" w:eastAsia="zh-CN"/>
        </w:rPr>
        <w:t>3</w:t>
      </w:r>
      <w:r>
        <w:rPr>
          <w:rFonts w:hint="eastAsia" w:ascii="宋体" w:hAnsi="宋体"/>
          <w:color w:val="auto"/>
          <w:sz w:val="28"/>
          <w:szCs w:val="28"/>
        </w:rPr>
        <w:t>月31日</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ascii="宋体" w:hAnsi="宋体"/>
          <w:color w:val="auto"/>
          <w:sz w:val="28"/>
          <w:szCs w:val="28"/>
        </w:rPr>
      </w:pPr>
      <w:r>
        <w:rPr>
          <w:rFonts w:ascii="宋体" w:hAnsi="宋体"/>
          <w:color w:val="auto"/>
          <w:sz w:val="28"/>
          <w:szCs w:val="28"/>
        </w:rPr>
        <w:br w:type="page"/>
      </w:r>
    </w:p>
    <w:p>
      <w:pPr>
        <w:spacing w:line="360" w:lineRule="auto"/>
        <w:jc w:val="left"/>
        <w:rPr>
          <w:rFonts w:hint="eastAsia" w:ascii="宋体" w:hAnsi="宋体" w:cs="宋体"/>
          <w:b/>
          <w:color w:val="auto"/>
          <w:sz w:val="28"/>
          <w:szCs w:val="28"/>
        </w:rPr>
      </w:pPr>
      <w:r>
        <w:rPr>
          <w:rFonts w:hint="eastAsia" w:ascii="宋体" w:hAnsi="宋体" w:cs="宋体"/>
          <w:b/>
          <w:color w:val="auto"/>
          <w:sz w:val="28"/>
          <w:szCs w:val="28"/>
        </w:rPr>
        <w:t>附件1</w:t>
      </w:r>
    </w:p>
    <w:p>
      <w:pPr>
        <w:spacing w:before="0" w:line="460" w:lineRule="exact"/>
        <w:ind w:right="3888"/>
        <w:jc w:val="center"/>
        <w:rPr>
          <w:rFonts w:hint="eastAsia" w:ascii="宋体" w:hAnsi="宋体" w:eastAsia="宋体" w:cs="宋体"/>
          <w:color w:val="auto"/>
          <w:sz w:val="36"/>
          <w:szCs w:val="36"/>
          <w:lang w:val="en-US" w:eastAsia="zh-CN"/>
        </w:rPr>
      </w:pPr>
      <w:r>
        <w:rPr>
          <w:rFonts w:hint="eastAsia" w:ascii="宋体" w:hAnsi="宋体" w:cs="宋体"/>
          <w:color w:val="auto"/>
          <w:sz w:val="36"/>
          <w:szCs w:val="36"/>
          <w:lang w:val="en-US" w:eastAsia="zh-CN"/>
        </w:rPr>
        <w:t xml:space="preserve">                聚氯化铝</w:t>
      </w:r>
    </w:p>
    <w:p>
      <w:pPr>
        <w:pStyle w:val="3"/>
        <w:spacing w:before="289" w:line="261" w:lineRule="auto"/>
        <w:ind w:right="0"/>
        <w:jc w:val="left"/>
        <w:rPr>
          <w:color w:val="auto"/>
          <w:w w:val="99"/>
        </w:rPr>
      </w:pPr>
      <w:r>
        <w:rPr>
          <w:color w:val="auto"/>
        </w:rPr>
        <w:t>执行标准：</w:t>
      </w:r>
      <w:r>
        <w:rPr>
          <w:rFonts w:ascii="宋体" w:hAnsi="宋体" w:eastAsia="宋体" w:cs="宋体"/>
          <w:color w:val="auto"/>
        </w:rPr>
        <w:t>Q/FHC M101-2020</w:t>
      </w:r>
      <w:r>
        <w:rPr>
          <w:rFonts w:ascii="宋体" w:hAnsi="宋体" w:eastAsia="宋体" w:cs="宋体"/>
          <w:color w:val="auto"/>
          <w:spacing w:val="-1"/>
        </w:rPr>
        <w:t xml:space="preserve"> </w:t>
      </w:r>
      <w:r>
        <w:rPr>
          <w:color w:val="auto"/>
        </w:rPr>
        <w:t>聚氯化铝采购指标</w:t>
      </w:r>
      <w:r>
        <w:rPr>
          <w:color w:val="auto"/>
          <w:w w:val="99"/>
        </w:rPr>
        <w:t xml:space="preserve"> </w:t>
      </w:r>
    </w:p>
    <w:p>
      <w:pPr>
        <w:pStyle w:val="3"/>
        <w:spacing w:before="289" w:line="261" w:lineRule="auto"/>
        <w:ind w:right="0"/>
        <w:jc w:val="left"/>
        <w:rPr>
          <w:rFonts w:hint="eastAsia" w:eastAsia="宋体"/>
          <w:b w:val="0"/>
          <w:bCs w:val="0"/>
          <w:color w:val="auto"/>
          <w:lang w:val="en-US" w:eastAsia="zh-CN"/>
        </w:rPr>
      </w:pPr>
      <w:r>
        <w:rPr>
          <w:color w:val="auto"/>
        </w:rPr>
        <w:t>说明：</w:t>
      </w:r>
      <w:r>
        <w:rPr>
          <w:rFonts w:ascii="宋体" w:hAnsi="宋体" w:eastAsia="宋体" w:cs="宋体"/>
          <w:color w:val="auto"/>
        </w:rPr>
        <w:t>1</w:t>
      </w:r>
      <w:r>
        <w:rPr>
          <w:color w:val="auto"/>
        </w:rPr>
        <w:t>、液体聚氯化铝采购指标。用于</w:t>
      </w:r>
      <w:r>
        <w:rPr>
          <w:color w:val="auto"/>
          <w:spacing w:val="-73"/>
        </w:rPr>
        <w:t xml:space="preserve"> </w:t>
      </w:r>
      <w:r>
        <w:rPr>
          <w:rFonts w:ascii="宋体" w:hAnsi="宋体" w:eastAsia="宋体" w:cs="宋体"/>
          <w:color w:val="auto"/>
        </w:rPr>
        <w:t>PX</w:t>
      </w:r>
      <w:r>
        <w:rPr>
          <w:rFonts w:ascii="宋体" w:hAnsi="宋体" w:eastAsia="宋体" w:cs="宋体"/>
          <w:color w:val="auto"/>
          <w:spacing w:val="-72"/>
        </w:rPr>
        <w:t xml:space="preserve"> </w:t>
      </w:r>
      <w:r>
        <w:rPr>
          <w:color w:val="auto"/>
        </w:rPr>
        <w:t>厂和</w:t>
      </w:r>
      <w:r>
        <w:rPr>
          <w:color w:val="auto"/>
          <w:spacing w:val="-73"/>
        </w:rPr>
        <w:t xml:space="preserve"> </w:t>
      </w:r>
      <w:r>
        <w:rPr>
          <w:rFonts w:ascii="宋体" w:hAnsi="宋体" w:eastAsia="宋体" w:cs="宋体"/>
          <w:color w:val="auto"/>
        </w:rPr>
        <w:t>PTA</w:t>
      </w:r>
      <w:r>
        <w:rPr>
          <w:rFonts w:ascii="宋体" w:hAnsi="宋体" w:eastAsia="宋体" w:cs="宋体"/>
          <w:color w:val="auto"/>
          <w:spacing w:val="-72"/>
        </w:rPr>
        <w:t xml:space="preserve"> </w:t>
      </w:r>
      <w:r>
        <w:rPr>
          <w:color w:val="auto"/>
        </w:rPr>
        <w:t>厂水气团队（水处理</w:t>
      </w:r>
      <w:r>
        <w:rPr>
          <w:rFonts w:hint="eastAsia"/>
          <w:color w:val="auto"/>
          <w:lang w:val="en-US" w:eastAsia="zh-CN"/>
        </w:rPr>
        <w:t>剂）。</w:t>
      </w:r>
    </w:p>
    <w:p>
      <w:pPr>
        <w:pStyle w:val="3"/>
        <w:spacing w:line="240" w:lineRule="auto"/>
        <w:ind w:right="0" w:firstLine="720" w:firstLineChars="300"/>
        <w:jc w:val="left"/>
        <w:rPr>
          <w:b w:val="0"/>
          <w:bCs w:val="0"/>
          <w:color w:val="auto"/>
        </w:rPr>
      </w:pPr>
      <w:r>
        <w:rPr>
          <w:rFonts w:ascii="宋体" w:hAnsi="宋体" w:eastAsia="宋体" w:cs="宋体"/>
          <w:color w:val="auto"/>
        </w:rPr>
        <w:t>2</w:t>
      </w:r>
      <w:r>
        <w:rPr>
          <w:color w:val="auto"/>
        </w:rPr>
        <w:t xml:space="preserve">、参照标准 </w:t>
      </w:r>
      <w:r>
        <w:rPr>
          <w:rFonts w:ascii="宋体" w:hAnsi="宋体" w:eastAsia="宋体" w:cs="宋体"/>
          <w:color w:val="auto"/>
        </w:rPr>
        <w:t xml:space="preserve">GB/T 22627-2014 </w:t>
      </w:r>
      <w:r>
        <w:rPr>
          <w:color w:val="auto"/>
        </w:rPr>
        <w:t>水处理剂</w:t>
      </w:r>
      <w:r>
        <w:rPr>
          <w:color w:val="auto"/>
          <w:spacing w:val="-79"/>
        </w:rPr>
        <w:t xml:space="preserve"> </w:t>
      </w:r>
      <w:r>
        <w:rPr>
          <w:color w:val="auto"/>
        </w:rPr>
        <w:t>聚氯化铝。</w:t>
      </w:r>
    </w:p>
    <w:p>
      <w:pPr>
        <w:spacing w:before="2" w:line="240" w:lineRule="auto"/>
        <w:rPr>
          <w:rFonts w:ascii="宋体" w:hAnsi="宋体" w:eastAsia="宋体" w:cs="宋体"/>
          <w:b/>
          <w:bCs/>
          <w:color w:val="auto"/>
          <w:sz w:val="3"/>
          <w:szCs w:val="3"/>
        </w:rPr>
      </w:pPr>
    </w:p>
    <w:tbl>
      <w:tblPr>
        <w:tblStyle w:val="6"/>
        <w:tblW w:w="4999" w:type="pct"/>
        <w:tblInd w:w="0" w:type="dxa"/>
        <w:tblLayout w:type="autofit"/>
        <w:tblCellMar>
          <w:top w:w="0" w:type="dxa"/>
          <w:left w:w="0" w:type="dxa"/>
          <w:bottom w:w="0" w:type="dxa"/>
          <w:right w:w="0" w:type="dxa"/>
        </w:tblCellMar>
      </w:tblPr>
      <w:tblGrid>
        <w:gridCol w:w="2943"/>
        <w:gridCol w:w="803"/>
        <w:gridCol w:w="2187"/>
        <w:gridCol w:w="2381"/>
      </w:tblGrid>
      <w:tr>
        <w:tblPrEx>
          <w:tblCellMar>
            <w:top w:w="0" w:type="dxa"/>
            <w:left w:w="0" w:type="dxa"/>
            <w:bottom w:w="0" w:type="dxa"/>
            <w:right w:w="0" w:type="dxa"/>
          </w:tblCellMar>
        </w:tblPrEx>
        <w:trPr>
          <w:trHeight w:val="577" w:hRule="exact"/>
        </w:trPr>
        <w:tc>
          <w:tcPr>
            <w:tcW w:w="2252" w:type="pct"/>
            <w:gridSpan w:val="2"/>
            <w:tcBorders>
              <w:top w:val="single" w:color="000000" w:sz="4" w:space="0"/>
              <w:left w:val="single" w:color="000000" w:sz="4" w:space="0"/>
              <w:bottom w:val="single" w:color="000000" w:sz="4" w:space="0"/>
              <w:right w:val="single" w:color="000000" w:sz="4" w:space="0"/>
            </w:tcBorders>
            <w:shd w:val="clear" w:color="auto" w:fill="C1C1C1"/>
          </w:tcPr>
          <w:p>
            <w:pPr>
              <w:pStyle w:val="18"/>
              <w:spacing w:before="88" w:line="240" w:lineRule="auto"/>
              <w:ind w:left="1202" w:right="0"/>
              <w:jc w:val="left"/>
              <w:rPr>
                <w:rFonts w:hint="eastAsia" w:ascii="宋体" w:hAnsi="宋体" w:eastAsia="宋体" w:cs="宋体"/>
                <w:i w:val="0"/>
                <w:iCs w:val="0"/>
                <w:color w:val="auto"/>
                <w:sz w:val="24"/>
                <w:szCs w:val="24"/>
              </w:rPr>
            </w:pPr>
            <w:r>
              <w:rPr>
                <w:rFonts w:hint="eastAsia" w:ascii="宋体" w:hAnsi="宋体" w:eastAsia="宋体" w:cs="宋体"/>
                <w:b/>
                <w:bCs/>
                <w:i w:val="0"/>
                <w:iCs w:val="0"/>
                <w:color w:val="auto"/>
                <w:sz w:val="24"/>
                <w:szCs w:val="24"/>
              </w:rPr>
              <w:t>分析项目</w:t>
            </w:r>
          </w:p>
        </w:tc>
        <w:tc>
          <w:tcPr>
            <w:tcW w:w="1315" w:type="pct"/>
            <w:tcBorders>
              <w:top w:val="single" w:color="000000" w:sz="4" w:space="0"/>
              <w:left w:val="single" w:color="000000" w:sz="4" w:space="0"/>
              <w:bottom w:val="single" w:color="000000" w:sz="4" w:space="0"/>
              <w:right w:val="single" w:color="000000" w:sz="4" w:space="0"/>
            </w:tcBorders>
            <w:shd w:val="clear" w:color="auto" w:fill="C1C1C1"/>
          </w:tcPr>
          <w:p>
            <w:pPr>
              <w:pStyle w:val="18"/>
              <w:spacing w:before="88" w:line="240" w:lineRule="auto"/>
              <w:ind w:left="736" w:right="0"/>
              <w:jc w:val="left"/>
              <w:rPr>
                <w:rFonts w:hint="eastAsia" w:ascii="宋体" w:hAnsi="宋体" w:eastAsia="宋体" w:cs="宋体"/>
                <w:i w:val="0"/>
                <w:iCs w:val="0"/>
                <w:color w:val="auto"/>
                <w:sz w:val="24"/>
                <w:szCs w:val="24"/>
              </w:rPr>
            </w:pPr>
            <w:r>
              <w:rPr>
                <w:rFonts w:hint="eastAsia" w:ascii="宋体" w:hAnsi="宋体" w:eastAsia="宋体" w:cs="宋体"/>
                <w:b/>
                <w:bCs/>
                <w:i w:val="0"/>
                <w:iCs w:val="0"/>
                <w:color w:val="auto"/>
                <w:sz w:val="24"/>
                <w:szCs w:val="24"/>
              </w:rPr>
              <w:t>质量指标</w:t>
            </w:r>
          </w:p>
        </w:tc>
        <w:tc>
          <w:tcPr>
            <w:tcW w:w="1431" w:type="pct"/>
            <w:tcBorders>
              <w:top w:val="single" w:color="000000" w:sz="4" w:space="0"/>
              <w:left w:val="single" w:color="000000" w:sz="4" w:space="0"/>
              <w:bottom w:val="single" w:color="000000" w:sz="4" w:space="0"/>
              <w:right w:val="single" w:color="000000" w:sz="4" w:space="0"/>
            </w:tcBorders>
            <w:shd w:val="clear" w:color="auto" w:fill="C1C1C1"/>
          </w:tcPr>
          <w:p>
            <w:pPr>
              <w:pStyle w:val="18"/>
              <w:spacing w:before="88" w:line="240" w:lineRule="auto"/>
              <w:ind w:left="844" w:right="0"/>
              <w:jc w:val="left"/>
              <w:rPr>
                <w:rFonts w:hint="eastAsia" w:ascii="宋体" w:hAnsi="宋体" w:eastAsia="宋体" w:cs="宋体"/>
                <w:i w:val="0"/>
                <w:iCs w:val="0"/>
                <w:color w:val="auto"/>
                <w:sz w:val="24"/>
                <w:szCs w:val="24"/>
              </w:rPr>
            </w:pPr>
            <w:r>
              <w:rPr>
                <w:rFonts w:hint="eastAsia" w:ascii="宋体" w:hAnsi="宋体" w:eastAsia="宋体" w:cs="宋体"/>
                <w:b/>
                <w:bCs/>
                <w:i w:val="0"/>
                <w:iCs w:val="0"/>
                <w:color w:val="auto"/>
                <w:sz w:val="24"/>
                <w:szCs w:val="24"/>
              </w:rPr>
              <w:t>试验方法</w:t>
            </w:r>
          </w:p>
        </w:tc>
      </w:tr>
      <w:tr>
        <w:tblPrEx>
          <w:tblCellMar>
            <w:top w:w="0" w:type="dxa"/>
            <w:left w:w="0" w:type="dxa"/>
            <w:bottom w:w="0" w:type="dxa"/>
            <w:right w:w="0" w:type="dxa"/>
          </w:tblCellMar>
        </w:tblPrEx>
        <w:trPr>
          <w:trHeight w:val="943" w:hRule="exact"/>
        </w:trPr>
        <w:tc>
          <w:tcPr>
            <w:tcW w:w="2252" w:type="pct"/>
            <w:gridSpan w:val="2"/>
            <w:tcBorders>
              <w:top w:val="single" w:color="000000" w:sz="4" w:space="0"/>
              <w:left w:val="single" w:color="000000" w:sz="4" w:space="0"/>
              <w:bottom w:val="single" w:color="000000" w:sz="4" w:space="0"/>
              <w:right w:val="single" w:color="000000" w:sz="4" w:space="0"/>
            </w:tcBorders>
          </w:tcPr>
          <w:p>
            <w:pPr>
              <w:pStyle w:val="18"/>
              <w:spacing w:before="10" w:line="240" w:lineRule="auto"/>
              <w:ind w:right="0"/>
              <w:jc w:val="left"/>
              <w:rPr>
                <w:rFonts w:hint="eastAsia" w:ascii="宋体" w:hAnsi="宋体" w:eastAsia="宋体" w:cs="宋体"/>
                <w:b/>
                <w:bCs/>
                <w:i w:val="0"/>
                <w:iCs w:val="0"/>
                <w:color w:val="auto"/>
                <w:sz w:val="20"/>
                <w:szCs w:val="20"/>
              </w:rPr>
            </w:pPr>
          </w:p>
          <w:p>
            <w:pPr>
              <w:pStyle w:val="18"/>
              <w:spacing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外观</w:t>
            </w:r>
          </w:p>
        </w:tc>
        <w:tc>
          <w:tcPr>
            <w:tcW w:w="1315" w:type="pct"/>
            <w:tcBorders>
              <w:top w:val="single" w:color="000000" w:sz="4" w:space="0"/>
              <w:left w:val="single" w:color="000000" w:sz="4" w:space="0"/>
              <w:bottom w:val="single" w:color="000000" w:sz="4" w:space="0"/>
              <w:right w:val="single" w:color="000000" w:sz="4" w:space="0"/>
            </w:tcBorders>
          </w:tcPr>
          <w:p>
            <w:pPr>
              <w:pStyle w:val="18"/>
              <w:spacing w:line="273" w:lineRule="exact"/>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pacing w:val="9"/>
                <w:sz w:val="24"/>
                <w:szCs w:val="24"/>
              </w:rPr>
              <w:t>无色、浅灰色、淡黄</w:t>
            </w:r>
          </w:p>
          <w:p>
            <w:pPr>
              <w:pStyle w:val="18"/>
              <w:spacing w:before="31" w:line="310" w:lineRule="exact"/>
              <w:ind w:left="103" w:right="89"/>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pacing w:val="9"/>
                <w:sz w:val="24"/>
                <w:szCs w:val="24"/>
              </w:rPr>
              <w:t xml:space="preserve">色或棕褐色透明或半 </w:t>
            </w:r>
            <w:r>
              <w:rPr>
                <w:rFonts w:hint="eastAsia" w:ascii="宋体" w:hAnsi="宋体" w:eastAsia="宋体" w:cs="宋体"/>
                <w:i w:val="0"/>
                <w:iCs w:val="0"/>
                <w:color w:val="auto"/>
                <w:sz w:val="24"/>
                <w:szCs w:val="24"/>
              </w:rPr>
              <w:t>透明液体，无沉淀</w:t>
            </w:r>
          </w:p>
        </w:tc>
        <w:tc>
          <w:tcPr>
            <w:tcW w:w="1431" w:type="pct"/>
            <w:tcBorders>
              <w:top w:val="single" w:color="000000" w:sz="4" w:space="0"/>
              <w:left w:val="single" w:color="000000" w:sz="4" w:space="0"/>
              <w:bottom w:val="single" w:color="000000" w:sz="4" w:space="0"/>
              <w:right w:val="single" w:color="000000" w:sz="4" w:space="0"/>
            </w:tcBorders>
          </w:tcPr>
          <w:p>
            <w:pPr>
              <w:pStyle w:val="18"/>
              <w:spacing w:before="10" w:line="240" w:lineRule="auto"/>
              <w:ind w:right="0"/>
              <w:jc w:val="left"/>
              <w:rPr>
                <w:rFonts w:hint="eastAsia" w:ascii="宋体" w:hAnsi="宋体" w:eastAsia="宋体" w:cs="宋体"/>
                <w:b/>
                <w:bCs/>
                <w:i w:val="0"/>
                <w:iCs w:val="0"/>
                <w:color w:val="auto"/>
                <w:sz w:val="20"/>
                <w:szCs w:val="20"/>
              </w:rPr>
            </w:pPr>
          </w:p>
          <w:p>
            <w:pPr>
              <w:pStyle w:val="18"/>
              <w:spacing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目测</w:t>
            </w:r>
          </w:p>
        </w:tc>
      </w:tr>
      <w:tr>
        <w:tblPrEx>
          <w:tblCellMar>
            <w:top w:w="0" w:type="dxa"/>
            <w:left w:w="0" w:type="dxa"/>
            <w:bottom w:w="0" w:type="dxa"/>
            <w:right w:w="0" w:type="dxa"/>
          </w:tblCellMar>
        </w:tblPrEx>
        <w:trPr>
          <w:trHeight w:val="576" w:hRule="exact"/>
        </w:trPr>
        <w:tc>
          <w:tcPr>
            <w:tcW w:w="1769" w:type="pct"/>
            <w:tcBorders>
              <w:top w:val="single" w:color="000000" w:sz="4" w:space="0"/>
              <w:left w:val="single" w:color="000000" w:sz="4" w:space="0"/>
              <w:bottom w:val="single" w:color="000000" w:sz="4" w:space="0"/>
              <w:right w:val="nil"/>
            </w:tcBorders>
          </w:tcPr>
          <w:p>
            <w:pPr>
              <w:pStyle w:val="18"/>
              <w:spacing w:before="86"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position w:val="2"/>
                <w:sz w:val="24"/>
                <w:szCs w:val="24"/>
              </w:rPr>
              <w:t>氧化铝（以</w:t>
            </w:r>
            <w:r>
              <w:rPr>
                <w:rFonts w:hint="eastAsia" w:ascii="宋体" w:hAnsi="宋体" w:eastAsia="宋体" w:cs="宋体"/>
                <w:i w:val="0"/>
                <w:iCs w:val="0"/>
                <w:color w:val="auto"/>
                <w:spacing w:val="-61"/>
                <w:position w:val="2"/>
                <w:sz w:val="24"/>
                <w:szCs w:val="24"/>
              </w:rPr>
              <w:t xml:space="preserve"> </w:t>
            </w:r>
            <w:r>
              <w:rPr>
                <w:rFonts w:hint="eastAsia" w:ascii="宋体" w:hAnsi="宋体" w:eastAsia="宋体" w:cs="宋体"/>
                <w:i w:val="0"/>
                <w:iCs w:val="0"/>
                <w:color w:val="auto"/>
                <w:spacing w:val="4"/>
                <w:position w:val="2"/>
                <w:sz w:val="24"/>
                <w:szCs w:val="24"/>
              </w:rPr>
              <w:t>Al</w:t>
            </w:r>
            <w:r>
              <w:rPr>
                <w:rFonts w:hint="eastAsia" w:ascii="宋体" w:hAnsi="宋体" w:eastAsia="宋体" w:cs="宋体"/>
                <w:i w:val="0"/>
                <w:iCs w:val="0"/>
                <w:color w:val="auto"/>
                <w:spacing w:val="4"/>
                <w:sz w:val="12"/>
                <w:szCs w:val="12"/>
              </w:rPr>
              <w:t>2</w:t>
            </w:r>
            <w:r>
              <w:rPr>
                <w:rFonts w:hint="eastAsia" w:ascii="宋体" w:hAnsi="宋体" w:eastAsia="宋体" w:cs="宋体"/>
                <w:i w:val="0"/>
                <w:iCs w:val="0"/>
                <w:color w:val="auto"/>
                <w:spacing w:val="-49"/>
                <w:sz w:val="12"/>
                <w:szCs w:val="12"/>
              </w:rPr>
              <w:t xml:space="preserve"> </w:t>
            </w:r>
            <w:r>
              <w:rPr>
                <w:rFonts w:hint="eastAsia" w:ascii="宋体" w:hAnsi="宋体" w:eastAsia="宋体" w:cs="宋体"/>
                <w:i w:val="0"/>
                <w:iCs w:val="0"/>
                <w:color w:val="auto"/>
                <w:spacing w:val="6"/>
                <w:position w:val="2"/>
                <w:sz w:val="24"/>
                <w:szCs w:val="24"/>
              </w:rPr>
              <w:t>O</w:t>
            </w:r>
            <w:r>
              <w:rPr>
                <w:rFonts w:hint="eastAsia" w:ascii="宋体" w:hAnsi="宋体" w:eastAsia="宋体" w:cs="宋体"/>
                <w:i w:val="0"/>
                <w:iCs w:val="0"/>
                <w:color w:val="auto"/>
                <w:spacing w:val="6"/>
                <w:sz w:val="12"/>
                <w:szCs w:val="12"/>
              </w:rPr>
              <w:t>3</w:t>
            </w:r>
            <w:r>
              <w:rPr>
                <w:rFonts w:hint="eastAsia" w:ascii="宋体" w:hAnsi="宋体" w:eastAsia="宋体" w:cs="宋体"/>
                <w:i w:val="0"/>
                <w:iCs w:val="0"/>
                <w:color w:val="auto"/>
                <w:spacing w:val="-45"/>
                <w:sz w:val="12"/>
                <w:szCs w:val="12"/>
              </w:rPr>
              <w:t xml:space="preserve"> </w:t>
            </w:r>
            <w:r>
              <w:rPr>
                <w:rFonts w:hint="eastAsia" w:ascii="宋体" w:hAnsi="宋体" w:eastAsia="宋体" w:cs="宋体"/>
                <w:i w:val="0"/>
                <w:iCs w:val="0"/>
                <w:color w:val="auto"/>
                <w:position w:val="2"/>
                <w:sz w:val="24"/>
                <w:szCs w:val="24"/>
              </w:rPr>
              <w:t>计）</w:t>
            </w:r>
            <w:r>
              <w:rPr>
                <w:rFonts w:hint="eastAsia" w:ascii="宋体" w:hAnsi="宋体" w:eastAsia="宋体" w:cs="宋体"/>
                <w:i w:val="0"/>
                <w:iCs w:val="0"/>
                <w:color w:val="auto"/>
                <w:position w:val="2"/>
                <w:sz w:val="21"/>
                <w:szCs w:val="21"/>
              </w:rPr>
              <w:t>w</w:t>
            </w:r>
            <w:r>
              <w:rPr>
                <w:rFonts w:hint="eastAsia" w:ascii="宋体" w:hAnsi="宋体" w:eastAsia="宋体" w:cs="宋体"/>
                <w:i w:val="0"/>
                <w:iCs w:val="0"/>
                <w:color w:val="auto"/>
                <w:position w:val="2"/>
                <w:sz w:val="24"/>
                <w:szCs w:val="24"/>
              </w:rPr>
              <w:t>/%</w:t>
            </w:r>
          </w:p>
        </w:tc>
        <w:tc>
          <w:tcPr>
            <w:tcW w:w="483" w:type="pct"/>
            <w:tcBorders>
              <w:top w:val="single" w:color="000000" w:sz="4" w:space="0"/>
              <w:left w:val="nil"/>
              <w:bottom w:val="single" w:color="000000" w:sz="4" w:space="0"/>
              <w:right w:val="single" w:color="000000" w:sz="4" w:space="0"/>
            </w:tcBorders>
          </w:tcPr>
          <w:p>
            <w:pPr>
              <w:pStyle w:val="18"/>
              <w:spacing w:before="87" w:line="240" w:lineRule="auto"/>
              <w:ind w:left="551"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w:t>
            </w:r>
          </w:p>
        </w:tc>
        <w:tc>
          <w:tcPr>
            <w:tcW w:w="1315" w:type="pct"/>
            <w:tcBorders>
              <w:top w:val="single" w:color="000000" w:sz="4" w:space="0"/>
              <w:left w:val="single" w:color="000000" w:sz="4" w:space="0"/>
              <w:bottom w:val="single" w:color="000000" w:sz="4" w:space="0"/>
              <w:right w:val="single" w:color="000000" w:sz="4" w:space="0"/>
            </w:tcBorders>
          </w:tcPr>
          <w:p>
            <w:pPr>
              <w:pStyle w:val="18"/>
              <w:spacing w:before="87"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10.0</w:t>
            </w:r>
          </w:p>
        </w:tc>
        <w:tc>
          <w:tcPr>
            <w:tcW w:w="1431" w:type="pct"/>
            <w:tcBorders>
              <w:top w:val="single" w:color="000000" w:sz="4" w:space="0"/>
              <w:left w:val="single" w:color="000000" w:sz="4" w:space="0"/>
              <w:bottom w:val="single" w:color="000000" w:sz="4" w:space="0"/>
              <w:right w:val="single" w:color="000000" w:sz="4" w:space="0"/>
            </w:tcBorders>
          </w:tcPr>
          <w:p>
            <w:pPr>
              <w:pStyle w:val="18"/>
              <w:spacing w:before="87"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GB/T 22627</w:t>
            </w:r>
          </w:p>
        </w:tc>
      </w:tr>
      <w:tr>
        <w:tblPrEx>
          <w:tblCellMar>
            <w:top w:w="0" w:type="dxa"/>
            <w:left w:w="0" w:type="dxa"/>
            <w:bottom w:w="0" w:type="dxa"/>
            <w:right w:w="0" w:type="dxa"/>
          </w:tblCellMar>
        </w:tblPrEx>
        <w:trPr>
          <w:trHeight w:val="578" w:hRule="exact"/>
        </w:trPr>
        <w:tc>
          <w:tcPr>
            <w:tcW w:w="2252" w:type="pct"/>
            <w:gridSpan w:val="2"/>
            <w:tcBorders>
              <w:top w:val="single" w:color="000000" w:sz="4" w:space="0"/>
              <w:left w:val="single" w:color="000000" w:sz="4" w:space="0"/>
              <w:bottom w:val="single" w:color="000000" w:sz="4" w:space="0"/>
              <w:right w:val="single" w:color="000000" w:sz="4" w:space="0"/>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盐基度</w:t>
            </w:r>
            <w:r>
              <w:rPr>
                <w:rFonts w:hint="eastAsia" w:ascii="宋体" w:hAnsi="宋体" w:eastAsia="宋体" w:cs="宋体"/>
                <w:i w:val="0"/>
                <w:iCs w:val="0"/>
                <w:color w:val="auto"/>
                <w:spacing w:val="-62"/>
                <w:sz w:val="24"/>
                <w:szCs w:val="24"/>
              </w:rPr>
              <w:t xml:space="preserve"> </w:t>
            </w:r>
            <w:r>
              <w:rPr>
                <w:rFonts w:hint="eastAsia" w:ascii="宋体" w:hAnsi="宋体" w:eastAsia="宋体" w:cs="宋体"/>
                <w:i w:val="0"/>
                <w:iCs w:val="0"/>
                <w:color w:val="auto"/>
                <w:sz w:val="21"/>
                <w:szCs w:val="21"/>
              </w:rPr>
              <w:t>w</w:t>
            </w:r>
            <w:r>
              <w:rPr>
                <w:rFonts w:hint="eastAsia" w:ascii="宋体" w:hAnsi="宋体" w:eastAsia="宋体" w:cs="宋体"/>
                <w:i w:val="0"/>
                <w:iCs w:val="0"/>
                <w:color w:val="auto"/>
                <w:sz w:val="24"/>
                <w:szCs w:val="24"/>
              </w:rPr>
              <w:t>/%</w:t>
            </w:r>
          </w:p>
        </w:tc>
        <w:tc>
          <w:tcPr>
            <w:tcW w:w="1315" w:type="pct"/>
            <w:tcBorders>
              <w:top w:val="single" w:color="000000" w:sz="4" w:space="0"/>
              <w:left w:val="single" w:color="000000" w:sz="4" w:space="0"/>
              <w:bottom w:val="single" w:color="000000" w:sz="4" w:space="0"/>
              <w:right w:val="single" w:color="000000" w:sz="4" w:space="0"/>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30.0～95.0</w:t>
            </w:r>
          </w:p>
        </w:tc>
        <w:tc>
          <w:tcPr>
            <w:tcW w:w="1431" w:type="pct"/>
            <w:tcBorders>
              <w:top w:val="single" w:color="000000" w:sz="4" w:space="0"/>
              <w:left w:val="single" w:color="000000" w:sz="4" w:space="0"/>
              <w:bottom w:val="single" w:color="000000" w:sz="4" w:space="0"/>
              <w:right w:val="single" w:color="000000" w:sz="4" w:space="0"/>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GB/T 22627</w:t>
            </w:r>
          </w:p>
        </w:tc>
      </w:tr>
      <w:tr>
        <w:tblPrEx>
          <w:tblCellMar>
            <w:top w:w="0" w:type="dxa"/>
            <w:left w:w="0" w:type="dxa"/>
            <w:bottom w:w="0" w:type="dxa"/>
            <w:right w:w="0" w:type="dxa"/>
          </w:tblCellMar>
        </w:tblPrEx>
        <w:trPr>
          <w:trHeight w:val="576" w:hRule="exact"/>
        </w:trPr>
        <w:tc>
          <w:tcPr>
            <w:tcW w:w="2252" w:type="pct"/>
            <w:gridSpan w:val="2"/>
            <w:tcBorders>
              <w:top w:val="single" w:color="000000" w:sz="4" w:space="0"/>
              <w:left w:val="single" w:color="000000" w:sz="4" w:space="0"/>
              <w:bottom w:val="single" w:color="000000" w:sz="4" w:space="0"/>
              <w:right w:val="single" w:color="000000" w:sz="4" w:space="0"/>
            </w:tcBorders>
          </w:tcPr>
          <w:p>
            <w:pPr>
              <w:pStyle w:val="18"/>
              <w:spacing w:before="87"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pH</w:t>
            </w:r>
            <w:r>
              <w:rPr>
                <w:rFonts w:hint="eastAsia" w:ascii="宋体" w:hAnsi="宋体" w:eastAsia="宋体" w:cs="宋体"/>
                <w:i w:val="0"/>
                <w:iCs w:val="0"/>
                <w:color w:val="auto"/>
                <w:spacing w:val="-60"/>
                <w:sz w:val="24"/>
                <w:szCs w:val="24"/>
              </w:rPr>
              <w:t xml:space="preserve"> </w:t>
            </w:r>
            <w:r>
              <w:rPr>
                <w:rFonts w:hint="eastAsia" w:ascii="宋体" w:hAnsi="宋体" w:eastAsia="宋体" w:cs="宋体"/>
                <w:i w:val="0"/>
                <w:iCs w:val="0"/>
                <w:color w:val="auto"/>
                <w:sz w:val="24"/>
                <w:szCs w:val="24"/>
              </w:rPr>
              <w:t>值（10g/L</w:t>
            </w:r>
            <w:r>
              <w:rPr>
                <w:rFonts w:hint="eastAsia" w:ascii="宋体" w:hAnsi="宋体" w:eastAsia="宋体" w:cs="宋体"/>
                <w:i w:val="0"/>
                <w:iCs w:val="0"/>
                <w:color w:val="auto"/>
                <w:spacing w:val="-60"/>
                <w:sz w:val="24"/>
                <w:szCs w:val="24"/>
              </w:rPr>
              <w:t xml:space="preserve"> </w:t>
            </w:r>
            <w:r>
              <w:rPr>
                <w:rFonts w:hint="eastAsia" w:ascii="宋体" w:hAnsi="宋体" w:eastAsia="宋体" w:cs="宋体"/>
                <w:i w:val="0"/>
                <w:iCs w:val="0"/>
                <w:color w:val="auto"/>
                <w:sz w:val="24"/>
                <w:szCs w:val="24"/>
              </w:rPr>
              <w:t>水溶液）</w:t>
            </w:r>
          </w:p>
        </w:tc>
        <w:tc>
          <w:tcPr>
            <w:tcW w:w="1315" w:type="pct"/>
            <w:tcBorders>
              <w:top w:val="single" w:color="000000" w:sz="4" w:space="0"/>
              <w:left w:val="single" w:color="000000" w:sz="4" w:space="0"/>
              <w:bottom w:val="single" w:color="000000" w:sz="4" w:space="0"/>
              <w:right w:val="single" w:color="000000" w:sz="4" w:space="0"/>
            </w:tcBorders>
          </w:tcPr>
          <w:p>
            <w:pPr>
              <w:pStyle w:val="18"/>
              <w:spacing w:before="87"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3.5～5.0</w:t>
            </w:r>
          </w:p>
        </w:tc>
        <w:tc>
          <w:tcPr>
            <w:tcW w:w="1431" w:type="pct"/>
            <w:tcBorders>
              <w:top w:val="single" w:color="000000" w:sz="4" w:space="0"/>
              <w:left w:val="single" w:color="000000" w:sz="4" w:space="0"/>
              <w:bottom w:val="single" w:color="000000" w:sz="4" w:space="0"/>
              <w:right w:val="single" w:color="000000" w:sz="4" w:space="0"/>
            </w:tcBorders>
          </w:tcPr>
          <w:p>
            <w:pPr>
              <w:pStyle w:val="18"/>
              <w:spacing w:before="87"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GB/T 22627</w:t>
            </w:r>
          </w:p>
        </w:tc>
      </w:tr>
      <w:tr>
        <w:tblPrEx>
          <w:tblCellMar>
            <w:top w:w="0" w:type="dxa"/>
            <w:left w:w="0" w:type="dxa"/>
            <w:bottom w:w="0" w:type="dxa"/>
            <w:right w:w="0" w:type="dxa"/>
          </w:tblCellMar>
        </w:tblPrEx>
        <w:trPr>
          <w:trHeight w:val="578" w:hRule="exact"/>
        </w:trPr>
        <w:tc>
          <w:tcPr>
            <w:tcW w:w="1769" w:type="pct"/>
            <w:tcBorders>
              <w:top w:val="single" w:color="000000" w:sz="4" w:space="0"/>
              <w:left w:val="single" w:color="000000" w:sz="4" w:space="0"/>
              <w:bottom w:val="single" w:color="000000" w:sz="4" w:space="0"/>
              <w:right w:val="nil"/>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不溶物</w:t>
            </w:r>
            <w:r>
              <w:rPr>
                <w:rFonts w:hint="eastAsia" w:ascii="宋体" w:hAnsi="宋体" w:eastAsia="宋体" w:cs="宋体"/>
                <w:i w:val="0"/>
                <w:iCs w:val="0"/>
                <w:color w:val="auto"/>
                <w:spacing w:val="-62"/>
                <w:sz w:val="24"/>
                <w:szCs w:val="24"/>
              </w:rPr>
              <w:t xml:space="preserve"> </w:t>
            </w:r>
            <w:r>
              <w:rPr>
                <w:rFonts w:hint="eastAsia" w:ascii="宋体" w:hAnsi="宋体" w:eastAsia="宋体" w:cs="宋体"/>
                <w:i w:val="0"/>
                <w:iCs w:val="0"/>
                <w:color w:val="auto"/>
                <w:sz w:val="21"/>
                <w:szCs w:val="21"/>
              </w:rPr>
              <w:t>w</w:t>
            </w:r>
            <w:r>
              <w:rPr>
                <w:rFonts w:hint="eastAsia" w:ascii="宋体" w:hAnsi="宋体" w:eastAsia="宋体" w:cs="宋体"/>
                <w:i w:val="0"/>
                <w:iCs w:val="0"/>
                <w:color w:val="auto"/>
                <w:sz w:val="24"/>
                <w:szCs w:val="24"/>
              </w:rPr>
              <w:t>/%</w:t>
            </w:r>
          </w:p>
        </w:tc>
        <w:tc>
          <w:tcPr>
            <w:tcW w:w="483" w:type="pct"/>
            <w:tcBorders>
              <w:top w:val="single" w:color="000000" w:sz="4" w:space="0"/>
              <w:left w:val="nil"/>
              <w:bottom w:val="single" w:color="000000" w:sz="4" w:space="0"/>
              <w:right w:val="single" w:color="000000" w:sz="4" w:space="0"/>
            </w:tcBorders>
          </w:tcPr>
          <w:p>
            <w:pPr>
              <w:pStyle w:val="18"/>
              <w:spacing w:before="89" w:line="240" w:lineRule="auto"/>
              <w:ind w:left="551"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w:t>
            </w:r>
          </w:p>
        </w:tc>
        <w:tc>
          <w:tcPr>
            <w:tcW w:w="1315" w:type="pct"/>
            <w:tcBorders>
              <w:top w:val="single" w:color="000000" w:sz="4" w:space="0"/>
              <w:left w:val="single" w:color="000000" w:sz="4" w:space="0"/>
              <w:bottom w:val="single" w:color="000000" w:sz="4" w:space="0"/>
              <w:right w:val="single" w:color="000000" w:sz="4" w:space="0"/>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0.4</w:t>
            </w:r>
          </w:p>
        </w:tc>
        <w:tc>
          <w:tcPr>
            <w:tcW w:w="1431" w:type="pct"/>
            <w:tcBorders>
              <w:top w:val="single" w:color="000000" w:sz="4" w:space="0"/>
              <w:left w:val="single" w:color="000000" w:sz="4" w:space="0"/>
              <w:bottom w:val="single" w:color="000000" w:sz="4" w:space="0"/>
              <w:right w:val="single" w:color="000000" w:sz="4" w:space="0"/>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GB/T 22596</w:t>
            </w:r>
          </w:p>
        </w:tc>
      </w:tr>
    </w:tbl>
    <w:p>
      <w:pPr>
        <w:spacing w:line="360" w:lineRule="auto"/>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36AD9"/>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2A3140"/>
    <w:rsid w:val="032D15FD"/>
    <w:rsid w:val="032F04D8"/>
    <w:rsid w:val="03E5328D"/>
    <w:rsid w:val="042207A6"/>
    <w:rsid w:val="046E24C0"/>
    <w:rsid w:val="04A21245"/>
    <w:rsid w:val="05CE4353"/>
    <w:rsid w:val="064416AA"/>
    <w:rsid w:val="06964B9A"/>
    <w:rsid w:val="06A3708D"/>
    <w:rsid w:val="077632ED"/>
    <w:rsid w:val="090A2F1F"/>
    <w:rsid w:val="09691543"/>
    <w:rsid w:val="0A58515B"/>
    <w:rsid w:val="0A5E0098"/>
    <w:rsid w:val="0B4A13AC"/>
    <w:rsid w:val="0B4B49E0"/>
    <w:rsid w:val="0B8E420A"/>
    <w:rsid w:val="0F8C0A60"/>
    <w:rsid w:val="0FA364D6"/>
    <w:rsid w:val="0FE34343"/>
    <w:rsid w:val="1115075C"/>
    <w:rsid w:val="111E4EA7"/>
    <w:rsid w:val="11715093"/>
    <w:rsid w:val="118A38B5"/>
    <w:rsid w:val="12837C22"/>
    <w:rsid w:val="12CF31F9"/>
    <w:rsid w:val="1387789C"/>
    <w:rsid w:val="13B74194"/>
    <w:rsid w:val="15033088"/>
    <w:rsid w:val="15101A52"/>
    <w:rsid w:val="15BF2E22"/>
    <w:rsid w:val="15C31A47"/>
    <w:rsid w:val="16172661"/>
    <w:rsid w:val="16270A04"/>
    <w:rsid w:val="178C691A"/>
    <w:rsid w:val="184968FC"/>
    <w:rsid w:val="1A2F6DF9"/>
    <w:rsid w:val="1AFD66F4"/>
    <w:rsid w:val="1B233A0E"/>
    <w:rsid w:val="1B927AE6"/>
    <w:rsid w:val="1C8261A0"/>
    <w:rsid w:val="1D0113C9"/>
    <w:rsid w:val="1D05782C"/>
    <w:rsid w:val="1DD33EEF"/>
    <w:rsid w:val="1E3264F3"/>
    <w:rsid w:val="1EBD3B62"/>
    <w:rsid w:val="1F02429F"/>
    <w:rsid w:val="207E3421"/>
    <w:rsid w:val="2090579A"/>
    <w:rsid w:val="20AF45AF"/>
    <w:rsid w:val="21BD6DBB"/>
    <w:rsid w:val="22003DA2"/>
    <w:rsid w:val="221A3813"/>
    <w:rsid w:val="22521DD3"/>
    <w:rsid w:val="23464916"/>
    <w:rsid w:val="237B661E"/>
    <w:rsid w:val="238B4E5F"/>
    <w:rsid w:val="23BF50C8"/>
    <w:rsid w:val="247C7073"/>
    <w:rsid w:val="2496308D"/>
    <w:rsid w:val="258C0EF7"/>
    <w:rsid w:val="25CB1E8B"/>
    <w:rsid w:val="27CF60B0"/>
    <w:rsid w:val="27E234BC"/>
    <w:rsid w:val="280475E2"/>
    <w:rsid w:val="29B80978"/>
    <w:rsid w:val="29D17C38"/>
    <w:rsid w:val="2AC11AAE"/>
    <w:rsid w:val="2BE04E2E"/>
    <w:rsid w:val="2C3328C4"/>
    <w:rsid w:val="2D2B1461"/>
    <w:rsid w:val="2E12514F"/>
    <w:rsid w:val="2E351771"/>
    <w:rsid w:val="2F210D6D"/>
    <w:rsid w:val="30071591"/>
    <w:rsid w:val="30275B42"/>
    <w:rsid w:val="30985912"/>
    <w:rsid w:val="30E60CDF"/>
    <w:rsid w:val="312B136C"/>
    <w:rsid w:val="31CE1FAB"/>
    <w:rsid w:val="322E5C7B"/>
    <w:rsid w:val="328F6057"/>
    <w:rsid w:val="32A75EF3"/>
    <w:rsid w:val="33413E8A"/>
    <w:rsid w:val="35010EDF"/>
    <w:rsid w:val="35327452"/>
    <w:rsid w:val="35FC498E"/>
    <w:rsid w:val="36215A7E"/>
    <w:rsid w:val="36417C8D"/>
    <w:rsid w:val="366436B8"/>
    <w:rsid w:val="37ED7F2D"/>
    <w:rsid w:val="38A94FE7"/>
    <w:rsid w:val="39137A71"/>
    <w:rsid w:val="391433B1"/>
    <w:rsid w:val="39657C8F"/>
    <w:rsid w:val="3969383E"/>
    <w:rsid w:val="39B95E18"/>
    <w:rsid w:val="3A4967DD"/>
    <w:rsid w:val="3A9A2FE2"/>
    <w:rsid w:val="3AD63889"/>
    <w:rsid w:val="3B293E28"/>
    <w:rsid w:val="3B532B57"/>
    <w:rsid w:val="3BD776DA"/>
    <w:rsid w:val="3C1E5B01"/>
    <w:rsid w:val="3C333506"/>
    <w:rsid w:val="3C656913"/>
    <w:rsid w:val="3CFE624A"/>
    <w:rsid w:val="3D321A44"/>
    <w:rsid w:val="3D475A63"/>
    <w:rsid w:val="3FEE6A4A"/>
    <w:rsid w:val="401F30A7"/>
    <w:rsid w:val="40831E81"/>
    <w:rsid w:val="409057BD"/>
    <w:rsid w:val="41186225"/>
    <w:rsid w:val="416F5968"/>
    <w:rsid w:val="418324AC"/>
    <w:rsid w:val="41A04200"/>
    <w:rsid w:val="41CC2295"/>
    <w:rsid w:val="42257F84"/>
    <w:rsid w:val="422D3D55"/>
    <w:rsid w:val="42680DF6"/>
    <w:rsid w:val="42DC0DDB"/>
    <w:rsid w:val="43482915"/>
    <w:rsid w:val="4351032C"/>
    <w:rsid w:val="43E44E60"/>
    <w:rsid w:val="44236751"/>
    <w:rsid w:val="448C78B8"/>
    <w:rsid w:val="44CB1108"/>
    <w:rsid w:val="45C94E39"/>
    <w:rsid w:val="464B079B"/>
    <w:rsid w:val="468077A8"/>
    <w:rsid w:val="468E6ECD"/>
    <w:rsid w:val="46DE637E"/>
    <w:rsid w:val="46EA56DB"/>
    <w:rsid w:val="476C6251"/>
    <w:rsid w:val="479C322F"/>
    <w:rsid w:val="47A978DA"/>
    <w:rsid w:val="48081467"/>
    <w:rsid w:val="48295411"/>
    <w:rsid w:val="493B7D23"/>
    <w:rsid w:val="497038CD"/>
    <w:rsid w:val="49730A66"/>
    <w:rsid w:val="499A66C3"/>
    <w:rsid w:val="4B4A24A6"/>
    <w:rsid w:val="4C204881"/>
    <w:rsid w:val="4C82133E"/>
    <w:rsid w:val="4D143DFB"/>
    <w:rsid w:val="4E0062C6"/>
    <w:rsid w:val="4EF66C8E"/>
    <w:rsid w:val="4F4E1D81"/>
    <w:rsid w:val="4F8270FB"/>
    <w:rsid w:val="4FA265C1"/>
    <w:rsid w:val="4FAF2ACB"/>
    <w:rsid w:val="507E72C1"/>
    <w:rsid w:val="508235A6"/>
    <w:rsid w:val="50DE33C7"/>
    <w:rsid w:val="51092694"/>
    <w:rsid w:val="512F6EC2"/>
    <w:rsid w:val="513403C7"/>
    <w:rsid w:val="518B38CB"/>
    <w:rsid w:val="51E26721"/>
    <w:rsid w:val="529A77A5"/>
    <w:rsid w:val="53A82B52"/>
    <w:rsid w:val="53ED6794"/>
    <w:rsid w:val="542657F3"/>
    <w:rsid w:val="542A50A2"/>
    <w:rsid w:val="542D5399"/>
    <w:rsid w:val="54B059A5"/>
    <w:rsid w:val="55E907A3"/>
    <w:rsid w:val="56195634"/>
    <w:rsid w:val="56325307"/>
    <w:rsid w:val="5659474A"/>
    <w:rsid w:val="56732B47"/>
    <w:rsid w:val="58BD4EAA"/>
    <w:rsid w:val="58DA20C8"/>
    <w:rsid w:val="59B64E5B"/>
    <w:rsid w:val="59C41AA5"/>
    <w:rsid w:val="5A772BA7"/>
    <w:rsid w:val="5B510FBA"/>
    <w:rsid w:val="5B5E370D"/>
    <w:rsid w:val="5B713427"/>
    <w:rsid w:val="5C8B0489"/>
    <w:rsid w:val="5CCB321D"/>
    <w:rsid w:val="5D3038FF"/>
    <w:rsid w:val="5E3D7D48"/>
    <w:rsid w:val="5E5B4B1E"/>
    <w:rsid w:val="5EDC2437"/>
    <w:rsid w:val="5F4856E5"/>
    <w:rsid w:val="5F683B20"/>
    <w:rsid w:val="5F6A1B70"/>
    <w:rsid w:val="603C6B90"/>
    <w:rsid w:val="60E930B4"/>
    <w:rsid w:val="61034DA8"/>
    <w:rsid w:val="61391E0A"/>
    <w:rsid w:val="61716ECA"/>
    <w:rsid w:val="62772330"/>
    <w:rsid w:val="64383FFB"/>
    <w:rsid w:val="651A5C4B"/>
    <w:rsid w:val="653116C9"/>
    <w:rsid w:val="653762FE"/>
    <w:rsid w:val="653A164C"/>
    <w:rsid w:val="65B31BCC"/>
    <w:rsid w:val="667E7566"/>
    <w:rsid w:val="68031777"/>
    <w:rsid w:val="68885CD3"/>
    <w:rsid w:val="68F0116E"/>
    <w:rsid w:val="69085BD7"/>
    <w:rsid w:val="6960653E"/>
    <w:rsid w:val="6B9A256C"/>
    <w:rsid w:val="6BA373FF"/>
    <w:rsid w:val="6BEB1E5F"/>
    <w:rsid w:val="6C4957FC"/>
    <w:rsid w:val="6D3E0CE6"/>
    <w:rsid w:val="6D6E3F95"/>
    <w:rsid w:val="6DB151E2"/>
    <w:rsid w:val="6DBF39F3"/>
    <w:rsid w:val="6E80463B"/>
    <w:rsid w:val="6F457884"/>
    <w:rsid w:val="6F8C7070"/>
    <w:rsid w:val="6FE70842"/>
    <w:rsid w:val="6FF53E70"/>
    <w:rsid w:val="701A2DBF"/>
    <w:rsid w:val="703B4D4B"/>
    <w:rsid w:val="70642ED3"/>
    <w:rsid w:val="70763652"/>
    <w:rsid w:val="70A15996"/>
    <w:rsid w:val="713779A1"/>
    <w:rsid w:val="72CC3F86"/>
    <w:rsid w:val="72E24278"/>
    <w:rsid w:val="73293EB8"/>
    <w:rsid w:val="73843B37"/>
    <w:rsid w:val="73AA2AB8"/>
    <w:rsid w:val="7448595E"/>
    <w:rsid w:val="745139F7"/>
    <w:rsid w:val="74A25915"/>
    <w:rsid w:val="75706FDE"/>
    <w:rsid w:val="75940C8C"/>
    <w:rsid w:val="75C940ED"/>
    <w:rsid w:val="76D15FF3"/>
    <w:rsid w:val="77550A67"/>
    <w:rsid w:val="77A85270"/>
    <w:rsid w:val="77B83BB6"/>
    <w:rsid w:val="77BA2D12"/>
    <w:rsid w:val="7856695F"/>
    <w:rsid w:val="7866427B"/>
    <w:rsid w:val="78F732D8"/>
    <w:rsid w:val="790F1791"/>
    <w:rsid w:val="79775EC9"/>
    <w:rsid w:val="7A37206F"/>
    <w:rsid w:val="7A7E5483"/>
    <w:rsid w:val="7B7027FC"/>
    <w:rsid w:val="7B740622"/>
    <w:rsid w:val="7B994BC5"/>
    <w:rsid w:val="7C152DD9"/>
    <w:rsid w:val="7C520931"/>
    <w:rsid w:val="7D34076E"/>
    <w:rsid w:val="7D53381A"/>
    <w:rsid w:val="7E9B2B28"/>
    <w:rsid w:val="7EB15D7C"/>
    <w:rsid w:val="7EB910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字符"/>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3</TotalTime>
  <ScaleCrop>false</ScaleCrop>
  <LinksUpToDate>false</LinksUpToDate>
  <CharactersWithSpaces>5441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Luky Li</cp:lastModifiedBy>
  <dcterms:modified xsi:type="dcterms:W3CDTF">2021-12-10T02:04:39Z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0CCB45109742491C9608F5CFE7FDA0D2</vt:lpwstr>
  </property>
</Properties>
</file>